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 xml:space="preserve">                                                                                                                                                                                                                                                                                                                                                                                                                                                                                                                                                                                                                                                                                                                                                                                                                                                                                                                                                                                                                                                                                                                                                                                                                                                                                                                                                                                                                                                                                                                                                                                                                                                                                                                                                                                                                                                                                                                                                                                                                                                         </w:t>
      </w:r>
    </w:p>
    <w:p>
      <w:pPr>
        <w:adjustRightInd/>
        <w:spacing w:line="360" w:lineRule="auto"/>
        <w:jc w:val="both"/>
        <w:rPr>
          <w:rFonts w:ascii="宋体" w:hAnsi="宋体" w:cs="宋体"/>
          <w:b/>
          <w:color w:val="auto"/>
          <w:sz w:val="48"/>
          <w:szCs w:val="48"/>
          <w:highlight w:val="none"/>
        </w:rPr>
      </w:pPr>
      <w:r>
        <w:rPr>
          <w:rFonts w:hint="eastAsia" w:ascii="宋体" w:hAnsi="宋体" w:cs="宋体"/>
          <w:b/>
          <w:color w:val="auto"/>
          <w:sz w:val="48"/>
          <w:szCs w:val="48"/>
          <w:highlight w:val="none"/>
          <w:lang w:val="en-US" w:eastAsia="zh-CN"/>
        </w:rPr>
        <w:t xml:space="preserve"> </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庵东镇西三片区污水主网及接纳工程监理</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val="en-US" w:eastAsia="zh-CN"/>
        </w:rPr>
        <w:t>ADCG202419-1</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慈溪市庵东镇人民政府</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宁波欣科工程项目管理有限公司</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慈溪市庵东镇公共资源交易管理办公室</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23</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合同样本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响应文件格式及附件</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庵东镇西三片区污水主网及接纳工程监理</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1"/>
          <w:rFonts w:hint="eastAsia" w:ascii="宋体" w:hAnsi="宋体" w:eastAsia="宋体" w:cs="宋体"/>
          <w:color w:val="auto"/>
          <w:kern w:val="2"/>
          <w:sz w:val="24"/>
          <w:szCs w:val="24"/>
          <w:highlight w:val="none"/>
        </w:rPr>
        <w:t>https://www.zcygov.cn/）获取（下载）采购文件，并于</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wordWrap/>
        <w:adjustRightInd w:val="0"/>
        <w:snapToGrid w:val="0"/>
        <w:spacing w:line="480" w:lineRule="exact"/>
        <w:ind w:left="0" w:leftChars="0" w:right="0" w:firstLine="482" w:firstLineChars="200"/>
        <w:jc w:val="both"/>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ADCG202419-1</w:t>
      </w:r>
    </w:p>
    <w:p>
      <w:pPr>
        <w:wordWrap/>
        <w:adjustRightInd w:val="0"/>
        <w:snapToGrid w:val="0"/>
        <w:spacing w:line="480" w:lineRule="exact"/>
        <w:ind w:left="0" w:leftChars="0" w:right="0" w:firstLine="482"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庵东镇西三片区污水主网及接纳工程监理</w:t>
      </w:r>
      <w:r>
        <w:rPr>
          <w:rFonts w:hint="eastAsia" w:ascii="宋体" w:hAnsi="宋体" w:cs="宋体"/>
          <w:b w:val="0"/>
          <w:bCs/>
          <w:color w:val="auto"/>
          <w:sz w:val="24"/>
          <w:highlight w:val="none"/>
          <w:lang w:val="en-US" w:eastAsia="zh-CN"/>
        </w:rPr>
        <w:t xml:space="preserve"> </w:t>
      </w:r>
    </w:p>
    <w:p>
      <w:pPr>
        <w:wordWrap/>
        <w:adjustRightInd w:val="0"/>
        <w:snapToGri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采购方式：</w:t>
      </w:r>
      <w:r>
        <w:rPr>
          <w:rFonts w:hint="eastAsia" w:ascii="宋体" w:hAnsi="宋体" w:cs="宋体"/>
          <w:color w:val="auto"/>
          <w:sz w:val="24"/>
          <w:highlight w:val="none"/>
        </w:rPr>
        <w:t>竞争性磋商</w:t>
      </w:r>
    </w:p>
    <w:p>
      <w:pPr>
        <w:wordWrap/>
        <w:adjustRightInd w:val="0"/>
        <w:snapToGri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910000</w:t>
      </w:r>
      <w:r>
        <w:rPr>
          <w:rFonts w:hint="eastAsia" w:ascii="宋体" w:hAnsi="宋体" w:cs="宋体"/>
          <w:color w:val="auto"/>
          <w:sz w:val="24"/>
          <w:highlight w:val="none"/>
        </w:rPr>
        <w:t xml:space="preserve">元 </w:t>
      </w:r>
    </w:p>
    <w:p>
      <w:pPr>
        <w:wordWrap/>
        <w:adjustRightInd w:val="0"/>
        <w:snapToGrid w:val="0"/>
        <w:spacing w:line="480" w:lineRule="exact"/>
        <w:ind w:left="0" w:leftChars="0" w:right="0" w:firstLine="482" w:firstLineChars="200"/>
        <w:jc w:val="both"/>
        <w:textAlignment w:val="auto"/>
        <w:outlineLvl w:val="9"/>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910000</w:t>
      </w:r>
      <w:r>
        <w:rPr>
          <w:rFonts w:hint="eastAsia" w:ascii="宋体" w:hAnsi="宋体" w:cs="宋体"/>
          <w:color w:val="auto"/>
          <w:sz w:val="24"/>
          <w:highlight w:val="none"/>
        </w:rPr>
        <w:t>元</w:t>
      </w:r>
    </w:p>
    <w:p>
      <w:pPr>
        <w:pStyle w:val="21"/>
        <w:wordWrap/>
        <w:adjustRightInd w:val="0"/>
        <w:spacing w:line="480" w:lineRule="exact"/>
        <w:ind w:left="0" w:leftChars="0" w:right="0" w:firstLine="482" w:firstLineChars="200"/>
        <w:jc w:val="both"/>
        <w:textAlignment w:val="auto"/>
        <w:outlineLvl w:val="9"/>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标项号</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1；</w:t>
      </w:r>
      <w:r>
        <w:rPr>
          <w:rFonts w:hint="eastAsia" w:hAnsi="宋体" w:cs="宋体"/>
          <w:bCs/>
          <w:color w:val="auto"/>
          <w:sz w:val="24"/>
          <w:highlight w:val="none"/>
        </w:rPr>
        <w:t>标项名称</w:t>
      </w:r>
      <w:r>
        <w:rPr>
          <w:rFonts w:hint="eastAsia" w:hAnsi="宋体" w:cs="宋体"/>
          <w:bCs/>
          <w:color w:val="auto"/>
          <w:sz w:val="24"/>
          <w:highlight w:val="none"/>
          <w:lang w:eastAsia="zh-CN"/>
        </w:rPr>
        <w:t>：庵东镇西三片区污水主网及接纳工程监理；</w:t>
      </w:r>
      <w:r>
        <w:rPr>
          <w:rFonts w:hint="eastAsia" w:hAnsi="宋体" w:cs="宋体"/>
          <w:bCs/>
          <w:color w:val="auto"/>
          <w:kern w:val="2"/>
          <w:sz w:val="24"/>
          <w:szCs w:val="24"/>
          <w:highlight w:val="none"/>
        </w:rPr>
        <w:t>数量</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lang w:val="en-US" w:eastAsia="zh-CN"/>
        </w:rPr>
        <w:t>1；其他要求：</w:t>
      </w:r>
      <w:r>
        <w:rPr>
          <w:rFonts w:hint="eastAsia" w:hAnsi="宋体" w:cs="宋体"/>
          <w:bCs/>
          <w:color w:val="auto"/>
          <w:kern w:val="2"/>
          <w:sz w:val="24"/>
          <w:szCs w:val="24"/>
          <w:highlight w:val="none"/>
        </w:rPr>
        <w:t>详见采购文件第三部分采购需求</w:t>
      </w:r>
    </w:p>
    <w:p>
      <w:pPr>
        <w:pStyle w:val="21"/>
        <w:wordWrap/>
        <w:adjustRightInd w:val="0"/>
        <w:spacing w:line="480" w:lineRule="exact"/>
        <w:ind w:left="0" w:leftChars="0" w:right="0" w:firstLine="482" w:firstLineChars="200"/>
        <w:jc w:val="both"/>
        <w:textAlignment w:val="auto"/>
        <w:outlineLvl w:val="9"/>
        <w:rPr>
          <w:rFonts w:hAnsi="宋体" w:cs="宋体"/>
          <w:b w:val="0"/>
          <w:bCs/>
          <w:color w:val="auto"/>
          <w:kern w:val="2"/>
          <w:sz w:val="24"/>
          <w:szCs w:val="24"/>
          <w:highlight w:val="none"/>
        </w:rPr>
      </w:pPr>
      <w:r>
        <w:rPr>
          <w:rFonts w:hint="eastAsia" w:hAnsi="宋体" w:cs="宋体"/>
          <w:b/>
          <w:color w:val="auto"/>
          <w:sz w:val="24"/>
          <w:highlight w:val="none"/>
        </w:rPr>
        <w:t>合同履约期限</w:t>
      </w:r>
      <w:r>
        <w:rPr>
          <w:rFonts w:hint="eastAsia" w:hAnsi="宋体" w:cs="宋体"/>
          <w:b/>
          <w:color w:val="auto"/>
          <w:kern w:val="2"/>
          <w:sz w:val="24"/>
          <w:szCs w:val="24"/>
          <w:highlight w:val="none"/>
        </w:rPr>
        <w:t>：</w:t>
      </w:r>
      <w:r>
        <w:rPr>
          <w:rFonts w:hint="eastAsia" w:hAnsi="宋体" w:cs="宋体"/>
          <w:b w:val="0"/>
          <w:bCs/>
          <w:color w:val="auto"/>
          <w:kern w:val="2"/>
          <w:sz w:val="24"/>
          <w:szCs w:val="24"/>
          <w:highlight w:val="none"/>
        </w:rPr>
        <w:t>自合同签订之日起至本项目</w:t>
      </w:r>
      <w:r>
        <w:rPr>
          <w:rFonts w:hint="eastAsia" w:ascii="宋体" w:hAnsi="宋体"/>
          <w:bCs/>
          <w:sz w:val="24"/>
        </w:rPr>
        <w:t>缺陷责任期</w:t>
      </w:r>
      <w:r>
        <w:rPr>
          <w:rFonts w:hint="eastAsia" w:hAnsi="宋体" w:cs="宋体"/>
          <w:b w:val="0"/>
          <w:bCs/>
          <w:color w:val="auto"/>
          <w:kern w:val="2"/>
          <w:sz w:val="24"/>
          <w:szCs w:val="24"/>
          <w:highlight w:val="none"/>
        </w:rPr>
        <w:t>满止</w:t>
      </w:r>
    </w:p>
    <w:p>
      <w:pPr>
        <w:pStyle w:val="21"/>
        <w:wordWrap/>
        <w:adjustRightInd w:val="0"/>
        <w:spacing w:line="480" w:lineRule="exact"/>
        <w:ind w:left="0" w:leftChars="0" w:right="0" w:firstLine="482" w:firstLineChars="200"/>
        <w:jc w:val="both"/>
        <w:textAlignment w:val="auto"/>
        <w:outlineLvl w:val="9"/>
        <w:rPr>
          <w:rFonts w:hAnsi="宋体" w:cs="宋体"/>
          <w:b/>
          <w:color w:val="auto"/>
          <w:sz w:val="24"/>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投标</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wordWrap/>
        <w:adjustRightInd w:val="0"/>
        <w:spacing w:line="480" w:lineRule="exact"/>
        <w:ind w:left="0" w:leftChars="0" w:right="0" w:firstLine="480"/>
        <w:jc w:val="both"/>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pacing w:line="480" w:lineRule="exact"/>
        <w:ind w:left="0" w:leftChars="0" w:right="0" w:firstLine="480" w:firstLineChars="200"/>
        <w:jc w:val="both"/>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pPr>
        <w:wordWrap/>
        <w:adjustRightIn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wordWrap/>
        <w:adjustRightInd w:val="0"/>
        <w:spacing w:line="480" w:lineRule="exact"/>
        <w:ind w:left="0" w:leftChars="0" w:right="0" w:firstLine="897" w:firstLineChars="374"/>
        <w:jc w:val="both"/>
        <w:textAlignment w:val="auto"/>
        <w:outlineLvl w:val="9"/>
        <w:rPr>
          <w:rFonts w:ascii="宋体" w:hAnsi="宋体" w:cs="宋体"/>
          <w:color w:val="auto"/>
          <w:sz w:val="24"/>
          <w:highlight w:val="none"/>
          <w:u w:val="single"/>
        </w:rPr>
      </w:pPr>
      <w:r>
        <w:rPr>
          <w:rFonts w:hint="eastAsia" w:ascii="Wingdings" w:hAnsi="Wingdings" w:cs="宋体"/>
          <w:color w:val="auto"/>
          <w:kern w:val="0"/>
          <w:sz w:val="24"/>
          <w:highlight w:val="none"/>
        </w:rPr>
        <w:t>þ</w:t>
      </w:r>
      <w:r>
        <w:rPr>
          <w:rFonts w:hint="eastAsia" w:ascii="宋体" w:hAnsi="宋体" w:cs="宋体"/>
          <w:color w:val="auto"/>
          <w:sz w:val="24"/>
          <w:highlight w:val="none"/>
        </w:rPr>
        <w:t>工程全部由符合政策要求的中小企业承建，提供中小企业声明函；</w:t>
      </w:r>
    </w:p>
    <w:p>
      <w:pPr>
        <w:wordWrap/>
        <w:adjustRightInd w:val="0"/>
        <w:spacing w:line="480" w:lineRule="exact"/>
        <w:ind w:left="0" w:leftChars="0" w:right="0" w:firstLine="897" w:firstLineChars="374"/>
        <w:jc w:val="both"/>
        <w:textAlignment w:val="auto"/>
        <w:outlineLvl w:val="9"/>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sz w:val="24"/>
          <w:highlight w:val="none"/>
        </w:rPr>
        <w:t>工程全部由符合政策要求的小微企业承建，提供中小企业声明函；</w:t>
      </w:r>
    </w:p>
    <w:p>
      <w:pPr>
        <w:wordWrap/>
        <w:adjustRightInd w:val="0"/>
        <w:spacing w:line="480" w:lineRule="exact"/>
        <w:ind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投标人具有市政公用工程监理专业丙</w:t>
      </w:r>
      <w:r>
        <w:rPr>
          <w:rFonts w:hint="eastAsia" w:ascii="宋体" w:hAnsi="宋体" w:cs="宋体"/>
          <w:color w:val="auto"/>
          <w:sz w:val="24"/>
          <w:highlight w:val="none"/>
        </w:rPr>
        <w:t>级及以上资质</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工程监理综合资质</w:t>
      </w:r>
      <w:r>
        <w:rPr>
          <w:rFonts w:hint="eastAsia" w:ascii="宋体" w:hAnsi="宋体" w:cs="宋体"/>
          <w:color w:val="auto"/>
          <w:sz w:val="24"/>
          <w:highlight w:val="none"/>
          <w:lang w:eastAsia="zh-CN"/>
        </w:rPr>
        <w:t>。</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三、获取（下载）采购文件 </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公告发布之日起至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bookmarkStart w:id="440" w:name="_GoBack"/>
      <w:bookmarkEnd w:id="440"/>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bCs/>
          <w:color w:val="auto"/>
          <w:sz w:val="24"/>
          <w:highlight w:val="none"/>
        </w:rPr>
        <w:t>（1）</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如有疑问请及时咨询网站客服，咨询电话：95763。（2）获取采购文件前，供应商应在“浙江政府采购网（zfcg.czt.zj.gov.cn）”上进行供应商注册申请，并通过财政部门的终审后登记加入到“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政采云平台登录上述供应商注册的账号后获取采购文件，未在规定的采购文件提供期限内或未按上述方式获取采购文件的，其磋商响应均视为无效，并不得对采购文件提起质疑投诉。</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四、响应文件提交（上传）</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wordWrap/>
        <w:adjustRightInd w:val="0"/>
        <w:spacing w:line="480" w:lineRule="exact"/>
        <w:ind w:left="0" w:leftChars="0" w:right="0"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地点（网址）：慈溪市庵东镇文体中心北四楼（慈溪市庵东镇邮电东路往东）/政府采购云平台（www.zcygov.cn）</w:t>
      </w:r>
      <w:r>
        <w:rPr>
          <w:rFonts w:hint="eastAsia" w:ascii="宋体" w:hAnsi="宋体" w:cs="宋体"/>
          <w:color w:val="auto"/>
          <w:sz w:val="24"/>
          <w:highlight w:val="none"/>
        </w:rPr>
        <w:t xml:space="preserve"> </w:t>
      </w:r>
    </w:p>
    <w:p>
      <w:pPr>
        <w:wordWrap/>
        <w:adjustRightIn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wordWrap/>
        <w:adjustRightInd w:val="0"/>
        <w:spacing w:line="480" w:lineRule="exact"/>
        <w:ind w:left="0" w:leftChars="0" w:right="0" w:firstLine="482" w:firstLineChars="200"/>
        <w:jc w:val="both"/>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wordWrap/>
        <w:adjustRightInd w:val="0"/>
        <w:spacing w:line="480" w:lineRule="exact"/>
        <w:ind w:left="0" w:leftChars="0" w:right="0" w:firstLine="482" w:firstLineChars="20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地点（网址）：慈溪市庵东镇文体中心北四楼（慈溪市庵东镇邮电东路往东）/政府采购云平台（www.zcygov.cn）</w:t>
      </w:r>
      <w:r>
        <w:rPr>
          <w:rFonts w:hint="eastAsia" w:ascii="宋体" w:hAnsi="宋体" w:cs="宋体"/>
          <w:color w:val="auto"/>
          <w:sz w:val="24"/>
          <w:highlight w:val="none"/>
        </w:rPr>
        <w:t xml:space="preserve"> </w:t>
      </w:r>
    </w:p>
    <w:p>
      <w:pPr>
        <w:wordWrap/>
        <w:adjustRightIn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wordWrap/>
        <w:adjustRightIn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七、其他补充事宜</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2.其他事项：</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（2）需要落实的政府采购政策：包括节约资源、保护环境、支持创新、促进中小企业发展等。详见采购文件的第二部分总则。</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pPr>
        <w:wordWrap/>
        <w:adjustRightInd w:val="0"/>
        <w:spacing w:line="480" w:lineRule="exact"/>
        <w:ind w:left="0" w:leftChars="0" w:right="0" w:firstLine="480" w:firstLineChars="200"/>
        <w:jc w:val="both"/>
        <w:textAlignment w:val="auto"/>
        <w:outlineLvl w:val="9"/>
        <w:rPr>
          <w:color w:val="auto"/>
          <w:highlight w:val="none"/>
        </w:rPr>
      </w:pPr>
      <w:r>
        <w:rPr>
          <w:rFonts w:hint="eastAsia" w:ascii="宋体" w:hAnsi="宋体" w:cs="宋体"/>
          <w:color w:val="auto"/>
          <w:sz w:val="24"/>
          <w:highlight w:val="none"/>
        </w:rPr>
        <w:t>（4）</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5）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wordWrap/>
        <w:adjustRightInd w:val="0"/>
        <w:spacing w:line="480" w:lineRule="exact"/>
        <w:ind w:left="0" w:leftChars="0" w:right="0"/>
        <w:jc w:val="both"/>
        <w:textAlignment w:val="auto"/>
        <w:outlineLvl w:val="9"/>
        <w:rPr>
          <w:rFonts w:ascii="宋体" w:hAnsi="宋体" w:cs="宋体"/>
          <w:b/>
          <w:color w:val="auto"/>
          <w:sz w:val="24"/>
          <w:highlight w:val="none"/>
        </w:rPr>
      </w:pPr>
      <w:r>
        <w:rPr>
          <w:rFonts w:hint="eastAsia" w:ascii="宋体" w:hAnsi="宋体" w:cs="宋体"/>
          <w:snapToGrid w:val="0"/>
          <w:color w:val="auto"/>
          <w:kern w:val="28"/>
          <w:sz w:val="24"/>
          <w:szCs w:val="20"/>
          <w:highlight w:val="none"/>
        </w:rPr>
        <w:t xml:space="preserve"> </w:t>
      </w:r>
      <w:r>
        <w:rPr>
          <w:rFonts w:hint="eastAsia" w:ascii="宋体" w:hAnsi="宋体" w:cs="宋体"/>
          <w:b/>
          <w:color w:val="auto"/>
          <w:sz w:val="24"/>
          <w:highlight w:val="none"/>
        </w:rPr>
        <w:t>八、对本次采购提出询问、质疑、投诉，请按以下方式联系</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1.采购人信息</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名    称：慈溪市庵东镇人民政府 </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地    址：庵东镇邮电路427号 </w:t>
      </w:r>
    </w:p>
    <w:p>
      <w:pPr>
        <w:wordWrap/>
        <w:adjustRightInd w:val="0"/>
        <w:snapToGrid w:val="0"/>
        <w:spacing w:line="480" w:lineRule="exact"/>
        <w:ind w:left="0" w:leftChars="0" w:right="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pPr>
        <w:wordWrap/>
        <w:adjustRightInd w:val="0"/>
        <w:snapToGrid w:val="0"/>
        <w:spacing w:line="480" w:lineRule="exact"/>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项目联系人（询问）： 徐老师</w:t>
      </w:r>
    </w:p>
    <w:p>
      <w:pPr>
        <w:wordWrap/>
        <w:adjustRightInd w:val="0"/>
        <w:snapToGrid w:val="0"/>
        <w:spacing w:line="480" w:lineRule="exact"/>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 </w:t>
      </w:r>
      <w:r>
        <w:rPr>
          <w:rFonts w:hint="eastAsia" w:ascii="宋体" w:hAnsi="宋体" w:cs="宋体"/>
          <w:color w:val="auto"/>
          <w:sz w:val="24"/>
          <w:highlight w:val="none"/>
          <w:lang w:val="en-US" w:eastAsia="zh-CN"/>
        </w:rPr>
        <w:t>0574-63478242</w:t>
      </w:r>
    </w:p>
    <w:p>
      <w:pPr>
        <w:wordWrap/>
        <w:adjustRightInd w:val="0"/>
        <w:snapToGrid w:val="0"/>
        <w:spacing w:line="480" w:lineRule="exact"/>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马老师</w:t>
      </w:r>
    </w:p>
    <w:p>
      <w:pPr>
        <w:wordWrap/>
        <w:adjustRightInd w:val="0"/>
        <w:snapToGrid w:val="0"/>
        <w:spacing w:line="480" w:lineRule="exact"/>
        <w:ind w:left="0" w:leftChars="0" w:right="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质疑联系方式： </w:t>
      </w:r>
      <w:r>
        <w:rPr>
          <w:rFonts w:hint="eastAsia" w:ascii="宋体" w:hAnsi="宋体" w:cs="宋体"/>
          <w:color w:val="auto"/>
          <w:sz w:val="24"/>
          <w:highlight w:val="none"/>
          <w:lang w:val="en-US" w:eastAsia="zh-CN"/>
        </w:rPr>
        <w:t>0574-63478240</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名    称：宁波欣科工程项目管理有限公司</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地    址：慈溪市胜山镇工贸集团B座16楼</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项目联系人（询问）：周秦惠</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项目联系方式（询问）：0574-63819705</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质疑联系人：何夏锋</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质疑联系方式：0574-63819705</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wordWrap/>
        <w:adjustRightInd w:val="0"/>
        <w:spacing w:line="480" w:lineRule="exact"/>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名    称：宁波前湾新区发展和改革局</w:t>
      </w:r>
    </w:p>
    <w:p>
      <w:pPr>
        <w:wordWrap/>
        <w:adjustRightIn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地    址：宁波前湾新区兴慈一路296号</w:t>
      </w:r>
    </w:p>
    <w:p>
      <w:pPr>
        <w:wordWrap/>
        <w:adjustRightIn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传    真：/</w:t>
      </w:r>
    </w:p>
    <w:p>
      <w:pPr>
        <w:wordWrap/>
        <w:adjustRightIn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联 系 人：单老师</w:t>
      </w:r>
    </w:p>
    <w:p>
      <w:pPr>
        <w:wordWrap/>
        <w:adjustRightInd w:val="0"/>
        <w:spacing w:line="480" w:lineRule="exact"/>
        <w:ind w:left="0" w:leftChars="0" w:right="0" w:firstLine="48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监督投诉电话：0574-63471511    </w:t>
      </w:r>
    </w:p>
    <w:p>
      <w:pPr>
        <w:wordWrap/>
        <w:adjustRightInd w:val="0"/>
        <w:snapToGrid w:val="0"/>
        <w:spacing w:line="480" w:lineRule="exact"/>
        <w:ind w:left="0" w:leftChars="0" w:right="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宋体" w:hAnsi="宋体" w:eastAsia="宋体"/>
          <w:color w:val="auto"/>
          <w:sz w:val="24"/>
          <w:highlight w:val="none"/>
        </w:rPr>
        <w:t>95763</w:t>
      </w:r>
      <w:r>
        <w:rPr>
          <w:rFonts w:hint="eastAsia" w:ascii="宋体" w:hAnsi="宋体" w:cs="宋体"/>
          <w:color w:val="auto"/>
          <w:sz w:val="24"/>
          <w:highlight w:val="none"/>
        </w:rPr>
        <w:t>获取热线服务帮助。</w:t>
      </w:r>
    </w:p>
    <w:p>
      <w:pPr>
        <w:wordWrap/>
        <w:adjustRightInd w:val="0"/>
        <w:snapToGrid w:val="0"/>
        <w:spacing w:line="480" w:lineRule="exact"/>
        <w:ind w:left="0" w:leftChars="0" w:right="0" w:firstLine="480" w:firstLineChars="200"/>
        <w:jc w:val="both"/>
        <w:textAlignment w:val="auto"/>
        <w:outlineLvl w:val="9"/>
        <w:rPr>
          <w:rFonts w:ascii="宋体" w:hAnsi="宋体" w:cs="宋体"/>
          <w:color w:val="auto"/>
          <w:sz w:val="24"/>
          <w:highlight w:val="none"/>
        </w:rPr>
        <w:sectPr>
          <w:headerReference r:id="rId5" w:type="first"/>
          <w:footerReference r:id="rId8" w:type="first"/>
          <w:headerReference r:id="rId4" w:type="default"/>
          <w:footerReference r:id="rId6" w:type="default"/>
          <w:footerReference r:id="rId7"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7"/>
        <w:spacing w:line="360" w:lineRule="auto"/>
        <w:jc w:val="center"/>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4"/>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61"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061"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b/>
                <w:color w:val="auto"/>
                <w:sz w:val="24"/>
                <w:highlight w:val="none"/>
              </w:rPr>
              <w:t>采购标的及其对应的中小企业划分标准所属行业</w:t>
            </w:r>
          </w:p>
        </w:tc>
        <w:tc>
          <w:tcPr>
            <w:tcW w:w="7061" w:type="dxa"/>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color="auto"/>
                <w:lang w:eastAsia="zh-CN"/>
              </w:rPr>
              <w:t>庵东镇西三片区污水主网及接纳工程监理</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61" w:type="dxa"/>
            <w:vAlign w:val="center"/>
          </w:tcPr>
          <w:p>
            <w:pPr>
              <w:spacing w:line="360" w:lineRule="auto"/>
              <w:rPr>
                <w:rFonts w:ascii="宋体" w:hAnsi="宋体" w:cs="宋体"/>
                <w:color w:val="auto"/>
                <w:kern w:val="0"/>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061"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其他</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061" w:type="dxa"/>
            <w:vAlign w:val="center"/>
          </w:tcPr>
          <w:p>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61" w:type="dxa"/>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61" w:type="dxa"/>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10（编制时可根据项目情况进行调整）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2（编制时可根据项目情况进行调整）</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06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706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061"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61" w:type="dxa"/>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61"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061" w:type="dxa"/>
            <w:vAlign w:val="center"/>
          </w:tcPr>
          <w:p>
            <w:pPr>
              <w:pStyle w:val="37"/>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color="auto"/>
              </w:rPr>
              <w:t>慈溪市胜山镇工贸集团B座16楼</w:t>
            </w:r>
          </w:p>
          <w:p>
            <w:pPr>
              <w:pStyle w:val="37"/>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13566546564</w:t>
            </w:r>
            <w:r>
              <w:rPr>
                <w:rFonts w:hint="eastAsia" w:hAnsi="宋体" w:cs="宋体"/>
                <w:color w:val="auto"/>
                <w:sz w:val="24"/>
                <w:highlight w:val="none"/>
                <w:u w:val="single"/>
              </w:rPr>
              <w:t xml:space="preserve"> </w:t>
            </w:r>
          </w:p>
          <w:p>
            <w:pPr>
              <w:pStyle w:val="37"/>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061"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061" w:type="dxa"/>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1、本采购代理机构向成交供应商收取代理服务费人民币</w:t>
            </w:r>
            <w:r>
              <w:rPr>
                <w:rFonts w:hint="eastAsia" w:ascii="宋体" w:hAnsi="宋体" w:cs="宋体"/>
                <w:snapToGrid w:val="0"/>
                <w:color w:val="auto"/>
                <w:kern w:val="28"/>
                <w:sz w:val="24"/>
                <w:highlight w:val="none"/>
                <w:lang w:val="en-US" w:eastAsia="zh-CN"/>
              </w:rPr>
              <w:t>12</w:t>
            </w:r>
            <w:r>
              <w:rPr>
                <w:rFonts w:hint="eastAsia" w:ascii="宋体" w:hAnsi="宋体" w:cs="宋体"/>
                <w:snapToGrid w:val="0"/>
                <w:color w:val="auto"/>
                <w:kern w:val="28"/>
                <w:sz w:val="24"/>
                <w:highlight w:val="none"/>
              </w:rPr>
              <w:t>000元。</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2、成交供应商应在代理机构发出成交通知书前向本代理机构支付代理服务费。</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hint="eastAsia"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2.5“电子签名”系指数据电文中以电子形式所含、所附用于识别签名人身份并表明签名人认可其中内容的数据；“公章”系指单位法定名称章。不允许使用业务专用章。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5"/>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4.询问、质疑、投诉</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供应商质疑</w:t>
      </w:r>
    </w:p>
    <w:p>
      <w:pPr>
        <w:pStyle w:val="37"/>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7"/>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w:t>
      </w:r>
      <w:r>
        <w:rPr>
          <w:rFonts w:hAnsi="宋体" w:cs="宋体"/>
          <w:color w:val="auto"/>
          <w:kern w:val="2"/>
          <w:sz w:val="24"/>
          <w:highlight w:val="none"/>
        </w:rPr>
        <w:t>2</w:t>
      </w:r>
      <w:r>
        <w:rPr>
          <w:rFonts w:hint="eastAsia" w:hAnsi="宋体" w:cs="宋体"/>
          <w:color w:val="auto"/>
          <w:kern w:val="2"/>
          <w:sz w:val="24"/>
          <w:highlight w:val="none"/>
        </w:rPr>
        <w:t>.2.1对采购文件提出质疑的，质疑期限为供应商获得采购文件之日或者采购文件公告期限届满之日起计算。</w:t>
      </w:r>
    </w:p>
    <w:p>
      <w:pPr>
        <w:pStyle w:val="37"/>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w:t>
      </w:r>
      <w:r>
        <w:rPr>
          <w:rFonts w:hAnsi="宋体" w:cs="宋体"/>
          <w:color w:val="auto"/>
          <w:sz w:val="24"/>
          <w:highlight w:val="none"/>
        </w:rPr>
        <w:t>2</w:t>
      </w:r>
      <w:r>
        <w:rPr>
          <w:rFonts w:hint="eastAsia" w:hAnsi="宋体" w:cs="宋体"/>
          <w:color w:val="auto"/>
          <w:sz w:val="24"/>
          <w:highlight w:val="none"/>
        </w:rPr>
        <w:t>.2.2对采购过程提出质疑的，质疑期限为各采购程序环节结束之日起计算。</w:t>
      </w:r>
    </w:p>
    <w:p>
      <w:pPr>
        <w:pStyle w:val="37"/>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w:t>
      </w:r>
      <w:r>
        <w:rPr>
          <w:rFonts w:hAnsi="宋体" w:cs="宋体"/>
          <w:color w:val="auto"/>
          <w:sz w:val="24"/>
          <w:highlight w:val="none"/>
        </w:rPr>
        <w:t>2</w:t>
      </w:r>
      <w:r>
        <w:rPr>
          <w:rFonts w:hint="eastAsia" w:hAnsi="宋体" w:cs="宋体"/>
          <w:color w:val="auto"/>
          <w:sz w:val="24"/>
          <w:highlight w:val="none"/>
        </w:rPr>
        <w:t>.2.3对采购结果提出质疑的，质疑期限自采购结果公告期限届满之日起计算。</w:t>
      </w:r>
    </w:p>
    <w:p>
      <w:pPr>
        <w:pStyle w:val="37"/>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.3.1供应商的姓名或者名称、地址、邮编、联系人及联系电话；</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.3.2质疑项目的名称、编号；</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.3.3具体、明确的质疑事项和与质疑事项相关的请求；</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.3.4事实依据；</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.3.5必要的法律依据；</w:t>
      </w:r>
    </w:p>
    <w:p>
      <w:pPr>
        <w:pStyle w:val="37"/>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Ansi="宋体" w:cs="宋体"/>
          <w:color w:val="auto"/>
          <w:kern w:val="0"/>
          <w:sz w:val="24"/>
          <w:highlight w:val="none"/>
          <w:lang w:val="zh-CN"/>
        </w:rPr>
        <w:t>2</w:t>
      </w:r>
      <w:r>
        <w:rPr>
          <w:rFonts w:hint="eastAsia" w:hAnsi="宋体" w:cs="宋体"/>
          <w:color w:val="auto"/>
          <w:kern w:val="0"/>
          <w:sz w:val="24"/>
          <w:highlight w:val="none"/>
          <w:lang w:val="zh-CN"/>
        </w:rPr>
        <w:t>.3.6提出质疑的日期。</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w:t>
      </w:r>
      <w:r>
        <w:rPr>
          <w:color w:val="auto"/>
          <w:highlight w:val="none"/>
        </w:rPr>
        <w:t>2</w:t>
      </w:r>
      <w:r>
        <w:rPr>
          <w:rFonts w:hint="eastAsia"/>
          <w:color w:val="auto"/>
          <w:highlight w:val="none"/>
        </w:rPr>
        <w:t>.4对同一采购程序环节的质疑，供应商须在法定质疑期内一次性提出。</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w:t>
      </w:r>
      <w:r>
        <w:rPr>
          <w:color w:val="auto"/>
          <w:highlight w:val="none"/>
          <w:lang w:val="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w:t>
      </w:r>
      <w:r>
        <w:rPr>
          <w:color w:val="auto"/>
          <w:highlight w:val="none"/>
          <w:lang w:val="zh-CN"/>
        </w:rPr>
        <w:t>2</w:t>
      </w:r>
      <w:r>
        <w:rPr>
          <w:rFonts w:hint="eastAsia"/>
          <w:color w:val="auto"/>
          <w:highlight w:val="none"/>
        </w:rPr>
        <w:t>.6询问或者质疑事项可能影响采购结果的，采购人应当暂停签订合同，已经签订合同的，应当中止履行合同。</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w:t>
      </w:r>
      <w:r>
        <w:rPr>
          <w:color w:val="auto"/>
          <w:highlight w:val="none"/>
          <w:lang w:val="zh-CN"/>
        </w:rPr>
        <w:t>3</w:t>
      </w:r>
      <w:r>
        <w:rPr>
          <w:rFonts w:hint="eastAsia"/>
          <w:color w:val="auto"/>
          <w:highlight w:val="none"/>
          <w:lang w:val="zh-CN"/>
        </w:rPr>
        <w:t>供应商投诉</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w:t>
      </w:r>
      <w:r>
        <w:rPr>
          <w:color w:val="auto"/>
          <w:highlight w:val="none"/>
        </w:rPr>
        <w:t>3</w:t>
      </w:r>
      <w:r>
        <w:rPr>
          <w:rFonts w:hint="eastAsia"/>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w:t>
      </w:r>
      <w:r>
        <w:rPr>
          <w:color w:val="auto"/>
          <w:highlight w:val="none"/>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w:t>
      </w:r>
      <w:r>
        <w:rPr>
          <w:color w:val="auto"/>
          <w:highlight w:val="none"/>
        </w:rPr>
        <w:t>3</w:t>
      </w:r>
      <w:r>
        <w:rPr>
          <w:rFonts w:hint="eastAsia"/>
          <w:color w:val="auto"/>
          <w:highlight w:val="none"/>
        </w:rPr>
        <w:t>.3供应商投诉应当有明确的请求和必要的证明材料。</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w:t>
      </w:r>
      <w:r>
        <w:rPr>
          <w:color w:val="auto"/>
          <w:highlight w:val="none"/>
        </w:rPr>
        <w:t>3</w:t>
      </w:r>
      <w:r>
        <w:rPr>
          <w:rFonts w:hint="eastAsia"/>
          <w:color w:val="auto"/>
          <w:highlight w:val="none"/>
        </w:rPr>
        <w:t>.4以联合体形式参加政府采购活动的，其投诉应当由组成联合体的所有供应商共同提出。</w:t>
      </w:r>
    </w:p>
    <w:p>
      <w:pPr>
        <w:pStyle w:val="574"/>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88"/>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5.1.5合同样本；</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响应文件格式及附件。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21"/>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widowControl w:val="0"/>
        <w:wordWrap/>
        <w:adjustRightInd w:val="0"/>
        <w:snapToGrid w:val="0"/>
        <w:spacing w:line="312" w:lineRule="auto"/>
        <w:ind w:left="0" w:leftChars="0" w:right="0" w:firstLine="960" w:firstLineChars="4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pStyle w:val="2"/>
        <w:widowControl w:val="0"/>
        <w:wordWrap/>
        <w:adjustRightInd w:val="0"/>
        <w:spacing w:line="312" w:lineRule="auto"/>
        <w:ind w:left="0" w:leftChars="0" w:right="0"/>
        <w:jc w:val="both"/>
        <w:textAlignment w:val="auto"/>
        <w:outlineLvl w:val="9"/>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1</w:t>
      </w:r>
      <w:r>
        <w:rPr>
          <w:rFonts w:ascii="宋体" w:hAnsi="宋体" w:cs="宋体"/>
          <w:color w:val="auto"/>
          <w:sz w:val="24"/>
          <w:highlight w:val="none"/>
        </w:rPr>
        <w:t>1.1.2</w:t>
      </w:r>
      <w:r>
        <w:rPr>
          <w:rFonts w:hint="eastAsia" w:hAnsi="宋体" w:cs="宋体"/>
          <w:color w:val="auto"/>
          <w:sz w:val="24"/>
          <w:highlight w:val="none"/>
          <w:lang w:val="en-US" w:eastAsia="zh-CN"/>
        </w:rPr>
        <w:t xml:space="preserve"> 营业执照；</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15" w:name="_Hlk101259339"/>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11.2.3分包意向协议（如果有)；</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11.2.4符合性审查资料；</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11.2.6商务技术偏离表；</w:t>
      </w:r>
    </w:p>
    <w:p>
      <w:pPr>
        <w:widowControl w:val="0"/>
        <w:wordWrap/>
        <w:adjustRightInd w:val="0"/>
        <w:snapToGrid w:val="0"/>
        <w:spacing w:line="312" w:lineRule="auto"/>
        <w:ind w:left="0" w:leftChars="0" w:right="0" w:firstLine="960" w:firstLineChars="4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88"/>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8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8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8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7"/>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7"/>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或U盘</w:t>
      </w:r>
      <w:r>
        <w:rPr>
          <w:rFonts w:hint="eastAsia" w:hAnsi="宋体" w:cs="宋体"/>
          <w:color w:val="auto"/>
          <w:sz w:val="24"/>
          <w:highlight w:val="none"/>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7"/>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9"/>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88"/>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88"/>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88"/>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242"/>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242"/>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242"/>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242"/>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242"/>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88"/>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9"/>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采购单位应当自收到评审报告之日起2个工作日内确定中标或者成交供应商。中标、成交通知书和中标、成交结果公告应当在规定时间内同时发出。</w:t>
      </w:r>
    </w:p>
    <w:p>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9"/>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合同主要条款详见第五部分合同样本。</w:t>
      </w:r>
    </w:p>
    <w:p>
      <w:pPr>
        <w:pStyle w:val="29"/>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除不可抗力等特殊情况外，原则上应当在成交通知书发出之日起10个工作日内，与成交供应商按照采购文件确定的事项签订政府采购合同。</w:t>
      </w:r>
    </w:p>
    <w:p>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29"/>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eastAsia="宋体"/>
          <w:color w:val="auto"/>
          <w:sz w:val="24"/>
          <w:highlight w:val="none"/>
          <w:lang w:val="en-US"/>
        </w:rPr>
      </w:pPr>
      <w:r>
        <w:rPr>
          <w:rFonts w:hint="eastAsia" w:ascii="宋体" w:hAnsi="宋体" w:cs="宋体"/>
          <w:color w:val="auto"/>
          <w:kern w:val="0"/>
          <w:sz w:val="24"/>
          <w:highlight w:val="none"/>
        </w:rPr>
        <w:t>合同样本如要求成交供应商提交履约保证金的，供应商应当以支票、汇票、本票或者金融机构、担保机构出具的保函等非现金形式提交</w:t>
      </w:r>
      <w:r>
        <w:rPr>
          <w:rFonts w:hint="eastAsia" w:ascii="宋体" w:hAnsi="宋体" w:cs="宋体"/>
          <w:color w:val="auto"/>
          <w:sz w:val="24"/>
          <w:highlight w:val="none"/>
        </w:rPr>
        <w:t>，且履约保证金缴纳最高比例由不超过合同金额的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leftChars="0" w:firstLine="0" w:firstLineChars="0"/>
        <w:rPr>
          <w:rFonts w:hint="eastAsia" w:ascii="宋体" w:hAnsi="宋体"/>
          <w:color w:val="auto"/>
          <w:sz w:val="24"/>
          <w:highlight w:val="none"/>
        </w:rPr>
      </w:pPr>
      <w:r>
        <w:rPr>
          <w:rFonts w:ascii="宋体" w:hAnsi="宋体" w:eastAsia="宋体"/>
          <w:color w:val="auto"/>
          <w:sz w:val="24"/>
          <w:highlight w:val="none"/>
          <w:lang w:val="en-US"/>
        </w:rPr>
        <w:t>27.预付款</w:t>
      </w:r>
    </w:p>
    <w:p>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库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8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9"/>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pStyle w:val="81"/>
        <w:rPr>
          <w:color w:val="auto"/>
          <w:highlight w:val="none"/>
        </w:rPr>
        <w:sectPr>
          <w:pgSz w:w="11906" w:h="16838"/>
          <w:pgMar w:top="1440" w:right="1080" w:bottom="1440" w:left="1080" w:header="851" w:footer="992" w:gutter="0"/>
          <w:cols w:space="720" w:num="1"/>
          <w:titlePg/>
          <w:docGrid w:linePitch="312" w:charSpace="0"/>
        </w:sectPr>
      </w:pPr>
      <w:bookmarkStart w:id="18" w:name="_Hlt74714665"/>
      <w:bookmarkEnd w:id="18"/>
      <w:bookmarkStart w:id="19" w:name="_Hlt68072990"/>
      <w:bookmarkEnd w:id="19"/>
      <w:bookmarkStart w:id="20" w:name="_Hlt68057669"/>
      <w:bookmarkEnd w:id="20"/>
      <w:bookmarkStart w:id="21" w:name="_Hlt74729768"/>
      <w:bookmarkEnd w:id="21"/>
      <w:bookmarkStart w:id="22" w:name="_Hlt68403820"/>
      <w:bookmarkEnd w:id="22"/>
      <w:bookmarkStart w:id="23" w:name="_Hlt68072998"/>
      <w:bookmarkEnd w:id="23"/>
      <w:bookmarkStart w:id="24" w:name="_Hlt75236290"/>
      <w:bookmarkEnd w:id="24"/>
      <w:bookmarkStart w:id="25" w:name="_Hlt68073093"/>
      <w:bookmarkEnd w:id="25"/>
      <w:bookmarkStart w:id="26" w:name="_Hlt75236011"/>
      <w:bookmarkEnd w:id="26"/>
      <w:bookmarkStart w:id="27" w:name="_Hlt75236101"/>
      <w:bookmarkEnd w:id="27"/>
      <w:bookmarkStart w:id="28" w:name="_Hlt74730295"/>
      <w:bookmarkEnd w:id="28"/>
      <w:bookmarkStart w:id="29" w:name="_Hlt74707468"/>
      <w:bookmarkEnd w:id="29"/>
    </w:p>
    <w:bookmarkEnd w:id="12"/>
    <w:bookmarkEnd w:id="13"/>
    <w:p>
      <w:pPr>
        <w:pStyle w:val="37"/>
        <w:spacing w:line="360" w:lineRule="auto"/>
        <w:jc w:val="center"/>
        <w:rPr>
          <w:rFonts w:hAnsi="宋体" w:cs="宋体"/>
          <w:b/>
          <w:color w:val="auto"/>
          <w:sz w:val="36"/>
          <w:szCs w:val="20"/>
          <w:highlight w:val="none"/>
        </w:rPr>
      </w:pPr>
      <w:bookmarkStart w:id="30" w:name="第四部分"/>
      <w:r>
        <w:rPr>
          <w:rFonts w:hint="eastAsia" w:hAnsi="宋体" w:cs="宋体"/>
          <w:b/>
          <w:color w:val="auto"/>
          <w:sz w:val="36"/>
          <w:szCs w:val="20"/>
          <w:highlight w:val="none"/>
        </w:rPr>
        <w:t>第三部分 采购需求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本工程为庵东镇西三片区污水主网及接纳工程，污水主管铺设范围西起双潭公路周巷界，沿双潭公路、农垦路、村道、小陈家路、中心江南侧道路、海湾路、中心横路、断头湾路和渚湾路，向东讫于周庵公路。建设内容包括：污水工程、雨水工程</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路面修复</w:t>
      </w:r>
      <w:r>
        <w:rPr>
          <w:rFonts w:hint="eastAsia" w:ascii="宋体" w:hAnsi="宋体"/>
          <w:color w:val="auto"/>
          <w:sz w:val="24"/>
          <w:highlight w:val="none"/>
          <w:u w:val="single"/>
        </w:rPr>
        <w:t>等</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建安费6128.01万元</w:t>
      </w:r>
      <w:r>
        <w:rPr>
          <w:rFonts w:hint="eastAsia" w:ascii="宋体" w:hAnsi="宋体"/>
          <w:color w:val="auto"/>
          <w:sz w:val="24"/>
          <w:highlight w:val="none"/>
          <w:u w:val="single"/>
        </w:rPr>
        <w:t>。</w:t>
      </w:r>
    </w:p>
    <w:p>
      <w:pPr>
        <w:pStyle w:val="624"/>
        <w:spacing w:line="360" w:lineRule="auto"/>
        <w:ind w:left="0" w:leftChars="0" w:firstLine="0" w:firstLineChars="0"/>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二、采购范围：</w:t>
      </w:r>
      <w:r>
        <w:rPr>
          <w:rFonts w:hint="eastAsia" w:ascii="宋体" w:hAnsi="宋体" w:eastAsia="宋体" w:cs="Times New Roman"/>
          <w:color w:val="auto"/>
          <w:kern w:val="2"/>
          <w:sz w:val="24"/>
          <w:szCs w:val="24"/>
          <w:highlight w:val="none"/>
          <w:u w:val="single"/>
          <w:lang w:val="en-US" w:eastAsia="zh-CN" w:bidi="ar-SA"/>
        </w:rPr>
        <w:t>庵东镇西三片区污水主网及接纳工程的全过程和缺陷责任期的监理。</w:t>
      </w:r>
    </w:p>
    <w:p>
      <w:pPr>
        <w:pStyle w:val="31"/>
        <w:spacing w:line="360" w:lineRule="auto"/>
        <w:ind w:left="0" w:leftChars="0" w:firstLine="0" w:firstLineChars="0"/>
        <w:rPr>
          <w:rFonts w:hint="eastAsia" w:ascii="宋体" w:hAnsi="宋体" w:cs="Arial"/>
          <w:sz w:val="21"/>
          <w:szCs w:val="21"/>
        </w:rPr>
      </w:pPr>
      <w:r>
        <w:rPr>
          <w:rFonts w:hint="eastAsia" w:ascii="宋体" w:hAnsi="宋体" w:cs="宋体"/>
          <w:color w:val="auto"/>
          <w:kern w:val="0"/>
          <w:sz w:val="24"/>
          <w:highlight w:val="none"/>
        </w:rPr>
        <w:t>▲</w:t>
      </w:r>
      <w:r>
        <w:rPr>
          <w:rFonts w:hint="eastAsia" w:ascii="宋体" w:hAnsi="宋体" w:eastAsia="宋体" w:cs="仿宋_GB2312"/>
          <w:b/>
          <w:bCs/>
          <w:color w:val="auto"/>
          <w:kern w:val="2"/>
          <w:sz w:val="24"/>
          <w:szCs w:val="24"/>
          <w:highlight w:val="none"/>
          <w:lang w:val="en-US" w:eastAsia="zh-CN" w:bidi="ar-SA"/>
        </w:rPr>
        <w:t>三、合同履约期限：</w:t>
      </w:r>
      <w:r>
        <w:rPr>
          <w:rFonts w:hint="eastAsia" w:ascii="宋体" w:hAnsi="宋体" w:eastAsia="宋体" w:cs="Times New Roman"/>
          <w:color w:val="auto"/>
          <w:kern w:val="2"/>
          <w:sz w:val="24"/>
          <w:szCs w:val="24"/>
          <w:highlight w:val="none"/>
          <w:u w:val="single"/>
          <w:lang w:val="en-US" w:eastAsia="zh-CN" w:bidi="ar-SA"/>
        </w:rPr>
        <w:t>自合同签订之日起至本项目缺陷责任期满止。</w:t>
      </w:r>
    </w:p>
    <w:p>
      <w:pPr>
        <w:pStyle w:val="31"/>
        <w:spacing w:line="360" w:lineRule="auto"/>
        <w:ind w:left="0" w:leftChars="0" w:firstLine="0" w:firstLineChars="0"/>
        <w:rPr>
          <w:rFonts w:hint="eastAsia" w:ascii="宋体" w:hAnsi="宋体" w:cs="Arial"/>
          <w:color w:val="000000"/>
          <w:sz w:val="21"/>
          <w:szCs w:val="21"/>
        </w:rPr>
      </w:pPr>
      <w:r>
        <w:rPr>
          <w:rFonts w:hint="eastAsia" w:ascii="宋体" w:hAnsi="宋体" w:cs="宋体"/>
          <w:color w:val="auto"/>
          <w:kern w:val="0"/>
          <w:sz w:val="24"/>
          <w:highlight w:val="none"/>
        </w:rPr>
        <w:t>▲</w:t>
      </w:r>
      <w:r>
        <w:rPr>
          <w:rFonts w:hint="eastAsia" w:ascii="宋体" w:hAnsi="宋体" w:eastAsia="宋体" w:cs="仿宋_GB2312"/>
          <w:b/>
          <w:bCs/>
          <w:color w:val="auto"/>
          <w:kern w:val="2"/>
          <w:sz w:val="24"/>
          <w:szCs w:val="24"/>
          <w:highlight w:val="none"/>
          <w:lang w:val="en-US" w:eastAsia="zh-CN" w:bidi="ar-SA"/>
        </w:rPr>
        <w:t>四、质量要求：</w:t>
      </w:r>
      <w:r>
        <w:rPr>
          <w:rFonts w:hint="eastAsia" w:ascii="宋体" w:hAnsi="宋体" w:eastAsia="宋体" w:cs="Times New Roman"/>
          <w:color w:val="auto"/>
          <w:kern w:val="2"/>
          <w:sz w:val="24"/>
          <w:szCs w:val="24"/>
          <w:highlight w:val="none"/>
          <w:u w:val="single"/>
          <w:lang w:val="en-US" w:eastAsia="zh-CN" w:bidi="ar-SA"/>
        </w:rPr>
        <w:t>同施工质量要求。</w:t>
      </w:r>
    </w:p>
    <w:p>
      <w:pPr>
        <w:pStyle w:val="31"/>
        <w:spacing w:line="360" w:lineRule="auto"/>
        <w:ind w:left="0" w:leftChars="0" w:firstLine="0" w:firstLineChars="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cs="宋体"/>
          <w:color w:val="auto"/>
          <w:kern w:val="0"/>
          <w:sz w:val="24"/>
          <w:highlight w:val="none"/>
        </w:rPr>
        <w:t>▲</w:t>
      </w:r>
      <w:r>
        <w:rPr>
          <w:rFonts w:hint="eastAsia" w:ascii="宋体" w:hAnsi="宋体" w:eastAsia="宋体" w:cs="仿宋_GB2312"/>
          <w:b/>
          <w:bCs/>
          <w:color w:val="auto"/>
          <w:kern w:val="2"/>
          <w:sz w:val="24"/>
          <w:szCs w:val="24"/>
          <w:highlight w:val="none"/>
          <w:lang w:val="en-US" w:eastAsia="zh-CN" w:bidi="ar-SA"/>
        </w:rPr>
        <w:t>五、安全控制目标：</w:t>
      </w:r>
      <w:r>
        <w:rPr>
          <w:rFonts w:hint="eastAsia" w:ascii="宋体" w:hAnsi="宋体" w:eastAsia="宋体" w:cs="Times New Roman"/>
          <w:color w:val="auto"/>
          <w:kern w:val="2"/>
          <w:sz w:val="24"/>
          <w:szCs w:val="24"/>
          <w:highlight w:val="none"/>
          <w:u w:val="single"/>
          <w:lang w:val="en-US" w:eastAsia="zh-CN" w:bidi="ar-SA"/>
        </w:rPr>
        <w:t>同施工安全要求。</w:t>
      </w:r>
    </w:p>
    <w:p>
      <w:pPr>
        <w:adjustRightInd w:val="0"/>
        <w:snapToGrid w:val="0"/>
        <w:spacing w:line="360" w:lineRule="auto"/>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仿宋_GB2312"/>
          <w:b/>
          <w:bCs/>
          <w:color w:val="auto"/>
          <w:kern w:val="2"/>
          <w:sz w:val="24"/>
          <w:szCs w:val="24"/>
          <w:highlight w:val="none"/>
          <w:lang w:val="en-US" w:eastAsia="zh-CN" w:bidi="ar-SA"/>
        </w:rPr>
        <w:t>六、监理的范围和具体内容</w:t>
      </w:r>
    </w:p>
    <w:p>
      <w:pPr>
        <w:adjustRightInd w:val="0"/>
        <w:snapToGrid w:val="0"/>
        <w:spacing w:line="360" w:lineRule="auto"/>
        <w:ind w:firstLine="420" w:firstLineChars="200"/>
        <w:rPr>
          <w:rFonts w:ascii="宋体" w:hAnsi="宋体" w:cs="Arial"/>
          <w:sz w:val="24"/>
          <w:szCs w:val="24"/>
        </w:rPr>
      </w:pPr>
      <w:r>
        <w:rPr>
          <w:rFonts w:hint="eastAsia" w:ascii="宋体" w:hAnsi="宋体" w:cs="Arial"/>
          <w:sz w:val="24"/>
          <w:szCs w:val="24"/>
        </w:rPr>
        <w:t>（</w:t>
      </w:r>
      <w:r>
        <w:rPr>
          <w:rFonts w:hint="eastAsia" w:ascii="宋体" w:hAnsi="宋体" w:cs="Arial"/>
          <w:sz w:val="24"/>
          <w:szCs w:val="24"/>
          <w:lang w:val="en-US" w:eastAsia="zh-CN"/>
        </w:rPr>
        <w:t>一</w:t>
      </w:r>
      <w:r>
        <w:rPr>
          <w:rFonts w:ascii="宋体" w:hAnsi="宋体" w:cs="Arial"/>
          <w:sz w:val="24"/>
          <w:szCs w:val="24"/>
        </w:rPr>
        <w:t>）监理范围包括：</w:t>
      </w:r>
      <w:r>
        <w:rPr>
          <w:rFonts w:hint="eastAsia" w:ascii="宋体" w:hAnsi="宋体" w:cs="Arial"/>
          <w:bCs/>
          <w:sz w:val="24"/>
          <w:szCs w:val="24"/>
        </w:rPr>
        <w:t>本项目的施工全过程监理及</w:t>
      </w:r>
      <w:r>
        <w:rPr>
          <w:rFonts w:hint="eastAsia" w:ascii="宋体" w:hAnsi="宋体"/>
          <w:bCs/>
          <w:sz w:val="24"/>
        </w:rPr>
        <w:t>缺陷责任期</w:t>
      </w:r>
      <w:r>
        <w:rPr>
          <w:rFonts w:hint="eastAsia" w:ascii="宋体" w:hAnsi="宋体" w:cs="Arial"/>
          <w:bCs/>
          <w:sz w:val="24"/>
          <w:szCs w:val="24"/>
          <w:lang w:eastAsia="zh-CN"/>
        </w:rPr>
        <w:t>的</w:t>
      </w:r>
      <w:r>
        <w:rPr>
          <w:rFonts w:hint="eastAsia" w:ascii="宋体" w:hAnsi="宋体" w:cs="Arial"/>
          <w:bCs/>
          <w:sz w:val="24"/>
          <w:szCs w:val="24"/>
        </w:rPr>
        <w:t>监理。监理工作内容包括施工阶段工程质量、进度、投资控制，合同管理，信息管理，组织协调，安全、文明施工监理，环境保护监理等</w:t>
      </w:r>
      <w:r>
        <w:rPr>
          <w:rFonts w:ascii="宋体" w:hAnsi="宋体" w:cs="Arial"/>
          <w:sz w:val="24"/>
          <w:szCs w:val="24"/>
        </w:rPr>
        <w:t>。</w:t>
      </w:r>
      <w:r>
        <w:rPr>
          <w:rFonts w:hint="eastAsia" w:ascii="宋体" w:hAnsi="宋体" w:cs="Arial"/>
          <w:sz w:val="24"/>
          <w:szCs w:val="24"/>
          <w:lang w:val="en-US" w:eastAsia="zh-CN"/>
        </w:rPr>
        <w:t xml:space="preserve"> </w:t>
      </w:r>
    </w:p>
    <w:p>
      <w:pPr>
        <w:adjustRightInd w:val="0"/>
        <w:snapToGrid w:val="0"/>
        <w:spacing w:line="360" w:lineRule="auto"/>
        <w:ind w:firstLine="420" w:firstLineChars="200"/>
        <w:rPr>
          <w:rFonts w:ascii="宋体" w:hAnsi="宋体" w:cs="Arial"/>
          <w:sz w:val="24"/>
          <w:szCs w:val="24"/>
        </w:rPr>
      </w:pPr>
      <w:r>
        <w:rPr>
          <w:rFonts w:hint="eastAsia" w:ascii="宋体" w:hAnsi="宋体" w:cs="Arial"/>
          <w:sz w:val="24"/>
          <w:szCs w:val="24"/>
        </w:rPr>
        <w:t>（</w:t>
      </w:r>
      <w:r>
        <w:rPr>
          <w:rFonts w:hint="eastAsia" w:ascii="宋体" w:hAnsi="宋体" w:cs="Arial"/>
          <w:sz w:val="24"/>
          <w:szCs w:val="24"/>
          <w:lang w:val="en-US" w:eastAsia="zh-CN"/>
        </w:rPr>
        <w:t>二</w:t>
      </w:r>
      <w:r>
        <w:rPr>
          <w:rFonts w:ascii="宋体" w:hAnsi="宋体" w:cs="Arial"/>
          <w:sz w:val="24"/>
          <w:szCs w:val="24"/>
        </w:rPr>
        <w:t>）监理工作具体内容包括：</w:t>
      </w:r>
    </w:p>
    <w:p>
      <w:pPr>
        <w:spacing w:line="360" w:lineRule="auto"/>
        <w:ind w:firstLine="420" w:firstLineChars="200"/>
        <w:jc w:val="left"/>
        <w:rPr>
          <w:rFonts w:hint="eastAsia" w:ascii="宋体" w:hAnsi="宋体"/>
          <w:sz w:val="24"/>
          <w:szCs w:val="24"/>
        </w:rPr>
      </w:pPr>
      <w:r>
        <w:rPr>
          <w:rFonts w:hint="eastAsia" w:ascii="宋体" w:hAnsi="宋体"/>
          <w:sz w:val="24"/>
          <w:szCs w:val="24"/>
        </w:rPr>
        <w:t>（1）收到工程设计文件后编制监理规划，并在第一次工地会议7天前报委托人。根据有关规定和监理工作需要，编制监理实施细则；</w:t>
      </w:r>
    </w:p>
    <w:p>
      <w:pPr>
        <w:spacing w:line="360" w:lineRule="auto"/>
        <w:ind w:firstLine="420" w:firstLineChars="200"/>
        <w:jc w:val="left"/>
        <w:rPr>
          <w:rFonts w:hint="eastAsia" w:ascii="宋体" w:hAnsi="宋体"/>
          <w:sz w:val="24"/>
          <w:szCs w:val="24"/>
        </w:rPr>
      </w:pPr>
      <w:r>
        <w:rPr>
          <w:rFonts w:hint="eastAsia" w:ascii="宋体" w:hAnsi="宋体"/>
          <w:sz w:val="24"/>
          <w:szCs w:val="24"/>
        </w:rPr>
        <w:t>（2）熟悉工程设计文件，并参加由委托人主持的图纸会审和设计交底会议；</w:t>
      </w:r>
    </w:p>
    <w:p>
      <w:pPr>
        <w:spacing w:line="360" w:lineRule="auto"/>
        <w:ind w:firstLine="420" w:firstLineChars="200"/>
        <w:jc w:val="left"/>
        <w:rPr>
          <w:rFonts w:hint="eastAsia" w:ascii="宋体" w:hAnsi="宋体"/>
          <w:sz w:val="24"/>
          <w:szCs w:val="24"/>
        </w:rPr>
      </w:pPr>
      <w:r>
        <w:rPr>
          <w:rFonts w:hint="eastAsia" w:ascii="宋体" w:hAnsi="宋体"/>
          <w:sz w:val="24"/>
          <w:szCs w:val="24"/>
        </w:rPr>
        <w:t>（3）参加由委托人主持的第一次工地会议；主持监理例会并根据工程需要主持或参加专题会议；</w:t>
      </w:r>
    </w:p>
    <w:p>
      <w:pPr>
        <w:spacing w:line="360" w:lineRule="auto"/>
        <w:ind w:firstLine="420" w:firstLineChars="200"/>
        <w:jc w:val="left"/>
        <w:rPr>
          <w:rFonts w:hint="eastAsia" w:ascii="宋体" w:hAnsi="宋体"/>
          <w:sz w:val="24"/>
          <w:szCs w:val="24"/>
        </w:rPr>
      </w:pPr>
      <w:r>
        <w:rPr>
          <w:rFonts w:hint="eastAsia" w:ascii="宋体" w:hAnsi="宋体"/>
          <w:sz w:val="24"/>
          <w:szCs w:val="24"/>
        </w:rPr>
        <w:t>（4）审查施工承包人提交的施工组织设计，重点审查其中的质量安全技术措施、专项施工方案与工程建设强制性标准的符合性；还应对施工承包人在施工过程中采取的环境保护措施和施工安全、文明措施加强监督和管理；</w:t>
      </w:r>
    </w:p>
    <w:p>
      <w:pPr>
        <w:spacing w:line="360" w:lineRule="auto"/>
        <w:ind w:firstLine="420" w:firstLineChars="200"/>
        <w:jc w:val="left"/>
        <w:rPr>
          <w:rFonts w:hint="eastAsia" w:ascii="宋体" w:hAnsi="宋体"/>
          <w:sz w:val="24"/>
          <w:szCs w:val="24"/>
        </w:rPr>
      </w:pPr>
      <w:r>
        <w:rPr>
          <w:rFonts w:hint="eastAsia" w:ascii="宋体" w:hAnsi="宋体"/>
          <w:sz w:val="24"/>
          <w:szCs w:val="24"/>
        </w:rPr>
        <w:t xml:space="preserve">（5）检查施工承包人工程质量、安全生产管理制度及组织机构和人员资格，包括特殊作业人员上岗证件； </w:t>
      </w:r>
    </w:p>
    <w:p>
      <w:pPr>
        <w:spacing w:line="360" w:lineRule="auto"/>
        <w:ind w:firstLine="420" w:firstLineChars="200"/>
        <w:jc w:val="left"/>
        <w:rPr>
          <w:rFonts w:hint="eastAsia" w:ascii="宋体" w:hAnsi="宋体"/>
          <w:sz w:val="24"/>
          <w:szCs w:val="24"/>
        </w:rPr>
      </w:pPr>
      <w:r>
        <w:rPr>
          <w:rFonts w:hint="eastAsia" w:ascii="宋体" w:hAnsi="宋体"/>
          <w:sz w:val="24"/>
          <w:szCs w:val="24"/>
        </w:rPr>
        <w:t>（6）检查施工承包人专职安全生产管理人员的配备情况；</w:t>
      </w:r>
    </w:p>
    <w:p>
      <w:pPr>
        <w:spacing w:line="360" w:lineRule="auto"/>
        <w:ind w:firstLine="420" w:firstLineChars="200"/>
        <w:jc w:val="left"/>
        <w:rPr>
          <w:rFonts w:hint="eastAsia" w:ascii="宋体" w:hAnsi="宋体"/>
          <w:sz w:val="24"/>
          <w:szCs w:val="24"/>
        </w:rPr>
      </w:pPr>
      <w:r>
        <w:rPr>
          <w:rFonts w:hint="eastAsia" w:ascii="宋体" w:hAnsi="宋体"/>
          <w:sz w:val="24"/>
          <w:szCs w:val="24"/>
        </w:rPr>
        <w:t>（7）审查施工承包人提交的施工进度计划，核查承包人对施工进度计划的调整；</w:t>
      </w:r>
    </w:p>
    <w:p>
      <w:pPr>
        <w:spacing w:line="360" w:lineRule="auto"/>
        <w:ind w:firstLine="420" w:firstLineChars="200"/>
        <w:jc w:val="left"/>
        <w:rPr>
          <w:rFonts w:hint="eastAsia" w:ascii="宋体" w:hAnsi="宋体"/>
          <w:sz w:val="24"/>
          <w:szCs w:val="24"/>
        </w:rPr>
      </w:pPr>
      <w:r>
        <w:rPr>
          <w:rFonts w:hint="eastAsia" w:ascii="宋体" w:hAnsi="宋体"/>
          <w:sz w:val="24"/>
          <w:szCs w:val="24"/>
        </w:rPr>
        <w:t>（8）检查施工承包人的试验室；</w:t>
      </w:r>
    </w:p>
    <w:p>
      <w:pPr>
        <w:spacing w:line="360" w:lineRule="auto"/>
        <w:ind w:firstLine="420" w:firstLineChars="200"/>
        <w:jc w:val="left"/>
        <w:rPr>
          <w:rFonts w:hint="eastAsia" w:ascii="宋体" w:hAnsi="宋体"/>
          <w:sz w:val="24"/>
          <w:szCs w:val="24"/>
        </w:rPr>
      </w:pPr>
      <w:r>
        <w:rPr>
          <w:rFonts w:hint="eastAsia" w:ascii="宋体" w:hAnsi="宋体"/>
          <w:sz w:val="24"/>
          <w:szCs w:val="24"/>
        </w:rPr>
        <w:t>（9）审核施工分包人资质条件；</w:t>
      </w:r>
    </w:p>
    <w:p>
      <w:pPr>
        <w:spacing w:line="360" w:lineRule="auto"/>
        <w:ind w:firstLine="420" w:firstLineChars="200"/>
        <w:jc w:val="left"/>
        <w:rPr>
          <w:rFonts w:hint="eastAsia" w:ascii="宋体" w:hAnsi="宋体"/>
          <w:sz w:val="24"/>
          <w:szCs w:val="24"/>
        </w:rPr>
      </w:pPr>
      <w:r>
        <w:rPr>
          <w:rFonts w:hint="eastAsia" w:ascii="宋体" w:hAnsi="宋体"/>
          <w:sz w:val="24"/>
          <w:szCs w:val="24"/>
        </w:rPr>
        <w:t>（10）查验施工承包人的施工测量放线成果；</w:t>
      </w:r>
    </w:p>
    <w:p>
      <w:pPr>
        <w:spacing w:line="360" w:lineRule="auto"/>
        <w:ind w:firstLine="420" w:firstLineChars="200"/>
        <w:jc w:val="left"/>
        <w:rPr>
          <w:rFonts w:hint="eastAsia" w:ascii="宋体" w:hAnsi="宋体"/>
          <w:sz w:val="24"/>
          <w:szCs w:val="24"/>
        </w:rPr>
      </w:pPr>
      <w:r>
        <w:rPr>
          <w:rFonts w:hint="eastAsia" w:ascii="宋体" w:hAnsi="宋体"/>
          <w:sz w:val="24"/>
          <w:szCs w:val="24"/>
        </w:rPr>
        <w:t>（11）审查工程开工条件，对条件具备的签发开工令；</w:t>
      </w:r>
    </w:p>
    <w:p>
      <w:pPr>
        <w:spacing w:line="360" w:lineRule="auto"/>
        <w:ind w:firstLine="420" w:firstLineChars="200"/>
        <w:jc w:val="left"/>
        <w:rPr>
          <w:rFonts w:hint="eastAsia" w:ascii="宋体" w:hAnsi="宋体"/>
          <w:sz w:val="24"/>
          <w:szCs w:val="24"/>
        </w:rPr>
      </w:pPr>
      <w:r>
        <w:rPr>
          <w:rFonts w:hint="eastAsia" w:ascii="宋体" w:hAnsi="宋体"/>
          <w:sz w:val="24"/>
          <w:szCs w:val="24"/>
        </w:rPr>
        <w:t>（12）审查施工承包人报送的工程材料、构配件、设备质量证明文件的有效性和符合性，并按规定对用于工程的材料采取平行检验或见证取样方式进行抽检；审查施工承包人拟用于本工程的机械设备的性能与数量；</w:t>
      </w:r>
    </w:p>
    <w:p>
      <w:pPr>
        <w:spacing w:line="360" w:lineRule="auto"/>
        <w:ind w:firstLine="420" w:firstLineChars="200"/>
        <w:jc w:val="left"/>
        <w:rPr>
          <w:rFonts w:hint="eastAsia" w:ascii="宋体" w:hAnsi="宋体"/>
          <w:sz w:val="24"/>
          <w:szCs w:val="24"/>
        </w:rPr>
      </w:pPr>
      <w:r>
        <w:rPr>
          <w:rFonts w:hint="eastAsia" w:ascii="宋体" w:hAnsi="宋体"/>
          <w:sz w:val="24"/>
          <w:szCs w:val="24"/>
        </w:rPr>
        <w:t>（13）审核施工承包人提交的工程款支付申请，签发或出具工程款支付证书，并报委托人审核、批准；</w:t>
      </w:r>
    </w:p>
    <w:p>
      <w:pPr>
        <w:spacing w:line="360" w:lineRule="auto"/>
        <w:ind w:firstLine="420" w:firstLineChars="200"/>
        <w:jc w:val="left"/>
        <w:rPr>
          <w:rFonts w:hint="eastAsia" w:ascii="宋体" w:hAnsi="宋体"/>
          <w:sz w:val="24"/>
          <w:szCs w:val="24"/>
        </w:rPr>
      </w:pPr>
      <w:r>
        <w:rPr>
          <w:rFonts w:hint="eastAsia" w:ascii="宋体" w:hAnsi="宋体"/>
          <w:sz w:val="24"/>
          <w:szCs w:val="24"/>
        </w:rPr>
        <w:t>（14）在巡视、旁站和检验过程中，发现工程质量、施工安全存在事故隐患的，要求施工承包人整改并报委托人；</w:t>
      </w:r>
    </w:p>
    <w:p>
      <w:pPr>
        <w:spacing w:line="360" w:lineRule="auto"/>
        <w:ind w:firstLine="420" w:firstLineChars="200"/>
        <w:jc w:val="left"/>
        <w:rPr>
          <w:rFonts w:hint="eastAsia" w:ascii="宋体" w:hAnsi="宋体"/>
          <w:sz w:val="24"/>
          <w:szCs w:val="24"/>
        </w:rPr>
      </w:pPr>
      <w:r>
        <w:rPr>
          <w:rFonts w:hint="eastAsia" w:ascii="宋体" w:hAnsi="宋体"/>
          <w:sz w:val="24"/>
          <w:szCs w:val="24"/>
        </w:rPr>
        <w:t>（15）经委托人同意，签发工程暂停令和复工令；</w:t>
      </w:r>
    </w:p>
    <w:p>
      <w:pPr>
        <w:spacing w:line="360" w:lineRule="auto"/>
        <w:ind w:firstLine="420" w:firstLineChars="200"/>
        <w:jc w:val="left"/>
        <w:rPr>
          <w:rFonts w:hint="eastAsia" w:ascii="宋体" w:hAnsi="宋体"/>
          <w:sz w:val="24"/>
          <w:szCs w:val="24"/>
        </w:rPr>
      </w:pPr>
      <w:r>
        <w:rPr>
          <w:rFonts w:hint="eastAsia" w:ascii="宋体" w:hAnsi="宋体"/>
          <w:sz w:val="24"/>
          <w:szCs w:val="24"/>
        </w:rPr>
        <w:t>（16）审查施工承包人提交的采用新材料、新工艺、新技术、新设备的论证材料及相关验收标准；</w:t>
      </w:r>
    </w:p>
    <w:p>
      <w:pPr>
        <w:spacing w:line="360" w:lineRule="auto"/>
        <w:ind w:firstLine="420" w:firstLineChars="200"/>
        <w:jc w:val="left"/>
        <w:rPr>
          <w:rFonts w:hint="eastAsia" w:ascii="宋体" w:hAnsi="宋体"/>
          <w:sz w:val="24"/>
          <w:szCs w:val="24"/>
        </w:rPr>
      </w:pPr>
      <w:r>
        <w:rPr>
          <w:rFonts w:hint="eastAsia" w:ascii="宋体" w:hAnsi="宋体"/>
          <w:sz w:val="24"/>
          <w:szCs w:val="24"/>
        </w:rPr>
        <w:t>（17）验收隐蔽工程、分部分项工程；</w:t>
      </w:r>
    </w:p>
    <w:p>
      <w:pPr>
        <w:spacing w:line="360" w:lineRule="auto"/>
        <w:ind w:firstLine="420" w:firstLineChars="200"/>
        <w:jc w:val="left"/>
        <w:rPr>
          <w:rFonts w:hint="eastAsia" w:ascii="宋体" w:hAnsi="宋体"/>
          <w:sz w:val="24"/>
          <w:szCs w:val="24"/>
        </w:rPr>
      </w:pPr>
      <w:r>
        <w:rPr>
          <w:rFonts w:hint="eastAsia" w:ascii="宋体" w:hAnsi="宋体"/>
          <w:sz w:val="24"/>
          <w:szCs w:val="24"/>
        </w:rPr>
        <w:t>（18）审查施工承包人提交的工程变更申请，协调处理施工进度调整、费用索赔、合同争议等事项；</w:t>
      </w:r>
    </w:p>
    <w:p>
      <w:pPr>
        <w:spacing w:line="360" w:lineRule="auto"/>
        <w:ind w:firstLine="420" w:firstLineChars="200"/>
        <w:jc w:val="left"/>
        <w:rPr>
          <w:rFonts w:hint="eastAsia" w:ascii="宋体" w:hAnsi="宋体"/>
          <w:sz w:val="24"/>
          <w:szCs w:val="24"/>
        </w:rPr>
      </w:pPr>
      <w:r>
        <w:rPr>
          <w:rFonts w:hint="eastAsia" w:ascii="宋体" w:hAnsi="宋体"/>
          <w:sz w:val="24"/>
          <w:szCs w:val="24"/>
        </w:rPr>
        <w:t>（19）审查施工承包人提交的竣工验收申请，编写工程质量评估报告；</w:t>
      </w:r>
    </w:p>
    <w:p>
      <w:pPr>
        <w:spacing w:line="360" w:lineRule="auto"/>
        <w:ind w:firstLine="420" w:firstLineChars="200"/>
        <w:jc w:val="left"/>
        <w:rPr>
          <w:rFonts w:hint="eastAsia" w:ascii="宋体" w:hAnsi="宋体"/>
          <w:sz w:val="24"/>
          <w:szCs w:val="24"/>
        </w:rPr>
      </w:pPr>
      <w:r>
        <w:rPr>
          <w:rFonts w:hint="eastAsia" w:ascii="宋体" w:hAnsi="宋体"/>
          <w:sz w:val="24"/>
          <w:szCs w:val="24"/>
        </w:rPr>
        <w:t>（20）参加工程竣工验收，签署竣工验收意见；</w:t>
      </w:r>
    </w:p>
    <w:p>
      <w:pPr>
        <w:spacing w:line="360" w:lineRule="auto"/>
        <w:ind w:firstLine="420" w:firstLineChars="200"/>
        <w:jc w:val="left"/>
        <w:rPr>
          <w:rFonts w:hint="eastAsia" w:ascii="宋体" w:hAnsi="宋体"/>
          <w:sz w:val="24"/>
          <w:szCs w:val="24"/>
        </w:rPr>
      </w:pPr>
      <w:r>
        <w:rPr>
          <w:rFonts w:hint="eastAsia" w:ascii="宋体" w:hAnsi="宋体"/>
          <w:sz w:val="24"/>
          <w:szCs w:val="24"/>
        </w:rPr>
        <w:t>（21）审查施工承包人提交的竣工结算申请并报委托人；</w:t>
      </w:r>
    </w:p>
    <w:p>
      <w:pPr>
        <w:spacing w:line="360" w:lineRule="auto"/>
        <w:ind w:firstLine="420" w:firstLineChars="200"/>
        <w:jc w:val="left"/>
        <w:rPr>
          <w:rFonts w:hint="eastAsia" w:ascii="宋体" w:hAnsi="宋体"/>
          <w:sz w:val="24"/>
          <w:szCs w:val="24"/>
        </w:rPr>
      </w:pPr>
      <w:r>
        <w:rPr>
          <w:rFonts w:hint="eastAsia" w:ascii="宋体" w:hAnsi="宋体"/>
          <w:sz w:val="24"/>
          <w:szCs w:val="24"/>
        </w:rPr>
        <w:t>（22）编制、整理工程监理归档文件并报委托人。</w:t>
      </w:r>
    </w:p>
    <w:p>
      <w:pPr>
        <w:spacing w:line="360" w:lineRule="auto"/>
        <w:ind w:firstLine="420" w:firstLineChars="200"/>
        <w:jc w:val="left"/>
        <w:rPr>
          <w:rFonts w:hint="eastAsia" w:ascii="宋体" w:hAnsi="宋体"/>
          <w:sz w:val="24"/>
          <w:szCs w:val="24"/>
        </w:rPr>
      </w:pPr>
      <w:r>
        <w:rPr>
          <w:rFonts w:hint="eastAsia" w:ascii="宋体" w:hAnsi="宋体"/>
          <w:sz w:val="24"/>
          <w:szCs w:val="24"/>
        </w:rPr>
        <w:t>（23）监理投资控制： 1）工程量计量和进度款支付的审核； 2）审核工程变更方案及相关费用；3）现场签证工程量并审核费用；4）审核其他相关方案变化引起的费用；5）审核竣工结算及其合理性。</w:t>
      </w:r>
    </w:p>
    <w:p>
      <w:pPr>
        <w:spacing w:line="360" w:lineRule="auto"/>
        <w:ind w:firstLine="420" w:firstLineChars="200"/>
        <w:jc w:val="left"/>
        <w:rPr>
          <w:rFonts w:hint="eastAsia" w:ascii="宋体" w:hAnsi="宋体"/>
          <w:sz w:val="24"/>
          <w:szCs w:val="24"/>
        </w:rPr>
      </w:pPr>
      <w:r>
        <w:rPr>
          <w:rFonts w:hint="eastAsia" w:ascii="宋体" w:hAnsi="宋体"/>
          <w:sz w:val="24"/>
          <w:szCs w:val="24"/>
        </w:rPr>
        <w:t>（24）其它：</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对已完成工程量进行准确的计量，对工程量的增减做好实测实量，保存好原始凭证，并接受委托人代表检核，重大工程量的计量按有关文件执行，审核变更的工作量并签署确认意见，对上报进度款的工作量进行审核，确认；</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调查、处理工程质量缺陷和事故，与设计、施工单位一起提出改进措施和方法，出现重大质量和安全事故时，督促承包人按规定上报有关部门；</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受理合同事宜，根据合同规定进行评估和处理；</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根据合同规定处理违约事件，协调争端，在仲裁过程中作证；</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编制监理工作周报、月报；</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配合委托人的竣工验收、工程移交和各种预验工作。</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在规定的工程质量缺陷责任期期内，负责检查工程质量状况，组织鉴定质量问题责任，督促责任单位维修；</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对施工承包人的项目经理及现场管理人员进行考勤；</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工程完工后，向委托人提交施工履约评估报告；</w:t>
      </w:r>
    </w:p>
    <w:p>
      <w:pPr>
        <w:spacing w:line="360" w:lineRule="auto"/>
        <w:ind w:firstLine="420" w:firstLineChars="200"/>
        <w:jc w:val="left"/>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其余按监理规范实施。</w:t>
      </w:r>
    </w:p>
    <w:p>
      <w:pPr>
        <w:adjustRightInd w:val="0"/>
        <w:snapToGrid w:val="0"/>
        <w:spacing w:line="360" w:lineRule="auto"/>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仿宋_GB2312"/>
          <w:b/>
          <w:bCs/>
          <w:color w:val="auto"/>
          <w:kern w:val="2"/>
          <w:sz w:val="24"/>
          <w:szCs w:val="24"/>
          <w:highlight w:val="none"/>
          <w:lang w:val="en-US" w:eastAsia="zh-CN" w:bidi="ar-SA"/>
        </w:rPr>
        <w:t>▲七、拟投入本项目的办公及检测设备配备表（最低要求）</w:t>
      </w:r>
    </w:p>
    <w:tbl>
      <w:tblPr>
        <w:tblStyle w:val="7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26"/>
        <w:gridCol w:w="228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8" w:type="dxa"/>
            <w:vAlign w:val="center"/>
          </w:tcPr>
          <w:p>
            <w:pPr>
              <w:tabs>
                <w:tab w:val="left" w:pos="7480"/>
              </w:tabs>
              <w:spacing w:line="360" w:lineRule="auto"/>
              <w:jc w:val="center"/>
              <w:rPr>
                <w:rFonts w:ascii="宋体" w:hAnsi="宋体"/>
                <w:b/>
                <w:szCs w:val="21"/>
              </w:rPr>
            </w:pPr>
            <w:r>
              <w:rPr>
                <w:rFonts w:hint="eastAsia" w:ascii="宋体" w:hAnsi="宋体"/>
                <w:b/>
                <w:szCs w:val="21"/>
              </w:rPr>
              <w:t>序号</w:t>
            </w:r>
          </w:p>
        </w:tc>
        <w:tc>
          <w:tcPr>
            <w:tcW w:w="3026" w:type="dxa"/>
            <w:vAlign w:val="center"/>
          </w:tcPr>
          <w:p>
            <w:pPr>
              <w:tabs>
                <w:tab w:val="left" w:pos="7480"/>
              </w:tabs>
              <w:spacing w:line="360" w:lineRule="auto"/>
              <w:jc w:val="center"/>
              <w:rPr>
                <w:rFonts w:ascii="宋体" w:hAnsi="宋体"/>
                <w:b/>
                <w:szCs w:val="21"/>
              </w:rPr>
            </w:pPr>
            <w:r>
              <w:rPr>
                <w:rFonts w:hint="eastAsia" w:ascii="宋体" w:hAnsi="宋体"/>
                <w:b/>
                <w:szCs w:val="21"/>
              </w:rPr>
              <w:t>名称</w:t>
            </w:r>
          </w:p>
        </w:tc>
        <w:tc>
          <w:tcPr>
            <w:tcW w:w="2280" w:type="dxa"/>
            <w:vAlign w:val="center"/>
          </w:tcPr>
          <w:p>
            <w:pPr>
              <w:tabs>
                <w:tab w:val="left" w:pos="7480"/>
              </w:tabs>
              <w:spacing w:line="360" w:lineRule="auto"/>
              <w:jc w:val="center"/>
              <w:rPr>
                <w:rFonts w:ascii="宋体" w:hAnsi="宋体"/>
                <w:b/>
                <w:szCs w:val="21"/>
              </w:rPr>
            </w:pPr>
            <w:r>
              <w:rPr>
                <w:rFonts w:hint="eastAsia" w:ascii="宋体" w:hAnsi="宋体"/>
                <w:b/>
                <w:szCs w:val="21"/>
              </w:rPr>
              <w:t>数量</w:t>
            </w:r>
          </w:p>
        </w:tc>
        <w:tc>
          <w:tcPr>
            <w:tcW w:w="2763" w:type="dxa"/>
            <w:vAlign w:val="center"/>
          </w:tcPr>
          <w:p>
            <w:pPr>
              <w:tabs>
                <w:tab w:val="left" w:pos="7480"/>
              </w:tabs>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1</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计算机、打印机及相关软件</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贰套</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2</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办公设备</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若干</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传真机、固定电话及其他办公设备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3</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经纬仪、水准仪、便携式红外线测距仪等测试设备</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各壹套</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4</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必要检验设备</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壹套</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5</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通讯设备</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每人壹部手机</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szCs w:val="21"/>
              </w:rPr>
              <w:t>所有监理人员</w:t>
            </w:r>
            <w:r>
              <w:rPr>
                <w:rFonts w:hint="eastAsia" w:ascii="宋体" w:hAnsi="宋体"/>
                <w:color w:val="000000"/>
                <w:szCs w:val="21"/>
              </w:rPr>
              <w:t>保证24小时通讯畅通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6</w:t>
            </w:r>
          </w:p>
        </w:tc>
        <w:tc>
          <w:tcPr>
            <w:tcW w:w="3026"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交通工具</w:t>
            </w:r>
          </w:p>
        </w:tc>
        <w:tc>
          <w:tcPr>
            <w:tcW w:w="2280"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自备汽车一辆及其他交通工具</w:t>
            </w:r>
          </w:p>
        </w:tc>
        <w:tc>
          <w:tcPr>
            <w:tcW w:w="2763" w:type="dxa"/>
            <w:vAlign w:val="center"/>
          </w:tcPr>
          <w:p>
            <w:pPr>
              <w:widowControl w:val="0"/>
              <w:tabs>
                <w:tab w:val="left" w:pos="540"/>
              </w:tabs>
              <w:wordWrap/>
              <w:adjustRightInd w:val="0"/>
              <w:snapToGrid/>
              <w:spacing w:line="360" w:lineRule="auto"/>
              <w:ind w:left="0" w:leftChars="0" w:right="0" w:firstLine="0" w:firstLineChars="0"/>
              <w:jc w:val="center"/>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878" w:type="dxa"/>
            <w:vAlign w:val="center"/>
          </w:tcPr>
          <w:p>
            <w:pPr>
              <w:widowControl w:val="0"/>
              <w:tabs>
                <w:tab w:val="left" w:pos="7480"/>
              </w:tabs>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7</w:t>
            </w:r>
          </w:p>
        </w:tc>
        <w:tc>
          <w:tcPr>
            <w:tcW w:w="3026" w:type="dxa"/>
            <w:vAlign w:val="center"/>
          </w:tcPr>
          <w:p>
            <w:pPr>
              <w:widowControl w:val="0"/>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数码照相机</w:t>
            </w:r>
          </w:p>
        </w:tc>
        <w:tc>
          <w:tcPr>
            <w:tcW w:w="2280" w:type="dxa"/>
            <w:vAlign w:val="center"/>
          </w:tcPr>
          <w:p>
            <w:pPr>
              <w:widowControl w:val="0"/>
              <w:wordWrap/>
              <w:adjustRightInd w:val="0"/>
              <w:snapToGrid/>
              <w:spacing w:line="360" w:lineRule="auto"/>
              <w:ind w:left="0" w:leftChars="0" w:right="0" w:firstLine="0" w:firstLineChars="0"/>
              <w:jc w:val="center"/>
              <w:textAlignment w:val="auto"/>
              <w:outlineLvl w:val="9"/>
              <w:rPr>
                <w:rFonts w:ascii="宋体" w:hAnsi="宋体"/>
                <w:szCs w:val="21"/>
              </w:rPr>
            </w:pPr>
            <w:r>
              <w:rPr>
                <w:rFonts w:hint="eastAsia" w:ascii="宋体" w:hAnsi="宋体"/>
                <w:color w:val="000000"/>
                <w:szCs w:val="21"/>
              </w:rPr>
              <w:t>壹台</w:t>
            </w:r>
          </w:p>
        </w:tc>
        <w:tc>
          <w:tcPr>
            <w:tcW w:w="2763" w:type="dxa"/>
            <w:vAlign w:val="center"/>
          </w:tcPr>
          <w:p>
            <w:pPr>
              <w:widowControl w:val="0"/>
              <w:wordWrap/>
              <w:adjustRightInd w:val="0"/>
              <w:snapToGrid/>
              <w:spacing w:line="360" w:lineRule="auto"/>
              <w:ind w:left="0" w:leftChars="0" w:right="0" w:firstLine="0" w:firstLineChars="0"/>
              <w:jc w:val="center"/>
              <w:textAlignment w:val="auto"/>
              <w:outlineLvl w:val="9"/>
              <w:rPr>
                <w:rFonts w:ascii="宋体" w:hAnsi="宋体"/>
                <w:szCs w:val="21"/>
              </w:rPr>
            </w:pPr>
          </w:p>
        </w:tc>
      </w:tr>
    </w:tbl>
    <w:tbl>
      <w:tblPr>
        <w:tblStyle w:val="74"/>
        <w:tblpPr w:leftFromText="180" w:rightFromText="180" w:vertAnchor="text" w:horzAnchor="page" w:tblpX="1574" w:tblpY="603"/>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18"/>
        <w:gridCol w:w="2027"/>
        <w:gridCol w:w="1584"/>
        <w:gridCol w:w="144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40"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序号</w:t>
            </w:r>
          </w:p>
        </w:tc>
        <w:tc>
          <w:tcPr>
            <w:tcW w:w="2018"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岗位要求</w:t>
            </w:r>
          </w:p>
        </w:tc>
        <w:tc>
          <w:tcPr>
            <w:tcW w:w="2027"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技术职称或执业资格要求</w:t>
            </w:r>
          </w:p>
        </w:tc>
        <w:tc>
          <w:tcPr>
            <w:tcW w:w="1584"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专业要求</w:t>
            </w:r>
          </w:p>
        </w:tc>
        <w:tc>
          <w:tcPr>
            <w:tcW w:w="1448"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数量要求（人）</w:t>
            </w:r>
          </w:p>
        </w:tc>
        <w:tc>
          <w:tcPr>
            <w:tcW w:w="1062" w:type="dxa"/>
            <w:vAlign w:val="center"/>
          </w:tcPr>
          <w:p>
            <w:pPr>
              <w:tabs>
                <w:tab w:val="left" w:pos="540"/>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tabs>
                <w:tab w:val="left" w:pos="540"/>
              </w:tabs>
              <w:spacing w:line="360" w:lineRule="auto"/>
              <w:jc w:val="center"/>
              <w:rPr>
                <w:rFonts w:ascii="宋体" w:hAnsi="宋体"/>
                <w:szCs w:val="21"/>
              </w:rPr>
            </w:pPr>
            <w:r>
              <w:rPr>
                <w:rFonts w:hint="eastAsia" w:ascii="宋体" w:hAnsi="宋体"/>
                <w:szCs w:val="21"/>
              </w:rPr>
              <w:t>1</w:t>
            </w:r>
          </w:p>
        </w:tc>
        <w:tc>
          <w:tcPr>
            <w:tcW w:w="2018" w:type="dxa"/>
            <w:vAlign w:val="center"/>
          </w:tcPr>
          <w:p>
            <w:pPr>
              <w:tabs>
                <w:tab w:val="left" w:pos="540"/>
              </w:tabs>
              <w:spacing w:line="360" w:lineRule="auto"/>
              <w:jc w:val="center"/>
              <w:rPr>
                <w:rFonts w:ascii="宋体" w:hAnsi="宋体"/>
                <w:szCs w:val="21"/>
              </w:rPr>
            </w:pPr>
            <w:r>
              <w:rPr>
                <w:rFonts w:hint="eastAsia" w:ascii="宋体" w:hAnsi="宋体"/>
                <w:szCs w:val="21"/>
              </w:rPr>
              <w:t>总监理工程师</w:t>
            </w:r>
          </w:p>
        </w:tc>
        <w:tc>
          <w:tcPr>
            <w:tcW w:w="2027" w:type="dxa"/>
            <w:vAlign w:val="center"/>
          </w:tcPr>
          <w:p>
            <w:pPr>
              <w:tabs>
                <w:tab w:val="left" w:pos="540"/>
              </w:tabs>
              <w:spacing w:line="360" w:lineRule="auto"/>
              <w:jc w:val="center"/>
              <w:rPr>
                <w:rFonts w:ascii="宋体" w:hAnsi="宋体"/>
                <w:w w:val="90"/>
                <w:szCs w:val="21"/>
              </w:rPr>
            </w:pPr>
            <w:r>
              <w:rPr>
                <w:rFonts w:hint="eastAsia" w:ascii="宋体" w:hAnsi="宋体" w:cs="宋体"/>
                <w:color w:val="auto"/>
                <w:szCs w:val="21"/>
                <w:highlight w:val="none"/>
              </w:rPr>
              <w:t>国家注册监理工程师</w:t>
            </w:r>
          </w:p>
        </w:tc>
        <w:tc>
          <w:tcPr>
            <w:tcW w:w="1584" w:type="dxa"/>
            <w:vAlign w:val="center"/>
          </w:tcPr>
          <w:p>
            <w:pPr>
              <w:tabs>
                <w:tab w:val="left" w:pos="540"/>
              </w:tabs>
              <w:spacing w:line="360" w:lineRule="auto"/>
              <w:jc w:val="center"/>
              <w:rPr>
                <w:rFonts w:hint="eastAsia" w:ascii="宋体" w:hAnsi="宋体" w:eastAsia="宋体"/>
                <w:szCs w:val="21"/>
                <w:lang w:eastAsia="zh-CN"/>
              </w:rPr>
            </w:pPr>
            <w:r>
              <w:rPr>
                <w:rFonts w:hint="eastAsia" w:ascii="宋体" w:hAnsi="宋体"/>
                <w:szCs w:val="21"/>
                <w:lang w:val="en-US" w:eastAsia="zh-CN"/>
              </w:rPr>
              <w:t>市政公用工程专业</w:t>
            </w:r>
          </w:p>
        </w:tc>
        <w:tc>
          <w:tcPr>
            <w:tcW w:w="1448" w:type="dxa"/>
            <w:vAlign w:val="center"/>
          </w:tcPr>
          <w:p>
            <w:pPr>
              <w:tabs>
                <w:tab w:val="left" w:pos="540"/>
              </w:tabs>
              <w:spacing w:line="360" w:lineRule="auto"/>
              <w:jc w:val="center"/>
              <w:rPr>
                <w:rFonts w:ascii="宋体" w:hAnsi="宋体"/>
                <w:szCs w:val="21"/>
              </w:rPr>
            </w:pPr>
            <w:r>
              <w:rPr>
                <w:rFonts w:hint="eastAsia" w:ascii="宋体" w:hAnsi="宋体"/>
                <w:szCs w:val="21"/>
              </w:rPr>
              <w:t>1</w:t>
            </w:r>
          </w:p>
        </w:tc>
        <w:tc>
          <w:tcPr>
            <w:tcW w:w="1062"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tabs>
                <w:tab w:val="left" w:pos="540"/>
              </w:tabs>
              <w:spacing w:line="360" w:lineRule="auto"/>
              <w:jc w:val="center"/>
              <w:rPr>
                <w:rFonts w:ascii="宋体" w:hAnsi="宋体"/>
                <w:szCs w:val="21"/>
              </w:rPr>
            </w:pPr>
            <w:r>
              <w:rPr>
                <w:rFonts w:hint="eastAsia" w:ascii="宋体" w:hAnsi="宋体"/>
                <w:szCs w:val="21"/>
              </w:rPr>
              <w:t>2</w:t>
            </w:r>
          </w:p>
        </w:tc>
        <w:tc>
          <w:tcPr>
            <w:tcW w:w="2018" w:type="dxa"/>
            <w:vAlign w:val="center"/>
          </w:tcPr>
          <w:p>
            <w:pPr>
              <w:tabs>
                <w:tab w:val="left" w:pos="540"/>
              </w:tabs>
              <w:spacing w:line="360" w:lineRule="auto"/>
              <w:jc w:val="center"/>
              <w:rPr>
                <w:rFonts w:ascii="宋体" w:hAnsi="宋体"/>
                <w:szCs w:val="21"/>
              </w:rPr>
            </w:pPr>
            <w:r>
              <w:rPr>
                <w:rFonts w:hint="eastAsia" w:ascii="宋体" w:hAnsi="宋体"/>
                <w:szCs w:val="21"/>
              </w:rPr>
              <w:t>专业监理工程师</w:t>
            </w:r>
          </w:p>
        </w:tc>
        <w:tc>
          <w:tcPr>
            <w:tcW w:w="2027" w:type="dxa"/>
            <w:vAlign w:val="center"/>
          </w:tcPr>
          <w:p>
            <w:pPr>
              <w:tabs>
                <w:tab w:val="left" w:pos="540"/>
              </w:tabs>
              <w:spacing w:line="360" w:lineRule="auto"/>
              <w:jc w:val="center"/>
              <w:rPr>
                <w:rFonts w:ascii="宋体" w:hAnsi="宋体"/>
                <w:szCs w:val="21"/>
              </w:rPr>
            </w:pPr>
            <w:r>
              <w:rPr>
                <w:rFonts w:hint="eastAsia" w:ascii="宋体" w:hAnsi="宋体" w:cs="宋体"/>
                <w:color w:val="auto"/>
                <w:szCs w:val="21"/>
                <w:highlight w:val="none"/>
              </w:rPr>
              <w:t>浙江省及以上的监理工程师</w:t>
            </w:r>
          </w:p>
        </w:tc>
        <w:tc>
          <w:tcPr>
            <w:tcW w:w="1584" w:type="dxa"/>
            <w:vAlign w:val="center"/>
          </w:tcPr>
          <w:p>
            <w:pPr>
              <w:tabs>
                <w:tab w:val="left" w:pos="540"/>
              </w:tabs>
              <w:spacing w:line="360" w:lineRule="auto"/>
              <w:jc w:val="center"/>
              <w:rPr>
                <w:rFonts w:ascii="宋体" w:hAnsi="宋体"/>
                <w:szCs w:val="21"/>
              </w:rPr>
            </w:pPr>
            <w:r>
              <w:rPr>
                <w:rFonts w:hint="eastAsia" w:ascii="宋体" w:hAnsi="宋体"/>
                <w:szCs w:val="21"/>
              </w:rPr>
              <w:t>市政</w:t>
            </w:r>
            <w:r>
              <w:rPr>
                <w:rFonts w:hint="eastAsia" w:ascii="宋体" w:hAnsi="宋体"/>
                <w:szCs w:val="21"/>
                <w:lang w:val="en-US" w:eastAsia="zh-CN"/>
              </w:rPr>
              <w:t>类</w:t>
            </w:r>
          </w:p>
        </w:tc>
        <w:tc>
          <w:tcPr>
            <w:tcW w:w="1448" w:type="dxa"/>
            <w:vAlign w:val="center"/>
          </w:tcPr>
          <w:p>
            <w:pPr>
              <w:tabs>
                <w:tab w:val="left" w:pos="540"/>
              </w:tabs>
              <w:spacing w:line="360" w:lineRule="auto"/>
              <w:jc w:val="center"/>
              <w:rPr>
                <w:rFonts w:ascii="宋体" w:hAnsi="宋体"/>
                <w:szCs w:val="21"/>
              </w:rPr>
            </w:pPr>
            <w:r>
              <w:rPr>
                <w:rFonts w:hint="eastAsia" w:ascii="宋体" w:hAnsi="宋体"/>
                <w:szCs w:val="21"/>
              </w:rPr>
              <w:t>1</w:t>
            </w:r>
          </w:p>
        </w:tc>
        <w:tc>
          <w:tcPr>
            <w:tcW w:w="1062"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tabs>
                <w:tab w:val="left" w:pos="540"/>
              </w:tabs>
              <w:spacing w:line="360" w:lineRule="auto"/>
              <w:jc w:val="center"/>
              <w:rPr>
                <w:rFonts w:ascii="宋体" w:hAnsi="宋体"/>
                <w:szCs w:val="21"/>
              </w:rPr>
            </w:pPr>
            <w:r>
              <w:rPr>
                <w:rFonts w:hint="eastAsia" w:ascii="宋体" w:hAnsi="宋体"/>
                <w:szCs w:val="21"/>
              </w:rPr>
              <w:t>3</w:t>
            </w:r>
          </w:p>
        </w:tc>
        <w:tc>
          <w:tcPr>
            <w:tcW w:w="2018" w:type="dxa"/>
            <w:vAlign w:val="center"/>
          </w:tcPr>
          <w:p>
            <w:pPr>
              <w:tabs>
                <w:tab w:val="left" w:pos="540"/>
              </w:tabs>
              <w:spacing w:line="360" w:lineRule="auto"/>
              <w:jc w:val="center"/>
              <w:rPr>
                <w:rFonts w:ascii="宋体" w:hAnsi="宋体"/>
                <w:szCs w:val="21"/>
              </w:rPr>
            </w:pPr>
            <w:r>
              <w:rPr>
                <w:rFonts w:hint="eastAsia" w:ascii="宋体" w:hAnsi="宋体"/>
                <w:szCs w:val="21"/>
              </w:rPr>
              <w:t>监理员</w:t>
            </w:r>
          </w:p>
        </w:tc>
        <w:tc>
          <w:tcPr>
            <w:tcW w:w="2027" w:type="dxa"/>
            <w:vAlign w:val="center"/>
          </w:tcPr>
          <w:p>
            <w:pPr>
              <w:tabs>
                <w:tab w:val="left" w:pos="540"/>
              </w:tabs>
              <w:spacing w:line="360" w:lineRule="auto"/>
              <w:jc w:val="center"/>
              <w:rPr>
                <w:rFonts w:ascii="宋体" w:hAnsi="宋体"/>
                <w:szCs w:val="21"/>
              </w:rPr>
            </w:pPr>
            <w:r>
              <w:rPr>
                <w:rFonts w:hint="eastAsia" w:ascii="宋体" w:hAnsi="宋体" w:cs="宋体"/>
                <w:color w:val="auto"/>
                <w:szCs w:val="21"/>
                <w:highlight w:val="none"/>
              </w:rPr>
              <w:t>宁波市或浙江省及以上的监理员</w:t>
            </w:r>
          </w:p>
        </w:tc>
        <w:tc>
          <w:tcPr>
            <w:tcW w:w="1584" w:type="dxa"/>
            <w:vAlign w:val="center"/>
          </w:tcPr>
          <w:p>
            <w:pPr>
              <w:tabs>
                <w:tab w:val="left" w:pos="540"/>
              </w:tabs>
              <w:spacing w:line="360" w:lineRule="auto"/>
              <w:jc w:val="center"/>
              <w:rPr>
                <w:rFonts w:ascii="宋体" w:hAnsi="宋体"/>
                <w:szCs w:val="21"/>
              </w:rPr>
            </w:pPr>
            <w:r>
              <w:rPr>
                <w:rFonts w:hint="eastAsia" w:ascii="宋体" w:hAnsi="宋体"/>
                <w:szCs w:val="21"/>
              </w:rPr>
              <w:t>市政</w:t>
            </w:r>
            <w:r>
              <w:rPr>
                <w:rFonts w:hint="eastAsia" w:ascii="宋体" w:hAnsi="宋体"/>
                <w:szCs w:val="21"/>
                <w:lang w:val="en-US" w:eastAsia="zh-CN"/>
              </w:rPr>
              <w:t>类</w:t>
            </w:r>
          </w:p>
        </w:tc>
        <w:tc>
          <w:tcPr>
            <w:tcW w:w="1448" w:type="dxa"/>
            <w:vAlign w:val="center"/>
          </w:tcPr>
          <w:p>
            <w:pPr>
              <w:tabs>
                <w:tab w:val="left" w:pos="540"/>
              </w:tabs>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1062" w:type="dxa"/>
            <w:vAlign w:val="center"/>
          </w:tcPr>
          <w:p>
            <w:pPr>
              <w:spacing w:line="360" w:lineRule="auto"/>
              <w:jc w:val="center"/>
              <w:rPr>
                <w:rFonts w:ascii="宋体" w:hAnsi="宋体"/>
                <w:color w:val="000000"/>
                <w:szCs w:val="21"/>
              </w:rPr>
            </w:pPr>
          </w:p>
        </w:tc>
      </w:tr>
    </w:tbl>
    <w:p>
      <w:pPr>
        <w:adjustRightInd w:val="0"/>
        <w:snapToGrid w:val="0"/>
        <w:spacing w:line="360" w:lineRule="auto"/>
        <w:rPr>
          <w:rFonts w:hint="eastAsia" w:ascii="宋体" w:hAnsi="宋体"/>
          <w:color w:val="auto"/>
          <w:sz w:val="24"/>
          <w:highlight w:val="none"/>
          <w:u w:val="single"/>
        </w:rPr>
      </w:pPr>
      <w:r>
        <w:rPr>
          <w:rFonts w:hint="eastAsia" w:ascii="宋体" w:hAnsi="宋体" w:eastAsia="宋体" w:cs="仿宋_GB2312"/>
          <w:b/>
          <w:bCs/>
          <w:color w:val="auto"/>
          <w:kern w:val="2"/>
          <w:sz w:val="24"/>
          <w:szCs w:val="24"/>
          <w:highlight w:val="none"/>
          <w:lang w:val="en-US" w:eastAsia="zh-CN" w:bidi="ar-SA"/>
        </w:rPr>
        <w:t>▲八、拟投入本项目的监理人员配备表（最低要求）</w:t>
      </w:r>
    </w:p>
    <w:p>
      <w:pPr>
        <w:pStyle w:val="3"/>
        <w:rPr>
          <w:rFonts w:hint="eastAsia" w:ascii="宋体" w:hAnsi="宋体"/>
          <w:color w:val="auto"/>
          <w:sz w:val="24"/>
          <w:highlight w:val="none"/>
          <w:u w:val="single"/>
        </w:rPr>
      </w:pP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1" w:name="_Toc184312124"/>
      <w:bookmarkEnd w:id="31"/>
      <w:bookmarkStart w:id="32" w:name="_Toc184312085"/>
      <w:bookmarkEnd w:id="32"/>
      <w:bookmarkStart w:id="33" w:name="_Toc184313242"/>
      <w:bookmarkEnd w:id="33"/>
      <w:bookmarkStart w:id="34" w:name="_Toc184308085"/>
      <w:bookmarkEnd w:id="34"/>
      <w:bookmarkStart w:id="35" w:name="_Toc184310290"/>
      <w:bookmarkEnd w:id="35"/>
      <w:bookmarkStart w:id="36" w:name="_Toc184310272"/>
      <w:bookmarkEnd w:id="36"/>
      <w:bookmarkStart w:id="37" w:name="_Toc184312125"/>
      <w:bookmarkEnd w:id="37"/>
      <w:bookmarkStart w:id="38" w:name="_Toc184308089"/>
      <w:bookmarkEnd w:id="38"/>
      <w:bookmarkStart w:id="39" w:name="_Toc184312136"/>
      <w:bookmarkEnd w:id="39"/>
      <w:bookmarkStart w:id="40" w:name="_Toc184308069"/>
      <w:bookmarkEnd w:id="40"/>
      <w:bookmarkStart w:id="41" w:name="_Toc184308100"/>
      <w:bookmarkEnd w:id="41"/>
      <w:bookmarkStart w:id="42" w:name="_Toc184310320"/>
      <w:bookmarkEnd w:id="42"/>
      <w:bookmarkStart w:id="43" w:name="_Toc184312097"/>
      <w:bookmarkEnd w:id="43"/>
      <w:bookmarkStart w:id="44" w:name="_Toc184308097"/>
      <w:bookmarkEnd w:id="44"/>
      <w:bookmarkStart w:id="45" w:name="_Toc184313279"/>
      <w:bookmarkEnd w:id="45"/>
      <w:bookmarkStart w:id="46" w:name="_Toc184313309"/>
      <w:bookmarkEnd w:id="46"/>
      <w:bookmarkStart w:id="47" w:name="_Toc184313280"/>
      <w:bookmarkEnd w:id="47"/>
      <w:bookmarkStart w:id="48" w:name="_Toc184310321"/>
      <w:bookmarkEnd w:id="48"/>
      <w:bookmarkStart w:id="49" w:name="_Toc184314411"/>
      <w:bookmarkEnd w:id="49"/>
      <w:bookmarkStart w:id="50" w:name="_Toc184314410"/>
      <w:bookmarkEnd w:id="50"/>
      <w:bookmarkStart w:id="51" w:name="_Toc184313301"/>
      <w:bookmarkEnd w:id="51"/>
      <w:bookmarkStart w:id="52" w:name="_Toc184314465"/>
      <w:bookmarkEnd w:id="52"/>
      <w:bookmarkStart w:id="53" w:name="_Toc184314446"/>
      <w:bookmarkEnd w:id="53"/>
      <w:bookmarkStart w:id="54" w:name="_Toc184312110"/>
      <w:bookmarkEnd w:id="54"/>
      <w:bookmarkStart w:id="55" w:name="_Toc184313285"/>
      <w:bookmarkEnd w:id="55"/>
      <w:bookmarkStart w:id="56" w:name="_Toc184310336"/>
      <w:bookmarkEnd w:id="56"/>
      <w:bookmarkStart w:id="57" w:name="_Toc184314478"/>
      <w:bookmarkEnd w:id="57"/>
      <w:bookmarkStart w:id="58" w:name="_Toc184312127"/>
      <w:bookmarkEnd w:id="58"/>
      <w:bookmarkStart w:id="59" w:name="_Toc184308061"/>
      <w:bookmarkEnd w:id="59"/>
      <w:bookmarkStart w:id="60" w:name="_Toc184308063"/>
      <w:bookmarkEnd w:id="60"/>
      <w:bookmarkStart w:id="61" w:name="_Toc184314424"/>
      <w:bookmarkEnd w:id="61"/>
      <w:bookmarkStart w:id="62" w:name="_Toc184308105"/>
      <w:bookmarkEnd w:id="62"/>
      <w:bookmarkStart w:id="63" w:name="_Toc184312071"/>
      <w:bookmarkEnd w:id="63"/>
      <w:bookmarkStart w:id="64" w:name="_Toc184313286"/>
      <w:bookmarkEnd w:id="64"/>
      <w:bookmarkStart w:id="65" w:name="_Toc184314432"/>
      <w:bookmarkEnd w:id="65"/>
      <w:bookmarkStart w:id="66" w:name="_Toc184310323"/>
      <w:bookmarkEnd w:id="66"/>
      <w:bookmarkStart w:id="67" w:name="_Toc184312088"/>
      <w:bookmarkEnd w:id="67"/>
      <w:bookmarkStart w:id="68" w:name="_Toc184308056"/>
      <w:bookmarkEnd w:id="68"/>
      <w:bookmarkStart w:id="69" w:name="_Toc184313245"/>
      <w:bookmarkEnd w:id="69"/>
      <w:bookmarkStart w:id="70" w:name="_Toc184313291"/>
      <w:bookmarkEnd w:id="70"/>
      <w:bookmarkStart w:id="71" w:name="_Toc184310286"/>
      <w:bookmarkEnd w:id="71"/>
      <w:bookmarkStart w:id="72" w:name="_Toc184313287"/>
      <w:bookmarkEnd w:id="72"/>
      <w:bookmarkStart w:id="73" w:name="_Toc184308101"/>
      <w:bookmarkEnd w:id="73"/>
      <w:bookmarkStart w:id="74" w:name="_Toc184310315"/>
      <w:bookmarkEnd w:id="74"/>
      <w:bookmarkStart w:id="75" w:name="_Toc184308075"/>
      <w:bookmarkEnd w:id="75"/>
      <w:bookmarkStart w:id="76" w:name="_Toc184312132"/>
      <w:bookmarkEnd w:id="76"/>
      <w:bookmarkStart w:id="77" w:name="_Toc184308036"/>
      <w:bookmarkEnd w:id="77"/>
      <w:bookmarkStart w:id="78" w:name="_Toc184312120"/>
      <w:bookmarkEnd w:id="78"/>
      <w:bookmarkStart w:id="79" w:name="_Toc184308084"/>
      <w:bookmarkEnd w:id="79"/>
      <w:bookmarkStart w:id="80" w:name="_Toc184308039"/>
      <w:bookmarkEnd w:id="80"/>
      <w:bookmarkStart w:id="81" w:name="_Toc184314441"/>
      <w:bookmarkEnd w:id="81"/>
      <w:bookmarkStart w:id="82" w:name="_Toc184310338"/>
      <w:bookmarkEnd w:id="82"/>
      <w:bookmarkStart w:id="83" w:name="_Toc184308090"/>
      <w:bookmarkEnd w:id="83"/>
      <w:bookmarkStart w:id="84" w:name="_Toc184313265"/>
      <w:bookmarkEnd w:id="84"/>
      <w:bookmarkStart w:id="85" w:name="_Toc184312114"/>
      <w:bookmarkEnd w:id="85"/>
      <w:bookmarkStart w:id="86" w:name="_Toc184308096"/>
      <w:bookmarkEnd w:id="86"/>
      <w:bookmarkStart w:id="87" w:name="_Toc184310282"/>
      <w:bookmarkEnd w:id="87"/>
      <w:bookmarkStart w:id="88" w:name="_Toc184314419"/>
      <w:bookmarkEnd w:id="88"/>
      <w:bookmarkStart w:id="89" w:name="_Toc184313246"/>
      <w:bookmarkEnd w:id="89"/>
      <w:bookmarkStart w:id="90" w:name="_Toc184312116"/>
      <w:bookmarkEnd w:id="90"/>
      <w:bookmarkStart w:id="91" w:name="_Toc184314463"/>
      <w:bookmarkEnd w:id="91"/>
      <w:bookmarkStart w:id="92" w:name="_Toc184310322"/>
      <w:bookmarkEnd w:id="92"/>
      <w:bookmarkStart w:id="93" w:name="_Toc184314461"/>
      <w:bookmarkEnd w:id="93"/>
      <w:bookmarkStart w:id="94" w:name="_Toc184310297"/>
      <w:bookmarkEnd w:id="94"/>
      <w:bookmarkStart w:id="95" w:name="_Toc184312096"/>
      <w:bookmarkEnd w:id="95"/>
      <w:bookmarkStart w:id="96" w:name="_Toc184312099"/>
      <w:bookmarkEnd w:id="96"/>
      <w:bookmarkStart w:id="97" w:name="_Toc184308080"/>
      <w:bookmarkEnd w:id="97"/>
      <w:bookmarkStart w:id="98" w:name="_Toc184313299"/>
      <w:bookmarkEnd w:id="98"/>
      <w:bookmarkStart w:id="99" w:name="_Toc184312106"/>
      <w:bookmarkEnd w:id="99"/>
      <w:bookmarkStart w:id="100" w:name="_Toc184308054"/>
      <w:bookmarkEnd w:id="100"/>
      <w:bookmarkStart w:id="101" w:name="_Toc184312102"/>
      <w:bookmarkEnd w:id="101"/>
      <w:bookmarkStart w:id="102" w:name="_Toc184312098"/>
      <w:bookmarkEnd w:id="102"/>
      <w:bookmarkStart w:id="103" w:name="_Toc184308082"/>
      <w:bookmarkEnd w:id="103"/>
      <w:bookmarkStart w:id="104" w:name="_Toc184313260"/>
      <w:bookmarkEnd w:id="104"/>
      <w:bookmarkStart w:id="105" w:name="_Toc184308088"/>
      <w:bookmarkEnd w:id="105"/>
      <w:bookmarkStart w:id="106" w:name="_Toc184312121"/>
      <w:bookmarkEnd w:id="106"/>
      <w:bookmarkStart w:id="107" w:name="_Toc184310335"/>
      <w:bookmarkEnd w:id="107"/>
      <w:bookmarkStart w:id="108" w:name="_Toc184310305"/>
      <w:bookmarkEnd w:id="108"/>
      <w:bookmarkStart w:id="109" w:name="_Toc184313270"/>
      <w:bookmarkEnd w:id="109"/>
      <w:bookmarkStart w:id="110" w:name="_Toc184308060"/>
      <w:bookmarkEnd w:id="110"/>
      <w:bookmarkStart w:id="111" w:name="_Toc184308072"/>
      <w:bookmarkEnd w:id="111"/>
      <w:bookmarkStart w:id="112" w:name="_Toc184312138"/>
      <w:bookmarkEnd w:id="112"/>
      <w:bookmarkStart w:id="113" w:name="_Toc184313274"/>
      <w:bookmarkEnd w:id="113"/>
      <w:bookmarkStart w:id="114" w:name="_Toc184312112"/>
      <w:bookmarkEnd w:id="114"/>
      <w:bookmarkStart w:id="115" w:name="_Toc184313295"/>
      <w:bookmarkEnd w:id="115"/>
      <w:bookmarkStart w:id="116" w:name="_Toc184308059"/>
      <w:bookmarkEnd w:id="116"/>
      <w:bookmarkStart w:id="117" w:name="_Toc184313308"/>
      <w:bookmarkEnd w:id="117"/>
      <w:bookmarkStart w:id="118" w:name="_Toc184313284"/>
      <w:bookmarkEnd w:id="118"/>
      <w:bookmarkStart w:id="119" w:name="_Toc184312089"/>
      <w:bookmarkEnd w:id="119"/>
      <w:bookmarkStart w:id="120" w:name="_Toc184314479"/>
      <w:bookmarkEnd w:id="120"/>
      <w:bookmarkStart w:id="121" w:name="_Toc184310281"/>
      <w:bookmarkEnd w:id="121"/>
      <w:bookmarkStart w:id="122" w:name="_Toc184308092"/>
      <w:bookmarkEnd w:id="122"/>
      <w:bookmarkStart w:id="123" w:name="_Toc184312109"/>
      <w:bookmarkEnd w:id="123"/>
      <w:bookmarkStart w:id="124" w:name="_Toc184314451"/>
      <w:bookmarkEnd w:id="124"/>
      <w:bookmarkStart w:id="125" w:name="_Toc184314473"/>
      <w:bookmarkEnd w:id="125"/>
      <w:bookmarkStart w:id="126" w:name="_Toc184314454"/>
      <w:bookmarkEnd w:id="126"/>
      <w:bookmarkStart w:id="127" w:name="_Toc184308104"/>
      <w:bookmarkEnd w:id="127"/>
      <w:bookmarkStart w:id="128" w:name="_Toc184314482"/>
      <w:bookmarkEnd w:id="128"/>
      <w:bookmarkStart w:id="129" w:name="_Toc184310302"/>
      <w:bookmarkEnd w:id="129"/>
      <w:bookmarkStart w:id="130" w:name="_Toc184312111"/>
      <w:bookmarkEnd w:id="130"/>
      <w:bookmarkStart w:id="131" w:name="_Toc184313297"/>
      <w:bookmarkEnd w:id="131"/>
      <w:bookmarkStart w:id="132" w:name="_Toc184313283"/>
      <w:bookmarkEnd w:id="132"/>
      <w:bookmarkStart w:id="133" w:name="_Toc184308078"/>
      <w:bookmarkEnd w:id="133"/>
      <w:bookmarkStart w:id="134" w:name="_Toc184312092"/>
      <w:bookmarkEnd w:id="134"/>
      <w:bookmarkStart w:id="135" w:name="_Toc184314455"/>
      <w:bookmarkEnd w:id="135"/>
      <w:bookmarkStart w:id="136" w:name="_Toc184308057"/>
      <w:bookmarkEnd w:id="136"/>
      <w:bookmarkStart w:id="137" w:name="_Toc184308081"/>
      <w:bookmarkEnd w:id="137"/>
      <w:bookmarkStart w:id="138" w:name="_Toc184314449"/>
      <w:bookmarkEnd w:id="138"/>
      <w:bookmarkStart w:id="139" w:name="_Toc184314428"/>
      <w:bookmarkEnd w:id="139"/>
      <w:bookmarkStart w:id="140" w:name="_Toc184313281"/>
      <w:bookmarkEnd w:id="140"/>
      <w:bookmarkStart w:id="141" w:name="_Toc184314433"/>
      <w:bookmarkEnd w:id="141"/>
      <w:bookmarkStart w:id="142" w:name="_Toc184314415"/>
      <w:bookmarkEnd w:id="142"/>
      <w:bookmarkStart w:id="143" w:name="_Toc184308087"/>
      <w:bookmarkEnd w:id="143"/>
      <w:bookmarkStart w:id="144" w:name="_Toc184308076"/>
      <w:bookmarkEnd w:id="144"/>
      <w:bookmarkStart w:id="145" w:name="_Toc184308044"/>
      <w:bookmarkEnd w:id="145"/>
      <w:bookmarkStart w:id="146" w:name="_Toc184312080"/>
      <w:bookmarkEnd w:id="146"/>
      <w:bookmarkStart w:id="147" w:name="_Toc184310306"/>
      <w:bookmarkEnd w:id="147"/>
      <w:bookmarkStart w:id="148" w:name="_Toc184308055"/>
      <w:bookmarkEnd w:id="148"/>
      <w:bookmarkStart w:id="149" w:name="_Toc184312103"/>
      <w:bookmarkEnd w:id="149"/>
      <w:bookmarkStart w:id="150" w:name="_Toc184313261"/>
      <w:bookmarkEnd w:id="150"/>
      <w:bookmarkStart w:id="151" w:name="_Toc184313303"/>
      <w:bookmarkEnd w:id="151"/>
      <w:bookmarkStart w:id="152" w:name="_Toc184313310"/>
      <w:bookmarkEnd w:id="152"/>
      <w:bookmarkStart w:id="153" w:name="_Toc184312104"/>
      <w:bookmarkEnd w:id="153"/>
      <w:bookmarkStart w:id="154" w:name="_Toc184312068"/>
      <w:bookmarkEnd w:id="154"/>
      <w:bookmarkStart w:id="155" w:name="_Toc184310314"/>
      <w:bookmarkEnd w:id="155"/>
      <w:bookmarkStart w:id="156" w:name="_Toc184312076"/>
      <w:bookmarkEnd w:id="156"/>
      <w:bookmarkStart w:id="157" w:name="_Toc184314436"/>
      <w:bookmarkEnd w:id="157"/>
      <w:bookmarkStart w:id="158" w:name="_Toc184313302"/>
      <w:bookmarkEnd w:id="158"/>
      <w:bookmarkStart w:id="159" w:name="_Toc184310319"/>
      <w:bookmarkEnd w:id="159"/>
      <w:bookmarkStart w:id="160" w:name="_Toc184308098"/>
      <w:bookmarkEnd w:id="160"/>
      <w:bookmarkStart w:id="161" w:name="_Toc184313244"/>
      <w:bookmarkEnd w:id="161"/>
      <w:bookmarkStart w:id="162" w:name="_Toc184313267"/>
      <w:bookmarkEnd w:id="162"/>
      <w:bookmarkStart w:id="163" w:name="_Toc184313240"/>
      <w:bookmarkEnd w:id="163"/>
      <w:bookmarkStart w:id="164" w:name="_Toc184314431"/>
      <w:bookmarkEnd w:id="164"/>
      <w:bookmarkStart w:id="165" w:name="_Toc184310343"/>
      <w:bookmarkEnd w:id="165"/>
      <w:bookmarkStart w:id="166" w:name="_Toc184312073"/>
      <w:bookmarkEnd w:id="166"/>
      <w:bookmarkStart w:id="167" w:name="_Toc184314475"/>
      <w:bookmarkEnd w:id="167"/>
      <w:bookmarkStart w:id="168" w:name="_Toc184312133"/>
      <w:bookmarkEnd w:id="168"/>
      <w:bookmarkStart w:id="169" w:name="_Toc184312090"/>
      <w:bookmarkEnd w:id="169"/>
      <w:bookmarkStart w:id="170" w:name="_Toc184314471"/>
      <w:bookmarkEnd w:id="170"/>
      <w:bookmarkStart w:id="171" w:name="_Toc184314472"/>
      <w:bookmarkEnd w:id="171"/>
      <w:bookmarkStart w:id="172" w:name="_Toc184314426"/>
      <w:bookmarkEnd w:id="172"/>
      <w:bookmarkStart w:id="173" w:name="_Toc184314416"/>
      <w:bookmarkEnd w:id="173"/>
      <w:bookmarkStart w:id="174" w:name="_Toc184308074"/>
      <w:bookmarkEnd w:id="174"/>
      <w:bookmarkStart w:id="175" w:name="_Toc184313271"/>
      <w:bookmarkEnd w:id="175"/>
      <w:bookmarkStart w:id="176" w:name="_Toc184313256"/>
      <w:bookmarkEnd w:id="176"/>
      <w:bookmarkStart w:id="177" w:name="_Toc184310318"/>
      <w:bookmarkEnd w:id="177"/>
      <w:bookmarkStart w:id="178" w:name="_Toc184308040"/>
      <w:bookmarkEnd w:id="178"/>
      <w:bookmarkStart w:id="179" w:name="_Toc184313277"/>
      <w:bookmarkEnd w:id="179"/>
      <w:bookmarkStart w:id="180" w:name="_Toc184313264"/>
      <w:bookmarkEnd w:id="180"/>
      <w:bookmarkStart w:id="181" w:name="_Toc184313272"/>
      <w:bookmarkEnd w:id="181"/>
      <w:bookmarkStart w:id="182" w:name="_Toc184308108"/>
      <w:bookmarkEnd w:id="182"/>
      <w:bookmarkStart w:id="183" w:name="_Toc184308046"/>
      <w:bookmarkEnd w:id="183"/>
      <w:bookmarkStart w:id="184" w:name="_Toc184314450"/>
      <w:bookmarkEnd w:id="184"/>
      <w:bookmarkStart w:id="185" w:name="_Toc184310307"/>
      <w:bookmarkEnd w:id="185"/>
      <w:bookmarkStart w:id="186" w:name="_Toc184313247"/>
      <w:bookmarkEnd w:id="186"/>
      <w:bookmarkStart w:id="187" w:name="_Toc184310293"/>
      <w:bookmarkEnd w:id="187"/>
      <w:bookmarkStart w:id="188" w:name="_Toc184313296"/>
      <w:bookmarkEnd w:id="188"/>
      <w:bookmarkStart w:id="189" w:name="_Toc184310340"/>
      <w:bookmarkEnd w:id="189"/>
      <w:bookmarkStart w:id="190" w:name="_Toc184312094"/>
      <w:bookmarkEnd w:id="190"/>
      <w:bookmarkStart w:id="191" w:name="_Toc184310289"/>
      <w:bookmarkEnd w:id="191"/>
      <w:bookmarkStart w:id="192" w:name="_Toc184313276"/>
      <w:bookmarkEnd w:id="192"/>
      <w:bookmarkStart w:id="193" w:name="_Toc184312131"/>
      <w:bookmarkEnd w:id="193"/>
      <w:bookmarkStart w:id="194" w:name="_Toc184310330"/>
      <w:bookmarkEnd w:id="194"/>
      <w:bookmarkStart w:id="195" w:name="_Toc184313269"/>
      <w:bookmarkEnd w:id="195"/>
      <w:bookmarkStart w:id="196" w:name="_Toc184313259"/>
      <w:bookmarkEnd w:id="196"/>
      <w:bookmarkStart w:id="197" w:name="_Toc184314440"/>
      <w:bookmarkEnd w:id="197"/>
      <w:bookmarkStart w:id="198" w:name="_Toc184310308"/>
      <w:bookmarkEnd w:id="198"/>
      <w:bookmarkStart w:id="199" w:name="_Toc184313255"/>
      <w:bookmarkEnd w:id="199"/>
      <w:bookmarkStart w:id="200" w:name="_Toc184310273"/>
      <w:bookmarkEnd w:id="200"/>
      <w:bookmarkStart w:id="201" w:name="_Toc184314481"/>
      <w:bookmarkEnd w:id="201"/>
      <w:bookmarkStart w:id="202" w:name="_Toc184313273"/>
      <w:bookmarkEnd w:id="202"/>
      <w:bookmarkStart w:id="203" w:name="_Toc184308086"/>
      <w:bookmarkEnd w:id="203"/>
      <w:bookmarkStart w:id="204" w:name="_Toc184308095"/>
      <w:bookmarkEnd w:id="204"/>
      <w:bookmarkStart w:id="205" w:name="_Toc184314444"/>
      <w:bookmarkEnd w:id="205"/>
      <w:bookmarkStart w:id="206" w:name="_Toc184308050"/>
      <w:bookmarkEnd w:id="206"/>
      <w:bookmarkStart w:id="207" w:name="_Toc184312091"/>
      <w:bookmarkEnd w:id="207"/>
      <w:bookmarkStart w:id="208" w:name="_Toc184314429"/>
      <w:bookmarkEnd w:id="208"/>
      <w:bookmarkStart w:id="209" w:name="_Toc184314427"/>
      <w:bookmarkEnd w:id="209"/>
      <w:bookmarkStart w:id="210" w:name="_Toc184313305"/>
      <w:bookmarkEnd w:id="210"/>
      <w:bookmarkStart w:id="211" w:name="_Toc184310284"/>
      <w:bookmarkEnd w:id="211"/>
      <w:bookmarkStart w:id="212" w:name="_Toc184313306"/>
      <w:bookmarkEnd w:id="212"/>
      <w:bookmarkStart w:id="213" w:name="_Toc184308077"/>
      <w:bookmarkEnd w:id="213"/>
      <w:bookmarkStart w:id="214" w:name="_Toc184308058"/>
      <w:bookmarkEnd w:id="214"/>
      <w:bookmarkStart w:id="215" w:name="_Toc184308053"/>
      <w:bookmarkEnd w:id="215"/>
      <w:bookmarkStart w:id="216" w:name="_Toc184312082"/>
      <w:bookmarkEnd w:id="216"/>
      <w:bookmarkStart w:id="217" w:name="_Toc184314417"/>
      <w:bookmarkEnd w:id="217"/>
      <w:bookmarkStart w:id="218" w:name="_Toc184310328"/>
      <w:bookmarkEnd w:id="218"/>
      <w:bookmarkStart w:id="219" w:name="_Toc184312079"/>
      <w:bookmarkEnd w:id="219"/>
      <w:bookmarkStart w:id="220" w:name="_Toc184310283"/>
      <w:bookmarkEnd w:id="220"/>
      <w:bookmarkStart w:id="221" w:name="_Toc184314480"/>
      <w:bookmarkEnd w:id="221"/>
      <w:bookmarkStart w:id="222" w:name="_Toc184310332"/>
      <w:bookmarkEnd w:id="222"/>
      <w:bookmarkStart w:id="223" w:name="_Toc184310278"/>
      <w:bookmarkEnd w:id="223"/>
      <w:bookmarkStart w:id="224" w:name="_Toc184313251"/>
      <w:bookmarkEnd w:id="224"/>
      <w:bookmarkStart w:id="225" w:name="_Toc184310299"/>
      <w:bookmarkEnd w:id="225"/>
      <w:bookmarkStart w:id="226" w:name="_Toc184313300"/>
      <w:bookmarkEnd w:id="226"/>
      <w:bookmarkStart w:id="227" w:name="_Toc184308067"/>
      <w:bookmarkEnd w:id="227"/>
      <w:bookmarkStart w:id="228" w:name="_Toc184313294"/>
      <w:bookmarkEnd w:id="228"/>
      <w:bookmarkStart w:id="229" w:name="_Toc184312074"/>
      <w:bookmarkEnd w:id="229"/>
      <w:bookmarkStart w:id="230" w:name="_Toc184313307"/>
      <w:bookmarkEnd w:id="230"/>
      <w:bookmarkStart w:id="231" w:name="_Toc184310333"/>
      <w:bookmarkEnd w:id="231"/>
      <w:bookmarkStart w:id="232" w:name="_Toc184310296"/>
      <w:bookmarkEnd w:id="232"/>
      <w:bookmarkStart w:id="233" w:name="_Toc184313262"/>
      <w:bookmarkEnd w:id="233"/>
      <w:bookmarkStart w:id="234" w:name="_Toc184310313"/>
      <w:bookmarkEnd w:id="234"/>
      <w:bookmarkStart w:id="235" w:name="_Toc184314453"/>
      <w:bookmarkEnd w:id="235"/>
      <w:bookmarkStart w:id="236" w:name="_Toc184312129"/>
      <w:bookmarkEnd w:id="236"/>
      <w:bookmarkStart w:id="237" w:name="_Toc184312067"/>
      <w:bookmarkEnd w:id="237"/>
      <w:bookmarkStart w:id="238" w:name="_Toc184312075"/>
      <w:bookmarkEnd w:id="238"/>
      <w:bookmarkStart w:id="239" w:name="_Toc184312118"/>
      <w:bookmarkEnd w:id="239"/>
      <w:bookmarkStart w:id="240" w:name="_Toc184312101"/>
      <w:bookmarkEnd w:id="240"/>
      <w:bookmarkStart w:id="241" w:name="_Toc184310298"/>
      <w:bookmarkEnd w:id="241"/>
      <w:bookmarkStart w:id="242" w:name="_Toc184313258"/>
      <w:bookmarkEnd w:id="242"/>
      <w:bookmarkStart w:id="243" w:name="_Toc184312126"/>
      <w:bookmarkEnd w:id="243"/>
      <w:bookmarkStart w:id="244" w:name="_Toc184312069"/>
      <w:bookmarkEnd w:id="244"/>
      <w:bookmarkStart w:id="245" w:name="_Toc184308091"/>
      <w:bookmarkEnd w:id="245"/>
      <w:bookmarkStart w:id="246" w:name="_Toc184313266"/>
      <w:bookmarkEnd w:id="246"/>
      <w:bookmarkStart w:id="247" w:name="_Toc184314443"/>
      <w:bookmarkEnd w:id="247"/>
      <w:bookmarkStart w:id="248" w:name="_Toc184313268"/>
      <w:bookmarkEnd w:id="248"/>
      <w:bookmarkStart w:id="249" w:name="_Toc184314412"/>
      <w:bookmarkEnd w:id="249"/>
      <w:bookmarkStart w:id="250" w:name="_Toc184313250"/>
      <w:bookmarkEnd w:id="250"/>
      <w:bookmarkStart w:id="251" w:name="_Toc184314456"/>
      <w:bookmarkEnd w:id="251"/>
      <w:bookmarkStart w:id="252" w:name="_Toc184313282"/>
      <w:bookmarkEnd w:id="252"/>
      <w:bookmarkStart w:id="253" w:name="_Toc184310304"/>
      <w:bookmarkEnd w:id="253"/>
      <w:bookmarkStart w:id="254" w:name="_Toc184314448"/>
      <w:bookmarkEnd w:id="254"/>
      <w:bookmarkStart w:id="255" w:name="_Toc184314466"/>
      <w:bookmarkEnd w:id="255"/>
      <w:bookmarkStart w:id="256" w:name="_Toc184308052"/>
      <w:bookmarkEnd w:id="256"/>
      <w:bookmarkStart w:id="257" w:name="_Toc184313293"/>
      <w:bookmarkEnd w:id="257"/>
      <w:bookmarkStart w:id="258" w:name="_Toc184314414"/>
      <w:bookmarkEnd w:id="258"/>
      <w:bookmarkStart w:id="259" w:name="_Toc184313290"/>
      <w:bookmarkEnd w:id="259"/>
      <w:bookmarkStart w:id="260" w:name="_Toc184312078"/>
      <w:bookmarkEnd w:id="260"/>
      <w:bookmarkStart w:id="261" w:name="_Toc184312086"/>
      <w:bookmarkEnd w:id="261"/>
      <w:bookmarkStart w:id="262" w:name="_Toc184308107"/>
      <w:bookmarkEnd w:id="262"/>
      <w:bookmarkStart w:id="263" w:name="_Toc184308070"/>
      <w:bookmarkEnd w:id="263"/>
      <w:bookmarkStart w:id="264" w:name="_Toc184308062"/>
      <w:bookmarkEnd w:id="264"/>
      <w:bookmarkStart w:id="265" w:name="_Toc184308051"/>
      <w:bookmarkEnd w:id="265"/>
      <w:bookmarkStart w:id="266" w:name="_Toc184308093"/>
      <w:bookmarkEnd w:id="266"/>
      <w:bookmarkStart w:id="267" w:name="_Toc184313249"/>
      <w:bookmarkEnd w:id="267"/>
      <w:bookmarkStart w:id="268" w:name="_Toc184314469"/>
      <w:bookmarkEnd w:id="268"/>
      <w:bookmarkStart w:id="269" w:name="_Toc184310310"/>
      <w:bookmarkEnd w:id="269"/>
      <w:bookmarkStart w:id="270" w:name="_Toc184312084"/>
      <w:bookmarkEnd w:id="270"/>
      <w:bookmarkStart w:id="271" w:name="_Toc184308064"/>
      <w:bookmarkEnd w:id="271"/>
      <w:bookmarkStart w:id="272" w:name="_Toc184314460"/>
      <w:bookmarkEnd w:id="272"/>
      <w:bookmarkStart w:id="273" w:name="_Toc184310288"/>
      <w:bookmarkEnd w:id="273"/>
      <w:bookmarkStart w:id="274" w:name="_Toc184314442"/>
      <w:bookmarkEnd w:id="274"/>
      <w:bookmarkStart w:id="275" w:name="_Toc184310312"/>
      <w:bookmarkEnd w:id="275"/>
      <w:bookmarkStart w:id="276" w:name="_Toc184314420"/>
      <w:bookmarkEnd w:id="276"/>
      <w:bookmarkStart w:id="277" w:name="_Toc184312130"/>
      <w:bookmarkEnd w:id="277"/>
      <w:bookmarkStart w:id="278" w:name="_Toc184312119"/>
      <w:bookmarkEnd w:id="278"/>
      <w:bookmarkStart w:id="279" w:name="_Toc184312123"/>
      <w:bookmarkEnd w:id="279"/>
      <w:bookmarkStart w:id="280" w:name="_Toc184310324"/>
      <w:bookmarkEnd w:id="280"/>
      <w:bookmarkStart w:id="281" w:name="_Toc184310344"/>
      <w:bookmarkEnd w:id="281"/>
      <w:bookmarkStart w:id="282" w:name="_Toc184312134"/>
      <w:bookmarkEnd w:id="282"/>
      <w:bookmarkStart w:id="283" w:name="_Toc184313278"/>
      <w:bookmarkEnd w:id="283"/>
      <w:bookmarkStart w:id="284" w:name="_Toc184314459"/>
      <w:bookmarkEnd w:id="284"/>
      <w:bookmarkStart w:id="285" w:name="_Toc184308068"/>
      <w:bookmarkEnd w:id="285"/>
      <w:bookmarkStart w:id="286" w:name="_Toc184314445"/>
      <w:bookmarkEnd w:id="286"/>
      <w:bookmarkStart w:id="287" w:name="_Toc184308103"/>
      <w:bookmarkEnd w:id="287"/>
      <w:bookmarkStart w:id="288" w:name="_Toc184312105"/>
      <w:bookmarkEnd w:id="288"/>
      <w:bookmarkStart w:id="289" w:name="_Toc184314452"/>
      <w:bookmarkEnd w:id="289"/>
      <w:bookmarkStart w:id="290" w:name="_Toc184313288"/>
      <w:bookmarkEnd w:id="290"/>
      <w:bookmarkStart w:id="291" w:name="_Toc184313304"/>
      <w:bookmarkEnd w:id="291"/>
      <w:bookmarkStart w:id="292" w:name="_Toc184314437"/>
      <w:bookmarkEnd w:id="292"/>
      <w:bookmarkStart w:id="293" w:name="_Toc184308066"/>
      <w:bookmarkEnd w:id="293"/>
      <w:bookmarkStart w:id="294" w:name="_Toc184308047"/>
      <w:bookmarkEnd w:id="294"/>
      <w:bookmarkStart w:id="295" w:name="_Toc184308048"/>
      <w:bookmarkEnd w:id="295"/>
      <w:bookmarkStart w:id="296" w:name="_Toc184314447"/>
      <w:bookmarkEnd w:id="296"/>
      <w:bookmarkStart w:id="297" w:name="_Toc184314418"/>
      <w:bookmarkEnd w:id="297"/>
      <w:bookmarkStart w:id="298" w:name="_Toc184313238"/>
      <w:bookmarkEnd w:id="298"/>
      <w:bookmarkStart w:id="299" w:name="_Toc184308042"/>
      <w:bookmarkEnd w:id="299"/>
      <w:bookmarkStart w:id="300" w:name="_Toc184313275"/>
      <w:bookmarkEnd w:id="300"/>
      <w:bookmarkStart w:id="301" w:name="_Toc184308041"/>
      <w:bookmarkEnd w:id="301"/>
      <w:bookmarkStart w:id="302" w:name="_Toc184313257"/>
      <w:bookmarkEnd w:id="302"/>
      <w:bookmarkStart w:id="303" w:name="_Toc184310294"/>
      <w:bookmarkEnd w:id="303"/>
      <w:bookmarkStart w:id="304" w:name="_Toc184314457"/>
      <w:bookmarkEnd w:id="304"/>
      <w:bookmarkStart w:id="305" w:name="_Toc184313253"/>
      <w:bookmarkEnd w:id="305"/>
      <w:bookmarkStart w:id="306" w:name="_Toc184310337"/>
      <w:bookmarkEnd w:id="306"/>
      <w:bookmarkStart w:id="307" w:name="_Toc184310275"/>
      <w:bookmarkEnd w:id="307"/>
      <w:bookmarkStart w:id="308" w:name="_Toc184314413"/>
      <w:bookmarkEnd w:id="308"/>
      <w:bookmarkStart w:id="309" w:name="_Toc184313298"/>
      <w:bookmarkEnd w:id="309"/>
      <w:bookmarkStart w:id="310" w:name="_Toc184312093"/>
      <w:bookmarkEnd w:id="310"/>
      <w:bookmarkStart w:id="311" w:name="_Toc184310331"/>
      <w:bookmarkEnd w:id="311"/>
      <w:bookmarkStart w:id="312" w:name="_Toc184312083"/>
      <w:bookmarkEnd w:id="312"/>
      <w:bookmarkStart w:id="313" w:name="_Toc184314434"/>
      <w:bookmarkEnd w:id="313"/>
      <w:bookmarkStart w:id="314" w:name="_Toc184310342"/>
      <w:bookmarkEnd w:id="314"/>
      <w:bookmarkStart w:id="315" w:name="_Toc184308102"/>
      <w:bookmarkEnd w:id="315"/>
      <w:bookmarkStart w:id="316" w:name="_Toc184312100"/>
      <w:bookmarkEnd w:id="316"/>
      <w:bookmarkStart w:id="317" w:name="_Toc184313263"/>
      <w:bookmarkEnd w:id="317"/>
      <w:bookmarkStart w:id="318" w:name="_Toc184312081"/>
      <w:bookmarkEnd w:id="318"/>
      <w:bookmarkStart w:id="319" w:name="_Toc184314474"/>
      <w:bookmarkEnd w:id="319"/>
      <w:bookmarkStart w:id="320" w:name="_Toc184312113"/>
      <w:bookmarkEnd w:id="320"/>
      <w:bookmarkStart w:id="321" w:name="_Toc184314462"/>
      <w:bookmarkEnd w:id="321"/>
      <w:bookmarkStart w:id="322" w:name="_Toc184308083"/>
      <w:bookmarkEnd w:id="322"/>
      <w:bookmarkStart w:id="323" w:name="_Toc184308045"/>
      <w:bookmarkEnd w:id="323"/>
      <w:bookmarkStart w:id="324" w:name="_Toc184308079"/>
      <w:bookmarkEnd w:id="324"/>
      <w:bookmarkStart w:id="325" w:name="_Toc184310277"/>
      <w:bookmarkEnd w:id="325"/>
      <w:bookmarkStart w:id="326" w:name="_Toc184308071"/>
      <w:bookmarkEnd w:id="326"/>
      <w:bookmarkStart w:id="327" w:name="_Toc184313252"/>
      <w:bookmarkEnd w:id="327"/>
      <w:bookmarkStart w:id="328" w:name="_Toc184310287"/>
      <w:bookmarkEnd w:id="328"/>
      <w:bookmarkStart w:id="329" w:name="_Toc184314477"/>
      <w:bookmarkEnd w:id="329"/>
      <w:bookmarkStart w:id="330" w:name="_Toc184312135"/>
      <w:bookmarkEnd w:id="330"/>
      <w:bookmarkStart w:id="331" w:name="_Toc184310311"/>
      <w:bookmarkEnd w:id="331"/>
      <w:bookmarkStart w:id="332" w:name="_Toc184312115"/>
      <w:bookmarkEnd w:id="332"/>
      <w:bookmarkStart w:id="333" w:name="_Toc184310292"/>
      <w:bookmarkEnd w:id="333"/>
      <w:bookmarkStart w:id="334" w:name="_Toc184314422"/>
      <w:bookmarkEnd w:id="334"/>
      <w:bookmarkStart w:id="335" w:name="_Toc184313292"/>
      <w:bookmarkEnd w:id="335"/>
      <w:bookmarkStart w:id="336" w:name="_Toc184310316"/>
      <w:bookmarkEnd w:id="336"/>
      <w:bookmarkStart w:id="337" w:name="_Toc184310326"/>
      <w:bookmarkEnd w:id="337"/>
      <w:bookmarkStart w:id="338" w:name="_Toc184313243"/>
      <w:bookmarkEnd w:id="338"/>
      <w:bookmarkStart w:id="339" w:name="_Toc184312137"/>
      <w:bookmarkEnd w:id="339"/>
      <w:bookmarkStart w:id="340" w:name="_Toc184312070"/>
      <w:bookmarkEnd w:id="340"/>
      <w:bookmarkStart w:id="341" w:name="_Toc184314470"/>
      <w:bookmarkEnd w:id="341"/>
      <w:bookmarkStart w:id="342" w:name="_Toc184310327"/>
      <w:bookmarkEnd w:id="342"/>
      <w:bookmarkStart w:id="343" w:name="_Toc184312087"/>
      <w:bookmarkEnd w:id="343"/>
      <w:bookmarkStart w:id="344" w:name="_Toc184314421"/>
      <w:bookmarkEnd w:id="344"/>
      <w:bookmarkStart w:id="345" w:name="_Toc184310317"/>
      <w:bookmarkEnd w:id="345"/>
      <w:bookmarkStart w:id="346" w:name="_Toc184314425"/>
      <w:bookmarkEnd w:id="346"/>
      <w:bookmarkStart w:id="347" w:name="_Toc184312072"/>
      <w:bookmarkEnd w:id="347"/>
      <w:bookmarkStart w:id="348" w:name="_Toc184310301"/>
      <w:bookmarkEnd w:id="348"/>
      <w:bookmarkStart w:id="349" w:name="_Toc184310279"/>
      <w:bookmarkEnd w:id="349"/>
      <w:bookmarkStart w:id="350" w:name="_Toc184308037"/>
      <w:bookmarkEnd w:id="350"/>
      <w:bookmarkStart w:id="351" w:name="_Toc184308073"/>
      <w:bookmarkEnd w:id="351"/>
      <w:bookmarkStart w:id="352" w:name="_Toc184314423"/>
      <w:bookmarkEnd w:id="352"/>
      <w:bookmarkStart w:id="353" w:name="_Toc184310300"/>
      <w:bookmarkEnd w:id="353"/>
      <w:bookmarkStart w:id="354" w:name="_Toc184308049"/>
      <w:bookmarkEnd w:id="354"/>
      <w:bookmarkStart w:id="355" w:name="_Toc184308038"/>
      <w:bookmarkEnd w:id="355"/>
      <w:bookmarkStart w:id="356" w:name="_Toc184312108"/>
      <w:bookmarkEnd w:id="356"/>
      <w:bookmarkStart w:id="357" w:name="_Toc184312077"/>
      <w:bookmarkEnd w:id="357"/>
      <w:bookmarkStart w:id="358" w:name="_Toc184310276"/>
      <w:bookmarkEnd w:id="358"/>
      <w:bookmarkStart w:id="359" w:name="_Toc184308106"/>
      <w:bookmarkEnd w:id="359"/>
      <w:bookmarkStart w:id="360" w:name="_Toc184308099"/>
      <w:bookmarkEnd w:id="360"/>
      <w:bookmarkStart w:id="361" w:name="_Toc184310291"/>
      <w:bookmarkEnd w:id="361"/>
      <w:bookmarkStart w:id="362" w:name="_Toc184312095"/>
      <w:bookmarkEnd w:id="362"/>
      <w:bookmarkStart w:id="363" w:name="_Toc184310280"/>
      <w:bookmarkEnd w:id="363"/>
      <w:bookmarkStart w:id="364" w:name="_Toc184310309"/>
      <w:bookmarkEnd w:id="364"/>
      <w:bookmarkStart w:id="365" w:name="_Toc184310339"/>
      <w:bookmarkEnd w:id="365"/>
      <w:bookmarkStart w:id="366" w:name="_Toc184313241"/>
      <w:bookmarkEnd w:id="366"/>
      <w:bookmarkStart w:id="367" w:name="_Toc184314464"/>
      <w:bookmarkEnd w:id="367"/>
      <w:bookmarkStart w:id="368" w:name="_Toc184312117"/>
      <w:bookmarkEnd w:id="368"/>
      <w:bookmarkStart w:id="369" w:name="_Toc184312139"/>
      <w:bookmarkEnd w:id="369"/>
      <w:bookmarkStart w:id="370" w:name="_Toc184312122"/>
      <w:bookmarkEnd w:id="370"/>
      <w:bookmarkStart w:id="371" w:name="_Toc184310303"/>
      <w:bookmarkEnd w:id="371"/>
      <w:bookmarkStart w:id="372" w:name="_Toc184310329"/>
      <w:bookmarkEnd w:id="372"/>
      <w:bookmarkStart w:id="373" w:name="_Toc184314430"/>
      <w:bookmarkEnd w:id="373"/>
      <w:bookmarkStart w:id="374" w:name="_Toc184313248"/>
      <w:bookmarkEnd w:id="374"/>
      <w:bookmarkStart w:id="375" w:name="_Toc184314435"/>
      <w:bookmarkEnd w:id="375"/>
      <w:bookmarkStart w:id="376" w:name="_Toc184308094"/>
      <w:bookmarkEnd w:id="376"/>
      <w:bookmarkStart w:id="377" w:name="_Toc184310341"/>
      <w:bookmarkEnd w:id="377"/>
      <w:bookmarkStart w:id="378" w:name="_Toc184314439"/>
      <w:bookmarkEnd w:id="378"/>
      <w:bookmarkStart w:id="379" w:name="_Toc184314468"/>
      <w:bookmarkEnd w:id="379"/>
      <w:bookmarkStart w:id="380" w:name="_Toc184314467"/>
      <w:bookmarkEnd w:id="380"/>
      <w:bookmarkStart w:id="381" w:name="_Toc184313289"/>
      <w:bookmarkEnd w:id="381"/>
      <w:bookmarkStart w:id="382" w:name="_Toc184313239"/>
      <w:bookmarkEnd w:id="382"/>
      <w:bookmarkStart w:id="383" w:name="_Toc184312107"/>
      <w:bookmarkEnd w:id="383"/>
      <w:bookmarkStart w:id="384" w:name="_Toc184310334"/>
      <w:bookmarkEnd w:id="384"/>
      <w:bookmarkStart w:id="385" w:name="_Toc184314476"/>
      <w:bookmarkEnd w:id="385"/>
      <w:bookmarkStart w:id="386" w:name="_Toc184314438"/>
      <w:bookmarkEnd w:id="386"/>
      <w:bookmarkStart w:id="387" w:name="_Toc184310285"/>
      <w:bookmarkEnd w:id="387"/>
      <w:bookmarkStart w:id="388" w:name="_Toc184308065"/>
      <w:bookmarkEnd w:id="388"/>
      <w:bookmarkStart w:id="389" w:name="_Toc184310274"/>
      <w:bookmarkEnd w:id="389"/>
      <w:bookmarkStart w:id="390" w:name="_Toc184314458"/>
      <w:bookmarkEnd w:id="390"/>
      <w:bookmarkStart w:id="391" w:name="_Toc184313254"/>
      <w:bookmarkEnd w:id="391"/>
      <w:bookmarkStart w:id="392" w:name="_Toc184310295"/>
      <w:bookmarkEnd w:id="392"/>
      <w:bookmarkStart w:id="393" w:name="_Toc184312128"/>
      <w:bookmarkEnd w:id="393"/>
      <w:bookmarkStart w:id="394" w:name="_Toc184308043"/>
      <w:bookmarkEnd w:id="394"/>
      <w:bookmarkStart w:id="395" w:name="_Toc184310325"/>
      <w:bookmarkEnd w:id="395"/>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74"/>
        <w:tblW w:w="9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082"/>
        <w:gridCol w:w="1174"/>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082"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1174" w:type="dxa"/>
            <w:vAlign w:val="center"/>
          </w:tcPr>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分值</w:t>
            </w:r>
          </w:p>
        </w:tc>
        <w:tc>
          <w:tcPr>
            <w:tcW w:w="1786" w:type="dxa"/>
            <w:vAlign w:val="center"/>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082" w:type="dxa"/>
            <w:vAlign w:val="center"/>
          </w:tcPr>
          <w:p>
            <w:pPr>
              <w:wordWrap/>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根据供应商对项目</w:t>
            </w:r>
            <w:r>
              <w:rPr>
                <w:rFonts w:hint="eastAsia" w:ascii="宋体" w:hAnsi="宋体" w:eastAsia="宋体" w:cs="宋体"/>
                <w:b/>
                <w:bCs/>
                <w:color w:val="auto"/>
                <w:sz w:val="21"/>
                <w:szCs w:val="21"/>
                <w:highlight w:val="none"/>
                <w:lang w:val="en-US" w:eastAsia="zh-CN"/>
              </w:rPr>
              <w:t>背景</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val="en-US" w:eastAsia="zh-CN"/>
              </w:rPr>
              <w:t>对本区域的现状分析</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pPr>
              <w:wordWrap/>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项目背景与现状分析透彻，问题剖析全面、准确，完全符合实际情况的，得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wordWrap/>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项目背景与现状分析、问题剖析与实际情况基本吻合的，得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pPr>
              <w:wordWrap/>
              <w:adjustRightInd/>
              <w:spacing w:line="400" w:lineRule="exact"/>
              <w:textAlignment w:val="auto"/>
              <w:rPr>
                <w:rFonts w:ascii="宋体" w:hAnsi="宋体" w:cs="宋体"/>
                <w:color w:val="auto"/>
                <w:sz w:val="24"/>
                <w:highlight w:val="none"/>
              </w:rPr>
            </w:pPr>
            <w:r>
              <w:rPr>
                <w:rFonts w:hint="eastAsia" w:ascii="宋体" w:hAnsi="宋体" w:eastAsia="宋体" w:cs="宋体"/>
                <w:color w:val="auto"/>
                <w:sz w:val="21"/>
                <w:szCs w:val="21"/>
                <w:highlight w:val="none"/>
              </w:rPr>
              <w:t>项目背景与现状分析、问题剖析存在缺陷，与实际情况存在差距的，得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174" w:type="dxa"/>
            <w:vAlign w:val="center"/>
          </w:tcPr>
          <w:p>
            <w:pPr>
              <w:snapToGrid w:val="0"/>
              <w:jc w:val="center"/>
              <w:outlineLvl w:val="0"/>
              <w:rPr>
                <w:rFonts w:hint="default" w:ascii="宋体" w:hAnsi="宋体" w:cs="宋体"/>
                <w:bCs/>
                <w:color w:val="auto"/>
                <w:sz w:val="24"/>
                <w:highlight w:val="none"/>
                <w:lang w:val="en-US"/>
              </w:rPr>
            </w:pPr>
            <w:r>
              <w:rPr>
                <w:rFonts w:hint="eastAsia" w:ascii="宋体" w:hAnsi="宋体" w:cs="宋体"/>
                <w:bCs/>
                <w:color w:val="auto"/>
                <w:sz w:val="24"/>
                <w:highlight w:val="none"/>
                <w:lang w:val="en-US" w:eastAsia="zh-CN"/>
              </w:rPr>
              <w:t>10</w:t>
            </w:r>
          </w:p>
        </w:tc>
        <w:tc>
          <w:tcPr>
            <w:tcW w:w="1786" w:type="dxa"/>
            <w:vAlign w:val="center"/>
          </w:tcPr>
          <w:p>
            <w:pPr>
              <w:snapToGrid w:val="0"/>
              <w:jc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6082" w:type="dxa"/>
            <w:vAlign w:val="center"/>
          </w:tcPr>
          <w:p>
            <w:pPr>
              <w:wordWrap/>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根据供应商针对本项目提供的</w:t>
            </w:r>
            <w:r>
              <w:rPr>
                <w:rFonts w:hint="eastAsia" w:ascii="宋体" w:hAnsi="宋体" w:cs="宋体"/>
                <w:b/>
                <w:bCs/>
                <w:color w:val="auto"/>
                <w:sz w:val="21"/>
                <w:szCs w:val="21"/>
                <w:highlight w:val="none"/>
                <w:lang w:val="en-US" w:eastAsia="zh-CN"/>
              </w:rPr>
              <w:t>监理</w:t>
            </w:r>
            <w:r>
              <w:rPr>
                <w:rFonts w:hint="eastAsia" w:ascii="宋体" w:hAnsi="宋体" w:eastAsia="宋体" w:cs="宋体"/>
                <w:b/>
                <w:bCs/>
                <w:color w:val="auto"/>
                <w:sz w:val="21"/>
                <w:szCs w:val="21"/>
                <w:highlight w:val="none"/>
                <w:lang w:val="en-US" w:eastAsia="zh-CN"/>
              </w:rPr>
              <w:t>方案</w:t>
            </w:r>
            <w:r>
              <w:rPr>
                <w:rFonts w:hint="eastAsia" w:ascii="宋体" w:hAnsi="宋体" w:eastAsia="宋体" w:cs="宋体"/>
                <w:b/>
                <w:bCs/>
                <w:color w:val="auto"/>
                <w:sz w:val="21"/>
                <w:szCs w:val="21"/>
                <w:highlight w:val="none"/>
              </w:rPr>
              <w:t>进行综合评议：（</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wordWrap/>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监理方案</w:t>
            </w:r>
            <w:r>
              <w:rPr>
                <w:rFonts w:hint="eastAsia" w:ascii="宋体" w:hAnsi="宋体" w:eastAsia="宋体" w:cs="宋体"/>
                <w:color w:val="auto"/>
                <w:sz w:val="21"/>
                <w:szCs w:val="21"/>
                <w:highlight w:val="none"/>
              </w:rPr>
              <w:t>路线清晰、准确、完整，方案编制合理、可行，方法科学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合理的得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wordWrap/>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监理方案</w:t>
            </w:r>
            <w:r>
              <w:rPr>
                <w:rFonts w:hint="eastAsia" w:ascii="宋体" w:hAnsi="宋体" w:eastAsia="宋体" w:cs="宋体"/>
                <w:color w:val="auto"/>
                <w:sz w:val="21"/>
                <w:szCs w:val="21"/>
                <w:highlight w:val="none"/>
              </w:rPr>
              <w:t>路线准确，方案妥当，方法正确的得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wordWrap/>
              <w:adjustRightInd/>
              <w:spacing w:line="400" w:lineRule="exact"/>
              <w:textAlignment w:val="auto"/>
              <w:rPr>
                <w:rFonts w:ascii="宋体" w:hAnsi="宋体" w:cs="宋体"/>
                <w:color w:val="auto"/>
                <w:sz w:val="24"/>
                <w:highlight w:val="none"/>
              </w:rPr>
            </w:pPr>
            <w:r>
              <w:rPr>
                <w:rFonts w:hint="eastAsia" w:ascii="宋体" w:hAnsi="宋体" w:cs="宋体"/>
                <w:color w:val="auto"/>
                <w:sz w:val="21"/>
                <w:szCs w:val="21"/>
                <w:highlight w:val="none"/>
                <w:lang w:val="en-US" w:eastAsia="zh-CN"/>
              </w:rPr>
              <w:t>监理方案</w:t>
            </w:r>
            <w:r>
              <w:rPr>
                <w:rFonts w:hint="eastAsia" w:ascii="宋体" w:hAnsi="宋体" w:eastAsia="宋体" w:cs="宋体"/>
                <w:color w:val="auto"/>
                <w:sz w:val="21"/>
                <w:szCs w:val="21"/>
                <w:highlight w:val="none"/>
              </w:rPr>
              <w:t>存在明显缺陷或无法满足采购人需求的得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174"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20</w:t>
            </w:r>
          </w:p>
        </w:tc>
        <w:tc>
          <w:tcPr>
            <w:tcW w:w="1786" w:type="dxa"/>
            <w:vAlign w:val="center"/>
          </w:tcPr>
          <w:p>
            <w:pPr>
              <w:snapToGrid w:val="0"/>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082" w:type="dxa"/>
            <w:vAlign w:val="center"/>
          </w:tcPr>
          <w:p>
            <w:pPr>
              <w:wordWrap/>
              <w:adjustRightInd/>
              <w:spacing w:line="400" w:lineRule="exact"/>
              <w:ind w:right="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根据供应商针对本项目的重难点相应的解决方案进行评审：（</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p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重难点分析精准，解决</w:t>
            </w:r>
            <w:r>
              <w:rPr>
                <w:rFonts w:hint="eastAsia" w:ascii="宋体" w:hAnsi="宋体" w:eastAsia="宋体" w:cs="宋体"/>
                <w:color w:val="auto"/>
                <w:sz w:val="21"/>
                <w:szCs w:val="21"/>
                <w:highlight w:val="none"/>
              </w:rPr>
              <w:t>方案周密、科学、合理，完全符合采购人需求的得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重难点分析</w:t>
            </w:r>
            <w:r>
              <w:rPr>
                <w:rFonts w:hint="eastAsia" w:ascii="宋体" w:hAnsi="宋体" w:eastAsia="宋体" w:cs="宋体"/>
                <w:color w:val="auto"/>
                <w:sz w:val="21"/>
                <w:szCs w:val="21"/>
                <w:highlight w:val="none"/>
              </w:rPr>
              <w:t>基本合理，</w:t>
            </w:r>
            <w:r>
              <w:rPr>
                <w:rFonts w:hint="eastAsia" w:ascii="宋体" w:hAnsi="宋体" w:eastAsia="宋体" w:cs="宋体"/>
                <w:color w:val="auto"/>
                <w:sz w:val="21"/>
                <w:szCs w:val="21"/>
                <w:highlight w:val="none"/>
                <w:lang w:eastAsia="zh-CN"/>
              </w:rPr>
              <w:t>解决</w:t>
            </w:r>
            <w:r>
              <w:rPr>
                <w:rFonts w:hint="eastAsia" w:ascii="宋体" w:hAnsi="宋体" w:eastAsia="宋体" w:cs="宋体"/>
                <w:color w:val="auto"/>
                <w:sz w:val="21"/>
                <w:szCs w:val="21"/>
                <w:highlight w:val="none"/>
              </w:rPr>
              <w:t>方案能够符合采购人需求的得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wordWrap/>
              <w:autoSpaceDE w:val="0"/>
              <w:autoSpaceDN w:val="0"/>
              <w:adjustRightInd/>
              <w:spacing w:line="400" w:lineRule="exact"/>
              <w:ind w:right="0"/>
              <w:textAlignment w:val="auto"/>
              <w:rPr>
                <w:rFonts w:ascii="宋体" w:hAnsi="宋体" w:cs="宋体"/>
                <w:color w:val="auto"/>
                <w:sz w:val="24"/>
                <w:highlight w:val="none"/>
              </w:rPr>
            </w:pPr>
            <w:r>
              <w:rPr>
                <w:rFonts w:hint="eastAsia" w:ascii="宋体" w:hAnsi="宋体" w:eastAsia="宋体" w:cs="宋体"/>
                <w:color w:val="auto"/>
                <w:sz w:val="21"/>
                <w:szCs w:val="21"/>
                <w:highlight w:val="none"/>
              </w:rPr>
              <w:t>方案存在明显缺陷或无法满足采购人需求的得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174"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1786" w:type="dxa"/>
            <w:vAlign w:val="center"/>
          </w:tcPr>
          <w:p>
            <w:pPr>
              <w:snapToGrid w:val="0"/>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082" w:type="dxa"/>
            <w:vAlign w:val="center"/>
          </w:tcPr>
          <w:p>
            <w:pPr>
              <w:wordWrap/>
              <w:adjustRightInd/>
              <w:spacing w:line="400" w:lineRule="exact"/>
              <w:ind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根据供应商针对本项目提供的质量保证措施进行综合评议：（</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p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对质量保证重难点针对性强、措施具体、可行、易操作落实的得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对质量保证重难点具有一定针对性，措施基本合理的得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wordWrap/>
              <w:adjustRightInd/>
              <w:spacing w:line="400" w:lineRule="exact"/>
              <w:ind w:right="0"/>
              <w:textAlignment w:val="auto"/>
              <w:rPr>
                <w:rFonts w:ascii="宋体" w:hAnsi="宋体" w:cs="宋体"/>
                <w:color w:val="auto"/>
                <w:sz w:val="24"/>
                <w:highlight w:val="none"/>
              </w:rPr>
            </w:pPr>
            <w:r>
              <w:rPr>
                <w:rFonts w:hint="eastAsia" w:ascii="宋体" w:hAnsi="宋体" w:eastAsia="宋体" w:cs="宋体"/>
                <w:color w:val="auto"/>
                <w:sz w:val="21"/>
                <w:szCs w:val="21"/>
                <w:highlight w:val="none"/>
              </w:rPr>
              <w:t>质量保证措施存在明显缺陷或无法满足采购人需求的得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174" w:type="dxa"/>
            <w:vAlign w:val="center"/>
          </w:tcPr>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1786" w:type="dxa"/>
            <w:vAlign w:val="center"/>
          </w:tcPr>
          <w:p>
            <w:pPr>
              <w:snapToGrid w:val="0"/>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082" w:type="dxa"/>
            <w:vAlign w:val="center"/>
          </w:tcPr>
          <w:p>
            <w:pPr>
              <w:numPr>
                <w:numId w:val="0"/>
              </w:numPr>
              <w:wordWrap/>
              <w:adjustRightInd/>
              <w:spacing w:line="400" w:lineRule="exact"/>
              <w:ind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根据供应商针对</w:t>
            </w:r>
            <w:r>
              <w:rPr>
                <w:rFonts w:hint="eastAsia" w:ascii="宋体" w:hAnsi="宋体" w:eastAsia="宋体" w:cs="宋体"/>
                <w:b/>
                <w:bCs/>
                <w:color w:val="auto"/>
                <w:sz w:val="21"/>
                <w:szCs w:val="21"/>
                <w:highlight w:val="none"/>
                <w:lang w:val="en-US" w:eastAsia="zh-CN"/>
              </w:rPr>
              <w:t>本项目提供的</w:t>
            </w:r>
            <w:r>
              <w:rPr>
                <w:rFonts w:hint="eastAsia" w:ascii="宋体" w:hAnsi="宋体" w:eastAsia="宋体" w:cs="宋体"/>
                <w:b/>
                <w:bCs/>
                <w:color w:val="auto"/>
                <w:szCs w:val="21"/>
                <w:highlight w:val="none"/>
              </w:rPr>
              <w:t>工作进度保障措施</w:t>
            </w:r>
            <w:r>
              <w:rPr>
                <w:rFonts w:hint="eastAsia" w:ascii="宋体" w:hAnsi="宋体" w:eastAsia="宋体" w:cs="宋体"/>
                <w:b/>
                <w:bCs/>
                <w:color w:val="auto"/>
                <w:sz w:val="21"/>
                <w:szCs w:val="21"/>
                <w:highlight w:val="none"/>
              </w:rPr>
              <w:t>进行评议：</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pPr>
              <w:numPr>
                <w:numId w:val="0"/>
              </w:num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措施详细完整，</w:t>
            </w:r>
            <w:r>
              <w:rPr>
                <w:rFonts w:hint="eastAsia" w:ascii="宋体" w:hAnsi="宋体" w:eastAsia="宋体" w:cs="宋体"/>
                <w:color w:val="auto"/>
                <w:sz w:val="21"/>
                <w:szCs w:val="21"/>
                <w:highlight w:val="none"/>
                <w:lang w:val="en-US" w:eastAsia="zh-CN"/>
              </w:rPr>
              <w:t>进度得到保证</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numPr>
                <w:numId w:val="0"/>
              </w:numPr>
              <w:wordWrap/>
              <w:adjustRightIn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措施较完整，</w:t>
            </w:r>
            <w:r>
              <w:rPr>
                <w:rFonts w:hint="eastAsia" w:ascii="宋体" w:hAnsi="宋体" w:eastAsia="宋体" w:cs="宋体"/>
                <w:color w:val="auto"/>
                <w:sz w:val="21"/>
                <w:szCs w:val="21"/>
                <w:highlight w:val="none"/>
                <w:lang w:val="en-US" w:eastAsia="zh-CN"/>
              </w:rPr>
              <w:t>进度基本得到保证</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numPr>
                <w:numId w:val="0"/>
              </w:numPr>
              <w:wordWrap/>
              <w:adjustRightInd/>
              <w:spacing w:line="400" w:lineRule="exact"/>
              <w:ind w:left="0" w:leftChars="0" w:right="0" w:firstLine="0" w:firstLineChars="0"/>
              <w:textAlignment w:val="auto"/>
              <w:rPr>
                <w:rFonts w:ascii="宋体" w:hAnsi="宋体" w:cs="宋体"/>
                <w:color w:val="auto"/>
                <w:sz w:val="24"/>
                <w:highlight w:val="none"/>
              </w:rPr>
            </w:pPr>
            <w:r>
              <w:rPr>
                <w:rFonts w:hint="eastAsia" w:ascii="宋体" w:hAnsi="宋体" w:eastAsia="宋体" w:cs="宋体"/>
                <w:color w:val="auto"/>
                <w:sz w:val="21"/>
                <w:szCs w:val="21"/>
                <w:highlight w:val="none"/>
              </w:rPr>
              <w:t>措施不完整，</w:t>
            </w:r>
            <w:r>
              <w:rPr>
                <w:rFonts w:hint="eastAsia" w:ascii="宋体" w:hAnsi="宋体" w:eastAsia="宋体" w:cs="宋体"/>
                <w:color w:val="auto"/>
                <w:sz w:val="21"/>
                <w:szCs w:val="21"/>
                <w:highlight w:val="none"/>
                <w:lang w:val="en-US" w:eastAsia="zh-CN"/>
              </w:rPr>
              <w:t>无法保证进度</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174" w:type="dxa"/>
            <w:vAlign w:val="center"/>
          </w:tcPr>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1786" w:type="dxa"/>
            <w:vAlign w:val="center"/>
          </w:tcPr>
          <w:p>
            <w:pPr>
              <w:snapToGrid w:val="0"/>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6082"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根据供应商提供的合理化建议或其他优化服务承诺进行综合评议：（</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建议合理、服务承诺详细、完善的得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建议基本合理，服务承诺基本满足采购人需求的得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autoSpaceDE w:val="0"/>
              <w:autoSpaceDN w:val="0"/>
              <w:spacing w:line="400" w:lineRule="exact"/>
              <w:rPr>
                <w:rFonts w:ascii="宋体" w:hAnsi="宋体" w:cs="宋体"/>
                <w:color w:val="auto"/>
                <w:highlight w:val="none"/>
              </w:rPr>
            </w:pPr>
            <w:r>
              <w:rPr>
                <w:rFonts w:hint="eastAsia" w:ascii="宋体" w:hAnsi="宋体" w:eastAsia="宋体" w:cs="宋体"/>
                <w:color w:val="auto"/>
                <w:szCs w:val="21"/>
                <w:highlight w:val="none"/>
              </w:rPr>
              <w:t>建议存在明显缺陷或服务承诺无法满足采购人需求的得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1174" w:type="dxa"/>
            <w:vAlign w:val="center"/>
          </w:tcPr>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1786" w:type="dxa"/>
            <w:vAlign w:val="center"/>
          </w:tcPr>
          <w:p>
            <w:pPr>
              <w:snapToGrid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082" w:type="dxa"/>
            <w:vAlign w:val="center"/>
          </w:tcPr>
          <w:p>
            <w:pPr>
              <w:wordWrap/>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年1月1日至今，</w:t>
            </w:r>
            <w:r>
              <w:rPr>
                <w:rFonts w:hint="eastAsia" w:ascii="宋体" w:hAnsi="宋体" w:eastAsia="宋体" w:cs="宋体"/>
                <w:color w:val="auto"/>
                <w:szCs w:val="21"/>
                <w:highlight w:val="none"/>
                <w:lang w:val="en-US" w:eastAsia="zh-CN"/>
              </w:rPr>
              <w:t>完成</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val="en-US" w:eastAsia="zh-CN"/>
              </w:rPr>
              <w:t>市政公用工程监理</w:t>
            </w:r>
            <w:r>
              <w:rPr>
                <w:rFonts w:hint="eastAsia" w:ascii="宋体" w:hAnsi="宋体" w:eastAsia="宋体" w:cs="宋体"/>
                <w:color w:val="auto"/>
                <w:szCs w:val="21"/>
                <w:highlight w:val="none"/>
              </w:rPr>
              <w:t>项目业绩的，每提供一个得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完成时间以项目法人出具的合同工程完工验收鉴定书或行政主管部门出具的竣工验收鉴定书或质量监督机构出具的质量监督报告的日期为准。</w:t>
            </w:r>
          </w:p>
          <w:p>
            <w:pPr>
              <w:spacing w:line="400" w:lineRule="exact"/>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磋商响应文件中提供</w:t>
            </w:r>
            <w:r>
              <w:rPr>
                <w:rFonts w:hint="default" w:ascii="宋体" w:hAnsi="宋体" w:eastAsia="宋体" w:cs="宋体"/>
                <w:b/>
                <w:bCs/>
                <w:color w:val="auto"/>
                <w:szCs w:val="21"/>
                <w:highlight w:val="none"/>
              </w:rPr>
              <w:t>①</w:t>
            </w:r>
            <w:r>
              <w:rPr>
                <w:rFonts w:hint="eastAsia" w:ascii="宋体" w:hAnsi="宋体" w:eastAsia="宋体" w:cs="宋体"/>
                <w:b/>
                <w:bCs/>
                <w:color w:val="auto"/>
                <w:szCs w:val="21"/>
                <w:highlight w:val="none"/>
              </w:rPr>
              <w:t>合同</w:t>
            </w:r>
            <w:r>
              <w:rPr>
                <w:rFonts w:hint="eastAsia" w:ascii="宋体" w:hAnsi="宋体" w:eastAsia="宋体" w:cs="宋体"/>
                <w:b/>
                <w:bCs/>
                <w:color w:val="auto"/>
                <w:szCs w:val="21"/>
                <w:highlight w:val="none"/>
                <w:lang w:val="en-US" w:eastAsia="zh-CN"/>
              </w:rPr>
              <w:t>复印件</w:t>
            </w:r>
            <w:r>
              <w:rPr>
                <w:rFonts w:hint="eastAsia" w:ascii="宋体" w:hAnsi="宋体" w:eastAsia="宋体" w:cs="宋体"/>
                <w:b/>
                <w:bCs/>
                <w:color w:val="auto"/>
                <w:szCs w:val="21"/>
                <w:highlight w:val="none"/>
              </w:rPr>
              <w:t>加盖供应商公章</w:t>
            </w:r>
            <w:r>
              <w:rPr>
                <w:rFonts w:hint="eastAsia" w:ascii="宋体" w:hAnsi="宋体" w:eastAsia="宋体" w:cs="宋体"/>
                <w:b/>
                <w:bCs/>
                <w:color w:val="auto"/>
                <w:szCs w:val="21"/>
                <w:highlight w:val="none"/>
                <w:lang w:eastAsia="zh-CN"/>
              </w:rPr>
              <w:t>；</w:t>
            </w:r>
            <w:r>
              <w:rPr>
                <w:rFonts w:hint="default" w:ascii="宋体" w:hAnsi="宋体" w:eastAsia="宋体" w:cs="宋体"/>
                <w:b/>
                <w:bCs/>
                <w:color w:val="auto"/>
                <w:szCs w:val="21"/>
                <w:highlight w:val="none"/>
                <w:lang w:eastAsia="zh-CN"/>
              </w:rPr>
              <w:t>②</w:t>
            </w:r>
            <w:r>
              <w:rPr>
                <w:rFonts w:hint="eastAsia" w:ascii="宋体" w:hAnsi="宋体" w:eastAsia="宋体" w:cs="宋体"/>
                <w:b/>
                <w:bCs/>
                <w:color w:val="auto"/>
                <w:szCs w:val="21"/>
                <w:highlight w:val="none"/>
              </w:rPr>
              <w:t>项目法人出具的合同工程完工验收鉴定书或行政主管部门出具的竣工验收鉴定书或质量监督机构出具的质量监督报告</w:t>
            </w:r>
            <w:r>
              <w:rPr>
                <w:rFonts w:hint="eastAsia" w:ascii="宋体" w:hAnsi="宋体" w:eastAsia="宋体" w:cs="宋体"/>
                <w:b/>
                <w:bCs/>
                <w:color w:val="auto"/>
                <w:szCs w:val="21"/>
                <w:highlight w:val="none"/>
                <w:lang w:val="en-US" w:eastAsia="zh-CN"/>
              </w:rPr>
              <w:t>复印件</w:t>
            </w:r>
            <w:r>
              <w:rPr>
                <w:rFonts w:hint="eastAsia" w:ascii="宋体" w:hAnsi="宋体" w:eastAsia="宋体" w:cs="宋体"/>
                <w:b/>
                <w:bCs/>
                <w:color w:val="auto"/>
                <w:szCs w:val="21"/>
                <w:highlight w:val="none"/>
              </w:rPr>
              <w:t>加盖供应商公章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未能提供</w:t>
            </w:r>
            <w:r>
              <w:rPr>
                <w:rFonts w:hint="default" w:ascii="宋体" w:hAnsi="宋体" w:eastAsia="宋体" w:cs="宋体"/>
                <w:b/>
                <w:bCs/>
                <w:color w:val="auto"/>
                <w:szCs w:val="21"/>
                <w:highlight w:val="none"/>
              </w:rPr>
              <w:t>①</w:t>
            </w:r>
            <w:r>
              <w:rPr>
                <w:rFonts w:hint="eastAsia" w:ascii="宋体" w:hAnsi="宋体" w:eastAsia="宋体" w:cs="宋体"/>
                <w:b/>
                <w:bCs/>
                <w:color w:val="auto"/>
                <w:szCs w:val="21"/>
                <w:highlight w:val="none"/>
                <w:lang w:val="en-US" w:eastAsia="zh-CN"/>
              </w:rPr>
              <w:t>和</w:t>
            </w:r>
            <w:r>
              <w:rPr>
                <w:rFonts w:hint="default" w:ascii="宋体" w:hAnsi="宋体" w:eastAsia="宋体" w:cs="宋体"/>
                <w:b/>
                <w:bCs/>
                <w:color w:val="auto"/>
                <w:szCs w:val="21"/>
                <w:highlight w:val="none"/>
                <w:lang w:eastAsia="zh-CN"/>
              </w:rPr>
              <w:t>②</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rPr>
              <w:t>不得分</w:t>
            </w:r>
            <w:r>
              <w:rPr>
                <w:rFonts w:hint="eastAsia" w:ascii="宋体" w:hAnsi="宋体" w:eastAsia="宋体" w:cs="宋体"/>
                <w:b/>
                <w:bCs/>
                <w:color w:val="auto"/>
                <w:szCs w:val="21"/>
                <w:highlight w:val="none"/>
                <w:lang w:eastAsia="zh-CN"/>
              </w:rPr>
              <w:t>。</w:t>
            </w:r>
          </w:p>
        </w:tc>
        <w:tc>
          <w:tcPr>
            <w:tcW w:w="1174" w:type="dxa"/>
            <w:vAlign w:val="center"/>
          </w:tcPr>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1786" w:type="dxa"/>
            <w:vAlign w:val="center"/>
          </w:tcPr>
          <w:p>
            <w:pPr>
              <w:snapToGrid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91" w:type="dxa"/>
            <w:vAlign w:val="center"/>
          </w:tcPr>
          <w:p>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082" w:type="dxa"/>
            <w:vAlign w:val="center"/>
          </w:tcPr>
          <w:p>
            <w:pPr>
              <w:snapToGrid w:val="0"/>
              <w:outlineLvl w:val="0"/>
              <w:rPr>
                <w:rFonts w:ascii="宋体" w:hAnsi="宋体" w:cs="宋体"/>
                <w:color w:val="auto"/>
                <w:sz w:val="21"/>
                <w:szCs w:val="21"/>
                <w:highlight w:val="none"/>
              </w:rPr>
            </w:pPr>
            <w:r>
              <w:rPr>
                <w:rFonts w:hint="eastAsia" w:ascii="宋体" w:hAnsi="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］的计算公式计算。</w:t>
            </w:r>
          </w:p>
          <w:p>
            <w:pPr>
              <w:widowControl/>
              <w:shd w:val="clear" w:color="auto" w:fill="FFFFFF"/>
              <w:adjustRightInd/>
              <w:snapToGrid w:val="0"/>
              <w:jc w:val="left"/>
              <w:rPr>
                <w:rFonts w:ascii="宋体" w:hAnsi="宋体" w:cs="宋体"/>
                <w:color w:val="auto"/>
                <w:sz w:val="21"/>
                <w:szCs w:val="21"/>
                <w:highlight w:val="none"/>
              </w:rPr>
            </w:pPr>
            <w:r>
              <w:rPr>
                <w:rFonts w:hint="eastAsia" w:ascii="宋体" w:hAnsi="宋体" w:cs="宋体"/>
                <w:color w:val="auto"/>
                <w:sz w:val="21"/>
                <w:szCs w:val="21"/>
                <w:highlight w:val="none"/>
              </w:rPr>
              <w:t>评审过程中，不得去掉报价中的最高报价和最低报价。</w:t>
            </w:r>
          </w:p>
          <w:p>
            <w:pPr>
              <w:widowControl/>
              <w:shd w:val="clear" w:color="auto" w:fill="FFFFFF"/>
              <w:adjustRightInd/>
              <w:snapToGrid w:val="0"/>
              <w:jc w:val="left"/>
              <w:rPr>
                <w:rFonts w:ascii="宋体" w:hAnsi="宋体" w:cs="宋体"/>
                <w:color w:val="auto"/>
                <w:sz w:val="24"/>
                <w:highlight w:val="none"/>
              </w:rPr>
            </w:pPr>
            <w:r>
              <w:rPr>
                <w:rFonts w:hint="eastAsia" w:ascii="宋体" w:hAnsi="宋体" w:cs="宋体"/>
                <w:color w:val="auto"/>
                <w:sz w:val="21"/>
                <w:szCs w:val="21"/>
                <w:highlight w:val="none"/>
              </w:rPr>
              <w:t>因落实政府采购政策需要进行价格调整的，以调整后的价格计算评审基准价和最后报价。</w:t>
            </w:r>
          </w:p>
        </w:tc>
        <w:tc>
          <w:tcPr>
            <w:tcW w:w="1174" w:type="dxa"/>
            <w:vAlign w:val="center"/>
          </w:tcPr>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20</w:t>
            </w:r>
          </w:p>
        </w:tc>
        <w:tc>
          <w:tcPr>
            <w:tcW w:w="1786" w:type="dxa"/>
            <w:vAlign w:val="center"/>
          </w:tcPr>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*备注：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供应商编制响应文件（商务技术文件部分）时，建议按此目录（序号和内容）提供评审标准相应的商务技术资料。 </w:t>
      </w:r>
    </w:p>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2.每位评委独立逐栏打分，每栏分值不得超出本栏规定的分值范围；</w:t>
      </w:r>
    </w:p>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3.评审得分：计算各评委的综合评分的算术平均值，保留小数点后二位；</w:t>
      </w:r>
    </w:p>
    <w:p>
      <w:pPr>
        <w:snapToGrid w:val="0"/>
        <w:spacing w:line="360" w:lineRule="auto"/>
        <w:rPr>
          <w:rFonts w:hint="eastAsia" w:ascii="宋体" w:hAnsi="宋体" w:cs="宋体"/>
          <w:color w:val="auto"/>
          <w:sz w:val="24"/>
          <w:highlight w:val="none"/>
        </w:rPr>
      </w:pP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3.6.1大写金额和小写金额不一致的，以大写金额为准;</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随机抽取，先抽中我为先</w:t>
      </w:r>
      <w:r>
        <w:rPr>
          <w:rFonts w:hint="eastAsia" w:ascii="宋体" w:hAnsi="宋体" w:cs="宋体"/>
          <w:color w:val="auto"/>
          <w:kern w:val="0"/>
          <w:sz w:val="24"/>
          <w:highlight w:val="none"/>
        </w:rPr>
        <w:t>。响应文件满足采购文件全部实质性要求，且按照评审因素的量化指标评审得分由高到低顺序推荐3名以上成交候选供应商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8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9"/>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9"/>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9"/>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9"/>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9"/>
        <w:snapToGrid w:val="0"/>
        <w:spacing w:line="360" w:lineRule="auto"/>
        <w:rPr>
          <w:rFonts w:cs="宋体"/>
          <w:color w:val="auto"/>
          <w:highlight w:val="none"/>
        </w:rPr>
      </w:pPr>
      <w:r>
        <w:rPr>
          <w:rFonts w:hint="eastAsia" w:cs="宋体"/>
          <w:color w:val="auto"/>
          <w:highlight w:val="none"/>
        </w:rPr>
        <w:t>5.3除本办法第</w:t>
      </w:r>
      <w:r>
        <w:rPr>
          <w:rFonts w:hint="eastAsia" w:cs="宋体"/>
          <w:color w:val="auto"/>
          <w:highlight w:val="none"/>
          <w:lang w:val="en-US" w:eastAsia="zh-CN"/>
        </w:rPr>
        <w:t>3.3.1</w:t>
      </w:r>
      <w:r>
        <w:rPr>
          <w:rFonts w:hint="eastAsia" w:cs="宋体"/>
          <w:color w:val="auto"/>
          <w:highlight w:val="none"/>
        </w:rPr>
        <w:t>规定的情形外，在采购过程中符合要求的供应商或者</w:t>
      </w:r>
      <w:r>
        <w:rPr>
          <w:rFonts w:hint="eastAsia" w:cs="宋体"/>
          <w:color w:val="auto"/>
          <w:highlight w:val="none"/>
          <w:lang w:val="en-US" w:eastAsia="zh-CN"/>
        </w:rPr>
        <w:t>初次</w:t>
      </w:r>
      <w:r>
        <w:rPr>
          <w:rFonts w:hint="eastAsia" w:cs="宋体"/>
          <w:color w:val="auto"/>
          <w:highlight w:val="none"/>
        </w:rPr>
        <w:t>报价未超过采购预算的供应商不足3家的。</w:t>
      </w:r>
    </w:p>
    <w:p>
      <w:pPr>
        <w:pStyle w:val="29"/>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9"/>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9"/>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9"/>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9"/>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9"/>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9"/>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9"/>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pPr>
        <w:spacing w:line="360" w:lineRule="auto"/>
        <w:jc w:val="center"/>
        <w:outlineLvl w:val="0"/>
        <w:rPr>
          <w:rFonts w:hint="eastAsia" w:ascii="宋体" w:hAnsi="宋体"/>
          <w:snapToGrid w:val="0"/>
          <w:color w:val="auto"/>
          <w:kern w:val="0"/>
          <w:sz w:val="24"/>
          <w:szCs w:val="20"/>
          <w:highlight w:val="none"/>
        </w:rPr>
      </w:pPr>
      <w:bookmarkStart w:id="396" w:name="第五部分"/>
      <w:bookmarkStart w:id="397" w:name="_Toc86217003"/>
      <w:r>
        <w:rPr>
          <w:rFonts w:hint="eastAsia" w:ascii="宋体" w:hAnsi="宋体" w:cs="宋体"/>
          <w:b/>
          <w:color w:val="auto"/>
          <w:sz w:val="36"/>
          <w:szCs w:val="36"/>
          <w:highlight w:val="none"/>
        </w:rPr>
        <w:t>第五部分 合同样本</w:t>
      </w:r>
    </w:p>
    <w:p>
      <w:pPr>
        <w:spacing w:line="440" w:lineRule="exact"/>
        <w:jc w:val="center"/>
        <w:outlineLvl w:val="0"/>
        <w:rPr>
          <w:rFonts w:ascii="宋体" w:hAnsi="宋体"/>
          <w:b/>
          <w:sz w:val="36"/>
          <w:szCs w:val="36"/>
        </w:rPr>
      </w:pPr>
    </w:p>
    <w:p>
      <w:pPr>
        <w:spacing w:line="440" w:lineRule="exact"/>
        <w:outlineLvl w:val="0"/>
        <w:rPr>
          <w:rFonts w:ascii="宋体" w:hAnsi="宋体"/>
          <w:b/>
          <w:bCs/>
          <w:sz w:val="44"/>
          <w:szCs w:val="44"/>
        </w:rPr>
      </w:pPr>
    </w:p>
    <w:p>
      <w:pPr>
        <w:jc w:val="center"/>
        <w:outlineLvl w:val="0"/>
        <w:rPr>
          <w:rFonts w:ascii="宋体" w:hAnsi="宋体"/>
          <w:b/>
          <w:bCs/>
          <w:sz w:val="48"/>
          <w:szCs w:val="48"/>
        </w:rPr>
      </w:pPr>
      <w:r>
        <w:rPr>
          <w:rFonts w:hint="eastAsia" w:ascii="宋体" w:hAnsi="宋体" w:cs="宋体"/>
          <w:color w:val="auto"/>
          <w:sz w:val="48"/>
          <w:szCs w:val="48"/>
          <w:highlight w:val="none"/>
          <w:lang w:eastAsia="zh-CN"/>
        </w:rPr>
        <w:t>庵东镇西三片区污水主网及接纳工程监理</w:t>
      </w:r>
    </w:p>
    <w:p>
      <w:pPr>
        <w:snapToGrid w:val="0"/>
        <w:spacing w:line="480" w:lineRule="auto"/>
        <w:jc w:val="center"/>
        <w:rPr>
          <w:rFonts w:ascii="宋体" w:hAnsi="宋体"/>
          <w:b/>
          <w:spacing w:val="20"/>
          <w:sz w:val="72"/>
          <w:szCs w:val="72"/>
        </w:rPr>
      </w:pPr>
    </w:p>
    <w:p>
      <w:pPr>
        <w:snapToGrid w:val="0"/>
        <w:spacing w:line="480" w:lineRule="auto"/>
        <w:jc w:val="center"/>
        <w:rPr>
          <w:rFonts w:ascii="宋体" w:hAnsi="宋体"/>
          <w:b/>
          <w:spacing w:val="20"/>
          <w:sz w:val="72"/>
          <w:szCs w:val="72"/>
        </w:rPr>
      </w:pPr>
      <w:r>
        <w:rPr>
          <w:rFonts w:hint="eastAsia" w:ascii="宋体" w:hAnsi="宋体"/>
          <w:b/>
          <w:spacing w:val="20"/>
          <w:sz w:val="72"/>
          <w:szCs w:val="72"/>
        </w:rPr>
        <w:t>监理合同</w:t>
      </w:r>
    </w:p>
    <w:p>
      <w:pPr>
        <w:spacing w:line="440" w:lineRule="exact"/>
        <w:jc w:val="center"/>
        <w:outlineLvl w:val="0"/>
        <w:rPr>
          <w:rFonts w:ascii="宋体" w:hAnsi="宋体"/>
          <w:b/>
          <w:sz w:val="36"/>
          <w:szCs w:val="36"/>
        </w:rPr>
      </w:pPr>
    </w:p>
    <w:p>
      <w:pPr>
        <w:spacing w:line="440" w:lineRule="exact"/>
        <w:jc w:val="center"/>
        <w:outlineLvl w:val="0"/>
        <w:rPr>
          <w:rFonts w:ascii="宋体" w:hAnsi="宋体"/>
          <w:b/>
          <w:sz w:val="36"/>
          <w:szCs w:val="36"/>
        </w:rPr>
      </w:pPr>
    </w:p>
    <w:p>
      <w:pPr>
        <w:spacing w:line="440" w:lineRule="exact"/>
        <w:jc w:val="center"/>
        <w:outlineLvl w:val="0"/>
        <w:rPr>
          <w:rFonts w:ascii="宋体" w:hAnsi="宋体"/>
          <w:b/>
          <w:sz w:val="36"/>
          <w:szCs w:val="36"/>
        </w:rPr>
      </w:pPr>
    </w:p>
    <w:p>
      <w:pPr>
        <w:spacing w:line="440" w:lineRule="exact"/>
        <w:jc w:val="center"/>
        <w:outlineLvl w:val="0"/>
        <w:rPr>
          <w:rFonts w:ascii="宋体" w:hAnsi="宋体"/>
          <w:b/>
          <w:sz w:val="36"/>
          <w:szCs w:val="36"/>
        </w:rPr>
      </w:pPr>
    </w:p>
    <w:p>
      <w:pPr>
        <w:spacing w:line="440" w:lineRule="exact"/>
        <w:jc w:val="center"/>
        <w:outlineLvl w:val="0"/>
        <w:rPr>
          <w:rFonts w:ascii="宋体" w:hAnsi="宋体"/>
          <w:b/>
          <w:sz w:val="36"/>
          <w:szCs w:val="36"/>
        </w:rPr>
      </w:pPr>
    </w:p>
    <w:p>
      <w:pPr>
        <w:spacing w:line="440" w:lineRule="exact"/>
        <w:outlineLvl w:val="0"/>
        <w:rPr>
          <w:rFonts w:ascii="宋体" w:hAnsi="宋体"/>
          <w:b/>
          <w:sz w:val="36"/>
          <w:szCs w:val="36"/>
        </w:rPr>
      </w:pPr>
    </w:p>
    <w:p>
      <w:pPr>
        <w:spacing w:line="440" w:lineRule="exact"/>
        <w:outlineLvl w:val="0"/>
        <w:rPr>
          <w:rFonts w:ascii="宋体" w:hAnsi="宋体"/>
          <w:b/>
          <w:sz w:val="36"/>
          <w:szCs w:val="36"/>
        </w:rPr>
      </w:pPr>
    </w:p>
    <w:p>
      <w:pPr>
        <w:spacing w:line="440" w:lineRule="exact"/>
        <w:outlineLvl w:val="0"/>
        <w:rPr>
          <w:rFonts w:ascii="宋体" w:hAnsi="宋体"/>
          <w:b/>
          <w:sz w:val="36"/>
          <w:szCs w:val="36"/>
        </w:rPr>
      </w:pPr>
    </w:p>
    <w:p>
      <w:pPr>
        <w:spacing w:line="440" w:lineRule="exact"/>
        <w:outlineLvl w:val="0"/>
        <w:rPr>
          <w:rFonts w:ascii="宋体" w:hAnsi="宋体"/>
          <w:b/>
          <w:sz w:val="36"/>
          <w:szCs w:val="36"/>
        </w:rPr>
      </w:pPr>
    </w:p>
    <w:p>
      <w:pPr>
        <w:ind w:right="-150"/>
        <w:jc w:val="left"/>
        <w:rPr>
          <w:rFonts w:ascii="宋体"/>
          <w:b/>
          <w:sz w:val="28"/>
          <w:szCs w:val="28"/>
        </w:rPr>
      </w:pPr>
    </w:p>
    <w:p>
      <w:pPr>
        <w:ind w:right="-150" w:firstLine="1269" w:firstLineChars="395"/>
        <w:jc w:val="left"/>
        <w:rPr>
          <w:rFonts w:hint="eastAsia" w:ascii="宋体"/>
          <w:b/>
          <w:sz w:val="32"/>
          <w:szCs w:val="32"/>
        </w:rPr>
      </w:pPr>
    </w:p>
    <w:p>
      <w:pPr>
        <w:ind w:right="-150" w:firstLine="1269" w:firstLineChars="395"/>
        <w:jc w:val="left"/>
        <w:rPr>
          <w:rFonts w:hint="eastAsia" w:ascii="宋体"/>
          <w:b/>
          <w:sz w:val="32"/>
          <w:szCs w:val="32"/>
        </w:rPr>
      </w:pPr>
    </w:p>
    <w:p>
      <w:pPr>
        <w:widowControl w:val="0"/>
        <w:wordWrap/>
        <w:adjustRightInd w:val="0"/>
        <w:snapToGrid/>
        <w:spacing w:line="480" w:lineRule="auto"/>
        <w:ind w:left="0" w:leftChars="0" w:right="-150" w:firstLine="1264" w:firstLineChars="395"/>
        <w:jc w:val="left"/>
        <w:textAlignment w:val="auto"/>
        <w:outlineLvl w:val="9"/>
        <w:rPr>
          <w:rFonts w:ascii="宋体"/>
          <w:b/>
          <w:sz w:val="32"/>
          <w:szCs w:val="32"/>
        </w:rPr>
      </w:pPr>
      <w:r>
        <w:rPr>
          <w:rFonts w:hint="eastAsia" w:ascii="宋体"/>
          <w:b/>
          <w:sz w:val="32"/>
          <w:szCs w:val="32"/>
          <w:lang w:val="en-US" w:eastAsia="zh-CN"/>
        </w:rPr>
        <w:t xml:space="preserve">   </w:t>
      </w:r>
      <w:r>
        <w:rPr>
          <w:rFonts w:hint="eastAsia" w:ascii="宋体"/>
          <w:b/>
          <w:sz w:val="32"/>
          <w:szCs w:val="32"/>
        </w:rPr>
        <w:t>委托人：慈溪市庵东镇人民政府</w:t>
      </w:r>
    </w:p>
    <w:p>
      <w:pPr>
        <w:widowControl w:val="0"/>
        <w:wordWrap/>
        <w:adjustRightInd w:val="0"/>
        <w:snapToGrid/>
        <w:spacing w:line="480" w:lineRule="auto"/>
        <w:ind w:left="0" w:leftChars="0" w:right="-150" w:firstLine="1264" w:firstLineChars="395"/>
        <w:jc w:val="left"/>
        <w:textAlignment w:val="auto"/>
        <w:outlineLvl w:val="9"/>
        <w:rPr>
          <w:rFonts w:hint="eastAsia" w:ascii="宋体"/>
          <w:b/>
          <w:sz w:val="32"/>
          <w:szCs w:val="32"/>
        </w:rPr>
      </w:pPr>
      <w:r>
        <w:rPr>
          <w:rFonts w:hint="eastAsia" w:ascii="宋体"/>
          <w:b/>
          <w:sz w:val="32"/>
          <w:szCs w:val="32"/>
          <w:lang w:val="en-US" w:eastAsia="zh-CN"/>
        </w:rPr>
        <w:t xml:space="preserve">   </w:t>
      </w:r>
      <w:r>
        <w:rPr>
          <w:rFonts w:hint="eastAsia" w:ascii="宋体"/>
          <w:b/>
          <w:sz w:val="32"/>
          <w:szCs w:val="32"/>
        </w:rPr>
        <w:t>监理人：</w:t>
      </w:r>
    </w:p>
    <w:p>
      <w:pPr>
        <w:ind w:right="-150" w:firstLine="1269" w:firstLineChars="395"/>
        <w:jc w:val="left"/>
        <w:rPr>
          <w:rFonts w:ascii="宋体" w:hAnsi="宋体"/>
          <w:b/>
          <w:sz w:val="32"/>
          <w:szCs w:val="32"/>
        </w:rPr>
      </w:pPr>
      <w:r>
        <w:rPr>
          <w:rFonts w:hint="eastAsia" w:ascii="宋体" w:hAnsi="宋体"/>
          <w:b/>
          <w:sz w:val="32"/>
          <w:szCs w:val="32"/>
        </w:rPr>
        <w:t xml:space="preserve">   </w:t>
      </w:r>
    </w:p>
    <w:p>
      <w:pPr>
        <w:ind w:right="-150" w:firstLine="1269" w:firstLineChars="395"/>
        <w:jc w:val="left"/>
        <w:rPr>
          <w:rFonts w:hint="eastAsia" w:ascii="宋体" w:hAnsi="宋体" w:eastAsia="宋体" w:cs="Times New Roman"/>
          <w:b/>
          <w:bCs/>
          <w:color w:val="auto"/>
          <w:sz w:val="28"/>
          <w:szCs w:val="28"/>
          <w:highlight w:val="none"/>
        </w:rPr>
      </w:pPr>
      <w:r>
        <w:rPr>
          <w:rFonts w:hint="eastAsia" w:ascii="宋体" w:hAnsi="宋体"/>
          <w:b/>
          <w:sz w:val="32"/>
          <w:szCs w:val="32"/>
        </w:rPr>
        <w:t xml:space="preserve"> </w:t>
      </w:r>
      <w:bookmarkStart w:id="398" w:name="_Toc40625921"/>
    </w:p>
    <w:p>
      <w:pPr>
        <w:numPr>
          <w:ilvl w:val="0"/>
          <w:numId w:val="1"/>
        </w:numPr>
        <w:tabs>
          <w:tab w:val="left" w:pos="3120"/>
        </w:tabs>
        <w:spacing w:line="440" w:lineRule="exact"/>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协议书</w:t>
      </w:r>
    </w:p>
    <w:p>
      <w:pPr>
        <w:numPr>
          <w:numId w:val="0"/>
        </w:numPr>
        <w:tabs>
          <w:tab w:val="left" w:pos="3120"/>
        </w:tabs>
        <w:spacing w:line="440" w:lineRule="exact"/>
        <w:jc w:val="both"/>
        <w:rPr>
          <w:rFonts w:hint="eastAsia" w:ascii="宋体" w:hAnsi="宋体" w:eastAsia="宋体" w:cs="Times New Roman"/>
          <w:b/>
          <w:bCs/>
          <w:color w:val="auto"/>
          <w:sz w:val="28"/>
          <w:szCs w:val="28"/>
          <w:highlight w:val="none"/>
        </w:rPr>
      </w:pP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委托人（全称）：</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监理人（全称）：</w:t>
      </w:r>
      <w:r>
        <w:rPr>
          <w:rFonts w:hint="eastAsia" w:ascii="宋体" w:hAnsi="宋体" w:eastAsia="宋体" w:cs="Times New Roman"/>
          <w:b/>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399" w:name="_Toc457912295"/>
      <w:bookmarkStart w:id="400" w:name="_Toc14843"/>
      <w:bookmarkStart w:id="401" w:name="_Toc28323"/>
      <w:r>
        <w:rPr>
          <w:rFonts w:hint="eastAsia" w:ascii="宋体" w:hAnsi="宋体" w:eastAsia="宋体" w:cs="Times New Roman"/>
          <w:b/>
          <w:color w:val="auto"/>
          <w:sz w:val="24"/>
          <w:szCs w:val="24"/>
          <w:highlight w:val="none"/>
        </w:rPr>
        <w:t>一、工程概况</w:t>
      </w:r>
      <w:bookmarkEnd w:id="399"/>
      <w:bookmarkEnd w:id="400"/>
      <w:bookmarkEnd w:id="401"/>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工程名称：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工程地点：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工程规模：</w:t>
      </w:r>
      <w:r>
        <w:rPr>
          <w:rFonts w:hint="eastAsia" w:ascii="Times New Roman" w:hAnsi="Times New Roman"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工程概算</w:t>
      </w:r>
      <w:r>
        <w:rPr>
          <w:rFonts w:hint="eastAsia" w:ascii="宋体" w:hAnsi="宋体" w:eastAsia="宋体" w:cs="Times New Roman"/>
          <w:color w:val="auto"/>
          <w:kern w:val="0"/>
          <w:sz w:val="24"/>
          <w:szCs w:val="24"/>
          <w:highlight w:val="none"/>
        </w:rPr>
        <w:t>投资</w:t>
      </w:r>
      <w:r>
        <w:rPr>
          <w:rFonts w:hint="eastAsia" w:ascii="宋体" w:hAnsi="宋体" w:eastAsia="宋体" w:cs="宋体"/>
          <w:color w:val="auto"/>
          <w:kern w:val="0"/>
          <w:sz w:val="24"/>
          <w:szCs w:val="24"/>
          <w:highlight w:val="none"/>
        </w:rPr>
        <w:t>额</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二、词语限定</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协议书中相关词语的含义与通用条件中的定义与解释相同。</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02" w:name="_Toc457912296"/>
      <w:bookmarkStart w:id="403" w:name="_Toc28606"/>
      <w:bookmarkStart w:id="404" w:name="_Toc17312"/>
      <w:r>
        <w:rPr>
          <w:rFonts w:hint="eastAsia" w:ascii="宋体" w:hAnsi="宋体" w:eastAsia="宋体" w:cs="Times New Roman"/>
          <w:b/>
          <w:color w:val="auto"/>
          <w:sz w:val="24"/>
          <w:szCs w:val="24"/>
          <w:highlight w:val="none"/>
        </w:rPr>
        <w:t>三、组成本合同的文件</w:t>
      </w:r>
      <w:bookmarkEnd w:id="402"/>
      <w:bookmarkEnd w:id="403"/>
      <w:bookmarkEnd w:id="404"/>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协议书；</w:t>
      </w:r>
    </w:p>
    <w:p>
      <w:pPr>
        <w:widowControl w:val="0"/>
        <w:wordWrap/>
        <w:adjustRightInd w:val="0"/>
        <w:snapToGrid/>
        <w:spacing w:line="408" w:lineRule="auto"/>
        <w:ind w:left="0" w:leftChars="0" w:right="0" w:firstLine="42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成交通知书；</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报价文件；</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专用条件；</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 通用条件；</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本合同签订后，双方依法签订的补充协议也是本合同文件的组成部分。</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05" w:name="_Toc20782"/>
      <w:bookmarkStart w:id="406" w:name="_Toc457912297"/>
      <w:bookmarkStart w:id="407" w:name="_Toc10134"/>
      <w:r>
        <w:rPr>
          <w:rFonts w:hint="eastAsia" w:ascii="宋体" w:hAnsi="宋体" w:eastAsia="宋体" w:cs="Times New Roman"/>
          <w:b/>
          <w:color w:val="auto"/>
          <w:sz w:val="24"/>
          <w:szCs w:val="24"/>
          <w:highlight w:val="none"/>
        </w:rPr>
        <w:t>四、总监理工程师</w:t>
      </w:r>
      <w:bookmarkEnd w:id="405"/>
      <w:bookmarkEnd w:id="406"/>
      <w:bookmarkEnd w:id="407"/>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总监理工程师姓名：</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，身份证号码：</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，注册号：</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08" w:name="_Toc17074"/>
      <w:bookmarkStart w:id="409" w:name="_Toc22408"/>
      <w:bookmarkStart w:id="410" w:name="_Toc457912298"/>
      <w:r>
        <w:rPr>
          <w:rFonts w:hint="eastAsia" w:ascii="宋体" w:hAnsi="宋体" w:eastAsia="宋体" w:cs="Times New Roman"/>
          <w:b/>
          <w:color w:val="auto"/>
          <w:sz w:val="24"/>
          <w:szCs w:val="24"/>
          <w:highlight w:val="none"/>
        </w:rPr>
        <w:t>五、签约酬金</w:t>
      </w:r>
      <w:bookmarkEnd w:id="408"/>
      <w:bookmarkEnd w:id="409"/>
      <w:bookmarkEnd w:id="410"/>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签约酬金（大写）：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11" w:name="_Toc457912299"/>
      <w:bookmarkStart w:id="412" w:name="_Toc32601"/>
      <w:bookmarkStart w:id="413" w:name="_Toc31145"/>
      <w:r>
        <w:rPr>
          <w:rFonts w:hint="eastAsia" w:ascii="宋体" w:hAnsi="宋体" w:eastAsia="宋体" w:cs="Times New Roman"/>
          <w:b/>
          <w:color w:val="auto"/>
          <w:sz w:val="24"/>
          <w:szCs w:val="24"/>
          <w:highlight w:val="none"/>
        </w:rPr>
        <w:t>六、期限</w:t>
      </w:r>
      <w:bookmarkEnd w:id="411"/>
      <w:bookmarkEnd w:id="412"/>
      <w:bookmarkEnd w:id="413"/>
    </w:p>
    <w:p>
      <w:pPr>
        <w:widowControl w:val="0"/>
        <w:wordWrap/>
        <w:adjustRightInd w:val="0"/>
        <w:snapToGrid/>
        <w:spacing w:line="408" w:lineRule="auto"/>
        <w:ind w:left="0" w:leftChars="0" w:right="0" w:firstLine="42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自合同签订之日起至本项目缺陷责任期满止</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14" w:name="_Toc13984"/>
      <w:bookmarkStart w:id="415" w:name="_Toc5165"/>
      <w:bookmarkStart w:id="416" w:name="_Toc457912300"/>
      <w:r>
        <w:rPr>
          <w:rFonts w:hint="eastAsia" w:ascii="宋体" w:hAnsi="宋体" w:eastAsia="宋体" w:cs="Times New Roman"/>
          <w:b/>
          <w:color w:val="auto"/>
          <w:sz w:val="24"/>
          <w:szCs w:val="24"/>
          <w:highlight w:val="none"/>
        </w:rPr>
        <w:t>七、双方承诺</w:t>
      </w:r>
      <w:bookmarkEnd w:id="414"/>
      <w:bookmarkEnd w:id="415"/>
      <w:bookmarkEnd w:id="416"/>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17" w:name="_Toc17288"/>
      <w:bookmarkStart w:id="418" w:name="_Toc8346"/>
      <w:bookmarkStart w:id="419" w:name="_Toc457912301"/>
      <w:r>
        <w:rPr>
          <w:rFonts w:hint="eastAsia" w:ascii="宋体" w:hAnsi="宋体" w:eastAsia="宋体" w:cs="Times New Roman"/>
          <w:color w:val="auto"/>
          <w:sz w:val="24"/>
          <w:szCs w:val="24"/>
          <w:highlight w:val="none"/>
        </w:rPr>
        <w:t>1. 监理人向委托人承诺，按照本合同约定</w:t>
      </w:r>
      <w:r>
        <w:rPr>
          <w:rFonts w:hint="eastAsia" w:ascii="宋体" w:hAnsi="宋体" w:eastAsia="宋体" w:cs="Times New Roman"/>
          <w:color w:val="auto"/>
          <w:kern w:val="0"/>
          <w:sz w:val="24"/>
          <w:szCs w:val="24"/>
          <w:highlight w:val="none"/>
        </w:rPr>
        <w:t>提供</w:t>
      </w:r>
      <w:r>
        <w:rPr>
          <w:rFonts w:hint="eastAsia" w:ascii="宋体" w:hAnsi="宋体" w:eastAsia="宋体" w:cs="Times New Roman"/>
          <w:color w:val="auto"/>
          <w:sz w:val="24"/>
          <w:szCs w:val="24"/>
          <w:highlight w:val="none"/>
        </w:rPr>
        <w:t>监理与相关服务。</w:t>
      </w:r>
      <w:bookmarkEnd w:id="417"/>
      <w:bookmarkEnd w:id="418"/>
      <w:bookmarkEnd w:id="419"/>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color w:val="auto"/>
          <w:sz w:val="24"/>
          <w:szCs w:val="24"/>
          <w:highlight w:val="none"/>
        </w:rPr>
      </w:pPr>
      <w:bookmarkStart w:id="420" w:name="_Toc2906"/>
      <w:bookmarkStart w:id="421" w:name="_Toc457912302"/>
      <w:bookmarkStart w:id="422" w:name="_Toc21834"/>
      <w:r>
        <w:rPr>
          <w:rFonts w:hint="eastAsia" w:ascii="宋体" w:hAnsi="宋体" w:eastAsia="宋体" w:cs="Times New Roman"/>
          <w:color w:val="auto"/>
          <w:sz w:val="24"/>
          <w:szCs w:val="24"/>
          <w:highlight w:val="none"/>
        </w:rPr>
        <w:t>2. 委托人向监理人承诺，按照本合同约定派遣相应的人员，提供</w:t>
      </w:r>
      <w:r>
        <w:rPr>
          <w:rFonts w:hint="eastAsia" w:ascii="宋体" w:hAnsi="宋体" w:eastAsia="宋体" w:cs="Times New Roman"/>
          <w:bCs/>
          <w:color w:val="auto"/>
          <w:sz w:val="24"/>
          <w:szCs w:val="24"/>
          <w:highlight w:val="none"/>
        </w:rPr>
        <w:t>资料</w:t>
      </w:r>
      <w:r>
        <w:rPr>
          <w:rFonts w:hint="eastAsia" w:ascii="宋体" w:hAnsi="宋体" w:eastAsia="宋体" w:cs="Times New Roman"/>
          <w:color w:val="auto"/>
          <w:sz w:val="24"/>
          <w:szCs w:val="24"/>
          <w:highlight w:val="none"/>
        </w:rPr>
        <w:t>、设备，并按本合同约定支付酬金。</w:t>
      </w:r>
      <w:bookmarkEnd w:id="420"/>
      <w:bookmarkEnd w:id="421"/>
      <w:bookmarkEnd w:id="422"/>
    </w:p>
    <w:p>
      <w:pPr>
        <w:widowControl w:val="0"/>
        <w:wordWrap/>
        <w:adjustRightInd w:val="0"/>
        <w:snapToGrid/>
        <w:spacing w:line="408" w:lineRule="auto"/>
        <w:ind w:left="0" w:leftChars="0" w:right="0" w:firstLine="420" w:firstLineChars="200"/>
        <w:textAlignment w:val="auto"/>
        <w:outlineLvl w:val="0"/>
        <w:rPr>
          <w:rFonts w:hint="eastAsia" w:ascii="宋体" w:hAnsi="宋体" w:eastAsia="宋体" w:cs="Times New Roman"/>
          <w:b/>
          <w:color w:val="auto"/>
          <w:sz w:val="24"/>
          <w:szCs w:val="24"/>
          <w:highlight w:val="none"/>
        </w:rPr>
      </w:pPr>
      <w:bookmarkStart w:id="423" w:name="_Toc28466"/>
      <w:bookmarkStart w:id="424" w:name="_Toc17538"/>
      <w:bookmarkStart w:id="425" w:name="_Toc457912303"/>
      <w:r>
        <w:rPr>
          <w:rFonts w:hint="eastAsia" w:ascii="宋体" w:hAnsi="宋体" w:eastAsia="宋体" w:cs="Times New Roman"/>
          <w:b/>
          <w:color w:val="auto"/>
          <w:sz w:val="24"/>
          <w:szCs w:val="24"/>
          <w:highlight w:val="none"/>
        </w:rPr>
        <w:t>八、合同订立</w:t>
      </w:r>
      <w:bookmarkEnd w:id="423"/>
      <w:bookmarkEnd w:id="424"/>
      <w:bookmarkEnd w:id="425"/>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订立时间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订立地点：</w:t>
      </w:r>
      <w:r>
        <w:rPr>
          <w:rFonts w:hint="eastAsia" w:ascii="宋体" w:hAnsi="宋体" w:eastAsia="宋体" w:cs="Times New Roman"/>
          <w:color w:val="auto"/>
          <w:sz w:val="24"/>
          <w:szCs w:val="24"/>
          <w:highlight w:val="none"/>
          <w:u w:val="single"/>
        </w:rPr>
        <w:t>宁波前湾新区</w:t>
      </w:r>
      <w:r>
        <w:rPr>
          <w:rFonts w:hint="eastAsia" w:ascii="宋体" w:hAnsi="宋体" w:eastAsia="宋体" w:cs="Times New Roman"/>
          <w:color w:val="auto"/>
          <w:sz w:val="24"/>
          <w:szCs w:val="24"/>
          <w:highlight w:val="none"/>
        </w:rPr>
        <w:t>。</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本合同正本一式两份，双方各执一份，具有同等法律效力，副本六份，委托人四份，监理人两份。</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委托人：</w:t>
      </w:r>
      <w:r>
        <w:rPr>
          <w:rFonts w:hint="eastAsia" w:ascii="宋体" w:hAnsi="宋体" w:eastAsia="宋体" w:cs="Times New Roman"/>
          <w:color w:val="auto"/>
          <w:sz w:val="24"/>
          <w:szCs w:val="24"/>
          <w:highlight w:val="none"/>
          <w:u w:val="single"/>
        </w:rPr>
        <w:t xml:space="preserve">      （盖章）           </w:t>
      </w:r>
      <w:r>
        <w:rPr>
          <w:rFonts w:hint="eastAsia" w:ascii="宋体" w:hAnsi="宋体" w:eastAsia="宋体" w:cs="Times New Roman"/>
          <w:color w:val="auto"/>
          <w:sz w:val="24"/>
          <w:szCs w:val="24"/>
          <w:highlight w:val="none"/>
        </w:rPr>
        <w:t xml:space="preserve">      监理人：</w:t>
      </w:r>
      <w:r>
        <w:rPr>
          <w:rFonts w:hint="eastAsia" w:ascii="宋体" w:hAnsi="宋体" w:eastAsia="宋体" w:cs="Times New Roman"/>
          <w:color w:val="auto"/>
          <w:sz w:val="24"/>
          <w:szCs w:val="24"/>
          <w:highlight w:val="none"/>
          <w:u w:val="single"/>
        </w:rPr>
        <w:t xml:space="preserve">        （盖章）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住所：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住所：</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邮政编码：</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法定代表人或其授权                     法定代表人或其授权</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的代理人：</w:t>
      </w:r>
      <w:r>
        <w:rPr>
          <w:rFonts w:hint="eastAsia" w:ascii="宋体" w:hAnsi="宋体" w:eastAsia="宋体" w:cs="Times New Roman"/>
          <w:color w:val="auto"/>
          <w:sz w:val="24"/>
          <w:szCs w:val="24"/>
          <w:highlight w:val="none"/>
          <w:u w:val="single"/>
        </w:rPr>
        <w:t xml:space="preserve">    （签字或盖章）     </w:t>
      </w:r>
      <w:r>
        <w:rPr>
          <w:rFonts w:hint="eastAsia" w:ascii="宋体" w:hAnsi="宋体" w:eastAsia="宋体" w:cs="Times New Roman"/>
          <w:color w:val="auto"/>
          <w:sz w:val="24"/>
          <w:szCs w:val="24"/>
          <w:highlight w:val="none"/>
        </w:rPr>
        <w:t xml:space="preserve">      的代理人：</w:t>
      </w:r>
      <w:r>
        <w:rPr>
          <w:rFonts w:hint="eastAsia" w:ascii="宋体" w:hAnsi="宋体" w:eastAsia="宋体" w:cs="Times New Roman"/>
          <w:color w:val="auto"/>
          <w:sz w:val="24"/>
          <w:szCs w:val="24"/>
          <w:highlight w:val="none"/>
          <w:u w:val="single"/>
        </w:rPr>
        <w:t xml:space="preserve">（签字或盖章）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开户银行：</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开户银行：</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账号：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账号：</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电话：</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传真：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传真：</w:t>
      </w:r>
      <w:r>
        <w:rPr>
          <w:rFonts w:hint="eastAsia" w:ascii="宋体" w:hAnsi="宋体" w:eastAsia="宋体" w:cs="Times New Roman"/>
          <w:color w:val="auto"/>
          <w:sz w:val="24"/>
          <w:szCs w:val="24"/>
          <w:highlight w:val="none"/>
          <w:u w:val="single"/>
        </w:rPr>
        <w:t xml:space="preserve">                         </w:t>
      </w:r>
    </w:p>
    <w:p>
      <w:pPr>
        <w:widowControl w:val="0"/>
        <w:wordWrap/>
        <w:adjustRightInd w:val="0"/>
        <w:snapToGrid/>
        <w:spacing w:line="408" w:lineRule="auto"/>
        <w:ind w:left="0" w:leftChars="0" w:right="0" w:firstLine="420" w:firstLineChars="200"/>
        <w:textAlignment w:val="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电子邮箱：</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电子邮箱：</w:t>
      </w:r>
      <w:r>
        <w:rPr>
          <w:rFonts w:hint="eastAsia" w:ascii="宋体" w:hAnsi="宋体" w:eastAsia="宋体" w:cs="Times New Roman"/>
          <w:color w:val="auto"/>
          <w:sz w:val="24"/>
          <w:szCs w:val="24"/>
          <w:highlight w:val="none"/>
          <w:u w:val="single"/>
        </w:rPr>
        <w:t xml:space="preserve">                     </w:t>
      </w:r>
    </w:p>
    <w:p>
      <w:pPr>
        <w:pageBreakBefore/>
        <w:spacing w:line="360" w:lineRule="auto"/>
        <w:jc w:val="center"/>
        <w:rPr>
          <w:rFonts w:hint="eastAsia" w:ascii="Times New Roman" w:hAnsi="Times New Roman" w:eastAsia="宋体" w:cs="Times New Roman"/>
          <w:color w:val="auto"/>
          <w:szCs w:val="24"/>
          <w:highlight w:val="none"/>
        </w:rPr>
      </w:pPr>
      <w:r>
        <w:rPr>
          <w:rFonts w:hint="eastAsia" w:ascii="宋体" w:hAnsi="宋体" w:eastAsia="宋体" w:cs="Times New Roman"/>
          <w:b/>
          <w:color w:val="auto"/>
          <w:sz w:val="28"/>
          <w:szCs w:val="28"/>
          <w:highlight w:val="none"/>
        </w:rPr>
        <w:t>2、通用条件</w:t>
      </w:r>
      <w:r>
        <w:rPr>
          <w:rFonts w:hint="eastAsia"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Cs w:val="24"/>
          <w:highlight w:val="none"/>
        </w:rPr>
        <w:t xml:space="preserve">                           </w:t>
      </w:r>
    </w:p>
    <w:p>
      <w:pPr>
        <w:spacing w:line="360" w:lineRule="auto"/>
        <w:ind w:firstLine="420" w:firstLineChars="200"/>
        <w:rPr>
          <w:rFonts w:hint="eastAsia"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通用条件直接引用中华人民共和国住房和城乡建设部和国家工商行政管理总局制定的《建设工程监理合同》示范文本（GF-2012-0202）。</w:t>
      </w:r>
    </w:p>
    <w:p>
      <w:pPr>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3、专用条件</w:t>
      </w:r>
    </w:p>
    <w:p>
      <w:pPr>
        <w:spacing w:line="36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w:t>
      </w:r>
      <w:r>
        <w:rPr>
          <w:rFonts w:hint="eastAsia" w:ascii="宋体" w:hAnsi="宋体" w:eastAsia="宋体" w:cs="宋体"/>
          <w:bCs/>
          <w:color w:val="auto"/>
          <w:sz w:val="24"/>
          <w:szCs w:val="24"/>
          <w:highlight w:val="none"/>
        </w:rPr>
        <w:t>内容</w:t>
      </w:r>
    </w:p>
    <w:p>
      <w:pPr>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 监理范围包括：包括施工阶段工程质量、进度、投资控制、合同管理和组织协调，安全、文明施工监控，环境保护监理，以及缺陷责任期阶段负责检查工程质量状况，组织鉴定质量问题责任，督促责任单位维修。</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监理工作内容还包括：</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专项施工方案与工程建设强制性标准的符合性；还应对施工承包人在施工过程中采取的环境保护措施和施工安全、文明措施加强监督和管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（5）检查施工承包人工程质量、安全生产管理制度及组织机构和人员资格，包括特殊作业人员上岗证件； </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（9）审核施工分包人资质条件；</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（10）查验施工承包人的施工测量放线成果；</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审查施工承包人拟用于本工程的机械设备的性能与数量；</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（13）审核施工承包人提交的工程款支付申请，签发或出具工程款支付证书，并报委托人审核、批准；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（16）审查施工承包人提交的采用新材料、新工艺、新技术、新设备的论证材料及相关验收标准；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（18）审查施工承包人提交的工程变更申请，协调处理施工进度调整、费用索赔、合同争议等事项；</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（23）监理投资控制： 1）工程量计量和进度款支付的审核； 2）审核工程变更方案及相关费用；3）现场签证工程量并审核费用；4）审核其他相关方案变化引起的费用；5）审核竣工结算及其合理性。</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（24）其它：</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已完成工程量进行准确的计量，对工程量的增减做好实测实量，保存好原始凭证，并接受委托人代表检核，重大工程量的计量按有关文件执行，审核变更的工作量并签署确认意见，对上报进度款的工作量进行审核，确认；</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调查、处理工程质量缺陷和事故，与设计、施工单位一起提出改进措施和方法，出现重大质量和安全事故时，督促承包人按规定上报有关部门；</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受理合同事宜，根据合同规定进行评估和处理；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根据合同规定处理违约事件，协调争端，在仲裁过程中作证；</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编制监理工作周报、月报；</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配合委托人的竣工验收、工程移交和各种预验工作。</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在规定的工程质量缺陷责任期期内，负责检查工程质量状况，组织鉴定质量问题责任，督促责任单位维修；</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对施工承包人的项目经理及现场管理人员进行考勤；</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工程完工后，向委托人提交施工履约评估报告；</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其余按监理规范实施。</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监理依据</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监理依据包括：</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委托人与承包人签订的正式合同、协议及附件；</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建设批文及相关资料；</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本工程的设计文件及说明；</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本工程的相关标准图纸、技术规范、质量检验评定标准、实验规程等；</w:t>
      </w:r>
    </w:p>
    <w:p>
      <w:pPr>
        <w:tabs>
          <w:tab w:val="left" w:pos="540"/>
          <w:tab w:val="left" w:pos="780"/>
        </w:tabs>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国家、建设部、项目所在地（浙江省）颁发的监理法规等。</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kern w:val="0"/>
          <w:sz w:val="24"/>
          <w:szCs w:val="24"/>
          <w:highlight w:val="none"/>
        </w:rPr>
        <w:t>项目监理机构和人员</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2.3.4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监理人因特殊原因（如病重、死亡、调离单位）要求更换项目总监、监理工程师及其它监理人员的须征得委托人同意。</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2.3.6 </w:t>
      </w:r>
      <w:r>
        <w:rPr>
          <w:rFonts w:hint="eastAsia" w:ascii="宋体" w:hAnsi="宋体" w:eastAsia="宋体" w:cs="宋体"/>
          <w:color w:val="auto"/>
          <w:sz w:val="24"/>
          <w:szCs w:val="24"/>
          <w:highlight w:val="none"/>
        </w:rPr>
        <w:t>变更主要监理人员（指总监理工程师，专业监理工程师，监理员）的违约处罚标准：因调离监理人单位（需提供社保终止证明）、死亡、怀孕、重大疾病（按现行《重大疾病保险的疾病定义使用规范》）或甬建发〔2016〕200 号第十三条涉及的情况更换监理人员的，经委托人书面许可后允许更换，并不予处罚。</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监理人员调离监理人单位更换的，在项目竣工验收合格后还须提供该监理人员施工合同工期内的全部社保缴纳证明，如无法提供全部社保缴纳证明或更换后仍存在由监理人缴纳社保的情形，视同擅自更换，按本条款规定扣除违约金。</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承包人擅自更换监理人员（指总监理工程师，专业监理工程师，监理员）或发包人认为监理人员不称职要求更换的，总监理工程师违约金按</w:t>
      </w:r>
      <w:r>
        <w:rPr>
          <w:rFonts w:hint="eastAsia" w:ascii="宋体" w:hAnsi="宋体" w:eastAsia="宋体" w:cs="宋体"/>
          <w:color w:val="auto"/>
          <w:sz w:val="24"/>
          <w:szCs w:val="24"/>
          <w:highlight w:val="none"/>
          <w:lang w:val="en-US" w:eastAsia="zh-CN"/>
        </w:rPr>
        <w:t>3万元</w:t>
      </w:r>
      <w:r>
        <w:rPr>
          <w:rFonts w:hint="eastAsia" w:ascii="宋体" w:hAnsi="宋体" w:eastAsia="宋体" w:cs="宋体"/>
          <w:color w:val="auto"/>
          <w:sz w:val="24"/>
          <w:szCs w:val="24"/>
          <w:highlight w:val="none"/>
        </w:rPr>
        <w:t>/人次进行处罚，更换除总监理工程师以外其他监理人员的按</w:t>
      </w:r>
      <w:r>
        <w:rPr>
          <w:rFonts w:hint="eastAsia" w:ascii="宋体" w:hAnsi="宋体" w:eastAsia="宋体" w:cs="宋体"/>
          <w:color w:val="auto"/>
          <w:sz w:val="24"/>
          <w:szCs w:val="24"/>
          <w:highlight w:val="none"/>
          <w:lang w:val="en-US" w:eastAsia="zh-CN"/>
        </w:rPr>
        <w:t>1万元</w:t>
      </w:r>
      <w:r>
        <w:rPr>
          <w:rFonts w:hint="eastAsia" w:ascii="宋体" w:hAnsi="宋体" w:eastAsia="宋体" w:cs="宋体"/>
          <w:color w:val="auto"/>
          <w:sz w:val="24"/>
          <w:szCs w:val="24"/>
          <w:highlight w:val="none"/>
        </w:rPr>
        <w:t>/人次进行处罚。</w:t>
      </w:r>
    </w:p>
    <w:p>
      <w:pPr>
        <w:spacing w:line="360" w:lineRule="auto"/>
        <w:ind w:firstLine="42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合同执行期间委托人对不称职的监理人员有权提出更换，监理人不得拒绝或拖延，同时按本条款规定扣除违约金</w:t>
      </w:r>
      <w:r>
        <w:rPr>
          <w:rFonts w:hint="eastAsia" w:ascii="宋体" w:hAnsi="宋体" w:eastAsia="宋体" w:cs="宋体"/>
          <w:color w:val="auto"/>
          <w:kern w:val="0"/>
          <w:sz w:val="24"/>
          <w:szCs w:val="24"/>
          <w:highlight w:val="none"/>
        </w:rPr>
        <w:t>。</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kern w:val="0"/>
          <w:sz w:val="24"/>
          <w:szCs w:val="24"/>
          <w:highlight w:val="none"/>
        </w:rPr>
        <w:t>履行职责</w:t>
      </w:r>
    </w:p>
    <w:p>
      <w:pPr>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60" w:lineRule="auto"/>
        <w:ind w:firstLine="420" w:firstLineChars="200"/>
        <w:outlineLvl w:val="0"/>
        <w:rPr>
          <w:rFonts w:hint="eastAsia" w:ascii="宋体" w:hAnsi="宋体" w:eastAsia="宋体" w:cs="宋体"/>
          <w:color w:val="auto"/>
          <w:sz w:val="24"/>
          <w:szCs w:val="24"/>
          <w:highlight w:val="none"/>
        </w:rPr>
      </w:pPr>
      <w:bookmarkStart w:id="426" w:name="_Toc457912304"/>
      <w:bookmarkStart w:id="427" w:name="_Toc6860"/>
      <w:bookmarkStart w:id="428" w:name="_Toc24459"/>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万元内的变更，监理人不需请示委托人即可向承包人发布变更通知。</w:t>
      </w:r>
      <w:bookmarkEnd w:id="426"/>
      <w:bookmarkEnd w:id="427"/>
      <w:bookmarkEnd w:id="428"/>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sz w:val="24"/>
          <w:szCs w:val="24"/>
          <w:highlight w:val="none"/>
        </w:rPr>
        <w:t>提交</w:t>
      </w:r>
      <w:r>
        <w:rPr>
          <w:rFonts w:hint="eastAsia" w:ascii="宋体" w:hAnsi="宋体" w:eastAsia="宋体" w:cs="宋体"/>
          <w:color w:val="auto"/>
          <w:kern w:val="0"/>
          <w:sz w:val="24"/>
          <w:szCs w:val="24"/>
          <w:highlight w:val="none"/>
        </w:rPr>
        <w:t>报告</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满足委托人要求 </w:t>
      </w:r>
      <w:r>
        <w:rPr>
          <w:rFonts w:hint="eastAsia" w:ascii="宋体" w:hAnsi="宋体" w:eastAsia="宋体" w:cs="宋体"/>
          <w:color w:val="auto"/>
          <w:sz w:val="24"/>
          <w:szCs w:val="24"/>
          <w:highlight w:val="none"/>
        </w:rPr>
        <w:t>。</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pPr>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由委托人无偿提供的房屋、设备的所有权属于：</w:t>
      </w:r>
      <w:r>
        <w:rPr>
          <w:rFonts w:hint="eastAsia" w:ascii="宋体" w:hAnsi="宋体" w:eastAsia="宋体" w:cs="宋体"/>
          <w:color w:val="auto"/>
          <w:sz w:val="24"/>
          <w:szCs w:val="24"/>
          <w:highlight w:val="none"/>
          <w:u w:val="single"/>
        </w:rPr>
        <w:t>委托人。</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所有办公及检测仪器、设备或其它完成本项目监理工作所需的条件均由监理人自行配置，监理人不得向施工单位借用或索要，或由施工单位提供。</w:t>
      </w:r>
      <w:r>
        <w:rPr>
          <w:rFonts w:hint="eastAsia" w:ascii="宋体" w:hAnsi="宋体" w:eastAsia="宋体" w:cs="宋体"/>
          <w:color w:val="auto"/>
          <w:sz w:val="24"/>
          <w:szCs w:val="24"/>
          <w:highlight w:val="none"/>
          <w:u w:val="single"/>
        </w:rPr>
        <w:t>监理人自行配置费用包含在报价监理费中，委托人不另补偿。</w:t>
      </w:r>
    </w:p>
    <w:p>
      <w:pPr>
        <w:spacing w:line="36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3. 委托人义务  </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 委托人代表</w:t>
      </w:r>
    </w:p>
    <w:p>
      <w:pPr>
        <w:spacing w:line="360" w:lineRule="auto"/>
        <w:ind w:firstLine="42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天内，对监理人书面提交并要求做出决定的事宜给予书面答复。</w:t>
      </w:r>
    </w:p>
    <w:p>
      <w:pPr>
        <w:spacing w:line="360" w:lineRule="auto"/>
        <w:ind w:firstLine="42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pPr>
        <w:spacing w:line="360" w:lineRule="auto"/>
        <w:ind w:firstLine="42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监理人在责任期内如果失职，同意按以下办法承担责任，赔偿损失[累计赔偿损失不超过监理报酬总数（扣税）]：</w:t>
      </w:r>
    </w:p>
    <w:p>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1、由于监理人原因影响进度控制，并影响到施工工期按每天</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000元的标准赔偿。</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、监理人出具不真实工程变更联系单（单项造价误差在1万元以上或工程量误差在10%以上），若出现以上情况，每发现一份扣1000元，累计五份及以上者，所有出现问题的联系单每一份扣2000元。</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签约合同监理费的20%将作为监理投资控制考核费用。监理单位在月工程量产值审核、进度款支付的审核、工程联系单签证、工程变更预算审核、工程竣工结算审核等投资控制工作过程中，明显工作态度不严谨、投资控制工作粗疏不负责任，一经发现一次，扣除监理投资控制考核费用的20%，直至扣除所有监理投资控制考核费用。</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、未履行监理职责，按2000元/次扣罚；5次及以上，按5000元/次扣罚。</w:t>
      </w: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监理人员（指总监、监理工程师、监理员）未按规定（22天/月）到位的，按以下标准承担未到位违约金：按1000元/人·天扣除。监理人员（指总监、监理工程师、监理员）在项目的有效考勤为：每日考勤时间从7点至18点，考勤次数不得少于两次，当日最早和最晚考勤时间间隔不得小于4小时。不满足以上要求的为无效考勤，按当天缺勤计算。如监理人在人员到岗考勤工作上存在弄虚作假的，被委托人或行业主管部门发现的，每次扣罚5000元。监理人员（指总监、监理工程师、监理员）</w:t>
      </w:r>
      <w:r>
        <w:rPr>
          <w:rFonts w:hint="eastAsia" w:ascii="宋体" w:hAnsi="宋体" w:eastAsia="宋体" w:cs="宋体"/>
          <w:bCs/>
          <w:color w:val="auto"/>
          <w:kern w:val="0"/>
          <w:sz w:val="24"/>
          <w:szCs w:val="24"/>
          <w:highlight w:val="none"/>
        </w:rPr>
        <w:t>除满足每月到岗天数要求外，施工现场每天在位的</w:t>
      </w:r>
      <w:r>
        <w:rPr>
          <w:rFonts w:hint="eastAsia" w:ascii="宋体" w:hAnsi="宋体" w:eastAsia="宋体" w:cs="宋体"/>
          <w:color w:val="auto"/>
          <w:sz w:val="24"/>
          <w:szCs w:val="24"/>
          <w:highlight w:val="none"/>
        </w:rPr>
        <w:t>监理人员</w:t>
      </w:r>
      <w:r>
        <w:rPr>
          <w:rFonts w:hint="eastAsia" w:ascii="宋体" w:hAnsi="宋体" w:eastAsia="宋体" w:cs="宋体"/>
          <w:bCs/>
          <w:color w:val="auto"/>
          <w:kern w:val="0"/>
          <w:sz w:val="24"/>
          <w:szCs w:val="24"/>
          <w:highlight w:val="none"/>
        </w:rPr>
        <w:t>不得少于1人，否则每发现一次扣罚1000元。</w:t>
      </w:r>
      <w:r>
        <w:rPr>
          <w:rFonts w:hint="eastAsia" w:ascii="宋体" w:hAnsi="宋体" w:eastAsia="宋体" w:cs="宋体"/>
          <w:color w:val="auto"/>
          <w:sz w:val="24"/>
          <w:szCs w:val="24"/>
          <w:highlight w:val="none"/>
        </w:rPr>
        <w:t>且重要工程例会及验收环节等必须由总监参加，未到场的处违约金2000元/次</w:t>
      </w:r>
      <w:r>
        <w:rPr>
          <w:rFonts w:hint="eastAsia" w:ascii="宋体" w:hAnsi="宋体" w:eastAsia="宋体" w:cs="宋体"/>
          <w:bCs/>
          <w:color w:val="auto"/>
          <w:kern w:val="0"/>
          <w:sz w:val="24"/>
          <w:szCs w:val="24"/>
          <w:highlight w:val="none"/>
        </w:rPr>
        <w:t>。</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、监理人应当在工程竣工验收合格后28天内向委托人或其委托的工程造价咨询单位提交竣工结算申请单及其完整的结算资料8份，逾期由监理人承担一切后果，同时发包人有权处以</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000元/次的处罚。结算审核完成后90天内分别提供符合发包人归档要求及</w:t>
      </w:r>
      <w:r>
        <w:rPr>
          <w:rFonts w:hint="eastAsia" w:ascii="宋体" w:hAnsi="宋体" w:eastAsia="宋体" w:cs="宋体"/>
          <w:color w:val="auto"/>
          <w:sz w:val="24"/>
          <w:szCs w:val="24"/>
          <w:highlight w:val="none"/>
          <w:lang w:val="en-US" w:eastAsia="zh-CN"/>
        </w:rPr>
        <w:t>前湾新区</w:t>
      </w:r>
      <w:r>
        <w:rPr>
          <w:rFonts w:hint="eastAsia" w:ascii="宋体" w:hAnsi="宋体" w:eastAsia="宋体" w:cs="宋体"/>
          <w:color w:val="auto"/>
          <w:sz w:val="24"/>
          <w:szCs w:val="24"/>
          <w:highlight w:val="none"/>
        </w:rPr>
        <w:t>档案馆归档要求所需资料，数量各不少于肆份，如资料不符合发包人或</w:t>
      </w:r>
      <w:r>
        <w:rPr>
          <w:rFonts w:hint="eastAsia" w:ascii="宋体" w:hAnsi="宋体" w:eastAsia="宋体" w:cs="宋体"/>
          <w:color w:val="auto"/>
          <w:sz w:val="24"/>
          <w:szCs w:val="24"/>
          <w:highlight w:val="none"/>
          <w:lang w:val="en-US" w:eastAsia="zh-CN"/>
        </w:rPr>
        <w:t>前湾新区</w:t>
      </w:r>
      <w:r>
        <w:rPr>
          <w:rFonts w:hint="eastAsia" w:ascii="宋体" w:hAnsi="宋体" w:eastAsia="宋体" w:cs="宋体"/>
          <w:color w:val="auto"/>
          <w:sz w:val="24"/>
          <w:szCs w:val="24"/>
          <w:highlight w:val="none"/>
        </w:rPr>
        <w:t>档案馆归档要求，需根据相关要求重新整理，费用由监理人承担。</w:t>
      </w: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、本项目工地现场严禁使用无证、无牌的两轮、三轮（机动和电动）运输车辆，三轮（机动和电动）运输车辆不得用于接送工人上下班及工地内载人。具体处罚措施按甬新规建土（2017）13号执行。</w:t>
      </w:r>
    </w:p>
    <w:p>
      <w:pPr>
        <w:widowControl w:val="0"/>
        <w:spacing w:line="360" w:lineRule="auto"/>
        <w:ind w:firstLine="42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、在项目施工期间，禁止监理人与承包单位搭伙吃饭，每发现一次扣罚1000元。</w:t>
      </w: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、上述违约金委托人有权从进度款或结算款中扣除。</w:t>
      </w:r>
    </w:p>
    <w:p>
      <w:pPr>
        <w:spacing w:line="36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支付</w:t>
      </w:r>
    </w:p>
    <w:p>
      <w:pPr>
        <w:spacing w:line="360" w:lineRule="auto"/>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sz w:val="24"/>
          <w:szCs w:val="24"/>
          <w:highlight w:val="none"/>
        </w:rPr>
        <w:t>支付货币</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 xml:space="preserve">。 </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5.3 支付酬金</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预付款：合同签订并提交履约担保后，支付暂定签约酬金的40%作为预付款（供应商在签订合同时，表示无需预付款或主动要求降低预付款比例的，可不适用本条款）。</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进度款：工程竣工验收合格后支付至暂定签约酬金的</w:t>
      </w:r>
      <w:r>
        <w:rPr>
          <w:rFonts w:hint="eastAsia" w:ascii="宋体" w:hAnsi="宋体" w:cs="宋体"/>
          <w:b w:val="0"/>
          <w:color w:val="auto"/>
          <w:kern w:val="0"/>
          <w:sz w:val="24"/>
          <w:szCs w:val="24"/>
          <w:highlight w:val="none"/>
          <w:lang w:val="en-US" w:eastAsia="zh-CN" w:bidi="ar-SA"/>
        </w:rPr>
        <w:t>7</w:t>
      </w:r>
      <w:r>
        <w:rPr>
          <w:rFonts w:hint="eastAsia" w:ascii="宋体" w:hAnsi="宋体" w:eastAsia="宋体" w:cs="宋体"/>
          <w:b w:val="0"/>
          <w:color w:val="auto"/>
          <w:kern w:val="0"/>
          <w:sz w:val="24"/>
          <w:szCs w:val="24"/>
          <w:highlight w:val="none"/>
          <w:lang w:val="en-US" w:eastAsia="zh-CN" w:bidi="ar-SA"/>
        </w:rPr>
        <w:t>0%，结算完成并提交全部归档资料后支付至最终监理费的98.5%，保留金为最终监理费的1.5%，保留金待缺陷责任期满后1个月内支付（无息），本工程缺陷责任期2年。</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最终监理费的计算：</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中标浮动率L=【（中标价））÷（按《浙江省建设工程其他费用定额（2018版）》标准计算的监理收费基准价）-1】×100%。（专业调整系数按“1”计取，复杂程度调整系数按“1”计取，附加调整系数按“1.0”计取）</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最终监理费按《浙江省建设工程其他费用定额（2018版）》标准计算监理收费基准价（专业调整系数按“1”计取，复杂程度调整系数按“1”计取，附加调整系数按“1.0”计取），计费额按结算审核价计取，并结合中标浮动率L确定最终监理费。</w:t>
      </w:r>
      <w:r>
        <w:rPr>
          <w:rFonts w:hint="eastAsia" w:ascii="宋体" w:hAnsi="宋体" w:cs="宋体"/>
          <w:b w:val="0"/>
          <w:color w:val="auto"/>
          <w:kern w:val="0"/>
          <w:sz w:val="24"/>
          <w:szCs w:val="24"/>
          <w:highlight w:val="none"/>
          <w:lang w:val="en-US" w:eastAsia="zh-CN" w:bidi="ar-SA"/>
        </w:rPr>
        <w:t>若最终监理费超过91万元的，则按91万元结算。</w:t>
      </w:r>
    </w:p>
    <w:p>
      <w:pPr>
        <w:widowControl w:val="0"/>
        <w:spacing w:line="360" w:lineRule="auto"/>
        <w:ind w:firstLine="420" w:firstLineChars="200"/>
        <w:jc w:val="both"/>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因物价变动或其他因素而导致的监理费用的增加，包含在合同价中，委托人不予调整。</w:t>
      </w:r>
    </w:p>
    <w:p>
      <w:pPr>
        <w:widowControl w:val="0"/>
        <w:spacing w:line="360" w:lineRule="auto"/>
        <w:ind w:firstLine="420" w:firstLineChars="200"/>
        <w:jc w:val="both"/>
        <w:rPr>
          <w:rFonts w:hint="eastAsia" w:ascii="宋体" w:hAnsi="宋体" w:eastAsia="宋体" w:cs="宋体"/>
          <w:b w:val="0"/>
          <w:color w:val="auto"/>
          <w:kern w:val="0"/>
          <w:sz w:val="24"/>
          <w:szCs w:val="24"/>
          <w:highlight w:val="yellow"/>
          <w:lang w:val="en-US" w:eastAsia="zh-CN" w:bidi="ar-SA"/>
        </w:rPr>
      </w:pPr>
      <w:r>
        <w:rPr>
          <w:rFonts w:hint="eastAsia" w:ascii="宋体" w:hAnsi="宋体" w:eastAsia="宋体" w:cs="宋体"/>
          <w:b w:val="0"/>
          <w:color w:val="auto"/>
          <w:kern w:val="0"/>
          <w:sz w:val="24"/>
          <w:szCs w:val="24"/>
          <w:highlight w:val="none"/>
          <w:lang w:val="en-US" w:eastAsia="zh-CN" w:bidi="ar-SA"/>
        </w:rPr>
        <w:t>委托人在向监理人支付监理费前，监理人应向委托人提供同等数额的正规增值税专用发票，且在支付至监理结算价的98.5%时提供全额增值税专用发票，否则委托人有权拒绝支付监理费。合同履行及结算时增值税税率按最新政策实施。</w:t>
      </w:r>
    </w:p>
    <w:p>
      <w:pPr>
        <w:spacing w:line="360" w:lineRule="auto"/>
        <w:ind w:firstLine="42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bCs/>
          <w:color w:val="auto"/>
          <w:sz w:val="24"/>
          <w:szCs w:val="24"/>
          <w:highlight w:val="none"/>
          <w:u w:val="single"/>
        </w:rPr>
        <w:t>经双方法定代表人或委托代理人签字（或盖章），单位盖章</w:t>
      </w:r>
      <w:r>
        <w:rPr>
          <w:rFonts w:hint="eastAsia" w:ascii="宋体" w:hAnsi="宋体" w:eastAsia="宋体" w:cs="宋体"/>
          <w:color w:val="auto"/>
          <w:sz w:val="24"/>
          <w:szCs w:val="24"/>
          <w:highlight w:val="none"/>
          <w:u w:val="single"/>
        </w:rPr>
        <w:t>后生效</w:t>
      </w:r>
      <w:r>
        <w:rPr>
          <w:rFonts w:hint="eastAsia" w:ascii="宋体" w:hAnsi="宋体" w:eastAsia="宋体" w:cs="宋体"/>
          <w:color w:val="auto"/>
          <w:sz w:val="24"/>
          <w:szCs w:val="24"/>
          <w:highlight w:val="none"/>
        </w:rPr>
        <w:t>。</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除不可抗力外，因委托人原因导致本合同施工阶段监理期限延长时（即超过原施工合同工期时），免收监理服务费。延期时，监理人应根据委托人要求配备监理人员，不得擅自配备，否则不予支付相应款项。</w:t>
      </w:r>
    </w:p>
    <w:p>
      <w:pPr>
        <w:spacing w:line="360" w:lineRule="auto"/>
        <w:ind w:firstLine="42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合同施工阶段</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目提前竣工时，监理费用不予扣减。</w:t>
      </w:r>
    </w:p>
    <w:p>
      <w:pPr>
        <w:spacing w:line="36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 </w:t>
      </w:r>
      <w:r>
        <w:rPr>
          <w:rFonts w:hint="eastAsia" w:ascii="宋体" w:hAnsi="宋体" w:eastAsia="宋体" w:cs="宋体"/>
          <w:bCs/>
          <w:color w:val="auto"/>
          <w:sz w:val="24"/>
          <w:szCs w:val="24"/>
          <w:highlight w:val="none"/>
        </w:rPr>
        <w:t>调解</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主管部门  </w:t>
      </w:r>
      <w:r>
        <w:rPr>
          <w:rFonts w:hint="eastAsia" w:ascii="宋体" w:hAnsi="宋体" w:eastAsia="宋体" w:cs="宋体"/>
          <w:color w:val="auto"/>
          <w:sz w:val="24"/>
          <w:szCs w:val="24"/>
          <w:highlight w:val="none"/>
        </w:rPr>
        <w:t>进行调解。</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 </w:t>
      </w:r>
      <w:r>
        <w:rPr>
          <w:rFonts w:hint="eastAsia" w:ascii="宋体" w:hAnsi="宋体" w:eastAsia="宋体" w:cs="宋体"/>
          <w:bCs/>
          <w:color w:val="auto"/>
          <w:sz w:val="24"/>
          <w:szCs w:val="24"/>
          <w:highlight w:val="none"/>
        </w:rPr>
        <w:t>仲裁或诉讼</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宁波 </w:t>
      </w:r>
      <w:r>
        <w:rPr>
          <w:rFonts w:hint="eastAsia" w:ascii="宋体" w:hAnsi="宋体" w:eastAsia="宋体" w:cs="宋体"/>
          <w:color w:val="auto"/>
          <w:sz w:val="24"/>
          <w:szCs w:val="24"/>
          <w:highlight w:val="none"/>
        </w:rPr>
        <w:t>仲裁委员会进行仲裁。</w:t>
      </w:r>
    </w:p>
    <w:p>
      <w:pPr>
        <w:spacing w:line="360" w:lineRule="auto"/>
        <w:ind w:firstLine="42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pPr>
        <w:widowControl w:val="0"/>
        <w:spacing w:line="360" w:lineRule="auto"/>
        <w:ind w:firstLine="42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1、委托人应提供的工程资料及提供时间：勘探资料、设计图纸、施工承包合同及其他施工技术资料。前述资料应于正式开工前3天提供。</w:t>
      </w:r>
    </w:p>
    <w:p>
      <w:pPr>
        <w:tabs>
          <w:tab w:val="left" w:pos="540"/>
        </w:tabs>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2、建设工程监理所必要的监理人员出外考察、材料设备复试，其费用支出包括在监理服务合同价格内。</w:t>
      </w:r>
    </w:p>
    <w:p>
      <w:pPr>
        <w:tabs>
          <w:tab w:val="left" w:pos="540"/>
        </w:tabs>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3、委托人与监理人签订工程监理合同时，须签订监理廉政合同作为该合同之附件，并与该合同具有同等法律效力。</w:t>
      </w:r>
    </w:p>
    <w:p>
      <w:pPr>
        <w:tabs>
          <w:tab w:val="left" w:pos="540"/>
        </w:tabs>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4、监理人委派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总监理工程师，对投入本工程的监理人员要求表内的监理人员，监理人确保均需持有有效证件并按进场计划切实到位，按照监理合同开展监理工作。监理人不得随意更换上述人员，如需更换，应向委托人书面提交报告，经委托人同意后方可更换，否则委托人有权单方面中止合同。</w:t>
      </w:r>
    </w:p>
    <w:p>
      <w:pPr>
        <w:tabs>
          <w:tab w:val="left" w:pos="540"/>
        </w:tabs>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5、监理人员严重失职造成重大工程事故或向承包人索贿或谋取私利、在工作期间徇私舞弊、与承包人串通损害委托人利益，给委托人造成损失的，按造成的实际损失进行赔偿。</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服务期从开工报告发出之日起至工程缺陷责任期结束。施工阶段服务期内，监理人应每月对项目监理部各方面工作进行考评，并将考评结果书面形式（加盖单位公章）上报委托人。同时监理人须无条件提供结算期和缺陷责任期服务，且随叫随到。</w:t>
      </w:r>
    </w:p>
    <w:p>
      <w:pPr>
        <w:tabs>
          <w:tab w:val="left" w:pos="540"/>
        </w:tabs>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7、委托人有权从进度款或结算款中扣除违约金，即使缴纳了违约金，监理人仍应按监理合同规定继续履行本工程施工及缺陷责任期的监理服务。</w:t>
      </w:r>
    </w:p>
    <w:p>
      <w:pPr>
        <w:tabs>
          <w:tab w:val="left" w:pos="540"/>
        </w:tabs>
        <w:adjustRightInd w:val="0"/>
        <w:snapToGrid w:val="0"/>
        <w:spacing w:line="360" w:lineRule="auto"/>
        <w:ind w:left="-2" w:right="42"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8、监理人承担的业务量应符合《宁波市建设工程施工现场项目管理人员配备管理办法》（甬建发【2016】200号）文件的规定。</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工程项目逾期开工或停工三个月及以上，施工企业、监理人与委托人协商一致后，持委托人、监理人、施工企业签章的项目管理人员退场申请，到相应建设管理部门办理相关手续。工程恢复施工时，经委托人同意，施工企业、监理人可根据续建工程规模重新组建项目管理机构。若项目实施过程中宁波市相关行政主管部门对相关内容作出调整时，需按调整后的相关新文件执行。</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10、</w:t>
      </w:r>
      <w:r>
        <w:rPr>
          <w:rFonts w:hint="eastAsia" w:ascii="宋体" w:hAnsi="宋体" w:eastAsia="宋体" w:cs="宋体"/>
          <w:sz w:val="24"/>
          <w:szCs w:val="24"/>
        </w:rPr>
        <w:t>履约保证金金额：为合同金额的1%。在合同签订后15天内提交，合同期满扣除供应商应支付的违约金和应承担的赔偿款5个工作日内退还；但如果此时存在合同争端并且未能解决，那么履约保证金的有效期应延长到上述争端最终解决且理赔完毕后终止</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、未尽事宜，双方另行协商。</w:t>
      </w:r>
    </w:p>
    <w:p>
      <w:pPr>
        <w:spacing w:line="360" w:lineRule="auto"/>
        <w:ind w:firstLine="420" w:firstLineChars="200"/>
        <w:rPr>
          <w:rFonts w:hint="eastAsia" w:ascii="宋体" w:hAnsi="宋体" w:eastAsia="宋体" w:cs="宋体"/>
          <w:color w:val="auto"/>
          <w:sz w:val="24"/>
          <w:szCs w:val="24"/>
          <w:highlight w:val="none"/>
        </w:rPr>
      </w:pP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后附：附件（一）《工程建设项目廉政合同》</w:t>
      </w:r>
    </w:p>
    <w:p>
      <w:pPr>
        <w:spacing w:line="360" w:lineRule="auto"/>
        <w:rPr>
          <w:rFonts w:ascii="宋体" w:hAnsi="宋体" w:eastAsia="宋体" w:cs="Times New Roman"/>
          <w:color w:val="auto"/>
          <w:szCs w:val="21"/>
          <w:highlight w:val="none"/>
        </w:rPr>
      </w:pPr>
      <w:r>
        <w:rPr>
          <w:rFonts w:ascii="宋体" w:hAnsi="宋体" w:eastAsia="宋体" w:cs="宋体"/>
          <w:color w:val="auto"/>
          <w:szCs w:val="21"/>
          <w:highlight w:val="none"/>
        </w:rPr>
        <w:br w:type="page"/>
      </w:r>
      <w:r>
        <w:rPr>
          <w:rFonts w:hint="eastAsia" w:ascii="宋体" w:hAnsi="宋体" w:eastAsia="宋体" w:cs="Times New Roman"/>
          <w:b/>
          <w:color w:val="auto"/>
          <w:szCs w:val="21"/>
          <w:highlight w:val="none"/>
        </w:rPr>
        <w:t>附件(一)：</w:t>
      </w:r>
    </w:p>
    <w:p>
      <w:pPr>
        <w:widowControl w:val="0"/>
        <w:spacing w:line="360" w:lineRule="auto"/>
        <w:ind w:firstLine="452" w:firstLineChars="15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工程建设项目廉政合同</w:t>
      </w:r>
    </w:p>
    <w:p>
      <w:pPr>
        <w:spacing w:line="360" w:lineRule="auto"/>
        <w:ind w:left="1" w:firstLine="424" w:firstLineChars="20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工程项目名称：</w:t>
      </w:r>
      <w:r>
        <w:rPr>
          <w:rFonts w:hint="eastAsia" w:ascii="宋体" w:hAnsi="宋体" w:eastAsia="宋体" w:cs="Times New Roman"/>
          <w:color w:val="auto"/>
          <w:sz w:val="24"/>
          <w:szCs w:val="24"/>
          <w:highlight w:val="none"/>
          <w:u w:val="single"/>
        </w:rPr>
        <w:t xml:space="preserve">                             </w:t>
      </w:r>
    </w:p>
    <w:p>
      <w:pPr>
        <w:spacing w:line="360" w:lineRule="auto"/>
        <w:ind w:left="1" w:firstLine="424" w:firstLineChars="20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工程项目地址：</w:t>
      </w:r>
      <w:r>
        <w:rPr>
          <w:rFonts w:hint="eastAsia" w:ascii="宋体" w:hAnsi="宋体" w:eastAsia="宋体" w:cs="Times New Roman"/>
          <w:color w:val="auto"/>
          <w:sz w:val="24"/>
          <w:szCs w:val="24"/>
          <w:highlight w:val="none"/>
          <w:u w:val="single"/>
        </w:rPr>
        <w:t xml:space="preserve">                             </w:t>
      </w:r>
    </w:p>
    <w:p>
      <w:pPr>
        <w:spacing w:line="360" w:lineRule="auto"/>
        <w:ind w:left="1" w:firstLine="424" w:firstLineChars="20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发包人（甲方）：</w:t>
      </w:r>
      <w:r>
        <w:rPr>
          <w:rFonts w:hint="eastAsia" w:ascii="宋体" w:hAnsi="宋体" w:eastAsia="宋体" w:cs="Times New Roman"/>
          <w:color w:val="auto"/>
          <w:sz w:val="24"/>
          <w:szCs w:val="24"/>
          <w:highlight w:val="none"/>
          <w:u w:val="single"/>
        </w:rPr>
        <w:t xml:space="preserve">                            </w:t>
      </w:r>
    </w:p>
    <w:p>
      <w:pPr>
        <w:spacing w:line="360" w:lineRule="auto"/>
        <w:ind w:left="1" w:firstLine="424" w:firstLineChars="20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承包人（乙方）：</w:t>
      </w:r>
      <w:r>
        <w:rPr>
          <w:rFonts w:hint="eastAsia" w:ascii="宋体" w:hAnsi="宋体" w:eastAsia="宋体" w:cs="Times New Roman"/>
          <w:color w:val="auto"/>
          <w:sz w:val="24"/>
          <w:szCs w:val="24"/>
          <w:highlight w:val="none"/>
          <w:u w:val="single"/>
        </w:rPr>
        <w:t xml:space="preserve">                            </w:t>
      </w:r>
    </w:p>
    <w:p>
      <w:pPr>
        <w:spacing w:line="360" w:lineRule="auto"/>
        <w:ind w:left="1" w:firstLine="424" w:firstLineChars="20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的相关规定，特订立本《廉政合同》。</w:t>
      </w:r>
    </w:p>
    <w:p>
      <w:pPr>
        <w:widowControl w:val="0"/>
        <w:numPr>
          <w:ilvl w:val="0"/>
          <w:numId w:val="2"/>
        </w:numPr>
        <w:spacing w:line="360" w:lineRule="auto"/>
        <w:ind w:left="1537" w:hanging="1110"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甲乙双方的权利义务</w:t>
      </w:r>
    </w:p>
    <w:p>
      <w:pPr>
        <w:widowControl w:val="0"/>
        <w:numPr>
          <w:ilvl w:val="0"/>
          <w:numId w:val="3"/>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严格遵守国家有关法律、法规，加强廉政建设的教育宣传。</w:t>
      </w:r>
    </w:p>
    <w:p>
      <w:pPr>
        <w:widowControl w:val="0"/>
        <w:numPr>
          <w:ilvl w:val="0"/>
          <w:numId w:val="3"/>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严格执行《廉政合同》，自觉履行合同的各项约定。</w:t>
      </w:r>
    </w:p>
    <w:p>
      <w:pPr>
        <w:widowControl w:val="0"/>
        <w:numPr>
          <w:ilvl w:val="0"/>
          <w:numId w:val="3"/>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业务活动必须坚持公开、公平、公正、诚实、透明的原则（法律法规另有规定的除外），不得为获取不正当的利益，损害国家、集体和对方利益。</w:t>
      </w:r>
    </w:p>
    <w:p>
      <w:pPr>
        <w:widowControl w:val="0"/>
        <w:numPr>
          <w:ilvl w:val="0"/>
          <w:numId w:val="3"/>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发现对方在业务活动中有违规行为的，有及时提醒对方的权利和义务；情节严重的，有向其上级主管部门或纪检监察、司法等有关机关举报并要求告知处理结果的权利。</w:t>
      </w:r>
    </w:p>
    <w:p>
      <w:pPr>
        <w:widowControl w:val="0"/>
        <w:numPr>
          <w:ilvl w:val="0"/>
          <w:numId w:val="2"/>
        </w:numPr>
        <w:spacing w:line="360" w:lineRule="auto"/>
        <w:ind w:left="1537" w:hanging="1110"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甲方的责任义务</w:t>
      </w:r>
    </w:p>
    <w:p>
      <w:pPr>
        <w:spacing w:line="360" w:lineRule="auto"/>
        <w:ind w:firstLine="279" w:firstLineChars="133"/>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甲方及其工作人员，在工程建设的事前、事中、事后应遵守以下规定：</w:t>
      </w:r>
    </w:p>
    <w:p>
      <w:pPr>
        <w:widowControl w:val="0"/>
        <w:numPr>
          <w:ilvl w:val="0"/>
          <w:numId w:val="4"/>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不准向乙方（包括乙方工作人员、分包单位、分包单位工作人员，下同）索要或接受回扣、礼金、有价证券、贵重物品、好处费和感谢费等。</w:t>
      </w:r>
    </w:p>
    <w:p>
      <w:pPr>
        <w:widowControl w:val="0"/>
        <w:numPr>
          <w:ilvl w:val="0"/>
          <w:numId w:val="4"/>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不准在乙方报销任何应由甲方或甲方工作人员个人支付的费用。</w:t>
      </w:r>
    </w:p>
    <w:p>
      <w:pPr>
        <w:widowControl w:val="0"/>
        <w:numPr>
          <w:ilvl w:val="0"/>
          <w:numId w:val="4"/>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不准要求、暗示和接受乙方为个人装修住房、婚丧嫁娶、以及出国（境）、旅游等提供费用，为配偶、子女安排工作。</w:t>
      </w:r>
    </w:p>
    <w:p>
      <w:pPr>
        <w:widowControl w:val="0"/>
        <w:numPr>
          <w:ilvl w:val="0"/>
          <w:numId w:val="4"/>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不准参加乙方安排的宴请、健身、娱乐等活动；不得接受乙方提供的通讯工具、交通工具和高档办公用品。</w:t>
      </w:r>
    </w:p>
    <w:p>
      <w:pPr>
        <w:widowControl w:val="0"/>
        <w:numPr>
          <w:ilvl w:val="0"/>
          <w:numId w:val="4"/>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不准向乙方介绍或为配偶、子女、亲属参加与甲方项目工程施工合同有关的业务活动；不得以任何理由向乙方推荐分包单位和要求乙方购买项目工程施工合同规定以外的材料、设备等。</w:t>
      </w:r>
    </w:p>
    <w:p>
      <w:pPr>
        <w:widowControl w:val="0"/>
        <w:numPr>
          <w:ilvl w:val="0"/>
          <w:numId w:val="2"/>
        </w:numPr>
        <w:spacing w:line="360" w:lineRule="auto"/>
        <w:ind w:left="1537" w:hanging="1110"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乙方的责任义务</w:t>
      </w:r>
    </w:p>
    <w:p>
      <w:pPr>
        <w:spacing w:line="360" w:lineRule="auto"/>
        <w:ind w:firstLine="279" w:firstLineChars="133"/>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乙方应与甲方保持正常的业务交往，按照有关法律法规和程序开展业务工作，严格执行工程建设的相关规范性文件和政策。并遵守以下规定：</w:t>
      </w:r>
    </w:p>
    <w:p>
      <w:pPr>
        <w:widowControl w:val="0"/>
        <w:numPr>
          <w:ilvl w:val="0"/>
          <w:numId w:val="5"/>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不准以任何理由向甲方及其工作人员赠送礼金、礼卡、有价证券、贵重物品、回扣、好处费及感谢费。</w:t>
      </w:r>
    </w:p>
    <w:p>
      <w:pPr>
        <w:widowControl w:val="0"/>
        <w:numPr>
          <w:ilvl w:val="0"/>
          <w:numId w:val="5"/>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不准以任何理由向甲方及其工作人员报销应当由甲方或甲方工作人员个人支付的费用。</w:t>
      </w:r>
    </w:p>
    <w:p>
      <w:pPr>
        <w:widowControl w:val="0"/>
        <w:numPr>
          <w:ilvl w:val="0"/>
          <w:numId w:val="5"/>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不准为甲方及其工作人员装修住房、婚丧嫁娶、以及出国（境）、旅游等提供费用，为甲方工作人员配偶、子女安排工作。</w:t>
      </w:r>
    </w:p>
    <w:p>
      <w:pPr>
        <w:widowControl w:val="0"/>
        <w:numPr>
          <w:ilvl w:val="0"/>
          <w:numId w:val="5"/>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不准以任何理由为甲方及其工作人员安排宴请、健身、娱乐等活动；不准为甲方及其工作人员提供的通讯工具、交通工具和高档办公用品</w:t>
      </w:r>
    </w:p>
    <w:p>
      <w:pPr>
        <w:widowControl w:val="0"/>
        <w:numPr>
          <w:ilvl w:val="0"/>
          <w:numId w:val="2"/>
        </w:numPr>
        <w:spacing w:line="360" w:lineRule="auto"/>
        <w:ind w:left="1537" w:hanging="1110"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违约责任</w:t>
      </w:r>
    </w:p>
    <w:p>
      <w:pPr>
        <w:widowControl w:val="0"/>
        <w:numPr>
          <w:ilvl w:val="0"/>
          <w:numId w:val="6"/>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甲、乙方工作人员有违反本合同有关条款的，由甲、乙方按照管理权限，依据有关法律法规和规定给予党纪、政纪处分；涉嫌犯罪的，移交司法机关追究刑事责任。</w:t>
      </w:r>
    </w:p>
    <w:p>
      <w:pPr>
        <w:widowControl w:val="0"/>
        <w:numPr>
          <w:ilvl w:val="0"/>
          <w:numId w:val="6"/>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乙方违反《廉政合同》的行为未构成犯罪，且未造成甲方工作人员构成犯罪的，甲方按乙方违约行为涉案金额的1-3倍从合同监理费扣取违约金。</w:t>
      </w:r>
    </w:p>
    <w:p>
      <w:pPr>
        <w:widowControl w:val="0"/>
        <w:numPr>
          <w:ilvl w:val="0"/>
          <w:numId w:val="6"/>
        </w:numPr>
        <w:spacing w:line="360" w:lineRule="auto"/>
        <w:ind w:left="0" w:firstLine="426"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乙方违反《廉政合同》的行为构成犯罪，或造成甲方及其工作人员构成犯罪的，甲方按乙方违约行为涉案金额的3-5倍从合同监理费扣取违约金。</w:t>
      </w:r>
    </w:p>
    <w:p>
      <w:pPr>
        <w:widowControl w:val="0"/>
        <w:numPr>
          <w:ilvl w:val="0"/>
          <w:numId w:val="2"/>
        </w:numPr>
        <w:spacing w:line="360" w:lineRule="auto"/>
        <w:ind w:left="0" w:firstLine="427" w:firstLine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本合同与监理合同同步签订，与监理合同具有同等法律效力。合同经双方签署后立即生效。</w:t>
      </w:r>
    </w:p>
    <w:p>
      <w:pPr>
        <w:widowControl w:val="0"/>
        <w:spacing w:line="360" w:lineRule="auto"/>
        <w:ind w:left="427" w:firstLine="0" w:firstLineChars="0"/>
        <w:jc w:val="both"/>
        <w:rPr>
          <w:rFonts w:hint="eastAsia" w:ascii="宋体" w:hAnsi="宋体" w:eastAsia="宋体" w:cs="Times New Roman"/>
          <w:color w:val="auto"/>
          <w:kern w:val="2"/>
          <w:sz w:val="24"/>
          <w:szCs w:val="24"/>
          <w:highlight w:val="none"/>
          <w:lang w:val="en-US" w:eastAsia="zh-CN" w:bidi="ar-SA"/>
        </w:rPr>
      </w:pPr>
    </w:p>
    <w:p>
      <w:pPr>
        <w:spacing w:line="360" w:lineRule="auto"/>
        <w:rPr>
          <w:rFonts w:hint="eastAsia" w:ascii="宋体" w:hAnsi="宋体" w:eastAsia="宋体" w:cs="Times New Roman"/>
          <w:color w:val="auto"/>
          <w:sz w:val="24"/>
          <w:szCs w:val="24"/>
          <w:highlight w:val="none"/>
        </w:rPr>
      </w:pPr>
    </w:p>
    <w:p>
      <w:pPr>
        <w:spacing w:line="360" w:lineRule="auto"/>
        <w:ind w:left="-811" w:leftChars="-386"/>
        <w:rPr>
          <w:rFonts w:hint="eastAsia" w:ascii="宋体" w:hAnsi="宋体" w:eastAsia="宋体" w:cs="Times New Roman"/>
          <w:color w:val="auto"/>
          <w:sz w:val="24"/>
          <w:szCs w:val="24"/>
          <w:highlight w:val="none"/>
        </w:rPr>
      </w:pPr>
    </w:p>
    <w:p>
      <w:pPr>
        <w:spacing w:line="360" w:lineRule="auto"/>
        <w:ind w:firstLine="42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甲方单位：（盖章）</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乙方单位：（盖章）</w:t>
      </w:r>
      <w:r>
        <w:rPr>
          <w:rFonts w:hint="eastAsia" w:ascii="宋体" w:hAnsi="宋体" w:eastAsia="宋体" w:cs="Times New Roman"/>
          <w:color w:val="auto"/>
          <w:sz w:val="24"/>
          <w:szCs w:val="24"/>
          <w:highlight w:val="none"/>
          <w:u w:val="single"/>
        </w:rPr>
        <w:t xml:space="preserve">            </w:t>
      </w:r>
    </w:p>
    <w:p>
      <w:pPr>
        <w:spacing w:line="360" w:lineRule="auto"/>
        <w:ind w:firstLine="42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                                法定代表人</w:t>
      </w:r>
    </w:p>
    <w:p>
      <w:pPr>
        <w:spacing w:line="360" w:lineRule="auto"/>
        <w:ind w:firstLine="420" w:firstLineChars="200"/>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（或委托代理人）：</w:t>
      </w:r>
      <w:r>
        <w:rPr>
          <w:rFonts w:hint="eastAsia" w:ascii="宋体" w:hAnsi="宋体" w:eastAsia="宋体" w:cs="Times New Roman"/>
          <w:color w:val="auto"/>
          <w:sz w:val="24"/>
          <w:szCs w:val="24"/>
          <w:highlight w:val="none"/>
          <w:u w:val="single"/>
        </w:rPr>
        <w:t xml:space="preserve"> （签字或盖章）</w:t>
      </w:r>
      <w:r>
        <w:rPr>
          <w:rFonts w:hint="eastAsia" w:ascii="宋体" w:hAnsi="宋体" w:eastAsia="宋体" w:cs="Times New Roman"/>
          <w:color w:val="auto"/>
          <w:sz w:val="24"/>
          <w:szCs w:val="24"/>
          <w:highlight w:val="none"/>
        </w:rPr>
        <w:t xml:space="preserve">         （或委托代理人）：</w:t>
      </w:r>
      <w:r>
        <w:rPr>
          <w:rFonts w:hint="eastAsia" w:ascii="宋体" w:hAnsi="宋体" w:eastAsia="宋体" w:cs="Times New Roman"/>
          <w:color w:val="auto"/>
          <w:sz w:val="24"/>
          <w:szCs w:val="24"/>
          <w:highlight w:val="none"/>
          <w:u w:val="single"/>
        </w:rPr>
        <w:t xml:space="preserve"> （签字或盖章）</w:t>
      </w:r>
      <w:r>
        <w:rPr>
          <w:rFonts w:hint="eastAsia" w:ascii="宋体" w:hAnsi="宋体" w:eastAsia="宋体" w:cs="Times New Roman"/>
          <w:color w:val="auto"/>
          <w:sz w:val="24"/>
          <w:szCs w:val="24"/>
          <w:highlight w:val="none"/>
        </w:rPr>
        <w:t xml:space="preserve">  </w:t>
      </w:r>
    </w:p>
    <w:bookmarkEnd w:id="398"/>
    <w:p>
      <w:pPr>
        <w:pStyle w:val="292"/>
        <w:snapToGrid w:val="0"/>
        <w:spacing w:line="440" w:lineRule="exact"/>
        <w:jc w:val="both"/>
        <w:rPr>
          <w:rFonts w:hint="eastAsia" w:ascii="宋体" w:hAnsi="宋体" w:eastAsia="宋体" w:cs="宋体"/>
          <w:b/>
          <w:color w:val="auto"/>
          <w:sz w:val="28"/>
          <w:szCs w:val="28"/>
          <w:highlight w:val="none"/>
        </w:rPr>
      </w:pPr>
    </w:p>
    <w:p>
      <w:pPr>
        <w:kinsoku w:val="0"/>
        <w:autoSpaceDE w:val="0"/>
        <w:autoSpaceDN w:val="0"/>
        <w:adjustRightInd w:val="0"/>
        <w:snapToGrid w:val="0"/>
        <w:spacing w:before="169" w:line="220" w:lineRule="auto"/>
        <w:ind w:left="779" w:firstLine="480" w:firstLineChars="200"/>
        <w:jc w:val="left"/>
        <w:textAlignment w:val="baseline"/>
        <w:outlineLvl w:val="0"/>
        <w:rPr>
          <w:rFonts w:hint="eastAsia" w:ascii="宋体" w:hAnsi="宋体" w:cs="宋体"/>
          <w:snapToGrid w:val="0"/>
          <w:color w:val="auto"/>
          <w:kern w:val="44"/>
          <w:sz w:val="24"/>
          <w:szCs w:val="20"/>
          <w:highlight w:val="none"/>
        </w:rPr>
      </w:pPr>
    </w:p>
    <w:p>
      <w:pPr>
        <w:pStyle w:val="2"/>
        <w:rPr>
          <w:rFonts w:hint="eastAsia" w:ascii="宋体" w:hAnsi="宋体" w:cs="宋体"/>
          <w:snapToGrid w:val="0"/>
          <w:color w:val="auto"/>
          <w:kern w:val="44"/>
          <w:sz w:val="24"/>
          <w:szCs w:val="20"/>
          <w:highlight w:val="none"/>
        </w:rPr>
      </w:pPr>
    </w:p>
    <w:p>
      <w:pPr>
        <w:pStyle w:val="3"/>
        <w:rPr>
          <w:rFonts w:hint="eastAsia" w:ascii="宋体" w:hAnsi="宋体" w:cs="宋体"/>
          <w:snapToGrid w:val="0"/>
          <w:color w:val="auto"/>
          <w:kern w:val="44"/>
          <w:sz w:val="24"/>
          <w:szCs w:val="20"/>
          <w:highlight w:val="none"/>
        </w:rPr>
      </w:pPr>
    </w:p>
    <w:p>
      <w:pPr>
        <w:snapToGrid w:val="0"/>
        <w:spacing w:line="360" w:lineRule="auto"/>
        <w:jc w:val="both"/>
        <w:outlineLvl w:val="0"/>
        <w:rPr>
          <w:rFonts w:hint="eastAsia" w:ascii="宋体" w:hAnsi="宋体" w:cs="宋体"/>
          <w:b/>
          <w:color w:val="auto"/>
          <w:sz w:val="36"/>
          <w:szCs w:val="20"/>
          <w:highlight w:val="none"/>
        </w:rPr>
      </w:pPr>
    </w:p>
    <w:p>
      <w:pPr>
        <w:snapToGrid w:val="0"/>
        <w:spacing w:line="360" w:lineRule="auto"/>
        <w:ind w:firstLine="2168" w:firstLineChars="600"/>
        <w:jc w:val="both"/>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响应文件格式及附件</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4"/>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[以联合体形式参与的，提供联合协议（附件4）；本项目不接受联合体或者供应商不以联合体形式投参与的，则不需要提供]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.专门面向中小企业，工程全部由符合政策要求的中小企业（或小微企业）承建的，提供相应的中小企业声明函（附件6）。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要求以联合体形式参加的，提供联合协议（附件4）和中小企业声明函（附件6），联合协议中中小企业合同金额应当达到竞争性磋商公告载明的比例；如果供应商本身提供所有标的均由中小企业承建的，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left"/>
        <w:rPr>
          <w:rFonts w:ascii="宋体" w:hAnsi="宋体" w:cs="宋体"/>
          <w:color w:val="auto"/>
          <w:sz w:val="24"/>
          <w:highlight w:val="none"/>
        </w:rPr>
      </w:pPr>
      <w:r>
        <w:rPr>
          <w:rFonts w:hint="eastAsia" w:ascii="宋体" w:hAnsi="宋体" w:cs="宋体"/>
          <w:b/>
          <w:color w:val="auto"/>
          <w:sz w:val="24"/>
          <w:highlight w:val="none"/>
        </w:rPr>
        <w:t xml:space="preserve">    C、</w:t>
      </w:r>
      <w:r>
        <w:rPr>
          <w:rFonts w:hint="eastAsia" w:ascii="宋体" w:hAnsi="宋体" w:cs="宋体"/>
          <w:color w:val="auto"/>
          <w:sz w:val="24"/>
          <w:highlight w:val="none"/>
        </w:rPr>
        <w:t>要求合同分包的，提供分包意向协议（附件5）和中小企业声明函（附件6），分包意向协议中中小企业合同金额应当达到竞争性磋商公告载明的比例；如果供应商本身提供所有标的均由中小企业承建，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2、我方承诺提供竞争性磋商文件中“供应商须知”规定的全部响应文件。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自</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日起至</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日止</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自</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日起至</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日止</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90"/>
        <w:spacing w:line="360" w:lineRule="auto"/>
        <w:rPr>
          <w:rFonts w:hAnsi="宋体" w:cs="宋体"/>
          <w:bCs/>
          <w:color w:val="auto"/>
          <w:sz w:val="24"/>
          <w:highlight w:val="none"/>
        </w:rPr>
      </w:pPr>
    </w:p>
    <w:p>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4"/>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7" w:hRule="atLeast"/>
          <w:jc w:val="center"/>
        </w:trPr>
        <w:tc>
          <w:tcPr>
            <w:tcW w:w="9899" w:type="dxa"/>
            <w:vAlign w:val="top"/>
          </w:tcPr>
          <w:p>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jc w:val="left"/>
        <w:rPr>
          <w:rFonts w:ascii="宋体" w:hAnsi="宋体" w:cs="宋体"/>
          <w:color w:val="auto"/>
          <w:sz w:val="24"/>
          <w:highlight w:val="none"/>
        </w:rPr>
      </w:pPr>
      <w:bookmarkStart w:id="429" w:name="_Hlk101169080"/>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成交后以分包方式履行合同的，提供分包意向协议(附件5</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29"/>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74"/>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20"/>
        <w:gridCol w:w="25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817"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20"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843"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20" w:type="dxa"/>
            <w:vAlign w:val="center"/>
          </w:tcPr>
          <w:p>
            <w:pPr>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843"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20" w:type="dxa"/>
            <w:vAlign w:val="center"/>
          </w:tcPr>
          <w:p>
            <w:pPr>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843"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5"/>
              <w:spacing w:line="240" w:lineRule="auto"/>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20" w:type="dxa"/>
            <w:vAlign w:val="center"/>
          </w:tcPr>
          <w:p>
            <w:pPr>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843"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20" w:type="dxa"/>
            <w:vAlign w:val="center"/>
          </w:tcPr>
          <w:p>
            <w:pPr>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843"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75"/>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84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hint="eastAsia" w:ascii="宋体" w:hAnsi="宋体" w:cs="宋体"/>
                <w:color w:val="auto"/>
                <w:kern w:val="0"/>
                <w:sz w:val="24"/>
                <w:highlight w:val="none"/>
              </w:rPr>
            </w:pP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hint="eastAsia" w:ascii="宋体" w:hAnsi="宋体" w:cs="宋体"/>
                <w:color w:val="auto"/>
                <w:kern w:val="0"/>
                <w:sz w:val="24"/>
                <w:highlight w:val="none"/>
              </w:rPr>
            </w:pP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hint="eastAsia" w:ascii="宋体" w:hAnsi="宋体" w:cs="宋体"/>
                <w:color w:val="auto"/>
                <w:kern w:val="0"/>
                <w:sz w:val="24"/>
                <w:highlight w:val="none"/>
              </w:rPr>
            </w:pP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hint="eastAsia" w:ascii="宋体" w:hAnsi="宋体" w:cs="宋体"/>
                <w:color w:val="auto"/>
                <w:kern w:val="0"/>
                <w:sz w:val="24"/>
                <w:highlight w:val="none"/>
              </w:rPr>
            </w:pP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vAlign w:val="center"/>
          </w:tcPr>
          <w:p>
            <w:pPr>
              <w:jc w:val="center"/>
              <w:rPr>
                <w:rFonts w:hint="eastAsia" w:ascii="宋体" w:hAnsi="宋体" w:cs="宋体"/>
                <w:color w:val="auto"/>
                <w:kern w:val="0"/>
                <w:sz w:val="24"/>
                <w:highlight w:val="none"/>
              </w:rPr>
            </w:pP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843" w:type="dxa"/>
            <w:vAlign w:val="center"/>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ind w:firstLine="1911" w:firstLineChars="595"/>
        <w:rPr>
          <w:rFonts w:ascii="宋体" w:hAnsi="宋体" w:cs="宋体"/>
          <w:b/>
          <w:bCs/>
          <w:color w:val="auto"/>
          <w:sz w:val="32"/>
          <w:szCs w:val="32"/>
          <w:highlight w:val="none"/>
        </w:rPr>
        <w:sectPr>
          <w:footerReference r:id="rId14" w:type="first"/>
          <w:footerReference r:id="rId13"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firstLine="4560" w:firstLineChars="19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pPr>
        <w:pStyle w:val="81"/>
        <w:rPr>
          <w:color w:val="auto"/>
          <w:highlight w:val="none"/>
          <w:lang w:val="en-US"/>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val="en-US" w:eastAsia="zh-CN"/>
        </w:rPr>
        <w:t>初次</w:t>
      </w:r>
      <w:r>
        <w:rPr>
          <w:rFonts w:hint="eastAsia" w:ascii="宋体" w:hAnsi="宋体" w:eastAsia="宋体" w:cs="宋体"/>
          <w:color w:val="auto"/>
          <w:kern w:val="2"/>
          <w:sz w:val="32"/>
          <w:szCs w:val="32"/>
          <w:highlight w:val="none"/>
        </w:rPr>
        <w:t>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kern w:val="0"/>
          <w:sz w:val="24"/>
          <w:highlight w:val="none"/>
          <w:u w:val="single"/>
          <w:lang w:val="zh-CN"/>
        </w:rPr>
        <w:t>庵东镇西三片区污水主网及接纳工程监理【项目编号：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74"/>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817"/>
        <w:gridCol w:w="2383"/>
        <w:gridCol w:w="2083"/>
        <w:gridCol w:w="273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79" w:type="dxa"/>
            <w:vAlign w:val="center"/>
          </w:tcPr>
          <w:p>
            <w:pPr>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项目名称</w:t>
            </w:r>
          </w:p>
        </w:tc>
        <w:tc>
          <w:tcPr>
            <w:tcW w:w="3817" w:type="dxa"/>
            <w:vAlign w:val="center"/>
          </w:tcPr>
          <w:p>
            <w:pPr>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监理</w:t>
            </w:r>
            <w:r>
              <w:rPr>
                <w:rFonts w:hint="eastAsia" w:ascii="宋体" w:hAnsi="宋体" w:eastAsia="宋体" w:cs="宋体"/>
                <w:b w:val="0"/>
                <w:bCs/>
                <w:color w:val="auto"/>
                <w:sz w:val="24"/>
                <w:szCs w:val="24"/>
                <w:highlight w:val="none"/>
              </w:rPr>
              <w:t>范围</w:t>
            </w:r>
          </w:p>
        </w:tc>
        <w:tc>
          <w:tcPr>
            <w:tcW w:w="2383" w:type="dxa"/>
            <w:vAlign w:val="center"/>
          </w:tcPr>
          <w:p>
            <w:pPr>
              <w:spacing w:line="360" w:lineRule="auto"/>
              <w:jc w:val="center"/>
              <w:rPr>
                <w:rFonts w:ascii="宋体" w:hAnsi="宋体" w:cs="宋体"/>
                <w:b w:val="0"/>
                <w:bCs/>
                <w:color w:val="auto"/>
                <w:sz w:val="24"/>
                <w:szCs w:val="24"/>
                <w:highlight w:val="none"/>
              </w:rPr>
            </w:pPr>
            <w:r>
              <w:rPr>
                <w:rFonts w:hint="eastAsia" w:ascii="宋体" w:hAnsi="宋体" w:cs="宋体"/>
                <w:b w:val="0"/>
                <w:bCs/>
                <w:strike w:val="0"/>
                <w:dstrike w:val="0"/>
                <w:color w:val="auto"/>
                <w:sz w:val="24"/>
                <w:szCs w:val="24"/>
                <w:highlight w:val="none"/>
                <w:lang w:val="en-US" w:eastAsia="zh-CN"/>
              </w:rPr>
              <w:t>合同履约</w:t>
            </w:r>
            <w:r>
              <w:rPr>
                <w:rFonts w:hint="eastAsia" w:ascii="宋体" w:hAnsi="宋体" w:cs="宋体"/>
                <w:b w:val="0"/>
                <w:bCs/>
                <w:strike w:val="0"/>
                <w:dstrike w:val="0"/>
                <w:color w:val="auto"/>
                <w:sz w:val="24"/>
                <w:szCs w:val="24"/>
                <w:highlight w:val="none"/>
              </w:rPr>
              <w:t>期限</w:t>
            </w:r>
          </w:p>
        </w:tc>
        <w:tc>
          <w:tcPr>
            <w:tcW w:w="2083" w:type="dxa"/>
            <w:vAlign w:val="center"/>
          </w:tcPr>
          <w:p>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总监理工程师</w:t>
            </w:r>
          </w:p>
        </w:tc>
        <w:tc>
          <w:tcPr>
            <w:tcW w:w="2734" w:type="dxa"/>
            <w:vAlign w:val="center"/>
          </w:tcPr>
          <w:p>
            <w:pPr>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证书信息</w:t>
            </w:r>
          </w:p>
        </w:tc>
        <w:tc>
          <w:tcPr>
            <w:tcW w:w="1671"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79" w:type="dxa"/>
            <w:vAlign w:val="center"/>
          </w:tcPr>
          <w:p>
            <w:pPr>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庵东镇西三片区污水主网及接纳工程监理</w:t>
            </w:r>
          </w:p>
        </w:tc>
        <w:tc>
          <w:tcPr>
            <w:tcW w:w="3817" w:type="dxa"/>
            <w:vAlign w:val="center"/>
          </w:tcPr>
          <w:p>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庵东镇西三片区污水主网及接纳工程的全过程和</w:t>
            </w:r>
            <w:r>
              <w:rPr>
                <w:rFonts w:hint="eastAsia" w:ascii="宋体" w:hAnsi="宋体"/>
                <w:bCs/>
                <w:sz w:val="24"/>
              </w:rPr>
              <w:t>缺陷责任期</w:t>
            </w:r>
            <w:r>
              <w:rPr>
                <w:rFonts w:hint="eastAsia" w:ascii="宋体" w:hAnsi="宋体" w:cs="宋体"/>
                <w:b w:val="0"/>
                <w:bCs/>
                <w:color w:val="auto"/>
                <w:sz w:val="24"/>
                <w:szCs w:val="24"/>
                <w:highlight w:val="none"/>
                <w:lang w:val="en-US" w:eastAsia="zh-CN"/>
              </w:rPr>
              <w:t>的监理</w:t>
            </w:r>
          </w:p>
        </w:tc>
        <w:tc>
          <w:tcPr>
            <w:tcW w:w="2383" w:type="dxa"/>
            <w:vAlign w:val="center"/>
          </w:tcPr>
          <w:p>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自合同签订之日起至本项目</w:t>
            </w:r>
            <w:r>
              <w:rPr>
                <w:rFonts w:hint="eastAsia" w:ascii="宋体" w:hAnsi="宋体"/>
                <w:bCs/>
                <w:sz w:val="24"/>
              </w:rPr>
              <w:t>缺陷责任期</w:t>
            </w:r>
            <w:r>
              <w:rPr>
                <w:rFonts w:hint="eastAsia" w:ascii="宋体" w:hAnsi="宋体" w:cs="宋体"/>
                <w:b w:val="0"/>
                <w:bCs/>
                <w:color w:val="auto"/>
                <w:sz w:val="24"/>
                <w:szCs w:val="24"/>
                <w:highlight w:val="none"/>
                <w:lang w:val="en-US" w:eastAsia="zh-CN"/>
              </w:rPr>
              <w:t>满止</w:t>
            </w:r>
          </w:p>
        </w:tc>
        <w:tc>
          <w:tcPr>
            <w:tcW w:w="2083" w:type="dxa"/>
            <w:vAlign w:val="center"/>
          </w:tcPr>
          <w:p>
            <w:pPr>
              <w:spacing w:line="360" w:lineRule="auto"/>
              <w:jc w:val="center"/>
              <w:rPr>
                <w:rFonts w:ascii="宋体" w:hAnsi="宋体" w:cs="宋体"/>
                <w:b w:val="0"/>
                <w:bCs/>
                <w:color w:val="auto"/>
                <w:sz w:val="24"/>
                <w:szCs w:val="24"/>
                <w:highlight w:val="none"/>
              </w:rPr>
            </w:pPr>
          </w:p>
        </w:tc>
        <w:tc>
          <w:tcPr>
            <w:tcW w:w="2734" w:type="dxa"/>
            <w:vAlign w:val="center"/>
          </w:tcPr>
          <w:p>
            <w:pPr>
              <w:spacing w:line="360" w:lineRule="auto"/>
              <w:jc w:val="center"/>
              <w:rPr>
                <w:rFonts w:ascii="宋体" w:hAnsi="宋体" w:cs="宋体"/>
                <w:b w:val="0"/>
                <w:bCs/>
                <w:color w:val="auto"/>
                <w:sz w:val="24"/>
                <w:szCs w:val="24"/>
                <w:highlight w:val="none"/>
              </w:rPr>
            </w:pPr>
          </w:p>
        </w:tc>
        <w:tc>
          <w:tcPr>
            <w:tcW w:w="1671"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0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488"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0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488"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w:t>
      </w:r>
      <w:r>
        <w:rPr>
          <w:rFonts w:hint="eastAsia" w:ascii="宋体" w:hAnsi="宋体" w:cs="宋体"/>
          <w:color w:val="auto"/>
          <w:kern w:val="0"/>
          <w:sz w:val="24"/>
          <w:highlight w:val="none"/>
          <w:lang w:val="en-US" w:eastAsia="zh-CN"/>
        </w:rPr>
        <w:t>监理</w:t>
      </w:r>
      <w:r>
        <w:rPr>
          <w:rFonts w:hint="eastAsia" w:ascii="宋体" w:hAnsi="宋体" w:cs="宋体"/>
          <w:color w:val="auto"/>
          <w:kern w:val="0"/>
          <w:sz w:val="24"/>
          <w:highlight w:val="none"/>
          <w:lang w:val="zh-CN"/>
        </w:rPr>
        <w:t>范围、</w:t>
      </w:r>
      <w:r>
        <w:rPr>
          <w:rFonts w:hint="eastAsia" w:ascii="宋体" w:hAnsi="宋体" w:cs="宋体"/>
          <w:b w:val="0"/>
          <w:bCs/>
          <w:strike w:val="0"/>
          <w:dstrike w:val="0"/>
          <w:color w:val="auto"/>
          <w:sz w:val="24"/>
          <w:szCs w:val="24"/>
          <w:highlight w:val="none"/>
          <w:lang w:val="en-US" w:eastAsia="zh-CN"/>
        </w:rPr>
        <w:t>合同履约</w:t>
      </w:r>
      <w:r>
        <w:rPr>
          <w:rFonts w:hint="eastAsia" w:ascii="宋体" w:hAnsi="宋体" w:cs="宋体"/>
          <w:b w:val="0"/>
          <w:bCs/>
          <w:strike w:val="0"/>
          <w:dstrike w:val="0"/>
          <w:color w:val="auto"/>
          <w:sz w:val="24"/>
          <w:szCs w:val="24"/>
          <w:highlight w:val="none"/>
        </w:rPr>
        <w:t>期限</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总监理工程师</w:t>
      </w:r>
      <w:r>
        <w:rPr>
          <w:rFonts w:hint="eastAsia" w:ascii="宋体" w:hAnsi="宋体" w:cs="宋体"/>
          <w:color w:val="auto"/>
          <w:kern w:val="0"/>
          <w:sz w:val="24"/>
          <w:highlight w:val="none"/>
          <w:lang w:val="zh-CN"/>
        </w:rPr>
        <w:t>、证书信息、品牌（如果有）、规格型号、数量、单价等予以公示。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autoSpaceDE w:val="0"/>
        <w:autoSpaceDN w:val="0"/>
        <w:spacing w:line="360" w:lineRule="auto"/>
        <w:ind w:left="2" w:leftChars="1" w:right="1120" w:firstLine="3990" w:firstLineChars="1900"/>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zh-CN" w:eastAsia="zh-CN" w:bidi="ar-SA"/>
        </w:rPr>
        <w:t>供应商名称（</w:t>
      </w:r>
      <w:r>
        <w:rPr>
          <w:rFonts w:hint="eastAsia" w:ascii="宋体" w:hAnsi="宋体" w:eastAsia="宋体" w:cs="宋体"/>
          <w:color w:val="auto"/>
          <w:kern w:val="2"/>
          <w:sz w:val="21"/>
          <w:szCs w:val="21"/>
          <w:highlight w:val="none"/>
          <w:lang w:val="en-US" w:eastAsia="zh-CN" w:bidi="ar-SA"/>
        </w:rPr>
        <w:t>电子签名</w:t>
      </w:r>
      <w:r>
        <w:rPr>
          <w:rFonts w:hint="eastAsia" w:ascii="宋体" w:hAnsi="宋体" w:eastAsia="宋体" w:cs="宋体"/>
          <w:color w:val="auto"/>
          <w:kern w:val="2"/>
          <w:sz w:val="21"/>
          <w:szCs w:val="21"/>
          <w:highlight w:val="none"/>
          <w:lang w:val="zh-CN" w:eastAsia="zh-CN" w:bidi="ar-SA"/>
        </w:rPr>
        <w:t>）：</w:t>
      </w:r>
    </w:p>
    <w:p>
      <w:pPr>
        <w:spacing w:line="360" w:lineRule="auto"/>
        <w:ind w:firstLine="3990" w:firstLineChars="19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日期</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 xml:space="preserve">   年   月   日</w:t>
      </w:r>
    </w:p>
    <w:p>
      <w:pPr>
        <w:pStyle w:val="378"/>
        <w:tabs>
          <w:tab w:val="clear" w:pos="720"/>
        </w:tabs>
        <w:snapToGrid w:val="0"/>
        <w:spacing w:before="120" w:after="120"/>
        <w:ind w:firstLine="643"/>
        <w:jc w:val="right"/>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378"/>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30" w:name="_Hlk101259491"/>
      <w:r>
        <w:rPr>
          <w:rFonts w:hint="eastAsia" w:ascii="宋体" w:hAnsi="宋体" w:eastAsia="宋体" w:cs="宋体"/>
          <w:color w:val="auto"/>
          <w:sz w:val="32"/>
          <w:szCs w:val="32"/>
          <w:highlight w:val="none"/>
        </w:rPr>
        <w:t>（如果有）</w:t>
      </w:r>
      <w:bookmarkEnd w:id="430"/>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6）。]</w:t>
      </w:r>
    </w:p>
    <w:p>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1" w:name="_Toc465665161"/>
      <w:r>
        <w:rPr>
          <w:rFonts w:hint="eastAsia" w:ascii="宋体" w:hAnsi="宋体" w:cs="宋体"/>
          <w:color w:val="auto"/>
          <w:highlight w:val="none"/>
        </w:rPr>
        <w:t>附件</w:t>
      </w:r>
      <w:bookmarkEnd w:id="43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32" w:name="OLE_LINK14"/>
      <w:bookmarkStart w:id="433" w:name="OLE_LINK13"/>
      <w:r>
        <w:rPr>
          <w:rFonts w:hint="eastAsia" w:ascii="宋体" w:hAnsi="宋体" w:cs="宋体"/>
          <w:b/>
          <w:color w:val="auto"/>
          <w:spacing w:val="6"/>
          <w:sz w:val="32"/>
          <w:szCs w:val="32"/>
          <w:highlight w:val="none"/>
        </w:rPr>
        <w:t>残疾人福利性单位声明函</w:t>
      </w:r>
    </w:p>
    <w:bookmarkEnd w:id="432"/>
    <w:bookmarkEnd w:id="43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附件4：</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3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pPr>
        <w:wordWrap/>
        <w:snapToGrid w:val="0"/>
        <w:spacing w:line="380" w:lineRule="exact"/>
        <w:jc w:val="center"/>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rPr>
        <w:t>分包意向协议</w:t>
      </w:r>
    </w:p>
    <w:p>
      <w:pPr>
        <w:widowControl/>
        <w:wordWrap/>
        <w:spacing w:line="380" w:lineRule="exact"/>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wordWrap/>
        <w:spacing w:line="380" w:lineRule="exact"/>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wordWrap/>
        <w:snapToGrid w:val="0"/>
        <w:spacing w:line="380" w:lineRule="exact"/>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wordWrap/>
        <w:spacing w:line="380" w:lineRule="exact"/>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5"/>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wordWrap/>
        <w:snapToGrid w:val="0"/>
        <w:spacing w:line="380" w:lineRule="exact"/>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wordWrap/>
        <w:snapToGrid w:val="0"/>
        <w:spacing w:line="380" w:lineRule="exact"/>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wordWrap/>
        <w:snapToGrid w:val="0"/>
        <w:spacing w:line="380" w:lineRule="exact"/>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wordWrap/>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wordWrap/>
        <w:snapToGrid w:val="0"/>
        <w:spacing w:line="380" w:lineRule="exact"/>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wordWrap/>
        <w:snapToGrid w:val="0"/>
        <w:spacing w:line="380" w:lineRule="exact"/>
        <w:ind w:firstLine="5640" w:firstLineChars="23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wordWrap/>
        <w:snapToGrid w:val="0"/>
        <w:spacing w:line="380" w:lineRule="exact"/>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pPr>
        <w:wordWrap/>
        <w:spacing w:line="380" w:lineRule="exact"/>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spacing w:line="360" w:lineRule="auto"/>
        <w:rPr>
          <w:rFonts w:ascii="宋体" w:hAnsi="宋体" w:cs="宋体"/>
          <w:b/>
          <w:strike w:val="0"/>
          <w:dstrike w:val="0"/>
          <w:color w:val="auto"/>
          <w:spacing w:val="6"/>
          <w:sz w:val="32"/>
          <w:szCs w:val="32"/>
          <w:highlight w:val="none"/>
        </w:rPr>
      </w:pPr>
      <w:r>
        <w:rPr>
          <w:rFonts w:hint="eastAsia" w:ascii="宋体" w:hAnsi="宋体" w:cs="宋体"/>
          <w:b/>
          <w:strike w:val="0"/>
          <w:dstrike w:val="0"/>
          <w:color w:val="auto"/>
          <w:spacing w:val="6"/>
          <w:sz w:val="32"/>
          <w:szCs w:val="32"/>
          <w:highlight w:val="none"/>
        </w:rPr>
        <w:t>附件7：工程量清单（</w:t>
      </w:r>
      <w:r>
        <w:rPr>
          <w:rFonts w:hint="eastAsia" w:ascii="宋体" w:hAnsi="宋体" w:cs="宋体"/>
          <w:b/>
          <w:strike w:val="0"/>
          <w:dstrike w:val="0"/>
          <w:color w:val="auto"/>
          <w:spacing w:val="6"/>
          <w:sz w:val="32"/>
          <w:szCs w:val="32"/>
          <w:highlight w:val="none"/>
          <w:lang w:val="en-US" w:eastAsia="zh-CN"/>
        </w:rPr>
        <w:t>无</w:t>
      </w:r>
      <w:r>
        <w:rPr>
          <w:rFonts w:hint="eastAsia" w:ascii="宋体" w:hAnsi="宋体" w:cs="宋体"/>
          <w:b/>
          <w:strike w:val="0"/>
          <w:dstrike w:val="0"/>
          <w:color w:val="auto"/>
          <w:spacing w:val="6"/>
          <w:sz w:val="32"/>
          <w:szCs w:val="32"/>
          <w:highlight w:val="none"/>
        </w:rPr>
        <w:t>）</w:t>
      </w:r>
    </w:p>
    <w:p>
      <w:pPr>
        <w:spacing w:line="360" w:lineRule="auto"/>
        <w:rPr>
          <w:rFonts w:ascii="宋体" w:hAnsi="宋体" w:cs="宋体"/>
          <w:b/>
          <w:strike w:val="0"/>
          <w:color w:val="auto"/>
          <w:spacing w:val="6"/>
          <w:sz w:val="32"/>
          <w:szCs w:val="32"/>
          <w:highlight w:val="none"/>
        </w:rPr>
      </w:pPr>
    </w:p>
    <w:p>
      <w:pPr>
        <w:spacing w:line="360" w:lineRule="auto"/>
        <w:rPr>
          <w:rFonts w:ascii="宋体" w:hAnsi="宋体" w:cs="宋体"/>
          <w:b/>
          <w:strike w:val="0"/>
          <w:dstrike w:val="0"/>
          <w:color w:val="auto"/>
          <w:spacing w:val="6"/>
          <w:sz w:val="32"/>
          <w:szCs w:val="32"/>
          <w:highlight w:val="none"/>
        </w:rPr>
      </w:pPr>
      <w:r>
        <w:rPr>
          <w:rFonts w:hint="eastAsia" w:ascii="宋体" w:hAnsi="宋体" w:cs="宋体"/>
          <w:b/>
          <w:strike w:val="0"/>
          <w:dstrike w:val="0"/>
          <w:color w:val="auto"/>
          <w:spacing w:val="6"/>
          <w:sz w:val="32"/>
          <w:szCs w:val="32"/>
          <w:highlight w:val="none"/>
        </w:rPr>
        <w:t>附件8：图纸（</w:t>
      </w:r>
      <w:r>
        <w:rPr>
          <w:rFonts w:hint="eastAsia" w:ascii="宋体" w:hAnsi="宋体" w:cs="宋体"/>
          <w:b/>
          <w:strike w:val="0"/>
          <w:dstrike w:val="0"/>
          <w:color w:val="auto"/>
          <w:spacing w:val="6"/>
          <w:sz w:val="32"/>
          <w:szCs w:val="32"/>
          <w:highlight w:val="none"/>
          <w:lang w:val="en-US" w:eastAsia="zh-CN"/>
        </w:rPr>
        <w:t>无</w:t>
      </w:r>
      <w:r>
        <w:rPr>
          <w:rFonts w:hint="eastAsia" w:ascii="宋体" w:hAnsi="宋体" w:cs="宋体"/>
          <w:b/>
          <w:strike w:val="0"/>
          <w:dstrike w:val="0"/>
          <w:color w:val="auto"/>
          <w:spacing w:val="6"/>
          <w:sz w:val="32"/>
          <w:szCs w:val="32"/>
          <w:highlight w:val="none"/>
        </w:rPr>
        <w:t>）</w:t>
      </w: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pPr>
    </w:p>
    <w:p>
      <w:pPr>
        <w:pStyle w:val="29"/>
        <w:ind w:left="0" w:leftChars="0" w:firstLine="0" w:firstLineChars="0"/>
        <w:rPr>
          <w:color w:val="auto"/>
          <w:highlight w:val="none"/>
        </w:rPr>
        <w:sectPr>
          <w:pgSz w:w="11906" w:h="16838"/>
          <w:pgMar w:top="1440" w:right="1080" w:bottom="1440" w:left="1080" w:header="851" w:footer="992" w:gutter="0"/>
          <w:cols w:space="720" w:num="1"/>
          <w:titlePg/>
          <w:docGrid w:linePitch="312" w:charSpace="0"/>
        </w:sectPr>
      </w:pPr>
    </w:p>
    <w:tbl>
      <w:tblPr>
        <w:tblStyle w:val="74"/>
        <w:tblW w:w="1507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jc w:val="center"/>
              <w:rPr>
                <w:rFonts w:hint="eastAsia" w:ascii="宋体" w:hAnsi="宋体" w:cs="宋体"/>
                <w:b/>
                <w:bCs/>
                <w:color w:val="auto"/>
                <w:kern w:val="0"/>
                <w:sz w:val="24"/>
                <w:highlight w:val="none"/>
              </w:rPr>
            </w:pPr>
          </w:p>
          <w:p>
            <w:pPr>
              <w:widowControl/>
              <w:jc w:val="center"/>
              <w:rPr>
                <w:rFonts w:hint="eastAsia" w:ascii="宋体" w:hAnsi="宋体" w:cs="宋体"/>
                <w:b/>
                <w:bCs/>
                <w:color w:val="auto"/>
                <w:kern w:val="0"/>
                <w:sz w:val="24"/>
                <w:highlight w:val="none"/>
              </w:rPr>
            </w:pPr>
          </w:p>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trPr>
        <w:tc>
          <w:tcPr>
            <w:tcW w:w="15077" w:type="dxa"/>
            <w:gridSpan w:val="11"/>
            <w:tcBorders>
              <w:top w:val="nil"/>
              <w:left w:val="nil"/>
              <w:bottom w:val="nil"/>
              <w:right w:val="nil"/>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9"/>
        <w:ind w:left="0" w:leftChars="0" w:firstLine="0" w:firstLineChars="0"/>
        <w:rPr>
          <w:color w:val="auto"/>
          <w:highlight w:val="none"/>
        </w:rPr>
      </w:pPr>
    </w:p>
    <w:sectPr>
      <w:pgSz w:w="16838" w:h="11906" w:orient="landscape"/>
      <w:pgMar w:top="1083" w:right="1440" w:bottom="1083" w:left="1440" w:header="851" w:footer="992" w:gutter="0"/>
      <w:paperSrc w:first="0" w:oth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framePr w:wrap="around" w:vAnchor="text" w:hAnchor="margin" w:xAlign="right" w:y="1"/>
      <w:rPr>
        <w:rStyle w:val="67"/>
      </w:rPr>
    </w:pPr>
    <w:r>
      <w:fldChar w:fldCharType="begin"/>
    </w:r>
    <w:r>
      <w:rPr>
        <w:rStyle w:val="67"/>
      </w:rPr>
      <w:instrText xml:space="preserve">PAGE  </w:instrText>
    </w:r>
    <w:r>
      <w:fldChar w:fldCharType="separate"/>
    </w:r>
    <w:r>
      <w:rPr>
        <w:rStyle w:val="67"/>
      </w:rPr>
      <w:t>9</w: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6" w:name="_Toc91899912"/>
    <w:bookmarkStart w:id="437" w:name="_Toc131845147"/>
    <w:bookmarkStart w:id="438" w:name="_Toc36110187"/>
    <w:bookmarkStart w:id="439" w:name="_Toc164085800"/>
    <w:r>
      <w:rPr>
        <w:rFonts w:hint="eastAsia" w:ascii="仿宋_GB2312" w:eastAsia="仿宋_GB2312"/>
        <w:kern w:val="0"/>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framePr w:wrap="around" w:vAnchor="text" w:hAnchor="margin" w:xAlign="right" w:y="1"/>
      <w:rPr>
        <w:rStyle w:val="67"/>
      </w:rPr>
    </w:pPr>
    <w:r>
      <w:fldChar w:fldCharType="begin"/>
    </w:r>
    <w:r>
      <w:rPr>
        <w:rStyle w:val="6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jc w:val="right"/>
      <w:rPr>
        <w:rFonts w:ascii="仿宋_GB2312" w:eastAsia="仿宋_GB2312"/>
        <w:i/>
        <w:u w:val="single"/>
      </w:rPr>
    </w:pPr>
    <w:r>
      <w:rPr>
        <w:rFonts w:hint="eastAsia"/>
        <w:lang w:val="zh-CN"/>
      </w:rPr>
      <w:t>宁波前湾新区政府采购竞争性磋商文件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tabs>
        <w:tab w:val="center" w:pos="4535"/>
        <w:tab w:val="right" w:pos="9070"/>
        <w:tab w:val="clear" w:pos="4153"/>
        <w:tab w:val="clear" w:pos="8306"/>
      </w:tabs>
      <w:jc w:val="right"/>
    </w:pPr>
    <w:r>
      <w:rPr>
        <w:rFonts w:hint="eastAsia"/>
        <w:lang w:val="zh-CN"/>
      </w:rPr>
      <w:t>宁波前湾新区政府采购竞争性磋商文件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tabs>
        <w:tab w:val="center" w:pos="4535"/>
        <w:tab w:val="right" w:pos="9070"/>
        <w:tab w:val="clear" w:pos="4153"/>
        <w:tab w:val="clear" w:pos="8306"/>
      </w:tabs>
      <w:jc w:val="right"/>
    </w:pPr>
    <w:r>
      <w:rPr>
        <w:rFonts w:hint="eastAsia"/>
        <w:lang w:val="zh-CN"/>
      </w:rPr>
      <w:t>宁波前湾新区政府采购竞争性磋商文件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宁波前湾新区政府采购竞争性磋商文件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宁波前湾新区政府采购竞争性磋商文件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159096">
    <w:nsid w:val="663B4038"/>
    <w:multiLevelType w:val="singleLevel"/>
    <w:tmpl w:val="663B4038"/>
    <w:lvl w:ilvl="0" w:tentative="1">
      <w:start w:val="1"/>
      <w:numFmt w:val="decimal"/>
      <w:suff w:val="space"/>
      <w:lvlText w:val="%1、"/>
      <w:lvlJc w:val="left"/>
    </w:lvl>
  </w:abstractNum>
  <w:abstractNum w:abstractNumId="11">
    <w:nsid w:val="0000000B"/>
    <w:multiLevelType w:val="multilevel"/>
    <w:tmpl w:val="0000000B"/>
    <w:lvl w:ilvl="0" w:tentative="1">
      <w:start w:val="1"/>
      <w:numFmt w:val="decimal"/>
      <w:lvlText w:val="%1、"/>
      <w:lvlJc w:val="left"/>
      <w:pPr>
        <w:tabs>
          <w:tab w:val="left" w:pos="840"/>
        </w:tabs>
        <w:ind w:left="840" w:hanging="36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5">
    <w:nsid w:val="0000000F"/>
    <w:multiLevelType w:val="multilevel"/>
    <w:tmpl w:val="0000000F"/>
    <w:lvl w:ilvl="0" w:tentative="1">
      <w:start w:val="1"/>
      <w:numFmt w:val="chineseCountingThousand"/>
      <w:lvlText w:val="(%1)"/>
      <w:lvlJc w:val="left"/>
      <w:pPr>
        <w:ind w:left="846" w:hanging="420"/>
      </w:p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6">
    <w:nsid w:val="00000010"/>
    <w:multiLevelType w:val="multilevel"/>
    <w:tmpl w:val="00000010"/>
    <w:lvl w:ilvl="0" w:tentative="1">
      <w:start w:val="1"/>
      <w:numFmt w:val="chineseCountingThousand"/>
      <w:lvlText w:val="(%1)"/>
      <w:lvlJc w:val="left"/>
      <w:pPr>
        <w:ind w:left="846" w:hanging="420"/>
      </w:p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0000000D"/>
    <w:multiLevelType w:val="multilevel"/>
    <w:tmpl w:val="0000000D"/>
    <w:lvl w:ilvl="0" w:tentative="1">
      <w:start w:val="5"/>
      <w:numFmt w:val="decimal"/>
      <w:lvlText w:val="（%1）"/>
      <w:lvlJc w:val="left"/>
      <w:pPr>
        <w:tabs>
          <w:tab w:val="left" w:pos="1200"/>
        </w:tabs>
        <w:ind w:left="1200" w:hanging="720"/>
      </w:pPr>
      <w:rPr>
        <w:rFonts w:hint="default" w:ascii="宋体" w:eastAsia="宋体"/>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2334003245">
    <w:nsid w:val="8B1E102D"/>
    <w:multiLevelType w:val="singleLevel"/>
    <w:tmpl w:val="8B1E102D"/>
    <w:lvl w:ilvl="0" w:tentative="1">
      <w:start w:val="1"/>
      <w:numFmt w:val="decimal"/>
      <w:suff w:val="nothing"/>
      <w:lvlText w:val="（%1）"/>
      <w:lvlJc w:val="left"/>
    </w:lvl>
  </w:abstractNum>
  <w:abstractNum w:abstractNumId="14">
    <w:nsid w:val="0000000E"/>
    <w:multiLevelType w:val="multilevel"/>
    <w:tmpl w:val="0000000E"/>
    <w:lvl w:ilvl="0" w:tentative="1">
      <w:start w:val="1"/>
      <w:numFmt w:val="japaneseCounting"/>
      <w:lvlText w:val="第%1条"/>
      <w:lvlJc w:val="left"/>
      <w:pPr>
        <w:ind w:left="1537" w:hanging="1110"/>
      </w:pPr>
      <w:rPr>
        <w:rFonts w:hint="default"/>
      </w:rPr>
    </w:lvl>
    <w:lvl w:ilvl="1" w:tentative="1">
      <w:start w:val="1"/>
      <w:numFmt w:val="lowerLetter"/>
      <w:lvlText w:val="%2)"/>
      <w:lvlJc w:val="left"/>
      <w:pPr>
        <w:ind w:left="1267" w:hanging="420"/>
      </w:pPr>
    </w:lvl>
    <w:lvl w:ilvl="2" w:tentative="1">
      <w:start w:val="1"/>
      <w:numFmt w:val="lowerRoman"/>
      <w:lvlText w:val="%3."/>
      <w:lvlJc w:val="right"/>
      <w:pPr>
        <w:ind w:left="1687" w:hanging="420"/>
      </w:pPr>
    </w:lvl>
    <w:lvl w:ilvl="3" w:tentative="1">
      <w:start w:val="1"/>
      <w:numFmt w:val="decimal"/>
      <w:lvlText w:val="%4."/>
      <w:lvlJc w:val="left"/>
      <w:pPr>
        <w:ind w:left="2107" w:hanging="420"/>
      </w:pPr>
    </w:lvl>
    <w:lvl w:ilvl="4" w:tentative="1">
      <w:start w:val="1"/>
      <w:numFmt w:val="lowerLetter"/>
      <w:lvlText w:val="%5)"/>
      <w:lvlJc w:val="left"/>
      <w:pPr>
        <w:ind w:left="2527" w:hanging="420"/>
      </w:pPr>
    </w:lvl>
    <w:lvl w:ilvl="5" w:tentative="1">
      <w:start w:val="1"/>
      <w:numFmt w:val="lowerRoman"/>
      <w:lvlText w:val="%6."/>
      <w:lvlJc w:val="right"/>
      <w:pPr>
        <w:ind w:left="2947" w:hanging="420"/>
      </w:pPr>
    </w:lvl>
    <w:lvl w:ilvl="6" w:tentative="1">
      <w:start w:val="1"/>
      <w:numFmt w:val="decimal"/>
      <w:lvlText w:val="%7."/>
      <w:lvlJc w:val="left"/>
      <w:pPr>
        <w:ind w:left="3367" w:hanging="420"/>
      </w:pPr>
    </w:lvl>
    <w:lvl w:ilvl="7" w:tentative="1">
      <w:start w:val="1"/>
      <w:numFmt w:val="lowerLetter"/>
      <w:lvlText w:val="%8)"/>
      <w:lvlJc w:val="left"/>
      <w:pPr>
        <w:ind w:left="3787" w:hanging="420"/>
      </w:pPr>
    </w:lvl>
    <w:lvl w:ilvl="8" w:tentative="1">
      <w:start w:val="1"/>
      <w:numFmt w:val="lowerRoman"/>
      <w:lvlText w:val="%9."/>
      <w:lvlJc w:val="right"/>
      <w:pPr>
        <w:ind w:left="4207" w:hanging="420"/>
      </w:pPr>
    </w:lvl>
  </w:abstractNum>
  <w:num w:numId="1">
    <w:abstractNumId w:val="1715159096"/>
  </w:num>
  <w:num w:numId="2">
    <w:abstractNumId w:val="14"/>
  </w:num>
  <w:num w:numId="3">
    <w:abstractNumId w:val="13"/>
  </w:num>
  <w:num w:numId="4">
    <w:abstractNumId w:val="15"/>
  </w:num>
  <w:num w:numId="5">
    <w:abstractNumId w:val="11"/>
  </w:num>
  <w:num w:numId="6">
    <w:abstractNumId w:val="16"/>
  </w:num>
  <w:num w:numId="7">
    <w:abstractNumId w:val="2334003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MxZGZiMTgyMjI1MzRmMGIzNDcyNzNkNzczYTMyO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115"/>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9C3"/>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4F72"/>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979"/>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07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5BBE"/>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9DE"/>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DF1"/>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C9F"/>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BB3"/>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CB2"/>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7EF"/>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C43"/>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B6"/>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2C2"/>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945"/>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4E1"/>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6EF7"/>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3C6"/>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85F"/>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99B"/>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0689"/>
    <w:rsid w:val="011F6449"/>
    <w:rsid w:val="01236AFB"/>
    <w:rsid w:val="014E4831"/>
    <w:rsid w:val="017F5000"/>
    <w:rsid w:val="01821808"/>
    <w:rsid w:val="019F7441"/>
    <w:rsid w:val="01A330A1"/>
    <w:rsid w:val="01B37585"/>
    <w:rsid w:val="01C65DA5"/>
    <w:rsid w:val="01D55165"/>
    <w:rsid w:val="01DA1E97"/>
    <w:rsid w:val="01DF6BF8"/>
    <w:rsid w:val="01E07623"/>
    <w:rsid w:val="01E70DB5"/>
    <w:rsid w:val="01EC2C57"/>
    <w:rsid w:val="024C4754"/>
    <w:rsid w:val="0250315A"/>
    <w:rsid w:val="025F0711"/>
    <w:rsid w:val="026B2E25"/>
    <w:rsid w:val="02824D4D"/>
    <w:rsid w:val="028710B6"/>
    <w:rsid w:val="02AC21EF"/>
    <w:rsid w:val="02B42E7F"/>
    <w:rsid w:val="02C16911"/>
    <w:rsid w:val="02CB2AA4"/>
    <w:rsid w:val="02DC4B10"/>
    <w:rsid w:val="02DD76CE"/>
    <w:rsid w:val="02F36323"/>
    <w:rsid w:val="02F5619C"/>
    <w:rsid w:val="030806B1"/>
    <w:rsid w:val="030C130F"/>
    <w:rsid w:val="030D350D"/>
    <w:rsid w:val="03125417"/>
    <w:rsid w:val="031676A0"/>
    <w:rsid w:val="031C15A9"/>
    <w:rsid w:val="03230F34"/>
    <w:rsid w:val="0326446A"/>
    <w:rsid w:val="032D5555"/>
    <w:rsid w:val="0364779F"/>
    <w:rsid w:val="036634D2"/>
    <w:rsid w:val="03851ED2"/>
    <w:rsid w:val="03AE0B18"/>
    <w:rsid w:val="03D76459"/>
    <w:rsid w:val="03DC28E1"/>
    <w:rsid w:val="03DD35E4"/>
    <w:rsid w:val="03E9547A"/>
    <w:rsid w:val="03F040A4"/>
    <w:rsid w:val="04076900"/>
    <w:rsid w:val="040F1E36"/>
    <w:rsid w:val="041A5A3B"/>
    <w:rsid w:val="04230AD7"/>
    <w:rsid w:val="042311BA"/>
    <w:rsid w:val="042B157A"/>
    <w:rsid w:val="044617C5"/>
    <w:rsid w:val="04490AFB"/>
    <w:rsid w:val="04602B3A"/>
    <w:rsid w:val="04860B7C"/>
    <w:rsid w:val="048E3A0A"/>
    <w:rsid w:val="048F5C08"/>
    <w:rsid w:val="048F763B"/>
    <w:rsid w:val="049B529E"/>
    <w:rsid w:val="049F330E"/>
    <w:rsid w:val="04A071A7"/>
    <w:rsid w:val="04AA775C"/>
    <w:rsid w:val="04AF1889"/>
    <w:rsid w:val="04C64E6C"/>
    <w:rsid w:val="04D253F8"/>
    <w:rsid w:val="04E0470D"/>
    <w:rsid w:val="04E81B1A"/>
    <w:rsid w:val="04E97949"/>
    <w:rsid w:val="04F66F48"/>
    <w:rsid w:val="050510CA"/>
    <w:rsid w:val="050723CE"/>
    <w:rsid w:val="05251E14"/>
    <w:rsid w:val="052B5A86"/>
    <w:rsid w:val="05496C88"/>
    <w:rsid w:val="056E3078"/>
    <w:rsid w:val="057B6B0A"/>
    <w:rsid w:val="05A16594"/>
    <w:rsid w:val="05A7762D"/>
    <w:rsid w:val="05AC2B5C"/>
    <w:rsid w:val="05DC112D"/>
    <w:rsid w:val="05E41F9B"/>
    <w:rsid w:val="05EE6E49"/>
    <w:rsid w:val="05FE70E3"/>
    <w:rsid w:val="06095474"/>
    <w:rsid w:val="060E5941"/>
    <w:rsid w:val="06110FAF"/>
    <w:rsid w:val="061E21DC"/>
    <w:rsid w:val="06223E20"/>
    <w:rsid w:val="06256FA3"/>
    <w:rsid w:val="06316639"/>
    <w:rsid w:val="06323E37"/>
    <w:rsid w:val="063E7ECD"/>
    <w:rsid w:val="06493CA7"/>
    <w:rsid w:val="064A5EDE"/>
    <w:rsid w:val="064F5BE9"/>
    <w:rsid w:val="065A6178"/>
    <w:rsid w:val="06654509"/>
    <w:rsid w:val="066F1CF3"/>
    <w:rsid w:val="067D5433"/>
    <w:rsid w:val="068D56CD"/>
    <w:rsid w:val="06930BB8"/>
    <w:rsid w:val="06F131F4"/>
    <w:rsid w:val="07036991"/>
    <w:rsid w:val="070B051A"/>
    <w:rsid w:val="07102423"/>
    <w:rsid w:val="07245D42"/>
    <w:rsid w:val="072623C9"/>
    <w:rsid w:val="07264C62"/>
    <w:rsid w:val="072B33FA"/>
    <w:rsid w:val="07303C62"/>
    <w:rsid w:val="07323C5D"/>
    <w:rsid w:val="073B6AEB"/>
    <w:rsid w:val="07514512"/>
    <w:rsid w:val="07610F29"/>
    <w:rsid w:val="0776564B"/>
    <w:rsid w:val="0779354C"/>
    <w:rsid w:val="07A46B95"/>
    <w:rsid w:val="07A8169D"/>
    <w:rsid w:val="07AE29A6"/>
    <w:rsid w:val="07C71F52"/>
    <w:rsid w:val="07E07279"/>
    <w:rsid w:val="07E2057E"/>
    <w:rsid w:val="07EA7B88"/>
    <w:rsid w:val="07F05315"/>
    <w:rsid w:val="07F20818"/>
    <w:rsid w:val="07F76E9E"/>
    <w:rsid w:val="08061376"/>
    <w:rsid w:val="08296773"/>
    <w:rsid w:val="083D1B91"/>
    <w:rsid w:val="08452D77"/>
    <w:rsid w:val="08515A98"/>
    <w:rsid w:val="0862434F"/>
    <w:rsid w:val="086401F8"/>
    <w:rsid w:val="08661343"/>
    <w:rsid w:val="08751CAA"/>
    <w:rsid w:val="087C4EF9"/>
    <w:rsid w:val="087E4C40"/>
    <w:rsid w:val="08923AEE"/>
    <w:rsid w:val="08A03E34"/>
    <w:rsid w:val="08A737BE"/>
    <w:rsid w:val="08A871D0"/>
    <w:rsid w:val="08BC7EE1"/>
    <w:rsid w:val="08BD11E5"/>
    <w:rsid w:val="08D66AD6"/>
    <w:rsid w:val="08D87811"/>
    <w:rsid w:val="08DA33A3"/>
    <w:rsid w:val="08E43623"/>
    <w:rsid w:val="08E80F13"/>
    <w:rsid w:val="08F35E3C"/>
    <w:rsid w:val="092C729B"/>
    <w:rsid w:val="092D5890"/>
    <w:rsid w:val="09335624"/>
    <w:rsid w:val="0944690F"/>
    <w:rsid w:val="09535675"/>
    <w:rsid w:val="095F057D"/>
    <w:rsid w:val="09642282"/>
    <w:rsid w:val="09733572"/>
    <w:rsid w:val="09772C16"/>
    <w:rsid w:val="098353B5"/>
    <w:rsid w:val="09A24CDB"/>
    <w:rsid w:val="09A92330"/>
    <w:rsid w:val="09B06B87"/>
    <w:rsid w:val="09C01D0D"/>
    <w:rsid w:val="09C13146"/>
    <w:rsid w:val="09D54231"/>
    <w:rsid w:val="09E04166"/>
    <w:rsid w:val="09F46CE4"/>
    <w:rsid w:val="0A1C0718"/>
    <w:rsid w:val="0A241A31"/>
    <w:rsid w:val="0A3C70D8"/>
    <w:rsid w:val="0A3E7710"/>
    <w:rsid w:val="0A4422E6"/>
    <w:rsid w:val="0A4B3E6F"/>
    <w:rsid w:val="0A5B7E63"/>
    <w:rsid w:val="0A703465"/>
    <w:rsid w:val="0A7B2440"/>
    <w:rsid w:val="0AA374A5"/>
    <w:rsid w:val="0AAB7649"/>
    <w:rsid w:val="0ABC5606"/>
    <w:rsid w:val="0ABF3E2E"/>
    <w:rsid w:val="0AE51E6F"/>
    <w:rsid w:val="0AE578F1"/>
    <w:rsid w:val="0AF17E80"/>
    <w:rsid w:val="0B002699"/>
    <w:rsid w:val="0B16263E"/>
    <w:rsid w:val="0B1D41C8"/>
    <w:rsid w:val="0B30404E"/>
    <w:rsid w:val="0B4C6C14"/>
    <w:rsid w:val="0B547599"/>
    <w:rsid w:val="0B6017B9"/>
    <w:rsid w:val="0B631A88"/>
    <w:rsid w:val="0B683D45"/>
    <w:rsid w:val="0B7C7A64"/>
    <w:rsid w:val="0B7F3F11"/>
    <w:rsid w:val="0B884417"/>
    <w:rsid w:val="0BB721C8"/>
    <w:rsid w:val="0BBC084E"/>
    <w:rsid w:val="0BBD1B53"/>
    <w:rsid w:val="0BE22C8C"/>
    <w:rsid w:val="0BE95E9A"/>
    <w:rsid w:val="0BF367A9"/>
    <w:rsid w:val="0BF6188C"/>
    <w:rsid w:val="0BF73C91"/>
    <w:rsid w:val="0C0C385C"/>
    <w:rsid w:val="0C170175"/>
    <w:rsid w:val="0C2314F7"/>
    <w:rsid w:val="0C536EF3"/>
    <w:rsid w:val="0C571A41"/>
    <w:rsid w:val="0C5C1171"/>
    <w:rsid w:val="0C5C70D2"/>
    <w:rsid w:val="0C5E1CBC"/>
    <w:rsid w:val="0C615B50"/>
    <w:rsid w:val="0C6E60F3"/>
    <w:rsid w:val="0C8445DA"/>
    <w:rsid w:val="0C87121B"/>
    <w:rsid w:val="0C9275AC"/>
    <w:rsid w:val="0CA971D2"/>
    <w:rsid w:val="0CC007F7"/>
    <w:rsid w:val="0CC41080"/>
    <w:rsid w:val="0CC617AC"/>
    <w:rsid w:val="0CD12914"/>
    <w:rsid w:val="0CDF76AC"/>
    <w:rsid w:val="0CE31935"/>
    <w:rsid w:val="0CE618DF"/>
    <w:rsid w:val="0CE628BA"/>
    <w:rsid w:val="0CE85DBD"/>
    <w:rsid w:val="0CFD24DF"/>
    <w:rsid w:val="0CFE707A"/>
    <w:rsid w:val="0D010EE5"/>
    <w:rsid w:val="0D051AEA"/>
    <w:rsid w:val="0D063BDA"/>
    <w:rsid w:val="0D06536D"/>
    <w:rsid w:val="0D06756B"/>
    <w:rsid w:val="0D08375F"/>
    <w:rsid w:val="0D0F23F9"/>
    <w:rsid w:val="0D0F5C7C"/>
    <w:rsid w:val="0D184CFB"/>
    <w:rsid w:val="0D1D7190"/>
    <w:rsid w:val="0D285521"/>
    <w:rsid w:val="0D4A7419"/>
    <w:rsid w:val="0D5605EF"/>
    <w:rsid w:val="0D591574"/>
    <w:rsid w:val="0D5F347D"/>
    <w:rsid w:val="0D8145D3"/>
    <w:rsid w:val="0D827401"/>
    <w:rsid w:val="0D84094E"/>
    <w:rsid w:val="0D8A00E9"/>
    <w:rsid w:val="0D8C5246"/>
    <w:rsid w:val="0D8D589E"/>
    <w:rsid w:val="0DA01C73"/>
    <w:rsid w:val="0DBE2B84"/>
    <w:rsid w:val="0DD63300"/>
    <w:rsid w:val="0DDC62CA"/>
    <w:rsid w:val="0DF50604"/>
    <w:rsid w:val="0DF513F2"/>
    <w:rsid w:val="0DF702FE"/>
    <w:rsid w:val="0DFB6B7F"/>
    <w:rsid w:val="0E060E51"/>
    <w:rsid w:val="0E132027"/>
    <w:rsid w:val="0E205AB9"/>
    <w:rsid w:val="0E317059"/>
    <w:rsid w:val="0E4272F3"/>
    <w:rsid w:val="0E455CF9"/>
    <w:rsid w:val="0E4C5684"/>
    <w:rsid w:val="0E4D7882"/>
    <w:rsid w:val="0E5604B2"/>
    <w:rsid w:val="0E575C13"/>
    <w:rsid w:val="0E604325"/>
    <w:rsid w:val="0E6D5D79"/>
    <w:rsid w:val="0E8100DC"/>
    <w:rsid w:val="0E876762"/>
    <w:rsid w:val="0E9C6708"/>
    <w:rsid w:val="0E9D0089"/>
    <w:rsid w:val="0E9D4189"/>
    <w:rsid w:val="0EB803EE"/>
    <w:rsid w:val="0EBA2435"/>
    <w:rsid w:val="0EF94D4B"/>
    <w:rsid w:val="0F426E96"/>
    <w:rsid w:val="0F4958DC"/>
    <w:rsid w:val="0F515DF7"/>
    <w:rsid w:val="0F5229B3"/>
    <w:rsid w:val="0F522C33"/>
    <w:rsid w:val="0F596BA8"/>
    <w:rsid w:val="0F6248D2"/>
    <w:rsid w:val="0F693536"/>
    <w:rsid w:val="0F6F0C5E"/>
    <w:rsid w:val="0F7718EE"/>
    <w:rsid w:val="0F7B0511"/>
    <w:rsid w:val="0F7B76D9"/>
    <w:rsid w:val="0F816ACD"/>
    <w:rsid w:val="0F825701"/>
    <w:rsid w:val="0F966920"/>
    <w:rsid w:val="0F971E23"/>
    <w:rsid w:val="0F9832DB"/>
    <w:rsid w:val="0FB70159"/>
    <w:rsid w:val="0FBF3FD2"/>
    <w:rsid w:val="0FBF7FF3"/>
    <w:rsid w:val="0FCC6DFA"/>
    <w:rsid w:val="0FFC0A82"/>
    <w:rsid w:val="0FFD75C9"/>
    <w:rsid w:val="10116269"/>
    <w:rsid w:val="101B45FA"/>
    <w:rsid w:val="10281712"/>
    <w:rsid w:val="10322021"/>
    <w:rsid w:val="10362C26"/>
    <w:rsid w:val="104C4DC9"/>
    <w:rsid w:val="104F5D4E"/>
    <w:rsid w:val="10646583"/>
    <w:rsid w:val="106A7BFD"/>
    <w:rsid w:val="107D4B15"/>
    <w:rsid w:val="108A3C80"/>
    <w:rsid w:val="10B27FF1"/>
    <w:rsid w:val="10BE3E04"/>
    <w:rsid w:val="10C26171"/>
    <w:rsid w:val="10DE213A"/>
    <w:rsid w:val="10F2465E"/>
    <w:rsid w:val="10F33360"/>
    <w:rsid w:val="10FC16EA"/>
    <w:rsid w:val="110F1D40"/>
    <w:rsid w:val="111C7A20"/>
    <w:rsid w:val="111F2BA3"/>
    <w:rsid w:val="11266F33"/>
    <w:rsid w:val="11440BE5"/>
    <w:rsid w:val="115455FC"/>
    <w:rsid w:val="11584002"/>
    <w:rsid w:val="118963A1"/>
    <w:rsid w:val="118B7CD4"/>
    <w:rsid w:val="11B81344"/>
    <w:rsid w:val="11BA6625"/>
    <w:rsid w:val="11C6522A"/>
    <w:rsid w:val="11DE1CDD"/>
    <w:rsid w:val="11E104CC"/>
    <w:rsid w:val="11E20309"/>
    <w:rsid w:val="11E54EEB"/>
    <w:rsid w:val="121C75C3"/>
    <w:rsid w:val="12255233"/>
    <w:rsid w:val="12301AE7"/>
    <w:rsid w:val="12437C74"/>
    <w:rsid w:val="1248718E"/>
    <w:rsid w:val="12530213"/>
    <w:rsid w:val="127723A9"/>
    <w:rsid w:val="12862074"/>
    <w:rsid w:val="12883966"/>
    <w:rsid w:val="128E1E81"/>
    <w:rsid w:val="128F7902"/>
    <w:rsid w:val="129E45B4"/>
    <w:rsid w:val="12AF45B4"/>
    <w:rsid w:val="12BE4BCE"/>
    <w:rsid w:val="12D81596"/>
    <w:rsid w:val="12E85A12"/>
    <w:rsid w:val="12EC7C9C"/>
    <w:rsid w:val="12ED1E9A"/>
    <w:rsid w:val="12F605AB"/>
    <w:rsid w:val="12F76BC1"/>
    <w:rsid w:val="13072A44"/>
    <w:rsid w:val="13141D5A"/>
    <w:rsid w:val="13522EC3"/>
    <w:rsid w:val="13581549"/>
    <w:rsid w:val="135F4BE2"/>
    <w:rsid w:val="1389559C"/>
    <w:rsid w:val="138A301D"/>
    <w:rsid w:val="139B1A0A"/>
    <w:rsid w:val="139D25C7"/>
    <w:rsid w:val="13A2785E"/>
    <w:rsid w:val="13BC126E"/>
    <w:rsid w:val="13BF3CE4"/>
    <w:rsid w:val="13D6569B"/>
    <w:rsid w:val="141008D8"/>
    <w:rsid w:val="14125FE6"/>
    <w:rsid w:val="14197409"/>
    <w:rsid w:val="14262E9B"/>
    <w:rsid w:val="142D60AA"/>
    <w:rsid w:val="142E02A8"/>
    <w:rsid w:val="142E3B2B"/>
    <w:rsid w:val="14316CAE"/>
    <w:rsid w:val="144611D2"/>
    <w:rsid w:val="146D271E"/>
    <w:rsid w:val="14982588"/>
    <w:rsid w:val="14985759"/>
    <w:rsid w:val="149A5AD9"/>
    <w:rsid w:val="14A7619D"/>
    <w:rsid w:val="14AF537E"/>
    <w:rsid w:val="14EA3EDE"/>
    <w:rsid w:val="14F70FF5"/>
    <w:rsid w:val="15037006"/>
    <w:rsid w:val="150536C3"/>
    <w:rsid w:val="150C1963"/>
    <w:rsid w:val="151447A0"/>
    <w:rsid w:val="15170225"/>
    <w:rsid w:val="151D59B2"/>
    <w:rsid w:val="15221E3A"/>
    <w:rsid w:val="152B4878"/>
    <w:rsid w:val="154A6454"/>
    <w:rsid w:val="15762120"/>
    <w:rsid w:val="1597787A"/>
    <w:rsid w:val="15B648AC"/>
    <w:rsid w:val="15B910B3"/>
    <w:rsid w:val="166746CF"/>
    <w:rsid w:val="167A36F0"/>
    <w:rsid w:val="16936818"/>
    <w:rsid w:val="16984E9E"/>
    <w:rsid w:val="16A8729C"/>
    <w:rsid w:val="16AE4E44"/>
    <w:rsid w:val="16B212CB"/>
    <w:rsid w:val="16B33777"/>
    <w:rsid w:val="16B36D4D"/>
    <w:rsid w:val="16BC70A7"/>
    <w:rsid w:val="16C6339E"/>
    <w:rsid w:val="16D162FD"/>
    <w:rsid w:val="16E14399"/>
    <w:rsid w:val="16FF5B47"/>
    <w:rsid w:val="170E6162"/>
    <w:rsid w:val="17142269"/>
    <w:rsid w:val="171A79F6"/>
    <w:rsid w:val="171B1BF4"/>
    <w:rsid w:val="172A220F"/>
    <w:rsid w:val="172F2D79"/>
    <w:rsid w:val="17423139"/>
    <w:rsid w:val="174A0545"/>
    <w:rsid w:val="174A2743"/>
    <w:rsid w:val="174B5FC7"/>
    <w:rsid w:val="174D36C8"/>
    <w:rsid w:val="17557BEF"/>
    <w:rsid w:val="17707100"/>
    <w:rsid w:val="178650AF"/>
    <w:rsid w:val="17C90A93"/>
    <w:rsid w:val="17D349C1"/>
    <w:rsid w:val="17DC4231"/>
    <w:rsid w:val="17E106B9"/>
    <w:rsid w:val="17E1613A"/>
    <w:rsid w:val="17F4515B"/>
    <w:rsid w:val="18303CBB"/>
    <w:rsid w:val="1830729E"/>
    <w:rsid w:val="18355BC4"/>
    <w:rsid w:val="184B7D68"/>
    <w:rsid w:val="1870062C"/>
    <w:rsid w:val="187831B6"/>
    <w:rsid w:val="187F72BD"/>
    <w:rsid w:val="18817102"/>
    <w:rsid w:val="18830A15"/>
    <w:rsid w:val="18852B28"/>
    <w:rsid w:val="188B5321"/>
    <w:rsid w:val="189F77F2"/>
    <w:rsid w:val="18AB6E88"/>
    <w:rsid w:val="18BA5E1D"/>
    <w:rsid w:val="18D25736"/>
    <w:rsid w:val="18F40581"/>
    <w:rsid w:val="19097221"/>
    <w:rsid w:val="191477B1"/>
    <w:rsid w:val="19250D50"/>
    <w:rsid w:val="192D615C"/>
    <w:rsid w:val="194E1F14"/>
    <w:rsid w:val="19553A9D"/>
    <w:rsid w:val="195F7C30"/>
    <w:rsid w:val="19690540"/>
    <w:rsid w:val="197020C9"/>
    <w:rsid w:val="197255CC"/>
    <w:rsid w:val="1986206E"/>
    <w:rsid w:val="198E4EFC"/>
    <w:rsid w:val="19932372"/>
    <w:rsid w:val="19A20DD5"/>
    <w:rsid w:val="19AE03F1"/>
    <w:rsid w:val="19B21C39"/>
    <w:rsid w:val="19BC2548"/>
    <w:rsid w:val="19C0314D"/>
    <w:rsid w:val="1A071A03"/>
    <w:rsid w:val="1A1254D5"/>
    <w:rsid w:val="1A1F16AE"/>
    <w:rsid w:val="1A325A0A"/>
    <w:rsid w:val="1A34568A"/>
    <w:rsid w:val="1A3B5C77"/>
    <w:rsid w:val="1A422421"/>
    <w:rsid w:val="1A443726"/>
    <w:rsid w:val="1A49562F"/>
    <w:rsid w:val="1A741CF7"/>
    <w:rsid w:val="1A746473"/>
    <w:rsid w:val="1A9469A8"/>
    <w:rsid w:val="1A95442A"/>
    <w:rsid w:val="1A9731B0"/>
    <w:rsid w:val="1A984BAD"/>
    <w:rsid w:val="1AA1023C"/>
    <w:rsid w:val="1AAD78D2"/>
    <w:rsid w:val="1AB8220E"/>
    <w:rsid w:val="1AD00D8B"/>
    <w:rsid w:val="1AD2428E"/>
    <w:rsid w:val="1AE4166C"/>
    <w:rsid w:val="1AF06CFB"/>
    <w:rsid w:val="1AF11B8D"/>
    <w:rsid w:val="1AF42245"/>
    <w:rsid w:val="1B11359C"/>
    <w:rsid w:val="1B1A4683"/>
    <w:rsid w:val="1B2A271F"/>
    <w:rsid w:val="1B530544"/>
    <w:rsid w:val="1B682203"/>
    <w:rsid w:val="1B713184"/>
    <w:rsid w:val="1BA05BE1"/>
    <w:rsid w:val="1BA16EE5"/>
    <w:rsid w:val="1BA209CF"/>
    <w:rsid w:val="1BB138FD"/>
    <w:rsid w:val="1BB4777D"/>
    <w:rsid w:val="1BC54B1C"/>
    <w:rsid w:val="1BC85AA0"/>
    <w:rsid w:val="1BCA4827"/>
    <w:rsid w:val="1BD75AB8"/>
    <w:rsid w:val="1BE3794F"/>
    <w:rsid w:val="1C0459C2"/>
    <w:rsid w:val="1C117199"/>
    <w:rsid w:val="1C1B3B4A"/>
    <w:rsid w:val="1C2516BD"/>
    <w:rsid w:val="1C294840"/>
    <w:rsid w:val="1C2B7D43"/>
    <w:rsid w:val="1C394ADA"/>
    <w:rsid w:val="1C4D157D"/>
    <w:rsid w:val="1C61021D"/>
    <w:rsid w:val="1C695629"/>
    <w:rsid w:val="1C6C4030"/>
    <w:rsid w:val="1C7725CD"/>
    <w:rsid w:val="1C88086E"/>
    <w:rsid w:val="1C93646E"/>
    <w:rsid w:val="1C9673F2"/>
    <w:rsid w:val="1CC96948"/>
    <w:rsid w:val="1CD34CD9"/>
    <w:rsid w:val="1CDB20E5"/>
    <w:rsid w:val="1CDE68ED"/>
    <w:rsid w:val="1D0A266A"/>
    <w:rsid w:val="1D22285A"/>
    <w:rsid w:val="1D266CE1"/>
    <w:rsid w:val="1D3963AF"/>
    <w:rsid w:val="1D3D0FE5"/>
    <w:rsid w:val="1D40788B"/>
    <w:rsid w:val="1D6A673C"/>
    <w:rsid w:val="1D746DE1"/>
    <w:rsid w:val="1D9247AE"/>
    <w:rsid w:val="1D954D97"/>
    <w:rsid w:val="1D9E7C25"/>
    <w:rsid w:val="1DA83DB7"/>
    <w:rsid w:val="1DAE7EBF"/>
    <w:rsid w:val="1DAF11C4"/>
    <w:rsid w:val="1DB567EC"/>
    <w:rsid w:val="1DBA3CD2"/>
    <w:rsid w:val="1DCD0774"/>
    <w:rsid w:val="1DD86B05"/>
    <w:rsid w:val="1DDF068E"/>
    <w:rsid w:val="1DE52597"/>
    <w:rsid w:val="1DF51A98"/>
    <w:rsid w:val="1E027949"/>
    <w:rsid w:val="1E161E6D"/>
    <w:rsid w:val="1E274306"/>
    <w:rsid w:val="1E302A17"/>
    <w:rsid w:val="1E3D060F"/>
    <w:rsid w:val="1E3F7D2E"/>
    <w:rsid w:val="1E4134E4"/>
    <w:rsid w:val="1E5062B3"/>
    <w:rsid w:val="1E523514"/>
    <w:rsid w:val="1E714A66"/>
    <w:rsid w:val="1E761E86"/>
    <w:rsid w:val="1E79088D"/>
    <w:rsid w:val="1E802593"/>
    <w:rsid w:val="1E8B6156"/>
    <w:rsid w:val="1E8F0832"/>
    <w:rsid w:val="1E9601BD"/>
    <w:rsid w:val="1E9E77C7"/>
    <w:rsid w:val="1EA703CC"/>
    <w:rsid w:val="1EA85B59"/>
    <w:rsid w:val="1EB7330C"/>
    <w:rsid w:val="1EBC25FB"/>
    <w:rsid w:val="1ECF381A"/>
    <w:rsid w:val="1EE70EC1"/>
    <w:rsid w:val="1F011A6A"/>
    <w:rsid w:val="1F0152EE"/>
    <w:rsid w:val="1F022D6F"/>
    <w:rsid w:val="1F061775"/>
    <w:rsid w:val="1F0A0FF3"/>
    <w:rsid w:val="1F20231F"/>
    <w:rsid w:val="1F576C2E"/>
    <w:rsid w:val="1F5771FF"/>
    <w:rsid w:val="1F646BF6"/>
    <w:rsid w:val="1F6D17A9"/>
    <w:rsid w:val="1F807DBA"/>
    <w:rsid w:val="1F8232BD"/>
    <w:rsid w:val="1F904124"/>
    <w:rsid w:val="1F9D516C"/>
    <w:rsid w:val="1FA328F8"/>
    <w:rsid w:val="1FCE373D"/>
    <w:rsid w:val="1FD27BC4"/>
    <w:rsid w:val="1FDF1459"/>
    <w:rsid w:val="1FE3205D"/>
    <w:rsid w:val="1FE868A9"/>
    <w:rsid w:val="1FFE648A"/>
    <w:rsid w:val="20024E90"/>
    <w:rsid w:val="20034907"/>
    <w:rsid w:val="2008261D"/>
    <w:rsid w:val="20173E4B"/>
    <w:rsid w:val="20307F5E"/>
    <w:rsid w:val="20330EE3"/>
    <w:rsid w:val="203565E4"/>
    <w:rsid w:val="204123F7"/>
    <w:rsid w:val="204D1A8C"/>
    <w:rsid w:val="204E48BC"/>
    <w:rsid w:val="205A0DA2"/>
    <w:rsid w:val="20847DE8"/>
    <w:rsid w:val="208921B3"/>
    <w:rsid w:val="2092477F"/>
    <w:rsid w:val="20973DEB"/>
    <w:rsid w:val="20A86923"/>
    <w:rsid w:val="20B26522"/>
    <w:rsid w:val="20B44310"/>
    <w:rsid w:val="20C64363"/>
    <w:rsid w:val="20CB235B"/>
    <w:rsid w:val="20DC0077"/>
    <w:rsid w:val="20E02300"/>
    <w:rsid w:val="20F766A2"/>
    <w:rsid w:val="21004DB3"/>
    <w:rsid w:val="210D40C9"/>
    <w:rsid w:val="211116EB"/>
    <w:rsid w:val="21372D0F"/>
    <w:rsid w:val="215B41C8"/>
    <w:rsid w:val="215F0650"/>
    <w:rsid w:val="216133FC"/>
    <w:rsid w:val="218B6F16"/>
    <w:rsid w:val="21900E1F"/>
    <w:rsid w:val="21993CAD"/>
    <w:rsid w:val="21D2510C"/>
    <w:rsid w:val="21D56769"/>
    <w:rsid w:val="21E52EF3"/>
    <w:rsid w:val="21FB5D7B"/>
    <w:rsid w:val="22015E94"/>
    <w:rsid w:val="220B1C3D"/>
    <w:rsid w:val="221435F7"/>
    <w:rsid w:val="221619F4"/>
    <w:rsid w:val="221D1D20"/>
    <w:rsid w:val="22334A87"/>
    <w:rsid w:val="22731412"/>
    <w:rsid w:val="22B221FB"/>
    <w:rsid w:val="22BE6801"/>
    <w:rsid w:val="230F1290"/>
    <w:rsid w:val="232C6642"/>
    <w:rsid w:val="233500BF"/>
    <w:rsid w:val="233627D5"/>
    <w:rsid w:val="23377FF7"/>
    <w:rsid w:val="23474C6D"/>
    <w:rsid w:val="23490170"/>
    <w:rsid w:val="234939F4"/>
    <w:rsid w:val="2364201F"/>
    <w:rsid w:val="236B425F"/>
    <w:rsid w:val="23780CBF"/>
    <w:rsid w:val="23836192"/>
    <w:rsid w:val="238E2E63"/>
    <w:rsid w:val="23901F29"/>
    <w:rsid w:val="239A6C76"/>
    <w:rsid w:val="239C0061"/>
    <w:rsid w:val="23A75F8B"/>
    <w:rsid w:val="23AF43A8"/>
    <w:rsid w:val="23B908A4"/>
    <w:rsid w:val="23C742C2"/>
    <w:rsid w:val="23E95BEF"/>
    <w:rsid w:val="23FD0064"/>
    <w:rsid w:val="24233357"/>
    <w:rsid w:val="242B0763"/>
    <w:rsid w:val="24335B6F"/>
    <w:rsid w:val="244C451B"/>
    <w:rsid w:val="245375B0"/>
    <w:rsid w:val="24593831"/>
    <w:rsid w:val="24642C0A"/>
    <w:rsid w:val="24710ED7"/>
    <w:rsid w:val="248633FB"/>
    <w:rsid w:val="24894380"/>
    <w:rsid w:val="248B7883"/>
    <w:rsid w:val="24905F09"/>
    <w:rsid w:val="24A948B4"/>
    <w:rsid w:val="24B009BC"/>
    <w:rsid w:val="24B22173"/>
    <w:rsid w:val="24B95AD9"/>
    <w:rsid w:val="24BE24DA"/>
    <w:rsid w:val="24CF5825"/>
    <w:rsid w:val="24D663E6"/>
    <w:rsid w:val="24D77F2B"/>
    <w:rsid w:val="250207C6"/>
    <w:rsid w:val="250671CD"/>
    <w:rsid w:val="25334819"/>
    <w:rsid w:val="253B63A2"/>
    <w:rsid w:val="254237AE"/>
    <w:rsid w:val="258B00E2"/>
    <w:rsid w:val="25A45DD1"/>
    <w:rsid w:val="25A917A6"/>
    <w:rsid w:val="25B924F3"/>
    <w:rsid w:val="25BE0B79"/>
    <w:rsid w:val="25BE27CC"/>
    <w:rsid w:val="25F74A5C"/>
    <w:rsid w:val="25F87A5A"/>
    <w:rsid w:val="26093577"/>
    <w:rsid w:val="260C1C27"/>
    <w:rsid w:val="26105100"/>
    <w:rsid w:val="261D6994"/>
    <w:rsid w:val="26261822"/>
    <w:rsid w:val="2628662C"/>
    <w:rsid w:val="262D45DE"/>
    <w:rsid w:val="264542D6"/>
    <w:rsid w:val="2647305C"/>
    <w:rsid w:val="267A4B30"/>
    <w:rsid w:val="267E3536"/>
    <w:rsid w:val="26871DC8"/>
    <w:rsid w:val="268D5D4F"/>
    <w:rsid w:val="26A53EF9"/>
    <w:rsid w:val="26A8437A"/>
    <w:rsid w:val="26A94201"/>
    <w:rsid w:val="26AC274F"/>
    <w:rsid w:val="26B11406"/>
    <w:rsid w:val="26C24F24"/>
    <w:rsid w:val="26DB004C"/>
    <w:rsid w:val="26DD354F"/>
    <w:rsid w:val="26FB0581"/>
    <w:rsid w:val="27044A29"/>
    <w:rsid w:val="271D34C8"/>
    <w:rsid w:val="27413274"/>
    <w:rsid w:val="274676FC"/>
    <w:rsid w:val="275F60A7"/>
    <w:rsid w:val="276142BF"/>
    <w:rsid w:val="276C1B3A"/>
    <w:rsid w:val="27783712"/>
    <w:rsid w:val="27907362"/>
    <w:rsid w:val="27A60A1A"/>
    <w:rsid w:val="27AF38A8"/>
    <w:rsid w:val="27B81FB9"/>
    <w:rsid w:val="27DF65F5"/>
    <w:rsid w:val="27EF79D0"/>
    <w:rsid w:val="280A6540"/>
    <w:rsid w:val="281B09D9"/>
    <w:rsid w:val="28333E1D"/>
    <w:rsid w:val="2843631A"/>
    <w:rsid w:val="28454BD6"/>
    <w:rsid w:val="28455253"/>
    <w:rsid w:val="28551971"/>
    <w:rsid w:val="285B1C53"/>
    <w:rsid w:val="286C2D61"/>
    <w:rsid w:val="28726E69"/>
    <w:rsid w:val="289F7086"/>
    <w:rsid w:val="28C32028"/>
    <w:rsid w:val="28CC490F"/>
    <w:rsid w:val="28DE40AA"/>
    <w:rsid w:val="28FB134B"/>
    <w:rsid w:val="29057FE4"/>
    <w:rsid w:val="2907515E"/>
    <w:rsid w:val="290D1266"/>
    <w:rsid w:val="29345E77"/>
    <w:rsid w:val="29396C32"/>
    <w:rsid w:val="294C65AD"/>
    <w:rsid w:val="2955745C"/>
    <w:rsid w:val="295938E3"/>
    <w:rsid w:val="296A3B7E"/>
    <w:rsid w:val="29772E93"/>
    <w:rsid w:val="297F3B23"/>
    <w:rsid w:val="29806583"/>
    <w:rsid w:val="29817026"/>
    <w:rsid w:val="298B3C4C"/>
    <w:rsid w:val="2990183F"/>
    <w:rsid w:val="29B5077A"/>
    <w:rsid w:val="29D37D2A"/>
    <w:rsid w:val="29E7224E"/>
    <w:rsid w:val="29F26D24"/>
    <w:rsid w:val="2A06727F"/>
    <w:rsid w:val="2A0D248D"/>
    <w:rsid w:val="2A15033F"/>
    <w:rsid w:val="2A1662C1"/>
    <w:rsid w:val="2A1C7367"/>
    <w:rsid w:val="2A1D2728"/>
    <w:rsid w:val="2A2815FA"/>
    <w:rsid w:val="2A2A61BA"/>
    <w:rsid w:val="2A3C7759"/>
    <w:rsid w:val="2A475AEA"/>
    <w:rsid w:val="2A6A2827"/>
    <w:rsid w:val="2A6D6092"/>
    <w:rsid w:val="2A7121B2"/>
    <w:rsid w:val="2A7D76B4"/>
    <w:rsid w:val="2AA73585"/>
    <w:rsid w:val="2AF15F83"/>
    <w:rsid w:val="2AF77E8C"/>
    <w:rsid w:val="2AFC4314"/>
    <w:rsid w:val="2B01621D"/>
    <w:rsid w:val="2B085BA8"/>
    <w:rsid w:val="2B15163B"/>
    <w:rsid w:val="2B1B6DC7"/>
    <w:rsid w:val="2B210CD1"/>
    <w:rsid w:val="2B332270"/>
    <w:rsid w:val="2B437463"/>
    <w:rsid w:val="2B642A3F"/>
    <w:rsid w:val="2B644C3D"/>
    <w:rsid w:val="2B711D54"/>
    <w:rsid w:val="2B7807EE"/>
    <w:rsid w:val="2B922289"/>
    <w:rsid w:val="2B9A2F19"/>
    <w:rsid w:val="2BA50BF7"/>
    <w:rsid w:val="2BA534A8"/>
    <w:rsid w:val="2BBF00EC"/>
    <w:rsid w:val="2BC37CFD"/>
    <w:rsid w:val="2BD5237F"/>
    <w:rsid w:val="2BE536CE"/>
    <w:rsid w:val="2BE758D9"/>
    <w:rsid w:val="2BFB1CB9"/>
    <w:rsid w:val="2C09049E"/>
    <w:rsid w:val="2C0A653C"/>
    <w:rsid w:val="2C1478DD"/>
    <w:rsid w:val="2C191F85"/>
    <w:rsid w:val="2C1F3172"/>
    <w:rsid w:val="2C25727A"/>
    <w:rsid w:val="2C482CB1"/>
    <w:rsid w:val="2C5D2C57"/>
    <w:rsid w:val="2C676DE9"/>
    <w:rsid w:val="2C863E1B"/>
    <w:rsid w:val="2C9143AA"/>
    <w:rsid w:val="2CA5304B"/>
    <w:rsid w:val="2CAA74D3"/>
    <w:rsid w:val="2CB74404"/>
    <w:rsid w:val="2CC203FD"/>
    <w:rsid w:val="2CD07712"/>
    <w:rsid w:val="2CD6709D"/>
    <w:rsid w:val="2CDE7D2D"/>
    <w:rsid w:val="2CE82D6F"/>
    <w:rsid w:val="2CEB5D3E"/>
    <w:rsid w:val="2D300A31"/>
    <w:rsid w:val="2D3319B5"/>
    <w:rsid w:val="2D343236"/>
    <w:rsid w:val="2D4241CE"/>
    <w:rsid w:val="2D4B705C"/>
    <w:rsid w:val="2D6507B6"/>
    <w:rsid w:val="2D69660C"/>
    <w:rsid w:val="2DA14916"/>
    <w:rsid w:val="2DA54273"/>
    <w:rsid w:val="2DA65C9F"/>
    <w:rsid w:val="2DC25DA1"/>
    <w:rsid w:val="2DD15014"/>
    <w:rsid w:val="2DDE404C"/>
    <w:rsid w:val="2DF72DE4"/>
    <w:rsid w:val="2E0220AF"/>
    <w:rsid w:val="2E047B0F"/>
    <w:rsid w:val="2E051E23"/>
    <w:rsid w:val="2E055591"/>
    <w:rsid w:val="2E0E041F"/>
    <w:rsid w:val="2E1754AB"/>
    <w:rsid w:val="2E1C1933"/>
    <w:rsid w:val="2E4B082A"/>
    <w:rsid w:val="2E53788E"/>
    <w:rsid w:val="2E5D4E86"/>
    <w:rsid w:val="2E5D790B"/>
    <w:rsid w:val="2E612427"/>
    <w:rsid w:val="2E6B07B8"/>
    <w:rsid w:val="2E791CCC"/>
    <w:rsid w:val="2E7C0A53"/>
    <w:rsid w:val="2E7E3F16"/>
    <w:rsid w:val="2E8438E1"/>
    <w:rsid w:val="2E851362"/>
    <w:rsid w:val="2E9A3C18"/>
    <w:rsid w:val="2EA53E15"/>
    <w:rsid w:val="2EAE6CA3"/>
    <w:rsid w:val="2EBB0FEE"/>
    <w:rsid w:val="2EC41C04"/>
    <w:rsid w:val="2EC63002"/>
    <w:rsid w:val="2ED523E6"/>
    <w:rsid w:val="2EE203F7"/>
    <w:rsid w:val="2F0A6B38"/>
    <w:rsid w:val="2F4A6B22"/>
    <w:rsid w:val="2F681955"/>
    <w:rsid w:val="2F7666EC"/>
    <w:rsid w:val="2F946CCB"/>
    <w:rsid w:val="2FA76EBB"/>
    <w:rsid w:val="2FA923BE"/>
    <w:rsid w:val="2FB177CB"/>
    <w:rsid w:val="2FD25781"/>
    <w:rsid w:val="2FD9098F"/>
    <w:rsid w:val="2FDC745C"/>
    <w:rsid w:val="2FE85726"/>
    <w:rsid w:val="2FFD7934"/>
    <w:rsid w:val="30045057"/>
    <w:rsid w:val="30052AD8"/>
    <w:rsid w:val="30085C5B"/>
    <w:rsid w:val="30226805"/>
    <w:rsid w:val="304F63CF"/>
    <w:rsid w:val="30601421"/>
    <w:rsid w:val="30733ACD"/>
    <w:rsid w:val="307C3A1B"/>
    <w:rsid w:val="308C3862"/>
    <w:rsid w:val="309379D8"/>
    <w:rsid w:val="30960D42"/>
    <w:rsid w:val="3099554A"/>
    <w:rsid w:val="309F7453"/>
    <w:rsid w:val="30A225D6"/>
    <w:rsid w:val="30A270F7"/>
    <w:rsid w:val="30AA3266"/>
    <w:rsid w:val="30B20672"/>
    <w:rsid w:val="30C67313"/>
    <w:rsid w:val="30DF1478"/>
    <w:rsid w:val="30E26C43"/>
    <w:rsid w:val="30E77847"/>
    <w:rsid w:val="30EC586F"/>
    <w:rsid w:val="30F67E62"/>
    <w:rsid w:val="30F73365"/>
    <w:rsid w:val="30FD526E"/>
    <w:rsid w:val="31260631"/>
    <w:rsid w:val="314459E3"/>
    <w:rsid w:val="31925762"/>
    <w:rsid w:val="319C6071"/>
    <w:rsid w:val="31A11ECE"/>
    <w:rsid w:val="31AC537E"/>
    <w:rsid w:val="31C85C3C"/>
    <w:rsid w:val="31E3679B"/>
    <w:rsid w:val="31E732FD"/>
    <w:rsid w:val="31F9420D"/>
    <w:rsid w:val="31FA1C8E"/>
    <w:rsid w:val="321A21C3"/>
    <w:rsid w:val="32250554"/>
    <w:rsid w:val="32323FE6"/>
    <w:rsid w:val="32354F6B"/>
    <w:rsid w:val="32410D7E"/>
    <w:rsid w:val="324C4863"/>
    <w:rsid w:val="32517576"/>
    <w:rsid w:val="326F76CF"/>
    <w:rsid w:val="328A5CFA"/>
    <w:rsid w:val="328C597A"/>
    <w:rsid w:val="32927883"/>
    <w:rsid w:val="32B545C0"/>
    <w:rsid w:val="32BE5C2C"/>
    <w:rsid w:val="32C216D7"/>
    <w:rsid w:val="32D260EE"/>
    <w:rsid w:val="32D63C1D"/>
    <w:rsid w:val="32FB6478"/>
    <w:rsid w:val="332410BB"/>
    <w:rsid w:val="33263B3F"/>
    <w:rsid w:val="33265B78"/>
    <w:rsid w:val="3331778D"/>
    <w:rsid w:val="333E321F"/>
    <w:rsid w:val="3345642D"/>
    <w:rsid w:val="334A28B5"/>
    <w:rsid w:val="336963EB"/>
    <w:rsid w:val="336C2A69"/>
    <w:rsid w:val="336F7271"/>
    <w:rsid w:val="33816EEB"/>
    <w:rsid w:val="33CA2E03"/>
    <w:rsid w:val="33D67F1A"/>
    <w:rsid w:val="33EB55CD"/>
    <w:rsid w:val="33EC4C02"/>
    <w:rsid w:val="340D2360"/>
    <w:rsid w:val="3410665D"/>
    <w:rsid w:val="34211214"/>
    <w:rsid w:val="342A79A4"/>
    <w:rsid w:val="342E63AB"/>
    <w:rsid w:val="34635580"/>
    <w:rsid w:val="347545A1"/>
    <w:rsid w:val="34950E68"/>
    <w:rsid w:val="34986E94"/>
    <w:rsid w:val="349C69DF"/>
    <w:rsid w:val="34A727F1"/>
    <w:rsid w:val="34AF62C9"/>
    <w:rsid w:val="34CB4388"/>
    <w:rsid w:val="34CC4FAF"/>
    <w:rsid w:val="34DE2CCB"/>
    <w:rsid w:val="34E65B59"/>
    <w:rsid w:val="34FA6E12"/>
    <w:rsid w:val="34FB227B"/>
    <w:rsid w:val="35312755"/>
    <w:rsid w:val="353201D7"/>
    <w:rsid w:val="354D7158"/>
    <w:rsid w:val="358B0865"/>
    <w:rsid w:val="358D5588"/>
    <w:rsid w:val="35A66E91"/>
    <w:rsid w:val="35B12CA3"/>
    <w:rsid w:val="35B93933"/>
    <w:rsid w:val="35D65462"/>
    <w:rsid w:val="35D77660"/>
    <w:rsid w:val="35DB18E9"/>
    <w:rsid w:val="36227ADF"/>
    <w:rsid w:val="363A3B40"/>
    <w:rsid w:val="364A5420"/>
    <w:rsid w:val="364F18A8"/>
    <w:rsid w:val="365302AE"/>
    <w:rsid w:val="36607A0A"/>
    <w:rsid w:val="36612E47"/>
    <w:rsid w:val="366E227C"/>
    <w:rsid w:val="366F2E0D"/>
    <w:rsid w:val="367B6A5C"/>
    <w:rsid w:val="36A15E2F"/>
    <w:rsid w:val="36A74ADA"/>
    <w:rsid w:val="36AD60D5"/>
    <w:rsid w:val="36B224F9"/>
    <w:rsid w:val="36E3431A"/>
    <w:rsid w:val="36E47B9D"/>
    <w:rsid w:val="36E96223"/>
    <w:rsid w:val="36EC0CC9"/>
    <w:rsid w:val="36EC2A2B"/>
    <w:rsid w:val="36F01431"/>
    <w:rsid w:val="36F13630"/>
    <w:rsid w:val="37306998"/>
    <w:rsid w:val="37314419"/>
    <w:rsid w:val="373F410B"/>
    <w:rsid w:val="37553354"/>
    <w:rsid w:val="375720DA"/>
    <w:rsid w:val="376016E5"/>
    <w:rsid w:val="3762046C"/>
    <w:rsid w:val="3789032B"/>
    <w:rsid w:val="37B36F71"/>
    <w:rsid w:val="37D23FA3"/>
    <w:rsid w:val="37D56F34"/>
    <w:rsid w:val="37EE7094"/>
    <w:rsid w:val="37F81C64"/>
    <w:rsid w:val="380E7DB9"/>
    <w:rsid w:val="381A7C1A"/>
    <w:rsid w:val="38296C89"/>
    <w:rsid w:val="382C7B34"/>
    <w:rsid w:val="383002EB"/>
    <w:rsid w:val="38332D42"/>
    <w:rsid w:val="385641FC"/>
    <w:rsid w:val="38586797"/>
    <w:rsid w:val="38697999"/>
    <w:rsid w:val="386F5126"/>
    <w:rsid w:val="387A56B5"/>
    <w:rsid w:val="38815040"/>
    <w:rsid w:val="388526BA"/>
    <w:rsid w:val="388727CC"/>
    <w:rsid w:val="38A80783"/>
    <w:rsid w:val="38BC0149"/>
    <w:rsid w:val="38BE0728"/>
    <w:rsid w:val="38D87D1C"/>
    <w:rsid w:val="38DD575A"/>
    <w:rsid w:val="38F06979"/>
    <w:rsid w:val="39324E64"/>
    <w:rsid w:val="39340367"/>
    <w:rsid w:val="39446403"/>
    <w:rsid w:val="394A250A"/>
    <w:rsid w:val="39636459"/>
    <w:rsid w:val="396543B9"/>
    <w:rsid w:val="396B7F6C"/>
    <w:rsid w:val="396C3D44"/>
    <w:rsid w:val="397E74E1"/>
    <w:rsid w:val="399D4513"/>
    <w:rsid w:val="399F3299"/>
    <w:rsid w:val="39AE222F"/>
    <w:rsid w:val="39B417A9"/>
    <w:rsid w:val="39F13F9D"/>
    <w:rsid w:val="39F21A1E"/>
    <w:rsid w:val="39F60425"/>
    <w:rsid w:val="39FC5695"/>
    <w:rsid w:val="3A006D8E"/>
    <w:rsid w:val="3A1122D3"/>
    <w:rsid w:val="3A204F94"/>
    <w:rsid w:val="3A3651E5"/>
    <w:rsid w:val="3A653F5C"/>
    <w:rsid w:val="3A744481"/>
    <w:rsid w:val="3A79517B"/>
    <w:rsid w:val="3A7D1602"/>
    <w:rsid w:val="3A8C7BEF"/>
    <w:rsid w:val="3A906246"/>
    <w:rsid w:val="3AB265D9"/>
    <w:rsid w:val="3AC577F8"/>
    <w:rsid w:val="3AE17129"/>
    <w:rsid w:val="3AE57D2D"/>
    <w:rsid w:val="3B2349B7"/>
    <w:rsid w:val="3B616CFF"/>
    <w:rsid w:val="3B6259F6"/>
    <w:rsid w:val="3B7905A1"/>
    <w:rsid w:val="3B9620CF"/>
    <w:rsid w:val="3B976654"/>
    <w:rsid w:val="3B977B51"/>
    <w:rsid w:val="3BB54B82"/>
    <w:rsid w:val="3BC01EFC"/>
    <w:rsid w:val="3BC10995"/>
    <w:rsid w:val="3BCA786A"/>
    <w:rsid w:val="3BD31E2F"/>
    <w:rsid w:val="3BF15831"/>
    <w:rsid w:val="3BFF1AFF"/>
    <w:rsid w:val="3C105946"/>
    <w:rsid w:val="3C39735A"/>
    <w:rsid w:val="3C3D3B62"/>
    <w:rsid w:val="3C471448"/>
    <w:rsid w:val="3C471EF3"/>
    <w:rsid w:val="3C4916DE"/>
    <w:rsid w:val="3C5F759A"/>
    <w:rsid w:val="3C6C525A"/>
    <w:rsid w:val="3C6D68AF"/>
    <w:rsid w:val="3C774C40"/>
    <w:rsid w:val="3C9035EC"/>
    <w:rsid w:val="3C934571"/>
    <w:rsid w:val="3CAC7699"/>
    <w:rsid w:val="3CC0413B"/>
    <w:rsid w:val="3CCA24CC"/>
    <w:rsid w:val="3CCE23CB"/>
    <w:rsid w:val="3CD17D17"/>
    <w:rsid w:val="3CE50AF7"/>
    <w:rsid w:val="3CF06E89"/>
    <w:rsid w:val="3D10193C"/>
    <w:rsid w:val="3D145DC3"/>
    <w:rsid w:val="3D2363DE"/>
    <w:rsid w:val="3D3C7F39"/>
    <w:rsid w:val="3D440F09"/>
    <w:rsid w:val="3D4504A0"/>
    <w:rsid w:val="3D4C7F20"/>
    <w:rsid w:val="3D5236AA"/>
    <w:rsid w:val="3D8263F7"/>
    <w:rsid w:val="3D8734BB"/>
    <w:rsid w:val="3D965098"/>
    <w:rsid w:val="3D9A11D4"/>
    <w:rsid w:val="3D9D4A23"/>
    <w:rsid w:val="3D9E24A4"/>
    <w:rsid w:val="3DA16D89"/>
    <w:rsid w:val="3DA364BE"/>
    <w:rsid w:val="3DAF01C0"/>
    <w:rsid w:val="3DC52364"/>
    <w:rsid w:val="3DD73903"/>
    <w:rsid w:val="3DE041CB"/>
    <w:rsid w:val="3DFB283E"/>
    <w:rsid w:val="3E0D48F6"/>
    <w:rsid w:val="3E1868B4"/>
    <w:rsid w:val="3E1D07F4"/>
    <w:rsid w:val="3E201779"/>
    <w:rsid w:val="3E286B85"/>
    <w:rsid w:val="3E332998"/>
    <w:rsid w:val="3E340419"/>
    <w:rsid w:val="3E377251"/>
    <w:rsid w:val="3E42664B"/>
    <w:rsid w:val="3E5A7334"/>
    <w:rsid w:val="3E6C767A"/>
    <w:rsid w:val="3E6D1878"/>
    <w:rsid w:val="3E7B5D6B"/>
    <w:rsid w:val="3E843E66"/>
    <w:rsid w:val="3E8F51FE"/>
    <w:rsid w:val="3E926F87"/>
    <w:rsid w:val="3E9704BE"/>
    <w:rsid w:val="3E9A59DE"/>
    <w:rsid w:val="3E9D45C5"/>
    <w:rsid w:val="3EAB715E"/>
    <w:rsid w:val="3EAF4836"/>
    <w:rsid w:val="3EB62F71"/>
    <w:rsid w:val="3EC33DFA"/>
    <w:rsid w:val="3ECB5495"/>
    <w:rsid w:val="3ED847AB"/>
    <w:rsid w:val="3F060E16"/>
    <w:rsid w:val="3F17428F"/>
    <w:rsid w:val="3F1D1096"/>
    <w:rsid w:val="3F2F0234"/>
    <w:rsid w:val="3F617B87"/>
    <w:rsid w:val="3F6363FE"/>
    <w:rsid w:val="3F756B8F"/>
    <w:rsid w:val="3F767B2C"/>
    <w:rsid w:val="3F88218E"/>
    <w:rsid w:val="3F95482B"/>
    <w:rsid w:val="3FAB2584"/>
    <w:rsid w:val="3FB37991"/>
    <w:rsid w:val="3FBF59A2"/>
    <w:rsid w:val="3FC962B1"/>
    <w:rsid w:val="3FF55E7C"/>
    <w:rsid w:val="3FFD6B0B"/>
    <w:rsid w:val="3FFF200F"/>
    <w:rsid w:val="4019356B"/>
    <w:rsid w:val="401B2838"/>
    <w:rsid w:val="402121C3"/>
    <w:rsid w:val="40372168"/>
    <w:rsid w:val="404B0E09"/>
    <w:rsid w:val="40592157"/>
    <w:rsid w:val="405D45A6"/>
    <w:rsid w:val="406B713F"/>
    <w:rsid w:val="406E1CAE"/>
    <w:rsid w:val="4073674A"/>
    <w:rsid w:val="40782BD2"/>
    <w:rsid w:val="40926FFF"/>
    <w:rsid w:val="4099698A"/>
    <w:rsid w:val="40A0133A"/>
    <w:rsid w:val="40C31A53"/>
    <w:rsid w:val="40C60753"/>
    <w:rsid w:val="40D47A68"/>
    <w:rsid w:val="40E20083"/>
    <w:rsid w:val="40E66A89"/>
    <w:rsid w:val="40EA1C0C"/>
    <w:rsid w:val="40EC0992"/>
    <w:rsid w:val="40FF545D"/>
    <w:rsid w:val="410067C8"/>
    <w:rsid w:val="410B1EE2"/>
    <w:rsid w:val="416176D3"/>
    <w:rsid w:val="41837C0C"/>
    <w:rsid w:val="418B5019"/>
    <w:rsid w:val="418F0D2A"/>
    <w:rsid w:val="41A0173B"/>
    <w:rsid w:val="41A326BF"/>
    <w:rsid w:val="41BC1F64"/>
    <w:rsid w:val="41CB477D"/>
    <w:rsid w:val="41D01505"/>
    <w:rsid w:val="41F87BCB"/>
    <w:rsid w:val="41F9564C"/>
    <w:rsid w:val="41FC07CF"/>
    <w:rsid w:val="421B1084"/>
    <w:rsid w:val="424254BC"/>
    <w:rsid w:val="42461EC8"/>
    <w:rsid w:val="42474939"/>
    <w:rsid w:val="424C3C57"/>
    <w:rsid w:val="42613FF3"/>
    <w:rsid w:val="42660D96"/>
    <w:rsid w:val="42831D2D"/>
    <w:rsid w:val="42864EB0"/>
    <w:rsid w:val="428667D2"/>
    <w:rsid w:val="428916B8"/>
    <w:rsid w:val="42916AC5"/>
    <w:rsid w:val="429C28D7"/>
    <w:rsid w:val="42CD1CE0"/>
    <w:rsid w:val="42D01E2D"/>
    <w:rsid w:val="42D96EB9"/>
    <w:rsid w:val="42DC7E3D"/>
    <w:rsid w:val="42E1381E"/>
    <w:rsid w:val="42E63FD0"/>
    <w:rsid w:val="42ED6459"/>
    <w:rsid w:val="42F51E2A"/>
    <w:rsid w:val="42FE58DD"/>
    <w:rsid w:val="43004B7A"/>
    <w:rsid w:val="43174B3D"/>
    <w:rsid w:val="433901D7"/>
    <w:rsid w:val="434B790E"/>
    <w:rsid w:val="4360274F"/>
    <w:rsid w:val="43977AB6"/>
    <w:rsid w:val="43A00A39"/>
    <w:rsid w:val="43A3342B"/>
    <w:rsid w:val="43AD5F98"/>
    <w:rsid w:val="43C77C27"/>
    <w:rsid w:val="43D32954"/>
    <w:rsid w:val="43DE09EE"/>
    <w:rsid w:val="43F87310"/>
    <w:rsid w:val="43FC159A"/>
    <w:rsid w:val="44002FAD"/>
    <w:rsid w:val="441C37AA"/>
    <w:rsid w:val="44480394"/>
    <w:rsid w:val="445B73B5"/>
    <w:rsid w:val="445C7035"/>
    <w:rsid w:val="445F383D"/>
    <w:rsid w:val="44632243"/>
    <w:rsid w:val="449101DD"/>
    <w:rsid w:val="44DE1391"/>
    <w:rsid w:val="44F71432"/>
    <w:rsid w:val="44FE0DBC"/>
    <w:rsid w:val="4510235C"/>
    <w:rsid w:val="451B225C"/>
    <w:rsid w:val="451C7473"/>
    <w:rsid w:val="452410C9"/>
    <w:rsid w:val="45317DFB"/>
    <w:rsid w:val="45344B1A"/>
    <w:rsid w:val="454E56C4"/>
    <w:rsid w:val="456D3CE4"/>
    <w:rsid w:val="4579042C"/>
    <w:rsid w:val="457F0571"/>
    <w:rsid w:val="45851176"/>
    <w:rsid w:val="459019B0"/>
    <w:rsid w:val="45C55BC2"/>
    <w:rsid w:val="45C63B94"/>
    <w:rsid w:val="45D74323"/>
    <w:rsid w:val="45D92E9F"/>
    <w:rsid w:val="45ED1D4A"/>
    <w:rsid w:val="45EE77CB"/>
    <w:rsid w:val="46012F69"/>
    <w:rsid w:val="460E7DA5"/>
    <w:rsid w:val="46422483"/>
    <w:rsid w:val="4659254A"/>
    <w:rsid w:val="465B0637"/>
    <w:rsid w:val="465E3F0D"/>
    <w:rsid w:val="466A16E6"/>
    <w:rsid w:val="46893F2B"/>
    <w:rsid w:val="469943E1"/>
    <w:rsid w:val="469C5366"/>
    <w:rsid w:val="46BE4621"/>
    <w:rsid w:val="46C444E6"/>
    <w:rsid w:val="46C4686E"/>
    <w:rsid w:val="46E50C5D"/>
    <w:rsid w:val="46FE3D85"/>
    <w:rsid w:val="47120827"/>
    <w:rsid w:val="47162B7C"/>
    <w:rsid w:val="472E0158"/>
    <w:rsid w:val="473110DC"/>
    <w:rsid w:val="474B1C86"/>
    <w:rsid w:val="47585719"/>
    <w:rsid w:val="477B778F"/>
    <w:rsid w:val="478203EC"/>
    <w:rsid w:val="478F3674"/>
    <w:rsid w:val="478F6EF7"/>
    <w:rsid w:val="47A55818"/>
    <w:rsid w:val="47B025FA"/>
    <w:rsid w:val="47B944B8"/>
    <w:rsid w:val="47F77BA0"/>
    <w:rsid w:val="48015F32"/>
    <w:rsid w:val="4809698F"/>
    <w:rsid w:val="4811697D"/>
    <w:rsid w:val="48226466"/>
    <w:rsid w:val="486A685A"/>
    <w:rsid w:val="487A3E25"/>
    <w:rsid w:val="488B5503"/>
    <w:rsid w:val="48937E21"/>
    <w:rsid w:val="489A0361"/>
    <w:rsid w:val="48A4573B"/>
    <w:rsid w:val="48A8102D"/>
    <w:rsid w:val="48B94FF3"/>
    <w:rsid w:val="48D82712"/>
    <w:rsid w:val="48E37AAB"/>
    <w:rsid w:val="48F232BB"/>
    <w:rsid w:val="48FD4B4C"/>
    <w:rsid w:val="49082694"/>
    <w:rsid w:val="490A68E0"/>
    <w:rsid w:val="491055FE"/>
    <w:rsid w:val="494168BE"/>
    <w:rsid w:val="495367D8"/>
    <w:rsid w:val="49582C60"/>
    <w:rsid w:val="495B7468"/>
    <w:rsid w:val="495F5B3E"/>
    <w:rsid w:val="496F77D7"/>
    <w:rsid w:val="497654FD"/>
    <w:rsid w:val="4990663D"/>
    <w:rsid w:val="49AD39EF"/>
    <w:rsid w:val="49AF6EF2"/>
    <w:rsid w:val="49B64211"/>
    <w:rsid w:val="49B83F7E"/>
    <w:rsid w:val="49D41AAC"/>
    <w:rsid w:val="49E80350"/>
    <w:rsid w:val="49EF575D"/>
    <w:rsid w:val="49F308E0"/>
    <w:rsid w:val="49F6167F"/>
    <w:rsid w:val="4A033589"/>
    <w:rsid w:val="4A064FA0"/>
    <w:rsid w:val="4A16615C"/>
    <w:rsid w:val="4A18309E"/>
    <w:rsid w:val="4A3316C9"/>
    <w:rsid w:val="4A3B7AF7"/>
    <w:rsid w:val="4A3D2D5E"/>
    <w:rsid w:val="4A4424D7"/>
    <w:rsid w:val="4A5144FD"/>
    <w:rsid w:val="4A5D250E"/>
    <w:rsid w:val="4A614797"/>
    <w:rsid w:val="4A6A7625"/>
    <w:rsid w:val="4A757BB4"/>
    <w:rsid w:val="4A7965BA"/>
    <w:rsid w:val="4A7D0844"/>
    <w:rsid w:val="4A913C61"/>
    <w:rsid w:val="4AAE1013"/>
    <w:rsid w:val="4AB82D0F"/>
    <w:rsid w:val="4AC50C38"/>
    <w:rsid w:val="4AEB3076"/>
    <w:rsid w:val="4AEB7664"/>
    <w:rsid w:val="4AF41787"/>
    <w:rsid w:val="4AFD7C19"/>
    <w:rsid w:val="4B0567D1"/>
    <w:rsid w:val="4B205ACF"/>
    <w:rsid w:val="4B236AAE"/>
    <w:rsid w:val="4B2F799D"/>
    <w:rsid w:val="4B3734F6"/>
    <w:rsid w:val="4B560527"/>
    <w:rsid w:val="4B707271"/>
    <w:rsid w:val="4B866AF8"/>
    <w:rsid w:val="4B9739F7"/>
    <w:rsid w:val="4BDB6202"/>
    <w:rsid w:val="4BDF4C08"/>
    <w:rsid w:val="4BEE2503"/>
    <w:rsid w:val="4BEE5222"/>
    <w:rsid w:val="4BF727EA"/>
    <w:rsid w:val="4C245A30"/>
    <w:rsid w:val="4C2578FB"/>
    <w:rsid w:val="4C5835CD"/>
    <w:rsid w:val="4C596AD0"/>
    <w:rsid w:val="4C6406E4"/>
    <w:rsid w:val="4CB6685F"/>
    <w:rsid w:val="4CC20A7E"/>
    <w:rsid w:val="4CC367FE"/>
    <w:rsid w:val="4CCE6A8F"/>
    <w:rsid w:val="4CD5641A"/>
    <w:rsid w:val="4CE20FB3"/>
    <w:rsid w:val="4CE40C32"/>
    <w:rsid w:val="4CEC603F"/>
    <w:rsid w:val="4CF04A45"/>
    <w:rsid w:val="4D077EEE"/>
    <w:rsid w:val="4D077F3C"/>
    <w:rsid w:val="4D123355"/>
    <w:rsid w:val="4D1C4610"/>
    <w:rsid w:val="4D206899"/>
    <w:rsid w:val="4D25749E"/>
    <w:rsid w:val="4D2A3B31"/>
    <w:rsid w:val="4D312C52"/>
    <w:rsid w:val="4D465454"/>
    <w:rsid w:val="4D547FED"/>
    <w:rsid w:val="4D5A40F4"/>
    <w:rsid w:val="4D607916"/>
    <w:rsid w:val="4D817BB7"/>
    <w:rsid w:val="4D8C0147"/>
    <w:rsid w:val="4D905305"/>
    <w:rsid w:val="4D964A72"/>
    <w:rsid w:val="4D9C1254"/>
    <w:rsid w:val="4D9C3C64"/>
    <w:rsid w:val="4D9E5B15"/>
    <w:rsid w:val="4DC8252A"/>
    <w:rsid w:val="4DEA5F62"/>
    <w:rsid w:val="4DEF23EA"/>
    <w:rsid w:val="4E0B1D1A"/>
    <w:rsid w:val="4E287FC5"/>
    <w:rsid w:val="4E4C2783"/>
    <w:rsid w:val="4E6039A2"/>
    <w:rsid w:val="4E793892"/>
    <w:rsid w:val="4E7A7DCF"/>
    <w:rsid w:val="4E800872"/>
    <w:rsid w:val="4E801CD9"/>
    <w:rsid w:val="4E8B2268"/>
    <w:rsid w:val="4E932EF7"/>
    <w:rsid w:val="4E937674"/>
    <w:rsid w:val="4EC569ED"/>
    <w:rsid w:val="4ED50EA1"/>
    <w:rsid w:val="4EEC050C"/>
    <w:rsid w:val="4F104EC3"/>
    <w:rsid w:val="4F14474A"/>
    <w:rsid w:val="4F1A1ED7"/>
    <w:rsid w:val="4F1F635F"/>
    <w:rsid w:val="4F32757E"/>
    <w:rsid w:val="4F47354A"/>
    <w:rsid w:val="4F653250"/>
    <w:rsid w:val="4F7534EA"/>
    <w:rsid w:val="4F911C54"/>
    <w:rsid w:val="4FD8578D"/>
    <w:rsid w:val="4FD9320F"/>
    <w:rsid w:val="4FE625E0"/>
    <w:rsid w:val="4FF26337"/>
    <w:rsid w:val="5021480F"/>
    <w:rsid w:val="50463BC3"/>
    <w:rsid w:val="505C301C"/>
    <w:rsid w:val="50870DA9"/>
    <w:rsid w:val="50886345"/>
    <w:rsid w:val="508A77AF"/>
    <w:rsid w:val="50962ECB"/>
    <w:rsid w:val="50A42E38"/>
    <w:rsid w:val="50A4577F"/>
    <w:rsid w:val="50B73D1F"/>
    <w:rsid w:val="50BD1283"/>
    <w:rsid w:val="50BD5BC9"/>
    <w:rsid w:val="50C11EEE"/>
    <w:rsid w:val="50CA3E1C"/>
    <w:rsid w:val="50E56BC4"/>
    <w:rsid w:val="50E64646"/>
    <w:rsid w:val="50E67EC9"/>
    <w:rsid w:val="50E97CFC"/>
    <w:rsid w:val="50FA4028"/>
    <w:rsid w:val="50FF2FF1"/>
    <w:rsid w:val="510D65B7"/>
    <w:rsid w:val="51110D0D"/>
    <w:rsid w:val="511157AB"/>
    <w:rsid w:val="5142540C"/>
    <w:rsid w:val="514E2D70"/>
    <w:rsid w:val="51583680"/>
    <w:rsid w:val="51663C9A"/>
    <w:rsid w:val="517E1341"/>
    <w:rsid w:val="518832C8"/>
    <w:rsid w:val="519D3C50"/>
    <w:rsid w:val="51A0432A"/>
    <w:rsid w:val="51A86090"/>
    <w:rsid w:val="51AD660D"/>
    <w:rsid w:val="51B15013"/>
    <w:rsid w:val="51B7396D"/>
    <w:rsid w:val="51BA7EA1"/>
    <w:rsid w:val="51C44034"/>
    <w:rsid w:val="51D677D1"/>
    <w:rsid w:val="51DD715C"/>
    <w:rsid w:val="51ED2C7A"/>
    <w:rsid w:val="51FA0C8B"/>
    <w:rsid w:val="52023B18"/>
    <w:rsid w:val="520F53AD"/>
    <w:rsid w:val="522E4CC3"/>
    <w:rsid w:val="523555EC"/>
    <w:rsid w:val="5244713B"/>
    <w:rsid w:val="52497B10"/>
    <w:rsid w:val="524B3013"/>
    <w:rsid w:val="524D2C93"/>
    <w:rsid w:val="52615633"/>
    <w:rsid w:val="526712BE"/>
    <w:rsid w:val="526D0FC9"/>
    <w:rsid w:val="526F4DE4"/>
    <w:rsid w:val="52722ED3"/>
    <w:rsid w:val="527A4A5C"/>
    <w:rsid w:val="528A0579"/>
    <w:rsid w:val="52977FD4"/>
    <w:rsid w:val="52A25790"/>
    <w:rsid w:val="52A96B6F"/>
    <w:rsid w:val="52B45975"/>
    <w:rsid w:val="52C00A54"/>
    <w:rsid w:val="52D94AA4"/>
    <w:rsid w:val="52E75090"/>
    <w:rsid w:val="52EA3A62"/>
    <w:rsid w:val="52ED4D9B"/>
    <w:rsid w:val="52F50BB8"/>
    <w:rsid w:val="53097272"/>
    <w:rsid w:val="5328717E"/>
    <w:rsid w:val="53493E30"/>
    <w:rsid w:val="534C1537"/>
    <w:rsid w:val="53544462"/>
    <w:rsid w:val="5357444A"/>
    <w:rsid w:val="537F430A"/>
    <w:rsid w:val="538F45A4"/>
    <w:rsid w:val="53920DAC"/>
    <w:rsid w:val="5397158E"/>
    <w:rsid w:val="53A46AC8"/>
    <w:rsid w:val="53A854CE"/>
    <w:rsid w:val="53E325D5"/>
    <w:rsid w:val="53ED493E"/>
    <w:rsid w:val="54013861"/>
    <w:rsid w:val="54051FE4"/>
    <w:rsid w:val="540632E9"/>
    <w:rsid w:val="54487265"/>
    <w:rsid w:val="544D6070"/>
    <w:rsid w:val="54605E1E"/>
    <w:rsid w:val="54656B86"/>
    <w:rsid w:val="54664607"/>
    <w:rsid w:val="546C2C8D"/>
    <w:rsid w:val="547D09A9"/>
    <w:rsid w:val="548A223D"/>
    <w:rsid w:val="54B3506A"/>
    <w:rsid w:val="54CA0D16"/>
    <w:rsid w:val="54D06235"/>
    <w:rsid w:val="54DD4057"/>
    <w:rsid w:val="54E7490F"/>
    <w:rsid w:val="5505540A"/>
    <w:rsid w:val="550764A4"/>
    <w:rsid w:val="550B2BF6"/>
    <w:rsid w:val="55191EAD"/>
    <w:rsid w:val="55214EB5"/>
    <w:rsid w:val="552A4345"/>
    <w:rsid w:val="55364EFD"/>
    <w:rsid w:val="553B2061"/>
    <w:rsid w:val="554224F8"/>
    <w:rsid w:val="555D4828"/>
    <w:rsid w:val="55633225"/>
    <w:rsid w:val="557A4C8B"/>
    <w:rsid w:val="55802B56"/>
    <w:rsid w:val="558931E1"/>
    <w:rsid w:val="559002B6"/>
    <w:rsid w:val="55914FEE"/>
    <w:rsid w:val="55923347"/>
    <w:rsid w:val="55925180"/>
    <w:rsid w:val="55933D75"/>
    <w:rsid w:val="55983B1B"/>
    <w:rsid w:val="55A8376B"/>
    <w:rsid w:val="55B80731"/>
    <w:rsid w:val="55DC29B6"/>
    <w:rsid w:val="55DD4241"/>
    <w:rsid w:val="55E65D7D"/>
    <w:rsid w:val="566B6D1E"/>
    <w:rsid w:val="56761DE9"/>
    <w:rsid w:val="567E3972"/>
    <w:rsid w:val="56874282"/>
    <w:rsid w:val="56AC22C3"/>
    <w:rsid w:val="56D83D2F"/>
    <w:rsid w:val="56DD720F"/>
    <w:rsid w:val="57032A2C"/>
    <w:rsid w:val="570F5219"/>
    <w:rsid w:val="5729188C"/>
    <w:rsid w:val="572B4D8F"/>
    <w:rsid w:val="572E78E5"/>
    <w:rsid w:val="57350F22"/>
    <w:rsid w:val="573F3A30"/>
    <w:rsid w:val="575D12B5"/>
    <w:rsid w:val="57610A87"/>
    <w:rsid w:val="57796194"/>
    <w:rsid w:val="577B1140"/>
    <w:rsid w:val="577B7F21"/>
    <w:rsid w:val="577E261B"/>
    <w:rsid w:val="577F181B"/>
    <w:rsid w:val="578F4AB4"/>
    <w:rsid w:val="57921984"/>
    <w:rsid w:val="579737F0"/>
    <w:rsid w:val="57A646D9"/>
    <w:rsid w:val="57AB7B30"/>
    <w:rsid w:val="57AF5251"/>
    <w:rsid w:val="57B26373"/>
    <w:rsid w:val="57B63F04"/>
    <w:rsid w:val="57CD20C2"/>
    <w:rsid w:val="57D26822"/>
    <w:rsid w:val="57D675AB"/>
    <w:rsid w:val="57D95FDD"/>
    <w:rsid w:val="57E33284"/>
    <w:rsid w:val="57E45843"/>
    <w:rsid w:val="57E84249"/>
    <w:rsid w:val="585F770B"/>
    <w:rsid w:val="586D44A2"/>
    <w:rsid w:val="588A5FD1"/>
    <w:rsid w:val="58917D2F"/>
    <w:rsid w:val="5894085C"/>
    <w:rsid w:val="58A6207E"/>
    <w:rsid w:val="58A73382"/>
    <w:rsid w:val="58AE2D0D"/>
    <w:rsid w:val="58AE4F0C"/>
    <w:rsid w:val="58B746C2"/>
    <w:rsid w:val="58B85899"/>
    <w:rsid w:val="58E363A9"/>
    <w:rsid w:val="58FE5F8F"/>
    <w:rsid w:val="591E264C"/>
    <w:rsid w:val="59292657"/>
    <w:rsid w:val="594453FF"/>
    <w:rsid w:val="595E1678"/>
    <w:rsid w:val="596D5BD4"/>
    <w:rsid w:val="597849E7"/>
    <w:rsid w:val="597C465F"/>
    <w:rsid w:val="597E3DD8"/>
    <w:rsid w:val="59951986"/>
    <w:rsid w:val="59DF6902"/>
    <w:rsid w:val="59F80043"/>
    <w:rsid w:val="59F974AC"/>
    <w:rsid w:val="59FC4BAE"/>
    <w:rsid w:val="5A09252F"/>
    <w:rsid w:val="5A0B2778"/>
    <w:rsid w:val="5A19415E"/>
    <w:rsid w:val="5A234A6D"/>
    <w:rsid w:val="5A2A7C7B"/>
    <w:rsid w:val="5A3E2560"/>
    <w:rsid w:val="5A5D3B6E"/>
    <w:rsid w:val="5A5E13CF"/>
    <w:rsid w:val="5A637A76"/>
    <w:rsid w:val="5A6D33BA"/>
    <w:rsid w:val="5A6F70EB"/>
    <w:rsid w:val="5A792B1F"/>
    <w:rsid w:val="5A874767"/>
    <w:rsid w:val="5A9D4737"/>
    <w:rsid w:val="5AA85BE2"/>
    <w:rsid w:val="5AAD6F28"/>
    <w:rsid w:val="5AB6785F"/>
    <w:rsid w:val="5ABE2749"/>
    <w:rsid w:val="5AC90A7E"/>
    <w:rsid w:val="5AD63A24"/>
    <w:rsid w:val="5AE51A4D"/>
    <w:rsid w:val="5AE65E30"/>
    <w:rsid w:val="5AF11C42"/>
    <w:rsid w:val="5B0D5CEF"/>
    <w:rsid w:val="5B2E1A1D"/>
    <w:rsid w:val="5B34012D"/>
    <w:rsid w:val="5B3B333C"/>
    <w:rsid w:val="5B3E42C0"/>
    <w:rsid w:val="5B522F61"/>
    <w:rsid w:val="5B685104"/>
    <w:rsid w:val="5B761E9C"/>
    <w:rsid w:val="5B81058B"/>
    <w:rsid w:val="5B843A1C"/>
    <w:rsid w:val="5B873E3F"/>
    <w:rsid w:val="5B8759B9"/>
    <w:rsid w:val="5B8F2DC6"/>
    <w:rsid w:val="5BA629EB"/>
    <w:rsid w:val="5BC709A1"/>
    <w:rsid w:val="5BD76A3D"/>
    <w:rsid w:val="5BF81B2D"/>
    <w:rsid w:val="5C02690E"/>
    <w:rsid w:val="5C08720C"/>
    <w:rsid w:val="5C0F0D95"/>
    <w:rsid w:val="5C196DA7"/>
    <w:rsid w:val="5C201030"/>
    <w:rsid w:val="5C2A048C"/>
    <w:rsid w:val="5C407366"/>
    <w:rsid w:val="5C4C0BFA"/>
    <w:rsid w:val="5C4D2220"/>
    <w:rsid w:val="5C55730B"/>
    <w:rsid w:val="5C6F7EB5"/>
    <w:rsid w:val="5C80234E"/>
    <w:rsid w:val="5C8A680C"/>
    <w:rsid w:val="5CA81314"/>
    <w:rsid w:val="5CB85D2B"/>
    <w:rsid w:val="5CB97030"/>
    <w:rsid w:val="5CD765E0"/>
    <w:rsid w:val="5CDD04E9"/>
    <w:rsid w:val="5D0C4701"/>
    <w:rsid w:val="5D0F0395"/>
    <w:rsid w:val="5D204456"/>
    <w:rsid w:val="5D221076"/>
    <w:rsid w:val="5D3778FE"/>
    <w:rsid w:val="5D397964"/>
    <w:rsid w:val="5D4E3CA0"/>
    <w:rsid w:val="5D5A391C"/>
    <w:rsid w:val="5D5F10C0"/>
    <w:rsid w:val="5D790E2F"/>
    <w:rsid w:val="5D891B7B"/>
    <w:rsid w:val="5D8D288B"/>
    <w:rsid w:val="5D8E030D"/>
    <w:rsid w:val="5D942216"/>
    <w:rsid w:val="5DAD38EE"/>
    <w:rsid w:val="5DAF0841"/>
    <w:rsid w:val="5DB5274B"/>
    <w:rsid w:val="5DE7421F"/>
    <w:rsid w:val="5DEB4E23"/>
    <w:rsid w:val="5E006862"/>
    <w:rsid w:val="5E0207B9"/>
    <w:rsid w:val="5E115063"/>
    <w:rsid w:val="5E1834A1"/>
    <w:rsid w:val="5E1F1DFA"/>
    <w:rsid w:val="5E261785"/>
    <w:rsid w:val="5E4A7017"/>
    <w:rsid w:val="5E4E4EC8"/>
    <w:rsid w:val="5E552BBA"/>
    <w:rsid w:val="5E5A2ED9"/>
    <w:rsid w:val="5E611C10"/>
    <w:rsid w:val="5E685A72"/>
    <w:rsid w:val="5E6F2E7E"/>
    <w:rsid w:val="5E7A0F3F"/>
    <w:rsid w:val="5E9652BC"/>
    <w:rsid w:val="5EC7103E"/>
    <w:rsid w:val="5ED13E1C"/>
    <w:rsid w:val="5EFC7377"/>
    <w:rsid w:val="5F06174D"/>
    <w:rsid w:val="5F172392"/>
    <w:rsid w:val="5F2A7D2E"/>
    <w:rsid w:val="5F2B57AF"/>
    <w:rsid w:val="5F3A3602"/>
    <w:rsid w:val="5F3A5DCA"/>
    <w:rsid w:val="5F45733B"/>
    <w:rsid w:val="5F4D6FE9"/>
    <w:rsid w:val="5F517BED"/>
    <w:rsid w:val="5F5D7283"/>
    <w:rsid w:val="5F6277C6"/>
    <w:rsid w:val="5F6D0B1D"/>
    <w:rsid w:val="5F791132"/>
    <w:rsid w:val="5F8D0B82"/>
    <w:rsid w:val="5FAA7071"/>
    <w:rsid w:val="5FCC5339"/>
    <w:rsid w:val="5FDB7B52"/>
    <w:rsid w:val="5FE34A5B"/>
    <w:rsid w:val="5FFE1E36"/>
    <w:rsid w:val="6014572D"/>
    <w:rsid w:val="60232584"/>
    <w:rsid w:val="60385CED"/>
    <w:rsid w:val="605A3CA3"/>
    <w:rsid w:val="607330CE"/>
    <w:rsid w:val="607F065F"/>
    <w:rsid w:val="608102DF"/>
    <w:rsid w:val="60825176"/>
    <w:rsid w:val="60867FEA"/>
    <w:rsid w:val="609F2AC4"/>
    <w:rsid w:val="60B24332"/>
    <w:rsid w:val="60D11363"/>
    <w:rsid w:val="60ED0C93"/>
    <w:rsid w:val="60FA2EE8"/>
    <w:rsid w:val="61054A27"/>
    <w:rsid w:val="61094D40"/>
    <w:rsid w:val="610A52BC"/>
    <w:rsid w:val="610D059B"/>
    <w:rsid w:val="611D2366"/>
    <w:rsid w:val="61215C6A"/>
    <w:rsid w:val="61421856"/>
    <w:rsid w:val="6143039D"/>
    <w:rsid w:val="615227C4"/>
    <w:rsid w:val="61654E3F"/>
    <w:rsid w:val="617F6CFC"/>
    <w:rsid w:val="6182292A"/>
    <w:rsid w:val="619F7F92"/>
    <w:rsid w:val="61BF0FEC"/>
    <w:rsid w:val="61F94C26"/>
    <w:rsid w:val="62000E56"/>
    <w:rsid w:val="62371F2F"/>
    <w:rsid w:val="624F3E49"/>
    <w:rsid w:val="62632286"/>
    <w:rsid w:val="6264223A"/>
    <w:rsid w:val="627D6E20"/>
    <w:rsid w:val="62805827"/>
    <w:rsid w:val="62885958"/>
    <w:rsid w:val="62A847ED"/>
    <w:rsid w:val="62BF0B8F"/>
    <w:rsid w:val="62D1212E"/>
    <w:rsid w:val="62DD39C2"/>
    <w:rsid w:val="62F40B65"/>
    <w:rsid w:val="62FC2CFE"/>
    <w:rsid w:val="63024505"/>
    <w:rsid w:val="63026180"/>
    <w:rsid w:val="631A7FA3"/>
    <w:rsid w:val="63340B4D"/>
    <w:rsid w:val="634023E1"/>
    <w:rsid w:val="6349526F"/>
    <w:rsid w:val="635600A5"/>
    <w:rsid w:val="635B1DB5"/>
    <w:rsid w:val="63711FED"/>
    <w:rsid w:val="63716434"/>
    <w:rsid w:val="63730CE6"/>
    <w:rsid w:val="63880DDC"/>
    <w:rsid w:val="638D750D"/>
    <w:rsid w:val="638F59E4"/>
    <w:rsid w:val="63960BF2"/>
    <w:rsid w:val="63AC6CC0"/>
    <w:rsid w:val="63BC55AE"/>
    <w:rsid w:val="63C11A36"/>
    <w:rsid w:val="63D8165B"/>
    <w:rsid w:val="63E663F3"/>
    <w:rsid w:val="63F23480"/>
    <w:rsid w:val="63F258BA"/>
    <w:rsid w:val="63FC3E19"/>
    <w:rsid w:val="64025D23"/>
    <w:rsid w:val="64041226"/>
    <w:rsid w:val="64055776"/>
    <w:rsid w:val="641F5B67"/>
    <w:rsid w:val="64240056"/>
    <w:rsid w:val="642D45E8"/>
    <w:rsid w:val="643B7181"/>
    <w:rsid w:val="643E143A"/>
    <w:rsid w:val="64430D0B"/>
    <w:rsid w:val="64491666"/>
    <w:rsid w:val="64783763"/>
    <w:rsid w:val="648B4982"/>
    <w:rsid w:val="648B6EEF"/>
    <w:rsid w:val="64983C98"/>
    <w:rsid w:val="64C158BF"/>
    <w:rsid w:val="64C47FDF"/>
    <w:rsid w:val="64C53862"/>
    <w:rsid w:val="64CE2EAA"/>
    <w:rsid w:val="650F29DD"/>
    <w:rsid w:val="651B09EE"/>
    <w:rsid w:val="65357399"/>
    <w:rsid w:val="653C3090"/>
    <w:rsid w:val="65441BB2"/>
    <w:rsid w:val="655B17D7"/>
    <w:rsid w:val="65854376"/>
    <w:rsid w:val="658767BE"/>
    <w:rsid w:val="65892531"/>
    <w:rsid w:val="6591642E"/>
    <w:rsid w:val="65AC4A59"/>
    <w:rsid w:val="65C45983"/>
    <w:rsid w:val="65F12FD0"/>
    <w:rsid w:val="660B02F6"/>
    <w:rsid w:val="66195831"/>
    <w:rsid w:val="661E7317"/>
    <w:rsid w:val="661F4D98"/>
    <w:rsid w:val="662E75B1"/>
    <w:rsid w:val="66342C2E"/>
    <w:rsid w:val="663E784C"/>
    <w:rsid w:val="66546F6B"/>
    <w:rsid w:val="66662F8E"/>
    <w:rsid w:val="667D7330"/>
    <w:rsid w:val="668A5CEB"/>
    <w:rsid w:val="668B6A45"/>
    <w:rsid w:val="66911854"/>
    <w:rsid w:val="66AE3383"/>
    <w:rsid w:val="66B6078F"/>
    <w:rsid w:val="66B87515"/>
    <w:rsid w:val="66C37AA5"/>
    <w:rsid w:val="66C45526"/>
    <w:rsid w:val="66D76745"/>
    <w:rsid w:val="66DD3ED2"/>
    <w:rsid w:val="66EE416C"/>
    <w:rsid w:val="66F85400"/>
    <w:rsid w:val="67010C0E"/>
    <w:rsid w:val="67112C4A"/>
    <w:rsid w:val="671230A7"/>
    <w:rsid w:val="6715402C"/>
    <w:rsid w:val="672D4F56"/>
    <w:rsid w:val="672F3F24"/>
    <w:rsid w:val="673448E0"/>
    <w:rsid w:val="673A09E8"/>
    <w:rsid w:val="673E055F"/>
    <w:rsid w:val="67551CE3"/>
    <w:rsid w:val="67714745"/>
    <w:rsid w:val="6794237B"/>
    <w:rsid w:val="67A22552"/>
    <w:rsid w:val="67B22DCC"/>
    <w:rsid w:val="67B63BB5"/>
    <w:rsid w:val="67B71637"/>
    <w:rsid w:val="67BE0FC1"/>
    <w:rsid w:val="67BE71AA"/>
    <w:rsid w:val="67CF7323"/>
    <w:rsid w:val="67D90273"/>
    <w:rsid w:val="67DE5875"/>
    <w:rsid w:val="67E55852"/>
    <w:rsid w:val="67E85689"/>
    <w:rsid w:val="67EA5309"/>
    <w:rsid w:val="67EB1AB4"/>
    <w:rsid w:val="67EC408F"/>
    <w:rsid w:val="67F07212"/>
    <w:rsid w:val="67F820A0"/>
    <w:rsid w:val="67FA1285"/>
    <w:rsid w:val="68064C39"/>
    <w:rsid w:val="680957BA"/>
    <w:rsid w:val="683C1890"/>
    <w:rsid w:val="68551F4F"/>
    <w:rsid w:val="687C10C9"/>
    <w:rsid w:val="68840C16"/>
    <w:rsid w:val="68876EFB"/>
    <w:rsid w:val="68884654"/>
    <w:rsid w:val="688B4E92"/>
    <w:rsid w:val="689F444F"/>
    <w:rsid w:val="68B711D9"/>
    <w:rsid w:val="68B96DBB"/>
    <w:rsid w:val="68CA2805"/>
    <w:rsid w:val="68D07B85"/>
    <w:rsid w:val="68D84F91"/>
    <w:rsid w:val="68E258A1"/>
    <w:rsid w:val="68E937A3"/>
    <w:rsid w:val="68FB09C9"/>
    <w:rsid w:val="68FB149A"/>
    <w:rsid w:val="69095760"/>
    <w:rsid w:val="693343A6"/>
    <w:rsid w:val="693E15D3"/>
    <w:rsid w:val="69627681"/>
    <w:rsid w:val="696370F4"/>
    <w:rsid w:val="696E0D08"/>
    <w:rsid w:val="69701C8D"/>
    <w:rsid w:val="6977531D"/>
    <w:rsid w:val="697D3521"/>
    <w:rsid w:val="69811F27"/>
    <w:rsid w:val="69837628"/>
    <w:rsid w:val="698B4A35"/>
    <w:rsid w:val="69BD19C1"/>
    <w:rsid w:val="69C30412"/>
    <w:rsid w:val="69CC2BFF"/>
    <w:rsid w:val="69D43F2F"/>
    <w:rsid w:val="69FD55B8"/>
    <w:rsid w:val="69FE4D74"/>
    <w:rsid w:val="6A0B1C62"/>
    <w:rsid w:val="6A120191"/>
    <w:rsid w:val="6A2406C8"/>
    <w:rsid w:val="6A3B7666"/>
    <w:rsid w:val="6A421FE5"/>
    <w:rsid w:val="6A460108"/>
    <w:rsid w:val="6A53227F"/>
    <w:rsid w:val="6A68311E"/>
    <w:rsid w:val="6A6A40A3"/>
    <w:rsid w:val="6A9A1ADF"/>
    <w:rsid w:val="6AAA0710"/>
    <w:rsid w:val="6AAF4B97"/>
    <w:rsid w:val="6ADE0BD1"/>
    <w:rsid w:val="6AE81378"/>
    <w:rsid w:val="6AE96859"/>
    <w:rsid w:val="6B0B1A2E"/>
    <w:rsid w:val="6B115B35"/>
    <w:rsid w:val="6B147746"/>
    <w:rsid w:val="6B24787C"/>
    <w:rsid w:val="6B3B477B"/>
    <w:rsid w:val="6B4D7F19"/>
    <w:rsid w:val="6B4E599A"/>
    <w:rsid w:val="6B573233"/>
    <w:rsid w:val="6B581C23"/>
    <w:rsid w:val="6B5B6274"/>
    <w:rsid w:val="6B5E5C35"/>
    <w:rsid w:val="6B697849"/>
    <w:rsid w:val="6B7632DB"/>
    <w:rsid w:val="6B8843E8"/>
    <w:rsid w:val="6B901C87"/>
    <w:rsid w:val="6B935D53"/>
    <w:rsid w:val="6BA14120"/>
    <w:rsid w:val="6BAB5D34"/>
    <w:rsid w:val="6BC952E4"/>
    <w:rsid w:val="6BCA2D65"/>
    <w:rsid w:val="6BCB406A"/>
    <w:rsid w:val="6BD004F2"/>
    <w:rsid w:val="6BF22C25"/>
    <w:rsid w:val="6BF670AD"/>
    <w:rsid w:val="6BF803B2"/>
    <w:rsid w:val="6BFC4839"/>
    <w:rsid w:val="6C026743"/>
    <w:rsid w:val="6C1316F7"/>
    <w:rsid w:val="6C196F71"/>
    <w:rsid w:val="6C226FCB"/>
    <w:rsid w:val="6C2C1B05"/>
    <w:rsid w:val="6C31226F"/>
    <w:rsid w:val="6C517EC7"/>
    <w:rsid w:val="6C5277C6"/>
    <w:rsid w:val="6C552F0B"/>
    <w:rsid w:val="6C600CDA"/>
    <w:rsid w:val="6C6860E7"/>
    <w:rsid w:val="6C8C67B7"/>
    <w:rsid w:val="6C9B563C"/>
    <w:rsid w:val="6C9D6941"/>
    <w:rsid w:val="6C9D744C"/>
    <w:rsid w:val="6CA639CD"/>
    <w:rsid w:val="6CC56480"/>
    <w:rsid w:val="6D167928"/>
    <w:rsid w:val="6D26299B"/>
    <w:rsid w:val="6D282CA2"/>
    <w:rsid w:val="6D4772EC"/>
    <w:rsid w:val="6D674029"/>
    <w:rsid w:val="6D9078AF"/>
    <w:rsid w:val="6DA47116"/>
    <w:rsid w:val="6DAA3FEF"/>
    <w:rsid w:val="6DBA5A94"/>
    <w:rsid w:val="6DC0172B"/>
    <w:rsid w:val="6DCB690C"/>
    <w:rsid w:val="6DD41A5B"/>
    <w:rsid w:val="6DE02450"/>
    <w:rsid w:val="6DF43986"/>
    <w:rsid w:val="6DF43C2E"/>
    <w:rsid w:val="6DF51CA3"/>
    <w:rsid w:val="6E334459"/>
    <w:rsid w:val="6E5F4023"/>
    <w:rsid w:val="6E8335BD"/>
    <w:rsid w:val="6E8E12EF"/>
    <w:rsid w:val="6E950C7A"/>
    <w:rsid w:val="6E972936"/>
    <w:rsid w:val="6E9D190A"/>
    <w:rsid w:val="6E9E3B08"/>
    <w:rsid w:val="6EA25D92"/>
    <w:rsid w:val="6ED446C5"/>
    <w:rsid w:val="6F0A44BC"/>
    <w:rsid w:val="6F134DCC"/>
    <w:rsid w:val="6F1E315D"/>
    <w:rsid w:val="6F2A7D94"/>
    <w:rsid w:val="6F3B4C8B"/>
    <w:rsid w:val="6F3C2DD2"/>
    <w:rsid w:val="6F7637EB"/>
    <w:rsid w:val="6F8275FE"/>
    <w:rsid w:val="6F8331F1"/>
    <w:rsid w:val="6F9B2726"/>
    <w:rsid w:val="6FAE1A09"/>
    <w:rsid w:val="6FD6290B"/>
    <w:rsid w:val="6FD75BF8"/>
    <w:rsid w:val="6FF30BB6"/>
    <w:rsid w:val="6FF46638"/>
    <w:rsid w:val="6FF653BE"/>
    <w:rsid w:val="7000374F"/>
    <w:rsid w:val="700F04E7"/>
    <w:rsid w:val="70313F1E"/>
    <w:rsid w:val="70481945"/>
    <w:rsid w:val="704D7FCB"/>
    <w:rsid w:val="70670B75"/>
    <w:rsid w:val="707723D0"/>
    <w:rsid w:val="70951A45"/>
    <w:rsid w:val="70A20D5A"/>
    <w:rsid w:val="70AB3BE8"/>
    <w:rsid w:val="70D859B1"/>
    <w:rsid w:val="70E936CD"/>
    <w:rsid w:val="70F5661B"/>
    <w:rsid w:val="70F76266"/>
    <w:rsid w:val="710651FB"/>
    <w:rsid w:val="71076500"/>
    <w:rsid w:val="71205DA5"/>
    <w:rsid w:val="71360107"/>
    <w:rsid w:val="713B688E"/>
    <w:rsid w:val="7148279F"/>
    <w:rsid w:val="7198476A"/>
    <w:rsid w:val="71997FEE"/>
    <w:rsid w:val="719D0BF2"/>
    <w:rsid w:val="71A82B64"/>
    <w:rsid w:val="71AC120D"/>
    <w:rsid w:val="71C07EAD"/>
    <w:rsid w:val="71CD1741"/>
    <w:rsid w:val="71D43752"/>
    <w:rsid w:val="71F1796A"/>
    <w:rsid w:val="71F260FE"/>
    <w:rsid w:val="71FB63D5"/>
    <w:rsid w:val="7205731D"/>
    <w:rsid w:val="72154626"/>
    <w:rsid w:val="72262B5D"/>
    <w:rsid w:val="72283FF7"/>
    <w:rsid w:val="722E7212"/>
    <w:rsid w:val="723A0474"/>
    <w:rsid w:val="7251199A"/>
    <w:rsid w:val="725923E4"/>
    <w:rsid w:val="72594BA8"/>
    <w:rsid w:val="725C7D2B"/>
    <w:rsid w:val="726A28C4"/>
    <w:rsid w:val="72771BDA"/>
    <w:rsid w:val="72864BF7"/>
    <w:rsid w:val="729023FC"/>
    <w:rsid w:val="72B10ABA"/>
    <w:rsid w:val="72BD48CD"/>
    <w:rsid w:val="72F96CB0"/>
    <w:rsid w:val="73000839"/>
    <w:rsid w:val="73085C46"/>
    <w:rsid w:val="732706F9"/>
    <w:rsid w:val="73285EA4"/>
    <w:rsid w:val="7332230D"/>
    <w:rsid w:val="73326A8A"/>
    <w:rsid w:val="7333450C"/>
    <w:rsid w:val="733E6120"/>
    <w:rsid w:val="7345352C"/>
    <w:rsid w:val="736949E6"/>
    <w:rsid w:val="736B7EE9"/>
    <w:rsid w:val="736E46F1"/>
    <w:rsid w:val="73807E8E"/>
    <w:rsid w:val="73A103C3"/>
    <w:rsid w:val="73A30043"/>
    <w:rsid w:val="73C0646E"/>
    <w:rsid w:val="73C64CEF"/>
    <w:rsid w:val="73E70B37"/>
    <w:rsid w:val="73FD7457"/>
    <w:rsid w:val="742222F5"/>
    <w:rsid w:val="742873A2"/>
    <w:rsid w:val="742D5A28"/>
    <w:rsid w:val="74335733"/>
    <w:rsid w:val="74476126"/>
    <w:rsid w:val="74566BED"/>
    <w:rsid w:val="746016FA"/>
    <w:rsid w:val="74666E87"/>
    <w:rsid w:val="74706664"/>
    <w:rsid w:val="74715218"/>
    <w:rsid w:val="747F3682"/>
    <w:rsid w:val="749C3ADE"/>
    <w:rsid w:val="749C4185"/>
    <w:rsid w:val="74B64688"/>
    <w:rsid w:val="74C23D1D"/>
    <w:rsid w:val="74CC462D"/>
    <w:rsid w:val="75067759"/>
    <w:rsid w:val="7519472C"/>
    <w:rsid w:val="75201B39"/>
    <w:rsid w:val="7523723A"/>
    <w:rsid w:val="752E55CB"/>
    <w:rsid w:val="752E6DCD"/>
    <w:rsid w:val="753507D9"/>
    <w:rsid w:val="753D3667"/>
    <w:rsid w:val="7541206D"/>
    <w:rsid w:val="7551380D"/>
    <w:rsid w:val="755D394A"/>
    <w:rsid w:val="755E3412"/>
    <w:rsid w:val="75600BE5"/>
    <w:rsid w:val="7564475C"/>
    <w:rsid w:val="757E664F"/>
    <w:rsid w:val="7583797F"/>
    <w:rsid w:val="75872537"/>
    <w:rsid w:val="75A63F90"/>
    <w:rsid w:val="75D20F1D"/>
    <w:rsid w:val="75DA2C18"/>
    <w:rsid w:val="75F54412"/>
    <w:rsid w:val="761D08E0"/>
    <w:rsid w:val="762F1CF6"/>
    <w:rsid w:val="7634617E"/>
    <w:rsid w:val="76392605"/>
    <w:rsid w:val="76435113"/>
    <w:rsid w:val="76517CAC"/>
    <w:rsid w:val="765D347C"/>
    <w:rsid w:val="765F11C0"/>
    <w:rsid w:val="76826699"/>
    <w:rsid w:val="76A806BB"/>
    <w:rsid w:val="76C87133"/>
    <w:rsid w:val="76CB1B74"/>
    <w:rsid w:val="76CD08D5"/>
    <w:rsid w:val="76DB4B92"/>
    <w:rsid w:val="76ED7B2A"/>
    <w:rsid w:val="77027AD0"/>
    <w:rsid w:val="77052AA4"/>
    <w:rsid w:val="77136511"/>
    <w:rsid w:val="773032A8"/>
    <w:rsid w:val="77326F9A"/>
    <w:rsid w:val="77340A39"/>
    <w:rsid w:val="77351FD0"/>
    <w:rsid w:val="77432D54"/>
    <w:rsid w:val="77472422"/>
    <w:rsid w:val="77582A5D"/>
    <w:rsid w:val="775F23E8"/>
    <w:rsid w:val="77617AE9"/>
    <w:rsid w:val="77690779"/>
    <w:rsid w:val="777D7419"/>
    <w:rsid w:val="777F31F2"/>
    <w:rsid w:val="77D1700D"/>
    <w:rsid w:val="77E4483F"/>
    <w:rsid w:val="77EC04CC"/>
    <w:rsid w:val="77F273D8"/>
    <w:rsid w:val="78304CBF"/>
    <w:rsid w:val="78336B27"/>
    <w:rsid w:val="785051F3"/>
    <w:rsid w:val="78536178"/>
    <w:rsid w:val="786B7F9B"/>
    <w:rsid w:val="78775729"/>
    <w:rsid w:val="788B62D2"/>
    <w:rsid w:val="789C3FEE"/>
    <w:rsid w:val="789F07F6"/>
    <w:rsid w:val="78A42DB0"/>
    <w:rsid w:val="78A656AB"/>
    <w:rsid w:val="78B2245C"/>
    <w:rsid w:val="78B57116"/>
    <w:rsid w:val="78D20C44"/>
    <w:rsid w:val="78DE02DA"/>
    <w:rsid w:val="78E172CC"/>
    <w:rsid w:val="78EA1B6E"/>
    <w:rsid w:val="78EA1D1F"/>
    <w:rsid w:val="79036DC3"/>
    <w:rsid w:val="7904172F"/>
    <w:rsid w:val="790F7E27"/>
    <w:rsid w:val="792A231A"/>
    <w:rsid w:val="79316829"/>
    <w:rsid w:val="793379E4"/>
    <w:rsid w:val="793B4DF1"/>
    <w:rsid w:val="79587FA4"/>
    <w:rsid w:val="797E66A9"/>
    <w:rsid w:val="798518A4"/>
    <w:rsid w:val="79A00398"/>
    <w:rsid w:val="79A25A9A"/>
    <w:rsid w:val="79A97383"/>
    <w:rsid w:val="79B77FBE"/>
    <w:rsid w:val="79BE31CC"/>
    <w:rsid w:val="79C066CF"/>
    <w:rsid w:val="79C8155D"/>
    <w:rsid w:val="79D31AEC"/>
    <w:rsid w:val="79E27E8B"/>
    <w:rsid w:val="79F842AA"/>
    <w:rsid w:val="79F850CE"/>
    <w:rsid w:val="79F964A8"/>
    <w:rsid w:val="79FD443C"/>
    <w:rsid w:val="7A0138B5"/>
    <w:rsid w:val="7A1D1975"/>
    <w:rsid w:val="7A3E5150"/>
    <w:rsid w:val="7A4670D6"/>
    <w:rsid w:val="7A534B63"/>
    <w:rsid w:val="7A5A304A"/>
    <w:rsid w:val="7A615382"/>
    <w:rsid w:val="7A645B58"/>
    <w:rsid w:val="7A67303B"/>
    <w:rsid w:val="7A795AFD"/>
    <w:rsid w:val="7A944128"/>
    <w:rsid w:val="7A9479AC"/>
    <w:rsid w:val="7AAB1B4F"/>
    <w:rsid w:val="7AAB1D04"/>
    <w:rsid w:val="7AAF2754"/>
    <w:rsid w:val="7AB968E7"/>
    <w:rsid w:val="7ABA4368"/>
    <w:rsid w:val="7AC00B9E"/>
    <w:rsid w:val="7AD05746"/>
    <w:rsid w:val="7B132478"/>
    <w:rsid w:val="7B1E52D0"/>
    <w:rsid w:val="7B257FFD"/>
    <w:rsid w:val="7B343476"/>
    <w:rsid w:val="7B3771B5"/>
    <w:rsid w:val="7B5A2978"/>
    <w:rsid w:val="7B5A7E4C"/>
    <w:rsid w:val="7B6334FC"/>
    <w:rsid w:val="7B667AF9"/>
    <w:rsid w:val="7B7468F8"/>
    <w:rsid w:val="7B777F9E"/>
    <w:rsid w:val="7B7D40A6"/>
    <w:rsid w:val="7B8F7843"/>
    <w:rsid w:val="7B9030C7"/>
    <w:rsid w:val="7BA22FE1"/>
    <w:rsid w:val="7BAD2677"/>
    <w:rsid w:val="7BCB7A29"/>
    <w:rsid w:val="7BE0414B"/>
    <w:rsid w:val="7BE06349"/>
    <w:rsid w:val="7BEE0103"/>
    <w:rsid w:val="7C086208"/>
    <w:rsid w:val="7C0A0FE4"/>
    <w:rsid w:val="7C1B7AA8"/>
    <w:rsid w:val="7C246E98"/>
    <w:rsid w:val="7C254906"/>
    <w:rsid w:val="7C291FC0"/>
    <w:rsid w:val="7C330351"/>
    <w:rsid w:val="7C45606D"/>
    <w:rsid w:val="7C5130F5"/>
    <w:rsid w:val="7C590818"/>
    <w:rsid w:val="7C646922"/>
    <w:rsid w:val="7C7001B6"/>
    <w:rsid w:val="7C7C10F6"/>
    <w:rsid w:val="7C823954"/>
    <w:rsid w:val="7C853BEA"/>
    <w:rsid w:val="7C881368"/>
    <w:rsid w:val="7C9064ED"/>
    <w:rsid w:val="7CA83B93"/>
    <w:rsid w:val="7CB10C20"/>
    <w:rsid w:val="7CC556C2"/>
    <w:rsid w:val="7CC75342"/>
    <w:rsid w:val="7CD564F7"/>
    <w:rsid w:val="7CE27788"/>
    <w:rsid w:val="7D042C28"/>
    <w:rsid w:val="7D092933"/>
    <w:rsid w:val="7D0C32F1"/>
    <w:rsid w:val="7D0F408D"/>
    <w:rsid w:val="7D2840E2"/>
    <w:rsid w:val="7D2A660C"/>
    <w:rsid w:val="7D3B0AF4"/>
    <w:rsid w:val="7D491C6C"/>
    <w:rsid w:val="7D497E9A"/>
    <w:rsid w:val="7D5052A6"/>
    <w:rsid w:val="7D5429C0"/>
    <w:rsid w:val="7D6E6D43"/>
    <w:rsid w:val="7D817FF3"/>
    <w:rsid w:val="7D836D7A"/>
    <w:rsid w:val="7D9D1B22"/>
    <w:rsid w:val="7DB57A34"/>
    <w:rsid w:val="7DBE58DA"/>
    <w:rsid w:val="7DC6656A"/>
    <w:rsid w:val="7DC81A6D"/>
    <w:rsid w:val="7DCF5B74"/>
    <w:rsid w:val="7DD4587F"/>
    <w:rsid w:val="7DD60D82"/>
    <w:rsid w:val="7DDE3C10"/>
    <w:rsid w:val="7DE37223"/>
    <w:rsid w:val="7DE60973"/>
    <w:rsid w:val="7DE76A9E"/>
    <w:rsid w:val="7DEC43EC"/>
    <w:rsid w:val="7DEF0916"/>
    <w:rsid w:val="7E125364"/>
    <w:rsid w:val="7E1E5218"/>
    <w:rsid w:val="7E230E82"/>
    <w:rsid w:val="7E346B9D"/>
    <w:rsid w:val="7E676FEC"/>
    <w:rsid w:val="7E6C679B"/>
    <w:rsid w:val="7E8C722C"/>
    <w:rsid w:val="7E9A4E1F"/>
    <w:rsid w:val="7EA50156"/>
    <w:rsid w:val="7EA7723A"/>
    <w:rsid w:val="7EAD2FE4"/>
    <w:rsid w:val="7EAD3628"/>
    <w:rsid w:val="7EB3166A"/>
    <w:rsid w:val="7EED3DCE"/>
    <w:rsid w:val="7EF56FBB"/>
    <w:rsid w:val="7F0768EB"/>
    <w:rsid w:val="7F122D08"/>
    <w:rsid w:val="7F143BEC"/>
    <w:rsid w:val="7F1A2313"/>
    <w:rsid w:val="7F1A5B96"/>
    <w:rsid w:val="7F342EBD"/>
    <w:rsid w:val="7F362021"/>
    <w:rsid w:val="7F45445C"/>
    <w:rsid w:val="7F5B4401"/>
    <w:rsid w:val="7F675C96"/>
    <w:rsid w:val="7F700B24"/>
    <w:rsid w:val="7F715AF2"/>
    <w:rsid w:val="7F7B47F9"/>
    <w:rsid w:val="7F886E69"/>
    <w:rsid w:val="7FB57F93"/>
    <w:rsid w:val="7FC372A9"/>
    <w:rsid w:val="7FCE30BB"/>
    <w:rsid w:val="7FE60762"/>
    <w:rsid w:val="7FED00ED"/>
    <w:rsid w:val="7FF91981"/>
    <w:rsid w:val="7FFE5E09"/>
    <w:rsid w:val="BB7FA927"/>
    <w:rsid w:val="EFF72F48"/>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34" w:semiHidden="0" w:nam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4">
    <w:name w:val="Normal Table"/>
    <w:unhideWhenUsed/>
    <w:uiPriority w:val="99"/>
    <w:tblPr>
      <w:tblStyle w:val="74"/>
      <w:tblLayout w:type="fixed"/>
      <w:tblCellMar>
        <w:top w:w="0" w:type="dxa"/>
        <w:left w:w="108" w:type="dxa"/>
        <w:bottom w:w="0" w:type="dxa"/>
        <w:right w:w="108" w:type="dxa"/>
      </w:tblCellMar>
    </w:tblPr>
  </w:style>
  <w:style w:type="paragraph" w:styleId="2">
    <w:name w:val="Body Text"/>
    <w:basedOn w:val="1"/>
    <w:next w:val="3"/>
    <w:link w:val="937"/>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3">
    <w:name w:val="annotation subject"/>
    <w:basedOn w:val="14"/>
    <w:next w:val="14"/>
    <w:link w:val="637"/>
    <w:qFormat/>
    <w:uiPriority w:val="0"/>
    <w:rPr>
      <w:b/>
      <w:bCs/>
    </w:rPr>
  </w:style>
  <w:style w:type="paragraph" w:styleId="14">
    <w:name w:val="annotation text"/>
    <w:basedOn w:val="1"/>
    <w:link w:val="860"/>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2"/>
    <w:next w:val="17"/>
    <w:link w:val="839"/>
    <w:qFormat/>
    <w:uiPriority w:val="0"/>
    <w:pPr>
      <w:ind w:firstLine="420"/>
    </w:pPr>
    <w:rPr>
      <w:rFonts w:hAnsi="Calibri" w:cs="Times New Roman"/>
      <w:szCs w:val="20"/>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757"/>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32"/>
    <w:qFormat/>
    <w:uiPriority w:val="0"/>
    <w:pPr>
      <w:shd w:val="clear" w:color="auto" w:fill="000080"/>
    </w:pPr>
  </w:style>
  <w:style w:type="paragraph" w:styleId="25">
    <w:name w:val="toa heading"/>
    <w:basedOn w:val="1"/>
    <w:next w:val="1"/>
    <w:uiPriority w:val="0"/>
    <w:rPr>
      <w:rFonts w:ascii="Arial" w:hAnsi="Arial"/>
      <w:sz w:val="24"/>
      <w:szCs w:val="20"/>
    </w:rPr>
  </w:style>
  <w:style w:type="paragraph" w:styleId="26">
    <w:name w:val="Salutation"/>
    <w:basedOn w:val="1"/>
    <w:next w:val="1"/>
    <w:link w:val="820"/>
    <w:qFormat/>
    <w:uiPriority w:val="0"/>
    <w:rPr>
      <w:rFonts w:ascii="仿宋_GB2312" w:eastAsia="仿宋_GB2312"/>
      <w:sz w:val="28"/>
      <w:szCs w:val="20"/>
    </w:rPr>
  </w:style>
  <w:style w:type="paragraph" w:styleId="27">
    <w:name w:val="Body Text 3"/>
    <w:basedOn w:val="1"/>
    <w:link w:val="848"/>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Indent"/>
    <w:basedOn w:val="1"/>
    <w:next w:val="1"/>
    <w:link w:val="788"/>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4"/>
    <w:qFormat/>
    <w:uiPriority w:val="0"/>
    <w:pPr>
      <w:ind w:left="100" w:leftChars="2500"/>
    </w:pPr>
    <w:rPr>
      <w:rFonts w:ascii="宋体"/>
      <w:sz w:val="24"/>
      <w:szCs w:val="21"/>
      <w:lang w:val="zh-CN"/>
    </w:rPr>
  </w:style>
  <w:style w:type="paragraph" w:styleId="41">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2">
    <w:name w:val="endnote text"/>
    <w:basedOn w:val="1"/>
    <w:link w:val="945"/>
    <w:qFormat/>
    <w:uiPriority w:val="0"/>
    <w:rPr>
      <w:lang w:val="zh-CN"/>
    </w:rPr>
  </w:style>
  <w:style w:type="paragraph" w:styleId="43">
    <w:name w:val="Balloon Text"/>
    <w:basedOn w:val="1"/>
    <w:link w:val="721"/>
    <w:qFormat/>
    <w:uiPriority w:val="0"/>
    <w:rPr>
      <w:sz w:val="18"/>
      <w:szCs w:val="18"/>
    </w:rPr>
  </w:style>
  <w:style w:type="paragraph" w:styleId="44">
    <w:name w:val="footer"/>
    <w:basedOn w:val="1"/>
    <w:link w:val="896"/>
    <w:qFormat/>
    <w:uiPriority w:val="99"/>
    <w:pPr>
      <w:tabs>
        <w:tab w:val="center" w:pos="4153"/>
        <w:tab w:val="right" w:pos="8306"/>
      </w:tabs>
      <w:snapToGrid w:val="0"/>
      <w:jc w:val="left"/>
    </w:pPr>
    <w:rPr>
      <w:sz w:val="18"/>
      <w:szCs w:val="18"/>
    </w:rPr>
  </w:style>
  <w:style w:type="paragraph" w:styleId="45">
    <w:name w:val="Body Text First Indent 2"/>
    <w:basedOn w:val="29"/>
    <w:next w:val="1"/>
    <w:link w:val="660"/>
    <w:qFormat/>
    <w:uiPriority w:val="0"/>
    <w:pPr>
      <w:adjustRightInd/>
      <w:spacing w:after="120" w:line="240" w:lineRule="auto"/>
      <w:ind w:left="420" w:leftChars="200" w:firstLine="210"/>
    </w:pPr>
    <w:rPr>
      <w:sz w:val="21"/>
    </w:rPr>
  </w:style>
  <w:style w:type="paragraph" w:styleId="46">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1"/>
    <w:link w:val="830"/>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4"/>
    <w:qFormat/>
    <w:uiPriority w:val="0"/>
    <w:pPr>
      <w:spacing w:after="120" w:line="480" w:lineRule="auto"/>
    </w:pPr>
  </w:style>
  <w:style w:type="paragraph" w:styleId="61">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8"/>
    <w:qFormat/>
    <w:uiPriority w:val="10"/>
    <w:pPr>
      <w:widowControl/>
      <w:overflowPunct w:val="0"/>
      <w:autoSpaceDE w:val="0"/>
      <w:autoSpaceDN w:val="0"/>
      <w:jc w:val="center"/>
      <w:textAlignment w:val="baseline"/>
    </w:pPr>
    <w:rPr>
      <w:b/>
      <w:kern w:val="0"/>
      <w:sz w:val="24"/>
      <w:szCs w:val="20"/>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9"/>
    <w:qFormat/>
    <w:uiPriority w:val="0"/>
    <w:pPr>
      <w:spacing w:before="156" w:line="360" w:lineRule="auto"/>
      <w:ind w:firstLine="510" w:firstLineChars="200"/>
    </w:pPr>
    <w:rPr>
      <w:sz w:val="24"/>
      <w:szCs w:val="20"/>
    </w:rPr>
  </w:style>
  <w:style w:type="paragraph" w:customStyle="1" w:styleId="89">
    <w:name w:val="无间隔1"/>
    <w:link w:val="677"/>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5"/>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0"/>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72"/>
    <w:qFormat/>
    <w:uiPriority w:val="0"/>
    <w:pPr>
      <w:adjustRightInd/>
      <w:spacing w:line="360" w:lineRule="auto"/>
      <w:ind w:firstLine="480" w:firstLineChars="200"/>
    </w:pPr>
    <w:rPr>
      <w:kern w:val="0"/>
      <w:sz w:val="24"/>
    </w:rPr>
  </w:style>
  <w:style w:type="paragraph" w:customStyle="1" w:styleId="100">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3"/>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5"/>
    <w:qFormat/>
    <w:uiPriority w:val="0"/>
    <w:pPr>
      <w:tabs>
        <w:tab w:val="left" w:pos="2356"/>
      </w:tabs>
    </w:pPr>
  </w:style>
  <w:style w:type="paragraph" w:customStyle="1" w:styleId="105">
    <w:name w:val="样式 标题 4h4H4Fab-4T5Ref Heading 1rh1Heading sqlsect 1.2.3...."/>
    <w:basedOn w:val="7"/>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8"/>
    <w:qFormat/>
    <w:uiPriority w:val="0"/>
    <w:pPr>
      <w:adjustRightInd/>
    </w:pPr>
    <w:rPr>
      <w:rFonts w:ascii="宋体" w:hAnsi="Courier New"/>
      <w:kern w:val="0"/>
      <w:sz w:val="20"/>
      <w:szCs w:val="20"/>
    </w:rPr>
  </w:style>
  <w:style w:type="paragraph" w:customStyle="1" w:styleId="108">
    <w:name w:val="正文说明"/>
    <w:basedOn w:val="1"/>
    <w:link w:val="850"/>
    <w:qFormat/>
    <w:uiPriority w:val="0"/>
    <w:pPr>
      <w:adjustRightInd/>
      <w:spacing w:line="360" w:lineRule="auto"/>
    </w:pPr>
    <w:rPr>
      <w:kern w:val="0"/>
      <w:sz w:val="24"/>
    </w:rPr>
  </w:style>
  <w:style w:type="paragraph" w:customStyle="1" w:styleId="109">
    <w:name w:val="Table Text"/>
    <w:basedOn w:val="1"/>
    <w:link w:val="856"/>
    <w:qFormat/>
    <w:uiPriority w:val="0"/>
    <w:pPr>
      <w:widowControl/>
      <w:spacing w:before="60" w:after="60"/>
      <w:jc w:val="left"/>
    </w:pPr>
    <w:rPr>
      <w:kern w:val="0"/>
      <w:sz w:val="24"/>
    </w:rPr>
  </w:style>
  <w:style w:type="paragraph" w:customStyle="1" w:styleId="110">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21"/>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6"/>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3"/>
    <w:next w:val="3"/>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3"/>
    <w:next w:val="3"/>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2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60"/>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1"/>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4"/>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621">
    <w:name w:val="p16"/>
    <w:basedOn w:val="1"/>
    <w:qFormat/>
    <w:uiPriority w:val="0"/>
    <w:pPr>
      <w:widowControl/>
      <w:spacing w:before="100" w:after="100"/>
      <w:jc w:val="left"/>
    </w:pPr>
    <w:rPr>
      <w:rFonts w:ascii="宋体" w:hAnsi="宋体" w:cs="宋体"/>
      <w:color w:val="000000"/>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_Style 622"/>
    <w:basedOn w:val="1"/>
    <w:qFormat/>
    <w:uiPriority w:val="99"/>
    <w:pPr>
      <w:ind w:firstLine="420" w:firstLineChars="200"/>
    </w:pPr>
  </w:style>
  <w:style w:type="paragraph" w:customStyle="1" w:styleId="624">
    <w:name w:val="公告正文"/>
    <w:basedOn w:val="1"/>
    <w:qFormat/>
    <w:uiPriority w:val="0"/>
    <w:pPr>
      <w:adjustRightInd w:val="0"/>
      <w:snapToGrid w:val="0"/>
      <w:ind w:firstLine="420" w:firstLineChars="200"/>
    </w:pPr>
    <w:rPr>
      <w:rFonts w:ascii="宋体" w:hAnsi="宋体"/>
      <w:szCs w:val="21"/>
    </w:rPr>
  </w:style>
  <w:style w:type="paragraph" w:styleId="625">
    <w:name w:val=""/>
    <w:basedOn w:val="1"/>
    <w:qFormat/>
    <w:uiPriority w:val="34"/>
    <w:pPr>
      <w:spacing w:line="360" w:lineRule="auto"/>
      <w:ind w:firstLine="420" w:firstLineChars="200"/>
    </w:pPr>
    <w:rPr>
      <w:sz w:val="24"/>
      <w:szCs w:val="24"/>
    </w:rPr>
  </w:style>
  <w:style w:type="character" w:customStyle="1" w:styleId="626">
    <w:name w:val="表格非标题文字 Char"/>
    <w:link w:val="83"/>
    <w:qFormat/>
    <w:uiPriority w:val="0"/>
    <w:rPr>
      <w:rFonts w:ascii="Futura Bk" w:hAnsi="Futura Bk"/>
      <w:kern w:val="2"/>
      <w:sz w:val="18"/>
      <w:szCs w:val="21"/>
      <w:lang w:val="en-US" w:eastAsia="zh-CN" w:bidi="ar-SA"/>
    </w:rPr>
  </w:style>
  <w:style w:type="character" w:customStyle="1" w:styleId="627">
    <w:name w:val="*正文 Char"/>
    <w:link w:val="84"/>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5"/>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13"/>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6"/>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7"/>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文本首行缩进 2 字符"/>
    <w:link w:val="45"/>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4"/>
    <w:qFormat/>
    <w:uiPriority w:val="0"/>
    <w:rPr>
      <w:rFonts w:ascii="Arial" w:hAnsi="Arial" w:eastAsia="黑体" w:cs="Arial"/>
      <w:snapToGrid w:val="0"/>
      <w:kern w:val="0"/>
      <w:szCs w:val="21"/>
    </w:rPr>
  </w:style>
  <w:style w:type="character" w:customStyle="1" w:styleId="664">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8"/>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52"/>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9"/>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9"/>
    <w:qFormat/>
    <w:uiPriority w:val="0"/>
    <w:rPr>
      <w:rFonts w:ascii="Arial" w:hAnsi="Arial" w:eastAsia="黑体"/>
      <w:b/>
      <w:bCs/>
      <w:kern w:val="2"/>
      <w:sz w:val="24"/>
      <w:szCs w:val="24"/>
    </w:rPr>
  </w:style>
  <w:style w:type="character" w:customStyle="1" w:styleId="685">
    <w:name w:val="纯文本 Char_0"/>
    <w:link w:val="90"/>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2"/>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3"/>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40"/>
    <w:qFormat/>
    <w:uiPriority w:val="0"/>
    <w:rPr>
      <w:rFonts w:ascii="宋体"/>
      <w:kern w:val="2"/>
      <w:sz w:val="24"/>
      <w:szCs w:val="21"/>
      <w:lang w:val="zh-CN"/>
    </w:rPr>
  </w:style>
  <w:style w:type="character" w:customStyle="1" w:styleId="715">
    <w:name w:val="标题 9 字符"/>
    <w:link w:val="12"/>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43"/>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4"/>
    <w:qFormat/>
    <w:locked/>
    <w:uiPriority w:val="0"/>
    <w:rPr>
      <w:rFonts w:ascii="Tahoma" w:hAnsi="Tahoma"/>
      <w:sz w:val="24"/>
      <w:szCs w:val="24"/>
    </w:rPr>
  </w:style>
  <w:style w:type="character" w:customStyle="1" w:styleId="725">
    <w:name w:val="正文缩进 字符2"/>
    <w:link w:val="21"/>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5"/>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24"/>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4"/>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4"/>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7"/>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8"/>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22"/>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3"/>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9"/>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0"/>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1"/>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9"/>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3"/>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3"/>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6"/>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61"/>
    <w:qFormat/>
    <w:uiPriority w:val="0"/>
    <w:rPr>
      <w:rFonts w:ascii="黑体" w:hAnsi="Courier New" w:eastAsia="黑体"/>
    </w:rPr>
  </w:style>
  <w:style w:type="character" w:customStyle="1" w:styleId="824">
    <w:name w:val="正文文本 2 字符1"/>
    <w:link w:val="60"/>
    <w:qFormat/>
    <w:uiPriority w:val="0"/>
    <w:rPr>
      <w:kern w:val="2"/>
      <w:sz w:val="21"/>
      <w:szCs w:val="24"/>
    </w:rPr>
  </w:style>
  <w:style w:type="character" w:customStyle="1" w:styleId="825">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10"/>
    <w:qFormat/>
    <w:uiPriority w:val="0"/>
    <w:rPr>
      <w:b/>
      <w:bCs/>
      <w:kern w:val="2"/>
      <w:sz w:val="24"/>
      <w:szCs w:val="24"/>
    </w:rPr>
  </w:style>
  <w:style w:type="character" w:customStyle="1" w:styleId="828">
    <w:name w:val="正文文本缩进 2 字符"/>
    <w:link w:val="41"/>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5"/>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6"/>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7"/>
    <w:qFormat/>
    <w:uiPriority w:val="0"/>
    <w:rPr>
      <w:rFonts w:ascii="宋体" w:hAnsi="Courier New"/>
    </w:rPr>
  </w:style>
  <w:style w:type="character" w:customStyle="1" w:styleId="839">
    <w:name w:val="正文文本首行缩进 字符"/>
    <w:link w:val="16"/>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7"/>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8"/>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9"/>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14"/>
    <w:qFormat/>
    <w:uiPriority w:val="99"/>
    <w:rPr>
      <w:kern w:val="2"/>
      <w:sz w:val="21"/>
      <w:szCs w:val="24"/>
    </w:rPr>
  </w:style>
  <w:style w:type="character" w:customStyle="1" w:styleId="861">
    <w:name w:val="签名 字符"/>
    <w:link w:val="47"/>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0"/>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1"/>
    <w:qFormat/>
    <w:uiPriority w:val="0"/>
    <w:rPr>
      <w:rFonts w:ascii="宋体"/>
    </w:rPr>
  </w:style>
  <w:style w:type="character" w:customStyle="1" w:styleId="872">
    <w:name w:val="标题 8 字符"/>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7"/>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2"/>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4"/>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3"/>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6"/>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4"/>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5"/>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6"/>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7"/>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4"/>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8"/>
    <w:qFormat/>
    <w:uiPriority w:val="0"/>
    <w:rPr>
      <w:rFonts w:cs="宋体"/>
      <w:kern w:val="2"/>
      <w:sz w:val="24"/>
    </w:rPr>
  </w:style>
  <w:style w:type="character" w:customStyle="1" w:styleId="93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8">
    <w:name w:val="gray6"/>
    <w:basedOn w:val="64"/>
    <w:qFormat/>
    <w:uiPriority w:val="0"/>
    <w:rPr>
      <w:rFonts w:ascii="Arial" w:hAnsi="Arial" w:eastAsia="黑体" w:cs="Arial"/>
      <w:snapToGrid w:val="0"/>
      <w:kern w:val="0"/>
      <w:szCs w:val="21"/>
    </w:rPr>
  </w:style>
  <w:style w:type="character" w:customStyle="1" w:styleId="939">
    <w:name w:val="hui"/>
    <w:basedOn w:val="64"/>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42"/>
    <w:qFormat/>
    <w:uiPriority w:val="0"/>
    <w:rPr>
      <w:kern w:val="2"/>
      <w:sz w:val="21"/>
      <w:szCs w:val="24"/>
      <w:lang w:val="zh-CN"/>
    </w:rPr>
  </w:style>
  <w:style w:type="character" w:customStyle="1" w:styleId="946">
    <w:name w:val="无间隔 字符"/>
    <w:link w:val="168"/>
    <w:qFormat/>
    <w:uiPriority w:val="99"/>
    <w:rPr>
      <w:kern w:val="2"/>
      <w:sz w:val="21"/>
      <w:szCs w:val="22"/>
    </w:rPr>
  </w:style>
  <w:style w:type="character" w:customStyle="1" w:styleId="947">
    <w:name w:val="标准文本 Char Char"/>
    <w:link w:val="607"/>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7">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8">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9">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0">
    <w:name w:val="Table Normal"/>
    <w:unhideWhenUsed/>
    <w:qFormat/>
    <w:uiPriority w:val="0"/>
    <w:tblPr>
      <w:tblStyle w:val="74"/>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tyles" Target="style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8259</Words>
  <Characters>47077</Characters>
  <Lines>392</Lines>
  <Paragraphs>110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宁波欣科工程项目管理有限公司</cp:lastModifiedBy>
  <cp:lastPrinted>2024-07-22T10:50:00Z</cp:lastPrinted>
  <dcterms:modified xsi:type="dcterms:W3CDTF">2024-07-24T02:52:09Z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