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5CD2C57">
      <w:pPr>
        <w:shd w:val="clear"/>
        <w:ind w:firstLine="480"/>
        <w:jc w:val="center"/>
        <w:rPr>
          <w:rFonts w:asciiTheme="minorEastAsia" w:hAnsiTheme="minorEastAsia" w:eastAsiaTheme="minorEastAsia" w:cstheme="minorEastAsia"/>
          <w:color w:val="auto"/>
          <w:sz w:val="48"/>
          <w:szCs w:val="48"/>
        </w:rPr>
      </w:pPr>
    </w:p>
    <w:p w14:paraId="581BDF45">
      <w:pPr>
        <w:shd w:val="clear"/>
        <w:ind w:firstLine="720"/>
        <w:jc w:val="center"/>
        <w:rPr>
          <w:rFonts w:cs="宋体" w:asciiTheme="majorEastAsia" w:hAnsiTheme="majorEastAsia" w:eastAsiaTheme="majorEastAsia"/>
          <w:color w:val="auto"/>
          <w:sz w:val="72"/>
          <w:szCs w:val="72"/>
        </w:rPr>
      </w:pPr>
      <w:r>
        <w:rPr>
          <w:rFonts w:hint="eastAsia" w:cs="宋体" w:asciiTheme="majorEastAsia" w:hAnsiTheme="majorEastAsia" w:eastAsiaTheme="majorEastAsia"/>
          <w:color w:val="auto"/>
          <w:sz w:val="72"/>
          <w:szCs w:val="72"/>
        </w:rPr>
        <w:t>竞争性磋商采购文件</w:t>
      </w:r>
    </w:p>
    <w:p w14:paraId="77D84922">
      <w:pPr>
        <w:shd w:val="clear"/>
        <w:ind w:firstLine="442"/>
        <w:jc w:val="center"/>
        <w:rPr>
          <w:rFonts w:ascii="宋体" w:hAnsi="宋体" w:cs="宋体"/>
          <w:b/>
          <w:color w:val="auto"/>
          <w:sz w:val="44"/>
          <w:szCs w:val="44"/>
        </w:rPr>
      </w:pPr>
    </w:p>
    <w:p w14:paraId="50EDF4D9">
      <w:pPr>
        <w:shd w:val="clear"/>
        <w:ind w:firstLine="442"/>
        <w:jc w:val="center"/>
        <w:rPr>
          <w:rFonts w:ascii="宋体" w:hAnsi="宋体" w:cs="宋体"/>
          <w:b/>
          <w:color w:val="auto"/>
          <w:sz w:val="44"/>
          <w:szCs w:val="44"/>
        </w:rPr>
      </w:pPr>
      <w:r>
        <w:rPr>
          <w:rFonts w:hint="eastAsia" w:ascii="宋体" w:hAnsi="宋体" w:cs="宋体"/>
          <w:b/>
          <w:color w:val="auto"/>
          <w:sz w:val="44"/>
          <w:szCs w:val="44"/>
        </w:rPr>
        <w:t>（政府采购工程类）</w:t>
      </w:r>
    </w:p>
    <w:p w14:paraId="48418A24">
      <w:pPr>
        <w:shd w:val="clear"/>
        <w:ind w:firstLine="300"/>
        <w:rPr>
          <w:rFonts w:ascii="宋体" w:hAnsi="宋体" w:cs="宋体"/>
          <w:color w:val="auto"/>
          <w:sz w:val="30"/>
          <w:szCs w:val="30"/>
        </w:rPr>
      </w:pPr>
    </w:p>
    <w:p w14:paraId="7BA7F1A2">
      <w:pPr>
        <w:shd w:val="clear"/>
        <w:ind w:firstLine="300"/>
        <w:rPr>
          <w:rFonts w:ascii="宋体" w:hAnsi="宋体" w:cs="宋体"/>
          <w:color w:val="auto"/>
          <w:sz w:val="30"/>
          <w:szCs w:val="30"/>
        </w:rPr>
      </w:pPr>
    </w:p>
    <w:p w14:paraId="447FD6D3">
      <w:pPr>
        <w:shd w:val="clear"/>
        <w:ind w:firstLine="300"/>
        <w:rPr>
          <w:rFonts w:ascii="宋体" w:hAnsi="宋体" w:cs="宋体"/>
          <w:color w:val="auto"/>
          <w:sz w:val="30"/>
          <w:szCs w:val="30"/>
        </w:rPr>
      </w:pPr>
    </w:p>
    <w:p w14:paraId="6B530011">
      <w:pPr>
        <w:shd w:val="clear"/>
        <w:ind w:firstLine="300"/>
        <w:rPr>
          <w:rFonts w:ascii="宋体" w:hAnsi="宋体" w:cs="宋体"/>
          <w:color w:val="auto"/>
          <w:sz w:val="30"/>
          <w:szCs w:val="30"/>
        </w:rPr>
      </w:pPr>
    </w:p>
    <w:p w14:paraId="654D45B2">
      <w:pPr>
        <w:shd w:val="clear"/>
        <w:ind w:firstLine="300"/>
        <w:rPr>
          <w:rFonts w:ascii="宋体" w:hAnsi="宋体" w:cs="宋体"/>
          <w:color w:val="auto"/>
          <w:sz w:val="30"/>
          <w:szCs w:val="30"/>
        </w:rPr>
      </w:pPr>
    </w:p>
    <w:p w14:paraId="65ACDB4B">
      <w:pPr>
        <w:pStyle w:val="70"/>
        <w:shd w:val="clear"/>
        <w:rPr>
          <w:color w:val="auto"/>
          <w:lang w:val="en-US"/>
        </w:rPr>
      </w:pPr>
    </w:p>
    <w:p w14:paraId="5F49CA96">
      <w:pPr>
        <w:pStyle w:val="70"/>
        <w:shd w:val="clear"/>
        <w:rPr>
          <w:color w:val="auto"/>
          <w:lang w:val="en-US"/>
        </w:rPr>
      </w:pPr>
    </w:p>
    <w:p w14:paraId="5E3E04F8">
      <w:pPr>
        <w:pStyle w:val="70"/>
        <w:shd w:val="clear"/>
        <w:rPr>
          <w:color w:val="auto"/>
          <w:lang w:val="en-US"/>
        </w:rPr>
      </w:pPr>
    </w:p>
    <w:p w14:paraId="62F770B8">
      <w:pPr>
        <w:pStyle w:val="70"/>
        <w:shd w:val="clear"/>
        <w:rPr>
          <w:color w:val="auto"/>
          <w:lang w:val="en-US"/>
        </w:rPr>
      </w:pPr>
    </w:p>
    <w:p w14:paraId="118924DE">
      <w:pPr>
        <w:shd w:val="clear"/>
        <w:ind w:firstLine="300"/>
        <w:rPr>
          <w:rFonts w:ascii="宋体" w:hAnsi="宋体" w:cs="宋体"/>
          <w:color w:val="auto"/>
          <w:sz w:val="30"/>
          <w:szCs w:val="30"/>
        </w:rPr>
      </w:pPr>
    </w:p>
    <w:p w14:paraId="7F2932A9">
      <w:pPr>
        <w:shd w:val="clear"/>
        <w:spacing w:line="500" w:lineRule="exact"/>
        <w:ind w:left="1981" w:leftChars="269" w:hanging="1416" w:hangingChars="472"/>
        <w:jc w:val="left"/>
        <w:rPr>
          <w:color w:val="auto"/>
        </w:rPr>
      </w:pPr>
      <w:r>
        <w:rPr>
          <w:rFonts w:hint="eastAsia" w:ascii="宋体" w:hAnsi="宋体" w:cs="宋体"/>
          <w:color w:val="auto"/>
          <w:sz w:val="30"/>
          <w:szCs w:val="30"/>
        </w:rPr>
        <w:t>项目名称：</w:t>
      </w:r>
      <w:bookmarkStart w:id="0" w:name="OLE_LINK1"/>
      <w:bookmarkStart w:id="1" w:name="OLE_LINK2"/>
      <w:r>
        <w:rPr>
          <w:rFonts w:hint="eastAsia" w:ascii="宋体" w:hAnsi="宋体" w:cs="宋体"/>
          <w:color w:val="auto"/>
          <w:sz w:val="30"/>
          <w:szCs w:val="30"/>
          <w:u w:val="single"/>
        </w:rPr>
        <w:t>江口街道2025年公共基础设施零星修复工程</w:t>
      </w:r>
      <w:bookmarkEnd w:id="0"/>
      <w:bookmarkEnd w:id="1"/>
    </w:p>
    <w:p w14:paraId="3D7587A9">
      <w:pPr>
        <w:shd w:val="clear"/>
        <w:spacing w:line="500" w:lineRule="exact"/>
        <w:ind w:left="2775" w:leftChars="270" w:hanging="2208" w:hangingChars="736"/>
        <w:jc w:val="left"/>
        <w:rPr>
          <w:rFonts w:ascii="宋体" w:hAnsi="宋体" w:cs="宋体"/>
          <w:color w:val="auto"/>
          <w:sz w:val="30"/>
          <w:szCs w:val="30"/>
        </w:rPr>
      </w:pPr>
      <w:r>
        <w:rPr>
          <w:rFonts w:hint="eastAsia" w:ascii="宋体" w:hAnsi="宋体" w:cs="宋体"/>
          <w:color w:val="auto"/>
          <w:sz w:val="30"/>
          <w:szCs w:val="30"/>
        </w:rPr>
        <w:t>项目编号：</w:t>
      </w:r>
      <w:r>
        <w:rPr>
          <w:rFonts w:hint="eastAsia" w:ascii="宋体" w:hAnsi="宋体" w:cs="宋体"/>
          <w:color w:val="auto"/>
          <w:sz w:val="30"/>
          <w:szCs w:val="30"/>
          <w:u w:val="single"/>
        </w:rPr>
        <w:t>FHZFCG(2025)</w:t>
      </w:r>
      <w:r>
        <w:rPr>
          <w:rFonts w:hint="eastAsia" w:ascii="宋体" w:hAnsi="宋体" w:cs="宋体"/>
          <w:color w:val="auto"/>
          <w:sz w:val="30"/>
          <w:szCs w:val="30"/>
          <w:u w:val="single"/>
          <w:lang w:val="en-US" w:eastAsia="zh-CN"/>
        </w:rPr>
        <w:t>080</w:t>
      </w:r>
      <w:r>
        <w:rPr>
          <w:rFonts w:hint="eastAsia" w:ascii="宋体" w:hAnsi="宋体" w:cs="宋体"/>
          <w:color w:val="auto"/>
          <w:sz w:val="30"/>
          <w:szCs w:val="30"/>
          <w:u w:val="single"/>
        </w:rPr>
        <w:t>D</w:t>
      </w:r>
    </w:p>
    <w:p w14:paraId="6E1B965C">
      <w:pPr>
        <w:shd w:val="clear"/>
        <w:spacing w:line="500" w:lineRule="exact"/>
        <w:ind w:left="1981" w:leftChars="269" w:hanging="1416" w:hangingChars="472"/>
        <w:jc w:val="left"/>
        <w:rPr>
          <w:rFonts w:ascii="宋体" w:hAnsi="宋体" w:cs="宋体"/>
          <w:color w:val="auto"/>
          <w:sz w:val="30"/>
          <w:szCs w:val="30"/>
          <w:u w:val="single"/>
        </w:rPr>
      </w:pPr>
      <w:r>
        <w:rPr>
          <w:rFonts w:hint="eastAsia" w:ascii="宋体" w:hAnsi="宋体" w:cs="宋体"/>
          <w:color w:val="auto"/>
          <w:sz w:val="30"/>
          <w:szCs w:val="30"/>
        </w:rPr>
        <w:t>采购单位：</w:t>
      </w:r>
      <w:r>
        <w:rPr>
          <w:rFonts w:hint="eastAsia" w:ascii="宋体" w:hAnsi="宋体" w:cs="宋体"/>
          <w:color w:val="auto"/>
          <w:sz w:val="30"/>
          <w:szCs w:val="30"/>
          <w:u w:val="single"/>
        </w:rPr>
        <w:t>宁波市奉化区人民政府江口街道办事处</w:t>
      </w:r>
    </w:p>
    <w:p w14:paraId="428F0620">
      <w:pPr>
        <w:shd w:val="clear"/>
        <w:spacing w:line="500" w:lineRule="exact"/>
        <w:ind w:left="2775" w:leftChars="270" w:hanging="2208" w:hangingChars="736"/>
        <w:jc w:val="left"/>
        <w:rPr>
          <w:rFonts w:ascii="宋体" w:hAnsi="宋体" w:cs="宋体"/>
          <w:color w:val="auto"/>
          <w:sz w:val="30"/>
          <w:szCs w:val="30"/>
        </w:rPr>
      </w:pPr>
      <w:r>
        <w:rPr>
          <w:rFonts w:hint="eastAsia" w:ascii="宋体" w:hAnsi="宋体" w:cs="宋体"/>
          <w:color w:val="auto"/>
          <w:sz w:val="30"/>
          <w:szCs w:val="30"/>
        </w:rPr>
        <w:t>代理机构：</w:t>
      </w:r>
      <w:r>
        <w:rPr>
          <w:rFonts w:hint="eastAsia" w:ascii="宋体" w:hAnsi="宋体" w:cs="宋体"/>
          <w:color w:val="auto"/>
          <w:sz w:val="30"/>
          <w:szCs w:val="30"/>
          <w:u w:val="single"/>
        </w:rPr>
        <w:t>宁波敬信项目管理咨询有限公司</w:t>
      </w:r>
    </w:p>
    <w:p w14:paraId="11601E4C">
      <w:pPr>
        <w:shd w:val="clear"/>
        <w:ind w:firstLine="300"/>
        <w:rPr>
          <w:rFonts w:ascii="宋体" w:hAnsi="宋体" w:cs="宋体"/>
          <w:color w:val="auto"/>
          <w:sz w:val="30"/>
          <w:szCs w:val="30"/>
        </w:rPr>
      </w:pPr>
    </w:p>
    <w:p w14:paraId="2BBDC178">
      <w:pPr>
        <w:shd w:val="clear"/>
        <w:ind w:firstLine="300"/>
        <w:rPr>
          <w:rFonts w:ascii="宋体" w:hAnsi="宋体" w:cs="宋体"/>
          <w:color w:val="auto"/>
          <w:sz w:val="30"/>
          <w:szCs w:val="30"/>
        </w:rPr>
      </w:pPr>
    </w:p>
    <w:p w14:paraId="7DB98FB4">
      <w:pPr>
        <w:shd w:val="clear"/>
        <w:tabs>
          <w:tab w:val="left" w:pos="3763"/>
        </w:tabs>
        <w:ind w:firstLine="300"/>
        <w:rPr>
          <w:rFonts w:ascii="宋体" w:hAnsi="宋体" w:cs="宋体"/>
          <w:color w:val="auto"/>
          <w:sz w:val="30"/>
          <w:szCs w:val="30"/>
        </w:rPr>
      </w:pPr>
      <w:r>
        <w:rPr>
          <w:rFonts w:ascii="宋体" w:hAnsi="宋体" w:cs="宋体"/>
          <w:color w:val="auto"/>
          <w:sz w:val="30"/>
          <w:szCs w:val="30"/>
        </w:rPr>
        <w:tab/>
      </w:r>
    </w:p>
    <w:p w14:paraId="32841026">
      <w:pPr>
        <w:pStyle w:val="34"/>
        <w:shd w:val="clear"/>
        <w:rPr>
          <w:color w:val="auto"/>
        </w:rPr>
      </w:pPr>
    </w:p>
    <w:p w14:paraId="72D899D9">
      <w:pPr>
        <w:pStyle w:val="34"/>
        <w:shd w:val="clear"/>
        <w:rPr>
          <w:color w:val="auto"/>
        </w:rPr>
      </w:pPr>
    </w:p>
    <w:p w14:paraId="7425FE3F">
      <w:pPr>
        <w:pStyle w:val="34"/>
        <w:shd w:val="clear"/>
        <w:rPr>
          <w:color w:val="auto"/>
        </w:rPr>
      </w:pPr>
    </w:p>
    <w:p w14:paraId="6DD71490">
      <w:pPr>
        <w:pStyle w:val="34"/>
        <w:shd w:val="clear"/>
        <w:rPr>
          <w:color w:val="auto"/>
        </w:rPr>
      </w:pPr>
    </w:p>
    <w:p w14:paraId="62F4DBE9">
      <w:pPr>
        <w:pStyle w:val="34"/>
        <w:shd w:val="clear"/>
        <w:rPr>
          <w:color w:val="auto"/>
        </w:rPr>
      </w:pPr>
    </w:p>
    <w:p w14:paraId="653D7A85">
      <w:pPr>
        <w:pStyle w:val="34"/>
        <w:shd w:val="clear"/>
        <w:rPr>
          <w:color w:val="auto"/>
        </w:rPr>
      </w:pPr>
    </w:p>
    <w:p w14:paraId="1F41F6A0">
      <w:pPr>
        <w:pStyle w:val="34"/>
        <w:shd w:val="clear"/>
        <w:rPr>
          <w:color w:val="auto"/>
        </w:rPr>
      </w:pPr>
    </w:p>
    <w:p w14:paraId="22491994">
      <w:pPr>
        <w:pStyle w:val="34"/>
        <w:shd w:val="clear"/>
        <w:rPr>
          <w:color w:val="auto"/>
        </w:rPr>
      </w:pPr>
    </w:p>
    <w:p w14:paraId="4FD8297A">
      <w:pPr>
        <w:pStyle w:val="34"/>
        <w:shd w:val="clear"/>
        <w:rPr>
          <w:color w:val="auto"/>
        </w:rPr>
      </w:pPr>
    </w:p>
    <w:p w14:paraId="1A256B41">
      <w:pPr>
        <w:pStyle w:val="34"/>
        <w:shd w:val="clear"/>
        <w:rPr>
          <w:color w:val="auto"/>
        </w:rPr>
      </w:pPr>
    </w:p>
    <w:p w14:paraId="26AEE61B">
      <w:pPr>
        <w:shd w:val="clear"/>
        <w:ind w:firstLine="300"/>
        <w:rPr>
          <w:rFonts w:ascii="宋体" w:hAnsi="宋体" w:cs="宋体"/>
          <w:color w:val="auto"/>
          <w:sz w:val="30"/>
          <w:szCs w:val="30"/>
        </w:rPr>
      </w:pPr>
    </w:p>
    <w:p w14:paraId="06374B38">
      <w:pPr>
        <w:shd w:val="clear"/>
        <w:snapToGrid w:val="0"/>
        <w:spacing w:line="360" w:lineRule="auto"/>
        <w:ind w:firstLine="360"/>
        <w:jc w:val="center"/>
        <w:rPr>
          <w:rFonts w:asciiTheme="minorEastAsia" w:hAnsiTheme="minorEastAsia" w:eastAsiaTheme="minorEastAsia" w:cstheme="minorEastAsia"/>
          <w:bCs/>
          <w:color w:val="auto"/>
          <w:sz w:val="32"/>
          <w:szCs w:val="32"/>
        </w:rPr>
      </w:pPr>
      <w:r>
        <w:rPr>
          <w:rFonts w:hint="eastAsia" w:ascii="宋体" w:hAnsi="宋体" w:cs="宋体"/>
          <w:color w:val="auto"/>
          <w:sz w:val="36"/>
          <w:szCs w:val="36"/>
        </w:rPr>
        <w:t>二〇二五年</w:t>
      </w:r>
    </w:p>
    <w:p w14:paraId="26FA5AD0">
      <w:pPr>
        <w:shd w:val="clear"/>
        <w:spacing w:line="360" w:lineRule="auto"/>
        <w:ind w:firstLine="240"/>
        <w:jc w:val="center"/>
        <w:rPr>
          <w:rFonts w:asciiTheme="minorEastAsia" w:hAnsiTheme="minorEastAsia" w:eastAsiaTheme="minorEastAsia" w:cstheme="minorEastAsia"/>
          <w:b/>
          <w:color w:val="auto"/>
          <w:sz w:val="48"/>
          <w:szCs w:val="48"/>
        </w:rPr>
      </w:pPr>
      <w:r>
        <w:rPr>
          <w:rFonts w:hint="eastAsia" w:asciiTheme="minorEastAsia" w:hAnsiTheme="minorEastAsia" w:eastAsiaTheme="minorEastAsia" w:cstheme="minorEastAsia"/>
          <w:color w:val="auto"/>
          <w:sz w:val="24"/>
        </w:rPr>
        <w:br w:type="page"/>
      </w:r>
      <w:bookmarkStart w:id="2" w:name="_Hlt67893495"/>
      <w:bookmarkEnd w:id="2"/>
      <w:r>
        <w:rPr>
          <w:rFonts w:hint="eastAsia" w:asciiTheme="minorEastAsia" w:hAnsiTheme="minorEastAsia" w:eastAsiaTheme="minorEastAsia" w:cstheme="minorEastAsia"/>
          <w:b/>
          <w:color w:val="auto"/>
          <w:sz w:val="48"/>
          <w:szCs w:val="48"/>
        </w:rPr>
        <w:t>目  录</w:t>
      </w:r>
    </w:p>
    <w:p w14:paraId="7C8E19FF">
      <w:pPr>
        <w:shd w:val="clear"/>
        <w:spacing w:line="360" w:lineRule="auto"/>
        <w:ind w:firstLine="320"/>
        <w:rPr>
          <w:rFonts w:asciiTheme="minorEastAsia" w:hAnsiTheme="minorEastAsia" w:eastAsiaTheme="minorEastAsia" w:cstheme="minorEastAsia"/>
          <w:color w:val="auto"/>
          <w:sz w:val="32"/>
          <w:szCs w:val="32"/>
        </w:rPr>
      </w:pPr>
    </w:p>
    <w:p w14:paraId="6BADDA0A">
      <w:pPr>
        <w:shd w:val="clear"/>
        <w:spacing w:line="360" w:lineRule="auto"/>
        <w:ind w:firstLine="320"/>
        <w:rPr>
          <w:rFonts w:asciiTheme="minorEastAsia" w:hAnsiTheme="minorEastAsia" w:eastAsiaTheme="minorEastAsia" w:cstheme="minorEastAsia"/>
          <w:color w:val="auto"/>
          <w:sz w:val="32"/>
          <w:szCs w:val="32"/>
        </w:rPr>
      </w:pPr>
    </w:p>
    <w:p w14:paraId="72127E59">
      <w:pPr>
        <w:shd w:val="clear"/>
        <w:spacing w:line="360" w:lineRule="auto"/>
        <w:ind w:firstLine="732" w:firstLineChars="229"/>
        <w:rPr>
          <w:rFonts w:asciiTheme="minorEastAsia" w:hAnsiTheme="minorEastAsia" w:eastAsiaTheme="minorEastAsia" w:cstheme="minorEastAsia"/>
          <w:color w:val="auto"/>
          <w:sz w:val="32"/>
          <w:szCs w:val="32"/>
        </w:rPr>
      </w:pPr>
      <w:bookmarkStart w:id="3" w:name="_Hlt91233176"/>
      <w:bookmarkEnd w:id="3"/>
      <w:bookmarkStart w:id="4" w:name="_Toc91899869"/>
      <w:r>
        <w:rPr>
          <w:rFonts w:hint="eastAsia" w:asciiTheme="minorEastAsia" w:hAnsiTheme="minorEastAsia" w:eastAsiaTheme="minorEastAsia" w:cstheme="minorEastAsia"/>
          <w:color w:val="auto"/>
          <w:sz w:val="32"/>
          <w:szCs w:val="32"/>
        </w:rPr>
        <w:t>第一部分  竞争性磋商公告</w:t>
      </w:r>
    </w:p>
    <w:p w14:paraId="1DAF2788">
      <w:pPr>
        <w:shd w:val="clear"/>
        <w:spacing w:line="360" w:lineRule="auto"/>
        <w:ind w:firstLine="732" w:firstLineChars="229"/>
        <w:rPr>
          <w:rFonts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第二部分  响应须知</w:t>
      </w:r>
    </w:p>
    <w:p w14:paraId="0A3C39EB">
      <w:pPr>
        <w:shd w:val="clear"/>
        <w:spacing w:line="360" w:lineRule="auto"/>
        <w:ind w:firstLine="732" w:firstLineChars="229"/>
        <w:rPr>
          <w:rFonts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第三部分  采购需求</w:t>
      </w:r>
    </w:p>
    <w:p w14:paraId="7C6FF5A8">
      <w:pPr>
        <w:shd w:val="clear"/>
        <w:spacing w:line="360" w:lineRule="auto"/>
        <w:ind w:firstLine="732" w:firstLineChars="229"/>
        <w:rPr>
          <w:rFonts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第四部分  评审办法</w:t>
      </w:r>
    </w:p>
    <w:p w14:paraId="40495C30">
      <w:pPr>
        <w:shd w:val="clear"/>
        <w:spacing w:line="360" w:lineRule="auto"/>
        <w:ind w:firstLine="732" w:firstLineChars="229"/>
        <w:rPr>
          <w:rFonts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第五部分  合同文本</w:t>
      </w:r>
    </w:p>
    <w:p w14:paraId="28E89C49">
      <w:pPr>
        <w:shd w:val="clear"/>
        <w:spacing w:line="360" w:lineRule="auto"/>
        <w:ind w:firstLine="732" w:firstLineChars="229"/>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32"/>
          <w:szCs w:val="32"/>
        </w:rPr>
        <w:t>第六部分  应提交的有关格式范例</w:t>
      </w:r>
    </w:p>
    <w:p w14:paraId="6DA1F30A">
      <w:pPr>
        <w:shd w:val="clear"/>
        <w:spacing w:line="360" w:lineRule="auto"/>
        <w:ind w:firstLine="549" w:firstLineChars="229"/>
        <w:rPr>
          <w:rFonts w:asciiTheme="minorEastAsia" w:hAnsiTheme="minorEastAsia" w:eastAsiaTheme="minorEastAsia" w:cstheme="minorEastAsia"/>
          <w:color w:val="auto"/>
          <w:sz w:val="24"/>
        </w:rPr>
      </w:pPr>
    </w:p>
    <w:p w14:paraId="5D84F57D">
      <w:pPr>
        <w:shd w:val="clear"/>
        <w:spacing w:line="360" w:lineRule="auto"/>
        <w:ind w:firstLine="549" w:firstLineChars="229"/>
        <w:rPr>
          <w:rFonts w:asciiTheme="minorEastAsia" w:hAnsiTheme="minorEastAsia" w:eastAsiaTheme="minorEastAsia" w:cstheme="minorEastAsia"/>
          <w:color w:val="auto"/>
          <w:sz w:val="24"/>
        </w:rPr>
      </w:pPr>
    </w:p>
    <w:p w14:paraId="4861D1F0">
      <w:pPr>
        <w:shd w:val="clear"/>
        <w:spacing w:line="360" w:lineRule="auto"/>
        <w:ind w:firstLine="549" w:firstLineChars="229"/>
        <w:rPr>
          <w:rFonts w:asciiTheme="minorEastAsia" w:hAnsiTheme="minorEastAsia" w:eastAsiaTheme="minorEastAsia" w:cstheme="minorEastAsia"/>
          <w:color w:val="auto"/>
          <w:sz w:val="24"/>
        </w:rPr>
      </w:pPr>
    </w:p>
    <w:p w14:paraId="5FCCAE16">
      <w:pPr>
        <w:shd w:val="clear"/>
        <w:spacing w:line="360" w:lineRule="auto"/>
        <w:ind w:firstLine="549" w:firstLineChars="229"/>
        <w:rPr>
          <w:rFonts w:asciiTheme="minorEastAsia" w:hAnsiTheme="minorEastAsia" w:eastAsiaTheme="minorEastAsia" w:cstheme="minorEastAsia"/>
          <w:color w:val="auto"/>
          <w:sz w:val="24"/>
        </w:rPr>
      </w:pPr>
    </w:p>
    <w:p w14:paraId="42FFF7B6">
      <w:pPr>
        <w:shd w:val="clear"/>
        <w:spacing w:line="360" w:lineRule="auto"/>
        <w:ind w:firstLine="549" w:firstLineChars="229"/>
        <w:rPr>
          <w:rFonts w:asciiTheme="minorEastAsia" w:hAnsiTheme="minorEastAsia" w:eastAsiaTheme="minorEastAsia" w:cstheme="minorEastAsia"/>
          <w:color w:val="auto"/>
          <w:sz w:val="24"/>
        </w:rPr>
      </w:pPr>
    </w:p>
    <w:p w14:paraId="215A3DA0">
      <w:pPr>
        <w:shd w:val="clear"/>
        <w:spacing w:line="360" w:lineRule="auto"/>
        <w:ind w:firstLine="549" w:firstLineChars="229"/>
        <w:rPr>
          <w:rFonts w:asciiTheme="minorEastAsia" w:hAnsiTheme="minorEastAsia" w:eastAsiaTheme="minorEastAsia" w:cstheme="minorEastAsia"/>
          <w:color w:val="auto"/>
          <w:sz w:val="24"/>
        </w:rPr>
      </w:pPr>
    </w:p>
    <w:p w14:paraId="5A0E7B6E">
      <w:pPr>
        <w:shd w:val="clear"/>
        <w:spacing w:line="360" w:lineRule="auto"/>
        <w:ind w:firstLine="549" w:firstLineChars="229"/>
        <w:rPr>
          <w:rFonts w:asciiTheme="minorEastAsia" w:hAnsiTheme="minorEastAsia" w:eastAsiaTheme="minorEastAsia" w:cstheme="minorEastAsia"/>
          <w:color w:val="auto"/>
          <w:sz w:val="24"/>
        </w:rPr>
      </w:pPr>
    </w:p>
    <w:p w14:paraId="0B7C2089">
      <w:pPr>
        <w:shd w:val="clear"/>
        <w:spacing w:line="360" w:lineRule="auto"/>
        <w:ind w:firstLine="549" w:firstLineChars="229"/>
        <w:rPr>
          <w:rFonts w:asciiTheme="minorEastAsia" w:hAnsiTheme="minorEastAsia" w:eastAsiaTheme="minorEastAsia" w:cstheme="minorEastAsia"/>
          <w:color w:val="auto"/>
          <w:sz w:val="24"/>
        </w:rPr>
      </w:pPr>
    </w:p>
    <w:p w14:paraId="0C2449B3">
      <w:pPr>
        <w:shd w:val="clear"/>
        <w:spacing w:line="360" w:lineRule="auto"/>
        <w:ind w:firstLine="549" w:firstLineChars="229"/>
        <w:rPr>
          <w:rFonts w:asciiTheme="minorEastAsia" w:hAnsiTheme="minorEastAsia" w:eastAsiaTheme="minorEastAsia" w:cstheme="minorEastAsia"/>
          <w:color w:val="auto"/>
          <w:sz w:val="24"/>
        </w:rPr>
      </w:pPr>
    </w:p>
    <w:p w14:paraId="7F78A2BD">
      <w:pPr>
        <w:shd w:val="clear"/>
        <w:spacing w:line="360" w:lineRule="auto"/>
        <w:ind w:firstLine="549" w:firstLineChars="229"/>
        <w:rPr>
          <w:rFonts w:asciiTheme="minorEastAsia" w:hAnsiTheme="minorEastAsia" w:eastAsiaTheme="minorEastAsia" w:cstheme="minorEastAsia"/>
          <w:color w:val="auto"/>
          <w:sz w:val="24"/>
        </w:rPr>
      </w:pPr>
    </w:p>
    <w:p w14:paraId="3DB94193">
      <w:pPr>
        <w:shd w:val="clear"/>
        <w:spacing w:line="360" w:lineRule="auto"/>
        <w:ind w:firstLine="549" w:firstLineChars="229"/>
        <w:rPr>
          <w:rFonts w:asciiTheme="minorEastAsia" w:hAnsiTheme="minorEastAsia" w:eastAsiaTheme="minorEastAsia" w:cstheme="minorEastAsia"/>
          <w:color w:val="auto"/>
          <w:sz w:val="24"/>
        </w:rPr>
      </w:pPr>
    </w:p>
    <w:p w14:paraId="582B0DE1">
      <w:pPr>
        <w:shd w:val="clear"/>
        <w:spacing w:line="360" w:lineRule="auto"/>
        <w:ind w:firstLine="549" w:firstLineChars="229"/>
        <w:rPr>
          <w:rFonts w:asciiTheme="minorEastAsia" w:hAnsiTheme="minorEastAsia" w:eastAsiaTheme="minorEastAsia" w:cstheme="minorEastAsia"/>
          <w:color w:val="auto"/>
          <w:sz w:val="24"/>
        </w:rPr>
      </w:pPr>
    </w:p>
    <w:p w14:paraId="52A3D430">
      <w:pPr>
        <w:shd w:val="clear"/>
        <w:spacing w:line="360" w:lineRule="auto"/>
        <w:ind w:firstLine="240"/>
        <w:rPr>
          <w:rFonts w:asciiTheme="minorEastAsia" w:hAnsiTheme="minorEastAsia" w:eastAsiaTheme="minorEastAsia" w:cstheme="minorEastAsia"/>
          <w:color w:val="auto"/>
          <w:sz w:val="24"/>
        </w:rPr>
      </w:pPr>
    </w:p>
    <w:p w14:paraId="37E2A358">
      <w:pPr>
        <w:shd w:val="clear"/>
        <w:spacing w:line="360" w:lineRule="auto"/>
        <w:ind w:firstLine="361"/>
        <w:jc w:val="center"/>
        <w:outlineLvl w:val="0"/>
        <w:rPr>
          <w:rFonts w:asciiTheme="minorEastAsia" w:hAnsiTheme="minorEastAsia" w:eastAsiaTheme="minorEastAsia" w:cstheme="minorEastAsia"/>
          <w:b/>
          <w:color w:val="auto"/>
          <w:sz w:val="24"/>
        </w:rPr>
      </w:pPr>
      <w:bookmarkStart w:id="5" w:name="第一部分"/>
      <w:r>
        <w:rPr>
          <w:rFonts w:hint="eastAsia" w:asciiTheme="minorEastAsia" w:hAnsiTheme="minorEastAsia" w:eastAsiaTheme="minorEastAsia" w:cstheme="minorEastAsia"/>
          <w:b/>
          <w:color w:val="auto"/>
          <w:sz w:val="36"/>
          <w:szCs w:val="36"/>
        </w:rPr>
        <w:br w:type="page"/>
      </w:r>
      <w:bookmarkEnd w:id="4"/>
      <w:bookmarkEnd w:id="5"/>
      <w:bookmarkStart w:id="6" w:name="_Hlt74729822"/>
      <w:bookmarkEnd w:id="6"/>
      <w:bookmarkStart w:id="7" w:name="_Hlt74707423"/>
      <w:bookmarkEnd w:id="7"/>
      <w:bookmarkStart w:id="8" w:name="_Hlt74649545"/>
      <w:bookmarkEnd w:id="8"/>
      <w:bookmarkStart w:id="9" w:name="_Hlt74728647"/>
      <w:bookmarkEnd w:id="9"/>
      <w:bookmarkStart w:id="10" w:name="第二部分"/>
      <w:bookmarkStart w:id="11" w:name="_Toc91899870"/>
      <w:bookmarkStart w:id="12" w:name="_Toc91899871"/>
      <w:r>
        <w:rPr>
          <w:rFonts w:hint="eastAsia" w:asciiTheme="minorEastAsia" w:hAnsiTheme="minorEastAsia" w:eastAsiaTheme="minorEastAsia" w:cstheme="minorEastAsia"/>
          <w:b/>
          <w:color w:val="auto"/>
          <w:sz w:val="36"/>
          <w:szCs w:val="20"/>
        </w:rPr>
        <w:t>第一部分 竞争性磋商公告</w:t>
      </w:r>
    </w:p>
    <w:p w14:paraId="25C490EE">
      <w:pPr>
        <w:pBdr>
          <w:top w:val="single" w:color="auto" w:sz="4" w:space="1"/>
          <w:left w:val="single" w:color="auto" w:sz="4" w:space="4"/>
          <w:bottom w:val="single" w:color="auto" w:sz="4" w:space="1"/>
          <w:right w:val="single" w:color="auto" w:sz="4" w:space="4"/>
        </w:pBdr>
        <w:shd w:val="clear"/>
        <w:spacing w:line="440" w:lineRule="exact"/>
        <w:ind w:firstLine="420" w:firstLineChars="200"/>
        <w:rPr>
          <w:rFonts w:ascii="宋体" w:hAnsi="宋体" w:cs="宋体"/>
          <w:color w:val="auto"/>
          <w:szCs w:val="21"/>
        </w:rPr>
      </w:pPr>
      <w:r>
        <w:rPr>
          <w:rFonts w:hint="eastAsia" w:ascii="宋体" w:hAnsi="宋体" w:cs="宋体"/>
          <w:color w:val="auto"/>
          <w:szCs w:val="21"/>
        </w:rPr>
        <w:t>项目概况</w:t>
      </w:r>
    </w:p>
    <w:p w14:paraId="0769BA98">
      <w:pPr>
        <w:pBdr>
          <w:top w:val="single" w:color="auto" w:sz="4" w:space="1"/>
          <w:left w:val="single" w:color="auto" w:sz="4" w:space="4"/>
          <w:bottom w:val="single" w:color="auto" w:sz="4" w:space="1"/>
          <w:right w:val="single" w:color="auto" w:sz="4" w:space="4"/>
        </w:pBdr>
        <w:shd w:val="clear"/>
        <w:spacing w:line="440" w:lineRule="exact"/>
        <w:ind w:firstLine="420" w:firstLineChars="200"/>
        <w:rPr>
          <w:rFonts w:ascii="宋体" w:hAnsi="宋体" w:cs="宋体"/>
          <w:color w:val="auto"/>
          <w:szCs w:val="21"/>
          <w:u w:val="single"/>
        </w:rPr>
      </w:pPr>
      <w:r>
        <w:rPr>
          <w:rFonts w:hint="eastAsia" w:ascii="宋体" w:hAnsi="宋体" w:cs="宋体"/>
          <w:color w:val="auto"/>
          <w:szCs w:val="21"/>
        </w:rPr>
        <w:t xml:space="preserve">江口街道2025年公共基础设施零星修复工程的潜在供应商应在政采云平台（ </w:t>
      </w:r>
      <w:r>
        <w:rPr>
          <w:color w:val="auto"/>
        </w:rPr>
        <w:fldChar w:fldCharType="begin"/>
      </w:r>
      <w:r>
        <w:rPr>
          <w:color w:val="auto"/>
        </w:rPr>
        <w:instrText xml:space="preserve"> HYPERLINK "https://www.zcygov.cn/）获取（下载）招标文件，并于2022年00月00日14点30分00秒" </w:instrText>
      </w:r>
      <w:r>
        <w:rPr>
          <w:color w:val="auto"/>
        </w:rPr>
        <w:fldChar w:fldCharType="separate"/>
      </w:r>
      <w:r>
        <w:rPr>
          <w:rFonts w:hint="eastAsia" w:ascii="宋体" w:hAnsi="宋体" w:cs="宋体"/>
          <w:color w:val="auto"/>
          <w:szCs w:val="21"/>
        </w:rPr>
        <w:t>https：//www.zcygov.cn/）获取（下载）采购文件，并于2025年</w:t>
      </w:r>
      <w:r>
        <w:rPr>
          <w:rFonts w:hint="eastAsia" w:ascii="宋体" w:hAnsi="宋体" w:cs="宋体"/>
          <w:color w:val="auto"/>
          <w:szCs w:val="21"/>
          <w:lang w:val="en-US" w:eastAsia="zh-CN"/>
        </w:rPr>
        <w:t>04</w:t>
      </w:r>
      <w:r>
        <w:rPr>
          <w:rFonts w:hint="eastAsia" w:ascii="宋体" w:hAnsi="宋体" w:cs="宋体"/>
          <w:color w:val="auto"/>
          <w:szCs w:val="21"/>
        </w:rPr>
        <w:t>月</w:t>
      </w:r>
      <w:r>
        <w:rPr>
          <w:rFonts w:hint="eastAsia" w:ascii="宋体" w:hAnsi="宋体" w:cs="宋体"/>
          <w:color w:val="auto"/>
          <w:szCs w:val="21"/>
          <w:lang w:val="en-US" w:eastAsia="zh-CN"/>
        </w:rPr>
        <w:t>21</w:t>
      </w:r>
      <w:r>
        <w:rPr>
          <w:rFonts w:hint="eastAsia" w:ascii="宋体" w:hAnsi="宋体" w:cs="宋体"/>
          <w:color w:val="auto"/>
          <w:szCs w:val="21"/>
        </w:rPr>
        <w:t>日09点00分00秒</w:t>
      </w:r>
      <w:r>
        <w:rPr>
          <w:rFonts w:hint="eastAsia" w:ascii="宋体" w:hAnsi="宋体" w:cs="宋体"/>
          <w:color w:val="auto"/>
          <w:szCs w:val="21"/>
        </w:rPr>
        <w:fldChar w:fldCharType="end"/>
      </w:r>
      <w:r>
        <w:rPr>
          <w:rFonts w:hint="eastAsia" w:ascii="宋体" w:hAnsi="宋体" w:cs="宋体"/>
          <w:bCs/>
          <w:color w:val="auto"/>
          <w:szCs w:val="21"/>
        </w:rPr>
        <w:t>（北京时间）前</w:t>
      </w:r>
      <w:r>
        <w:rPr>
          <w:rFonts w:hint="eastAsia" w:ascii="宋体" w:hAnsi="宋体" w:cs="宋体"/>
          <w:color w:val="auto"/>
          <w:szCs w:val="21"/>
        </w:rPr>
        <w:t>递交（上传）响应文件。</w:t>
      </w:r>
    </w:p>
    <w:p w14:paraId="0EBBAEB8">
      <w:pPr>
        <w:shd w:val="clear"/>
        <w:spacing w:line="440" w:lineRule="exact"/>
        <w:ind w:firstLine="211"/>
        <w:rPr>
          <w:rFonts w:ascii="宋体" w:hAnsi="宋体" w:cs="宋体"/>
          <w:b/>
          <w:color w:val="auto"/>
          <w:szCs w:val="21"/>
        </w:rPr>
      </w:pPr>
      <w:r>
        <w:rPr>
          <w:rFonts w:hint="eastAsia" w:ascii="宋体" w:hAnsi="宋体" w:cs="宋体"/>
          <w:b/>
          <w:color w:val="auto"/>
          <w:szCs w:val="21"/>
        </w:rPr>
        <w:t xml:space="preserve">一、项目基本情况                                            </w:t>
      </w:r>
    </w:p>
    <w:p w14:paraId="44216742">
      <w:pPr>
        <w:shd w:val="clear"/>
        <w:spacing w:line="440" w:lineRule="exact"/>
        <w:ind w:firstLine="422" w:firstLineChars="200"/>
        <w:rPr>
          <w:rFonts w:ascii="宋体" w:hAnsi="宋体" w:cs="宋体"/>
          <w:b/>
          <w:color w:val="auto"/>
          <w:szCs w:val="21"/>
        </w:rPr>
      </w:pPr>
      <w:r>
        <w:rPr>
          <w:rFonts w:hint="eastAsia" w:ascii="宋体" w:hAnsi="宋体" w:cs="宋体"/>
          <w:b/>
          <w:color w:val="auto"/>
          <w:szCs w:val="21"/>
        </w:rPr>
        <w:t>项目编号：</w:t>
      </w:r>
      <w:r>
        <w:rPr>
          <w:rFonts w:hint="eastAsia" w:ascii="宋体" w:hAnsi="宋体" w:cs="宋体"/>
          <w:bCs/>
          <w:color w:val="auto"/>
          <w:szCs w:val="21"/>
        </w:rPr>
        <w:t>FHZFCG(2025)</w:t>
      </w:r>
      <w:r>
        <w:rPr>
          <w:rFonts w:hint="eastAsia" w:ascii="宋体" w:hAnsi="宋体" w:cs="宋体"/>
          <w:bCs/>
          <w:color w:val="auto"/>
          <w:szCs w:val="21"/>
          <w:lang w:val="en-US" w:eastAsia="zh-CN"/>
        </w:rPr>
        <w:t>080</w:t>
      </w:r>
      <w:r>
        <w:rPr>
          <w:rFonts w:hint="eastAsia" w:ascii="宋体" w:hAnsi="宋体" w:cs="宋体"/>
          <w:bCs/>
          <w:color w:val="auto"/>
          <w:szCs w:val="21"/>
        </w:rPr>
        <w:t>D</w:t>
      </w:r>
    </w:p>
    <w:p w14:paraId="497ECD5D">
      <w:pPr>
        <w:shd w:val="clear"/>
        <w:spacing w:line="440" w:lineRule="exact"/>
        <w:ind w:firstLine="422" w:firstLineChars="200"/>
        <w:rPr>
          <w:rFonts w:ascii="宋体" w:hAnsi="宋体" w:cs="宋体"/>
          <w:color w:val="auto"/>
          <w:szCs w:val="21"/>
        </w:rPr>
      </w:pPr>
      <w:r>
        <w:rPr>
          <w:rFonts w:hint="eastAsia" w:ascii="宋体" w:hAnsi="宋体" w:cs="宋体"/>
          <w:b/>
          <w:color w:val="auto"/>
          <w:szCs w:val="21"/>
        </w:rPr>
        <w:t>项目名称：</w:t>
      </w:r>
      <w:r>
        <w:rPr>
          <w:rFonts w:hint="eastAsia" w:ascii="宋体" w:hAnsi="宋体" w:cs="宋体"/>
          <w:bCs/>
          <w:snapToGrid w:val="0"/>
          <w:color w:val="auto"/>
          <w:szCs w:val="21"/>
        </w:rPr>
        <w:t>江口街道2025年公共基础设施零星修复工程 </w:t>
      </w:r>
    </w:p>
    <w:p w14:paraId="6DD8DFBC">
      <w:pPr>
        <w:shd w:val="clear"/>
        <w:spacing w:line="440" w:lineRule="exact"/>
        <w:ind w:firstLine="422" w:firstLineChars="200"/>
        <w:rPr>
          <w:rFonts w:ascii="宋体" w:hAnsi="宋体" w:cs="宋体"/>
          <w:bCs/>
          <w:snapToGrid w:val="0"/>
          <w:color w:val="auto"/>
          <w:szCs w:val="21"/>
        </w:rPr>
      </w:pPr>
      <w:r>
        <w:rPr>
          <w:rFonts w:hint="eastAsia" w:ascii="宋体" w:hAnsi="宋体" w:cs="宋体"/>
          <w:b/>
          <w:color w:val="auto"/>
          <w:szCs w:val="21"/>
        </w:rPr>
        <w:t>预算金额（元）：</w:t>
      </w:r>
      <w:r>
        <w:rPr>
          <w:rFonts w:hint="eastAsia" w:ascii="Cambria" w:hAnsi="Cambria" w:cs="Cambria"/>
          <w:color w:val="auto"/>
        </w:rPr>
        <w:t>1500000</w:t>
      </w:r>
      <w:r>
        <w:rPr>
          <w:rFonts w:hint="eastAsia" w:ascii="宋体" w:hAnsi="宋体" w:cs="宋体"/>
          <w:bCs/>
          <w:snapToGrid w:val="0"/>
          <w:color w:val="auto"/>
          <w:szCs w:val="21"/>
        </w:rPr>
        <w:t xml:space="preserve"> </w:t>
      </w:r>
    </w:p>
    <w:p w14:paraId="78B5257D">
      <w:pPr>
        <w:shd w:val="clear"/>
        <w:spacing w:line="440" w:lineRule="exact"/>
        <w:ind w:firstLine="422" w:firstLineChars="200"/>
        <w:rPr>
          <w:rFonts w:ascii="宋体" w:hAnsi="宋体" w:cs="宋体"/>
          <w:color w:val="auto"/>
          <w:szCs w:val="21"/>
        </w:rPr>
      </w:pPr>
      <w:r>
        <w:rPr>
          <w:rFonts w:hint="eastAsia" w:ascii="宋体" w:hAnsi="宋体" w:cs="宋体"/>
          <w:b/>
          <w:color w:val="auto"/>
          <w:szCs w:val="21"/>
        </w:rPr>
        <w:t>最高限价（元）：</w:t>
      </w:r>
      <w:r>
        <w:rPr>
          <w:rFonts w:hint="eastAsia" w:ascii="Cambria" w:hAnsi="Cambria" w:cs="Cambria"/>
          <w:color w:val="auto"/>
        </w:rPr>
        <w:t>1500000</w:t>
      </w:r>
      <w:r>
        <w:rPr>
          <w:rFonts w:hint="eastAsia" w:ascii="宋体" w:hAnsi="宋体" w:cs="宋体"/>
          <w:bCs/>
          <w:snapToGrid w:val="0"/>
          <w:color w:val="auto"/>
          <w:szCs w:val="21"/>
        </w:rPr>
        <w:t xml:space="preserve">，最高综合折扣：94%  </w:t>
      </w:r>
    </w:p>
    <w:p w14:paraId="4D7F81D0">
      <w:pPr>
        <w:pStyle w:val="8"/>
        <w:shd w:val="clear"/>
        <w:spacing w:line="440" w:lineRule="exact"/>
        <w:ind w:firstLine="422" w:firstLineChars="200"/>
        <w:rPr>
          <w:rFonts w:hAnsi="宋体" w:cs="宋体"/>
          <w:bCs/>
          <w:color w:val="auto"/>
          <w:kern w:val="2"/>
          <w:sz w:val="21"/>
          <w:szCs w:val="21"/>
        </w:rPr>
      </w:pPr>
      <w:r>
        <w:rPr>
          <w:rFonts w:hint="eastAsia" w:hAnsi="宋体" w:cs="宋体"/>
          <w:b/>
          <w:color w:val="auto"/>
          <w:sz w:val="21"/>
          <w:szCs w:val="21"/>
        </w:rPr>
        <w:t>采购需求：</w:t>
      </w:r>
      <w:r>
        <w:rPr>
          <w:rFonts w:hint="eastAsia" w:hAnsi="宋体" w:cs="宋体"/>
          <w:bCs/>
          <w:color w:val="auto"/>
          <w:kern w:val="2"/>
          <w:sz w:val="21"/>
          <w:szCs w:val="21"/>
        </w:rPr>
        <w:t>江口街道2025年公共基础设施零星修复工程，详见采购文件第三部分采购需求。</w:t>
      </w:r>
    </w:p>
    <w:p w14:paraId="45FABC9A">
      <w:pPr>
        <w:pStyle w:val="51"/>
        <w:shd w:val="clear"/>
        <w:spacing w:before="120" w:line="440" w:lineRule="exact"/>
        <w:ind w:firstLine="422"/>
        <w:outlineLvl w:val="2"/>
        <w:rPr>
          <w:rFonts w:ascii="宋体" w:hAnsi="宋体" w:cs="宋体"/>
          <w:color w:val="auto"/>
          <w:sz w:val="21"/>
          <w:szCs w:val="21"/>
        </w:rPr>
      </w:pPr>
      <w:r>
        <w:rPr>
          <w:rFonts w:hint="eastAsia" w:ascii="宋体" w:hAnsi="宋体" w:cs="宋体"/>
          <w:b/>
          <w:color w:val="auto"/>
          <w:sz w:val="21"/>
          <w:szCs w:val="21"/>
        </w:rPr>
        <w:t>合同履约期限：</w:t>
      </w:r>
      <w:r>
        <w:rPr>
          <w:rFonts w:hint="eastAsia" w:ascii="宋体" w:hAnsi="宋体" w:cs="宋体"/>
          <w:snapToGrid w:val="0"/>
          <w:color w:val="auto"/>
          <w:kern w:val="28"/>
          <w:sz w:val="21"/>
          <w:szCs w:val="21"/>
        </w:rPr>
        <w:t>详见采购文件。</w:t>
      </w:r>
    </w:p>
    <w:p w14:paraId="5092788F">
      <w:pPr>
        <w:pStyle w:val="8"/>
        <w:shd w:val="clear"/>
        <w:spacing w:line="440" w:lineRule="exact"/>
        <w:ind w:firstLine="422" w:firstLineChars="200"/>
        <w:rPr>
          <w:rFonts w:hAnsi="宋体" w:cs="宋体"/>
          <w:b/>
          <w:color w:val="auto"/>
          <w:sz w:val="21"/>
          <w:szCs w:val="21"/>
        </w:rPr>
      </w:pPr>
      <w:r>
        <w:rPr>
          <w:rFonts w:hint="eastAsia" w:hAnsi="宋体" w:cs="宋体"/>
          <w:b/>
          <w:color w:val="auto"/>
          <w:sz w:val="21"/>
          <w:szCs w:val="21"/>
        </w:rPr>
        <w:t>本项目接受联合体：</w:t>
      </w:r>
      <w:r>
        <w:rPr>
          <w:rFonts w:hint="eastAsia" w:hAnsi="宋体" w:cs="宋体"/>
          <w:color w:val="auto"/>
          <w:kern w:val="0"/>
          <w:sz w:val="21"/>
          <w:szCs w:val="21"/>
        </w:rPr>
        <w:t>☐</w:t>
      </w:r>
      <w:r>
        <w:rPr>
          <w:rFonts w:hint="eastAsia" w:hAnsi="宋体" w:cs="宋体"/>
          <w:b/>
          <w:color w:val="auto"/>
          <w:sz w:val="21"/>
          <w:szCs w:val="21"/>
        </w:rPr>
        <w:t>是，</w:t>
      </w:r>
      <w:r>
        <w:rPr>
          <w:rFonts w:hint="eastAsia" w:hAnsi="宋体" w:cs="宋体"/>
          <w:color w:val="auto"/>
          <w:kern w:val="0"/>
          <w:sz w:val="21"/>
          <w:szCs w:val="21"/>
        </w:rPr>
        <w:t xml:space="preserve"> </w:t>
      </w:r>
      <w:r>
        <w:rPr>
          <w:rFonts w:hint="eastAsia" w:hAnsi="宋体" w:cs="宋体"/>
          <w:color w:val="auto"/>
          <w:kern w:val="0"/>
          <w:sz w:val="21"/>
          <w:szCs w:val="21"/>
        </w:rPr>
        <w:sym w:font="Wingdings" w:char="F0FE"/>
      </w:r>
      <w:r>
        <w:rPr>
          <w:rFonts w:hint="eastAsia" w:hAnsi="宋体" w:cs="宋体"/>
          <w:b/>
          <w:color w:val="auto"/>
          <w:sz w:val="21"/>
          <w:szCs w:val="21"/>
        </w:rPr>
        <w:t>否</w:t>
      </w:r>
      <w:r>
        <w:rPr>
          <w:rFonts w:hint="eastAsia" w:hAnsi="宋体" w:cs="宋体"/>
          <w:color w:val="auto"/>
          <w:kern w:val="0"/>
          <w:sz w:val="21"/>
          <w:szCs w:val="21"/>
        </w:rPr>
        <w:t>。</w:t>
      </w:r>
    </w:p>
    <w:p w14:paraId="2F512DC0">
      <w:pPr>
        <w:shd w:val="clear"/>
        <w:spacing w:line="440" w:lineRule="exact"/>
        <w:ind w:firstLine="211"/>
        <w:rPr>
          <w:rFonts w:ascii="宋体" w:hAnsi="宋体" w:cs="宋体"/>
          <w:b/>
          <w:color w:val="auto"/>
          <w:szCs w:val="21"/>
        </w:rPr>
      </w:pPr>
      <w:r>
        <w:rPr>
          <w:rFonts w:hint="eastAsia" w:ascii="宋体" w:hAnsi="宋体" w:cs="宋体"/>
          <w:b/>
          <w:color w:val="auto"/>
          <w:szCs w:val="21"/>
        </w:rPr>
        <w:t>二、申请人的资格要求：</w:t>
      </w:r>
    </w:p>
    <w:p w14:paraId="1DCAF843">
      <w:pPr>
        <w:shd w:val="clear"/>
        <w:spacing w:line="440" w:lineRule="exact"/>
        <w:ind w:firstLine="210"/>
        <w:rPr>
          <w:rFonts w:ascii="宋体" w:hAnsi="宋体" w:cs="宋体"/>
          <w:snapToGrid w:val="0"/>
          <w:color w:val="auto"/>
          <w:kern w:val="28"/>
          <w:szCs w:val="21"/>
        </w:rPr>
      </w:pPr>
      <w:r>
        <w:rPr>
          <w:rFonts w:hint="eastAsia" w:ascii="宋体" w:hAnsi="宋体" w:cs="宋体"/>
          <w:snapToGrid w:val="0"/>
          <w:color w:val="auto"/>
          <w:kern w:val="28"/>
          <w:szCs w:val="21"/>
        </w:rPr>
        <w:t>1.满足《中华人民共和国政府采购法》第二十二条规定；未被“信用中国”（www.creditchina.gov.cn)、中国政府采购网（www.ccgp.gov.cn）列入失信被执行人、重大税收违法失信主体、政府采购严重违法失信行为记录名单；</w:t>
      </w:r>
    </w:p>
    <w:p w14:paraId="7D98B689">
      <w:pPr>
        <w:shd w:val="clear"/>
        <w:spacing w:line="440" w:lineRule="exact"/>
        <w:ind w:firstLine="210"/>
        <w:rPr>
          <w:rFonts w:ascii="宋体" w:hAnsi="宋体" w:cs="宋体"/>
          <w:color w:val="auto"/>
          <w:szCs w:val="21"/>
        </w:rPr>
      </w:pPr>
      <w:r>
        <w:rPr>
          <w:rFonts w:hint="eastAsia" w:ascii="宋体" w:hAnsi="宋体" w:cs="宋体"/>
          <w:snapToGrid w:val="0"/>
          <w:color w:val="auto"/>
          <w:kern w:val="28"/>
          <w:szCs w:val="21"/>
        </w:rPr>
        <w:t>2.</w:t>
      </w:r>
      <w:r>
        <w:rPr>
          <w:rFonts w:hint="eastAsia" w:ascii="宋体" w:hAnsi="宋体" w:cs="宋体"/>
          <w:color w:val="auto"/>
          <w:szCs w:val="21"/>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7B241E8">
      <w:pPr>
        <w:shd w:val="clear"/>
        <w:spacing w:line="440" w:lineRule="exact"/>
        <w:ind w:firstLine="210"/>
        <w:rPr>
          <w:rFonts w:ascii="宋体" w:hAnsi="宋体" w:cs="宋体"/>
          <w:snapToGrid w:val="0"/>
          <w:color w:val="auto"/>
          <w:kern w:val="28"/>
          <w:szCs w:val="21"/>
        </w:rPr>
      </w:pPr>
      <w:r>
        <w:rPr>
          <w:rFonts w:hint="eastAsia" w:ascii="宋体" w:hAnsi="宋体" w:cs="宋体"/>
          <w:snapToGrid w:val="0"/>
          <w:color w:val="auto"/>
          <w:kern w:val="28"/>
          <w:szCs w:val="21"/>
        </w:rPr>
        <w:t>3.</w:t>
      </w:r>
      <w:r>
        <w:rPr>
          <w:rFonts w:hint="eastAsia"/>
          <w:color w:val="auto"/>
        </w:rPr>
        <w:t xml:space="preserve"> </w:t>
      </w:r>
      <w:r>
        <w:rPr>
          <w:rFonts w:hint="eastAsia" w:ascii="宋体" w:hAnsi="宋体" w:cs="宋体"/>
          <w:snapToGrid w:val="0"/>
          <w:color w:val="auto"/>
          <w:kern w:val="28"/>
          <w:szCs w:val="21"/>
        </w:rPr>
        <w:t>落实政府采购政策需满足的资格要求：</w:t>
      </w:r>
    </w:p>
    <w:p w14:paraId="3CC14A72">
      <w:pPr>
        <w:shd w:val="clear"/>
        <w:spacing w:line="440" w:lineRule="exact"/>
        <w:ind w:firstLine="210"/>
        <w:rPr>
          <w:rFonts w:ascii="宋体" w:hAnsi="宋体" w:cs="宋体"/>
          <w:color w:val="auto"/>
          <w:szCs w:val="21"/>
        </w:rPr>
      </w:pPr>
      <w:r>
        <w:rPr>
          <w:rFonts w:hint="eastAsia" w:ascii="MS Gothic" w:hAnsi="MS Gothic" w:eastAsia="MS Gothic" w:cs="MS Gothic"/>
          <w:color w:val="auto"/>
          <w:kern w:val="0"/>
          <w:szCs w:val="21"/>
        </w:rPr>
        <w:t>☐</w:t>
      </w:r>
      <w:r>
        <w:rPr>
          <w:rFonts w:hint="eastAsia" w:ascii="宋体" w:hAnsi="宋体" w:cs="宋体"/>
          <w:color w:val="auto"/>
          <w:szCs w:val="21"/>
        </w:rPr>
        <w:t>无；</w:t>
      </w:r>
    </w:p>
    <w:p w14:paraId="44D2395A">
      <w:pPr>
        <w:shd w:val="clear"/>
        <w:spacing w:line="440" w:lineRule="exact"/>
        <w:ind w:firstLine="210"/>
        <w:rPr>
          <w:rFonts w:ascii="宋体" w:hAnsi="宋体" w:cs="宋体"/>
          <w:color w:val="auto"/>
          <w:szCs w:val="21"/>
        </w:rPr>
      </w:pPr>
      <w:r>
        <w:rPr>
          <w:rFonts w:hint="eastAsia" w:ascii="宋体" w:hAnsi="宋体" w:cs="仿宋"/>
          <w:color w:val="auto"/>
          <w:kern w:val="0"/>
          <w:szCs w:val="21"/>
        </w:rPr>
        <w:sym w:font="Wingdings" w:char="F0FE"/>
      </w:r>
      <w:r>
        <w:rPr>
          <w:rFonts w:hint="eastAsia" w:ascii="宋体" w:hAnsi="宋体" w:cs="宋体"/>
          <w:color w:val="auto"/>
          <w:szCs w:val="21"/>
        </w:rPr>
        <w:t>专门面向中小企业</w:t>
      </w:r>
    </w:p>
    <w:p w14:paraId="31E86EF1">
      <w:pPr>
        <w:shd w:val="clear"/>
        <w:spacing w:line="440" w:lineRule="exact"/>
        <w:ind w:firstLine="210"/>
        <w:rPr>
          <w:rFonts w:ascii="宋体" w:hAnsi="宋体" w:cs="宋体"/>
          <w:color w:val="auto"/>
          <w:szCs w:val="21"/>
        </w:rPr>
      </w:pPr>
      <w:r>
        <w:rPr>
          <w:rFonts w:hint="eastAsia" w:ascii="MS Gothic" w:hAnsi="MS Gothic" w:eastAsia="MS Gothic" w:cs="MS Gothic"/>
          <w:color w:val="auto"/>
          <w:kern w:val="0"/>
          <w:szCs w:val="21"/>
        </w:rPr>
        <w:t>☐</w:t>
      </w:r>
      <w:r>
        <w:rPr>
          <w:rFonts w:hint="eastAsia" w:ascii="宋体" w:hAnsi="宋体" w:cs="宋体"/>
          <w:color w:val="auto"/>
          <w:szCs w:val="21"/>
        </w:rPr>
        <w:t>货物全部由符合政策要求的中小企业制造，提供中小企业声明函；</w:t>
      </w:r>
    </w:p>
    <w:p w14:paraId="659CB21D">
      <w:pPr>
        <w:shd w:val="clear"/>
        <w:spacing w:line="440" w:lineRule="exact"/>
        <w:ind w:firstLine="210"/>
        <w:rPr>
          <w:rFonts w:ascii="宋体" w:hAnsi="宋体" w:cs="宋体"/>
          <w:color w:val="auto"/>
          <w:szCs w:val="21"/>
        </w:rPr>
      </w:pPr>
      <w:r>
        <w:rPr>
          <w:rFonts w:hint="eastAsia" w:ascii="MS Gothic" w:hAnsi="MS Gothic" w:eastAsia="MS Gothic" w:cs="MS Gothic"/>
          <w:color w:val="auto"/>
          <w:kern w:val="0"/>
          <w:szCs w:val="21"/>
        </w:rPr>
        <w:t>☐</w:t>
      </w:r>
      <w:r>
        <w:rPr>
          <w:rFonts w:hint="eastAsia" w:ascii="宋体" w:hAnsi="宋体" w:cs="宋体"/>
          <w:color w:val="auto"/>
          <w:szCs w:val="21"/>
        </w:rPr>
        <w:t>货物全部由符合政策要求的小微企业制造，提供中小企业声明函；</w:t>
      </w:r>
    </w:p>
    <w:p w14:paraId="61BB4D64">
      <w:pPr>
        <w:shd w:val="clear"/>
        <w:spacing w:line="440" w:lineRule="exact"/>
        <w:ind w:firstLine="210"/>
        <w:rPr>
          <w:rFonts w:ascii="宋体" w:hAnsi="宋体" w:cs="宋体"/>
          <w:color w:val="auto"/>
          <w:szCs w:val="21"/>
        </w:rPr>
      </w:pPr>
      <w:r>
        <w:rPr>
          <w:rFonts w:hint="eastAsia" w:ascii="MS Gothic" w:hAnsi="MS Gothic" w:eastAsia="MS Gothic" w:cs="MS Gothic"/>
          <w:color w:val="auto"/>
          <w:kern w:val="0"/>
          <w:szCs w:val="21"/>
        </w:rPr>
        <w:t>☐</w:t>
      </w:r>
      <w:r>
        <w:rPr>
          <w:rFonts w:hint="eastAsia" w:ascii="宋体" w:hAnsi="宋体" w:cs="宋体"/>
          <w:color w:val="auto"/>
          <w:szCs w:val="21"/>
        </w:rPr>
        <w:t>服务全部由符合政策要求的中小企业承接，提供中小企业声明函；</w:t>
      </w:r>
    </w:p>
    <w:p w14:paraId="2F15FFF9">
      <w:pPr>
        <w:shd w:val="clear"/>
        <w:spacing w:line="440" w:lineRule="exact"/>
        <w:ind w:firstLine="210"/>
        <w:rPr>
          <w:rFonts w:ascii="宋体" w:hAnsi="宋体" w:cs="宋体"/>
          <w:color w:val="auto"/>
          <w:szCs w:val="21"/>
        </w:rPr>
      </w:pPr>
      <w:r>
        <w:rPr>
          <w:rFonts w:hint="eastAsia" w:ascii="MS Gothic" w:hAnsi="MS Gothic" w:eastAsia="MS Gothic" w:cs="MS Gothic"/>
          <w:color w:val="auto"/>
          <w:kern w:val="0"/>
          <w:szCs w:val="21"/>
        </w:rPr>
        <w:t>☐</w:t>
      </w:r>
      <w:r>
        <w:rPr>
          <w:rFonts w:hint="eastAsia" w:ascii="宋体" w:hAnsi="宋体" w:cs="宋体"/>
          <w:color w:val="auto"/>
          <w:szCs w:val="21"/>
        </w:rPr>
        <w:t>服务全部由符合政策要求的小微企业承接，提供中小企业声明函；</w:t>
      </w:r>
    </w:p>
    <w:p w14:paraId="40BC6314">
      <w:pPr>
        <w:shd w:val="clear"/>
        <w:spacing w:line="440" w:lineRule="exact"/>
        <w:ind w:firstLine="210"/>
        <w:rPr>
          <w:rFonts w:ascii="宋体" w:hAnsi="宋体" w:cs="宋体"/>
          <w:color w:val="auto"/>
          <w:szCs w:val="21"/>
        </w:rPr>
      </w:pPr>
      <w:r>
        <w:rPr>
          <w:rFonts w:hint="eastAsia" w:ascii="宋体" w:hAnsi="宋体" w:cs="仿宋"/>
          <w:color w:val="auto"/>
          <w:kern w:val="0"/>
          <w:szCs w:val="21"/>
        </w:rPr>
        <w:sym w:font="Wingdings" w:char="F0FE"/>
      </w:r>
      <w:r>
        <w:rPr>
          <w:rFonts w:hint="eastAsia" w:ascii="宋体" w:hAnsi="宋体" w:cs="宋体"/>
          <w:color w:val="auto"/>
          <w:szCs w:val="21"/>
        </w:rPr>
        <w:t>工程全部由符合政策要求的中小企业承建，提供中小企业声明函；</w:t>
      </w:r>
    </w:p>
    <w:p w14:paraId="3BA7C834">
      <w:pPr>
        <w:shd w:val="clear"/>
        <w:spacing w:line="440" w:lineRule="exact"/>
        <w:ind w:firstLine="210"/>
        <w:rPr>
          <w:rFonts w:ascii="宋体" w:hAnsi="宋体" w:cs="宋体"/>
          <w:color w:val="auto"/>
          <w:szCs w:val="21"/>
        </w:rPr>
      </w:pPr>
      <w:r>
        <w:rPr>
          <w:rFonts w:hint="eastAsia" w:ascii="宋体" w:hAnsi="宋体" w:cs="仿宋"/>
          <w:color w:val="auto"/>
          <w:kern w:val="0"/>
          <w:szCs w:val="21"/>
        </w:rPr>
        <w:sym w:font="Wingdings" w:char="F0FE"/>
      </w:r>
      <w:r>
        <w:rPr>
          <w:rFonts w:hint="eastAsia" w:ascii="宋体" w:hAnsi="宋体" w:cs="宋体"/>
          <w:color w:val="auto"/>
          <w:szCs w:val="21"/>
        </w:rPr>
        <w:t>工程全部由符合政策要求的小微企业承建，提供中小企业声明函；</w:t>
      </w:r>
    </w:p>
    <w:p w14:paraId="59CCB9AE">
      <w:pPr>
        <w:shd w:val="clear"/>
        <w:spacing w:line="440" w:lineRule="exact"/>
        <w:ind w:firstLine="210"/>
        <w:rPr>
          <w:rFonts w:ascii="宋体" w:hAnsi="宋体" w:cs="宋体"/>
          <w:snapToGrid w:val="0"/>
          <w:color w:val="auto"/>
          <w:kern w:val="28"/>
          <w:szCs w:val="21"/>
        </w:rPr>
      </w:pPr>
      <w:r>
        <w:rPr>
          <w:rFonts w:hint="eastAsia" w:ascii="宋体" w:hAnsi="宋体" w:cs="宋体"/>
          <w:snapToGrid w:val="0"/>
          <w:color w:val="auto"/>
          <w:kern w:val="28"/>
          <w:szCs w:val="21"/>
        </w:rPr>
        <w:t>4.本项目的特定资格要求：</w:t>
      </w:r>
      <w:r>
        <w:rPr>
          <w:rFonts w:hint="eastAsia" w:ascii="宋体" w:hAnsi="宋体" w:cs="宋体"/>
          <w:color w:val="auto"/>
          <w:szCs w:val="21"/>
        </w:rPr>
        <w:t>供应商须具备市政公用工程施工总承包叁级及以上资质。</w:t>
      </w:r>
    </w:p>
    <w:p w14:paraId="73206A18">
      <w:pPr>
        <w:shd w:val="clear"/>
        <w:spacing w:line="440" w:lineRule="exact"/>
        <w:ind w:firstLine="211"/>
        <w:rPr>
          <w:rFonts w:ascii="宋体" w:hAnsi="宋体" w:cs="宋体"/>
          <w:b/>
          <w:color w:val="auto"/>
          <w:szCs w:val="21"/>
        </w:rPr>
      </w:pPr>
      <w:r>
        <w:rPr>
          <w:rFonts w:hint="eastAsia" w:ascii="宋体" w:hAnsi="宋体" w:cs="宋体"/>
          <w:b/>
          <w:color w:val="auto"/>
          <w:szCs w:val="21"/>
        </w:rPr>
        <w:t xml:space="preserve">三、获取采购文件 </w:t>
      </w:r>
    </w:p>
    <w:p w14:paraId="4B7D9529">
      <w:pPr>
        <w:shd w:val="clear"/>
        <w:spacing w:line="440" w:lineRule="exact"/>
        <w:ind w:firstLine="422" w:firstLineChars="200"/>
        <w:rPr>
          <w:rFonts w:ascii="宋体" w:hAnsi="宋体" w:cs="宋体"/>
          <w:color w:val="auto"/>
          <w:szCs w:val="21"/>
        </w:rPr>
      </w:pPr>
      <w:r>
        <w:rPr>
          <w:rFonts w:hint="eastAsia" w:ascii="宋体" w:hAnsi="宋体" w:cs="宋体"/>
          <w:b/>
          <w:color w:val="auto"/>
          <w:szCs w:val="21"/>
        </w:rPr>
        <w:t>时间：</w:t>
      </w:r>
      <w:r>
        <w:rPr>
          <w:rFonts w:hint="eastAsia" w:ascii="宋体" w:hAnsi="宋体" w:cs="宋体"/>
          <w:color w:val="auto"/>
          <w:szCs w:val="21"/>
          <w:u w:val="single"/>
        </w:rPr>
        <w:t>2025年</w:t>
      </w:r>
      <w:r>
        <w:rPr>
          <w:rFonts w:hint="eastAsia" w:ascii="宋体" w:hAnsi="宋体" w:cs="宋体"/>
          <w:color w:val="auto"/>
          <w:szCs w:val="21"/>
          <w:u w:val="single"/>
          <w:lang w:val="en-US" w:eastAsia="zh-CN"/>
        </w:rPr>
        <w:t>04</w:t>
      </w:r>
      <w:r>
        <w:rPr>
          <w:rFonts w:hint="eastAsia" w:ascii="宋体" w:hAnsi="宋体" w:cs="宋体"/>
          <w:color w:val="auto"/>
          <w:szCs w:val="21"/>
          <w:u w:val="single"/>
        </w:rPr>
        <w:t>月</w:t>
      </w:r>
      <w:r>
        <w:rPr>
          <w:rFonts w:hint="eastAsia" w:ascii="宋体" w:hAnsi="宋体" w:cs="宋体"/>
          <w:color w:val="auto"/>
          <w:szCs w:val="21"/>
          <w:u w:val="single"/>
          <w:lang w:val="en-US" w:eastAsia="zh-CN"/>
        </w:rPr>
        <w:t>08</w:t>
      </w:r>
      <w:r>
        <w:rPr>
          <w:rFonts w:hint="eastAsia" w:ascii="宋体" w:hAnsi="宋体" w:cs="宋体"/>
          <w:color w:val="auto"/>
          <w:szCs w:val="21"/>
          <w:u w:val="single"/>
        </w:rPr>
        <w:t>日</w:t>
      </w:r>
      <w:r>
        <w:rPr>
          <w:rFonts w:hint="eastAsia" w:ascii="宋体" w:hAnsi="宋体" w:cs="宋体"/>
          <w:color w:val="auto"/>
          <w:szCs w:val="21"/>
        </w:rPr>
        <w:t>至</w:t>
      </w:r>
      <w:r>
        <w:rPr>
          <w:rFonts w:hint="eastAsia" w:ascii="宋体" w:hAnsi="宋体" w:cs="宋体"/>
          <w:color w:val="auto"/>
          <w:szCs w:val="21"/>
          <w:u w:val="single"/>
        </w:rPr>
        <w:t>2025年0</w:t>
      </w:r>
      <w:r>
        <w:rPr>
          <w:rFonts w:hint="eastAsia" w:ascii="宋体" w:hAnsi="宋体" w:cs="宋体"/>
          <w:color w:val="auto"/>
          <w:szCs w:val="21"/>
          <w:u w:val="single"/>
          <w:lang w:val="en-US" w:eastAsia="zh-CN"/>
        </w:rPr>
        <w:t>4</w:t>
      </w:r>
      <w:r>
        <w:rPr>
          <w:rFonts w:hint="eastAsia" w:ascii="宋体" w:hAnsi="宋体" w:cs="宋体"/>
          <w:color w:val="auto"/>
          <w:szCs w:val="21"/>
          <w:u w:val="single"/>
        </w:rPr>
        <w:t>月</w:t>
      </w:r>
      <w:r>
        <w:rPr>
          <w:rFonts w:hint="eastAsia" w:ascii="宋体" w:hAnsi="宋体" w:cs="宋体"/>
          <w:color w:val="auto"/>
          <w:szCs w:val="21"/>
          <w:u w:val="single"/>
          <w:lang w:val="en-US" w:eastAsia="zh-CN"/>
        </w:rPr>
        <w:t>15</w:t>
      </w:r>
      <w:r>
        <w:rPr>
          <w:rFonts w:hint="eastAsia" w:ascii="宋体" w:hAnsi="宋体" w:cs="宋体"/>
          <w:color w:val="auto"/>
          <w:szCs w:val="21"/>
          <w:u w:val="single"/>
        </w:rPr>
        <w:t>日</w:t>
      </w:r>
      <w:r>
        <w:rPr>
          <w:rFonts w:hint="eastAsia" w:ascii="宋体" w:hAnsi="宋体" w:cs="宋体"/>
          <w:color w:val="auto"/>
          <w:szCs w:val="21"/>
        </w:rPr>
        <w:t>，每天上午00：00至12：00 ，下午12：00至23：59（北京时间）。</w:t>
      </w:r>
    </w:p>
    <w:p w14:paraId="258575F4">
      <w:pPr>
        <w:shd w:val="clear"/>
        <w:spacing w:line="440" w:lineRule="exact"/>
        <w:ind w:firstLine="422" w:firstLineChars="200"/>
        <w:rPr>
          <w:rFonts w:ascii="宋体" w:hAnsi="宋体" w:cs="宋体"/>
          <w:color w:val="auto"/>
          <w:szCs w:val="21"/>
        </w:rPr>
      </w:pPr>
      <w:r>
        <w:rPr>
          <w:rFonts w:hint="eastAsia" w:ascii="宋体" w:hAnsi="宋体" w:cs="宋体"/>
          <w:b/>
          <w:color w:val="auto"/>
          <w:szCs w:val="21"/>
        </w:rPr>
        <w:t>地点（网址）：</w:t>
      </w:r>
      <w:r>
        <w:rPr>
          <w:rFonts w:hint="eastAsia" w:ascii="宋体" w:hAnsi="宋体" w:cs="宋体"/>
          <w:color w:val="auto"/>
          <w:szCs w:val="21"/>
        </w:rPr>
        <w:t>政采云平台（https：//www.zcygov.cn/）。</w:t>
      </w:r>
    </w:p>
    <w:p w14:paraId="407E13CB">
      <w:pPr>
        <w:shd w:val="clear"/>
        <w:spacing w:line="440" w:lineRule="exact"/>
        <w:ind w:firstLine="422" w:firstLineChars="200"/>
        <w:rPr>
          <w:rFonts w:ascii="宋体" w:hAnsi="宋体" w:cs="宋体"/>
          <w:color w:val="auto"/>
          <w:szCs w:val="21"/>
        </w:rPr>
      </w:pPr>
      <w:r>
        <w:rPr>
          <w:rFonts w:hint="eastAsia" w:ascii="宋体" w:hAnsi="宋体" w:cs="宋体"/>
          <w:b/>
          <w:color w:val="auto"/>
          <w:szCs w:val="21"/>
        </w:rPr>
        <w:t>方式：</w:t>
      </w:r>
      <w:r>
        <w:rPr>
          <w:rFonts w:hint="eastAsia" w:ascii="宋体" w:hAnsi="宋体" w:cs="宋体"/>
          <w:color w:val="auto"/>
          <w:szCs w:val="21"/>
        </w:rPr>
        <w:t xml:space="preserve">供应商登录政采云平台https：//www.zcygov.cn/在线申请获取采购文件（进入“项目采购”应用，在获取采购文件菜单中选择项目，申请获取采购文件）。 </w:t>
      </w:r>
    </w:p>
    <w:p w14:paraId="66B05F9D">
      <w:pPr>
        <w:shd w:val="clear"/>
        <w:spacing w:line="440" w:lineRule="exact"/>
        <w:ind w:firstLine="422" w:firstLineChars="200"/>
        <w:rPr>
          <w:rFonts w:ascii="宋体" w:hAnsi="宋体" w:cs="宋体"/>
          <w:color w:val="auto"/>
          <w:szCs w:val="21"/>
        </w:rPr>
      </w:pPr>
      <w:r>
        <w:rPr>
          <w:rFonts w:hint="eastAsia" w:ascii="宋体" w:hAnsi="宋体" w:cs="宋体"/>
          <w:b/>
          <w:color w:val="auto"/>
          <w:szCs w:val="21"/>
        </w:rPr>
        <w:t>售价（元）：</w:t>
      </w:r>
      <w:r>
        <w:rPr>
          <w:rFonts w:hint="eastAsia" w:ascii="宋体" w:hAnsi="宋体" w:cs="宋体"/>
          <w:color w:val="auto"/>
          <w:szCs w:val="21"/>
        </w:rPr>
        <w:t xml:space="preserve">0 </w:t>
      </w:r>
      <w:r>
        <w:rPr>
          <w:rFonts w:hint="eastAsia" w:ascii="宋体" w:hAnsi="宋体" w:cs="宋体"/>
          <w:color w:val="auto"/>
          <w:szCs w:val="21"/>
        </w:rPr>
        <w:tab/>
      </w:r>
    </w:p>
    <w:p w14:paraId="68067BAD">
      <w:pPr>
        <w:shd w:val="clear"/>
        <w:spacing w:line="440" w:lineRule="exact"/>
        <w:ind w:firstLine="211"/>
        <w:rPr>
          <w:rFonts w:ascii="宋体" w:hAnsi="宋体" w:cs="宋体"/>
          <w:b/>
          <w:color w:val="auto"/>
          <w:szCs w:val="21"/>
        </w:rPr>
      </w:pPr>
      <w:r>
        <w:rPr>
          <w:rFonts w:hint="eastAsia" w:ascii="宋体" w:hAnsi="宋体" w:cs="宋体"/>
          <w:b/>
          <w:color w:val="auto"/>
          <w:szCs w:val="21"/>
        </w:rPr>
        <w:t>四、首次提交响应文件截止时间、磋商时间和地点</w:t>
      </w:r>
    </w:p>
    <w:p w14:paraId="530C6E78">
      <w:pPr>
        <w:shd w:val="clear"/>
        <w:spacing w:line="440" w:lineRule="exact"/>
        <w:ind w:firstLine="422" w:firstLineChars="200"/>
        <w:rPr>
          <w:rFonts w:ascii="宋体" w:hAnsi="宋体" w:cs="宋体"/>
          <w:color w:val="auto"/>
          <w:szCs w:val="21"/>
        </w:rPr>
      </w:pPr>
      <w:r>
        <w:rPr>
          <w:rFonts w:hint="eastAsia" w:ascii="宋体" w:hAnsi="宋体" w:cs="宋体"/>
          <w:b/>
          <w:color w:val="auto"/>
          <w:szCs w:val="21"/>
        </w:rPr>
        <w:t>首次提交响应文件截止时间：</w:t>
      </w:r>
      <w:r>
        <w:rPr>
          <w:rFonts w:hint="eastAsia" w:ascii="宋体" w:hAnsi="宋体" w:cs="宋体"/>
          <w:color w:val="auto"/>
          <w:szCs w:val="21"/>
          <w:u w:val="single"/>
        </w:rPr>
        <w:t xml:space="preserve"> 2025年</w:t>
      </w:r>
      <w:r>
        <w:rPr>
          <w:rFonts w:hint="eastAsia" w:ascii="宋体" w:hAnsi="宋体" w:cs="宋体"/>
          <w:color w:val="auto"/>
          <w:szCs w:val="21"/>
          <w:u w:val="single"/>
          <w:lang w:val="en-US" w:eastAsia="zh-CN"/>
        </w:rPr>
        <w:t>04</w:t>
      </w:r>
      <w:r>
        <w:rPr>
          <w:rFonts w:hint="eastAsia" w:ascii="宋体" w:hAnsi="宋体" w:cs="宋体"/>
          <w:color w:val="auto"/>
          <w:szCs w:val="21"/>
          <w:u w:val="single"/>
        </w:rPr>
        <w:t>月</w:t>
      </w:r>
      <w:r>
        <w:rPr>
          <w:rFonts w:hint="eastAsia" w:ascii="宋体" w:hAnsi="宋体" w:cs="宋体"/>
          <w:color w:val="auto"/>
          <w:szCs w:val="21"/>
          <w:u w:val="single"/>
          <w:lang w:val="en-US" w:eastAsia="zh-CN"/>
        </w:rPr>
        <w:t>21</w:t>
      </w:r>
      <w:r>
        <w:rPr>
          <w:rFonts w:hint="eastAsia" w:ascii="宋体" w:hAnsi="宋体" w:cs="宋体"/>
          <w:color w:val="auto"/>
          <w:szCs w:val="21"/>
          <w:u w:val="single"/>
        </w:rPr>
        <w:t>日09点00分</w:t>
      </w:r>
      <w:r>
        <w:rPr>
          <w:rFonts w:hint="eastAsia" w:ascii="宋体" w:hAnsi="宋体" w:cs="宋体"/>
          <w:bCs/>
          <w:color w:val="auto"/>
          <w:szCs w:val="21"/>
          <w:u w:val="single"/>
        </w:rPr>
        <w:t xml:space="preserve"> </w:t>
      </w:r>
      <w:r>
        <w:rPr>
          <w:rFonts w:hint="eastAsia" w:ascii="宋体" w:hAnsi="宋体" w:cs="宋体"/>
          <w:color w:val="auto"/>
          <w:szCs w:val="21"/>
        </w:rPr>
        <w:t>（北京时间）。</w:t>
      </w:r>
    </w:p>
    <w:p w14:paraId="3D6FC40B">
      <w:pPr>
        <w:shd w:val="clear"/>
        <w:spacing w:line="440" w:lineRule="exact"/>
        <w:ind w:firstLine="422" w:firstLineChars="200"/>
        <w:rPr>
          <w:rFonts w:ascii="宋体" w:hAnsi="宋体" w:cs="宋体"/>
          <w:b/>
          <w:color w:val="auto"/>
          <w:szCs w:val="21"/>
        </w:rPr>
      </w:pPr>
      <w:r>
        <w:rPr>
          <w:rFonts w:hint="eastAsia" w:ascii="宋体" w:hAnsi="宋体" w:cs="宋体"/>
          <w:b/>
          <w:color w:val="auto"/>
          <w:szCs w:val="21"/>
        </w:rPr>
        <w:t>提交响应文件地点（网址）：</w:t>
      </w:r>
      <w:r>
        <w:rPr>
          <w:rFonts w:hint="eastAsia" w:ascii="宋体" w:hAnsi="宋体" w:cs="宋体"/>
          <w:color w:val="auto"/>
          <w:szCs w:val="21"/>
        </w:rPr>
        <w:t>政采云平台（https：//www.zcygov.cn/）。</w:t>
      </w:r>
    </w:p>
    <w:p w14:paraId="577D4F09">
      <w:pPr>
        <w:shd w:val="clear"/>
        <w:spacing w:line="440" w:lineRule="exact"/>
        <w:ind w:firstLine="422" w:firstLineChars="200"/>
        <w:rPr>
          <w:rFonts w:ascii="宋体" w:hAnsi="宋体" w:cs="宋体"/>
          <w:bCs/>
          <w:color w:val="auto"/>
          <w:szCs w:val="21"/>
          <w:u w:val="single"/>
        </w:rPr>
      </w:pPr>
      <w:r>
        <w:rPr>
          <w:rFonts w:hint="eastAsia" w:ascii="宋体" w:hAnsi="宋体" w:cs="宋体"/>
          <w:b/>
          <w:color w:val="auto"/>
          <w:szCs w:val="21"/>
        </w:rPr>
        <w:t>首次提交响应文件开启时间：</w:t>
      </w:r>
      <w:r>
        <w:rPr>
          <w:rFonts w:hint="eastAsia" w:ascii="宋体" w:hAnsi="宋体" w:cs="宋体"/>
          <w:color w:val="auto"/>
          <w:szCs w:val="21"/>
          <w:u w:val="single"/>
        </w:rPr>
        <w:t>2025年</w:t>
      </w:r>
      <w:r>
        <w:rPr>
          <w:rFonts w:hint="eastAsia" w:ascii="宋体" w:hAnsi="宋体" w:cs="宋体"/>
          <w:color w:val="auto"/>
          <w:szCs w:val="21"/>
          <w:u w:val="single"/>
          <w:lang w:val="en-US" w:eastAsia="zh-CN"/>
        </w:rPr>
        <w:t>04</w:t>
      </w:r>
      <w:r>
        <w:rPr>
          <w:rFonts w:hint="eastAsia" w:ascii="宋体" w:hAnsi="宋体" w:cs="宋体"/>
          <w:color w:val="auto"/>
          <w:szCs w:val="21"/>
          <w:u w:val="single"/>
        </w:rPr>
        <w:t>月</w:t>
      </w:r>
      <w:r>
        <w:rPr>
          <w:rFonts w:hint="eastAsia" w:ascii="宋体" w:hAnsi="宋体" w:cs="宋体"/>
          <w:color w:val="auto"/>
          <w:szCs w:val="21"/>
          <w:u w:val="single"/>
          <w:lang w:val="en-US" w:eastAsia="zh-CN"/>
        </w:rPr>
        <w:t>21</w:t>
      </w:r>
      <w:r>
        <w:rPr>
          <w:rFonts w:hint="eastAsia" w:ascii="宋体" w:hAnsi="宋体" w:cs="宋体"/>
          <w:color w:val="auto"/>
          <w:szCs w:val="21"/>
          <w:u w:val="single"/>
        </w:rPr>
        <w:t>日09点00分</w:t>
      </w:r>
      <w:r>
        <w:rPr>
          <w:rFonts w:hint="eastAsia" w:ascii="宋体" w:hAnsi="宋体" w:cs="宋体"/>
          <w:bCs/>
          <w:color w:val="auto"/>
          <w:szCs w:val="21"/>
        </w:rPr>
        <w:t>。</w:t>
      </w:r>
    </w:p>
    <w:p w14:paraId="1E51BD4A">
      <w:pPr>
        <w:shd w:val="clear"/>
        <w:spacing w:line="440" w:lineRule="exact"/>
        <w:ind w:firstLine="422" w:firstLineChars="200"/>
        <w:rPr>
          <w:rFonts w:ascii="宋体" w:hAnsi="宋体" w:cs="宋体"/>
          <w:color w:val="auto"/>
          <w:szCs w:val="21"/>
        </w:rPr>
      </w:pPr>
      <w:r>
        <w:rPr>
          <w:rFonts w:hint="eastAsia" w:ascii="宋体" w:hAnsi="宋体" w:cs="宋体"/>
          <w:b/>
          <w:color w:val="auto"/>
          <w:szCs w:val="21"/>
        </w:rPr>
        <w:t>首次提交响应文件开启地点（网址）：</w:t>
      </w:r>
      <w:r>
        <w:rPr>
          <w:rFonts w:hint="eastAsia" w:ascii="宋体" w:hAnsi="宋体" w:cs="宋体"/>
          <w:color w:val="auto"/>
          <w:szCs w:val="21"/>
        </w:rPr>
        <w:t>政采云平台（https：//www.zcygov.cn/）。</w:t>
      </w:r>
    </w:p>
    <w:p w14:paraId="7AE67EE2">
      <w:pPr>
        <w:shd w:val="clear"/>
        <w:spacing w:line="440" w:lineRule="exact"/>
        <w:ind w:firstLine="422" w:firstLineChars="200"/>
        <w:rPr>
          <w:rFonts w:ascii="宋体" w:hAnsi="宋体" w:cs="宋体"/>
          <w:b/>
          <w:color w:val="auto"/>
          <w:szCs w:val="21"/>
        </w:rPr>
      </w:pPr>
      <w:r>
        <w:rPr>
          <w:rFonts w:hint="eastAsia" w:ascii="宋体" w:hAnsi="宋体" w:cs="宋体"/>
          <w:b/>
          <w:color w:val="auto"/>
          <w:szCs w:val="21"/>
        </w:rPr>
        <w:t>首次提交响应文件开启地点（线下）：</w:t>
      </w:r>
      <w:r>
        <w:rPr>
          <w:rFonts w:hint="eastAsia" w:ascii="宋体" w:hAnsi="宋体" w:cs="宋体"/>
          <w:bCs/>
          <w:color w:val="auto"/>
          <w:szCs w:val="21"/>
        </w:rPr>
        <w:t>宁波市奉化区公共资源交易中心开标厅</w:t>
      </w:r>
      <w:r>
        <w:rPr>
          <w:rFonts w:hint="eastAsia" w:ascii="宋体" w:hAnsi="宋体" w:cs="宋体"/>
          <w:bCs/>
          <w:color w:val="auto"/>
          <w:szCs w:val="21"/>
          <w:lang w:val="en-US" w:eastAsia="zh-CN"/>
        </w:rPr>
        <w:t>一</w:t>
      </w:r>
      <w:r>
        <w:rPr>
          <w:rFonts w:hint="eastAsia" w:ascii="宋体" w:hAnsi="宋体" w:cs="宋体"/>
          <w:bCs/>
          <w:color w:val="auto"/>
          <w:szCs w:val="21"/>
        </w:rPr>
        <w:t>（宁波市奉化区大成东路277号4楼）</w:t>
      </w:r>
    </w:p>
    <w:p w14:paraId="0D15B39C">
      <w:pPr>
        <w:shd w:val="clear"/>
        <w:spacing w:line="440" w:lineRule="exact"/>
        <w:ind w:firstLine="211"/>
        <w:rPr>
          <w:rFonts w:ascii="宋体" w:hAnsi="宋体" w:cs="宋体"/>
          <w:color w:val="auto"/>
          <w:szCs w:val="21"/>
        </w:rPr>
      </w:pPr>
      <w:r>
        <w:rPr>
          <w:rFonts w:hint="eastAsia" w:ascii="宋体" w:hAnsi="宋体" w:cs="宋体"/>
          <w:b/>
          <w:color w:val="auto"/>
          <w:szCs w:val="21"/>
        </w:rPr>
        <w:t xml:space="preserve">五、公告期限 </w:t>
      </w:r>
    </w:p>
    <w:p w14:paraId="7897B0E4">
      <w:pPr>
        <w:shd w:val="clear"/>
        <w:spacing w:line="440" w:lineRule="exact"/>
        <w:ind w:firstLine="420" w:firstLineChars="200"/>
        <w:rPr>
          <w:rFonts w:ascii="宋体" w:hAnsi="宋体" w:cs="宋体"/>
          <w:color w:val="auto"/>
          <w:szCs w:val="21"/>
        </w:rPr>
      </w:pPr>
      <w:r>
        <w:rPr>
          <w:rFonts w:hint="eastAsia" w:ascii="宋体" w:hAnsi="宋体" w:cs="宋体"/>
          <w:color w:val="auto"/>
          <w:szCs w:val="21"/>
        </w:rPr>
        <w:t>自本公告发布之日起5个工作日。</w:t>
      </w:r>
    </w:p>
    <w:p w14:paraId="38E5D812">
      <w:pPr>
        <w:shd w:val="clear"/>
        <w:spacing w:line="440" w:lineRule="exact"/>
        <w:ind w:firstLine="211"/>
        <w:rPr>
          <w:rFonts w:ascii="宋体" w:hAnsi="宋体" w:cs="宋体"/>
          <w:b/>
          <w:color w:val="auto"/>
          <w:szCs w:val="21"/>
        </w:rPr>
      </w:pPr>
      <w:r>
        <w:rPr>
          <w:rFonts w:hint="eastAsia" w:ascii="宋体" w:hAnsi="宋体" w:cs="宋体"/>
          <w:b/>
          <w:color w:val="auto"/>
          <w:szCs w:val="21"/>
        </w:rPr>
        <w:t>六、其他补充事宜</w:t>
      </w:r>
    </w:p>
    <w:p w14:paraId="371B1A51">
      <w:pPr>
        <w:shd w:val="clear"/>
        <w:spacing w:line="440" w:lineRule="exact"/>
        <w:ind w:firstLine="420" w:firstLineChars="200"/>
        <w:rPr>
          <w:rFonts w:ascii="宋体" w:hAnsi="宋体" w:cs="宋体"/>
          <w:color w:val="auto"/>
          <w:szCs w:val="21"/>
        </w:rPr>
      </w:pPr>
      <w:r>
        <w:rPr>
          <w:rFonts w:hint="eastAsia" w:ascii="宋体" w:hAnsi="宋体" w:cs="宋体"/>
          <w:color w:val="auto"/>
          <w:szCs w:val="21"/>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15个工作日内向同级采购监督管理部门投诉。</w:t>
      </w:r>
    </w:p>
    <w:p w14:paraId="3F47D4F1">
      <w:pPr>
        <w:shd w:val="clear"/>
        <w:spacing w:line="440" w:lineRule="exact"/>
        <w:ind w:firstLine="420" w:firstLineChars="200"/>
        <w:rPr>
          <w:rFonts w:ascii="宋体" w:hAnsi="宋体" w:cs="宋体"/>
          <w:color w:val="auto"/>
          <w:szCs w:val="21"/>
        </w:rPr>
      </w:pPr>
      <w:r>
        <w:rPr>
          <w:rFonts w:hint="eastAsia" w:ascii="宋体" w:hAnsi="宋体" w:cs="宋体"/>
          <w:color w:val="auto"/>
          <w:szCs w:val="21"/>
        </w:rPr>
        <w:t>2.其他事项：（1）需要落实的政府采购政策：包括节约资源、保护环境、支持创新、促进中小企业发展等。详见采购文件的第二部分总则。（2）电子交易的说明：①电子交易：本项目以数据电文形式，依托“政府采购云平台（www.zcygov.cn）”进行磋商活动，不接受纸质响应文件；②磋商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宋体" w:hAnsi="宋体" w:cs="宋体"/>
          <w:color w:val="auto"/>
          <w:kern w:val="0"/>
          <w:szCs w:val="21"/>
          <w:lang w:val="zh-CN"/>
        </w:rPr>
        <w:t>供应商</w:t>
      </w:r>
      <w:r>
        <w:rPr>
          <w:rFonts w:hint="eastAsia" w:ascii="宋体" w:hAnsi="宋体" w:cs="宋体"/>
          <w:color w:val="auto"/>
          <w:szCs w:val="21"/>
        </w:rPr>
        <w:t>在磋商前应确保成为浙江省政府采购网正式注册入库供应商，并完成CA数字证书办理。完成CA数字证书办理在资料齐全的情况下预计7个工作日左右，请各</w:t>
      </w:r>
      <w:r>
        <w:rPr>
          <w:rFonts w:hint="eastAsia" w:ascii="宋体" w:hAnsi="宋体" w:cs="宋体"/>
          <w:color w:val="auto"/>
          <w:kern w:val="0"/>
          <w:szCs w:val="21"/>
          <w:lang w:val="zh-CN"/>
        </w:rPr>
        <w:t>供应商</w:t>
      </w:r>
      <w:r>
        <w:rPr>
          <w:rFonts w:hint="eastAsia" w:ascii="宋体" w:hAnsi="宋体" w:cs="宋体"/>
          <w:color w:val="auto"/>
          <w:szCs w:val="21"/>
        </w:rPr>
        <w:t>合理预估时间，及时办理。③采购文件的获取：使用账号登录或者使用CA登录政采云平台；进入“项目采购”应用，在获取采购文件菜单中选择项目，获取采购文件；④响应文件的制作：在“政采云电子交易客户端”中完成“填写基本信息”、“导入响应文件”、“标书关联”、“标书检查”、“电子签名”、“生成电子标书”等操作；⑤采购人、采购代理机构将依托政采云平台完成本项目的电子交易活动，平台不接受未按上述方式获取采购文件的供应商进行磋商响应活动； ⑥对未按上述方式获取采购文件的供应商对该文件提出的质疑，采购人或采购代理机构将不予处理；⑦不提供采购文件纸质版；⑧响应文件的解密：</w:t>
      </w:r>
      <w:r>
        <w:rPr>
          <w:rFonts w:hint="eastAsia" w:ascii="宋体" w:hAnsi="宋体" w:cs="宋体"/>
          <w:color w:val="auto"/>
          <w:kern w:val="0"/>
          <w:szCs w:val="21"/>
          <w:lang w:val="zh-CN"/>
        </w:rPr>
        <w:t>供应商</w:t>
      </w:r>
      <w:r>
        <w:rPr>
          <w:rFonts w:hint="eastAsia" w:ascii="宋体" w:hAnsi="宋体" w:cs="宋体"/>
          <w:color w:val="auto"/>
          <w:szCs w:val="21"/>
        </w:rPr>
        <w:t>按照平台提示和采购文件的规定在半小时内完成在线解密。⑨具体操作指南：详见政采云平台“服务中心-帮助文档-项目采购-操作流程-电子招投标-政府采购项目电子交易管理操作指南-供应商”。</w:t>
      </w:r>
    </w:p>
    <w:p w14:paraId="4133BF34">
      <w:pPr>
        <w:shd w:val="clear"/>
        <w:spacing w:line="440" w:lineRule="exact"/>
        <w:ind w:firstLine="211"/>
        <w:rPr>
          <w:rFonts w:ascii="宋体" w:hAnsi="宋体" w:cs="宋体"/>
          <w:b/>
          <w:color w:val="auto"/>
          <w:szCs w:val="21"/>
        </w:rPr>
      </w:pPr>
      <w:r>
        <w:rPr>
          <w:rFonts w:hint="eastAsia" w:ascii="宋体" w:hAnsi="宋体" w:cs="宋体"/>
          <w:b/>
          <w:color w:val="auto"/>
          <w:szCs w:val="21"/>
        </w:rPr>
        <w:t>七、对本次采购提出询问、质疑、投诉，请按以下方式联系</w:t>
      </w:r>
    </w:p>
    <w:p w14:paraId="54DFB87A">
      <w:pPr>
        <w:shd w:val="clear"/>
        <w:spacing w:line="360" w:lineRule="auto"/>
        <w:ind w:firstLine="210"/>
        <w:rPr>
          <w:rFonts w:ascii="宋体" w:hAnsi="宋体" w:cs="宋体"/>
          <w:color w:val="auto"/>
          <w:szCs w:val="21"/>
        </w:rPr>
      </w:pPr>
      <w:r>
        <w:rPr>
          <w:rFonts w:hint="eastAsia" w:ascii="宋体" w:hAnsi="宋体" w:cs="宋体"/>
          <w:color w:val="auto"/>
          <w:szCs w:val="21"/>
        </w:rPr>
        <w:t xml:space="preserve"> 1.采购人信息</w:t>
      </w:r>
    </w:p>
    <w:p w14:paraId="45E25AE6">
      <w:pPr>
        <w:shd w:val="clear"/>
        <w:spacing w:line="360" w:lineRule="auto"/>
        <w:ind w:firstLine="210"/>
        <w:rPr>
          <w:rFonts w:ascii="宋体" w:hAnsi="宋体" w:cs="宋体"/>
          <w:color w:val="auto"/>
          <w:szCs w:val="21"/>
        </w:rPr>
      </w:pPr>
      <w:r>
        <w:rPr>
          <w:rFonts w:hint="eastAsia" w:ascii="宋体" w:hAnsi="宋体" w:cs="宋体"/>
          <w:color w:val="auto"/>
          <w:szCs w:val="21"/>
        </w:rPr>
        <w:t>名称：宁波市奉化区人民政府江口街道办事处</w:t>
      </w:r>
    </w:p>
    <w:p w14:paraId="1002E0FC">
      <w:pPr>
        <w:shd w:val="clear"/>
        <w:spacing w:line="360" w:lineRule="auto"/>
        <w:ind w:firstLine="210"/>
        <w:rPr>
          <w:rFonts w:ascii="宋体" w:hAnsi="宋体" w:cs="宋体"/>
          <w:color w:val="auto"/>
          <w:szCs w:val="21"/>
        </w:rPr>
      </w:pPr>
      <w:r>
        <w:rPr>
          <w:rFonts w:hint="eastAsia" w:ascii="宋体" w:hAnsi="宋体" w:cs="宋体"/>
          <w:color w:val="auto"/>
          <w:szCs w:val="21"/>
        </w:rPr>
        <w:t>地址：宁波市奉化区江峰路2号</w:t>
      </w:r>
    </w:p>
    <w:p w14:paraId="71B35ECE">
      <w:pPr>
        <w:shd w:val="clear"/>
        <w:spacing w:line="360" w:lineRule="auto"/>
        <w:ind w:firstLine="210"/>
        <w:rPr>
          <w:rFonts w:hint="default" w:ascii="宋体" w:hAnsi="宋体" w:cs="宋体"/>
          <w:color w:val="auto"/>
          <w:szCs w:val="21"/>
          <w:lang w:val="en-US" w:eastAsia="zh-CN"/>
        </w:rPr>
      </w:pPr>
      <w:r>
        <w:rPr>
          <w:rFonts w:hint="eastAsia" w:ascii="宋体" w:hAnsi="宋体" w:cs="宋体"/>
          <w:color w:val="auto"/>
          <w:szCs w:val="21"/>
        </w:rPr>
        <w:t>项目联系人（询问）：</w:t>
      </w:r>
      <w:r>
        <w:rPr>
          <w:rFonts w:hint="eastAsia" w:ascii="宋体" w:hAnsi="宋体" w:cs="宋体"/>
          <w:color w:val="auto"/>
          <w:szCs w:val="21"/>
          <w:lang w:val="en-US" w:eastAsia="zh-CN"/>
        </w:rPr>
        <w:t>徐先生</w:t>
      </w:r>
    </w:p>
    <w:p w14:paraId="1C86E594">
      <w:pPr>
        <w:shd w:val="clear"/>
        <w:spacing w:line="360" w:lineRule="auto"/>
        <w:ind w:firstLine="210"/>
        <w:rPr>
          <w:rFonts w:hint="default" w:ascii="宋体" w:hAnsi="宋体" w:cs="宋体"/>
          <w:color w:val="auto"/>
          <w:szCs w:val="21"/>
          <w:lang w:val="en-US" w:eastAsia="zh-CN"/>
        </w:rPr>
      </w:pPr>
      <w:r>
        <w:rPr>
          <w:rFonts w:hint="eastAsia" w:ascii="宋体" w:hAnsi="宋体" w:cs="宋体"/>
          <w:color w:val="auto"/>
          <w:szCs w:val="21"/>
        </w:rPr>
        <w:t>项目联系方式（询问）：</w:t>
      </w:r>
      <w:r>
        <w:rPr>
          <w:rFonts w:hint="eastAsia" w:ascii="宋体" w:hAnsi="宋体" w:cs="宋体"/>
          <w:color w:val="auto"/>
          <w:szCs w:val="21"/>
          <w:lang w:val="en-US" w:eastAsia="zh-CN"/>
        </w:rPr>
        <w:t>15257451813</w:t>
      </w:r>
    </w:p>
    <w:p w14:paraId="130CF7DE">
      <w:pPr>
        <w:shd w:val="clear"/>
        <w:spacing w:line="360" w:lineRule="auto"/>
        <w:ind w:firstLine="210"/>
        <w:rPr>
          <w:rFonts w:hint="default" w:ascii="宋体" w:hAnsi="宋体" w:cs="宋体"/>
          <w:color w:val="auto"/>
          <w:szCs w:val="21"/>
          <w:lang w:val="en-US" w:eastAsia="zh-CN"/>
        </w:rPr>
      </w:pPr>
      <w:r>
        <w:rPr>
          <w:rFonts w:hint="eastAsia" w:ascii="宋体" w:hAnsi="宋体" w:cs="宋体"/>
          <w:color w:val="auto"/>
          <w:szCs w:val="21"/>
        </w:rPr>
        <w:t>质疑联系人</w:t>
      </w:r>
      <w:r>
        <w:rPr>
          <w:rFonts w:hint="eastAsia" w:ascii="宋体" w:hAnsi="宋体" w:cs="宋体"/>
          <w:color w:val="auto"/>
          <w:szCs w:val="21"/>
          <w:lang w:eastAsia="zh-CN"/>
        </w:rPr>
        <w:t>：</w:t>
      </w:r>
      <w:r>
        <w:rPr>
          <w:rFonts w:hint="eastAsia" w:ascii="宋体" w:hAnsi="宋体" w:cs="宋体"/>
          <w:color w:val="auto"/>
          <w:szCs w:val="21"/>
        </w:rPr>
        <w:t xml:space="preserve"> </w:t>
      </w:r>
      <w:r>
        <w:rPr>
          <w:rFonts w:hint="eastAsia" w:ascii="宋体" w:hAnsi="宋体" w:cs="宋体"/>
          <w:color w:val="auto"/>
          <w:szCs w:val="21"/>
          <w:lang w:val="en-US" w:eastAsia="zh-CN"/>
        </w:rPr>
        <w:t>程先生</w:t>
      </w:r>
    </w:p>
    <w:p w14:paraId="2A02843C">
      <w:pPr>
        <w:shd w:val="clear"/>
        <w:spacing w:line="360" w:lineRule="auto"/>
        <w:ind w:firstLine="210"/>
        <w:rPr>
          <w:rFonts w:ascii="宋体" w:hAnsi="宋体" w:cs="宋体"/>
          <w:color w:val="auto"/>
          <w:szCs w:val="21"/>
        </w:rPr>
      </w:pPr>
      <w:r>
        <w:rPr>
          <w:rFonts w:hint="eastAsia" w:ascii="宋体" w:hAnsi="宋体" w:cs="宋体"/>
          <w:color w:val="auto"/>
          <w:szCs w:val="21"/>
        </w:rPr>
        <w:t>质疑联系方式：0574-88562993</w:t>
      </w:r>
    </w:p>
    <w:p w14:paraId="2C0D9EB0">
      <w:pPr>
        <w:shd w:val="clear"/>
        <w:spacing w:line="360" w:lineRule="auto"/>
        <w:ind w:firstLine="210"/>
        <w:rPr>
          <w:rFonts w:ascii="宋体" w:hAnsi="宋体" w:cs="宋体"/>
          <w:color w:val="auto"/>
          <w:szCs w:val="21"/>
        </w:rPr>
      </w:pPr>
      <w:r>
        <w:rPr>
          <w:rFonts w:hint="eastAsia" w:ascii="宋体" w:hAnsi="宋体" w:cs="宋体"/>
          <w:color w:val="auto"/>
          <w:szCs w:val="21"/>
        </w:rPr>
        <w:t xml:space="preserve"> 2.采购代理机构信息            </w:t>
      </w:r>
    </w:p>
    <w:p w14:paraId="692AC94C">
      <w:pPr>
        <w:shd w:val="clear"/>
        <w:spacing w:line="360" w:lineRule="auto"/>
        <w:ind w:firstLine="210"/>
        <w:rPr>
          <w:rFonts w:ascii="宋体" w:hAnsi="宋体" w:cs="宋体"/>
          <w:color w:val="auto"/>
          <w:szCs w:val="21"/>
        </w:rPr>
      </w:pPr>
      <w:r>
        <w:rPr>
          <w:rFonts w:hint="eastAsia" w:ascii="宋体" w:hAnsi="宋体" w:cs="宋体"/>
          <w:color w:val="auto"/>
          <w:szCs w:val="21"/>
        </w:rPr>
        <w:t>名称：宁波敬信项目管理咨询有限公司</w:t>
      </w:r>
    </w:p>
    <w:p w14:paraId="2293D191">
      <w:pPr>
        <w:shd w:val="clear"/>
        <w:spacing w:line="360" w:lineRule="auto"/>
        <w:ind w:firstLine="210"/>
        <w:rPr>
          <w:rFonts w:ascii="宋体" w:hAnsi="宋体" w:cs="宋体"/>
          <w:color w:val="auto"/>
          <w:szCs w:val="21"/>
        </w:rPr>
      </w:pPr>
      <w:r>
        <w:rPr>
          <w:rFonts w:hint="eastAsia" w:ascii="宋体" w:hAnsi="宋体" w:cs="宋体"/>
          <w:color w:val="auto"/>
          <w:szCs w:val="21"/>
        </w:rPr>
        <w:t xml:space="preserve">地址：宁波市奉化区岳林东路商业二16幢502室（惠政丽都北门）           </w:t>
      </w:r>
    </w:p>
    <w:p w14:paraId="0676678B">
      <w:pPr>
        <w:shd w:val="clear"/>
        <w:spacing w:line="360" w:lineRule="auto"/>
        <w:ind w:firstLine="210"/>
        <w:rPr>
          <w:rFonts w:ascii="宋体" w:hAnsi="宋体" w:cs="宋体"/>
          <w:color w:val="auto"/>
          <w:szCs w:val="21"/>
        </w:rPr>
      </w:pPr>
      <w:r>
        <w:rPr>
          <w:rFonts w:hint="eastAsia" w:ascii="宋体" w:hAnsi="宋体" w:cs="宋体"/>
          <w:color w:val="auto"/>
          <w:szCs w:val="21"/>
        </w:rPr>
        <w:t>项目联系人（询问）：丁先生</w:t>
      </w:r>
    </w:p>
    <w:p w14:paraId="0613BB6D">
      <w:pPr>
        <w:shd w:val="clear"/>
        <w:spacing w:line="360" w:lineRule="auto"/>
        <w:ind w:firstLine="210"/>
        <w:rPr>
          <w:rFonts w:ascii="宋体" w:hAnsi="宋体" w:cs="宋体"/>
          <w:color w:val="auto"/>
          <w:szCs w:val="21"/>
        </w:rPr>
      </w:pPr>
      <w:r>
        <w:rPr>
          <w:rFonts w:hint="eastAsia" w:ascii="宋体" w:hAnsi="宋体" w:cs="宋体"/>
          <w:color w:val="auto"/>
          <w:szCs w:val="21"/>
        </w:rPr>
        <w:t>项目联系方式（询问）： 0574-88986381</w:t>
      </w:r>
    </w:p>
    <w:p w14:paraId="2238D1DD">
      <w:pPr>
        <w:shd w:val="clear"/>
        <w:spacing w:line="360" w:lineRule="auto"/>
        <w:ind w:firstLine="210"/>
        <w:rPr>
          <w:rFonts w:ascii="宋体" w:hAnsi="宋体" w:cs="宋体"/>
          <w:color w:val="auto"/>
          <w:szCs w:val="21"/>
        </w:rPr>
      </w:pPr>
      <w:r>
        <w:rPr>
          <w:rFonts w:hint="eastAsia" w:ascii="宋体" w:hAnsi="宋体" w:cs="宋体"/>
          <w:color w:val="auto"/>
          <w:szCs w:val="21"/>
        </w:rPr>
        <w:t xml:space="preserve">质疑联系人：卓先生  </w:t>
      </w:r>
    </w:p>
    <w:p w14:paraId="02D2AD41">
      <w:pPr>
        <w:shd w:val="clear"/>
        <w:spacing w:line="360" w:lineRule="auto"/>
        <w:ind w:firstLine="210"/>
        <w:rPr>
          <w:rFonts w:ascii="宋体" w:hAnsi="宋体" w:cs="宋体"/>
          <w:color w:val="auto"/>
          <w:szCs w:val="21"/>
        </w:rPr>
      </w:pPr>
      <w:r>
        <w:rPr>
          <w:rFonts w:hint="eastAsia" w:ascii="宋体" w:hAnsi="宋体" w:cs="宋体"/>
          <w:color w:val="auto"/>
          <w:szCs w:val="21"/>
        </w:rPr>
        <w:t>质疑联系方式： 0574-88986379</w:t>
      </w:r>
    </w:p>
    <w:p w14:paraId="7504FDF8">
      <w:pPr>
        <w:shd w:val="clear"/>
        <w:spacing w:line="360" w:lineRule="auto"/>
        <w:ind w:firstLine="210"/>
        <w:rPr>
          <w:rFonts w:ascii="宋体" w:hAnsi="宋体" w:cs="宋体"/>
          <w:color w:val="auto"/>
        </w:rPr>
      </w:pPr>
      <w:r>
        <w:rPr>
          <w:rFonts w:hint="eastAsia" w:ascii="宋体" w:hAnsi="宋体" w:cs="宋体"/>
          <w:color w:val="auto"/>
        </w:rPr>
        <w:t xml:space="preserve"> 3.同级监督管理部门            </w:t>
      </w:r>
    </w:p>
    <w:p w14:paraId="1DB6A045">
      <w:pPr>
        <w:shd w:val="clear"/>
        <w:spacing w:line="360" w:lineRule="auto"/>
        <w:ind w:firstLine="210"/>
        <w:rPr>
          <w:rFonts w:ascii="宋体" w:hAnsi="宋体" w:cs="仿宋"/>
          <w:color w:val="auto"/>
          <w:szCs w:val="21"/>
        </w:rPr>
      </w:pPr>
      <w:r>
        <w:rPr>
          <w:rFonts w:hint="eastAsia" w:ascii="宋体" w:hAnsi="宋体" w:cs="仿宋"/>
          <w:color w:val="auto"/>
          <w:szCs w:val="21"/>
        </w:rPr>
        <w:t>名称： 宁波市奉化区财政局政府采购</w:t>
      </w:r>
      <w:r>
        <w:rPr>
          <w:rFonts w:hint="eastAsia" w:ascii="宋体" w:hAnsi="宋体" w:cs="宋体"/>
          <w:color w:val="auto"/>
          <w:szCs w:val="21"/>
        </w:rPr>
        <w:t>监管</w:t>
      </w:r>
      <w:r>
        <w:rPr>
          <w:rFonts w:hint="eastAsia" w:ascii="宋体" w:hAnsi="宋体" w:cs="仿宋"/>
          <w:color w:val="auto"/>
          <w:szCs w:val="21"/>
        </w:rPr>
        <w:t>科</w:t>
      </w:r>
    </w:p>
    <w:p w14:paraId="05AB997C">
      <w:pPr>
        <w:shd w:val="clear"/>
        <w:spacing w:line="360" w:lineRule="auto"/>
        <w:rPr>
          <w:rFonts w:ascii="宋体" w:hAnsi="宋体" w:cs="仿宋"/>
          <w:color w:val="auto"/>
          <w:szCs w:val="21"/>
        </w:rPr>
      </w:pPr>
      <w:r>
        <w:rPr>
          <w:rFonts w:hint="eastAsia" w:ascii="宋体" w:hAnsi="宋体" w:cs="仿宋"/>
          <w:color w:val="auto"/>
          <w:szCs w:val="21"/>
        </w:rPr>
        <w:t xml:space="preserve">    地址： 宁波市奉化区大成东路275号1015办公室</w:t>
      </w:r>
    </w:p>
    <w:p w14:paraId="2DB9C4CB">
      <w:pPr>
        <w:shd w:val="clear"/>
        <w:spacing w:line="360" w:lineRule="auto"/>
        <w:ind w:firstLine="210" w:firstLineChars="100"/>
        <w:rPr>
          <w:rFonts w:ascii="宋体" w:hAnsi="宋体" w:cs="仿宋"/>
          <w:color w:val="auto"/>
          <w:szCs w:val="21"/>
        </w:rPr>
      </w:pPr>
      <w:r>
        <w:rPr>
          <w:rFonts w:hint="eastAsia" w:ascii="宋体" w:hAnsi="宋体" w:cs="仿宋"/>
          <w:color w:val="auto"/>
          <w:szCs w:val="21"/>
        </w:rPr>
        <w:t xml:space="preserve">  传真：  0574-89285326 </w:t>
      </w:r>
    </w:p>
    <w:p w14:paraId="1FBD1138">
      <w:pPr>
        <w:shd w:val="clear"/>
        <w:spacing w:line="360" w:lineRule="auto"/>
        <w:rPr>
          <w:rFonts w:ascii="宋体" w:hAnsi="宋体" w:cs="仿宋"/>
          <w:color w:val="auto"/>
          <w:szCs w:val="21"/>
        </w:rPr>
      </w:pPr>
      <w:r>
        <w:rPr>
          <w:rFonts w:hint="eastAsia" w:ascii="宋体" w:hAnsi="宋体" w:cs="仿宋"/>
          <w:color w:val="auto"/>
          <w:szCs w:val="21"/>
        </w:rPr>
        <w:t xml:space="preserve">    联系人 ：何老师 </w:t>
      </w:r>
    </w:p>
    <w:p w14:paraId="12F035AA">
      <w:pPr>
        <w:shd w:val="clear"/>
        <w:spacing w:line="360" w:lineRule="auto"/>
        <w:ind w:firstLine="210"/>
        <w:rPr>
          <w:rFonts w:ascii="宋体" w:hAnsi="宋体" w:cs="宋体"/>
          <w:color w:val="auto"/>
          <w:szCs w:val="21"/>
        </w:rPr>
      </w:pPr>
      <w:r>
        <w:rPr>
          <w:rFonts w:hint="eastAsia" w:ascii="宋体" w:hAnsi="宋体" w:cs="仿宋"/>
          <w:color w:val="auto"/>
          <w:szCs w:val="21"/>
        </w:rPr>
        <w:t>监督投诉电话：13906846318</w:t>
      </w:r>
      <w:r>
        <w:rPr>
          <w:rFonts w:ascii="宋体" w:hAnsi="宋体" w:cs="宋体"/>
          <w:bCs/>
          <w:color w:val="auto"/>
          <w:szCs w:val="21"/>
        </w:rPr>
        <w:t xml:space="preserve"> </w:t>
      </w:r>
      <w:r>
        <w:rPr>
          <w:rFonts w:hint="eastAsia" w:ascii="宋体" w:hAnsi="宋体" w:cs="宋体"/>
          <w:color w:val="auto"/>
          <w:szCs w:val="21"/>
        </w:rPr>
        <w:t xml:space="preserve">        </w:t>
      </w:r>
    </w:p>
    <w:p w14:paraId="63DA4D1E">
      <w:pPr>
        <w:shd w:val="clear"/>
        <w:spacing w:line="440" w:lineRule="exact"/>
        <w:ind w:firstLine="420" w:firstLineChars="200"/>
        <w:rPr>
          <w:rFonts w:ascii="宋体" w:hAnsi="宋体" w:cs="宋体"/>
          <w:color w:val="auto"/>
          <w:szCs w:val="21"/>
        </w:rPr>
      </w:pPr>
      <w:r>
        <w:rPr>
          <w:rFonts w:hint="eastAsia" w:ascii="宋体" w:hAnsi="宋体" w:cs="宋体"/>
          <w:color w:val="auto"/>
          <w:szCs w:val="21"/>
        </w:rPr>
        <w:t>若对项目采购电子交易系统操作有疑问，可登录政采云（https：//www.zcygov.cn/），点击右侧咨询小采，获取采小蜜智能服务管家帮助，或拨打政采云服务热线95763获取热线服务帮助。</w:t>
      </w:r>
    </w:p>
    <w:p w14:paraId="351B30C0">
      <w:pPr>
        <w:shd w:val="clear"/>
        <w:spacing w:line="440" w:lineRule="exact"/>
        <w:ind w:firstLine="420" w:firstLineChars="200"/>
        <w:rPr>
          <w:rFonts w:ascii="宋体" w:hAnsi="宋体" w:cs="宋体"/>
          <w:color w:val="auto"/>
          <w:szCs w:val="21"/>
        </w:rPr>
      </w:pPr>
      <w:r>
        <w:rPr>
          <w:rFonts w:hint="eastAsia" w:ascii="宋体" w:hAnsi="宋体" w:cs="宋体"/>
          <w:color w:val="auto"/>
          <w:szCs w:val="21"/>
        </w:rPr>
        <w:t>CA问题联系电话（人工）：汇信CA 400-888-4636；天谷CA 400-087-8198。</w:t>
      </w:r>
    </w:p>
    <w:p w14:paraId="29A4BEEE">
      <w:pPr>
        <w:shd w:val="clear"/>
        <w:ind w:firstLine="361"/>
        <w:jc w:val="center"/>
        <w:rPr>
          <w:rFonts w:asciiTheme="minorEastAsia" w:hAnsiTheme="minorEastAsia" w:eastAsiaTheme="minorEastAsia" w:cstheme="minorEastAsia"/>
          <w:b/>
          <w:color w:val="auto"/>
          <w:sz w:val="36"/>
          <w:szCs w:val="20"/>
        </w:rPr>
      </w:pPr>
      <w:r>
        <w:rPr>
          <w:rFonts w:hint="eastAsia" w:asciiTheme="minorEastAsia" w:hAnsiTheme="minorEastAsia" w:eastAsiaTheme="minorEastAsia" w:cstheme="minorEastAsia"/>
          <w:b/>
          <w:color w:val="auto"/>
          <w:sz w:val="36"/>
          <w:szCs w:val="20"/>
        </w:rPr>
        <w:t>第二部分</w:t>
      </w:r>
      <w:bookmarkEnd w:id="10"/>
      <w:r>
        <w:rPr>
          <w:rFonts w:hint="eastAsia" w:asciiTheme="minorEastAsia" w:hAnsiTheme="minorEastAsia" w:eastAsiaTheme="minorEastAsia" w:cstheme="minorEastAsia"/>
          <w:b/>
          <w:color w:val="auto"/>
          <w:sz w:val="36"/>
          <w:szCs w:val="20"/>
        </w:rPr>
        <w:t xml:space="preserve"> 响应须知</w:t>
      </w:r>
      <w:bookmarkEnd w:id="11"/>
    </w:p>
    <w:p w14:paraId="1E5D7651">
      <w:pPr>
        <w:shd w:val="clear"/>
        <w:snapToGrid w:val="0"/>
        <w:spacing w:line="360" w:lineRule="auto"/>
        <w:ind w:firstLine="321"/>
        <w:jc w:val="center"/>
        <w:rPr>
          <w:rFonts w:asciiTheme="minorEastAsia" w:hAnsiTheme="minorEastAsia" w:eastAsiaTheme="minorEastAsia" w:cstheme="minorEastAsia"/>
          <w:b/>
          <w:color w:val="auto"/>
          <w:sz w:val="32"/>
          <w:szCs w:val="20"/>
        </w:rPr>
      </w:pPr>
      <w:r>
        <w:rPr>
          <w:rFonts w:hint="eastAsia" w:asciiTheme="minorEastAsia" w:hAnsiTheme="minorEastAsia" w:eastAsiaTheme="minorEastAsia" w:cstheme="minorEastAsia"/>
          <w:b/>
          <w:color w:val="auto"/>
          <w:sz w:val="32"/>
          <w:szCs w:val="20"/>
        </w:rPr>
        <w:t>前附表</w:t>
      </w:r>
    </w:p>
    <w:tbl>
      <w:tblPr>
        <w:tblStyle w:val="27"/>
        <w:tblW w:w="9539" w:type="dxa"/>
        <w:tblInd w:w="-11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28" w:type="dxa"/>
          <w:bottom w:w="0" w:type="dxa"/>
          <w:right w:w="28" w:type="dxa"/>
        </w:tblCellMar>
      </w:tblPr>
      <w:tblGrid>
        <w:gridCol w:w="851"/>
        <w:gridCol w:w="1843"/>
        <w:gridCol w:w="6845"/>
      </w:tblGrid>
      <w:tr w14:paraId="5D6E2D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90" w:hRule="atLeast"/>
          <w:tblHeader/>
        </w:trPr>
        <w:tc>
          <w:tcPr>
            <w:tcW w:w="851" w:type="dxa"/>
            <w:vAlign w:val="center"/>
          </w:tcPr>
          <w:p w14:paraId="038E3F46">
            <w:pPr>
              <w:shd w:val="clear"/>
              <w:snapToGrid w:val="0"/>
              <w:spacing w:line="440" w:lineRule="exact"/>
              <w:ind w:firstLine="211"/>
              <w:jc w:val="center"/>
              <w:rPr>
                <w:rFonts w:ascii="宋体" w:hAnsi="宋体" w:cs="宋体"/>
                <w:b/>
                <w:color w:val="auto"/>
                <w:szCs w:val="21"/>
              </w:rPr>
            </w:pPr>
            <w:r>
              <w:rPr>
                <w:rFonts w:hint="eastAsia" w:ascii="宋体" w:hAnsi="宋体" w:cs="宋体"/>
                <w:b/>
                <w:color w:val="auto"/>
                <w:szCs w:val="21"/>
              </w:rPr>
              <w:t>序号</w:t>
            </w:r>
          </w:p>
        </w:tc>
        <w:tc>
          <w:tcPr>
            <w:tcW w:w="1843" w:type="dxa"/>
            <w:vAlign w:val="center"/>
          </w:tcPr>
          <w:p w14:paraId="6323F835">
            <w:pPr>
              <w:shd w:val="clear"/>
              <w:snapToGrid w:val="0"/>
              <w:spacing w:line="440" w:lineRule="exact"/>
              <w:ind w:firstLine="211"/>
              <w:jc w:val="center"/>
              <w:rPr>
                <w:rFonts w:ascii="宋体" w:hAnsi="宋体" w:cs="宋体"/>
                <w:b/>
                <w:color w:val="auto"/>
                <w:szCs w:val="21"/>
              </w:rPr>
            </w:pPr>
            <w:r>
              <w:rPr>
                <w:rFonts w:hint="eastAsia" w:ascii="宋体" w:hAnsi="宋体" w:cs="宋体"/>
                <w:b/>
                <w:color w:val="auto"/>
                <w:szCs w:val="21"/>
              </w:rPr>
              <w:t>事项</w:t>
            </w:r>
          </w:p>
        </w:tc>
        <w:tc>
          <w:tcPr>
            <w:tcW w:w="6845" w:type="dxa"/>
            <w:vAlign w:val="center"/>
          </w:tcPr>
          <w:p w14:paraId="0C4A4827">
            <w:pPr>
              <w:shd w:val="clear"/>
              <w:snapToGrid w:val="0"/>
              <w:spacing w:line="440" w:lineRule="exact"/>
              <w:ind w:firstLine="211"/>
              <w:jc w:val="center"/>
              <w:rPr>
                <w:rFonts w:ascii="宋体" w:hAnsi="宋体" w:cs="宋体"/>
                <w:b/>
                <w:color w:val="auto"/>
                <w:szCs w:val="21"/>
              </w:rPr>
            </w:pPr>
            <w:r>
              <w:rPr>
                <w:rFonts w:hint="eastAsia" w:ascii="宋体" w:hAnsi="宋体" w:cs="宋体"/>
                <w:b/>
                <w:color w:val="auto"/>
                <w:szCs w:val="21"/>
              </w:rPr>
              <w:t>本项目的特别规定</w:t>
            </w:r>
          </w:p>
        </w:tc>
      </w:tr>
      <w:tr w14:paraId="74D40E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4272" w:hRule="atLeast"/>
          <w:tblHeader/>
        </w:trPr>
        <w:tc>
          <w:tcPr>
            <w:tcW w:w="851" w:type="dxa"/>
            <w:vAlign w:val="center"/>
          </w:tcPr>
          <w:p w14:paraId="0A847456">
            <w:pPr>
              <w:shd w:val="clear"/>
              <w:snapToGrid w:val="0"/>
              <w:spacing w:line="440" w:lineRule="exact"/>
              <w:ind w:firstLine="210" w:firstLineChars="100"/>
              <w:jc w:val="center"/>
              <w:rPr>
                <w:rFonts w:ascii="宋体" w:hAnsi="宋体" w:cs="宋体"/>
                <w:color w:val="auto"/>
                <w:szCs w:val="21"/>
              </w:rPr>
            </w:pPr>
            <w:r>
              <w:rPr>
                <w:rFonts w:hint="eastAsia" w:ascii="宋体" w:hAnsi="宋体" w:cs="宋体"/>
                <w:color w:val="auto"/>
                <w:szCs w:val="21"/>
              </w:rPr>
              <w:t>1</w:t>
            </w:r>
          </w:p>
        </w:tc>
        <w:tc>
          <w:tcPr>
            <w:tcW w:w="1843" w:type="dxa"/>
            <w:vAlign w:val="center"/>
          </w:tcPr>
          <w:p w14:paraId="21A978E9">
            <w:pPr>
              <w:shd w:val="clear"/>
              <w:snapToGrid w:val="0"/>
              <w:spacing w:line="440" w:lineRule="exact"/>
              <w:ind w:firstLine="211"/>
              <w:jc w:val="center"/>
              <w:rPr>
                <w:rFonts w:ascii="宋体" w:hAnsi="宋体" w:cs="宋体"/>
                <w:b/>
                <w:color w:val="auto"/>
                <w:szCs w:val="21"/>
              </w:rPr>
            </w:pPr>
            <w:r>
              <w:rPr>
                <w:rFonts w:hint="eastAsia" w:ascii="宋体" w:hAnsi="宋体" w:cs="宋体"/>
                <w:b/>
                <w:color w:val="auto"/>
                <w:szCs w:val="21"/>
              </w:rPr>
              <w:t>报价要求</w:t>
            </w:r>
          </w:p>
        </w:tc>
        <w:tc>
          <w:tcPr>
            <w:tcW w:w="6845" w:type="dxa"/>
            <w:vAlign w:val="center"/>
          </w:tcPr>
          <w:p w14:paraId="19AEE033">
            <w:pPr>
              <w:shd w:val="clear"/>
              <w:snapToGrid w:val="0"/>
              <w:spacing w:line="440" w:lineRule="exact"/>
              <w:jc w:val="left"/>
              <w:rPr>
                <w:rFonts w:ascii="宋体" w:hAnsi="宋体" w:cs="宋体"/>
                <w:b/>
                <w:color w:val="auto"/>
                <w:kern w:val="0"/>
                <w:szCs w:val="21"/>
                <w:lang w:val="zh-CN"/>
              </w:rPr>
            </w:pPr>
            <w:r>
              <w:rPr>
                <w:rFonts w:hint="eastAsia" w:ascii="宋体" w:hAnsi="宋体" w:cs="宋体"/>
                <w:color w:val="auto"/>
                <w:kern w:val="0"/>
                <w:szCs w:val="21"/>
                <w:lang w:val="zh-CN"/>
              </w:rPr>
              <w:t>有关本项目实施所需的所有费用（含税费）均计入报价。</w:t>
            </w:r>
            <w:r>
              <w:rPr>
                <w:rFonts w:hint="eastAsia" w:ascii="宋体" w:hAnsi="宋体" w:cs="宋体"/>
                <w:color w:val="auto"/>
                <w:szCs w:val="21"/>
              </w:rPr>
              <w:t>报价一览表是报价的唯一载体</w:t>
            </w:r>
            <w:r>
              <w:rPr>
                <w:rFonts w:hint="eastAsia" w:ascii="宋体" w:hAnsi="宋体" w:cs="宋体"/>
                <w:color w:val="auto"/>
                <w:kern w:val="0"/>
                <w:szCs w:val="21"/>
                <w:lang w:val="zh-CN"/>
              </w:rPr>
              <w:t>。</w:t>
            </w:r>
            <w:r>
              <w:rPr>
                <w:rFonts w:hint="eastAsia" w:ascii="宋体" w:hAnsi="宋体" w:cs="宋体"/>
                <w:b/>
                <w:color w:val="auto"/>
                <w:kern w:val="0"/>
                <w:szCs w:val="21"/>
                <w:lang w:val="zh-CN"/>
              </w:rPr>
              <w:t>响应文件中价格采用综合折扣报价</w:t>
            </w:r>
            <w:r>
              <w:rPr>
                <w:rFonts w:hint="eastAsia" w:ascii="宋体" w:hAnsi="宋体" w:cs="宋体"/>
                <w:color w:val="auto"/>
                <w:kern w:val="0"/>
                <w:szCs w:val="21"/>
                <w:lang w:val="zh-CN"/>
              </w:rPr>
              <w:t>。</w:t>
            </w:r>
          </w:p>
          <w:p w14:paraId="5E11E512">
            <w:pPr>
              <w:shd w:val="clear"/>
              <w:snapToGrid w:val="0"/>
              <w:spacing w:line="440" w:lineRule="exact"/>
              <w:ind w:firstLine="211"/>
              <w:jc w:val="left"/>
              <w:rPr>
                <w:rFonts w:ascii="宋体" w:hAnsi="宋体" w:cs="宋体"/>
                <w:b/>
                <w:color w:val="auto"/>
                <w:kern w:val="0"/>
                <w:szCs w:val="21"/>
                <w:lang w:val="zh-CN"/>
              </w:rPr>
            </w:pPr>
            <w:r>
              <w:rPr>
                <w:rFonts w:hint="eastAsia" w:ascii="宋体" w:hAnsi="宋体" w:cs="宋体"/>
                <w:b/>
                <w:color w:val="auto"/>
                <w:kern w:val="0"/>
                <w:szCs w:val="21"/>
                <w:lang w:val="zh-CN"/>
              </w:rPr>
              <w:t>响应报价出现下列情形的，响应无效：</w:t>
            </w:r>
          </w:p>
          <w:p w14:paraId="7DF1668B">
            <w:pPr>
              <w:shd w:val="clear"/>
              <w:snapToGrid w:val="0"/>
              <w:spacing w:line="440" w:lineRule="exact"/>
              <w:ind w:firstLine="422" w:firstLineChars="200"/>
              <w:jc w:val="left"/>
              <w:rPr>
                <w:rFonts w:ascii="宋体" w:hAnsi="宋体" w:cs="宋体"/>
                <w:b/>
                <w:color w:val="auto"/>
                <w:kern w:val="0"/>
                <w:szCs w:val="21"/>
                <w:lang w:val="zh-CN"/>
              </w:rPr>
            </w:pPr>
            <w:r>
              <w:rPr>
                <w:rFonts w:hint="eastAsia" w:ascii="宋体" w:hAnsi="宋体" w:cs="宋体"/>
                <w:b/>
                <w:color w:val="auto"/>
                <w:kern w:val="0"/>
                <w:szCs w:val="21"/>
                <w:lang w:val="zh-CN"/>
              </w:rPr>
              <w:t>响应文件出现不是唯一的、有选择性响应报价的；</w:t>
            </w:r>
          </w:p>
          <w:p w14:paraId="20915735">
            <w:pPr>
              <w:shd w:val="clear"/>
              <w:snapToGrid w:val="0"/>
              <w:spacing w:line="440" w:lineRule="exact"/>
              <w:ind w:firstLine="422" w:firstLineChars="200"/>
              <w:jc w:val="left"/>
              <w:rPr>
                <w:rFonts w:ascii="宋体" w:hAnsi="宋体" w:cs="宋体"/>
                <w:color w:val="auto"/>
                <w:kern w:val="0"/>
                <w:szCs w:val="21"/>
                <w:lang w:val="zh-CN"/>
              </w:rPr>
            </w:pPr>
            <w:r>
              <w:rPr>
                <w:rFonts w:hint="eastAsia" w:ascii="宋体" w:hAnsi="宋体" w:cs="宋体"/>
                <w:b/>
                <w:color w:val="auto"/>
                <w:kern w:val="0"/>
                <w:szCs w:val="21"/>
                <w:lang w:val="zh-CN"/>
              </w:rPr>
              <w:t>响应报价超过采购文件中规定的最高综合折扣的；</w:t>
            </w:r>
          </w:p>
          <w:p w14:paraId="1C36A238">
            <w:pPr>
              <w:shd w:val="clear"/>
              <w:spacing w:line="440" w:lineRule="exact"/>
              <w:ind w:firstLine="422" w:firstLineChars="200"/>
              <w:rPr>
                <w:rFonts w:ascii="宋体" w:hAnsi="宋体" w:cs="宋体"/>
                <w:b/>
                <w:color w:val="auto"/>
                <w:szCs w:val="21"/>
              </w:rPr>
            </w:pPr>
            <w:r>
              <w:rPr>
                <w:rFonts w:hint="eastAsia" w:ascii="宋体" w:hAnsi="宋体" w:cs="宋体"/>
                <w:b/>
                <w:color w:val="auto"/>
                <w:kern w:val="0"/>
                <w:szCs w:val="21"/>
              </w:rPr>
              <w:t>报价明显低于其他通过符合性审查供应商的报价，有可能影响服务质量或者不能诚信履约的，未能按要求提供书面说明或者提交相关证明材料证明其报价合理性的</w:t>
            </w:r>
            <w:r>
              <w:rPr>
                <w:rFonts w:hint="eastAsia" w:ascii="宋体" w:hAnsi="宋体" w:cs="宋体"/>
                <w:b/>
                <w:color w:val="auto"/>
                <w:szCs w:val="21"/>
              </w:rPr>
              <w:t>;</w:t>
            </w:r>
          </w:p>
          <w:p w14:paraId="3AA7C801">
            <w:pPr>
              <w:shd w:val="clear"/>
              <w:spacing w:line="440" w:lineRule="exact"/>
              <w:ind w:firstLine="422" w:firstLineChars="200"/>
              <w:rPr>
                <w:rFonts w:ascii="宋体" w:hAnsi="宋体" w:cs="宋体"/>
                <w:color w:val="auto"/>
                <w:szCs w:val="21"/>
              </w:rPr>
            </w:pPr>
            <w:r>
              <w:rPr>
                <w:rFonts w:hint="eastAsia" w:ascii="宋体" w:hAnsi="宋体" w:cs="宋体"/>
                <w:b/>
                <w:color w:val="auto"/>
                <w:kern w:val="0"/>
                <w:szCs w:val="21"/>
              </w:rPr>
              <w:t>供应商对根据修正原则修正后的报价不确认的</w:t>
            </w:r>
            <w:r>
              <w:rPr>
                <w:rFonts w:hint="eastAsia" w:ascii="宋体" w:hAnsi="宋体" w:cs="宋体"/>
                <w:b/>
                <w:color w:val="auto"/>
                <w:szCs w:val="21"/>
              </w:rPr>
              <w:t>。</w:t>
            </w:r>
          </w:p>
        </w:tc>
      </w:tr>
      <w:tr w14:paraId="6C6F2E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37" w:hRule="atLeast"/>
          <w:tblHeader/>
        </w:trPr>
        <w:tc>
          <w:tcPr>
            <w:tcW w:w="851" w:type="dxa"/>
            <w:vAlign w:val="center"/>
          </w:tcPr>
          <w:p w14:paraId="1A71F702">
            <w:pPr>
              <w:shd w:val="clear"/>
              <w:snapToGrid w:val="0"/>
              <w:spacing w:line="440" w:lineRule="exact"/>
              <w:ind w:firstLine="210" w:firstLineChars="100"/>
              <w:jc w:val="center"/>
              <w:rPr>
                <w:rFonts w:ascii="宋体" w:hAnsi="宋体" w:cs="宋体"/>
                <w:color w:val="auto"/>
                <w:szCs w:val="21"/>
              </w:rPr>
            </w:pPr>
            <w:r>
              <w:rPr>
                <w:rFonts w:hint="eastAsia" w:ascii="宋体" w:hAnsi="宋体" w:cs="宋体"/>
                <w:color w:val="auto"/>
                <w:szCs w:val="21"/>
              </w:rPr>
              <w:t>2</w:t>
            </w:r>
          </w:p>
        </w:tc>
        <w:tc>
          <w:tcPr>
            <w:tcW w:w="1843" w:type="dxa"/>
            <w:vAlign w:val="center"/>
          </w:tcPr>
          <w:p w14:paraId="3F41EB54">
            <w:pPr>
              <w:shd w:val="clear"/>
              <w:snapToGrid w:val="0"/>
              <w:spacing w:line="440" w:lineRule="exact"/>
              <w:ind w:firstLine="422" w:firstLineChars="200"/>
              <w:jc w:val="left"/>
              <w:rPr>
                <w:rFonts w:ascii="宋体" w:hAnsi="宋体" w:cs="宋体"/>
                <w:b/>
                <w:color w:val="auto"/>
                <w:szCs w:val="21"/>
              </w:rPr>
            </w:pPr>
            <w:r>
              <w:rPr>
                <w:rFonts w:hint="eastAsia" w:ascii="宋体" w:hAnsi="宋体" w:cs="宋体"/>
                <w:b/>
                <w:color w:val="auto"/>
                <w:szCs w:val="21"/>
              </w:rPr>
              <w:t>分包</w:t>
            </w:r>
          </w:p>
        </w:tc>
        <w:tc>
          <w:tcPr>
            <w:tcW w:w="6845" w:type="dxa"/>
            <w:vAlign w:val="center"/>
          </w:tcPr>
          <w:p w14:paraId="0F48E81C">
            <w:pPr>
              <w:shd w:val="clear"/>
              <w:spacing w:line="440" w:lineRule="exact"/>
              <w:jc w:val="left"/>
              <w:rPr>
                <w:rFonts w:ascii="宋体" w:hAnsi="宋体" w:cs="宋体"/>
                <w:color w:val="auto"/>
                <w:szCs w:val="21"/>
              </w:rPr>
            </w:pPr>
            <w:r>
              <w:rPr>
                <w:rFonts w:hint="eastAsia" w:ascii="宋体" w:hAnsi="宋体" w:cs="宋体"/>
                <w:color w:val="auto"/>
                <w:szCs w:val="21"/>
              </w:rPr>
              <w:t>不同意分包。</w:t>
            </w:r>
          </w:p>
        </w:tc>
      </w:tr>
      <w:tr w14:paraId="3E05FE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1342" w:hRule="atLeast"/>
          <w:tblHeader/>
        </w:trPr>
        <w:tc>
          <w:tcPr>
            <w:tcW w:w="851" w:type="dxa"/>
            <w:vAlign w:val="center"/>
          </w:tcPr>
          <w:p w14:paraId="3F124D5C">
            <w:pPr>
              <w:shd w:val="clear"/>
              <w:snapToGrid w:val="0"/>
              <w:spacing w:line="440" w:lineRule="exact"/>
              <w:ind w:firstLine="210" w:firstLineChars="100"/>
              <w:jc w:val="center"/>
              <w:rPr>
                <w:rFonts w:ascii="宋体" w:hAnsi="宋体" w:cs="宋体"/>
                <w:color w:val="auto"/>
                <w:szCs w:val="21"/>
              </w:rPr>
            </w:pPr>
            <w:r>
              <w:rPr>
                <w:rFonts w:hint="eastAsia" w:ascii="宋体" w:hAnsi="宋体" w:cs="宋体"/>
                <w:color w:val="auto"/>
                <w:szCs w:val="21"/>
              </w:rPr>
              <w:t>3</w:t>
            </w:r>
          </w:p>
        </w:tc>
        <w:tc>
          <w:tcPr>
            <w:tcW w:w="1843" w:type="dxa"/>
            <w:vAlign w:val="center"/>
          </w:tcPr>
          <w:p w14:paraId="0C4DB968">
            <w:pPr>
              <w:shd w:val="clear"/>
              <w:snapToGrid w:val="0"/>
              <w:spacing w:line="440" w:lineRule="exact"/>
              <w:ind w:firstLine="211"/>
              <w:rPr>
                <w:rFonts w:ascii="宋体" w:hAnsi="宋体" w:cs="宋体"/>
                <w:b/>
                <w:color w:val="auto"/>
                <w:szCs w:val="21"/>
              </w:rPr>
            </w:pPr>
            <w:r>
              <w:rPr>
                <w:rFonts w:hint="eastAsia" w:ascii="宋体" w:hAnsi="宋体" w:cs="宋体"/>
                <w:b/>
                <w:color w:val="auto"/>
                <w:szCs w:val="21"/>
              </w:rPr>
              <w:t>供应商应当提供的资格文件</w:t>
            </w:r>
          </w:p>
        </w:tc>
        <w:tc>
          <w:tcPr>
            <w:tcW w:w="6845" w:type="dxa"/>
            <w:vAlign w:val="center"/>
          </w:tcPr>
          <w:p w14:paraId="2FC67C0C">
            <w:pPr>
              <w:shd w:val="clear"/>
              <w:spacing w:line="440" w:lineRule="exact"/>
              <w:rPr>
                <w:rFonts w:ascii="宋体" w:hAnsi="宋体" w:cs="宋体"/>
                <w:color w:val="auto"/>
                <w:szCs w:val="21"/>
              </w:rPr>
            </w:pPr>
            <w:r>
              <w:rPr>
                <w:rFonts w:hint="eastAsia" w:ascii="宋体" w:hAnsi="宋体" w:cs="宋体"/>
                <w:color w:val="auto"/>
                <w:szCs w:val="21"/>
              </w:rPr>
              <w:t>资格证明文件：见采购文件第二部分9.1。</w:t>
            </w:r>
          </w:p>
          <w:p w14:paraId="7C0C0116">
            <w:pPr>
              <w:shd w:val="clear"/>
              <w:spacing w:line="440" w:lineRule="exact"/>
              <w:rPr>
                <w:rFonts w:ascii="宋体" w:hAnsi="宋体" w:cs="宋体"/>
                <w:color w:val="auto"/>
                <w:kern w:val="0"/>
                <w:szCs w:val="21"/>
              </w:rPr>
            </w:pPr>
            <w:r>
              <w:rPr>
                <w:rFonts w:hint="eastAsia" w:ascii="宋体" w:hAnsi="宋体" w:cs="宋体"/>
                <w:color w:val="auto"/>
                <w:szCs w:val="21"/>
              </w:rPr>
              <w:t>资格证明文件不全的或者不符合采购文件标明的资格要求的</w:t>
            </w:r>
            <w:r>
              <w:rPr>
                <w:rFonts w:hint="eastAsia" w:ascii="宋体" w:hAnsi="宋体" w:cs="宋体"/>
                <w:color w:val="auto"/>
                <w:szCs w:val="21"/>
                <w:lang w:val="zh-CN"/>
              </w:rPr>
              <w:t>，视为供应商不具备采购文件中规定的资格要求，响应无效。</w:t>
            </w:r>
          </w:p>
        </w:tc>
      </w:tr>
      <w:tr w14:paraId="40E945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97" w:hRule="atLeast"/>
          <w:tblHeader/>
        </w:trPr>
        <w:tc>
          <w:tcPr>
            <w:tcW w:w="851" w:type="dxa"/>
            <w:vAlign w:val="center"/>
          </w:tcPr>
          <w:p w14:paraId="6BEAE7FF">
            <w:pPr>
              <w:shd w:val="clear"/>
              <w:snapToGrid w:val="0"/>
              <w:spacing w:line="440" w:lineRule="exact"/>
              <w:ind w:firstLine="210" w:firstLineChars="100"/>
              <w:jc w:val="center"/>
              <w:rPr>
                <w:rFonts w:ascii="宋体" w:hAnsi="宋体" w:cs="宋体"/>
                <w:color w:val="auto"/>
                <w:szCs w:val="21"/>
              </w:rPr>
            </w:pPr>
            <w:r>
              <w:rPr>
                <w:rFonts w:hint="eastAsia" w:ascii="宋体" w:hAnsi="宋体" w:cs="宋体"/>
                <w:color w:val="auto"/>
                <w:szCs w:val="21"/>
              </w:rPr>
              <w:t>4</w:t>
            </w:r>
          </w:p>
        </w:tc>
        <w:tc>
          <w:tcPr>
            <w:tcW w:w="1843" w:type="dxa"/>
            <w:vAlign w:val="center"/>
          </w:tcPr>
          <w:p w14:paraId="639B18BA">
            <w:pPr>
              <w:shd w:val="clear"/>
              <w:snapToGrid w:val="0"/>
              <w:spacing w:line="440" w:lineRule="exact"/>
              <w:ind w:firstLine="211"/>
              <w:rPr>
                <w:rFonts w:ascii="宋体" w:hAnsi="宋体" w:cs="宋体"/>
                <w:b/>
                <w:color w:val="auto"/>
                <w:szCs w:val="21"/>
              </w:rPr>
            </w:pPr>
            <w:r>
              <w:rPr>
                <w:rFonts w:hint="eastAsia" w:ascii="宋体" w:hAnsi="宋体" w:cs="宋体"/>
                <w:b/>
                <w:color w:val="auto"/>
                <w:szCs w:val="21"/>
              </w:rPr>
              <w:t>现场考察</w:t>
            </w:r>
          </w:p>
        </w:tc>
        <w:tc>
          <w:tcPr>
            <w:tcW w:w="6845" w:type="dxa"/>
            <w:vAlign w:val="center"/>
          </w:tcPr>
          <w:p w14:paraId="05E7E4B0">
            <w:pPr>
              <w:shd w:val="clear"/>
              <w:spacing w:line="440" w:lineRule="exact"/>
              <w:rPr>
                <w:rFonts w:ascii="宋体" w:hAnsi="宋体" w:cs="宋体"/>
                <w:color w:val="auto"/>
                <w:szCs w:val="21"/>
              </w:rPr>
            </w:pPr>
            <w:r>
              <w:rPr>
                <w:rFonts w:hint="eastAsia" w:ascii="宋体" w:hAnsi="宋体" w:cs="宋体"/>
                <w:color w:val="auto"/>
                <w:szCs w:val="21"/>
              </w:rPr>
              <w:t>不组织</w:t>
            </w:r>
          </w:p>
        </w:tc>
      </w:tr>
      <w:tr w14:paraId="7F36F8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525" w:hRule="atLeast"/>
          <w:tblHeader/>
        </w:trPr>
        <w:tc>
          <w:tcPr>
            <w:tcW w:w="851" w:type="dxa"/>
            <w:vAlign w:val="center"/>
          </w:tcPr>
          <w:p w14:paraId="0D07D25E">
            <w:pPr>
              <w:shd w:val="clear"/>
              <w:snapToGrid w:val="0"/>
              <w:spacing w:line="440" w:lineRule="exact"/>
              <w:ind w:firstLine="210" w:firstLineChars="100"/>
              <w:jc w:val="center"/>
              <w:rPr>
                <w:rFonts w:ascii="宋体" w:hAnsi="宋体" w:cs="宋体"/>
                <w:color w:val="auto"/>
                <w:szCs w:val="21"/>
              </w:rPr>
            </w:pPr>
            <w:r>
              <w:rPr>
                <w:rFonts w:hint="eastAsia" w:ascii="宋体" w:hAnsi="宋体" w:cs="宋体"/>
                <w:color w:val="auto"/>
                <w:szCs w:val="21"/>
              </w:rPr>
              <w:t>5</w:t>
            </w:r>
          </w:p>
        </w:tc>
        <w:tc>
          <w:tcPr>
            <w:tcW w:w="1843" w:type="dxa"/>
            <w:vAlign w:val="center"/>
          </w:tcPr>
          <w:p w14:paraId="7FEDA529">
            <w:pPr>
              <w:shd w:val="clear"/>
              <w:snapToGrid w:val="0"/>
              <w:spacing w:line="440" w:lineRule="exact"/>
              <w:ind w:firstLine="211"/>
              <w:rPr>
                <w:rFonts w:ascii="宋体" w:hAnsi="宋体" w:cs="宋体"/>
                <w:bCs/>
                <w:color w:val="auto"/>
                <w:szCs w:val="21"/>
              </w:rPr>
            </w:pPr>
            <w:r>
              <w:rPr>
                <w:rFonts w:hint="eastAsia" w:ascii="宋体" w:hAnsi="宋体" w:cs="宋体"/>
                <w:b/>
                <w:color w:val="auto"/>
                <w:szCs w:val="21"/>
              </w:rPr>
              <w:t>方案讲解演示</w:t>
            </w:r>
          </w:p>
        </w:tc>
        <w:tc>
          <w:tcPr>
            <w:tcW w:w="6845" w:type="dxa"/>
            <w:vAlign w:val="center"/>
          </w:tcPr>
          <w:p w14:paraId="596072DC">
            <w:pPr>
              <w:shd w:val="clear"/>
              <w:spacing w:line="440" w:lineRule="exact"/>
              <w:rPr>
                <w:rFonts w:ascii="宋体" w:hAnsi="宋体" w:cs="宋体"/>
                <w:color w:val="auto"/>
                <w:szCs w:val="21"/>
              </w:rPr>
            </w:pPr>
            <w:r>
              <w:rPr>
                <w:rFonts w:hint="eastAsia" w:ascii="宋体" w:hAnsi="宋体" w:cs="宋体"/>
                <w:color w:val="auto"/>
                <w:szCs w:val="21"/>
              </w:rPr>
              <w:t>不组织。</w:t>
            </w:r>
          </w:p>
        </w:tc>
      </w:tr>
      <w:tr w14:paraId="188B13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686" w:hRule="atLeast"/>
          <w:tblHeader/>
        </w:trPr>
        <w:tc>
          <w:tcPr>
            <w:tcW w:w="851" w:type="dxa"/>
            <w:vAlign w:val="center"/>
          </w:tcPr>
          <w:p w14:paraId="67777B4B">
            <w:pPr>
              <w:shd w:val="clear"/>
              <w:snapToGrid w:val="0"/>
              <w:spacing w:line="440" w:lineRule="exact"/>
              <w:ind w:firstLine="210" w:firstLineChars="100"/>
              <w:jc w:val="center"/>
              <w:rPr>
                <w:rFonts w:ascii="宋体" w:hAnsi="宋体" w:cs="宋体"/>
                <w:color w:val="auto"/>
                <w:szCs w:val="21"/>
              </w:rPr>
            </w:pPr>
            <w:r>
              <w:rPr>
                <w:rFonts w:hint="eastAsia" w:ascii="宋体" w:hAnsi="宋体" w:cs="宋体"/>
                <w:color w:val="auto"/>
                <w:szCs w:val="21"/>
              </w:rPr>
              <w:t>6</w:t>
            </w:r>
          </w:p>
        </w:tc>
        <w:tc>
          <w:tcPr>
            <w:tcW w:w="1843" w:type="dxa"/>
            <w:vAlign w:val="center"/>
          </w:tcPr>
          <w:p w14:paraId="3A92ED32">
            <w:pPr>
              <w:shd w:val="clear"/>
              <w:snapToGrid w:val="0"/>
              <w:spacing w:line="440" w:lineRule="exact"/>
              <w:ind w:firstLine="211"/>
              <w:rPr>
                <w:rFonts w:ascii="宋体" w:hAnsi="宋体" w:cs="宋体"/>
                <w:b/>
                <w:color w:val="auto"/>
                <w:szCs w:val="21"/>
              </w:rPr>
            </w:pPr>
            <w:r>
              <w:rPr>
                <w:rFonts w:hint="eastAsia" w:ascii="宋体" w:hAnsi="宋体" w:cs="宋体"/>
                <w:b/>
                <w:color w:val="auto"/>
                <w:szCs w:val="21"/>
              </w:rPr>
              <w:t>采购标的对应的中小企业划分标准所属行业</w:t>
            </w:r>
          </w:p>
        </w:tc>
        <w:tc>
          <w:tcPr>
            <w:tcW w:w="6845" w:type="dxa"/>
            <w:vAlign w:val="center"/>
          </w:tcPr>
          <w:p w14:paraId="54B23F4D">
            <w:pPr>
              <w:shd w:val="clear"/>
              <w:snapToGrid w:val="0"/>
              <w:spacing w:line="440" w:lineRule="exact"/>
              <w:rPr>
                <w:rFonts w:ascii="宋体" w:hAnsi="宋体" w:cs="宋体"/>
                <w:color w:val="auto"/>
                <w:kern w:val="0"/>
                <w:szCs w:val="21"/>
              </w:rPr>
            </w:pPr>
            <w:r>
              <w:rPr>
                <w:rFonts w:hint="eastAsia" w:ascii="宋体" w:hAnsi="宋体" w:cs="宋体"/>
                <w:color w:val="auto"/>
                <w:kern w:val="0"/>
                <w:szCs w:val="21"/>
              </w:rPr>
              <w:t>标的：</w:t>
            </w:r>
            <w:r>
              <w:rPr>
                <w:rFonts w:hint="eastAsia" w:ascii="宋体" w:hAnsi="宋体" w:cs="宋体"/>
                <w:bCs/>
                <w:snapToGrid w:val="0"/>
                <w:color w:val="auto"/>
                <w:szCs w:val="21"/>
                <w:u w:val="single"/>
              </w:rPr>
              <w:t>江口街道2025年公共基础设施零星修复工程</w:t>
            </w:r>
            <w:r>
              <w:rPr>
                <w:rFonts w:hint="eastAsia" w:ascii="宋体" w:hAnsi="宋体" w:cs="宋体"/>
                <w:color w:val="auto"/>
                <w:kern w:val="0"/>
                <w:szCs w:val="21"/>
              </w:rPr>
              <w:t>，属于</w:t>
            </w:r>
            <w:r>
              <w:rPr>
                <w:rFonts w:hint="eastAsia" w:ascii="宋体" w:hAnsi="宋体" w:cs="宋体"/>
                <w:color w:val="auto"/>
                <w:kern w:val="0"/>
                <w:szCs w:val="21"/>
                <w:u w:val="single"/>
              </w:rPr>
              <w:t>建筑</w:t>
            </w:r>
            <w:r>
              <w:rPr>
                <w:rFonts w:hint="eastAsia" w:ascii="宋体" w:hAnsi="宋体" w:cs="宋体"/>
                <w:color w:val="auto"/>
                <w:kern w:val="0"/>
                <w:szCs w:val="21"/>
              </w:rPr>
              <w:t>行业；</w:t>
            </w:r>
          </w:p>
        </w:tc>
      </w:tr>
      <w:tr w14:paraId="684754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4520" w:hRule="atLeast"/>
          <w:tblHeader/>
        </w:trPr>
        <w:tc>
          <w:tcPr>
            <w:tcW w:w="851" w:type="dxa"/>
            <w:vAlign w:val="center"/>
          </w:tcPr>
          <w:p w14:paraId="72294B07">
            <w:pPr>
              <w:shd w:val="clear"/>
              <w:snapToGrid w:val="0"/>
              <w:spacing w:line="440" w:lineRule="exact"/>
              <w:ind w:firstLine="210" w:firstLineChars="100"/>
              <w:jc w:val="center"/>
              <w:rPr>
                <w:rFonts w:ascii="宋体" w:hAnsi="宋体" w:cs="宋体"/>
                <w:color w:val="auto"/>
                <w:szCs w:val="21"/>
              </w:rPr>
            </w:pPr>
            <w:r>
              <w:rPr>
                <w:rFonts w:hint="eastAsia" w:ascii="宋体" w:hAnsi="宋体" w:cs="宋体"/>
                <w:color w:val="auto"/>
                <w:szCs w:val="21"/>
              </w:rPr>
              <w:t>7</w:t>
            </w:r>
          </w:p>
        </w:tc>
        <w:tc>
          <w:tcPr>
            <w:tcW w:w="1843" w:type="dxa"/>
            <w:vAlign w:val="center"/>
          </w:tcPr>
          <w:p w14:paraId="2DEE45B3">
            <w:pPr>
              <w:shd w:val="clear"/>
              <w:snapToGrid w:val="0"/>
              <w:spacing w:line="440" w:lineRule="exact"/>
              <w:ind w:firstLine="211" w:firstLineChars="100"/>
              <w:rPr>
                <w:rFonts w:ascii="宋体" w:hAnsi="宋体" w:cs="宋体"/>
                <w:b/>
                <w:color w:val="auto"/>
                <w:szCs w:val="21"/>
              </w:rPr>
            </w:pPr>
            <w:r>
              <w:rPr>
                <w:rFonts w:hint="eastAsia" w:ascii="宋体" w:hAnsi="宋体" w:cs="宋体"/>
                <w:b/>
                <w:color w:val="auto"/>
                <w:szCs w:val="21"/>
              </w:rPr>
              <w:t>代理服务费</w:t>
            </w:r>
          </w:p>
        </w:tc>
        <w:tc>
          <w:tcPr>
            <w:tcW w:w="6845" w:type="dxa"/>
            <w:vAlign w:val="center"/>
          </w:tcPr>
          <w:p w14:paraId="404BA189">
            <w:pPr>
              <w:shd w:val="clear"/>
              <w:tabs>
                <w:tab w:val="left" w:pos="360"/>
              </w:tabs>
              <w:spacing w:line="240" w:lineRule="atLeast"/>
              <w:rPr>
                <w:rFonts w:hint="eastAsia"/>
                <w:color w:val="auto"/>
                <w:sz w:val="24"/>
              </w:rPr>
            </w:pPr>
            <w:r>
              <w:rPr>
                <w:rFonts w:hint="eastAsia"/>
                <w:color w:val="auto"/>
                <w:sz w:val="24"/>
              </w:rPr>
              <w:t>1、收费标准</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50"/>
              <w:gridCol w:w="1176"/>
              <w:gridCol w:w="1176"/>
              <w:gridCol w:w="1176"/>
            </w:tblGrid>
            <w:tr w14:paraId="09FE5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0" w:type="auto"/>
                  <w:tcBorders>
                    <w:tl2br w:val="single" w:color="auto" w:sz="4" w:space="0"/>
                  </w:tcBorders>
                  <w:noWrap w:val="0"/>
                  <w:vAlign w:val="center"/>
                </w:tcPr>
                <w:p w14:paraId="6BEA159F">
                  <w:pPr>
                    <w:shd w:val="clear"/>
                    <w:tabs>
                      <w:tab w:val="center" w:pos="4153"/>
                      <w:tab w:val="right" w:pos="8306"/>
                    </w:tabs>
                    <w:snapToGrid w:val="0"/>
                    <w:ind w:firstLine="1680" w:firstLineChars="700"/>
                    <w:jc w:val="left"/>
                    <w:rPr>
                      <w:snapToGrid w:val="0"/>
                      <w:color w:val="auto"/>
                      <w:sz w:val="24"/>
                    </w:rPr>
                  </w:pPr>
                  <w:r>
                    <w:rPr>
                      <w:snapToGrid w:val="0"/>
                      <w:color w:val="auto"/>
                      <w:sz w:val="24"/>
                    </w:rPr>
                    <w:t>费率</w:t>
                  </w:r>
                </w:p>
                <w:p w14:paraId="030D39AA">
                  <w:pPr>
                    <w:shd w:val="clear"/>
                    <w:tabs>
                      <w:tab w:val="center" w:pos="4153"/>
                      <w:tab w:val="right" w:pos="8306"/>
                    </w:tabs>
                    <w:snapToGrid w:val="0"/>
                    <w:jc w:val="left"/>
                    <w:rPr>
                      <w:snapToGrid w:val="0"/>
                      <w:color w:val="auto"/>
                      <w:sz w:val="24"/>
                    </w:rPr>
                  </w:pPr>
                  <w:r>
                    <w:rPr>
                      <w:rFonts w:hint="eastAsia"/>
                      <w:snapToGrid w:val="0"/>
                      <w:color w:val="auto"/>
                      <w:sz w:val="24"/>
                    </w:rPr>
                    <w:t>基</w:t>
                  </w:r>
                  <w:r>
                    <w:rPr>
                      <w:snapToGrid w:val="0"/>
                      <w:color w:val="auto"/>
                      <w:sz w:val="24"/>
                    </w:rPr>
                    <w:t>准价</w:t>
                  </w:r>
                </w:p>
              </w:tc>
              <w:tc>
                <w:tcPr>
                  <w:tcW w:w="0" w:type="auto"/>
                  <w:noWrap w:val="0"/>
                  <w:vAlign w:val="center"/>
                </w:tcPr>
                <w:p w14:paraId="39BA7BDC">
                  <w:pPr>
                    <w:shd w:val="clear"/>
                    <w:tabs>
                      <w:tab w:val="center" w:pos="4153"/>
                      <w:tab w:val="right" w:pos="8306"/>
                    </w:tabs>
                    <w:snapToGrid w:val="0"/>
                    <w:jc w:val="left"/>
                    <w:rPr>
                      <w:snapToGrid w:val="0"/>
                      <w:color w:val="auto"/>
                      <w:sz w:val="24"/>
                    </w:rPr>
                  </w:pPr>
                  <w:r>
                    <w:rPr>
                      <w:snapToGrid w:val="0"/>
                      <w:color w:val="auto"/>
                      <w:sz w:val="24"/>
                    </w:rPr>
                    <w:t>货物招标</w:t>
                  </w:r>
                </w:p>
              </w:tc>
              <w:tc>
                <w:tcPr>
                  <w:tcW w:w="0" w:type="auto"/>
                  <w:noWrap w:val="0"/>
                  <w:vAlign w:val="center"/>
                </w:tcPr>
                <w:p w14:paraId="537A2A92">
                  <w:pPr>
                    <w:shd w:val="clear"/>
                    <w:tabs>
                      <w:tab w:val="center" w:pos="4153"/>
                      <w:tab w:val="right" w:pos="8306"/>
                    </w:tabs>
                    <w:snapToGrid w:val="0"/>
                    <w:jc w:val="left"/>
                    <w:rPr>
                      <w:snapToGrid w:val="0"/>
                      <w:color w:val="auto"/>
                      <w:sz w:val="24"/>
                    </w:rPr>
                  </w:pPr>
                  <w:r>
                    <w:rPr>
                      <w:snapToGrid w:val="0"/>
                      <w:color w:val="auto"/>
                      <w:sz w:val="24"/>
                    </w:rPr>
                    <w:t>服务招标</w:t>
                  </w:r>
                </w:p>
              </w:tc>
              <w:tc>
                <w:tcPr>
                  <w:tcW w:w="0" w:type="auto"/>
                  <w:noWrap w:val="0"/>
                  <w:vAlign w:val="center"/>
                </w:tcPr>
                <w:p w14:paraId="223CD945">
                  <w:pPr>
                    <w:shd w:val="clear"/>
                    <w:tabs>
                      <w:tab w:val="center" w:pos="4153"/>
                      <w:tab w:val="right" w:pos="8306"/>
                    </w:tabs>
                    <w:snapToGrid w:val="0"/>
                    <w:jc w:val="left"/>
                    <w:rPr>
                      <w:snapToGrid w:val="0"/>
                      <w:color w:val="auto"/>
                      <w:sz w:val="24"/>
                    </w:rPr>
                  </w:pPr>
                  <w:r>
                    <w:rPr>
                      <w:snapToGrid w:val="0"/>
                      <w:color w:val="auto"/>
                      <w:sz w:val="24"/>
                    </w:rPr>
                    <w:t>工程招标</w:t>
                  </w:r>
                </w:p>
              </w:tc>
            </w:tr>
            <w:tr w14:paraId="26BC4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0" w:type="auto"/>
                  <w:noWrap w:val="0"/>
                  <w:vAlign w:val="center"/>
                </w:tcPr>
                <w:p w14:paraId="522A8E51">
                  <w:pPr>
                    <w:shd w:val="clear"/>
                    <w:tabs>
                      <w:tab w:val="center" w:pos="4153"/>
                      <w:tab w:val="right" w:pos="8306"/>
                    </w:tabs>
                    <w:snapToGrid w:val="0"/>
                    <w:jc w:val="left"/>
                    <w:rPr>
                      <w:rFonts w:hint="eastAsia"/>
                      <w:snapToGrid w:val="0"/>
                      <w:color w:val="auto"/>
                      <w:sz w:val="24"/>
                    </w:rPr>
                  </w:pPr>
                  <w:r>
                    <w:rPr>
                      <w:snapToGrid w:val="0"/>
                      <w:color w:val="auto"/>
                      <w:sz w:val="24"/>
                    </w:rPr>
                    <w:t>100万以下</w:t>
                  </w:r>
                  <w:r>
                    <w:rPr>
                      <w:rFonts w:hint="eastAsia"/>
                      <w:snapToGrid w:val="0"/>
                      <w:color w:val="auto"/>
                      <w:sz w:val="24"/>
                    </w:rPr>
                    <w:t>（含）</w:t>
                  </w:r>
                </w:p>
              </w:tc>
              <w:tc>
                <w:tcPr>
                  <w:tcW w:w="0" w:type="auto"/>
                  <w:noWrap w:val="0"/>
                  <w:vAlign w:val="center"/>
                </w:tcPr>
                <w:p w14:paraId="44098FDA">
                  <w:pPr>
                    <w:shd w:val="clear"/>
                    <w:tabs>
                      <w:tab w:val="center" w:pos="4153"/>
                      <w:tab w:val="right" w:pos="8306"/>
                    </w:tabs>
                    <w:snapToGrid w:val="0"/>
                    <w:jc w:val="center"/>
                    <w:rPr>
                      <w:snapToGrid w:val="0"/>
                      <w:color w:val="auto"/>
                      <w:sz w:val="24"/>
                    </w:rPr>
                  </w:pPr>
                  <w:r>
                    <w:rPr>
                      <w:snapToGrid w:val="0"/>
                      <w:color w:val="auto"/>
                      <w:kern w:val="0"/>
                      <w:sz w:val="24"/>
                    </w:rPr>
                    <w:t>1.5 %</w:t>
                  </w:r>
                </w:p>
              </w:tc>
              <w:tc>
                <w:tcPr>
                  <w:tcW w:w="0" w:type="auto"/>
                  <w:noWrap w:val="0"/>
                  <w:vAlign w:val="center"/>
                </w:tcPr>
                <w:p w14:paraId="52E32A63">
                  <w:pPr>
                    <w:shd w:val="clear"/>
                    <w:tabs>
                      <w:tab w:val="center" w:pos="4153"/>
                      <w:tab w:val="right" w:pos="8306"/>
                    </w:tabs>
                    <w:snapToGrid w:val="0"/>
                    <w:jc w:val="center"/>
                    <w:rPr>
                      <w:snapToGrid w:val="0"/>
                      <w:color w:val="auto"/>
                      <w:sz w:val="24"/>
                    </w:rPr>
                  </w:pPr>
                  <w:r>
                    <w:rPr>
                      <w:snapToGrid w:val="0"/>
                      <w:color w:val="auto"/>
                      <w:kern w:val="0"/>
                      <w:sz w:val="24"/>
                    </w:rPr>
                    <w:t>1.5 %</w:t>
                  </w:r>
                </w:p>
              </w:tc>
              <w:tc>
                <w:tcPr>
                  <w:tcW w:w="0" w:type="auto"/>
                  <w:noWrap w:val="0"/>
                  <w:vAlign w:val="center"/>
                </w:tcPr>
                <w:p w14:paraId="6FF99B4F">
                  <w:pPr>
                    <w:shd w:val="clear"/>
                    <w:tabs>
                      <w:tab w:val="center" w:pos="4153"/>
                      <w:tab w:val="right" w:pos="8306"/>
                    </w:tabs>
                    <w:snapToGrid w:val="0"/>
                    <w:jc w:val="center"/>
                    <w:rPr>
                      <w:snapToGrid w:val="0"/>
                      <w:color w:val="auto"/>
                      <w:sz w:val="24"/>
                    </w:rPr>
                  </w:pPr>
                  <w:r>
                    <w:rPr>
                      <w:snapToGrid w:val="0"/>
                      <w:color w:val="auto"/>
                      <w:kern w:val="0"/>
                      <w:sz w:val="24"/>
                    </w:rPr>
                    <w:t>1.0%</w:t>
                  </w:r>
                </w:p>
              </w:tc>
            </w:tr>
            <w:tr w14:paraId="312CF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0" w:type="auto"/>
                  <w:noWrap w:val="0"/>
                  <w:vAlign w:val="center"/>
                </w:tcPr>
                <w:p w14:paraId="705F695B">
                  <w:pPr>
                    <w:shd w:val="clear"/>
                    <w:tabs>
                      <w:tab w:val="center" w:pos="4153"/>
                      <w:tab w:val="right" w:pos="8306"/>
                    </w:tabs>
                    <w:snapToGrid w:val="0"/>
                    <w:jc w:val="left"/>
                    <w:rPr>
                      <w:snapToGrid w:val="0"/>
                      <w:color w:val="auto"/>
                      <w:sz w:val="24"/>
                    </w:rPr>
                  </w:pPr>
                  <w:r>
                    <w:rPr>
                      <w:snapToGrid w:val="0"/>
                      <w:color w:val="auto"/>
                      <w:sz w:val="24"/>
                    </w:rPr>
                    <w:t>100～500万</w:t>
                  </w:r>
                  <w:r>
                    <w:rPr>
                      <w:rFonts w:hint="eastAsia"/>
                      <w:snapToGrid w:val="0"/>
                      <w:color w:val="auto"/>
                      <w:sz w:val="24"/>
                    </w:rPr>
                    <w:t>（含）</w:t>
                  </w:r>
                </w:p>
              </w:tc>
              <w:tc>
                <w:tcPr>
                  <w:tcW w:w="0" w:type="auto"/>
                  <w:noWrap w:val="0"/>
                  <w:vAlign w:val="center"/>
                </w:tcPr>
                <w:p w14:paraId="5E1BEEAF">
                  <w:pPr>
                    <w:shd w:val="clear"/>
                    <w:tabs>
                      <w:tab w:val="center" w:pos="4153"/>
                      <w:tab w:val="right" w:pos="8306"/>
                    </w:tabs>
                    <w:snapToGrid w:val="0"/>
                    <w:jc w:val="center"/>
                    <w:rPr>
                      <w:snapToGrid w:val="0"/>
                      <w:color w:val="auto"/>
                      <w:sz w:val="24"/>
                    </w:rPr>
                  </w:pPr>
                  <w:r>
                    <w:rPr>
                      <w:snapToGrid w:val="0"/>
                      <w:color w:val="auto"/>
                      <w:kern w:val="0"/>
                      <w:sz w:val="24"/>
                    </w:rPr>
                    <w:t>1.1 %</w:t>
                  </w:r>
                </w:p>
              </w:tc>
              <w:tc>
                <w:tcPr>
                  <w:tcW w:w="0" w:type="auto"/>
                  <w:noWrap w:val="0"/>
                  <w:vAlign w:val="center"/>
                </w:tcPr>
                <w:p w14:paraId="5BF9DDD1">
                  <w:pPr>
                    <w:shd w:val="clear"/>
                    <w:tabs>
                      <w:tab w:val="center" w:pos="4153"/>
                      <w:tab w:val="right" w:pos="8306"/>
                    </w:tabs>
                    <w:snapToGrid w:val="0"/>
                    <w:jc w:val="center"/>
                    <w:rPr>
                      <w:snapToGrid w:val="0"/>
                      <w:color w:val="auto"/>
                      <w:sz w:val="24"/>
                    </w:rPr>
                  </w:pPr>
                  <w:r>
                    <w:rPr>
                      <w:snapToGrid w:val="0"/>
                      <w:color w:val="auto"/>
                      <w:kern w:val="0"/>
                      <w:sz w:val="24"/>
                    </w:rPr>
                    <w:t>0.8 %</w:t>
                  </w:r>
                </w:p>
              </w:tc>
              <w:tc>
                <w:tcPr>
                  <w:tcW w:w="0" w:type="auto"/>
                  <w:noWrap w:val="0"/>
                  <w:vAlign w:val="center"/>
                </w:tcPr>
                <w:p w14:paraId="7D61ABD7">
                  <w:pPr>
                    <w:shd w:val="clear"/>
                    <w:tabs>
                      <w:tab w:val="center" w:pos="4153"/>
                      <w:tab w:val="right" w:pos="8306"/>
                    </w:tabs>
                    <w:snapToGrid w:val="0"/>
                    <w:jc w:val="center"/>
                    <w:rPr>
                      <w:snapToGrid w:val="0"/>
                      <w:color w:val="auto"/>
                      <w:sz w:val="24"/>
                    </w:rPr>
                  </w:pPr>
                  <w:r>
                    <w:rPr>
                      <w:snapToGrid w:val="0"/>
                      <w:color w:val="auto"/>
                      <w:kern w:val="0"/>
                      <w:sz w:val="24"/>
                    </w:rPr>
                    <w:t>0.7%</w:t>
                  </w:r>
                </w:p>
              </w:tc>
            </w:tr>
            <w:tr w14:paraId="64497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0" w:type="auto"/>
                  <w:noWrap w:val="0"/>
                  <w:vAlign w:val="center"/>
                </w:tcPr>
                <w:p w14:paraId="3298E80B">
                  <w:pPr>
                    <w:shd w:val="clear"/>
                    <w:tabs>
                      <w:tab w:val="center" w:pos="4153"/>
                      <w:tab w:val="right" w:pos="8306"/>
                    </w:tabs>
                    <w:snapToGrid w:val="0"/>
                    <w:jc w:val="left"/>
                    <w:rPr>
                      <w:snapToGrid w:val="0"/>
                      <w:color w:val="auto"/>
                      <w:sz w:val="24"/>
                    </w:rPr>
                  </w:pPr>
                  <w:r>
                    <w:rPr>
                      <w:snapToGrid w:val="0"/>
                      <w:color w:val="auto"/>
                      <w:sz w:val="24"/>
                    </w:rPr>
                    <w:t>500～1000万</w:t>
                  </w:r>
                  <w:r>
                    <w:rPr>
                      <w:rFonts w:hint="eastAsia"/>
                      <w:snapToGrid w:val="0"/>
                      <w:color w:val="auto"/>
                      <w:sz w:val="24"/>
                    </w:rPr>
                    <w:t>（含）</w:t>
                  </w:r>
                </w:p>
              </w:tc>
              <w:tc>
                <w:tcPr>
                  <w:tcW w:w="0" w:type="auto"/>
                  <w:noWrap w:val="0"/>
                  <w:vAlign w:val="center"/>
                </w:tcPr>
                <w:p w14:paraId="5A15D880">
                  <w:pPr>
                    <w:shd w:val="clear"/>
                    <w:tabs>
                      <w:tab w:val="center" w:pos="4153"/>
                      <w:tab w:val="right" w:pos="8306"/>
                    </w:tabs>
                    <w:snapToGrid w:val="0"/>
                    <w:jc w:val="center"/>
                    <w:rPr>
                      <w:snapToGrid w:val="0"/>
                      <w:color w:val="auto"/>
                      <w:sz w:val="24"/>
                    </w:rPr>
                  </w:pPr>
                  <w:r>
                    <w:rPr>
                      <w:snapToGrid w:val="0"/>
                      <w:color w:val="auto"/>
                      <w:kern w:val="0"/>
                      <w:sz w:val="24"/>
                    </w:rPr>
                    <w:t>0.8 %</w:t>
                  </w:r>
                </w:p>
              </w:tc>
              <w:tc>
                <w:tcPr>
                  <w:tcW w:w="0" w:type="auto"/>
                  <w:noWrap w:val="0"/>
                  <w:vAlign w:val="center"/>
                </w:tcPr>
                <w:p w14:paraId="4026B36B">
                  <w:pPr>
                    <w:shd w:val="clear"/>
                    <w:tabs>
                      <w:tab w:val="center" w:pos="4153"/>
                      <w:tab w:val="right" w:pos="8306"/>
                    </w:tabs>
                    <w:snapToGrid w:val="0"/>
                    <w:jc w:val="center"/>
                    <w:rPr>
                      <w:snapToGrid w:val="0"/>
                      <w:color w:val="auto"/>
                      <w:sz w:val="24"/>
                    </w:rPr>
                  </w:pPr>
                  <w:r>
                    <w:rPr>
                      <w:snapToGrid w:val="0"/>
                      <w:color w:val="auto"/>
                      <w:kern w:val="0"/>
                      <w:sz w:val="24"/>
                    </w:rPr>
                    <w:t>0.45 %</w:t>
                  </w:r>
                </w:p>
              </w:tc>
              <w:tc>
                <w:tcPr>
                  <w:tcW w:w="0" w:type="auto"/>
                  <w:noWrap w:val="0"/>
                  <w:vAlign w:val="center"/>
                </w:tcPr>
                <w:p w14:paraId="5391B69E">
                  <w:pPr>
                    <w:shd w:val="clear"/>
                    <w:tabs>
                      <w:tab w:val="center" w:pos="4153"/>
                      <w:tab w:val="right" w:pos="8306"/>
                    </w:tabs>
                    <w:snapToGrid w:val="0"/>
                    <w:jc w:val="center"/>
                    <w:rPr>
                      <w:snapToGrid w:val="0"/>
                      <w:color w:val="auto"/>
                      <w:sz w:val="24"/>
                    </w:rPr>
                  </w:pPr>
                  <w:r>
                    <w:rPr>
                      <w:snapToGrid w:val="0"/>
                      <w:color w:val="auto"/>
                      <w:kern w:val="0"/>
                      <w:sz w:val="24"/>
                    </w:rPr>
                    <w:t>0.55%</w:t>
                  </w:r>
                </w:p>
              </w:tc>
            </w:tr>
            <w:tr w14:paraId="496FE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0" w:type="auto"/>
                  <w:noWrap w:val="0"/>
                  <w:vAlign w:val="center"/>
                </w:tcPr>
                <w:p w14:paraId="424E7DED">
                  <w:pPr>
                    <w:shd w:val="clear"/>
                    <w:tabs>
                      <w:tab w:val="center" w:pos="4153"/>
                      <w:tab w:val="right" w:pos="8306"/>
                    </w:tabs>
                    <w:snapToGrid w:val="0"/>
                    <w:jc w:val="left"/>
                    <w:rPr>
                      <w:snapToGrid w:val="0"/>
                      <w:color w:val="auto"/>
                      <w:sz w:val="24"/>
                    </w:rPr>
                  </w:pPr>
                  <w:r>
                    <w:rPr>
                      <w:snapToGrid w:val="0"/>
                      <w:color w:val="auto"/>
                      <w:sz w:val="24"/>
                    </w:rPr>
                    <w:t>1000～5000万</w:t>
                  </w:r>
                  <w:r>
                    <w:rPr>
                      <w:rFonts w:hint="eastAsia"/>
                      <w:snapToGrid w:val="0"/>
                      <w:color w:val="auto"/>
                      <w:sz w:val="24"/>
                    </w:rPr>
                    <w:t>（含）</w:t>
                  </w:r>
                </w:p>
              </w:tc>
              <w:tc>
                <w:tcPr>
                  <w:tcW w:w="0" w:type="auto"/>
                  <w:noWrap w:val="0"/>
                  <w:vAlign w:val="center"/>
                </w:tcPr>
                <w:p w14:paraId="076E0C5A">
                  <w:pPr>
                    <w:shd w:val="clear"/>
                    <w:tabs>
                      <w:tab w:val="center" w:pos="4153"/>
                      <w:tab w:val="right" w:pos="8306"/>
                    </w:tabs>
                    <w:snapToGrid w:val="0"/>
                    <w:jc w:val="center"/>
                    <w:rPr>
                      <w:snapToGrid w:val="0"/>
                      <w:color w:val="auto"/>
                      <w:sz w:val="24"/>
                    </w:rPr>
                  </w:pPr>
                  <w:r>
                    <w:rPr>
                      <w:snapToGrid w:val="0"/>
                      <w:color w:val="auto"/>
                      <w:kern w:val="0"/>
                      <w:sz w:val="24"/>
                    </w:rPr>
                    <w:t>0.5 %</w:t>
                  </w:r>
                </w:p>
              </w:tc>
              <w:tc>
                <w:tcPr>
                  <w:tcW w:w="0" w:type="auto"/>
                  <w:noWrap w:val="0"/>
                  <w:vAlign w:val="center"/>
                </w:tcPr>
                <w:p w14:paraId="7F5996F8">
                  <w:pPr>
                    <w:shd w:val="clear"/>
                    <w:tabs>
                      <w:tab w:val="center" w:pos="4153"/>
                      <w:tab w:val="right" w:pos="8306"/>
                    </w:tabs>
                    <w:snapToGrid w:val="0"/>
                    <w:jc w:val="center"/>
                    <w:rPr>
                      <w:snapToGrid w:val="0"/>
                      <w:color w:val="auto"/>
                      <w:sz w:val="24"/>
                    </w:rPr>
                  </w:pPr>
                  <w:r>
                    <w:rPr>
                      <w:snapToGrid w:val="0"/>
                      <w:color w:val="auto"/>
                      <w:kern w:val="0"/>
                      <w:sz w:val="24"/>
                    </w:rPr>
                    <w:t>0.25 %</w:t>
                  </w:r>
                </w:p>
              </w:tc>
              <w:tc>
                <w:tcPr>
                  <w:tcW w:w="0" w:type="auto"/>
                  <w:noWrap w:val="0"/>
                  <w:vAlign w:val="center"/>
                </w:tcPr>
                <w:p w14:paraId="6C7FB3BC">
                  <w:pPr>
                    <w:shd w:val="clear"/>
                    <w:tabs>
                      <w:tab w:val="center" w:pos="4153"/>
                      <w:tab w:val="right" w:pos="8306"/>
                    </w:tabs>
                    <w:snapToGrid w:val="0"/>
                    <w:jc w:val="center"/>
                    <w:rPr>
                      <w:snapToGrid w:val="0"/>
                      <w:color w:val="auto"/>
                      <w:sz w:val="24"/>
                    </w:rPr>
                  </w:pPr>
                  <w:r>
                    <w:rPr>
                      <w:snapToGrid w:val="0"/>
                      <w:color w:val="auto"/>
                      <w:kern w:val="0"/>
                      <w:sz w:val="24"/>
                    </w:rPr>
                    <w:t>0.35%</w:t>
                  </w:r>
                </w:p>
              </w:tc>
            </w:tr>
            <w:tr w14:paraId="63321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0" w:type="auto"/>
                  <w:noWrap w:val="0"/>
                  <w:vAlign w:val="center"/>
                </w:tcPr>
                <w:p w14:paraId="54457B4A">
                  <w:pPr>
                    <w:shd w:val="clear"/>
                    <w:tabs>
                      <w:tab w:val="center" w:pos="4153"/>
                      <w:tab w:val="right" w:pos="8306"/>
                    </w:tabs>
                    <w:snapToGrid w:val="0"/>
                    <w:jc w:val="left"/>
                    <w:rPr>
                      <w:snapToGrid w:val="0"/>
                      <w:color w:val="auto"/>
                      <w:sz w:val="24"/>
                    </w:rPr>
                  </w:pPr>
                  <w:r>
                    <w:rPr>
                      <w:snapToGrid w:val="0"/>
                      <w:color w:val="auto"/>
                      <w:sz w:val="24"/>
                    </w:rPr>
                    <w:t>5000万～1亿</w:t>
                  </w:r>
                  <w:r>
                    <w:rPr>
                      <w:rFonts w:hint="eastAsia"/>
                      <w:snapToGrid w:val="0"/>
                      <w:color w:val="auto"/>
                      <w:sz w:val="24"/>
                    </w:rPr>
                    <w:t>（含）</w:t>
                  </w:r>
                </w:p>
              </w:tc>
              <w:tc>
                <w:tcPr>
                  <w:tcW w:w="0" w:type="auto"/>
                  <w:noWrap w:val="0"/>
                  <w:vAlign w:val="center"/>
                </w:tcPr>
                <w:p w14:paraId="29B9813B">
                  <w:pPr>
                    <w:shd w:val="clear"/>
                    <w:tabs>
                      <w:tab w:val="center" w:pos="4153"/>
                      <w:tab w:val="right" w:pos="8306"/>
                    </w:tabs>
                    <w:snapToGrid w:val="0"/>
                    <w:jc w:val="center"/>
                    <w:rPr>
                      <w:snapToGrid w:val="0"/>
                      <w:color w:val="auto"/>
                      <w:sz w:val="24"/>
                    </w:rPr>
                  </w:pPr>
                  <w:r>
                    <w:rPr>
                      <w:snapToGrid w:val="0"/>
                      <w:color w:val="auto"/>
                      <w:kern w:val="0"/>
                      <w:sz w:val="24"/>
                    </w:rPr>
                    <w:t>0.25 %</w:t>
                  </w:r>
                </w:p>
              </w:tc>
              <w:tc>
                <w:tcPr>
                  <w:tcW w:w="0" w:type="auto"/>
                  <w:noWrap w:val="0"/>
                  <w:vAlign w:val="center"/>
                </w:tcPr>
                <w:p w14:paraId="57FE09C2">
                  <w:pPr>
                    <w:shd w:val="clear"/>
                    <w:tabs>
                      <w:tab w:val="center" w:pos="4153"/>
                      <w:tab w:val="right" w:pos="8306"/>
                    </w:tabs>
                    <w:snapToGrid w:val="0"/>
                    <w:jc w:val="center"/>
                    <w:rPr>
                      <w:snapToGrid w:val="0"/>
                      <w:color w:val="auto"/>
                      <w:sz w:val="24"/>
                    </w:rPr>
                  </w:pPr>
                  <w:r>
                    <w:rPr>
                      <w:snapToGrid w:val="0"/>
                      <w:color w:val="auto"/>
                      <w:kern w:val="0"/>
                      <w:sz w:val="24"/>
                    </w:rPr>
                    <w:t>0.1 %</w:t>
                  </w:r>
                </w:p>
              </w:tc>
              <w:tc>
                <w:tcPr>
                  <w:tcW w:w="0" w:type="auto"/>
                  <w:noWrap w:val="0"/>
                  <w:vAlign w:val="center"/>
                </w:tcPr>
                <w:p w14:paraId="1E29EB55">
                  <w:pPr>
                    <w:shd w:val="clear"/>
                    <w:tabs>
                      <w:tab w:val="center" w:pos="4153"/>
                      <w:tab w:val="right" w:pos="8306"/>
                    </w:tabs>
                    <w:snapToGrid w:val="0"/>
                    <w:jc w:val="center"/>
                    <w:rPr>
                      <w:snapToGrid w:val="0"/>
                      <w:color w:val="auto"/>
                      <w:sz w:val="24"/>
                    </w:rPr>
                  </w:pPr>
                  <w:r>
                    <w:rPr>
                      <w:snapToGrid w:val="0"/>
                      <w:color w:val="auto"/>
                      <w:kern w:val="0"/>
                      <w:sz w:val="24"/>
                    </w:rPr>
                    <w:t>0.2%</w:t>
                  </w:r>
                </w:p>
              </w:tc>
            </w:tr>
            <w:tr w14:paraId="35D35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0" w:type="auto"/>
                  <w:noWrap w:val="0"/>
                  <w:vAlign w:val="center"/>
                </w:tcPr>
                <w:p w14:paraId="1828FCEE">
                  <w:pPr>
                    <w:shd w:val="clear"/>
                    <w:tabs>
                      <w:tab w:val="center" w:pos="4153"/>
                      <w:tab w:val="right" w:pos="8306"/>
                    </w:tabs>
                    <w:snapToGrid w:val="0"/>
                    <w:jc w:val="left"/>
                    <w:rPr>
                      <w:snapToGrid w:val="0"/>
                      <w:color w:val="auto"/>
                      <w:sz w:val="24"/>
                    </w:rPr>
                  </w:pPr>
                  <w:r>
                    <w:rPr>
                      <w:snapToGrid w:val="0"/>
                      <w:color w:val="auto"/>
                      <w:sz w:val="24"/>
                    </w:rPr>
                    <w:t>1～</w:t>
                  </w:r>
                  <w:r>
                    <w:rPr>
                      <w:rFonts w:hint="eastAsia"/>
                      <w:snapToGrid w:val="0"/>
                      <w:color w:val="auto"/>
                      <w:sz w:val="24"/>
                    </w:rPr>
                    <w:t>10</w:t>
                  </w:r>
                  <w:r>
                    <w:rPr>
                      <w:snapToGrid w:val="0"/>
                      <w:color w:val="auto"/>
                      <w:sz w:val="24"/>
                    </w:rPr>
                    <w:t>亿</w:t>
                  </w:r>
                  <w:r>
                    <w:rPr>
                      <w:rFonts w:hint="eastAsia"/>
                      <w:snapToGrid w:val="0"/>
                      <w:color w:val="auto"/>
                      <w:sz w:val="24"/>
                    </w:rPr>
                    <w:t>（含）</w:t>
                  </w:r>
                </w:p>
              </w:tc>
              <w:tc>
                <w:tcPr>
                  <w:tcW w:w="0" w:type="auto"/>
                  <w:noWrap w:val="0"/>
                  <w:vAlign w:val="center"/>
                </w:tcPr>
                <w:p w14:paraId="18BA11D9">
                  <w:pPr>
                    <w:shd w:val="clear"/>
                    <w:tabs>
                      <w:tab w:val="center" w:pos="4153"/>
                      <w:tab w:val="right" w:pos="8306"/>
                    </w:tabs>
                    <w:snapToGrid w:val="0"/>
                    <w:jc w:val="center"/>
                    <w:rPr>
                      <w:snapToGrid w:val="0"/>
                      <w:color w:val="auto"/>
                      <w:sz w:val="24"/>
                    </w:rPr>
                  </w:pPr>
                  <w:r>
                    <w:rPr>
                      <w:snapToGrid w:val="0"/>
                      <w:color w:val="auto"/>
                      <w:sz w:val="24"/>
                    </w:rPr>
                    <w:t>0.05%</w:t>
                  </w:r>
                </w:p>
              </w:tc>
              <w:tc>
                <w:tcPr>
                  <w:tcW w:w="0" w:type="auto"/>
                  <w:noWrap w:val="0"/>
                  <w:vAlign w:val="center"/>
                </w:tcPr>
                <w:p w14:paraId="0AD2D2FD">
                  <w:pPr>
                    <w:shd w:val="clear"/>
                    <w:tabs>
                      <w:tab w:val="center" w:pos="4153"/>
                      <w:tab w:val="right" w:pos="8306"/>
                    </w:tabs>
                    <w:snapToGrid w:val="0"/>
                    <w:jc w:val="center"/>
                    <w:rPr>
                      <w:snapToGrid w:val="0"/>
                      <w:color w:val="auto"/>
                      <w:sz w:val="24"/>
                    </w:rPr>
                  </w:pPr>
                  <w:bookmarkStart w:id="13" w:name="OLE_LINK3"/>
                  <w:bookmarkStart w:id="14" w:name="OLE_LINK4"/>
                  <w:r>
                    <w:rPr>
                      <w:snapToGrid w:val="0"/>
                      <w:color w:val="auto"/>
                      <w:sz w:val="24"/>
                    </w:rPr>
                    <w:t>0.05%</w:t>
                  </w:r>
                  <w:bookmarkEnd w:id="13"/>
                  <w:bookmarkEnd w:id="14"/>
                </w:p>
              </w:tc>
              <w:tc>
                <w:tcPr>
                  <w:tcW w:w="0" w:type="auto"/>
                  <w:noWrap w:val="0"/>
                  <w:vAlign w:val="center"/>
                </w:tcPr>
                <w:p w14:paraId="1C0B8D71">
                  <w:pPr>
                    <w:shd w:val="clear"/>
                    <w:tabs>
                      <w:tab w:val="center" w:pos="4153"/>
                      <w:tab w:val="right" w:pos="8306"/>
                    </w:tabs>
                    <w:snapToGrid w:val="0"/>
                    <w:jc w:val="center"/>
                    <w:rPr>
                      <w:snapToGrid w:val="0"/>
                      <w:color w:val="auto"/>
                      <w:sz w:val="24"/>
                    </w:rPr>
                  </w:pPr>
                  <w:r>
                    <w:rPr>
                      <w:snapToGrid w:val="0"/>
                      <w:color w:val="auto"/>
                      <w:kern w:val="0"/>
                      <w:sz w:val="24"/>
                    </w:rPr>
                    <w:t>0.05%</w:t>
                  </w:r>
                </w:p>
              </w:tc>
            </w:tr>
            <w:tr w14:paraId="098CE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0" w:type="auto"/>
                  <w:noWrap w:val="0"/>
                  <w:vAlign w:val="center"/>
                </w:tcPr>
                <w:p w14:paraId="4894A549">
                  <w:pPr>
                    <w:shd w:val="clear"/>
                    <w:tabs>
                      <w:tab w:val="center" w:pos="4153"/>
                      <w:tab w:val="right" w:pos="8306"/>
                    </w:tabs>
                    <w:snapToGrid w:val="0"/>
                    <w:jc w:val="left"/>
                    <w:rPr>
                      <w:rFonts w:hint="eastAsia"/>
                      <w:snapToGrid w:val="0"/>
                      <w:color w:val="auto"/>
                      <w:sz w:val="24"/>
                    </w:rPr>
                  </w:pPr>
                  <w:r>
                    <w:rPr>
                      <w:snapToGrid w:val="0"/>
                      <w:color w:val="auto"/>
                      <w:sz w:val="24"/>
                    </w:rPr>
                    <w:t>10亿</w:t>
                  </w:r>
                  <w:r>
                    <w:rPr>
                      <w:rFonts w:hint="eastAsia"/>
                      <w:snapToGrid w:val="0"/>
                      <w:color w:val="auto"/>
                      <w:sz w:val="24"/>
                    </w:rPr>
                    <w:t>以上</w:t>
                  </w:r>
                </w:p>
              </w:tc>
              <w:tc>
                <w:tcPr>
                  <w:tcW w:w="0" w:type="auto"/>
                  <w:noWrap w:val="0"/>
                  <w:vAlign w:val="center"/>
                </w:tcPr>
                <w:p w14:paraId="42D33E94">
                  <w:pPr>
                    <w:shd w:val="clear"/>
                    <w:tabs>
                      <w:tab w:val="center" w:pos="4153"/>
                      <w:tab w:val="right" w:pos="8306"/>
                    </w:tabs>
                    <w:snapToGrid w:val="0"/>
                    <w:jc w:val="center"/>
                    <w:rPr>
                      <w:snapToGrid w:val="0"/>
                      <w:color w:val="auto"/>
                      <w:sz w:val="24"/>
                    </w:rPr>
                  </w:pPr>
                  <w:r>
                    <w:rPr>
                      <w:snapToGrid w:val="0"/>
                      <w:color w:val="auto"/>
                      <w:sz w:val="24"/>
                    </w:rPr>
                    <w:t>0.0</w:t>
                  </w:r>
                  <w:r>
                    <w:rPr>
                      <w:rFonts w:hint="eastAsia"/>
                      <w:snapToGrid w:val="0"/>
                      <w:color w:val="auto"/>
                      <w:sz w:val="24"/>
                    </w:rPr>
                    <w:t>1</w:t>
                  </w:r>
                  <w:r>
                    <w:rPr>
                      <w:snapToGrid w:val="0"/>
                      <w:color w:val="auto"/>
                      <w:sz w:val="24"/>
                    </w:rPr>
                    <w:t>%</w:t>
                  </w:r>
                </w:p>
              </w:tc>
              <w:tc>
                <w:tcPr>
                  <w:tcW w:w="0" w:type="auto"/>
                  <w:noWrap w:val="0"/>
                  <w:vAlign w:val="center"/>
                </w:tcPr>
                <w:p w14:paraId="612CD60E">
                  <w:pPr>
                    <w:shd w:val="clear"/>
                    <w:tabs>
                      <w:tab w:val="center" w:pos="4153"/>
                      <w:tab w:val="right" w:pos="8306"/>
                    </w:tabs>
                    <w:snapToGrid w:val="0"/>
                    <w:jc w:val="center"/>
                    <w:rPr>
                      <w:snapToGrid w:val="0"/>
                      <w:color w:val="auto"/>
                      <w:sz w:val="24"/>
                    </w:rPr>
                  </w:pPr>
                  <w:r>
                    <w:rPr>
                      <w:snapToGrid w:val="0"/>
                      <w:color w:val="auto"/>
                      <w:sz w:val="24"/>
                    </w:rPr>
                    <w:t>0.0</w:t>
                  </w:r>
                  <w:r>
                    <w:rPr>
                      <w:rFonts w:hint="eastAsia"/>
                      <w:snapToGrid w:val="0"/>
                      <w:color w:val="auto"/>
                      <w:sz w:val="24"/>
                    </w:rPr>
                    <w:t>1</w:t>
                  </w:r>
                  <w:r>
                    <w:rPr>
                      <w:snapToGrid w:val="0"/>
                      <w:color w:val="auto"/>
                      <w:sz w:val="24"/>
                    </w:rPr>
                    <w:t>%</w:t>
                  </w:r>
                </w:p>
              </w:tc>
              <w:tc>
                <w:tcPr>
                  <w:tcW w:w="0" w:type="auto"/>
                  <w:noWrap w:val="0"/>
                  <w:vAlign w:val="center"/>
                </w:tcPr>
                <w:p w14:paraId="385216D5">
                  <w:pPr>
                    <w:shd w:val="clear"/>
                    <w:tabs>
                      <w:tab w:val="center" w:pos="4153"/>
                      <w:tab w:val="right" w:pos="8306"/>
                    </w:tabs>
                    <w:snapToGrid w:val="0"/>
                    <w:jc w:val="center"/>
                    <w:rPr>
                      <w:snapToGrid w:val="0"/>
                      <w:color w:val="auto"/>
                      <w:sz w:val="24"/>
                    </w:rPr>
                  </w:pPr>
                  <w:r>
                    <w:rPr>
                      <w:snapToGrid w:val="0"/>
                      <w:color w:val="auto"/>
                      <w:sz w:val="24"/>
                    </w:rPr>
                    <w:t>0.0</w:t>
                  </w:r>
                  <w:r>
                    <w:rPr>
                      <w:rFonts w:hint="eastAsia"/>
                      <w:snapToGrid w:val="0"/>
                      <w:color w:val="auto"/>
                      <w:sz w:val="24"/>
                    </w:rPr>
                    <w:t>1</w:t>
                  </w:r>
                  <w:r>
                    <w:rPr>
                      <w:snapToGrid w:val="0"/>
                      <w:color w:val="auto"/>
                      <w:sz w:val="24"/>
                    </w:rPr>
                    <w:t>%</w:t>
                  </w:r>
                </w:p>
              </w:tc>
            </w:tr>
          </w:tbl>
          <w:p w14:paraId="66B7026D">
            <w:pPr>
              <w:shd w:val="clear"/>
              <w:rPr>
                <w:rFonts w:hint="eastAsia"/>
                <w:color w:val="auto"/>
                <w:sz w:val="24"/>
              </w:rPr>
            </w:pPr>
          </w:p>
          <w:p w14:paraId="54B7E111">
            <w:pPr>
              <w:shd w:val="clear"/>
              <w:tabs>
                <w:tab w:val="left" w:pos="360"/>
              </w:tabs>
              <w:spacing w:line="240" w:lineRule="atLeast"/>
              <w:rPr>
                <w:rFonts w:hint="eastAsia"/>
                <w:color w:val="auto"/>
                <w:sz w:val="24"/>
              </w:rPr>
            </w:pPr>
            <w:r>
              <w:rPr>
                <w:rFonts w:hint="eastAsia"/>
                <w:color w:val="auto"/>
                <w:sz w:val="24"/>
              </w:rPr>
              <w:t>2、计算方法：以采购公告中的预算价为计算基准价，按差额定率累进法计算，计算出代理服务费后×95%为实际代理服务费收取金额。</w:t>
            </w:r>
          </w:p>
          <w:p w14:paraId="1EC56FA6">
            <w:pPr>
              <w:shd w:val="clear"/>
              <w:tabs>
                <w:tab w:val="left" w:pos="360"/>
              </w:tabs>
              <w:spacing w:line="240" w:lineRule="atLeast"/>
              <w:rPr>
                <w:rFonts w:ascii="宋体" w:hAnsi="宋体" w:cs="宋体"/>
                <w:snapToGrid w:val="0"/>
                <w:color w:val="auto"/>
                <w:kern w:val="28"/>
                <w:szCs w:val="21"/>
              </w:rPr>
            </w:pPr>
            <w:r>
              <w:rPr>
                <w:rFonts w:hint="eastAsia"/>
                <w:color w:val="auto"/>
                <w:sz w:val="24"/>
              </w:rPr>
              <w:t>3、收费金额：12825元，</w:t>
            </w:r>
            <w:r>
              <w:rPr>
                <w:rFonts w:hint="eastAsia" w:ascii="宋体" w:hAnsi="宋体" w:cs="仿宋"/>
                <w:snapToGrid w:val="0"/>
                <w:color w:val="auto"/>
                <w:kern w:val="28"/>
                <w:sz w:val="24"/>
              </w:rPr>
              <w:t>由</w:t>
            </w:r>
            <w:r>
              <w:rPr>
                <w:rFonts w:hint="eastAsia" w:ascii="宋体" w:hAnsi="宋体" w:cs="仿宋"/>
                <w:snapToGrid w:val="0"/>
                <w:color w:val="auto"/>
                <w:kern w:val="28"/>
                <w:sz w:val="24"/>
                <w:lang w:val="en-US" w:eastAsia="zh-CN"/>
              </w:rPr>
              <w:t>成交</w:t>
            </w:r>
            <w:r>
              <w:rPr>
                <w:rFonts w:hint="eastAsia" w:ascii="宋体" w:hAnsi="宋体" w:cs="仿宋"/>
                <w:snapToGrid w:val="0"/>
                <w:color w:val="auto"/>
                <w:kern w:val="28"/>
                <w:sz w:val="24"/>
              </w:rPr>
              <w:t>人支付。</w:t>
            </w:r>
          </w:p>
        </w:tc>
      </w:tr>
      <w:tr w14:paraId="6C4BA3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1144" w:hRule="atLeast"/>
          <w:tblHeader/>
        </w:trPr>
        <w:tc>
          <w:tcPr>
            <w:tcW w:w="851" w:type="dxa"/>
            <w:vAlign w:val="center"/>
          </w:tcPr>
          <w:p w14:paraId="68416119">
            <w:pPr>
              <w:shd w:val="clear"/>
              <w:snapToGrid w:val="0"/>
              <w:spacing w:line="440" w:lineRule="exact"/>
              <w:ind w:firstLine="210" w:firstLineChars="100"/>
              <w:jc w:val="center"/>
              <w:rPr>
                <w:rFonts w:ascii="宋体" w:hAnsi="宋体" w:cs="宋体"/>
                <w:color w:val="auto"/>
                <w:szCs w:val="21"/>
              </w:rPr>
            </w:pPr>
            <w:r>
              <w:rPr>
                <w:rFonts w:hint="eastAsia" w:ascii="宋体" w:hAnsi="宋体" w:cs="宋体"/>
                <w:color w:val="auto"/>
                <w:szCs w:val="21"/>
              </w:rPr>
              <w:t>8</w:t>
            </w:r>
          </w:p>
        </w:tc>
        <w:tc>
          <w:tcPr>
            <w:tcW w:w="1843" w:type="dxa"/>
            <w:vAlign w:val="center"/>
          </w:tcPr>
          <w:p w14:paraId="3EC4B2EC">
            <w:pPr>
              <w:shd w:val="clear"/>
              <w:snapToGrid w:val="0"/>
              <w:spacing w:line="440" w:lineRule="exact"/>
              <w:rPr>
                <w:rFonts w:ascii="宋体" w:hAnsi="宋体" w:cs="宋体"/>
                <w:b/>
                <w:color w:val="auto"/>
                <w:szCs w:val="21"/>
              </w:rPr>
            </w:pPr>
            <w:r>
              <w:rPr>
                <w:rFonts w:ascii="宋体" w:hAnsi="宋体" w:cs="宋体"/>
                <w:b/>
                <w:color w:val="auto"/>
                <w:szCs w:val="21"/>
              </w:rPr>
              <w:t>发布本次采购公告、成交结果公告的媒体</w:t>
            </w:r>
          </w:p>
        </w:tc>
        <w:tc>
          <w:tcPr>
            <w:tcW w:w="6845" w:type="dxa"/>
            <w:vAlign w:val="center"/>
          </w:tcPr>
          <w:p w14:paraId="2B2473A1">
            <w:pPr>
              <w:shd w:val="clear"/>
              <w:spacing w:line="440" w:lineRule="exact"/>
              <w:rPr>
                <w:rFonts w:ascii="宋体" w:hAnsi="宋体" w:cs="宋体"/>
                <w:color w:val="auto"/>
                <w:szCs w:val="21"/>
              </w:rPr>
            </w:pPr>
            <w:r>
              <w:rPr>
                <w:rFonts w:ascii="宋体" w:hAnsi="宋体" w:cs="宋体"/>
                <w:color w:val="auto"/>
                <w:szCs w:val="21"/>
              </w:rPr>
              <w:t>浙江政府采购网、宁波市政府采购网、宁波市公共资源交易电子服务系统</w:t>
            </w:r>
          </w:p>
        </w:tc>
      </w:tr>
      <w:tr w14:paraId="1A1825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1144" w:hRule="atLeast"/>
          <w:tblHeader/>
        </w:trPr>
        <w:tc>
          <w:tcPr>
            <w:tcW w:w="851" w:type="dxa"/>
            <w:vAlign w:val="center"/>
          </w:tcPr>
          <w:p w14:paraId="3E8380B1">
            <w:pPr>
              <w:shd w:val="clear"/>
              <w:snapToGrid w:val="0"/>
              <w:spacing w:line="440" w:lineRule="exact"/>
              <w:ind w:firstLine="210" w:firstLineChars="100"/>
              <w:jc w:val="center"/>
              <w:rPr>
                <w:rFonts w:ascii="宋体" w:hAnsi="宋体" w:cs="宋体"/>
                <w:color w:val="auto"/>
                <w:szCs w:val="21"/>
              </w:rPr>
            </w:pPr>
            <w:r>
              <w:rPr>
                <w:rFonts w:hint="eastAsia" w:ascii="宋体" w:hAnsi="宋体" w:cs="宋体"/>
                <w:color w:val="auto"/>
                <w:szCs w:val="21"/>
              </w:rPr>
              <w:t>9</w:t>
            </w:r>
          </w:p>
        </w:tc>
        <w:tc>
          <w:tcPr>
            <w:tcW w:w="1843" w:type="dxa"/>
            <w:vAlign w:val="center"/>
          </w:tcPr>
          <w:p w14:paraId="12908504">
            <w:pPr>
              <w:shd w:val="clear"/>
              <w:snapToGrid w:val="0"/>
              <w:spacing w:line="440" w:lineRule="exact"/>
              <w:ind w:firstLine="211"/>
              <w:rPr>
                <w:rFonts w:ascii="宋体" w:hAnsi="宋体" w:cs="宋体"/>
                <w:b/>
                <w:color w:val="auto"/>
                <w:szCs w:val="21"/>
              </w:rPr>
            </w:pPr>
            <w:r>
              <w:rPr>
                <w:rFonts w:ascii="宋体" w:hAnsi="宋体" w:cs="宋体"/>
                <w:b/>
                <w:color w:val="auto"/>
                <w:szCs w:val="21"/>
              </w:rPr>
              <w:t>响应文件有效期</w:t>
            </w:r>
          </w:p>
        </w:tc>
        <w:tc>
          <w:tcPr>
            <w:tcW w:w="6845" w:type="dxa"/>
            <w:vAlign w:val="center"/>
          </w:tcPr>
          <w:p w14:paraId="4F13C934">
            <w:pPr>
              <w:shd w:val="clear"/>
              <w:spacing w:line="440" w:lineRule="exact"/>
              <w:rPr>
                <w:rFonts w:ascii="宋体" w:hAnsi="宋体" w:cs="宋体"/>
                <w:color w:val="auto"/>
                <w:szCs w:val="21"/>
              </w:rPr>
            </w:pPr>
            <w:r>
              <w:rPr>
                <w:rFonts w:ascii="宋体" w:hAnsi="宋体" w:cs="宋体"/>
                <w:color w:val="auto"/>
                <w:szCs w:val="21"/>
              </w:rPr>
              <w:t>响应文件有效期：从</w:t>
            </w:r>
            <w:r>
              <w:rPr>
                <w:rFonts w:hint="eastAsia" w:ascii="宋体" w:hAnsi="宋体" w:cs="宋体"/>
                <w:color w:val="auto"/>
                <w:szCs w:val="21"/>
              </w:rPr>
              <w:t>响应文件提交截止</w:t>
            </w:r>
            <w:r>
              <w:rPr>
                <w:rFonts w:ascii="宋体" w:hAnsi="宋体" w:cs="宋体"/>
                <w:color w:val="auto"/>
                <w:szCs w:val="21"/>
              </w:rPr>
              <w:t>之日起，有效期不得小于90个日历日。</w:t>
            </w:r>
          </w:p>
        </w:tc>
      </w:tr>
      <w:tr w14:paraId="334AE1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1144" w:hRule="atLeast"/>
          <w:tblHeader/>
        </w:trPr>
        <w:tc>
          <w:tcPr>
            <w:tcW w:w="851" w:type="dxa"/>
            <w:vAlign w:val="center"/>
          </w:tcPr>
          <w:p w14:paraId="13047460">
            <w:pPr>
              <w:shd w:val="clear"/>
              <w:snapToGrid w:val="0"/>
              <w:spacing w:line="440" w:lineRule="exact"/>
              <w:ind w:firstLine="210" w:firstLineChars="100"/>
              <w:jc w:val="center"/>
              <w:rPr>
                <w:rFonts w:ascii="宋体" w:hAnsi="宋体" w:cs="宋体"/>
                <w:color w:val="auto"/>
                <w:szCs w:val="21"/>
              </w:rPr>
            </w:pPr>
            <w:r>
              <w:rPr>
                <w:rFonts w:hint="eastAsia" w:ascii="宋体" w:hAnsi="宋体" w:cs="宋体"/>
                <w:color w:val="auto"/>
                <w:szCs w:val="21"/>
              </w:rPr>
              <w:t>10</w:t>
            </w:r>
          </w:p>
        </w:tc>
        <w:tc>
          <w:tcPr>
            <w:tcW w:w="1843" w:type="dxa"/>
            <w:vAlign w:val="center"/>
          </w:tcPr>
          <w:p w14:paraId="4A81B54D">
            <w:pPr>
              <w:shd w:val="clear"/>
              <w:snapToGrid w:val="0"/>
              <w:spacing w:line="440" w:lineRule="exact"/>
              <w:ind w:firstLine="211"/>
              <w:rPr>
                <w:rFonts w:ascii="宋体" w:hAnsi="宋体" w:cs="宋体"/>
                <w:b/>
                <w:color w:val="auto"/>
                <w:szCs w:val="21"/>
              </w:rPr>
            </w:pPr>
            <w:r>
              <w:rPr>
                <w:rFonts w:ascii="宋体" w:hAnsi="宋体" w:cs="宋体"/>
                <w:b/>
                <w:color w:val="auto"/>
                <w:szCs w:val="21"/>
              </w:rPr>
              <w:t>其他说明</w:t>
            </w:r>
          </w:p>
        </w:tc>
        <w:tc>
          <w:tcPr>
            <w:tcW w:w="6845" w:type="dxa"/>
            <w:vAlign w:val="center"/>
          </w:tcPr>
          <w:p w14:paraId="237C4B2F">
            <w:pPr>
              <w:shd w:val="clear"/>
              <w:spacing w:line="440" w:lineRule="exact"/>
              <w:rPr>
                <w:rFonts w:ascii="宋体" w:hAnsi="宋体" w:cs="宋体"/>
                <w:color w:val="auto"/>
                <w:szCs w:val="21"/>
              </w:rPr>
            </w:pPr>
            <w:r>
              <w:rPr>
                <w:rFonts w:hint="eastAsia" w:ascii="宋体" w:hAnsi="宋体" w:cs="宋体"/>
                <w:color w:val="auto"/>
                <w:szCs w:val="21"/>
              </w:rPr>
              <w:t>9.1</w:t>
            </w:r>
            <w:r>
              <w:rPr>
                <w:rFonts w:ascii="宋体" w:hAnsi="宋体" w:cs="宋体"/>
                <w:color w:val="auto"/>
                <w:szCs w:val="21"/>
              </w:rPr>
              <w:t>中小企业信用融资：供应商成交后也可在“政采云”平台申请政采贷：操作路径：登录政采云平台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p w14:paraId="7E120B66">
            <w:pPr>
              <w:pStyle w:val="34"/>
              <w:shd w:val="clear"/>
              <w:spacing w:line="440" w:lineRule="exact"/>
              <w:ind w:firstLine="0" w:firstLineChars="0"/>
              <w:rPr>
                <w:rFonts w:ascii="宋体" w:hAnsi="宋体" w:cs="宋体"/>
                <w:color w:val="auto"/>
                <w:szCs w:val="21"/>
              </w:rPr>
            </w:pPr>
            <w:r>
              <w:rPr>
                <w:rFonts w:hint="eastAsia" w:ascii="宋体" w:hAnsi="宋体" w:cs="宋体"/>
                <w:color w:val="auto"/>
                <w:szCs w:val="21"/>
              </w:rPr>
              <w:t>9.2</w:t>
            </w:r>
            <w:r>
              <w:rPr>
                <w:rFonts w:ascii="宋体" w:hAnsi="宋体" w:cs="宋体"/>
                <w:color w:val="auto"/>
                <w:szCs w:val="21"/>
              </w:rPr>
              <w:t>公益一类事业单位不属于政府购买服务的承接主体，不得参与承接政府购买服务。</w:t>
            </w:r>
          </w:p>
          <w:p w14:paraId="0701DAD4">
            <w:pPr>
              <w:pStyle w:val="34"/>
              <w:shd w:val="clear"/>
              <w:spacing w:line="440" w:lineRule="exact"/>
              <w:ind w:firstLine="0" w:firstLineChars="0"/>
              <w:rPr>
                <w:rFonts w:ascii="宋体" w:hAnsi="宋体" w:cs="宋体"/>
                <w:color w:val="auto"/>
                <w:szCs w:val="21"/>
              </w:rPr>
            </w:pPr>
            <w:r>
              <w:rPr>
                <w:rFonts w:hint="eastAsia" w:ascii="宋体" w:hAnsi="宋体" w:cs="宋体"/>
                <w:color w:val="auto"/>
                <w:szCs w:val="21"/>
              </w:rPr>
              <w:t>9.3鼓励供应商依据《住房公积金管理条例》，为单位职工规范缴存住房公积金。</w:t>
            </w:r>
          </w:p>
        </w:tc>
      </w:tr>
    </w:tbl>
    <w:p w14:paraId="2E62944D">
      <w:pPr>
        <w:shd w:val="clear"/>
        <w:snapToGrid w:val="0"/>
        <w:spacing w:line="360" w:lineRule="auto"/>
        <w:ind w:firstLine="321"/>
        <w:jc w:val="center"/>
        <w:rPr>
          <w:rFonts w:asciiTheme="minorEastAsia" w:hAnsiTheme="minorEastAsia" w:eastAsiaTheme="minorEastAsia" w:cstheme="minorEastAsia"/>
          <w:b/>
          <w:color w:val="auto"/>
          <w:sz w:val="32"/>
          <w:szCs w:val="20"/>
        </w:rPr>
      </w:pPr>
    </w:p>
    <w:p w14:paraId="514EFD0E">
      <w:pPr>
        <w:pStyle w:val="34"/>
        <w:shd w:val="clear"/>
        <w:rPr>
          <w:color w:val="auto"/>
        </w:rPr>
      </w:pPr>
      <w:r>
        <w:rPr>
          <w:color w:val="auto"/>
        </w:rPr>
        <w:br w:type="page"/>
      </w:r>
    </w:p>
    <w:bookmarkEnd w:id="12"/>
    <w:p w14:paraId="0EC4ABF1">
      <w:pPr>
        <w:shd w:val="clear"/>
        <w:spacing w:line="360" w:lineRule="auto"/>
        <w:ind w:firstLine="3845" w:firstLineChars="1197"/>
        <w:outlineLvl w:val="0"/>
        <w:rPr>
          <w:rFonts w:asciiTheme="minorEastAsia" w:hAnsiTheme="minorEastAsia" w:eastAsiaTheme="minorEastAsia" w:cstheme="minorEastAsia"/>
          <w:b/>
          <w:color w:val="auto"/>
          <w:sz w:val="32"/>
          <w:szCs w:val="20"/>
        </w:rPr>
      </w:pPr>
      <w:bookmarkStart w:id="15" w:name="_Toc164416483"/>
      <w:bookmarkStart w:id="16" w:name="第三部分"/>
      <w:bookmarkStart w:id="17" w:name="第四部分"/>
      <w:r>
        <w:rPr>
          <w:rFonts w:hint="eastAsia" w:asciiTheme="minorEastAsia" w:hAnsiTheme="minorEastAsia" w:eastAsiaTheme="minorEastAsia" w:cstheme="minorEastAsia"/>
          <w:b/>
          <w:color w:val="auto"/>
          <w:sz w:val="32"/>
          <w:szCs w:val="20"/>
        </w:rPr>
        <w:t>一、总则</w:t>
      </w:r>
    </w:p>
    <w:p w14:paraId="3221BB49">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适用范围</w:t>
      </w:r>
    </w:p>
    <w:p w14:paraId="5B901173">
      <w:pPr>
        <w:shd w:val="clear"/>
        <w:snapToGrid w:val="0"/>
        <w:spacing w:line="360" w:lineRule="auto"/>
        <w:ind w:firstLine="420" w:firstLineChars="20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本竞争性磋商文件适用于该项目的采购、响应、响应文件开启、资格审查及信用信息查询、评审、成交供应商确定、合同、验收等行为（法律、法规另有规定的，从其规定）。</w:t>
      </w:r>
    </w:p>
    <w:p w14:paraId="47D12D43">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定义</w:t>
      </w:r>
    </w:p>
    <w:p w14:paraId="795E980E">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2.1 “采购人”系指竞争性磋商公告中载明的本项目的采购人。</w:t>
      </w:r>
    </w:p>
    <w:p w14:paraId="2F553D76">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2.2 “采购代理机构”系指竞争性磋商公告中载明的本项目的采购代理机构。</w:t>
      </w:r>
    </w:p>
    <w:p w14:paraId="014226C3">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2.3 “</w:t>
      </w:r>
      <w:r>
        <w:rPr>
          <w:rFonts w:hint="eastAsia" w:asciiTheme="minorEastAsia" w:hAnsiTheme="minorEastAsia" w:eastAsiaTheme="minorEastAsia" w:cstheme="minorEastAsia"/>
          <w:color w:val="auto"/>
          <w:szCs w:val="21"/>
          <w:lang w:val="zh-CN"/>
        </w:rPr>
        <w:t>供应商</w:t>
      </w:r>
      <w:r>
        <w:rPr>
          <w:rFonts w:hint="eastAsia" w:asciiTheme="minorEastAsia" w:hAnsiTheme="minorEastAsia" w:eastAsiaTheme="minorEastAsia" w:cstheme="minorEastAsia"/>
          <w:color w:val="auto"/>
          <w:szCs w:val="21"/>
        </w:rPr>
        <w:t>”系指是指响应采购、参加磋商竞争的法人、其他组织或者自然人。</w:t>
      </w:r>
    </w:p>
    <w:p w14:paraId="4CA407D9">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2.4 “负责人”系指法人企业的法定负责人，或其他组织为法律、行政法规规定代表单位行使职权的主要负责人，或自然人本人。</w:t>
      </w:r>
    </w:p>
    <w:p w14:paraId="378BE598">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2.5“电子签名”系指数据电文中以电子形式所含、所附用于识别签名人身份并表明签名人认可其中内容的数据；“公章”系指单位法定名称章。</w:t>
      </w:r>
    </w:p>
    <w:p w14:paraId="5ECC2269">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2.6“电子交易平台”是指本项目政府采购活动所依托的政府采购云平台（https://www.zcygov.cn/）。</w:t>
      </w:r>
    </w:p>
    <w:p w14:paraId="04D06782">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2.7 “▲” 系指实质性要求条款，“</w:t>
      </w:r>
      <w:r>
        <w:rPr>
          <w:rFonts w:hint="eastAsia" w:ascii="MS Gothic" w:hAnsi="MS Gothic" w:eastAsia="MS Gothic" w:cs="MS Gothic"/>
          <w:color w:val="auto"/>
          <w:szCs w:val="21"/>
        </w:rPr>
        <w:t>☑</w:t>
      </w:r>
      <w:r>
        <w:rPr>
          <w:rFonts w:asciiTheme="minorEastAsia" w:hAnsiTheme="minorEastAsia" w:eastAsiaTheme="minorEastAsia" w:cstheme="minorEastAsia"/>
          <w:color w:val="auto"/>
          <w:szCs w:val="21"/>
        </w:rPr>
        <w:t></w:t>
      </w:r>
      <w:r>
        <w:rPr>
          <w:rFonts w:hint="eastAsia" w:asciiTheme="minorEastAsia" w:hAnsiTheme="minorEastAsia" w:eastAsiaTheme="minorEastAsia" w:cstheme="minorEastAsia"/>
          <w:color w:val="auto"/>
          <w:szCs w:val="21"/>
        </w:rPr>
        <w:t>” 系指适用本项目的要求，“☐” 系指不适用本项目的要求。</w:t>
      </w:r>
    </w:p>
    <w:p w14:paraId="6C7EEF0C">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采购项目需要落实的政府采购政策</w:t>
      </w:r>
    </w:p>
    <w:p w14:paraId="2FCFAEB1">
      <w:pPr>
        <w:numPr>
          <w:ilvl w:val="1"/>
          <w:numId w:val="2"/>
        </w:num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本项目不允许采购进口产品。</w:t>
      </w:r>
    </w:p>
    <w:p w14:paraId="79B03A3B">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3.2 支持绿色发展</w:t>
      </w:r>
    </w:p>
    <w:p w14:paraId="7C284CF7">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3.3支持中小企业发展</w:t>
      </w:r>
    </w:p>
    <w:p w14:paraId="7E81DE29">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F9B5C5C">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符合中小企业划分标准的个体工商户，在政府采购活动中视同中小企业。</w:t>
      </w:r>
    </w:p>
    <w:p w14:paraId="739F26C9">
      <w:pPr>
        <w:widowControl/>
        <w:shd w:val="clear"/>
        <w:spacing w:line="360" w:lineRule="auto"/>
        <w:ind w:firstLine="420" w:firstLineChars="200"/>
        <w:jc w:val="left"/>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bCs/>
          <w:color w:val="auto"/>
          <w:szCs w:val="21"/>
        </w:rPr>
        <w:t>3.3.2</w:t>
      </w:r>
      <w:r>
        <w:rPr>
          <w:rFonts w:hint="eastAsia" w:asciiTheme="minorEastAsia" w:hAnsiTheme="minorEastAsia" w:eastAsiaTheme="minorEastAsia" w:cstheme="minorEastAsia"/>
          <w:color w:val="auto"/>
          <w:kern w:val="0"/>
          <w:szCs w:val="21"/>
        </w:rPr>
        <w:t>在政府采购活动中，</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kern w:val="0"/>
          <w:szCs w:val="21"/>
        </w:rPr>
        <w:t>提供的货物、工程或者服务符合下列情形的，享受中小企业扶持政策：</w:t>
      </w:r>
    </w:p>
    <w:p w14:paraId="2701FED9">
      <w:pPr>
        <w:widowControl/>
        <w:shd w:val="clear"/>
        <w:spacing w:line="360" w:lineRule="auto"/>
        <w:ind w:firstLine="420" w:firstLineChars="200"/>
        <w:jc w:val="left"/>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3.3.2.1在货物采购项目中，货物由中小企业制造，即货物由中小企业生产且使用该中小企业商号或者注册商标；</w:t>
      </w:r>
    </w:p>
    <w:p w14:paraId="7D7155EB">
      <w:pPr>
        <w:widowControl/>
        <w:shd w:val="clear"/>
        <w:spacing w:line="360" w:lineRule="auto"/>
        <w:ind w:firstLine="420" w:firstLineChars="200"/>
        <w:jc w:val="left"/>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3.3.2.2在工程采购项目中，工程由中小企业承建，即工程施工单位为中小企业；</w:t>
      </w:r>
    </w:p>
    <w:p w14:paraId="66B7DE1C">
      <w:pPr>
        <w:widowControl/>
        <w:shd w:val="clear"/>
        <w:spacing w:line="360" w:lineRule="auto"/>
        <w:ind w:firstLine="420" w:firstLineChars="200"/>
        <w:jc w:val="left"/>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3.3.2.3在服务采购项目中，服务由中小企业承接，即提供服务的人员为中小企业依照《中华人民共和国劳动合同法》订立劳动合同的从业人员。</w:t>
      </w:r>
    </w:p>
    <w:p w14:paraId="66AC60B9">
      <w:pPr>
        <w:widowControl/>
        <w:shd w:val="clear"/>
        <w:spacing w:line="360" w:lineRule="auto"/>
        <w:ind w:firstLine="420" w:firstLineChars="200"/>
        <w:jc w:val="left"/>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在货物采购项目中，</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kern w:val="0"/>
          <w:szCs w:val="21"/>
        </w:rPr>
        <w:t>提供的货物既有中小企业制造货物，也有大型企业制造货物的，不享受中小企业扶持政策。</w:t>
      </w:r>
    </w:p>
    <w:p w14:paraId="2EEABEC2">
      <w:pPr>
        <w:widowControl/>
        <w:shd w:val="clear"/>
        <w:spacing w:line="360" w:lineRule="auto"/>
        <w:ind w:firstLine="420" w:firstLineChars="200"/>
        <w:jc w:val="left"/>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以联合体形式参加政府采购活动，联合体各方均为中小企业的，联合体视同中小企业。其中，联合体各方均为小微企业的，联合体视同小微企业。</w:t>
      </w:r>
    </w:p>
    <w:p w14:paraId="62EF1FAF">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3.3.3对于未预留份额专门面向中小企业的政府采购货物或服务或工程项目，以及预留份额政府采购货物或服务项目中的非预留部分标项，对小型和微型企业的谈判报价给予10%（工程项目为5%）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工程项目为 2%）的扣除，用扣除后的价格参加评审。组成联合体或者接受分包的小微企业与联合体内其他企业、分包企业之间存在直接控股、管理关系的，不享受价格扣除优惠政策。</w:t>
      </w:r>
      <w:r>
        <w:rPr>
          <w:rFonts w:hint="eastAsia" w:asciiTheme="minorEastAsia" w:hAnsiTheme="minorEastAsia" w:eastAsiaTheme="minorEastAsia" w:cstheme="minorEastAsia"/>
          <w:b/>
          <w:color w:val="auto"/>
          <w:szCs w:val="21"/>
        </w:rPr>
        <w:t>（本项目专门面向中小企业，不适用价格扣除优惠政策。）</w:t>
      </w:r>
    </w:p>
    <w:p w14:paraId="351D80BA">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3.3.4符合《关于促进残疾人就业政府采购政策的通知》（财库〔2017〕141号）规定的条件并提供《残疾人福利性单位声明函》的残疾人福利性单位视同小型、微型企业；</w:t>
      </w:r>
    </w:p>
    <w:p w14:paraId="782E0C3C">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C96BA8F">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3.3.6可享受中小企业扶持政策的</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szCs w:val="21"/>
        </w:rPr>
        <w:t>应按照竞争性磋商文件格式要求提供《中小企业声明函》，</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szCs w:val="21"/>
        </w:rPr>
        <w:t>提供的《中小企业声明函》与实际情况不符的，不享受中小企业扶持政策。声明内容不实的，属于提供虚假材料谋取中标、成交的，依法承担法律责任。</w:t>
      </w:r>
    </w:p>
    <w:p w14:paraId="01BA9E0A">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3.3.7中小企业享受扶持政策获得政府采购合同的，小微企业不得将合同分包给大中型企业，中型企业不得将合同分包给大型企业。</w:t>
      </w:r>
    </w:p>
    <w:p w14:paraId="32C31B20">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特别说明</w:t>
      </w:r>
    </w:p>
    <w:p w14:paraId="14EA4527">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4.1关于分公司磋商响应</w:t>
      </w:r>
    </w:p>
    <w:p w14:paraId="3BAAC0AA">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 xml:space="preserve">除银行、保险、石油石化、电力、电信等特殊行业外。法人的分支机构由于不能独立承担民事责任，不能以分支机构的身份参加政府采购，只能以法人身份参加。 </w:t>
      </w:r>
    </w:p>
    <w:p w14:paraId="65FF4B2C">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4.2关于知识产权</w:t>
      </w:r>
    </w:p>
    <w:p w14:paraId="11B4DCEA">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 xml:space="preserve">4.2.1 </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szCs w:val="21"/>
        </w:rPr>
        <w:t>必须保证，采购人在中华人民共和国境内使用磋商响应货物、资料、技术、服务或其任何一部分时，享有不受限制的无偿使用权，如有第三方向采购人提出侵犯其专利权、商标权或其它知识产权的主张，该责任应由</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szCs w:val="21"/>
        </w:rPr>
        <w:t>承担。</w:t>
      </w:r>
    </w:p>
    <w:p w14:paraId="359E7E61">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4.2.2 磋商报价应包含所有应向所有权人支付的专利权、商标权或其它知识产权的一切相关费用。</w:t>
      </w:r>
    </w:p>
    <w:p w14:paraId="41052EC7">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4.2.3 系统软件、通用软件必须是具有在中国境内的合法使用权或版权的正版软件，涉及到第三方提出侵权或知识产权的起诉及支付版税等费用由</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szCs w:val="21"/>
        </w:rPr>
        <w:t>承担所有责任及费用。</w:t>
      </w:r>
    </w:p>
    <w:p w14:paraId="5E66C722">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4.3</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szCs w:val="21"/>
        </w:rPr>
        <w:t>的风险</w:t>
      </w:r>
    </w:p>
    <w:p w14:paraId="0930E053">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 xml:space="preserve">4.3.1 </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szCs w:val="21"/>
        </w:rPr>
        <w:t>应详细阅读竞争性磋商文件中的全部内容和要求，按照竞争性磋商文件的要求提交响应文件，没有按照竞争性磋商文件要求提供响应文件和资料导致的风险由</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szCs w:val="21"/>
        </w:rPr>
        <w:t>承担,并对所提供的全部资料的真实性承担法律责任。</w:t>
      </w:r>
    </w:p>
    <w:p w14:paraId="4348CE40">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4.3.2 无论因何种原因导致本次采购活动终止致</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szCs w:val="21"/>
        </w:rPr>
        <w:t>损失的，相关责任人均不承担任何责任。</w:t>
      </w:r>
    </w:p>
    <w:p w14:paraId="113A5A10">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询问、质疑、投诉</w:t>
      </w:r>
    </w:p>
    <w:p w14:paraId="61A3AAF5">
      <w:pPr>
        <w:shd w:val="clear"/>
        <w:spacing w:line="360" w:lineRule="auto"/>
        <w:ind w:firstLine="420" w:firstLineChars="200"/>
        <w:rPr>
          <w:rFonts w:asciiTheme="minorEastAsia" w:hAnsiTheme="minorEastAsia" w:eastAsiaTheme="minorEastAsia" w:cstheme="minorEastAsia"/>
          <w:color w:val="auto"/>
          <w:szCs w:val="21"/>
          <w:lang w:val="zh-CN"/>
        </w:rPr>
      </w:pPr>
      <w:r>
        <w:rPr>
          <w:rFonts w:hint="eastAsia" w:asciiTheme="minorEastAsia" w:hAnsiTheme="minorEastAsia" w:eastAsiaTheme="minorEastAsia" w:cstheme="minorEastAsia"/>
          <w:color w:val="auto"/>
          <w:szCs w:val="21"/>
        </w:rPr>
        <w:t>5</w:t>
      </w:r>
      <w:r>
        <w:rPr>
          <w:rFonts w:hint="eastAsia" w:asciiTheme="minorEastAsia" w:hAnsiTheme="minorEastAsia" w:eastAsiaTheme="minorEastAsia" w:cstheme="minorEastAsia"/>
          <w:color w:val="auto"/>
          <w:szCs w:val="21"/>
          <w:lang w:val="zh-CN"/>
        </w:rPr>
        <w:t>.1供应商询问</w:t>
      </w:r>
    </w:p>
    <w:p w14:paraId="2ABD3857">
      <w:pPr>
        <w:shd w:val="clear"/>
        <w:spacing w:line="360" w:lineRule="auto"/>
        <w:ind w:firstLine="420" w:firstLineChars="200"/>
        <w:rPr>
          <w:rFonts w:asciiTheme="minorEastAsia" w:hAnsiTheme="minorEastAsia" w:eastAsiaTheme="minorEastAsia" w:cstheme="minorEastAsia"/>
          <w:color w:val="auto"/>
          <w:szCs w:val="21"/>
          <w:lang w:val="zh-CN"/>
        </w:rPr>
      </w:pPr>
      <w:r>
        <w:rPr>
          <w:rFonts w:hint="eastAsia" w:asciiTheme="minorEastAsia" w:hAnsiTheme="minorEastAsia" w:eastAsiaTheme="minorEastAsia" w:cstheme="minorEastAsia"/>
          <w:color w:val="auto"/>
          <w:szCs w:val="21"/>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F673435">
      <w:pPr>
        <w:shd w:val="clear"/>
        <w:spacing w:line="360" w:lineRule="auto"/>
        <w:ind w:firstLine="420" w:firstLineChars="200"/>
        <w:rPr>
          <w:rFonts w:asciiTheme="minorEastAsia" w:hAnsiTheme="minorEastAsia" w:eastAsiaTheme="minorEastAsia" w:cstheme="minorEastAsia"/>
          <w:color w:val="auto"/>
          <w:szCs w:val="21"/>
          <w:lang w:val="zh-CN"/>
        </w:rPr>
      </w:pPr>
      <w:r>
        <w:rPr>
          <w:rFonts w:hint="eastAsia" w:asciiTheme="minorEastAsia" w:hAnsiTheme="minorEastAsia" w:eastAsiaTheme="minorEastAsia" w:cstheme="minorEastAsia"/>
          <w:color w:val="auto"/>
          <w:szCs w:val="21"/>
        </w:rPr>
        <w:t>5</w:t>
      </w:r>
      <w:r>
        <w:rPr>
          <w:rFonts w:hint="eastAsia" w:asciiTheme="minorEastAsia" w:hAnsiTheme="minorEastAsia" w:eastAsiaTheme="minorEastAsia" w:cstheme="minorEastAsia"/>
          <w:color w:val="auto"/>
          <w:szCs w:val="21"/>
          <w:lang w:val="zh-CN"/>
        </w:rPr>
        <w:t>.2供应商质疑</w:t>
      </w:r>
    </w:p>
    <w:p w14:paraId="0D7CD611">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5</w:t>
      </w:r>
      <w:r>
        <w:rPr>
          <w:rFonts w:hint="eastAsia" w:asciiTheme="minorEastAsia" w:hAnsiTheme="minorEastAsia" w:eastAsiaTheme="minorEastAsia" w:cstheme="minorEastAsia"/>
          <w:color w:val="auto"/>
          <w:szCs w:val="21"/>
          <w:lang w:val="zh-CN"/>
        </w:rPr>
        <w:t>.2</w:t>
      </w:r>
      <w:r>
        <w:rPr>
          <w:rFonts w:hint="eastAsia" w:asciiTheme="minorEastAsia" w:hAnsiTheme="minorEastAsia" w:eastAsiaTheme="minorEastAsia" w:cstheme="minorEastAsia"/>
          <w:color w:val="auto"/>
          <w:szCs w:val="21"/>
        </w:rPr>
        <w:t>.1提出质疑的供应商应当是参与所质疑项目采购活动的供应商。潜在供应商已依法获取其可质疑的竞争性磋商文件的，可以对该文件提出质疑。</w:t>
      </w:r>
    </w:p>
    <w:p w14:paraId="6F737678">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5</w:t>
      </w:r>
      <w:r>
        <w:rPr>
          <w:rFonts w:hint="eastAsia" w:asciiTheme="minorEastAsia" w:hAnsiTheme="minorEastAsia" w:eastAsiaTheme="minorEastAsia" w:cstheme="minorEastAsia"/>
          <w:color w:val="auto"/>
          <w:szCs w:val="21"/>
          <w:lang w:val="zh-CN"/>
        </w:rPr>
        <w:t>.2</w:t>
      </w:r>
      <w:r>
        <w:rPr>
          <w:rFonts w:hint="eastAsia" w:asciiTheme="minorEastAsia" w:hAnsiTheme="minorEastAsia" w:eastAsiaTheme="minorEastAsia" w:cstheme="minorEastAsia"/>
          <w:color w:val="auto"/>
          <w:szCs w:val="21"/>
        </w:rPr>
        <w:t>.2供应商认为竞争性磋商文件、采购过程和成交结果使自己的权益受到损害的，可以在知道或者应知其权益受到损害之日起七个工作日内，以书面形式向采购人或者采购代理机构提出质疑，否则，采购人或者采购代理机构不予受理：</w:t>
      </w:r>
    </w:p>
    <w:p w14:paraId="7BCCBF38">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5.2.2.1对竞争性磋商文件提出质疑的，质疑期限为供应商获得竞争性磋商文件之日或者竞争性磋商文件公告期限届满之日起计算。</w:t>
      </w:r>
    </w:p>
    <w:p w14:paraId="3B80EF6A">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5.2.2.2对采购过程提出质疑的，质疑期限为各采购程序环节结束之日起计算。</w:t>
      </w:r>
    </w:p>
    <w:p w14:paraId="5F5CA220">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5.2.2.3对采购结果提出质疑的，质疑期限自采购结果公告期限届满之日起计算。</w:t>
      </w:r>
    </w:p>
    <w:p w14:paraId="3D9BA6EB">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5.2.2.4对同一采购程序环节的质疑，供应商须一次性提出。</w:t>
      </w:r>
    </w:p>
    <w:p w14:paraId="0BB3F496">
      <w:pPr>
        <w:shd w:val="clear"/>
        <w:spacing w:line="360" w:lineRule="auto"/>
        <w:ind w:firstLine="420" w:firstLineChars="200"/>
        <w:rPr>
          <w:rFonts w:asciiTheme="minorEastAsia" w:hAnsiTheme="minorEastAsia" w:eastAsiaTheme="minorEastAsia" w:cstheme="minorEastAsia"/>
          <w:color w:val="auto"/>
          <w:szCs w:val="21"/>
          <w:lang w:val="zh-CN"/>
        </w:rPr>
      </w:pPr>
      <w:r>
        <w:rPr>
          <w:rFonts w:hint="eastAsia" w:asciiTheme="minorEastAsia" w:hAnsiTheme="minorEastAsia" w:eastAsiaTheme="minorEastAsia" w:cstheme="minorEastAsia"/>
          <w:color w:val="auto"/>
          <w:szCs w:val="21"/>
        </w:rPr>
        <w:t>5</w:t>
      </w:r>
      <w:r>
        <w:rPr>
          <w:rFonts w:hint="eastAsia" w:asciiTheme="minorEastAsia" w:hAnsiTheme="minorEastAsia" w:eastAsiaTheme="minorEastAsia" w:cstheme="minorEastAsia"/>
          <w:color w:val="auto"/>
          <w:szCs w:val="21"/>
          <w:lang w:val="zh-CN"/>
        </w:rPr>
        <w:t>.2.3</w:t>
      </w:r>
      <w:r>
        <w:rPr>
          <w:rFonts w:hint="eastAsia" w:asciiTheme="minorEastAsia" w:hAnsiTheme="minorEastAsia" w:eastAsiaTheme="minorEastAsia" w:cstheme="minorEastAsia"/>
          <w:color w:val="auto"/>
          <w:szCs w:val="21"/>
        </w:rPr>
        <w:t>供应商提出质疑应当提交质疑函和必要的证明材料。质疑函应当包括下列内容：</w:t>
      </w:r>
    </w:p>
    <w:p w14:paraId="60C837AF">
      <w:pPr>
        <w:shd w:val="clear"/>
        <w:spacing w:line="360" w:lineRule="auto"/>
        <w:ind w:firstLine="420" w:firstLineChars="200"/>
        <w:rPr>
          <w:rFonts w:asciiTheme="minorEastAsia" w:hAnsiTheme="minorEastAsia" w:eastAsiaTheme="minorEastAsia" w:cstheme="minorEastAsia"/>
          <w:color w:val="auto"/>
          <w:szCs w:val="21"/>
          <w:lang w:val="zh-CN"/>
        </w:rPr>
      </w:pPr>
      <w:r>
        <w:rPr>
          <w:rFonts w:hint="eastAsia" w:asciiTheme="minorEastAsia" w:hAnsiTheme="minorEastAsia" w:eastAsiaTheme="minorEastAsia" w:cstheme="minorEastAsia"/>
          <w:color w:val="auto"/>
          <w:szCs w:val="21"/>
        </w:rPr>
        <w:t>5</w:t>
      </w:r>
      <w:r>
        <w:rPr>
          <w:rFonts w:hint="eastAsia" w:asciiTheme="minorEastAsia" w:hAnsiTheme="minorEastAsia" w:eastAsiaTheme="minorEastAsia" w:cstheme="minorEastAsia"/>
          <w:color w:val="auto"/>
          <w:szCs w:val="21"/>
          <w:lang w:val="zh-CN"/>
        </w:rPr>
        <w:t>.2.3.1供应商的姓名或者名称、地址、邮编、联系人及联系电话；</w:t>
      </w:r>
    </w:p>
    <w:p w14:paraId="2EFB632E">
      <w:pPr>
        <w:shd w:val="clear"/>
        <w:spacing w:line="360" w:lineRule="auto"/>
        <w:ind w:firstLine="420" w:firstLineChars="200"/>
        <w:rPr>
          <w:rFonts w:asciiTheme="minorEastAsia" w:hAnsiTheme="minorEastAsia" w:eastAsiaTheme="minorEastAsia" w:cstheme="minorEastAsia"/>
          <w:color w:val="auto"/>
          <w:szCs w:val="21"/>
          <w:lang w:val="zh-CN"/>
        </w:rPr>
      </w:pPr>
      <w:r>
        <w:rPr>
          <w:rFonts w:hint="eastAsia" w:asciiTheme="minorEastAsia" w:hAnsiTheme="minorEastAsia" w:eastAsiaTheme="minorEastAsia" w:cstheme="minorEastAsia"/>
          <w:color w:val="auto"/>
          <w:szCs w:val="21"/>
        </w:rPr>
        <w:t>5</w:t>
      </w:r>
      <w:r>
        <w:rPr>
          <w:rFonts w:hint="eastAsia" w:asciiTheme="minorEastAsia" w:hAnsiTheme="minorEastAsia" w:eastAsiaTheme="minorEastAsia" w:cstheme="minorEastAsia"/>
          <w:color w:val="auto"/>
          <w:szCs w:val="21"/>
          <w:lang w:val="zh-CN"/>
        </w:rPr>
        <w:t>.2.3.2质疑项目的名称、编号；</w:t>
      </w:r>
    </w:p>
    <w:p w14:paraId="123559EE">
      <w:pPr>
        <w:shd w:val="clear"/>
        <w:spacing w:line="360" w:lineRule="auto"/>
        <w:ind w:firstLine="420" w:firstLineChars="200"/>
        <w:rPr>
          <w:rFonts w:asciiTheme="minorEastAsia" w:hAnsiTheme="minorEastAsia" w:eastAsiaTheme="minorEastAsia" w:cstheme="minorEastAsia"/>
          <w:color w:val="auto"/>
          <w:szCs w:val="21"/>
          <w:lang w:val="zh-CN"/>
        </w:rPr>
      </w:pPr>
      <w:r>
        <w:rPr>
          <w:rFonts w:hint="eastAsia" w:asciiTheme="minorEastAsia" w:hAnsiTheme="minorEastAsia" w:eastAsiaTheme="minorEastAsia" w:cstheme="minorEastAsia"/>
          <w:color w:val="auto"/>
          <w:szCs w:val="21"/>
        </w:rPr>
        <w:t>5</w:t>
      </w:r>
      <w:r>
        <w:rPr>
          <w:rFonts w:hint="eastAsia" w:asciiTheme="minorEastAsia" w:hAnsiTheme="minorEastAsia" w:eastAsiaTheme="minorEastAsia" w:cstheme="minorEastAsia"/>
          <w:color w:val="auto"/>
          <w:szCs w:val="21"/>
          <w:lang w:val="zh-CN"/>
        </w:rPr>
        <w:t>.2.3.3具体、明确的质疑事项和与质疑事项相关的请求；</w:t>
      </w:r>
    </w:p>
    <w:p w14:paraId="3B0C8464">
      <w:pPr>
        <w:shd w:val="clear"/>
        <w:spacing w:line="360" w:lineRule="auto"/>
        <w:ind w:firstLine="420" w:firstLineChars="200"/>
        <w:rPr>
          <w:rFonts w:asciiTheme="minorEastAsia" w:hAnsiTheme="minorEastAsia" w:eastAsiaTheme="minorEastAsia" w:cstheme="minorEastAsia"/>
          <w:color w:val="auto"/>
          <w:szCs w:val="21"/>
          <w:lang w:val="zh-CN"/>
        </w:rPr>
      </w:pPr>
      <w:r>
        <w:rPr>
          <w:rFonts w:hint="eastAsia" w:asciiTheme="minorEastAsia" w:hAnsiTheme="minorEastAsia" w:eastAsiaTheme="minorEastAsia" w:cstheme="minorEastAsia"/>
          <w:color w:val="auto"/>
          <w:szCs w:val="21"/>
        </w:rPr>
        <w:t>5</w:t>
      </w:r>
      <w:r>
        <w:rPr>
          <w:rFonts w:hint="eastAsia" w:asciiTheme="minorEastAsia" w:hAnsiTheme="minorEastAsia" w:eastAsiaTheme="minorEastAsia" w:cstheme="minorEastAsia"/>
          <w:color w:val="auto"/>
          <w:szCs w:val="21"/>
          <w:lang w:val="zh-CN"/>
        </w:rPr>
        <w:t>.2.3.4事实依据；</w:t>
      </w:r>
    </w:p>
    <w:p w14:paraId="4D2D2F67">
      <w:pPr>
        <w:shd w:val="clear"/>
        <w:spacing w:line="360" w:lineRule="auto"/>
        <w:ind w:firstLine="420" w:firstLineChars="200"/>
        <w:rPr>
          <w:rFonts w:asciiTheme="minorEastAsia" w:hAnsiTheme="minorEastAsia" w:eastAsiaTheme="minorEastAsia" w:cstheme="minorEastAsia"/>
          <w:color w:val="auto"/>
          <w:szCs w:val="21"/>
          <w:lang w:val="zh-CN"/>
        </w:rPr>
      </w:pPr>
      <w:r>
        <w:rPr>
          <w:rFonts w:hint="eastAsia" w:asciiTheme="minorEastAsia" w:hAnsiTheme="minorEastAsia" w:eastAsiaTheme="minorEastAsia" w:cstheme="minorEastAsia"/>
          <w:color w:val="auto"/>
          <w:szCs w:val="21"/>
        </w:rPr>
        <w:t>5</w:t>
      </w:r>
      <w:r>
        <w:rPr>
          <w:rFonts w:hint="eastAsia" w:asciiTheme="minorEastAsia" w:hAnsiTheme="minorEastAsia" w:eastAsiaTheme="minorEastAsia" w:cstheme="minorEastAsia"/>
          <w:color w:val="auto"/>
          <w:szCs w:val="21"/>
          <w:lang w:val="zh-CN"/>
        </w:rPr>
        <w:t>.2.3.5必要的法律依据；</w:t>
      </w:r>
    </w:p>
    <w:p w14:paraId="15B33CC7">
      <w:pPr>
        <w:shd w:val="clear"/>
        <w:spacing w:line="360" w:lineRule="auto"/>
        <w:ind w:firstLine="420" w:firstLineChars="200"/>
        <w:rPr>
          <w:rFonts w:asciiTheme="minorEastAsia" w:hAnsiTheme="minorEastAsia" w:eastAsiaTheme="minorEastAsia" w:cstheme="minorEastAsia"/>
          <w:color w:val="auto"/>
          <w:szCs w:val="21"/>
          <w:lang w:val="zh-CN"/>
        </w:rPr>
      </w:pPr>
      <w:r>
        <w:rPr>
          <w:rFonts w:hint="eastAsia" w:asciiTheme="minorEastAsia" w:hAnsiTheme="minorEastAsia" w:eastAsiaTheme="minorEastAsia" w:cstheme="minorEastAsia"/>
          <w:color w:val="auto"/>
          <w:szCs w:val="21"/>
        </w:rPr>
        <w:t>5</w:t>
      </w:r>
      <w:r>
        <w:rPr>
          <w:rFonts w:hint="eastAsia" w:asciiTheme="minorEastAsia" w:hAnsiTheme="minorEastAsia" w:eastAsiaTheme="minorEastAsia" w:cstheme="minorEastAsia"/>
          <w:color w:val="auto"/>
          <w:szCs w:val="21"/>
          <w:lang w:val="zh-CN"/>
        </w:rPr>
        <w:t>.2.3.6提出质疑的日期。</w:t>
      </w:r>
    </w:p>
    <w:p w14:paraId="60A1389E">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5.2.3.7对竞争性磋商文件提出质疑的需要提供在政采云平台获取竞争性磋商文件的截图。</w:t>
      </w:r>
    </w:p>
    <w:p w14:paraId="4C5A252A">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供应商提交的质疑函需一式三份。供应商为自然人的，应当由本人签字；供应商为法人或者其他组织的，应当由法定代表人、主要负责人，或者其授权代表签字或者盖章，并加盖公章。</w:t>
      </w:r>
    </w:p>
    <w:p w14:paraId="67726AA9">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质疑函范本请到浙江政府采购网下载专区下载。</w:t>
      </w:r>
    </w:p>
    <w:p w14:paraId="581E6D96">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5</w:t>
      </w:r>
      <w:r>
        <w:rPr>
          <w:rFonts w:hint="eastAsia" w:asciiTheme="minorEastAsia" w:hAnsiTheme="minorEastAsia" w:eastAsiaTheme="minorEastAsia" w:cstheme="minorEastAsia"/>
          <w:color w:val="auto"/>
          <w:szCs w:val="21"/>
          <w:lang w:val="zh-CN"/>
        </w:rPr>
        <w:t>.2</w:t>
      </w:r>
      <w:r>
        <w:rPr>
          <w:rFonts w:hint="eastAsia" w:asciiTheme="minorEastAsia" w:hAnsiTheme="minorEastAsia" w:eastAsiaTheme="minorEastAsia" w:cstheme="minorEastAsia"/>
          <w:color w:val="auto"/>
          <w:szCs w:val="21"/>
        </w:rPr>
        <w:t>.4采购人或者采购代理机构应当在收到供应商的书面质疑后七个工作日内作出答复，并以书面形式通知质疑供应商和其他与质疑处理结果有利害关系的政府采购当事人，但答复的内容不得涉及商业秘密。</w:t>
      </w:r>
    </w:p>
    <w:p w14:paraId="5DAC8A31">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5</w:t>
      </w:r>
      <w:r>
        <w:rPr>
          <w:rFonts w:hint="eastAsia" w:asciiTheme="minorEastAsia" w:hAnsiTheme="minorEastAsia" w:eastAsiaTheme="minorEastAsia" w:cstheme="minorEastAsia"/>
          <w:color w:val="auto"/>
          <w:szCs w:val="21"/>
          <w:lang w:val="zh-CN"/>
        </w:rPr>
        <w:t>.2</w:t>
      </w:r>
      <w:r>
        <w:rPr>
          <w:rFonts w:hint="eastAsia" w:asciiTheme="minorEastAsia" w:hAnsiTheme="minorEastAsia" w:eastAsiaTheme="minorEastAsia" w:cstheme="minorEastAsia"/>
          <w:color w:val="auto"/>
          <w:szCs w:val="21"/>
        </w:rPr>
        <w:t>.5询问或者质疑事项可能影响采购结果的，采购人应当暂停签订合同，已经签订合同的，应当中止履行合同。</w:t>
      </w:r>
    </w:p>
    <w:p w14:paraId="38EF9562">
      <w:pPr>
        <w:shd w:val="clear"/>
        <w:spacing w:line="360" w:lineRule="auto"/>
        <w:ind w:firstLine="420" w:firstLineChars="200"/>
        <w:rPr>
          <w:rFonts w:asciiTheme="minorEastAsia" w:hAnsiTheme="minorEastAsia" w:eastAsiaTheme="minorEastAsia" w:cstheme="minorEastAsia"/>
          <w:color w:val="auto"/>
          <w:szCs w:val="21"/>
          <w:lang w:val="zh-CN"/>
        </w:rPr>
      </w:pPr>
      <w:r>
        <w:rPr>
          <w:rFonts w:hint="eastAsia" w:asciiTheme="minorEastAsia" w:hAnsiTheme="minorEastAsia" w:eastAsiaTheme="minorEastAsia" w:cstheme="minorEastAsia"/>
          <w:color w:val="auto"/>
          <w:szCs w:val="21"/>
        </w:rPr>
        <w:t>5</w:t>
      </w:r>
      <w:r>
        <w:rPr>
          <w:rFonts w:hint="eastAsia" w:asciiTheme="minorEastAsia" w:hAnsiTheme="minorEastAsia" w:eastAsiaTheme="minorEastAsia" w:cstheme="minorEastAsia"/>
          <w:color w:val="auto"/>
          <w:szCs w:val="21"/>
          <w:lang w:val="zh-CN"/>
        </w:rPr>
        <w:t>.3供应商投诉</w:t>
      </w:r>
    </w:p>
    <w:p w14:paraId="10501313">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5.3.1质疑供应商对采购人、采购代理机构的答复不满意或者采购人、采购代理机构未在规定的时间内作出答复的，可以在答复期满后十五个工作日内向监督管理部门提出投诉。监督管理部门应当在收到投诉后三十个工作日内，对投诉事项作出处理决定，并以书面形式通知投诉人和与投诉事项有关的当事人。</w:t>
      </w:r>
    </w:p>
    <w:p w14:paraId="2EB11735">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5.3.</w:t>
      </w:r>
      <w:r>
        <w:rPr>
          <w:rFonts w:hint="eastAsia" w:asciiTheme="minorEastAsia" w:hAnsiTheme="minorEastAsia" w:eastAsiaTheme="minorEastAsia" w:cstheme="minorEastAsia"/>
          <w:color w:val="auto"/>
          <w:szCs w:val="21"/>
          <w:lang w:val="zh-CN"/>
        </w:rPr>
        <w:t>2</w:t>
      </w:r>
      <w:r>
        <w:rPr>
          <w:rFonts w:hint="eastAsia" w:asciiTheme="minorEastAsia" w:hAnsiTheme="minorEastAsia" w:eastAsiaTheme="minorEastAsia" w:cstheme="minorEastAsia"/>
          <w:color w:val="auto"/>
          <w:szCs w:val="21"/>
        </w:rPr>
        <w:t>供应商投诉的事项不得超出已质疑事项的范围，基于质疑答复内容提出的投诉事项除外。</w:t>
      </w:r>
    </w:p>
    <w:p w14:paraId="58572F80">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5.3.3供应商投诉应当有明确的请求和必要的证明材料。</w:t>
      </w:r>
    </w:p>
    <w:p w14:paraId="4C2D2B9B">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5.3.4以联合体形式参加采购活动的，其投诉应当由组成联合体的所有供应商共同提出。</w:t>
      </w:r>
    </w:p>
    <w:p w14:paraId="43D3B7EC">
      <w:pPr>
        <w:shd w:val="clear"/>
        <w:spacing w:line="360" w:lineRule="auto"/>
        <w:ind w:firstLine="420" w:firstLineChars="200"/>
        <w:rPr>
          <w:color w:val="auto"/>
        </w:rPr>
      </w:pPr>
      <w:r>
        <w:rPr>
          <w:rFonts w:hint="eastAsia" w:asciiTheme="minorEastAsia" w:hAnsiTheme="minorEastAsia" w:eastAsiaTheme="minorEastAsia" w:cstheme="minorEastAsia"/>
          <w:color w:val="auto"/>
          <w:szCs w:val="21"/>
        </w:rPr>
        <w:t>5.3.5投诉人对</w:t>
      </w:r>
      <w:r>
        <w:rPr>
          <w:rFonts w:hint="eastAsia"/>
          <w:color w:val="auto"/>
        </w:rPr>
        <w:t>监督管理部门的投诉处理决定</w:t>
      </w:r>
      <w:r>
        <w:rPr>
          <w:rFonts w:hint="eastAsia" w:asciiTheme="minorEastAsia" w:hAnsiTheme="minorEastAsia" w:eastAsiaTheme="minorEastAsia" w:cstheme="minorEastAsia"/>
          <w:color w:val="auto"/>
          <w:szCs w:val="21"/>
        </w:rPr>
        <w:t>不服</w:t>
      </w:r>
      <w:r>
        <w:rPr>
          <w:rFonts w:hint="eastAsia"/>
          <w:color w:val="auto"/>
        </w:rPr>
        <w:t>或监督管理部门逾期未作处理的，可以向区国资管理中心反映。供应商或相关利害关系人在</w:t>
      </w:r>
      <w:r>
        <w:rPr>
          <w:rFonts w:hint="eastAsia" w:asciiTheme="minorEastAsia" w:hAnsiTheme="minorEastAsia" w:eastAsiaTheme="minorEastAsia" w:cstheme="minorEastAsia"/>
          <w:color w:val="auto"/>
          <w:szCs w:val="21"/>
        </w:rPr>
        <w:t>采购过程</w:t>
      </w:r>
      <w:r>
        <w:rPr>
          <w:rFonts w:hint="eastAsia"/>
          <w:color w:val="auto"/>
        </w:rPr>
        <w:t>中发现涉及违法违纪行为或造成国有资产损失的，可以向纪检监察部门和区国资管理中心</w:t>
      </w:r>
      <w:r>
        <w:rPr>
          <w:rFonts w:hint="eastAsia" w:asciiTheme="minorEastAsia" w:hAnsiTheme="minorEastAsia" w:eastAsiaTheme="minorEastAsia" w:cstheme="minorEastAsia"/>
          <w:color w:val="auto"/>
          <w:szCs w:val="21"/>
        </w:rPr>
        <w:t>反映</w:t>
      </w:r>
      <w:r>
        <w:rPr>
          <w:rFonts w:hint="eastAsia"/>
          <w:color w:val="auto"/>
        </w:rPr>
        <w:t>。举报违法行为，应提供有效线索和证明材料。</w:t>
      </w:r>
    </w:p>
    <w:p w14:paraId="2E8127D4">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投诉书范本请到浙江政府采购网下载专区下载。</w:t>
      </w:r>
    </w:p>
    <w:p w14:paraId="5F9DC5CB">
      <w:pPr>
        <w:shd w:val="clear"/>
        <w:spacing w:line="360" w:lineRule="auto"/>
        <w:ind w:firstLine="321"/>
        <w:jc w:val="center"/>
        <w:outlineLvl w:val="0"/>
        <w:rPr>
          <w:rFonts w:asciiTheme="minorEastAsia" w:hAnsiTheme="minorEastAsia" w:eastAsiaTheme="minorEastAsia" w:cstheme="minorEastAsia"/>
          <w:b/>
          <w:color w:val="auto"/>
          <w:sz w:val="32"/>
          <w:szCs w:val="20"/>
        </w:rPr>
      </w:pPr>
      <w:r>
        <w:rPr>
          <w:rFonts w:hint="eastAsia" w:asciiTheme="minorEastAsia" w:hAnsiTheme="minorEastAsia" w:eastAsiaTheme="minorEastAsia" w:cstheme="minorEastAsia"/>
          <w:b/>
          <w:color w:val="auto"/>
          <w:sz w:val="32"/>
          <w:szCs w:val="20"/>
        </w:rPr>
        <w:t xml:space="preserve">      </w:t>
      </w:r>
    </w:p>
    <w:p w14:paraId="650EFD5D">
      <w:pPr>
        <w:shd w:val="clear"/>
        <w:ind w:firstLine="321"/>
        <w:rPr>
          <w:rFonts w:asciiTheme="minorEastAsia" w:hAnsiTheme="minorEastAsia" w:eastAsiaTheme="minorEastAsia" w:cstheme="minorEastAsia"/>
          <w:b/>
          <w:color w:val="auto"/>
          <w:sz w:val="32"/>
          <w:szCs w:val="20"/>
        </w:rPr>
      </w:pPr>
      <w:r>
        <w:rPr>
          <w:rFonts w:hint="eastAsia" w:asciiTheme="minorEastAsia" w:hAnsiTheme="minorEastAsia" w:eastAsiaTheme="minorEastAsia" w:cstheme="minorEastAsia"/>
          <w:b/>
          <w:color w:val="auto"/>
          <w:sz w:val="32"/>
          <w:szCs w:val="20"/>
        </w:rPr>
        <w:br w:type="page"/>
      </w:r>
    </w:p>
    <w:p w14:paraId="2300941D">
      <w:pPr>
        <w:shd w:val="clear"/>
        <w:spacing w:line="360" w:lineRule="auto"/>
        <w:ind w:firstLine="321"/>
        <w:jc w:val="center"/>
        <w:outlineLvl w:val="0"/>
        <w:rPr>
          <w:rFonts w:asciiTheme="minorEastAsia" w:hAnsiTheme="minorEastAsia" w:eastAsiaTheme="minorEastAsia" w:cstheme="minorEastAsia"/>
          <w:b/>
          <w:color w:val="auto"/>
          <w:sz w:val="32"/>
          <w:szCs w:val="20"/>
        </w:rPr>
      </w:pPr>
      <w:r>
        <w:rPr>
          <w:rFonts w:hint="eastAsia" w:asciiTheme="minorEastAsia" w:hAnsiTheme="minorEastAsia" w:eastAsiaTheme="minorEastAsia" w:cstheme="minorEastAsia"/>
          <w:b/>
          <w:color w:val="auto"/>
          <w:sz w:val="32"/>
          <w:szCs w:val="20"/>
        </w:rPr>
        <w:t>二、竞争性磋商文件的构成、澄清、修改</w:t>
      </w:r>
    </w:p>
    <w:p w14:paraId="29008CCA">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竞争性磋商文件的构成</w:t>
      </w:r>
    </w:p>
    <w:p w14:paraId="676C02C6">
      <w:pPr>
        <w:pStyle w:val="12"/>
        <w:shd w:val="clear"/>
        <w:spacing w:line="360" w:lineRule="auto"/>
        <w:ind w:firstLine="420" w:firstLineChars="2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6.1 竞争性磋商文件包括下列文件</w:t>
      </w:r>
      <w:r>
        <w:rPr>
          <w:rFonts w:hint="eastAsia" w:asciiTheme="minorEastAsia" w:hAnsiTheme="minorEastAsia" w:eastAsiaTheme="minorEastAsia" w:cstheme="minorEastAsia"/>
          <w:bCs/>
          <w:color w:val="auto"/>
        </w:rPr>
        <w:t>及附件</w:t>
      </w:r>
      <w:r>
        <w:rPr>
          <w:rFonts w:hint="eastAsia" w:asciiTheme="minorEastAsia" w:hAnsiTheme="minorEastAsia" w:eastAsiaTheme="minorEastAsia" w:cstheme="minorEastAsia"/>
          <w:b/>
          <w:bCs/>
          <w:color w:val="auto"/>
        </w:rPr>
        <w:t>：</w:t>
      </w:r>
    </w:p>
    <w:p w14:paraId="46BF1207">
      <w:pPr>
        <w:pStyle w:val="12"/>
        <w:shd w:val="clear"/>
        <w:spacing w:line="360" w:lineRule="auto"/>
        <w:ind w:firstLine="420" w:firstLineChars="2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6.1.1 竞争性磋商公告；</w:t>
      </w:r>
    </w:p>
    <w:p w14:paraId="24E3E489">
      <w:pPr>
        <w:pStyle w:val="12"/>
        <w:shd w:val="clear"/>
        <w:spacing w:line="360" w:lineRule="auto"/>
        <w:ind w:firstLine="420" w:firstLineChars="2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6.1.2 </w:t>
      </w:r>
      <w:r>
        <w:rPr>
          <w:rFonts w:hint="eastAsia" w:asciiTheme="minorEastAsia" w:hAnsiTheme="minorEastAsia" w:eastAsiaTheme="minorEastAsia" w:cstheme="minorEastAsia"/>
          <w:color w:val="auto"/>
          <w:lang w:val="zh-CN"/>
        </w:rPr>
        <w:t>响应</w:t>
      </w:r>
      <w:r>
        <w:rPr>
          <w:rFonts w:hint="eastAsia" w:asciiTheme="minorEastAsia" w:hAnsiTheme="minorEastAsia" w:eastAsiaTheme="minorEastAsia" w:cstheme="minorEastAsia"/>
          <w:color w:val="auto"/>
        </w:rPr>
        <w:t>须知；</w:t>
      </w:r>
    </w:p>
    <w:p w14:paraId="016039B8">
      <w:pPr>
        <w:pStyle w:val="12"/>
        <w:shd w:val="clear"/>
        <w:spacing w:line="360" w:lineRule="auto"/>
        <w:ind w:firstLine="420" w:firstLineChars="2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6.1.3 采购需求；</w:t>
      </w:r>
    </w:p>
    <w:p w14:paraId="62654A18">
      <w:pPr>
        <w:pStyle w:val="12"/>
        <w:shd w:val="clear"/>
        <w:spacing w:line="360" w:lineRule="auto"/>
        <w:ind w:firstLine="420" w:firstLineChars="2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6.1.4 评审办法；</w:t>
      </w:r>
    </w:p>
    <w:p w14:paraId="1B9DAA23">
      <w:pPr>
        <w:pStyle w:val="12"/>
        <w:shd w:val="clear"/>
        <w:spacing w:line="360" w:lineRule="auto"/>
        <w:ind w:firstLine="420" w:firstLineChars="2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6.1.5 拟签订的合同文本；</w:t>
      </w:r>
    </w:p>
    <w:p w14:paraId="20C4B0D0">
      <w:pPr>
        <w:pStyle w:val="12"/>
        <w:shd w:val="clear"/>
        <w:spacing w:line="360" w:lineRule="auto"/>
        <w:ind w:firstLine="420" w:firstLineChars="2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6.1.6 应提交的有关格式范例。</w:t>
      </w:r>
    </w:p>
    <w:p w14:paraId="3BD07AFF">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6.2与本项目有关的</w:t>
      </w:r>
      <w:r>
        <w:rPr>
          <w:rFonts w:hint="eastAsia" w:asciiTheme="minorEastAsia" w:hAnsiTheme="minorEastAsia" w:eastAsiaTheme="minorEastAsia" w:cstheme="minorEastAsia"/>
          <w:bCs/>
          <w:color w:val="auto"/>
          <w:szCs w:val="21"/>
        </w:rPr>
        <w:t>澄清或者修改的内容为</w:t>
      </w:r>
      <w:r>
        <w:rPr>
          <w:rFonts w:hint="eastAsia" w:asciiTheme="minorEastAsia" w:hAnsiTheme="minorEastAsia" w:eastAsiaTheme="minorEastAsia" w:cstheme="minorEastAsia"/>
          <w:color w:val="auto"/>
          <w:szCs w:val="21"/>
        </w:rPr>
        <w:t>竞争性磋商</w:t>
      </w:r>
      <w:r>
        <w:rPr>
          <w:rFonts w:hint="eastAsia" w:asciiTheme="minorEastAsia" w:hAnsiTheme="minorEastAsia" w:eastAsiaTheme="minorEastAsia" w:cstheme="minorEastAsia"/>
          <w:bCs/>
          <w:color w:val="auto"/>
          <w:szCs w:val="21"/>
        </w:rPr>
        <w:t>文件的组成部分</w:t>
      </w:r>
      <w:r>
        <w:rPr>
          <w:rFonts w:hint="eastAsia" w:asciiTheme="minorEastAsia" w:hAnsiTheme="minorEastAsia" w:eastAsiaTheme="minorEastAsia" w:cstheme="minorEastAsia"/>
          <w:color w:val="auto"/>
          <w:szCs w:val="21"/>
        </w:rPr>
        <w:t>。</w:t>
      </w:r>
    </w:p>
    <w:p w14:paraId="4B6B9F91">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竞争性磋商文件的澄清、修改</w:t>
      </w:r>
    </w:p>
    <w:p w14:paraId="40686F49">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7.1 采购人对竞争性磋商文件进行必要的澄清或者修改的，在采购信息发布网站上发布更正公告。澄清或者修改的内容可能影响响应文件编制的，更正公告在响应截止时间至少5日前发出；不足5日的，顺延提交响应文件截止时间。</w:t>
      </w:r>
    </w:p>
    <w:p w14:paraId="4D53232B">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7.2 更正公告为竞争性磋商文件的组成部分，一经在网站发布，视同已通知所有竞争性磋商文件的收受人，不再采用其它方式传达相关信息, 若因未能及时了解到上述网站上发布的相关信息而导致的一切后果自行承担。</w:t>
      </w:r>
    </w:p>
    <w:p w14:paraId="59A8333E">
      <w:pPr>
        <w:shd w:val="clear"/>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7.3 如更正公告有重新发布电子竞争性磋商文件的，</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szCs w:val="21"/>
        </w:rPr>
        <w:t>应下载最新发布的电子竞争性磋商文件制作响应文件。</w:t>
      </w:r>
    </w:p>
    <w:p w14:paraId="77762746">
      <w:pPr>
        <w:shd w:val="clear"/>
        <w:spacing w:line="360" w:lineRule="auto"/>
        <w:ind w:firstLine="420" w:firstLineChars="200"/>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color w:val="auto"/>
          <w:szCs w:val="21"/>
        </w:rPr>
        <w:t>7.4 已获取竞争性磋商文件的潜在</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szCs w:val="21"/>
        </w:rPr>
        <w:t>，若有问题需要澄清，应于响应截止时间前，以书面形式向采购代理机构提出。</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szCs w:val="21"/>
        </w:rPr>
        <w:t>在规定的时间内未对竞争性磋商文件提出疑问、质疑或要求澄清的，将视其为无异议。对竞争性磋商文件中描述有歧义或前后不一致的地方，磋商小组有权进行评判，但对同一条款的评判应适用于每个</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szCs w:val="21"/>
        </w:rPr>
        <w:t>。</w:t>
      </w:r>
    </w:p>
    <w:p w14:paraId="14EC52EE">
      <w:pPr>
        <w:shd w:val="clear"/>
        <w:spacing w:line="360" w:lineRule="auto"/>
        <w:ind w:firstLine="301"/>
        <w:jc w:val="center"/>
        <w:outlineLvl w:val="0"/>
        <w:rPr>
          <w:rFonts w:asciiTheme="minorEastAsia" w:hAnsiTheme="minorEastAsia" w:eastAsiaTheme="minorEastAsia" w:cstheme="minorEastAsia"/>
          <w:b/>
          <w:color w:val="auto"/>
          <w:sz w:val="30"/>
          <w:szCs w:val="20"/>
        </w:rPr>
      </w:pPr>
      <w:r>
        <w:rPr>
          <w:rFonts w:hint="eastAsia" w:asciiTheme="minorEastAsia" w:hAnsiTheme="minorEastAsia" w:eastAsiaTheme="minorEastAsia" w:cstheme="minorEastAsia"/>
          <w:b/>
          <w:color w:val="auto"/>
          <w:sz w:val="30"/>
          <w:szCs w:val="20"/>
        </w:rPr>
        <w:br w:type="page"/>
      </w:r>
      <w:r>
        <w:rPr>
          <w:rFonts w:hint="eastAsia" w:asciiTheme="minorEastAsia" w:hAnsiTheme="minorEastAsia" w:eastAsiaTheme="minorEastAsia" w:cstheme="minorEastAsia"/>
          <w:b/>
          <w:color w:val="auto"/>
          <w:sz w:val="30"/>
          <w:szCs w:val="20"/>
        </w:rPr>
        <w:t>三、响应</w:t>
      </w:r>
    </w:p>
    <w:p w14:paraId="595989E8">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响应文件的语言</w:t>
      </w:r>
    </w:p>
    <w:p w14:paraId="3BF7655C">
      <w:pPr>
        <w:shd w:val="clear"/>
        <w:autoSpaceDE w:val="0"/>
        <w:autoSpaceDN w:val="0"/>
        <w:spacing w:line="360" w:lineRule="auto"/>
        <w:ind w:firstLine="420" w:firstLineChars="200"/>
        <w:rPr>
          <w:rFonts w:asciiTheme="minorEastAsia" w:hAnsiTheme="minorEastAsia" w:eastAsiaTheme="minorEastAsia" w:cstheme="minorEastAsia"/>
          <w:color w:val="auto"/>
          <w:szCs w:val="21"/>
          <w:lang w:val="zh-CN"/>
        </w:rPr>
      </w:pPr>
      <w:r>
        <w:rPr>
          <w:rFonts w:hint="eastAsia" w:asciiTheme="minorEastAsia" w:hAnsiTheme="minorEastAsia" w:eastAsiaTheme="minorEastAsia" w:cstheme="minorEastAsia"/>
          <w:color w:val="auto"/>
          <w:szCs w:val="21"/>
        </w:rPr>
        <w:t>响应文件及</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szCs w:val="21"/>
        </w:rPr>
        <w:t>与采购有关的来往通知、函件和文件均应使用中文。</w:t>
      </w:r>
    </w:p>
    <w:p w14:paraId="46B98F19">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响应文件的组成</w:t>
      </w:r>
    </w:p>
    <w:p w14:paraId="1BFF0097">
      <w:pPr>
        <w:shd w:val="clear"/>
        <w:snapToGrid w:val="0"/>
        <w:spacing w:line="360" w:lineRule="auto"/>
        <w:ind w:firstLine="422" w:firstLineChars="200"/>
        <w:rPr>
          <w:rFonts w:asciiTheme="minorEastAsia" w:hAnsiTheme="minorEastAsia" w:eastAsiaTheme="minorEastAsia" w:cstheme="minorEastAsia"/>
          <w:b/>
          <w:bCs/>
          <w:color w:val="auto"/>
          <w:szCs w:val="21"/>
        </w:rPr>
      </w:pPr>
      <w:r>
        <w:rPr>
          <w:rFonts w:hint="eastAsia" w:asciiTheme="minorEastAsia" w:hAnsiTheme="minorEastAsia" w:eastAsiaTheme="minorEastAsia" w:cstheme="minorEastAsia"/>
          <w:b/>
          <w:bCs/>
          <w:color w:val="auto"/>
          <w:szCs w:val="21"/>
        </w:rPr>
        <w:t>9.1 资格文件：</w:t>
      </w:r>
    </w:p>
    <w:p w14:paraId="30ED924E">
      <w:pPr>
        <w:shd w:val="clear"/>
        <w:snapToGrid w:val="0"/>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9.1.1有效的企业法人营业执照；</w:t>
      </w:r>
    </w:p>
    <w:p w14:paraId="38B1C7B3">
      <w:pPr>
        <w:shd w:val="clear"/>
        <w:snapToGrid w:val="0"/>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9.1.2符合参加政府采购活动应当具备的一般条件的承诺函(格式见第六部分)；</w:t>
      </w:r>
    </w:p>
    <w:p w14:paraId="07BF17EB">
      <w:pPr>
        <w:shd w:val="clear"/>
        <w:snapToGrid w:val="0"/>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9.1.3中小企业声明函（或残疾人福利性单位声明函、或监狱企业的证明文件）；</w:t>
      </w:r>
    </w:p>
    <w:p w14:paraId="7385DB2A">
      <w:pPr>
        <w:shd w:val="clear"/>
        <w:snapToGrid w:val="0"/>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9.1.4本项目的特定资格要求。</w:t>
      </w:r>
    </w:p>
    <w:p w14:paraId="1FABDAB0">
      <w:pPr>
        <w:shd w:val="clear"/>
        <w:snapToGrid w:val="0"/>
        <w:spacing w:line="360" w:lineRule="auto"/>
        <w:ind w:firstLine="422" w:firstLineChars="200"/>
        <w:rPr>
          <w:rFonts w:asciiTheme="minorEastAsia" w:hAnsiTheme="minorEastAsia" w:eastAsiaTheme="minorEastAsia" w:cstheme="minorEastAsia"/>
          <w:b/>
          <w:bCs/>
          <w:color w:val="auto"/>
          <w:szCs w:val="21"/>
          <w:lang w:val="zh-CN"/>
        </w:rPr>
      </w:pPr>
      <w:r>
        <w:rPr>
          <w:rFonts w:hint="eastAsia" w:asciiTheme="minorEastAsia" w:hAnsiTheme="minorEastAsia" w:eastAsiaTheme="minorEastAsia" w:cstheme="minorEastAsia"/>
          <w:b/>
          <w:bCs/>
          <w:color w:val="auto"/>
          <w:szCs w:val="21"/>
        </w:rPr>
        <w:t>9</w:t>
      </w:r>
      <w:r>
        <w:rPr>
          <w:rFonts w:hint="eastAsia" w:asciiTheme="minorEastAsia" w:hAnsiTheme="minorEastAsia" w:eastAsiaTheme="minorEastAsia" w:cstheme="minorEastAsia"/>
          <w:b/>
          <w:bCs/>
          <w:color w:val="auto"/>
          <w:szCs w:val="21"/>
          <w:lang w:val="zh-CN"/>
        </w:rPr>
        <w:t>.</w:t>
      </w:r>
      <w:r>
        <w:rPr>
          <w:rFonts w:hint="eastAsia" w:asciiTheme="minorEastAsia" w:hAnsiTheme="minorEastAsia" w:eastAsiaTheme="minorEastAsia" w:cstheme="minorEastAsia"/>
          <w:b/>
          <w:bCs/>
          <w:color w:val="auto"/>
          <w:szCs w:val="21"/>
        </w:rPr>
        <w:t>2</w:t>
      </w:r>
      <w:r>
        <w:rPr>
          <w:rFonts w:hint="eastAsia" w:asciiTheme="minorEastAsia" w:hAnsiTheme="minorEastAsia" w:eastAsiaTheme="minorEastAsia" w:cstheme="minorEastAsia"/>
          <w:b/>
          <w:bCs/>
          <w:color w:val="auto"/>
          <w:szCs w:val="21"/>
          <w:lang w:val="zh-CN"/>
        </w:rPr>
        <w:t xml:space="preserve"> </w:t>
      </w:r>
      <w:r>
        <w:rPr>
          <w:rFonts w:hint="eastAsia" w:asciiTheme="minorEastAsia" w:hAnsiTheme="minorEastAsia" w:eastAsiaTheme="minorEastAsia" w:cstheme="minorEastAsia"/>
          <w:b/>
          <w:bCs/>
          <w:color w:val="auto"/>
          <w:szCs w:val="21"/>
        </w:rPr>
        <w:t>商务技术</w:t>
      </w:r>
      <w:r>
        <w:rPr>
          <w:rFonts w:hint="eastAsia" w:asciiTheme="minorEastAsia" w:hAnsiTheme="minorEastAsia" w:eastAsiaTheme="minorEastAsia" w:cstheme="minorEastAsia"/>
          <w:b/>
          <w:bCs/>
          <w:color w:val="auto"/>
          <w:szCs w:val="21"/>
          <w:lang w:val="zh-CN"/>
        </w:rPr>
        <w:t>文件：</w:t>
      </w:r>
    </w:p>
    <w:p w14:paraId="112F902F">
      <w:pPr>
        <w:shd w:val="clear"/>
        <w:snapToGrid w:val="0"/>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9.2.1 评分索引表；</w:t>
      </w:r>
    </w:p>
    <w:p w14:paraId="223D2F26">
      <w:pPr>
        <w:shd w:val="clear"/>
        <w:snapToGrid w:val="0"/>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9.2.2符合性自查表；</w:t>
      </w:r>
    </w:p>
    <w:p w14:paraId="10F1DD27">
      <w:pPr>
        <w:shd w:val="clear"/>
        <w:snapToGrid w:val="0"/>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 xml:space="preserve">9.2.3磋商函； </w:t>
      </w:r>
    </w:p>
    <w:p w14:paraId="02294AA7">
      <w:pPr>
        <w:shd w:val="clear"/>
        <w:snapToGrid w:val="0"/>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9.2.4 授权委托书或法定代表人（单位负责人、自然人本人）身份证明；</w:t>
      </w:r>
    </w:p>
    <w:p w14:paraId="300D8FED">
      <w:pPr>
        <w:shd w:val="clear"/>
        <w:snapToGrid w:val="0"/>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9.2.5 供应商情况表；</w:t>
      </w:r>
    </w:p>
    <w:p w14:paraId="13F06909">
      <w:pPr>
        <w:shd w:val="clear"/>
        <w:snapToGrid w:val="0"/>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9.2.6 距采购人最近或者能为本项目提供最优服务的网点情况表；</w:t>
      </w:r>
    </w:p>
    <w:p w14:paraId="0A87785A">
      <w:pPr>
        <w:shd w:val="clear"/>
        <w:snapToGrid w:val="0"/>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9</w:t>
      </w:r>
      <w:r>
        <w:rPr>
          <w:rFonts w:hint="eastAsia" w:asciiTheme="minorEastAsia" w:hAnsiTheme="minorEastAsia" w:eastAsiaTheme="minorEastAsia" w:cstheme="minorEastAsia"/>
          <w:color w:val="auto"/>
          <w:szCs w:val="21"/>
          <w:lang w:val="zh-CN"/>
        </w:rPr>
        <w:t>.</w:t>
      </w:r>
      <w:r>
        <w:rPr>
          <w:rFonts w:hint="eastAsia" w:asciiTheme="minorEastAsia" w:hAnsiTheme="minorEastAsia" w:eastAsiaTheme="minorEastAsia" w:cstheme="minorEastAsia"/>
          <w:color w:val="auto"/>
          <w:szCs w:val="21"/>
        </w:rPr>
        <w:t>2</w:t>
      </w:r>
      <w:r>
        <w:rPr>
          <w:rFonts w:hint="eastAsia" w:asciiTheme="minorEastAsia" w:hAnsiTheme="minorEastAsia" w:eastAsiaTheme="minorEastAsia" w:cstheme="minorEastAsia"/>
          <w:color w:val="auto"/>
          <w:szCs w:val="21"/>
          <w:lang w:val="zh-CN"/>
        </w:rPr>
        <w:t>.</w:t>
      </w:r>
      <w:r>
        <w:rPr>
          <w:rFonts w:hint="eastAsia" w:asciiTheme="minorEastAsia" w:hAnsiTheme="minorEastAsia" w:eastAsiaTheme="minorEastAsia" w:cstheme="minorEastAsia"/>
          <w:color w:val="auto"/>
          <w:szCs w:val="21"/>
        </w:rPr>
        <w:t>7 评标标准相应的商务技术资料；</w:t>
      </w:r>
    </w:p>
    <w:p w14:paraId="56D0ABBE">
      <w:pPr>
        <w:shd w:val="clear"/>
        <w:snapToGrid w:val="0"/>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9.2.8 商务</w:t>
      </w:r>
      <w:r>
        <w:rPr>
          <w:rFonts w:hint="eastAsia" w:asciiTheme="minorEastAsia" w:hAnsiTheme="minorEastAsia" w:eastAsiaTheme="minorEastAsia" w:cstheme="minorEastAsia"/>
          <w:b/>
          <w:bCs/>
          <w:color w:val="auto"/>
          <w:szCs w:val="21"/>
        </w:rPr>
        <w:t>响应</w:t>
      </w:r>
      <w:r>
        <w:rPr>
          <w:rFonts w:hint="eastAsia" w:asciiTheme="minorEastAsia" w:hAnsiTheme="minorEastAsia" w:eastAsiaTheme="minorEastAsia" w:cstheme="minorEastAsia"/>
          <w:color w:val="auto"/>
          <w:szCs w:val="21"/>
        </w:rPr>
        <w:t>表；</w:t>
      </w:r>
    </w:p>
    <w:p w14:paraId="1A3A3104">
      <w:pPr>
        <w:shd w:val="clear"/>
        <w:snapToGrid w:val="0"/>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9.2.9 技术</w:t>
      </w:r>
      <w:r>
        <w:rPr>
          <w:rFonts w:hint="eastAsia" w:asciiTheme="minorEastAsia" w:hAnsiTheme="minorEastAsia" w:eastAsiaTheme="minorEastAsia" w:cstheme="minorEastAsia"/>
          <w:b/>
          <w:bCs/>
          <w:color w:val="auto"/>
          <w:szCs w:val="21"/>
        </w:rPr>
        <w:t>响应</w:t>
      </w:r>
      <w:r>
        <w:rPr>
          <w:rFonts w:hint="eastAsia" w:asciiTheme="minorEastAsia" w:hAnsiTheme="minorEastAsia" w:eastAsiaTheme="minorEastAsia" w:cstheme="minorEastAsia"/>
          <w:color w:val="auto"/>
          <w:szCs w:val="21"/>
        </w:rPr>
        <w:t>表；</w:t>
      </w:r>
    </w:p>
    <w:p w14:paraId="0A3C29D8">
      <w:pPr>
        <w:shd w:val="clear"/>
        <w:snapToGrid w:val="0"/>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9.2.10 同类业绩情况一览表；</w:t>
      </w:r>
    </w:p>
    <w:p w14:paraId="4E8FE4EF">
      <w:pPr>
        <w:shd w:val="clear"/>
        <w:snapToGrid w:val="0"/>
        <w:spacing w:line="360" w:lineRule="auto"/>
        <w:ind w:firstLine="420" w:firstLineChars="200"/>
        <w:rPr>
          <w:rFonts w:asciiTheme="minorEastAsia" w:hAnsiTheme="minorEastAsia" w:eastAsiaTheme="minorEastAsia" w:cstheme="minorEastAsia"/>
          <w:color w:val="auto"/>
          <w:szCs w:val="21"/>
          <w:lang w:val="zh-CN"/>
        </w:rPr>
      </w:pPr>
      <w:r>
        <w:rPr>
          <w:rFonts w:hint="eastAsia" w:asciiTheme="minorEastAsia" w:hAnsiTheme="minorEastAsia" w:eastAsiaTheme="minorEastAsia" w:cstheme="minorEastAsia"/>
          <w:color w:val="auto"/>
          <w:szCs w:val="21"/>
        </w:rPr>
        <w:t>9.2.11</w:t>
      </w:r>
      <w:r>
        <w:rPr>
          <w:rFonts w:hint="eastAsia" w:asciiTheme="minorEastAsia" w:hAnsiTheme="minorEastAsia" w:eastAsiaTheme="minorEastAsia" w:cstheme="minorEastAsia"/>
          <w:color w:val="auto"/>
          <w:szCs w:val="21"/>
          <w:lang w:val="zh-CN"/>
        </w:rPr>
        <w:t>政府采购供应商廉洁自律承诺书；</w:t>
      </w:r>
    </w:p>
    <w:p w14:paraId="60D2DC21">
      <w:pPr>
        <w:shd w:val="clear"/>
        <w:snapToGrid w:val="0"/>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9.2.12其他资料（如有）。</w:t>
      </w:r>
    </w:p>
    <w:p w14:paraId="2029E946">
      <w:pPr>
        <w:shd w:val="clear"/>
        <w:snapToGrid w:val="0"/>
        <w:spacing w:line="360" w:lineRule="auto"/>
        <w:ind w:firstLine="422" w:firstLineChars="200"/>
        <w:rPr>
          <w:rFonts w:asciiTheme="minorEastAsia" w:hAnsiTheme="minorEastAsia" w:eastAsiaTheme="minorEastAsia" w:cstheme="minorEastAsia"/>
          <w:b/>
          <w:bCs/>
          <w:color w:val="auto"/>
          <w:szCs w:val="21"/>
          <w:u w:val="single"/>
          <w:lang w:val="zh-CN"/>
        </w:rPr>
      </w:pPr>
      <w:r>
        <w:rPr>
          <w:rFonts w:hint="eastAsia" w:asciiTheme="minorEastAsia" w:hAnsiTheme="minorEastAsia" w:eastAsiaTheme="minorEastAsia" w:cstheme="minorEastAsia"/>
          <w:b/>
          <w:bCs/>
          <w:color w:val="auto"/>
          <w:kern w:val="0"/>
          <w:szCs w:val="21"/>
        </w:rPr>
        <w:t>9</w:t>
      </w:r>
      <w:r>
        <w:rPr>
          <w:rFonts w:hint="eastAsia" w:asciiTheme="minorEastAsia" w:hAnsiTheme="minorEastAsia" w:eastAsiaTheme="minorEastAsia" w:cstheme="minorEastAsia"/>
          <w:b/>
          <w:bCs/>
          <w:color w:val="auto"/>
          <w:kern w:val="0"/>
          <w:szCs w:val="21"/>
          <w:lang w:val="zh-CN"/>
        </w:rPr>
        <w:t>.</w:t>
      </w:r>
      <w:r>
        <w:rPr>
          <w:rFonts w:hint="eastAsia" w:asciiTheme="minorEastAsia" w:hAnsiTheme="minorEastAsia" w:eastAsiaTheme="minorEastAsia" w:cstheme="minorEastAsia"/>
          <w:b/>
          <w:bCs/>
          <w:color w:val="auto"/>
          <w:kern w:val="0"/>
          <w:szCs w:val="21"/>
        </w:rPr>
        <w:t xml:space="preserve">3 </w:t>
      </w:r>
      <w:r>
        <w:rPr>
          <w:rFonts w:hint="eastAsia" w:asciiTheme="minorEastAsia" w:hAnsiTheme="minorEastAsia" w:eastAsiaTheme="minorEastAsia" w:cstheme="minorEastAsia"/>
          <w:b/>
          <w:bCs/>
          <w:color w:val="auto"/>
          <w:szCs w:val="21"/>
        </w:rPr>
        <w:t xml:space="preserve">报价文件： </w:t>
      </w:r>
    </w:p>
    <w:p w14:paraId="100DB9B4">
      <w:pPr>
        <w:shd w:val="clear"/>
        <w:snapToGrid w:val="0"/>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9.3.1 报价一览表；</w:t>
      </w:r>
    </w:p>
    <w:p w14:paraId="6C092438">
      <w:pPr>
        <w:shd w:val="clear"/>
        <w:snapToGrid w:val="0"/>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9.3.2政府采购统计基础信息表；</w:t>
      </w:r>
    </w:p>
    <w:p w14:paraId="3B27D09B">
      <w:pPr>
        <w:shd w:val="clear"/>
        <w:snapToGrid w:val="0"/>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9.3.3其他资料（如有）。</w:t>
      </w:r>
    </w:p>
    <w:p w14:paraId="5CC1A1C1">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响应文件的编制</w:t>
      </w:r>
    </w:p>
    <w:p w14:paraId="0C23A05D">
      <w:pPr>
        <w:shd w:val="clear"/>
        <w:spacing w:line="360" w:lineRule="auto"/>
        <w:ind w:firstLine="420" w:firstLineChars="200"/>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color w:val="auto"/>
          <w:kern w:val="0"/>
          <w:szCs w:val="21"/>
          <w:lang w:val="zh-CN"/>
        </w:rPr>
        <w:t>1</w:t>
      </w:r>
      <w:r>
        <w:rPr>
          <w:rFonts w:hint="eastAsia" w:asciiTheme="minorEastAsia" w:hAnsiTheme="minorEastAsia" w:eastAsiaTheme="minorEastAsia" w:cstheme="minorEastAsia"/>
          <w:color w:val="auto"/>
          <w:kern w:val="0"/>
          <w:szCs w:val="21"/>
        </w:rPr>
        <w:t>0</w:t>
      </w:r>
      <w:r>
        <w:rPr>
          <w:rFonts w:hint="eastAsia" w:asciiTheme="minorEastAsia" w:hAnsiTheme="minorEastAsia" w:eastAsiaTheme="minorEastAsia" w:cstheme="minorEastAsia"/>
          <w:color w:val="auto"/>
          <w:kern w:val="0"/>
          <w:szCs w:val="21"/>
          <w:lang w:val="zh-CN"/>
        </w:rPr>
        <w:t>.1响应文件分为资格文件、商务技术文件、报价文件三部分。各供应商在编制响应文件时请按照竞争性磋商文件第六部分规定的格式进行。</w:t>
      </w:r>
      <w:r>
        <w:rPr>
          <w:rFonts w:hint="eastAsia" w:asciiTheme="minorEastAsia" w:hAnsiTheme="minorEastAsia" w:eastAsiaTheme="minorEastAsia" w:cstheme="minorEastAsia"/>
          <w:color w:val="auto"/>
          <w:kern w:val="0"/>
          <w:szCs w:val="21"/>
        </w:rPr>
        <w:t>未有规定格式的资料，</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kern w:val="0"/>
          <w:szCs w:val="21"/>
        </w:rPr>
        <w:t>应自行编制，但至少须包含9.响应文件组成中的内容。</w:t>
      </w:r>
      <w:r>
        <w:rPr>
          <w:rFonts w:hint="eastAsia" w:asciiTheme="minorEastAsia" w:hAnsiTheme="minorEastAsia" w:eastAsiaTheme="minorEastAsia" w:cstheme="minorEastAsia"/>
          <w:color w:val="auto"/>
          <w:kern w:val="0"/>
          <w:szCs w:val="21"/>
          <w:lang w:val="zh-CN"/>
        </w:rPr>
        <w:t>混乱的编排导致响应文件被误读或磋商小组查找不到有效文件是供应商的风险。</w:t>
      </w:r>
    </w:p>
    <w:p w14:paraId="1229DC80">
      <w:pPr>
        <w:shd w:val="clear"/>
        <w:spacing w:line="360" w:lineRule="auto"/>
        <w:ind w:firstLine="420" w:firstLineChars="200"/>
        <w:rPr>
          <w:rFonts w:asciiTheme="minorEastAsia" w:hAnsiTheme="minorEastAsia" w:eastAsiaTheme="minorEastAsia" w:cstheme="minorEastAsia"/>
          <w:color w:val="auto"/>
          <w:kern w:val="0"/>
          <w:szCs w:val="21"/>
          <w:lang w:val="zh-CN"/>
        </w:rPr>
      </w:pPr>
      <w:r>
        <w:rPr>
          <w:rFonts w:hint="eastAsia" w:asciiTheme="minorEastAsia" w:hAnsiTheme="minorEastAsia" w:eastAsiaTheme="minorEastAsia" w:cstheme="minorEastAsia"/>
          <w:color w:val="auto"/>
          <w:kern w:val="0"/>
          <w:szCs w:val="21"/>
          <w:lang w:val="zh-CN"/>
        </w:rPr>
        <w:t>1</w:t>
      </w:r>
      <w:r>
        <w:rPr>
          <w:rFonts w:hint="eastAsia" w:asciiTheme="minorEastAsia" w:hAnsiTheme="minorEastAsia" w:eastAsiaTheme="minorEastAsia" w:cstheme="minorEastAsia"/>
          <w:color w:val="auto"/>
          <w:kern w:val="0"/>
          <w:szCs w:val="21"/>
        </w:rPr>
        <w:t>0</w:t>
      </w:r>
      <w:r>
        <w:rPr>
          <w:rFonts w:hint="eastAsia" w:asciiTheme="minorEastAsia" w:hAnsiTheme="minorEastAsia" w:eastAsiaTheme="minorEastAsia" w:cstheme="minorEastAsia"/>
          <w:color w:val="auto"/>
          <w:kern w:val="0"/>
          <w:szCs w:val="21"/>
          <w:lang w:val="zh-CN"/>
        </w:rPr>
        <w:t>.2供应商进行电子投标应安装客户端软件—“政采云电子交易客户端”，并按照竞争性磋商文件和电子交易平台的要求编制并加密响应文件。供应商未按规定加密的响应文件，电子交易平台将拒收并提示。</w:t>
      </w:r>
    </w:p>
    <w:p w14:paraId="0FE733D5">
      <w:pPr>
        <w:shd w:val="clear"/>
        <w:spacing w:line="360" w:lineRule="auto"/>
        <w:ind w:firstLine="420" w:firstLineChars="200"/>
        <w:rPr>
          <w:rFonts w:asciiTheme="minorEastAsia" w:hAnsiTheme="minorEastAsia" w:eastAsiaTheme="minorEastAsia" w:cstheme="minorEastAsia"/>
          <w:color w:val="auto"/>
          <w:kern w:val="0"/>
          <w:szCs w:val="21"/>
          <w:lang w:val="zh-CN"/>
        </w:rPr>
      </w:pPr>
      <w:r>
        <w:rPr>
          <w:rFonts w:hint="eastAsia" w:asciiTheme="minorEastAsia" w:hAnsiTheme="minorEastAsia" w:eastAsiaTheme="minorEastAsia" w:cstheme="minorEastAsia"/>
          <w:color w:val="auto"/>
          <w:kern w:val="0"/>
          <w:szCs w:val="21"/>
          <w:lang w:val="zh-CN"/>
        </w:rPr>
        <w:t>1</w:t>
      </w:r>
      <w:r>
        <w:rPr>
          <w:rFonts w:hint="eastAsia" w:asciiTheme="minorEastAsia" w:hAnsiTheme="minorEastAsia" w:eastAsiaTheme="minorEastAsia" w:cstheme="minorEastAsia"/>
          <w:color w:val="auto"/>
          <w:kern w:val="0"/>
          <w:szCs w:val="21"/>
        </w:rPr>
        <w:t>0</w:t>
      </w:r>
      <w:r>
        <w:rPr>
          <w:rFonts w:hint="eastAsia" w:asciiTheme="minorEastAsia" w:hAnsiTheme="minorEastAsia" w:eastAsiaTheme="minorEastAsia" w:cstheme="minorEastAsia"/>
          <w:color w:val="auto"/>
          <w:kern w:val="0"/>
          <w:szCs w:val="21"/>
          <w:lang w:val="zh-CN"/>
        </w:rPr>
        <w:t>.3使用“政采云电子交易客户端”需要提前申领CA数字证书，申领流程请自行前往“浙江政府采购网-下载专区-电子交易客户端-CA驱动和申领流程”进行查阅。</w:t>
      </w:r>
    </w:p>
    <w:p w14:paraId="3AE5E8F3">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投响应文件的签署、盖章</w:t>
      </w:r>
    </w:p>
    <w:p w14:paraId="17BAF29C">
      <w:pPr>
        <w:pStyle w:val="51"/>
        <w:shd w:val="clear"/>
        <w:snapToGrid w:val="0"/>
        <w:spacing w:before="120"/>
        <w:ind w:firstLine="420"/>
        <w:rPr>
          <w:rFonts w:asciiTheme="minorEastAsia" w:hAnsiTheme="minorEastAsia" w:eastAsiaTheme="minorEastAsia" w:cstheme="minorEastAsia"/>
          <w:b/>
          <w:color w:val="auto"/>
          <w:sz w:val="21"/>
          <w:szCs w:val="21"/>
        </w:rPr>
      </w:pPr>
      <w:r>
        <w:rPr>
          <w:rFonts w:hint="eastAsia" w:asciiTheme="minorEastAsia" w:hAnsiTheme="minorEastAsia" w:eastAsiaTheme="minorEastAsia" w:cstheme="minorEastAsia"/>
          <w:color w:val="auto"/>
          <w:sz w:val="21"/>
          <w:szCs w:val="21"/>
        </w:rPr>
        <w:t>11.1响应文件按照竞争性磋商文件第六部分格式要求进行签署、盖章。</w:t>
      </w:r>
      <w:r>
        <w:rPr>
          <w:rFonts w:hint="eastAsia" w:asciiTheme="minorEastAsia" w:hAnsiTheme="minorEastAsia" w:eastAsiaTheme="minorEastAsia" w:cstheme="minorEastAsia"/>
          <w:b/>
          <w:color w:val="auto"/>
          <w:sz w:val="21"/>
          <w:szCs w:val="21"/>
        </w:rPr>
        <w:t>▲供应商的响应文件未按照竞争性磋商文件要求签署、盖章的，其响应无效</w:t>
      </w:r>
      <w:r>
        <w:rPr>
          <w:rFonts w:hint="eastAsia" w:asciiTheme="minorEastAsia" w:hAnsiTheme="minorEastAsia" w:eastAsiaTheme="minorEastAsia" w:cstheme="minorEastAsia"/>
          <w:color w:val="auto"/>
          <w:sz w:val="21"/>
          <w:szCs w:val="21"/>
        </w:rPr>
        <w:t>。</w:t>
      </w:r>
    </w:p>
    <w:p w14:paraId="6B93FE99">
      <w:pPr>
        <w:pStyle w:val="51"/>
        <w:shd w:val="clear"/>
        <w:snapToGrid w:val="0"/>
        <w:spacing w:before="120"/>
        <w:ind w:firstLine="420"/>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11.2为确保网上操作合法、有效和安全，</w:t>
      </w:r>
      <w:r>
        <w:rPr>
          <w:rFonts w:hint="eastAsia" w:asciiTheme="minorEastAsia" w:hAnsiTheme="minorEastAsia" w:eastAsiaTheme="minorEastAsia" w:cstheme="minorEastAsia"/>
          <w:color w:val="auto"/>
          <w:kern w:val="0"/>
          <w:sz w:val="21"/>
          <w:szCs w:val="21"/>
          <w:lang w:val="zh-CN"/>
        </w:rPr>
        <w:t>供应商</w:t>
      </w:r>
      <w:r>
        <w:rPr>
          <w:rFonts w:hint="eastAsia" w:asciiTheme="minorEastAsia" w:hAnsiTheme="minorEastAsia" w:eastAsiaTheme="minorEastAsia" w:cstheme="minorEastAsia"/>
          <w:color w:val="auto"/>
          <w:sz w:val="21"/>
          <w:szCs w:val="21"/>
        </w:rPr>
        <w:t>应当在响应截止时间前完成在“政府采购云平台”的身份认证，确保在电子投标过程中能够对相关数据电文进行加密和使用电子签名。</w:t>
      </w:r>
    </w:p>
    <w:p w14:paraId="04E05581">
      <w:pPr>
        <w:pStyle w:val="51"/>
        <w:shd w:val="clear"/>
        <w:snapToGrid w:val="0"/>
        <w:spacing w:before="120"/>
        <w:ind w:firstLine="420"/>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11.3竞争性磋商文件对响应文件签署、盖章的要求适用于电子签名。</w:t>
      </w:r>
    </w:p>
    <w:p w14:paraId="428DFC53">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响应文件的提交、补充、修改、撤回</w:t>
      </w:r>
    </w:p>
    <w:p w14:paraId="4DD2F999">
      <w:pPr>
        <w:pStyle w:val="51"/>
        <w:shd w:val="clear"/>
        <w:spacing w:before="120"/>
        <w:ind w:firstLine="420"/>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12.1 供应商应当在响应截止时间前完成响应文件的传输递交，并可以补充、修改或者撤回响应文件。补充或者修改响应文件的，应当先行撤回原文件，补充、修改后重新传输递交。响应截止时间前未完成传输的，视为撤回响应文件。响应截止时间后递交的响应文件，电子交易平台将拒收。</w:t>
      </w:r>
    </w:p>
    <w:p w14:paraId="2E1849E0">
      <w:pPr>
        <w:pStyle w:val="51"/>
        <w:shd w:val="clear"/>
        <w:spacing w:before="120"/>
        <w:ind w:firstLine="420"/>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12.2电子交易平台收到响应文件，将妥善保存并即时向供应商发出确认回执通知。在响应截止时间前，除供应商补充、修改或者撤回响应文件外，任何单位和个人不得解密或提取响应文件。</w:t>
      </w:r>
    </w:p>
    <w:p w14:paraId="79D8FCE4">
      <w:pPr>
        <w:pStyle w:val="51"/>
        <w:shd w:val="clear"/>
        <w:spacing w:before="120"/>
        <w:ind w:firstLine="420"/>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12.3采购人、采购代理机构可以视情况延长响应文件提交的截止时间。在上述情况下，采购代理机构与</w:t>
      </w:r>
      <w:r>
        <w:rPr>
          <w:rFonts w:hint="eastAsia" w:asciiTheme="minorEastAsia" w:hAnsiTheme="minorEastAsia" w:eastAsiaTheme="minorEastAsia" w:cstheme="minorEastAsia"/>
          <w:color w:val="auto"/>
          <w:kern w:val="0"/>
          <w:sz w:val="21"/>
          <w:szCs w:val="21"/>
          <w:lang w:val="zh-CN"/>
        </w:rPr>
        <w:t>供应商</w:t>
      </w:r>
      <w:r>
        <w:rPr>
          <w:rFonts w:hint="eastAsia" w:asciiTheme="minorEastAsia" w:hAnsiTheme="minorEastAsia" w:eastAsiaTheme="minorEastAsia" w:cstheme="minorEastAsia"/>
          <w:color w:val="auto"/>
          <w:sz w:val="21"/>
          <w:szCs w:val="21"/>
        </w:rPr>
        <w:t>以前在响应截止期方面的全部权利、责任和义务，将适用于延长至新的响应截止期。</w:t>
      </w:r>
    </w:p>
    <w:p w14:paraId="083DD4E0">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响应有效期</w:t>
      </w:r>
    </w:p>
    <w:p w14:paraId="71597022">
      <w:pPr>
        <w:shd w:val="clear"/>
        <w:spacing w:line="360" w:lineRule="auto"/>
        <w:ind w:firstLine="420" w:firstLineChars="200"/>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color w:val="auto"/>
          <w:szCs w:val="21"/>
        </w:rPr>
        <w:t>响应有效期为从提交响应文件的截止之日起90天。▲</w:t>
      </w:r>
      <w:r>
        <w:rPr>
          <w:rFonts w:hint="eastAsia" w:asciiTheme="minorEastAsia" w:hAnsiTheme="minorEastAsia" w:eastAsiaTheme="minorEastAsia" w:cstheme="minorEastAsia"/>
          <w:b/>
          <w:color w:val="auto"/>
          <w:szCs w:val="21"/>
        </w:rPr>
        <w:t>供应商的响应文件中承诺的响应有效期少于竞争性磋商文件中载明的响应有效期的，响应无效。</w:t>
      </w:r>
    </w:p>
    <w:p w14:paraId="1C33D333">
      <w:pPr>
        <w:pStyle w:val="51"/>
        <w:shd w:val="clear"/>
        <w:spacing w:before="120"/>
        <w:ind w:firstLine="0" w:firstLineChars="0"/>
        <w:jc w:val="center"/>
        <w:rPr>
          <w:rFonts w:asciiTheme="minorEastAsia" w:hAnsiTheme="minorEastAsia" w:eastAsiaTheme="minorEastAsia" w:cstheme="minorEastAsia"/>
          <w:b/>
          <w:color w:val="auto"/>
          <w:sz w:val="32"/>
        </w:rPr>
      </w:pPr>
      <w:r>
        <w:rPr>
          <w:rFonts w:hint="eastAsia" w:asciiTheme="minorEastAsia" w:hAnsiTheme="minorEastAsia" w:eastAsiaTheme="minorEastAsia" w:cstheme="minorEastAsia"/>
          <w:b/>
          <w:color w:val="auto"/>
          <w:sz w:val="32"/>
        </w:rPr>
        <w:t>四、响应文件开启、资格审查与信用信息查询</w:t>
      </w:r>
    </w:p>
    <w:p w14:paraId="1F8994D1">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 xml:space="preserve">响应文件开启 </w:t>
      </w:r>
    </w:p>
    <w:p w14:paraId="76824A10">
      <w:pPr>
        <w:pStyle w:val="46"/>
        <w:shd w:val="clear"/>
        <w:spacing w:before="0" w:line="360" w:lineRule="auto"/>
        <w:ind w:left="0" w:firstLine="420" w:firstLineChars="200"/>
        <w:contextualSpacing/>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14.1采购代理机构按照竞争性磋商文件规定的时间通过电子交易平台组织响应文件开启，所有</w:t>
      </w:r>
      <w:r>
        <w:rPr>
          <w:rFonts w:hint="eastAsia" w:asciiTheme="minorEastAsia" w:hAnsiTheme="minorEastAsia" w:eastAsiaTheme="minorEastAsia" w:cstheme="minorEastAsia"/>
          <w:color w:val="auto"/>
          <w:sz w:val="21"/>
          <w:szCs w:val="21"/>
          <w:lang w:val="zh-CN"/>
        </w:rPr>
        <w:t>供应商</w:t>
      </w:r>
      <w:r>
        <w:rPr>
          <w:rFonts w:hint="eastAsia" w:asciiTheme="minorEastAsia" w:hAnsiTheme="minorEastAsia" w:eastAsiaTheme="minorEastAsia" w:cstheme="minorEastAsia"/>
          <w:color w:val="auto"/>
          <w:sz w:val="21"/>
          <w:szCs w:val="21"/>
        </w:rPr>
        <w:t>均应当准时在线参加。</w:t>
      </w:r>
      <w:r>
        <w:rPr>
          <w:rFonts w:hint="eastAsia" w:asciiTheme="minorEastAsia" w:hAnsiTheme="minorEastAsia" w:eastAsiaTheme="minorEastAsia" w:cstheme="minorEastAsia"/>
          <w:color w:val="auto"/>
          <w:sz w:val="21"/>
          <w:szCs w:val="21"/>
          <w:lang w:val="zh-CN"/>
        </w:rPr>
        <w:t>供应商</w:t>
      </w:r>
      <w:r>
        <w:rPr>
          <w:rFonts w:hint="eastAsia" w:asciiTheme="minorEastAsia" w:hAnsiTheme="minorEastAsia" w:eastAsiaTheme="minorEastAsia" w:cstheme="minorEastAsia"/>
          <w:color w:val="auto"/>
          <w:sz w:val="21"/>
          <w:szCs w:val="21"/>
        </w:rPr>
        <w:t>不足3家的，不得开启响应文件。</w:t>
      </w:r>
    </w:p>
    <w:p w14:paraId="077CAC29">
      <w:pPr>
        <w:pStyle w:val="46"/>
        <w:shd w:val="clear"/>
        <w:spacing w:before="0" w:line="360" w:lineRule="auto"/>
        <w:ind w:left="0" w:firstLine="210" w:firstLineChars="100"/>
        <w:contextualSpacing/>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　14.2开启响应文件时，电子交易平台按响应文件开启时间自动提取所有响应文件。采购代理机构依托电子交易平台发起开始解密指令，</w:t>
      </w:r>
      <w:r>
        <w:rPr>
          <w:rFonts w:hint="eastAsia" w:asciiTheme="minorEastAsia" w:hAnsiTheme="minorEastAsia" w:eastAsiaTheme="minorEastAsia" w:cstheme="minorEastAsia"/>
          <w:color w:val="auto"/>
          <w:sz w:val="21"/>
          <w:szCs w:val="21"/>
          <w:lang w:val="zh-CN"/>
        </w:rPr>
        <w:t>供应商</w:t>
      </w:r>
      <w:r>
        <w:rPr>
          <w:rFonts w:hint="eastAsia" w:asciiTheme="minorEastAsia" w:hAnsiTheme="minorEastAsia" w:eastAsiaTheme="minorEastAsia" w:cstheme="minorEastAsia"/>
          <w:color w:val="auto"/>
          <w:sz w:val="21"/>
          <w:szCs w:val="21"/>
        </w:rPr>
        <w:t>按照平台提示和竞争性磋商文件的规定在半小时内完成在线解密。</w:t>
      </w:r>
    </w:p>
    <w:p w14:paraId="44594433">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资格审查</w:t>
      </w:r>
    </w:p>
    <w:p w14:paraId="47A6F04A">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15.1</w:t>
      </w:r>
      <w:r>
        <w:rPr>
          <w:rFonts w:hint="eastAsia" w:asciiTheme="minorEastAsia" w:hAnsiTheme="minorEastAsia" w:eastAsiaTheme="minorEastAsia" w:cstheme="minorEastAsia"/>
          <w:color w:val="auto"/>
          <w:sz w:val="21"/>
          <w:szCs w:val="21"/>
        </w:rPr>
        <w:t>响应文件开启</w:t>
      </w:r>
      <w:r>
        <w:rPr>
          <w:rFonts w:hint="eastAsia" w:asciiTheme="minorEastAsia" w:hAnsiTheme="minorEastAsia" w:eastAsiaTheme="minorEastAsia" w:cstheme="minorEastAsia"/>
          <w:color w:val="auto"/>
          <w:kern w:val="0"/>
          <w:sz w:val="21"/>
          <w:szCs w:val="21"/>
        </w:rPr>
        <w:t>后，采购人或采购代理机构依据法律法规和</w:t>
      </w:r>
      <w:r>
        <w:rPr>
          <w:rFonts w:hint="eastAsia" w:asciiTheme="minorEastAsia" w:hAnsiTheme="minorEastAsia" w:eastAsiaTheme="minorEastAsia" w:cstheme="minorEastAsia"/>
          <w:color w:val="auto"/>
          <w:sz w:val="21"/>
          <w:szCs w:val="21"/>
        </w:rPr>
        <w:t>竞争性磋商</w:t>
      </w:r>
      <w:r>
        <w:rPr>
          <w:rFonts w:hint="eastAsia" w:asciiTheme="minorEastAsia" w:hAnsiTheme="minorEastAsia" w:eastAsiaTheme="minorEastAsia" w:cstheme="minorEastAsia"/>
          <w:color w:val="auto"/>
          <w:kern w:val="0"/>
          <w:sz w:val="21"/>
          <w:szCs w:val="21"/>
        </w:rPr>
        <w:t>文件的规定，对供应商的资格条件进行审查。</w:t>
      </w:r>
    </w:p>
    <w:p w14:paraId="27FC99C3">
      <w:pPr>
        <w:pStyle w:val="51"/>
        <w:shd w:val="clear"/>
        <w:spacing w:before="120"/>
        <w:ind w:firstLine="420"/>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kern w:val="0"/>
          <w:sz w:val="21"/>
          <w:szCs w:val="21"/>
        </w:rPr>
        <w:t>15.</w:t>
      </w:r>
      <w:r>
        <w:rPr>
          <w:rFonts w:hint="eastAsia" w:asciiTheme="minorEastAsia" w:hAnsiTheme="minorEastAsia" w:eastAsiaTheme="minorEastAsia" w:cstheme="minorEastAsia"/>
          <w:color w:val="auto"/>
          <w:sz w:val="21"/>
          <w:szCs w:val="21"/>
        </w:rPr>
        <w:t>2对未通过资格审查的供应商，采购人或采购代理机构告知其未通过的原因。</w:t>
      </w:r>
    </w:p>
    <w:p w14:paraId="6AC909B4">
      <w:pPr>
        <w:pStyle w:val="51"/>
        <w:shd w:val="clear"/>
        <w:spacing w:before="120"/>
        <w:ind w:firstLine="420"/>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kern w:val="0"/>
          <w:sz w:val="21"/>
          <w:szCs w:val="21"/>
        </w:rPr>
        <w:t>15.</w:t>
      </w:r>
      <w:r>
        <w:rPr>
          <w:rFonts w:hint="eastAsia" w:asciiTheme="minorEastAsia" w:hAnsiTheme="minorEastAsia" w:eastAsiaTheme="minorEastAsia" w:cstheme="minorEastAsia"/>
          <w:color w:val="auto"/>
          <w:sz w:val="21"/>
          <w:szCs w:val="21"/>
        </w:rPr>
        <w:t>3合格供应商不足3家的，不再评审，但符合《政府采购竞争性磋商采购方式管理暂行办法》第二十一条第三款和《财政部关于政府采购竞争性磋商采购方式管理暂行办法有关问题的补充通知》规定的情形，采购活动可以继续进行。</w:t>
      </w:r>
    </w:p>
    <w:p w14:paraId="12C1398A">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信用信息查询</w:t>
      </w:r>
    </w:p>
    <w:p w14:paraId="25A0A623">
      <w:pPr>
        <w:pStyle w:val="51"/>
        <w:shd w:val="clear"/>
        <w:spacing w:before="120"/>
        <w:ind w:firstLine="495" w:firstLineChars="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16.1信用信息查询渠道及截止时间：采购代理机构将通过“信用中国”网站(www.creditchina.gov.cn)、中国政府采购网(www.ccgp.gov.cn)渠道查询供应商响应截止时间当天的信用记录。</w:t>
      </w:r>
    </w:p>
    <w:p w14:paraId="4CC78FAF">
      <w:pPr>
        <w:pStyle w:val="51"/>
        <w:shd w:val="clear"/>
        <w:spacing w:before="120"/>
        <w:ind w:firstLine="495" w:firstLineChars="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16.2信用信息的使用规则：经查询列入失信被执行人名单、重大税收违法案件当事人名单、政府采购严重违法失信行为记录名单的</w:t>
      </w:r>
      <w:r>
        <w:rPr>
          <w:rFonts w:hint="eastAsia" w:asciiTheme="minorEastAsia" w:hAnsiTheme="minorEastAsia" w:eastAsiaTheme="minorEastAsia" w:cstheme="minorEastAsia"/>
          <w:color w:val="auto"/>
          <w:kern w:val="0"/>
          <w:sz w:val="21"/>
          <w:szCs w:val="21"/>
          <w:lang w:val="zh-CN"/>
        </w:rPr>
        <w:t>供应商</w:t>
      </w:r>
      <w:r>
        <w:rPr>
          <w:rFonts w:hint="eastAsia" w:asciiTheme="minorEastAsia" w:hAnsiTheme="minorEastAsia" w:eastAsiaTheme="minorEastAsia" w:cstheme="minorEastAsia"/>
          <w:color w:val="auto"/>
          <w:kern w:val="0"/>
          <w:sz w:val="21"/>
          <w:szCs w:val="21"/>
        </w:rPr>
        <w:t>将被拒绝参与采购活动。</w:t>
      </w:r>
    </w:p>
    <w:p w14:paraId="064F3DF2">
      <w:pPr>
        <w:shd w:val="clear"/>
        <w:snapToGrid w:val="0"/>
        <w:spacing w:line="360" w:lineRule="auto"/>
        <w:ind w:firstLine="361"/>
        <w:jc w:val="center"/>
        <w:outlineLvl w:val="0"/>
        <w:rPr>
          <w:rFonts w:asciiTheme="minorEastAsia" w:hAnsiTheme="minorEastAsia" w:eastAsiaTheme="minorEastAsia" w:cstheme="minorEastAsia"/>
          <w:b/>
          <w:color w:val="auto"/>
          <w:sz w:val="36"/>
          <w:szCs w:val="36"/>
        </w:rPr>
      </w:pPr>
      <w:r>
        <w:rPr>
          <w:rFonts w:hint="eastAsia" w:asciiTheme="minorEastAsia" w:hAnsiTheme="minorEastAsia" w:eastAsiaTheme="minorEastAsia" w:cstheme="minorEastAsia"/>
          <w:b/>
          <w:color w:val="auto"/>
          <w:sz w:val="36"/>
          <w:szCs w:val="36"/>
        </w:rPr>
        <w:t>五、评审</w:t>
      </w:r>
    </w:p>
    <w:p w14:paraId="26883D13">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bookmarkStart w:id="18" w:name="_Toc91899903"/>
      <w:r>
        <w:rPr>
          <w:rFonts w:hint="eastAsia" w:asciiTheme="minorEastAsia" w:hAnsiTheme="minorEastAsia" w:eastAsiaTheme="minorEastAsia" w:cstheme="minorEastAsia"/>
          <w:b/>
          <w:color w:val="auto"/>
          <w:szCs w:val="21"/>
        </w:rPr>
        <w:t>磋商小组</w:t>
      </w:r>
    </w:p>
    <w:p w14:paraId="29B70C42">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17.1 本次采购依法组建磋商小组。磋商小组由采购人代表和评审专家组成，评审专家从专家库随机抽取。</w:t>
      </w:r>
    </w:p>
    <w:p w14:paraId="376882D4">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17.2 评审原则。磋商小组必须遵循公平、公正、客观、科学的原则和规定的程序进行评审；评审依据为竞争性磋商文件和响应文件；评审人员应独立评审，不得带有任何倾向性和启发性影响他人评审；任何单位和个人不得干扰、影响评标的正常进行；磋商小组及有关工作人员不得私下与供应商接触，不得向外界透露任何与评审有关的内容。</w:t>
      </w:r>
    </w:p>
    <w:p w14:paraId="45808B17">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17.3 评审专家有下列情形之一的，应主动提出回避，采购当事人也可以要求该评审专家回避：</w:t>
      </w:r>
    </w:p>
    <w:p w14:paraId="32A7A0FC">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17.3.1 参加采购活动前3年内与供应商存在劳动关系；</w:t>
      </w:r>
    </w:p>
    <w:p w14:paraId="15562B22">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17.3.2 参加采购活动前3年内担任供应商的董事、监事；</w:t>
      </w:r>
    </w:p>
    <w:p w14:paraId="0BC6A5BA">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17.3.3 参加采购活动前3年内是供应商的控股股东或者实际控制人；</w:t>
      </w:r>
    </w:p>
    <w:p w14:paraId="7037D887">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17.3.4 与供应商的法定代表人或者负责人有夫妻、直系血亲、三代以内旁系血亲或者近姻亲关系；</w:t>
      </w:r>
    </w:p>
    <w:p w14:paraId="203860F3">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17.3.5 与供应商有其他可能影响采购活动公平、公正进行的关系。</w:t>
      </w:r>
    </w:p>
    <w:p w14:paraId="0C8DBD75">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17.3.6 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14:paraId="5AFE394D">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17.4 磋商小组判断响应文件的有效性、合格性和响应情况，仅依据供应商所递交一切文件的真实表述，不受与本项目无直接关联的外部信息、传言而影响自身的专业判断。</w:t>
      </w:r>
    </w:p>
    <w:p w14:paraId="3E556F7E">
      <w:pPr>
        <w:pStyle w:val="51"/>
        <w:shd w:val="clear"/>
        <w:spacing w:before="120"/>
        <w:ind w:firstLine="420"/>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kern w:val="0"/>
          <w:sz w:val="21"/>
          <w:szCs w:val="21"/>
        </w:rPr>
        <w:t>17.5 评委依法独立评审，并对评审意见承担个人责任。评委对需要共同认定的事项存在争议的，按照少数服从多数的原则做出结论。持不同意见的评委应当在评审报告上签署不同意见并说明理由，否则视为同意。</w:t>
      </w:r>
    </w:p>
    <w:p w14:paraId="02356BE0">
      <w:pPr>
        <w:shd w:val="clear"/>
        <w:spacing w:line="360" w:lineRule="auto"/>
        <w:ind w:firstLine="241"/>
        <w:rPr>
          <w:rFonts w:asciiTheme="minorEastAsia" w:hAnsiTheme="minorEastAsia" w:eastAsiaTheme="minorEastAsia" w:cstheme="minorEastAsia"/>
          <w:b/>
          <w:color w:val="auto"/>
          <w:sz w:val="24"/>
        </w:rPr>
      </w:pPr>
    </w:p>
    <w:p w14:paraId="58443F79">
      <w:pPr>
        <w:shd w:val="clear"/>
        <w:snapToGrid w:val="0"/>
        <w:spacing w:line="360" w:lineRule="auto"/>
        <w:ind w:firstLine="361"/>
        <w:jc w:val="center"/>
        <w:outlineLvl w:val="0"/>
        <w:rPr>
          <w:rFonts w:asciiTheme="minorEastAsia" w:hAnsiTheme="minorEastAsia" w:eastAsiaTheme="minorEastAsia" w:cstheme="minorEastAsia"/>
          <w:b/>
          <w:color w:val="auto"/>
          <w:sz w:val="36"/>
          <w:szCs w:val="36"/>
        </w:rPr>
      </w:pPr>
      <w:r>
        <w:rPr>
          <w:rFonts w:hint="eastAsia" w:asciiTheme="minorEastAsia" w:hAnsiTheme="minorEastAsia" w:eastAsiaTheme="minorEastAsia" w:cstheme="minorEastAsia"/>
          <w:b/>
          <w:color w:val="auto"/>
          <w:sz w:val="36"/>
          <w:szCs w:val="36"/>
        </w:rPr>
        <w:t>六、成交</w:t>
      </w:r>
    </w:p>
    <w:p w14:paraId="4DCF279B">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确定成交供应商</w:t>
      </w:r>
    </w:p>
    <w:p w14:paraId="56901A53">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color w:val="auto"/>
          <w:kern w:val="0"/>
          <w:sz w:val="21"/>
          <w:szCs w:val="21"/>
        </w:rPr>
        <w:t>采购人授权磋商小组直接确定排序第一的供应商为成交供应商。</w:t>
      </w:r>
    </w:p>
    <w:p w14:paraId="67799987">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成交通知与成交结果公告</w:t>
      </w:r>
    </w:p>
    <w:p w14:paraId="6F020CFB">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19.1自成交供应商确定之日起2个工作日内，采购代理机构通过电子交易平台向成交供应商发出成交通知书，同时编制发布采购结果公告。采购代理机构也可以以纸质形式进行成交通知。</w:t>
      </w:r>
    </w:p>
    <w:p w14:paraId="4B50FCAE">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19.2成交结果公告内容包括采购人及其委托的采购代理机构的名称、地址、联系方式，项目名称和项目编号，成交人名称、地址和成交金额，主要成交标的的名称、规格型号、数量、单价、服务要求，开标记录、成交公告期限以及评审专家名单</w:t>
      </w:r>
      <w:r>
        <w:rPr>
          <w:rFonts w:hint="eastAsia" w:asciiTheme="minorEastAsia" w:hAnsiTheme="minorEastAsia" w:eastAsiaTheme="minorEastAsia" w:cstheme="minorEastAsia"/>
          <w:b/>
          <w:bCs/>
          <w:color w:val="auto"/>
          <w:kern w:val="0"/>
          <w:sz w:val="21"/>
          <w:szCs w:val="21"/>
        </w:rPr>
        <w:t>。</w:t>
      </w:r>
    </w:p>
    <w:p w14:paraId="3171587A">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19.3公告期限为1个工作日。</w:t>
      </w:r>
    </w:p>
    <w:p w14:paraId="396A0ABF">
      <w:pPr>
        <w:shd w:val="clear"/>
        <w:snapToGrid w:val="0"/>
        <w:spacing w:line="360" w:lineRule="auto"/>
        <w:ind w:firstLine="321"/>
        <w:rPr>
          <w:rFonts w:asciiTheme="minorEastAsia" w:hAnsiTheme="minorEastAsia" w:eastAsiaTheme="minorEastAsia" w:cstheme="minorEastAsia"/>
          <w:b/>
          <w:color w:val="auto"/>
          <w:sz w:val="32"/>
        </w:rPr>
      </w:pPr>
    </w:p>
    <w:p w14:paraId="212EC772">
      <w:pPr>
        <w:shd w:val="clear"/>
        <w:snapToGrid w:val="0"/>
        <w:spacing w:line="360" w:lineRule="auto"/>
        <w:ind w:left="120" w:leftChars="57" w:firstLine="482" w:firstLineChars="150"/>
        <w:jc w:val="center"/>
        <w:rPr>
          <w:rFonts w:asciiTheme="minorEastAsia" w:hAnsiTheme="minorEastAsia" w:eastAsiaTheme="minorEastAsia" w:cstheme="minorEastAsia"/>
          <w:b/>
          <w:color w:val="auto"/>
          <w:sz w:val="32"/>
        </w:rPr>
      </w:pPr>
      <w:r>
        <w:rPr>
          <w:rFonts w:hint="eastAsia" w:asciiTheme="minorEastAsia" w:hAnsiTheme="minorEastAsia" w:eastAsiaTheme="minorEastAsia" w:cstheme="minorEastAsia"/>
          <w:b/>
          <w:color w:val="auto"/>
          <w:sz w:val="32"/>
        </w:rPr>
        <w:t>七、合同授予</w:t>
      </w:r>
    </w:p>
    <w:p w14:paraId="585FA780">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合同授予</w:t>
      </w:r>
    </w:p>
    <w:p w14:paraId="666CC431">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合同主要条款详见第五部分拟签订的合同文本。</w:t>
      </w:r>
    </w:p>
    <w:p w14:paraId="7A7AB7FB">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合同的签订</w:t>
      </w:r>
    </w:p>
    <w:p w14:paraId="6B87B374">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21.1 采购人与成交供应商应当通过电子交易平台在成交通知书发出之日起30日内，按照竞争性磋商文件及成交供应商的响应文件确定的事项签订采购合同，并在合同签订之日起2个工作日内依法发布合同公告。</w:t>
      </w:r>
    </w:p>
    <w:p w14:paraId="72E88F61">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lang w:val="zh-CN"/>
        </w:rPr>
        <w:t>2</w:t>
      </w:r>
      <w:r>
        <w:rPr>
          <w:rFonts w:hint="eastAsia" w:asciiTheme="minorEastAsia" w:hAnsiTheme="minorEastAsia" w:eastAsiaTheme="minorEastAsia" w:cstheme="minorEastAsia"/>
          <w:color w:val="auto"/>
          <w:kern w:val="0"/>
          <w:sz w:val="21"/>
          <w:szCs w:val="21"/>
        </w:rPr>
        <w:t>1</w:t>
      </w:r>
      <w:r>
        <w:rPr>
          <w:rFonts w:hint="eastAsia" w:asciiTheme="minorEastAsia" w:hAnsiTheme="minorEastAsia" w:eastAsiaTheme="minorEastAsia" w:cstheme="minorEastAsia"/>
          <w:color w:val="auto"/>
          <w:kern w:val="0"/>
          <w:sz w:val="21"/>
          <w:szCs w:val="21"/>
          <w:lang w:val="zh-CN"/>
        </w:rPr>
        <w:t>.2成交供应商按规定的日期、时间、地点，由法定代表人或其授权代表与采购人代表签订合同。如成交人为联合体的，由联合体成员各方法定代表人或其授权代表与采购人代表签订合同。</w:t>
      </w:r>
    </w:p>
    <w:p w14:paraId="39D8DA30">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21.3如签订合同并生效后，供应商无故拒绝或延期，除按照合同条款处理外，列入不良行为记录名单，并给予通报。</w:t>
      </w:r>
    </w:p>
    <w:p w14:paraId="19CE1C9F">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21.4</w:t>
      </w:r>
      <w:r>
        <w:rPr>
          <w:rFonts w:hint="eastAsia" w:asciiTheme="minorEastAsia" w:hAnsiTheme="minorEastAsia" w:eastAsiaTheme="minorEastAsia" w:cstheme="minorEastAsia"/>
          <w:color w:val="auto"/>
          <w:kern w:val="0"/>
          <w:sz w:val="21"/>
          <w:szCs w:val="21"/>
          <w:lang w:val="zh-CN"/>
        </w:rPr>
        <w:t>成交</w:t>
      </w:r>
      <w:r>
        <w:rPr>
          <w:rFonts w:hint="eastAsia" w:asciiTheme="minorEastAsia" w:hAnsiTheme="minorEastAsia" w:eastAsiaTheme="minorEastAsia" w:cstheme="minorEastAsia"/>
          <w:color w:val="auto"/>
          <w:kern w:val="0"/>
          <w:sz w:val="21"/>
          <w:szCs w:val="21"/>
        </w:rPr>
        <w:t>供应商拒绝与采购人签订合同的，列入不良行为记录名单，采购人、采购代理机构重新开展采购活动。</w:t>
      </w:r>
    </w:p>
    <w:p w14:paraId="7D714CFC">
      <w:pPr>
        <w:pStyle w:val="51"/>
        <w:shd w:val="clear"/>
        <w:spacing w:before="120"/>
        <w:ind w:firstLine="420"/>
        <w:rPr>
          <w:rFonts w:asciiTheme="minorEastAsia" w:hAnsiTheme="minorEastAsia" w:eastAsiaTheme="minorEastAsia" w:cstheme="minorEastAsia"/>
          <w:color w:val="auto"/>
          <w:kern w:val="0"/>
          <w:sz w:val="21"/>
          <w:szCs w:val="21"/>
        </w:rPr>
      </w:pPr>
    </w:p>
    <w:p w14:paraId="7ECB714E">
      <w:pPr>
        <w:shd w:val="clear"/>
        <w:snapToGrid w:val="0"/>
        <w:spacing w:line="360" w:lineRule="auto"/>
        <w:ind w:firstLine="3357" w:firstLineChars="1045"/>
        <w:rPr>
          <w:rFonts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32"/>
        </w:rPr>
        <w:t>八、电子交易活动的中止</w:t>
      </w:r>
    </w:p>
    <w:p w14:paraId="2E53FC8A">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电子交易活动的中止</w:t>
      </w:r>
    </w:p>
    <w:p w14:paraId="260EC6E1">
      <w:pPr>
        <w:shd w:val="clear"/>
        <w:tabs>
          <w:tab w:val="left" w:pos="0"/>
        </w:tabs>
        <w:spacing w:line="360" w:lineRule="auto"/>
        <w:ind w:firstLine="21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采购过程中出现以下情形，导致电子交易平台无法正常运行，或者无法保证电子交易的公平、公正和安全时，采购代理机构可中止电子交易活动：</w:t>
      </w:r>
    </w:p>
    <w:p w14:paraId="42C4B3DC">
      <w:pPr>
        <w:pStyle w:val="51"/>
        <w:shd w:val="clear"/>
        <w:snapToGrid w:val="0"/>
        <w:spacing w:before="120"/>
        <w:ind w:firstLine="420"/>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 xml:space="preserve">22.1电子交易平台发生故障而无法登录访问的； </w:t>
      </w:r>
    </w:p>
    <w:p w14:paraId="56C020F3">
      <w:pPr>
        <w:pStyle w:val="51"/>
        <w:shd w:val="clear"/>
        <w:snapToGrid w:val="0"/>
        <w:spacing w:before="120"/>
        <w:ind w:firstLine="420"/>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22.2电子交易平台应用或数据库出现错误，不能进行正常操作的；</w:t>
      </w:r>
    </w:p>
    <w:p w14:paraId="68C28422">
      <w:pPr>
        <w:pStyle w:val="51"/>
        <w:shd w:val="clear"/>
        <w:snapToGrid w:val="0"/>
        <w:spacing w:before="120"/>
        <w:ind w:firstLine="420"/>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22.3电子交易平台发现严重安全漏洞，有潜在泄密危险的；</w:t>
      </w:r>
    </w:p>
    <w:p w14:paraId="43178150">
      <w:pPr>
        <w:pStyle w:val="51"/>
        <w:shd w:val="clear"/>
        <w:snapToGrid w:val="0"/>
        <w:spacing w:before="120"/>
        <w:ind w:firstLine="420"/>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 xml:space="preserve">22.4病毒发作导致不能进行正常操作的； </w:t>
      </w:r>
    </w:p>
    <w:p w14:paraId="028927DE">
      <w:pPr>
        <w:pStyle w:val="51"/>
        <w:shd w:val="clear"/>
        <w:snapToGrid w:val="0"/>
        <w:spacing w:before="120"/>
        <w:ind w:firstLine="420"/>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22.5其他无法保证电子交易的公平、公正和安全的情况。</w:t>
      </w:r>
    </w:p>
    <w:p w14:paraId="1EDBF4BB">
      <w:pPr>
        <w:shd w:val="clear"/>
        <w:snapToGrid w:val="0"/>
        <w:spacing w:line="360" w:lineRule="auto"/>
        <w:ind w:firstLine="321"/>
        <w:rPr>
          <w:rFonts w:asciiTheme="minorEastAsia" w:hAnsiTheme="minorEastAsia" w:eastAsiaTheme="minorEastAsia" w:cstheme="minorEastAsia"/>
          <w:b/>
          <w:color w:val="auto"/>
          <w:sz w:val="32"/>
        </w:rPr>
      </w:pPr>
    </w:p>
    <w:p w14:paraId="2BB3D4E9">
      <w:pPr>
        <w:shd w:val="clear"/>
        <w:snapToGrid w:val="0"/>
        <w:spacing w:line="360" w:lineRule="auto"/>
        <w:ind w:firstLine="321"/>
        <w:jc w:val="center"/>
        <w:rPr>
          <w:rFonts w:asciiTheme="minorEastAsia" w:hAnsiTheme="minorEastAsia" w:eastAsiaTheme="minorEastAsia" w:cstheme="minorEastAsia"/>
          <w:b/>
          <w:color w:val="auto"/>
          <w:sz w:val="32"/>
        </w:rPr>
      </w:pPr>
      <w:r>
        <w:rPr>
          <w:rFonts w:hint="eastAsia" w:asciiTheme="minorEastAsia" w:hAnsiTheme="minorEastAsia" w:eastAsiaTheme="minorEastAsia" w:cstheme="minorEastAsia"/>
          <w:b/>
          <w:color w:val="auto"/>
          <w:sz w:val="32"/>
        </w:rPr>
        <w:t>九、验收</w:t>
      </w:r>
    </w:p>
    <w:p w14:paraId="1FD4F9E2">
      <w:pPr>
        <w:numPr>
          <w:ilvl w:val="0"/>
          <w:numId w:val="1"/>
        </w:numPr>
        <w:shd w:val="clear"/>
        <w:adjustRightInd w:val="0"/>
        <w:snapToGrid w:val="0"/>
        <w:spacing w:before="120" w:beforeLines="50" w:line="360" w:lineRule="auto"/>
        <w:ind w:left="0" w:firstLine="422" w:firstLineChars="200"/>
        <w:jc w:val="left"/>
        <w:outlineLvl w:val="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验收</w:t>
      </w:r>
    </w:p>
    <w:bookmarkEnd w:id="15"/>
    <w:bookmarkEnd w:id="16"/>
    <w:bookmarkEnd w:id="18"/>
    <w:p w14:paraId="2AE9CB15">
      <w:pPr>
        <w:shd w:val="clear"/>
        <w:tabs>
          <w:tab w:val="left" w:pos="0"/>
        </w:tabs>
        <w:spacing w:line="360" w:lineRule="auto"/>
        <w:ind w:firstLine="21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23.1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691D5B7">
      <w:pPr>
        <w:shd w:val="clear"/>
        <w:tabs>
          <w:tab w:val="left" w:pos="0"/>
        </w:tabs>
        <w:spacing w:line="360" w:lineRule="auto"/>
        <w:ind w:firstLine="21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23.2严格按照采购合同开展履约验收。采购人成立验收小组（为社会公众提供的公共服务项目验收时，验收小组成员必须包含部分服务对象），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D3B9968">
      <w:pPr>
        <w:shd w:val="clear"/>
        <w:tabs>
          <w:tab w:val="left" w:pos="0"/>
        </w:tabs>
        <w:spacing w:line="360" w:lineRule="auto"/>
        <w:ind w:firstLine="21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23.3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监管部门。</w:t>
      </w:r>
      <w:r>
        <w:rPr>
          <w:rFonts w:hint="eastAsia" w:asciiTheme="minorEastAsia" w:hAnsiTheme="minorEastAsia" w:eastAsiaTheme="minorEastAsia" w:cstheme="minorEastAsia"/>
          <w:color w:val="auto"/>
          <w:kern w:val="0"/>
          <w:szCs w:val="21"/>
        </w:rPr>
        <w:br w:type="page"/>
      </w:r>
    </w:p>
    <w:p w14:paraId="38E9C0EC">
      <w:pPr>
        <w:shd w:val="clear"/>
        <w:tabs>
          <w:tab w:val="left" w:pos="0"/>
        </w:tabs>
        <w:spacing w:line="360" w:lineRule="auto"/>
        <w:ind w:firstLine="361"/>
        <w:jc w:val="center"/>
        <w:rPr>
          <w:rFonts w:asciiTheme="minorEastAsia" w:hAnsiTheme="minorEastAsia" w:eastAsiaTheme="minorEastAsia" w:cstheme="minorEastAsia"/>
          <w:b/>
          <w:color w:val="auto"/>
          <w:sz w:val="36"/>
          <w:szCs w:val="36"/>
        </w:rPr>
      </w:pPr>
      <w:r>
        <w:rPr>
          <w:rFonts w:hint="eastAsia" w:asciiTheme="minorEastAsia" w:hAnsiTheme="minorEastAsia" w:eastAsiaTheme="minorEastAsia" w:cstheme="minorEastAsia"/>
          <w:b/>
          <w:color w:val="auto"/>
          <w:sz w:val="36"/>
          <w:szCs w:val="36"/>
        </w:rPr>
        <w:t>第三部分   采购需求</w:t>
      </w:r>
    </w:p>
    <w:p w14:paraId="565F46D7">
      <w:pPr>
        <w:shd w:val="clear"/>
        <w:spacing w:line="360" w:lineRule="auto"/>
        <w:ind w:firstLine="562" w:firstLineChars="200"/>
        <w:rPr>
          <w:rFonts w:hint="eastAsia" w:ascii="宋体" w:hAnsi="宋体" w:cs="宋体"/>
          <w:b/>
          <w:bCs/>
          <w:color w:val="auto"/>
          <w:sz w:val="28"/>
          <w:szCs w:val="28"/>
        </w:rPr>
      </w:pPr>
      <w:bookmarkStart w:id="19" w:name="_Hlk128151554"/>
      <w:r>
        <w:rPr>
          <w:rFonts w:hint="eastAsia" w:ascii="宋体" w:hAnsi="宋体" w:cs="宋体"/>
          <w:b/>
          <w:bCs/>
          <w:color w:val="auto"/>
          <w:sz w:val="28"/>
          <w:szCs w:val="28"/>
        </w:rPr>
        <w:t>一、采购内容及要求</w:t>
      </w:r>
    </w:p>
    <w:p w14:paraId="2E2C7808">
      <w:pPr>
        <w:shd w:val="clear"/>
        <w:spacing w:line="360" w:lineRule="auto"/>
        <w:ind w:firstLine="420" w:firstLineChars="200"/>
        <w:rPr>
          <w:rFonts w:hint="eastAsia" w:ascii="宋体" w:hAnsi="宋体" w:eastAsia="宋体" w:cs="宋体"/>
          <w:color w:val="auto"/>
          <w:szCs w:val="21"/>
          <w:lang w:val="en-US" w:eastAsia="zh-CN"/>
        </w:rPr>
      </w:pPr>
      <w:bookmarkStart w:id="436" w:name="_GoBack"/>
      <w:r>
        <w:rPr>
          <w:rFonts w:hint="eastAsia" w:ascii="宋体" w:hAnsi="宋体" w:eastAsia="宋体" w:cs="宋体"/>
          <w:color w:val="auto"/>
          <w:szCs w:val="21"/>
          <w:lang w:val="en-US" w:eastAsia="zh-CN"/>
        </w:rPr>
        <w:t>1、采购内容：</w:t>
      </w:r>
    </w:p>
    <w:p w14:paraId="7E3E0F3F">
      <w:pPr>
        <w:shd w:val="clear"/>
        <w:spacing w:line="360" w:lineRule="auto"/>
        <w:ind w:firstLine="630" w:firstLineChars="300"/>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1.1宁波市奉化区人民政府江口街道办事处管辖范围内公共基础设施零星维修、修复等工程；</w:t>
      </w:r>
    </w:p>
    <w:p w14:paraId="6AFF0B3D">
      <w:pPr>
        <w:shd w:val="clear"/>
        <w:spacing w:line="360" w:lineRule="auto"/>
        <w:ind w:firstLine="630" w:firstLineChars="300"/>
        <w:rPr>
          <w:rFonts w:hint="eastAsia" w:ascii="宋体" w:hAnsi="宋体" w:cs="宋体"/>
          <w:color w:val="auto"/>
          <w:szCs w:val="21"/>
          <w:lang w:eastAsia="zh-CN"/>
        </w:rPr>
      </w:pPr>
      <w:r>
        <w:rPr>
          <w:rFonts w:hint="eastAsia" w:ascii="宋体" w:hAnsi="宋体" w:eastAsia="宋体" w:cs="宋体"/>
          <w:color w:val="auto"/>
          <w:szCs w:val="21"/>
          <w:lang w:val="en-US" w:eastAsia="zh-CN"/>
        </w:rPr>
        <w:t>1.2</w:t>
      </w:r>
      <w:r>
        <w:rPr>
          <w:rFonts w:hint="eastAsia" w:ascii="宋体" w:hAnsi="宋体" w:cs="宋体"/>
          <w:color w:val="auto"/>
          <w:szCs w:val="21"/>
          <w:lang w:val="en-US" w:eastAsia="zh-CN"/>
        </w:rPr>
        <w:t>采购工程量：</w:t>
      </w:r>
      <w:r>
        <w:rPr>
          <w:rFonts w:hint="eastAsia" w:ascii="宋体" w:hAnsi="宋体" w:cs="宋体"/>
          <w:color w:val="auto"/>
          <w:szCs w:val="21"/>
        </w:rPr>
        <w:t>采购人不保证施工量，施工结算金额不超过本项目的最高预算价或最高限价</w:t>
      </w:r>
      <w:r>
        <w:rPr>
          <w:rFonts w:hint="eastAsia" w:ascii="宋体" w:hAnsi="宋体" w:cs="宋体"/>
          <w:color w:val="auto"/>
          <w:szCs w:val="21"/>
          <w:lang w:eastAsia="zh-CN"/>
        </w:rPr>
        <w:t>；</w:t>
      </w:r>
    </w:p>
    <w:p w14:paraId="0B4DAE55">
      <w:pPr>
        <w:numPr>
          <w:ilvl w:val="0"/>
          <w:numId w:val="3"/>
        </w:numPr>
        <w:shd w:val="clear"/>
        <w:spacing w:line="360" w:lineRule="auto"/>
        <w:ind w:firstLine="420" w:firstLineChars="200"/>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采购范围：</w:t>
      </w:r>
    </w:p>
    <w:p w14:paraId="066A72CC">
      <w:pPr>
        <w:numPr>
          <w:ilvl w:val="0"/>
          <w:numId w:val="0"/>
        </w:numPr>
        <w:shd w:val="clear"/>
        <w:spacing w:line="360" w:lineRule="auto"/>
        <w:ind w:firstLine="630" w:firstLineChars="300"/>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2.1市政道路、人行道、桥梁等市政设施的日常维修、修复；例如：马路破损维修、阴井维修、马路护栏维修、绿化围挡维修等；</w:t>
      </w:r>
    </w:p>
    <w:p w14:paraId="525A9B5B">
      <w:pPr>
        <w:shd w:val="clear"/>
        <w:spacing w:line="360" w:lineRule="auto"/>
        <w:ind w:firstLine="420" w:firstLineChars="200"/>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3、采购要求：</w:t>
      </w:r>
    </w:p>
    <w:p w14:paraId="5071D860">
      <w:pPr>
        <w:shd w:val="clear"/>
        <w:spacing w:line="360" w:lineRule="auto"/>
        <w:ind w:firstLine="630" w:firstLineChars="300"/>
        <w:rPr>
          <w:rFonts w:hint="eastAsia" w:ascii="宋体" w:hAnsi="宋体" w:eastAsia="宋体" w:cs="宋体"/>
          <w:color w:val="auto"/>
          <w:szCs w:val="21"/>
          <w:lang w:val="zh-CN" w:eastAsia="zh-CN"/>
        </w:rPr>
      </w:pPr>
      <w:r>
        <w:rPr>
          <w:rFonts w:hint="eastAsia" w:ascii="宋体" w:hAnsi="宋体" w:cs="宋体"/>
          <w:color w:val="auto"/>
          <w:szCs w:val="21"/>
          <w:lang w:val="en-US" w:eastAsia="zh-CN"/>
        </w:rPr>
        <w:t>3.1质量要求</w:t>
      </w:r>
      <w:r>
        <w:rPr>
          <w:rFonts w:hint="eastAsia" w:ascii="宋体" w:hAnsi="宋体" w:eastAsia="宋体" w:cs="宋体"/>
          <w:color w:val="auto"/>
          <w:szCs w:val="21"/>
          <w:lang w:val="en-US" w:eastAsia="zh-CN"/>
        </w:rPr>
        <w:t>：</w:t>
      </w:r>
      <w:r>
        <w:rPr>
          <w:rFonts w:hint="eastAsia" w:ascii="宋体" w:hAnsi="宋体" w:eastAsia="宋体" w:cs="宋体"/>
          <w:color w:val="auto"/>
          <w:szCs w:val="21"/>
          <w:lang w:val="zh-CN" w:eastAsia="zh-CN"/>
        </w:rPr>
        <w:t>达到国家和行业施工验收规范一次性验收合格；</w:t>
      </w:r>
    </w:p>
    <w:p w14:paraId="5F586FF1">
      <w:pPr>
        <w:shd w:val="clear"/>
        <w:spacing w:line="360" w:lineRule="auto"/>
        <w:ind w:firstLine="630" w:firstLineChars="300"/>
        <w:rPr>
          <w:rFonts w:ascii="宋体" w:hAnsi="宋体" w:cs="宋体"/>
          <w:b/>
          <w:bCs/>
          <w:color w:val="auto"/>
          <w:sz w:val="28"/>
          <w:szCs w:val="28"/>
        </w:rPr>
      </w:pPr>
      <w:r>
        <w:rPr>
          <w:rFonts w:hint="eastAsia" w:ascii="宋体" w:hAnsi="宋体" w:eastAsia="宋体" w:cs="宋体"/>
          <w:color w:val="auto"/>
          <w:szCs w:val="21"/>
          <w:lang w:val="en-US" w:eastAsia="zh-CN"/>
        </w:rPr>
        <w:t>3.2安全文明要求：合格；</w:t>
      </w:r>
    </w:p>
    <w:bookmarkEnd w:id="436"/>
    <w:p w14:paraId="7FBEE966">
      <w:pPr>
        <w:shd w:val="clear"/>
        <w:spacing w:line="360" w:lineRule="auto"/>
        <w:ind w:firstLine="562" w:firstLineChars="200"/>
        <w:rPr>
          <w:rFonts w:ascii="宋体" w:hAnsi="宋体" w:cs="宋体"/>
          <w:b/>
          <w:bCs/>
          <w:color w:val="auto"/>
          <w:sz w:val="28"/>
          <w:szCs w:val="28"/>
        </w:rPr>
      </w:pPr>
      <w:r>
        <w:rPr>
          <w:rFonts w:hint="eastAsia" w:ascii="宋体" w:hAnsi="宋体" w:cs="宋体"/>
          <w:b/>
          <w:bCs/>
          <w:color w:val="auto"/>
          <w:sz w:val="28"/>
          <w:szCs w:val="28"/>
        </w:rPr>
        <w:t>二、商务要求</w:t>
      </w:r>
      <w:bookmarkStart w:id="20" w:name="_Toc481567074"/>
      <w:bookmarkEnd w:id="20"/>
      <w:bookmarkStart w:id="21" w:name="_Toc494480062"/>
      <w:bookmarkEnd w:id="21"/>
    </w:p>
    <w:tbl>
      <w:tblPr>
        <w:tblStyle w:val="27"/>
        <w:tblW w:w="0" w:type="auto"/>
        <w:tblInd w:w="25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58"/>
        <w:gridCol w:w="7528"/>
      </w:tblGrid>
      <w:tr w14:paraId="29F3F7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358" w:type="dxa"/>
            <w:tcBorders>
              <w:top w:val="single" w:color="auto" w:sz="4" w:space="0"/>
              <w:left w:val="single" w:color="auto" w:sz="4" w:space="0"/>
              <w:bottom w:val="single" w:color="auto" w:sz="4" w:space="0"/>
              <w:right w:val="single" w:color="auto" w:sz="4" w:space="0"/>
            </w:tcBorders>
            <w:vAlign w:val="center"/>
          </w:tcPr>
          <w:p w14:paraId="6006E96B">
            <w:pPr>
              <w:shd w:val="clear"/>
              <w:ind w:firstLine="210"/>
              <w:jc w:val="center"/>
              <w:rPr>
                <w:rFonts w:ascii="宋体" w:hAnsi="宋体" w:cs="宋体"/>
                <w:color w:val="auto"/>
                <w:szCs w:val="21"/>
              </w:rPr>
            </w:pPr>
            <w:r>
              <w:rPr>
                <w:rFonts w:hint="eastAsia" w:ascii="宋体" w:hAnsi="宋体" w:cs="宋体"/>
                <w:color w:val="auto"/>
                <w:szCs w:val="21"/>
              </w:rPr>
              <w:t>项目</w:t>
            </w:r>
          </w:p>
        </w:tc>
        <w:tc>
          <w:tcPr>
            <w:tcW w:w="7528" w:type="dxa"/>
            <w:tcBorders>
              <w:top w:val="single" w:color="auto" w:sz="4" w:space="0"/>
              <w:left w:val="single" w:color="auto" w:sz="4" w:space="0"/>
              <w:bottom w:val="single" w:color="auto" w:sz="4" w:space="0"/>
              <w:right w:val="single" w:color="auto" w:sz="4" w:space="0"/>
            </w:tcBorders>
            <w:vAlign w:val="center"/>
          </w:tcPr>
          <w:p w14:paraId="75F3671F">
            <w:pPr>
              <w:shd w:val="clear"/>
              <w:ind w:firstLine="210"/>
              <w:jc w:val="center"/>
              <w:rPr>
                <w:rFonts w:ascii="宋体" w:hAnsi="宋体" w:cs="宋体"/>
                <w:color w:val="auto"/>
                <w:szCs w:val="21"/>
              </w:rPr>
            </w:pPr>
            <w:r>
              <w:rPr>
                <w:rFonts w:hint="eastAsia" w:ascii="宋体" w:hAnsi="宋体" w:cs="宋体"/>
                <w:color w:val="auto"/>
                <w:szCs w:val="21"/>
              </w:rPr>
              <w:t>采购文件要求</w:t>
            </w:r>
          </w:p>
        </w:tc>
      </w:tr>
      <w:tr w14:paraId="4116F3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358" w:type="dxa"/>
            <w:tcBorders>
              <w:top w:val="single" w:color="auto" w:sz="4" w:space="0"/>
              <w:left w:val="single" w:color="auto" w:sz="4" w:space="0"/>
              <w:bottom w:val="single" w:color="auto" w:sz="4" w:space="0"/>
              <w:right w:val="single" w:color="auto" w:sz="4" w:space="0"/>
            </w:tcBorders>
            <w:vAlign w:val="center"/>
          </w:tcPr>
          <w:p w14:paraId="6E071959">
            <w:pPr>
              <w:shd w:val="clear"/>
              <w:adjustRightInd w:val="0"/>
              <w:snapToGrid w:val="0"/>
              <w:spacing w:line="300" w:lineRule="auto"/>
              <w:rPr>
                <w:rFonts w:ascii="宋体" w:hAnsi="宋体" w:cs="宋体"/>
                <w:color w:val="auto"/>
                <w:szCs w:val="21"/>
              </w:rPr>
            </w:pPr>
            <w:r>
              <w:rPr>
                <w:rFonts w:hint="eastAsia" w:ascii="宋体" w:hAnsi="宋体" w:cs="宋体"/>
                <w:color w:val="auto"/>
                <w:szCs w:val="21"/>
              </w:rPr>
              <w:t>履约期限</w:t>
            </w:r>
          </w:p>
        </w:tc>
        <w:tc>
          <w:tcPr>
            <w:tcW w:w="7528" w:type="dxa"/>
            <w:tcBorders>
              <w:top w:val="single" w:color="auto" w:sz="4" w:space="0"/>
              <w:left w:val="single" w:color="auto" w:sz="4" w:space="0"/>
              <w:bottom w:val="single" w:color="auto" w:sz="4" w:space="0"/>
              <w:right w:val="single" w:color="auto" w:sz="4" w:space="0"/>
            </w:tcBorders>
            <w:vAlign w:val="center"/>
          </w:tcPr>
          <w:p w14:paraId="347CFB4E">
            <w:pPr>
              <w:shd w:val="clear"/>
              <w:adjustRightInd w:val="0"/>
              <w:snapToGrid w:val="0"/>
              <w:spacing w:line="300" w:lineRule="auto"/>
              <w:rPr>
                <w:rFonts w:ascii="宋体" w:hAnsi="宋体" w:cs="宋体"/>
                <w:color w:val="auto"/>
                <w:szCs w:val="21"/>
              </w:rPr>
            </w:pPr>
            <w:r>
              <w:rPr>
                <w:rFonts w:hint="eastAsia" w:ascii="宋体" w:hAnsi="宋体" w:cs="宋体"/>
                <w:color w:val="auto"/>
                <w:szCs w:val="21"/>
              </w:rPr>
              <w:t>1年。</w:t>
            </w:r>
          </w:p>
        </w:tc>
      </w:tr>
      <w:tr w14:paraId="15DBC8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9" w:hRule="atLeast"/>
        </w:trPr>
        <w:tc>
          <w:tcPr>
            <w:tcW w:w="1358" w:type="dxa"/>
            <w:tcBorders>
              <w:top w:val="single" w:color="auto" w:sz="4" w:space="0"/>
              <w:left w:val="single" w:color="auto" w:sz="4" w:space="0"/>
              <w:bottom w:val="single" w:color="auto" w:sz="4" w:space="0"/>
              <w:right w:val="single" w:color="auto" w:sz="4" w:space="0"/>
            </w:tcBorders>
            <w:vAlign w:val="center"/>
          </w:tcPr>
          <w:p w14:paraId="4D54E493">
            <w:pPr>
              <w:shd w:val="clear"/>
              <w:adjustRightInd w:val="0"/>
              <w:snapToGrid w:val="0"/>
              <w:spacing w:line="300" w:lineRule="auto"/>
              <w:rPr>
                <w:rFonts w:ascii="宋体" w:hAnsi="宋体" w:cs="宋体"/>
                <w:color w:val="auto"/>
                <w:szCs w:val="21"/>
              </w:rPr>
            </w:pPr>
            <w:r>
              <w:rPr>
                <w:rFonts w:hint="eastAsia" w:ascii="宋体" w:hAnsi="宋体" w:cs="宋体"/>
                <w:color w:val="auto"/>
                <w:szCs w:val="21"/>
              </w:rPr>
              <w:t>项目地点</w:t>
            </w:r>
          </w:p>
        </w:tc>
        <w:tc>
          <w:tcPr>
            <w:tcW w:w="7528" w:type="dxa"/>
            <w:tcBorders>
              <w:top w:val="single" w:color="auto" w:sz="4" w:space="0"/>
              <w:left w:val="single" w:color="auto" w:sz="4" w:space="0"/>
              <w:bottom w:val="single" w:color="auto" w:sz="4" w:space="0"/>
              <w:right w:val="single" w:color="auto" w:sz="4" w:space="0"/>
            </w:tcBorders>
            <w:vAlign w:val="center"/>
          </w:tcPr>
          <w:p w14:paraId="62FBB07A">
            <w:pPr>
              <w:shd w:val="clear"/>
              <w:jc w:val="left"/>
              <w:rPr>
                <w:rFonts w:ascii="宋体" w:hAnsi="宋体" w:cs="宋体"/>
                <w:color w:val="auto"/>
                <w:szCs w:val="21"/>
              </w:rPr>
            </w:pPr>
            <w:r>
              <w:rPr>
                <w:rFonts w:hint="eastAsia" w:ascii="宋体" w:hAnsi="宋体" w:cs="宋体"/>
                <w:color w:val="auto"/>
                <w:szCs w:val="21"/>
              </w:rPr>
              <w:t>业主指定地点。</w:t>
            </w:r>
          </w:p>
        </w:tc>
      </w:tr>
      <w:tr w14:paraId="255A31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5" w:hRule="atLeast"/>
        </w:trPr>
        <w:tc>
          <w:tcPr>
            <w:tcW w:w="1358" w:type="dxa"/>
            <w:tcBorders>
              <w:top w:val="single" w:color="auto" w:sz="4" w:space="0"/>
              <w:left w:val="single" w:color="auto" w:sz="4" w:space="0"/>
              <w:bottom w:val="single" w:color="auto" w:sz="4" w:space="0"/>
              <w:right w:val="single" w:color="auto" w:sz="4" w:space="0"/>
            </w:tcBorders>
            <w:vAlign w:val="center"/>
          </w:tcPr>
          <w:p w14:paraId="52010687">
            <w:pPr>
              <w:shd w:val="clear"/>
              <w:adjustRightInd w:val="0"/>
              <w:snapToGrid w:val="0"/>
              <w:spacing w:line="300" w:lineRule="auto"/>
              <w:rPr>
                <w:rFonts w:ascii="宋体" w:hAnsi="宋体" w:cs="宋体"/>
                <w:color w:val="auto"/>
                <w:szCs w:val="21"/>
              </w:rPr>
            </w:pPr>
            <w:r>
              <w:rPr>
                <w:rFonts w:hint="eastAsia" w:ascii="宋体" w:hAnsi="宋体" w:cs="宋体"/>
                <w:color w:val="auto"/>
                <w:szCs w:val="21"/>
              </w:rPr>
              <w:t>计价依据及取费标准</w:t>
            </w:r>
          </w:p>
        </w:tc>
        <w:tc>
          <w:tcPr>
            <w:tcW w:w="7528" w:type="dxa"/>
            <w:tcBorders>
              <w:top w:val="single" w:color="auto" w:sz="4" w:space="0"/>
              <w:left w:val="single" w:color="auto" w:sz="4" w:space="0"/>
              <w:bottom w:val="single" w:color="auto" w:sz="4" w:space="0"/>
              <w:right w:val="single" w:color="auto" w:sz="4" w:space="0"/>
            </w:tcBorders>
            <w:vAlign w:val="center"/>
          </w:tcPr>
          <w:p w14:paraId="76EAF46A">
            <w:pPr>
              <w:shd w:val="clear"/>
              <w:spacing w:line="360" w:lineRule="auto"/>
              <w:rPr>
                <w:rFonts w:ascii="宋体" w:hAnsi="宋体" w:cs="宋体"/>
                <w:color w:val="auto"/>
                <w:szCs w:val="21"/>
              </w:rPr>
            </w:pPr>
            <w:r>
              <w:rPr>
                <w:rFonts w:hint="eastAsia" w:ascii="宋体" w:hAnsi="宋体" w:cs="宋体"/>
                <w:color w:val="auto"/>
                <w:szCs w:val="21"/>
              </w:rPr>
              <w:t>（1）计算原则、计价依据：《建设工程工程量清单计价规范》（GB50500-2013）、《房屋建筑与装饰工程工程量计算规范》（GB50854-2013）、《通用安装工程工程量计算规范》(GB50856-2013)、《市政工程工程量计算规范》（GB50857-2013）、《园林绿化工程工程量计算规范》（GB50858-2013）及《建设工程工程量计算规范（2013）浙江省补充规定》；《浙江省房屋建筑与装饰工程预算定额》（2018版）、《浙江省通用安装工程预算定额》（2018版）、《浙江省市政工程预算定额》（2018版）、《浙江省园林绿化及仿古建筑工程预算定额》（2018版）、《浙江省房屋建筑安装工程修缮预算定额》（2018版）、《浙江省建设工程计价规则》（2018版）及其他有关计价文件执行。如在实施过程中，有最新文件发布，则按最新文件执行。</w:t>
            </w:r>
          </w:p>
          <w:p w14:paraId="45185F20">
            <w:pPr>
              <w:shd w:val="clear"/>
              <w:spacing w:line="360" w:lineRule="auto"/>
              <w:rPr>
                <w:rFonts w:ascii="宋体" w:hAnsi="宋体" w:cs="宋体"/>
                <w:color w:val="auto"/>
                <w:szCs w:val="21"/>
              </w:rPr>
            </w:pPr>
            <w:r>
              <w:rPr>
                <w:rFonts w:hint="eastAsia" w:ascii="宋体" w:hAnsi="宋体" w:cs="宋体"/>
                <w:color w:val="auto"/>
                <w:szCs w:val="21"/>
              </w:rPr>
              <w:t>（2）取费：按《浙江省建设工程计价规则》（2018版）相关规定费率计取，凡弹性区间费率均按中值计取。其中创标化工地增加费、提前竣工增加费、优质工程增加费、二次搬运费、行车、行人干扰增加费不计取；规费费率按《浙江省建设工程计价规则》（2018版）取费标准的30%计取。关于增值税调整后我省建设工程计价依据增值税税率及有关计价调整的通知按《浙建建发（2019）92号》文件执行（税率按9%计取）。如在实施过程中，有最新文件发布，则按最新文件执行。</w:t>
            </w:r>
          </w:p>
          <w:p w14:paraId="3ADC4863">
            <w:pPr>
              <w:shd w:val="clear"/>
              <w:spacing w:line="360" w:lineRule="auto"/>
              <w:rPr>
                <w:rFonts w:ascii="宋体" w:hAnsi="宋体" w:cs="宋体"/>
                <w:color w:val="auto"/>
                <w:szCs w:val="21"/>
              </w:rPr>
            </w:pPr>
            <w:r>
              <w:rPr>
                <w:rFonts w:hint="eastAsia" w:ascii="宋体" w:hAnsi="宋体" w:cs="宋体"/>
                <w:color w:val="auto"/>
                <w:szCs w:val="21"/>
              </w:rPr>
              <w:t>人工价格按《宁波造价》（按开工前一个月）价格信息中宁波市建筑安装材料市场信息价。</w:t>
            </w:r>
          </w:p>
          <w:p w14:paraId="054FD51D">
            <w:pPr>
              <w:shd w:val="clear"/>
              <w:spacing w:line="360" w:lineRule="auto"/>
              <w:rPr>
                <w:color w:val="auto"/>
                <w:szCs w:val="21"/>
              </w:rPr>
            </w:pPr>
            <w:r>
              <w:rPr>
                <w:rFonts w:hint="eastAsia" w:ascii="宋体" w:hAnsi="宋体" w:cs="宋体"/>
                <w:color w:val="auto"/>
                <w:szCs w:val="21"/>
              </w:rPr>
              <w:t>材料价格按《宁波造价》（按开工前一个月）价格信息中的宁波市建筑安装材料市场信息价（奉化优先，其次为宁波市区价）；宁波市缺项的材料按同期《浙江造价信息》信息价，无信息价材料按市场询价及业主定牌定价取定，上述材料均为除税价。建材商情价格不作为价格依据。</w:t>
            </w:r>
          </w:p>
        </w:tc>
      </w:tr>
      <w:tr w14:paraId="7243E3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1358" w:type="dxa"/>
            <w:tcBorders>
              <w:top w:val="single" w:color="auto" w:sz="4" w:space="0"/>
              <w:left w:val="single" w:color="auto" w:sz="4" w:space="0"/>
              <w:bottom w:val="single" w:color="auto" w:sz="4" w:space="0"/>
              <w:right w:val="single" w:color="auto" w:sz="4" w:space="0"/>
            </w:tcBorders>
            <w:vAlign w:val="center"/>
          </w:tcPr>
          <w:p w14:paraId="763E6477">
            <w:pPr>
              <w:shd w:val="clear"/>
              <w:adjustRightInd w:val="0"/>
              <w:snapToGrid w:val="0"/>
              <w:spacing w:line="300" w:lineRule="auto"/>
              <w:rPr>
                <w:rFonts w:ascii="宋体" w:hAnsi="宋体" w:cs="宋体"/>
                <w:color w:val="auto"/>
                <w:szCs w:val="21"/>
              </w:rPr>
            </w:pPr>
            <w:r>
              <w:rPr>
                <w:rFonts w:hint="eastAsia" w:ascii="宋体" w:hAnsi="宋体" w:cs="宋体"/>
                <w:color w:val="auto"/>
                <w:szCs w:val="21"/>
              </w:rPr>
              <w:t>结算单价及付款方式</w:t>
            </w:r>
          </w:p>
        </w:tc>
        <w:tc>
          <w:tcPr>
            <w:tcW w:w="7528" w:type="dxa"/>
            <w:tcBorders>
              <w:top w:val="single" w:color="auto" w:sz="4" w:space="0"/>
              <w:left w:val="single" w:color="auto" w:sz="4" w:space="0"/>
              <w:bottom w:val="single" w:color="auto" w:sz="4" w:space="0"/>
              <w:right w:val="single" w:color="auto" w:sz="4" w:space="0"/>
            </w:tcBorders>
            <w:vAlign w:val="center"/>
          </w:tcPr>
          <w:p w14:paraId="50B36732">
            <w:pPr>
              <w:shd w:val="clear"/>
              <w:spacing w:line="360" w:lineRule="auto"/>
              <w:rPr>
                <w:rFonts w:ascii="宋体" w:hAnsi="宋体" w:cs="宋体"/>
                <w:color w:val="auto"/>
                <w:szCs w:val="21"/>
              </w:rPr>
            </w:pPr>
            <w:r>
              <w:rPr>
                <w:rFonts w:hint="eastAsia" w:ascii="宋体" w:hAnsi="宋体" w:cs="宋体"/>
                <w:color w:val="auto"/>
                <w:szCs w:val="21"/>
              </w:rPr>
              <w:t>根据计价依据及取费标准结合成交折扣，每季度按实结算。</w:t>
            </w:r>
          </w:p>
        </w:tc>
      </w:tr>
      <w:tr w14:paraId="3560EC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1358" w:type="dxa"/>
            <w:tcBorders>
              <w:top w:val="single" w:color="auto" w:sz="4" w:space="0"/>
              <w:left w:val="single" w:color="auto" w:sz="4" w:space="0"/>
              <w:bottom w:val="single" w:color="auto" w:sz="4" w:space="0"/>
              <w:right w:val="single" w:color="auto" w:sz="4" w:space="0"/>
            </w:tcBorders>
            <w:vAlign w:val="center"/>
          </w:tcPr>
          <w:p w14:paraId="12CDB1FE">
            <w:pPr>
              <w:shd w:val="clear"/>
              <w:adjustRightInd w:val="0"/>
              <w:snapToGrid w:val="0"/>
              <w:spacing w:line="300" w:lineRule="auto"/>
              <w:rPr>
                <w:rFonts w:ascii="宋体" w:hAnsi="宋体" w:cs="宋体"/>
                <w:color w:val="auto"/>
                <w:szCs w:val="21"/>
              </w:rPr>
            </w:pPr>
            <w:r>
              <w:rPr>
                <w:rFonts w:hint="eastAsia" w:ascii="宋体" w:hAnsi="宋体" w:cs="宋体"/>
                <w:bCs/>
                <w:color w:val="auto"/>
                <w:szCs w:val="21"/>
              </w:rPr>
              <w:t>签约合同价</w:t>
            </w:r>
          </w:p>
        </w:tc>
        <w:tc>
          <w:tcPr>
            <w:tcW w:w="7528" w:type="dxa"/>
            <w:tcBorders>
              <w:top w:val="single" w:color="auto" w:sz="4" w:space="0"/>
              <w:left w:val="single" w:color="auto" w:sz="4" w:space="0"/>
              <w:bottom w:val="single" w:color="auto" w:sz="4" w:space="0"/>
              <w:right w:val="single" w:color="auto" w:sz="4" w:space="0"/>
            </w:tcBorders>
            <w:vAlign w:val="center"/>
          </w:tcPr>
          <w:p w14:paraId="3E0B2E6F">
            <w:pPr>
              <w:shd w:val="clear"/>
              <w:spacing w:line="360" w:lineRule="auto"/>
              <w:rPr>
                <w:rFonts w:ascii="宋体" w:hAnsi="宋体" w:cs="宋体"/>
                <w:color w:val="auto"/>
                <w:szCs w:val="21"/>
              </w:rPr>
            </w:pPr>
            <w:r>
              <w:rPr>
                <w:rFonts w:hint="eastAsia" w:ascii="宋体" w:hAnsi="宋体" w:cs="宋体"/>
                <w:bCs/>
                <w:color w:val="auto"/>
                <w:szCs w:val="21"/>
              </w:rPr>
              <w:t>本项目签约合同价计算公式：预算金额*成交综合折扣。</w:t>
            </w:r>
          </w:p>
        </w:tc>
      </w:tr>
      <w:tr w14:paraId="34BE78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1358" w:type="dxa"/>
            <w:tcBorders>
              <w:top w:val="single" w:color="auto" w:sz="4" w:space="0"/>
              <w:left w:val="single" w:color="auto" w:sz="4" w:space="0"/>
              <w:bottom w:val="single" w:color="auto" w:sz="4" w:space="0"/>
              <w:right w:val="single" w:color="auto" w:sz="4" w:space="0"/>
            </w:tcBorders>
            <w:vAlign w:val="center"/>
          </w:tcPr>
          <w:p w14:paraId="55BD2DDF">
            <w:pPr>
              <w:shd w:val="clear"/>
              <w:adjustRightInd w:val="0"/>
              <w:snapToGrid w:val="0"/>
              <w:spacing w:line="300" w:lineRule="auto"/>
              <w:rPr>
                <w:rFonts w:ascii="宋体" w:hAnsi="宋体" w:cs="宋体"/>
                <w:color w:val="auto"/>
                <w:szCs w:val="21"/>
              </w:rPr>
            </w:pPr>
            <w:r>
              <w:rPr>
                <w:rFonts w:hint="eastAsia" w:ascii="宋体" w:hAnsi="宋体" w:cs="宋体"/>
                <w:color w:val="auto"/>
                <w:szCs w:val="21"/>
              </w:rPr>
              <w:t>质量要求</w:t>
            </w:r>
          </w:p>
        </w:tc>
        <w:tc>
          <w:tcPr>
            <w:tcW w:w="7528" w:type="dxa"/>
            <w:tcBorders>
              <w:top w:val="single" w:color="auto" w:sz="4" w:space="0"/>
              <w:left w:val="single" w:color="auto" w:sz="4" w:space="0"/>
              <w:bottom w:val="single" w:color="auto" w:sz="4" w:space="0"/>
              <w:right w:val="single" w:color="auto" w:sz="4" w:space="0"/>
            </w:tcBorders>
            <w:vAlign w:val="center"/>
          </w:tcPr>
          <w:p w14:paraId="422816CD">
            <w:pPr>
              <w:shd w:val="clear"/>
              <w:adjustRightInd w:val="0"/>
              <w:snapToGrid w:val="0"/>
              <w:spacing w:line="300" w:lineRule="auto"/>
              <w:rPr>
                <w:rFonts w:ascii="宋体" w:hAnsi="宋体" w:cs="宋体"/>
                <w:color w:val="auto"/>
                <w:szCs w:val="21"/>
              </w:rPr>
            </w:pPr>
            <w:r>
              <w:rPr>
                <w:rFonts w:hint="eastAsia" w:ascii="宋体" w:hAnsi="宋体" w:cs="宋体"/>
                <w:color w:val="auto"/>
                <w:szCs w:val="21"/>
                <w:lang w:val="zh-CN"/>
              </w:rPr>
              <w:t>达到国家和行业施工验收规范一次性验收合格。</w:t>
            </w:r>
          </w:p>
        </w:tc>
      </w:tr>
      <w:tr w14:paraId="34612A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1358" w:type="dxa"/>
            <w:tcBorders>
              <w:top w:val="single" w:color="auto" w:sz="4" w:space="0"/>
              <w:left w:val="single" w:color="auto" w:sz="4" w:space="0"/>
              <w:bottom w:val="single" w:color="auto" w:sz="4" w:space="0"/>
              <w:right w:val="single" w:color="auto" w:sz="4" w:space="0"/>
            </w:tcBorders>
            <w:vAlign w:val="center"/>
          </w:tcPr>
          <w:p w14:paraId="680AA47C">
            <w:pPr>
              <w:shd w:val="clear"/>
              <w:adjustRightInd w:val="0"/>
              <w:snapToGrid w:val="0"/>
              <w:spacing w:line="300" w:lineRule="auto"/>
              <w:rPr>
                <w:rFonts w:ascii="宋体" w:hAnsi="宋体" w:cs="宋体"/>
                <w:color w:val="auto"/>
                <w:szCs w:val="21"/>
              </w:rPr>
            </w:pPr>
            <w:r>
              <w:rPr>
                <w:rFonts w:hint="eastAsia" w:ascii="宋体" w:hAnsi="宋体"/>
                <w:color w:val="auto"/>
                <w:szCs w:val="21"/>
              </w:rPr>
              <w:t>工程保修（缺陷责任期）及售后要求</w:t>
            </w:r>
          </w:p>
        </w:tc>
        <w:tc>
          <w:tcPr>
            <w:tcW w:w="7528" w:type="dxa"/>
            <w:tcBorders>
              <w:top w:val="single" w:color="auto" w:sz="4" w:space="0"/>
              <w:left w:val="single" w:color="auto" w:sz="4" w:space="0"/>
              <w:bottom w:val="single" w:color="auto" w:sz="4" w:space="0"/>
              <w:right w:val="single" w:color="auto" w:sz="4" w:space="0"/>
            </w:tcBorders>
            <w:vAlign w:val="center"/>
          </w:tcPr>
          <w:p w14:paraId="46934696">
            <w:pPr>
              <w:shd w:val="clear"/>
              <w:adjustRightInd w:val="0"/>
              <w:snapToGrid w:val="0"/>
              <w:spacing w:line="300" w:lineRule="auto"/>
              <w:rPr>
                <w:rFonts w:ascii="宋体" w:hAnsi="宋体" w:cs="宋体"/>
                <w:color w:val="auto"/>
                <w:szCs w:val="21"/>
              </w:rPr>
            </w:pPr>
            <w:r>
              <w:rPr>
                <w:rFonts w:hint="eastAsia" w:ascii="宋体" w:hAnsi="宋体"/>
                <w:color w:val="auto"/>
                <w:szCs w:val="21"/>
              </w:rPr>
              <w:t>本工程缺陷责任期为1年。保修期（缺陷责任期）从完工验收合格之日起计算。在保修范围内和保修期限内发生质量问题的，承包人应当履行保修义务，并对造成的损失承担赔偿责任。</w:t>
            </w:r>
          </w:p>
        </w:tc>
      </w:tr>
      <w:tr w14:paraId="24A7C4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358" w:type="dxa"/>
            <w:tcBorders>
              <w:top w:val="single" w:color="auto" w:sz="4" w:space="0"/>
              <w:left w:val="single" w:color="auto" w:sz="4" w:space="0"/>
              <w:bottom w:val="single" w:color="auto" w:sz="4" w:space="0"/>
              <w:right w:val="single" w:color="auto" w:sz="4" w:space="0"/>
            </w:tcBorders>
            <w:vAlign w:val="center"/>
          </w:tcPr>
          <w:p w14:paraId="7DE93779">
            <w:pPr>
              <w:shd w:val="clear"/>
              <w:adjustRightInd w:val="0"/>
              <w:snapToGrid w:val="0"/>
              <w:spacing w:line="300" w:lineRule="auto"/>
              <w:rPr>
                <w:rFonts w:ascii="宋体" w:hAnsi="宋体" w:cs="宋体"/>
                <w:color w:val="auto"/>
                <w:szCs w:val="21"/>
              </w:rPr>
            </w:pPr>
            <w:r>
              <w:rPr>
                <w:rFonts w:hint="eastAsia" w:ascii="宋体" w:hAnsi="宋体" w:cs="宋体"/>
                <w:color w:val="auto"/>
                <w:szCs w:val="21"/>
              </w:rPr>
              <w:t>承包方式</w:t>
            </w:r>
          </w:p>
        </w:tc>
        <w:tc>
          <w:tcPr>
            <w:tcW w:w="7528" w:type="dxa"/>
            <w:tcBorders>
              <w:top w:val="single" w:color="auto" w:sz="4" w:space="0"/>
              <w:left w:val="single" w:color="auto" w:sz="4" w:space="0"/>
              <w:bottom w:val="single" w:color="auto" w:sz="4" w:space="0"/>
              <w:right w:val="single" w:color="auto" w:sz="4" w:space="0"/>
            </w:tcBorders>
            <w:vAlign w:val="center"/>
          </w:tcPr>
          <w:p w14:paraId="3474C7DD">
            <w:pPr>
              <w:widowControl/>
              <w:shd w:val="clear"/>
              <w:snapToGrid w:val="0"/>
              <w:spacing w:line="360" w:lineRule="auto"/>
              <w:jc w:val="left"/>
              <w:rPr>
                <w:rFonts w:ascii="宋体" w:hAnsi="宋体" w:cs="宋体"/>
                <w:color w:val="auto"/>
                <w:szCs w:val="21"/>
              </w:rPr>
            </w:pPr>
            <w:r>
              <w:rPr>
                <w:rFonts w:hint="eastAsia" w:ascii="宋体" w:hAnsi="宋体" w:cs="宋体"/>
                <w:color w:val="auto"/>
                <w:szCs w:val="21"/>
              </w:rPr>
              <w:t>包工包料。</w:t>
            </w:r>
          </w:p>
        </w:tc>
      </w:tr>
      <w:tr w14:paraId="6436C0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58" w:type="dxa"/>
            <w:tcBorders>
              <w:top w:val="single" w:color="auto" w:sz="4" w:space="0"/>
              <w:left w:val="single" w:color="auto" w:sz="4" w:space="0"/>
              <w:bottom w:val="single" w:color="auto" w:sz="4" w:space="0"/>
              <w:right w:val="single" w:color="auto" w:sz="4" w:space="0"/>
            </w:tcBorders>
            <w:vAlign w:val="center"/>
          </w:tcPr>
          <w:p w14:paraId="0C28A327">
            <w:pPr>
              <w:shd w:val="clear"/>
              <w:adjustRightInd w:val="0"/>
              <w:snapToGrid w:val="0"/>
              <w:spacing w:line="360" w:lineRule="auto"/>
              <w:rPr>
                <w:rFonts w:ascii="宋体" w:hAnsi="宋体" w:cs="宋体"/>
                <w:color w:val="auto"/>
                <w:szCs w:val="21"/>
              </w:rPr>
            </w:pPr>
            <w:r>
              <w:rPr>
                <w:rFonts w:hint="eastAsia" w:ascii="宋体" w:hAnsi="宋体" w:cs="宋体"/>
                <w:color w:val="auto"/>
                <w:szCs w:val="21"/>
              </w:rPr>
              <w:t>合同终止</w:t>
            </w:r>
          </w:p>
        </w:tc>
        <w:tc>
          <w:tcPr>
            <w:tcW w:w="7528" w:type="dxa"/>
            <w:tcBorders>
              <w:top w:val="single" w:color="auto" w:sz="4" w:space="0"/>
              <w:left w:val="single" w:color="auto" w:sz="4" w:space="0"/>
              <w:bottom w:val="single" w:color="auto" w:sz="4" w:space="0"/>
              <w:right w:val="single" w:color="auto" w:sz="4" w:space="0"/>
            </w:tcBorders>
            <w:vAlign w:val="center"/>
          </w:tcPr>
          <w:p w14:paraId="192E4441">
            <w:pPr>
              <w:shd w:val="clear"/>
              <w:adjustRightInd w:val="0"/>
              <w:snapToGrid w:val="0"/>
              <w:spacing w:line="360" w:lineRule="auto"/>
              <w:rPr>
                <w:rFonts w:ascii="宋体" w:hAnsi="宋体" w:cs="宋体"/>
                <w:color w:val="auto"/>
                <w:szCs w:val="21"/>
              </w:rPr>
            </w:pPr>
            <w:r>
              <w:rPr>
                <w:rFonts w:hint="eastAsia" w:ascii="宋体" w:hAnsi="宋体" w:cs="宋体"/>
                <w:color w:val="auto"/>
                <w:szCs w:val="21"/>
              </w:rPr>
              <w:t>中标人在合同有效期内，除不可抗力外不得以任何理由终止合同。因中标人不能保证工作质量，或发生重大差错事故的，采购人有权终止合同，中标人承担全部责任。</w:t>
            </w:r>
          </w:p>
        </w:tc>
      </w:tr>
    </w:tbl>
    <w:p w14:paraId="4085BA7D">
      <w:pPr>
        <w:shd w:val="clear"/>
        <w:spacing w:before="120" w:beforeLines="50" w:line="360" w:lineRule="auto"/>
        <w:ind w:firstLine="422" w:firstLineChars="200"/>
        <w:rPr>
          <w:rFonts w:ascii="宋体" w:hAnsi="宋体" w:cs="宋体"/>
          <w:b/>
          <w:color w:val="auto"/>
          <w:szCs w:val="21"/>
        </w:rPr>
      </w:pPr>
    </w:p>
    <w:p w14:paraId="610F7DAC">
      <w:pPr>
        <w:pStyle w:val="34"/>
        <w:shd w:val="clear"/>
        <w:rPr>
          <w:color w:val="auto"/>
        </w:rPr>
      </w:pPr>
    </w:p>
    <w:p w14:paraId="2BB87C79">
      <w:pPr>
        <w:shd w:val="clear"/>
        <w:spacing w:before="120" w:beforeLines="50" w:line="360" w:lineRule="auto"/>
        <w:ind w:firstLine="422" w:firstLineChars="200"/>
        <w:rPr>
          <w:rFonts w:ascii="宋体" w:hAnsi="宋体" w:cs="宋体"/>
          <w:b/>
          <w:color w:val="auto"/>
          <w:szCs w:val="21"/>
        </w:rPr>
      </w:pPr>
    </w:p>
    <w:p w14:paraId="0E59ACAA">
      <w:pPr>
        <w:shd w:val="clear"/>
        <w:spacing w:before="120" w:beforeLines="50" w:line="360" w:lineRule="auto"/>
        <w:ind w:firstLine="422" w:firstLineChars="200"/>
        <w:rPr>
          <w:rFonts w:ascii="宋体" w:hAnsi="宋体" w:cs="宋体"/>
          <w:b/>
          <w:color w:val="auto"/>
          <w:szCs w:val="21"/>
        </w:rPr>
      </w:pPr>
    </w:p>
    <w:p w14:paraId="42090E0E">
      <w:pPr>
        <w:widowControl/>
        <w:shd w:val="clear"/>
        <w:ind w:firstLine="211"/>
        <w:jc w:val="left"/>
        <w:rPr>
          <w:rFonts w:ascii="宋体" w:hAnsi="宋体" w:cs="宋体"/>
          <w:b/>
          <w:color w:val="auto"/>
          <w:szCs w:val="21"/>
        </w:rPr>
      </w:pPr>
      <w:r>
        <w:rPr>
          <w:rFonts w:ascii="宋体" w:hAnsi="宋体" w:cs="宋体"/>
          <w:b/>
          <w:color w:val="auto"/>
          <w:szCs w:val="21"/>
        </w:rPr>
        <w:br w:type="page"/>
      </w:r>
    </w:p>
    <w:p w14:paraId="0B9878F8">
      <w:pPr>
        <w:shd w:val="clear"/>
        <w:spacing w:before="120" w:beforeLines="50" w:line="360" w:lineRule="auto"/>
        <w:ind w:firstLine="422" w:firstLineChars="200"/>
        <w:rPr>
          <w:rFonts w:ascii="宋体" w:hAnsi="宋体" w:cs="宋体"/>
          <w:b/>
          <w:color w:val="auto"/>
          <w:szCs w:val="21"/>
        </w:rPr>
      </w:pPr>
    </w:p>
    <w:bookmarkEnd w:id="19"/>
    <w:p w14:paraId="43CB2785">
      <w:pPr>
        <w:widowControl/>
        <w:shd w:val="clear"/>
        <w:ind w:firstLine="361"/>
        <w:rPr>
          <w:rFonts w:asciiTheme="minorEastAsia" w:hAnsiTheme="minorEastAsia" w:eastAsiaTheme="minorEastAsia" w:cstheme="minorEastAsia"/>
          <w:b/>
          <w:color w:val="auto"/>
          <w:sz w:val="36"/>
          <w:szCs w:val="36"/>
        </w:rPr>
      </w:pPr>
      <w:r>
        <w:rPr>
          <w:rFonts w:hint="eastAsia" w:asciiTheme="minorEastAsia" w:hAnsiTheme="minorEastAsia" w:eastAsiaTheme="minorEastAsia" w:cstheme="minorEastAsia"/>
          <w:b/>
          <w:color w:val="auto"/>
          <w:sz w:val="36"/>
          <w:szCs w:val="36"/>
        </w:rPr>
        <w:t xml:space="preserve">                 第四部分   </w:t>
      </w:r>
      <w:bookmarkStart w:id="22" w:name="_Toc184314448"/>
      <w:bookmarkEnd w:id="22"/>
      <w:bookmarkStart w:id="23" w:name="_Toc184310276"/>
      <w:bookmarkEnd w:id="23"/>
      <w:bookmarkStart w:id="24" w:name="_Toc184312068"/>
      <w:bookmarkEnd w:id="24"/>
      <w:bookmarkStart w:id="25" w:name="_Toc184313270"/>
      <w:bookmarkEnd w:id="25"/>
      <w:bookmarkStart w:id="26" w:name="_Toc184312107"/>
      <w:bookmarkEnd w:id="26"/>
      <w:bookmarkStart w:id="27" w:name="_Toc184308093"/>
      <w:bookmarkEnd w:id="27"/>
      <w:bookmarkStart w:id="28" w:name="_Toc184308051"/>
      <w:bookmarkEnd w:id="28"/>
      <w:bookmarkStart w:id="29" w:name="_Toc184313266"/>
      <w:bookmarkEnd w:id="29"/>
      <w:bookmarkStart w:id="30" w:name="_Toc184314464"/>
      <w:bookmarkEnd w:id="30"/>
      <w:bookmarkStart w:id="31" w:name="_Toc184312088"/>
      <w:bookmarkEnd w:id="31"/>
      <w:bookmarkStart w:id="32" w:name="_Toc184310329"/>
      <w:bookmarkEnd w:id="32"/>
      <w:bookmarkStart w:id="33" w:name="_Toc184313287"/>
      <w:bookmarkEnd w:id="33"/>
      <w:bookmarkStart w:id="34" w:name="_Toc184313255"/>
      <w:bookmarkEnd w:id="34"/>
      <w:bookmarkStart w:id="35" w:name="_Toc184312090"/>
      <w:bookmarkEnd w:id="35"/>
      <w:bookmarkStart w:id="36" w:name="_Toc184312125"/>
      <w:bookmarkEnd w:id="36"/>
      <w:bookmarkStart w:id="37" w:name="_Toc184312098"/>
      <w:bookmarkEnd w:id="37"/>
      <w:bookmarkStart w:id="38" w:name="_Toc184314479"/>
      <w:bookmarkEnd w:id="38"/>
      <w:bookmarkStart w:id="39" w:name="_Toc184310306"/>
      <w:bookmarkEnd w:id="39"/>
      <w:bookmarkStart w:id="40" w:name="_Toc184310325"/>
      <w:bookmarkEnd w:id="40"/>
      <w:bookmarkStart w:id="41" w:name="_Toc184310288"/>
      <w:bookmarkEnd w:id="41"/>
      <w:bookmarkStart w:id="42" w:name="_Toc184314433"/>
      <w:bookmarkEnd w:id="42"/>
      <w:bookmarkStart w:id="43" w:name="_Toc184308070"/>
      <w:bookmarkEnd w:id="43"/>
      <w:bookmarkStart w:id="44" w:name="_Toc184310297"/>
      <w:bookmarkEnd w:id="44"/>
      <w:bookmarkStart w:id="45" w:name="_Toc184308042"/>
      <w:bookmarkEnd w:id="45"/>
      <w:bookmarkStart w:id="46" w:name="_Toc184313294"/>
      <w:bookmarkEnd w:id="46"/>
      <w:bookmarkStart w:id="47" w:name="_Toc184313258"/>
      <w:bookmarkEnd w:id="47"/>
      <w:bookmarkStart w:id="48" w:name="_Toc184308097"/>
      <w:bookmarkEnd w:id="48"/>
      <w:bookmarkStart w:id="49" w:name="_Toc184314468"/>
      <w:bookmarkEnd w:id="49"/>
      <w:bookmarkStart w:id="50" w:name="_Toc184308088"/>
      <w:bookmarkEnd w:id="50"/>
      <w:bookmarkStart w:id="51" w:name="_Toc184312119"/>
      <w:bookmarkEnd w:id="51"/>
      <w:bookmarkStart w:id="52" w:name="_Toc184312071"/>
      <w:bookmarkEnd w:id="52"/>
      <w:bookmarkStart w:id="53" w:name="_Toc184310272"/>
      <w:bookmarkEnd w:id="53"/>
      <w:bookmarkStart w:id="54" w:name="_Toc184314442"/>
      <w:bookmarkEnd w:id="54"/>
      <w:bookmarkStart w:id="55" w:name="_Toc184314427"/>
      <w:bookmarkEnd w:id="55"/>
      <w:bookmarkStart w:id="56" w:name="_Toc184313279"/>
      <w:bookmarkEnd w:id="56"/>
      <w:bookmarkStart w:id="57" w:name="_Toc184308084"/>
      <w:bookmarkEnd w:id="57"/>
      <w:bookmarkStart w:id="58" w:name="_Toc184314425"/>
      <w:bookmarkEnd w:id="58"/>
      <w:bookmarkStart w:id="59" w:name="_Toc184308059"/>
      <w:bookmarkEnd w:id="59"/>
      <w:bookmarkStart w:id="60" w:name="_Toc184314419"/>
      <w:bookmarkEnd w:id="60"/>
      <w:bookmarkStart w:id="61" w:name="_Toc184310328"/>
      <w:bookmarkEnd w:id="61"/>
      <w:bookmarkStart w:id="62" w:name="_Toc184313308"/>
      <w:bookmarkEnd w:id="62"/>
      <w:bookmarkStart w:id="63" w:name="_Toc184310294"/>
      <w:bookmarkEnd w:id="63"/>
      <w:bookmarkStart w:id="64" w:name="_Toc184313303"/>
      <w:bookmarkEnd w:id="64"/>
      <w:bookmarkStart w:id="65" w:name="_Toc184313296"/>
      <w:bookmarkEnd w:id="65"/>
      <w:bookmarkStart w:id="66" w:name="_Toc184312127"/>
      <w:bookmarkEnd w:id="66"/>
      <w:bookmarkStart w:id="67" w:name="_Toc184313280"/>
      <w:bookmarkEnd w:id="67"/>
      <w:bookmarkStart w:id="68" w:name="_Toc184313309"/>
      <w:bookmarkEnd w:id="68"/>
      <w:bookmarkStart w:id="69" w:name="_Toc184313272"/>
      <w:bookmarkEnd w:id="69"/>
      <w:bookmarkStart w:id="70" w:name="_Toc184313262"/>
      <w:bookmarkEnd w:id="70"/>
      <w:bookmarkStart w:id="71" w:name="_Toc184310303"/>
      <w:bookmarkEnd w:id="71"/>
      <w:bookmarkStart w:id="72" w:name="_Toc184310340"/>
      <w:bookmarkEnd w:id="72"/>
      <w:bookmarkStart w:id="73" w:name="_Toc184313267"/>
      <w:bookmarkEnd w:id="73"/>
      <w:bookmarkStart w:id="74" w:name="_Toc184314437"/>
      <w:bookmarkEnd w:id="74"/>
      <w:bookmarkStart w:id="75" w:name="_Toc184313248"/>
      <w:bookmarkEnd w:id="75"/>
      <w:bookmarkStart w:id="76" w:name="_Toc184310300"/>
      <w:bookmarkEnd w:id="76"/>
      <w:bookmarkStart w:id="77" w:name="_Toc184313291"/>
      <w:bookmarkEnd w:id="77"/>
      <w:bookmarkStart w:id="78" w:name="_Toc184313256"/>
      <w:bookmarkEnd w:id="78"/>
      <w:bookmarkStart w:id="79" w:name="_Toc184310333"/>
      <w:bookmarkEnd w:id="79"/>
      <w:bookmarkStart w:id="80" w:name="_Toc184312121"/>
      <w:bookmarkEnd w:id="80"/>
      <w:bookmarkStart w:id="81" w:name="_Toc184313269"/>
      <w:bookmarkEnd w:id="81"/>
      <w:bookmarkStart w:id="82" w:name="_Toc184308069"/>
      <w:bookmarkEnd w:id="82"/>
      <w:bookmarkStart w:id="83" w:name="_Toc184308081"/>
      <w:bookmarkEnd w:id="83"/>
      <w:bookmarkStart w:id="84" w:name="_Toc184308073"/>
      <w:bookmarkEnd w:id="84"/>
      <w:bookmarkStart w:id="85" w:name="_Toc184308056"/>
      <w:bookmarkEnd w:id="85"/>
      <w:bookmarkStart w:id="86" w:name="_Toc184308036"/>
      <w:bookmarkEnd w:id="86"/>
      <w:bookmarkStart w:id="87" w:name="_Toc184310296"/>
      <w:bookmarkEnd w:id="87"/>
      <w:bookmarkStart w:id="88" w:name="_Toc184308106"/>
      <w:bookmarkEnd w:id="88"/>
      <w:bookmarkStart w:id="89" w:name="_Toc184313306"/>
      <w:bookmarkEnd w:id="89"/>
      <w:bookmarkStart w:id="90" w:name="_Toc184313238"/>
      <w:bookmarkEnd w:id="90"/>
      <w:bookmarkStart w:id="91" w:name="_Toc184308101"/>
      <w:bookmarkEnd w:id="91"/>
      <w:bookmarkStart w:id="92" w:name="_Toc184314449"/>
      <w:bookmarkEnd w:id="92"/>
      <w:bookmarkStart w:id="93" w:name="_Toc184314435"/>
      <w:bookmarkEnd w:id="93"/>
      <w:bookmarkStart w:id="94" w:name="_Toc184314440"/>
      <w:bookmarkEnd w:id="94"/>
      <w:bookmarkStart w:id="95" w:name="_Toc184310292"/>
      <w:bookmarkEnd w:id="95"/>
      <w:bookmarkStart w:id="96" w:name="_Toc184308041"/>
      <w:bookmarkEnd w:id="96"/>
      <w:bookmarkStart w:id="97" w:name="_Toc184312108"/>
      <w:bookmarkEnd w:id="97"/>
      <w:bookmarkStart w:id="98" w:name="_Toc184308053"/>
      <w:bookmarkEnd w:id="98"/>
      <w:bookmarkStart w:id="99" w:name="_Toc184308040"/>
      <w:bookmarkEnd w:id="99"/>
      <w:bookmarkStart w:id="100" w:name="_Toc184313242"/>
      <w:bookmarkEnd w:id="100"/>
      <w:bookmarkStart w:id="101" w:name="_Toc184312130"/>
      <w:bookmarkEnd w:id="101"/>
      <w:bookmarkStart w:id="102" w:name="_Toc184312075"/>
      <w:bookmarkEnd w:id="102"/>
      <w:bookmarkStart w:id="103" w:name="_Toc184310336"/>
      <w:bookmarkEnd w:id="103"/>
      <w:bookmarkStart w:id="104" w:name="_Toc184314447"/>
      <w:bookmarkEnd w:id="104"/>
      <w:bookmarkStart w:id="105" w:name="_Toc184313259"/>
      <w:bookmarkEnd w:id="105"/>
      <w:bookmarkStart w:id="106" w:name="_Toc184312120"/>
      <w:bookmarkEnd w:id="106"/>
      <w:bookmarkStart w:id="107" w:name="_Toc184310344"/>
      <w:bookmarkEnd w:id="107"/>
      <w:bookmarkStart w:id="108" w:name="_Toc184314453"/>
      <w:bookmarkEnd w:id="108"/>
      <w:bookmarkStart w:id="109" w:name="_Toc184312110"/>
      <w:bookmarkEnd w:id="109"/>
      <w:bookmarkStart w:id="110" w:name="_Toc184314460"/>
      <w:bookmarkEnd w:id="110"/>
      <w:bookmarkStart w:id="111" w:name="_Toc184313247"/>
      <w:bookmarkEnd w:id="111"/>
      <w:bookmarkStart w:id="112" w:name="_Toc184308064"/>
      <w:bookmarkEnd w:id="112"/>
      <w:bookmarkStart w:id="113" w:name="_Toc184308067"/>
      <w:bookmarkEnd w:id="113"/>
      <w:bookmarkStart w:id="114" w:name="_Toc184308038"/>
      <w:bookmarkEnd w:id="114"/>
      <w:bookmarkStart w:id="115" w:name="_Toc184310327"/>
      <w:bookmarkEnd w:id="115"/>
      <w:bookmarkStart w:id="116" w:name="_Toc184312109"/>
      <w:bookmarkEnd w:id="116"/>
      <w:bookmarkStart w:id="117" w:name="_Toc184310307"/>
      <w:bookmarkEnd w:id="117"/>
      <w:bookmarkStart w:id="118" w:name="_Toc184312128"/>
      <w:bookmarkEnd w:id="118"/>
      <w:bookmarkStart w:id="119" w:name="_Toc184314462"/>
      <w:bookmarkEnd w:id="119"/>
      <w:bookmarkStart w:id="120" w:name="_Toc184313264"/>
      <w:bookmarkEnd w:id="120"/>
      <w:bookmarkStart w:id="121" w:name="_Toc184312073"/>
      <w:bookmarkEnd w:id="121"/>
      <w:bookmarkStart w:id="122" w:name="_Toc184310287"/>
      <w:bookmarkEnd w:id="122"/>
      <w:bookmarkStart w:id="123" w:name="_Toc184310318"/>
      <w:bookmarkEnd w:id="123"/>
      <w:bookmarkStart w:id="124" w:name="_Toc184313295"/>
      <w:bookmarkEnd w:id="124"/>
      <w:bookmarkStart w:id="125" w:name="_Toc184308079"/>
      <w:bookmarkEnd w:id="125"/>
      <w:bookmarkStart w:id="126" w:name="_Toc184308099"/>
      <w:bookmarkEnd w:id="126"/>
      <w:bookmarkStart w:id="127" w:name="_Toc184314417"/>
      <w:bookmarkEnd w:id="127"/>
      <w:bookmarkStart w:id="128" w:name="_Toc184314470"/>
      <w:bookmarkEnd w:id="128"/>
      <w:bookmarkStart w:id="129" w:name="_Toc184310315"/>
      <w:bookmarkEnd w:id="129"/>
      <w:bookmarkStart w:id="130" w:name="_Toc184314413"/>
      <w:bookmarkEnd w:id="130"/>
      <w:bookmarkStart w:id="131" w:name="_Toc184313274"/>
      <w:bookmarkEnd w:id="131"/>
      <w:bookmarkStart w:id="132" w:name="_Toc184314445"/>
      <w:bookmarkEnd w:id="132"/>
      <w:bookmarkStart w:id="133" w:name="_Toc184308055"/>
      <w:bookmarkEnd w:id="133"/>
      <w:bookmarkStart w:id="134" w:name="_Toc184313253"/>
      <w:bookmarkEnd w:id="134"/>
      <w:bookmarkStart w:id="135" w:name="_Toc184310323"/>
      <w:bookmarkEnd w:id="135"/>
      <w:bookmarkStart w:id="136" w:name="_Toc184308107"/>
      <w:bookmarkEnd w:id="136"/>
      <w:bookmarkStart w:id="137" w:name="_Toc184312111"/>
      <w:bookmarkEnd w:id="137"/>
      <w:bookmarkStart w:id="138" w:name="_Toc184312084"/>
      <w:bookmarkEnd w:id="138"/>
      <w:bookmarkStart w:id="139" w:name="_Toc184313251"/>
      <w:bookmarkEnd w:id="139"/>
      <w:bookmarkStart w:id="140" w:name="_Toc184313290"/>
      <w:bookmarkEnd w:id="140"/>
      <w:bookmarkStart w:id="141" w:name="_Toc184313302"/>
      <w:bookmarkEnd w:id="141"/>
      <w:bookmarkStart w:id="142" w:name="_Toc184312095"/>
      <w:bookmarkEnd w:id="142"/>
      <w:bookmarkStart w:id="143" w:name="_Toc184310335"/>
      <w:bookmarkEnd w:id="143"/>
      <w:bookmarkStart w:id="144" w:name="_Toc184308062"/>
      <w:bookmarkEnd w:id="144"/>
      <w:bookmarkStart w:id="145" w:name="_Toc184313240"/>
      <w:bookmarkEnd w:id="145"/>
      <w:bookmarkStart w:id="146" w:name="_Toc184312117"/>
      <w:bookmarkEnd w:id="146"/>
      <w:bookmarkStart w:id="147" w:name="_Toc184310331"/>
      <w:bookmarkEnd w:id="147"/>
      <w:bookmarkStart w:id="148" w:name="_Toc184308078"/>
      <w:bookmarkEnd w:id="148"/>
      <w:bookmarkStart w:id="149" w:name="_Toc184314443"/>
      <w:bookmarkEnd w:id="149"/>
      <w:bookmarkStart w:id="150" w:name="_Toc184312081"/>
      <w:bookmarkEnd w:id="150"/>
      <w:bookmarkStart w:id="151" w:name="_Toc184313277"/>
      <w:bookmarkEnd w:id="151"/>
      <w:bookmarkStart w:id="152" w:name="_Toc184308074"/>
      <w:bookmarkEnd w:id="152"/>
      <w:bookmarkStart w:id="153" w:name="_Toc184313243"/>
      <w:bookmarkEnd w:id="153"/>
      <w:bookmarkStart w:id="154" w:name="_Toc184312086"/>
      <w:bookmarkEnd w:id="154"/>
      <w:bookmarkStart w:id="155" w:name="_Toc184314465"/>
      <w:bookmarkEnd w:id="155"/>
      <w:bookmarkStart w:id="156" w:name="_Toc184313249"/>
      <w:bookmarkEnd w:id="156"/>
      <w:bookmarkStart w:id="157" w:name="_Toc184313273"/>
      <w:bookmarkEnd w:id="157"/>
      <w:bookmarkStart w:id="158" w:name="_Toc184313293"/>
      <w:bookmarkEnd w:id="158"/>
      <w:bookmarkStart w:id="159" w:name="_Toc184314423"/>
      <w:bookmarkEnd w:id="159"/>
      <w:bookmarkStart w:id="160" w:name="_Toc184312113"/>
      <w:bookmarkEnd w:id="160"/>
      <w:bookmarkStart w:id="161" w:name="_Toc184312102"/>
      <w:bookmarkEnd w:id="161"/>
      <w:bookmarkStart w:id="162" w:name="_Toc184310273"/>
      <w:bookmarkEnd w:id="162"/>
      <w:bookmarkStart w:id="163" w:name="_Toc184308063"/>
      <w:bookmarkEnd w:id="163"/>
      <w:bookmarkStart w:id="164" w:name="_Toc184310302"/>
      <w:bookmarkEnd w:id="164"/>
      <w:bookmarkStart w:id="165" w:name="_Toc184312135"/>
      <w:bookmarkEnd w:id="165"/>
      <w:bookmarkStart w:id="166" w:name="_Toc184312106"/>
      <w:bookmarkEnd w:id="166"/>
      <w:bookmarkStart w:id="167" w:name="_Toc184308072"/>
      <w:bookmarkEnd w:id="167"/>
      <w:bookmarkStart w:id="168" w:name="_Toc184314438"/>
      <w:bookmarkEnd w:id="168"/>
      <w:bookmarkStart w:id="169" w:name="_Toc184314416"/>
      <w:bookmarkEnd w:id="169"/>
      <w:bookmarkStart w:id="170" w:name="_Toc184308098"/>
      <w:bookmarkEnd w:id="170"/>
      <w:bookmarkStart w:id="171" w:name="_Toc184313268"/>
      <w:bookmarkEnd w:id="171"/>
      <w:bookmarkStart w:id="172" w:name="_Toc184308048"/>
      <w:bookmarkEnd w:id="172"/>
      <w:bookmarkStart w:id="173" w:name="_Toc184314467"/>
      <w:bookmarkEnd w:id="173"/>
      <w:bookmarkStart w:id="174" w:name="_Toc184312124"/>
      <w:bookmarkEnd w:id="174"/>
      <w:bookmarkStart w:id="175" w:name="_Toc184310341"/>
      <w:bookmarkEnd w:id="175"/>
      <w:bookmarkStart w:id="176" w:name="_Toc184313254"/>
      <w:bookmarkEnd w:id="176"/>
      <w:bookmarkStart w:id="177" w:name="_Toc184310311"/>
      <w:bookmarkEnd w:id="177"/>
      <w:bookmarkStart w:id="178" w:name="_Toc184313265"/>
      <w:bookmarkEnd w:id="178"/>
      <w:bookmarkStart w:id="179" w:name="_Toc184312087"/>
      <w:bookmarkEnd w:id="179"/>
      <w:bookmarkStart w:id="180" w:name="_Toc184310313"/>
      <w:bookmarkEnd w:id="180"/>
      <w:bookmarkStart w:id="181" w:name="_Toc184310289"/>
      <w:bookmarkEnd w:id="181"/>
      <w:bookmarkStart w:id="182" w:name="_Toc184312115"/>
      <w:bookmarkEnd w:id="182"/>
      <w:bookmarkStart w:id="183" w:name="_Toc184313305"/>
      <w:bookmarkEnd w:id="183"/>
      <w:bookmarkStart w:id="184" w:name="_Toc184313260"/>
      <w:bookmarkEnd w:id="184"/>
      <w:bookmarkStart w:id="185" w:name="_Toc184314476"/>
      <w:bookmarkEnd w:id="185"/>
      <w:bookmarkStart w:id="186" w:name="_Toc184310304"/>
      <w:bookmarkEnd w:id="186"/>
      <w:bookmarkStart w:id="187" w:name="_Toc184313298"/>
      <w:bookmarkEnd w:id="187"/>
      <w:bookmarkStart w:id="188" w:name="_Toc184312074"/>
      <w:bookmarkEnd w:id="188"/>
      <w:bookmarkStart w:id="189" w:name="_Toc184308108"/>
      <w:bookmarkEnd w:id="189"/>
      <w:bookmarkStart w:id="190" w:name="_Toc184312133"/>
      <w:bookmarkEnd w:id="190"/>
      <w:bookmarkStart w:id="191" w:name="_Toc184314478"/>
      <w:bookmarkEnd w:id="191"/>
      <w:bookmarkStart w:id="192" w:name="_Toc184310298"/>
      <w:bookmarkEnd w:id="192"/>
      <w:bookmarkStart w:id="193" w:name="_Toc184312126"/>
      <w:bookmarkEnd w:id="193"/>
      <w:bookmarkStart w:id="194" w:name="_Toc184312129"/>
      <w:bookmarkEnd w:id="194"/>
      <w:bookmarkStart w:id="195" w:name="_Toc184308103"/>
      <w:bookmarkEnd w:id="195"/>
      <w:bookmarkStart w:id="196" w:name="_Toc184310332"/>
      <w:bookmarkEnd w:id="196"/>
      <w:bookmarkStart w:id="197" w:name="_Toc184310317"/>
      <w:bookmarkEnd w:id="197"/>
      <w:bookmarkStart w:id="198" w:name="_Toc184308075"/>
      <w:bookmarkEnd w:id="198"/>
      <w:bookmarkStart w:id="199" w:name="_Toc184313282"/>
      <w:bookmarkEnd w:id="199"/>
      <w:bookmarkStart w:id="200" w:name="_Toc184313301"/>
      <w:bookmarkEnd w:id="200"/>
      <w:bookmarkStart w:id="201" w:name="_Toc184312091"/>
      <w:bookmarkEnd w:id="201"/>
      <w:bookmarkStart w:id="202" w:name="_Toc184308066"/>
      <w:bookmarkEnd w:id="202"/>
      <w:bookmarkStart w:id="203" w:name="_Toc184312072"/>
      <w:bookmarkEnd w:id="203"/>
      <w:bookmarkStart w:id="204" w:name="_Toc184314477"/>
      <w:bookmarkEnd w:id="204"/>
      <w:bookmarkStart w:id="205" w:name="_Toc184312123"/>
      <w:bookmarkEnd w:id="205"/>
      <w:bookmarkStart w:id="206" w:name="_Toc184308076"/>
      <w:bookmarkEnd w:id="206"/>
      <w:bookmarkStart w:id="207" w:name="_Toc184312101"/>
      <w:bookmarkEnd w:id="207"/>
      <w:bookmarkStart w:id="208" w:name="_Toc184310284"/>
      <w:bookmarkEnd w:id="208"/>
      <w:bookmarkStart w:id="209" w:name="_Toc184308077"/>
      <w:bookmarkEnd w:id="209"/>
      <w:bookmarkStart w:id="210" w:name="_Toc184313310"/>
      <w:bookmarkEnd w:id="210"/>
      <w:bookmarkStart w:id="211" w:name="_Toc184314463"/>
      <w:bookmarkEnd w:id="211"/>
      <w:bookmarkStart w:id="212" w:name="_Toc184313275"/>
      <w:bookmarkEnd w:id="212"/>
      <w:bookmarkStart w:id="213" w:name="_Toc184308047"/>
      <w:bookmarkEnd w:id="213"/>
      <w:bookmarkStart w:id="214" w:name="_Toc184314434"/>
      <w:bookmarkEnd w:id="214"/>
      <w:bookmarkStart w:id="215" w:name="_Toc184308052"/>
      <w:bookmarkEnd w:id="215"/>
      <w:bookmarkStart w:id="216" w:name="_Toc184310293"/>
      <w:bookmarkEnd w:id="216"/>
      <w:bookmarkStart w:id="217" w:name="_Toc184308049"/>
      <w:bookmarkEnd w:id="217"/>
      <w:bookmarkStart w:id="218" w:name="_Toc184310285"/>
      <w:bookmarkEnd w:id="218"/>
      <w:bookmarkStart w:id="219" w:name="_Toc184313278"/>
      <w:bookmarkEnd w:id="219"/>
      <w:bookmarkStart w:id="220" w:name="_Toc184313239"/>
      <w:bookmarkEnd w:id="220"/>
      <w:bookmarkStart w:id="221" w:name="_Toc184314450"/>
      <w:bookmarkEnd w:id="221"/>
      <w:bookmarkStart w:id="222" w:name="_Toc184312076"/>
      <w:bookmarkEnd w:id="222"/>
      <w:bookmarkStart w:id="223" w:name="_Toc184312136"/>
      <w:bookmarkEnd w:id="223"/>
      <w:bookmarkStart w:id="224" w:name="_Toc184314432"/>
      <w:bookmarkEnd w:id="224"/>
      <w:bookmarkStart w:id="225" w:name="_Toc184308091"/>
      <w:bookmarkEnd w:id="225"/>
      <w:bookmarkStart w:id="226" w:name="_Toc184314482"/>
      <w:bookmarkEnd w:id="226"/>
      <w:bookmarkStart w:id="227" w:name="_Toc184312116"/>
      <w:bookmarkEnd w:id="227"/>
      <w:bookmarkStart w:id="228" w:name="_Toc184310295"/>
      <w:bookmarkEnd w:id="228"/>
      <w:bookmarkStart w:id="229" w:name="_Toc184308096"/>
      <w:bookmarkEnd w:id="229"/>
      <w:bookmarkStart w:id="230" w:name="_Toc184310309"/>
      <w:bookmarkEnd w:id="230"/>
      <w:bookmarkStart w:id="231" w:name="_Toc184314455"/>
      <w:bookmarkEnd w:id="231"/>
      <w:bookmarkStart w:id="232" w:name="_Toc184308090"/>
      <w:bookmarkEnd w:id="232"/>
      <w:bookmarkStart w:id="233" w:name="_Toc184314469"/>
      <w:bookmarkEnd w:id="233"/>
      <w:bookmarkStart w:id="234" w:name="_Toc184313283"/>
      <w:bookmarkEnd w:id="234"/>
      <w:bookmarkStart w:id="235" w:name="_Toc184314452"/>
      <w:bookmarkEnd w:id="235"/>
      <w:bookmarkStart w:id="236" w:name="_Toc184314430"/>
      <w:bookmarkEnd w:id="236"/>
      <w:bookmarkStart w:id="237" w:name="_Toc184312099"/>
      <w:bookmarkEnd w:id="237"/>
      <w:bookmarkStart w:id="238" w:name="_Toc184310277"/>
      <w:bookmarkEnd w:id="238"/>
      <w:bookmarkStart w:id="239" w:name="_Toc184313276"/>
      <w:bookmarkEnd w:id="239"/>
      <w:bookmarkStart w:id="240" w:name="_Toc184313292"/>
      <w:bookmarkEnd w:id="240"/>
      <w:bookmarkStart w:id="241" w:name="_Toc184312114"/>
      <w:bookmarkEnd w:id="241"/>
      <w:bookmarkStart w:id="242" w:name="_Toc184314475"/>
      <w:bookmarkEnd w:id="242"/>
      <w:bookmarkStart w:id="243" w:name="_Toc184314414"/>
      <w:bookmarkEnd w:id="243"/>
      <w:bookmarkStart w:id="244" w:name="_Toc184310274"/>
      <w:bookmarkEnd w:id="244"/>
      <w:bookmarkStart w:id="245" w:name="_Toc184314480"/>
      <w:bookmarkEnd w:id="245"/>
      <w:bookmarkStart w:id="246" w:name="_Toc184308104"/>
      <w:bookmarkEnd w:id="246"/>
      <w:bookmarkStart w:id="247" w:name="_Toc184310290"/>
      <w:bookmarkEnd w:id="247"/>
      <w:bookmarkStart w:id="248" w:name="_Toc184312096"/>
      <w:bookmarkEnd w:id="248"/>
      <w:bookmarkStart w:id="249" w:name="_Toc184308054"/>
      <w:bookmarkEnd w:id="249"/>
      <w:bookmarkStart w:id="250" w:name="_Toc184314446"/>
      <w:bookmarkEnd w:id="250"/>
      <w:bookmarkStart w:id="251" w:name="_Toc184312122"/>
      <w:bookmarkEnd w:id="251"/>
      <w:bookmarkStart w:id="252" w:name="_Toc184310316"/>
      <w:bookmarkEnd w:id="252"/>
      <w:bookmarkStart w:id="253" w:name="_Toc184308068"/>
      <w:bookmarkEnd w:id="253"/>
      <w:bookmarkStart w:id="254" w:name="_Toc184313300"/>
      <w:bookmarkEnd w:id="254"/>
      <w:bookmarkStart w:id="255" w:name="_Toc184310275"/>
      <w:bookmarkEnd w:id="255"/>
      <w:bookmarkStart w:id="256" w:name="_Toc184310314"/>
      <w:bookmarkEnd w:id="256"/>
      <w:bookmarkStart w:id="257" w:name="_Toc184310310"/>
      <w:bookmarkEnd w:id="257"/>
      <w:bookmarkStart w:id="258" w:name="_Toc184313299"/>
      <w:bookmarkEnd w:id="258"/>
      <w:bookmarkStart w:id="259" w:name="_Toc184314428"/>
      <w:bookmarkEnd w:id="259"/>
      <w:bookmarkStart w:id="260" w:name="_Toc184308050"/>
      <w:bookmarkEnd w:id="260"/>
      <w:bookmarkStart w:id="261" w:name="_Toc184313250"/>
      <w:bookmarkEnd w:id="261"/>
      <w:bookmarkStart w:id="262" w:name="_Toc184314421"/>
      <w:bookmarkEnd w:id="262"/>
      <w:bookmarkStart w:id="263" w:name="_Toc184312100"/>
      <w:bookmarkEnd w:id="263"/>
      <w:bookmarkStart w:id="264" w:name="_Toc184313245"/>
      <w:bookmarkEnd w:id="264"/>
      <w:bookmarkStart w:id="265" w:name="_Toc184314457"/>
      <w:bookmarkEnd w:id="265"/>
      <w:bookmarkStart w:id="266" w:name="_Toc184308057"/>
      <w:bookmarkEnd w:id="266"/>
      <w:bookmarkStart w:id="267" w:name="_Toc184312094"/>
      <w:bookmarkEnd w:id="267"/>
      <w:bookmarkStart w:id="268" w:name="_Toc184314481"/>
      <w:bookmarkEnd w:id="268"/>
      <w:bookmarkStart w:id="269" w:name="_Toc184314444"/>
      <w:bookmarkEnd w:id="269"/>
      <w:bookmarkStart w:id="270" w:name="_Toc184310301"/>
      <w:bookmarkEnd w:id="270"/>
      <w:bookmarkStart w:id="271" w:name="_Toc184308071"/>
      <w:bookmarkEnd w:id="271"/>
      <w:bookmarkStart w:id="272" w:name="_Toc184308080"/>
      <w:bookmarkEnd w:id="272"/>
      <w:bookmarkStart w:id="273" w:name="_Toc184310305"/>
      <w:bookmarkEnd w:id="273"/>
      <w:bookmarkStart w:id="274" w:name="_Toc184312078"/>
      <w:bookmarkEnd w:id="274"/>
      <w:bookmarkStart w:id="275" w:name="_Toc184313307"/>
      <w:bookmarkEnd w:id="275"/>
      <w:bookmarkStart w:id="276" w:name="_Toc184310308"/>
      <w:bookmarkEnd w:id="276"/>
      <w:bookmarkStart w:id="277" w:name="_Toc184308043"/>
      <w:bookmarkEnd w:id="277"/>
      <w:bookmarkStart w:id="278" w:name="_Toc184313286"/>
      <w:bookmarkEnd w:id="278"/>
      <w:bookmarkStart w:id="279" w:name="_Toc184310320"/>
      <w:bookmarkEnd w:id="279"/>
      <w:bookmarkStart w:id="280" w:name="_Toc184313244"/>
      <w:bookmarkEnd w:id="280"/>
      <w:bookmarkStart w:id="281" w:name="_Toc184314426"/>
      <w:bookmarkEnd w:id="281"/>
      <w:bookmarkStart w:id="282" w:name="_Toc184310319"/>
      <w:bookmarkEnd w:id="282"/>
      <w:bookmarkStart w:id="283" w:name="_Toc184312092"/>
      <w:bookmarkEnd w:id="283"/>
      <w:bookmarkStart w:id="284" w:name="_Toc184313289"/>
      <w:bookmarkEnd w:id="284"/>
      <w:bookmarkStart w:id="285" w:name="_Toc184310339"/>
      <w:bookmarkEnd w:id="285"/>
      <w:bookmarkStart w:id="286" w:name="_Toc184308089"/>
      <w:bookmarkEnd w:id="286"/>
      <w:bookmarkStart w:id="287" w:name="_Toc184314436"/>
      <w:bookmarkEnd w:id="287"/>
      <w:bookmarkStart w:id="288" w:name="_Toc184314454"/>
      <w:bookmarkEnd w:id="288"/>
      <w:bookmarkStart w:id="289" w:name="_Toc184314424"/>
      <w:bookmarkEnd w:id="289"/>
      <w:bookmarkStart w:id="290" w:name="_Toc184312131"/>
      <w:bookmarkEnd w:id="290"/>
      <w:bookmarkStart w:id="291" w:name="_Toc184313241"/>
      <w:bookmarkEnd w:id="291"/>
      <w:bookmarkStart w:id="292" w:name="_Toc184308058"/>
      <w:bookmarkEnd w:id="292"/>
      <w:bookmarkStart w:id="293" w:name="_Toc184308046"/>
      <w:bookmarkEnd w:id="293"/>
      <w:bookmarkStart w:id="294" w:name="_Toc184314429"/>
      <w:bookmarkEnd w:id="294"/>
      <w:bookmarkStart w:id="295" w:name="_Toc184310338"/>
      <w:bookmarkEnd w:id="295"/>
      <w:bookmarkStart w:id="296" w:name="_Toc184312093"/>
      <w:bookmarkEnd w:id="296"/>
      <w:bookmarkStart w:id="297" w:name="_Toc184314459"/>
      <w:bookmarkEnd w:id="297"/>
      <w:bookmarkStart w:id="298" w:name="_Toc184314410"/>
      <w:bookmarkEnd w:id="298"/>
      <w:bookmarkStart w:id="299" w:name="_Toc184310279"/>
      <w:bookmarkEnd w:id="299"/>
      <w:bookmarkStart w:id="300" w:name="_Toc184314458"/>
      <w:bookmarkEnd w:id="300"/>
      <w:bookmarkStart w:id="301" w:name="_Toc184310282"/>
      <w:bookmarkEnd w:id="301"/>
      <w:bookmarkStart w:id="302" w:name="_Toc184308087"/>
      <w:bookmarkEnd w:id="302"/>
      <w:bookmarkStart w:id="303" w:name="_Toc184312105"/>
      <w:bookmarkEnd w:id="303"/>
      <w:bookmarkStart w:id="304" w:name="_Toc184312132"/>
      <w:bookmarkEnd w:id="304"/>
      <w:bookmarkStart w:id="305" w:name="_Toc184308060"/>
      <w:bookmarkEnd w:id="305"/>
      <w:bookmarkStart w:id="306" w:name="_Toc184313297"/>
      <w:bookmarkEnd w:id="306"/>
      <w:bookmarkStart w:id="307" w:name="_Toc184310278"/>
      <w:bookmarkEnd w:id="307"/>
      <w:bookmarkStart w:id="308" w:name="_Toc184310337"/>
      <w:bookmarkEnd w:id="308"/>
      <w:bookmarkStart w:id="309" w:name="_Toc184308105"/>
      <w:bookmarkEnd w:id="309"/>
      <w:bookmarkStart w:id="310" w:name="_Toc184310343"/>
      <w:bookmarkEnd w:id="310"/>
      <w:bookmarkStart w:id="311" w:name="_Toc184313246"/>
      <w:bookmarkEnd w:id="311"/>
      <w:bookmarkStart w:id="312" w:name="_Toc184312083"/>
      <w:bookmarkEnd w:id="312"/>
      <w:bookmarkStart w:id="313" w:name="_Toc184308037"/>
      <w:bookmarkEnd w:id="313"/>
      <w:bookmarkStart w:id="314" w:name="_Toc184313252"/>
      <w:bookmarkEnd w:id="314"/>
      <w:bookmarkStart w:id="315" w:name="_Toc184312112"/>
      <w:bookmarkEnd w:id="315"/>
      <w:bookmarkStart w:id="316" w:name="_Toc184308045"/>
      <w:bookmarkEnd w:id="316"/>
      <w:bookmarkStart w:id="317" w:name="_Toc184310299"/>
      <w:bookmarkEnd w:id="317"/>
      <w:bookmarkStart w:id="318" w:name="_Toc184314466"/>
      <w:bookmarkEnd w:id="318"/>
      <w:bookmarkStart w:id="319" w:name="_Toc184314422"/>
      <w:bookmarkEnd w:id="319"/>
      <w:bookmarkStart w:id="320" w:name="_Toc184312134"/>
      <w:bookmarkEnd w:id="320"/>
      <w:bookmarkStart w:id="321" w:name="_Toc184313288"/>
      <w:bookmarkEnd w:id="321"/>
      <w:bookmarkStart w:id="322" w:name="_Toc184314473"/>
      <w:bookmarkEnd w:id="322"/>
      <w:bookmarkStart w:id="323" w:name="_Toc184310342"/>
      <w:bookmarkEnd w:id="323"/>
      <w:bookmarkStart w:id="324" w:name="_Toc184314420"/>
      <w:bookmarkEnd w:id="324"/>
      <w:bookmarkStart w:id="325" w:name="_Toc184310322"/>
      <w:bookmarkEnd w:id="325"/>
      <w:bookmarkStart w:id="326" w:name="_Toc184308082"/>
      <w:bookmarkEnd w:id="326"/>
      <w:bookmarkStart w:id="327" w:name="_Toc184312137"/>
      <w:bookmarkEnd w:id="327"/>
      <w:bookmarkStart w:id="328" w:name="_Toc184308039"/>
      <w:bookmarkEnd w:id="328"/>
      <w:bookmarkStart w:id="329" w:name="_Toc184310326"/>
      <w:bookmarkEnd w:id="329"/>
      <w:bookmarkStart w:id="330" w:name="_Toc184314411"/>
      <w:bookmarkEnd w:id="330"/>
      <w:bookmarkStart w:id="331" w:name="_Toc184312067"/>
      <w:bookmarkEnd w:id="331"/>
      <w:bookmarkStart w:id="332" w:name="_Toc184313261"/>
      <w:bookmarkEnd w:id="332"/>
      <w:bookmarkStart w:id="333" w:name="_Toc184312138"/>
      <w:bookmarkEnd w:id="333"/>
      <w:bookmarkStart w:id="334" w:name="_Toc184308065"/>
      <w:bookmarkEnd w:id="334"/>
      <w:bookmarkStart w:id="335" w:name="_Toc184310280"/>
      <w:bookmarkEnd w:id="335"/>
      <w:bookmarkStart w:id="336" w:name="_Toc184308102"/>
      <w:bookmarkEnd w:id="336"/>
      <w:bookmarkStart w:id="337" w:name="_Toc184313263"/>
      <w:bookmarkEnd w:id="337"/>
      <w:bookmarkStart w:id="338" w:name="_Toc184314412"/>
      <w:bookmarkEnd w:id="338"/>
      <w:bookmarkStart w:id="339" w:name="_Toc184308061"/>
      <w:bookmarkEnd w:id="339"/>
      <w:bookmarkStart w:id="340" w:name="_Toc184310321"/>
      <w:bookmarkEnd w:id="340"/>
      <w:bookmarkStart w:id="341" w:name="_Toc184312077"/>
      <w:bookmarkEnd w:id="341"/>
      <w:bookmarkStart w:id="342" w:name="_Toc184314418"/>
      <w:bookmarkEnd w:id="342"/>
      <w:bookmarkStart w:id="343" w:name="_Toc184312103"/>
      <w:bookmarkEnd w:id="343"/>
      <w:bookmarkStart w:id="344" w:name="_Toc184308100"/>
      <w:bookmarkEnd w:id="344"/>
      <w:bookmarkStart w:id="345" w:name="_Toc184310281"/>
      <w:bookmarkEnd w:id="345"/>
      <w:bookmarkStart w:id="346" w:name="_Toc184308086"/>
      <w:bookmarkEnd w:id="346"/>
      <w:bookmarkStart w:id="347" w:name="_Toc184308092"/>
      <w:bookmarkEnd w:id="347"/>
      <w:bookmarkStart w:id="348" w:name="_Toc184313284"/>
      <w:bookmarkEnd w:id="348"/>
      <w:bookmarkStart w:id="349" w:name="_Toc184314474"/>
      <w:bookmarkEnd w:id="349"/>
      <w:bookmarkStart w:id="350" w:name="_Toc184314472"/>
      <w:bookmarkEnd w:id="350"/>
      <w:bookmarkStart w:id="351" w:name="_Toc184312079"/>
      <w:bookmarkEnd w:id="351"/>
      <w:bookmarkStart w:id="352" w:name="_Toc184314471"/>
      <w:bookmarkEnd w:id="352"/>
      <w:bookmarkStart w:id="353" w:name="_Toc184308085"/>
      <w:bookmarkEnd w:id="353"/>
      <w:bookmarkStart w:id="354" w:name="_Toc184312070"/>
      <w:bookmarkEnd w:id="354"/>
      <w:bookmarkStart w:id="355" w:name="_Toc184314439"/>
      <w:bookmarkEnd w:id="355"/>
      <w:bookmarkStart w:id="356" w:name="_Toc184314461"/>
      <w:bookmarkEnd w:id="356"/>
      <w:bookmarkStart w:id="357" w:name="_Toc184312097"/>
      <w:bookmarkEnd w:id="357"/>
      <w:bookmarkStart w:id="358" w:name="_Toc184308095"/>
      <w:bookmarkEnd w:id="358"/>
      <w:bookmarkStart w:id="359" w:name="_Toc184310324"/>
      <w:bookmarkEnd w:id="359"/>
      <w:bookmarkStart w:id="360" w:name="_Toc184313304"/>
      <w:bookmarkEnd w:id="360"/>
      <w:bookmarkStart w:id="361" w:name="_Toc184310312"/>
      <w:bookmarkEnd w:id="361"/>
      <w:bookmarkStart w:id="362" w:name="_Toc184313281"/>
      <w:bookmarkEnd w:id="362"/>
      <w:bookmarkStart w:id="363" w:name="_Toc184310330"/>
      <w:bookmarkEnd w:id="363"/>
      <w:bookmarkStart w:id="364" w:name="_Toc184312104"/>
      <w:bookmarkEnd w:id="364"/>
      <w:bookmarkStart w:id="365" w:name="_Toc184314415"/>
      <w:bookmarkEnd w:id="365"/>
      <w:bookmarkStart w:id="366" w:name="_Toc184310283"/>
      <w:bookmarkEnd w:id="366"/>
      <w:bookmarkStart w:id="367" w:name="_Toc184314456"/>
      <w:bookmarkEnd w:id="367"/>
      <w:bookmarkStart w:id="368" w:name="_Toc184312085"/>
      <w:bookmarkEnd w:id="368"/>
      <w:bookmarkStart w:id="369" w:name="_Toc184313271"/>
      <w:bookmarkEnd w:id="369"/>
      <w:bookmarkStart w:id="370" w:name="_Toc184308083"/>
      <w:bookmarkEnd w:id="370"/>
      <w:bookmarkStart w:id="371" w:name="_Toc184312089"/>
      <w:bookmarkEnd w:id="371"/>
      <w:bookmarkStart w:id="372" w:name="_Toc184314431"/>
      <w:bookmarkEnd w:id="372"/>
      <w:bookmarkStart w:id="373" w:name="_Toc184312069"/>
      <w:bookmarkEnd w:id="373"/>
      <w:bookmarkStart w:id="374" w:name="_Toc184313285"/>
      <w:bookmarkEnd w:id="374"/>
      <w:bookmarkStart w:id="375" w:name="_Toc184314451"/>
      <w:bookmarkEnd w:id="375"/>
      <w:bookmarkStart w:id="376" w:name="_Toc184312139"/>
      <w:bookmarkEnd w:id="376"/>
      <w:bookmarkStart w:id="377" w:name="_Toc184312080"/>
      <w:bookmarkEnd w:id="377"/>
      <w:bookmarkStart w:id="378" w:name="_Toc184308044"/>
      <w:bookmarkEnd w:id="378"/>
      <w:bookmarkStart w:id="379" w:name="_Toc184314441"/>
      <w:bookmarkEnd w:id="379"/>
      <w:bookmarkStart w:id="380" w:name="_Toc184313257"/>
      <w:bookmarkEnd w:id="380"/>
      <w:bookmarkStart w:id="381" w:name="_Toc184310286"/>
      <w:bookmarkEnd w:id="381"/>
      <w:bookmarkStart w:id="382" w:name="_Toc184308094"/>
      <w:bookmarkEnd w:id="382"/>
      <w:bookmarkStart w:id="383" w:name="_Toc184312082"/>
      <w:bookmarkEnd w:id="383"/>
      <w:bookmarkStart w:id="384" w:name="_Toc184312118"/>
      <w:bookmarkEnd w:id="384"/>
      <w:bookmarkStart w:id="385" w:name="_Toc184310334"/>
      <w:bookmarkEnd w:id="385"/>
      <w:bookmarkStart w:id="386" w:name="_Toc184310291"/>
      <w:bookmarkEnd w:id="386"/>
      <w:r>
        <w:rPr>
          <w:rFonts w:hint="eastAsia" w:asciiTheme="minorEastAsia" w:hAnsiTheme="minorEastAsia" w:eastAsiaTheme="minorEastAsia" w:cstheme="minorEastAsia"/>
          <w:b/>
          <w:color w:val="auto"/>
          <w:sz w:val="36"/>
          <w:szCs w:val="36"/>
        </w:rPr>
        <w:t>评审办法</w:t>
      </w:r>
    </w:p>
    <w:p w14:paraId="22235337">
      <w:pPr>
        <w:shd w:val="clear"/>
        <w:snapToGrid w:val="0"/>
        <w:spacing w:line="360" w:lineRule="auto"/>
        <w:ind w:firstLine="321"/>
        <w:jc w:val="center"/>
        <w:rPr>
          <w:rFonts w:asciiTheme="minorEastAsia" w:hAnsiTheme="minorEastAsia" w:eastAsiaTheme="minorEastAsia" w:cstheme="minorEastAsia"/>
          <w:color w:val="auto"/>
          <w:sz w:val="28"/>
        </w:rPr>
      </w:pPr>
      <w:r>
        <w:rPr>
          <w:rFonts w:hint="eastAsia" w:asciiTheme="minorEastAsia" w:hAnsiTheme="minorEastAsia" w:eastAsiaTheme="minorEastAsia" w:cstheme="minorEastAsia"/>
          <w:b/>
          <w:color w:val="auto"/>
          <w:sz w:val="32"/>
          <w:szCs w:val="20"/>
        </w:rPr>
        <w:t>评审办法前附表</w:t>
      </w:r>
    </w:p>
    <w:tbl>
      <w:tblPr>
        <w:tblStyle w:val="27"/>
        <w:tblW w:w="950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48"/>
        <w:gridCol w:w="1224"/>
        <w:gridCol w:w="7528"/>
      </w:tblGrid>
      <w:tr w14:paraId="0655EED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Align w:val="center"/>
          </w:tcPr>
          <w:p w14:paraId="5EA8D13D">
            <w:pPr>
              <w:shd w:val="clear"/>
              <w:spacing w:line="360" w:lineRule="auto"/>
              <w:ind w:firstLine="210"/>
              <w:rPr>
                <w:color w:val="auto"/>
                <w:szCs w:val="21"/>
              </w:rPr>
            </w:pPr>
          </w:p>
        </w:tc>
        <w:tc>
          <w:tcPr>
            <w:tcW w:w="1224" w:type="dxa"/>
            <w:vAlign w:val="center"/>
          </w:tcPr>
          <w:p w14:paraId="3C8F6F7A">
            <w:pPr>
              <w:shd w:val="clear"/>
              <w:spacing w:line="360" w:lineRule="auto"/>
              <w:ind w:firstLine="210"/>
              <w:rPr>
                <w:color w:val="auto"/>
                <w:szCs w:val="21"/>
              </w:rPr>
            </w:pPr>
            <w:r>
              <w:rPr>
                <w:rFonts w:hint="eastAsia"/>
                <w:color w:val="auto"/>
              </w:rPr>
              <w:t>项目</w:t>
            </w:r>
          </w:p>
        </w:tc>
        <w:tc>
          <w:tcPr>
            <w:tcW w:w="7528" w:type="dxa"/>
            <w:vAlign w:val="center"/>
          </w:tcPr>
          <w:p w14:paraId="5D2A1443">
            <w:pPr>
              <w:shd w:val="clear"/>
              <w:tabs>
                <w:tab w:val="left" w:pos="4915"/>
              </w:tabs>
              <w:spacing w:line="360" w:lineRule="auto"/>
              <w:ind w:firstLine="210"/>
              <w:jc w:val="center"/>
              <w:rPr>
                <w:color w:val="auto"/>
                <w:szCs w:val="21"/>
              </w:rPr>
            </w:pPr>
            <w:r>
              <w:rPr>
                <w:rFonts w:hint="eastAsia"/>
                <w:color w:val="auto"/>
              </w:rPr>
              <w:t>评分细则</w:t>
            </w:r>
          </w:p>
        </w:tc>
      </w:tr>
      <w:tr w14:paraId="1E63A45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restart"/>
            <w:vAlign w:val="center"/>
          </w:tcPr>
          <w:p w14:paraId="3E33EAAD">
            <w:pPr>
              <w:shd w:val="clear"/>
              <w:spacing w:line="360" w:lineRule="auto"/>
              <w:rPr>
                <w:color w:val="auto"/>
                <w:szCs w:val="21"/>
              </w:rPr>
            </w:pPr>
            <w:r>
              <w:rPr>
                <w:color w:val="auto"/>
                <w:szCs w:val="21"/>
              </w:rPr>
              <w:t>技术资信</w:t>
            </w:r>
            <w:r>
              <w:rPr>
                <w:rFonts w:hint="eastAsia"/>
                <w:color w:val="auto"/>
                <w:szCs w:val="21"/>
              </w:rPr>
              <w:t>部分65</w:t>
            </w:r>
            <w:r>
              <w:rPr>
                <w:color w:val="auto"/>
                <w:szCs w:val="21"/>
              </w:rPr>
              <w:t>分</w:t>
            </w:r>
          </w:p>
        </w:tc>
        <w:tc>
          <w:tcPr>
            <w:tcW w:w="1224" w:type="dxa"/>
            <w:vAlign w:val="center"/>
          </w:tcPr>
          <w:p w14:paraId="1BADA05E">
            <w:pPr>
              <w:shd w:val="clear"/>
              <w:spacing w:line="360" w:lineRule="auto"/>
              <w:rPr>
                <w:color w:val="auto"/>
                <w:szCs w:val="21"/>
              </w:rPr>
            </w:pPr>
            <w:r>
              <w:rPr>
                <w:rFonts w:hint="eastAsia"/>
                <w:color w:val="auto"/>
                <w:szCs w:val="21"/>
              </w:rPr>
              <w:t>项目主要</w:t>
            </w:r>
            <w:r>
              <w:rPr>
                <w:color w:val="auto"/>
                <w:szCs w:val="21"/>
              </w:rPr>
              <w:t>技术</w:t>
            </w:r>
            <w:r>
              <w:rPr>
                <w:rFonts w:hint="eastAsia"/>
                <w:color w:val="auto"/>
                <w:szCs w:val="21"/>
              </w:rPr>
              <w:t>要求</w:t>
            </w:r>
          </w:p>
          <w:p w14:paraId="28B63C90">
            <w:pPr>
              <w:shd w:val="clear"/>
              <w:spacing w:line="360" w:lineRule="auto"/>
              <w:rPr>
                <w:color w:val="auto"/>
                <w:szCs w:val="21"/>
              </w:rPr>
            </w:pPr>
            <w:r>
              <w:rPr>
                <w:color w:val="auto"/>
                <w:szCs w:val="21"/>
              </w:rPr>
              <w:t>响应情况</w:t>
            </w:r>
          </w:p>
          <w:p w14:paraId="0856426A">
            <w:pPr>
              <w:shd w:val="clear"/>
              <w:spacing w:line="360" w:lineRule="auto"/>
              <w:rPr>
                <w:color w:val="auto"/>
                <w:szCs w:val="21"/>
              </w:rPr>
            </w:pPr>
            <w:r>
              <w:rPr>
                <w:color w:val="auto"/>
                <w:szCs w:val="21"/>
              </w:rPr>
              <w:t>（</w:t>
            </w:r>
            <w:r>
              <w:rPr>
                <w:rFonts w:hint="eastAsia"/>
                <w:color w:val="auto"/>
                <w:szCs w:val="21"/>
              </w:rPr>
              <w:t>23</w:t>
            </w:r>
            <w:r>
              <w:rPr>
                <w:color w:val="auto"/>
                <w:szCs w:val="21"/>
              </w:rPr>
              <w:t>分）</w:t>
            </w:r>
          </w:p>
        </w:tc>
        <w:tc>
          <w:tcPr>
            <w:tcW w:w="7528" w:type="dxa"/>
            <w:vAlign w:val="center"/>
          </w:tcPr>
          <w:p w14:paraId="612ADA21">
            <w:pPr>
              <w:shd w:val="clear"/>
              <w:tabs>
                <w:tab w:val="left" w:pos="4915"/>
              </w:tabs>
              <w:spacing w:line="360" w:lineRule="auto"/>
              <w:rPr>
                <w:rFonts w:cs="宋体"/>
                <w:color w:val="auto"/>
                <w:szCs w:val="21"/>
              </w:rPr>
            </w:pPr>
            <w:r>
              <w:rPr>
                <w:rFonts w:hint="eastAsia" w:cs="宋体"/>
                <w:color w:val="auto"/>
                <w:szCs w:val="21"/>
              </w:rPr>
              <w:t>1、项目技术要求响应情况（23分）</w:t>
            </w:r>
          </w:p>
          <w:p w14:paraId="3FBEFF6E">
            <w:pPr>
              <w:shd w:val="clear"/>
              <w:tabs>
                <w:tab w:val="left" w:pos="4915"/>
              </w:tabs>
              <w:spacing w:line="360" w:lineRule="auto"/>
              <w:rPr>
                <w:color w:val="auto"/>
                <w:szCs w:val="21"/>
              </w:rPr>
            </w:pPr>
            <w:r>
              <w:rPr>
                <w:rFonts w:hint="eastAsia" w:cs="宋体"/>
                <w:color w:val="auto"/>
                <w:szCs w:val="21"/>
              </w:rPr>
              <w:t>响应文件对采购文件“第三部分采购需求”的响应情况：全部满足采购文件要求的得23分，非实质性要求的每负偏离一项扣2分，负偏离12项及以上的作无效响应文件处理。标▲条款的有任一负偏离的作无效响应文件处理。</w:t>
            </w:r>
          </w:p>
        </w:tc>
      </w:tr>
      <w:tr w14:paraId="6BB7BA1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470B4915">
            <w:pPr>
              <w:widowControl/>
              <w:shd w:val="clear"/>
              <w:spacing w:line="360" w:lineRule="auto"/>
              <w:ind w:firstLine="210"/>
              <w:jc w:val="left"/>
              <w:rPr>
                <w:color w:val="auto"/>
                <w:szCs w:val="21"/>
              </w:rPr>
            </w:pPr>
          </w:p>
        </w:tc>
        <w:tc>
          <w:tcPr>
            <w:tcW w:w="1224" w:type="dxa"/>
            <w:vMerge w:val="restart"/>
            <w:vAlign w:val="center"/>
          </w:tcPr>
          <w:p w14:paraId="4E06A4E3">
            <w:pPr>
              <w:shd w:val="clear"/>
              <w:spacing w:line="360" w:lineRule="auto"/>
              <w:rPr>
                <w:color w:val="auto"/>
                <w:szCs w:val="21"/>
              </w:rPr>
            </w:pPr>
            <w:r>
              <w:rPr>
                <w:rFonts w:hint="eastAsia"/>
                <w:color w:val="auto"/>
                <w:szCs w:val="21"/>
              </w:rPr>
              <w:t>施工组织方案</w:t>
            </w:r>
            <w:r>
              <w:rPr>
                <w:color w:val="auto"/>
                <w:szCs w:val="21"/>
              </w:rPr>
              <w:t>（</w:t>
            </w:r>
            <w:r>
              <w:rPr>
                <w:rFonts w:hint="eastAsia"/>
                <w:color w:val="auto"/>
                <w:szCs w:val="21"/>
              </w:rPr>
              <w:t>29</w:t>
            </w:r>
            <w:r>
              <w:rPr>
                <w:color w:val="auto"/>
                <w:szCs w:val="21"/>
              </w:rPr>
              <w:t>分）</w:t>
            </w:r>
          </w:p>
        </w:tc>
        <w:tc>
          <w:tcPr>
            <w:tcW w:w="7528" w:type="dxa"/>
            <w:vAlign w:val="center"/>
          </w:tcPr>
          <w:p w14:paraId="659E321F">
            <w:pPr>
              <w:shd w:val="clear"/>
              <w:tabs>
                <w:tab w:val="left" w:pos="4915"/>
              </w:tabs>
              <w:spacing w:line="360" w:lineRule="auto"/>
              <w:rPr>
                <w:rFonts w:cs="宋体"/>
                <w:color w:val="auto"/>
                <w:szCs w:val="21"/>
              </w:rPr>
            </w:pPr>
            <w:r>
              <w:rPr>
                <w:rFonts w:hint="eastAsia" w:cs="宋体"/>
                <w:color w:val="auto"/>
                <w:szCs w:val="21"/>
              </w:rPr>
              <w:t>2、项目背景调查（5分）</w:t>
            </w:r>
          </w:p>
          <w:p w14:paraId="4DB9D897">
            <w:pPr>
              <w:shd w:val="clear"/>
              <w:tabs>
                <w:tab w:val="left" w:pos="4915"/>
              </w:tabs>
              <w:spacing w:line="360" w:lineRule="auto"/>
              <w:rPr>
                <w:rFonts w:cs="宋体"/>
                <w:color w:val="auto"/>
                <w:szCs w:val="21"/>
              </w:rPr>
            </w:pPr>
            <w:r>
              <w:rPr>
                <w:rFonts w:hint="eastAsia" w:cs="宋体"/>
                <w:color w:val="auto"/>
                <w:szCs w:val="21"/>
              </w:rPr>
              <w:t>评委对供应商根据自行踏勘项目情况所进行的调查和分析进行综合评议并打分：方案完全符合本项目需求、调查充分、分析全面的得5分；方案能满足项目的主体需求，调查不够充分、分析不够全面的得3分；方案有明显缺漏项或没有针对性，难以保证满足项目实施的得1分。未提供不得分。</w:t>
            </w:r>
          </w:p>
        </w:tc>
      </w:tr>
      <w:tr w14:paraId="4F94CC0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4E28F28E">
            <w:pPr>
              <w:widowControl/>
              <w:shd w:val="clear"/>
              <w:spacing w:line="360" w:lineRule="auto"/>
              <w:ind w:firstLine="210"/>
              <w:jc w:val="left"/>
              <w:rPr>
                <w:color w:val="auto"/>
                <w:szCs w:val="21"/>
              </w:rPr>
            </w:pPr>
          </w:p>
        </w:tc>
        <w:tc>
          <w:tcPr>
            <w:tcW w:w="1224" w:type="dxa"/>
            <w:vMerge w:val="continue"/>
            <w:vAlign w:val="center"/>
          </w:tcPr>
          <w:p w14:paraId="36004574">
            <w:pPr>
              <w:widowControl/>
              <w:shd w:val="clear"/>
              <w:spacing w:line="360" w:lineRule="auto"/>
              <w:ind w:firstLine="210"/>
              <w:jc w:val="left"/>
              <w:rPr>
                <w:color w:val="auto"/>
                <w:szCs w:val="21"/>
              </w:rPr>
            </w:pPr>
          </w:p>
        </w:tc>
        <w:tc>
          <w:tcPr>
            <w:tcW w:w="7528" w:type="dxa"/>
            <w:vAlign w:val="center"/>
          </w:tcPr>
          <w:p w14:paraId="6EAD1183">
            <w:pPr>
              <w:shd w:val="clear"/>
              <w:tabs>
                <w:tab w:val="left" w:pos="4915"/>
              </w:tabs>
              <w:spacing w:line="360" w:lineRule="auto"/>
              <w:rPr>
                <w:rFonts w:cs="宋体"/>
                <w:color w:val="auto"/>
                <w:szCs w:val="21"/>
              </w:rPr>
            </w:pPr>
            <w:r>
              <w:rPr>
                <w:rFonts w:hint="eastAsia" w:cs="宋体"/>
                <w:color w:val="auto"/>
                <w:szCs w:val="21"/>
              </w:rPr>
              <w:t>3、施工技术方案（6分）</w:t>
            </w:r>
          </w:p>
          <w:p w14:paraId="0E43A1DE">
            <w:pPr>
              <w:shd w:val="clear"/>
              <w:tabs>
                <w:tab w:val="left" w:pos="4915"/>
              </w:tabs>
              <w:spacing w:line="360" w:lineRule="auto"/>
              <w:rPr>
                <w:rFonts w:cs="宋体"/>
                <w:color w:val="auto"/>
                <w:szCs w:val="21"/>
              </w:rPr>
            </w:pPr>
            <w:r>
              <w:rPr>
                <w:rFonts w:hint="eastAsia" w:cs="宋体"/>
                <w:color w:val="auto"/>
                <w:szCs w:val="21"/>
              </w:rPr>
              <w:t>供应商提供的针对本项目的施工技术方案：①施工方法；②施工工艺；③施工机械配备方案；上述内容详细有针对性的每项得2分；内容有所欠缺的得1分；内容不合理或未提供不得分。</w:t>
            </w:r>
          </w:p>
        </w:tc>
      </w:tr>
      <w:tr w14:paraId="2CCA8CC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7A6A29D8">
            <w:pPr>
              <w:widowControl/>
              <w:shd w:val="clear"/>
              <w:spacing w:line="360" w:lineRule="auto"/>
              <w:ind w:firstLine="210"/>
              <w:jc w:val="left"/>
              <w:rPr>
                <w:color w:val="auto"/>
                <w:szCs w:val="21"/>
              </w:rPr>
            </w:pPr>
          </w:p>
        </w:tc>
        <w:tc>
          <w:tcPr>
            <w:tcW w:w="1224" w:type="dxa"/>
            <w:vMerge w:val="continue"/>
            <w:vAlign w:val="center"/>
          </w:tcPr>
          <w:p w14:paraId="5C8E4176">
            <w:pPr>
              <w:widowControl/>
              <w:shd w:val="clear"/>
              <w:spacing w:line="360" w:lineRule="auto"/>
              <w:ind w:firstLine="210"/>
              <w:jc w:val="left"/>
              <w:rPr>
                <w:color w:val="auto"/>
                <w:szCs w:val="21"/>
              </w:rPr>
            </w:pPr>
          </w:p>
        </w:tc>
        <w:tc>
          <w:tcPr>
            <w:tcW w:w="7528" w:type="dxa"/>
            <w:vAlign w:val="center"/>
          </w:tcPr>
          <w:p w14:paraId="6424F94B">
            <w:pPr>
              <w:shd w:val="clear"/>
              <w:tabs>
                <w:tab w:val="left" w:pos="4915"/>
              </w:tabs>
              <w:spacing w:line="360" w:lineRule="auto"/>
              <w:rPr>
                <w:rFonts w:cs="宋体"/>
                <w:color w:val="auto"/>
                <w:szCs w:val="21"/>
              </w:rPr>
            </w:pPr>
            <w:r>
              <w:rPr>
                <w:rFonts w:hint="eastAsia" w:cs="宋体"/>
                <w:color w:val="auto"/>
                <w:szCs w:val="21"/>
              </w:rPr>
              <w:t>4、工程质量保证方案（6分）</w:t>
            </w:r>
          </w:p>
          <w:p w14:paraId="03A7D20C">
            <w:pPr>
              <w:shd w:val="clear"/>
              <w:tabs>
                <w:tab w:val="left" w:pos="4915"/>
              </w:tabs>
              <w:spacing w:line="360" w:lineRule="auto"/>
              <w:rPr>
                <w:rFonts w:ascii="Times New Roman" w:hAnsi="Times New Roman" w:cs="宋体"/>
                <w:color w:val="auto"/>
                <w:szCs w:val="21"/>
              </w:rPr>
            </w:pPr>
            <w:r>
              <w:rPr>
                <w:rFonts w:hint="eastAsia" w:cs="宋体"/>
                <w:color w:val="auto"/>
                <w:szCs w:val="21"/>
              </w:rPr>
              <w:t>供应商提供的针对本项目的工程质量保证方案：①工程管理制度；②施工团队人员管理措施；③施工材料质量的保障措施；上述内容详细有针对性的每项得2分；内容有所欠缺的得1分；内容不合理或未提供不得分。</w:t>
            </w:r>
          </w:p>
        </w:tc>
      </w:tr>
      <w:tr w14:paraId="1851D41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1EB36A24">
            <w:pPr>
              <w:widowControl/>
              <w:shd w:val="clear"/>
              <w:spacing w:line="360" w:lineRule="auto"/>
              <w:ind w:firstLine="210"/>
              <w:jc w:val="left"/>
              <w:rPr>
                <w:color w:val="auto"/>
                <w:szCs w:val="21"/>
              </w:rPr>
            </w:pPr>
          </w:p>
        </w:tc>
        <w:tc>
          <w:tcPr>
            <w:tcW w:w="1224" w:type="dxa"/>
            <w:vMerge w:val="continue"/>
            <w:vAlign w:val="center"/>
          </w:tcPr>
          <w:p w14:paraId="7313BF87">
            <w:pPr>
              <w:widowControl/>
              <w:shd w:val="clear"/>
              <w:spacing w:line="360" w:lineRule="auto"/>
              <w:ind w:firstLine="210"/>
              <w:jc w:val="left"/>
              <w:rPr>
                <w:color w:val="auto"/>
                <w:szCs w:val="21"/>
              </w:rPr>
            </w:pPr>
          </w:p>
        </w:tc>
        <w:tc>
          <w:tcPr>
            <w:tcW w:w="7528" w:type="dxa"/>
            <w:vAlign w:val="center"/>
          </w:tcPr>
          <w:p w14:paraId="6F394C64">
            <w:pPr>
              <w:shd w:val="clear"/>
              <w:tabs>
                <w:tab w:val="left" w:pos="4915"/>
              </w:tabs>
              <w:spacing w:line="360" w:lineRule="auto"/>
              <w:rPr>
                <w:rFonts w:cs="宋体"/>
                <w:color w:val="auto"/>
                <w:szCs w:val="21"/>
              </w:rPr>
            </w:pPr>
            <w:r>
              <w:rPr>
                <w:rFonts w:hint="eastAsia" w:cs="宋体"/>
                <w:color w:val="auto"/>
                <w:szCs w:val="21"/>
              </w:rPr>
              <w:t>5、施工进度保障方案（4分）</w:t>
            </w:r>
          </w:p>
          <w:p w14:paraId="3AF6D8D8">
            <w:pPr>
              <w:shd w:val="clear"/>
              <w:tabs>
                <w:tab w:val="left" w:pos="4915"/>
              </w:tabs>
              <w:spacing w:line="360" w:lineRule="auto"/>
              <w:rPr>
                <w:rFonts w:ascii="Times New Roman" w:hAnsi="Times New Roman" w:cs="宋体"/>
                <w:color w:val="auto"/>
                <w:szCs w:val="21"/>
              </w:rPr>
            </w:pPr>
            <w:r>
              <w:rPr>
                <w:rFonts w:hint="eastAsia" w:cs="宋体"/>
                <w:color w:val="auto"/>
                <w:szCs w:val="21"/>
              </w:rPr>
              <w:t>供应商提供的针对本项目的施工进度管理与控制方案：①</w:t>
            </w:r>
            <w:r>
              <w:rPr>
                <w:rFonts w:hint="eastAsia"/>
                <w:color w:val="auto"/>
                <w:lang w:val="zh-CN"/>
              </w:rPr>
              <w:t>针对本项目进度控制方法（包括组织、计划、经济等手段）；②进度控制措施（包括组织、技术、经济等措施）；</w:t>
            </w:r>
            <w:r>
              <w:rPr>
                <w:rFonts w:hint="eastAsia" w:cs="宋体"/>
                <w:color w:val="auto"/>
                <w:szCs w:val="21"/>
              </w:rPr>
              <w:t>上述内容完整详细有针对性的每项得2分；内容有所欠缺的得1分；内容不合理或未提供不得分。</w:t>
            </w:r>
          </w:p>
        </w:tc>
      </w:tr>
      <w:tr w14:paraId="65028A5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4FD05344">
            <w:pPr>
              <w:widowControl/>
              <w:shd w:val="clear"/>
              <w:spacing w:line="360" w:lineRule="auto"/>
              <w:ind w:firstLine="210"/>
              <w:jc w:val="left"/>
              <w:rPr>
                <w:color w:val="auto"/>
                <w:szCs w:val="21"/>
              </w:rPr>
            </w:pPr>
          </w:p>
        </w:tc>
        <w:tc>
          <w:tcPr>
            <w:tcW w:w="1224" w:type="dxa"/>
            <w:vMerge w:val="continue"/>
            <w:vAlign w:val="center"/>
          </w:tcPr>
          <w:p w14:paraId="2F190F11">
            <w:pPr>
              <w:widowControl/>
              <w:shd w:val="clear"/>
              <w:spacing w:line="360" w:lineRule="auto"/>
              <w:ind w:firstLine="210"/>
              <w:jc w:val="left"/>
              <w:rPr>
                <w:color w:val="auto"/>
                <w:szCs w:val="21"/>
              </w:rPr>
            </w:pPr>
          </w:p>
        </w:tc>
        <w:tc>
          <w:tcPr>
            <w:tcW w:w="7528" w:type="dxa"/>
            <w:vAlign w:val="center"/>
          </w:tcPr>
          <w:p w14:paraId="0B1EF1F8">
            <w:pPr>
              <w:shd w:val="clear"/>
              <w:tabs>
                <w:tab w:val="left" w:pos="4915"/>
              </w:tabs>
              <w:spacing w:line="360" w:lineRule="auto"/>
              <w:rPr>
                <w:rFonts w:cs="宋体"/>
                <w:color w:val="auto"/>
                <w:szCs w:val="21"/>
              </w:rPr>
            </w:pPr>
            <w:r>
              <w:rPr>
                <w:rFonts w:hint="eastAsia" w:cs="宋体"/>
                <w:color w:val="auto"/>
                <w:szCs w:val="21"/>
              </w:rPr>
              <w:t>6、安全生产、文明施工措施（4分）</w:t>
            </w:r>
          </w:p>
          <w:p w14:paraId="6B02DB1B">
            <w:pPr>
              <w:shd w:val="clear"/>
              <w:tabs>
                <w:tab w:val="left" w:pos="4915"/>
              </w:tabs>
              <w:spacing w:line="360" w:lineRule="auto"/>
              <w:rPr>
                <w:rFonts w:ascii="Times New Roman" w:hAnsi="Times New Roman" w:cs="宋体"/>
                <w:color w:val="auto"/>
                <w:szCs w:val="21"/>
              </w:rPr>
            </w:pPr>
            <w:r>
              <w:rPr>
                <w:rFonts w:hint="eastAsia" w:cs="宋体"/>
                <w:color w:val="auto"/>
                <w:szCs w:val="21"/>
              </w:rPr>
              <w:t>供应商提供的针对本项目的安全生产、文明施工措施：①</w:t>
            </w:r>
            <w:r>
              <w:rPr>
                <w:rFonts w:hint="eastAsia"/>
                <w:color w:val="auto"/>
                <w:lang w:val="zh-CN"/>
              </w:rPr>
              <w:t>针对本项目</w:t>
            </w:r>
            <w:r>
              <w:rPr>
                <w:rFonts w:hint="eastAsia" w:cs="宋体"/>
                <w:color w:val="auto"/>
                <w:szCs w:val="21"/>
              </w:rPr>
              <w:t>安全生产</w:t>
            </w:r>
            <w:r>
              <w:rPr>
                <w:rFonts w:hint="eastAsia"/>
                <w:color w:val="auto"/>
                <w:lang w:val="zh-CN"/>
              </w:rPr>
              <w:t>方法（</w:t>
            </w:r>
            <w:r>
              <w:rPr>
                <w:rFonts w:hint="eastAsia" w:cs="宋体"/>
                <w:color w:val="auto"/>
                <w:szCs w:val="21"/>
              </w:rPr>
              <w:t>安全生产、防火安全措施、高空坠落预防措施等</w:t>
            </w:r>
            <w:r>
              <w:rPr>
                <w:rFonts w:hint="eastAsia"/>
                <w:color w:val="auto"/>
                <w:lang w:val="zh-CN"/>
              </w:rPr>
              <w:t>）</w:t>
            </w:r>
            <w:r>
              <w:rPr>
                <w:rFonts w:hint="eastAsia" w:cs="宋体"/>
                <w:color w:val="auto"/>
                <w:szCs w:val="21"/>
              </w:rPr>
              <w:t>；②</w:t>
            </w:r>
            <w:r>
              <w:rPr>
                <w:rFonts w:hint="eastAsia"/>
                <w:color w:val="auto"/>
                <w:lang w:val="zh-CN"/>
              </w:rPr>
              <w:t>针对本项目</w:t>
            </w:r>
            <w:r>
              <w:rPr>
                <w:rFonts w:hint="eastAsia" w:cs="宋体"/>
                <w:color w:val="auto"/>
                <w:szCs w:val="21"/>
              </w:rPr>
              <w:t>文明施工措施（施工噪音、施工震动、施工扬尘等防治措施）；上述内容完整详细有针对性的每项得2分；内容有所欠缺的得1分；内容不合理或未提供不得分。</w:t>
            </w:r>
          </w:p>
        </w:tc>
      </w:tr>
      <w:tr w14:paraId="5F6A37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48" w:type="dxa"/>
            <w:vMerge w:val="continue"/>
            <w:vAlign w:val="center"/>
          </w:tcPr>
          <w:p w14:paraId="2065C662">
            <w:pPr>
              <w:widowControl/>
              <w:shd w:val="clear"/>
              <w:spacing w:line="360" w:lineRule="auto"/>
              <w:ind w:firstLine="210"/>
              <w:jc w:val="left"/>
              <w:rPr>
                <w:color w:val="auto"/>
                <w:szCs w:val="21"/>
              </w:rPr>
            </w:pPr>
          </w:p>
        </w:tc>
        <w:tc>
          <w:tcPr>
            <w:tcW w:w="1224" w:type="dxa"/>
            <w:vMerge w:val="continue"/>
            <w:vAlign w:val="center"/>
          </w:tcPr>
          <w:p w14:paraId="375F68B2">
            <w:pPr>
              <w:widowControl/>
              <w:shd w:val="clear"/>
              <w:spacing w:line="360" w:lineRule="auto"/>
              <w:ind w:firstLine="210"/>
              <w:jc w:val="left"/>
              <w:rPr>
                <w:color w:val="auto"/>
                <w:szCs w:val="21"/>
              </w:rPr>
            </w:pPr>
          </w:p>
        </w:tc>
        <w:tc>
          <w:tcPr>
            <w:tcW w:w="7528" w:type="dxa"/>
            <w:vAlign w:val="center"/>
          </w:tcPr>
          <w:p w14:paraId="4888DD02">
            <w:pPr>
              <w:shd w:val="clear"/>
              <w:tabs>
                <w:tab w:val="left" w:pos="4915"/>
              </w:tabs>
              <w:spacing w:line="360" w:lineRule="auto"/>
              <w:rPr>
                <w:rFonts w:cs="宋体"/>
                <w:color w:val="auto"/>
                <w:szCs w:val="21"/>
              </w:rPr>
            </w:pPr>
            <w:r>
              <w:rPr>
                <w:rFonts w:hint="eastAsia" w:cs="宋体"/>
                <w:color w:val="auto"/>
                <w:szCs w:val="21"/>
              </w:rPr>
              <w:t>7、施工环境保护及措施（4分）</w:t>
            </w:r>
          </w:p>
          <w:p w14:paraId="7E396A5F">
            <w:pPr>
              <w:shd w:val="clear"/>
              <w:tabs>
                <w:tab w:val="left" w:pos="4915"/>
              </w:tabs>
              <w:spacing w:line="360" w:lineRule="auto"/>
              <w:rPr>
                <w:rFonts w:ascii="Times New Roman" w:hAnsi="Times New Roman" w:cs="宋体"/>
                <w:color w:val="auto"/>
                <w:szCs w:val="21"/>
              </w:rPr>
            </w:pPr>
            <w:r>
              <w:rPr>
                <w:rFonts w:hint="eastAsia" w:cs="宋体"/>
                <w:color w:val="auto"/>
                <w:szCs w:val="21"/>
              </w:rPr>
              <w:t>供应商提供的针对本项目的施工环境保护及措施：①</w:t>
            </w:r>
            <w:r>
              <w:rPr>
                <w:rFonts w:hint="eastAsia"/>
                <w:color w:val="auto"/>
                <w:lang w:val="zh-CN"/>
              </w:rPr>
              <w:t>针对本项目</w:t>
            </w:r>
            <w:r>
              <w:rPr>
                <w:rFonts w:hint="eastAsia" w:cs="宋体"/>
                <w:color w:val="auto"/>
                <w:szCs w:val="21"/>
              </w:rPr>
              <w:t>施工环境保护</w:t>
            </w:r>
            <w:r>
              <w:rPr>
                <w:rFonts w:hint="eastAsia"/>
                <w:color w:val="auto"/>
                <w:lang w:val="zh-CN"/>
              </w:rPr>
              <w:t>（</w:t>
            </w:r>
            <w:r>
              <w:rPr>
                <w:rFonts w:hint="eastAsia" w:cs="宋体"/>
                <w:color w:val="auto"/>
                <w:szCs w:val="21"/>
              </w:rPr>
              <w:t>人群健康保护、绿色植被保护、资源保护、水源保护等</w:t>
            </w:r>
            <w:r>
              <w:rPr>
                <w:rFonts w:hint="eastAsia"/>
                <w:color w:val="auto"/>
                <w:lang w:val="zh-CN"/>
              </w:rPr>
              <w:t>）</w:t>
            </w:r>
            <w:r>
              <w:rPr>
                <w:rFonts w:hint="eastAsia" w:cs="宋体"/>
                <w:color w:val="auto"/>
                <w:szCs w:val="21"/>
              </w:rPr>
              <w:t>；②</w:t>
            </w:r>
            <w:r>
              <w:rPr>
                <w:rFonts w:hint="eastAsia"/>
                <w:color w:val="auto"/>
                <w:lang w:val="zh-CN"/>
              </w:rPr>
              <w:t>针对本项目</w:t>
            </w:r>
            <w:r>
              <w:rPr>
                <w:rFonts w:hint="eastAsia" w:cs="宋体"/>
                <w:color w:val="auto"/>
                <w:szCs w:val="21"/>
              </w:rPr>
              <w:t>施工环境保护措施（施工废水处理、废弃物处理、噪声控制措施、大气污染防治措施等）；上述内容完整详细有针对性的每项得2分；内容有所欠缺的得1分；内容不合理或未提供不得分。</w:t>
            </w:r>
          </w:p>
        </w:tc>
      </w:tr>
      <w:tr w14:paraId="733FF98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615" w:hRule="atLeast"/>
        </w:trPr>
        <w:tc>
          <w:tcPr>
            <w:tcW w:w="748" w:type="dxa"/>
            <w:vMerge w:val="continue"/>
            <w:vAlign w:val="center"/>
          </w:tcPr>
          <w:p w14:paraId="160E37DE">
            <w:pPr>
              <w:widowControl/>
              <w:shd w:val="clear"/>
              <w:spacing w:line="360" w:lineRule="auto"/>
              <w:ind w:firstLine="210"/>
              <w:jc w:val="left"/>
              <w:rPr>
                <w:color w:val="auto"/>
                <w:szCs w:val="21"/>
              </w:rPr>
            </w:pPr>
          </w:p>
        </w:tc>
        <w:tc>
          <w:tcPr>
            <w:tcW w:w="1224" w:type="dxa"/>
            <w:vAlign w:val="center"/>
          </w:tcPr>
          <w:p w14:paraId="4B96B76B">
            <w:pPr>
              <w:shd w:val="clear"/>
              <w:spacing w:line="360" w:lineRule="auto"/>
              <w:rPr>
                <w:color w:val="auto"/>
                <w:szCs w:val="21"/>
              </w:rPr>
            </w:pPr>
            <w:r>
              <w:rPr>
                <w:rFonts w:hint="eastAsia"/>
                <w:color w:val="auto"/>
                <w:szCs w:val="21"/>
              </w:rPr>
              <w:t>项目团队（5分）</w:t>
            </w:r>
          </w:p>
        </w:tc>
        <w:tc>
          <w:tcPr>
            <w:tcW w:w="7528" w:type="dxa"/>
            <w:vAlign w:val="center"/>
          </w:tcPr>
          <w:p w14:paraId="067ABEF9">
            <w:pPr>
              <w:shd w:val="clear"/>
              <w:tabs>
                <w:tab w:val="left" w:pos="4915"/>
              </w:tabs>
              <w:spacing w:line="360" w:lineRule="auto"/>
              <w:rPr>
                <w:rFonts w:cs="宋体"/>
                <w:color w:val="auto"/>
                <w:szCs w:val="21"/>
              </w:rPr>
            </w:pPr>
            <w:r>
              <w:rPr>
                <w:rFonts w:hint="eastAsia" w:cs="宋体"/>
                <w:color w:val="auto"/>
                <w:szCs w:val="21"/>
              </w:rPr>
              <w:t>8、主要施工人员配备（5分）</w:t>
            </w:r>
          </w:p>
          <w:p w14:paraId="64C3B993">
            <w:pPr>
              <w:shd w:val="clear"/>
              <w:tabs>
                <w:tab w:val="left" w:pos="4915"/>
              </w:tabs>
              <w:spacing w:line="360" w:lineRule="auto"/>
              <w:rPr>
                <w:rFonts w:cs="宋体"/>
                <w:color w:val="auto"/>
                <w:szCs w:val="21"/>
              </w:rPr>
            </w:pPr>
            <w:r>
              <w:rPr>
                <w:rFonts w:hint="eastAsia" w:cs="宋体"/>
                <w:color w:val="auto"/>
                <w:szCs w:val="21"/>
              </w:rPr>
              <w:t>评委对主要施工人员配备进行综合评议并打分：人员配置满足项目需求、人员经过规范的上岗前培训并考试合格的得5分；人员配置满足项目需求的、上岗培训不足的得3分；人员配置难以满足项目需求、或未经上岗前培训的得1分。未提供不得分。</w:t>
            </w:r>
          </w:p>
        </w:tc>
      </w:tr>
      <w:tr w14:paraId="226A90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87" w:hRule="atLeast"/>
        </w:trPr>
        <w:tc>
          <w:tcPr>
            <w:tcW w:w="748" w:type="dxa"/>
            <w:vMerge w:val="continue"/>
            <w:vAlign w:val="center"/>
          </w:tcPr>
          <w:p w14:paraId="1A096F62">
            <w:pPr>
              <w:widowControl/>
              <w:shd w:val="clear"/>
              <w:spacing w:line="360" w:lineRule="auto"/>
              <w:ind w:firstLine="210"/>
              <w:jc w:val="left"/>
              <w:rPr>
                <w:color w:val="auto"/>
                <w:szCs w:val="21"/>
              </w:rPr>
            </w:pPr>
          </w:p>
        </w:tc>
        <w:tc>
          <w:tcPr>
            <w:tcW w:w="1224" w:type="dxa"/>
            <w:vAlign w:val="center"/>
          </w:tcPr>
          <w:p w14:paraId="436B283C">
            <w:pPr>
              <w:shd w:val="clear"/>
              <w:spacing w:line="360" w:lineRule="auto"/>
              <w:rPr>
                <w:rFonts w:cs="Calibri"/>
                <w:color w:val="auto"/>
                <w:szCs w:val="21"/>
              </w:rPr>
            </w:pPr>
            <w:r>
              <w:rPr>
                <w:rFonts w:hint="eastAsia" w:cs="Calibri"/>
                <w:color w:val="auto"/>
                <w:szCs w:val="21"/>
              </w:rPr>
              <w:t>售后服务方案（5分）</w:t>
            </w:r>
          </w:p>
        </w:tc>
        <w:tc>
          <w:tcPr>
            <w:tcW w:w="7528" w:type="dxa"/>
            <w:vAlign w:val="center"/>
          </w:tcPr>
          <w:p w14:paraId="4AE41B44">
            <w:pPr>
              <w:shd w:val="clear"/>
              <w:tabs>
                <w:tab w:val="left" w:pos="4915"/>
              </w:tabs>
              <w:spacing w:line="360" w:lineRule="auto"/>
              <w:rPr>
                <w:rFonts w:cs="宋体"/>
                <w:color w:val="auto"/>
                <w:szCs w:val="21"/>
              </w:rPr>
            </w:pPr>
            <w:r>
              <w:rPr>
                <w:rFonts w:hint="eastAsia" w:cs="Calibri"/>
                <w:color w:val="auto"/>
                <w:szCs w:val="21"/>
              </w:rPr>
              <w:t>9、售后服务方案</w:t>
            </w:r>
            <w:r>
              <w:rPr>
                <w:rFonts w:hint="eastAsia" w:cs="宋体"/>
                <w:color w:val="auto"/>
                <w:szCs w:val="21"/>
              </w:rPr>
              <w:t>（5分）</w:t>
            </w:r>
          </w:p>
          <w:p w14:paraId="0C3E8C5B">
            <w:pPr>
              <w:shd w:val="clear"/>
              <w:spacing w:line="360" w:lineRule="auto"/>
              <w:rPr>
                <w:rFonts w:cs="宋体"/>
                <w:color w:val="auto"/>
                <w:szCs w:val="21"/>
              </w:rPr>
            </w:pPr>
            <w:r>
              <w:rPr>
                <w:rFonts w:hint="eastAsia" w:cs="宋体"/>
                <w:color w:val="auto"/>
                <w:szCs w:val="21"/>
              </w:rPr>
              <w:t>评委对售后服务方案进行综合评议并打分：服务保障体系完备、方案内容完全符合本项目需求得5分；有服务保障体系但部分内容有欠缺、但尚不影响履约得3分；方案内容存在明显缺漏项、不符合规范的得1分。未提供不得分。</w:t>
            </w:r>
          </w:p>
        </w:tc>
      </w:tr>
      <w:tr w14:paraId="7CC9A23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19" w:hRule="atLeast"/>
        </w:trPr>
        <w:tc>
          <w:tcPr>
            <w:tcW w:w="748" w:type="dxa"/>
            <w:vMerge w:val="continue"/>
            <w:vAlign w:val="center"/>
          </w:tcPr>
          <w:p w14:paraId="425618C7">
            <w:pPr>
              <w:widowControl/>
              <w:shd w:val="clear"/>
              <w:spacing w:line="360" w:lineRule="auto"/>
              <w:ind w:firstLine="210"/>
              <w:jc w:val="left"/>
              <w:rPr>
                <w:color w:val="auto"/>
                <w:szCs w:val="21"/>
              </w:rPr>
            </w:pPr>
          </w:p>
        </w:tc>
        <w:tc>
          <w:tcPr>
            <w:tcW w:w="1224" w:type="dxa"/>
            <w:vAlign w:val="center"/>
          </w:tcPr>
          <w:p w14:paraId="396E395B">
            <w:pPr>
              <w:shd w:val="clear"/>
              <w:spacing w:line="360" w:lineRule="auto"/>
              <w:rPr>
                <w:rFonts w:cs="宋体"/>
                <w:color w:val="auto"/>
                <w:szCs w:val="21"/>
              </w:rPr>
            </w:pPr>
            <w:r>
              <w:rPr>
                <w:color w:val="auto"/>
                <w:szCs w:val="21"/>
              </w:rPr>
              <w:t>合理化建议（</w:t>
            </w:r>
            <w:r>
              <w:rPr>
                <w:rFonts w:hint="eastAsia"/>
                <w:color w:val="auto"/>
                <w:szCs w:val="21"/>
              </w:rPr>
              <w:t>1</w:t>
            </w:r>
            <w:r>
              <w:rPr>
                <w:color w:val="auto"/>
                <w:szCs w:val="21"/>
              </w:rPr>
              <w:t>分）</w:t>
            </w:r>
          </w:p>
        </w:tc>
        <w:tc>
          <w:tcPr>
            <w:tcW w:w="7528" w:type="dxa"/>
            <w:vAlign w:val="center"/>
          </w:tcPr>
          <w:p w14:paraId="2562D3B4">
            <w:pPr>
              <w:shd w:val="clear"/>
              <w:spacing w:line="360" w:lineRule="auto"/>
              <w:rPr>
                <w:color w:val="auto"/>
                <w:szCs w:val="21"/>
              </w:rPr>
            </w:pPr>
            <w:r>
              <w:rPr>
                <w:rFonts w:hint="eastAsia"/>
                <w:color w:val="auto"/>
                <w:szCs w:val="21"/>
              </w:rPr>
              <w:t>11、</w:t>
            </w:r>
            <w:r>
              <w:rPr>
                <w:color w:val="auto"/>
                <w:szCs w:val="21"/>
              </w:rPr>
              <w:t>根据</w:t>
            </w:r>
            <w:r>
              <w:rPr>
                <w:rFonts w:hint="eastAsia"/>
                <w:color w:val="auto"/>
                <w:szCs w:val="21"/>
              </w:rPr>
              <w:t>供应商</w:t>
            </w:r>
            <w:r>
              <w:rPr>
                <w:color w:val="auto"/>
                <w:szCs w:val="21"/>
              </w:rPr>
              <w:t>提出的针对本项目的合理化建议进行评议（</w:t>
            </w:r>
            <w:r>
              <w:rPr>
                <w:rFonts w:hint="eastAsia"/>
                <w:color w:val="auto"/>
                <w:szCs w:val="21"/>
              </w:rPr>
              <w:t>1</w:t>
            </w:r>
            <w:r>
              <w:rPr>
                <w:color w:val="auto"/>
                <w:szCs w:val="21"/>
              </w:rPr>
              <w:t>分）</w:t>
            </w:r>
          </w:p>
          <w:p w14:paraId="5F0AD44D">
            <w:pPr>
              <w:shd w:val="clear"/>
              <w:spacing w:line="360" w:lineRule="auto"/>
              <w:rPr>
                <w:rFonts w:cs="宋体"/>
                <w:color w:val="auto"/>
                <w:szCs w:val="21"/>
              </w:rPr>
            </w:pPr>
            <w:r>
              <w:rPr>
                <w:color w:val="auto"/>
                <w:szCs w:val="21"/>
              </w:rPr>
              <w:t>提出的建议具有实际意义</w:t>
            </w:r>
            <w:r>
              <w:rPr>
                <w:rFonts w:hint="eastAsia"/>
                <w:color w:val="auto"/>
                <w:szCs w:val="21"/>
              </w:rPr>
              <w:t>并得到采纳</w:t>
            </w:r>
            <w:r>
              <w:rPr>
                <w:color w:val="auto"/>
                <w:szCs w:val="21"/>
              </w:rPr>
              <w:t>，每项得</w:t>
            </w:r>
            <w:r>
              <w:rPr>
                <w:rFonts w:hint="eastAsia"/>
                <w:color w:val="auto"/>
                <w:szCs w:val="21"/>
              </w:rPr>
              <w:t>0.5分</w:t>
            </w:r>
            <w:r>
              <w:rPr>
                <w:color w:val="auto"/>
                <w:szCs w:val="21"/>
              </w:rPr>
              <w:t>，最高得</w:t>
            </w:r>
            <w:r>
              <w:rPr>
                <w:rFonts w:hint="eastAsia"/>
                <w:color w:val="auto"/>
                <w:szCs w:val="21"/>
              </w:rPr>
              <w:t>1</w:t>
            </w:r>
            <w:r>
              <w:rPr>
                <w:color w:val="auto"/>
                <w:szCs w:val="21"/>
              </w:rPr>
              <w:t>分。与本项目</w:t>
            </w:r>
            <w:r>
              <w:rPr>
                <w:rFonts w:hint="eastAsia"/>
                <w:color w:val="auto"/>
                <w:szCs w:val="21"/>
              </w:rPr>
              <w:t>履约</w:t>
            </w:r>
            <w:r>
              <w:rPr>
                <w:color w:val="auto"/>
                <w:szCs w:val="21"/>
              </w:rPr>
              <w:t>无关的建议不予认可。</w:t>
            </w:r>
          </w:p>
        </w:tc>
      </w:tr>
      <w:tr w14:paraId="2275EF4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22" w:hRule="atLeast"/>
        </w:trPr>
        <w:tc>
          <w:tcPr>
            <w:tcW w:w="748" w:type="dxa"/>
            <w:vMerge w:val="continue"/>
            <w:vAlign w:val="center"/>
          </w:tcPr>
          <w:p w14:paraId="2D9BCE77">
            <w:pPr>
              <w:widowControl/>
              <w:shd w:val="clear"/>
              <w:spacing w:line="360" w:lineRule="auto"/>
              <w:ind w:firstLine="210"/>
              <w:jc w:val="left"/>
              <w:rPr>
                <w:color w:val="auto"/>
                <w:szCs w:val="21"/>
              </w:rPr>
            </w:pPr>
          </w:p>
        </w:tc>
        <w:tc>
          <w:tcPr>
            <w:tcW w:w="1224" w:type="dxa"/>
            <w:vAlign w:val="center"/>
          </w:tcPr>
          <w:p w14:paraId="534AD81C">
            <w:pPr>
              <w:shd w:val="clear"/>
              <w:spacing w:line="360" w:lineRule="auto"/>
              <w:rPr>
                <w:color w:val="auto"/>
                <w:szCs w:val="21"/>
              </w:rPr>
            </w:pPr>
            <w:r>
              <w:rPr>
                <w:rFonts w:hint="eastAsia"/>
                <w:color w:val="auto"/>
                <w:szCs w:val="21"/>
              </w:rPr>
              <w:t>业绩（1分）</w:t>
            </w:r>
          </w:p>
        </w:tc>
        <w:tc>
          <w:tcPr>
            <w:tcW w:w="7528" w:type="dxa"/>
            <w:vAlign w:val="center"/>
          </w:tcPr>
          <w:p w14:paraId="239580FA">
            <w:pPr>
              <w:shd w:val="clear"/>
              <w:spacing w:line="360" w:lineRule="auto"/>
              <w:rPr>
                <w:color w:val="auto"/>
                <w:szCs w:val="21"/>
              </w:rPr>
            </w:pPr>
            <w:r>
              <w:rPr>
                <w:rFonts w:hint="eastAsia"/>
                <w:color w:val="auto"/>
                <w:szCs w:val="21"/>
              </w:rPr>
              <w:t>12、</w:t>
            </w:r>
            <w:r>
              <w:rPr>
                <w:rFonts w:hint="eastAsia" w:ascii="宋体" w:hAnsi="宋体"/>
                <w:bCs/>
                <w:color w:val="auto"/>
                <w:szCs w:val="21"/>
              </w:rPr>
              <w:t>供应商自2022年1月1日以后承担过同类项目业绩的得1分。（注：需提供施工合同复印件，未提供的不得分。）</w:t>
            </w:r>
          </w:p>
        </w:tc>
      </w:tr>
      <w:tr w14:paraId="7C420AF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00C86407">
            <w:pPr>
              <w:widowControl/>
              <w:shd w:val="clear"/>
              <w:spacing w:line="360" w:lineRule="auto"/>
              <w:ind w:firstLine="210"/>
              <w:jc w:val="left"/>
              <w:rPr>
                <w:color w:val="auto"/>
                <w:szCs w:val="21"/>
              </w:rPr>
            </w:pPr>
          </w:p>
        </w:tc>
        <w:tc>
          <w:tcPr>
            <w:tcW w:w="1224" w:type="dxa"/>
            <w:vAlign w:val="center"/>
          </w:tcPr>
          <w:p w14:paraId="7E516CA0">
            <w:pPr>
              <w:shd w:val="clear"/>
              <w:spacing w:line="360" w:lineRule="auto"/>
              <w:rPr>
                <w:color w:val="auto"/>
                <w:szCs w:val="21"/>
              </w:rPr>
            </w:pPr>
            <w:r>
              <w:rPr>
                <w:rFonts w:hint="eastAsia" w:hAnsi="宋体" w:cs="Calibri"/>
                <w:color w:val="auto"/>
                <w:szCs w:val="21"/>
              </w:rPr>
              <w:t>政策性加分（1分）</w:t>
            </w:r>
          </w:p>
        </w:tc>
        <w:tc>
          <w:tcPr>
            <w:tcW w:w="7528" w:type="dxa"/>
            <w:vAlign w:val="center"/>
          </w:tcPr>
          <w:p w14:paraId="23246B7E">
            <w:pPr>
              <w:shd w:val="clear"/>
              <w:spacing w:line="360" w:lineRule="auto"/>
              <w:rPr>
                <w:rFonts w:ascii="Times New Roman" w:hAnsi="Times New Roman"/>
                <w:color w:val="auto"/>
                <w:szCs w:val="21"/>
              </w:rPr>
            </w:pPr>
            <w:r>
              <w:rPr>
                <w:rFonts w:hint="eastAsia"/>
                <w:color w:val="auto"/>
                <w:szCs w:val="21"/>
              </w:rPr>
              <w:t>13、</w:t>
            </w:r>
            <w:r>
              <w:rPr>
                <w:rFonts w:hint="eastAsia" w:ascii="Times New Roman" w:hAnsi="Times New Roman"/>
                <w:color w:val="auto"/>
                <w:szCs w:val="21"/>
              </w:rPr>
              <w:t>供应商是国家认定的少数民族地区企业的加1分。</w:t>
            </w:r>
          </w:p>
          <w:p w14:paraId="45183501">
            <w:pPr>
              <w:shd w:val="clear"/>
              <w:spacing w:line="360" w:lineRule="auto"/>
              <w:rPr>
                <w:color w:val="auto"/>
                <w:szCs w:val="21"/>
              </w:rPr>
            </w:pPr>
            <w:r>
              <w:rPr>
                <w:rFonts w:hint="eastAsia" w:ascii="Times New Roman" w:hAnsi="Times New Roman"/>
                <w:color w:val="auto"/>
                <w:szCs w:val="21"/>
              </w:rPr>
              <w:t>提供证明文件复印件并加盖公章。</w:t>
            </w:r>
          </w:p>
        </w:tc>
      </w:tr>
      <w:tr w14:paraId="413FDED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Align w:val="center"/>
          </w:tcPr>
          <w:p w14:paraId="776BB3BE">
            <w:pPr>
              <w:widowControl/>
              <w:shd w:val="clear"/>
              <w:spacing w:line="360" w:lineRule="auto"/>
              <w:jc w:val="left"/>
              <w:rPr>
                <w:color w:val="auto"/>
                <w:szCs w:val="21"/>
              </w:rPr>
            </w:pPr>
            <w:r>
              <w:rPr>
                <w:color w:val="auto"/>
                <w:szCs w:val="21"/>
              </w:rPr>
              <w:t>价格</w:t>
            </w:r>
            <w:r>
              <w:rPr>
                <w:rFonts w:hint="eastAsia"/>
                <w:color w:val="auto"/>
                <w:szCs w:val="21"/>
              </w:rPr>
              <w:t>部分35</w:t>
            </w:r>
            <w:r>
              <w:rPr>
                <w:color w:val="auto"/>
                <w:szCs w:val="21"/>
              </w:rPr>
              <w:t>分</w:t>
            </w:r>
          </w:p>
        </w:tc>
        <w:tc>
          <w:tcPr>
            <w:tcW w:w="1224" w:type="dxa"/>
            <w:vAlign w:val="center"/>
          </w:tcPr>
          <w:p w14:paraId="24E0701E">
            <w:pPr>
              <w:shd w:val="clear"/>
              <w:spacing w:line="360" w:lineRule="auto"/>
              <w:rPr>
                <w:color w:val="auto"/>
                <w:szCs w:val="21"/>
              </w:rPr>
            </w:pPr>
            <w:r>
              <w:rPr>
                <w:color w:val="auto"/>
                <w:szCs w:val="21"/>
              </w:rPr>
              <w:t>磋商报价（</w:t>
            </w:r>
            <w:r>
              <w:rPr>
                <w:rFonts w:hint="eastAsia"/>
                <w:color w:val="auto"/>
                <w:szCs w:val="21"/>
              </w:rPr>
              <w:t>35</w:t>
            </w:r>
            <w:r>
              <w:rPr>
                <w:color w:val="auto"/>
                <w:szCs w:val="21"/>
              </w:rPr>
              <w:t>分）</w:t>
            </w:r>
          </w:p>
        </w:tc>
        <w:tc>
          <w:tcPr>
            <w:tcW w:w="7528" w:type="dxa"/>
            <w:vAlign w:val="center"/>
          </w:tcPr>
          <w:p w14:paraId="563EF21F">
            <w:pPr>
              <w:shd w:val="clear"/>
              <w:spacing w:line="360" w:lineRule="auto"/>
              <w:rPr>
                <w:rFonts w:ascii="Times New Roman" w:hAnsi="Times New Roman"/>
                <w:color w:val="auto"/>
                <w:szCs w:val="21"/>
              </w:rPr>
            </w:pPr>
            <w:r>
              <w:rPr>
                <w:rFonts w:hint="eastAsia" w:ascii="Times New Roman" w:hAnsi="Times New Roman"/>
                <w:color w:val="auto"/>
                <w:szCs w:val="21"/>
              </w:rPr>
              <w:t>满足磋商文件要求且参与评审的最终综合折扣最低的价格为磋商基准价，其价格分为满分。其他供应商的价格分统一按照下列公式计算：</w:t>
            </w:r>
          </w:p>
          <w:p w14:paraId="0251C220">
            <w:pPr>
              <w:shd w:val="clear"/>
              <w:spacing w:line="360" w:lineRule="auto"/>
              <w:rPr>
                <w:color w:val="auto"/>
              </w:rPr>
            </w:pPr>
            <w:r>
              <w:rPr>
                <w:rFonts w:hint="eastAsia"/>
                <w:color w:val="auto"/>
                <w:lang w:val="zh-CN"/>
              </w:rPr>
              <w:t>参与评审价格=</w:t>
            </w:r>
            <w:r>
              <w:rPr>
                <w:rFonts w:hint="eastAsia" w:ascii="Times New Roman" w:hAnsi="Times New Roman"/>
                <w:color w:val="auto"/>
                <w:szCs w:val="21"/>
              </w:rPr>
              <w:t>最终综合折扣</w:t>
            </w:r>
          </w:p>
          <w:p w14:paraId="7BE90FE9">
            <w:pPr>
              <w:shd w:val="clear"/>
              <w:spacing w:line="360" w:lineRule="auto"/>
              <w:rPr>
                <w:rFonts w:ascii="Times New Roman" w:hAnsi="Times New Roman"/>
                <w:color w:val="auto"/>
                <w:szCs w:val="21"/>
              </w:rPr>
            </w:pPr>
            <w:r>
              <w:rPr>
                <w:rFonts w:hint="eastAsia" w:ascii="Times New Roman" w:hAnsi="Times New Roman"/>
                <w:color w:val="auto"/>
                <w:szCs w:val="21"/>
              </w:rPr>
              <w:t xml:space="preserve">磋商报价得分=（磋商基准价/参与评审的最终综合折扣）×价格权值×100 </w:t>
            </w:r>
          </w:p>
        </w:tc>
      </w:tr>
    </w:tbl>
    <w:p w14:paraId="21219304">
      <w:pPr>
        <w:widowControl/>
        <w:shd w:val="clear"/>
        <w:ind w:firstLine="280"/>
        <w:jc w:val="left"/>
        <w:rPr>
          <w:rFonts w:asciiTheme="minorEastAsia" w:hAnsiTheme="minorEastAsia" w:eastAsiaTheme="minorEastAsia" w:cstheme="minorEastAsia"/>
          <w:color w:val="auto"/>
          <w:sz w:val="28"/>
        </w:rPr>
      </w:pPr>
    </w:p>
    <w:p w14:paraId="43D1FBBB">
      <w:pPr>
        <w:shd w:val="clear"/>
        <w:snapToGrid w:val="0"/>
        <w:spacing w:line="440" w:lineRule="exact"/>
        <w:ind w:firstLine="422" w:firstLineChars="200"/>
        <w:rPr>
          <w:rFonts w:asciiTheme="minorEastAsia" w:hAnsiTheme="minorEastAsia" w:eastAsiaTheme="minorEastAsia" w:cstheme="minorEastAsia"/>
          <w:b/>
          <w:color w:val="auto"/>
          <w:kern w:val="0"/>
          <w:szCs w:val="21"/>
          <w:lang w:val="zh-CN"/>
        </w:rPr>
      </w:pPr>
      <w:r>
        <w:rPr>
          <w:rFonts w:hint="eastAsia" w:asciiTheme="minorEastAsia" w:hAnsiTheme="minorEastAsia" w:eastAsiaTheme="minorEastAsia" w:cstheme="minorEastAsia"/>
          <w:b/>
          <w:color w:val="auto"/>
          <w:szCs w:val="21"/>
        </w:rPr>
        <w:t>备注：</w:t>
      </w:r>
      <w:r>
        <w:rPr>
          <w:rFonts w:hint="eastAsia" w:asciiTheme="minorEastAsia" w:hAnsiTheme="minorEastAsia" w:eastAsiaTheme="minorEastAsia" w:cstheme="minorEastAsia"/>
          <w:color w:val="auto"/>
          <w:kern w:val="0"/>
          <w:szCs w:val="21"/>
          <w:lang w:val="zh-CN"/>
        </w:rPr>
        <w:t>供应商编制响应文件（商务技术文件部分）时，建议按此目录（序号和内容）提供评标标准相应的商务技术资料。</w:t>
      </w:r>
    </w:p>
    <w:p w14:paraId="139ECF19">
      <w:pPr>
        <w:shd w:val="clear"/>
        <w:snapToGrid w:val="0"/>
        <w:spacing w:line="360" w:lineRule="auto"/>
        <w:ind w:left="120" w:leftChars="57" w:firstLine="482" w:firstLineChars="150"/>
        <w:jc w:val="center"/>
        <w:rPr>
          <w:rFonts w:asciiTheme="minorEastAsia" w:hAnsiTheme="minorEastAsia" w:eastAsiaTheme="minorEastAsia" w:cstheme="minorEastAsia"/>
          <w:b/>
          <w:color w:val="auto"/>
          <w:sz w:val="32"/>
        </w:rPr>
      </w:pPr>
    </w:p>
    <w:p w14:paraId="7B8387FE">
      <w:pPr>
        <w:shd w:val="clear"/>
        <w:snapToGrid w:val="0"/>
        <w:spacing w:line="360" w:lineRule="auto"/>
        <w:ind w:left="120" w:leftChars="57" w:firstLine="482" w:firstLineChars="150"/>
        <w:jc w:val="center"/>
        <w:rPr>
          <w:rFonts w:asciiTheme="minorEastAsia" w:hAnsiTheme="minorEastAsia" w:eastAsiaTheme="minorEastAsia" w:cstheme="minorEastAsia"/>
          <w:b/>
          <w:color w:val="auto"/>
          <w:sz w:val="32"/>
        </w:rPr>
      </w:pPr>
      <w:r>
        <w:rPr>
          <w:rFonts w:hint="eastAsia" w:asciiTheme="minorEastAsia" w:hAnsiTheme="minorEastAsia" w:eastAsiaTheme="minorEastAsia" w:cstheme="minorEastAsia"/>
          <w:b/>
          <w:color w:val="auto"/>
          <w:sz w:val="32"/>
        </w:rPr>
        <w:t>一、评审方法</w:t>
      </w:r>
    </w:p>
    <w:bookmarkEnd w:id="17"/>
    <w:p w14:paraId="04C84A58">
      <w:pPr>
        <w:shd w:val="clear"/>
        <w:spacing w:line="360" w:lineRule="auto"/>
        <w:ind w:firstLine="413" w:firstLineChars="196"/>
        <w:rPr>
          <w:rFonts w:asciiTheme="minorEastAsia" w:hAnsiTheme="minorEastAsia" w:eastAsiaTheme="minorEastAsia" w:cstheme="minorEastAsia"/>
          <w:color w:val="auto"/>
          <w:kern w:val="0"/>
          <w:szCs w:val="21"/>
        </w:rPr>
      </w:pPr>
      <w:bookmarkStart w:id="387" w:name="第五部分"/>
      <w:bookmarkStart w:id="388" w:name="_Toc86217003"/>
      <w:r>
        <w:rPr>
          <w:rFonts w:hint="eastAsia" w:asciiTheme="minorEastAsia" w:hAnsiTheme="minorEastAsia" w:eastAsiaTheme="minorEastAsia" w:cstheme="minorEastAsia"/>
          <w:b/>
          <w:color w:val="auto"/>
          <w:kern w:val="0"/>
          <w:szCs w:val="21"/>
        </w:rPr>
        <w:t>1.本项目采用综合评分法。</w:t>
      </w:r>
      <w:r>
        <w:rPr>
          <w:rFonts w:hint="eastAsia" w:asciiTheme="minorEastAsia" w:hAnsiTheme="minorEastAsia" w:eastAsiaTheme="minorEastAsia" w:cstheme="minorEastAsia"/>
          <w:color w:val="auto"/>
          <w:kern w:val="0"/>
          <w:szCs w:val="21"/>
        </w:rPr>
        <w:t>综合评分法，是指响应文件满足</w:t>
      </w:r>
      <w:r>
        <w:rPr>
          <w:rFonts w:hint="eastAsia" w:asciiTheme="minorEastAsia" w:hAnsiTheme="minorEastAsia" w:eastAsiaTheme="minorEastAsia" w:cstheme="minorEastAsia"/>
          <w:color w:val="auto"/>
          <w:szCs w:val="21"/>
        </w:rPr>
        <w:t>竞争性磋商</w:t>
      </w:r>
      <w:r>
        <w:rPr>
          <w:rFonts w:hint="eastAsia" w:asciiTheme="minorEastAsia" w:hAnsiTheme="minorEastAsia" w:eastAsiaTheme="minorEastAsia" w:cstheme="minorEastAsia"/>
          <w:color w:val="auto"/>
          <w:kern w:val="0"/>
          <w:szCs w:val="21"/>
        </w:rPr>
        <w:t>文件全部实质性要求，且按照评审因素的量化指标评审得分最高的</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kern w:val="0"/>
          <w:szCs w:val="21"/>
        </w:rPr>
        <w:t>为成交候选供应商的评标方法。</w:t>
      </w:r>
    </w:p>
    <w:p w14:paraId="57502D99">
      <w:pPr>
        <w:shd w:val="clear"/>
        <w:snapToGrid w:val="0"/>
        <w:spacing w:line="360" w:lineRule="auto"/>
        <w:ind w:left="120" w:leftChars="57" w:firstLine="482" w:firstLineChars="150"/>
        <w:jc w:val="center"/>
        <w:rPr>
          <w:rFonts w:asciiTheme="minorEastAsia" w:hAnsiTheme="minorEastAsia" w:eastAsiaTheme="minorEastAsia" w:cstheme="minorEastAsia"/>
          <w:b/>
          <w:color w:val="auto"/>
          <w:sz w:val="32"/>
        </w:rPr>
      </w:pPr>
      <w:r>
        <w:rPr>
          <w:rFonts w:hint="eastAsia" w:asciiTheme="minorEastAsia" w:hAnsiTheme="minorEastAsia" w:eastAsiaTheme="minorEastAsia" w:cstheme="minorEastAsia"/>
          <w:b/>
          <w:color w:val="auto"/>
          <w:sz w:val="32"/>
        </w:rPr>
        <w:t>二、评审标准</w:t>
      </w:r>
    </w:p>
    <w:p w14:paraId="2431AF1F">
      <w:pPr>
        <w:shd w:val="clear"/>
        <w:spacing w:line="360" w:lineRule="auto"/>
        <w:ind w:firstLine="413" w:firstLineChars="196"/>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2.</w:t>
      </w:r>
      <w:r>
        <w:rPr>
          <w:rFonts w:hint="eastAsia" w:asciiTheme="minorEastAsia" w:hAnsiTheme="minorEastAsia" w:eastAsiaTheme="minorEastAsia" w:cstheme="minorEastAsia"/>
          <w:color w:val="auto"/>
          <w:szCs w:val="21"/>
        </w:rPr>
        <w:t xml:space="preserve"> </w:t>
      </w:r>
      <w:r>
        <w:rPr>
          <w:rFonts w:hint="eastAsia" w:asciiTheme="minorEastAsia" w:hAnsiTheme="minorEastAsia" w:eastAsiaTheme="minorEastAsia" w:cstheme="minorEastAsia"/>
          <w:b/>
          <w:color w:val="auto"/>
          <w:szCs w:val="21"/>
        </w:rPr>
        <w:t>评审标准：</w:t>
      </w:r>
      <w:r>
        <w:rPr>
          <w:rFonts w:hint="eastAsia" w:asciiTheme="minorEastAsia" w:hAnsiTheme="minorEastAsia" w:eastAsiaTheme="minorEastAsia" w:cstheme="minorEastAsia"/>
          <w:color w:val="auto"/>
          <w:kern w:val="0"/>
          <w:szCs w:val="21"/>
        </w:rPr>
        <w:t>见评审办法前附表。</w:t>
      </w:r>
    </w:p>
    <w:p w14:paraId="4D839541">
      <w:pPr>
        <w:shd w:val="clear"/>
        <w:snapToGrid w:val="0"/>
        <w:spacing w:line="360" w:lineRule="auto"/>
        <w:ind w:left="120" w:leftChars="57" w:firstLine="482" w:firstLineChars="150"/>
        <w:jc w:val="center"/>
        <w:rPr>
          <w:rFonts w:asciiTheme="minorEastAsia" w:hAnsiTheme="minorEastAsia" w:eastAsiaTheme="minorEastAsia" w:cstheme="minorEastAsia"/>
          <w:b/>
          <w:color w:val="auto"/>
          <w:sz w:val="32"/>
        </w:rPr>
      </w:pPr>
      <w:r>
        <w:rPr>
          <w:rFonts w:hint="eastAsia" w:asciiTheme="minorEastAsia" w:hAnsiTheme="minorEastAsia" w:eastAsiaTheme="minorEastAsia" w:cstheme="minorEastAsia"/>
          <w:b/>
          <w:color w:val="auto"/>
          <w:sz w:val="32"/>
        </w:rPr>
        <w:t>三、评审程序</w:t>
      </w:r>
    </w:p>
    <w:p w14:paraId="154BD4AD">
      <w:pPr>
        <w:shd w:val="clear"/>
        <w:spacing w:line="360" w:lineRule="auto"/>
        <w:ind w:firstLine="422"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b/>
          <w:color w:val="auto"/>
          <w:kern w:val="0"/>
          <w:szCs w:val="21"/>
        </w:rPr>
        <w:t>3.1 符合性审查。</w:t>
      </w:r>
      <w:r>
        <w:rPr>
          <w:rFonts w:hint="eastAsia" w:asciiTheme="minorEastAsia" w:hAnsiTheme="minorEastAsia" w:eastAsiaTheme="minorEastAsia" w:cstheme="minorEastAsia"/>
          <w:color w:val="auto"/>
          <w:kern w:val="0"/>
          <w:szCs w:val="21"/>
        </w:rPr>
        <w:t>磋商小组应当对符合资格的</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kern w:val="0"/>
          <w:szCs w:val="21"/>
        </w:rPr>
        <w:t>的响应文件进行符合性审查，以确定其是否满足</w:t>
      </w:r>
      <w:r>
        <w:rPr>
          <w:rFonts w:hint="eastAsia" w:asciiTheme="minorEastAsia" w:hAnsiTheme="minorEastAsia" w:eastAsiaTheme="minorEastAsia" w:cstheme="minorEastAsia"/>
          <w:color w:val="auto"/>
          <w:szCs w:val="21"/>
        </w:rPr>
        <w:t>竞争性磋商</w:t>
      </w:r>
      <w:r>
        <w:rPr>
          <w:rFonts w:hint="eastAsia" w:asciiTheme="minorEastAsia" w:hAnsiTheme="minorEastAsia" w:eastAsiaTheme="minorEastAsia" w:cstheme="minorEastAsia"/>
          <w:color w:val="auto"/>
          <w:kern w:val="0"/>
          <w:szCs w:val="21"/>
        </w:rPr>
        <w:t>文件的实质性要求。不满足</w:t>
      </w:r>
      <w:r>
        <w:rPr>
          <w:rFonts w:hint="eastAsia" w:asciiTheme="minorEastAsia" w:hAnsiTheme="minorEastAsia" w:eastAsiaTheme="minorEastAsia" w:cstheme="minorEastAsia"/>
          <w:color w:val="auto"/>
          <w:szCs w:val="21"/>
        </w:rPr>
        <w:t>竞争性磋商</w:t>
      </w:r>
      <w:r>
        <w:rPr>
          <w:rFonts w:hint="eastAsia" w:asciiTheme="minorEastAsia" w:hAnsiTheme="minorEastAsia" w:eastAsiaTheme="minorEastAsia" w:cstheme="minorEastAsia"/>
          <w:color w:val="auto"/>
          <w:kern w:val="0"/>
          <w:szCs w:val="21"/>
        </w:rPr>
        <w:t>文件的实质性要求的，响应无效。</w:t>
      </w:r>
    </w:p>
    <w:p w14:paraId="3471E796">
      <w:pPr>
        <w:shd w:val="clear"/>
        <w:spacing w:line="360" w:lineRule="auto"/>
        <w:ind w:firstLine="422" w:firstLineChars="200"/>
        <w:rPr>
          <w:rFonts w:asciiTheme="minorEastAsia" w:hAnsiTheme="minorEastAsia" w:eastAsiaTheme="minorEastAsia" w:cstheme="minorEastAsia"/>
          <w:b/>
          <w:color w:val="auto"/>
          <w:kern w:val="0"/>
          <w:szCs w:val="21"/>
        </w:rPr>
      </w:pPr>
      <w:r>
        <w:rPr>
          <w:rFonts w:hint="eastAsia" w:asciiTheme="minorEastAsia" w:hAnsiTheme="minorEastAsia" w:eastAsiaTheme="minorEastAsia" w:cstheme="minorEastAsia"/>
          <w:b/>
          <w:color w:val="auto"/>
          <w:kern w:val="0"/>
          <w:szCs w:val="21"/>
        </w:rPr>
        <w:t>3.2磋商</w:t>
      </w:r>
    </w:p>
    <w:p w14:paraId="7A6B46A3">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3.2.1磋商小组所有成员应集中与单一供应商分别进行磋商，并给予所有有效供应商平等的磋商机会。在磋商过程中，如有需要，可以对采购文件的“</w:t>
      </w:r>
      <w:r>
        <w:rPr>
          <w:rFonts w:hint="eastAsia" w:asciiTheme="minorEastAsia" w:hAnsiTheme="minorEastAsia" w:eastAsiaTheme="minorEastAsia" w:cstheme="minorEastAsia"/>
          <w:b/>
          <w:bCs/>
          <w:color w:val="auto"/>
          <w:kern w:val="0"/>
          <w:szCs w:val="21"/>
        </w:rPr>
        <w:t>项目需求的技术、服务条款”以及“合同条款”进行实质性变动</w:t>
      </w:r>
      <w:r>
        <w:rPr>
          <w:rFonts w:hint="eastAsia" w:asciiTheme="minorEastAsia" w:hAnsiTheme="minorEastAsia" w:eastAsiaTheme="minorEastAsia" w:cstheme="minorEastAsia"/>
          <w:color w:val="auto"/>
          <w:kern w:val="0"/>
          <w:szCs w:val="21"/>
        </w:rPr>
        <w:t>，如有实质性变动需经采购人代表现场签字确认，磋商小组将采购文件变更通知在线发给各有效供应商，供应商根据变更通知的要求作响应文件的补充文件，该补充文件是响应文件的组成部分，具有相应的法律效力。</w:t>
      </w:r>
    </w:p>
    <w:p w14:paraId="6EEDA70C">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3.2.2</w:t>
      </w:r>
      <w:r>
        <w:rPr>
          <w:rFonts w:hint="eastAsia" w:asciiTheme="minorEastAsia" w:hAnsiTheme="minorEastAsia" w:eastAsiaTheme="minorEastAsia" w:cstheme="minorEastAsia"/>
          <w:b/>
          <w:bCs/>
          <w:color w:val="auto"/>
          <w:kern w:val="0"/>
          <w:szCs w:val="21"/>
        </w:rPr>
        <w:t>各有效供应商在规定时间内在线提交第二次报价（即最终报价），磋商小组以第二次报价（即最终报价）作为价格评议的标准</w:t>
      </w:r>
      <w:r>
        <w:rPr>
          <w:rFonts w:hint="eastAsia" w:asciiTheme="minorEastAsia" w:hAnsiTheme="minorEastAsia" w:eastAsiaTheme="minorEastAsia" w:cstheme="minorEastAsia"/>
          <w:color w:val="auto"/>
          <w:kern w:val="0"/>
          <w:szCs w:val="21"/>
        </w:rPr>
        <w:t>。未</w:t>
      </w:r>
      <w:r>
        <w:rPr>
          <w:rFonts w:hint="eastAsia" w:asciiTheme="minorEastAsia" w:hAnsiTheme="minorEastAsia" w:eastAsiaTheme="minorEastAsia" w:cstheme="minorEastAsia"/>
          <w:b/>
          <w:bCs/>
          <w:color w:val="auto"/>
          <w:kern w:val="0"/>
          <w:szCs w:val="21"/>
        </w:rPr>
        <w:t>在规定时间内在线提交第二次报价（即最终报价）视为无效响应文件。</w:t>
      </w:r>
      <w:r>
        <w:rPr>
          <w:rFonts w:hint="eastAsia" w:asciiTheme="minorEastAsia" w:hAnsiTheme="minorEastAsia" w:eastAsiaTheme="minorEastAsia" w:cstheme="minorEastAsia"/>
          <w:color w:val="auto"/>
          <w:kern w:val="0"/>
          <w:szCs w:val="21"/>
        </w:rPr>
        <w:t>已提交响应文件的供应商，在提交最终报价之前，可以根据磋商情况退出磋商。</w:t>
      </w:r>
    </w:p>
    <w:p w14:paraId="17C89614">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3.2.3经磋商确定最终采购需求和提交最后报价的供应商后，由磋商小组采用综合评分法对提交最后报价的供应商的响应文件和最后报价进行综合评分。</w:t>
      </w:r>
    </w:p>
    <w:p w14:paraId="6E8641FC">
      <w:pPr>
        <w:shd w:val="clear"/>
        <w:spacing w:line="360" w:lineRule="auto"/>
        <w:ind w:firstLine="422"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b/>
          <w:color w:val="auto"/>
          <w:kern w:val="0"/>
          <w:szCs w:val="21"/>
        </w:rPr>
        <w:t>3.3 商务技术评审。</w:t>
      </w:r>
      <w:r>
        <w:rPr>
          <w:rFonts w:hint="eastAsia" w:asciiTheme="minorEastAsia" w:hAnsiTheme="minorEastAsia" w:eastAsiaTheme="minorEastAsia" w:cstheme="minorEastAsia"/>
          <w:color w:val="auto"/>
          <w:kern w:val="0"/>
          <w:szCs w:val="21"/>
        </w:rPr>
        <w:t>磋商小组应当按照</w:t>
      </w:r>
      <w:r>
        <w:rPr>
          <w:rFonts w:hint="eastAsia" w:asciiTheme="minorEastAsia" w:hAnsiTheme="minorEastAsia" w:eastAsiaTheme="minorEastAsia" w:cstheme="minorEastAsia"/>
          <w:color w:val="auto"/>
          <w:szCs w:val="21"/>
        </w:rPr>
        <w:t>竞争性磋商</w:t>
      </w:r>
      <w:r>
        <w:rPr>
          <w:rFonts w:hint="eastAsia" w:asciiTheme="minorEastAsia" w:hAnsiTheme="minorEastAsia" w:eastAsiaTheme="minorEastAsia" w:cstheme="minorEastAsia"/>
          <w:color w:val="auto"/>
          <w:kern w:val="0"/>
          <w:szCs w:val="21"/>
        </w:rPr>
        <w:t>文件中规定的评标方法和标准，对符合性审查合格的响应文件进行商务和技术评估。</w:t>
      </w:r>
    </w:p>
    <w:p w14:paraId="2E18B848">
      <w:pPr>
        <w:shd w:val="clear"/>
        <w:spacing w:line="360" w:lineRule="auto"/>
        <w:ind w:firstLine="422"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b/>
          <w:color w:val="auto"/>
          <w:kern w:val="0"/>
          <w:szCs w:val="21"/>
        </w:rPr>
        <w:t>3.4 汇总商务技术得分。</w:t>
      </w:r>
      <w:r>
        <w:rPr>
          <w:rFonts w:hint="eastAsia" w:asciiTheme="minorEastAsia" w:hAnsiTheme="minorEastAsia" w:eastAsiaTheme="minorEastAsia" w:cstheme="minorEastAsia"/>
          <w:color w:val="auto"/>
          <w:kern w:val="0"/>
          <w:szCs w:val="21"/>
        </w:rPr>
        <w:t>磋商小组各成员应当独立对每个</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kern w:val="0"/>
          <w:szCs w:val="21"/>
        </w:rPr>
        <w:t>的商务和技术文件进行评价，并汇总商务技术得分情况。</w:t>
      </w:r>
    </w:p>
    <w:p w14:paraId="472DD2D9">
      <w:pPr>
        <w:shd w:val="clear"/>
        <w:spacing w:line="360" w:lineRule="auto"/>
        <w:ind w:firstLine="422" w:firstLineChars="200"/>
        <w:rPr>
          <w:rFonts w:asciiTheme="minorEastAsia" w:hAnsiTheme="minorEastAsia" w:eastAsiaTheme="minorEastAsia" w:cstheme="minorEastAsia"/>
          <w:b/>
          <w:color w:val="auto"/>
          <w:kern w:val="0"/>
          <w:szCs w:val="21"/>
        </w:rPr>
      </w:pPr>
      <w:r>
        <w:rPr>
          <w:rFonts w:hint="eastAsia" w:asciiTheme="minorEastAsia" w:hAnsiTheme="minorEastAsia" w:eastAsiaTheme="minorEastAsia" w:cstheme="minorEastAsia"/>
          <w:b/>
          <w:color w:val="auto"/>
          <w:kern w:val="0"/>
          <w:szCs w:val="21"/>
        </w:rPr>
        <w:t>3.5 报价评审。</w:t>
      </w:r>
    </w:p>
    <w:p w14:paraId="449D3CC6">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磋商小组对供应商提交的报价进行评审。</w:t>
      </w:r>
    </w:p>
    <w:p w14:paraId="78AFFB7F">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3.5.1响应文件报价出现前后不一致的，按照下列规定修正：</w:t>
      </w:r>
    </w:p>
    <w:p w14:paraId="652272D5">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3.5.1.1电子交易平台生成的开标记录表(报价表)内容与响应文件中报价一览表(报价表)不一致的，以响应文件中报价一览表(报价表)为准；</w:t>
      </w:r>
    </w:p>
    <w:p w14:paraId="4C414BC7">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3.5.1.2响应文件中报价一览表(报价表)内容与响应文件中相应内容不一致的，以报价一览表(报价表)为准；</w:t>
      </w:r>
    </w:p>
    <w:p w14:paraId="6ADC58C6">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3.5.1.3 大写金额和小写金额不一致的，以大写金额为准;</w:t>
      </w:r>
    </w:p>
    <w:p w14:paraId="3218C09D">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3.5.1.4 单价金额小数点或者百分比有明显错位的，以报价一览表的总价为准，并修改单价;</w:t>
      </w:r>
    </w:p>
    <w:p w14:paraId="175CAAC3">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3.5.1.5同时出现两种以上不一致的，按照3.5.1规定的顺序修正。修正后的报价经</w:t>
      </w:r>
      <w:r>
        <w:rPr>
          <w:rFonts w:hint="eastAsia" w:asciiTheme="minorEastAsia" w:hAnsiTheme="minorEastAsia" w:eastAsiaTheme="minorEastAsia" w:cstheme="minorEastAsia"/>
          <w:color w:val="auto"/>
          <w:kern w:val="0"/>
          <w:sz w:val="21"/>
          <w:szCs w:val="21"/>
          <w:lang w:val="zh-CN"/>
        </w:rPr>
        <w:t>供应商</w:t>
      </w:r>
      <w:r>
        <w:rPr>
          <w:rFonts w:hint="eastAsia" w:asciiTheme="minorEastAsia" w:hAnsiTheme="minorEastAsia" w:eastAsiaTheme="minorEastAsia" w:cstheme="minorEastAsia"/>
          <w:color w:val="auto"/>
          <w:kern w:val="0"/>
          <w:sz w:val="21"/>
          <w:szCs w:val="21"/>
        </w:rPr>
        <w:t>确认后产生约束力。</w:t>
      </w:r>
    </w:p>
    <w:p w14:paraId="69ED2539">
      <w:pPr>
        <w:shd w:val="clear"/>
        <w:snapToGrid w:val="0"/>
        <w:spacing w:line="360" w:lineRule="auto"/>
        <w:ind w:firstLine="420" w:firstLineChars="200"/>
        <w:jc w:val="left"/>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3.5.2响应文件出现不是唯一的、有选择性磋商报价的，响应无效。</w:t>
      </w:r>
    </w:p>
    <w:p w14:paraId="7DF3AF78">
      <w:pPr>
        <w:shd w:val="clear"/>
        <w:snapToGrid w:val="0"/>
        <w:spacing w:line="360" w:lineRule="auto"/>
        <w:ind w:firstLine="420" w:firstLineChars="200"/>
        <w:jc w:val="left"/>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3.5.3磋商报价超过</w:t>
      </w:r>
      <w:r>
        <w:rPr>
          <w:rFonts w:hint="eastAsia" w:asciiTheme="minorEastAsia" w:hAnsiTheme="minorEastAsia" w:eastAsiaTheme="minorEastAsia" w:cstheme="minorEastAsia"/>
          <w:color w:val="auto"/>
          <w:szCs w:val="21"/>
        </w:rPr>
        <w:t>竞争性磋商</w:t>
      </w:r>
      <w:r>
        <w:rPr>
          <w:rFonts w:hint="eastAsia" w:asciiTheme="minorEastAsia" w:hAnsiTheme="minorEastAsia" w:eastAsiaTheme="minorEastAsia" w:cstheme="minorEastAsia"/>
          <w:color w:val="auto"/>
          <w:kern w:val="0"/>
          <w:szCs w:val="21"/>
        </w:rPr>
        <w:t>文件中规定的预算金额或者最高限价的，响应无效。</w:t>
      </w:r>
    </w:p>
    <w:p w14:paraId="65A2E0F4">
      <w:pPr>
        <w:pStyle w:val="51"/>
        <w:shd w:val="clear"/>
        <w:spacing w:before="120"/>
        <w:ind w:firstLine="420"/>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3.5.4磋商小组认为</w:t>
      </w:r>
      <w:r>
        <w:rPr>
          <w:rFonts w:hint="eastAsia" w:asciiTheme="minorEastAsia" w:hAnsiTheme="minorEastAsia" w:eastAsiaTheme="minorEastAsia" w:cstheme="minorEastAsia"/>
          <w:color w:val="auto"/>
          <w:kern w:val="0"/>
          <w:sz w:val="21"/>
          <w:szCs w:val="21"/>
          <w:lang w:val="zh-CN"/>
        </w:rPr>
        <w:t>供应商</w:t>
      </w:r>
      <w:r>
        <w:rPr>
          <w:rFonts w:hint="eastAsia" w:asciiTheme="minorEastAsia" w:hAnsiTheme="minorEastAsia" w:eastAsiaTheme="minorEastAsia" w:cstheme="minorEastAsia"/>
          <w:color w:val="auto"/>
          <w:kern w:val="0"/>
          <w:sz w:val="21"/>
          <w:szCs w:val="21"/>
        </w:rPr>
        <w:t>的报价明显低于其他通过符合性审查</w:t>
      </w:r>
      <w:r>
        <w:rPr>
          <w:rFonts w:hint="eastAsia" w:asciiTheme="minorEastAsia" w:hAnsiTheme="minorEastAsia" w:eastAsiaTheme="minorEastAsia" w:cstheme="minorEastAsia"/>
          <w:color w:val="auto"/>
          <w:kern w:val="0"/>
          <w:sz w:val="21"/>
          <w:szCs w:val="21"/>
          <w:lang w:val="zh-CN"/>
        </w:rPr>
        <w:t>供应商</w:t>
      </w:r>
      <w:r>
        <w:rPr>
          <w:rFonts w:hint="eastAsia" w:asciiTheme="minorEastAsia" w:hAnsiTheme="minorEastAsia" w:eastAsiaTheme="minorEastAsia" w:cstheme="minorEastAsia"/>
          <w:color w:val="auto"/>
          <w:kern w:val="0"/>
          <w:sz w:val="21"/>
          <w:szCs w:val="21"/>
        </w:rPr>
        <w:t>的报价，有可能影响产品质量或者不能诚信履约的，应当要求其在30分钟内提供书面说明，必要时提交相关证明材料;</w:t>
      </w:r>
      <w:r>
        <w:rPr>
          <w:rFonts w:hint="eastAsia" w:asciiTheme="minorEastAsia" w:hAnsiTheme="minorEastAsia" w:eastAsiaTheme="minorEastAsia" w:cstheme="minorEastAsia"/>
          <w:color w:val="auto"/>
          <w:kern w:val="0"/>
          <w:sz w:val="21"/>
          <w:szCs w:val="21"/>
          <w:lang w:val="zh-CN"/>
        </w:rPr>
        <w:t>供应商</w:t>
      </w:r>
      <w:r>
        <w:rPr>
          <w:rFonts w:hint="eastAsia" w:asciiTheme="minorEastAsia" w:hAnsiTheme="minorEastAsia" w:eastAsiaTheme="minorEastAsia" w:cstheme="minorEastAsia"/>
          <w:color w:val="auto"/>
          <w:kern w:val="0"/>
          <w:sz w:val="21"/>
          <w:szCs w:val="21"/>
        </w:rPr>
        <w:t>不能证明其报价合理性的，磋商小组应当将其作为无效响应处理。</w:t>
      </w:r>
    </w:p>
    <w:p w14:paraId="630B8B88">
      <w:pPr>
        <w:shd w:val="clear"/>
        <w:spacing w:line="360" w:lineRule="auto"/>
        <w:ind w:firstLine="422" w:firstLineChars="200"/>
        <w:rPr>
          <w:rFonts w:asciiTheme="minorEastAsia" w:hAnsiTheme="minorEastAsia" w:eastAsiaTheme="minorEastAsia" w:cstheme="minorEastAsia"/>
          <w:b/>
          <w:color w:val="auto"/>
          <w:kern w:val="0"/>
          <w:szCs w:val="21"/>
        </w:rPr>
      </w:pPr>
      <w:r>
        <w:rPr>
          <w:rFonts w:hint="eastAsia" w:asciiTheme="minorEastAsia" w:hAnsiTheme="minorEastAsia" w:eastAsiaTheme="minorEastAsia" w:cstheme="minorEastAsia"/>
          <w:b/>
          <w:color w:val="auto"/>
          <w:kern w:val="0"/>
          <w:szCs w:val="21"/>
        </w:rPr>
        <w:t>3.6</w:t>
      </w:r>
      <w:r>
        <w:rPr>
          <w:rFonts w:hint="eastAsia" w:asciiTheme="minorEastAsia" w:hAnsiTheme="minorEastAsia" w:eastAsiaTheme="minorEastAsia" w:cstheme="minorEastAsia"/>
          <w:b/>
          <w:bCs/>
          <w:color w:val="auto"/>
          <w:kern w:val="0"/>
          <w:szCs w:val="21"/>
        </w:rPr>
        <w:t>综合评议。</w:t>
      </w:r>
      <w:r>
        <w:rPr>
          <w:rFonts w:hint="eastAsia" w:asciiTheme="minorEastAsia" w:hAnsiTheme="minorEastAsia" w:eastAsiaTheme="minorEastAsia" w:cstheme="minorEastAsia"/>
          <w:color w:val="auto"/>
          <w:kern w:val="0"/>
          <w:szCs w:val="21"/>
        </w:rPr>
        <w:t>评分汇总（汇总各评委的评分，计算所有评委评出的总分的算术平均值作为供应商的综合得分）；按综合得分从高到低排序。</w:t>
      </w:r>
    </w:p>
    <w:p w14:paraId="6D3A10C0">
      <w:pPr>
        <w:shd w:val="clear"/>
        <w:spacing w:line="360" w:lineRule="auto"/>
        <w:ind w:firstLine="422"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b/>
          <w:color w:val="auto"/>
          <w:kern w:val="0"/>
          <w:szCs w:val="21"/>
        </w:rPr>
        <w:t>3.7</w:t>
      </w:r>
      <w:r>
        <w:rPr>
          <w:rFonts w:hint="eastAsia" w:asciiTheme="minorEastAsia" w:hAnsiTheme="minorEastAsia" w:eastAsiaTheme="minorEastAsia" w:cstheme="minorEastAsia"/>
          <w:b/>
          <w:bCs/>
          <w:color w:val="auto"/>
          <w:kern w:val="0"/>
          <w:szCs w:val="21"/>
        </w:rPr>
        <w:t>磋商小组根据综合评分情况</w:t>
      </w:r>
      <w:r>
        <w:rPr>
          <w:rFonts w:hint="eastAsia" w:asciiTheme="minorEastAsia" w:hAnsiTheme="minorEastAsia" w:eastAsiaTheme="minorEastAsia" w:cstheme="minorEastAsia"/>
          <w:color w:val="auto"/>
          <w:kern w:val="0"/>
          <w:szCs w:val="21"/>
        </w:rPr>
        <w:t>，按照评审得分由高到低顺序推荐3名成交候选供应商。评审得分相同的，按照最后报价由低到高的顺序推荐。评审得分且最后报价相同的，按照技术指标优劣顺序推荐。</w:t>
      </w:r>
    </w:p>
    <w:p w14:paraId="57108756">
      <w:pPr>
        <w:shd w:val="clear"/>
        <w:spacing w:line="360" w:lineRule="auto"/>
        <w:ind w:firstLine="422"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b/>
          <w:color w:val="auto"/>
          <w:kern w:val="0"/>
          <w:szCs w:val="21"/>
        </w:rPr>
        <w:t>3.8编写评标报告。</w:t>
      </w:r>
      <w:r>
        <w:rPr>
          <w:rFonts w:hint="eastAsia" w:asciiTheme="minorEastAsia" w:hAnsiTheme="minorEastAsia" w:eastAsiaTheme="minorEastAsia" w:cstheme="minorEastAsia"/>
          <w:color w:val="auto"/>
          <w:kern w:val="0"/>
          <w:szCs w:val="21"/>
        </w:rPr>
        <w:t>根据全体磋商小组成员签字的原始评审记录和评审结果编写评审报告，评审报告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7A845E1B">
      <w:pPr>
        <w:shd w:val="clear"/>
        <w:snapToGrid w:val="0"/>
        <w:spacing w:line="360" w:lineRule="auto"/>
        <w:ind w:left="120" w:leftChars="57" w:firstLine="482" w:firstLineChars="150"/>
        <w:jc w:val="center"/>
        <w:rPr>
          <w:rFonts w:asciiTheme="minorEastAsia" w:hAnsiTheme="minorEastAsia" w:eastAsiaTheme="minorEastAsia" w:cstheme="minorEastAsia"/>
          <w:b/>
          <w:color w:val="auto"/>
          <w:sz w:val="32"/>
        </w:rPr>
      </w:pPr>
      <w:r>
        <w:rPr>
          <w:rFonts w:hint="eastAsia" w:asciiTheme="minorEastAsia" w:hAnsiTheme="minorEastAsia" w:eastAsiaTheme="minorEastAsia" w:cstheme="minorEastAsia"/>
          <w:b/>
          <w:color w:val="auto"/>
          <w:sz w:val="32"/>
        </w:rPr>
        <w:t>四、评审中的其他事项</w:t>
      </w:r>
    </w:p>
    <w:p w14:paraId="480AC2F8">
      <w:pPr>
        <w:pStyle w:val="51"/>
        <w:shd w:val="clear"/>
        <w:spacing w:before="120"/>
        <w:ind w:firstLine="422"/>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b/>
          <w:color w:val="auto"/>
          <w:kern w:val="0"/>
          <w:sz w:val="21"/>
          <w:szCs w:val="21"/>
        </w:rPr>
        <w:t>4.1响应澄清、说明或者补正。</w:t>
      </w:r>
      <w:r>
        <w:rPr>
          <w:rFonts w:hint="eastAsia" w:asciiTheme="minorEastAsia" w:hAnsiTheme="minorEastAsia" w:eastAsiaTheme="minorEastAsia" w:cstheme="minorEastAsia"/>
          <w:color w:val="auto"/>
          <w:kern w:val="0"/>
          <w:sz w:val="21"/>
          <w:szCs w:val="21"/>
        </w:rPr>
        <w:t>对于响应文件中含义不明确、同类问题表述不一致或者有明显文字和计算错误的内容需要</w:t>
      </w:r>
      <w:r>
        <w:rPr>
          <w:rFonts w:hint="eastAsia" w:asciiTheme="minorEastAsia" w:hAnsiTheme="minorEastAsia" w:eastAsiaTheme="minorEastAsia" w:cstheme="minorEastAsia"/>
          <w:color w:val="auto"/>
          <w:kern w:val="0"/>
          <w:sz w:val="21"/>
          <w:szCs w:val="21"/>
          <w:lang w:val="zh-CN"/>
        </w:rPr>
        <w:t>供应商</w:t>
      </w:r>
      <w:r>
        <w:rPr>
          <w:rFonts w:hint="eastAsia" w:asciiTheme="minorEastAsia" w:hAnsiTheme="minorEastAsia" w:eastAsiaTheme="minorEastAsia" w:cstheme="minorEastAsia"/>
          <w:color w:val="auto"/>
          <w:kern w:val="0"/>
          <w:sz w:val="21"/>
          <w:szCs w:val="21"/>
        </w:rPr>
        <w:t>作出必要的澄清、说明或者补正的，磋商小组和</w:t>
      </w:r>
      <w:r>
        <w:rPr>
          <w:rFonts w:hint="eastAsia" w:asciiTheme="minorEastAsia" w:hAnsiTheme="minorEastAsia" w:eastAsiaTheme="minorEastAsia" w:cstheme="minorEastAsia"/>
          <w:color w:val="auto"/>
          <w:kern w:val="0"/>
          <w:sz w:val="21"/>
          <w:szCs w:val="21"/>
          <w:lang w:val="zh-CN"/>
        </w:rPr>
        <w:t>供应商</w:t>
      </w:r>
      <w:r>
        <w:rPr>
          <w:rFonts w:hint="eastAsia" w:asciiTheme="minorEastAsia" w:hAnsiTheme="minorEastAsia" w:eastAsiaTheme="minorEastAsia" w:cstheme="minorEastAsia"/>
          <w:color w:val="auto"/>
          <w:kern w:val="0"/>
          <w:sz w:val="21"/>
          <w:szCs w:val="21"/>
        </w:rPr>
        <w:t>通过电子交易平台交换数据电文，</w:t>
      </w:r>
      <w:r>
        <w:rPr>
          <w:rFonts w:hint="eastAsia" w:asciiTheme="minorEastAsia" w:hAnsiTheme="minorEastAsia" w:eastAsiaTheme="minorEastAsia" w:cstheme="minorEastAsia"/>
          <w:color w:val="auto"/>
          <w:kern w:val="0"/>
          <w:sz w:val="21"/>
          <w:szCs w:val="21"/>
          <w:lang w:val="zh-CN"/>
        </w:rPr>
        <w:t>供应商</w:t>
      </w:r>
      <w:r>
        <w:rPr>
          <w:rFonts w:hint="eastAsia" w:asciiTheme="minorEastAsia" w:hAnsiTheme="minorEastAsia" w:eastAsiaTheme="minorEastAsia" w:cstheme="minorEastAsia"/>
          <w:color w:val="auto"/>
          <w:kern w:val="0"/>
          <w:sz w:val="21"/>
          <w:szCs w:val="21"/>
        </w:rPr>
        <w:t>提交使用电子签名的相关数据电文或通过平台上传加盖公章的扫描件。给予</w:t>
      </w:r>
      <w:r>
        <w:rPr>
          <w:rFonts w:hint="eastAsia" w:asciiTheme="minorEastAsia" w:hAnsiTheme="minorEastAsia" w:eastAsiaTheme="minorEastAsia" w:cstheme="minorEastAsia"/>
          <w:color w:val="auto"/>
          <w:kern w:val="0"/>
          <w:sz w:val="21"/>
          <w:szCs w:val="21"/>
          <w:lang w:val="zh-CN"/>
        </w:rPr>
        <w:t>供应商</w:t>
      </w:r>
      <w:r>
        <w:rPr>
          <w:rFonts w:hint="eastAsia" w:asciiTheme="minorEastAsia" w:hAnsiTheme="minorEastAsia" w:eastAsiaTheme="minorEastAsia" w:cstheme="minorEastAsia"/>
          <w:color w:val="auto"/>
          <w:kern w:val="0"/>
          <w:sz w:val="21"/>
          <w:szCs w:val="21"/>
        </w:rPr>
        <w:t>提交澄清、说明或补正的时间不得少于半小时，</w:t>
      </w:r>
      <w:r>
        <w:rPr>
          <w:rFonts w:hint="eastAsia" w:asciiTheme="minorEastAsia" w:hAnsiTheme="minorEastAsia" w:eastAsiaTheme="minorEastAsia" w:cstheme="minorEastAsia"/>
          <w:color w:val="auto"/>
          <w:kern w:val="0"/>
          <w:sz w:val="21"/>
          <w:szCs w:val="21"/>
          <w:lang w:val="zh-CN"/>
        </w:rPr>
        <w:t>供应商</w:t>
      </w:r>
      <w:r>
        <w:rPr>
          <w:rFonts w:hint="eastAsia" w:asciiTheme="minorEastAsia" w:hAnsiTheme="minorEastAsia" w:eastAsiaTheme="minorEastAsia" w:cstheme="minorEastAsia"/>
          <w:color w:val="auto"/>
          <w:kern w:val="0"/>
          <w:sz w:val="21"/>
          <w:szCs w:val="21"/>
        </w:rPr>
        <w:t>已经明确表示澄清说明或补正完毕的除外。</w:t>
      </w:r>
      <w:r>
        <w:rPr>
          <w:rFonts w:hint="eastAsia" w:asciiTheme="minorEastAsia" w:hAnsiTheme="minorEastAsia" w:eastAsiaTheme="minorEastAsia" w:cstheme="minorEastAsia"/>
          <w:color w:val="auto"/>
          <w:kern w:val="0"/>
          <w:sz w:val="21"/>
          <w:szCs w:val="21"/>
          <w:lang w:val="zh-CN"/>
        </w:rPr>
        <w:t>供应商</w:t>
      </w:r>
      <w:r>
        <w:rPr>
          <w:rFonts w:hint="eastAsia" w:asciiTheme="minorEastAsia" w:hAnsiTheme="minorEastAsia" w:eastAsiaTheme="minorEastAsia" w:cstheme="minorEastAsia"/>
          <w:color w:val="auto"/>
          <w:kern w:val="0"/>
          <w:sz w:val="21"/>
          <w:szCs w:val="21"/>
        </w:rPr>
        <w:t>的澄清、说明或者补正不得超出响应文件的范围或者改变响应文件的实质性内容。</w:t>
      </w:r>
    </w:p>
    <w:p w14:paraId="0AC42692">
      <w:pPr>
        <w:pStyle w:val="10"/>
        <w:shd w:val="clear"/>
        <w:spacing w:line="360" w:lineRule="auto"/>
        <w:ind w:firstLine="422"/>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b/>
          <w:color w:val="auto"/>
          <w:kern w:val="0"/>
          <w:sz w:val="21"/>
          <w:szCs w:val="21"/>
        </w:rPr>
        <w:t>4.2响应无效的情形。</w:t>
      </w:r>
    </w:p>
    <w:p w14:paraId="432AE7B9">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4.2.1 没有响应</w:t>
      </w:r>
      <w:r>
        <w:rPr>
          <w:rFonts w:hint="eastAsia" w:asciiTheme="minorEastAsia" w:hAnsiTheme="minorEastAsia" w:eastAsiaTheme="minorEastAsia" w:cstheme="minorEastAsia"/>
          <w:color w:val="auto"/>
          <w:szCs w:val="21"/>
        </w:rPr>
        <w:t>竞争性磋商</w:t>
      </w:r>
      <w:r>
        <w:rPr>
          <w:rFonts w:hint="eastAsia" w:asciiTheme="minorEastAsia" w:hAnsiTheme="minorEastAsia" w:eastAsiaTheme="minorEastAsia" w:cstheme="minorEastAsia"/>
          <w:color w:val="auto"/>
          <w:kern w:val="0"/>
          <w:szCs w:val="21"/>
        </w:rPr>
        <w:t>文件实质性要求的响应将被视为无效响应。</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kern w:val="0"/>
          <w:szCs w:val="21"/>
        </w:rPr>
        <w:t>不得通过修正或撤销不合要求的偏离或保留从而使其磋商响应成为实质上响应的磋商，但经磋商小组认定属于</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kern w:val="0"/>
          <w:szCs w:val="21"/>
        </w:rPr>
        <w:t>疏忽、笔误所造成的差错，可允许其在评标结束之前进行修改或者补正（可以是复印件、传真件等，原件必须加盖单位公章）。修改或者补正响应文件必须以书面形式进行，并应在成交结果公告之前查核原件。限期内不补正或经补正后仍不符合</w:t>
      </w:r>
      <w:r>
        <w:rPr>
          <w:rFonts w:hint="eastAsia" w:asciiTheme="minorEastAsia" w:hAnsiTheme="minorEastAsia" w:eastAsiaTheme="minorEastAsia" w:cstheme="minorEastAsia"/>
          <w:color w:val="auto"/>
          <w:szCs w:val="21"/>
        </w:rPr>
        <w:t>竞争性磋商</w:t>
      </w:r>
      <w:r>
        <w:rPr>
          <w:rFonts w:hint="eastAsia" w:asciiTheme="minorEastAsia" w:hAnsiTheme="minorEastAsia" w:eastAsiaTheme="minorEastAsia" w:cstheme="minorEastAsia"/>
          <w:color w:val="auto"/>
          <w:kern w:val="0"/>
          <w:szCs w:val="21"/>
        </w:rPr>
        <w:t>文件要求的，应认定其响应无效。</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kern w:val="0"/>
          <w:szCs w:val="21"/>
        </w:rPr>
        <w:t>修改、补正响应文件后，不影响磋商小组对其响应文件所作的评价和评分结果。</w:t>
      </w:r>
    </w:p>
    <w:p w14:paraId="591EF0AC">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4.2.2 在电子开评标时，如发现下列情形之一的，将被视为无效响应文件：</w:t>
      </w:r>
    </w:p>
    <w:p w14:paraId="7E5C8CE2">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4.2.2.1电子磋商响应文件解密失败的；</w:t>
      </w:r>
    </w:p>
    <w:p w14:paraId="76228B00">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4.2.2.2响应文件未按</w:t>
      </w:r>
      <w:r>
        <w:rPr>
          <w:rFonts w:hint="eastAsia" w:asciiTheme="minorEastAsia" w:hAnsiTheme="minorEastAsia" w:eastAsiaTheme="minorEastAsia" w:cstheme="minorEastAsia"/>
          <w:color w:val="auto"/>
          <w:szCs w:val="21"/>
        </w:rPr>
        <w:t>竞争性磋商</w:t>
      </w:r>
      <w:r>
        <w:rPr>
          <w:rFonts w:hint="eastAsia" w:asciiTheme="minorEastAsia" w:hAnsiTheme="minorEastAsia" w:eastAsiaTheme="minorEastAsia" w:cstheme="minorEastAsia"/>
          <w:color w:val="auto"/>
          <w:kern w:val="0"/>
          <w:szCs w:val="21"/>
        </w:rPr>
        <w:t>文件要求加密、签字、盖章的；</w:t>
      </w:r>
    </w:p>
    <w:p w14:paraId="7A836014">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4.2.3 在资格审查、符合性审查和商务评审时，如发现下列情形之一的，将被视为无效响应文件：</w:t>
      </w:r>
    </w:p>
    <w:p w14:paraId="43C2E4C7">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4.2.3.1 资格证明文件不全的或者不符合</w:t>
      </w:r>
      <w:r>
        <w:rPr>
          <w:rFonts w:hint="eastAsia" w:asciiTheme="minorEastAsia" w:hAnsiTheme="minorEastAsia" w:eastAsiaTheme="minorEastAsia" w:cstheme="minorEastAsia"/>
          <w:color w:val="auto"/>
          <w:szCs w:val="21"/>
        </w:rPr>
        <w:t>竞争性磋商</w:t>
      </w:r>
      <w:r>
        <w:rPr>
          <w:rFonts w:hint="eastAsia" w:asciiTheme="minorEastAsia" w:hAnsiTheme="minorEastAsia" w:eastAsiaTheme="minorEastAsia" w:cstheme="minorEastAsia"/>
          <w:color w:val="auto"/>
          <w:kern w:val="0"/>
          <w:szCs w:val="21"/>
        </w:rPr>
        <w:t>文件标明的资格要求的；</w:t>
      </w:r>
    </w:p>
    <w:p w14:paraId="51206636">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4.2.3.2 响应文件未按</w:t>
      </w:r>
      <w:r>
        <w:rPr>
          <w:rFonts w:hint="eastAsia" w:asciiTheme="minorEastAsia" w:hAnsiTheme="minorEastAsia" w:eastAsiaTheme="minorEastAsia" w:cstheme="minorEastAsia"/>
          <w:color w:val="auto"/>
          <w:szCs w:val="21"/>
        </w:rPr>
        <w:t>竞争性磋商</w:t>
      </w:r>
      <w:r>
        <w:rPr>
          <w:rFonts w:hint="eastAsia" w:asciiTheme="minorEastAsia" w:hAnsiTheme="minorEastAsia" w:eastAsiaTheme="minorEastAsia" w:cstheme="minorEastAsia"/>
          <w:color w:val="auto"/>
          <w:kern w:val="0"/>
          <w:szCs w:val="21"/>
        </w:rPr>
        <w:t>文件要求签署、盖章的；</w:t>
      </w:r>
    </w:p>
    <w:p w14:paraId="5FBD2FDC">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4.2.3.3 响应代表人未能出具身份证明或身份证明与法定代表授权委托书不符的。</w:t>
      </w:r>
    </w:p>
    <w:p w14:paraId="2B1242F9">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4.2.3.4 响应文件格式不规范、项目不齐全或者内容虚假的；</w:t>
      </w:r>
    </w:p>
    <w:p w14:paraId="64BE53A3">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4.2.3.5 响应文件的实质性内容未使用中文表述、意思表述不明确、前后矛盾或者使用计量单位不符合</w:t>
      </w:r>
      <w:r>
        <w:rPr>
          <w:rFonts w:hint="eastAsia" w:asciiTheme="minorEastAsia" w:hAnsiTheme="minorEastAsia" w:eastAsiaTheme="minorEastAsia" w:cstheme="minorEastAsia"/>
          <w:color w:val="auto"/>
          <w:szCs w:val="21"/>
        </w:rPr>
        <w:t>竞争性磋商</w:t>
      </w:r>
      <w:r>
        <w:rPr>
          <w:rFonts w:hint="eastAsia" w:asciiTheme="minorEastAsia" w:hAnsiTheme="minorEastAsia" w:eastAsiaTheme="minorEastAsia" w:cstheme="minorEastAsia"/>
          <w:color w:val="auto"/>
          <w:kern w:val="0"/>
          <w:szCs w:val="21"/>
        </w:rPr>
        <w:t>文件要求的（经磋商小组认定并允许其当场更正的笔误除外）；</w:t>
      </w:r>
    </w:p>
    <w:p w14:paraId="6FAA026A">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4.2.3.6 响应有效期、交货时间、质保期等商务条款不能满足</w:t>
      </w:r>
      <w:r>
        <w:rPr>
          <w:rFonts w:hint="eastAsia" w:asciiTheme="minorEastAsia" w:hAnsiTheme="minorEastAsia" w:eastAsiaTheme="minorEastAsia" w:cstheme="minorEastAsia"/>
          <w:color w:val="auto"/>
          <w:szCs w:val="21"/>
        </w:rPr>
        <w:t>竞争性磋商</w:t>
      </w:r>
      <w:r>
        <w:rPr>
          <w:rFonts w:hint="eastAsia" w:asciiTheme="minorEastAsia" w:hAnsiTheme="minorEastAsia" w:eastAsiaTheme="minorEastAsia" w:cstheme="minorEastAsia"/>
          <w:color w:val="auto"/>
          <w:kern w:val="0"/>
          <w:szCs w:val="21"/>
        </w:rPr>
        <w:t>文件要求的；</w:t>
      </w:r>
    </w:p>
    <w:p w14:paraId="0120B764">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4.2.3.7 带“▲”的条款不能满足</w:t>
      </w:r>
      <w:r>
        <w:rPr>
          <w:rFonts w:hint="eastAsia" w:asciiTheme="minorEastAsia" w:hAnsiTheme="minorEastAsia" w:eastAsiaTheme="minorEastAsia" w:cstheme="minorEastAsia"/>
          <w:color w:val="auto"/>
          <w:szCs w:val="21"/>
        </w:rPr>
        <w:t>竞争性磋商</w:t>
      </w:r>
      <w:r>
        <w:rPr>
          <w:rFonts w:hint="eastAsia" w:asciiTheme="minorEastAsia" w:hAnsiTheme="minorEastAsia" w:eastAsiaTheme="minorEastAsia" w:cstheme="minorEastAsia"/>
          <w:color w:val="auto"/>
          <w:kern w:val="0"/>
          <w:szCs w:val="21"/>
        </w:rPr>
        <w:t>文件要求、未实质性响应</w:t>
      </w:r>
      <w:r>
        <w:rPr>
          <w:rFonts w:hint="eastAsia" w:asciiTheme="minorEastAsia" w:hAnsiTheme="minorEastAsia" w:eastAsiaTheme="minorEastAsia" w:cstheme="minorEastAsia"/>
          <w:color w:val="auto"/>
          <w:szCs w:val="21"/>
        </w:rPr>
        <w:t>竞争性磋商</w:t>
      </w:r>
      <w:r>
        <w:rPr>
          <w:rFonts w:hint="eastAsia" w:asciiTheme="minorEastAsia" w:hAnsiTheme="minorEastAsia" w:eastAsiaTheme="minorEastAsia" w:cstheme="minorEastAsia"/>
          <w:color w:val="auto"/>
          <w:kern w:val="0"/>
          <w:szCs w:val="21"/>
        </w:rPr>
        <w:t>文件要求或者响应文件有采购人不能接受的附加条件的；</w:t>
      </w:r>
    </w:p>
    <w:p w14:paraId="7DE46B1F">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4.2.3.8 单位负责人为同一人或者存在直接控股、管理关系的不同供应商参加同一合同项下的采购活动的；</w:t>
      </w:r>
    </w:p>
    <w:p w14:paraId="72652E8E">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4.2.3.9 为采购项目提供整体设计、规范编制或者项目管理、监理、检测等服务的供应商参加该采购项目的其他采购活动的；</w:t>
      </w:r>
    </w:p>
    <w:p w14:paraId="2B96B2E7">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4.2.3.10 商务技术文件中出现本项目磋商报价或单价的。</w:t>
      </w:r>
    </w:p>
    <w:p w14:paraId="3A1C5AD2">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4.3.在技术评审时，如发现下列情形之一的，将被视为无效响应文件：</w:t>
      </w:r>
    </w:p>
    <w:p w14:paraId="30E16CA4">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4.3.1未提供或未如实提供磋商货物的技术参数，或者响应文件标明的响应或偏离与事实不符或虚假响应的；</w:t>
      </w:r>
    </w:p>
    <w:p w14:paraId="14336873">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4.3.2 明显不符合竞争性磋商文件要求的规格型号、质量标准，或者与竞争性磋商文件中标“▲”的技术指标、主要功能项目发生实质性偏离的；</w:t>
      </w:r>
    </w:p>
    <w:p w14:paraId="15016DE5">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4.3.3 允许偏离的技术、性能指标或辅助功能项目发生负偏离达12项（含）以上的；</w:t>
      </w:r>
    </w:p>
    <w:p w14:paraId="5084AC22">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4.3.4 技术方案不明确，存在一个或一个以上备选（替代）技术方案的；</w:t>
      </w:r>
    </w:p>
    <w:p w14:paraId="60A0D4C2">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4.3.5 与其他参加本次磋商</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kern w:val="0"/>
          <w:szCs w:val="21"/>
        </w:rPr>
        <w:t>的响应文件（技术文件）的文字表述内容差错相同2处以上的；</w:t>
      </w:r>
    </w:p>
    <w:p w14:paraId="680C6649">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4.3.6 采购人拟采购的产品属于政府强制采购的节能产品品目清单范围的，</w:t>
      </w:r>
      <w:r>
        <w:rPr>
          <w:rFonts w:hint="eastAsia" w:asciiTheme="minorEastAsia" w:hAnsiTheme="minorEastAsia" w:eastAsiaTheme="minorEastAsia" w:cstheme="minorEastAsia"/>
          <w:color w:val="auto"/>
          <w:kern w:val="0"/>
          <w:szCs w:val="21"/>
          <w:lang w:val="zh-CN"/>
        </w:rPr>
        <w:t>供应商</w:t>
      </w:r>
      <w:r>
        <w:rPr>
          <w:rFonts w:hint="eastAsia" w:asciiTheme="minorEastAsia" w:hAnsiTheme="minorEastAsia" w:eastAsiaTheme="minorEastAsia" w:cstheme="minorEastAsia"/>
          <w:color w:val="auto"/>
          <w:kern w:val="0"/>
          <w:szCs w:val="21"/>
        </w:rPr>
        <w:t>未按竞争性磋商文件要求提供国家确定的认证机构出具的、处于有效期之内的节能产品认证证书的。</w:t>
      </w:r>
    </w:p>
    <w:p w14:paraId="28DD89E2">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4.4 在报价评审时，如发现下列情形之一的，响应文件将被视为无效：</w:t>
      </w:r>
    </w:p>
    <w:p w14:paraId="6EF41323">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4.4.1 未采用人民币报价或者未按照竞争性磋商文件标明的币种报价的；</w:t>
      </w:r>
    </w:p>
    <w:p w14:paraId="57364F86">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4.4.2 报价超过</w:t>
      </w:r>
      <w:r>
        <w:rPr>
          <w:rFonts w:hint="eastAsia" w:ascii="宋体" w:hAnsi="宋体" w:cs="宋体"/>
          <w:bCs/>
          <w:snapToGrid w:val="0"/>
          <w:color w:val="auto"/>
          <w:szCs w:val="21"/>
        </w:rPr>
        <w:t>最高综合折扣的</w:t>
      </w:r>
      <w:r>
        <w:rPr>
          <w:rFonts w:hint="eastAsia" w:asciiTheme="minorEastAsia" w:hAnsiTheme="minorEastAsia" w:eastAsiaTheme="minorEastAsia" w:cstheme="minorEastAsia"/>
          <w:color w:val="auto"/>
          <w:kern w:val="0"/>
          <w:szCs w:val="21"/>
        </w:rPr>
        <w:t>；</w:t>
      </w:r>
    </w:p>
    <w:p w14:paraId="7D37447E">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4.4.3 磋商报价具有选择性的；</w:t>
      </w:r>
    </w:p>
    <w:p w14:paraId="253B867D">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4.4.4 磋商报价中出现缺项、漏项或被磋商小组认定为有可能影响产品质量或者不能诚信履约的且不能在合理的时间内证明其报价合理性的；</w:t>
      </w:r>
    </w:p>
    <w:p w14:paraId="6C5050E8">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4.4.5供应商对根据修正原则修正后的报价不确认的。</w:t>
      </w:r>
    </w:p>
    <w:p w14:paraId="0869B607">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4.5其他无效情形：</w:t>
      </w:r>
    </w:p>
    <w:p w14:paraId="673C38A7">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4.5.1 不同供应商的磋商响应文件出自同一终端设备或在相同Internet主机分配地址（相同IP地址）进行网上报名、投标的；不同供应商的电子投标（响应）文件上传计算机的网卡MAC地址或硬盘序列号等硬件信息相同的；</w:t>
      </w:r>
    </w:p>
    <w:p w14:paraId="1BE0F140">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4.5.2 上传的电子投标（响应）文件若出现使用本项目其他投标（响应）供应商的数字证书加密的，或者加盖本项目其他投标（响应）供应商的电子印章的；</w:t>
      </w:r>
    </w:p>
    <w:p w14:paraId="08C67F04">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4.5.3 不同供应商的投标（响应）文件的内容存在3处（含）以上错误一致的；</w:t>
      </w:r>
    </w:p>
    <w:p w14:paraId="14826F9A">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4.5.4 不同供应商联系人为同一人或不同联系人的联系电话一致的；</w:t>
      </w:r>
    </w:p>
    <w:p w14:paraId="0B925048">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4.5.5 法律、法规、规章（适用本市的）及省级以上规范性文件（适用本市的）规定的其他无效情形。</w:t>
      </w:r>
    </w:p>
    <w:p w14:paraId="5A38BE41">
      <w:pPr>
        <w:shd w:val="clear"/>
        <w:spacing w:line="360" w:lineRule="auto"/>
        <w:ind w:firstLine="422"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b/>
          <w:color w:val="auto"/>
          <w:szCs w:val="21"/>
        </w:rPr>
        <w:t>5.采购终止的情形。</w:t>
      </w:r>
      <w:r>
        <w:rPr>
          <w:rFonts w:hint="eastAsia" w:asciiTheme="minorEastAsia" w:hAnsiTheme="minorEastAsia" w:eastAsiaTheme="minorEastAsia" w:cstheme="minorEastAsia"/>
          <w:color w:val="auto"/>
          <w:kern w:val="0"/>
          <w:szCs w:val="21"/>
        </w:rPr>
        <w:t>在本项目磋商采购中，出现下列情形之一的，应当终止竞争性磋商采购活动，发布项目终止公告并说明原因，重新开展采购活动：</w:t>
      </w:r>
    </w:p>
    <w:p w14:paraId="25E99976">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5.1因情况变化，不再符合规定的竞争性磋商采购方式适用情形的；</w:t>
      </w:r>
    </w:p>
    <w:p w14:paraId="47CB7080">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5.2出现影响采购公正的违法、违规行为的；</w:t>
      </w:r>
    </w:p>
    <w:p w14:paraId="201F32E4">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5.3除《政府采购竞争性磋商采购方式管理暂行办法》第二十一条第三款和《财政部关于政府采购竞争性磋商采购方式管理暂行办法有关问题的补充通知》规定的情形外，在采购过程中符合要求的供应商或者报价未超过采购预算的供应商不足3家的。</w:t>
      </w:r>
    </w:p>
    <w:p w14:paraId="0BE0C776">
      <w:pPr>
        <w:shd w:val="clear"/>
        <w:spacing w:line="360" w:lineRule="auto"/>
        <w:ind w:firstLine="420" w:firstLineChars="200"/>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5.4电子交易平台无法正常运行，无法保证电子交易的公平、公正和安全的情况。</w:t>
      </w:r>
    </w:p>
    <w:p w14:paraId="5DFD740E">
      <w:pPr>
        <w:pStyle w:val="10"/>
        <w:shd w:val="clear"/>
        <w:snapToGrid w:val="0"/>
        <w:spacing w:line="360" w:lineRule="auto"/>
        <w:ind w:firstLine="422"/>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b/>
          <w:color w:val="auto"/>
          <w:sz w:val="21"/>
          <w:szCs w:val="21"/>
        </w:rPr>
        <w:t>6.修改竞争性磋商文件，重新组织采购活动。</w:t>
      </w:r>
      <w:r>
        <w:rPr>
          <w:rFonts w:hint="eastAsia" w:asciiTheme="minorEastAsia" w:hAnsiTheme="minorEastAsia" w:eastAsiaTheme="minorEastAsia" w:cstheme="minorEastAsia"/>
          <w:color w:val="auto"/>
          <w:sz w:val="21"/>
          <w:szCs w:val="21"/>
        </w:rPr>
        <w:t>磋商小组发现竞争性磋商文件存在歧义、重大缺陷导致评标工作无法进行，或者竞争性磋商文件内容违反国家有关强制性规定的，将停止评标工作，并与采购人、采购代理机构沟通并作书面记录。采购人、采购代理机构确认后，将修改竞争性磋商文件，重新组织采购活动。</w:t>
      </w:r>
    </w:p>
    <w:p w14:paraId="33B7C184">
      <w:pPr>
        <w:pStyle w:val="10"/>
        <w:shd w:val="clear"/>
        <w:adjustRightInd w:val="0"/>
        <w:snapToGrid w:val="0"/>
        <w:spacing w:line="360" w:lineRule="auto"/>
        <w:ind w:firstLine="422"/>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b/>
          <w:color w:val="auto"/>
          <w:kern w:val="0"/>
          <w:sz w:val="21"/>
          <w:szCs w:val="21"/>
        </w:rPr>
        <w:t>7.重新开展采购。</w:t>
      </w:r>
      <w:r>
        <w:rPr>
          <w:rFonts w:hint="eastAsia" w:asciiTheme="minorEastAsia" w:hAnsiTheme="minorEastAsia" w:eastAsiaTheme="minorEastAsia" w:cstheme="minorEastAsia"/>
          <w:color w:val="auto"/>
          <w:sz w:val="21"/>
          <w:szCs w:val="21"/>
        </w:rPr>
        <w:t>有政府采购法第七十一条、第七十二条规定的违法行为之一，影响或者可能影响中标、成交结果的，依照下列规定处理：</w:t>
      </w:r>
    </w:p>
    <w:p w14:paraId="1827AA28">
      <w:pPr>
        <w:pStyle w:val="10"/>
        <w:shd w:val="clear"/>
        <w:adjustRightInd w:val="0"/>
        <w:snapToGrid w:val="0"/>
        <w:spacing w:line="360" w:lineRule="auto"/>
        <w:ind w:firstLine="420"/>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7.1未确定成交或者成交人的，终止本次采购活动，重新开展采购活动。</w:t>
      </w:r>
    </w:p>
    <w:p w14:paraId="2F57731C">
      <w:pPr>
        <w:pStyle w:val="10"/>
        <w:shd w:val="clear"/>
        <w:adjustRightInd w:val="0"/>
        <w:snapToGrid w:val="0"/>
        <w:spacing w:line="360" w:lineRule="auto"/>
        <w:ind w:firstLine="420"/>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7.2已确定成交或者成交人但尚未签订采购合同的，成交或者成交结果无效，重新开展采购活动。</w:t>
      </w:r>
    </w:p>
    <w:p w14:paraId="2E5C42C6">
      <w:pPr>
        <w:pStyle w:val="10"/>
        <w:shd w:val="clear"/>
        <w:adjustRightInd w:val="0"/>
        <w:snapToGrid w:val="0"/>
        <w:spacing w:line="360" w:lineRule="auto"/>
        <w:ind w:firstLine="420"/>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7.3采购合同已签订但尚未履行的，撤销合同，重新开展采购活动。</w:t>
      </w:r>
    </w:p>
    <w:p w14:paraId="0F889FCB">
      <w:pPr>
        <w:pStyle w:val="10"/>
        <w:shd w:val="clear"/>
        <w:adjustRightInd w:val="0"/>
        <w:snapToGrid w:val="0"/>
        <w:spacing w:line="360" w:lineRule="auto"/>
        <w:ind w:firstLine="420"/>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7.4采购合同已经履行，给采购人、供应商造成损失的，由责任人承担赔偿责任。</w:t>
      </w:r>
    </w:p>
    <w:p w14:paraId="47254F5A">
      <w:pPr>
        <w:pStyle w:val="10"/>
        <w:shd w:val="clear"/>
        <w:adjustRightInd w:val="0"/>
        <w:snapToGrid w:val="0"/>
        <w:spacing w:line="360" w:lineRule="auto"/>
        <w:ind w:firstLine="420"/>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7.5采购当事人有其他违反采购法</w:t>
      </w:r>
      <w:r>
        <w:rPr>
          <w:rFonts w:hint="eastAsia" w:asciiTheme="minorEastAsia" w:hAnsiTheme="minorEastAsia" w:eastAsiaTheme="minorEastAsia" w:cstheme="minorEastAsia"/>
          <w:color w:val="auto"/>
          <w:kern w:val="0"/>
          <w:sz w:val="21"/>
          <w:szCs w:val="21"/>
        </w:rPr>
        <w:t>或者政府采购法实施条例等法律法规规定</w:t>
      </w:r>
      <w:r>
        <w:rPr>
          <w:rFonts w:hint="eastAsia" w:asciiTheme="minorEastAsia" w:hAnsiTheme="minorEastAsia" w:eastAsiaTheme="minorEastAsia" w:cstheme="minorEastAsia"/>
          <w:color w:val="auto"/>
          <w:sz w:val="21"/>
          <w:szCs w:val="21"/>
        </w:rPr>
        <w:t>的行为，经改正后仍然影响或者可能影响中标、成交结果或者依法被认定为中标、成交无效的，依照7.1-7.4规定处理。</w:t>
      </w:r>
    </w:p>
    <w:p w14:paraId="3DCBBF05">
      <w:pPr>
        <w:pStyle w:val="10"/>
        <w:numPr>
          <w:ilvl w:val="0"/>
          <w:numId w:val="4"/>
        </w:numPr>
        <w:shd w:val="clear"/>
        <w:adjustRightInd w:val="0"/>
        <w:snapToGrid w:val="0"/>
        <w:spacing w:line="360" w:lineRule="auto"/>
        <w:ind w:firstLine="0" w:firstLineChars="0"/>
        <w:jc w:val="center"/>
        <w:rPr>
          <w:rFonts w:asciiTheme="minorEastAsia" w:hAnsiTheme="minorEastAsia" w:eastAsiaTheme="minorEastAsia" w:cstheme="minorEastAsia"/>
          <w:b/>
          <w:color w:val="auto"/>
          <w:sz w:val="36"/>
          <w:szCs w:val="36"/>
        </w:rPr>
      </w:pPr>
      <w:r>
        <w:rPr>
          <w:rFonts w:hint="eastAsia" w:asciiTheme="minorEastAsia" w:hAnsiTheme="minorEastAsia" w:eastAsiaTheme="minorEastAsia" w:cstheme="minorEastAsia"/>
          <w:b/>
          <w:color w:val="auto"/>
          <w:sz w:val="36"/>
          <w:szCs w:val="36"/>
        </w:rPr>
        <w:br w:type="page"/>
      </w:r>
      <w:r>
        <w:rPr>
          <w:rFonts w:asciiTheme="minorEastAsia" w:hAnsiTheme="minorEastAsia" w:eastAsiaTheme="minorEastAsia" w:cstheme="minorEastAsia"/>
          <w:b/>
          <w:color w:val="auto"/>
          <w:sz w:val="36"/>
          <w:szCs w:val="36"/>
        </w:rPr>
        <w:t xml:space="preserve"> </w:t>
      </w:r>
      <w:r>
        <w:rPr>
          <w:rFonts w:hint="eastAsia" w:asciiTheme="minorEastAsia" w:hAnsiTheme="minorEastAsia" w:eastAsiaTheme="minorEastAsia" w:cstheme="minorEastAsia"/>
          <w:b/>
          <w:color w:val="auto"/>
          <w:sz w:val="36"/>
          <w:szCs w:val="36"/>
        </w:rPr>
        <w:t>合同文本（工程类）</w:t>
      </w:r>
    </w:p>
    <w:p w14:paraId="0BF9BAC3">
      <w:pPr>
        <w:pStyle w:val="52"/>
        <w:shd w:val="clear"/>
        <w:ind w:left="0" w:leftChars="0" w:firstLine="0" w:firstLineChars="0"/>
        <w:rPr>
          <w:rFonts w:asciiTheme="minorEastAsia" w:hAnsiTheme="minorEastAsia" w:eastAsiaTheme="minorEastAsia" w:cstheme="minorEastAsia"/>
          <w:color w:val="auto"/>
          <w:szCs w:val="24"/>
        </w:rPr>
      </w:pPr>
    </w:p>
    <w:p w14:paraId="3933D231">
      <w:pPr>
        <w:pStyle w:val="52"/>
        <w:shd w:val="clear"/>
        <w:rPr>
          <w:rFonts w:asciiTheme="minorEastAsia" w:hAnsiTheme="minorEastAsia" w:eastAsiaTheme="minorEastAsia" w:cstheme="minorEastAsia"/>
          <w:color w:val="auto"/>
          <w:szCs w:val="24"/>
        </w:rPr>
      </w:pPr>
    </w:p>
    <w:p w14:paraId="2CCF6A02">
      <w:pPr>
        <w:pStyle w:val="52"/>
        <w:shd w:val="clear"/>
        <w:ind w:left="0" w:leftChars="0" w:firstLine="0" w:firstLineChars="0"/>
        <w:rPr>
          <w:rFonts w:asciiTheme="minorEastAsia" w:hAnsiTheme="minorEastAsia" w:eastAsiaTheme="minorEastAsia" w:cstheme="minorEastAsia"/>
          <w:color w:val="auto"/>
          <w:szCs w:val="24"/>
        </w:rPr>
      </w:pPr>
    </w:p>
    <w:p w14:paraId="5E5502D0">
      <w:pPr>
        <w:shd w:val="clear"/>
        <w:spacing w:before="120" w:line="360" w:lineRule="auto"/>
        <w:ind w:firstLine="240"/>
        <w:rPr>
          <w:rFonts w:asciiTheme="minorEastAsia" w:hAnsiTheme="minorEastAsia" w:eastAsiaTheme="minorEastAsia" w:cstheme="minorEastAsia"/>
          <w:color w:val="auto"/>
          <w:sz w:val="24"/>
        </w:rPr>
      </w:pPr>
    </w:p>
    <w:p w14:paraId="2C639747">
      <w:pPr>
        <w:shd w:val="clear"/>
        <w:spacing w:before="120" w:line="360" w:lineRule="auto"/>
        <w:ind w:left="960" w:firstLine="720" w:firstLineChars="300"/>
        <w:rPr>
          <w:rFonts w:asciiTheme="minorEastAsia" w:hAnsiTheme="minorEastAsia" w:eastAsiaTheme="minorEastAsia" w:cstheme="minorEastAsia"/>
          <w:color w:val="auto"/>
          <w:sz w:val="24"/>
          <w:u w:val="single"/>
        </w:rPr>
      </w:pPr>
      <w:r>
        <w:rPr>
          <w:rFonts w:hint="eastAsia" w:asciiTheme="minorEastAsia" w:hAnsiTheme="minorEastAsia" w:eastAsiaTheme="minorEastAsia" w:cstheme="minorEastAsia"/>
          <w:color w:val="auto"/>
          <w:sz w:val="24"/>
        </w:rPr>
        <w:t>项目名称：</w:t>
      </w:r>
      <w:r>
        <w:rPr>
          <w:rFonts w:hint="eastAsia" w:asciiTheme="minorEastAsia" w:hAnsiTheme="minorEastAsia" w:eastAsiaTheme="minorEastAsia" w:cstheme="minorEastAsia"/>
          <w:color w:val="auto"/>
          <w:sz w:val="24"/>
          <w:u w:val="single"/>
        </w:rPr>
        <w:t>江口街道2025年公共基础设施零星修复工程 </w:t>
      </w:r>
    </w:p>
    <w:p w14:paraId="250E5F84">
      <w:pPr>
        <w:pStyle w:val="44"/>
        <w:shd w:val="clear"/>
        <w:spacing w:before="120"/>
        <w:ind w:firstLine="240"/>
        <w:rPr>
          <w:rFonts w:asciiTheme="minorEastAsia" w:hAnsiTheme="minorEastAsia" w:eastAsiaTheme="minorEastAsia" w:cstheme="minorEastAsia"/>
          <w:color w:val="auto"/>
          <w:szCs w:val="24"/>
        </w:rPr>
      </w:pPr>
    </w:p>
    <w:p w14:paraId="5C317F70">
      <w:pPr>
        <w:pStyle w:val="44"/>
        <w:shd w:val="clear"/>
        <w:spacing w:before="120"/>
        <w:ind w:firstLine="240"/>
        <w:rPr>
          <w:rFonts w:asciiTheme="minorEastAsia" w:hAnsiTheme="minorEastAsia" w:eastAsiaTheme="minorEastAsia" w:cstheme="minorEastAsia"/>
          <w:color w:val="auto"/>
          <w:szCs w:val="24"/>
        </w:rPr>
      </w:pPr>
    </w:p>
    <w:p w14:paraId="1B3ACE5C">
      <w:pPr>
        <w:shd w:val="clear"/>
        <w:spacing w:line="360" w:lineRule="auto"/>
        <w:ind w:firstLine="240"/>
        <w:rPr>
          <w:rFonts w:asciiTheme="minorEastAsia" w:hAnsiTheme="minorEastAsia" w:eastAsiaTheme="minorEastAsia" w:cstheme="minorEastAsia"/>
          <w:color w:val="auto"/>
          <w:sz w:val="24"/>
        </w:rPr>
      </w:pPr>
    </w:p>
    <w:p w14:paraId="3D515936">
      <w:pPr>
        <w:shd w:val="clear"/>
        <w:spacing w:before="120" w:line="600" w:lineRule="auto"/>
        <w:ind w:left="960" w:firstLine="720" w:firstLineChars="300"/>
        <w:rPr>
          <w:rFonts w:asciiTheme="minorEastAsia" w:hAnsiTheme="minorEastAsia" w:eastAsiaTheme="minorEastAsia" w:cstheme="minorEastAsia"/>
          <w:color w:val="auto"/>
          <w:sz w:val="24"/>
          <w:u w:val="single"/>
        </w:rPr>
      </w:pPr>
      <w:r>
        <w:rPr>
          <w:rFonts w:hint="eastAsia" w:asciiTheme="minorEastAsia" w:hAnsiTheme="minorEastAsia" w:eastAsiaTheme="minorEastAsia" w:cstheme="minorEastAsia"/>
          <w:color w:val="auto"/>
          <w:sz w:val="24"/>
        </w:rPr>
        <w:t>甲方：</w:t>
      </w:r>
      <w:r>
        <w:rPr>
          <w:rFonts w:hint="eastAsia" w:asciiTheme="minorEastAsia" w:hAnsiTheme="minorEastAsia" w:eastAsiaTheme="minorEastAsia" w:cstheme="minorEastAsia"/>
          <w:color w:val="auto"/>
          <w:sz w:val="24"/>
          <w:u w:val="single"/>
        </w:rPr>
        <w:t xml:space="preserve">                                   </w:t>
      </w:r>
    </w:p>
    <w:p w14:paraId="20937D0A">
      <w:pPr>
        <w:shd w:val="clear"/>
        <w:spacing w:before="120" w:line="600" w:lineRule="auto"/>
        <w:ind w:left="960" w:firstLine="720" w:firstLineChars="3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乙方：</w:t>
      </w:r>
      <w:r>
        <w:rPr>
          <w:rFonts w:hint="eastAsia" w:asciiTheme="minorEastAsia" w:hAnsiTheme="minorEastAsia" w:eastAsiaTheme="minorEastAsia" w:cstheme="minorEastAsia"/>
          <w:color w:val="auto"/>
          <w:sz w:val="24"/>
          <w:u w:val="single"/>
        </w:rPr>
        <w:t xml:space="preserve">                                       </w:t>
      </w:r>
    </w:p>
    <w:p w14:paraId="76D7C52C">
      <w:pPr>
        <w:shd w:val="clear"/>
        <w:spacing w:before="120" w:line="600" w:lineRule="auto"/>
        <w:ind w:firstLine="1680" w:firstLineChars="7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签订地：</w:t>
      </w:r>
      <w:r>
        <w:rPr>
          <w:rFonts w:hint="eastAsia" w:asciiTheme="minorEastAsia" w:hAnsiTheme="minorEastAsia" w:eastAsiaTheme="minorEastAsia" w:cstheme="minorEastAsia"/>
          <w:color w:val="auto"/>
          <w:sz w:val="24"/>
          <w:u w:val="single"/>
        </w:rPr>
        <w:t xml:space="preserve">                                     </w:t>
      </w:r>
    </w:p>
    <w:p w14:paraId="44C1546C">
      <w:pPr>
        <w:shd w:val="clear"/>
        <w:spacing w:before="120" w:line="600" w:lineRule="auto"/>
        <w:ind w:firstLine="1680" w:firstLineChars="7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签订日期：</w:t>
      </w:r>
      <w:r>
        <w:rPr>
          <w:rFonts w:hint="eastAsia" w:asciiTheme="minorEastAsia" w:hAnsiTheme="minorEastAsia" w:eastAsiaTheme="minorEastAsia" w:cstheme="minorEastAsia"/>
          <w:color w:val="auto"/>
          <w:sz w:val="24"/>
          <w:u w:val="single"/>
        </w:rPr>
        <w:t xml:space="preserve">               </w:t>
      </w:r>
      <w:r>
        <w:rPr>
          <w:rFonts w:hint="eastAsia" w:asciiTheme="minorEastAsia" w:hAnsiTheme="minorEastAsia" w:eastAsiaTheme="minorEastAsia" w:cstheme="minorEastAsia"/>
          <w:color w:val="auto"/>
          <w:sz w:val="24"/>
        </w:rPr>
        <w:t>年</w:t>
      </w:r>
      <w:r>
        <w:rPr>
          <w:rFonts w:hint="eastAsia" w:asciiTheme="minorEastAsia" w:hAnsiTheme="minorEastAsia" w:eastAsiaTheme="minorEastAsia" w:cstheme="minorEastAsia"/>
          <w:color w:val="auto"/>
          <w:sz w:val="24"/>
          <w:u w:val="single"/>
        </w:rPr>
        <w:t xml:space="preserve">       </w:t>
      </w:r>
      <w:r>
        <w:rPr>
          <w:rFonts w:hint="eastAsia" w:asciiTheme="minorEastAsia" w:hAnsiTheme="minorEastAsia" w:eastAsiaTheme="minorEastAsia" w:cstheme="minorEastAsia"/>
          <w:color w:val="auto"/>
          <w:sz w:val="24"/>
        </w:rPr>
        <w:t>月</w:t>
      </w:r>
      <w:r>
        <w:rPr>
          <w:rFonts w:hint="eastAsia" w:asciiTheme="minorEastAsia" w:hAnsiTheme="minorEastAsia" w:eastAsiaTheme="minorEastAsia" w:cstheme="minorEastAsia"/>
          <w:color w:val="auto"/>
          <w:sz w:val="24"/>
          <w:u w:val="single"/>
        </w:rPr>
        <w:t xml:space="preserve">       </w:t>
      </w:r>
      <w:r>
        <w:rPr>
          <w:rFonts w:hint="eastAsia" w:asciiTheme="minorEastAsia" w:hAnsiTheme="minorEastAsia" w:eastAsiaTheme="minorEastAsia" w:cstheme="minorEastAsia"/>
          <w:color w:val="auto"/>
          <w:sz w:val="24"/>
        </w:rPr>
        <w:t>日</w:t>
      </w:r>
    </w:p>
    <w:p w14:paraId="70FF6BED">
      <w:pPr>
        <w:shd w:val="clear"/>
        <w:spacing w:line="360" w:lineRule="auto"/>
        <w:ind w:firstLine="480" w:firstLineChars="200"/>
        <w:rPr>
          <w:rFonts w:ascii="宋体" w:hAnsi="宋体" w:cs="宋体"/>
          <w:color w:val="auto"/>
          <w:sz w:val="24"/>
          <w:lang w:val="zh-CN"/>
        </w:rPr>
      </w:pPr>
      <w:r>
        <w:rPr>
          <w:rFonts w:hint="eastAsia" w:asciiTheme="minorEastAsia" w:hAnsiTheme="minorEastAsia" w:eastAsiaTheme="minorEastAsia" w:cstheme="minorEastAsia"/>
          <w:color w:val="auto"/>
          <w:sz w:val="24"/>
          <w:u w:val="single"/>
          <w:lang w:val="zh-CN"/>
        </w:rPr>
        <w:br w:type="page"/>
      </w:r>
      <w:r>
        <w:rPr>
          <w:rFonts w:hint="eastAsia" w:ascii="宋体" w:hAnsi="宋体" w:cs="宋体"/>
          <w:color w:val="auto"/>
          <w:sz w:val="24"/>
          <w:u w:val="single"/>
          <w:lang w:val="zh-CN"/>
        </w:rPr>
        <w:t xml:space="preserve">        </w:t>
      </w:r>
      <w:r>
        <w:rPr>
          <w:rFonts w:hint="eastAsia" w:ascii="宋体" w:hAnsi="宋体" w:cs="宋体"/>
          <w:color w:val="auto"/>
          <w:sz w:val="24"/>
          <w:lang w:val="zh-CN"/>
        </w:rPr>
        <w:t>年</w:t>
      </w:r>
      <w:r>
        <w:rPr>
          <w:rFonts w:hint="eastAsia" w:ascii="宋体" w:hAnsi="宋体" w:cs="宋体"/>
          <w:color w:val="auto"/>
          <w:sz w:val="24"/>
          <w:u w:val="single"/>
          <w:lang w:val="zh-CN"/>
        </w:rPr>
        <w:t xml:space="preserve">     </w:t>
      </w:r>
      <w:r>
        <w:rPr>
          <w:rFonts w:hint="eastAsia" w:ascii="宋体" w:hAnsi="宋体" w:cs="宋体"/>
          <w:color w:val="auto"/>
          <w:sz w:val="24"/>
          <w:lang w:val="zh-CN"/>
        </w:rPr>
        <w:t>月</w:t>
      </w:r>
      <w:r>
        <w:rPr>
          <w:rFonts w:hint="eastAsia" w:ascii="宋体" w:hAnsi="宋体" w:cs="宋体"/>
          <w:color w:val="auto"/>
          <w:sz w:val="24"/>
          <w:u w:val="single"/>
          <w:lang w:val="zh-CN"/>
        </w:rPr>
        <w:t xml:space="preserve">     </w:t>
      </w:r>
      <w:r>
        <w:rPr>
          <w:rFonts w:hint="eastAsia" w:ascii="宋体" w:hAnsi="宋体" w:cs="宋体"/>
          <w:color w:val="auto"/>
          <w:sz w:val="24"/>
          <w:lang w:val="zh-CN"/>
        </w:rPr>
        <w:t>日，</w:t>
      </w:r>
      <w:r>
        <w:rPr>
          <w:rFonts w:hint="eastAsia" w:ascii="宋体" w:hAnsi="宋体" w:cs="宋体"/>
          <w:color w:val="auto"/>
          <w:sz w:val="24"/>
          <w:u w:val="single"/>
          <w:lang w:val="zh-CN"/>
        </w:rPr>
        <w:t xml:space="preserve">   （采购人）   </w:t>
      </w:r>
      <w:r>
        <w:rPr>
          <w:rFonts w:hint="eastAsia" w:ascii="宋体" w:hAnsi="宋体" w:cs="宋体"/>
          <w:color w:val="auto"/>
          <w:sz w:val="24"/>
          <w:lang w:val="zh-CN"/>
        </w:rPr>
        <w:t>以</w:t>
      </w:r>
      <w:r>
        <w:rPr>
          <w:rFonts w:hint="eastAsia" w:ascii="宋体" w:hAnsi="宋体" w:cs="宋体"/>
          <w:color w:val="auto"/>
          <w:sz w:val="24"/>
          <w:u w:val="single"/>
          <w:lang w:val="zh-CN"/>
        </w:rPr>
        <w:t xml:space="preserve">   （政府采购方式）  </w:t>
      </w:r>
      <w:r>
        <w:rPr>
          <w:rFonts w:hint="eastAsia" w:ascii="宋体" w:hAnsi="宋体" w:cs="宋体"/>
          <w:color w:val="auto"/>
          <w:sz w:val="24"/>
          <w:lang w:val="zh-CN"/>
        </w:rPr>
        <w:t>对</w:t>
      </w:r>
      <w:r>
        <w:rPr>
          <w:rFonts w:hint="eastAsia" w:ascii="宋体" w:hAnsi="宋体" w:cs="宋体"/>
          <w:color w:val="auto"/>
          <w:sz w:val="24"/>
          <w:u w:val="single"/>
        </w:rPr>
        <w:t xml:space="preserve">  </w:t>
      </w:r>
      <w:r>
        <w:rPr>
          <w:rFonts w:hint="eastAsia" w:ascii="宋体" w:hAnsi="宋体" w:cs="宋体"/>
          <w:color w:val="auto"/>
          <w:sz w:val="24"/>
          <w:u w:val="single"/>
          <w:lang w:val="zh-CN"/>
        </w:rPr>
        <w:t>）</w:t>
      </w:r>
      <w:r>
        <w:rPr>
          <w:rFonts w:hint="eastAsia" w:ascii="宋体" w:hAnsi="宋体" w:cs="宋体"/>
          <w:color w:val="auto"/>
          <w:sz w:val="24"/>
          <w:lang w:val="zh-CN"/>
        </w:rPr>
        <w:t>项目进行了采购。经</w:t>
      </w:r>
      <w:r>
        <w:rPr>
          <w:rFonts w:hint="eastAsia" w:ascii="宋体" w:hAnsi="宋体" w:cs="宋体"/>
          <w:color w:val="auto"/>
          <w:sz w:val="24"/>
          <w:u w:val="single"/>
          <w:lang w:val="zh-CN"/>
        </w:rPr>
        <w:t xml:space="preserve">   （相关评定主体名称）   </w:t>
      </w:r>
      <w:r>
        <w:rPr>
          <w:rFonts w:hint="eastAsia" w:ascii="宋体" w:hAnsi="宋体" w:cs="宋体"/>
          <w:color w:val="auto"/>
          <w:sz w:val="24"/>
          <w:lang w:val="zh-CN"/>
        </w:rPr>
        <w:t>评定，</w:t>
      </w:r>
      <w:r>
        <w:rPr>
          <w:rFonts w:hint="eastAsia" w:ascii="宋体" w:hAnsi="宋体" w:cs="宋体"/>
          <w:color w:val="auto"/>
          <w:sz w:val="24"/>
          <w:u w:val="single"/>
          <w:lang w:val="zh-CN"/>
        </w:rPr>
        <w:t xml:space="preserve">   （中标供应商名称）</w:t>
      </w:r>
      <w:r>
        <w:rPr>
          <w:rFonts w:hint="eastAsia" w:ascii="宋体" w:hAnsi="宋体" w:cs="宋体"/>
          <w:color w:val="auto"/>
          <w:sz w:val="24"/>
          <w:lang w:val="zh-CN"/>
        </w:rPr>
        <w:t>为该项目中标供应商。现于中标通知书发出之日起三十日内，按照采购文件确定的事项签订本合同。</w:t>
      </w:r>
    </w:p>
    <w:p w14:paraId="3B7716A2">
      <w:pPr>
        <w:shd w:val="clear"/>
        <w:spacing w:line="360" w:lineRule="auto"/>
        <w:ind w:firstLine="480" w:firstLineChars="200"/>
        <w:rPr>
          <w:rFonts w:ascii="宋体" w:hAnsi="宋体" w:cs="宋体"/>
          <w:color w:val="auto"/>
          <w:sz w:val="24"/>
        </w:rPr>
      </w:pPr>
      <w:r>
        <w:rPr>
          <w:rFonts w:hint="eastAsia" w:ascii="宋体" w:hAnsi="宋体" w:cs="宋体"/>
          <w:color w:val="auto"/>
          <w:sz w:val="24"/>
          <w:lang w:val="zh-CN"/>
        </w:rPr>
        <w:t>根据《中华人民共和国民法典》、《中华人民共和国政府采购法》等相关法律法规之规定，按照平等、自愿、公平、诚实信用和绿色的原则，经</w:t>
      </w:r>
      <w:r>
        <w:rPr>
          <w:rFonts w:hint="eastAsia" w:ascii="宋体" w:hAnsi="宋体" w:cs="宋体"/>
          <w:color w:val="auto"/>
          <w:sz w:val="24"/>
          <w:u w:val="single"/>
        </w:rPr>
        <w:t xml:space="preserve">   （采购人）   </w:t>
      </w:r>
      <w:r>
        <w:rPr>
          <w:rFonts w:hint="eastAsia" w:ascii="宋体" w:hAnsi="宋体" w:cs="宋体"/>
          <w:color w:val="auto"/>
          <w:sz w:val="24"/>
          <w:lang w:val="zh-CN"/>
        </w:rPr>
        <w:t>(以下简称：甲方)和</w:t>
      </w:r>
      <w:r>
        <w:rPr>
          <w:rFonts w:hint="eastAsia" w:ascii="宋体" w:hAnsi="宋体" w:cs="宋体"/>
          <w:color w:val="auto"/>
          <w:sz w:val="24"/>
          <w:u w:val="single"/>
        </w:rPr>
        <w:t xml:space="preserve">   （中标供应商名称）   </w:t>
      </w:r>
      <w:r>
        <w:rPr>
          <w:rFonts w:hint="eastAsia" w:ascii="宋体" w:hAnsi="宋体" w:cs="宋体"/>
          <w:color w:val="auto"/>
          <w:sz w:val="24"/>
          <w:lang w:val="zh-CN"/>
        </w:rPr>
        <w:t>(以下简称：乙方)协商一致，约定以下合同</w:t>
      </w:r>
      <w:r>
        <w:rPr>
          <w:rFonts w:hint="eastAsia" w:ascii="宋体" w:hAnsi="宋体" w:cs="宋体"/>
          <w:color w:val="auto"/>
          <w:sz w:val="24"/>
        </w:rPr>
        <w:t>条款，以兹共同遵守、全面履行。</w:t>
      </w:r>
    </w:p>
    <w:p w14:paraId="534873BE">
      <w:pPr>
        <w:shd w:val="clear"/>
        <w:spacing w:line="360" w:lineRule="auto"/>
        <w:ind w:firstLine="320"/>
        <w:jc w:val="center"/>
        <w:outlineLvl w:val="1"/>
        <w:rPr>
          <w:rFonts w:eastAsia="黑体"/>
          <w:color w:val="auto"/>
          <w:sz w:val="32"/>
        </w:rPr>
      </w:pPr>
      <w:bookmarkStart w:id="389" w:name="_Toc447874966"/>
      <w:bookmarkStart w:id="390" w:name="_Toc448490238"/>
      <w:r>
        <w:rPr>
          <w:rFonts w:hint="eastAsia" w:eastAsia="黑体"/>
          <w:color w:val="auto"/>
          <w:sz w:val="32"/>
        </w:rPr>
        <w:t>第一部分  协 议 书</w:t>
      </w:r>
      <w:bookmarkEnd w:id="389"/>
      <w:bookmarkEnd w:id="390"/>
    </w:p>
    <w:p w14:paraId="7A3D1CE3">
      <w:pPr>
        <w:shd w:val="clear"/>
        <w:spacing w:line="360" w:lineRule="auto"/>
        <w:ind w:firstLine="240"/>
        <w:rPr>
          <w:rFonts w:ascii="宋体" w:hAnsi="宋体" w:eastAsia="黑体"/>
          <w:color w:val="auto"/>
          <w:sz w:val="24"/>
        </w:rPr>
      </w:pPr>
      <w:r>
        <w:rPr>
          <w:rFonts w:hint="eastAsia" w:ascii="宋体" w:hAnsi="宋体" w:eastAsia="黑体"/>
          <w:color w:val="auto"/>
          <w:sz w:val="24"/>
        </w:rPr>
        <w:t xml:space="preserve">发包人（甲方）： </w:t>
      </w:r>
    </w:p>
    <w:p w14:paraId="2934CEA0">
      <w:pPr>
        <w:shd w:val="clear"/>
        <w:spacing w:line="360" w:lineRule="auto"/>
        <w:ind w:firstLine="240"/>
        <w:rPr>
          <w:rFonts w:ascii="宋体" w:hAnsi="宋体" w:eastAsia="黑体"/>
          <w:color w:val="auto"/>
          <w:sz w:val="24"/>
          <w:u w:val="single"/>
        </w:rPr>
      </w:pPr>
      <w:r>
        <w:rPr>
          <w:rFonts w:hint="eastAsia" w:ascii="宋体" w:hAnsi="宋体" w:eastAsia="黑体"/>
          <w:color w:val="auto"/>
          <w:sz w:val="24"/>
        </w:rPr>
        <w:t>承包人（乙方）：</w:t>
      </w:r>
    </w:p>
    <w:p w14:paraId="63188242">
      <w:pPr>
        <w:shd w:val="clear"/>
        <w:spacing w:line="360" w:lineRule="auto"/>
        <w:ind w:firstLine="480" w:firstLineChars="200"/>
        <w:rPr>
          <w:rFonts w:ascii="宋体" w:hAnsi="宋体"/>
          <w:color w:val="auto"/>
          <w:sz w:val="24"/>
        </w:rPr>
      </w:pPr>
      <w:r>
        <w:rPr>
          <w:rFonts w:hint="eastAsia" w:ascii="宋体" w:hAnsi="宋体"/>
          <w:color w:val="auto"/>
          <w:sz w:val="24"/>
        </w:rPr>
        <w:t>依照《中华人民共和国合同法》、《中华人民共和国建筑法》及其他有关法律、行政法规、遵循平等、自愿、公平和诚实信用的原则，发包人和承包人本着平等互利的原则，根据采购文件和成交通知书，按下述条款和条件签署本合同。</w:t>
      </w:r>
    </w:p>
    <w:p w14:paraId="295F3277">
      <w:pPr>
        <w:shd w:val="clear"/>
        <w:spacing w:line="360" w:lineRule="auto"/>
        <w:ind w:firstLine="480" w:firstLineChars="200"/>
        <w:rPr>
          <w:color w:val="auto"/>
          <w:sz w:val="22"/>
          <w:u w:val="single"/>
        </w:rPr>
      </w:pPr>
      <w:r>
        <w:rPr>
          <w:rFonts w:hint="eastAsia" w:ascii="宋体" w:hAnsi="宋体" w:eastAsia="黑体"/>
          <w:color w:val="auto"/>
          <w:sz w:val="24"/>
        </w:rPr>
        <w:t>一、工程概况</w:t>
      </w:r>
    </w:p>
    <w:p w14:paraId="691AA05A">
      <w:pPr>
        <w:shd w:val="clear"/>
        <w:spacing w:line="360" w:lineRule="auto"/>
        <w:ind w:firstLine="480" w:firstLineChars="200"/>
        <w:rPr>
          <w:color w:val="auto"/>
          <w:sz w:val="24"/>
        </w:rPr>
      </w:pPr>
      <w:r>
        <w:rPr>
          <w:rFonts w:hint="eastAsia"/>
          <w:color w:val="auto"/>
          <w:sz w:val="24"/>
        </w:rPr>
        <w:t>工程名称：</w:t>
      </w:r>
      <w:r>
        <w:rPr>
          <w:rFonts w:hint="eastAsia"/>
          <w:color w:val="auto"/>
          <w:sz w:val="24"/>
          <w:u w:val="single"/>
        </w:rPr>
        <w:t>江口街道2025年公共基础设施零星修复工程</w:t>
      </w:r>
    </w:p>
    <w:p w14:paraId="0FC42B2C">
      <w:pPr>
        <w:shd w:val="clear"/>
        <w:spacing w:line="360" w:lineRule="auto"/>
        <w:ind w:firstLine="480" w:firstLineChars="200"/>
        <w:rPr>
          <w:rFonts w:ascii="宋体" w:hAnsi="宋体"/>
          <w:color w:val="auto"/>
          <w:sz w:val="24"/>
          <w:u w:val="single"/>
        </w:rPr>
      </w:pPr>
      <w:r>
        <w:rPr>
          <w:rFonts w:hint="eastAsia" w:ascii="宋体" w:hAnsi="宋体"/>
          <w:color w:val="auto"/>
          <w:sz w:val="24"/>
        </w:rPr>
        <w:t>工程地点：</w:t>
      </w:r>
      <w:r>
        <w:rPr>
          <w:rFonts w:hint="eastAsia" w:ascii="宋体" w:hAnsi="宋体"/>
          <w:color w:val="auto"/>
          <w:sz w:val="24"/>
          <w:u w:val="single"/>
        </w:rPr>
        <w:t xml:space="preserve">             </w:t>
      </w:r>
      <w:r>
        <w:rPr>
          <w:rFonts w:hint="eastAsia" w:ascii="宋体" w:hAnsi="宋体"/>
          <w:color w:val="auto"/>
          <w:sz w:val="24"/>
        </w:rPr>
        <w:t>。</w:t>
      </w:r>
    </w:p>
    <w:p w14:paraId="6EC6286A">
      <w:pPr>
        <w:shd w:val="clear"/>
        <w:spacing w:line="360" w:lineRule="auto"/>
        <w:ind w:firstLine="480" w:firstLineChars="200"/>
        <w:rPr>
          <w:color w:val="auto"/>
          <w:sz w:val="24"/>
          <w:u w:val="single"/>
        </w:rPr>
      </w:pPr>
      <w:r>
        <w:rPr>
          <w:rFonts w:hint="eastAsia"/>
          <w:color w:val="auto"/>
          <w:sz w:val="24"/>
        </w:rPr>
        <w:t>工程内容：</w:t>
      </w:r>
      <w:r>
        <w:rPr>
          <w:rFonts w:hint="eastAsia" w:ascii="宋体" w:hAnsi="宋体"/>
          <w:color w:val="auto"/>
          <w:sz w:val="24"/>
          <w:u w:val="single"/>
        </w:rPr>
        <w:t xml:space="preserve">             </w:t>
      </w:r>
      <w:r>
        <w:rPr>
          <w:rFonts w:hint="eastAsia" w:ascii="宋体" w:hAnsi="宋体" w:cs="宋体"/>
          <w:color w:val="auto"/>
          <w:sz w:val="24"/>
        </w:rPr>
        <w:t>。</w:t>
      </w:r>
    </w:p>
    <w:p w14:paraId="2098ED35">
      <w:pPr>
        <w:shd w:val="clear"/>
        <w:spacing w:line="360" w:lineRule="auto"/>
        <w:ind w:firstLine="480" w:firstLineChars="200"/>
        <w:rPr>
          <w:rFonts w:ascii="宋体" w:hAnsi="宋体" w:eastAsia="黑体"/>
          <w:color w:val="auto"/>
          <w:sz w:val="24"/>
        </w:rPr>
      </w:pPr>
      <w:r>
        <w:rPr>
          <w:rFonts w:hint="eastAsia" w:ascii="宋体" w:hAnsi="宋体" w:eastAsia="黑体"/>
          <w:color w:val="auto"/>
          <w:sz w:val="24"/>
        </w:rPr>
        <w:t>二、工程承包范围</w:t>
      </w:r>
    </w:p>
    <w:p w14:paraId="3949B4A3">
      <w:pPr>
        <w:pStyle w:val="67"/>
        <w:shd w:val="clear"/>
        <w:spacing w:line="360" w:lineRule="auto"/>
        <w:ind w:firstLine="480" w:firstLineChars="200"/>
        <w:rPr>
          <w:color w:val="auto"/>
        </w:rPr>
      </w:pPr>
      <w:r>
        <w:rPr>
          <w:rFonts w:hint="eastAsia"/>
          <w:color w:val="auto"/>
        </w:rPr>
        <w:t>承包范围：</w:t>
      </w:r>
      <w:r>
        <w:rPr>
          <w:rFonts w:hint="eastAsia"/>
          <w:color w:val="auto"/>
          <w:u w:val="single"/>
        </w:rPr>
        <w:t xml:space="preserve">             </w:t>
      </w:r>
      <w:r>
        <w:rPr>
          <w:rFonts w:hint="eastAsia" w:cs="宋体"/>
          <w:color w:val="auto"/>
        </w:rPr>
        <w:t>。</w:t>
      </w:r>
    </w:p>
    <w:p w14:paraId="7A0DC358">
      <w:pPr>
        <w:pStyle w:val="67"/>
        <w:shd w:val="clear"/>
        <w:spacing w:line="360" w:lineRule="auto"/>
        <w:ind w:firstLine="480" w:firstLineChars="200"/>
        <w:rPr>
          <w:color w:val="auto"/>
        </w:rPr>
      </w:pPr>
      <w:r>
        <w:rPr>
          <w:rFonts w:hint="eastAsia" w:ascii="黑体" w:cs="宋体"/>
          <w:color w:val="auto"/>
        </w:rPr>
        <w:t>三、</w:t>
      </w:r>
      <w:r>
        <w:rPr>
          <w:rFonts w:hint="eastAsia"/>
          <w:color w:val="auto"/>
        </w:rPr>
        <w:t>合同工期</w:t>
      </w:r>
    </w:p>
    <w:p w14:paraId="3E35B425">
      <w:pPr>
        <w:shd w:val="clear"/>
        <w:spacing w:line="360" w:lineRule="auto"/>
        <w:ind w:firstLine="460" w:firstLineChars="192"/>
        <w:rPr>
          <w:rFonts w:ascii="宋体" w:hAnsi="宋体"/>
          <w:color w:val="auto"/>
          <w:sz w:val="24"/>
        </w:rPr>
      </w:pPr>
      <w:r>
        <w:rPr>
          <w:rFonts w:hint="eastAsia" w:ascii="宋体" w:hAnsi="宋体"/>
          <w:color w:val="auto"/>
          <w:sz w:val="24"/>
        </w:rPr>
        <w:t>计划开工日期：</w:t>
      </w:r>
      <w:r>
        <w:rPr>
          <w:rFonts w:hint="eastAsia" w:ascii="宋体" w:hAnsi="宋体"/>
          <w:color w:val="auto"/>
          <w:sz w:val="24"/>
          <w:u w:val="single"/>
        </w:rPr>
        <w:t xml:space="preserve">    </w:t>
      </w:r>
      <w:r>
        <w:rPr>
          <w:rFonts w:hint="eastAsia" w:ascii="宋体" w:hAnsi="宋体"/>
          <w:color w:val="auto"/>
          <w:sz w:val="24"/>
        </w:rPr>
        <w:t>年</w:t>
      </w:r>
      <w:r>
        <w:rPr>
          <w:rFonts w:hint="eastAsia" w:ascii="宋体" w:hAnsi="宋体"/>
          <w:color w:val="auto"/>
          <w:sz w:val="24"/>
          <w:u w:val="single"/>
        </w:rPr>
        <w:t xml:space="preserve">    </w:t>
      </w:r>
      <w:r>
        <w:rPr>
          <w:rFonts w:hint="eastAsia" w:ascii="宋体" w:hAnsi="宋体"/>
          <w:color w:val="auto"/>
          <w:sz w:val="24"/>
        </w:rPr>
        <w:t>月</w:t>
      </w:r>
      <w:r>
        <w:rPr>
          <w:rFonts w:hint="eastAsia" w:ascii="宋体" w:hAnsi="宋体"/>
          <w:color w:val="auto"/>
          <w:sz w:val="24"/>
          <w:u w:val="single"/>
        </w:rPr>
        <w:t xml:space="preserve">   </w:t>
      </w:r>
      <w:r>
        <w:rPr>
          <w:rFonts w:hint="eastAsia" w:ascii="宋体" w:hAnsi="宋体"/>
          <w:color w:val="auto"/>
          <w:sz w:val="24"/>
        </w:rPr>
        <w:t>日  (以开工报告为准)</w:t>
      </w:r>
    </w:p>
    <w:p w14:paraId="222FE30C">
      <w:pPr>
        <w:shd w:val="clear"/>
        <w:spacing w:line="360" w:lineRule="auto"/>
        <w:ind w:firstLine="460" w:firstLineChars="192"/>
        <w:rPr>
          <w:rFonts w:ascii="宋体" w:hAnsi="宋体"/>
          <w:color w:val="auto"/>
          <w:sz w:val="24"/>
        </w:rPr>
      </w:pPr>
      <w:r>
        <w:rPr>
          <w:rFonts w:hint="eastAsia" w:ascii="宋体" w:hAnsi="宋体"/>
          <w:color w:val="auto"/>
          <w:sz w:val="24"/>
        </w:rPr>
        <w:t>合同工期总日历天数：</w:t>
      </w:r>
      <w:r>
        <w:rPr>
          <w:rFonts w:hint="eastAsia" w:ascii="宋体" w:hAnsi="宋体"/>
          <w:color w:val="auto"/>
          <w:sz w:val="24"/>
          <w:u w:val="single"/>
        </w:rPr>
        <w:t xml:space="preserve">    </w:t>
      </w:r>
      <w:r>
        <w:rPr>
          <w:rFonts w:hint="eastAsia" w:ascii="宋体" w:hAnsi="宋体"/>
          <w:color w:val="auto"/>
          <w:sz w:val="24"/>
        </w:rPr>
        <w:t>日历天。</w:t>
      </w:r>
    </w:p>
    <w:p w14:paraId="3F01BEF3">
      <w:pPr>
        <w:shd w:val="clear"/>
        <w:spacing w:line="360" w:lineRule="auto"/>
        <w:ind w:firstLine="460" w:firstLineChars="192"/>
        <w:rPr>
          <w:rFonts w:ascii="宋体" w:hAnsi="宋体"/>
          <w:b/>
          <w:color w:val="auto"/>
          <w:sz w:val="24"/>
        </w:rPr>
      </w:pPr>
      <w:r>
        <w:rPr>
          <w:rFonts w:hint="eastAsia" w:ascii="宋体" w:hAnsi="宋体"/>
          <w:color w:val="auto"/>
          <w:sz w:val="24"/>
        </w:rPr>
        <w:t>若实际开工日期由于甲方原因或不可抗力因素造成滞后</w:t>
      </w:r>
      <w:r>
        <w:rPr>
          <w:rFonts w:ascii="宋体" w:hAnsi="宋体"/>
          <w:color w:val="auto"/>
          <w:sz w:val="24"/>
        </w:rPr>
        <w:t>,</w:t>
      </w:r>
      <w:r>
        <w:rPr>
          <w:rFonts w:hint="eastAsia" w:ascii="宋体" w:hAnsi="宋体"/>
          <w:color w:val="auto"/>
          <w:sz w:val="24"/>
        </w:rPr>
        <w:t>则以甲方正式批准的实际开工之日为准。</w:t>
      </w:r>
    </w:p>
    <w:p w14:paraId="29840851">
      <w:pPr>
        <w:shd w:val="clear"/>
        <w:spacing w:line="360" w:lineRule="auto"/>
        <w:ind w:firstLine="544" w:firstLineChars="227"/>
        <w:rPr>
          <w:rFonts w:ascii="宋体" w:hAnsi="宋体"/>
          <w:color w:val="auto"/>
          <w:sz w:val="24"/>
        </w:rPr>
      </w:pPr>
      <w:r>
        <w:rPr>
          <w:rFonts w:hint="eastAsia" w:ascii="宋体" w:hAnsi="宋体" w:eastAsia="黑体"/>
          <w:color w:val="auto"/>
          <w:sz w:val="24"/>
        </w:rPr>
        <w:t>四、质量与安全要求</w:t>
      </w:r>
      <w:r>
        <w:rPr>
          <w:rFonts w:hint="eastAsia" w:ascii="宋体" w:hAnsi="宋体"/>
          <w:color w:val="auto"/>
          <w:sz w:val="24"/>
        </w:rPr>
        <w:t>：</w:t>
      </w:r>
    </w:p>
    <w:p w14:paraId="00FEC335">
      <w:pPr>
        <w:shd w:val="clear"/>
        <w:spacing w:line="360" w:lineRule="auto"/>
        <w:ind w:firstLine="544" w:firstLineChars="227"/>
        <w:rPr>
          <w:rFonts w:ascii="宋体" w:hAnsi="宋体"/>
          <w:color w:val="auto"/>
          <w:sz w:val="24"/>
        </w:rPr>
      </w:pPr>
      <w:r>
        <w:rPr>
          <w:rFonts w:hint="eastAsia" w:ascii="宋体" w:hAnsi="宋体"/>
          <w:color w:val="auto"/>
          <w:sz w:val="24"/>
        </w:rPr>
        <w:t>1、工程质量：</w:t>
      </w:r>
      <w:r>
        <w:rPr>
          <w:rFonts w:hint="eastAsia" w:ascii="宋体" w:hAnsi="宋体"/>
          <w:color w:val="auto"/>
          <w:sz w:val="24"/>
          <w:u w:val="single"/>
        </w:rPr>
        <w:t>达到国家和行业施工验收规范一次性验收合格标准，一次性验收合格。</w:t>
      </w:r>
    </w:p>
    <w:p w14:paraId="4C7ABDC4">
      <w:pPr>
        <w:shd w:val="clear"/>
        <w:spacing w:line="360" w:lineRule="auto"/>
        <w:ind w:firstLine="523" w:firstLineChars="218"/>
        <w:rPr>
          <w:rFonts w:ascii="宋体" w:hAnsi="宋体"/>
          <w:color w:val="auto"/>
          <w:sz w:val="24"/>
        </w:rPr>
      </w:pPr>
      <w:r>
        <w:rPr>
          <w:rFonts w:hint="eastAsia" w:ascii="宋体" w:hAnsi="宋体"/>
          <w:color w:val="auto"/>
          <w:sz w:val="24"/>
        </w:rPr>
        <w:t>2、工程安全要求：</w:t>
      </w:r>
      <w:r>
        <w:rPr>
          <w:rFonts w:hint="eastAsia" w:ascii="宋体" w:hAnsi="宋体"/>
          <w:color w:val="auto"/>
          <w:sz w:val="24"/>
          <w:u w:val="single"/>
        </w:rPr>
        <w:t>合格</w:t>
      </w:r>
      <w:r>
        <w:rPr>
          <w:rFonts w:hint="eastAsia" w:ascii="宋体" w:hAnsi="宋体"/>
          <w:color w:val="auto"/>
          <w:sz w:val="24"/>
        </w:rPr>
        <w:t>。</w:t>
      </w:r>
    </w:p>
    <w:p w14:paraId="11D81719">
      <w:pPr>
        <w:shd w:val="clear"/>
        <w:spacing w:line="360" w:lineRule="auto"/>
        <w:ind w:left="551" w:firstLine="240"/>
        <w:rPr>
          <w:rFonts w:ascii="宋体" w:hAnsi="宋体" w:eastAsia="黑体"/>
          <w:color w:val="auto"/>
          <w:sz w:val="24"/>
        </w:rPr>
      </w:pPr>
      <w:r>
        <w:rPr>
          <w:rFonts w:hint="eastAsia" w:ascii="宋体" w:hAnsi="宋体" w:eastAsia="黑体"/>
          <w:color w:val="auto"/>
          <w:sz w:val="24"/>
        </w:rPr>
        <w:t>五、合同价款</w:t>
      </w:r>
    </w:p>
    <w:p w14:paraId="38BAD4AC">
      <w:pPr>
        <w:shd w:val="clear"/>
        <w:spacing w:line="360" w:lineRule="auto"/>
        <w:ind w:firstLine="460" w:firstLineChars="192"/>
        <w:rPr>
          <w:rFonts w:hint="eastAsia" w:ascii="宋体" w:hAnsi="宋体"/>
          <w:color w:val="auto"/>
          <w:sz w:val="24"/>
        </w:rPr>
      </w:pPr>
      <w:r>
        <w:rPr>
          <w:rFonts w:hint="eastAsia" w:ascii="宋体" w:hAnsi="宋体"/>
          <w:color w:val="auto"/>
          <w:sz w:val="24"/>
        </w:rPr>
        <w:t xml:space="preserve">1.签约合同价为：人民币（大写）               (¥     元）；成交综合折扣：    %。 </w:t>
      </w:r>
    </w:p>
    <w:p w14:paraId="2A0FD37C">
      <w:pPr>
        <w:shd w:val="clear"/>
        <w:spacing w:line="360" w:lineRule="auto"/>
        <w:ind w:firstLine="460" w:firstLineChars="192"/>
        <w:rPr>
          <w:rFonts w:hint="eastAsia" w:ascii="宋体" w:hAnsi="宋体"/>
          <w:color w:val="auto"/>
          <w:sz w:val="24"/>
        </w:rPr>
      </w:pPr>
      <w:r>
        <w:rPr>
          <w:rFonts w:hint="eastAsia" w:ascii="宋体" w:hAnsi="宋体"/>
          <w:color w:val="auto"/>
          <w:sz w:val="24"/>
        </w:rPr>
        <w:t>2、合同价格类型：</w:t>
      </w:r>
      <w:r>
        <w:rPr>
          <w:rFonts w:hint="eastAsia" w:ascii="宋体" w:hAnsi="宋体"/>
          <w:color w:val="auto"/>
          <w:sz w:val="24"/>
          <w:lang w:val="en-US" w:eastAsia="zh-CN"/>
        </w:rPr>
        <w:t xml:space="preserve">       </w:t>
      </w:r>
      <w:r>
        <w:rPr>
          <w:rFonts w:hint="eastAsia" w:ascii="宋体" w:hAnsi="宋体"/>
          <w:color w:val="auto"/>
          <w:sz w:val="24"/>
        </w:rPr>
        <w:t>。</w:t>
      </w:r>
    </w:p>
    <w:p w14:paraId="6FAB2DC9">
      <w:pPr>
        <w:shd w:val="clear"/>
        <w:spacing w:line="360" w:lineRule="auto"/>
        <w:ind w:left="551" w:firstLine="240"/>
        <w:rPr>
          <w:rFonts w:ascii="宋体" w:hAnsi="宋体" w:eastAsia="黑体"/>
          <w:color w:val="auto"/>
          <w:sz w:val="24"/>
        </w:rPr>
      </w:pPr>
      <w:r>
        <w:rPr>
          <w:rFonts w:hint="eastAsia" w:ascii="宋体" w:hAnsi="宋体" w:eastAsia="黑体"/>
          <w:color w:val="auto"/>
          <w:sz w:val="24"/>
        </w:rPr>
        <w:t>六、组成合同的文件</w:t>
      </w:r>
    </w:p>
    <w:p w14:paraId="16C05297">
      <w:pPr>
        <w:shd w:val="clear"/>
        <w:spacing w:line="360" w:lineRule="auto"/>
        <w:ind w:firstLine="240"/>
        <w:rPr>
          <w:rFonts w:ascii="宋体" w:hAnsi="宋体"/>
          <w:color w:val="auto"/>
          <w:sz w:val="24"/>
        </w:rPr>
      </w:pPr>
      <w:r>
        <w:rPr>
          <w:rFonts w:hint="eastAsia" w:ascii="宋体" w:hAnsi="宋体"/>
          <w:color w:val="auto"/>
          <w:sz w:val="24"/>
        </w:rPr>
        <w:t>组成本合同的文件包括：</w:t>
      </w:r>
    </w:p>
    <w:p w14:paraId="2EC0F224">
      <w:pPr>
        <w:shd w:val="clear"/>
        <w:spacing w:line="360" w:lineRule="auto"/>
        <w:ind w:firstLine="240"/>
        <w:rPr>
          <w:rFonts w:ascii="宋体" w:hAnsi="宋体"/>
          <w:color w:val="auto"/>
          <w:sz w:val="24"/>
        </w:rPr>
      </w:pPr>
      <w:r>
        <w:rPr>
          <w:rFonts w:hint="eastAsia" w:ascii="宋体" w:hAnsi="宋体"/>
          <w:color w:val="auto"/>
          <w:sz w:val="24"/>
        </w:rPr>
        <w:t>1、本协议书</w:t>
      </w:r>
    </w:p>
    <w:p w14:paraId="0E876CA4">
      <w:pPr>
        <w:shd w:val="clear"/>
        <w:spacing w:line="360" w:lineRule="auto"/>
        <w:ind w:firstLine="240"/>
        <w:rPr>
          <w:rFonts w:ascii="宋体" w:hAnsi="宋体"/>
          <w:color w:val="auto"/>
          <w:sz w:val="24"/>
        </w:rPr>
      </w:pPr>
      <w:r>
        <w:rPr>
          <w:rFonts w:hint="eastAsia" w:ascii="宋体" w:hAnsi="宋体"/>
          <w:color w:val="auto"/>
          <w:sz w:val="24"/>
        </w:rPr>
        <w:t>2、成交确认书</w:t>
      </w:r>
    </w:p>
    <w:p w14:paraId="19A907D5">
      <w:pPr>
        <w:shd w:val="clear"/>
        <w:spacing w:line="360" w:lineRule="auto"/>
        <w:ind w:firstLine="240"/>
        <w:rPr>
          <w:rFonts w:ascii="宋体" w:hAnsi="宋体"/>
          <w:color w:val="auto"/>
          <w:sz w:val="24"/>
        </w:rPr>
      </w:pPr>
      <w:r>
        <w:rPr>
          <w:rFonts w:hint="eastAsia" w:ascii="宋体" w:hAnsi="宋体"/>
          <w:color w:val="auto"/>
          <w:sz w:val="24"/>
        </w:rPr>
        <w:t>3、本合同专用条款及其附件</w:t>
      </w:r>
    </w:p>
    <w:p w14:paraId="1EF16115">
      <w:pPr>
        <w:shd w:val="clear"/>
        <w:spacing w:line="360" w:lineRule="auto"/>
        <w:ind w:firstLine="240"/>
        <w:rPr>
          <w:rFonts w:ascii="宋体" w:hAnsi="宋体"/>
          <w:color w:val="auto"/>
          <w:sz w:val="24"/>
        </w:rPr>
      </w:pPr>
      <w:r>
        <w:rPr>
          <w:rFonts w:hint="eastAsia" w:ascii="宋体" w:hAnsi="宋体"/>
          <w:color w:val="auto"/>
          <w:sz w:val="24"/>
        </w:rPr>
        <w:t>4、交易资料及其附件</w:t>
      </w:r>
    </w:p>
    <w:p w14:paraId="1FE2B5A7">
      <w:pPr>
        <w:shd w:val="clear"/>
        <w:spacing w:line="360" w:lineRule="auto"/>
        <w:ind w:firstLine="240"/>
        <w:rPr>
          <w:rFonts w:ascii="宋体" w:hAnsi="宋体"/>
          <w:color w:val="auto"/>
          <w:sz w:val="24"/>
        </w:rPr>
      </w:pPr>
      <w:r>
        <w:rPr>
          <w:rFonts w:hint="eastAsia" w:ascii="宋体" w:hAnsi="宋体"/>
          <w:color w:val="auto"/>
          <w:sz w:val="24"/>
        </w:rPr>
        <w:t>5、本合同通用条款</w:t>
      </w:r>
    </w:p>
    <w:p w14:paraId="22E6ED45">
      <w:pPr>
        <w:shd w:val="clear"/>
        <w:spacing w:line="360" w:lineRule="auto"/>
        <w:ind w:firstLine="240"/>
        <w:rPr>
          <w:rFonts w:ascii="宋体" w:hAnsi="宋体"/>
          <w:color w:val="auto"/>
          <w:sz w:val="24"/>
        </w:rPr>
      </w:pPr>
      <w:r>
        <w:rPr>
          <w:rFonts w:hint="eastAsia" w:ascii="宋体" w:hAnsi="宋体"/>
          <w:color w:val="auto"/>
          <w:sz w:val="24"/>
        </w:rPr>
        <w:t>6、标准、规范及有关技术文件</w:t>
      </w:r>
    </w:p>
    <w:p w14:paraId="2B3552AE">
      <w:pPr>
        <w:shd w:val="clear"/>
        <w:spacing w:line="360" w:lineRule="auto"/>
        <w:ind w:firstLine="480" w:firstLineChars="200"/>
        <w:rPr>
          <w:rFonts w:ascii="宋体" w:hAnsi="宋体"/>
          <w:color w:val="auto"/>
          <w:sz w:val="24"/>
        </w:rPr>
      </w:pPr>
      <w:r>
        <w:rPr>
          <w:rFonts w:hint="eastAsia" w:ascii="宋体" w:hAnsi="宋体"/>
          <w:color w:val="auto"/>
          <w:sz w:val="24"/>
        </w:rPr>
        <w:t>双方有关工程的洽商、变更等书面协议或文件视为本合同的组成部分。</w:t>
      </w:r>
    </w:p>
    <w:p w14:paraId="731B6DF8">
      <w:pPr>
        <w:shd w:val="clear"/>
        <w:spacing w:line="360" w:lineRule="auto"/>
        <w:ind w:firstLine="480" w:firstLineChars="200"/>
        <w:rPr>
          <w:rFonts w:ascii="宋体" w:hAnsi="宋体"/>
          <w:color w:val="auto"/>
          <w:sz w:val="24"/>
        </w:rPr>
      </w:pPr>
      <w:r>
        <w:rPr>
          <w:rFonts w:hint="eastAsia" w:ascii="宋体" w:hAnsi="宋体" w:eastAsia="黑体"/>
          <w:color w:val="auto"/>
          <w:sz w:val="24"/>
        </w:rPr>
        <w:t>七</w:t>
      </w:r>
      <w:r>
        <w:rPr>
          <w:rFonts w:hint="eastAsia" w:ascii="宋体" w:hAnsi="宋体"/>
          <w:b/>
          <w:color w:val="auto"/>
          <w:sz w:val="24"/>
        </w:rPr>
        <w:t>、</w:t>
      </w:r>
      <w:r>
        <w:rPr>
          <w:rFonts w:hint="eastAsia" w:ascii="宋体" w:hAnsi="宋体"/>
          <w:color w:val="auto"/>
          <w:sz w:val="24"/>
        </w:rPr>
        <w:t>本协议书中有关词语含义与本合同第二部分《通用条款》中分别赋予它们的定义相同。</w:t>
      </w:r>
    </w:p>
    <w:p w14:paraId="7095A1DA">
      <w:pPr>
        <w:shd w:val="clear"/>
        <w:spacing w:line="360" w:lineRule="auto"/>
        <w:ind w:firstLine="480" w:firstLineChars="200"/>
        <w:rPr>
          <w:rFonts w:ascii="宋体" w:hAnsi="宋体"/>
          <w:color w:val="auto"/>
          <w:sz w:val="24"/>
        </w:rPr>
      </w:pPr>
      <w:r>
        <w:rPr>
          <w:rFonts w:hint="eastAsia" w:ascii="宋体" w:hAnsi="宋体" w:eastAsia="黑体"/>
          <w:color w:val="auto"/>
          <w:sz w:val="24"/>
        </w:rPr>
        <w:t>八、</w:t>
      </w:r>
      <w:r>
        <w:rPr>
          <w:rFonts w:hint="eastAsia" w:ascii="宋体" w:hAnsi="宋体"/>
          <w:color w:val="auto"/>
          <w:sz w:val="24"/>
        </w:rPr>
        <w:t>承包人向发包人承诺按照合同约定进行施工、竣工并在质量保修期内承担工程质量保修责任。</w:t>
      </w:r>
    </w:p>
    <w:p w14:paraId="37E00452">
      <w:pPr>
        <w:shd w:val="clear"/>
        <w:spacing w:line="360" w:lineRule="auto"/>
        <w:ind w:firstLine="480" w:firstLineChars="200"/>
        <w:rPr>
          <w:rFonts w:ascii="宋体" w:hAnsi="宋体"/>
          <w:b/>
          <w:color w:val="auto"/>
          <w:sz w:val="24"/>
        </w:rPr>
      </w:pPr>
      <w:r>
        <w:rPr>
          <w:rFonts w:hint="eastAsia" w:ascii="宋体" w:hAnsi="宋体" w:eastAsia="黑体"/>
          <w:color w:val="auto"/>
          <w:sz w:val="24"/>
        </w:rPr>
        <w:t>九、</w:t>
      </w:r>
      <w:r>
        <w:rPr>
          <w:rFonts w:hint="eastAsia" w:ascii="宋体" w:hAnsi="宋体"/>
          <w:color w:val="auto"/>
          <w:sz w:val="24"/>
        </w:rPr>
        <w:t>发包人向承包人承诺按照合同约定的期限和方式支付合同价款及其他应当支付的款项。</w:t>
      </w:r>
    </w:p>
    <w:p w14:paraId="5C5D7EE6">
      <w:pPr>
        <w:shd w:val="clear"/>
        <w:spacing w:line="360" w:lineRule="auto"/>
        <w:ind w:firstLine="480" w:firstLineChars="200"/>
        <w:rPr>
          <w:rFonts w:ascii="宋体" w:hAnsi="宋体"/>
          <w:color w:val="auto"/>
          <w:sz w:val="24"/>
        </w:rPr>
      </w:pPr>
      <w:r>
        <w:rPr>
          <w:rFonts w:hint="eastAsia" w:ascii="宋体" w:hAnsi="宋体" w:eastAsia="黑体"/>
          <w:color w:val="auto"/>
          <w:sz w:val="24"/>
        </w:rPr>
        <w:t>十、</w:t>
      </w:r>
      <w:r>
        <w:rPr>
          <w:rFonts w:hint="eastAsia" w:ascii="宋体" w:hAnsi="宋体"/>
          <w:color w:val="auto"/>
          <w:sz w:val="24"/>
        </w:rPr>
        <w:t>合同生效</w:t>
      </w:r>
    </w:p>
    <w:p w14:paraId="18B5071C">
      <w:pPr>
        <w:shd w:val="clear"/>
        <w:spacing w:line="360" w:lineRule="auto"/>
        <w:ind w:firstLine="480" w:firstLineChars="200"/>
        <w:rPr>
          <w:rFonts w:ascii="宋体" w:hAnsi="宋体"/>
          <w:color w:val="auto"/>
          <w:sz w:val="24"/>
        </w:rPr>
      </w:pPr>
      <w:r>
        <w:rPr>
          <w:rFonts w:hint="eastAsia" w:ascii="宋体" w:hAnsi="宋体"/>
          <w:color w:val="auto"/>
          <w:sz w:val="24"/>
        </w:rPr>
        <w:t>合同订立时间：</w:t>
      </w:r>
      <w:r>
        <w:rPr>
          <w:rFonts w:hint="eastAsia" w:ascii="宋体" w:hAnsi="宋体"/>
          <w:color w:val="auto"/>
          <w:sz w:val="24"/>
          <w:u w:val="single"/>
        </w:rPr>
        <w:t xml:space="preserve">     </w:t>
      </w:r>
      <w:r>
        <w:rPr>
          <w:rFonts w:hint="eastAsia" w:ascii="宋体" w:hAnsi="宋体"/>
          <w:color w:val="auto"/>
          <w:sz w:val="24"/>
        </w:rPr>
        <w:t>年</w:t>
      </w:r>
      <w:r>
        <w:rPr>
          <w:rFonts w:hint="eastAsia" w:ascii="宋体" w:hAnsi="宋体"/>
          <w:color w:val="auto"/>
          <w:sz w:val="24"/>
          <w:u w:val="single"/>
        </w:rPr>
        <w:t xml:space="preserve">    </w:t>
      </w:r>
      <w:r>
        <w:rPr>
          <w:rFonts w:hint="eastAsia" w:ascii="宋体" w:hAnsi="宋体"/>
          <w:color w:val="auto"/>
          <w:sz w:val="24"/>
        </w:rPr>
        <w:t>月</w:t>
      </w:r>
      <w:r>
        <w:rPr>
          <w:rFonts w:hint="eastAsia" w:ascii="宋体" w:hAnsi="宋体"/>
          <w:color w:val="auto"/>
          <w:sz w:val="24"/>
          <w:u w:val="single"/>
        </w:rPr>
        <w:t xml:space="preserve">    </w:t>
      </w:r>
      <w:r>
        <w:rPr>
          <w:rFonts w:hint="eastAsia" w:ascii="宋体" w:hAnsi="宋体"/>
          <w:color w:val="auto"/>
          <w:sz w:val="24"/>
        </w:rPr>
        <w:t xml:space="preserve">日 </w:t>
      </w:r>
    </w:p>
    <w:p w14:paraId="0D5F312C">
      <w:pPr>
        <w:shd w:val="clear"/>
        <w:spacing w:line="360" w:lineRule="auto"/>
        <w:ind w:firstLine="480" w:firstLineChars="200"/>
        <w:rPr>
          <w:rFonts w:ascii="宋体" w:hAnsi="宋体"/>
          <w:color w:val="auto"/>
          <w:sz w:val="24"/>
        </w:rPr>
      </w:pPr>
      <w:r>
        <w:rPr>
          <w:rFonts w:hint="eastAsia" w:ascii="宋体" w:hAnsi="宋体"/>
          <w:color w:val="auto"/>
          <w:sz w:val="24"/>
        </w:rPr>
        <w:t>合同订立地点：</w:t>
      </w:r>
      <w:r>
        <w:rPr>
          <w:rFonts w:hint="eastAsia" w:ascii="宋体" w:hAnsi="宋体" w:cs="宋体"/>
          <w:color w:val="auto"/>
          <w:sz w:val="24"/>
          <w:u w:val="single"/>
        </w:rPr>
        <w:t xml:space="preserve">                             </w:t>
      </w:r>
      <w:r>
        <w:rPr>
          <w:rFonts w:hint="eastAsia" w:ascii="宋体" w:hAnsi="宋体"/>
          <w:color w:val="auto"/>
          <w:sz w:val="24"/>
          <w:u w:val="single"/>
        </w:rPr>
        <w:t xml:space="preserve"> </w:t>
      </w:r>
    </w:p>
    <w:p w14:paraId="5160E248">
      <w:pPr>
        <w:shd w:val="clear"/>
        <w:spacing w:line="360" w:lineRule="auto"/>
        <w:ind w:firstLine="480" w:firstLineChars="200"/>
        <w:rPr>
          <w:rFonts w:ascii="宋体" w:hAnsi="宋体"/>
          <w:color w:val="auto"/>
          <w:sz w:val="24"/>
        </w:rPr>
      </w:pPr>
      <w:r>
        <w:rPr>
          <w:rFonts w:hint="eastAsia" w:ascii="宋体" w:hAnsi="宋体"/>
          <w:color w:val="auto"/>
          <w:sz w:val="24"/>
        </w:rPr>
        <w:t>本合同双方约定</w:t>
      </w:r>
      <w:r>
        <w:rPr>
          <w:rFonts w:hint="eastAsia" w:ascii="宋体" w:hAnsi="宋体"/>
          <w:color w:val="auto"/>
          <w:sz w:val="24"/>
          <w:u w:val="single"/>
        </w:rPr>
        <w:t>加盖双方单位印章并经法定代表人或其委托代理人签字</w:t>
      </w:r>
      <w:r>
        <w:rPr>
          <w:rFonts w:hint="eastAsia" w:ascii="宋体" w:hAnsi="宋体"/>
          <w:color w:val="auto"/>
          <w:sz w:val="24"/>
        </w:rPr>
        <w:t>后生效。</w:t>
      </w:r>
    </w:p>
    <w:p w14:paraId="43C5DEAB">
      <w:pPr>
        <w:shd w:val="clear"/>
        <w:spacing w:line="360" w:lineRule="auto"/>
        <w:ind w:firstLine="240"/>
        <w:rPr>
          <w:rFonts w:ascii="宋体" w:hAnsi="宋体"/>
          <w:color w:val="auto"/>
          <w:sz w:val="24"/>
        </w:rPr>
      </w:pPr>
      <w:r>
        <w:rPr>
          <w:rFonts w:hint="eastAsia" w:ascii="宋体" w:hAnsi="宋体" w:eastAsia="黑体"/>
          <w:color w:val="auto"/>
          <w:sz w:val="24"/>
        </w:rPr>
        <w:t xml:space="preserve">   十一、</w:t>
      </w:r>
      <w:r>
        <w:rPr>
          <w:rFonts w:hint="eastAsia" w:ascii="宋体" w:hAnsi="宋体"/>
          <w:color w:val="auto"/>
          <w:sz w:val="24"/>
        </w:rPr>
        <w:t>合同份数</w:t>
      </w:r>
    </w:p>
    <w:p w14:paraId="442F5E34">
      <w:pPr>
        <w:shd w:val="clear"/>
        <w:spacing w:line="360" w:lineRule="auto"/>
        <w:ind w:firstLine="240"/>
        <w:rPr>
          <w:rFonts w:ascii="宋体" w:hAnsi="宋体"/>
          <w:color w:val="auto"/>
          <w:sz w:val="24"/>
        </w:rPr>
      </w:pPr>
      <w:r>
        <w:rPr>
          <w:rFonts w:hint="eastAsia" w:ascii="宋体" w:hAnsi="宋体"/>
          <w:color w:val="auto"/>
          <w:sz w:val="24"/>
        </w:rPr>
        <w:t>本合同一式</w:t>
      </w:r>
      <w:r>
        <w:rPr>
          <w:rFonts w:hint="eastAsia" w:ascii="宋体" w:hAnsi="宋体"/>
          <w:color w:val="auto"/>
          <w:sz w:val="24"/>
          <w:u w:val="single"/>
        </w:rPr>
        <w:t xml:space="preserve">      </w:t>
      </w:r>
      <w:r>
        <w:rPr>
          <w:rFonts w:hint="eastAsia" w:ascii="宋体" w:hAnsi="宋体"/>
          <w:color w:val="auto"/>
          <w:sz w:val="24"/>
        </w:rPr>
        <w:t>份，均具有同等法律效力，发包人执</w:t>
      </w:r>
      <w:r>
        <w:rPr>
          <w:rFonts w:hint="eastAsia" w:ascii="宋体" w:hAnsi="宋体"/>
          <w:color w:val="auto"/>
          <w:sz w:val="24"/>
          <w:u w:val="single"/>
        </w:rPr>
        <w:t xml:space="preserve">      </w:t>
      </w:r>
      <w:r>
        <w:rPr>
          <w:rFonts w:hint="eastAsia" w:ascii="宋体" w:hAnsi="宋体"/>
          <w:color w:val="auto"/>
          <w:sz w:val="24"/>
        </w:rPr>
        <w:t>份，承包人执</w:t>
      </w:r>
      <w:r>
        <w:rPr>
          <w:rFonts w:hint="eastAsia" w:ascii="宋体" w:hAnsi="宋体"/>
          <w:color w:val="auto"/>
          <w:sz w:val="24"/>
          <w:u w:val="single"/>
        </w:rPr>
        <w:t xml:space="preserve">     </w:t>
      </w:r>
      <w:r>
        <w:rPr>
          <w:rFonts w:hint="eastAsia" w:ascii="宋体" w:hAnsi="宋体"/>
          <w:color w:val="auto"/>
          <w:sz w:val="24"/>
        </w:rPr>
        <w:t>份。</w:t>
      </w:r>
    </w:p>
    <w:p w14:paraId="5C851F6A">
      <w:pPr>
        <w:shd w:val="clear"/>
        <w:autoSpaceDE w:val="0"/>
        <w:autoSpaceDN w:val="0"/>
        <w:adjustRightInd w:val="0"/>
        <w:spacing w:line="360" w:lineRule="auto"/>
        <w:ind w:firstLine="523" w:firstLineChars="218"/>
        <w:jc w:val="left"/>
        <w:rPr>
          <w:rFonts w:ascii="宋体" w:hAnsi="宋体" w:cs="宋体"/>
          <w:b/>
          <w:color w:val="auto"/>
          <w:kern w:val="0"/>
          <w:sz w:val="24"/>
          <w:lang w:val="zh-CN"/>
        </w:rPr>
      </w:pPr>
      <w:r>
        <w:rPr>
          <w:rFonts w:hint="eastAsia" w:ascii="宋体" w:hAnsi="宋体" w:eastAsia="黑体"/>
          <w:color w:val="auto"/>
          <w:sz w:val="24"/>
        </w:rPr>
        <w:t>发包人</w:t>
      </w:r>
      <w:r>
        <w:rPr>
          <w:rFonts w:ascii="宋体" w:hAnsi="宋体" w:eastAsia="黑体"/>
          <w:color w:val="auto"/>
          <w:sz w:val="24"/>
        </w:rPr>
        <w:t>(</w:t>
      </w:r>
      <w:r>
        <w:rPr>
          <w:rFonts w:hint="eastAsia" w:ascii="宋体" w:hAnsi="宋体" w:eastAsia="黑体"/>
          <w:color w:val="auto"/>
          <w:sz w:val="24"/>
        </w:rPr>
        <w:t>公章</w:t>
      </w:r>
      <w:r>
        <w:rPr>
          <w:rFonts w:ascii="宋体" w:hAnsi="宋体" w:eastAsia="黑体"/>
          <w:color w:val="auto"/>
          <w:sz w:val="24"/>
        </w:rPr>
        <w:t>)</w:t>
      </w:r>
      <w:r>
        <w:rPr>
          <w:rFonts w:hint="eastAsia" w:ascii="宋体" w:hAnsi="宋体" w:eastAsia="黑体"/>
          <w:color w:val="auto"/>
          <w:sz w:val="24"/>
        </w:rPr>
        <w:t>：</w:t>
      </w:r>
      <w:r>
        <w:rPr>
          <w:rFonts w:hint="eastAsia" w:ascii="宋体" w:hAnsi="宋体" w:cs="宋体"/>
          <w:color w:val="auto"/>
          <w:kern w:val="0"/>
          <w:sz w:val="24"/>
          <w:lang w:val="zh-CN"/>
        </w:rPr>
        <w:tab/>
      </w:r>
      <w:r>
        <w:rPr>
          <w:rFonts w:hint="eastAsia" w:ascii="宋体" w:hAnsi="宋体" w:cs="宋体"/>
          <w:color w:val="auto"/>
          <w:kern w:val="0"/>
          <w:sz w:val="24"/>
          <w:lang w:val="zh-CN"/>
        </w:rPr>
        <w:tab/>
      </w:r>
      <w:r>
        <w:rPr>
          <w:rFonts w:hint="eastAsia" w:ascii="宋体" w:hAnsi="宋体" w:cs="宋体"/>
          <w:color w:val="auto"/>
          <w:kern w:val="0"/>
          <w:sz w:val="24"/>
          <w:lang w:val="zh-CN"/>
        </w:rPr>
        <w:tab/>
      </w:r>
      <w:r>
        <w:rPr>
          <w:rFonts w:hint="eastAsia" w:ascii="宋体" w:hAnsi="宋体" w:cs="宋体"/>
          <w:color w:val="auto"/>
          <w:kern w:val="0"/>
          <w:sz w:val="24"/>
          <w:lang w:val="zh-CN"/>
        </w:rPr>
        <w:tab/>
      </w:r>
      <w:r>
        <w:rPr>
          <w:rFonts w:hint="eastAsia" w:ascii="宋体" w:hAnsi="宋体" w:cs="宋体"/>
          <w:color w:val="auto"/>
          <w:kern w:val="0"/>
          <w:sz w:val="24"/>
          <w:lang w:val="zh-CN"/>
        </w:rPr>
        <w:t xml:space="preserve">       </w:t>
      </w:r>
      <w:r>
        <w:rPr>
          <w:rFonts w:hint="eastAsia" w:ascii="宋体" w:hAnsi="宋体" w:eastAsia="黑体"/>
          <w:color w:val="auto"/>
          <w:sz w:val="24"/>
        </w:rPr>
        <w:t>承包人</w:t>
      </w:r>
      <w:r>
        <w:rPr>
          <w:rFonts w:ascii="宋体" w:hAnsi="宋体" w:eastAsia="黑体"/>
          <w:color w:val="auto"/>
          <w:sz w:val="24"/>
        </w:rPr>
        <w:t>(</w:t>
      </w:r>
      <w:r>
        <w:rPr>
          <w:rFonts w:hint="eastAsia" w:ascii="宋体" w:hAnsi="宋体" w:eastAsia="黑体"/>
          <w:color w:val="auto"/>
          <w:sz w:val="24"/>
        </w:rPr>
        <w:t>公章</w:t>
      </w:r>
      <w:r>
        <w:rPr>
          <w:rFonts w:ascii="宋体" w:hAnsi="宋体" w:eastAsia="黑体"/>
          <w:color w:val="auto"/>
          <w:sz w:val="24"/>
        </w:rPr>
        <w:t>)</w:t>
      </w:r>
      <w:r>
        <w:rPr>
          <w:rFonts w:hint="eastAsia" w:ascii="宋体" w:hAnsi="宋体" w:eastAsia="黑体"/>
          <w:color w:val="auto"/>
          <w:sz w:val="24"/>
        </w:rPr>
        <w:t>：</w:t>
      </w:r>
    </w:p>
    <w:p w14:paraId="4897C6B9">
      <w:pPr>
        <w:shd w:val="clear"/>
        <w:autoSpaceDE w:val="0"/>
        <w:autoSpaceDN w:val="0"/>
        <w:adjustRightInd w:val="0"/>
        <w:spacing w:line="360" w:lineRule="auto"/>
        <w:ind w:firstLine="523" w:firstLineChars="218"/>
        <w:jc w:val="left"/>
        <w:rPr>
          <w:rFonts w:ascii="宋体" w:hAnsi="宋体" w:cs="宋体"/>
          <w:color w:val="auto"/>
          <w:kern w:val="0"/>
          <w:sz w:val="24"/>
          <w:lang w:val="zh-CN"/>
        </w:rPr>
      </w:pPr>
      <w:r>
        <w:rPr>
          <w:rFonts w:hint="eastAsia" w:ascii="宋体" w:hAnsi="宋体" w:cs="宋体"/>
          <w:color w:val="auto"/>
          <w:kern w:val="0"/>
          <w:sz w:val="24"/>
          <w:lang w:val="zh-CN"/>
        </w:rPr>
        <w:t>住所：</w:t>
      </w:r>
      <w:r>
        <w:rPr>
          <w:rFonts w:hint="eastAsia" w:ascii="宋体" w:hAnsi="宋体" w:cs="宋体"/>
          <w:color w:val="auto"/>
          <w:kern w:val="0"/>
          <w:sz w:val="24"/>
          <w:lang w:val="zh-CN"/>
        </w:rPr>
        <w:tab/>
      </w:r>
      <w:r>
        <w:rPr>
          <w:rFonts w:hint="eastAsia" w:ascii="宋体" w:hAnsi="宋体" w:cs="宋体"/>
          <w:color w:val="auto"/>
          <w:kern w:val="0"/>
          <w:sz w:val="24"/>
          <w:lang w:val="zh-CN"/>
        </w:rPr>
        <w:tab/>
      </w:r>
      <w:r>
        <w:rPr>
          <w:rFonts w:hint="eastAsia" w:ascii="宋体" w:hAnsi="宋体" w:cs="宋体"/>
          <w:color w:val="auto"/>
          <w:kern w:val="0"/>
          <w:sz w:val="24"/>
          <w:lang w:val="zh-CN"/>
        </w:rPr>
        <w:tab/>
      </w:r>
      <w:r>
        <w:rPr>
          <w:rFonts w:hint="eastAsia" w:ascii="宋体" w:hAnsi="宋体" w:cs="宋体"/>
          <w:color w:val="auto"/>
          <w:kern w:val="0"/>
          <w:sz w:val="24"/>
          <w:lang w:val="zh-CN"/>
        </w:rPr>
        <w:tab/>
      </w:r>
      <w:r>
        <w:rPr>
          <w:rFonts w:hint="eastAsia" w:ascii="宋体" w:hAnsi="宋体" w:cs="宋体"/>
          <w:color w:val="auto"/>
          <w:kern w:val="0"/>
          <w:sz w:val="24"/>
          <w:lang w:val="zh-CN"/>
        </w:rPr>
        <w:tab/>
      </w:r>
      <w:r>
        <w:rPr>
          <w:rFonts w:hint="eastAsia" w:ascii="宋体" w:hAnsi="宋体" w:cs="宋体"/>
          <w:color w:val="auto"/>
          <w:kern w:val="0"/>
          <w:sz w:val="24"/>
          <w:lang w:val="zh-CN"/>
        </w:rPr>
        <w:tab/>
      </w:r>
      <w:r>
        <w:rPr>
          <w:rFonts w:hint="eastAsia" w:ascii="宋体" w:hAnsi="宋体" w:cs="宋体"/>
          <w:color w:val="auto"/>
          <w:kern w:val="0"/>
          <w:sz w:val="24"/>
          <w:lang w:val="zh-CN"/>
        </w:rPr>
        <w:t xml:space="preserve">           住所：</w:t>
      </w:r>
      <w:r>
        <w:rPr>
          <w:rFonts w:hint="eastAsia" w:ascii="宋体" w:hAnsi="宋体"/>
          <w:color w:val="auto"/>
          <w:spacing w:val="14"/>
          <w:sz w:val="24"/>
        </w:rPr>
        <w:t xml:space="preserve"> </w:t>
      </w:r>
    </w:p>
    <w:p w14:paraId="6A0ABF68">
      <w:pPr>
        <w:shd w:val="clear"/>
        <w:autoSpaceDE w:val="0"/>
        <w:autoSpaceDN w:val="0"/>
        <w:adjustRightInd w:val="0"/>
        <w:spacing w:line="360" w:lineRule="auto"/>
        <w:ind w:firstLine="523" w:firstLineChars="218"/>
        <w:jc w:val="left"/>
        <w:rPr>
          <w:rFonts w:ascii="宋体" w:hAnsi="宋体" w:cs="宋体"/>
          <w:color w:val="auto"/>
          <w:kern w:val="0"/>
          <w:sz w:val="24"/>
          <w:lang w:val="zh-CN"/>
        </w:rPr>
      </w:pPr>
      <w:r>
        <w:rPr>
          <w:rFonts w:hint="eastAsia" w:ascii="宋体" w:hAnsi="宋体" w:cs="宋体"/>
          <w:color w:val="auto"/>
          <w:kern w:val="0"/>
          <w:sz w:val="24"/>
          <w:lang w:val="zh-CN"/>
        </w:rPr>
        <w:t xml:space="preserve">法定代表人：                      法定代表人： </w:t>
      </w:r>
    </w:p>
    <w:p w14:paraId="327CBB31">
      <w:pPr>
        <w:shd w:val="clear"/>
        <w:autoSpaceDE w:val="0"/>
        <w:autoSpaceDN w:val="0"/>
        <w:adjustRightInd w:val="0"/>
        <w:spacing w:line="360" w:lineRule="auto"/>
        <w:ind w:firstLine="523" w:firstLineChars="218"/>
        <w:jc w:val="left"/>
        <w:rPr>
          <w:rFonts w:ascii="宋体" w:hAnsi="宋体" w:cs="宋体"/>
          <w:color w:val="auto"/>
          <w:kern w:val="0"/>
          <w:sz w:val="24"/>
          <w:lang w:val="zh-CN"/>
        </w:rPr>
      </w:pPr>
      <w:r>
        <w:rPr>
          <w:rFonts w:hint="eastAsia" w:ascii="宋体" w:hAnsi="宋体" w:cs="宋体"/>
          <w:color w:val="auto"/>
          <w:kern w:val="0"/>
          <w:sz w:val="24"/>
          <w:lang w:val="zh-CN"/>
        </w:rPr>
        <w:t>委托代理人：                      委托代理人：</w:t>
      </w:r>
    </w:p>
    <w:p w14:paraId="4B77425B">
      <w:pPr>
        <w:shd w:val="clear"/>
        <w:autoSpaceDE w:val="0"/>
        <w:autoSpaceDN w:val="0"/>
        <w:adjustRightInd w:val="0"/>
        <w:spacing w:line="360" w:lineRule="auto"/>
        <w:ind w:firstLine="523" w:firstLineChars="218"/>
        <w:jc w:val="left"/>
        <w:rPr>
          <w:rFonts w:ascii="宋体" w:hAnsi="宋体" w:cs="宋体"/>
          <w:color w:val="auto"/>
          <w:kern w:val="0"/>
          <w:sz w:val="24"/>
          <w:lang w:val="zh-CN"/>
        </w:rPr>
      </w:pPr>
      <w:r>
        <w:rPr>
          <w:rFonts w:hint="eastAsia" w:ascii="宋体" w:hAnsi="宋体" w:cs="宋体"/>
          <w:color w:val="auto"/>
          <w:kern w:val="0"/>
          <w:sz w:val="24"/>
          <w:lang w:val="zh-CN"/>
        </w:rPr>
        <w:t>电话：</w:t>
      </w:r>
      <w:r>
        <w:rPr>
          <w:rFonts w:hint="eastAsia" w:ascii="宋体" w:hAnsi="宋体" w:cs="宋体"/>
          <w:color w:val="auto"/>
          <w:kern w:val="0"/>
          <w:sz w:val="24"/>
          <w:lang w:val="zh-CN"/>
        </w:rPr>
        <w:tab/>
      </w:r>
      <w:r>
        <w:rPr>
          <w:rFonts w:hint="eastAsia" w:ascii="宋体" w:hAnsi="宋体" w:cs="宋体"/>
          <w:color w:val="auto"/>
          <w:kern w:val="0"/>
          <w:sz w:val="24"/>
          <w:lang w:val="zh-CN"/>
        </w:rPr>
        <w:tab/>
      </w:r>
      <w:r>
        <w:rPr>
          <w:rFonts w:hint="eastAsia" w:ascii="宋体" w:hAnsi="宋体" w:cs="宋体"/>
          <w:color w:val="auto"/>
          <w:kern w:val="0"/>
          <w:sz w:val="24"/>
          <w:lang w:val="zh-CN"/>
        </w:rPr>
        <w:tab/>
      </w:r>
      <w:r>
        <w:rPr>
          <w:rFonts w:hint="eastAsia" w:ascii="宋体" w:hAnsi="宋体" w:cs="宋体"/>
          <w:color w:val="auto"/>
          <w:kern w:val="0"/>
          <w:sz w:val="24"/>
          <w:lang w:val="zh-CN"/>
        </w:rPr>
        <w:tab/>
      </w:r>
      <w:r>
        <w:rPr>
          <w:rFonts w:hint="eastAsia" w:ascii="宋体" w:hAnsi="宋体" w:cs="宋体"/>
          <w:color w:val="auto"/>
          <w:kern w:val="0"/>
          <w:sz w:val="24"/>
          <w:lang w:val="zh-CN"/>
        </w:rPr>
        <w:tab/>
      </w:r>
      <w:r>
        <w:rPr>
          <w:rFonts w:hint="eastAsia" w:ascii="宋体" w:hAnsi="宋体" w:cs="宋体"/>
          <w:color w:val="auto"/>
          <w:kern w:val="0"/>
          <w:sz w:val="24"/>
          <w:lang w:val="zh-CN"/>
        </w:rPr>
        <w:t xml:space="preserve">              电话：</w:t>
      </w:r>
    </w:p>
    <w:p w14:paraId="3049A6C9">
      <w:pPr>
        <w:shd w:val="clear"/>
        <w:autoSpaceDE w:val="0"/>
        <w:autoSpaceDN w:val="0"/>
        <w:adjustRightInd w:val="0"/>
        <w:spacing w:line="360" w:lineRule="auto"/>
        <w:ind w:firstLine="523" w:firstLineChars="218"/>
        <w:jc w:val="left"/>
        <w:rPr>
          <w:rFonts w:ascii="宋体" w:hAnsi="宋体" w:cs="宋体"/>
          <w:color w:val="auto"/>
          <w:kern w:val="0"/>
          <w:sz w:val="24"/>
          <w:lang w:val="zh-CN"/>
        </w:rPr>
      </w:pPr>
      <w:r>
        <w:rPr>
          <w:rFonts w:hint="eastAsia" w:ascii="宋体" w:hAnsi="宋体" w:cs="宋体"/>
          <w:color w:val="auto"/>
          <w:kern w:val="0"/>
          <w:sz w:val="24"/>
          <w:lang w:val="zh-CN"/>
        </w:rPr>
        <w:t xml:space="preserve">开户银行：                        开户银行： </w:t>
      </w:r>
    </w:p>
    <w:p w14:paraId="5E2908E9">
      <w:pPr>
        <w:shd w:val="clear"/>
        <w:autoSpaceDE w:val="0"/>
        <w:autoSpaceDN w:val="0"/>
        <w:adjustRightInd w:val="0"/>
        <w:spacing w:line="360" w:lineRule="auto"/>
        <w:ind w:firstLine="523" w:firstLineChars="218"/>
        <w:jc w:val="left"/>
        <w:rPr>
          <w:rFonts w:ascii="宋体" w:hAnsi="宋体"/>
          <w:color w:val="auto"/>
          <w:spacing w:val="14"/>
          <w:sz w:val="24"/>
        </w:rPr>
      </w:pPr>
      <w:r>
        <w:rPr>
          <w:rFonts w:hint="eastAsia" w:ascii="宋体" w:hAnsi="宋体" w:cs="宋体"/>
          <w:color w:val="auto"/>
          <w:kern w:val="0"/>
          <w:sz w:val="24"/>
          <w:lang w:val="zh-CN"/>
        </w:rPr>
        <w:t>账号：                            账号：</w:t>
      </w:r>
      <w:r>
        <w:rPr>
          <w:rFonts w:hint="eastAsia" w:ascii="宋体" w:hAnsi="宋体"/>
          <w:color w:val="auto"/>
          <w:spacing w:val="14"/>
          <w:sz w:val="24"/>
        </w:rPr>
        <w:t xml:space="preserve"> </w:t>
      </w:r>
    </w:p>
    <w:p w14:paraId="3306A207">
      <w:pPr>
        <w:shd w:val="clear"/>
        <w:autoSpaceDE w:val="0"/>
        <w:autoSpaceDN w:val="0"/>
        <w:adjustRightInd w:val="0"/>
        <w:spacing w:line="360" w:lineRule="auto"/>
        <w:ind w:firstLine="584" w:firstLineChars="218"/>
        <w:jc w:val="left"/>
        <w:rPr>
          <w:rFonts w:ascii="宋体" w:hAnsi="宋体"/>
          <w:color w:val="auto"/>
          <w:spacing w:val="14"/>
          <w:sz w:val="24"/>
        </w:rPr>
      </w:pPr>
    </w:p>
    <w:p w14:paraId="5BAE4702">
      <w:pPr>
        <w:shd w:val="clear"/>
        <w:spacing w:line="360" w:lineRule="auto"/>
        <w:ind w:firstLine="320"/>
        <w:jc w:val="center"/>
        <w:rPr>
          <w:rFonts w:eastAsia="黑体"/>
          <w:color w:val="auto"/>
          <w:sz w:val="32"/>
        </w:rPr>
      </w:pPr>
    </w:p>
    <w:p w14:paraId="0795DEB8">
      <w:pPr>
        <w:shd w:val="clear"/>
        <w:spacing w:line="360" w:lineRule="auto"/>
        <w:ind w:firstLine="320"/>
        <w:jc w:val="center"/>
        <w:rPr>
          <w:rFonts w:ascii="宋体" w:hAnsi="宋体"/>
          <w:b/>
          <w:color w:val="auto"/>
          <w:sz w:val="30"/>
        </w:rPr>
      </w:pPr>
      <w:r>
        <w:rPr>
          <w:rFonts w:hint="eastAsia" w:eastAsia="黑体"/>
          <w:color w:val="auto"/>
          <w:sz w:val="32"/>
        </w:rPr>
        <w:t>第二部分</w:t>
      </w:r>
      <w:r>
        <w:rPr>
          <w:rFonts w:hint="eastAsia" w:ascii="宋体" w:hAnsi="宋体"/>
          <w:b/>
          <w:color w:val="auto"/>
          <w:sz w:val="30"/>
        </w:rPr>
        <w:t xml:space="preserve"> 通用合同条款</w:t>
      </w:r>
    </w:p>
    <w:p w14:paraId="081D7B3E">
      <w:pPr>
        <w:shd w:val="clear"/>
        <w:spacing w:line="360" w:lineRule="auto"/>
        <w:ind w:firstLine="480" w:firstLineChars="200"/>
        <w:rPr>
          <w:rFonts w:ascii="宋体" w:hAnsi="宋体"/>
          <w:color w:val="auto"/>
          <w:sz w:val="24"/>
        </w:rPr>
      </w:pPr>
      <w:r>
        <w:rPr>
          <w:rFonts w:hint="eastAsia" w:ascii="宋体" w:hAnsi="宋体"/>
          <w:color w:val="auto"/>
          <w:sz w:val="24"/>
        </w:rPr>
        <w:t>通用合同条款直接引用中国建筑工业出版社出版的《建设工程施工合同（示范文本）（GF-2017-0201）第二部分“通用合同条款”内容。</w:t>
      </w:r>
    </w:p>
    <w:p w14:paraId="2ED4563B">
      <w:pPr>
        <w:shd w:val="clear"/>
        <w:spacing w:line="360" w:lineRule="auto"/>
        <w:ind w:firstLine="210"/>
        <w:rPr>
          <w:color w:val="auto"/>
        </w:rPr>
      </w:pPr>
    </w:p>
    <w:p w14:paraId="09CE0CF2">
      <w:pPr>
        <w:pStyle w:val="5"/>
        <w:shd w:val="clear"/>
        <w:tabs>
          <w:tab w:val="left" w:pos="709"/>
        </w:tabs>
        <w:spacing w:before="120"/>
        <w:ind w:firstLine="301"/>
        <w:jc w:val="center"/>
        <w:rPr>
          <w:color w:val="auto"/>
          <w:sz w:val="30"/>
          <w:szCs w:val="30"/>
        </w:rPr>
      </w:pPr>
      <w:bookmarkStart w:id="391" w:name="_Toc364853223"/>
      <w:r>
        <w:rPr>
          <w:rFonts w:hint="eastAsia"/>
          <w:color w:val="auto"/>
          <w:sz w:val="30"/>
          <w:szCs w:val="30"/>
        </w:rPr>
        <w:t>第三部分 专用合同条款</w:t>
      </w:r>
      <w:bookmarkEnd w:id="391"/>
    </w:p>
    <w:p w14:paraId="640706EC">
      <w:pPr>
        <w:shd w:val="clear"/>
        <w:spacing w:line="440" w:lineRule="exact"/>
        <w:ind w:firstLine="480" w:firstLineChars="200"/>
        <w:rPr>
          <w:rFonts w:ascii="宋体" w:hAnsi="宋体"/>
          <w:color w:val="auto"/>
          <w:sz w:val="24"/>
        </w:rPr>
      </w:pPr>
      <w:bookmarkStart w:id="392" w:name="_Toc364853224"/>
      <w:r>
        <w:rPr>
          <w:rFonts w:hint="eastAsia" w:ascii="宋体" w:hAnsi="宋体"/>
          <w:color w:val="auto"/>
          <w:sz w:val="24"/>
        </w:rPr>
        <w:t>以下主要专用合同条款根据《建设工程施工合同（示范文本）（GF-2017-0201）第三部分“专用合同条款”的格式与内容确定，除招标人和中标人在合同谈判期间有补充约定外，本合同的专用合同条款按以下条款执行。</w:t>
      </w:r>
    </w:p>
    <w:p w14:paraId="31A06224">
      <w:pPr>
        <w:pStyle w:val="6"/>
        <w:shd w:val="clear"/>
        <w:spacing w:before="120" w:line="440" w:lineRule="exact"/>
        <w:ind w:firstLine="241"/>
        <w:rPr>
          <w:rFonts w:ascii="宋体" w:hAnsi="宋体" w:cs="宋体"/>
          <w:color w:val="auto"/>
          <w:sz w:val="24"/>
          <w:szCs w:val="24"/>
        </w:rPr>
      </w:pPr>
      <w:r>
        <w:rPr>
          <w:rFonts w:hint="eastAsia" w:ascii="宋体" w:hAnsi="宋体" w:cs="宋体"/>
          <w:color w:val="auto"/>
          <w:sz w:val="24"/>
          <w:szCs w:val="24"/>
        </w:rPr>
        <w:t>1. 一般约定</w:t>
      </w:r>
      <w:bookmarkEnd w:id="392"/>
    </w:p>
    <w:p w14:paraId="442575DE">
      <w:pPr>
        <w:pStyle w:val="68"/>
        <w:shd w:val="clear"/>
        <w:spacing w:before="120" w:line="440" w:lineRule="exact"/>
        <w:ind w:firstLine="458" w:firstLineChars="190"/>
        <w:rPr>
          <w:rFonts w:hAnsi="宋体"/>
          <w:color w:val="auto"/>
        </w:rPr>
      </w:pPr>
      <w:r>
        <w:rPr>
          <w:rFonts w:hint="eastAsia" w:hAnsi="宋体"/>
          <w:color w:val="auto"/>
        </w:rPr>
        <w:t xml:space="preserve">1.3 法律 </w:t>
      </w:r>
    </w:p>
    <w:p w14:paraId="2865089C">
      <w:pPr>
        <w:shd w:val="clear"/>
        <w:spacing w:line="440" w:lineRule="exact"/>
        <w:ind w:firstLine="480" w:firstLineChars="200"/>
        <w:rPr>
          <w:rFonts w:ascii="宋体" w:hAnsi="宋体"/>
          <w:color w:val="auto"/>
          <w:sz w:val="24"/>
        </w:rPr>
      </w:pPr>
      <w:r>
        <w:rPr>
          <w:rFonts w:hint="eastAsia" w:ascii="宋体" w:hAnsi="宋体"/>
          <w:color w:val="auto"/>
          <w:sz w:val="24"/>
        </w:rPr>
        <w:t>适用于合同的其他规范性文件：浙江省、宁波市有关工程建设的法规、规章及规范性文件。</w:t>
      </w:r>
    </w:p>
    <w:p w14:paraId="3C3B5FF0">
      <w:pPr>
        <w:pStyle w:val="68"/>
        <w:shd w:val="clear"/>
        <w:spacing w:before="120" w:line="440" w:lineRule="exact"/>
        <w:ind w:firstLine="458" w:firstLineChars="190"/>
        <w:rPr>
          <w:rFonts w:hAnsi="宋体"/>
          <w:color w:val="auto"/>
        </w:rPr>
      </w:pPr>
      <w:r>
        <w:rPr>
          <w:rFonts w:hint="eastAsia" w:hAnsi="宋体"/>
          <w:color w:val="auto"/>
        </w:rPr>
        <w:t>1.4 标准和规范</w:t>
      </w:r>
    </w:p>
    <w:p w14:paraId="0E27327B">
      <w:pPr>
        <w:shd w:val="clear"/>
        <w:spacing w:line="440" w:lineRule="exact"/>
        <w:ind w:firstLine="480" w:firstLineChars="200"/>
        <w:rPr>
          <w:rFonts w:ascii="宋体" w:hAnsi="宋体"/>
          <w:color w:val="auto"/>
          <w:sz w:val="24"/>
        </w:rPr>
      </w:pPr>
      <w:r>
        <w:rPr>
          <w:rFonts w:ascii="宋体" w:hAnsi="宋体"/>
          <w:color w:val="auto"/>
          <w:sz w:val="24"/>
        </w:rPr>
        <w:t>1.4.1</w:t>
      </w:r>
      <w:r>
        <w:rPr>
          <w:rFonts w:hint="eastAsia" w:ascii="宋体" w:hAnsi="宋体"/>
          <w:color w:val="auto"/>
          <w:sz w:val="24"/>
        </w:rPr>
        <w:t>适用于工程的标准规范包括：浙江省、宁波市工程建设相关的施工及验收规范和标准</w:t>
      </w:r>
      <w:r>
        <w:rPr>
          <w:rFonts w:ascii="宋体" w:hAnsi="宋体"/>
          <w:color w:val="auto"/>
          <w:sz w:val="24"/>
        </w:rPr>
        <w:t>。</w:t>
      </w:r>
    </w:p>
    <w:p w14:paraId="4736EA62">
      <w:pPr>
        <w:pStyle w:val="6"/>
        <w:shd w:val="clear"/>
        <w:spacing w:before="120" w:line="440" w:lineRule="exact"/>
        <w:ind w:firstLine="241"/>
        <w:rPr>
          <w:rFonts w:ascii="宋体" w:hAnsi="宋体" w:cs="宋体"/>
          <w:color w:val="auto"/>
          <w:sz w:val="24"/>
          <w:szCs w:val="24"/>
        </w:rPr>
      </w:pPr>
      <w:bookmarkStart w:id="393" w:name="_Toc364853225"/>
      <w:r>
        <w:rPr>
          <w:rFonts w:hint="eastAsia" w:ascii="宋体" w:hAnsi="宋体" w:cs="宋体"/>
          <w:color w:val="auto"/>
          <w:sz w:val="24"/>
          <w:szCs w:val="24"/>
        </w:rPr>
        <w:t>2. 发包人</w:t>
      </w:r>
      <w:bookmarkEnd w:id="393"/>
    </w:p>
    <w:p w14:paraId="73F2A487">
      <w:pPr>
        <w:pStyle w:val="68"/>
        <w:shd w:val="clear"/>
        <w:spacing w:before="120" w:line="440" w:lineRule="exact"/>
        <w:ind w:firstLine="458" w:firstLineChars="190"/>
        <w:rPr>
          <w:rFonts w:hAnsi="宋体"/>
          <w:color w:val="auto"/>
        </w:rPr>
      </w:pPr>
      <w:r>
        <w:rPr>
          <w:rFonts w:hint="eastAsia" w:hAnsi="宋体"/>
          <w:color w:val="auto"/>
        </w:rPr>
        <w:t>2.2 发包人代表</w:t>
      </w:r>
    </w:p>
    <w:p w14:paraId="36F53161">
      <w:pPr>
        <w:pStyle w:val="68"/>
        <w:shd w:val="clear"/>
        <w:spacing w:before="120" w:line="440" w:lineRule="exact"/>
        <w:ind w:firstLine="458" w:firstLineChars="190"/>
        <w:rPr>
          <w:rFonts w:hAnsi="宋体"/>
          <w:color w:val="auto"/>
          <w:u w:val="single"/>
        </w:rPr>
      </w:pPr>
      <w:r>
        <w:rPr>
          <w:rFonts w:hint="eastAsia" w:hAnsi="宋体"/>
          <w:color w:val="auto"/>
        </w:rPr>
        <w:t>发包人代表姓名：</w:t>
      </w:r>
      <w:r>
        <w:rPr>
          <w:rFonts w:hint="eastAsia" w:hAnsi="宋体"/>
          <w:color w:val="auto"/>
          <w:u w:val="single"/>
        </w:rPr>
        <w:t xml:space="preserve">                         </w:t>
      </w:r>
    </w:p>
    <w:p w14:paraId="25DD658B">
      <w:pPr>
        <w:pStyle w:val="68"/>
        <w:shd w:val="clear"/>
        <w:spacing w:before="120" w:line="440" w:lineRule="exact"/>
        <w:ind w:firstLine="458" w:firstLineChars="190"/>
        <w:rPr>
          <w:rFonts w:hAnsi="宋体"/>
          <w:color w:val="auto"/>
          <w:u w:val="single"/>
        </w:rPr>
      </w:pPr>
      <w:r>
        <w:rPr>
          <w:rFonts w:hint="eastAsia" w:hAnsi="宋体"/>
          <w:color w:val="auto"/>
        </w:rPr>
        <w:t>身份证号码：</w:t>
      </w:r>
      <w:r>
        <w:rPr>
          <w:rFonts w:hint="eastAsia" w:hAnsi="宋体"/>
          <w:color w:val="auto"/>
          <w:u w:val="single"/>
        </w:rPr>
        <w:t xml:space="preserve">                             </w:t>
      </w:r>
    </w:p>
    <w:p w14:paraId="6719DC47">
      <w:pPr>
        <w:pStyle w:val="68"/>
        <w:shd w:val="clear"/>
        <w:spacing w:before="120" w:line="440" w:lineRule="exact"/>
        <w:ind w:firstLine="458" w:firstLineChars="190"/>
        <w:rPr>
          <w:rFonts w:hAnsi="宋体"/>
          <w:color w:val="auto"/>
        </w:rPr>
      </w:pPr>
      <w:r>
        <w:rPr>
          <w:rFonts w:hint="eastAsia" w:hAnsi="宋体"/>
          <w:color w:val="auto"/>
        </w:rPr>
        <w:t>联系电话：</w:t>
      </w:r>
      <w:r>
        <w:rPr>
          <w:rFonts w:hint="eastAsia" w:hAnsi="宋体"/>
          <w:color w:val="auto"/>
          <w:u w:val="single"/>
        </w:rPr>
        <w:t xml:space="preserve">                               </w:t>
      </w:r>
    </w:p>
    <w:p w14:paraId="066EA837">
      <w:pPr>
        <w:shd w:val="clear"/>
        <w:spacing w:line="440" w:lineRule="exact"/>
        <w:ind w:firstLine="480" w:firstLineChars="200"/>
        <w:rPr>
          <w:rFonts w:ascii="宋体" w:hAnsi="宋体"/>
          <w:color w:val="auto"/>
          <w:sz w:val="24"/>
        </w:rPr>
      </w:pPr>
      <w:r>
        <w:rPr>
          <w:rFonts w:hint="eastAsia" w:ascii="宋体" w:hAnsi="宋体"/>
          <w:color w:val="auto"/>
          <w:sz w:val="24"/>
        </w:rPr>
        <w:t>发包人对发包人代表的授权范围如下：代表发包人履行发包人对工程建设管理的权利和义务，签发（或会签）各项工程联系单，对承包人、监理人有监督、协调的权利。工程价款洽商、索赔事项的处理、合同的变更等事项，由发包人代表在监理人的配合下完成，但最终需经发包人同意。</w:t>
      </w:r>
    </w:p>
    <w:p w14:paraId="1E6BD126">
      <w:pPr>
        <w:pStyle w:val="6"/>
        <w:shd w:val="clear"/>
        <w:spacing w:before="120" w:line="440" w:lineRule="exact"/>
        <w:ind w:firstLine="241"/>
        <w:rPr>
          <w:rFonts w:ascii="宋体" w:hAnsi="宋体" w:cs="宋体"/>
          <w:color w:val="auto"/>
          <w:sz w:val="24"/>
          <w:szCs w:val="24"/>
        </w:rPr>
      </w:pPr>
      <w:bookmarkStart w:id="394" w:name="_Toc364853226"/>
      <w:r>
        <w:rPr>
          <w:rFonts w:hint="eastAsia" w:ascii="宋体" w:hAnsi="宋体" w:cs="宋体"/>
          <w:color w:val="auto"/>
          <w:sz w:val="24"/>
          <w:szCs w:val="24"/>
        </w:rPr>
        <w:t>3. 承包人</w:t>
      </w:r>
      <w:bookmarkEnd w:id="394"/>
    </w:p>
    <w:p w14:paraId="50A6FEDE">
      <w:pPr>
        <w:pStyle w:val="68"/>
        <w:shd w:val="clear"/>
        <w:spacing w:before="120" w:line="440" w:lineRule="exact"/>
        <w:ind w:firstLine="458" w:firstLineChars="190"/>
        <w:rPr>
          <w:rFonts w:hAnsi="宋体"/>
          <w:color w:val="auto"/>
        </w:rPr>
      </w:pPr>
      <w:r>
        <w:rPr>
          <w:rFonts w:hint="eastAsia" w:hAnsi="宋体"/>
          <w:color w:val="auto"/>
        </w:rPr>
        <w:t>3.1 承包人的一般义务</w:t>
      </w:r>
    </w:p>
    <w:p w14:paraId="75988CE0">
      <w:pPr>
        <w:pStyle w:val="68"/>
        <w:shd w:val="clear"/>
        <w:spacing w:before="120" w:line="440" w:lineRule="exact"/>
        <w:ind w:firstLine="455" w:firstLineChars="189"/>
        <w:rPr>
          <w:rFonts w:hAnsi="宋体"/>
          <w:color w:val="auto"/>
        </w:rPr>
      </w:pPr>
      <w:r>
        <w:rPr>
          <w:rFonts w:hint="eastAsia" w:hAnsi="宋体"/>
          <w:color w:val="auto"/>
        </w:rPr>
        <w:t>3.2 项目经理</w:t>
      </w:r>
    </w:p>
    <w:p w14:paraId="727C0986">
      <w:pPr>
        <w:pStyle w:val="68"/>
        <w:shd w:val="clear"/>
        <w:spacing w:before="120" w:line="440" w:lineRule="exact"/>
        <w:ind w:firstLine="455" w:firstLineChars="189"/>
        <w:rPr>
          <w:rFonts w:hAnsi="宋体"/>
          <w:color w:val="auto"/>
          <w:u w:val="single"/>
        </w:rPr>
      </w:pPr>
      <w:r>
        <w:rPr>
          <w:rFonts w:hint="eastAsia" w:hAnsi="宋体"/>
          <w:color w:val="auto"/>
        </w:rPr>
        <w:t>项目经理姓名：</w:t>
      </w:r>
      <w:r>
        <w:rPr>
          <w:rFonts w:hint="eastAsia" w:hAnsi="宋体"/>
          <w:color w:val="auto"/>
          <w:u w:val="single"/>
        </w:rPr>
        <w:t xml:space="preserve">                          </w:t>
      </w:r>
    </w:p>
    <w:p w14:paraId="7B9F976E">
      <w:pPr>
        <w:pStyle w:val="68"/>
        <w:shd w:val="clear"/>
        <w:spacing w:before="120" w:line="440" w:lineRule="exact"/>
        <w:ind w:firstLine="455" w:firstLineChars="189"/>
        <w:rPr>
          <w:rFonts w:hAnsi="宋体"/>
          <w:color w:val="auto"/>
          <w:u w:val="single"/>
        </w:rPr>
      </w:pPr>
      <w:r>
        <w:rPr>
          <w:rFonts w:hint="eastAsia" w:hAnsi="宋体"/>
          <w:color w:val="auto"/>
        </w:rPr>
        <w:t>身份证号码：</w:t>
      </w:r>
      <w:r>
        <w:rPr>
          <w:rFonts w:hint="eastAsia" w:hAnsi="宋体"/>
          <w:color w:val="auto"/>
          <w:u w:val="single"/>
        </w:rPr>
        <w:t xml:space="preserve">                             </w:t>
      </w:r>
    </w:p>
    <w:p w14:paraId="3782ECAE">
      <w:pPr>
        <w:pStyle w:val="68"/>
        <w:shd w:val="clear"/>
        <w:spacing w:before="120" w:line="440" w:lineRule="exact"/>
        <w:ind w:firstLine="455" w:firstLineChars="189"/>
        <w:rPr>
          <w:rFonts w:hAnsi="宋体"/>
          <w:color w:val="auto"/>
        </w:rPr>
      </w:pPr>
      <w:r>
        <w:rPr>
          <w:rFonts w:hint="eastAsia" w:hAnsi="宋体"/>
          <w:color w:val="auto"/>
        </w:rPr>
        <w:t>联系电话：</w:t>
      </w:r>
      <w:r>
        <w:rPr>
          <w:rFonts w:hint="eastAsia" w:hAnsi="宋体"/>
          <w:color w:val="auto"/>
          <w:u w:val="single"/>
        </w:rPr>
        <w:t xml:space="preserve">                               </w:t>
      </w:r>
    </w:p>
    <w:p w14:paraId="3C737627">
      <w:pPr>
        <w:pStyle w:val="68"/>
        <w:shd w:val="clear"/>
        <w:spacing w:before="120" w:line="440" w:lineRule="exact"/>
        <w:ind w:firstLine="455" w:firstLineChars="189"/>
        <w:rPr>
          <w:rFonts w:hAnsi="宋体"/>
          <w:color w:val="auto"/>
          <w:u w:val="single"/>
        </w:rPr>
      </w:pPr>
      <w:r>
        <w:rPr>
          <w:rFonts w:hint="eastAsia" w:hAnsi="宋体"/>
          <w:color w:val="auto"/>
        </w:rPr>
        <w:t>安全员姓名：</w:t>
      </w:r>
      <w:r>
        <w:rPr>
          <w:rFonts w:hint="eastAsia" w:hAnsi="宋体"/>
          <w:color w:val="auto"/>
          <w:u w:val="single"/>
        </w:rPr>
        <w:t xml:space="preserve">                             </w:t>
      </w:r>
    </w:p>
    <w:p w14:paraId="5B406039">
      <w:pPr>
        <w:pStyle w:val="68"/>
        <w:shd w:val="clear"/>
        <w:spacing w:before="120" w:line="440" w:lineRule="exact"/>
        <w:ind w:firstLine="455" w:firstLineChars="189"/>
        <w:rPr>
          <w:rFonts w:hAnsi="宋体"/>
          <w:color w:val="auto"/>
          <w:u w:val="single"/>
        </w:rPr>
      </w:pPr>
      <w:r>
        <w:rPr>
          <w:rFonts w:hint="eastAsia" w:hAnsi="宋体"/>
          <w:color w:val="auto"/>
        </w:rPr>
        <w:t>身份证号码：</w:t>
      </w:r>
      <w:r>
        <w:rPr>
          <w:rFonts w:hint="eastAsia" w:hAnsi="宋体"/>
          <w:color w:val="auto"/>
          <w:u w:val="single"/>
        </w:rPr>
        <w:t xml:space="preserve">                             </w:t>
      </w:r>
    </w:p>
    <w:p w14:paraId="1949A75B">
      <w:pPr>
        <w:pStyle w:val="68"/>
        <w:shd w:val="clear"/>
        <w:spacing w:before="120" w:line="440" w:lineRule="exact"/>
        <w:ind w:firstLine="455" w:firstLineChars="189"/>
        <w:rPr>
          <w:rFonts w:hAnsi="宋体"/>
          <w:color w:val="auto"/>
          <w:u w:val="single"/>
        </w:rPr>
      </w:pPr>
      <w:r>
        <w:rPr>
          <w:rFonts w:hint="eastAsia" w:hAnsi="宋体"/>
          <w:color w:val="auto"/>
        </w:rPr>
        <w:t>联系电话：</w:t>
      </w:r>
      <w:r>
        <w:rPr>
          <w:rFonts w:hint="eastAsia" w:hAnsi="宋体"/>
          <w:color w:val="auto"/>
          <w:u w:val="single"/>
        </w:rPr>
        <w:t xml:space="preserve">                               </w:t>
      </w:r>
    </w:p>
    <w:p w14:paraId="3271F17E">
      <w:pPr>
        <w:shd w:val="clear"/>
        <w:spacing w:line="360" w:lineRule="auto"/>
        <w:ind w:firstLine="480" w:firstLineChars="200"/>
        <w:rPr>
          <w:rFonts w:cs="仿宋" w:asciiTheme="majorEastAsia" w:hAnsiTheme="majorEastAsia" w:eastAsiaTheme="majorEastAsia"/>
          <w:color w:val="auto"/>
          <w:kern w:val="0"/>
          <w:sz w:val="24"/>
        </w:rPr>
      </w:pPr>
    </w:p>
    <w:p w14:paraId="2027A6D4">
      <w:pPr>
        <w:shd w:val="clear"/>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3.2.1承包人委派的项目</w:t>
      </w:r>
      <w:r>
        <w:rPr>
          <w:rFonts w:hint="eastAsia" w:cs="仿宋" w:asciiTheme="majorEastAsia" w:hAnsiTheme="majorEastAsia" w:eastAsiaTheme="majorEastAsia"/>
          <w:color w:val="auto"/>
          <w:sz w:val="24"/>
        </w:rPr>
        <w:t>经理</w:t>
      </w:r>
      <w:r>
        <w:rPr>
          <w:rFonts w:hint="eastAsia" w:cs="仿宋" w:asciiTheme="majorEastAsia" w:hAnsiTheme="majorEastAsia" w:eastAsiaTheme="majorEastAsia"/>
          <w:color w:val="auto"/>
          <w:kern w:val="0"/>
          <w:sz w:val="24"/>
        </w:rPr>
        <w:t>及其执业行为应遵守通用条款约定，违反约定的，按本专用条款约定，承担违约责任。</w:t>
      </w:r>
    </w:p>
    <w:p w14:paraId="1C2E30C5">
      <w:pPr>
        <w:shd w:val="clear"/>
        <w:spacing w:line="360" w:lineRule="auto"/>
        <w:ind w:firstLine="480" w:firstLineChars="200"/>
        <w:rPr>
          <w:rFonts w:cs="仿宋" w:asciiTheme="majorEastAsia" w:hAnsiTheme="majorEastAsia" w:eastAsiaTheme="majorEastAsia"/>
          <w:color w:val="auto"/>
          <w:sz w:val="24"/>
        </w:rPr>
      </w:pPr>
      <w:r>
        <w:rPr>
          <w:rFonts w:hint="eastAsia" w:cs="仿宋" w:asciiTheme="majorEastAsia" w:hAnsiTheme="majorEastAsia" w:eastAsiaTheme="majorEastAsia"/>
          <w:color w:val="auto"/>
          <w:sz w:val="24"/>
        </w:rPr>
        <w:t>（1）承包人项目经理必须与承包人响应文件中的人员保持一致，并在根据本合同约定的开工日期前到任。项目经理不得违反本市或区建设行政主管部门对项目经理的管理规定。未经发包人书面许可，承包人不得更换项目经理。承包人项目经理以及项目管理机构关键岗位人员的姓名、职称、身份证号、执业资格证书号、注册证书号、执业印章号、安全生产考核合格证书号等资料应当在合同协议书中载明。</w:t>
      </w:r>
    </w:p>
    <w:p w14:paraId="61A1B290">
      <w:pPr>
        <w:shd w:val="clear"/>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sz w:val="24"/>
        </w:rPr>
        <w:t>（2）承包人对项目经理的授权范围如下：在承</w:t>
      </w:r>
      <w:r>
        <w:rPr>
          <w:rFonts w:hint="eastAsia" w:cs="仿宋" w:asciiTheme="majorEastAsia" w:hAnsiTheme="majorEastAsia" w:eastAsiaTheme="majorEastAsia"/>
          <w:color w:val="auto"/>
          <w:kern w:val="0"/>
          <w:sz w:val="24"/>
        </w:rPr>
        <w:t>包人授权范围内履行承包人的职权，对工程建设的质量、安全、工期以及工程造价控制负责，所有上报给发包人的文件均需项目经理签字。</w:t>
      </w:r>
    </w:p>
    <w:p w14:paraId="71BD673A">
      <w:pPr>
        <w:shd w:val="clear"/>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（3）承包人未提交劳动合同，以及没有为项目经理缴纳社会保险证明的违约责任：发包人有权解除合同，由此造成的费用增加和工期延误损失均由承包人承担。</w:t>
      </w:r>
    </w:p>
    <w:p w14:paraId="323D3C66">
      <w:pPr>
        <w:shd w:val="clear"/>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（4）关于项目经理每月在施工现场的时间要求：每月在施工现场时间不得少于</w:t>
      </w:r>
      <w:r>
        <w:rPr>
          <w:rFonts w:hint="eastAsia" w:cs="仿宋" w:asciiTheme="majorEastAsia" w:hAnsiTheme="majorEastAsia" w:eastAsiaTheme="majorEastAsia"/>
          <w:color w:val="auto"/>
          <w:kern w:val="0"/>
          <w:sz w:val="24"/>
          <w:u w:val="single"/>
        </w:rPr>
        <w:t xml:space="preserve">         25</w:t>
      </w:r>
      <w:r>
        <w:rPr>
          <w:rFonts w:hint="eastAsia" w:cs="仿宋" w:asciiTheme="majorEastAsia" w:hAnsiTheme="majorEastAsia" w:eastAsiaTheme="majorEastAsia"/>
          <w:color w:val="auto"/>
          <w:kern w:val="0"/>
          <w:sz w:val="24"/>
        </w:rPr>
        <w:t>天，每天工作时间不得少于</w:t>
      </w:r>
      <w:r>
        <w:rPr>
          <w:rFonts w:hint="eastAsia" w:cs="仿宋" w:asciiTheme="majorEastAsia" w:hAnsiTheme="majorEastAsia" w:eastAsiaTheme="majorEastAsia"/>
          <w:color w:val="auto"/>
          <w:kern w:val="0"/>
          <w:sz w:val="24"/>
          <w:u w:val="single"/>
        </w:rPr>
        <w:t xml:space="preserve"> 8 </w:t>
      </w:r>
      <w:r>
        <w:rPr>
          <w:rFonts w:hint="eastAsia" w:cs="仿宋" w:asciiTheme="majorEastAsia" w:hAnsiTheme="majorEastAsia" w:eastAsiaTheme="majorEastAsia"/>
          <w:color w:val="auto"/>
          <w:kern w:val="0"/>
          <w:sz w:val="24"/>
        </w:rPr>
        <w:t>小时，且重要工程例会及验收环节等必须由项目经理参加。</w:t>
      </w:r>
    </w:p>
    <w:p w14:paraId="4CB4454D">
      <w:pPr>
        <w:shd w:val="clear"/>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（5）项目经理未经批准，擅自离开施工现场的违约责任：处违约金</w:t>
      </w:r>
      <w:r>
        <w:rPr>
          <w:rFonts w:hint="eastAsia" w:cs="仿宋" w:asciiTheme="majorEastAsia" w:hAnsiTheme="majorEastAsia" w:eastAsiaTheme="majorEastAsia"/>
          <w:color w:val="auto"/>
          <w:kern w:val="0"/>
          <w:sz w:val="24"/>
          <w:u w:val="single"/>
        </w:rPr>
        <w:t>1000</w:t>
      </w:r>
      <w:r>
        <w:rPr>
          <w:rFonts w:hint="eastAsia" w:cs="仿宋" w:asciiTheme="majorEastAsia" w:hAnsiTheme="majorEastAsia" w:eastAsiaTheme="majorEastAsia"/>
          <w:color w:val="auto"/>
          <w:kern w:val="0"/>
          <w:sz w:val="24"/>
        </w:rPr>
        <w:t>元/次，直接从工程进度款中扣除，不足部分，发包人有权向承包人追偿。</w:t>
      </w:r>
    </w:p>
    <w:p w14:paraId="2204E34E">
      <w:pPr>
        <w:shd w:val="clear"/>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发包人对项目经理擅自离开施工现场的违约处理，应根据监理人对项目经理的考勤结果进行。</w:t>
      </w:r>
    </w:p>
    <w:p w14:paraId="371EDE54">
      <w:pPr>
        <w:shd w:val="clear"/>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3.2.3 承包人擅自更换项目经理的违约责任：处违约金</w:t>
      </w:r>
      <w:r>
        <w:rPr>
          <w:rFonts w:hint="eastAsia" w:cs="仿宋" w:asciiTheme="majorEastAsia" w:hAnsiTheme="majorEastAsia" w:eastAsiaTheme="majorEastAsia"/>
          <w:color w:val="auto"/>
          <w:kern w:val="0"/>
          <w:sz w:val="24"/>
          <w:u w:val="single"/>
        </w:rPr>
        <w:t xml:space="preserve"> 10000 </w:t>
      </w:r>
      <w:r>
        <w:rPr>
          <w:rFonts w:hint="eastAsia" w:cs="仿宋" w:asciiTheme="majorEastAsia" w:hAnsiTheme="majorEastAsia" w:eastAsiaTheme="majorEastAsia"/>
          <w:color w:val="auto"/>
          <w:kern w:val="0"/>
          <w:sz w:val="24"/>
        </w:rPr>
        <w:t>元/次，直接从工程进度款中扣除，不足部分，发包人有权向承包人追偿，且有权拒绝接受其擅自更换的项目负责人。</w:t>
      </w:r>
    </w:p>
    <w:p w14:paraId="7E51C5B2">
      <w:pPr>
        <w:shd w:val="clear"/>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3.2.4 承包人无正当理由拒绝更换项目经理的违约责任：发包人认为项目经理无法履行职责的，应提供相关证明材料，并签发《整改通知书》，承包人在收到《整改通知书》后仍无改善的，发包人有权要求承包人更换项目经理。承包人无正当理由拒绝更换的，发包人可以一次性扣除10000元。情节严重的，发包人有权解除合同，由此造成的一切损失由承包人承担。</w:t>
      </w:r>
    </w:p>
    <w:p w14:paraId="77A89B5A">
      <w:pPr>
        <w:pStyle w:val="68"/>
        <w:shd w:val="clear"/>
        <w:spacing w:before="120" w:line="360" w:lineRule="auto"/>
        <w:ind w:firstLine="458" w:firstLineChars="190"/>
        <w:rPr>
          <w:rFonts w:cs="仿宋" w:asciiTheme="majorEastAsia" w:hAnsiTheme="majorEastAsia" w:eastAsiaTheme="majorEastAsia"/>
          <w:color w:val="auto"/>
        </w:rPr>
      </w:pPr>
      <w:r>
        <w:rPr>
          <w:rFonts w:hint="eastAsia" w:cs="仿宋" w:asciiTheme="majorEastAsia" w:hAnsiTheme="majorEastAsia" w:eastAsiaTheme="majorEastAsia"/>
          <w:color w:val="auto"/>
        </w:rPr>
        <w:t>3.3 承包人人员</w:t>
      </w:r>
    </w:p>
    <w:p w14:paraId="679B74E9">
      <w:pPr>
        <w:shd w:val="clear"/>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3.3.1 承包人应接到开工通知后7天内提交项目管理机构及施工现场管理人员安排报告。</w:t>
      </w:r>
    </w:p>
    <w:p w14:paraId="4AE6BAF2">
      <w:pPr>
        <w:shd w:val="clear"/>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3.3.3 承包人无正当理由拒绝撤换主要施工管理人员的违约责任：发包人认为主要施工管理人员（指技术负责人、施工员、质量员）无法履行职责的，应提供相关证明材料，并签发《整改通知书》。承包人在收到《整改通知书》后仍无改善的，发包人有权要求承包人更换管理人员。承包人无正当理由拒绝更换的，发包人可以一次性扣除5000元。</w:t>
      </w:r>
    </w:p>
    <w:p w14:paraId="2E9FE362">
      <w:pPr>
        <w:shd w:val="clear"/>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3.3.4 承包人主要施工管理人员离开施工现场的批准要求：施工员每月在施工管理现场不得少于25天，其他主要施工管理人员每月在施工管理现场不得少于15天，有特殊情况少于上述时间的，批准要求按通用条款执行。</w:t>
      </w:r>
    </w:p>
    <w:p w14:paraId="7D62D7A3">
      <w:pPr>
        <w:shd w:val="clear"/>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3.3.5 承包人擅自更换主要施工管理人员的违约责任：处违约金5000元/人/次，直接从工程进度款中扣除，不足部分，发包人有权向承包人追偿。，且有权拒绝接受其擅自更换的主要施工管理人员。</w:t>
      </w:r>
    </w:p>
    <w:p w14:paraId="0AEF502C">
      <w:pPr>
        <w:shd w:val="clear"/>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承包人主要施工管理人员擅自离开施工现场的违约责任：处违约金500元/人/次，直接从工程进度款中扣除，不足部分，发包人有权向承包人追偿。</w:t>
      </w:r>
    </w:p>
    <w:p w14:paraId="0DE72FBB">
      <w:pPr>
        <w:pStyle w:val="68"/>
        <w:shd w:val="clear"/>
        <w:spacing w:before="120" w:line="360" w:lineRule="auto"/>
        <w:ind w:firstLine="458" w:firstLineChars="190"/>
        <w:rPr>
          <w:rFonts w:cs="仿宋" w:asciiTheme="majorEastAsia" w:hAnsiTheme="majorEastAsia" w:eastAsiaTheme="majorEastAsia"/>
          <w:color w:val="auto"/>
        </w:rPr>
      </w:pPr>
      <w:r>
        <w:rPr>
          <w:rFonts w:hint="eastAsia" w:cs="仿宋" w:asciiTheme="majorEastAsia" w:hAnsiTheme="majorEastAsia" w:eastAsiaTheme="majorEastAsia"/>
          <w:color w:val="auto"/>
        </w:rPr>
        <w:t>3.5 分包</w:t>
      </w:r>
    </w:p>
    <w:p w14:paraId="4A9DA617">
      <w:pPr>
        <w:shd w:val="clear"/>
        <w:spacing w:line="360" w:lineRule="auto"/>
        <w:ind w:firstLine="480" w:firstLineChars="200"/>
        <w:rPr>
          <w:rFonts w:cs="仿宋" w:asciiTheme="majorEastAsia" w:hAnsiTheme="majorEastAsia" w:eastAsiaTheme="majorEastAsia"/>
          <w:color w:val="auto"/>
          <w:sz w:val="24"/>
        </w:rPr>
      </w:pPr>
      <w:r>
        <w:rPr>
          <w:rFonts w:hint="eastAsia" w:cs="仿宋" w:asciiTheme="majorEastAsia" w:hAnsiTheme="majorEastAsia" w:eastAsiaTheme="majorEastAsia"/>
          <w:color w:val="auto"/>
          <w:kern w:val="0"/>
          <w:sz w:val="24"/>
        </w:rPr>
        <w:t>本工程不允许分包。</w:t>
      </w:r>
    </w:p>
    <w:p w14:paraId="27730348">
      <w:pPr>
        <w:pStyle w:val="68"/>
        <w:shd w:val="clear"/>
        <w:spacing w:before="120" w:line="360" w:lineRule="auto"/>
        <w:ind w:firstLine="458" w:firstLineChars="190"/>
        <w:rPr>
          <w:rFonts w:cs="仿宋" w:asciiTheme="majorEastAsia" w:hAnsiTheme="majorEastAsia" w:eastAsiaTheme="majorEastAsia"/>
          <w:color w:val="auto"/>
        </w:rPr>
      </w:pPr>
      <w:r>
        <w:rPr>
          <w:rFonts w:hint="eastAsia" w:cs="仿宋" w:asciiTheme="majorEastAsia" w:hAnsiTheme="majorEastAsia" w:eastAsiaTheme="majorEastAsia"/>
          <w:color w:val="auto"/>
        </w:rPr>
        <w:t>3.6 工程照管与成品、半成品保护</w:t>
      </w:r>
    </w:p>
    <w:p w14:paraId="13D72E9D">
      <w:pPr>
        <w:shd w:val="clear"/>
        <w:spacing w:line="360" w:lineRule="auto"/>
        <w:ind w:firstLine="504" w:firstLineChars="21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工程照管与成品、半成品保护有关约定：执行通用条款。</w:t>
      </w:r>
    </w:p>
    <w:p w14:paraId="61AD799C">
      <w:pPr>
        <w:pStyle w:val="68"/>
        <w:shd w:val="clear"/>
        <w:spacing w:before="120" w:line="450" w:lineRule="exact"/>
        <w:ind w:left="120" w:hanging="120" w:hangingChars="50"/>
        <w:rPr>
          <w:rFonts w:cs="仿宋" w:asciiTheme="majorEastAsia" w:hAnsiTheme="majorEastAsia" w:eastAsiaTheme="majorEastAsia"/>
          <w:color w:val="auto"/>
        </w:rPr>
      </w:pPr>
      <w:r>
        <w:rPr>
          <w:rFonts w:hint="eastAsia" w:cs="仿宋" w:asciiTheme="majorEastAsia" w:hAnsiTheme="majorEastAsia" w:eastAsiaTheme="majorEastAsia"/>
          <w:color w:val="auto"/>
        </w:rPr>
        <w:t>3.7 履约担保：</w:t>
      </w:r>
      <w:bookmarkStart w:id="395" w:name="_Toc364853227"/>
      <w:r>
        <w:rPr>
          <w:rFonts w:hint="eastAsia" w:cs="仿宋" w:asciiTheme="majorEastAsia" w:hAnsiTheme="majorEastAsia" w:eastAsiaTheme="majorEastAsia"/>
          <w:color w:val="auto"/>
        </w:rPr>
        <w:t>无</w:t>
      </w:r>
    </w:p>
    <w:p w14:paraId="2C956CCD">
      <w:pPr>
        <w:pStyle w:val="6"/>
        <w:shd w:val="clear"/>
        <w:rPr>
          <w:rFonts w:cs="仿宋" w:asciiTheme="majorEastAsia" w:hAnsiTheme="majorEastAsia"/>
          <w:color w:val="auto"/>
          <w:sz w:val="24"/>
          <w:szCs w:val="24"/>
        </w:rPr>
      </w:pPr>
      <w:r>
        <w:rPr>
          <w:rFonts w:hint="eastAsia" w:cs="仿宋" w:asciiTheme="majorEastAsia" w:hAnsiTheme="majorEastAsia"/>
          <w:color w:val="auto"/>
          <w:sz w:val="24"/>
          <w:szCs w:val="24"/>
        </w:rPr>
        <w:t>4. 监理人</w:t>
      </w:r>
      <w:bookmarkEnd w:id="395"/>
    </w:p>
    <w:p w14:paraId="3BB4BCA3">
      <w:pPr>
        <w:pStyle w:val="68"/>
        <w:shd w:val="clear"/>
        <w:spacing w:before="120" w:line="360" w:lineRule="auto"/>
        <w:ind w:firstLine="458" w:firstLineChars="190"/>
        <w:rPr>
          <w:rFonts w:cs="仿宋" w:asciiTheme="majorEastAsia" w:hAnsiTheme="majorEastAsia" w:eastAsiaTheme="majorEastAsia"/>
          <w:color w:val="auto"/>
        </w:rPr>
      </w:pPr>
      <w:r>
        <w:rPr>
          <w:rFonts w:hint="eastAsia" w:cs="仿宋" w:asciiTheme="majorEastAsia" w:hAnsiTheme="majorEastAsia" w:eastAsiaTheme="majorEastAsia"/>
          <w:color w:val="auto"/>
        </w:rPr>
        <w:t>4.1监理人的一般规定</w:t>
      </w:r>
    </w:p>
    <w:p w14:paraId="42F2E869">
      <w:pPr>
        <w:shd w:val="clear"/>
        <w:spacing w:line="360" w:lineRule="auto"/>
        <w:ind w:firstLine="504" w:firstLineChars="21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关于监理人的监理内容：工程建设监理合同授予监理人的权利。</w:t>
      </w:r>
    </w:p>
    <w:p w14:paraId="4E5AB22D">
      <w:pPr>
        <w:shd w:val="clear"/>
        <w:spacing w:line="360" w:lineRule="auto"/>
        <w:ind w:firstLine="504" w:firstLineChars="21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 xml:space="preserve">关于监理人的监理权限：涉及费用、工期、图纸更改等工程变更指令和付款、暂停工程施工指令的下达权需取得发包人书面批准方可执行。 </w:t>
      </w:r>
    </w:p>
    <w:p w14:paraId="1115A379">
      <w:pPr>
        <w:shd w:val="clear"/>
        <w:spacing w:line="360" w:lineRule="auto"/>
        <w:ind w:firstLine="504" w:firstLineChars="21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关于监理人在施工现场的办公场所、生活场所的提供和费用承担的约定：执行通用条款。</w:t>
      </w:r>
    </w:p>
    <w:p w14:paraId="12A28F83">
      <w:pPr>
        <w:pStyle w:val="68"/>
        <w:shd w:val="clear"/>
        <w:spacing w:before="120" w:line="360" w:lineRule="auto"/>
        <w:ind w:firstLine="458" w:firstLineChars="190"/>
        <w:rPr>
          <w:rFonts w:cs="仿宋" w:asciiTheme="majorEastAsia" w:hAnsiTheme="majorEastAsia" w:eastAsiaTheme="majorEastAsia"/>
          <w:color w:val="auto"/>
        </w:rPr>
      </w:pPr>
      <w:r>
        <w:rPr>
          <w:rFonts w:hint="eastAsia" w:cs="仿宋" w:asciiTheme="majorEastAsia" w:hAnsiTheme="majorEastAsia" w:eastAsiaTheme="majorEastAsia"/>
          <w:color w:val="auto"/>
        </w:rPr>
        <w:t>4.4 商定或确定</w:t>
      </w:r>
    </w:p>
    <w:p w14:paraId="7A713755">
      <w:pPr>
        <w:shd w:val="clear"/>
        <w:spacing w:line="360" w:lineRule="auto"/>
        <w:ind w:firstLine="504" w:firstLineChars="210"/>
        <w:rPr>
          <w:rFonts w:cs="仿宋" w:asciiTheme="majorEastAsia" w:hAnsiTheme="majorEastAsia" w:eastAsiaTheme="majorEastAsia"/>
          <w:color w:val="auto"/>
          <w:kern w:val="0"/>
          <w:sz w:val="24"/>
        </w:rPr>
      </w:pPr>
      <w:bookmarkStart w:id="396" w:name="_Toc364853228"/>
      <w:r>
        <w:rPr>
          <w:rFonts w:hint="eastAsia" w:cs="仿宋" w:asciiTheme="majorEastAsia" w:hAnsiTheme="majorEastAsia" w:eastAsiaTheme="majorEastAsia"/>
          <w:color w:val="auto"/>
          <w:kern w:val="0"/>
          <w:sz w:val="24"/>
        </w:rPr>
        <w:t>当合同当事人对需要商定或确定的事项不能达成一致时，总监理工程师应按照合同约定作出公正确定，应在合同当事人会商之日起</w:t>
      </w:r>
      <w:r>
        <w:rPr>
          <w:rFonts w:hint="eastAsia" w:cs="仿宋" w:asciiTheme="majorEastAsia" w:hAnsiTheme="majorEastAsia" w:eastAsiaTheme="majorEastAsia"/>
          <w:color w:val="auto"/>
          <w:kern w:val="0"/>
          <w:sz w:val="24"/>
          <w:u w:val="single"/>
        </w:rPr>
        <w:t xml:space="preserve"> 7 </w:t>
      </w:r>
      <w:r>
        <w:rPr>
          <w:rFonts w:hint="eastAsia" w:cs="仿宋" w:asciiTheme="majorEastAsia" w:hAnsiTheme="majorEastAsia" w:eastAsiaTheme="majorEastAsia"/>
          <w:color w:val="auto"/>
          <w:kern w:val="0"/>
          <w:sz w:val="24"/>
        </w:rPr>
        <w:t>天内提供书面确定意见。</w:t>
      </w:r>
    </w:p>
    <w:p w14:paraId="03DD931D">
      <w:pPr>
        <w:pStyle w:val="6"/>
        <w:shd w:val="clear"/>
        <w:rPr>
          <w:rFonts w:cs="仿宋" w:asciiTheme="majorEastAsia" w:hAnsiTheme="majorEastAsia"/>
          <w:color w:val="auto"/>
          <w:sz w:val="24"/>
          <w:szCs w:val="24"/>
        </w:rPr>
      </w:pPr>
      <w:r>
        <w:rPr>
          <w:rFonts w:hint="eastAsia" w:cs="仿宋" w:asciiTheme="majorEastAsia" w:hAnsiTheme="majorEastAsia"/>
          <w:color w:val="auto"/>
          <w:sz w:val="24"/>
          <w:szCs w:val="24"/>
        </w:rPr>
        <w:t>5. 工程质量</w:t>
      </w:r>
      <w:bookmarkEnd w:id="396"/>
    </w:p>
    <w:p w14:paraId="0D7E3993">
      <w:pPr>
        <w:shd w:val="clear"/>
        <w:spacing w:line="360" w:lineRule="auto"/>
        <w:ind w:firstLine="504" w:firstLineChars="210"/>
        <w:rPr>
          <w:rFonts w:cs="仿宋" w:asciiTheme="majorEastAsia" w:hAnsiTheme="majorEastAsia" w:eastAsiaTheme="majorEastAsia"/>
          <w:color w:val="auto"/>
          <w:kern w:val="0"/>
          <w:sz w:val="24"/>
          <w:u w:val="single"/>
        </w:rPr>
      </w:pPr>
      <w:r>
        <w:rPr>
          <w:rFonts w:hint="eastAsia" w:cs="仿宋" w:asciiTheme="majorEastAsia" w:hAnsiTheme="majorEastAsia" w:eastAsiaTheme="majorEastAsia"/>
          <w:color w:val="auto"/>
          <w:kern w:val="0"/>
          <w:sz w:val="24"/>
        </w:rPr>
        <w:t>5.1 质量要求:</w:t>
      </w:r>
      <w:r>
        <w:rPr>
          <w:rFonts w:hint="eastAsia" w:cs="仿宋" w:asciiTheme="majorEastAsia" w:hAnsiTheme="majorEastAsia" w:eastAsiaTheme="majorEastAsia"/>
          <w:color w:val="auto"/>
          <w:kern w:val="0"/>
          <w:sz w:val="24"/>
          <w:u w:val="single"/>
        </w:rPr>
        <w:t>达到国家和行业施工验收规范一次性验收合格。</w:t>
      </w:r>
    </w:p>
    <w:p w14:paraId="2A2924C8">
      <w:pPr>
        <w:shd w:val="clear"/>
        <w:spacing w:line="360" w:lineRule="auto"/>
        <w:ind w:firstLine="504" w:firstLineChars="21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5.1.1 特殊质量标准和要求：</w:t>
      </w:r>
      <w:r>
        <w:rPr>
          <w:rFonts w:hint="eastAsia" w:cs="仿宋" w:asciiTheme="majorEastAsia" w:hAnsiTheme="majorEastAsia" w:eastAsiaTheme="majorEastAsia"/>
          <w:color w:val="auto"/>
          <w:kern w:val="0"/>
          <w:sz w:val="24"/>
          <w:u w:val="single"/>
        </w:rPr>
        <w:t xml:space="preserve">    无   </w:t>
      </w:r>
      <w:r>
        <w:rPr>
          <w:rFonts w:hint="eastAsia" w:cs="仿宋" w:asciiTheme="majorEastAsia" w:hAnsiTheme="majorEastAsia" w:eastAsiaTheme="majorEastAsia"/>
          <w:color w:val="auto"/>
          <w:kern w:val="0"/>
          <w:sz w:val="24"/>
        </w:rPr>
        <w:t>。</w:t>
      </w:r>
    </w:p>
    <w:p w14:paraId="283062B5">
      <w:pPr>
        <w:pStyle w:val="68"/>
        <w:shd w:val="clear"/>
        <w:spacing w:before="120" w:line="360" w:lineRule="auto"/>
        <w:ind w:firstLine="458" w:firstLineChars="190"/>
        <w:rPr>
          <w:rFonts w:cs="仿宋" w:asciiTheme="majorEastAsia" w:hAnsiTheme="majorEastAsia" w:eastAsiaTheme="majorEastAsia"/>
          <w:color w:val="auto"/>
        </w:rPr>
      </w:pPr>
      <w:r>
        <w:rPr>
          <w:rFonts w:hint="eastAsia" w:cs="仿宋" w:asciiTheme="majorEastAsia" w:hAnsiTheme="majorEastAsia" w:eastAsiaTheme="majorEastAsia"/>
          <w:color w:val="auto"/>
        </w:rPr>
        <w:t>5.3 隐蔽工程检查</w:t>
      </w:r>
    </w:p>
    <w:p w14:paraId="35973064">
      <w:pPr>
        <w:shd w:val="clear"/>
        <w:spacing w:line="360" w:lineRule="auto"/>
        <w:ind w:firstLine="504" w:firstLineChars="210"/>
        <w:rPr>
          <w:rFonts w:cs="仿宋" w:asciiTheme="majorEastAsia" w:hAnsiTheme="majorEastAsia" w:eastAsiaTheme="majorEastAsia"/>
          <w:color w:val="auto"/>
          <w:kern w:val="0"/>
          <w:sz w:val="24"/>
        </w:rPr>
      </w:pPr>
      <w:bookmarkStart w:id="397" w:name="_Toc364853229"/>
      <w:r>
        <w:rPr>
          <w:rFonts w:hint="eastAsia" w:cs="仿宋" w:asciiTheme="majorEastAsia" w:hAnsiTheme="majorEastAsia" w:eastAsiaTheme="majorEastAsia"/>
          <w:color w:val="auto"/>
          <w:kern w:val="0"/>
          <w:sz w:val="24"/>
        </w:rPr>
        <w:t>5.3.2承包人提前通知监理人隐蔽工程检查的期限的约定：承包人应在共同检查前</w:t>
      </w:r>
      <w:r>
        <w:rPr>
          <w:rFonts w:hint="eastAsia" w:cs="仿宋" w:asciiTheme="majorEastAsia" w:hAnsiTheme="majorEastAsia" w:eastAsiaTheme="majorEastAsia"/>
          <w:color w:val="auto"/>
          <w:kern w:val="0"/>
          <w:sz w:val="24"/>
          <w:u w:val="single"/>
        </w:rPr>
        <w:t xml:space="preserve">24 </w:t>
      </w:r>
      <w:r>
        <w:rPr>
          <w:rFonts w:hint="eastAsia" w:cs="仿宋" w:asciiTheme="majorEastAsia" w:hAnsiTheme="majorEastAsia" w:eastAsiaTheme="majorEastAsia"/>
          <w:color w:val="auto"/>
          <w:kern w:val="0"/>
          <w:sz w:val="24"/>
        </w:rPr>
        <w:t>小时书面通知监理人检查 。</w:t>
      </w:r>
    </w:p>
    <w:p w14:paraId="35836267">
      <w:pPr>
        <w:shd w:val="clear"/>
        <w:spacing w:line="360" w:lineRule="auto"/>
        <w:ind w:firstLine="504" w:firstLineChars="21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监理人不能按时进行检查时，应提前</w:t>
      </w:r>
      <w:r>
        <w:rPr>
          <w:rFonts w:hint="eastAsia" w:cs="仿宋" w:asciiTheme="majorEastAsia" w:hAnsiTheme="majorEastAsia" w:eastAsiaTheme="majorEastAsia"/>
          <w:color w:val="auto"/>
          <w:kern w:val="0"/>
          <w:sz w:val="24"/>
          <w:u w:val="single"/>
        </w:rPr>
        <w:t xml:space="preserve">24 </w:t>
      </w:r>
      <w:r>
        <w:rPr>
          <w:rFonts w:hint="eastAsia" w:cs="仿宋" w:asciiTheme="majorEastAsia" w:hAnsiTheme="majorEastAsia" w:eastAsiaTheme="majorEastAsia"/>
          <w:color w:val="auto"/>
          <w:kern w:val="0"/>
          <w:sz w:val="24"/>
        </w:rPr>
        <w:t>小时提交书面延期要求。延期最长不得超过：</w:t>
      </w:r>
      <w:r>
        <w:rPr>
          <w:rFonts w:hint="eastAsia" w:cs="仿宋" w:asciiTheme="majorEastAsia" w:hAnsiTheme="majorEastAsia" w:eastAsiaTheme="majorEastAsia"/>
          <w:color w:val="auto"/>
          <w:kern w:val="0"/>
          <w:sz w:val="24"/>
          <w:u w:val="single"/>
        </w:rPr>
        <w:t xml:space="preserve"> 48</w:t>
      </w:r>
      <w:r>
        <w:rPr>
          <w:rFonts w:hint="eastAsia" w:cs="仿宋" w:asciiTheme="majorEastAsia" w:hAnsiTheme="majorEastAsia" w:eastAsiaTheme="majorEastAsia"/>
          <w:color w:val="auto"/>
          <w:kern w:val="0"/>
          <w:sz w:val="24"/>
        </w:rPr>
        <w:t>小时。</w:t>
      </w:r>
    </w:p>
    <w:p w14:paraId="62D42EE8">
      <w:pPr>
        <w:pStyle w:val="6"/>
        <w:shd w:val="clear"/>
        <w:rPr>
          <w:rFonts w:cs="仿宋" w:asciiTheme="majorEastAsia" w:hAnsiTheme="majorEastAsia"/>
          <w:color w:val="auto"/>
          <w:sz w:val="24"/>
          <w:szCs w:val="24"/>
        </w:rPr>
      </w:pPr>
    </w:p>
    <w:p w14:paraId="2DBA1952">
      <w:pPr>
        <w:pStyle w:val="6"/>
        <w:shd w:val="clear"/>
        <w:rPr>
          <w:rFonts w:cs="仿宋" w:asciiTheme="majorEastAsia" w:hAnsiTheme="majorEastAsia"/>
          <w:color w:val="auto"/>
          <w:sz w:val="24"/>
          <w:szCs w:val="24"/>
        </w:rPr>
      </w:pPr>
      <w:r>
        <w:rPr>
          <w:rFonts w:hint="eastAsia" w:cs="仿宋" w:asciiTheme="majorEastAsia" w:hAnsiTheme="majorEastAsia"/>
          <w:color w:val="auto"/>
          <w:sz w:val="24"/>
          <w:szCs w:val="24"/>
        </w:rPr>
        <w:t>6. 安全文明施工与环境保护</w:t>
      </w:r>
      <w:bookmarkEnd w:id="397"/>
    </w:p>
    <w:p w14:paraId="4CE6993A">
      <w:pPr>
        <w:pStyle w:val="68"/>
        <w:shd w:val="clear"/>
        <w:spacing w:before="120" w:line="360" w:lineRule="auto"/>
        <w:ind w:firstLine="458" w:firstLineChars="190"/>
        <w:rPr>
          <w:rFonts w:cs="仿宋" w:asciiTheme="majorEastAsia" w:hAnsiTheme="majorEastAsia" w:eastAsiaTheme="majorEastAsia"/>
          <w:color w:val="auto"/>
        </w:rPr>
      </w:pPr>
      <w:r>
        <w:rPr>
          <w:rFonts w:hint="eastAsia" w:cs="仿宋" w:asciiTheme="majorEastAsia" w:hAnsiTheme="majorEastAsia" w:eastAsiaTheme="majorEastAsia"/>
          <w:color w:val="auto"/>
        </w:rPr>
        <w:t>6.1安全文明施工</w:t>
      </w:r>
      <w:bookmarkStart w:id="398" w:name="_Toc364853230"/>
    </w:p>
    <w:p w14:paraId="0E942509">
      <w:pPr>
        <w:pStyle w:val="68"/>
        <w:shd w:val="clear"/>
        <w:spacing w:before="120" w:line="360" w:lineRule="auto"/>
        <w:ind w:firstLine="456" w:firstLineChars="190"/>
        <w:rPr>
          <w:rFonts w:asciiTheme="majorEastAsia" w:hAnsiTheme="majorEastAsia" w:eastAsiaTheme="majorEastAsia"/>
          <w:b w:val="0"/>
          <w:bCs/>
          <w:color w:val="auto"/>
          <w:u w:val="single"/>
        </w:rPr>
      </w:pPr>
      <w:r>
        <w:rPr>
          <w:rFonts w:hint="eastAsia" w:cs="仿宋" w:asciiTheme="majorEastAsia" w:hAnsiTheme="majorEastAsia" w:eastAsiaTheme="majorEastAsia"/>
          <w:b w:val="0"/>
          <w:bCs/>
          <w:color w:val="auto"/>
          <w:kern w:val="0"/>
        </w:rPr>
        <w:t>（1）6.1.1 项目安全生产的达标目标及相应事项的约定：</w:t>
      </w:r>
      <w:r>
        <w:rPr>
          <w:rFonts w:hint="eastAsia" w:cs="仿宋" w:asciiTheme="majorEastAsia" w:hAnsiTheme="majorEastAsia" w:eastAsiaTheme="majorEastAsia"/>
          <w:b w:val="0"/>
          <w:bCs/>
          <w:color w:val="auto"/>
          <w:u w:val="single"/>
        </w:rPr>
        <w:t>合格</w:t>
      </w:r>
      <w:r>
        <w:rPr>
          <w:rFonts w:hint="eastAsia" w:cs="仿宋" w:asciiTheme="majorEastAsia" w:hAnsiTheme="majorEastAsia" w:eastAsiaTheme="majorEastAsia"/>
          <w:b w:val="0"/>
          <w:bCs/>
          <w:color w:val="auto"/>
          <w:kern w:val="0"/>
        </w:rPr>
        <w:t>。</w:t>
      </w:r>
    </w:p>
    <w:p w14:paraId="597FBCE7">
      <w:pPr>
        <w:shd w:val="clear"/>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6.1.4 关于治安保卫的特别约定：执行通用条款。</w:t>
      </w:r>
    </w:p>
    <w:p w14:paraId="322D666D">
      <w:pPr>
        <w:shd w:val="clear"/>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6.1.5文明施工应按《宁波市建设工程文明施工管理规定》文件要求执行。</w:t>
      </w:r>
    </w:p>
    <w:p w14:paraId="62A3B194">
      <w:pPr>
        <w:shd w:val="clear"/>
        <w:spacing w:line="360" w:lineRule="auto"/>
        <w:ind w:firstLine="480" w:firstLineChars="200"/>
        <w:rPr>
          <w:rFonts w:cs="仿宋" w:asciiTheme="majorEastAsia" w:hAnsiTheme="majorEastAsia" w:eastAsiaTheme="majorEastAsia"/>
          <w:color w:val="auto"/>
          <w:sz w:val="24"/>
        </w:rPr>
      </w:pPr>
      <w:r>
        <w:rPr>
          <w:rFonts w:hint="eastAsia" w:cs="仿宋" w:asciiTheme="majorEastAsia" w:hAnsiTheme="majorEastAsia" w:eastAsiaTheme="majorEastAsia"/>
          <w:color w:val="auto"/>
          <w:kern w:val="0"/>
          <w:sz w:val="24"/>
        </w:rPr>
        <w:t>6.1.6 关于安全文明施工费相关约定：/</w:t>
      </w:r>
    </w:p>
    <w:p w14:paraId="321CE046">
      <w:pPr>
        <w:pStyle w:val="6"/>
        <w:shd w:val="clear"/>
        <w:rPr>
          <w:rFonts w:cs="仿宋" w:asciiTheme="majorEastAsia" w:hAnsiTheme="majorEastAsia"/>
          <w:color w:val="auto"/>
          <w:sz w:val="24"/>
          <w:szCs w:val="24"/>
        </w:rPr>
      </w:pPr>
      <w:r>
        <w:rPr>
          <w:rFonts w:hint="eastAsia" w:cs="仿宋" w:asciiTheme="majorEastAsia" w:hAnsiTheme="majorEastAsia"/>
          <w:color w:val="auto"/>
          <w:sz w:val="24"/>
          <w:szCs w:val="24"/>
        </w:rPr>
        <w:t>7. 工期和进度</w:t>
      </w:r>
      <w:bookmarkEnd w:id="398"/>
    </w:p>
    <w:p w14:paraId="35E061C5">
      <w:pPr>
        <w:pStyle w:val="68"/>
        <w:shd w:val="clear"/>
        <w:spacing w:before="120" w:line="360" w:lineRule="auto"/>
        <w:ind w:firstLine="458" w:firstLineChars="190"/>
        <w:rPr>
          <w:rFonts w:cs="仿宋" w:asciiTheme="majorEastAsia" w:hAnsiTheme="majorEastAsia" w:eastAsiaTheme="majorEastAsia"/>
          <w:color w:val="auto"/>
        </w:rPr>
      </w:pPr>
      <w:r>
        <w:rPr>
          <w:rFonts w:hint="eastAsia" w:cs="仿宋" w:asciiTheme="majorEastAsia" w:hAnsiTheme="majorEastAsia" w:eastAsiaTheme="majorEastAsia"/>
          <w:color w:val="auto"/>
        </w:rPr>
        <w:t>7.1 施工组织设计</w:t>
      </w:r>
    </w:p>
    <w:p w14:paraId="70912950">
      <w:pPr>
        <w:shd w:val="clear"/>
        <w:spacing w:line="360" w:lineRule="auto"/>
        <w:ind w:firstLine="504" w:firstLineChars="21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7.1.1 合同当事人约定的施工组织设计应包括的其他内容：</w:t>
      </w:r>
      <w:r>
        <w:rPr>
          <w:rFonts w:hint="eastAsia" w:cs="仿宋" w:asciiTheme="majorEastAsia" w:hAnsiTheme="majorEastAsia" w:eastAsiaTheme="majorEastAsia"/>
          <w:color w:val="auto"/>
          <w:kern w:val="0"/>
          <w:sz w:val="24"/>
          <w:u w:val="single"/>
        </w:rPr>
        <w:t>各分部分项施工方案与技术措施、工程进度管理体系与措施、工程质量管理体系与措施、安全生产文明施工管理体系与措施、环境保护管理体系与措施等</w:t>
      </w:r>
      <w:r>
        <w:rPr>
          <w:rFonts w:hint="eastAsia" w:cs="仿宋" w:asciiTheme="majorEastAsia" w:hAnsiTheme="majorEastAsia" w:eastAsiaTheme="majorEastAsia"/>
          <w:color w:val="auto"/>
          <w:kern w:val="0"/>
          <w:sz w:val="24"/>
        </w:rPr>
        <w:t>。</w:t>
      </w:r>
    </w:p>
    <w:p w14:paraId="4214F95D">
      <w:pPr>
        <w:shd w:val="clear"/>
        <w:spacing w:line="360" w:lineRule="auto"/>
        <w:ind w:firstLine="504" w:firstLineChars="21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7.1.2 施工组织设计的提交和修改：按通用条款约定执行。</w:t>
      </w:r>
    </w:p>
    <w:p w14:paraId="30FA361C">
      <w:pPr>
        <w:pStyle w:val="68"/>
        <w:shd w:val="clear"/>
        <w:spacing w:before="120" w:line="360" w:lineRule="auto"/>
        <w:ind w:firstLine="458" w:firstLineChars="190"/>
        <w:rPr>
          <w:rFonts w:cs="仿宋" w:asciiTheme="majorEastAsia" w:hAnsiTheme="majorEastAsia" w:eastAsiaTheme="majorEastAsia"/>
          <w:color w:val="auto"/>
        </w:rPr>
      </w:pPr>
      <w:r>
        <w:rPr>
          <w:rFonts w:hint="eastAsia" w:cs="仿宋" w:asciiTheme="majorEastAsia" w:hAnsiTheme="majorEastAsia" w:eastAsiaTheme="majorEastAsia"/>
          <w:color w:val="auto"/>
        </w:rPr>
        <w:t>7.2 施工进度计划</w:t>
      </w:r>
    </w:p>
    <w:p w14:paraId="0A6C7F41">
      <w:pPr>
        <w:shd w:val="clear"/>
        <w:autoSpaceDE w:val="0"/>
        <w:autoSpaceDN w:val="0"/>
        <w:adjustRightInd w:val="0"/>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施工进度计划的编制和修订：按通用条款约定执行。</w:t>
      </w:r>
    </w:p>
    <w:p w14:paraId="1DC696A9">
      <w:pPr>
        <w:pStyle w:val="68"/>
        <w:shd w:val="clear"/>
        <w:spacing w:before="120" w:line="360" w:lineRule="auto"/>
        <w:ind w:firstLine="458" w:firstLineChars="190"/>
        <w:rPr>
          <w:rFonts w:cs="仿宋" w:asciiTheme="majorEastAsia" w:hAnsiTheme="majorEastAsia" w:eastAsiaTheme="majorEastAsia"/>
          <w:color w:val="auto"/>
        </w:rPr>
      </w:pPr>
      <w:r>
        <w:rPr>
          <w:rFonts w:hint="eastAsia" w:cs="仿宋" w:asciiTheme="majorEastAsia" w:hAnsiTheme="majorEastAsia" w:eastAsiaTheme="majorEastAsia"/>
          <w:color w:val="auto"/>
        </w:rPr>
        <w:t>7.3 开工</w:t>
      </w:r>
    </w:p>
    <w:p w14:paraId="62312E0D">
      <w:pPr>
        <w:shd w:val="clear"/>
        <w:autoSpaceDE w:val="0"/>
        <w:autoSpaceDN w:val="0"/>
        <w:adjustRightInd w:val="0"/>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7.3.1 开工准备</w:t>
      </w:r>
    </w:p>
    <w:p w14:paraId="2C40BB25">
      <w:pPr>
        <w:shd w:val="clear"/>
        <w:autoSpaceDE w:val="0"/>
        <w:autoSpaceDN w:val="0"/>
        <w:adjustRightInd w:val="0"/>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关于承包人提交工程开工报审表的期限：按第7.1款[施工组织设计]约定的时间。</w:t>
      </w:r>
    </w:p>
    <w:p w14:paraId="382ABB8A">
      <w:pPr>
        <w:shd w:val="clear"/>
        <w:autoSpaceDE w:val="0"/>
        <w:autoSpaceDN w:val="0"/>
        <w:adjustRightInd w:val="0"/>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关于发包人应完成的其他开工准备工作及期限：在第7.3.2项[开工通知]载明的开工日期前7天获得开工所需的各项行政审批和许可手续。</w:t>
      </w:r>
    </w:p>
    <w:p w14:paraId="4CB836D1">
      <w:pPr>
        <w:shd w:val="clear"/>
        <w:autoSpaceDE w:val="0"/>
        <w:autoSpaceDN w:val="0"/>
        <w:adjustRightInd w:val="0"/>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关于承包人应完成的其他开工准备工作及期限： 在第7.3.2项[开工通知]载明的开工日期前7天签订材料、工程设备、周转材料等的采购合同，确定劳动力、材料、机械的进场安排。</w:t>
      </w:r>
    </w:p>
    <w:p w14:paraId="61DD3D5E">
      <w:pPr>
        <w:shd w:val="clear"/>
        <w:autoSpaceDE w:val="0"/>
        <w:autoSpaceDN w:val="0"/>
        <w:adjustRightInd w:val="0"/>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7.3.2 开工通知</w:t>
      </w:r>
    </w:p>
    <w:p w14:paraId="2B78F371">
      <w:pPr>
        <w:shd w:val="clear"/>
        <w:autoSpaceDE w:val="0"/>
        <w:autoSpaceDN w:val="0"/>
        <w:adjustRightInd w:val="0"/>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因发包人原因造成监理人未能在通用条款规定的期限内发出开工通知的，承包人有权提出价格调整要求，或者解除合同。</w:t>
      </w:r>
    </w:p>
    <w:p w14:paraId="6129C650">
      <w:pPr>
        <w:pStyle w:val="68"/>
        <w:shd w:val="clear"/>
        <w:spacing w:before="120" w:line="360" w:lineRule="auto"/>
        <w:ind w:firstLine="458" w:firstLineChars="190"/>
        <w:rPr>
          <w:rFonts w:cs="仿宋" w:asciiTheme="majorEastAsia" w:hAnsiTheme="majorEastAsia" w:eastAsiaTheme="majorEastAsia"/>
          <w:color w:val="auto"/>
        </w:rPr>
      </w:pPr>
      <w:r>
        <w:rPr>
          <w:rFonts w:hint="eastAsia" w:cs="仿宋" w:asciiTheme="majorEastAsia" w:hAnsiTheme="majorEastAsia" w:eastAsiaTheme="majorEastAsia"/>
          <w:color w:val="auto"/>
        </w:rPr>
        <w:t>7.4 测量放线</w:t>
      </w:r>
    </w:p>
    <w:p w14:paraId="0DB2D955">
      <w:pPr>
        <w:shd w:val="clear"/>
        <w:autoSpaceDE w:val="0"/>
        <w:autoSpaceDN w:val="0"/>
        <w:adjustRightInd w:val="0"/>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7.4.1 发包人通过监理人向承包人提供测量基准点、基准线和水准点及其书面资料的期限：不得晚于在第7.3.2项[开工通知]载明的开工日期前7天。</w:t>
      </w:r>
    </w:p>
    <w:p w14:paraId="6765FFE9">
      <w:pPr>
        <w:pStyle w:val="68"/>
        <w:shd w:val="clear"/>
        <w:spacing w:before="120" w:line="360" w:lineRule="auto"/>
        <w:ind w:firstLine="458" w:firstLineChars="190"/>
        <w:rPr>
          <w:rFonts w:cs="仿宋" w:asciiTheme="majorEastAsia" w:hAnsiTheme="majorEastAsia" w:eastAsiaTheme="majorEastAsia"/>
          <w:color w:val="auto"/>
        </w:rPr>
      </w:pPr>
      <w:r>
        <w:rPr>
          <w:rFonts w:hint="eastAsia" w:cs="仿宋" w:asciiTheme="majorEastAsia" w:hAnsiTheme="majorEastAsia" w:eastAsiaTheme="majorEastAsia"/>
          <w:color w:val="auto"/>
        </w:rPr>
        <w:t>7.5 工期延误</w:t>
      </w:r>
    </w:p>
    <w:p w14:paraId="0161F27C">
      <w:pPr>
        <w:pStyle w:val="68"/>
        <w:shd w:val="clear"/>
        <w:spacing w:before="120" w:line="360" w:lineRule="auto"/>
        <w:ind w:firstLine="458" w:firstLineChars="190"/>
        <w:rPr>
          <w:rFonts w:cs="仿宋" w:asciiTheme="majorEastAsia" w:hAnsiTheme="majorEastAsia" w:eastAsiaTheme="majorEastAsia"/>
          <w:b w:val="0"/>
          <w:color w:val="auto"/>
        </w:rPr>
      </w:pPr>
      <w:r>
        <w:rPr>
          <w:rFonts w:hint="eastAsia" w:cs="仿宋" w:asciiTheme="majorEastAsia" w:hAnsiTheme="majorEastAsia" w:eastAsiaTheme="majorEastAsia"/>
          <w:color w:val="auto"/>
        </w:rPr>
        <w:t xml:space="preserve">7.5.1 </w:t>
      </w:r>
      <w:r>
        <w:rPr>
          <w:rFonts w:hint="eastAsia" w:cs="仿宋" w:asciiTheme="majorEastAsia" w:hAnsiTheme="majorEastAsia" w:eastAsiaTheme="majorEastAsia"/>
          <w:b w:val="0"/>
          <w:color w:val="auto"/>
        </w:rPr>
        <w:t>因发包人原因导致工期延误</w:t>
      </w:r>
    </w:p>
    <w:p w14:paraId="3C3A1772">
      <w:pPr>
        <w:pStyle w:val="68"/>
        <w:shd w:val="clear"/>
        <w:spacing w:before="120" w:line="360" w:lineRule="auto"/>
        <w:ind w:firstLine="456" w:firstLineChars="190"/>
        <w:rPr>
          <w:rFonts w:cs="仿宋" w:asciiTheme="majorEastAsia" w:hAnsiTheme="majorEastAsia" w:eastAsiaTheme="majorEastAsia"/>
          <w:color w:val="auto"/>
        </w:rPr>
      </w:pPr>
      <w:r>
        <w:rPr>
          <w:rFonts w:hint="eastAsia" w:cs="仿宋" w:asciiTheme="majorEastAsia" w:hAnsiTheme="majorEastAsia" w:eastAsiaTheme="majorEastAsia"/>
          <w:b w:val="0"/>
          <w:color w:val="auto"/>
        </w:rPr>
        <w:t>（7）因发包人原因导致工期延误的其他情形：</w:t>
      </w:r>
      <w:r>
        <w:rPr>
          <w:rFonts w:hint="eastAsia" w:cs="仿宋" w:asciiTheme="majorEastAsia" w:hAnsiTheme="majorEastAsia" w:eastAsiaTheme="majorEastAsia"/>
          <w:b w:val="0"/>
          <w:color w:val="auto"/>
          <w:u w:val="single"/>
        </w:rPr>
        <w:t xml:space="preserve">  无  </w:t>
      </w:r>
      <w:r>
        <w:rPr>
          <w:rFonts w:hint="eastAsia" w:cs="仿宋" w:asciiTheme="majorEastAsia" w:hAnsiTheme="majorEastAsia" w:eastAsiaTheme="majorEastAsia"/>
          <w:b w:val="0"/>
          <w:color w:val="auto"/>
        </w:rPr>
        <w:t>。</w:t>
      </w:r>
    </w:p>
    <w:p w14:paraId="00B77686">
      <w:pPr>
        <w:shd w:val="clear"/>
        <w:autoSpaceDE w:val="0"/>
        <w:autoSpaceDN w:val="0"/>
        <w:adjustRightInd w:val="0"/>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7.5.2 因承包人原因导致工期延误</w:t>
      </w:r>
    </w:p>
    <w:p w14:paraId="0B34CAD5">
      <w:pPr>
        <w:shd w:val="clear"/>
        <w:autoSpaceDE w:val="0"/>
        <w:autoSpaceDN w:val="0"/>
        <w:adjustRightInd w:val="0"/>
        <w:spacing w:line="360" w:lineRule="auto"/>
        <w:ind w:firstLine="482" w:firstLineChars="200"/>
        <w:rPr>
          <w:rFonts w:cs="仿宋" w:asciiTheme="majorEastAsia" w:hAnsiTheme="majorEastAsia" w:eastAsiaTheme="majorEastAsia"/>
          <w:b/>
          <w:color w:val="auto"/>
          <w:kern w:val="0"/>
          <w:sz w:val="24"/>
        </w:rPr>
      </w:pPr>
      <w:r>
        <w:rPr>
          <w:rFonts w:hint="eastAsia" w:cs="仿宋" w:asciiTheme="majorEastAsia" w:hAnsiTheme="majorEastAsia" w:eastAsiaTheme="majorEastAsia"/>
          <w:b/>
          <w:color w:val="auto"/>
          <w:kern w:val="0"/>
          <w:sz w:val="24"/>
        </w:rPr>
        <w:t>因承包人原因造成工期延误，逾期完工违约金为</w:t>
      </w:r>
      <w:r>
        <w:rPr>
          <w:rFonts w:hint="eastAsia" w:cs="仿宋" w:asciiTheme="majorEastAsia" w:hAnsiTheme="majorEastAsia" w:eastAsiaTheme="majorEastAsia"/>
          <w:b/>
          <w:color w:val="auto"/>
          <w:kern w:val="0"/>
          <w:sz w:val="24"/>
          <w:u w:val="single"/>
        </w:rPr>
        <w:t>2000元/天</w:t>
      </w:r>
      <w:r>
        <w:rPr>
          <w:rFonts w:hint="eastAsia" w:cs="仿宋" w:asciiTheme="majorEastAsia" w:hAnsiTheme="majorEastAsia" w:eastAsiaTheme="majorEastAsia"/>
          <w:b/>
          <w:color w:val="auto"/>
          <w:kern w:val="0"/>
          <w:sz w:val="24"/>
        </w:rPr>
        <w:t>。</w:t>
      </w:r>
    </w:p>
    <w:p w14:paraId="07AD2EBA">
      <w:pPr>
        <w:pStyle w:val="68"/>
        <w:shd w:val="clear"/>
        <w:spacing w:before="120" w:line="360" w:lineRule="auto"/>
        <w:ind w:firstLine="458" w:firstLineChars="190"/>
        <w:rPr>
          <w:rFonts w:cs="仿宋" w:asciiTheme="majorEastAsia" w:hAnsiTheme="majorEastAsia" w:eastAsiaTheme="majorEastAsia"/>
          <w:color w:val="auto"/>
        </w:rPr>
      </w:pPr>
      <w:r>
        <w:rPr>
          <w:rFonts w:hint="eastAsia" w:cs="仿宋" w:asciiTheme="majorEastAsia" w:hAnsiTheme="majorEastAsia" w:eastAsiaTheme="majorEastAsia"/>
          <w:color w:val="auto"/>
        </w:rPr>
        <w:t>7.6 不利物质条件</w:t>
      </w:r>
    </w:p>
    <w:p w14:paraId="43F263D7">
      <w:pPr>
        <w:shd w:val="clear"/>
        <w:autoSpaceDE w:val="0"/>
        <w:autoSpaceDN w:val="0"/>
        <w:adjustRightInd w:val="0"/>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不利物质条件的其他情形和有关约定：地勘资料未设计的地下管道、地雷、岩层等，但不包括气候条件。</w:t>
      </w:r>
    </w:p>
    <w:p w14:paraId="0881A562">
      <w:pPr>
        <w:pStyle w:val="68"/>
        <w:shd w:val="clear"/>
        <w:spacing w:before="120" w:line="360" w:lineRule="auto"/>
        <w:ind w:firstLine="458" w:firstLineChars="190"/>
        <w:rPr>
          <w:rFonts w:cs="仿宋" w:asciiTheme="majorEastAsia" w:hAnsiTheme="majorEastAsia" w:eastAsiaTheme="majorEastAsia"/>
          <w:color w:val="auto"/>
        </w:rPr>
      </w:pPr>
      <w:r>
        <w:rPr>
          <w:rFonts w:hint="eastAsia" w:cs="仿宋" w:asciiTheme="majorEastAsia" w:hAnsiTheme="majorEastAsia" w:eastAsiaTheme="majorEastAsia"/>
          <w:color w:val="auto"/>
        </w:rPr>
        <w:t>7.7异常恶劣的气候条件</w:t>
      </w:r>
    </w:p>
    <w:p w14:paraId="5A671741">
      <w:pPr>
        <w:shd w:val="clear"/>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发包人和承包人同意以下情形视为异常恶劣的气候条件：</w:t>
      </w:r>
    </w:p>
    <w:p w14:paraId="2369FDD6">
      <w:pPr>
        <w:shd w:val="clear"/>
        <w:autoSpaceDE w:val="0"/>
        <w:autoSpaceDN w:val="0"/>
        <w:adjustRightInd w:val="0"/>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（1）12小时内降雨量达到50mm以上；</w:t>
      </w:r>
    </w:p>
    <w:p w14:paraId="0844AD1F">
      <w:pPr>
        <w:shd w:val="clear"/>
        <w:autoSpaceDE w:val="0"/>
        <w:autoSpaceDN w:val="0"/>
        <w:adjustRightInd w:val="0"/>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（2）风速达到8级及以上的热带风暴（或台风）；</w:t>
      </w:r>
    </w:p>
    <w:p w14:paraId="3CCACC22">
      <w:pPr>
        <w:shd w:val="clear"/>
        <w:autoSpaceDE w:val="0"/>
        <w:autoSpaceDN w:val="0"/>
        <w:adjustRightInd w:val="0"/>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（3）日最高气温超过38度或低于零下10度；</w:t>
      </w:r>
    </w:p>
    <w:p w14:paraId="4831F979">
      <w:pPr>
        <w:shd w:val="clear"/>
        <w:autoSpaceDE w:val="0"/>
        <w:autoSpaceDN w:val="0"/>
        <w:adjustRightInd w:val="0"/>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（4）造成工程损坏的冰雹和12小时内降雪量达到4mm及以上的大雪灾害。</w:t>
      </w:r>
    </w:p>
    <w:p w14:paraId="407B3DA7">
      <w:pPr>
        <w:shd w:val="clear"/>
        <w:autoSpaceDE w:val="0"/>
        <w:autoSpaceDN w:val="0"/>
        <w:adjustRightInd w:val="0"/>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（5）政府有关部门通知停工的其它恶劣气候条件。</w:t>
      </w:r>
    </w:p>
    <w:p w14:paraId="31C494D5">
      <w:pPr>
        <w:pStyle w:val="68"/>
        <w:shd w:val="clear"/>
        <w:spacing w:before="120" w:line="360" w:lineRule="auto"/>
        <w:ind w:firstLine="458" w:firstLineChars="190"/>
        <w:rPr>
          <w:rFonts w:cs="仿宋" w:asciiTheme="majorEastAsia" w:hAnsiTheme="majorEastAsia" w:eastAsiaTheme="majorEastAsia"/>
          <w:color w:val="auto"/>
        </w:rPr>
      </w:pPr>
      <w:r>
        <w:rPr>
          <w:rFonts w:hint="eastAsia" w:cs="仿宋" w:asciiTheme="majorEastAsia" w:hAnsiTheme="majorEastAsia" w:eastAsiaTheme="majorEastAsia"/>
          <w:color w:val="auto"/>
        </w:rPr>
        <w:t>7.9 提前竣工的奖励</w:t>
      </w:r>
    </w:p>
    <w:p w14:paraId="3250EF06">
      <w:pPr>
        <w:shd w:val="clear"/>
        <w:autoSpaceDE w:val="0"/>
        <w:autoSpaceDN w:val="0"/>
        <w:adjustRightInd w:val="0"/>
        <w:spacing w:line="360" w:lineRule="auto"/>
        <w:ind w:left="660" w:leftChars="200" w:hanging="240" w:hangingChars="1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7.9.2 提前竣工的奖励：根据“交易须知”承诺，提前竣工奖励为</w:t>
      </w:r>
      <w:r>
        <w:rPr>
          <w:rFonts w:hint="eastAsia" w:cs="仿宋" w:asciiTheme="majorEastAsia" w:hAnsiTheme="majorEastAsia" w:eastAsiaTheme="majorEastAsia"/>
          <w:color w:val="auto"/>
          <w:kern w:val="0"/>
          <w:sz w:val="24"/>
          <w:u w:val="single"/>
        </w:rPr>
        <w:t xml:space="preserve">  0 </w:t>
      </w:r>
      <w:r>
        <w:rPr>
          <w:rFonts w:hint="eastAsia" w:cs="仿宋" w:asciiTheme="majorEastAsia" w:hAnsiTheme="majorEastAsia" w:eastAsiaTheme="majorEastAsia"/>
          <w:color w:val="auto"/>
          <w:kern w:val="0"/>
          <w:sz w:val="24"/>
        </w:rPr>
        <w:t>元/天。</w:t>
      </w:r>
      <w:bookmarkStart w:id="399" w:name="_Toc364853231"/>
    </w:p>
    <w:p w14:paraId="22E57151">
      <w:pPr>
        <w:pStyle w:val="6"/>
        <w:shd w:val="clear"/>
        <w:rPr>
          <w:rFonts w:cs="仿宋" w:asciiTheme="majorEastAsia" w:hAnsiTheme="majorEastAsia"/>
          <w:color w:val="auto"/>
          <w:sz w:val="24"/>
          <w:szCs w:val="24"/>
        </w:rPr>
      </w:pPr>
      <w:r>
        <w:rPr>
          <w:rFonts w:hint="eastAsia" w:cs="仿宋" w:asciiTheme="majorEastAsia" w:hAnsiTheme="majorEastAsia"/>
          <w:color w:val="auto"/>
          <w:sz w:val="24"/>
          <w:szCs w:val="24"/>
        </w:rPr>
        <w:t>8. 材料与设备</w:t>
      </w:r>
      <w:bookmarkEnd w:id="399"/>
    </w:p>
    <w:p w14:paraId="41E9D35C">
      <w:pPr>
        <w:pStyle w:val="68"/>
        <w:shd w:val="clear"/>
        <w:spacing w:before="120" w:line="360" w:lineRule="auto"/>
        <w:ind w:firstLine="354" w:firstLineChars="147"/>
        <w:rPr>
          <w:rFonts w:cs="仿宋" w:asciiTheme="majorEastAsia" w:hAnsiTheme="majorEastAsia" w:eastAsiaTheme="majorEastAsia"/>
          <w:color w:val="auto"/>
        </w:rPr>
      </w:pPr>
      <w:r>
        <w:rPr>
          <w:rFonts w:hint="eastAsia" w:cs="仿宋" w:asciiTheme="majorEastAsia" w:hAnsiTheme="majorEastAsia" w:eastAsiaTheme="majorEastAsia"/>
          <w:color w:val="auto"/>
        </w:rPr>
        <w:t xml:space="preserve"> 8.2承包人采购材料与工程设备</w:t>
      </w:r>
    </w:p>
    <w:p w14:paraId="7747BF9B">
      <w:pPr>
        <w:pStyle w:val="68"/>
        <w:shd w:val="clear"/>
        <w:spacing w:before="120" w:line="360" w:lineRule="auto"/>
        <w:ind w:firstLine="480"/>
        <w:rPr>
          <w:rFonts w:cs="仿宋" w:asciiTheme="majorEastAsia" w:hAnsiTheme="majorEastAsia" w:eastAsiaTheme="majorEastAsia"/>
          <w:b w:val="0"/>
          <w:color w:val="auto"/>
        </w:rPr>
      </w:pPr>
      <w:r>
        <w:rPr>
          <w:rFonts w:hint="eastAsia" w:cs="仿宋" w:asciiTheme="majorEastAsia" w:hAnsiTheme="majorEastAsia" w:eastAsiaTheme="majorEastAsia"/>
          <w:b w:val="0"/>
          <w:color w:val="auto"/>
        </w:rPr>
        <w:t>承包人负责采购材料、工程设备的，应按照设计和有关标准要求采购，并提供产品合格证明及出厂证明，对材料、工程设备质量负责。</w:t>
      </w:r>
    </w:p>
    <w:p w14:paraId="458C8047">
      <w:pPr>
        <w:pStyle w:val="68"/>
        <w:shd w:val="clear"/>
        <w:spacing w:before="120" w:line="360" w:lineRule="auto"/>
        <w:ind w:firstLine="458" w:firstLineChars="190"/>
        <w:rPr>
          <w:rFonts w:cs="仿宋" w:asciiTheme="majorEastAsia" w:hAnsiTheme="majorEastAsia" w:eastAsiaTheme="majorEastAsia"/>
          <w:color w:val="auto"/>
        </w:rPr>
      </w:pPr>
      <w:r>
        <w:rPr>
          <w:rFonts w:hint="eastAsia" w:cs="仿宋" w:asciiTheme="majorEastAsia" w:hAnsiTheme="majorEastAsia" w:eastAsiaTheme="majorEastAsia"/>
          <w:color w:val="auto"/>
        </w:rPr>
        <w:t>8.4材料与工程设备的保管与使用</w:t>
      </w:r>
    </w:p>
    <w:p w14:paraId="16359766">
      <w:pPr>
        <w:shd w:val="clear"/>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8</w:t>
      </w:r>
      <w:bookmarkStart w:id="400" w:name="_Toc292559373"/>
      <w:bookmarkStart w:id="401" w:name="_Toc292559878"/>
      <w:r>
        <w:rPr>
          <w:rFonts w:hint="eastAsia" w:cs="仿宋" w:asciiTheme="majorEastAsia" w:hAnsiTheme="majorEastAsia" w:eastAsiaTheme="majorEastAsia"/>
          <w:color w:val="auto"/>
          <w:kern w:val="0"/>
          <w:sz w:val="24"/>
        </w:rPr>
        <w:t>.4.1保管费用承担：执行通用条款。</w:t>
      </w:r>
      <w:bookmarkEnd w:id="400"/>
      <w:bookmarkEnd w:id="401"/>
    </w:p>
    <w:p w14:paraId="4DEBA673">
      <w:pPr>
        <w:pStyle w:val="68"/>
        <w:shd w:val="clear"/>
        <w:spacing w:before="120" w:line="360" w:lineRule="auto"/>
        <w:ind w:firstLine="458" w:firstLineChars="190"/>
        <w:rPr>
          <w:rFonts w:cs="仿宋" w:asciiTheme="majorEastAsia" w:hAnsiTheme="majorEastAsia" w:eastAsiaTheme="majorEastAsia"/>
          <w:color w:val="auto"/>
        </w:rPr>
      </w:pPr>
      <w:r>
        <w:rPr>
          <w:rFonts w:hint="eastAsia" w:cs="仿宋" w:asciiTheme="majorEastAsia" w:hAnsiTheme="majorEastAsia" w:eastAsiaTheme="majorEastAsia"/>
          <w:color w:val="auto"/>
        </w:rPr>
        <w:t>8.8 施工设备和临时设施</w:t>
      </w:r>
    </w:p>
    <w:p w14:paraId="05EE8BBC">
      <w:pPr>
        <w:shd w:val="clear"/>
        <w:spacing w:line="360" w:lineRule="auto"/>
        <w:ind w:firstLine="480" w:firstLineChars="200"/>
        <w:rPr>
          <w:rFonts w:cs="仿宋" w:asciiTheme="majorEastAsia" w:hAnsiTheme="majorEastAsia" w:eastAsiaTheme="majorEastAsia"/>
          <w:color w:val="auto"/>
          <w:kern w:val="0"/>
          <w:sz w:val="24"/>
        </w:rPr>
      </w:pPr>
      <w:r>
        <w:rPr>
          <w:rFonts w:hint="eastAsia" w:cs="仿宋" w:asciiTheme="majorEastAsia" w:hAnsiTheme="majorEastAsia" w:eastAsiaTheme="majorEastAsia"/>
          <w:color w:val="auto"/>
          <w:kern w:val="0"/>
          <w:sz w:val="24"/>
        </w:rPr>
        <w:t>8.8.1 承包人提供的施工设备和临时设施</w:t>
      </w:r>
    </w:p>
    <w:p w14:paraId="05D98E92">
      <w:pPr>
        <w:pStyle w:val="68"/>
        <w:shd w:val="clear"/>
        <w:spacing w:before="120" w:line="440" w:lineRule="exact"/>
        <w:ind w:firstLine="455" w:firstLineChars="189"/>
        <w:rPr>
          <w:rFonts w:hAnsi="宋体"/>
          <w:color w:val="auto"/>
        </w:rPr>
      </w:pPr>
      <w:r>
        <w:rPr>
          <w:rFonts w:hint="eastAsia" w:cs="仿宋" w:asciiTheme="majorEastAsia" w:hAnsiTheme="majorEastAsia" w:eastAsiaTheme="majorEastAsia"/>
          <w:color w:val="auto"/>
          <w:kern w:val="0"/>
        </w:rPr>
        <w:t>关于修建临时设施费用承担的约定：执行通用条款。</w:t>
      </w:r>
    </w:p>
    <w:p w14:paraId="0CD4A232">
      <w:pPr>
        <w:pStyle w:val="6"/>
        <w:shd w:val="clear"/>
        <w:spacing w:before="120" w:line="440" w:lineRule="exact"/>
        <w:ind w:firstLine="241"/>
        <w:rPr>
          <w:rFonts w:ascii="宋体" w:hAnsi="宋体"/>
          <w:color w:val="auto"/>
          <w:sz w:val="24"/>
        </w:rPr>
      </w:pPr>
      <w:bookmarkStart w:id="402" w:name="_Toc364853233"/>
      <w:r>
        <w:rPr>
          <w:rFonts w:hint="eastAsia" w:ascii="宋体" w:hAnsi="宋体" w:cs="宋体"/>
          <w:color w:val="auto"/>
          <w:sz w:val="24"/>
          <w:szCs w:val="24"/>
        </w:rPr>
        <w:t xml:space="preserve">10. </w:t>
      </w:r>
      <w:r>
        <w:rPr>
          <w:rFonts w:hint="eastAsia" w:ascii="宋体" w:hAnsi="宋体"/>
          <w:color w:val="auto"/>
          <w:sz w:val="24"/>
        </w:rPr>
        <w:t>工程结算计价依据：</w:t>
      </w:r>
      <w:r>
        <w:rPr>
          <w:rFonts w:hint="eastAsia" w:ascii="宋体" w:hAnsi="宋体"/>
          <w:color w:val="auto"/>
          <w:kern w:val="0"/>
          <w:sz w:val="24"/>
        </w:rPr>
        <w:t xml:space="preserve">                                                                                              </w:t>
      </w:r>
    </w:p>
    <w:p w14:paraId="7DA6EE8E">
      <w:pPr>
        <w:shd w:val="clear"/>
        <w:spacing w:line="440" w:lineRule="exact"/>
        <w:ind w:firstLine="480" w:firstLineChars="200"/>
        <w:rPr>
          <w:rFonts w:ascii="宋体" w:hAnsi="宋体"/>
          <w:color w:val="auto"/>
          <w:sz w:val="24"/>
          <w:szCs w:val="22"/>
        </w:rPr>
      </w:pPr>
      <w:r>
        <w:rPr>
          <w:rFonts w:hint="eastAsia" w:ascii="宋体" w:hAnsi="宋体"/>
          <w:color w:val="auto"/>
          <w:sz w:val="24"/>
          <w:szCs w:val="22"/>
        </w:rPr>
        <w:t>（1）计算原则、计价依据：《建设工程工程量清单计价规范》（GB50500-2013）、《房屋建筑与装饰工程工程量计算规范》（GB50854-2013）、《通用安装工程工程量计算规范》(GB50856-2013)、《市政工程工程量计算规范》（GB50857-2013）、《园林绿化工程工程量计算规范》（GB50858-2013）及《建设工程工程量计算规范（2013）浙江省补充规定》；《浙江省房屋建筑与装饰工程预算定额》（2018版）、《浙江省通用安装工程预算定额》（2018版）、《浙江省市政工程预算定额》（2018版）、《浙江省园林绿化及仿古建筑工程预算定额》（2018版）、《浙江省房屋建筑安装工程修缮预算定额》（2018版）、《浙江省建设工程计价规则》（2018版）及其他有关计价文件执行。如在实施过程中，有最新文件发布，则按最新文件执行。</w:t>
      </w:r>
    </w:p>
    <w:p w14:paraId="600D5887">
      <w:pPr>
        <w:shd w:val="clear"/>
        <w:spacing w:line="440" w:lineRule="exact"/>
        <w:ind w:firstLine="480" w:firstLineChars="200"/>
        <w:rPr>
          <w:rFonts w:ascii="宋体" w:hAnsi="宋体"/>
          <w:color w:val="auto"/>
          <w:sz w:val="24"/>
          <w:szCs w:val="22"/>
        </w:rPr>
      </w:pPr>
      <w:r>
        <w:rPr>
          <w:rFonts w:hint="eastAsia" w:ascii="宋体" w:hAnsi="宋体"/>
          <w:color w:val="auto"/>
          <w:sz w:val="24"/>
          <w:szCs w:val="22"/>
        </w:rPr>
        <w:t>（2）取费：按《浙江省建设工程计价规则》（2018版）相关规定费率计取，凡弹性区间费率均按中值计取。其中创标化工地增加费、提前竣工增加费、优质工程增加费、二次搬运费、行车、行人干扰增加费不计取；规费费率按《浙江省建设工程计价规则》（2018版）取费标准的30%计取。关于增值税调整后我省建设工程计价依据增值税税率及有关计价调整的通知按《浙建建发（2019）92号》文件执行（税率按9%计取）。如在实施过程中，有最新文件发布，则按最新文件执行。</w:t>
      </w:r>
    </w:p>
    <w:p w14:paraId="2D1659D2">
      <w:pPr>
        <w:shd w:val="clear"/>
        <w:spacing w:line="440" w:lineRule="exact"/>
        <w:ind w:firstLine="480" w:firstLineChars="200"/>
        <w:rPr>
          <w:rFonts w:ascii="宋体" w:hAnsi="宋体"/>
          <w:color w:val="auto"/>
          <w:sz w:val="24"/>
          <w:szCs w:val="22"/>
        </w:rPr>
      </w:pPr>
      <w:r>
        <w:rPr>
          <w:rFonts w:hint="eastAsia" w:ascii="宋体" w:hAnsi="宋体"/>
          <w:color w:val="auto"/>
          <w:sz w:val="24"/>
          <w:szCs w:val="22"/>
        </w:rPr>
        <w:t>人工价格按《宁波造价》（按开工前一个月）价格信息中宁波市建筑安装材料市场信息价。</w:t>
      </w:r>
    </w:p>
    <w:p w14:paraId="0481078D">
      <w:pPr>
        <w:shd w:val="clear"/>
        <w:spacing w:line="440" w:lineRule="exact"/>
        <w:ind w:firstLine="480" w:firstLineChars="200"/>
        <w:rPr>
          <w:rFonts w:ascii="宋体" w:hAnsi="宋体"/>
          <w:color w:val="auto"/>
          <w:kern w:val="0"/>
          <w:sz w:val="24"/>
        </w:rPr>
      </w:pPr>
      <w:r>
        <w:rPr>
          <w:rFonts w:hint="eastAsia" w:ascii="宋体" w:hAnsi="宋体"/>
          <w:color w:val="auto"/>
          <w:sz w:val="24"/>
          <w:szCs w:val="22"/>
        </w:rPr>
        <w:t>材料价格按《宁波造价》（按开工前一个月）价格信息中的宁波市建筑安装材料市场信息价（奉化优先，其次为宁波市区价）；宁波市缺项的材料按同期《浙江造价信息》信息价，无信息价材料按市场询价及业主定牌定价取定，上述材料均为除税价。建材商情价格不作为价格依据。</w:t>
      </w:r>
      <w:r>
        <w:rPr>
          <w:rFonts w:hint="eastAsia" w:ascii="宋体" w:hAnsi="宋体"/>
          <w:color w:val="auto"/>
          <w:sz w:val="24"/>
        </w:rPr>
        <w:t xml:space="preserve"> </w:t>
      </w:r>
      <w:r>
        <w:rPr>
          <w:rFonts w:hint="eastAsia" w:ascii="宋体" w:hAnsi="宋体"/>
          <w:color w:val="auto"/>
          <w:kern w:val="0"/>
          <w:sz w:val="24"/>
        </w:rPr>
        <w:t xml:space="preserve"> </w:t>
      </w:r>
    </w:p>
    <w:p w14:paraId="2C48ABAD">
      <w:pPr>
        <w:shd w:val="clear"/>
        <w:spacing w:line="440" w:lineRule="exact"/>
        <w:ind w:firstLine="480" w:firstLineChars="200"/>
        <w:rPr>
          <w:rFonts w:ascii="宋体" w:hAnsi="宋体"/>
          <w:color w:val="auto"/>
          <w:kern w:val="0"/>
          <w:sz w:val="24"/>
        </w:rPr>
      </w:pPr>
      <w:r>
        <w:rPr>
          <w:rFonts w:hint="eastAsia" w:ascii="宋体" w:hAnsi="宋体"/>
          <w:color w:val="auto"/>
          <w:kern w:val="0"/>
          <w:sz w:val="24"/>
        </w:rPr>
        <w:t xml:space="preserve">结算单价：根据计价依据及取费标准结合成交综合折扣。                                                                                      </w:t>
      </w:r>
    </w:p>
    <w:p w14:paraId="5C7697D5">
      <w:pPr>
        <w:pStyle w:val="6"/>
        <w:shd w:val="clear"/>
        <w:spacing w:before="120" w:line="440" w:lineRule="exact"/>
        <w:ind w:firstLine="241"/>
        <w:rPr>
          <w:rFonts w:ascii="宋体" w:hAnsi="宋体" w:cs="宋体"/>
          <w:color w:val="auto"/>
          <w:sz w:val="24"/>
          <w:szCs w:val="24"/>
        </w:rPr>
      </w:pPr>
      <w:r>
        <w:rPr>
          <w:rFonts w:hint="eastAsia" w:ascii="宋体" w:hAnsi="宋体" w:cs="宋体"/>
          <w:color w:val="auto"/>
          <w:sz w:val="24"/>
          <w:szCs w:val="24"/>
        </w:rPr>
        <w:t>11. 价格调整</w:t>
      </w:r>
      <w:bookmarkEnd w:id="402"/>
    </w:p>
    <w:p w14:paraId="58885FF4">
      <w:pPr>
        <w:shd w:val="clear"/>
        <w:spacing w:line="440" w:lineRule="exact"/>
        <w:ind w:firstLine="482" w:firstLineChars="200"/>
        <w:rPr>
          <w:rFonts w:ascii="宋体" w:hAnsi="宋体"/>
          <w:b/>
          <w:color w:val="auto"/>
          <w:sz w:val="24"/>
        </w:rPr>
      </w:pPr>
      <w:r>
        <w:rPr>
          <w:rFonts w:hint="eastAsia" w:ascii="宋体" w:hAnsi="宋体"/>
          <w:b/>
          <w:color w:val="auto"/>
          <w:sz w:val="24"/>
        </w:rPr>
        <w:t>11.1 市场价格波动引起的调整</w:t>
      </w:r>
    </w:p>
    <w:p w14:paraId="74E3CFCC">
      <w:pPr>
        <w:pStyle w:val="68"/>
        <w:shd w:val="clear"/>
        <w:spacing w:line="440" w:lineRule="exact"/>
        <w:ind w:firstLine="458" w:firstLineChars="190"/>
        <w:rPr>
          <w:rFonts w:hAnsi="宋体"/>
          <w:color w:val="auto"/>
        </w:rPr>
      </w:pPr>
      <w:r>
        <w:rPr>
          <w:rFonts w:hint="eastAsia" w:hAnsi="宋体"/>
          <w:color w:val="auto"/>
        </w:rPr>
        <w:t>11.1.1 合同当事人约定：实际施工期内不作调整。</w:t>
      </w:r>
    </w:p>
    <w:p w14:paraId="2E22D0E3">
      <w:pPr>
        <w:pStyle w:val="6"/>
        <w:shd w:val="clear"/>
        <w:spacing w:before="120" w:line="440" w:lineRule="exact"/>
        <w:ind w:firstLine="241"/>
        <w:rPr>
          <w:rFonts w:ascii="宋体" w:hAnsi="宋体" w:cs="宋体"/>
          <w:color w:val="auto"/>
          <w:sz w:val="24"/>
          <w:szCs w:val="24"/>
        </w:rPr>
      </w:pPr>
      <w:bookmarkStart w:id="403" w:name="_Toc364853234"/>
      <w:r>
        <w:rPr>
          <w:rFonts w:hint="eastAsia" w:ascii="宋体" w:hAnsi="宋体" w:cs="宋体"/>
          <w:color w:val="auto"/>
          <w:sz w:val="24"/>
          <w:szCs w:val="24"/>
        </w:rPr>
        <w:t>12. 合同价格、计量与支付</w:t>
      </w:r>
      <w:bookmarkEnd w:id="403"/>
    </w:p>
    <w:p w14:paraId="2AB531A8">
      <w:pPr>
        <w:pStyle w:val="68"/>
        <w:shd w:val="clear"/>
        <w:spacing w:before="120" w:line="440" w:lineRule="exact"/>
        <w:ind w:firstLine="458" w:firstLineChars="190"/>
        <w:rPr>
          <w:rFonts w:hAnsi="宋体"/>
          <w:color w:val="auto"/>
        </w:rPr>
      </w:pPr>
      <w:bookmarkStart w:id="404" w:name="_Toc292559411"/>
      <w:bookmarkStart w:id="405" w:name="_Toc292559916"/>
      <w:bookmarkStart w:id="406" w:name="_Toc267251461"/>
      <w:bookmarkStart w:id="407" w:name="_Toc296891246"/>
      <w:bookmarkStart w:id="408" w:name="_Toc296944545"/>
      <w:bookmarkStart w:id="409" w:name="_Toc297120506"/>
      <w:bookmarkStart w:id="410" w:name="_Toc296346707"/>
      <w:bookmarkStart w:id="411" w:name="_Toc296347205"/>
      <w:bookmarkStart w:id="412" w:name="_Toc296891034"/>
      <w:bookmarkStart w:id="413" w:name="_Toc296503206"/>
      <w:bookmarkStart w:id="414" w:name="_Toc297048392"/>
      <w:bookmarkStart w:id="415" w:name="_Toc304295580"/>
      <w:bookmarkStart w:id="416" w:name="_Toc297123553"/>
      <w:bookmarkStart w:id="417" w:name="_Toc303539160"/>
      <w:bookmarkStart w:id="418" w:name="_Toc300935003"/>
      <w:bookmarkStart w:id="419" w:name="_Toc297216212"/>
      <w:bookmarkStart w:id="420" w:name="_Toc312678041"/>
      <w:r>
        <w:rPr>
          <w:rFonts w:hint="eastAsia" w:hAnsi="宋体"/>
          <w:color w:val="auto"/>
        </w:rPr>
        <w:t>12.1 合</w:t>
      </w:r>
      <w:bookmarkEnd w:id="404"/>
      <w:bookmarkEnd w:id="405"/>
      <w:bookmarkEnd w:id="406"/>
      <w:r>
        <w:rPr>
          <w:rFonts w:hint="eastAsia" w:hAnsi="宋体"/>
          <w:color w:val="auto"/>
        </w:rPr>
        <w:t>同价</w:t>
      </w:r>
      <w:bookmarkEnd w:id="407"/>
      <w:bookmarkEnd w:id="408"/>
      <w:bookmarkEnd w:id="409"/>
      <w:bookmarkEnd w:id="410"/>
      <w:bookmarkEnd w:id="411"/>
      <w:bookmarkEnd w:id="412"/>
      <w:bookmarkEnd w:id="413"/>
      <w:bookmarkEnd w:id="414"/>
      <w:r>
        <w:rPr>
          <w:rFonts w:hint="eastAsia" w:hAnsi="宋体"/>
          <w:color w:val="auto"/>
        </w:rPr>
        <w:t>格形式</w:t>
      </w:r>
    </w:p>
    <w:bookmarkEnd w:id="415"/>
    <w:bookmarkEnd w:id="416"/>
    <w:bookmarkEnd w:id="417"/>
    <w:bookmarkEnd w:id="418"/>
    <w:bookmarkEnd w:id="419"/>
    <w:bookmarkEnd w:id="420"/>
    <w:p w14:paraId="056C299B">
      <w:pPr>
        <w:shd w:val="clear"/>
        <w:spacing w:line="440" w:lineRule="exact"/>
        <w:ind w:firstLine="482" w:firstLineChars="200"/>
        <w:rPr>
          <w:rFonts w:ascii="宋体" w:hAnsi="宋体"/>
          <w:b/>
          <w:color w:val="auto"/>
          <w:kern w:val="0"/>
          <w:sz w:val="24"/>
        </w:rPr>
      </w:pPr>
      <w:r>
        <w:rPr>
          <w:rFonts w:hint="eastAsia" w:ascii="宋体" w:hAnsi="宋体"/>
          <w:b/>
          <w:color w:val="auto"/>
          <w:kern w:val="0"/>
          <w:sz w:val="24"/>
        </w:rPr>
        <w:t>本合同采用合同当事人签订的合同协议书中约定的</w:t>
      </w:r>
      <w:r>
        <w:rPr>
          <w:rFonts w:ascii="宋体" w:hAnsi="宋体"/>
          <w:b/>
          <w:color w:val="auto"/>
          <w:kern w:val="0"/>
          <w:sz w:val="24"/>
        </w:rPr>
        <w:t>价格形式</w:t>
      </w:r>
      <w:r>
        <w:rPr>
          <w:rFonts w:hint="eastAsia" w:ascii="宋体" w:hAnsi="宋体"/>
          <w:b/>
          <w:color w:val="auto"/>
          <w:kern w:val="0"/>
          <w:sz w:val="24"/>
        </w:rPr>
        <w:t>，即：</w:t>
      </w:r>
      <w:r>
        <w:rPr>
          <w:rFonts w:hint="eastAsia" w:ascii="宋体" w:hAnsi="宋体"/>
          <w:b/>
          <w:color w:val="auto"/>
          <w:kern w:val="0"/>
          <w:sz w:val="24"/>
          <w:u w:val="single"/>
        </w:rPr>
        <w:t>单价合同</w:t>
      </w:r>
      <w:r>
        <w:rPr>
          <w:rFonts w:hint="eastAsia" w:ascii="宋体" w:hAnsi="宋体"/>
          <w:b/>
          <w:color w:val="auto"/>
          <w:kern w:val="0"/>
          <w:sz w:val="24"/>
        </w:rPr>
        <w:t>。</w:t>
      </w:r>
    </w:p>
    <w:p w14:paraId="20C88520">
      <w:pPr>
        <w:pStyle w:val="68"/>
        <w:shd w:val="clear"/>
        <w:spacing w:before="120" w:line="440" w:lineRule="exact"/>
        <w:ind w:firstLine="458" w:firstLineChars="190"/>
        <w:rPr>
          <w:rFonts w:hAnsi="宋体"/>
          <w:color w:val="auto"/>
        </w:rPr>
      </w:pPr>
      <w:r>
        <w:rPr>
          <w:rFonts w:hint="eastAsia" w:hAnsi="宋体"/>
          <w:color w:val="auto"/>
        </w:rPr>
        <w:t>12.2 预付款</w:t>
      </w:r>
    </w:p>
    <w:p w14:paraId="3731F09C">
      <w:pPr>
        <w:pStyle w:val="75"/>
        <w:shd w:val="clear"/>
        <w:spacing w:line="440" w:lineRule="exact"/>
        <w:ind w:firstLine="480" w:firstLineChars="200"/>
        <w:rPr>
          <w:rFonts w:hAnsi="宋体" w:eastAsia="宋体"/>
          <w:b/>
          <w:color w:val="auto"/>
          <w:szCs w:val="24"/>
        </w:rPr>
      </w:pPr>
      <w:r>
        <w:rPr>
          <w:rFonts w:hint="eastAsia"/>
          <w:color w:val="auto"/>
          <w:sz w:val="24"/>
          <w:szCs w:val="24"/>
        </w:rPr>
        <w:t xml:space="preserve">12.2.1 </w:t>
      </w:r>
      <w:r>
        <w:rPr>
          <w:rFonts w:hint="eastAsia" w:eastAsia="宋体"/>
          <w:color w:val="auto"/>
          <w:sz w:val="24"/>
          <w:szCs w:val="24"/>
        </w:rPr>
        <w:t>预付款的支付：</w:t>
      </w:r>
      <w:r>
        <w:rPr>
          <w:rFonts w:hint="eastAsia" w:hAnsi="宋体" w:eastAsia="宋体"/>
          <w:color w:val="auto"/>
          <w:sz w:val="24"/>
        </w:rPr>
        <w:t xml:space="preserve"> /</w:t>
      </w:r>
    </w:p>
    <w:p w14:paraId="24B852DD">
      <w:pPr>
        <w:pStyle w:val="68"/>
        <w:shd w:val="clear"/>
        <w:spacing w:before="120" w:line="440" w:lineRule="exact"/>
        <w:ind w:firstLine="354" w:firstLineChars="147"/>
        <w:rPr>
          <w:rFonts w:hAnsi="宋体"/>
          <w:color w:val="auto"/>
        </w:rPr>
      </w:pPr>
      <w:r>
        <w:rPr>
          <w:rFonts w:hint="eastAsia" w:hAnsi="宋体"/>
          <w:color w:val="auto"/>
        </w:rPr>
        <w:t>12.3 计量</w:t>
      </w:r>
    </w:p>
    <w:p w14:paraId="75EE1667">
      <w:pPr>
        <w:pStyle w:val="12"/>
        <w:shd w:val="clear"/>
        <w:spacing w:line="440" w:lineRule="exact"/>
        <w:ind w:firstLine="480" w:firstLineChars="200"/>
        <w:rPr>
          <w:rFonts w:hAnsi="宋体"/>
          <w:color w:val="auto"/>
          <w:sz w:val="24"/>
        </w:rPr>
      </w:pPr>
      <w:r>
        <w:rPr>
          <w:rFonts w:hint="eastAsia" w:hAnsi="宋体"/>
          <w:color w:val="auto"/>
          <w:sz w:val="24"/>
        </w:rPr>
        <w:t>关于</w:t>
      </w:r>
      <w:r>
        <w:rPr>
          <w:rFonts w:hAnsi="宋体"/>
          <w:color w:val="auto"/>
          <w:sz w:val="24"/>
        </w:rPr>
        <w:t>工程量计算</w:t>
      </w:r>
      <w:r>
        <w:rPr>
          <w:rFonts w:hint="eastAsia" w:hAnsi="宋体"/>
          <w:color w:val="auto"/>
          <w:sz w:val="24"/>
        </w:rPr>
        <w:t>原则约定</w:t>
      </w:r>
      <w:r>
        <w:rPr>
          <w:rFonts w:hAnsi="宋体"/>
          <w:color w:val="auto"/>
          <w:sz w:val="24"/>
        </w:rPr>
        <w:t>：</w:t>
      </w:r>
      <w:r>
        <w:rPr>
          <w:rFonts w:hint="eastAsia" w:hAnsi="宋体"/>
          <w:color w:val="auto"/>
          <w:sz w:val="24"/>
        </w:rPr>
        <w:t>按现行的工程量计算规则执行。</w:t>
      </w:r>
    </w:p>
    <w:p w14:paraId="079CFF67">
      <w:pPr>
        <w:pStyle w:val="12"/>
        <w:shd w:val="clear"/>
        <w:spacing w:line="440" w:lineRule="exact"/>
        <w:ind w:firstLine="480" w:firstLineChars="200"/>
        <w:rPr>
          <w:rFonts w:hAnsi="宋体"/>
          <w:color w:val="auto"/>
          <w:sz w:val="24"/>
        </w:rPr>
      </w:pPr>
      <w:r>
        <w:rPr>
          <w:rFonts w:hint="eastAsia"/>
          <w:color w:val="auto"/>
          <w:sz w:val="24"/>
        </w:rPr>
        <w:t>关于计量周期及本合同计量方式和程序的约定：执行通用条款。</w:t>
      </w:r>
    </w:p>
    <w:p w14:paraId="76220BDC">
      <w:pPr>
        <w:pStyle w:val="68"/>
        <w:shd w:val="clear"/>
        <w:spacing w:before="120" w:line="440" w:lineRule="exact"/>
        <w:ind w:firstLine="458" w:firstLineChars="190"/>
        <w:rPr>
          <w:rFonts w:hAnsi="宋体"/>
          <w:color w:val="auto"/>
        </w:rPr>
      </w:pPr>
      <w:r>
        <w:rPr>
          <w:rFonts w:hint="eastAsia" w:hAnsi="宋体"/>
          <w:color w:val="auto"/>
        </w:rPr>
        <w:t>12.4 工程进度款支付</w:t>
      </w:r>
    </w:p>
    <w:p w14:paraId="090372F9">
      <w:pPr>
        <w:shd w:val="clear"/>
        <w:snapToGrid w:val="0"/>
        <w:spacing w:line="440" w:lineRule="exact"/>
        <w:ind w:firstLine="240"/>
        <w:rPr>
          <w:rFonts w:ascii="宋体" w:hAnsi="宋体"/>
          <w:b/>
          <w:bCs/>
          <w:color w:val="auto"/>
          <w:sz w:val="24"/>
          <w:u w:val="single"/>
        </w:rPr>
      </w:pPr>
      <w:r>
        <w:rPr>
          <w:rFonts w:hint="eastAsia"/>
          <w:color w:val="auto"/>
          <w:sz w:val="24"/>
        </w:rPr>
        <w:t>关于付款周期、进度款支付程序和方法的约定</w:t>
      </w:r>
      <w:bookmarkStart w:id="421" w:name="_Toc364853235"/>
      <w:r>
        <w:rPr>
          <w:rFonts w:hint="eastAsia"/>
          <w:color w:val="auto"/>
          <w:sz w:val="24"/>
        </w:rPr>
        <w:t>：</w:t>
      </w:r>
    </w:p>
    <w:bookmarkEnd w:id="421"/>
    <w:p w14:paraId="311613C4">
      <w:pPr>
        <w:pStyle w:val="68"/>
        <w:shd w:val="clear"/>
        <w:spacing w:before="120" w:line="440" w:lineRule="exact"/>
        <w:ind w:firstLine="458" w:firstLineChars="190"/>
        <w:rPr>
          <w:rFonts w:hAnsi="宋体"/>
          <w:color w:val="auto"/>
        </w:rPr>
      </w:pPr>
      <w:r>
        <w:rPr>
          <w:rFonts w:hint="eastAsia" w:hAnsi="宋体"/>
          <w:color w:val="auto"/>
        </w:rPr>
        <w:t xml:space="preserve">15.3 质量保证担保 </w:t>
      </w:r>
    </w:p>
    <w:p w14:paraId="3F971FD0">
      <w:pPr>
        <w:pStyle w:val="68"/>
        <w:shd w:val="clear"/>
        <w:spacing w:before="120" w:line="440" w:lineRule="exact"/>
        <w:ind w:firstLine="456" w:firstLineChars="190"/>
        <w:rPr>
          <w:rFonts w:hAnsi="宋体"/>
          <w:b w:val="0"/>
          <w:bCs/>
          <w:color w:val="auto"/>
        </w:rPr>
      </w:pPr>
      <w:r>
        <w:rPr>
          <w:rFonts w:hint="eastAsia" w:hAnsi="宋体"/>
          <w:b w:val="0"/>
          <w:bCs/>
          <w:color w:val="auto"/>
        </w:rPr>
        <w:t>本工程保修期为</w:t>
      </w:r>
      <w:r>
        <w:rPr>
          <w:rFonts w:hint="eastAsia" w:hAnsi="宋体"/>
          <w:b w:val="0"/>
          <w:bCs/>
          <w:color w:val="auto"/>
          <w:u w:val="single"/>
        </w:rPr>
        <w:t>12</w:t>
      </w:r>
      <w:r>
        <w:rPr>
          <w:rFonts w:hint="eastAsia" w:hAnsi="宋体"/>
          <w:b w:val="0"/>
          <w:bCs/>
          <w:color w:val="auto"/>
        </w:rPr>
        <w:t>个月，保修期从竣工验收合格之日起计算。在保修范围内和保修期限内发生质量问题的，承包人应当履行保修义务，并对造成的损失承担赔偿责任。</w:t>
      </w:r>
    </w:p>
    <w:p w14:paraId="308DFF29">
      <w:pPr>
        <w:pStyle w:val="6"/>
        <w:shd w:val="clear"/>
        <w:spacing w:before="120" w:line="440" w:lineRule="exact"/>
        <w:ind w:firstLine="241"/>
        <w:rPr>
          <w:rFonts w:ascii="宋体" w:hAnsi="宋体" w:cs="宋体"/>
          <w:color w:val="auto"/>
          <w:sz w:val="24"/>
          <w:szCs w:val="24"/>
        </w:rPr>
      </w:pPr>
      <w:bookmarkStart w:id="422" w:name="_Toc364853238"/>
      <w:r>
        <w:rPr>
          <w:rFonts w:hint="eastAsia" w:ascii="宋体" w:hAnsi="宋体" w:cs="宋体"/>
          <w:color w:val="auto"/>
          <w:sz w:val="24"/>
          <w:szCs w:val="24"/>
        </w:rPr>
        <w:t>16. 违约</w:t>
      </w:r>
      <w:bookmarkEnd w:id="422"/>
    </w:p>
    <w:p w14:paraId="7752D9CF">
      <w:pPr>
        <w:pStyle w:val="68"/>
        <w:shd w:val="clear"/>
        <w:spacing w:before="120" w:line="440" w:lineRule="exact"/>
        <w:ind w:firstLine="458" w:firstLineChars="190"/>
        <w:rPr>
          <w:rFonts w:hAnsi="宋体"/>
          <w:color w:val="auto"/>
        </w:rPr>
      </w:pPr>
      <w:r>
        <w:rPr>
          <w:rFonts w:hint="eastAsia" w:hAnsi="宋体"/>
          <w:color w:val="auto"/>
        </w:rPr>
        <w:t>16.1 发包人违约</w:t>
      </w:r>
    </w:p>
    <w:p w14:paraId="25A73DCE">
      <w:pPr>
        <w:shd w:val="clear"/>
        <w:spacing w:line="440" w:lineRule="exact"/>
        <w:ind w:firstLine="480" w:firstLineChars="200"/>
        <w:rPr>
          <w:rFonts w:ascii="宋体" w:hAnsi="宋体"/>
          <w:color w:val="auto"/>
          <w:sz w:val="24"/>
        </w:rPr>
      </w:pPr>
      <w:r>
        <w:rPr>
          <w:rFonts w:ascii="宋体" w:hAnsi="宋体"/>
          <w:color w:val="auto"/>
          <w:sz w:val="24"/>
        </w:rPr>
        <w:t>16.1.1</w:t>
      </w:r>
      <w:r>
        <w:rPr>
          <w:rFonts w:hint="eastAsia" w:ascii="宋体" w:hAnsi="宋体"/>
          <w:color w:val="auto"/>
          <w:sz w:val="24"/>
        </w:rPr>
        <w:t>发包人违约的情形按通用条款确定。</w:t>
      </w:r>
    </w:p>
    <w:p w14:paraId="340D40B7">
      <w:pPr>
        <w:shd w:val="clear"/>
        <w:spacing w:line="440" w:lineRule="exact"/>
        <w:ind w:firstLine="480" w:firstLineChars="200"/>
        <w:rPr>
          <w:rFonts w:ascii="宋体" w:hAnsi="宋体"/>
          <w:color w:val="auto"/>
          <w:sz w:val="24"/>
        </w:rPr>
      </w:pPr>
      <w:r>
        <w:rPr>
          <w:rFonts w:ascii="宋体" w:hAnsi="宋体"/>
          <w:color w:val="auto"/>
          <w:sz w:val="24"/>
        </w:rPr>
        <w:t>16.1.2 发包人违约的责任</w:t>
      </w:r>
    </w:p>
    <w:p w14:paraId="5E86619B">
      <w:pPr>
        <w:shd w:val="clear"/>
        <w:spacing w:line="440" w:lineRule="exact"/>
        <w:ind w:firstLine="480" w:firstLineChars="200"/>
        <w:rPr>
          <w:rFonts w:ascii="宋体" w:hAnsi="宋体"/>
          <w:color w:val="auto"/>
          <w:sz w:val="24"/>
        </w:rPr>
      </w:pPr>
      <w:r>
        <w:rPr>
          <w:rFonts w:hint="eastAsia" w:ascii="宋体" w:hAnsi="宋体"/>
          <w:color w:val="auto"/>
          <w:sz w:val="24"/>
        </w:rPr>
        <w:t>发包人应承担其违约承包人增加的费用和（或）延误工期，并支付承包人合理的利润。发包人未按合同约定、逾期支付合同款项的，按照中国人民银行发布的同期同类贷款基准利率支付违约金；逾期支付超过56天的，按照中国人民银行发布的同期同类贷款基准利率和两倍支付违约金。除此以外，承包人有权向发包人追偿由于发包人违约行为给承包人造成的重大经济损失的。</w:t>
      </w:r>
    </w:p>
    <w:p w14:paraId="2A7D04F4">
      <w:pPr>
        <w:shd w:val="clear"/>
        <w:spacing w:line="440" w:lineRule="exact"/>
        <w:ind w:firstLine="480" w:firstLineChars="200"/>
        <w:rPr>
          <w:rFonts w:ascii="宋体" w:hAnsi="宋体"/>
          <w:color w:val="auto"/>
          <w:sz w:val="24"/>
        </w:rPr>
      </w:pPr>
      <w:r>
        <w:rPr>
          <w:rFonts w:ascii="宋体" w:hAnsi="宋体"/>
          <w:color w:val="auto"/>
          <w:sz w:val="24"/>
        </w:rPr>
        <w:t xml:space="preserve">16.1.3 </w:t>
      </w:r>
      <w:r>
        <w:rPr>
          <w:rFonts w:hint="eastAsia" w:ascii="宋体" w:hAnsi="宋体"/>
          <w:color w:val="auto"/>
          <w:sz w:val="24"/>
        </w:rPr>
        <w:t xml:space="preserve"> 关于</w:t>
      </w:r>
      <w:r>
        <w:rPr>
          <w:rFonts w:ascii="宋体" w:hAnsi="宋体"/>
          <w:color w:val="auto"/>
          <w:sz w:val="24"/>
        </w:rPr>
        <w:t>发包人违约解除合同</w:t>
      </w:r>
      <w:r>
        <w:rPr>
          <w:rFonts w:hint="eastAsia" w:ascii="宋体" w:hAnsi="宋体"/>
          <w:color w:val="auto"/>
          <w:sz w:val="24"/>
        </w:rPr>
        <w:t>的约定：执行通用条款。</w:t>
      </w:r>
    </w:p>
    <w:p w14:paraId="69C6AD96">
      <w:pPr>
        <w:shd w:val="clear"/>
        <w:adjustRightInd w:val="0"/>
        <w:spacing w:line="440" w:lineRule="exact"/>
        <w:ind w:firstLine="480" w:firstLineChars="200"/>
        <w:rPr>
          <w:rFonts w:ascii="宋体" w:hAnsi="宋体"/>
          <w:color w:val="auto"/>
          <w:kern w:val="0"/>
          <w:sz w:val="24"/>
        </w:rPr>
      </w:pPr>
      <w:bookmarkStart w:id="423" w:name="_Toc364853239"/>
      <w:r>
        <w:rPr>
          <w:rFonts w:hint="eastAsia" w:ascii="宋体" w:hAnsi="宋体"/>
          <w:color w:val="auto"/>
          <w:kern w:val="0"/>
          <w:sz w:val="24"/>
        </w:rPr>
        <w:t>增加：本合同约定承包人违约承担的违约责任：</w:t>
      </w:r>
    </w:p>
    <w:p w14:paraId="66B0AE50">
      <w:pPr>
        <w:shd w:val="clear"/>
        <w:adjustRightInd w:val="0"/>
        <w:spacing w:line="440" w:lineRule="exact"/>
        <w:ind w:firstLine="480" w:firstLineChars="200"/>
        <w:rPr>
          <w:rFonts w:ascii="宋体" w:hAnsi="宋体"/>
          <w:color w:val="auto"/>
          <w:kern w:val="0"/>
          <w:sz w:val="24"/>
        </w:rPr>
      </w:pPr>
      <w:r>
        <w:rPr>
          <w:rFonts w:hint="eastAsia" w:ascii="宋体" w:hAnsi="宋体"/>
          <w:color w:val="auto"/>
          <w:kern w:val="0"/>
          <w:sz w:val="24"/>
        </w:rPr>
        <w:t>1、延误合同工期违约金限额为合同价款的 1.5 %；因承包人原因造成工期延误，逾期竣工违约金为1000元/天。</w:t>
      </w:r>
    </w:p>
    <w:p w14:paraId="53AF38D3">
      <w:pPr>
        <w:shd w:val="clear"/>
        <w:adjustRightInd w:val="0"/>
        <w:spacing w:line="440" w:lineRule="exact"/>
        <w:ind w:firstLine="480" w:firstLineChars="200"/>
        <w:rPr>
          <w:rFonts w:ascii="宋体" w:hAnsi="宋体"/>
          <w:color w:val="auto"/>
          <w:kern w:val="0"/>
          <w:sz w:val="24"/>
        </w:rPr>
      </w:pPr>
      <w:r>
        <w:rPr>
          <w:rFonts w:hint="eastAsia" w:ascii="宋体" w:hAnsi="宋体"/>
          <w:color w:val="auto"/>
          <w:kern w:val="0"/>
          <w:sz w:val="24"/>
        </w:rPr>
        <w:t>2、未达到工程质量验收标准违约金限额为合同价款的 1.5 %；</w:t>
      </w:r>
    </w:p>
    <w:p w14:paraId="0FCDA502">
      <w:pPr>
        <w:shd w:val="clear"/>
        <w:adjustRightInd w:val="0"/>
        <w:spacing w:line="440" w:lineRule="exact"/>
        <w:ind w:firstLine="480" w:firstLineChars="200"/>
        <w:rPr>
          <w:rFonts w:ascii="宋体" w:hAnsi="宋体"/>
          <w:color w:val="auto"/>
          <w:kern w:val="0"/>
          <w:sz w:val="24"/>
        </w:rPr>
      </w:pPr>
      <w:r>
        <w:rPr>
          <w:rFonts w:hint="eastAsia" w:ascii="宋体" w:hAnsi="宋体"/>
          <w:color w:val="auto"/>
          <w:kern w:val="0"/>
          <w:sz w:val="24"/>
        </w:rPr>
        <w:t>未尽事宜，双方协商解决。</w:t>
      </w:r>
    </w:p>
    <w:bookmarkEnd w:id="423"/>
    <w:p w14:paraId="4A5C7105">
      <w:pPr>
        <w:pStyle w:val="6"/>
        <w:shd w:val="clear"/>
        <w:spacing w:before="120" w:line="440" w:lineRule="exact"/>
        <w:ind w:firstLine="241"/>
        <w:rPr>
          <w:rFonts w:ascii="宋体" w:hAnsi="宋体" w:cs="宋体"/>
          <w:color w:val="auto"/>
          <w:sz w:val="24"/>
          <w:szCs w:val="24"/>
        </w:rPr>
      </w:pPr>
      <w:bookmarkStart w:id="424" w:name="_Toc364853241"/>
      <w:r>
        <w:rPr>
          <w:rFonts w:hint="eastAsia" w:ascii="宋体" w:hAnsi="宋体" w:cs="宋体"/>
          <w:color w:val="auto"/>
          <w:sz w:val="24"/>
          <w:szCs w:val="24"/>
        </w:rPr>
        <w:t>20. 争议解决</w:t>
      </w:r>
      <w:bookmarkEnd w:id="424"/>
    </w:p>
    <w:p w14:paraId="6CA379FD">
      <w:pPr>
        <w:pStyle w:val="68"/>
        <w:shd w:val="clear"/>
        <w:spacing w:line="440" w:lineRule="exact"/>
        <w:ind w:firstLine="458" w:firstLineChars="190"/>
        <w:rPr>
          <w:rFonts w:hAnsi="宋体"/>
          <w:color w:val="auto"/>
        </w:rPr>
      </w:pPr>
      <w:r>
        <w:rPr>
          <w:rFonts w:hint="eastAsia" w:hAnsi="宋体"/>
          <w:color w:val="auto"/>
        </w:rPr>
        <w:t>20.3 争议评审</w:t>
      </w:r>
    </w:p>
    <w:p w14:paraId="3B9A4AD5">
      <w:pPr>
        <w:shd w:val="clear"/>
        <w:adjustRightInd w:val="0"/>
        <w:spacing w:line="440" w:lineRule="exact"/>
        <w:ind w:firstLine="480" w:firstLineChars="200"/>
        <w:rPr>
          <w:rFonts w:ascii="宋体" w:hAnsi="宋体"/>
          <w:color w:val="auto"/>
          <w:kern w:val="0"/>
          <w:sz w:val="24"/>
        </w:rPr>
      </w:pPr>
      <w:r>
        <w:rPr>
          <w:rFonts w:hint="eastAsia" w:ascii="宋体" w:hAnsi="宋体"/>
          <w:color w:val="auto"/>
          <w:kern w:val="0"/>
          <w:sz w:val="24"/>
        </w:rPr>
        <w:t>合同当事人</w:t>
      </w:r>
      <w:r>
        <w:rPr>
          <w:rFonts w:hint="eastAsia" w:ascii="宋体" w:hAnsi="宋体"/>
          <w:color w:val="auto"/>
          <w:kern w:val="0"/>
          <w:sz w:val="24"/>
          <w:u w:val="single"/>
        </w:rPr>
        <w:t xml:space="preserve">   不同意  </w:t>
      </w:r>
      <w:r>
        <w:rPr>
          <w:rFonts w:hint="eastAsia" w:ascii="宋体" w:hAnsi="宋体"/>
          <w:color w:val="auto"/>
          <w:kern w:val="0"/>
          <w:sz w:val="24"/>
        </w:rPr>
        <w:t>将工程争议提交争议评审小组决定。</w:t>
      </w:r>
      <w:r>
        <w:rPr>
          <w:rFonts w:ascii="宋体" w:hAnsi="宋体"/>
          <w:color w:val="auto"/>
          <w:kern w:val="0"/>
          <w:sz w:val="24"/>
        </w:rPr>
        <w:t xml:space="preserve">  </w:t>
      </w:r>
    </w:p>
    <w:p w14:paraId="637A9F43">
      <w:pPr>
        <w:pStyle w:val="68"/>
        <w:shd w:val="clear"/>
        <w:spacing w:line="440" w:lineRule="exact"/>
        <w:ind w:firstLine="458" w:firstLineChars="190"/>
        <w:rPr>
          <w:rFonts w:hAnsi="宋体"/>
          <w:color w:val="auto"/>
        </w:rPr>
      </w:pPr>
      <w:r>
        <w:rPr>
          <w:rFonts w:hint="eastAsia" w:hAnsi="宋体"/>
          <w:color w:val="auto"/>
        </w:rPr>
        <w:t>20.4仲裁或诉讼</w:t>
      </w:r>
    </w:p>
    <w:p w14:paraId="2DDD6970">
      <w:pPr>
        <w:shd w:val="clear"/>
        <w:adjustRightInd w:val="0"/>
        <w:spacing w:line="440" w:lineRule="exact"/>
        <w:ind w:firstLine="480" w:firstLineChars="200"/>
        <w:rPr>
          <w:rFonts w:ascii="宋体" w:hAnsi="宋体"/>
          <w:color w:val="auto"/>
          <w:kern w:val="0"/>
          <w:sz w:val="24"/>
        </w:rPr>
      </w:pPr>
      <w:r>
        <w:rPr>
          <w:rFonts w:ascii="宋体" w:hAnsi="宋体"/>
          <w:color w:val="auto"/>
          <w:kern w:val="0"/>
          <w:sz w:val="24"/>
        </w:rPr>
        <w:t>因合同及合同有关事项发生的争议，向</w:t>
      </w:r>
      <w:r>
        <w:rPr>
          <w:rFonts w:hint="eastAsia" w:ascii="宋体" w:hAnsi="宋体"/>
          <w:color w:val="auto"/>
          <w:kern w:val="0"/>
          <w:sz w:val="24"/>
          <w:u w:val="single"/>
        </w:rPr>
        <w:t>宁波市奉化区</w:t>
      </w:r>
      <w:r>
        <w:rPr>
          <w:rFonts w:ascii="宋体" w:hAnsi="宋体"/>
          <w:color w:val="auto"/>
          <w:kern w:val="0"/>
          <w:sz w:val="24"/>
        </w:rPr>
        <w:t>人民法院起诉</w:t>
      </w:r>
      <w:r>
        <w:rPr>
          <w:rFonts w:hint="eastAsia" w:ascii="宋体" w:hAnsi="宋体"/>
          <w:color w:val="auto"/>
          <w:kern w:val="0"/>
          <w:sz w:val="24"/>
        </w:rPr>
        <w:t>。</w:t>
      </w:r>
    </w:p>
    <w:p w14:paraId="07BD8D32">
      <w:pPr>
        <w:shd w:val="clear"/>
        <w:spacing w:line="560" w:lineRule="exact"/>
        <w:ind w:firstLine="240"/>
        <w:rPr>
          <w:rFonts w:ascii="宋体" w:hAnsi="宋体"/>
          <w:color w:val="auto"/>
          <w:szCs w:val="21"/>
        </w:rPr>
      </w:pPr>
      <w:r>
        <w:rPr>
          <w:rFonts w:ascii="宋体" w:hAnsi="宋体"/>
          <w:color w:val="auto"/>
          <w:kern w:val="0"/>
          <w:sz w:val="24"/>
        </w:rPr>
        <w:br w:type="page"/>
      </w:r>
      <w:r>
        <w:rPr>
          <w:rFonts w:ascii="宋体" w:hAnsi="宋体"/>
          <w:color w:val="auto"/>
          <w:szCs w:val="21"/>
        </w:rPr>
        <w:t>发包人(公章)：</w:t>
      </w:r>
      <w:r>
        <w:rPr>
          <w:rFonts w:ascii="宋体" w:hAnsi="宋体"/>
          <w:color w:val="auto"/>
          <w:szCs w:val="21"/>
          <w:u w:val="single"/>
        </w:rPr>
        <w:t xml:space="preserve">  </w:t>
      </w:r>
      <w:r>
        <w:rPr>
          <w:rFonts w:hint="eastAsia" w:ascii="宋体" w:hAnsi="宋体"/>
          <w:color w:val="auto"/>
          <w:szCs w:val="21"/>
          <w:u w:val="single"/>
        </w:rPr>
        <w:t xml:space="preserve">    </w:t>
      </w:r>
      <w:r>
        <w:rPr>
          <w:rFonts w:ascii="宋体" w:hAnsi="宋体"/>
          <w:color w:val="auto"/>
          <w:szCs w:val="21"/>
          <w:u w:val="single"/>
        </w:rPr>
        <w:t xml:space="preserve">      </w:t>
      </w:r>
      <w:r>
        <w:rPr>
          <w:rFonts w:ascii="宋体" w:hAnsi="宋体"/>
          <w:color w:val="auto"/>
          <w:szCs w:val="21"/>
        </w:rPr>
        <w:t xml:space="preserve"> </w:t>
      </w:r>
      <w:r>
        <w:rPr>
          <w:rFonts w:hint="eastAsia" w:ascii="宋体" w:hAnsi="宋体"/>
          <w:color w:val="auto"/>
          <w:szCs w:val="21"/>
        </w:rPr>
        <w:t xml:space="preserve">            </w:t>
      </w:r>
      <w:r>
        <w:rPr>
          <w:rFonts w:ascii="宋体" w:hAnsi="宋体"/>
          <w:color w:val="auto"/>
          <w:szCs w:val="21"/>
        </w:rPr>
        <w:t>承包人(公章)：</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p>
    <w:p w14:paraId="4E25EAA0">
      <w:pPr>
        <w:shd w:val="clear"/>
        <w:spacing w:line="560" w:lineRule="exact"/>
        <w:ind w:firstLine="210"/>
        <w:rPr>
          <w:rFonts w:ascii="宋体" w:hAnsi="宋体"/>
          <w:color w:val="auto"/>
          <w:szCs w:val="21"/>
        </w:rPr>
      </w:pPr>
      <w:r>
        <w:rPr>
          <w:rFonts w:ascii="宋体" w:hAnsi="宋体"/>
          <w:color w:val="auto"/>
          <w:szCs w:val="21"/>
        </w:rPr>
        <w:t>地  址：</w:t>
      </w:r>
      <w:r>
        <w:rPr>
          <w:rFonts w:ascii="宋体" w:hAnsi="宋体"/>
          <w:color w:val="auto"/>
          <w:szCs w:val="21"/>
          <w:u w:val="single"/>
        </w:rPr>
        <w:t xml:space="preserve">  </w:t>
      </w:r>
      <w:r>
        <w:rPr>
          <w:rFonts w:hint="eastAsia" w:ascii="宋体" w:hAnsi="宋体"/>
          <w:color w:val="auto"/>
          <w:szCs w:val="21"/>
          <w:u w:val="single"/>
        </w:rPr>
        <w:t xml:space="preserve">    </w:t>
      </w:r>
      <w:r>
        <w:rPr>
          <w:rFonts w:ascii="宋体" w:hAnsi="宋体"/>
          <w:color w:val="auto"/>
          <w:szCs w:val="21"/>
          <w:u w:val="single"/>
        </w:rPr>
        <w:t xml:space="preserve">   </w:t>
      </w:r>
      <w:r>
        <w:rPr>
          <w:rFonts w:hint="eastAsia" w:ascii="宋体" w:hAnsi="宋体"/>
          <w:color w:val="auto"/>
          <w:szCs w:val="21"/>
          <w:u w:val="single"/>
        </w:rPr>
        <w:t xml:space="preserve"> </w:t>
      </w:r>
      <w:r>
        <w:rPr>
          <w:rFonts w:hint="eastAsia" w:ascii="宋体" w:hAnsi="宋体"/>
          <w:color w:val="auto"/>
          <w:szCs w:val="21"/>
        </w:rPr>
        <w:t xml:space="preserve">             </w:t>
      </w:r>
      <w:r>
        <w:rPr>
          <w:rFonts w:ascii="宋体" w:hAnsi="宋体"/>
          <w:color w:val="auto"/>
          <w:szCs w:val="21"/>
        </w:rPr>
        <w:t>地  址：</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u w:val="single"/>
        </w:rPr>
        <w:t xml:space="preserve">    </w:t>
      </w:r>
    </w:p>
    <w:p w14:paraId="1A20BE40">
      <w:pPr>
        <w:shd w:val="clear"/>
        <w:spacing w:line="560" w:lineRule="exact"/>
        <w:ind w:firstLine="210"/>
        <w:rPr>
          <w:rFonts w:ascii="宋体" w:hAnsi="宋体"/>
          <w:color w:val="auto"/>
          <w:szCs w:val="21"/>
        </w:rPr>
      </w:pPr>
      <w:r>
        <w:rPr>
          <w:rFonts w:ascii="宋体" w:hAnsi="宋体"/>
          <w:color w:val="auto"/>
          <w:szCs w:val="21"/>
        </w:rPr>
        <w:t>法定代表人(签字)：</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r>
        <w:rPr>
          <w:rFonts w:ascii="宋体" w:hAnsi="宋体"/>
          <w:color w:val="auto"/>
          <w:szCs w:val="21"/>
        </w:rPr>
        <w:t xml:space="preserve"> </w:t>
      </w:r>
      <w:r>
        <w:rPr>
          <w:rFonts w:hint="eastAsia" w:ascii="宋体" w:hAnsi="宋体"/>
          <w:color w:val="auto"/>
          <w:szCs w:val="21"/>
        </w:rPr>
        <w:t xml:space="preserve">            </w:t>
      </w:r>
      <w:r>
        <w:rPr>
          <w:rFonts w:ascii="宋体" w:hAnsi="宋体"/>
          <w:color w:val="auto"/>
          <w:szCs w:val="21"/>
        </w:rPr>
        <w:t>法定代表人(签字)：</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p>
    <w:p w14:paraId="00A0826F">
      <w:pPr>
        <w:shd w:val="clear"/>
        <w:spacing w:line="560" w:lineRule="exact"/>
        <w:ind w:firstLine="210"/>
        <w:rPr>
          <w:rFonts w:ascii="宋体" w:hAnsi="宋体"/>
          <w:color w:val="auto"/>
          <w:szCs w:val="21"/>
        </w:rPr>
      </w:pPr>
      <w:r>
        <w:rPr>
          <w:rFonts w:ascii="宋体" w:hAnsi="宋体"/>
          <w:color w:val="auto"/>
          <w:szCs w:val="21"/>
        </w:rPr>
        <w:t>委托代理人(签字)：</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u w:val="single"/>
        </w:rPr>
        <w:t xml:space="preserve">     </w:t>
      </w:r>
      <w:r>
        <w:rPr>
          <w:rFonts w:ascii="宋体" w:hAnsi="宋体"/>
          <w:color w:val="auto"/>
          <w:szCs w:val="21"/>
        </w:rPr>
        <w:t xml:space="preserve"> </w:t>
      </w:r>
      <w:r>
        <w:rPr>
          <w:rFonts w:hint="eastAsia" w:ascii="宋体" w:hAnsi="宋体"/>
          <w:color w:val="auto"/>
          <w:szCs w:val="21"/>
        </w:rPr>
        <w:t xml:space="preserve">            </w:t>
      </w:r>
      <w:r>
        <w:rPr>
          <w:rFonts w:ascii="宋体" w:hAnsi="宋体"/>
          <w:color w:val="auto"/>
          <w:szCs w:val="21"/>
        </w:rPr>
        <w:t>委托代理人(签字)：</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u w:val="single"/>
        </w:rPr>
        <w:t xml:space="preserve">    </w:t>
      </w:r>
    </w:p>
    <w:p w14:paraId="2D2EF69D">
      <w:pPr>
        <w:shd w:val="clear"/>
        <w:spacing w:line="560" w:lineRule="exact"/>
        <w:ind w:firstLine="210"/>
        <w:rPr>
          <w:rFonts w:ascii="宋体" w:hAnsi="宋体"/>
          <w:color w:val="auto"/>
          <w:szCs w:val="21"/>
        </w:rPr>
      </w:pPr>
      <w:r>
        <w:rPr>
          <w:rFonts w:ascii="宋体" w:hAnsi="宋体"/>
          <w:color w:val="auto"/>
          <w:szCs w:val="21"/>
        </w:rPr>
        <w:t>电  话：</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rPr>
        <w:t xml:space="preserve"> </w:t>
      </w:r>
      <w:r>
        <w:rPr>
          <w:rFonts w:hint="eastAsia" w:ascii="宋体" w:hAnsi="宋体"/>
          <w:color w:val="auto"/>
          <w:szCs w:val="21"/>
        </w:rPr>
        <w:t xml:space="preserve">            </w:t>
      </w:r>
      <w:r>
        <w:rPr>
          <w:rFonts w:ascii="宋体" w:hAnsi="宋体"/>
          <w:color w:val="auto"/>
          <w:szCs w:val="21"/>
        </w:rPr>
        <w:t>电  话：</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p>
    <w:p w14:paraId="08E61438">
      <w:pPr>
        <w:shd w:val="clear"/>
        <w:spacing w:line="560" w:lineRule="exact"/>
        <w:ind w:firstLine="210"/>
        <w:rPr>
          <w:rFonts w:ascii="宋体" w:hAnsi="宋体"/>
          <w:color w:val="auto"/>
          <w:szCs w:val="21"/>
        </w:rPr>
      </w:pPr>
      <w:r>
        <w:rPr>
          <w:rFonts w:ascii="宋体" w:hAnsi="宋体"/>
          <w:color w:val="auto"/>
          <w:szCs w:val="21"/>
        </w:rPr>
        <w:t>传  真：</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rPr>
        <w:t xml:space="preserve"> </w:t>
      </w:r>
      <w:r>
        <w:rPr>
          <w:rFonts w:hint="eastAsia" w:ascii="宋体" w:hAnsi="宋体"/>
          <w:color w:val="auto"/>
          <w:szCs w:val="21"/>
        </w:rPr>
        <w:t xml:space="preserve">            </w:t>
      </w:r>
      <w:r>
        <w:rPr>
          <w:rFonts w:ascii="宋体" w:hAnsi="宋体"/>
          <w:color w:val="auto"/>
          <w:szCs w:val="21"/>
        </w:rPr>
        <w:t>传  真：</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p>
    <w:p w14:paraId="435D94FD">
      <w:pPr>
        <w:shd w:val="clear"/>
        <w:spacing w:line="560" w:lineRule="exact"/>
        <w:ind w:firstLine="210"/>
        <w:rPr>
          <w:rFonts w:ascii="宋体" w:hAnsi="宋体"/>
          <w:color w:val="auto"/>
          <w:szCs w:val="21"/>
        </w:rPr>
      </w:pPr>
      <w:r>
        <w:rPr>
          <w:rFonts w:ascii="宋体" w:hAnsi="宋体"/>
          <w:color w:val="auto"/>
          <w:szCs w:val="21"/>
        </w:rPr>
        <w:t>开户银行：</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rPr>
        <w:t xml:space="preserve"> </w:t>
      </w:r>
      <w:r>
        <w:rPr>
          <w:rFonts w:hint="eastAsia" w:ascii="宋体" w:hAnsi="宋体"/>
          <w:color w:val="auto"/>
          <w:szCs w:val="21"/>
        </w:rPr>
        <w:t xml:space="preserve">            </w:t>
      </w:r>
      <w:r>
        <w:rPr>
          <w:rFonts w:ascii="宋体" w:hAnsi="宋体"/>
          <w:color w:val="auto"/>
          <w:szCs w:val="21"/>
        </w:rPr>
        <w:t>开户银行：</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p>
    <w:p w14:paraId="701B5A5E">
      <w:pPr>
        <w:shd w:val="clear"/>
        <w:spacing w:line="560" w:lineRule="exact"/>
        <w:ind w:firstLine="210"/>
        <w:rPr>
          <w:rFonts w:ascii="宋体" w:hAnsi="宋体"/>
          <w:color w:val="auto"/>
          <w:szCs w:val="21"/>
        </w:rPr>
      </w:pPr>
      <w:r>
        <w:rPr>
          <w:rFonts w:ascii="宋体" w:hAnsi="宋体"/>
          <w:color w:val="auto"/>
          <w:szCs w:val="21"/>
        </w:rPr>
        <w:t>账  号：</w:t>
      </w:r>
      <w:r>
        <w:rPr>
          <w:rFonts w:ascii="宋体" w:hAnsi="宋体"/>
          <w:color w:val="auto"/>
          <w:szCs w:val="21"/>
          <w:u w:val="single"/>
        </w:rPr>
        <w:t xml:space="preserve">   </w:t>
      </w:r>
      <w:r>
        <w:rPr>
          <w:rFonts w:hint="eastAsia" w:ascii="宋体" w:hAnsi="宋体"/>
          <w:color w:val="auto"/>
          <w:szCs w:val="21"/>
          <w:u w:val="single"/>
        </w:rPr>
        <w:t xml:space="preserve">    </w:t>
      </w:r>
      <w:r>
        <w:rPr>
          <w:rFonts w:ascii="宋体" w:hAnsi="宋体"/>
          <w:color w:val="auto"/>
          <w:szCs w:val="21"/>
          <w:u w:val="single"/>
        </w:rPr>
        <w:t xml:space="preserve">    </w:t>
      </w:r>
      <w:r>
        <w:rPr>
          <w:rFonts w:hint="eastAsia" w:ascii="宋体" w:hAnsi="宋体"/>
          <w:color w:val="auto"/>
          <w:szCs w:val="21"/>
          <w:u w:val="single"/>
        </w:rPr>
        <w:t xml:space="preserve"> </w:t>
      </w:r>
      <w:r>
        <w:rPr>
          <w:rFonts w:hint="eastAsia" w:ascii="宋体" w:hAnsi="宋体"/>
          <w:color w:val="auto"/>
          <w:szCs w:val="21"/>
        </w:rPr>
        <w:t xml:space="preserve">             </w:t>
      </w:r>
      <w:r>
        <w:rPr>
          <w:rFonts w:ascii="宋体" w:hAnsi="宋体"/>
          <w:color w:val="auto"/>
          <w:szCs w:val="21"/>
        </w:rPr>
        <w:t>账</w:t>
      </w:r>
      <w:r>
        <w:rPr>
          <w:rFonts w:hint="eastAsia" w:ascii="宋体" w:hAnsi="宋体"/>
          <w:color w:val="auto"/>
          <w:szCs w:val="21"/>
        </w:rPr>
        <w:t xml:space="preserve"> </w:t>
      </w:r>
      <w:r>
        <w:rPr>
          <w:rFonts w:ascii="宋体" w:hAnsi="宋体"/>
          <w:color w:val="auto"/>
          <w:szCs w:val="21"/>
        </w:rPr>
        <w:t xml:space="preserve"> 号：</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r>
        <w:rPr>
          <w:rFonts w:hint="eastAsia" w:ascii="宋体" w:hAnsi="宋体"/>
          <w:color w:val="auto"/>
          <w:szCs w:val="21"/>
          <w:u w:val="single"/>
        </w:rPr>
        <w:t xml:space="preserve"> </w:t>
      </w:r>
    </w:p>
    <w:p w14:paraId="3254CDDA">
      <w:pPr>
        <w:shd w:val="clear"/>
        <w:spacing w:line="560" w:lineRule="exact"/>
        <w:ind w:firstLine="210"/>
        <w:rPr>
          <w:rFonts w:ascii="宋体" w:hAnsi="宋体"/>
          <w:color w:val="auto"/>
          <w:sz w:val="24"/>
          <w:u w:val="single"/>
        </w:rPr>
      </w:pPr>
      <w:r>
        <w:rPr>
          <w:rFonts w:ascii="宋体" w:hAnsi="宋体"/>
          <w:color w:val="auto"/>
          <w:szCs w:val="21"/>
        </w:rPr>
        <w:t>邮政编码：</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rPr>
        <w:t xml:space="preserve"> </w:t>
      </w:r>
      <w:r>
        <w:rPr>
          <w:rFonts w:hint="eastAsia" w:ascii="宋体" w:hAnsi="宋体"/>
          <w:color w:val="auto"/>
          <w:szCs w:val="21"/>
        </w:rPr>
        <w:t xml:space="preserve">            </w:t>
      </w:r>
      <w:r>
        <w:rPr>
          <w:rFonts w:ascii="宋体" w:hAnsi="宋体"/>
          <w:color w:val="auto"/>
          <w:szCs w:val="21"/>
        </w:rPr>
        <w:t>邮政编码：</w:t>
      </w:r>
      <w:r>
        <w:rPr>
          <w:rFonts w:ascii="宋体" w:hAnsi="宋体"/>
          <w:color w:val="auto"/>
          <w:szCs w:val="21"/>
          <w:u w:val="single"/>
        </w:rPr>
        <w:t></w:t>
      </w:r>
      <w:r>
        <w:rPr>
          <w:rFonts w:ascii="宋体" w:hAnsi="宋体"/>
          <w:color w:val="auto"/>
          <w:sz w:val="24"/>
          <w:u w:val="single"/>
        </w:rPr>
        <w:t></w:t>
      </w:r>
      <w:r>
        <w:rPr>
          <w:rFonts w:hint="eastAsia" w:ascii="宋体" w:hAnsi="宋体"/>
          <w:color w:val="auto"/>
          <w:sz w:val="24"/>
          <w:u w:val="single"/>
        </w:rPr>
        <w:t xml:space="preserve">    </w:t>
      </w:r>
      <w:r>
        <w:rPr>
          <w:rFonts w:ascii="宋体" w:hAnsi="宋体"/>
          <w:color w:val="auto"/>
          <w:sz w:val="24"/>
          <w:u w:val="single"/>
        </w:rPr>
        <w:t xml:space="preserve">   </w:t>
      </w:r>
    </w:p>
    <w:p w14:paraId="2794E2CE">
      <w:pPr>
        <w:shd w:val="clear"/>
        <w:ind w:firstLine="210"/>
        <w:rPr>
          <w:color w:val="auto"/>
        </w:rPr>
      </w:pPr>
    </w:p>
    <w:p w14:paraId="2712F2DC">
      <w:pPr>
        <w:shd w:val="clear"/>
        <w:spacing w:line="360" w:lineRule="auto"/>
        <w:ind w:firstLine="120" w:firstLineChars="50"/>
        <w:rPr>
          <w:color w:val="auto"/>
          <w:sz w:val="24"/>
        </w:rPr>
      </w:pPr>
      <w:r>
        <w:rPr>
          <w:rFonts w:hint="eastAsia"/>
          <w:color w:val="auto"/>
          <w:sz w:val="24"/>
        </w:rPr>
        <w:t>见证方（代理机构）：</w:t>
      </w:r>
    </w:p>
    <w:p w14:paraId="3CBA2A60">
      <w:pPr>
        <w:shd w:val="clear"/>
        <w:spacing w:line="360" w:lineRule="auto"/>
        <w:ind w:firstLine="120" w:firstLineChars="50"/>
        <w:rPr>
          <w:color w:val="auto"/>
          <w:sz w:val="24"/>
        </w:rPr>
      </w:pPr>
      <w:r>
        <w:rPr>
          <w:rFonts w:hint="eastAsia"/>
          <w:color w:val="auto"/>
          <w:sz w:val="24"/>
        </w:rPr>
        <w:t>负责人：</w:t>
      </w:r>
    </w:p>
    <w:p w14:paraId="74B70E9F">
      <w:pPr>
        <w:shd w:val="clear"/>
        <w:spacing w:line="360" w:lineRule="auto"/>
        <w:ind w:firstLine="120" w:firstLineChars="50"/>
        <w:rPr>
          <w:color w:val="auto"/>
          <w:sz w:val="24"/>
        </w:rPr>
      </w:pPr>
      <w:r>
        <w:rPr>
          <w:rFonts w:hint="eastAsia"/>
          <w:color w:val="auto"/>
          <w:sz w:val="24"/>
        </w:rPr>
        <w:t>地址：</w:t>
      </w:r>
    </w:p>
    <w:p w14:paraId="0606C71F">
      <w:pPr>
        <w:widowControl/>
        <w:shd w:val="clear"/>
        <w:ind w:firstLine="240"/>
        <w:jc w:val="left"/>
        <w:rPr>
          <w:rFonts w:ascii="宋体" w:hAnsi="宋体"/>
          <w:color w:val="auto"/>
          <w:kern w:val="0"/>
          <w:sz w:val="24"/>
        </w:rPr>
      </w:pPr>
      <w:r>
        <w:rPr>
          <w:rFonts w:ascii="宋体" w:hAnsi="宋体"/>
          <w:color w:val="auto"/>
          <w:kern w:val="0"/>
          <w:sz w:val="24"/>
        </w:rPr>
        <w:br w:type="page"/>
      </w:r>
    </w:p>
    <w:p w14:paraId="5D47F0A7">
      <w:pPr>
        <w:pStyle w:val="5"/>
        <w:shd w:val="clear"/>
        <w:tabs>
          <w:tab w:val="left" w:pos="709"/>
        </w:tabs>
        <w:spacing w:before="120" w:line="276" w:lineRule="auto"/>
        <w:ind w:firstLine="301"/>
        <w:jc w:val="center"/>
        <w:rPr>
          <w:color w:val="auto"/>
          <w:sz w:val="30"/>
          <w:szCs w:val="30"/>
        </w:rPr>
      </w:pPr>
      <w:r>
        <w:rPr>
          <w:rFonts w:hint="eastAsia"/>
          <w:color w:val="auto"/>
          <w:sz w:val="30"/>
          <w:szCs w:val="30"/>
        </w:rPr>
        <w:t>第四部分  附件</w:t>
      </w:r>
    </w:p>
    <w:p w14:paraId="5AE061CB">
      <w:pPr>
        <w:shd w:val="clear"/>
        <w:spacing w:line="360" w:lineRule="auto"/>
        <w:ind w:firstLine="240"/>
        <w:rPr>
          <w:rFonts w:ascii="宋体" w:hAnsi="宋体"/>
          <w:color w:val="auto"/>
          <w:sz w:val="24"/>
        </w:rPr>
      </w:pPr>
      <w:r>
        <w:rPr>
          <w:rFonts w:hint="eastAsia" w:ascii="宋体" w:hAnsi="宋体"/>
          <w:color w:val="auto"/>
          <w:sz w:val="24"/>
        </w:rPr>
        <w:t>专用合同条款附件：</w:t>
      </w:r>
    </w:p>
    <w:p w14:paraId="0480C266">
      <w:pPr>
        <w:shd w:val="clear"/>
        <w:spacing w:before="120" w:beforeLines="50" w:after="120" w:afterLines="50" w:line="276" w:lineRule="auto"/>
        <w:ind w:firstLine="241"/>
        <w:jc w:val="left"/>
        <w:rPr>
          <w:rFonts w:ascii="宋体" w:hAnsi="宋体"/>
          <w:b/>
          <w:bCs/>
          <w:color w:val="auto"/>
          <w:sz w:val="30"/>
          <w:szCs w:val="30"/>
        </w:rPr>
      </w:pPr>
      <w:r>
        <w:rPr>
          <w:rFonts w:ascii="宋体" w:hAnsi="宋体"/>
          <w:b/>
          <w:bCs/>
          <w:color w:val="auto"/>
          <w:sz w:val="24"/>
        </w:rPr>
        <w:t>附件</w:t>
      </w:r>
      <w:r>
        <w:rPr>
          <w:rFonts w:hint="eastAsia" w:ascii="宋体" w:hAnsi="宋体"/>
          <w:b/>
          <w:bCs/>
          <w:color w:val="auto"/>
          <w:sz w:val="24"/>
        </w:rPr>
        <w:t>1</w:t>
      </w:r>
    </w:p>
    <w:p w14:paraId="03E213EF">
      <w:pPr>
        <w:shd w:val="clear"/>
        <w:spacing w:before="120" w:beforeLines="50" w:after="120" w:afterLines="50" w:line="276" w:lineRule="auto"/>
        <w:ind w:firstLine="301"/>
        <w:jc w:val="center"/>
        <w:rPr>
          <w:rFonts w:ascii="宋体" w:hAnsi="宋体"/>
          <w:b/>
          <w:color w:val="auto"/>
          <w:sz w:val="30"/>
          <w:szCs w:val="30"/>
        </w:rPr>
      </w:pPr>
    </w:p>
    <w:p w14:paraId="54452073">
      <w:pPr>
        <w:shd w:val="clear"/>
        <w:spacing w:before="120" w:beforeLines="50" w:after="120" w:afterLines="50" w:line="276" w:lineRule="auto"/>
        <w:ind w:firstLine="301"/>
        <w:jc w:val="center"/>
        <w:rPr>
          <w:rFonts w:ascii="宋体" w:hAnsi="宋体"/>
          <w:b/>
          <w:color w:val="auto"/>
          <w:sz w:val="30"/>
          <w:szCs w:val="30"/>
        </w:rPr>
      </w:pPr>
      <w:r>
        <w:rPr>
          <w:rFonts w:ascii="宋体" w:hAnsi="宋体"/>
          <w:b/>
          <w:color w:val="auto"/>
          <w:sz w:val="30"/>
          <w:szCs w:val="30"/>
        </w:rPr>
        <w:t>工程质量保修书</w:t>
      </w:r>
    </w:p>
    <w:p w14:paraId="31D67885">
      <w:pPr>
        <w:shd w:val="clear"/>
        <w:spacing w:before="120" w:beforeLines="50" w:after="120" w:afterLines="50" w:line="276" w:lineRule="auto"/>
        <w:ind w:firstLine="211"/>
        <w:jc w:val="center"/>
        <w:rPr>
          <w:rFonts w:ascii="宋体" w:hAnsi="宋体"/>
          <w:b/>
          <w:color w:val="auto"/>
          <w:szCs w:val="21"/>
        </w:rPr>
      </w:pPr>
    </w:p>
    <w:p w14:paraId="6BEE9D27">
      <w:pPr>
        <w:shd w:val="clear"/>
        <w:spacing w:line="360" w:lineRule="auto"/>
        <w:ind w:firstLine="420" w:firstLineChars="200"/>
        <w:rPr>
          <w:rFonts w:ascii="宋体" w:hAnsi="宋体"/>
          <w:color w:val="auto"/>
          <w:szCs w:val="21"/>
          <w:u w:val="single"/>
        </w:rPr>
      </w:pPr>
      <w:r>
        <w:rPr>
          <w:rFonts w:ascii="宋体" w:hAnsi="宋体"/>
          <w:color w:val="auto"/>
          <w:szCs w:val="21"/>
        </w:rPr>
        <w:t>发包人（全称）：</w:t>
      </w:r>
    </w:p>
    <w:p w14:paraId="0362FA20">
      <w:pPr>
        <w:shd w:val="clear"/>
        <w:spacing w:line="360" w:lineRule="auto"/>
        <w:ind w:firstLine="420" w:firstLineChars="200"/>
        <w:rPr>
          <w:color w:val="auto"/>
          <w:szCs w:val="21"/>
          <w:u w:val="single"/>
        </w:rPr>
      </w:pPr>
      <w:r>
        <w:rPr>
          <w:rFonts w:ascii="宋体" w:hAnsi="宋体"/>
          <w:color w:val="auto"/>
          <w:szCs w:val="21"/>
        </w:rPr>
        <w:t>承包人（全称）：</w:t>
      </w:r>
    </w:p>
    <w:p w14:paraId="387DB132">
      <w:pPr>
        <w:pStyle w:val="67"/>
        <w:shd w:val="clear"/>
        <w:spacing w:line="360" w:lineRule="auto"/>
        <w:ind w:firstLine="420" w:firstLineChars="200"/>
        <w:rPr>
          <w:color w:val="auto"/>
          <w:sz w:val="21"/>
          <w:szCs w:val="21"/>
        </w:rPr>
      </w:pPr>
      <w:r>
        <w:rPr>
          <w:color w:val="auto"/>
          <w:sz w:val="21"/>
          <w:szCs w:val="21"/>
        </w:rPr>
        <w:t>发包人和承包人根据《中华人民共和国建筑法》和《建设工程质量管理条例》，经协商一致就</w:t>
      </w:r>
      <w:r>
        <w:rPr>
          <w:rFonts w:hint="eastAsia"/>
          <w:color w:val="auto"/>
          <w:sz w:val="21"/>
          <w:szCs w:val="21"/>
          <w:u w:val="single"/>
        </w:rPr>
        <w:t>江口街道2025年公共基础设施零星修复工程</w:t>
      </w:r>
      <w:r>
        <w:rPr>
          <w:color w:val="auto"/>
          <w:sz w:val="21"/>
          <w:szCs w:val="21"/>
        </w:rPr>
        <w:t>签订工程质量保修书。</w:t>
      </w:r>
    </w:p>
    <w:p w14:paraId="09632652">
      <w:pPr>
        <w:shd w:val="clear"/>
        <w:spacing w:line="360" w:lineRule="auto"/>
        <w:ind w:firstLine="413" w:firstLineChars="196"/>
        <w:rPr>
          <w:rFonts w:ascii="宋体" w:hAnsi="宋体"/>
          <w:b/>
          <w:color w:val="auto"/>
          <w:szCs w:val="21"/>
        </w:rPr>
      </w:pPr>
      <w:r>
        <w:rPr>
          <w:rFonts w:ascii="宋体" w:hAnsi="宋体"/>
          <w:b/>
          <w:color w:val="auto"/>
          <w:szCs w:val="21"/>
        </w:rPr>
        <w:t>一、工程质量保修范围和内容</w:t>
      </w:r>
    </w:p>
    <w:p w14:paraId="5F61BB6F">
      <w:pPr>
        <w:shd w:val="clear"/>
        <w:spacing w:line="360" w:lineRule="auto"/>
        <w:ind w:firstLine="420" w:firstLineChars="200"/>
        <w:rPr>
          <w:rFonts w:ascii="宋体" w:hAnsi="宋体"/>
          <w:color w:val="auto"/>
          <w:szCs w:val="21"/>
        </w:rPr>
      </w:pPr>
      <w:r>
        <w:rPr>
          <w:rFonts w:ascii="宋体" w:hAnsi="宋体"/>
          <w:color w:val="auto"/>
          <w:szCs w:val="21"/>
        </w:rPr>
        <w:t>承包人在质量保修期内，按照有关法律规定和合同约定，承担工程质量保修责任。</w:t>
      </w:r>
    </w:p>
    <w:p w14:paraId="76AEB7BE">
      <w:pPr>
        <w:pStyle w:val="67"/>
        <w:shd w:val="clear"/>
        <w:spacing w:line="360" w:lineRule="auto"/>
        <w:ind w:firstLine="420" w:firstLineChars="200"/>
        <w:rPr>
          <w:rFonts w:ascii="Calibri" w:hAnsi="Calibri"/>
          <w:color w:val="auto"/>
          <w:sz w:val="21"/>
          <w:szCs w:val="21"/>
          <w:u w:val="single"/>
        </w:rPr>
      </w:pPr>
      <w:r>
        <w:rPr>
          <w:color w:val="auto"/>
          <w:sz w:val="21"/>
          <w:szCs w:val="21"/>
        </w:rPr>
        <w:t>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color w:val="auto"/>
          <w:sz w:val="21"/>
          <w:szCs w:val="21"/>
        </w:rPr>
        <w:t>：</w:t>
      </w:r>
      <w:r>
        <w:rPr>
          <w:rFonts w:hint="eastAsia"/>
          <w:color w:val="auto"/>
          <w:sz w:val="21"/>
          <w:szCs w:val="21"/>
          <w:u w:val="single"/>
        </w:rPr>
        <w:t>江口街道2025年公共基础设施零星修复工程</w:t>
      </w:r>
      <w:r>
        <w:rPr>
          <w:rFonts w:hint="eastAsia"/>
          <w:color w:val="auto"/>
          <w:sz w:val="21"/>
          <w:szCs w:val="21"/>
        </w:rPr>
        <w:t>。</w:t>
      </w:r>
    </w:p>
    <w:p w14:paraId="4C9D2F6D">
      <w:pPr>
        <w:pStyle w:val="67"/>
        <w:shd w:val="clear"/>
        <w:spacing w:line="360" w:lineRule="auto"/>
        <w:ind w:firstLine="482" w:firstLineChars="200"/>
        <w:rPr>
          <w:b/>
          <w:color w:val="auto"/>
        </w:rPr>
      </w:pPr>
      <w:r>
        <w:rPr>
          <w:b/>
          <w:color w:val="auto"/>
        </w:rPr>
        <w:t>二、质量保修期</w:t>
      </w:r>
    </w:p>
    <w:p w14:paraId="7F52274A">
      <w:pPr>
        <w:shd w:val="clear"/>
        <w:spacing w:line="360" w:lineRule="auto"/>
        <w:ind w:firstLine="420" w:firstLineChars="200"/>
        <w:rPr>
          <w:rFonts w:ascii="宋体" w:hAnsi="宋体"/>
          <w:color w:val="auto"/>
          <w:szCs w:val="21"/>
        </w:rPr>
      </w:pPr>
      <w:r>
        <w:rPr>
          <w:rFonts w:ascii="宋体" w:hAnsi="宋体"/>
          <w:color w:val="auto"/>
          <w:szCs w:val="21"/>
        </w:rPr>
        <w:t>根据《建设工程质量管理条例》及有关规定，工程的质量保修期如下：</w:t>
      </w:r>
    </w:p>
    <w:p w14:paraId="6229D46C">
      <w:pPr>
        <w:shd w:val="clear"/>
        <w:spacing w:line="360" w:lineRule="auto"/>
        <w:ind w:firstLine="420" w:firstLineChars="200"/>
        <w:rPr>
          <w:rFonts w:ascii="宋体" w:hAnsi="宋体"/>
          <w:color w:val="auto"/>
          <w:szCs w:val="21"/>
        </w:rPr>
      </w:pPr>
      <w:r>
        <w:rPr>
          <w:rFonts w:hint="eastAsia" w:ascii="宋体" w:hAnsi="宋体"/>
          <w:color w:val="auto"/>
          <w:szCs w:val="21"/>
        </w:rPr>
        <w:t>1、本项目保修期限约定如下：</w:t>
      </w:r>
      <w:r>
        <w:rPr>
          <w:rFonts w:ascii="宋体" w:hAnsi="宋体"/>
          <w:color w:val="auto"/>
          <w:szCs w:val="21"/>
          <w:u w:val="single"/>
        </w:rPr>
        <w:t xml:space="preserve"> </w:t>
      </w:r>
      <w:r>
        <w:rPr>
          <w:rFonts w:hint="eastAsia" w:ascii="宋体" w:hAnsi="宋体"/>
          <w:color w:val="auto"/>
          <w:szCs w:val="21"/>
          <w:u w:val="single"/>
        </w:rPr>
        <w:t>1</w:t>
      </w:r>
      <w:r>
        <w:rPr>
          <w:rFonts w:ascii="宋体" w:hAnsi="宋体"/>
          <w:color w:val="auto"/>
          <w:szCs w:val="21"/>
          <w:u w:val="single"/>
        </w:rPr>
        <w:t xml:space="preserve"> </w:t>
      </w:r>
      <w:r>
        <w:rPr>
          <w:rFonts w:ascii="宋体" w:hAnsi="宋体"/>
          <w:color w:val="auto"/>
          <w:szCs w:val="21"/>
        </w:rPr>
        <w:t>年</w:t>
      </w:r>
      <w:r>
        <w:rPr>
          <w:rFonts w:hint="eastAsia" w:ascii="宋体" w:hAnsi="宋体"/>
          <w:color w:val="auto"/>
          <w:szCs w:val="21"/>
        </w:rPr>
        <w:t>。</w:t>
      </w:r>
    </w:p>
    <w:p w14:paraId="38D72D13">
      <w:pPr>
        <w:shd w:val="clear"/>
        <w:spacing w:line="360" w:lineRule="auto"/>
        <w:ind w:firstLine="210"/>
        <w:rPr>
          <w:rFonts w:ascii="宋体" w:hAnsi="宋体"/>
          <w:b/>
          <w:color w:val="auto"/>
          <w:szCs w:val="21"/>
        </w:rPr>
      </w:pPr>
      <w:r>
        <w:rPr>
          <w:rFonts w:ascii="宋体" w:hAnsi="宋体"/>
          <w:color w:val="auto"/>
          <w:szCs w:val="21"/>
        </w:rPr>
        <w:t>　　</w:t>
      </w:r>
      <w:r>
        <w:rPr>
          <w:rFonts w:hint="eastAsia" w:ascii="宋体" w:hAnsi="宋体"/>
          <w:color w:val="auto"/>
          <w:szCs w:val="21"/>
        </w:rPr>
        <w:t>保修期（缺陷责任期）从完工验收合格之日起计算。</w:t>
      </w:r>
    </w:p>
    <w:p w14:paraId="7892F914">
      <w:pPr>
        <w:shd w:val="clear"/>
        <w:spacing w:line="360" w:lineRule="auto"/>
        <w:ind w:firstLine="413" w:firstLineChars="196"/>
        <w:rPr>
          <w:rFonts w:ascii="宋体" w:hAnsi="宋体"/>
          <w:b/>
          <w:color w:val="auto"/>
          <w:szCs w:val="21"/>
        </w:rPr>
      </w:pPr>
      <w:r>
        <w:rPr>
          <w:rFonts w:hint="eastAsia" w:ascii="宋体" w:hAnsi="宋体"/>
          <w:b/>
          <w:color w:val="auto"/>
          <w:szCs w:val="21"/>
        </w:rPr>
        <w:t>三、缺陷责任期</w:t>
      </w:r>
    </w:p>
    <w:p w14:paraId="09276754">
      <w:pPr>
        <w:shd w:val="clear"/>
        <w:spacing w:line="360" w:lineRule="auto"/>
        <w:ind w:firstLine="411" w:firstLineChars="196"/>
        <w:rPr>
          <w:rFonts w:ascii="宋体" w:hAnsi="宋体"/>
          <w:color w:val="auto"/>
          <w:szCs w:val="21"/>
        </w:rPr>
      </w:pPr>
      <w:r>
        <w:rPr>
          <w:rFonts w:ascii="宋体" w:hAnsi="宋体"/>
          <w:color w:val="auto"/>
          <w:szCs w:val="21"/>
        </w:rPr>
        <w:t>工程缺陷责任期为</w:t>
      </w:r>
      <w:r>
        <w:rPr>
          <w:rFonts w:ascii="宋体" w:hAnsi="宋体"/>
          <w:color w:val="auto"/>
          <w:szCs w:val="21"/>
          <w:u w:val="single"/>
        </w:rPr>
        <w:t xml:space="preserve"> </w:t>
      </w:r>
      <w:r>
        <w:rPr>
          <w:rFonts w:hint="eastAsia" w:ascii="宋体" w:hAnsi="宋体"/>
          <w:color w:val="auto"/>
          <w:szCs w:val="21"/>
          <w:u w:val="single"/>
        </w:rPr>
        <w:t>12</w:t>
      </w:r>
      <w:r>
        <w:rPr>
          <w:rFonts w:ascii="宋体" w:hAnsi="宋体"/>
          <w:color w:val="auto"/>
          <w:szCs w:val="21"/>
        </w:rPr>
        <w:t>个月，缺陷责任期自工程竣工验收合格之日起计算。单位工程先于全部工程进行验收，单位工程缺陷责任期自单位工程验收合格之日起算。</w:t>
      </w:r>
    </w:p>
    <w:p w14:paraId="1E586D99">
      <w:pPr>
        <w:shd w:val="clear"/>
        <w:spacing w:line="360" w:lineRule="auto"/>
        <w:ind w:firstLine="411" w:firstLineChars="196"/>
        <w:rPr>
          <w:rFonts w:ascii="宋体" w:hAnsi="宋体"/>
          <w:color w:val="auto"/>
          <w:szCs w:val="21"/>
        </w:rPr>
      </w:pPr>
      <w:r>
        <w:rPr>
          <w:rFonts w:ascii="宋体" w:hAnsi="宋体"/>
          <w:color w:val="auto"/>
          <w:szCs w:val="21"/>
        </w:rPr>
        <w:t>缺陷责任期终止后，发包人</w:t>
      </w:r>
      <w:r>
        <w:rPr>
          <w:rFonts w:hint="eastAsia" w:ascii="宋体" w:hAnsi="宋体"/>
          <w:color w:val="auto"/>
          <w:szCs w:val="21"/>
        </w:rPr>
        <w:t>在完成最终结清后</w:t>
      </w:r>
      <w:r>
        <w:rPr>
          <w:rFonts w:ascii="宋体" w:hAnsi="宋体"/>
          <w:color w:val="auto"/>
          <w:szCs w:val="21"/>
        </w:rPr>
        <w:t>应退还</w:t>
      </w:r>
      <w:r>
        <w:rPr>
          <w:rFonts w:hint="eastAsia" w:ascii="宋体" w:hAnsi="宋体"/>
          <w:color w:val="auto"/>
          <w:szCs w:val="21"/>
        </w:rPr>
        <w:t>承包人的质量</w:t>
      </w:r>
      <w:r>
        <w:rPr>
          <w:rFonts w:ascii="宋体" w:hAnsi="宋体"/>
          <w:color w:val="auto"/>
          <w:szCs w:val="21"/>
        </w:rPr>
        <w:t>保证金</w:t>
      </w:r>
      <w:r>
        <w:rPr>
          <w:rFonts w:hint="eastAsia" w:ascii="宋体" w:hAnsi="宋体"/>
          <w:color w:val="auto"/>
          <w:szCs w:val="21"/>
        </w:rPr>
        <w:t>保函或</w:t>
      </w:r>
      <w:r>
        <w:rPr>
          <w:rFonts w:ascii="宋体" w:hAnsi="宋体"/>
          <w:color w:val="auto"/>
          <w:szCs w:val="21"/>
        </w:rPr>
        <w:t>剩余的质量保证金</w:t>
      </w:r>
      <w:r>
        <w:rPr>
          <w:rFonts w:hint="eastAsia" w:ascii="宋体" w:hAnsi="宋体"/>
          <w:color w:val="auto"/>
          <w:szCs w:val="21"/>
        </w:rPr>
        <w:t>。</w:t>
      </w:r>
    </w:p>
    <w:p w14:paraId="2789E638">
      <w:pPr>
        <w:shd w:val="clear"/>
        <w:spacing w:line="360" w:lineRule="auto"/>
        <w:ind w:firstLine="413" w:firstLineChars="196"/>
        <w:rPr>
          <w:rFonts w:ascii="宋体" w:hAnsi="宋体"/>
          <w:b/>
          <w:color w:val="auto"/>
          <w:szCs w:val="21"/>
        </w:rPr>
      </w:pPr>
      <w:r>
        <w:rPr>
          <w:rFonts w:ascii="宋体" w:hAnsi="宋体"/>
          <w:b/>
          <w:color w:val="auto"/>
          <w:szCs w:val="21"/>
        </w:rPr>
        <w:t>四、质量保修责任</w:t>
      </w:r>
    </w:p>
    <w:p w14:paraId="77DA14B6">
      <w:pPr>
        <w:shd w:val="clear"/>
        <w:spacing w:line="360" w:lineRule="auto"/>
        <w:ind w:left="105" w:leftChars="50" w:firstLine="420" w:firstLineChars="200"/>
        <w:rPr>
          <w:rFonts w:ascii="宋体" w:hAnsi="宋体"/>
          <w:color w:val="auto"/>
          <w:szCs w:val="21"/>
        </w:rPr>
      </w:pPr>
      <w:r>
        <w:rPr>
          <w:rFonts w:hint="eastAsia" w:ascii="宋体" w:hAnsi="宋体"/>
          <w:color w:val="auto"/>
          <w:szCs w:val="21"/>
        </w:rPr>
        <w:t>1．</w:t>
      </w:r>
      <w:r>
        <w:rPr>
          <w:rFonts w:ascii="宋体" w:hAnsi="宋体"/>
          <w:color w:val="auto"/>
          <w:szCs w:val="21"/>
        </w:rPr>
        <w:t>属于保修范围、内容的项目，承包人应当在接到保修通知之日起7天内派人保修。承包人不在约定期限内派人保修的，发包人可以委托他人修理。</w:t>
      </w:r>
    </w:p>
    <w:p w14:paraId="6FDC6F65">
      <w:pPr>
        <w:shd w:val="clear"/>
        <w:spacing w:line="360" w:lineRule="auto"/>
        <w:ind w:left="105" w:leftChars="50" w:firstLine="420" w:firstLineChars="200"/>
        <w:rPr>
          <w:rFonts w:ascii="宋体" w:hAnsi="宋体"/>
          <w:color w:val="auto"/>
          <w:szCs w:val="21"/>
        </w:rPr>
      </w:pPr>
      <w:r>
        <w:rPr>
          <w:rFonts w:hint="eastAsia" w:ascii="宋体" w:hAnsi="宋体"/>
          <w:color w:val="auto"/>
          <w:szCs w:val="21"/>
        </w:rPr>
        <w:t>2．</w:t>
      </w:r>
      <w:r>
        <w:rPr>
          <w:rFonts w:ascii="宋体" w:hAnsi="宋体"/>
          <w:color w:val="auto"/>
          <w:szCs w:val="21"/>
        </w:rPr>
        <w:t>发生紧急事故需抢修的，承包人在接到事故通知后，应当立即到达事故现场抢修。</w:t>
      </w:r>
    </w:p>
    <w:p w14:paraId="5BBB9BDC">
      <w:pPr>
        <w:shd w:val="clear"/>
        <w:spacing w:line="360" w:lineRule="auto"/>
        <w:ind w:left="105" w:leftChars="50" w:firstLine="420" w:firstLineChars="200"/>
        <w:rPr>
          <w:rFonts w:ascii="宋体" w:hAnsi="宋体"/>
          <w:color w:val="auto"/>
          <w:szCs w:val="21"/>
        </w:rPr>
      </w:pPr>
      <w:r>
        <w:rPr>
          <w:rFonts w:hint="eastAsia" w:ascii="宋体" w:hAnsi="宋体"/>
          <w:color w:val="auto"/>
          <w:szCs w:val="21"/>
        </w:rPr>
        <w:t>3．</w:t>
      </w:r>
      <w:r>
        <w:rPr>
          <w:rFonts w:ascii="宋体" w:hAnsi="宋体"/>
          <w:color w:val="auto"/>
          <w:szCs w:val="21"/>
        </w:rPr>
        <w:t>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350F8EC8">
      <w:pPr>
        <w:shd w:val="clear"/>
        <w:spacing w:line="360" w:lineRule="auto"/>
        <w:ind w:left="105" w:leftChars="50" w:firstLine="420" w:firstLineChars="200"/>
        <w:rPr>
          <w:rFonts w:ascii="宋体" w:hAnsi="宋体"/>
          <w:b/>
          <w:color w:val="auto"/>
          <w:szCs w:val="21"/>
        </w:rPr>
      </w:pPr>
      <w:r>
        <w:rPr>
          <w:rFonts w:hint="eastAsia" w:ascii="宋体" w:hAnsi="宋体"/>
          <w:color w:val="auto"/>
          <w:szCs w:val="21"/>
        </w:rPr>
        <w:t>4．</w:t>
      </w:r>
      <w:r>
        <w:rPr>
          <w:rFonts w:ascii="宋体" w:hAnsi="宋体"/>
          <w:color w:val="auto"/>
          <w:szCs w:val="21"/>
        </w:rPr>
        <w:t>质量保修完成后，由发包人组织验收。</w:t>
      </w:r>
    </w:p>
    <w:p w14:paraId="3FB6C610">
      <w:pPr>
        <w:shd w:val="clear"/>
        <w:spacing w:line="360" w:lineRule="auto"/>
        <w:ind w:firstLine="413" w:firstLineChars="196"/>
        <w:rPr>
          <w:rFonts w:ascii="宋体" w:hAnsi="宋体"/>
          <w:b/>
          <w:color w:val="auto"/>
          <w:szCs w:val="21"/>
        </w:rPr>
      </w:pPr>
      <w:r>
        <w:rPr>
          <w:rFonts w:ascii="宋体" w:hAnsi="宋体"/>
          <w:b/>
          <w:color w:val="auto"/>
          <w:szCs w:val="21"/>
        </w:rPr>
        <w:t>五、保修费用</w:t>
      </w:r>
    </w:p>
    <w:p w14:paraId="702BF285">
      <w:pPr>
        <w:shd w:val="clear"/>
        <w:spacing w:line="360" w:lineRule="auto"/>
        <w:ind w:firstLine="420" w:firstLineChars="200"/>
        <w:rPr>
          <w:rFonts w:ascii="宋体" w:hAnsi="宋体"/>
          <w:color w:val="auto"/>
          <w:szCs w:val="21"/>
        </w:rPr>
      </w:pPr>
      <w:r>
        <w:rPr>
          <w:rFonts w:ascii="宋体" w:hAnsi="宋体"/>
          <w:color w:val="auto"/>
          <w:szCs w:val="21"/>
        </w:rPr>
        <w:t>保修费用由造成质量缺陷的责任方承担。</w:t>
      </w:r>
    </w:p>
    <w:p w14:paraId="30A47C19">
      <w:pPr>
        <w:shd w:val="clear"/>
        <w:spacing w:line="360" w:lineRule="auto"/>
        <w:ind w:firstLine="413" w:firstLineChars="196"/>
        <w:rPr>
          <w:rFonts w:ascii="宋体" w:hAnsi="宋体"/>
          <w:b/>
          <w:color w:val="auto"/>
          <w:szCs w:val="21"/>
          <w:u w:val="single"/>
        </w:rPr>
      </w:pPr>
      <w:r>
        <w:rPr>
          <w:rFonts w:ascii="宋体" w:hAnsi="宋体"/>
          <w:b/>
          <w:color w:val="auto"/>
          <w:szCs w:val="21"/>
        </w:rPr>
        <w:t>六、双方约定的其他工程质量保修事项：</w:t>
      </w:r>
      <w:r>
        <w:rPr>
          <w:rFonts w:ascii="宋体" w:hAnsi="宋体"/>
          <w:b/>
          <w:color w:val="auto"/>
          <w:szCs w:val="21"/>
          <w:u w:val="single"/>
        </w:rPr>
        <w:t xml:space="preserve">    </w:t>
      </w:r>
      <w:r>
        <w:rPr>
          <w:rFonts w:hint="eastAsia" w:ascii="宋体" w:hAnsi="宋体"/>
          <w:b/>
          <w:color w:val="auto"/>
          <w:szCs w:val="21"/>
          <w:u w:val="single"/>
        </w:rPr>
        <w:t xml:space="preserve">/  </w:t>
      </w:r>
      <w:r>
        <w:rPr>
          <w:rFonts w:ascii="宋体" w:hAnsi="宋体"/>
          <w:b/>
          <w:color w:val="auto"/>
          <w:szCs w:val="21"/>
          <w:u w:val="single"/>
        </w:rPr>
        <w:t xml:space="preserve">  </w:t>
      </w:r>
      <w:r>
        <w:rPr>
          <w:rFonts w:ascii="宋体" w:hAnsi="宋体"/>
          <w:color w:val="auto"/>
          <w:szCs w:val="21"/>
        </w:rPr>
        <w:t>。</w:t>
      </w:r>
    </w:p>
    <w:p w14:paraId="07539989">
      <w:pPr>
        <w:shd w:val="clear"/>
        <w:spacing w:line="360" w:lineRule="auto"/>
        <w:ind w:firstLine="420" w:firstLineChars="200"/>
        <w:rPr>
          <w:rFonts w:ascii="宋体" w:hAnsi="宋体"/>
          <w:color w:val="auto"/>
          <w:szCs w:val="21"/>
        </w:rPr>
      </w:pPr>
      <w:r>
        <w:rPr>
          <w:rFonts w:ascii="宋体" w:hAnsi="宋体"/>
          <w:color w:val="auto"/>
          <w:szCs w:val="21"/>
        </w:rPr>
        <w:t>工程质量保修书由发包人、承包人在工程竣工验收前共同签署，作为施工合同附件，其有效期限至保修期满。</w:t>
      </w:r>
    </w:p>
    <w:p w14:paraId="3AE451C4">
      <w:pPr>
        <w:shd w:val="clear"/>
        <w:spacing w:line="276" w:lineRule="auto"/>
        <w:ind w:firstLine="210"/>
        <w:rPr>
          <w:rFonts w:ascii="宋体" w:hAnsi="宋体"/>
          <w:color w:val="auto"/>
          <w:szCs w:val="21"/>
        </w:rPr>
      </w:pPr>
    </w:p>
    <w:p w14:paraId="2C0ABD33">
      <w:pPr>
        <w:shd w:val="clear"/>
        <w:spacing w:line="560" w:lineRule="exact"/>
        <w:ind w:firstLine="210"/>
        <w:rPr>
          <w:rFonts w:ascii="宋体" w:hAnsi="宋体"/>
          <w:color w:val="auto"/>
          <w:szCs w:val="21"/>
        </w:rPr>
      </w:pPr>
      <w:r>
        <w:rPr>
          <w:rFonts w:ascii="宋体" w:hAnsi="宋体"/>
          <w:color w:val="auto"/>
          <w:szCs w:val="21"/>
        </w:rPr>
        <w:t>发包人(公章)：</w:t>
      </w:r>
      <w:r>
        <w:rPr>
          <w:rFonts w:ascii="宋体" w:hAnsi="宋体"/>
          <w:color w:val="auto"/>
          <w:szCs w:val="21"/>
          <w:u w:val="single"/>
        </w:rPr>
        <w:t xml:space="preserve">  </w:t>
      </w:r>
      <w:r>
        <w:rPr>
          <w:rFonts w:hint="eastAsia" w:ascii="宋体" w:hAnsi="宋体"/>
          <w:color w:val="auto"/>
          <w:szCs w:val="21"/>
          <w:u w:val="single"/>
        </w:rPr>
        <w:t xml:space="preserve">    </w:t>
      </w:r>
      <w:r>
        <w:rPr>
          <w:rFonts w:ascii="宋体" w:hAnsi="宋体"/>
          <w:color w:val="auto"/>
          <w:szCs w:val="21"/>
          <w:u w:val="single"/>
        </w:rPr>
        <w:t xml:space="preserve">      </w:t>
      </w:r>
      <w:r>
        <w:rPr>
          <w:rFonts w:ascii="宋体" w:hAnsi="宋体"/>
          <w:color w:val="auto"/>
          <w:szCs w:val="21"/>
        </w:rPr>
        <w:t xml:space="preserve"> </w:t>
      </w:r>
      <w:r>
        <w:rPr>
          <w:rFonts w:hint="eastAsia" w:ascii="宋体" w:hAnsi="宋体"/>
          <w:color w:val="auto"/>
          <w:szCs w:val="21"/>
        </w:rPr>
        <w:t xml:space="preserve">            </w:t>
      </w:r>
      <w:r>
        <w:rPr>
          <w:rFonts w:ascii="宋体" w:hAnsi="宋体"/>
          <w:color w:val="auto"/>
          <w:szCs w:val="21"/>
        </w:rPr>
        <w:t>承包人(公章)：</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p>
    <w:p w14:paraId="17F63CDA">
      <w:pPr>
        <w:shd w:val="clear"/>
        <w:spacing w:line="560" w:lineRule="exact"/>
        <w:ind w:firstLine="210"/>
        <w:rPr>
          <w:rFonts w:ascii="宋体" w:hAnsi="宋体"/>
          <w:color w:val="auto"/>
          <w:szCs w:val="21"/>
        </w:rPr>
      </w:pPr>
      <w:r>
        <w:rPr>
          <w:rFonts w:ascii="宋体" w:hAnsi="宋体"/>
          <w:color w:val="auto"/>
          <w:szCs w:val="21"/>
        </w:rPr>
        <w:t>地  址：</w:t>
      </w:r>
      <w:r>
        <w:rPr>
          <w:rFonts w:ascii="宋体" w:hAnsi="宋体"/>
          <w:color w:val="auto"/>
          <w:szCs w:val="21"/>
          <w:u w:val="single"/>
        </w:rPr>
        <w:t xml:space="preserve">  </w:t>
      </w:r>
      <w:r>
        <w:rPr>
          <w:rFonts w:hint="eastAsia" w:ascii="宋体" w:hAnsi="宋体"/>
          <w:color w:val="auto"/>
          <w:szCs w:val="21"/>
          <w:u w:val="single"/>
        </w:rPr>
        <w:t xml:space="preserve">    </w:t>
      </w:r>
      <w:r>
        <w:rPr>
          <w:rFonts w:ascii="宋体" w:hAnsi="宋体"/>
          <w:color w:val="auto"/>
          <w:szCs w:val="21"/>
          <w:u w:val="single"/>
        </w:rPr>
        <w:t xml:space="preserve">   </w:t>
      </w:r>
      <w:r>
        <w:rPr>
          <w:rFonts w:hint="eastAsia" w:ascii="宋体" w:hAnsi="宋体"/>
          <w:color w:val="auto"/>
          <w:szCs w:val="21"/>
          <w:u w:val="single"/>
        </w:rPr>
        <w:t xml:space="preserve"> </w:t>
      </w:r>
      <w:r>
        <w:rPr>
          <w:rFonts w:hint="eastAsia" w:ascii="宋体" w:hAnsi="宋体"/>
          <w:color w:val="auto"/>
          <w:szCs w:val="21"/>
        </w:rPr>
        <w:t xml:space="preserve">             </w:t>
      </w:r>
      <w:r>
        <w:rPr>
          <w:rFonts w:ascii="宋体" w:hAnsi="宋体"/>
          <w:color w:val="auto"/>
          <w:szCs w:val="21"/>
        </w:rPr>
        <w:t>地  址：</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u w:val="single"/>
        </w:rPr>
        <w:t xml:space="preserve">    </w:t>
      </w:r>
    </w:p>
    <w:p w14:paraId="674484D2">
      <w:pPr>
        <w:shd w:val="clear"/>
        <w:spacing w:line="560" w:lineRule="exact"/>
        <w:ind w:firstLine="210"/>
        <w:rPr>
          <w:rFonts w:ascii="宋体" w:hAnsi="宋体"/>
          <w:color w:val="auto"/>
          <w:szCs w:val="21"/>
        </w:rPr>
      </w:pPr>
      <w:r>
        <w:rPr>
          <w:rFonts w:ascii="宋体" w:hAnsi="宋体"/>
          <w:color w:val="auto"/>
          <w:szCs w:val="21"/>
        </w:rPr>
        <w:t>法定代表人(签字)：</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r>
        <w:rPr>
          <w:rFonts w:ascii="宋体" w:hAnsi="宋体"/>
          <w:color w:val="auto"/>
          <w:szCs w:val="21"/>
        </w:rPr>
        <w:t xml:space="preserve"> </w:t>
      </w:r>
      <w:r>
        <w:rPr>
          <w:rFonts w:hint="eastAsia" w:ascii="宋体" w:hAnsi="宋体"/>
          <w:color w:val="auto"/>
          <w:szCs w:val="21"/>
        </w:rPr>
        <w:t xml:space="preserve">            </w:t>
      </w:r>
      <w:r>
        <w:rPr>
          <w:rFonts w:ascii="宋体" w:hAnsi="宋体"/>
          <w:color w:val="auto"/>
          <w:szCs w:val="21"/>
        </w:rPr>
        <w:t>法定代表人(签字)：</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p>
    <w:p w14:paraId="312B33D1">
      <w:pPr>
        <w:shd w:val="clear"/>
        <w:spacing w:line="560" w:lineRule="exact"/>
        <w:ind w:firstLine="210"/>
        <w:rPr>
          <w:rFonts w:ascii="宋体" w:hAnsi="宋体"/>
          <w:color w:val="auto"/>
          <w:szCs w:val="21"/>
        </w:rPr>
      </w:pPr>
      <w:r>
        <w:rPr>
          <w:rFonts w:ascii="宋体" w:hAnsi="宋体"/>
          <w:color w:val="auto"/>
          <w:szCs w:val="21"/>
        </w:rPr>
        <w:t>委托代理人(签字)：</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u w:val="single"/>
        </w:rPr>
        <w:t xml:space="preserve">     </w:t>
      </w:r>
      <w:r>
        <w:rPr>
          <w:rFonts w:ascii="宋体" w:hAnsi="宋体"/>
          <w:color w:val="auto"/>
          <w:szCs w:val="21"/>
        </w:rPr>
        <w:t xml:space="preserve"> </w:t>
      </w:r>
      <w:r>
        <w:rPr>
          <w:rFonts w:hint="eastAsia" w:ascii="宋体" w:hAnsi="宋体"/>
          <w:color w:val="auto"/>
          <w:szCs w:val="21"/>
        </w:rPr>
        <w:t xml:space="preserve">            </w:t>
      </w:r>
      <w:r>
        <w:rPr>
          <w:rFonts w:ascii="宋体" w:hAnsi="宋体"/>
          <w:color w:val="auto"/>
          <w:szCs w:val="21"/>
        </w:rPr>
        <w:t>委托代理人(签字)：</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u w:val="single"/>
        </w:rPr>
        <w:t xml:space="preserve">    </w:t>
      </w:r>
    </w:p>
    <w:p w14:paraId="586B1A78">
      <w:pPr>
        <w:shd w:val="clear"/>
        <w:spacing w:line="560" w:lineRule="exact"/>
        <w:ind w:firstLine="210"/>
        <w:rPr>
          <w:rFonts w:ascii="宋体" w:hAnsi="宋体"/>
          <w:color w:val="auto"/>
          <w:szCs w:val="21"/>
        </w:rPr>
      </w:pPr>
      <w:r>
        <w:rPr>
          <w:rFonts w:ascii="宋体" w:hAnsi="宋体"/>
          <w:color w:val="auto"/>
          <w:szCs w:val="21"/>
        </w:rPr>
        <w:t>电  话：</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rPr>
        <w:t xml:space="preserve"> </w:t>
      </w:r>
      <w:r>
        <w:rPr>
          <w:rFonts w:hint="eastAsia" w:ascii="宋体" w:hAnsi="宋体"/>
          <w:color w:val="auto"/>
          <w:szCs w:val="21"/>
        </w:rPr>
        <w:t xml:space="preserve">            </w:t>
      </w:r>
      <w:r>
        <w:rPr>
          <w:rFonts w:ascii="宋体" w:hAnsi="宋体"/>
          <w:color w:val="auto"/>
          <w:szCs w:val="21"/>
        </w:rPr>
        <w:t>电  话：</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p>
    <w:p w14:paraId="57CAC138">
      <w:pPr>
        <w:shd w:val="clear"/>
        <w:spacing w:line="560" w:lineRule="exact"/>
        <w:ind w:firstLine="210"/>
        <w:rPr>
          <w:rFonts w:ascii="宋体" w:hAnsi="宋体"/>
          <w:color w:val="auto"/>
          <w:szCs w:val="21"/>
        </w:rPr>
      </w:pPr>
      <w:r>
        <w:rPr>
          <w:rFonts w:ascii="宋体" w:hAnsi="宋体"/>
          <w:color w:val="auto"/>
          <w:szCs w:val="21"/>
        </w:rPr>
        <w:t>传  真：</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rPr>
        <w:t xml:space="preserve"> </w:t>
      </w:r>
      <w:r>
        <w:rPr>
          <w:rFonts w:hint="eastAsia" w:ascii="宋体" w:hAnsi="宋体"/>
          <w:color w:val="auto"/>
          <w:szCs w:val="21"/>
        </w:rPr>
        <w:t xml:space="preserve">            </w:t>
      </w:r>
      <w:r>
        <w:rPr>
          <w:rFonts w:ascii="宋体" w:hAnsi="宋体"/>
          <w:color w:val="auto"/>
          <w:szCs w:val="21"/>
        </w:rPr>
        <w:t>传  真：</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p>
    <w:p w14:paraId="06DFE805">
      <w:pPr>
        <w:shd w:val="clear"/>
        <w:spacing w:line="560" w:lineRule="exact"/>
        <w:ind w:firstLine="210"/>
        <w:rPr>
          <w:rFonts w:ascii="宋体" w:hAnsi="宋体"/>
          <w:color w:val="auto"/>
          <w:szCs w:val="21"/>
        </w:rPr>
      </w:pPr>
      <w:r>
        <w:rPr>
          <w:rFonts w:ascii="宋体" w:hAnsi="宋体"/>
          <w:color w:val="auto"/>
          <w:szCs w:val="21"/>
        </w:rPr>
        <w:t>开户银行：</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rPr>
        <w:t xml:space="preserve"> </w:t>
      </w:r>
      <w:r>
        <w:rPr>
          <w:rFonts w:hint="eastAsia" w:ascii="宋体" w:hAnsi="宋体"/>
          <w:color w:val="auto"/>
          <w:szCs w:val="21"/>
        </w:rPr>
        <w:t xml:space="preserve">            </w:t>
      </w:r>
      <w:r>
        <w:rPr>
          <w:rFonts w:ascii="宋体" w:hAnsi="宋体"/>
          <w:color w:val="auto"/>
          <w:szCs w:val="21"/>
        </w:rPr>
        <w:t>开户银行：</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p>
    <w:p w14:paraId="78885ABD">
      <w:pPr>
        <w:shd w:val="clear"/>
        <w:spacing w:line="560" w:lineRule="exact"/>
        <w:ind w:firstLine="210"/>
        <w:rPr>
          <w:rFonts w:ascii="宋体" w:hAnsi="宋体"/>
          <w:color w:val="auto"/>
          <w:szCs w:val="21"/>
        </w:rPr>
      </w:pPr>
      <w:r>
        <w:rPr>
          <w:rFonts w:ascii="宋体" w:hAnsi="宋体"/>
          <w:color w:val="auto"/>
          <w:szCs w:val="21"/>
        </w:rPr>
        <w:t>账  号：</w:t>
      </w:r>
      <w:r>
        <w:rPr>
          <w:rFonts w:ascii="宋体" w:hAnsi="宋体"/>
          <w:color w:val="auto"/>
          <w:szCs w:val="21"/>
          <w:u w:val="single"/>
        </w:rPr>
        <w:t xml:space="preserve">   </w:t>
      </w:r>
      <w:r>
        <w:rPr>
          <w:rFonts w:hint="eastAsia" w:ascii="宋体" w:hAnsi="宋体"/>
          <w:color w:val="auto"/>
          <w:szCs w:val="21"/>
          <w:u w:val="single"/>
        </w:rPr>
        <w:t xml:space="preserve">    </w:t>
      </w:r>
      <w:r>
        <w:rPr>
          <w:rFonts w:ascii="宋体" w:hAnsi="宋体"/>
          <w:color w:val="auto"/>
          <w:szCs w:val="21"/>
          <w:u w:val="single"/>
        </w:rPr>
        <w:t xml:space="preserve">    </w:t>
      </w:r>
      <w:r>
        <w:rPr>
          <w:rFonts w:hint="eastAsia" w:ascii="宋体" w:hAnsi="宋体"/>
          <w:color w:val="auto"/>
          <w:szCs w:val="21"/>
          <w:u w:val="single"/>
        </w:rPr>
        <w:t xml:space="preserve"> </w:t>
      </w:r>
      <w:r>
        <w:rPr>
          <w:rFonts w:hint="eastAsia" w:ascii="宋体" w:hAnsi="宋体"/>
          <w:color w:val="auto"/>
          <w:szCs w:val="21"/>
        </w:rPr>
        <w:t xml:space="preserve">             </w:t>
      </w:r>
      <w:r>
        <w:rPr>
          <w:rFonts w:ascii="宋体" w:hAnsi="宋体"/>
          <w:color w:val="auto"/>
          <w:szCs w:val="21"/>
        </w:rPr>
        <w:t>账</w:t>
      </w:r>
      <w:r>
        <w:rPr>
          <w:rFonts w:hint="eastAsia" w:ascii="宋体" w:hAnsi="宋体"/>
          <w:color w:val="auto"/>
          <w:szCs w:val="21"/>
        </w:rPr>
        <w:t xml:space="preserve"> </w:t>
      </w:r>
      <w:r>
        <w:rPr>
          <w:rFonts w:ascii="宋体" w:hAnsi="宋体"/>
          <w:color w:val="auto"/>
          <w:szCs w:val="21"/>
        </w:rPr>
        <w:t xml:space="preserve"> 号：</w:t>
      </w:r>
      <w:r>
        <w:rPr>
          <w:rFonts w:ascii="宋体" w:hAnsi="宋体"/>
          <w:color w:val="auto"/>
          <w:szCs w:val="21"/>
          <w:u w:val="single"/>
        </w:rPr>
        <w:t></w:t>
      </w:r>
      <w:r>
        <w:rPr>
          <w:rFonts w:hint="eastAsia" w:ascii="宋体" w:hAnsi="宋体"/>
          <w:color w:val="auto"/>
          <w:szCs w:val="21"/>
          <w:u w:val="single"/>
        </w:rPr>
        <w:t xml:space="preserve">      </w:t>
      </w:r>
      <w:r>
        <w:rPr>
          <w:rFonts w:ascii="宋体" w:hAnsi="宋体"/>
          <w:color w:val="auto"/>
          <w:szCs w:val="21"/>
          <w:u w:val="single"/>
        </w:rPr>
        <w:t xml:space="preserve">  </w:t>
      </w:r>
      <w:r>
        <w:rPr>
          <w:rFonts w:hint="eastAsia" w:ascii="宋体" w:hAnsi="宋体"/>
          <w:color w:val="auto"/>
          <w:szCs w:val="21"/>
          <w:u w:val="single"/>
        </w:rPr>
        <w:t xml:space="preserve"> </w:t>
      </w:r>
    </w:p>
    <w:p w14:paraId="351D3869">
      <w:pPr>
        <w:shd w:val="clear"/>
        <w:spacing w:line="560" w:lineRule="exact"/>
        <w:ind w:firstLine="210"/>
        <w:rPr>
          <w:rFonts w:ascii="宋体" w:hAnsi="宋体"/>
          <w:color w:val="auto"/>
          <w:sz w:val="24"/>
          <w:u w:val="single"/>
        </w:rPr>
      </w:pPr>
      <w:r>
        <w:rPr>
          <w:rFonts w:ascii="宋体" w:hAnsi="宋体"/>
          <w:color w:val="auto"/>
          <w:szCs w:val="21"/>
        </w:rPr>
        <w:t>邮政编码：</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rPr>
        <w:t xml:space="preserve"> </w:t>
      </w:r>
      <w:r>
        <w:rPr>
          <w:rFonts w:hint="eastAsia" w:ascii="宋体" w:hAnsi="宋体"/>
          <w:color w:val="auto"/>
          <w:szCs w:val="21"/>
        </w:rPr>
        <w:t xml:space="preserve">            </w:t>
      </w:r>
      <w:r>
        <w:rPr>
          <w:rFonts w:ascii="宋体" w:hAnsi="宋体"/>
          <w:color w:val="auto"/>
          <w:szCs w:val="21"/>
        </w:rPr>
        <w:t>邮政编码：</w:t>
      </w:r>
      <w:r>
        <w:rPr>
          <w:rFonts w:ascii="宋体" w:hAnsi="宋体"/>
          <w:color w:val="auto"/>
          <w:szCs w:val="21"/>
          <w:u w:val="single"/>
        </w:rPr>
        <w:t></w:t>
      </w:r>
      <w:r>
        <w:rPr>
          <w:rFonts w:ascii="宋体" w:hAnsi="宋体"/>
          <w:color w:val="auto"/>
          <w:sz w:val="24"/>
          <w:u w:val="single"/>
        </w:rPr>
        <w:t></w:t>
      </w:r>
      <w:r>
        <w:rPr>
          <w:rFonts w:hint="eastAsia" w:ascii="宋体" w:hAnsi="宋体"/>
          <w:color w:val="auto"/>
          <w:sz w:val="24"/>
          <w:u w:val="single"/>
        </w:rPr>
        <w:t xml:space="preserve">    </w:t>
      </w:r>
      <w:r>
        <w:rPr>
          <w:rFonts w:ascii="宋体" w:hAnsi="宋体"/>
          <w:color w:val="auto"/>
          <w:sz w:val="24"/>
          <w:u w:val="single"/>
        </w:rPr>
        <w:t xml:space="preserve">   </w:t>
      </w:r>
    </w:p>
    <w:p w14:paraId="39705F26">
      <w:pPr>
        <w:shd w:val="clear"/>
        <w:ind w:firstLine="210"/>
        <w:rPr>
          <w:color w:val="auto"/>
        </w:rPr>
      </w:pPr>
    </w:p>
    <w:p w14:paraId="33F53A76">
      <w:pPr>
        <w:widowControl/>
        <w:shd w:val="clear"/>
        <w:ind w:firstLine="211"/>
        <w:jc w:val="left"/>
        <w:rPr>
          <w:rFonts w:ascii="宋体" w:hAnsi="宋体" w:cs="宋体"/>
          <w:b/>
          <w:bCs/>
          <w:color w:val="auto"/>
          <w:szCs w:val="21"/>
        </w:rPr>
      </w:pPr>
      <w:r>
        <w:rPr>
          <w:rFonts w:ascii="宋体" w:hAnsi="宋体" w:cs="宋体"/>
          <w:b/>
          <w:bCs/>
          <w:color w:val="auto"/>
          <w:szCs w:val="21"/>
        </w:rPr>
        <w:br w:type="page"/>
      </w:r>
    </w:p>
    <w:p w14:paraId="6E71601A">
      <w:pPr>
        <w:shd w:val="clear"/>
        <w:spacing w:line="360" w:lineRule="auto"/>
        <w:ind w:firstLine="211"/>
        <w:jc w:val="center"/>
        <w:outlineLvl w:val="1"/>
        <w:rPr>
          <w:rFonts w:ascii="宋体" w:hAnsi="宋体" w:cs="宋体"/>
          <w:b/>
          <w:bCs/>
          <w:color w:val="auto"/>
          <w:szCs w:val="21"/>
        </w:rPr>
      </w:pPr>
    </w:p>
    <w:p w14:paraId="49C3EC74">
      <w:pPr>
        <w:shd w:val="clear"/>
        <w:spacing w:line="360" w:lineRule="auto"/>
        <w:ind w:firstLine="211"/>
        <w:rPr>
          <w:rFonts w:ascii="宋体" w:hAnsi="宋体" w:cs="宋体"/>
          <w:b/>
          <w:bCs/>
          <w:color w:val="auto"/>
          <w:szCs w:val="21"/>
        </w:rPr>
      </w:pPr>
      <w:bookmarkStart w:id="425" w:name="_Toc359567922"/>
      <w:bookmarkStart w:id="426" w:name="_Toc360114130"/>
      <w:bookmarkStart w:id="427" w:name="_Toc358876721"/>
      <w:bookmarkStart w:id="428" w:name="_Toc315695235"/>
      <w:bookmarkStart w:id="429" w:name="_Toc315695461"/>
    </w:p>
    <w:p w14:paraId="7E4014AE">
      <w:pPr>
        <w:shd w:val="clear"/>
        <w:spacing w:line="360" w:lineRule="auto"/>
        <w:ind w:firstLine="211"/>
        <w:rPr>
          <w:rFonts w:ascii="宋体" w:hAnsi="宋体" w:cs="宋体"/>
          <w:b/>
          <w:bCs/>
          <w:color w:val="auto"/>
          <w:szCs w:val="21"/>
        </w:rPr>
      </w:pPr>
    </w:p>
    <w:p w14:paraId="3AC83CC0">
      <w:pPr>
        <w:shd w:val="clear"/>
        <w:spacing w:line="360" w:lineRule="auto"/>
        <w:ind w:firstLine="211"/>
        <w:rPr>
          <w:rFonts w:ascii="宋体" w:hAnsi="宋体" w:cs="宋体"/>
          <w:b/>
          <w:color w:val="auto"/>
          <w:szCs w:val="21"/>
        </w:rPr>
      </w:pPr>
      <w:r>
        <w:rPr>
          <w:rFonts w:hint="eastAsia" w:ascii="宋体" w:hAnsi="宋体" w:cs="宋体"/>
          <w:b/>
          <w:bCs/>
          <w:color w:val="auto"/>
          <w:szCs w:val="21"/>
        </w:rPr>
        <w:t xml:space="preserve">附件2：                       </w:t>
      </w:r>
      <w:r>
        <w:rPr>
          <w:rFonts w:hint="eastAsia" w:ascii="宋体" w:hAnsi="宋体" w:cs="宋体"/>
          <w:b/>
          <w:color w:val="auto"/>
          <w:szCs w:val="21"/>
        </w:rPr>
        <w:t>安全生产合同</w:t>
      </w:r>
    </w:p>
    <w:p w14:paraId="72723084">
      <w:pPr>
        <w:shd w:val="clear"/>
        <w:spacing w:line="360" w:lineRule="auto"/>
        <w:ind w:firstLine="420" w:firstLineChars="200"/>
        <w:rPr>
          <w:rFonts w:ascii="宋体" w:hAnsi="宋体" w:cs="宋体"/>
          <w:bCs/>
          <w:color w:val="auto"/>
          <w:szCs w:val="21"/>
          <w:u w:val="single"/>
        </w:rPr>
      </w:pPr>
      <w:r>
        <w:rPr>
          <w:rFonts w:hint="eastAsia" w:ascii="宋体" w:hAnsi="宋体" w:cs="宋体"/>
          <w:color w:val="auto"/>
          <w:szCs w:val="21"/>
        </w:rPr>
        <w:t>为在</w:t>
      </w:r>
      <w:r>
        <w:rPr>
          <w:rFonts w:hint="eastAsia" w:ascii="宋体" w:hAnsi="宋体" w:cs="宋体"/>
          <w:color w:val="auto"/>
          <w:szCs w:val="21"/>
          <w:u w:val="single"/>
        </w:rPr>
        <w:t>江口街道2025年公共基础设施零星修复工程</w:t>
      </w:r>
      <w:r>
        <w:rPr>
          <w:rFonts w:hint="eastAsia" w:ascii="宋体" w:hAnsi="宋体" w:cs="宋体"/>
          <w:color w:val="auto"/>
          <w:szCs w:val="21"/>
        </w:rPr>
        <w:t>（项目名称）施工合同的实施过程中创造安全、高效的施工环境，切实搞好本项目的安全管理工作，本项目发包人</w:t>
      </w:r>
      <w:r>
        <w:rPr>
          <w:rFonts w:hint="eastAsia" w:ascii="宋体" w:hAnsi="宋体" w:cs="宋体"/>
          <w:color w:val="auto"/>
          <w:szCs w:val="21"/>
          <w:u w:val="single"/>
        </w:rPr>
        <w:t>宁波市奉化区人民政府江口街道办事处</w:t>
      </w:r>
      <w:r>
        <w:rPr>
          <w:rFonts w:hint="eastAsia" w:ascii="宋体" w:hAnsi="宋体" w:cs="宋体"/>
          <w:color w:val="auto"/>
          <w:szCs w:val="21"/>
        </w:rPr>
        <w:t>（发包人名称，以下简称“发包人”）与</w:t>
      </w:r>
      <w:r>
        <w:rPr>
          <w:rFonts w:hint="eastAsia" w:ascii="宋体" w:hAnsi="宋体" w:cs="宋体"/>
          <w:color w:val="auto"/>
          <w:szCs w:val="21"/>
          <w:u w:val="single"/>
        </w:rPr>
        <w:t xml:space="preserve">               （</w:t>
      </w:r>
      <w:r>
        <w:rPr>
          <w:rFonts w:hint="eastAsia" w:ascii="宋体" w:hAnsi="宋体" w:cs="宋体"/>
          <w:color w:val="auto"/>
          <w:szCs w:val="21"/>
        </w:rPr>
        <w:t>承包人名称，以下简称“承包人”）特此签订安全生产合同：</w:t>
      </w:r>
    </w:p>
    <w:p w14:paraId="773F2B54">
      <w:pPr>
        <w:shd w:val="clear"/>
        <w:spacing w:line="420" w:lineRule="exact"/>
        <w:ind w:left="480" w:firstLine="210"/>
        <w:rPr>
          <w:rFonts w:ascii="宋体" w:hAnsi="宋体" w:cs="宋体"/>
          <w:color w:val="auto"/>
          <w:szCs w:val="21"/>
        </w:rPr>
      </w:pPr>
      <w:r>
        <w:rPr>
          <w:rFonts w:hint="eastAsia" w:ascii="宋体" w:hAnsi="宋体" w:cs="宋体"/>
          <w:color w:val="auto"/>
          <w:szCs w:val="21"/>
        </w:rPr>
        <w:t>1.发包人职责</w:t>
      </w:r>
    </w:p>
    <w:p w14:paraId="4C29273C">
      <w:pPr>
        <w:shd w:val="clear"/>
        <w:spacing w:line="420" w:lineRule="exact"/>
        <w:ind w:firstLine="420" w:firstLineChars="200"/>
        <w:rPr>
          <w:rFonts w:ascii="宋体" w:hAnsi="宋体" w:cs="宋体"/>
          <w:color w:val="auto"/>
          <w:szCs w:val="21"/>
        </w:rPr>
      </w:pPr>
      <w:r>
        <w:rPr>
          <w:rFonts w:hint="eastAsia" w:ascii="宋体" w:hAnsi="宋体" w:cs="宋体"/>
          <w:color w:val="auto"/>
          <w:szCs w:val="21"/>
        </w:rPr>
        <w:t>（1）严格遵守国家有关安全生产的法律法规，认真执行工程承包合同中的有关安全要求。</w:t>
      </w:r>
    </w:p>
    <w:p w14:paraId="6DB98BC8">
      <w:pPr>
        <w:shd w:val="clear"/>
        <w:spacing w:line="420" w:lineRule="exact"/>
        <w:ind w:firstLine="420" w:firstLineChars="200"/>
        <w:rPr>
          <w:rFonts w:ascii="宋体" w:hAnsi="宋体" w:cs="宋体"/>
          <w:color w:val="auto"/>
          <w:szCs w:val="21"/>
        </w:rPr>
      </w:pPr>
      <w:r>
        <w:rPr>
          <w:rFonts w:hint="eastAsia" w:ascii="宋体" w:hAnsi="宋体" w:cs="宋体"/>
          <w:color w:val="auto"/>
          <w:szCs w:val="21"/>
        </w:rPr>
        <w:t>（2）按照“安全第一、预防为主”和坚持“管生产必须管安全”的原则进行安全生产管理，做到生产与安全工作同时计划、布置、检查、总结和评比。</w:t>
      </w:r>
    </w:p>
    <w:p w14:paraId="579C8F54">
      <w:pPr>
        <w:shd w:val="clear"/>
        <w:spacing w:line="420" w:lineRule="exact"/>
        <w:ind w:firstLine="420" w:firstLineChars="200"/>
        <w:rPr>
          <w:rFonts w:ascii="宋体" w:hAnsi="宋体" w:cs="宋体"/>
          <w:color w:val="auto"/>
          <w:szCs w:val="21"/>
        </w:rPr>
      </w:pPr>
      <w:r>
        <w:rPr>
          <w:rFonts w:hint="eastAsia" w:ascii="宋体" w:hAnsi="宋体" w:cs="宋体"/>
          <w:color w:val="auto"/>
          <w:szCs w:val="21"/>
        </w:rPr>
        <w:t>（3）重要的安全设施必须坚持与主体工程“三同时”的原则，即：同时设计、审批，同时施工，同时验收，投入使用。</w:t>
      </w:r>
    </w:p>
    <w:p w14:paraId="28D273E9">
      <w:pPr>
        <w:shd w:val="clear"/>
        <w:spacing w:line="420" w:lineRule="exact"/>
        <w:ind w:firstLine="420" w:firstLineChars="200"/>
        <w:rPr>
          <w:rFonts w:ascii="宋体" w:hAnsi="宋体" w:cs="宋体"/>
          <w:color w:val="auto"/>
          <w:szCs w:val="21"/>
        </w:rPr>
      </w:pPr>
      <w:r>
        <w:rPr>
          <w:rFonts w:hint="eastAsia" w:ascii="宋体" w:hAnsi="宋体" w:cs="宋体"/>
          <w:color w:val="auto"/>
          <w:szCs w:val="21"/>
        </w:rPr>
        <w:t>（4）定期召开安全生产调度会，及时传达中央及地方有关安全生产的精神。</w:t>
      </w:r>
    </w:p>
    <w:p w14:paraId="03CDB1BE">
      <w:pPr>
        <w:shd w:val="clear"/>
        <w:spacing w:line="420" w:lineRule="exact"/>
        <w:ind w:firstLine="420" w:firstLineChars="200"/>
        <w:rPr>
          <w:rFonts w:ascii="宋体" w:hAnsi="宋体" w:cs="宋体"/>
          <w:color w:val="auto"/>
          <w:szCs w:val="21"/>
        </w:rPr>
      </w:pPr>
      <w:r>
        <w:rPr>
          <w:rFonts w:hint="eastAsia" w:ascii="宋体" w:hAnsi="宋体" w:cs="宋体"/>
          <w:color w:val="auto"/>
          <w:szCs w:val="21"/>
        </w:rPr>
        <w:t>（5）组织对承包人施工现场安全生产检查，监督承包人及时处理发现的各种安全隐患。</w:t>
      </w:r>
    </w:p>
    <w:p w14:paraId="5C427D00">
      <w:pPr>
        <w:shd w:val="clear"/>
        <w:spacing w:line="420" w:lineRule="exact"/>
        <w:ind w:left="480" w:firstLine="210"/>
        <w:rPr>
          <w:rFonts w:ascii="宋体" w:hAnsi="宋体" w:cs="宋体"/>
          <w:color w:val="auto"/>
          <w:szCs w:val="21"/>
        </w:rPr>
      </w:pPr>
      <w:r>
        <w:rPr>
          <w:rFonts w:hint="eastAsia" w:ascii="宋体" w:hAnsi="宋体" w:cs="宋体"/>
          <w:color w:val="auto"/>
          <w:szCs w:val="21"/>
        </w:rPr>
        <w:t>2.承包人职责</w:t>
      </w:r>
    </w:p>
    <w:p w14:paraId="10692329">
      <w:pPr>
        <w:shd w:val="clear"/>
        <w:spacing w:line="420" w:lineRule="exact"/>
        <w:ind w:firstLine="420" w:firstLineChars="200"/>
        <w:rPr>
          <w:rFonts w:ascii="宋体" w:hAnsi="宋体" w:cs="宋体"/>
          <w:color w:val="auto"/>
          <w:szCs w:val="21"/>
        </w:rPr>
      </w:pPr>
      <w:r>
        <w:rPr>
          <w:rFonts w:hint="eastAsia" w:ascii="宋体" w:hAnsi="宋体" w:cs="宋体"/>
          <w:color w:val="auto"/>
          <w:szCs w:val="21"/>
        </w:rPr>
        <w:t>（1）严格遵守《中华人民共和国安全生产法》、《建设工程安全生产管理条例》等国家有关安全生产的法律法规有关安全生产的规定。认真执行工程承包合同中的有关安全要求。</w:t>
      </w:r>
    </w:p>
    <w:p w14:paraId="29BD65EC">
      <w:pPr>
        <w:shd w:val="clear"/>
        <w:spacing w:line="420" w:lineRule="exact"/>
        <w:ind w:firstLine="420" w:firstLineChars="200"/>
        <w:rPr>
          <w:rFonts w:ascii="宋体" w:hAnsi="宋体" w:cs="宋体"/>
          <w:color w:val="auto"/>
          <w:szCs w:val="21"/>
        </w:rPr>
      </w:pPr>
      <w:r>
        <w:rPr>
          <w:rFonts w:hint="eastAsia" w:ascii="宋体" w:hAnsi="宋体" w:cs="宋体"/>
          <w:color w:val="auto"/>
          <w:szCs w:val="21"/>
        </w:rPr>
        <w:t>（2）坚持“安全第一、预防为主”和“管生产必须管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404ABD70">
      <w:pPr>
        <w:shd w:val="clear"/>
        <w:spacing w:line="420" w:lineRule="exact"/>
        <w:ind w:firstLine="420" w:firstLineChars="200"/>
        <w:rPr>
          <w:rFonts w:ascii="宋体" w:hAnsi="宋体" w:cs="宋体"/>
          <w:color w:val="auto"/>
          <w:szCs w:val="21"/>
        </w:rPr>
      </w:pPr>
      <w:r>
        <w:rPr>
          <w:rFonts w:hint="eastAsia" w:ascii="宋体" w:hAnsi="宋体" w:cs="宋体"/>
          <w:color w:val="auto"/>
          <w:szCs w:val="21"/>
        </w:rPr>
        <w:t>（3）建立健全安全生产责任制。从派往项目实施的项目经理到生产工人（包括临时雇请的民工）的安全生产管理系统必须做到纵向到底，—环不漏；各职能部门、人员的安全生产责任制做到横向到边，人人有责。项目经理是安全生产的第一责任人。现场设置的安全机构，应按规定的最低数量和资质条件配备专职安全生产管理人员，专职负责所有员工的安全和治安保卫工作及预防事故的发生。安全机构人员有权按有关规定发布指令，并采取保护性措施防止事故发生。</w:t>
      </w:r>
    </w:p>
    <w:p w14:paraId="6F30AADC">
      <w:pPr>
        <w:shd w:val="clear"/>
        <w:spacing w:line="420" w:lineRule="exact"/>
        <w:ind w:firstLine="420" w:firstLineChars="200"/>
        <w:rPr>
          <w:rFonts w:ascii="宋体" w:hAnsi="宋体" w:cs="宋体"/>
          <w:color w:val="auto"/>
          <w:szCs w:val="21"/>
        </w:rPr>
      </w:pPr>
      <w:r>
        <w:rPr>
          <w:rFonts w:hint="eastAsia" w:ascii="宋体" w:hAnsi="宋体" w:cs="宋体"/>
          <w:color w:val="auto"/>
          <w:szCs w:val="21"/>
        </w:rPr>
        <w:t>（4）承包人在任何时候都应采取各种合理的预防措施，防止其员工发生任何违法、违禁、暴力或妨碍治安的行为。</w:t>
      </w:r>
    </w:p>
    <w:p w14:paraId="58270B2E">
      <w:pPr>
        <w:shd w:val="clear"/>
        <w:spacing w:line="420" w:lineRule="exact"/>
        <w:ind w:firstLine="420" w:firstLineChars="200"/>
        <w:rPr>
          <w:rFonts w:ascii="宋体" w:hAnsi="宋体" w:cs="宋体"/>
          <w:color w:val="auto"/>
          <w:szCs w:val="21"/>
        </w:rPr>
      </w:pPr>
      <w:r>
        <w:rPr>
          <w:rFonts w:hint="eastAsia" w:ascii="宋体" w:hAnsi="宋体" w:cs="宋体"/>
          <w:color w:val="auto"/>
          <w:szCs w:val="21"/>
        </w:rPr>
        <w:t>（5）承包人必须具有劳动安全管理部门颁发的安全生产考核合格证书，参加施工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后，方准持证上岗。施工现场如出现特种作业无证操作现象时，项目经理必须承担管理责任。</w:t>
      </w:r>
    </w:p>
    <w:p w14:paraId="2AC29111">
      <w:pPr>
        <w:shd w:val="clear"/>
        <w:spacing w:line="420" w:lineRule="exact"/>
        <w:ind w:firstLine="420" w:firstLineChars="200"/>
        <w:rPr>
          <w:rFonts w:ascii="宋体" w:hAnsi="宋体" w:cs="宋体"/>
          <w:color w:val="auto"/>
          <w:szCs w:val="21"/>
        </w:rPr>
      </w:pPr>
      <w:r>
        <w:rPr>
          <w:rFonts w:hint="eastAsia" w:ascii="宋体" w:hAnsi="宋体" w:cs="宋体"/>
          <w:color w:val="auto"/>
          <w:szCs w:val="21"/>
        </w:rPr>
        <w:t>（6）对于易燃易爆的材料除应专门妥善保管之外，还应配备有足够的消防设施，所有施工人员都应熟悉消防设备的性能和使用方法；承包人不得将任何种类的爆炸物给予、易货或以其他方式转让给任何其他人，或允许、容忍上述同样行为。</w:t>
      </w:r>
    </w:p>
    <w:p w14:paraId="06B841DA">
      <w:pPr>
        <w:shd w:val="clear"/>
        <w:spacing w:line="420" w:lineRule="exact"/>
        <w:ind w:firstLine="420" w:firstLineChars="200"/>
        <w:rPr>
          <w:rFonts w:ascii="宋体" w:hAnsi="宋体" w:cs="宋体"/>
          <w:color w:val="auto"/>
          <w:szCs w:val="21"/>
        </w:rPr>
      </w:pPr>
      <w:r>
        <w:rPr>
          <w:rFonts w:hint="eastAsia" w:ascii="宋体" w:hAnsi="宋体" w:cs="宋体"/>
          <w:color w:val="auto"/>
          <w:szCs w:val="21"/>
        </w:rPr>
        <w:t>（7）操作人员上岗，必须按规定穿戴防护用品。施工负责人和安全检查员应随时检查劳动防护用品的穿戴情况，不按规定穿戴防护用品的人员不得上岗。</w:t>
      </w:r>
    </w:p>
    <w:p w14:paraId="0EDF1E0C">
      <w:pPr>
        <w:shd w:val="clear"/>
        <w:spacing w:line="420" w:lineRule="exact"/>
        <w:ind w:firstLine="420" w:firstLineChars="200"/>
        <w:rPr>
          <w:rFonts w:ascii="宋体" w:hAnsi="宋体" w:cs="宋体"/>
          <w:color w:val="auto"/>
          <w:szCs w:val="21"/>
        </w:rPr>
      </w:pPr>
      <w:r>
        <w:rPr>
          <w:rFonts w:hint="eastAsia" w:ascii="宋体" w:hAnsi="宋体" w:cs="宋体"/>
          <w:color w:val="auto"/>
          <w:szCs w:val="21"/>
        </w:rPr>
        <w:t>（8）所有施工机具设备和高空作业的设备均应定期检查，并有安全员的签字记录，保证其经常处于完好状态；不合格的机具、设备和劳动保护用品严禁使用：</w:t>
      </w:r>
    </w:p>
    <w:p w14:paraId="5E069257">
      <w:pPr>
        <w:shd w:val="clear"/>
        <w:spacing w:line="420" w:lineRule="exact"/>
        <w:ind w:firstLine="420" w:firstLineChars="200"/>
        <w:rPr>
          <w:rFonts w:ascii="宋体" w:hAnsi="宋体" w:cs="宋体"/>
          <w:color w:val="auto"/>
          <w:szCs w:val="21"/>
        </w:rPr>
      </w:pPr>
      <w:r>
        <w:rPr>
          <w:rFonts w:hint="eastAsia" w:ascii="宋体" w:hAnsi="宋体" w:cs="宋体"/>
          <w:color w:val="auto"/>
          <w:szCs w:val="21"/>
        </w:rPr>
        <w:t>（9）施工中采用新技术、新工艺、新设备、新材料时，必须制定相应的安全技术措施，施工现场必须具有相关的安全标志牌。</w:t>
      </w:r>
    </w:p>
    <w:p w14:paraId="729F4477">
      <w:pPr>
        <w:shd w:val="clear"/>
        <w:spacing w:line="420" w:lineRule="exact"/>
        <w:ind w:firstLine="420" w:firstLineChars="200"/>
        <w:rPr>
          <w:rFonts w:ascii="宋体" w:hAnsi="宋体" w:cs="宋体"/>
          <w:color w:val="auto"/>
          <w:szCs w:val="21"/>
        </w:rPr>
      </w:pPr>
      <w:r>
        <w:rPr>
          <w:rFonts w:hint="eastAsia" w:ascii="宋体" w:hAnsi="宋体" w:cs="宋体"/>
          <w:color w:val="auto"/>
          <w:szCs w:val="21"/>
        </w:rPr>
        <w:t>（10）承包人必须按照本工程项目特点，组织制定本工程实施中的生产安全事故应急救援预案；如果发生安全事故，应按照《国务院关于特大安全事故行政责任追究的规定》以及其他有关规定，及时上报有关部门，并坚持“四不放过”的原则．严肃处理相关责任人。</w:t>
      </w:r>
    </w:p>
    <w:p w14:paraId="4D2F2823">
      <w:pPr>
        <w:shd w:val="clear"/>
        <w:spacing w:line="420" w:lineRule="exact"/>
        <w:ind w:firstLine="420" w:firstLineChars="200"/>
        <w:rPr>
          <w:rFonts w:ascii="宋体" w:hAnsi="宋体" w:cs="宋体"/>
          <w:color w:val="auto"/>
          <w:szCs w:val="21"/>
        </w:rPr>
      </w:pPr>
      <w:r>
        <w:rPr>
          <w:rFonts w:hint="eastAsia" w:ascii="宋体" w:hAnsi="宋体" w:cs="宋体"/>
          <w:color w:val="auto"/>
          <w:szCs w:val="21"/>
        </w:rPr>
        <w:t>3.违约责任</w:t>
      </w:r>
    </w:p>
    <w:p w14:paraId="4EA57899">
      <w:pPr>
        <w:shd w:val="clear"/>
        <w:spacing w:line="420" w:lineRule="exact"/>
        <w:ind w:left="480" w:firstLine="210"/>
        <w:rPr>
          <w:rFonts w:ascii="宋体" w:hAnsi="宋体" w:cs="宋体"/>
          <w:color w:val="auto"/>
          <w:szCs w:val="21"/>
        </w:rPr>
      </w:pPr>
      <w:r>
        <w:rPr>
          <w:rFonts w:hint="eastAsia" w:ascii="宋体" w:hAnsi="宋体" w:cs="宋体"/>
          <w:color w:val="auto"/>
          <w:szCs w:val="21"/>
        </w:rPr>
        <w:t>如因发包人或承包人违约造成安全事故，将依法追究责任。</w:t>
      </w:r>
    </w:p>
    <w:p w14:paraId="76747B28">
      <w:pPr>
        <w:shd w:val="clear"/>
        <w:spacing w:line="420" w:lineRule="exact"/>
        <w:ind w:firstLine="420" w:firstLineChars="200"/>
        <w:rPr>
          <w:rFonts w:ascii="宋体" w:hAnsi="宋体" w:cs="宋体"/>
          <w:color w:val="auto"/>
          <w:szCs w:val="21"/>
        </w:rPr>
      </w:pPr>
      <w:r>
        <w:rPr>
          <w:rFonts w:hint="eastAsia" w:ascii="宋体" w:hAnsi="宋体" w:cs="宋体"/>
          <w:color w:val="auto"/>
          <w:szCs w:val="21"/>
        </w:rPr>
        <w:t>4.本合同由双方法定代表人或其授权的代理人签署并加盖单位章后生效，全部工程竣工验收后失效。</w:t>
      </w:r>
    </w:p>
    <w:p w14:paraId="6BB5DDD7">
      <w:pPr>
        <w:shd w:val="clear"/>
        <w:spacing w:line="420" w:lineRule="exact"/>
        <w:ind w:firstLine="420" w:firstLineChars="200"/>
        <w:rPr>
          <w:rFonts w:ascii="宋体" w:hAnsi="宋体" w:cs="宋体"/>
          <w:color w:val="auto"/>
          <w:szCs w:val="21"/>
        </w:rPr>
      </w:pPr>
      <w:r>
        <w:rPr>
          <w:rFonts w:hint="eastAsia" w:ascii="宋体" w:hAnsi="宋体" w:cs="宋体"/>
          <w:color w:val="auto"/>
          <w:szCs w:val="21"/>
        </w:rPr>
        <w:t>5.</w:t>
      </w:r>
      <w:r>
        <w:rPr>
          <w:rFonts w:hint="eastAsia" w:ascii="宋体" w:hAnsi="宋体"/>
          <w:color w:val="auto"/>
          <w:szCs w:val="21"/>
        </w:rPr>
        <w:t>本合同一式陆份，甲、乙双方各执贰份，招标代理机构壹份，归档壹份。</w:t>
      </w:r>
    </w:p>
    <w:p w14:paraId="29D72F77">
      <w:pPr>
        <w:shd w:val="clear"/>
        <w:autoSpaceDE w:val="0"/>
        <w:autoSpaceDN w:val="0"/>
        <w:adjustRightInd w:val="0"/>
        <w:spacing w:line="380" w:lineRule="exact"/>
        <w:ind w:firstLine="210"/>
        <w:jc w:val="left"/>
        <w:rPr>
          <w:rFonts w:ascii="宋体" w:hAnsi="宋体" w:cs="宋体"/>
          <w:color w:val="auto"/>
          <w:kern w:val="0"/>
          <w:szCs w:val="21"/>
          <w:lang w:val="zh-CN"/>
        </w:rPr>
      </w:pPr>
      <w:r>
        <w:rPr>
          <w:rFonts w:hint="eastAsia" w:ascii="宋体" w:hAnsi="宋体" w:cs="宋体"/>
          <w:color w:val="auto"/>
          <w:szCs w:val="21"/>
        </w:rPr>
        <w:t>发包人：（盖章）</w:t>
      </w:r>
      <w:r>
        <w:rPr>
          <w:rFonts w:hint="eastAsia" w:ascii="宋体" w:hAnsi="宋体" w:cs="宋体"/>
          <w:color w:val="auto"/>
          <w:szCs w:val="21"/>
          <w:u w:val="single"/>
        </w:rPr>
        <w:t xml:space="preserve">                 </w:t>
      </w:r>
      <w:r>
        <w:rPr>
          <w:rFonts w:hint="eastAsia" w:ascii="宋体" w:hAnsi="宋体" w:cs="宋体"/>
          <w:color w:val="auto"/>
          <w:spacing w:val="14"/>
          <w:szCs w:val="21"/>
          <w:u w:val="single"/>
        </w:rPr>
        <w:t xml:space="preserve"> </w:t>
      </w:r>
      <w:r>
        <w:rPr>
          <w:rFonts w:hint="eastAsia" w:ascii="宋体" w:hAnsi="宋体" w:cs="宋体"/>
          <w:color w:val="auto"/>
          <w:spacing w:val="14"/>
          <w:szCs w:val="21"/>
        </w:rPr>
        <w:t xml:space="preserve">  </w:t>
      </w:r>
      <w:r>
        <w:rPr>
          <w:rFonts w:hint="eastAsia" w:ascii="宋体" w:hAnsi="宋体" w:cs="宋体"/>
          <w:color w:val="auto"/>
          <w:szCs w:val="21"/>
        </w:rPr>
        <w:t>承包人：</w:t>
      </w:r>
      <w:r>
        <w:rPr>
          <w:rFonts w:hint="eastAsia" w:ascii="宋体" w:hAnsi="宋体" w:cs="宋体"/>
          <w:color w:val="auto"/>
          <w:szCs w:val="21"/>
          <w:u w:val="single"/>
        </w:rPr>
        <w:t xml:space="preserve">                  （</w:t>
      </w:r>
      <w:r>
        <w:rPr>
          <w:rFonts w:hint="eastAsia" w:ascii="宋体" w:hAnsi="宋体" w:cs="宋体"/>
          <w:color w:val="auto"/>
          <w:szCs w:val="21"/>
        </w:rPr>
        <w:t>盖章</w:t>
      </w:r>
      <w:r>
        <w:rPr>
          <w:rFonts w:hint="eastAsia" w:ascii="宋体" w:hAnsi="宋体" w:cs="宋体"/>
          <w:color w:val="auto"/>
          <w:szCs w:val="21"/>
          <w:u w:val="single"/>
        </w:rPr>
        <w:t>）</w:t>
      </w:r>
    </w:p>
    <w:p w14:paraId="74DD4087">
      <w:pPr>
        <w:shd w:val="clear"/>
        <w:spacing w:line="420" w:lineRule="exact"/>
        <w:ind w:firstLine="210"/>
        <w:rPr>
          <w:rFonts w:ascii="宋体" w:hAnsi="宋体" w:cs="宋体"/>
          <w:color w:val="auto"/>
          <w:szCs w:val="21"/>
        </w:rPr>
      </w:pPr>
      <w:r>
        <w:rPr>
          <w:rFonts w:hint="eastAsia" w:ascii="宋体" w:hAnsi="宋体" w:cs="宋体"/>
          <w:color w:val="auto"/>
          <w:szCs w:val="21"/>
        </w:rPr>
        <w:t xml:space="preserve">       </w:t>
      </w:r>
    </w:p>
    <w:p w14:paraId="0715F6E9">
      <w:pPr>
        <w:shd w:val="clear"/>
        <w:spacing w:line="420" w:lineRule="exact"/>
        <w:ind w:firstLine="210"/>
        <w:rPr>
          <w:rFonts w:ascii="宋体" w:hAnsi="宋体" w:cs="宋体"/>
          <w:color w:val="auto"/>
          <w:szCs w:val="21"/>
        </w:rPr>
      </w:pPr>
      <w:r>
        <w:rPr>
          <w:rFonts w:hint="eastAsia" w:ascii="宋体" w:hAnsi="宋体" w:cs="宋体"/>
          <w:color w:val="auto"/>
          <w:szCs w:val="21"/>
        </w:rPr>
        <w:t>法定代表人或                       法定代表人或</w:t>
      </w:r>
    </w:p>
    <w:p w14:paraId="0448401E">
      <w:pPr>
        <w:shd w:val="clear"/>
        <w:spacing w:line="420" w:lineRule="exact"/>
        <w:ind w:firstLine="210"/>
        <w:rPr>
          <w:rFonts w:ascii="宋体" w:hAnsi="宋体" w:cs="宋体"/>
          <w:color w:val="auto"/>
          <w:szCs w:val="21"/>
        </w:rPr>
      </w:pPr>
      <w:r>
        <w:rPr>
          <w:rFonts w:hint="eastAsia" w:ascii="宋体" w:hAnsi="宋体" w:cs="宋体"/>
          <w:color w:val="auto"/>
          <w:szCs w:val="21"/>
        </w:rPr>
        <w:t>其委托代理人：</w:t>
      </w:r>
      <w:r>
        <w:rPr>
          <w:rFonts w:hint="eastAsia" w:ascii="宋体" w:hAnsi="宋体" w:cs="宋体"/>
          <w:color w:val="auto"/>
          <w:szCs w:val="21"/>
          <w:u w:val="single"/>
        </w:rPr>
        <w:t xml:space="preserve">           </w:t>
      </w:r>
      <w:r>
        <w:rPr>
          <w:rFonts w:hint="eastAsia" w:ascii="宋体" w:hAnsi="宋体" w:cs="宋体"/>
          <w:color w:val="auto"/>
          <w:szCs w:val="21"/>
        </w:rPr>
        <w:t>（签字）  其委托代理人：</w:t>
      </w:r>
      <w:r>
        <w:rPr>
          <w:rFonts w:hint="eastAsia" w:ascii="宋体" w:hAnsi="宋体" w:cs="宋体"/>
          <w:color w:val="auto"/>
          <w:szCs w:val="21"/>
          <w:u w:val="single"/>
        </w:rPr>
        <w:t xml:space="preserve">                </w:t>
      </w:r>
      <w:r>
        <w:rPr>
          <w:rFonts w:hint="eastAsia" w:ascii="宋体" w:hAnsi="宋体" w:cs="宋体"/>
          <w:color w:val="auto"/>
          <w:szCs w:val="21"/>
        </w:rPr>
        <w:t>（签字）</w:t>
      </w:r>
    </w:p>
    <w:p w14:paraId="1571E3CF">
      <w:pPr>
        <w:shd w:val="clear"/>
        <w:spacing w:line="420" w:lineRule="exact"/>
        <w:ind w:left="840" w:firstLine="210"/>
        <w:rPr>
          <w:rFonts w:ascii="宋体" w:hAnsi="宋体" w:cs="宋体"/>
          <w:color w:val="auto"/>
          <w:szCs w:val="21"/>
        </w:rPr>
      </w:pPr>
    </w:p>
    <w:p w14:paraId="0CF6B6A9">
      <w:pPr>
        <w:shd w:val="clear"/>
        <w:spacing w:line="420" w:lineRule="exact"/>
        <w:ind w:left="840" w:leftChars="400" w:firstLine="315" w:firstLineChars="150"/>
        <w:rPr>
          <w:rFonts w:ascii="宋体" w:hAnsi="宋体" w:cs="宋体"/>
          <w:color w:val="auto"/>
          <w:szCs w:val="21"/>
        </w:rPr>
      </w:pPr>
      <w:r>
        <w:rPr>
          <w:rFonts w:hint="eastAsia" w:ascii="宋体" w:hAnsi="宋体" w:cs="宋体"/>
          <w:color w:val="auto"/>
          <w:szCs w:val="21"/>
        </w:rPr>
        <w:t xml:space="preserve"> </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 xml:space="preserve">日     </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w:t>
      </w:r>
    </w:p>
    <w:p w14:paraId="5653E09E">
      <w:pPr>
        <w:shd w:val="clear"/>
        <w:spacing w:line="360" w:lineRule="auto"/>
        <w:ind w:firstLine="211"/>
        <w:rPr>
          <w:rFonts w:ascii="宋体" w:hAnsi="宋体" w:cs="宋体"/>
          <w:b/>
          <w:bCs/>
          <w:color w:val="auto"/>
          <w:szCs w:val="21"/>
        </w:rPr>
      </w:pPr>
    </w:p>
    <w:p w14:paraId="779C4321">
      <w:pPr>
        <w:shd w:val="clear"/>
        <w:spacing w:line="360" w:lineRule="auto"/>
        <w:ind w:firstLine="211"/>
        <w:rPr>
          <w:rFonts w:ascii="宋体" w:hAnsi="宋体" w:cs="宋体"/>
          <w:b/>
          <w:bCs/>
          <w:color w:val="auto"/>
          <w:szCs w:val="21"/>
        </w:rPr>
      </w:pPr>
    </w:p>
    <w:p w14:paraId="7919D1D4">
      <w:pPr>
        <w:shd w:val="clear"/>
        <w:spacing w:line="360" w:lineRule="auto"/>
        <w:ind w:firstLine="211"/>
        <w:rPr>
          <w:rFonts w:ascii="宋体" w:hAnsi="宋体" w:cs="宋体"/>
          <w:b/>
          <w:bCs/>
          <w:color w:val="auto"/>
          <w:szCs w:val="21"/>
        </w:rPr>
      </w:pPr>
    </w:p>
    <w:p w14:paraId="35A72924">
      <w:pPr>
        <w:shd w:val="clear"/>
        <w:spacing w:line="360" w:lineRule="auto"/>
        <w:ind w:firstLine="211"/>
        <w:rPr>
          <w:rFonts w:ascii="宋体" w:hAnsi="宋体" w:cs="宋体"/>
          <w:b/>
          <w:bCs/>
          <w:color w:val="auto"/>
          <w:szCs w:val="21"/>
        </w:rPr>
      </w:pPr>
    </w:p>
    <w:p w14:paraId="0666B8A7">
      <w:pPr>
        <w:shd w:val="clear"/>
        <w:spacing w:line="360" w:lineRule="auto"/>
        <w:ind w:firstLine="211"/>
        <w:rPr>
          <w:rFonts w:ascii="宋体" w:hAnsi="宋体" w:cs="宋体"/>
          <w:b/>
          <w:bCs/>
          <w:color w:val="auto"/>
          <w:szCs w:val="21"/>
        </w:rPr>
      </w:pPr>
    </w:p>
    <w:p w14:paraId="30C8FF17">
      <w:pPr>
        <w:shd w:val="clear"/>
        <w:spacing w:line="360" w:lineRule="auto"/>
        <w:ind w:firstLine="211"/>
        <w:rPr>
          <w:rFonts w:ascii="宋体" w:hAnsi="宋体" w:cs="宋体"/>
          <w:b/>
          <w:bCs/>
          <w:color w:val="auto"/>
          <w:szCs w:val="21"/>
        </w:rPr>
      </w:pPr>
    </w:p>
    <w:p w14:paraId="246D4013">
      <w:pPr>
        <w:shd w:val="clear"/>
        <w:spacing w:line="360" w:lineRule="auto"/>
        <w:ind w:firstLine="211"/>
        <w:rPr>
          <w:rFonts w:ascii="宋体" w:hAnsi="宋体" w:cs="宋体"/>
          <w:b/>
          <w:bCs/>
          <w:color w:val="auto"/>
          <w:szCs w:val="21"/>
        </w:rPr>
      </w:pPr>
    </w:p>
    <w:p w14:paraId="762D27C2">
      <w:pPr>
        <w:shd w:val="clear"/>
        <w:spacing w:line="360" w:lineRule="auto"/>
        <w:ind w:firstLine="211"/>
        <w:rPr>
          <w:rFonts w:ascii="宋体" w:hAnsi="宋体" w:cs="宋体"/>
          <w:b/>
          <w:bCs/>
          <w:color w:val="auto"/>
          <w:szCs w:val="21"/>
        </w:rPr>
      </w:pPr>
    </w:p>
    <w:p w14:paraId="2866CFFB">
      <w:pPr>
        <w:shd w:val="clear"/>
        <w:spacing w:line="360" w:lineRule="auto"/>
        <w:ind w:firstLine="211"/>
        <w:rPr>
          <w:rFonts w:ascii="宋体" w:hAnsi="宋体" w:cs="宋体"/>
          <w:b/>
          <w:bCs/>
          <w:color w:val="auto"/>
          <w:szCs w:val="21"/>
        </w:rPr>
      </w:pPr>
    </w:p>
    <w:p w14:paraId="352D149E">
      <w:pPr>
        <w:shd w:val="clear"/>
        <w:spacing w:line="360" w:lineRule="auto"/>
        <w:ind w:firstLine="211"/>
        <w:rPr>
          <w:rFonts w:ascii="宋体" w:hAnsi="宋体" w:cs="宋体"/>
          <w:b/>
          <w:color w:val="auto"/>
          <w:szCs w:val="21"/>
          <w:lang w:val="zh-CN"/>
        </w:rPr>
      </w:pPr>
      <w:r>
        <w:rPr>
          <w:rFonts w:hint="eastAsia" w:ascii="宋体" w:hAnsi="宋体" w:cs="宋体"/>
          <w:b/>
          <w:bCs/>
          <w:color w:val="auto"/>
          <w:szCs w:val="21"/>
        </w:rPr>
        <w:t xml:space="preserve">附件3：                   </w:t>
      </w:r>
      <w:r>
        <w:rPr>
          <w:rFonts w:hint="eastAsia" w:ascii="宋体" w:hAnsi="宋体" w:cs="宋体"/>
          <w:b/>
          <w:color w:val="auto"/>
          <w:szCs w:val="21"/>
          <w:lang w:val="zh-CN"/>
        </w:rPr>
        <w:t>工程项目廉政合同</w:t>
      </w:r>
      <w:bookmarkEnd w:id="425"/>
      <w:bookmarkEnd w:id="426"/>
      <w:bookmarkEnd w:id="427"/>
      <w:bookmarkEnd w:id="428"/>
      <w:bookmarkEnd w:id="429"/>
    </w:p>
    <w:p w14:paraId="187E0FD7">
      <w:pPr>
        <w:widowControl/>
        <w:shd w:val="clear"/>
        <w:spacing w:before="120" w:beforeAutospacing="1" w:after="100" w:afterAutospacing="1"/>
        <w:ind w:firstLine="420" w:firstLineChars="200"/>
        <w:jc w:val="left"/>
        <w:outlineLvl w:val="0"/>
        <w:rPr>
          <w:rFonts w:ascii="宋体" w:hAnsi="宋体" w:cs="宋体"/>
          <w:color w:val="auto"/>
          <w:kern w:val="0"/>
          <w:szCs w:val="21"/>
          <w:u w:val="single"/>
        </w:rPr>
      </w:pPr>
      <w:r>
        <w:rPr>
          <w:rFonts w:hint="eastAsia" w:ascii="宋体" w:hAnsi="宋体" w:cs="宋体"/>
          <w:color w:val="auto"/>
          <w:kern w:val="0"/>
          <w:szCs w:val="21"/>
          <w:lang w:val="zh-CN"/>
        </w:rPr>
        <w:t>工程项目名称：</w:t>
      </w:r>
      <w:r>
        <w:rPr>
          <w:rFonts w:hint="eastAsia" w:ascii="宋体" w:hAnsi="宋体" w:cs="宋体"/>
          <w:color w:val="auto"/>
          <w:szCs w:val="21"/>
          <w:u w:val="single"/>
        </w:rPr>
        <w:t>江口街道2025年公共基础设施零星修复工程</w:t>
      </w:r>
    </w:p>
    <w:p w14:paraId="6725792E">
      <w:pPr>
        <w:widowControl/>
        <w:shd w:val="clear"/>
        <w:spacing w:before="120" w:beforeAutospacing="1" w:after="100" w:afterAutospacing="1" w:line="240" w:lineRule="exact"/>
        <w:ind w:firstLine="420" w:firstLineChars="200"/>
        <w:jc w:val="left"/>
        <w:outlineLvl w:val="0"/>
        <w:rPr>
          <w:rFonts w:ascii="宋体" w:hAnsi="宋体" w:cs="宋体"/>
          <w:color w:val="auto"/>
          <w:kern w:val="0"/>
          <w:szCs w:val="21"/>
          <w:u w:val="single"/>
          <w:lang w:val="zh-CN"/>
        </w:rPr>
      </w:pPr>
      <w:r>
        <w:rPr>
          <w:rFonts w:hint="eastAsia" w:ascii="宋体" w:hAnsi="宋体" w:cs="宋体"/>
          <w:color w:val="auto"/>
          <w:kern w:val="0"/>
          <w:szCs w:val="21"/>
          <w:lang w:val="zh-CN"/>
        </w:rPr>
        <w:t>发包人名称(以下称甲方)：</w:t>
      </w:r>
      <w:r>
        <w:rPr>
          <w:rFonts w:hint="eastAsia" w:ascii="宋体" w:hAnsi="宋体" w:cs="宋体"/>
          <w:color w:val="auto"/>
          <w:kern w:val="0"/>
          <w:szCs w:val="21"/>
          <w:u w:val="single"/>
          <w:lang w:val="zh-CN"/>
        </w:rPr>
        <w:t xml:space="preserve">宁波市奉化区人民政府江口街道办事处 </w:t>
      </w:r>
    </w:p>
    <w:p w14:paraId="231B9494">
      <w:pPr>
        <w:shd w:val="clear"/>
        <w:autoSpaceDE w:val="0"/>
        <w:autoSpaceDN w:val="0"/>
        <w:adjustRightInd w:val="0"/>
        <w:spacing w:line="240" w:lineRule="exact"/>
        <w:ind w:firstLine="420" w:firstLineChars="200"/>
        <w:jc w:val="left"/>
        <w:rPr>
          <w:rFonts w:ascii="宋体" w:hAnsi="宋体" w:cs="宋体"/>
          <w:color w:val="auto"/>
          <w:kern w:val="0"/>
          <w:szCs w:val="21"/>
          <w:u w:val="single"/>
        </w:rPr>
      </w:pPr>
      <w:r>
        <w:rPr>
          <w:rFonts w:hint="eastAsia" w:ascii="宋体" w:hAnsi="宋体" w:cs="宋体"/>
          <w:color w:val="auto"/>
          <w:kern w:val="0"/>
          <w:szCs w:val="21"/>
          <w:lang w:val="zh-CN"/>
        </w:rPr>
        <w:t>承包人名称(以下称乙方)：</w:t>
      </w:r>
      <w:r>
        <w:rPr>
          <w:rFonts w:hint="eastAsia" w:ascii="宋体" w:hAnsi="宋体" w:cs="宋体"/>
          <w:color w:val="auto"/>
          <w:szCs w:val="21"/>
          <w:u w:val="single"/>
        </w:rPr>
        <w:t xml:space="preserve">                                 </w:t>
      </w:r>
    </w:p>
    <w:p w14:paraId="7D39D021">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为加强工程建设中的廉政建设，规范工程项目承包、发包双方的各项活动，防止发生各种谋取不正当利益的违法违纪行为，保护国家、集体和当事人的合法权益，根据国家有关工程建设的法律法规和廉政建设规定，特订立本廉政合同。    </w:t>
      </w:r>
    </w:p>
    <w:p w14:paraId="5CCC03E9">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第一条  甲乙双方的权利和义务    </w:t>
      </w:r>
    </w:p>
    <w:p w14:paraId="0266EBBB">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(一)严格遵守国家关于市场准入、勘测设计、施工监理、招标询价、工程施工、设备安装和市场经营活动等有关法律法规和相关政策，以及廉政建设的各项规定。    </w:t>
      </w:r>
    </w:p>
    <w:p w14:paraId="7CD41958">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(二)严格执行本项目发包承包双方签订的 (施工合同、监理合同、勘测设计合同、采购合同、代理合同等)合同，自觉按合同办事。    </w:t>
      </w:r>
    </w:p>
    <w:p w14:paraId="778DA4D4">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三)业务活动必须坚持公开、公平、公正、诚信、透明的原则(除法律法规认定的商业秘密和合同文件另有规定者外)，双方人员不得为获取不正当的利益，就工程费用、材料供应、工程量变动、工程验收、工程质量等问题进行私下商谈或达成默契，不得损害国家和集体利益，违反工程建设管理规章制度。    </w:t>
      </w:r>
    </w:p>
    <w:p w14:paraId="476F776D">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四)建立健全廉政制度，开展廉政教育，设立廉政告示牌，公布举报电话，监督违法违纪行为。发现对方在业务活动中有违反本合同行为的，有及时提醒对方纠正的权利和义务。情节严重的，有向有关部门举报、建议给予处理并要求告知处理结果的权利。    </w:t>
      </w:r>
    </w:p>
    <w:p w14:paraId="1D575D08">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第二条  甲方的责任    </w:t>
      </w:r>
    </w:p>
    <w:p w14:paraId="60BDB0E1">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甲方的负责人和从事该工程项目的工作人员，在工程项目的事前、事中、事后应遵守以下规定：    </w:t>
      </w:r>
    </w:p>
    <w:p w14:paraId="109DFA6A">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(一)不以任何理由向乙方索要或接受回扣、礼金、有价证券、贵重物品和好处费、感谢费等；不在乙方报销应由甲方或个人支付的费用。    </w:t>
      </w:r>
    </w:p>
    <w:p w14:paraId="2DA85502">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(二)不参加乙方安排的宴请及其他消费活动；不接受乙方提供的通讯工具、交通工具、高档办公用品等。    </w:t>
      </w:r>
    </w:p>
    <w:p w14:paraId="7ACDC086">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(三)不要求、暗示和接受乙方为个人装修住房、为配偶子女的工作安排以及本人或亲属旅游、出国(境)等提供方便。    </w:t>
      </w:r>
    </w:p>
    <w:p w14:paraId="2897E347">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(四)配偶、子女不得从事与乙方承包工程有关的设备材料供应、工程分包、劳务等经济活动。    </w:t>
      </w:r>
    </w:p>
    <w:p w14:paraId="32EDB251">
      <w:pPr>
        <w:shd w:val="clear"/>
        <w:autoSpaceDE w:val="0"/>
        <w:autoSpaceDN w:val="0"/>
        <w:adjustRightInd w:val="0"/>
        <w:spacing w:line="380" w:lineRule="exact"/>
        <w:ind w:firstLine="315" w:firstLineChars="150"/>
        <w:jc w:val="left"/>
        <w:rPr>
          <w:rFonts w:ascii="宋体" w:hAnsi="宋体" w:cs="宋体"/>
          <w:color w:val="auto"/>
          <w:kern w:val="0"/>
          <w:szCs w:val="21"/>
          <w:lang w:val="zh-CN"/>
        </w:rPr>
      </w:pPr>
      <w:r>
        <w:rPr>
          <w:rFonts w:hint="eastAsia" w:ascii="宋体" w:hAnsi="宋体" w:cs="宋体"/>
          <w:color w:val="auto"/>
          <w:kern w:val="0"/>
          <w:szCs w:val="21"/>
          <w:lang w:val="zh-CN"/>
        </w:rPr>
        <w:t>（五)不以任何理由向乙方推荐分包人或要求乙方购买项目合同规定以外的材料、设备和服务等。</w:t>
      </w:r>
    </w:p>
    <w:p w14:paraId="67C6CF11">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第三条  乙方的责任</w:t>
      </w:r>
    </w:p>
    <w:p w14:paraId="5A90F015">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乙方应与甲方保持正常的业务交往，按照有关法律法规和程序开展业务活动，严格执行工程建设的有关方针、政策，尤其是有关强制性标准和规范，并遵守以下规定：    </w:t>
      </w:r>
    </w:p>
    <w:p w14:paraId="38CA1298">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(一)不以任何理由向甲方及其工作人员行贿或赠送礼金、有价证券、贵重物品。    </w:t>
      </w:r>
    </w:p>
    <w:p w14:paraId="5D48FDFD">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(二)不以任何名义为甲方及其工作人员报销应由对方支付的费用。    </w:t>
      </w:r>
    </w:p>
    <w:p w14:paraId="400E39C8">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(三)不以任何理由宴请甲方工作人员或安排其他消费活动。    </w:t>
      </w:r>
    </w:p>
    <w:p w14:paraId="31683165">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(四)不为甲方和工作人员购置或提供通讯工具、交通工具、高档办公用品和装修住房等。 </w:t>
      </w:r>
    </w:p>
    <w:p w14:paraId="73ABFF61">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第四条  违约责任 </w:t>
      </w:r>
    </w:p>
    <w:p w14:paraId="59788162">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一)甲方工作人员有违反本合同第一、二条责任行为的，按照管理权限，依据有关规定予以处理；涉嫌犯罪的，移交司法机关追究刑事责任；给乙方造成经济损失的，应予赔偿。符合不良行为记录、公示规定的，进行不良行为记录、公示。    </w:t>
      </w:r>
    </w:p>
    <w:p w14:paraId="0DE950C4">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二)乙方工作人员有违反本合同第一、二条责任行为的，按照管理权限，依据有关规定予以处理；涉嫌犯罪的，移交司法机关追究刑事责任；给甲方造成经济损失的，应予赔偿。符合不良行为记录、公示规定的，进行不良行为记录、公示。    </w:t>
      </w:r>
    </w:p>
    <w:p w14:paraId="57AE1A99">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(三)乙方如将部分辅助项目分包的，乙方有责任向分包人交待本合同的具体内容，并严格执行本合同之规定，分包人如有违反上述责任行为的，乙方将承担连带责任。    </w:t>
      </w:r>
    </w:p>
    <w:p w14:paraId="3BC7E736">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第五条  双方约定：在自觉履行合同的同时，由甲、乙双方的监督单位负责对本合同履行情况进行监督检查。</w:t>
      </w:r>
    </w:p>
    <w:p w14:paraId="1277CDA6">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第六条  本合同作为</w:t>
      </w:r>
      <w:r>
        <w:rPr>
          <w:rFonts w:hint="eastAsia" w:ascii="宋体" w:hAnsi="宋体" w:cs="宋体"/>
          <w:color w:val="auto"/>
          <w:szCs w:val="21"/>
          <w:u w:val="single"/>
        </w:rPr>
        <w:t>江口街道2025年公共基础设施零星修复工程</w:t>
      </w:r>
      <w:r>
        <w:rPr>
          <w:rFonts w:hint="eastAsia" w:ascii="宋体" w:hAnsi="宋体" w:cs="宋体"/>
          <w:color w:val="auto"/>
          <w:kern w:val="0"/>
          <w:szCs w:val="21"/>
          <w:lang w:val="zh-CN"/>
        </w:rPr>
        <w:t>签订工程施工合同的附件，与主合同具有同等法律效力。</w:t>
      </w:r>
    </w:p>
    <w:p w14:paraId="3F79BE32">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甲乙双方签署后立即生效。</w:t>
      </w:r>
    </w:p>
    <w:p w14:paraId="5DF78817">
      <w:pPr>
        <w:shd w:val="clear"/>
        <w:autoSpaceDE w:val="0"/>
        <w:autoSpaceDN w:val="0"/>
        <w:adjustRightInd w:val="0"/>
        <w:spacing w:line="380" w:lineRule="exact"/>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 xml:space="preserve">第七条  本合同的有效期为双方签署之日起至该工程项目竣工验收合格时止。    </w:t>
      </w:r>
    </w:p>
    <w:p w14:paraId="4A39670B">
      <w:pPr>
        <w:shd w:val="clear"/>
        <w:spacing w:line="380" w:lineRule="exact"/>
        <w:ind w:firstLine="420" w:firstLineChars="200"/>
        <w:rPr>
          <w:rFonts w:ascii="宋体" w:hAnsi="宋体" w:cs="宋体"/>
          <w:color w:val="auto"/>
          <w:szCs w:val="21"/>
        </w:rPr>
      </w:pPr>
      <w:r>
        <w:rPr>
          <w:rFonts w:hint="eastAsia" w:ascii="宋体" w:hAnsi="宋体" w:cs="宋体"/>
          <w:color w:val="auto"/>
          <w:szCs w:val="21"/>
        </w:rPr>
        <w:t xml:space="preserve">第八条  </w:t>
      </w:r>
      <w:r>
        <w:rPr>
          <w:rFonts w:hint="eastAsia" w:ascii="宋体" w:hAnsi="宋体"/>
          <w:color w:val="auto"/>
          <w:szCs w:val="21"/>
        </w:rPr>
        <w:t>本合同一式陆份，甲、乙双方各执贰份，招标代理机构壹份，归档壹份。</w:t>
      </w:r>
    </w:p>
    <w:p w14:paraId="22D3C771">
      <w:pPr>
        <w:shd w:val="clear"/>
        <w:autoSpaceDE w:val="0"/>
        <w:autoSpaceDN w:val="0"/>
        <w:adjustRightInd w:val="0"/>
        <w:spacing w:line="380" w:lineRule="exact"/>
        <w:ind w:firstLine="210"/>
        <w:jc w:val="left"/>
        <w:rPr>
          <w:rFonts w:ascii="宋体" w:hAnsi="宋体" w:cs="宋体"/>
          <w:color w:val="auto"/>
          <w:szCs w:val="21"/>
        </w:rPr>
      </w:pPr>
      <w:r>
        <w:rPr>
          <w:rFonts w:hint="eastAsia" w:ascii="宋体" w:hAnsi="宋体" w:cs="宋体"/>
          <w:color w:val="auto"/>
          <w:szCs w:val="21"/>
        </w:rPr>
        <w:t xml:space="preserve">甲方(盖章)：               </w:t>
      </w:r>
      <w:r>
        <w:rPr>
          <w:rFonts w:hint="eastAsia" w:ascii="宋体" w:hAnsi="宋体" w:cs="宋体"/>
          <w:color w:val="auto"/>
          <w:kern w:val="0"/>
          <w:szCs w:val="21"/>
          <w:lang w:val="zh-CN"/>
        </w:rPr>
        <w:tab/>
      </w:r>
      <w:r>
        <w:rPr>
          <w:rFonts w:hint="eastAsia" w:ascii="宋体" w:hAnsi="宋体" w:cs="宋体"/>
          <w:color w:val="auto"/>
          <w:kern w:val="0"/>
          <w:szCs w:val="21"/>
        </w:rPr>
        <w:t xml:space="preserve">       </w:t>
      </w:r>
      <w:r>
        <w:rPr>
          <w:rFonts w:hint="eastAsia" w:ascii="宋体" w:hAnsi="宋体" w:cs="宋体"/>
          <w:color w:val="auto"/>
          <w:szCs w:val="21"/>
        </w:rPr>
        <w:t>乙方(盖章)：</w:t>
      </w:r>
    </w:p>
    <w:p w14:paraId="61594EB4">
      <w:pPr>
        <w:shd w:val="clear"/>
        <w:tabs>
          <w:tab w:val="left" w:pos="4962"/>
        </w:tabs>
        <w:spacing w:line="400" w:lineRule="exact"/>
        <w:ind w:firstLine="210"/>
        <w:rPr>
          <w:rFonts w:ascii="宋体" w:hAnsi="宋体" w:cs="宋体"/>
          <w:color w:val="auto"/>
          <w:szCs w:val="21"/>
        </w:rPr>
      </w:pPr>
      <w:r>
        <w:rPr>
          <w:rFonts w:hint="eastAsia" w:ascii="宋体" w:hAnsi="宋体" w:cs="宋体"/>
          <w:color w:val="auto"/>
          <w:szCs w:val="21"/>
        </w:rPr>
        <w:t>法定代表人或其委托代理人：         法定代表人或其委托代理人：</w:t>
      </w:r>
    </w:p>
    <w:p w14:paraId="1DCAE73A">
      <w:pPr>
        <w:shd w:val="clear"/>
        <w:autoSpaceDE w:val="0"/>
        <w:autoSpaceDN w:val="0"/>
        <w:adjustRightInd w:val="0"/>
        <w:spacing w:line="380" w:lineRule="exact"/>
        <w:ind w:firstLine="210"/>
        <w:jc w:val="left"/>
        <w:rPr>
          <w:rFonts w:ascii="宋体" w:hAnsi="宋体" w:cs="宋体"/>
          <w:color w:val="auto"/>
          <w:kern w:val="0"/>
          <w:szCs w:val="21"/>
        </w:rPr>
      </w:pPr>
      <w:r>
        <w:rPr>
          <w:rFonts w:hint="eastAsia" w:ascii="宋体" w:hAnsi="宋体" w:cs="宋体"/>
          <w:color w:val="auto"/>
          <w:kern w:val="0"/>
          <w:szCs w:val="21"/>
        </w:rPr>
        <w:t>地址：</w:t>
      </w:r>
      <w:r>
        <w:rPr>
          <w:rFonts w:hint="eastAsia" w:ascii="宋体" w:hAnsi="宋体" w:cs="宋体"/>
          <w:color w:val="auto"/>
          <w:kern w:val="0"/>
          <w:szCs w:val="21"/>
        </w:rPr>
        <w:tab/>
      </w:r>
    </w:p>
    <w:p w14:paraId="22EC2B75">
      <w:pPr>
        <w:shd w:val="clear"/>
        <w:autoSpaceDE w:val="0"/>
        <w:autoSpaceDN w:val="0"/>
        <w:adjustRightInd w:val="0"/>
        <w:spacing w:line="380" w:lineRule="exact"/>
        <w:ind w:left="521" w:leftChars="248" w:firstLine="210"/>
        <w:jc w:val="left"/>
        <w:rPr>
          <w:rFonts w:ascii="宋体" w:hAnsi="宋体" w:cs="宋体"/>
          <w:color w:val="auto"/>
          <w:kern w:val="0"/>
          <w:szCs w:val="21"/>
        </w:rPr>
      </w:pPr>
    </w:p>
    <w:p w14:paraId="0F0EC2A0">
      <w:pPr>
        <w:shd w:val="clear"/>
        <w:tabs>
          <w:tab w:val="left" w:pos="4962"/>
        </w:tabs>
        <w:spacing w:line="400" w:lineRule="exact"/>
        <w:ind w:firstLine="420" w:firstLineChars="200"/>
        <w:rPr>
          <w:rFonts w:ascii="宋体" w:hAnsi="宋体" w:cs="宋体"/>
          <w:color w:val="auto"/>
          <w:szCs w:val="21"/>
        </w:rPr>
      </w:pPr>
      <w:r>
        <w:rPr>
          <w:rFonts w:hint="eastAsia" w:ascii="宋体" w:hAnsi="宋体" w:cs="宋体"/>
          <w:color w:val="auto"/>
          <w:szCs w:val="21"/>
        </w:rPr>
        <w:t>电话：</w:t>
      </w:r>
      <w:r>
        <w:rPr>
          <w:rFonts w:hint="eastAsia" w:ascii="宋体" w:hAnsi="宋体" w:cs="宋体"/>
          <w:color w:val="auto"/>
          <w:szCs w:val="21"/>
        </w:rPr>
        <w:tab/>
      </w:r>
      <w:r>
        <w:rPr>
          <w:rFonts w:hint="eastAsia" w:ascii="宋体" w:hAnsi="宋体" w:cs="宋体"/>
          <w:color w:val="auto"/>
          <w:szCs w:val="21"/>
        </w:rPr>
        <w:t>电话：</w:t>
      </w:r>
    </w:p>
    <w:p w14:paraId="0EADC7D1">
      <w:pPr>
        <w:shd w:val="clear"/>
        <w:tabs>
          <w:tab w:val="left" w:pos="5385"/>
        </w:tabs>
        <w:spacing w:line="400" w:lineRule="exact"/>
        <w:ind w:firstLine="840" w:firstLineChars="400"/>
        <w:rPr>
          <w:rFonts w:ascii="宋体" w:hAnsi="宋体" w:cs="宋体"/>
          <w:color w:val="auto"/>
          <w:szCs w:val="21"/>
        </w:rPr>
      </w:pPr>
      <w:r>
        <w:rPr>
          <w:rFonts w:hint="eastAsia" w:ascii="宋体" w:hAnsi="宋体" w:cs="宋体"/>
          <w:color w:val="auto"/>
          <w:szCs w:val="21"/>
        </w:rPr>
        <w:t>年 月  日</w:t>
      </w:r>
      <w:r>
        <w:rPr>
          <w:rFonts w:hint="eastAsia" w:ascii="宋体" w:hAnsi="宋体" w:cs="宋体"/>
          <w:color w:val="auto"/>
          <w:szCs w:val="21"/>
        </w:rPr>
        <w:tab/>
      </w:r>
      <w:r>
        <w:rPr>
          <w:rFonts w:hint="eastAsia" w:ascii="宋体" w:hAnsi="宋体" w:cs="宋体"/>
          <w:color w:val="auto"/>
          <w:szCs w:val="21"/>
        </w:rPr>
        <w:t>年 月   日</w:t>
      </w:r>
    </w:p>
    <w:p w14:paraId="47CC3515">
      <w:pPr>
        <w:shd w:val="clear"/>
        <w:spacing w:line="360" w:lineRule="auto"/>
        <w:ind w:firstLine="211"/>
        <w:rPr>
          <w:rFonts w:ascii="宋体" w:hAnsi="宋体" w:cs="宋体"/>
          <w:b/>
          <w:color w:val="auto"/>
          <w:szCs w:val="21"/>
        </w:rPr>
      </w:pPr>
    </w:p>
    <w:p w14:paraId="73D9C738">
      <w:pPr>
        <w:shd w:val="clear"/>
        <w:spacing w:line="360" w:lineRule="auto"/>
        <w:ind w:firstLine="211"/>
        <w:rPr>
          <w:rFonts w:ascii="宋体" w:hAnsi="宋体" w:cs="宋体"/>
          <w:b/>
          <w:color w:val="auto"/>
          <w:szCs w:val="21"/>
        </w:rPr>
      </w:pPr>
    </w:p>
    <w:p w14:paraId="4E8A657C">
      <w:pPr>
        <w:shd w:val="clear"/>
        <w:spacing w:line="360" w:lineRule="auto"/>
        <w:ind w:firstLine="211"/>
        <w:rPr>
          <w:rFonts w:ascii="宋体" w:hAnsi="宋体" w:cs="宋体"/>
          <w:b/>
          <w:color w:val="auto"/>
          <w:szCs w:val="21"/>
        </w:rPr>
      </w:pPr>
    </w:p>
    <w:p w14:paraId="1F51566D">
      <w:pPr>
        <w:shd w:val="clear"/>
        <w:spacing w:line="360" w:lineRule="auto"/>
        <w:ind w:firstLine="211"/>
        <w:rPr>
          <w:rFonts w:ascii="宋体" w:hAnsi="宋体" w:cs="宋体"/>
          <w:b/>
          <w:color w:val="auto"/>
          <w:szCs w:val="21"/>
        </w:rPr>
      </w:pPr>
    </w:p>
    <w:p w14:paraId="71316BBF">
      <w:pPr>
        <w:shd w:val="clear"/>
        <w:spacing w:line="360" w:lineRule="auto"/>
        <w:ind w:firstLine="211"/>
        <w:rPr>
          <w:rFonts w:ascii="宋体" w:hAnsi="宋体" w:cs="宋体"/>
          <w:b/>
          <w:color w:val="auto"/>
          <w:szCs w:val="21"/>
        </w:rPr>
      </w:pPr>
    </w:p>
    <w:p w14:paraId="6A6C250E">
      <w:pPr>
        <w:shd w:val="clear"/>
        <w:spacing w:line="360" w:lineRule="auto"/>
        <w:ind w:firstLine="211"/>
        <w:rPr>
          <w:rFonts w:ascii="宋体" w:hAnsi="宋体" w:cs="宋体"/>
          <w:b/>
          <w:color w:val="auto"/>
          <w:szCs w:val="21"/>
        </w:rPr>
      </w:pPr>
    </w:p>
    <w:p w14:paraId="1E747F44">
      <w:pPr>
        <w:shd w:val="clear"/>
        <w:spacing w:line="360" w:lineRule="auto"/>
        <w:ind w:firstLine="211"/>
        <w:rPr>
          <w:rFonts w:ascii="宋体" w:hAnsi="宋体" w:cs="宋体"/>
          <w:b/>
          <w:color w:val="auto"/>
          <w:szCs w:val="21"/>
        </w:rPr>
      </w:pPr>
    </w:p>
    <w:p w14:paraId="6F8294BB">
      <w:pPr>
        <w:pStyle w:val="34"/>
        <w:shd w:val="clear"/>
        <w:rPr>
          <w:color w:val="auto"/>
        </w:rPr>
      </w:pPr>
    </w:p>
    <w:p w14:paraId="60006087">
      <w:pPr>
        <w:pStyle w:val="34"/>
        <w:shd w:val="clear"/>
        <w:rPr>
          <w:color w:val="auto"/>
        </w:rPr>
      </w:pPr>
    </w:p>
    <w:p w14:paraId="3EB7B266">
      <w:pPr>
        <w:widowControl/>
        <w:shd w:val="clear"/>
        <w:ind w:firstLine="211"/>
        <w:jc w:val="left"/>
        <w:rPr>
          <w:rFonts w:ascii="宋体" w:hAnsi="宋体" w:cs="宋体"/>
          <w:b/>
          <w:color w:val="auto"/>
          <w:szCs w:val="21"/>
        </w:rPr>
      </w:pPr>
    </w:p>
    <w:p w14:paraId="47BA563E">
      <w:pPr>
        <w:shd w:val="clear"/>
        <w:spacing w:line="360" w:lineRule="auto"/>
        <w:ind w:left="720" w:firstLine="723" w:firstLineChars="200"/>
        <w:outlineLvl w:val="0"/>
        <w:rPr>
          <w:rFonts w:asciiTheme="minorEastAsia" w:hAnsiTheme="minorEastAsia" w:eastAsiaTheme="minorEastAsia" w:cstheme="minorEastAsia"/>
          <w:b/>
          <w:color w:val="auto"/>
          <w:sz w:val="36"/>
          <w:szCs w:val="20"/>
        </w:rPr>
      </w:pPr>
      <w:r>
        <w:rPr>
          <w:rFonts w:hint="eastAsia" w:asciiTheme="minorEastAsia" w:hAnsiTheme="minorEastAsia" w:eastAsiaTheme="minorEastAsia" w:cstheme="minorEastAsia"/>
          <w:b/>
          <w:color w:val="auto"/>
          <w:sz w:val="36"/>
          <w:szCs w:val="20"/>
        </w:rPr>
        <w:t>第六部分</w:t>
      </w:r>
      <w:bookmarkEnd w:id="387"/>
      <w:r>
        <w:rPr>
          <w:rFonts w:hint="eastAsia" w:asciiTheme="minorEastAsia" w:hAnsiTheme="minorEastAsia" w:eastAsiaTheme="minorEastAsia" w:cstheme="minorEastAsia"/>
          <w:b/>
          <w:color w:val="auto"/>
          <w:sz w:val="36"/>
          <w:szCs w:val="20"/>
        </w:rPr>
        <w:t xml:space="preserve"> </w:t>
      </w:r>
      <w:bookmarkEnd w:id="388"/>
      <w:r>
        <w:rPr>
          <w:rFonts w:hint="eastAsia" w:asciiTheme="minorEastAsia" w:hAnsiTheme="minorEastAsia" w:eastAsiaTheme="minorEastAsia" w:cstheme="minorEastAsia"/>
          <w:b/>
          <w:color w:val="auto"/>
          <w:sz w:val="36"/>
          <w:szCs w:val="20"/>
        </w:rPr>
        <w:t>应提交的有关格式范例</w:t>
      </w:r>
    </w:p>
    <w:p w14:paraId="33C95118">
      <w:pPr>
        <w:shd w:val="clear"/>
        <w:spacing w:line="360" w:lineRule="auto"/>
        <w:ind w:firstLine="361"/>
        <w:jc w:val="center"/>
        <w:outlineLvl w:val="0"/>
        <w:rPr>
          <w:rFonts w:asciiTheme="minorEastAsia" w:hAnsiTheme="minorEastAsia" w:eastAsiaTheme="minorEastAsia" w:cstheme="minorEastAsia"/>
          <w:b/>
          <w:color w:val="auto"/>
          <w:kern w:val="0"/>
          <w:sz w:val="36"/>
          <w:szCs w:val="36"/>
        </w:rPr>
      </w:pPr>
    </w:p>
    <w:p w14:paraId="6223F54C">
      <w:pPr>
        <w:shd w:val="clear"/>
        <w:spacing w:line="360" w:lineRule="auto"/>
        <w:ind w:firstLine="361"/>
        <w:jc w:val="center"/>
        <w:outlineLvl w:val="0"/>
        <w:rPr>
          <w:rFonts w:asciiTheme="minorEastAsia" w:hAnsiTheme="minorEastAsia" w:eastAsiaTheme="minorEastAsia" w:cstheme="minorEastAsia"/>
          <w:b/>
          <w:color w:val="auto"/>
          <w:kern w:val="0"/>
          <w:sz w:val="36"/>
          <w:szCs w:val="36"/>
        </w:rPr>
      </w:pPr>
      <w:r>
        <w:rPr>
          <w:rFonts w:hint="eastAsia" w:asciiTheme="minorEastAsia" w:hAnsiTheme="minorEastAsia" w:eastAsiaTheme="minorEastAsia" w:cstheme="minorEastAsia"/>
          <w:b/>
          <w:color w:val="auto"/>
          <w:kern w:val="0"/>
          <w:sz w:val="36"/>
          <w:szCs w:val="36"/>
        </w:rPr>
        <w:t>资格文件部分</w:t>
      </w:r>
    </w:p>
    <w:p w14:paraId="73A82AB4">
      <w:pPr>
        <w:shd w:val="clear"/>
        <w:spacing w:line="360" w:lineRule="auto"/>
        <w:ind w:firstLine="361"/>
        <w:jc w:val="center"/>
        <w:outlineLvl w:val="0"/>
        <w:rPr>
          <w:rFonts w:asciiTheme="minorEastAsia" w:hAnsiTheme="minorEastAsia" w:eastAsiaTheme="minorEastAsia" w:cstheme="minorEastAsia"/>
          <w:b/>
          <w:color w:val="auto"/>
          <w:kern w:val="0"/>
          <w:sz w:val="36"/>
          <w:szCs w:val="36"/>
        </w:rPr>
      </w:pPr>
      <w:r>
        <w:rPr>
          <w:rFonts w:hint="eastAsia" w:asciiTheme="minorEastAsia" w:hAnsiTheme="minorEastAsia" w:eastAsiaTheme="minorEastAsia" w:cstheme="minorEastAsia"/>
          <w:b/>
          <w:color w:val="auto"/>
          <w:kern w:val="0"/>
          <w:sz w:val="36"/>
          <w:szCs w:val="36"/>
        </w:rPr>
        <w:t>目录</w:t>
      </w:r>
    </w:p>
    <w:p w14:paraId="10717562">
      <w:pPr>
        <w:shd w:val="clear"/>
        <w:spacing w:line="360" w:lineRule="auto"/>
        <w:ind w:firstLine="361"/>
        <w:jc w:val="center"/>
        <w:outlineLvl w:val="0"/>
        <w:rPr>
          <w:rFonts w:asciiTheme="minorEastAsia" w:hAnsiTheme="minorEastAsia" w:eastAsiaTheme="minorEastAsia" w:cstheme="minorEastAsia"/>
          <w:b/>
          <w:color w:val="auto"/>
          <w:kern w:val="0"/>
          <w:sz w:val="36"/>
          <w:szCs w:val="36"/>
        </w:rPr>
      </w:pPr>
    </w:p>
    <w:p w14:paraId="0B1B0305">
      <w:pPr>
        <w:shd w:val="clear"/>
        <w:adjustRightInd w:val="0"/>
        <w:snapToGrid w:val="0"/>
        <w:spacing w:line="360" w:lineRule="auto"/>
        <w:ind w:left="420" w:leftChars="200" w:firstLine="560" w:firstLineChars="200"/>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1 有效的企业法人营业执照；</w:t>
      </w:r>
    </w:p>
    <w:p w14:paraId="3107ABA9">
      <w:pPr>
        <w:shd w:val="clear"/>
        <w:adjustRightInd w:val="0"/>
        <w:snapToGrid w:val="0"/>
        <w:spacing w:line="360" w:lineRule="auto"/>
        <w:ind w:left="420" w:leftChars="200" w:firstLine="560" w:firstLineChars="200"/>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2 符合参加采购活动应当具备的一般条件的承诺函；</w:t>
      </w:r>
    </w:p>
    <w:p w14:paraId="0726C822">
      <w:pPr>
        <w:shd w:val="clear"/>
        <w:adjustRightInd w:val="0"/>
        <w:snapToGrid w:val="0"/>
        <w:spacing w:line="360" w:lineRule="auto"/>
        <w:ind w:left="420" w:leftChars="200" w:firstLine="560" w:firstLineChars="200"/>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3中小企业声明函（或残疾人福利性单位声明函、或监狱企业的证明文件）；</w:t>
      </w:r>
    </w:p>
    <w:p w14:paraId="61BBD05E">
      <w:pPr>
        <w:shd w:val="clear"/>
        <w:adjustRightInd w:val="0"/>
        <w:snapToGrid w:val="0"/>
        <w:spacing w:line="360" w:lineRule="auto"/>
        <w:ind w:left="420" w:leftChars="200" w:firstLine="560" w:firstLineChars="200"/>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4本项目的特定资格要求。</w:t>
      </w:r>
    </w:p>
    <w:p w14:paraId="2AB7503C">
      <w:pPr>
        <w:pStyle w:val="35"/>
        <w:shd w:val="clear"/>
        <w:spacing w:line="360" w:lineRule="auto"/>
        <w:ind w:firstLine="480"/>
        <w:rPr>
          <w:rFonts w:asciiTheme="minorEastAsia" w:hAnsiTheme="minorEastAsia" w:eastAsiaTheme="minorEastAsia" w:cstheme="minorEastAsia"/>
          <w:color w:val="auto"/>
          <w:sz w:val="24"/>
        </w:rPr>
      </w:pPr>
    </w:p>
    <w:p w14:paraId="4DAD3FD5">
      <w:pPr>
        <w:shd w:val="clear"/>
        <w:spacing w:line="360" w:lineRule="auto"/>
        <w:ind w:firstLine="321"/>
        <w:rPr>
          <w:rFonts w:asciiTheme="minorEastAsia" w:hAnsiTheme="minorEastAsia" w:eastAsiaTheme="minorEastAsia" w:cstheme="minorEastAsia"/>
          <w:b/>
          <w:color w:val="auto"/>
          <w:kern w:val="0"/>
          <w:sz w:val="32"/>
          <w:szCs w:val="32"/>
        </w:rPr>
      </w:pPr>
      <w:r>
        <w:rPr>
          <w:rFonts w:hint="eastAsia" w:asciiTheme="minorEastAsia" w:hAnsiTheme="minorEastAsia" w:eastAsiaTheme="minorEastAsia" w:cstheme="minorEastAsia"/>
          <w:b/>
          <w:color w:val="auto"/>
          <w:kern w:val="0"/>
          <w:sz w:val="32"/>
          <w:szCs w:val="32"/>
        </w:rPr>
        <w:br w:type="page"/>
      </w:r>
    </w:p>
    <w:p w14:paraId="2A7A75D3">
      <w:pPr>
        <w:shd w:val="clear"/>
        <w:snapToGrid w:val="0"/>
        <w:spacing w:line="360" w:lineRule="auto"/>
        <w:ind w:right="480" w:firstLine="321"/>
        <w:jc w:val="center"/>
        <w:rPr>
          <w:rFonts w:asciiTheme="minorEastAsia" w:hAnsiTheme="minorEastAsia" w:eastAsiaTheme="minorEastAsia" w:cstheme="minorEastAsia"/>
          <w:b/>
          <w:color w:val="auto"/>
          <w:kern w:val="0"/>
          <w:sz w:val="32"/>
          <w:szCs w:val="32"/>
        </w:rPr>
      </w:pPr>
      <w:r>
        <w:rPr>
          <w:rFonts w:hint="eastAsia" w:asciiTheme="minorEastAsia" w:hAnsiTheme="minorEastAsia" w:eastAsiaTheme="minorEastAsia" w:cstheme="minorEastAsia"/>
          <w:b/>
          <w:color w:val="auto"/>
          <w:kern w:val="0"/>
          <w:sz w:val="32"/>
          <w:szCs w:val="32"/>
        </w:rPr>
        <w:t>一、 符合参加采购活动应当具备的一般条件的承诺函</w:t>
      </w:r>
    </w:p>
    <w:p w14:paraId="483E5B77">
      <w:pPr>
        <w:shd w:val="clear"/>
        <w:snapToGrid w:val="0"/>
        <w:spacing w:line="360" w:lineRule="auto"/>
        <w:ind w:firstLine="240"/>
        <w:rPr>
          <w:rFonts w:asciiTheme="minorEastAsia" w:hAnsiTheme="minorEastAsia" w:eastAsiaTheme="minorEastAsia" w:cstheme="minorEastAsia"/>
          <w:color w:val="auto"/>
          <w:sz w:val="24"/>
          <w:u w:val="single"/>
        </w:rPr>
      </w:pPr>
    </w:p>
    <w:p w14:paraId="2B0C8873">
      <w:pPr>
        <w:shd w:val="clear"/>
        <w:snapToGrid w:val="0"/>
        <w:spacing w:line="360" w:lineRule="auto"/>
        <w:ind w:firstLine="240"/>
        <w:rPr>
          <w:rFonts w:asciiTheme="minorEastAsia" w:hAnsiTheme="minorEastAsia" w:eastAsiaTheme="minorEastAsia" w:cstheme="minorEastAsia"/>
          <w:color w:val="auto"/>
          <w:sz w:val="24"/>
          <w:u w:val="single"/>
        </w:rPr>
      </w:pPr>
    </w:p>
    <w:p w14:paraId="7659176E">
      <w:pPr>
        <w:shd w:val="clear"/>
        <w:snapToGrid w:val="0"/>
        <w:spacing w:line="360" w:lineRule="auto"/>
        <w:ind w:firstLine="24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u w:val="single"/>
        </w:rPr>
        <w:t>宁波市奉化区人民政府江口街道办事处</w:t>
      </w:r>
      <w:r>
        <w:rPr>
          <w:rFonts w:hint="eastAsia" w:asciiTheme="minorEastAsia" w:hAnsiTheme="minorEastAsia" w:eastAsiaTheme="minorEastAsia" w:cstheme="minorEastAsia"/>
          <w:color w:val="auto"/>
          <w:kern w:val="0"/>
          <w:sz w:val="24"/>
          <w:lang w:val="zh-CN"/>
        </w:rPr>
        <w:t>：</w:t>
      </w:r>
    </w:p>
    <w:p w14:paraId="3A55DFCC">
      <w:pPr>
        <w:shd w:val="clear"/>
        <w:snapToGrid w:val="0"/>
        <w:spacing w:line="360" w:lineRule="auto"/>
        <w:ind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我方参与</w:t>
      </w:r>
      <w:r>
        <w:rPr>
          <w:rFonts w:hint="eastAsia" w:asciiTheme="minorEastAsia" w:hAnsiTheme="minorEastAsia" w:eastAsiaTheme="minorEastAsia" w:cstheme="minorEastAsia"/>
          <w:color w:val="auto"/>
          <w:sz w:val="24"/>
          <w:u w:val="single"/>
        </w:rPr>
        <w:t>（项目名称）【项目编号：         】</w:t>
      </w:r>
      <w:r>
        <w:rPr>
          <w:rFonts w:hint="eastAsia" w:asciiTheme="minorEastAsia" w:hAnsiTheme="minorEastAsia" w:eastAsiaTheme="minorEastAsia" w:cstheme="minorEastAsia"/>
          <w:color w:val="auto"/>
          <w:sz w:val="24"/>
        </w:rPr>
        <w:t>采购活动，郑重承诺：</w:t>
      </w:r>
    </w:p>
    <w:p w14:paraId="2D41088A">
      <w:pPr>
        <w:shd w:val="clear"/>
        <w:snapToGrid w:val="0"/>
        <w:spacing w:line="360" w:lineRule="auto"/>
        <w:ind w:firstLine="360" w:firstLineChars="15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（一）具备《中华人民共和国政府采购法》第二十二条第一款规定的条件：</w:t>
      </w:r>
    </w:p>
    <w:p w14:paraId="10985862">
      <w:pPr>
        <w:shd w:val="clear"/>
        <w:snapToGrid w:val="0"/>
        <w:spacing w:line="360" w:lineRule="auto"/>
        <w:ind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1.具有独立承担民事责任的能力；</w:t>
      </w:r>
    </w:p>
    <w:p w14:paraId="648AF68E">
      <w:pPr>
        <w:shd w:val="clear"/>
        <w:snapToGrid w:val="0"/>
        <w:spacing w:line="360" w:lineRule="auto"/>
        <w:ind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2.具有良好的商业信誉和健全的财务会计制度； </w:t>
      </w:r>
    </w:p>
    <w:p w14:paraId="6EBC4197">
      <w:pPr>
        <w:shd w:val="clear"/>
        <w:snapToGrid w:val="0"/>
        <w:spacing w:line="360" w:lineRule="auto"/>
        <w:ind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3.具有履行合同所必需的设备和专业技术能力；</w:t>
      </w:r>
    </w:p>
    <w:p w14:paraId="1AA68CBF">
      <w:pPr>
        <w:shd w:val="clear"/>
        <w:snapToGrid w:val="0"/>
        <w:spacing w:line="360" w:lineRule="auto"/>
        <w:ind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4.有依法缴纳税收和社会保障资金的良好记录；</w:t>
      </w:r>
    </w:p>
    <w:p w14:paraId="2AE8681A">
      <w:pPr>
        <w:shd w:val="clear"/>
        <w:snapToGrid w:val="0"/>
        <w:spacing w:line="360" w:lineRule="auto"/>
        <w:ind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5.参加政府采购活动前三年内，在经营活动中没有重大违法记录；</w:t>
      </w:r>
    </w:p>
    <w:p w14:paraId="3F008380">
      <w:pPr>
        <w:shd w:val="clear"/>
        <w:snapToGrid w:val="0"/>
        <w:spacing w:line="360" w:lineRule="auto"/>
        <w:ind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6.具有法律、行政法规规定的其他条件。</w:t>
      </w:r>
    </w:p>
    <w:p w14:paraId="44A8E482">
      <w:pPr>
        <w:shd w:val="clear"/>
        <w:snapToGrid w:val="0"/>
        <w:spacing w:line="360" w:lineRule="auto"/>
        <w:ind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（二）未被信用中国（www.creditchina.gov.cn)、中国政府采购网（www.ccgp.gov.cn）列入失信被执行人、重大税收违法失信主体、政府采购严重违法失信行为记录名单。</w:t>
      </w:r>
    </w:p>
    <w:p w14:paraId="6E86D5AD">
      <w:pPr>
        <w:shd w:val="clear"/>
        <w:snapToGrid w:val="0"/>
        <w:spacing w:line="360" w:lineRule="auto"/>
        <w:ind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（三）不存在以下情况：</w:t>
      </w:r>
    </w:p>
    <w:p w14:paraId="2A059159">
      <w:pPr>
        <w:shd w:val="clear"/>
        <w:snapToGrid w:val="0"/>
        <w:spacing w:line="360" w:lineRule="auto"/>
        <w:ind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1.单位负责人为同一人或者存在直接控股、管理关系的不同供应商参加同一合同项下的采购活动的；</w:t>
      </w:r>
    </w:p>
    <w:p w14:paraId="3011B124">
      <w:pPr>
        <w:shd w:val="clear"/>
        <w:snapToGrid w:val="0"/>
        <w:spacing w:line="360" w:lineRule="auto"/>
        <w:ind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2.为采购项目提供整体设计、规范编制或者项目管理、监理、检测等服务后再参加该采购项目的其他采购活动的。</w:t>
      </w:r>
    </w:p>
    <w:p w14:paraId="0DBDCDC6">
      <w:pPr>
        <w:shd w:val="clear"/>
        <w:snapToGrid w:val="0"/>
        <w:spacing w:line="360" w:lineRule="auto"/>
        <w:ind w:firstLine="5520" w:firstLineChars="2300"/>
        <w:rPr>
          <w:rFonts w:asciiTheme="minorEastAsia" w:hAnsiTheme="minorEastAsia" w:eastAsiaTheme="minorEastAsia" w:cstheme="minorEastAsia"/>
          <w:color w:val="auto"/>
          <w:kern w:val="0"/>
          <w:sz w:val="24"/>
          <w:lang w:val="zh-CN"/>
        </w:rPr>
      </w:pPr>
    </w:p>
    <w:p w14:paraId="5DAB2EA6">
      <w:pPr>
        <w:shd w:val="clear"/>
        <w:snapToGrid w:val="0"/>
        <w:spacing w:line="360" w:lineRule="auto"/>
        <w:ind w:firstLine="5520" w:firstLineChars="2300"/>
        <w:rPr>
          <w:rFonts w:asciiTheme="minorEastAsia" w:hAnsiTheme="minorEastAsia" w:eastAsiaTheme="minorEastAsia" w:cstheme="minorEastAsia"/>
          <w:color w:val="auto"/>
          <w:kern w:val="0"/>
          <w:sz w:val="24"/>
          <w:lang w:val="zh-CN"/>
        </w:rPr>
      </w:pPr>
    </w:p>
    <w:p w14:paraId="65252341">
      <w:pPr>
        <w:shd w:val="clear"/>
        <w:spacing w:line="360" w:lineRule="auto"/>
        <w:ind w:right="420" w:firstLine="5250" w:firstLineChars="25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法定代表人（签名或印章）：     </w:t>
      </w:r>
    </w:p>
    <w:p w14:paraId="6BEFE90A">
      <w:pPr>
        <w:shd w:val="clear"/>
        <w:spacing w:line="360" w:lineRule="auto"/>
        <w:ind w:right="420" w:firstLine="5460" w:firstLineChars="26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供应商（盖章）：   </w:t>
      </w:r>
    </w:p>
    <w:p w14:paraId="58C827B8">
      <w:pPr>
        <w:shd w:val="clear"/>
        <w:spacing w:line="360" w:lineRule="auto"/>
        <w:ind w:right="420" w:firstLine="5355" w:firstLineChars="255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 年    月    日</w:t>
      </w:r>
    </w:p>
    <w:p w14:paraId="22A20346">
      <w:pPr>
        <w:shd w:val="clear"/>
        <w:snapToGrid w:val="0"/>
        <w:spacing w:line="360" w:lineRule="auto"/>
        <w:ind w:right="480" w:firstLine="321"/>
        <w:jc w:val="center"/>
        <w:rPr>
          <w:rFonts w:asciiTheme="minorEastAsia" w:hAnsiTheme="minorEastAsia" w:eastAsiaTheme="minorEastAsia" w:cstheme="minorEastAsia"/>
          <w:b/>
          <w:color w:val="auto"/>
          <w:kern w:val="0"/>
          <w:sz w:val="32"/>
          <w:szCs w:val="32"/>
        </w:rPr>
      </w:pPr>
    </w:p>
    <w:p w14:paraId="3C1382B0">
      <w:pPr>
        <w:shd w:val="clear"/>
        <w:spacing w:line="360" w:lineRule="auto"/>
        <w:ind w:firstLine="321"/>
        <w:rPr>
          <w:rFonts w:asciiTheme="minorEastAsia" w:hAnsiTheme="minorEastAsia" w:eastAsiaTheme="minorEastAsia" w:cstheme="minorEastAsia"/>
          <w:b/>
          <w:color w:val="auto"/>
          <w:kern w:val="0"/>
          <w:sz w:val="32"/>
          <w:szCs w:val="32"/>
        </w:rPr>
      </w:pPr>
      <w:r>
        <w:rPr>
          <w:rFonts w:hint="eastAsia" w:asciiTheme="minorEastAsia" w:hAnsiTheme="minorEastAsia" w:eastAsiaTheme="minorEastAsia" w:cstheme="minorEastAsia"/>
          <w:b/>
          <w:color w:val="auto"/>
          <w:kern w:val="0"/>
          <w:sz w:val="32"/>
          <w:szCs w:val="32"/>
        </w:rPr>
        <w:br w:type="page"/>
      </w:r>
    </w:p>
    <w:p w14:paraId="02F43343">
      <w:pPr>
        <w:pStyle w:val="10"/>
        <w:shd w:val="clear"/>
        <w:ind w:firstLine="562"/>
        <w:jc w:val="center"/>
        <w:rPr>
          <w:b/>
          <w:color w:val="auto"/>
          <w:sz w:val="28"/>
          <w:szCs w:val="22"/>
        </w:rPr>
      </w:pPr>
      <w:r>
        <w:rPr>
          <w:rFonts w:hint="eastAsia"/>
          <w:b/>
          <w:color w:val="auto"/>
          <w:sz w:val="28"/>
        </w:rPr>
        <w:t>二、</w:t>
      </w:r>
      <w:r>
        <w:rPr>
          <w:rFonts w:hint="eastAsia"/>
          <w:b/>
          <w:color w:val="auto"/>
          <w:sz w:val="28"/>
          <w:szCs w:val="22"/>
        </w:rPr>
        <w:t>中小企业声明函</w:t>
      </w:r>
    </w:p>
    <w:p w14:paraId="0FD26AC7">
      <w:pPr>
        <w:shd w:val="clear"/>
        <w:spacing w:line="440" w:lineRule="exact"/>
        <w:ind w:firstLine="420" w:firstLineChars="200"/>
        <w:rPr>
          <w:color w:val="auto"/>
        </w:rPr>
      </w:pPr>
      <w:r>
        <w:rPr>
          <w:color w:val="auto"/>
        </w:rPr>
        <w:t>本公司郑重声明，根据《政府采购促进中小企业发展管理办法》（财库﹝2020﹞46 号）的规定，本公司参加</w:t>
      </w:r>
      <w:r>
        <w:rPr>
          <w:rFonts w:hint="eastAsia"/>
          <w:color w:val="auto"/>
          <w:u w:val="single"/>
        </w:rPr>
        <w:t>江口街道2025年公共基础设施零星修复工程</w:t>
      </w:r>
      <w:r>
        <w:rPr>
          <w:color w:val="auto"/>
        </w:rPr>
        <w:t>采购活动，</w:t>
      </w:r>
      <w:r>
        <w:rPr>
          <w:rFonts w:hint="eastAsia"/>
          <w:color w:val="auto"/>
        </w:rPr>
        <w:t>工程的施工单位全部为符合政策要求的中小企业</w:t>
      </w:r>
      <w:r>
        <w:rPr>
          <w:color w:val="auto"/>
        </w:rPr>
        <w:t>。相关企业的具体情况如下：</w:t>
      </w:r>
    </w:p>
    <w:p w14:paraId="2DE4C8C8">
      <w:pPr>
        <w:shd w:val="clear"/>
        <w:spacing w:line="440" w:lineRule="exact"/>
        <w:ind w:firstLine="420" w:firstLineChars="200"/>
        <w:rPr>
          <w:color w:val="auto"/>
        </w:rPr>
      </w:pPr>
      <w:r>
        <w:rPr>
          <w:color w:val="auto"/>
        </w:rPr>
        <w:t>1.</w:t>
      </w:r>
      <w:r>
        <w:rPr>
          <w:color w:val="auto"/>
          <w:u w:val="single"/>
        </w:rPr>
        <w:t>（</w:t>
      </w:r>
      <w:r>
        <w:rPr>
          <w:rFonts w:hint="eastAsia"/>
          <w:color w:val="auto"/>
          <w:szCs w:val="21"/>
          <w:u w:val="single"/>
        </w:rPr>
        <w:t>江口街道2025年公共基础设施零星修复工程</w:t>
      </w:r>
      <w:r>
        <w:rPr>
          <w:rFonts w:hint="eastAsia"/>
          <w:color w:val="auto"/>
          <w:u w:val="single"/>
        </w:rPr>
        <w:t> </w:t>
      </w:r>
      <w:r>
        <w:rPr>
          <w:color w:val="auto"/>
          <w:u w:val="single"/>
        </w:rPr>
        <w:t>）</w:t>
      </w:r>
      <w:r>
        <w:rPr>
          <w:color w:val="auto"/>
        </w:rPr>
        <w:t>，属于</w:t>
      </w:r>
      <w:r>
        <w:rPr>
          <w:b/>
          <w:bCs/>
          <w:color w:val="auto"/>
          <w:u w:val="single"/>
        </w:rPr>
        <w:t>（</w:t>
      </w:r>
      <w:r>
        <w:rPr>
          <w:rFonts w:hint="eastAsia"/>
          <w:b/>
          <w:bCs/>
          <w:color w:val="auto"/>
          <w:u w:val="single"/>
        </w:rPr>
        <w:t>建筑业</w:t>
      </w:r>
      <w:r>
        <w:rPr>
          <w:b/>
          <w:bCs/>
          <w:color w:val="auto"/>
          <w:u w:val="single"/>
        </w:rPr>
        <w:t>）</w:t>
      </w:r>
      <w:r>
        <w:rPr>
          <w:color w:val="auto"/>
        </w:rPr>
        <w:t>；承接企业为</w:t>
      </w:r>
      <w:r>
        <w:rPr>
          <w:color w:val="auto"/>
          <w:u w:val="single"/>
        </w:rPr>
        <w:t>（企业名称）</w:t>
      </w:r>
      <w:r>
        <w:rPr>
          <w:color w:val="auto"/>
        </w:rPr>
        <w:t>，从业人员</w:t>
      </w:r>
      <w:r>
        <w:rPr>
          <w:color w:val="auto"/>
          <w:u w:val="single"/>
        </w:rPr>
        <w:t>   </w:t>
      </w:r>
      <w:r>
        <w:rPr>
          <w:rFonts w:hint="eastAsia"/>
          <w:color w:val="auto"/>
          <w:u w:val="single"/>
        </w:rPr>
        <w:t xml:space="preserve"> </w:t>
      </w:r>
      <w:r>
        <w:rPr>
          <w:color w:val="auto"/>
          <w:u w:val="single"/>
        </w:rPr>
        <w:t>人</w:t>
      </w:r>
      <w:r>
        <w:rPr>
          <w:color w:val="auto"/>
        </w:rPr>
        <w:t>，营业收入为 </w:t>
      </w:r>
      <w:r>
        <w:rPr>
          <w:color w:val="auto"/>
          <w:u w:val="single"/>
        </w:rPr>
        <w:t>  </w:t>
      </w:r>
      <w:r>
        <w:rPr>
          <w:rFonts w:hint="eastAsia"/>
          <w:color w:val="auto"/>
          <w:u w:val="single"/>
        </w:rPr>
        <w:t xml:space="preserve"> </w:t>
      </w:r>
      <w:r>
        <w:rPr>
          <w:color w:val="auto"/>
          <w:u w:val="single"/>
        </w:rPr>
        <w:t>万元</w:t>
      </w:r>
      <w:r>
        <w:rPr>
          <w:color w:val="auto"/>
        </w:rPr>
        <w:t>，资产总额为</w:t>
      </w:r>
      <w:r>
        <w:rPr>
          <w:color w:val="auto"/>
          <w:u w:val="single"/>
        </w:rPr>
        <w:t>   </w:t>
      </w:r>
      <w:r>
        <w:rPr>
          <w:rFonts w:hint="eastAsia"/>
          <w:color w:val="auto"/>
          <w:u w:val="single"/>
        </w:rPr>
        <w:t xml:space="preserve"> </w:t>
      </w:r>
      <w:r>
        <w:rPr>
          <w:color w:val="auto"/>
          <w:u w:val="single"/>
        </w:rPr>
        <w:t>万元</w:t>
      </w:r>
      <w:r>
        <w:rPr>
          <w:color w:val="auto"/>
        </w:rPr>
        <w:t>，属于</w:t>
      </w:r>
      <w:r>
        <w:rPr>
          <w:color w:val="auto"/>
          <w:u w:val="single"/>
        </w:rPr>
        <w:t>（中型企业、小型企业、微型企业）</w:t>
      </w:r>
      <w:r>
        <w:rPr>
          <w:color w:val="auto"/>
        </w:rPr>
        <w:t>；</w:t>
      </w:r>
    </w:p>
    <w:p w14:paraId="7A5118D7">
      <w:pPr>
        <w:shd w:val="clear"/>
        <w:spacing w:line="440" w:lineRule="exact"/>
        <w:ind w:firstLine="420" w:firstLineChars="200"/>
        <w:rPr>
          <w:color w:val="auto"/>
        </w:rPr>
      </w:pPr>
      <w:r>
        <w:rPr>
          <w:color w:val="auto"/>
        </w:rPr>
        <w:t>……</w:t>
      </w:r>
      <w:r>
        <w:rPr>
          <w:rFonts w:hint="eastAsia"/>
          <w:color w:val="auto"/>
        </w:rPr>
        <w:t>.</w:t>
      </w:r>
    </w:p>
    <w:p w14:paraId="33816208">
      <w:pPr>
        <w:shd w:val="clear"/>
        <w:spacing w:line="440" w:lineRule="exact"/>
        <w:ind w:firstLine="420" w:firstLineChars="200"/>
        <w:rPr>
          <w:color w:val="auto"/>
        </w:rPr>
      </w:pPr>
      <w:r>
        <w:rPr>
          <w:color w:val="auto"/>
        </w:rPr>
        <w:t>以上企业，不属于大企业的分支机构，不存在控股股东为大企业的情形，也不存在与大企业的负责人为同一人的情形。</w:t>
      </w:r>
    </w:p>
    <w:p w14:paraId="0C16E693">
      <w:pPr>
        <w:shd w:val="clear"/>
        <w:spacing w:line="440" w:lineRule="exact"/>
        <w:ind w:firstLine="420" w:firstLineChars="200"/>
        <w:rPr>
          <w:color w:val="auto"/>
        </w:rPr>
      </w:pPr>
      <w:r>
        <w:rPr>
          <w:color w:val="auto"/>
        </w:rPr>
        <w:t>本企业对上述声明内容的真实性负责。如有虚假，将依法承担相应责任。</w:t>
      </w:r>
    </w:p>
    <w:p w14:paraId="072A3A11">
      <w:pPr>
        <w:shd w:val="clear"/>
        <w:spacing w:line="440" w:lineRule="exact"/>
        <w:ind w:firstLine="4515" w:firstLineChars="2150"/>
        <w:rPr>
          <w:color w:val="auto"/>
        </w:rPr>
      </w:pPr>
      <w:r>
        <w:rPr>
          <w:color w:val="auto"/>
        </w:rPr>
        <w:t>企业名称（盖章）：</w:t>
      </w:r>
    </w:p>
    <w:p w14:paraId="6241006D">
      <w:pPr>
        <w:shd w:val="clear"/>
        <w:spacing w:line="440" w:lineRule="exact"/>
        <w:ind w:firstLine="4515" w:firstLineChars="2150"/>
        <w:rPr>
          <w:color w:val="auto"/>
        </w:rPr>
      </w:pPr>
      <w:r>
        <w:rPr>
          <w:color w:val="auto"/>
        </w:rPr>
        <w:t>日 期：</w:t>
      </w:r>
    </w:p>
    <w:p w14:paraId="6807CA3A">
      <w:pPr>
        <w:shd w:val="clear"/>
        <w:spacing w:line="360" w:lineRule="auto"/>
        <w:rPr>
          <w:color w:val="auto"/>
        </w:rPr>
      </w:pPr>
    </w:p>
    <w:p w14:paraId="711AB2C9">
      <w:pPr>
        <w:shd w:val="clear"/>
        <w:spacing w:line="360" w:lineRule="auto"/>
        <w:rPr>
          <w:color w:val="auto"/>
        </w:rPr>
      </w:pPr>
      <w:r>
        <w:rPr>
          <w:rFonts w:hint="eastAsia"/>
          <w:color w:val="auto"/>
        </w:rPr>
        <w:t>注：</w:t>
      </w:r>
    </w:p>
    <w:p w14:paraId="6D8B643C">
      <w:pPr>
        <w:shd w:val="clear"/>
        <w:spacing w:line="360" w:lineRule="auto"/>
        <w:rPr>
          <w:color w:val="auto"/>
        </w:rPr>
      </w:pPr>
      <w:r>
        <w:rPr>
          <w:rFonts w:hint="eastAsia"/>
          <w:color w:val="auto"/>
        </w:rPr>
        <w:t>1）从业人员、营业收入、资产总额填报上一年度数据。无上一年度数据的新成立企业可不填报。</w:t>
      </w:r>
    </w:p>
    <w:p w14:paraId="6C6D0E62">
      <w:pPr>
        <w:shd w:val="clear"/>
        <w:spacing w:line="360" w:lineRule="auto"/>
        <w:rPr>
          <w:color w:val="auto"/>
        </w:rPr>
      </w:pPr>
      <w:r>
        <w:rPr>
          <w:rFonts w:hint="eastAsia"/>
          <w:color w:val="auto"/>
        </w:rPr>
        <w:t>2）中小企业划型标准按工信部联企业〔2011〕300号文件，</w:t>
      </w:r>
      <w:r>
        <w:rPr>
          <w:rFonts w:hint="eastAsia"/>
          <w:b/>
          <w:bCs/>
          <w:color w:val="auto"/>
        </w:rPr>
        <w:t>中标单位的《中小企业</w:t>
      </w:r>
      <w:r>
        <w:rPr>
          <w:b/>
          <w:bCs/>
          <w:color w:val="auto"/>
        </w:rPr>
        <w:t>声明函</w:t>
      </w:r>
      <w:r>
        <w:rPr>
          <w:rFonts w:hint="eastAsia"/>
          <w:b/>
          <w:bCs/>
          <w:color w:val="auto"/>
        </w:rPr>
        <w:t>》将公示，提供虚假资料者责任自负。</w:t>
      </w:r>
    </w:p>
    <w:p w14:paraId="3C648218">
      <w:pPr>
        <w:shd w:val="clear"/>
        <w:spacing w:line="360" w:lineRule="auto"/>
        <w:rPr>
          <w:rFonts w:ascii="宋体" w:hAnsi="宋体" w:cs="宋体"/>
          <w:color w:val="auto"/>
          <w:szCs w:val="21"/>
        </w:rPr>
      </w:pPr>
      <w:r>
        <w:rPr>
          <w:rFonts w:hint="eastAsia"/>
          <w:color w:val="auto"/>
        </w:rPr>
        <w:t>3）本项目为专门面向中小企业采购，必须提供符合要求的《中小企业声明函》，</w:t>
      </w:r>
      <w:r>
        <w:rPr>
          <w:rFonts w:hint="eastAsia" w:ascii="宋体" w:hAnsi="宋体" w:cs="宋体"/>
          <w:color w:val="auto"/>
          <w:szCs w:val="21"/>
        </w:rPr>
        <w:t>残疾人福利性单位或监狱企业视同小微企业。</w:t>
      </w:r>
    </w:p>
    <w:p w14:paraId="40F58FAB">
      <w:pPr>
        <w:pStyle w:val="35"/>
        <w:shd w:val="clear"/>
        <w:ind w:firstLine="562"/>
        <w:rPr>
          <w:rFonts w:ascii="宋体"/>
          <w:b/>
          <w:color w:val="auto"/>
        </w:rPr>
      </w:pPr>
    </w:p>
    <w:p w14:paraId="3EBEA7C1">
      <w:pPr>
        <w:pStyle w:val="35"/>
        <w:shd w:val="clear"/>
        <w:ind w:firstLine="562"/>
        <w:rPr>
          <w:rFonts w:ascii="宋体"/>
          <w:b/>
          <w:color w:val="auto"/>
        </w:rPr>
      </w:pPr>
      <w:r>
        <w:rPr>
          <w:rFonts w:hint="eastAsia" w:ascii="宋体"/>
          <w:b/>
          <w:color w:val="auto"/>
        </w:rPr>
        <w:br w:type="page"/>
      </w:r>
    </w:p>
    <w:p w14:paraId="160474D0">
      <w:pPr>
        <w:shd w:val="clear"/>
        <w:rPr>
          <w:color w:val="auto"/>
        </w:rPr>
      </w:pPr>
    </w:p>
    <w:p w14:paraId="04A40F3D">
      <w:pPr>
        <w:shd w:val="clear"/>
        <w:ind w:firstLine="281"/>
        <w:jc w:val="center"/>
        <w:rPr>
          <w:color w:val="auto"/>
          <w:sz w:val="32"/>
          <w:szCs w:val="32"/>
        </w:rPr>
      </w:pPr>
      <w:r>
        <w:rPr>
          <w:rFonts w:hint="eastAsia"/>
          <w:b/>
          <w:color w:val="auto"/>
          <w:sz w:val="28"/>
          <w:szCs w:val="28"/>
        </w:rPr>
        <w:t>残疾人福利性单位声明函（如适用）</w:t>
      </w:r>
    </w:p>
    <w:p w14:paraId="5820F6B7">
      <w:pPr>
        <w:shd w:val="clear"/>
        <w:spacing w:line="380" w:lineRule="exact"/>
        <w:ind w:firstLine="420" w:firstLineChars="200"/>
        <w:rPr>
          <w:color w:val="auto"/>
        </w:rPr>
      </w:pPr>
    </w:p>
    <w:p w14:paraId="5C620293">
      <w:pPr>
        <w:shd w:val="clear"/>
        <w:spacing w:line="440" w:lineRule="exact"/>
        <w:ind w:firstLine="420" w:firstLineChars="200"/>
        <w:rPr>
          <w:color w:val="auto"/>
        </w:rPr>
      </w:pPr>
      <w:r>
        <w:rPr>
          <w:rFonts w:hint="eastAsia"/>
          <w:color w:val="auto"/>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AF2B5FD">
      <w:pPr>
        <w:shd w:val="clear"/>
        <w:spacing w:line="440" w:lineRule="exact"/>
        <w:ind w:firstLine="420" w:firstLineChars="200"/>
        <w:rPr>
          <w:color w:val="auto"/>
        </w:rPr>
      </w:pPr>
      <w:r>
        <w:rPr>
          <w:rFonts w:hint="eastAsia"/>
          <w:color w:val="auto"/>
        </w:rPr>
        <w:t>本单位对上述声明的真实性负责。如有虚假，将依法承担相应责任。</w:t>
      </w:r>
    </w:p>
    <w:p w14:paraId="1B6569B0">
      <w:pPr>
        <w:pStyle w:val="35"/>
        <w:shd w:val="clear"/>
        <w:ind w:firstLine="560"/>
        <w:rPr>
          <w:color w:val="auto"/>
        </w:rPr>
      </w:pPr>
    </w:p>
    <w:p w14:paraId="72DC0DA2">
      <w:pPr>
        <w:shd w:val="clear"/>
        <w:tabs>
          <w:tab w:val="left" w:pos="4860"/>
        </w:tabs>
        <w:spacing w:line="440" w:lineRule="exact"/>
        <w:ind w:right="1560" w:firstLine="420" w:firstLineChars="200"/>
        <w:jc w:val="center"/>
        <w:rPr>
          <w:color w:val="auto"/>
        </w:rPr>
      </w:pPr>
      <w:r>
        <w:rPr>
          <w:rFonts w:hint="eastAsia"/>
          <w:color w:val="auto"/>
        </w:rPr>
        <w:t xml:space="preserve">                          企业名称（盖章）：</w:t>
      </w:r>
    </w:p>
    <w:p w14:paraId="093B6C25">
      <w:pPr>
        <w:shd w:val="clear"/>
        <w:tabs>
          <w:tab w:val="left" w:pos="4860"/>
        </w:tabs>
        <w:spacing w:line="440" w:lineRule="exact"/>
        <w:ind w:right="1560" w:firstLine="420" w:firstLineChars="200"/>
        <w:jc w:val="center"/>
        <w:rPr>
          <w:color w:val="auto"/>
        </w:rPr>
      </w:pPr>
      <w:r>
        <w:rPr>
          <w:rFonts w:hint="eastAsia"/>
          <w:color w:val="auto"/>
        </w:rPr>
        <w:t xml:space="preserve">                  日  期：</w:t>
      </w:r>
    </w:p>
    <w:p w14:paraId="7155FB34">
      <w:pPr>
        <w:shd w:val="clear"/>
        <w:spacing w:line="600" w:lineRule="exact"/>
        <w:ind w:firstLine="281"/>
        <w:jc w:val="center"/>
        <w:rPr>
          <w:rFonts w:ascii="宋体"/>
          <w:b/>
          <w:color w:val="auto"/>
          <w:sz w:val="28"/>
        </w:rPr>
      </w:pPr>
    </w:p>
    <w:p w14:paraId="5E911F1F">
      <w:pPr>
        <w:pStyle w:val="35"/>
        <w:shd w:val="clear"/>
        <w:ind w:firstLine="560"/>
        <w:rPr>
          <w:color w:val="auto"/>
        </w:rPr>
      </w:pPr>
    </w:p>
    <w:p w14:paraId="25B2F8B2">
      <w:pPr>
        <w:shd w:val="clear"/>
        <w:snapToGrid w:val="0"/>
        <w:spacing w:line="360" w:lineRule="auto"/>
        <w:ind w:right="480" w:firstLine="281"/>
        <w:jc w:val="center"/>
        <w:rPr>
          <w:rFonts w:asciiTheme="minorEastAsia" w:hAnsiTheme="minorEastAsia" w:eastAsiaTheme="minorEastAsia" w:cstheme="minorEastAsia"/>
          <w:color w:val="auto"/>
          <w:sz w:val="24"/>
        </w:rPr>
      </w:pPr>
      <w:r>
        <w:rPr>
          <w:rFonts w:hint="eastAsia"/>
          <w:b/>
          <w:color w:val="auto"/>
          <w:sz w:val="28"/>
          <w:szCs w:val="28"/>
        </w:rPr>
        <w:t>监狱企业的证明文件（如适用）</w:t>
      </w:r>
    </w:p>
    <w:p w14:paraId="043A4D1E">
      <w:pPr>
        <w:shd w:val="clear"/>
        <w:spacing w:line="360" w:lineRule="auto"/>
        <w:ind w:firstLine="321"/>
        <w:jc w:val="center"/>
        <w:rPr>
          <w:rFonts w:asciiTheme="minorEastAsia" w:hAnsiTheme="minorEastAsia" w:eastAsiaTheme="minorEastAsia" w:cstheme="minorEastAsia"/>
          <w:b/>
          <w:color w:val="auto"/>
          <w:kern w:val="0"/>
          <w:sz w:val="32"/>
          <w:szCs w:val="32"/>
        </w:rPr>
      </w:pPr>
      <w:r>
        <w:rPr>
          <w:rFonts w:hint="eastAsia" w:asciiTheme="minorEastAsia" w:hAnsiTheme="minorEastAsia" w:eastAsiaTheme="minorEastAsia" w:cstheme="minorEastAsia"/>
          <w:b/>
          <w:color w:val="auto"/>
          <w:kern w:val="0"/>
          <w:sz w:val="32"/>
          <w:szCs w:val="32"/>
          <w:lang w:val="zh-CN"/>
        </w:rPr>
        <w:br w:type="page"/>
      </w:r>
      <w:r>
        <w:rPr>
          <w:rFonts w:hint="eastAsia" w:asciiTheme="minorEastAsia" w:hAnsiTheme="minorEastAsia" w:eastAsiaTheme="minorEastAsia" w:cstheme="minorEastAsia"/>
          <w:b/>
          <w:color w:val="auto"/>
          <w:kern w:val="0"/>
          <w:sz w:val="32"/>
          <w:szCs w:val="32"/>
        </w:rPr>
        <w:t>三、本项目的特定资格要求</w:t>
      </w:r>
    </w:p>
    <w:p w14:paraId="3C3B7647">
      <w:pPr>
        <w:shd w:val="clear"/>
        <w:spacing w:line="360" w:lineRule="auto"/>
        <w:ind w:firstLine="240"/>
        <w:jc w:val="center"/>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（根据竞争性磋商公告本项目的特定资格要求提供相应的材料；未要求的，无需提供）</w:t>
      </w:r>
    </w:p>
    <w:p w14:paraId="6D5B4F39">
      <w:pPr>
        <w:shd w:val="clear"/>
        <w:spacing w:line="360" w:lineRule="auto"/>
        <w:ind w:firstLine="210"/>
        <w:rPr>
          <w:rFonts w:asciiTheme="minorEastAsia" w:hAnsiTheme="minorEastAsia" w:eastAsiaTheme="minorEastAsia" w:cstheme="minorEastAsia"/>
          <w:color w:val="auto"/>
        </w:rPr>
      </w:pPr>
    </w:p>
    <w:p w14:paraId="58B30F6A">
      <w:pPr>
        <w:shd w:val="clear"/>
        <w:snapToGrid w:val="0"/>
        <w:spacing w:line="360" w:lineRule="auto"/>
        <w:ind w:right="480" w:firstLine="321"/>
        <w:jc w:val="center"/>
        <w:rPr>
          <w:rFonts w:asciiTheme="minorEastAsia" w:hAnsiTheme="minorEastAsia" w:eastAsiaTheme="minorEastAsia" w:cstheme="minorEastAsia"/>
          <w:b/>
          <w:color w:val="auto"/>
          <w:kern w:val="0"/>
          <w:sz w:val="32"/>
          <w:szCs w:val="32"/>
        </w:rPr>
      </w:pPr>
    </w:p>
    <w:p w14:paraId="0AAEBE0E">
      <w:pPr>
        <w:shd w:val="clear"/>
        <w:snapToGrid w:val="0"/>
        <w:spacing w:line="360" w:lineRule="auto"/>
        <w:ind w:right="480" w:firstLine="321"/>
        <w:jc w:val="center"/>
        <w:rPr>
          <w:rFonts w:asciiTheme="minorEastAsia" w:hAnsiTheme="minorEastAsia" w:eastAsiaTheme="minorEastAsia" w:cstheme="minorEastAsia"/>
          <w:b/>
          <w:color w:val="auto"/>
          <w:kern w:val="0"/>
          <w:sz w:val="32"/>
          <w:szCs w:val="32"/>
        </w:rPr>
      </w:pPr>
    </w:p>
    <w:p w14:paraId="62CD8976">
      <w:pPr>
        <w:shd w:val="clear"/>
        <w:snapToGrid w:val="0"/>
        <w:spacing w:line="360" w:lineRule="auto"/>
        <w:ind w:right="480" w:firstLine="321"/>
        <w:jc w:val="center"/>
        <w:rPr>
          <w:rFonts w:asciiTheme="minorEastAsia" w:hAnsiTheme="minorEastAsia" w:eastAsiaTheme="minorEastAsia" w:cstheme="minorEastAsia"/>
          <w:b/>
          <w:color w:val="auto"/>
          <w:kern w:val="0"/>
          <w:sz w:val="32"/>
          <w:szCs w:val="32"/>
        </w:rPr>
      </w:pPr>
    </w:p>
    <w:p w14:paraId="07261B67">
      <w:pPr>
        <w:shd w:val="clear"/>
        <w:snapToGrid w:val="0"/>
        <w:spacing w:line="360" w:lineRule="auto"/>
        <w:ind w:right="480" w:firstLine="321"/>
        <w:jc w:val="center"/>
        <w:rPr>
          <w:rFonts w:asciiTheme="minorEastAsia" w:hAnsiTheme="minorEastAsia" w:eastAsiaTheme="minorEastAsia" w:cstheme="minorEastAsia"/>
          <w:b/>
          <w:color w:val="auto"/>
          <w:kern w:val="0"/>
          <w:sz w:val="32"/>
          <w:szCs w:val="32"/>
        </w:rPr>
      </w:pPr>
    </w:p>
    <w:p w14:paraId="08875CF2">
      <w:pPr>
        <w:shd w:val="clear"/>
        <w:snapToGrid w:val="0"/>
        <w:spacing w:line="360" w:lineRule="auto"/>
        <w:ind w:right="480" w:firstLine="321"/>
        <w:jc w:val="center"/>
        <w:rPr>
          <w:rFonts w:asciiTheme="minorEastAsia" w:hAnsiTheme="minorEastAsia" w:eastAsiaTheme="minorEastAsia" w:cstheme="minorEastAsia"/>
          <w:b/>
          <w:color w:val="auto"/>
          <w:kern w:val="0"/>
          <w:sz w:val="32"/>
          <w:szCs w:val="32"/>
        </w:rPr>
      </w:pPr>
    </w:p>
    <w:p w14:paraId="18088F55">
      <w:pPr>
        <w:shd w:val="clear"/>
        <w:snapToGrid w:val="0"/>
        <w:spacing w:line="360" w:lineRule="auto"/>
        <w:ind w:right="480" w:firstLine="321"/>
        <w:jc w:val="center"/>
        <w:rPr>
          <w:rFonts w:asciiTheme="minorEastAsia" w:hAnsiTheme="minorEastAsia" w:eastAsiaTheme="minorEastAsia" w:cstheme="minorEastAsia"/>
          <w:b/>
          <w:color w:val="auto"/>
          <w:kern w:val="0"/>
          <w:sz w:val="32"/>
          <w:szCs w:val="32"/>
        </w:rPr>
      </w:pPr>
    </w:p>
    <w:p w14:paraId="3600CCFE">
      <w:pPr>
        <w:shd w:val="clear"/>
        <w:spacing w:line="360" w:lineRule="auto"/>
        <w:ind w:firstLine="361"/>
        <w:jc w:val="center"/>
        <w:outlineLvl w:val="0"/>
        <w:rPr>
          <w:rFonts w:asciiTheme="minorEastAsia" w:hAnsiTheme="minorEastAsia" w:eastAsiaTheme="minorEastAsia" w:cstheme="minorEastAsia"/>
          <w:b/>
          <w:color w:val="auto"/>
          <w:kern w:val="0"/>
          <w:sz w:val="36"/>
          <w:szCs w:val="36"/>
        </w:rPr>
      </w:pPr>
    </w:p>
    <w:p w14:paraId="252CD88A">
      <w:pPr>
        <w:shd w:val="clear"/>
        <w:snapToGrid w:val="0"/>
        <w:spacing w:line="360" w:lineRule="auto"/>
        <w:ind w:right="480" w:firstLine="321"/>
        <w:jc w:val="center"/>
        <w:rPr>
          <w:rFonts w:asciiTheme="minorEastAsia" w:hAnsiTheme="minorEastAsia" w:eastAsiaTheme="minorEastAsia" w:cstheme="minorEastAsia"/>
          <w:b/>
          <w:color w:val="auto"/>
          <w:kern w:val="0"/>
          <w:sz w:val="32"/>
          <w:szCs w:val="32"/>
        </w:rPr>
      </w:pPr>
    </w:p>
    <w:p w14:paraId="5A857396">
      <w:pPr>
        <w:shd w:val="clear"/>
        <w:spacing w:line="360" w:lineRule="auto"/>
        <w:ind w:firstLine="361"/>
        <w:jc w:val="center"/>
        <w:outlineLvl w:val="0"/>
        <w:rPr>
          <w:rFonts w:asciiTheme="minorEastAsia" w:hAnsiTheme="minorEastAsia" w:eastAsiaTheme="minorEastAsia" w:cstheme="minorEastAsia"/>
          <w:b/>
          <w:color w:val="auto"/>
          <w:kern w:val="0"/>
          <w:sz w:val="36"/>
          <w:szCs w:val="36"/>
        </w:rPr>
      </w:pPr>
    </w:p>
    <w:p w14:paraId="32CF1399">
      <w:pPr>
        <w:shd w:val="clear"/>
        <w:snapToGrid w:val="0"/>
        <w:spacing w:line="360" w:lineRule="auto"/>
        <w:ind w:right="480" w:firstLine="321"/>
        <w:jc w:val="center"/>
        <w:rPr>
          <w:rFonts w:asciiTheme="minorEastAsia" w:hAnsiTheme="minorEastAsia" w:eastAsiaTheme="minorEastAsia" w:cstheme="minorEastAsia"/>
          <w:b/>
          <w:color w:val="auto"/>
          <w:kern w:val="0"/>
          <w:sz w:val="32"/>
          <w:szCs w:val="32"/>
        </w:rPr>
      </w:pPr>
    </w:p>
    <w:p w14:paraId="2BF8F129">
      <w:pPr>
        <w:shd w:val="clear"/>
        <w:spacing w:line="360" w:lineRule="auto"/>
        <w:ind w:firstLine="361"/>
        <w:jc w:val="center"/>
        <w:outlineLvl w:val="0"/>
        <w:rPr>
          <w:rFonts w:asciiTheme="minorEastAsia" w:hAnsiTheme="minorEastAsia" w:eastAsiaTheme="minorEastAsia" w:cstheme="minorEastAsia"/>
          <w:b/>
          <w:color w:val="auto"/>
          <w:kern w:val="0"/>
          <w:sz w:val="36"/>
          <w:szCs w:val="36"/>
        </w:rPr>
      </w:pPr>
    </w:p>
    <w:p w14:paraId="2CAB7674">
      <w:pPr>
        <w:shd w:val="clear"/>
        <w:spacing w:line="360" w:lineRule="auto"/>
        <w:ind w:firstLine="361"/>
        <w:rPr>
          <w:rFonts w:asciiTheme="minorEastAsia" w:hAnsiTheme="minorEastAsia" w:eastAsiaTheme="minorEastAsia" w:cstheme="minorEastAsia"/>
          <w:b/>
          <w:color w:val="auto"/>
          <w:kern w:val="0"/>
          <w:sz w:val="36"/>
          <w:szCs w:val="36"/>
        </w:rPr>
      </w:pPr>
      <w:r>
        <w:rPr>
          <w:rFonts w:hint="eastAsia" w:asciiTheme="minorEastAsia" w:hAnsiTheme="minorEastAsia" w:eastAsiaTheme="minorEastAsia" w:cstheme="minorEastAsia"/>
          <w:b/>
          <w:color w:val="auto"/>
          <w:kern w:val="0"/>
          <w:sz w:val="36"/>
          <w:szCs w:val="36"/>
        </w:rPr>
        <w:br w:type="page"/>
      </w:r>
    </w:p>
    <w:p w14:paraId="1743E5BB">
      <w:pPr>
        <w:shd w:val="clear"/>
        <w:spacing w:line="360" w:lineRule="auto"/>
        <w:ind w:right="420" w:firstLine="361"/>
        <w:jc w:val="center"/>
        <w:rPr>
          <w:rFonts w:asciiTheme="minorEastAsia" w:hAnsiTheme="minorEastAsia" w:eastAsiaTheme="minorEastAsia" w:cstheme="minorEastAsia"/>
          <w:b/>
          <w:color w:val="auto"/>
          <w:kern w:val="0"/>
          <w:sz w:val="36"/>
          <w:szCs w:val="36"/>
        </w:rPr>
      </w:pPr>
      <w:r>
        <w:rPr>
          <w:rFonts w:hint="eastAsia" w:asciiTheme="minorEastAsia" w:hAnsiTheme="minorEastAsia" w:eastAsiaTheme="minorEastAsia" w:cstheme="minorEastAsia"/>
          <w:b/>
          <w:color w:val="auto"/>
          <w:kern w:val="0"/>
          <w:sz w:val="36"/>
          <w:szCs w:val="36"/>
        </w:rPr>
        <w:t>商务技术文件部分</w:t>
      </w:r>
    </w:p>
    <w:p w14:paraId="21C12968">
      <w:pPr>
        <w:shd w:val="clear"/>
        <w:spacing w:line="360" w:lineRule="auto"/>
        <w:ind w:firstLine="241"/>
        <w:jc w:val="center"/>
        <w:outlineLvl w:val="0"/>
        <w:rPr>
          <w:rFonts w:asciiTheme="minorEastAsia" w:hAnsiTheme="minorEastAsia" w:eastAsiaTheme="minorEastAsia" w:cstheme="minorEastAsia"/>
          <w:b/>
          <w:color w:val="auto"/>
          <w:kern w:val="0"/>
          <w:sz w:val="24"/>
        </w:rPr>
      </w:pPr>
    </w:p>
    <w:p w14:paraId="49A8FDED">
      <w:pPr>
        <w:shd w:val="clear"/>
        <w:spacing w:line="360" w:lineRule="auto"/>
        <w:ind w:left="3990" w:leftChars="1900" w:firstLine="281"/>
        <w:outlineLvl w:val="0"/>
        <w:rPr>
          <w:rFonts w:asciiTheme="minorEastAsia" w:hAnsiTheme="minorEastAsia" w:eastAsiaTheme="minorEastAsia" w:cstheme="minorEastAsia"/>
          <w:b/>
          <w:color w:val="auto"/>
          <w:kern w:val="0"/>
          <w:sz w:val="28"/>
          <w:szCs w:val="28"/>
        </w:rPr>
      </w:pPr>
      <w:r>
        <w:rPr>
          <w:rFonts w:hint="eastAsia" w:asciiTheme="minorEastAsia" w:hAnsiTheme="minorEastAsia" w:eastAsiaTheme="minorEastAsia" w:cstheme="minorEastAsia"/>
          <w:b/>
          <w:color w:val="auto"/>
          <w:kern w:val="0"/>
          <w:sz w:val="28"/>
          <w:szCs w:val="28"/>
        </w:rPr>
        <w:t>目 录</w:t>
      </w:r>
    </w:p>
    <w:p w14:paraId="05CC6358">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1评分索引表；</w:t>
      </w:r>
    </w:p>
    <w:p w14:paraId="60FB9840">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2 符合性自查表；</w:t>
      </w:r>
    </w:p>
    <w:p w14:paraId="15F58836">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 xml:space="preserve">3 磋商函； </w:t>
      </w:r>
    </w:p>
    <w:p w14:paraId="1A524916">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4授权委托书或法定代表人（单位负责人、自然人本人）身份证明；；</w:t>
      </w:r>
    </w:p>
    <w:p w14:paraId="0E868168">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5 供应商情况表；</w:t>
      </w:r>
    </w:p>
    <w:p w14:paraId="295587AB">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6 距采购人最近或者能为本项目提供最优服务的网点情况表；</w:t>
      </w:r>
    </w:p>
    <w:p w14:paraId="4DD94252">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7 评审标准相应的商务技术资料；</w:t>
      </w:r>
    </w:p>
    <w:p w14:paraId="0A8BC65A">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8 商务偏离表；</w:t>
      </w:r>
    </w:p>
    <w:p w14:paraId="4778DDBF">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9 技术偏离表；</w:t>
      </w:r>
    </w:p>
    <w:p w14:paraId="073EEAA8">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10 同类业绩情况一览表；</w:t>
      </w:r>
    </w:p>
    <w:p w14:paraId="3AC5C079">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lang w:val="zh-CN"/>
        </w:rPr>
      </w:pPr>
      <w:r>
        <w:rPr>
          <w:rFonts w:hint="eastAsia" w:asciiTheme="minorEastAsia" w:hAnsiTheme="minorEastAsia" w:eastAsiaTheme="minorEastAsia" w:cstheme="minorEastAsia"/>
          <w:color w:val="auto"/>
          <w:sz w:val="28"/>
          <w:szCs w:val="28"/>
        </w:rPr>
        <w:t xml:space="preserve">11 </w:t>
      </w:r>
      <w:r>
        <w:rPr>
          <w:rFonts w:hint="eastAsia" w:asciiTheme="minorEastAsia" w:hAnsiTheme="minorEastAsia" w:eastAsiaTheme="minorEastAsia" w:cstheme="minorEastAsia"/>
          <w:color w:val="auto"/>
          <w:sz w:val="28"/>
          <w:szCs w:val="28"/>
          <w:lang w:val="zh-CN"/>
        </w:rPr>
        <w:t>采购供应商廉洁自律承诺书；</w:t>
      </w:r>
    </w:p>
    <w:p w14:paraId="6F3F7458">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12 其他资料。</w:t>
      </w:r>
    </w:p>
    <w:p w14:paraId="40D619E2">
      <w:pPr>
        <w:shd w:val="clear"/>
        <w:snapToGrid w:val="0"/>
        <w:spacing w:line="360" w:lineRule="auto"/>
        <w:ind w:firstLine="240"/>
        <w:outlineLvl w:val="0"/>
        <w:rPr>
          <w:rFonts w:asciiTheme="minorEastAsia" w:hAnsiTheme="minorEastAsia" w:eastAsiaTheme="minorEastAsia" w:cstheme="minorEastAsia"/>
          <w:b/>
          <w:color w:val="auto"/>
          <w:kern w:val="0"/>
          <w:sz w:val="32"/>
          <w:szCs w:val="32"/>
        </w:rPr>
      </w:pPr>
      <w:r>
        <w:rPr>
          <w:rFonts w:hint="eastAsia" w:asciiTheme="minorEastAsia" w:hAnsiTheme="minorEastAsia" w:eastAsiaTheme="minorEastAsia" w:cstheme="minorEastAsia"/>
          <w:color w:val="auto"/>
          <w:kern w:val="0"/>
          <w:sz w:val="24"/>
        </w:rPr>
        <w:br w:type="page"/>
      </w:r>
    </w:p>
    <w:p w14:paraId="44CA165D">
      <w:pPr>
        <w:numPr>
          <w:ilvl w:val="0"/>
          <w:numId w:val="5"/>
        </w:numPr>
        <w:shd w:val="clear"/>
        <w:snapToGrid w:val="0"/>
        <w:spacing w:line="360" w:lineRule="auto"/>
        <w:ind w:firstLine="321"/>
        <w:jc w:val="center"/>
        <w:outlineLvl w:val="0"/>
        <w:rPr>
          <w:rFonts w:cs="仿宋" w:asciiTheme="majorEastAsia" w:hAnsiTheme="majorEastAsia" w:eastAsiaTheme="majorEastAsia"/>
          <w:b/>
          <w:color w:val="auto"/>
          <w:kern w:val="0"/>
          <w:sz w:val="32"/>
          <w:szCs w:val="32"/>
        </w:rPr>
      </w:pPr>
      <w:r>
        <w:rPr>
          <w:rFonts w:hint="eastAsia" w:cs="仿宋" w:asciiTheme="majorEastAsia" w:hAnsiTheme="majorEastAsia" w:eastAsiaTheme="majorEastAsia"/>
          <w:b/>
          <w:color w:val="auto"/>
          <w:kern w:val="0"/>
          <w:sz w:val="32"/>
          <w:szCs w:val="32"/>
        </w:rPr>
        <w:t>评分索引表</w:t>
      </w:r>
    </w:p>
    <w:p w14:paraId="7EA6D2D2">
      <w:pPr>
        <w:shd w:val="clear"/>
        <w:snapToGrid w:val="0"/>
        <w:spacing w:before="120" w:after="50"/>
        <w:ind w:firstLine="241"/>
        <w:rPr>
          <w:rFonts w:ascii="宋体" w:hAnsi="宋体"/>
          <w:b/>
          <w:color w:val="auto"/>
          <w:sz w:val="24"/>
        </w:rPr>
      </w:pPr>
    </w:p>
    <w:p w14:paraId="7EC59A98">
      <w:pPr>
        <w:shd w:val="clear"/>
        <w:snapToGrid w:val="0"/>
        <w:spacing w:before="120" w:after="50" w:line="360" w:lineRule="auto"/>
        <w:ind w:firstLine="241"/>
        <w:rPr>
          <w:rFonts w:ascii="宋体" w:hAnsi="宋体"/>
          <w:b/>
          <w:color w:val="auto"/>
          <w:sz w:val="24"/>
          <w:u w:val="single"/>
        </w:rPr>
      </w:pPr>
      <w:r>
        <w:rPr>
          <w:rFonts w:hint="eastAsia" w:ascii="宋体" w:hAnsi="宋体"/>
          <w:b/>
          <w:color w:val="auto"/>
          <w:sz w:val="24"/>
        </w:rPr>
        <w:t>单位名称：</w:t>
      </w:r>
    </w:p>
    <w:tbl>
      <w:tblPr>
        <w:tblStyle w:val="27"/>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08"/>
        <w:gridCol w:w="5819"/>
        <w:gridCol w:w="1627"/>
      </w:tblGrid>
      <w:tr w14:paraId="5ADFF3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743114E6">
            <w:pPr>
              <w:pStyle w:val="19"/>
              <w:shd w:val="clear"/>
              <w:spacing w:after="0"/>
              <w:ind w:left="0" w:leftChars="0" w:firstLine="241"/>
              <w:jc w:val="center"/>
              <w:rPr>
                <w:rFonts w:ascii="宋体"/>
                <w:b/>
                <w:bCs/>
                <w:color w:val="auto"/>
                <w:sz w:val="24"/>
                <w:szCs w:val="24"/>
              </w:rPr>
            </w:pPr>
            <w:r>
              <w:rPr>
                <w:rFonts w:hint="eastAsia" w:ascii="宋体"/>
                <w:b/>
                <w:bCs/>
                <w:color w:val="auto"/>
                <w:sz w:val="24"/>
                <w:szCs w:val="24"/>
              </w:rPr>
              <w:t>序号</w:t>
            </w:r>
          </w:p>
        </w:tc>
        <w:tc>
          <w:tcPr>
            <w:tcW w:w="5819" w:type="dxa"/>
            <w:tcBorders>
              <w:top w:val="single" w:color="auto" w:sz="4" w:space="0"/>
              <w:left w:val="single" w:color="auto" w:sz="4" w:space="0"/>
              <w:bottom w:val="single" w:color="auto" w:sz="4" w:space="0"/>
              <w:right w:val="single" w:color="auto" w:sz="4" w:space="0"/>
            </w:tcBorders>
            <w:vAlign w:val="center"/>
          </w:tcPr>
          <w:p w14:paraId="18D072FA">
            <w:pPr>
              <w:pStyle w:val="19"/>
              <w:shd w:val="clear"/>
              <w:spacing w:after="0"/>
              <w:ind w:left="0" w:leftChars="0" w:firstLine="241"/>
              <w:jc w:val="center"/>
              <w:rPr>
                <w:rFonts w:ascii="宋体"/>
                <w:b/>
                <w:bCs/>
                <w:color w:val="auto"/>
                <w:sz w:val="24"/>
                <w:szCs w:val="24"/>
              </w:rPr>
            </w:pPr>
            <w:r>
              <w:rPr>
                <w:rFonts w:hint="eastAsia" w:ascii="宋体"/>
                <w:b/>
                <w:bCs/>
                <w:color w:val="auto"/>
                <w:sz w:val="24"/>
                <w:szCs w:val="24"/>
              </w:rPr>
              <w:t>评分标准</w:t>
            </w:r>
          </w:p>
        </w:tc>
        <w:tc>
          <w:tcPr>
            <w:tcW w:w="1627" w:type="dxa"/>
            <w:tcBorders>
              <w:top w:val="single" w:color="auto" w:sz="4" w:space="0"/>
              <w:left w:val="single" w:color="auto" w:sz="4" w:space="0"/>
              <w:bottom w:val="single" w:color="auto" w:sz="4" w:space="0"/>
              <w:right w:val="single" w:color="auto" w:sz="4" w:space="0"/>
            </w:tcBorders>
            <w:vAlign w:val="center"/>
          </w:tcPr>
          <w:p w14:paraId="5D9C3D88">
            <w:pPr>
              <w:pStyle w:val="19"/>
              <w:shd w:val="clear"/>
              <w:spacing w:after="0"/>
              <w:ind w:left="0" w:leftChars="0" w:firstLine="241"/>
              <w:jc w:val="center"/>
              <w:rPr>
                <w:rFonts w:ascii="宋体"/>
                <w:b/>
                <w:bCs/>
                <w:color w:val="auto"/>
                <w:sz w:val="24"/>
                <w:szCs w:val="24"/>
              </w:rPr>
            </w:pPr>
            <w:r>
              <w:rPr>
                <w:rFonts w:hint="eastAsia" w:ascii="宋体"/>
                <w:b/>
                <w:bCs/>
                <w:color w:val="auto"/>
                <w:sz w:val="24"/>
                <w:szCs w:val="24"/>
              </w:rPr>
              <w:t>页码</w:t>
            </w:r>
          </w:p>
        </w:tc>
      </w:tr>
      <w:tr w14:paraId="605974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0D8C731C">
            <w:pPr>
              <w:widowControl/>
              <w:shd w:val="clear"/>
              <w:ind w:firstLine="240"/>
              <w:jc w:val="center"/>
              <w:rPr>
                <w:rFonts w:ascii="宋体" w:hAnsi="宋体"/>
                <w:color w:val="auto"/>
                <w:sz w:val="24"/>
              </w:rPr>
            </w:pPr>
            <w:r>
              <w:rPr>
                <w:rFonts w:hint="eastAsia" w:ascii="宋体" w:hAnsi="宋体"/>
                <w:color w:val="auto"/>
                <w:sz w:val="24"/>
              </w:rPr>
              <w:t>1</w:t>
            </w:r>
          </w:p>
        </w:tc>
        <w:tc>
          <w:tcPr>
            <w:tcW w:w="5819" w:type="dxa"/>
            <w:tcBorders>
              <w:top w:val="single" w:color="auto" w:sz="4" w:space="0"/>
              <w:left w:val="single" w:color="auto" w:sz="4" w:space="0"/>
              <w:right w:val="single" w:color="auto" w:sz="4" w:space="0"/>
            </w:tcBorders>
            <w:vAlign w:val="center"/>
          </w:tcPr>
          <w:p w14:paraId="740A05A0">
            <w:pPr>
              <w:shd w:val="clear"/>
              <w:ind w:firstLine="240"/>
              <w:jc w:val="center"/>
              <w:rPr>
                <w:rFonts w:ascii="宋体" w:hAnsi="宋体"/>
                <w:color w:val="auto"/>
                <w:sz w:val="24"/>
              </w:rPr>
            </w:pPr>
            <w:r>
              <w:rPr>
                <w:rFonts w:hint="eastAsia" w:ascii="宋体" w:hAnsi="宋体"/>
                <w:color w:val="auto"/>
                <w:sz w:val="24"/>
              </w:rPr>
              <w:t>（报价除外）</w:t>
            </w:r>
          </w:p>
        </w:tc>
        <w:tc>
          <w:tcPr>
            <w:tcW w:w="1627" w:type="dxa"/>
            <w:tcBorders>
              <w:top w:val="single" w:color="auto" w:sz="4" w:space="0"/>
              <w:left w:val="single" w:color="auto" w:sz="4" w:space="0"/>
              <w:right w:val="single" w:color="auto" w:sz="4" w:space="0"/>
            </w:tcBorders>
            <w:vAlign w:val="center"/>
          </w:tcPr>
          <w:p w14:paraId="10B2B6B8">
            <w:pPr>
              <w:shd w:val="clear"/>
              <w:ind w:firstLine="240"/>
              <w:jc w:val="center"/>
              <w:rPr>
                <w:rFonts w:ascii="宋体" w:hAnsi="宋体"/>
                <w:bCs/>
                <w:color w:val="auto"/>
                <w:sz w:val="24"/>
              </w:rPr>
            </w:pPr>
          </w:p>
        </w:tc>
      </w:tr>
      <w:tr w14:paraId="2E918C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2B8B795A">
            <w:pPr>
              <w:widowControl/>
              <w:shd w:val="clear"/>
              <w:ind w:firstLine="240"/>
              <w:jc w:val="center"/>
              <w:rPr>
                <w:rFonts w:ascii="宋体" w:hAnsi="宋体"/>
                <w:color w:val="auto"/>
                <w:sz w:val="24"/>
              </w:rPr>
            </w:pPr>
            <w:r>
              <w:rPr>
                <w:rFonts w:hint="eastAsia" w:ascii="宋体" w:hAnsi="宋体"/>
                <w:color w:val="auto"/>
                <w:sz w:val="24"/>
              </w:rPr>
              <w:t>2</w:t>
            </w:r>
          </w:p>
        </w:tc>
        <w:tc>
          <w:tcPr>
            <w:tcW w:w="5819" w:type="dxa"/>
            <w:tcBorders>
              <w:top w:val="single" w:color="auto" w:sz="4" w:space="0"/>
              <w:left w:val="single" w:color="auto" w:sz="4" w:space="0"/>
              <w:right w:val="single" w:color="auto" w:sz="4" w:space="0"/>
            </w:tcBorders>
            <w:vAlign w:val="center"/>
          </w:tcPr>
          <w:p w14:paraId="555E69B7">
            <w:pPr>
              <w:widowControl/>
              <w:shd w:val="clear"/>
              <w:ind w:firstLine="240"/>
              <w:jc w:val="center"/>
              <w:rPr>
                <w:rFonts w:ascii="宋体" w:hAnsi="宋体" w:cs="宋体"/>
                <w:color w:val="auto"/>
                <w:kern w:val="0"/>
                <w:sz w:val="24"/>
              </w:rPr>
            </w:pPr>
          </w:p>
        </w:tc>
        <w:tc>
          <w:tcPr>
            <w:tcW w:w="1627" w:type="dxa"/>
            <w:tcBorders>
              <w:top w:val="single" w:color="auto" w:sz="4" w:space="0"/>
              <w:left w:val="single" w:color="auto" w:sz="4" w:space="0"/>
              <w:right w:val="single" w:color="auto" w:sz="4" w:space="0"/>
            </w:tcBorders>
            <w:vAlign w:val="center"/>
          </w:tcPr>
          <w:p w14:paraId="3D0ACFF9">
            <w:pPr>
              <w:shd w:val="clear"/>
              <w:ind w:firstLine="240"/>
              <w:jc w:val="center"/>
              <w:rPr>
                <w:rFonts w:ascii="宋体" w:hAnsi="宋体"/>
                <w:bCs/>
                <w:color w:val="auto"/>
                <w:sz w:val="24"/>
              </w:rPr>
            </w:pPr>
          </w:p>
        </w:tc>
      </w:tr>
      <w:tr w14:paraId="74B9F6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left w:val="single" w:color="auto" w:sz="4" w:space="0"/>
              <w:bottom w:val="single" w:color="auto" w:sz="4" w:space="0"/>
              <w:right w:val="single" w:color="auto" w:sz="4" w:space="0"/>
            </w:tcBorders>
            <w:vAlign w:val="center"/>
          </w:tcPr>
          <w:p w14:paraId="7C85287E">
            <w:pPr>
              <w:widowControl/>
              <w:shd w:val="clear"/>
              <w:ind w:firstLine="240"/>
              <w:rPr>
                <w:rFonts w:ascii="宋体" w:hAnsi="宋体"/>
                <w:color w:val="auto"/>
                <w:sz w:val="24"/>
              </w:rPr>
            </w:pPr>
          </w:p>
        </w:tc>
        <w:tc>
          <w:tcPr>
            <w:tcW w:w="5819" w:type="dxa"/>
            <w:tcBorders>
              <w:top w:val="single" w:color="auto" w:sz="4" w:space="0"/>
              <w:left w:val="single" w:color="auto" w:sz="4" w:space="0"/>
              <w:bottom w:val="single" w:color="auto" w:sz="4" w:space="0"/>
              <w:right w:val="single" w:color="auto" w:sz="4" w:space="0"/>
            </w:tcBorders>
            <w:vAlign w:val="center"/>
          </w:tcPr>
          <w:p w14:paraId="45E3F5F5">
            <w:pPr>
              <w:shd w:val="clear"/>
              <w:ind w:left="55" w:leftChars="26" w:firstLine="240"/>
              <w:rPr>
                <w:rFonts w:ascii="宋体" w:hAnsi="宋体" w:cs="宋体"/>
                <w:color w:val="auto"/>
                <w:kern w:val="0"/>
                <w:sz w:val="24"/>
              </w:rPr>
            </w:pPr>
          </w:p>
        </w:tc>
        <w:tc>
          <w:tcPr>
            <w:tcW w:w="1627" w:type="dxa"/>
            <w:tcBorders>
              <w:top w:val="single" w:color="auto" w:sz="4" w:space="0"/>
              <w:left w:val="single" w:color="auto" w:sz="4" w:space="0"/>
              <w:bottom w:val="single" w:color="auto" w:sz="4" w:space="0"/>
              <w:right w:val="single" w:color="auto" w:sz="4" w:space="0"/>
            </w:tcBorders>
            <w:vAlign w:val="center"/>
          </w:tcPr>
          <w:p w14:paraId="704B3C12">
            <w:pPr>
              <w:shd w:val="clear"/>
              <w:ind w:firstLine="240"/>
              <w:jc w:val="center"/>
              <w:rPr>
                <w:rFonts w:ascii="宋体" w:hAnsi="宋体"/>
                <w:bCs/>
                <w:color w:val="auto"/>
                <w:sz w:val="24"/>
              </w:rPr>
            </w:pPr>
          </w:p>
        </w:tc>
      </w:tr>
      <w:tr w14:paraId="4BE35C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0B26AD3E">
            <w:pPr>
              <w:widowControl/>
              <w:shd w:val="clear"/>
              <w:ind w:firstLine="241"/>
              <w:rPr>
                <w:rFonts w:ascii="宋体" w:hAnsi="宋体"/>
                <w:b/>
                <w:color w:val="auto"/>
                <w:sz w:val="24"/>
              </w:rPr>
            </w:pPr>
          </w:p>
        </w:tc>
        <w:tc>
          <w:tcPr>
            <w:tcW w:w="5819" w:type="dxa"/>
            <w:tcBorders>
              <w:top w:val="single" w:color="auto" w:sz="4" w:space="0"/>
              <w:left w:val="single" w:color="auto" w:sz="4" w:space="0"/>
              <w:bottom w:val="single" w:color="auto" w:sz="4" w:space="0"/>
              <w:right w:val="single" w:color="auto" w:sz="4" w:space="0"/>
            </w:tcBorders>
            <w:vAlign w:val="center"/>
          </w:tcPr>
          <w:p w14:paraId="3F85F387">
            <w:pPr>
              <w:pStyle w:val="19"/>
              <w:shd w:val="clear"/>
              <w:ind w:firstLine="161"/>
              <w:rPr>
                <w:rFonts w:ascii="宋体"/>
                <w:b/>
                <w:color w:val="auto"/>
              </w:rPr>
            </w:pPr>
          </w:p>
        </w:tc>
        <w:tc>
          <w:tcPr>
            <w:tcW w:w="1627" w:type="dxa"/>
            <w:tcBorders>
              <w:top w:val="single" w:color="auto" w:sz="4" w:space="0"/>
              <w:left w:val="single" w:color="auto" w:sz="4" w:space="0"/>
              <w:bottom w:val="single" w:color="auto" w:sz="4" w:space="0"/>
              <w:right w:val="single" w:color="auto" w:sz="4" w:space="0"/>
            </w:tcBorders>
            <w:vAlign w:val="center"/>
          </w:tcPr>
          <w:p w14:paraId="68F835DA">
            <w:pPr>
              <w:pStyle w:val="19"/>
              <w:shd w:val="clear"/>
              <w:ind w:firstLine="161"/>
              <w:jc w:val="center"/>
              <w:rPr>
                <w:rFonts w:ascii="宋体"/>
                <w:b/>
                <w:color w:val="auto"/>
              </w:rPr>
            </w:pPr>
          </w:p>
        </w:tc>
      </w:tr>
      <w:tr w14:paraId="469291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545D8DBD">
            <w:pPr>
              <w:widowControl/>
              <w:shd w:val="clear"/>
              <w:ind w:firstLine="240"/>
              <w:rPr>
                <w:rFonts w:ascii="宋体" w:hAnsi="宋体"/>
                <w:color w:val="auto"/>
                <w:sz w:val="24"/>
              </w:rPr>
            </w:pPr>
          </w:p>
        </w:tc>
        <w:tc>
          <w:tcPr>
            <w:tcW w:w="5819" w:type="dxa"/>
            <w:tcBorders>
              <w:top w:val="single" w:color="auto" w:sz="4" w:space="0"/>
              <w:left w:val="single" w:color="auto" w:sz="4" w:space="0"/>
              <w:bottom w:val="single" w:color="auto" w:sz="4" w:space="0"/>
              <w:right w:val="single" w:color="auto" w:sz="4" w:space="0"/>
            </w:tcBorders>
            <w:vAlign w:val="center"/>
          </w:tcPr>
          <w:p w14:paraId="169EEBDE">
            <w:pPr>
              <w:shd w:val="clear"/>
              <w:spacing w:line="320" w:lineRule="exact"/>
              <w:ind w:firstLine="240"/>
              <w:rPr>
                <w:rFonts w:ascii="宋体" w:hAnsi="宋体"/>
                <w:color w:val="auto"/>
                <w:kern w:val="0"/>
                <w:sz w:val="24"/>
              </w:rPr>
            </w:pPr>
          </w:p>
        </w:tc>
        <w:tc>
          <w:tcPr>
            <w:tcW w:w="1627" w:type="dxa"/>
            <w:tcBorders>
              <w:top w:val="single" w:color="auto" w:sz="4" w:space="0"/>
              <w:left w:val="single" w:color="auto" w:sz="4" w:space="0"/>
              <w:bottom w:val="single" w:color="auto" w:sz="4" w:space="0"/>
              <w:right w:val="single" w:color="auto" w:sz="4" w:space="0"/>
            </w:tcBorders>
            <w:vAlign w:val="center"/>
          </w:tcPr>
          <w:p w14:paraId="690695C2">
            <w:pPr>
              <w:shd w:val="clear"/>
              <w:ind w:firstLine="240"/>
              <w:jc w:val="center"/>
              <w:rPr>
                <w:rFonts w:ascii="宋体" w:hAnsi="宋体"/>
                <w:bCs/>
                <w:color w:val="auto"/>
                <w:sz w:val="24"/>
              </w:rPr>
            </w:pPr>
          </w:p>
        </w:tc>
      </w:tr>
      <w:tr w14:paraId="0EE32C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63115BF4">
            <w:pPr>
              <w:widowControl/>
              <w:shd w:val="clear"/>
              <w:ind w:firstLine="240"/>
              <w:rPr>
                <w:rFonts w:ascii="宋体" w:hAnsi="宋体"/>
                <w:color w:val="auto"/>
                <w:sz w:val="24"/>
              </w:rPr>
            </w:pPr>
          </w:p>
        </w:tc>
        <w:tc>
          <w:tcPr>
            <w:tcW w:w="5819" w:type="dxa"/>
            <w:tcBorders>
              <w:top w:val="single" w:color="auto" w:sz="4" w:space="0"/>
              <w:left w:val="single" w:color="auto" w:sz="4" w:space="0"/>
              <w:bottom w:val="single" w:color="auto" w:sz="4" w:space="0"/>
              <w:right w:val="single" w:color="auto" w:sz="4" w:space="0"/>
            </w:tcBorders>
            <w:vAlign w:val="center"/>
          </w:tcPr>
          <w:p w14:paraId="0EFE5EDA">
            <w:pPr>
              <w:shd w:val="clear"/>
              <w:ind w:firstLine="240"/>
              <w:rPr>
                <w:rFonts w:ascii="宋体" w:hAnsi="宋体"/>
                <w:color w:val="auto"/>
                <w:sz w:val="24"/>
              </w:rPr>
            </w:pPr>
          </w:p>
        </w:tc>
        <w:tc>
          <w:tcPr>
            <w:tcW w:w="1627" w:type="dxa"/>
            <w:tcBorders>
              <w:top w:val="single" w:color="auto" w:sz="4" w:space="0"/>
              <w:left w:val="single" w:color="auto" w:sz="4" w:space="0"/>
              <w:bottom w:val="single" w:color="auto" w:sz="4" w:space="0"/>
              <w:right w:val="single" w:color="auto" w:sz="4" w:space="0"/>
            </w:tcBorders>
            <w:vAlign w:val="center"/>
          </w:tcPr>
          <w:p w14:paraId="5BABF45B">
            <w:pPr>
              <w:pStyle w:val="19"/>
              <w:shd w:val="clear"/>
              <w:ind w:firstLine="160"/>
              <w:jc w:val="center"/>
              <w:rPr>
                <w:rFonts w:ascii="宋体"/>
                <w:color w:val="auto"/>
              </w:rPr>
            </w:pPr>
          </w:p>
        </w:tc>
      </w:tr>
      <w:tr w14:paraId="7B5789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04C88802">
            <w:pPr>
              <w:widowControl/>
              <w:shd w:val="clear"/>
              <w:ind w:firstLine="240"/>
              <w:rPr>
                <w:rFonts w:ascii="宋体" w:hAnsi="宋体"/>
                <w:color w:val="auto"/>
                <w:sz w:val="24"/>
              </w:rPr>
            </w:pPr>
          </w:p>
        </w:tc>
        <w:tc>
          <w:tcPr>
            <w:tcW w:w="5819" w:type="dxa"/>
            <w:tcBorders>
              <w:top w:val="single" w:color="auto" w:sz="4" w:space="0"/>
              <w:left w:val="single" w:color="auto" w:sz="4" w:space="0"/>
              <w:bottom w:val="single" w:color="auto" w:sz="4" w:space="0"/>
              <w:right w:val="single" w:color="auto" w:sz="4" w:space="0"/>
            </w:tcBorders>
            <w:vAlign w:val="center"/>
          </w:tcPr>
          <w:p w14:paraId="72E87096">
            <w:pPr>
              <w:shd w:val="clear"/>
              <w:ind w:firstLine="240"/>
              <w:rPr>
                <w:rFonts w:ascii="宋体" w:hAnsi="宋体"/>
                <w:color w:val="auto"/>
                <w:sz w:val="24"/>
              </w:rPr>
            </w:pPr>
          </w:p>
        </w:tc>
        <w:tc>
          <w:tcPr>
            <w:tcW w:w="1627" w:type="dxa"/>
            <w:tcBorders>
              <w:top w:val="single" w:color="auto" w:sz="4" w:space="0"/>
              <w:left w:val="single" w:color="auto" w:sz="4" w:space="0"/>
              <w:bottom w:val="single" w:color="auto" w:sz="4" w:space="0"/>
              <w:right w:val="single" w:color="auto" w:sz="4" w:space="0"/>
            </w:tcBorders>
            <w:vAlign w:val="center"/>
          </w:tcPr>
          <w:p w14:paraId="53582043">
            <w:pPr>
              <w:pStyle w:val="19"/>
              <w:shd w:val="clear"/>
              <w:ind w:firstLine="160"/>
              <w:jc w:val="center"/>
              <w:rPr>
                <w:rFonts w:ascii="宋体"/>
                <w:color w:val="auto"/>
              </w:rPr>
            </w:pPr>
          </w:p>
        </w:tc>
      </w:tr>
      <w:tr w14:paraId="536E45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left w:val="single" w:color="auto" w:sz="4" w:space="0"/>
              <w:bottom w:val="single" w:color="auto" w:sz="4" w:space="0"/>
              <w:right w:val="single" w:color="auto" w:sz="4" w:space="0"/>
            </w:tcBorders>
            <w:vAlign w:val="center"/>
          </w:tcPr>
          <w:p w14:paraId="4F9991BB">
            <w:pPr>
              <w:widowControl/>
              <w:shd w:val="clear"/>
              <w:ind w:firstLine="240"/>
              <w:rPr>
                <w:rFonts w:ascii="宋体" w:hAnsi="宋体"/>
                <w:color w:val="auto"/>
                <w:sz w:val="24"/>
              </w:rPr>
            </w:pPr>
          </w:p>
        </w:tc>
        <w:tc>
          <w:tcPr>
            <w:tcW w:w="5819" w:type="dxa"/>
            <w:tcBorders>
              <w:top w:val="single" w:color="auto" w:sz="4" w:space="0"/>
              <w:left w:val="single" w:color="auto" w:sz="4" w:space="0"/>
              <w:bottom w:val="single" w:color="auto" w:sz="4" w:space="0"/>
              <w:right w:val="single" w:color="auto" w:sz="4" w:space="0"/>
            </w:tcBorders>
            <w:vAlign w:val="center"/>
          </w:tcPr>
          <w:p w14:paraId="22437360">
            <w:pPr>
              <w:pStyle w:val="19"/>
              <w:shd w:val="clear"/>
              <w:ind w:firstLine="160"/>
              <w:rPr>
                <w:rFonts w:ascii="宋体"/>
                <w:color w:val="auto"/>
              </w:rPr>
            </w:pPr>
          </w:p>
        </w:tc>
        <w:tc>
          <w:tcPr>
            <w:tcW w:w="1627" w:type="dxa"/>
            <w:tcBorders>
              <w:top w:val="single" w:color="auto" w:sz="4" w:space="0"/>
              <w:left w:val="single" w:color="auto" w:sz="4" w:space="0"/>
              <w:bottom w:val="single" w:color="auto" w:sz="4" w:space="0"/>
              <w:right w:val="single" w:color="auto" w:sz="4" w:space="0"/>
            </w:tcBorders>
            <w:vAlign w:val="center"/>
          </w:tcPr>
          <w:p w14:paraId="5369049D">
            <w:pPr>
              <w:widowControl/>
              <w:shd w:val="clear"/>
              <w:ind w:firstLine="241"/>
              <w:jc w:val="center"/>
              <w:rPr>
                <w:rFonts w:ascii="宋体" w:hAnsi="宋体"/>
                <w:b/>
                <w:color w:val="auto"/>
                <w:sz w:val="24"/>
              </w:rPr>
            </w:pPr>
          </w:p>
        </w:tc>
      </w:tr>
      <w:tr w14:paraId="6ABAA5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left w:val="single" w:color="auto" w:sz="4" w:space="0"/>
              <w:bottom w:val="single" w:color="auto" w:sz="4" w:space="0"/>
              <w:right w:val="single" w:color="auto" w:sz="4" w:space="0"/>
            </w:tcBorders>
            <w:vAlign w:val="center"/>
          </w:tcPr>
          <w:p w14:paraId="1EC598FE">
            <w:pPr>
              <w:widowControl/>
              <w:shd w:val="clear"/>
              <w:ind w:firstLine="240"/>
              <w:rPr>
                <w:rFonts w:ascii="宋体" w:hAnsi="宋体"/>
                <w:color w:val="auto"/>
                <w:sz w:val="24"/>
              </w:rPr>
            </w:pPr>
          </w:p>
        </w:tc>
        <w:tc>
          <w:tcPr>
            <w:tcW w:w="5819" w:type="dxa"/>
            <w:tcBorders>
              <w:top w:val="single" w:color="auto" w:sz="4" w:space="0"/>
              <w:left w:val="single" w:color="auto" w:sz="4" w:space="0"/>
              <w:bottom w:val="single" w:color="auto" w:sz="4" w:space="0"/>
              <w:right w:val="single" w:color="auto" w:sz="4" w:space="0"/>
            </w:tcBorders>
            <w:vAlign w:val="center"/>
          </w:tcPr>
          <w:p w14:paraId="20EB298B">
            <w:pPr>
              <w:shd w:val="clear"/>
              <w:ind w:firstLine="240"/>
              <w:rPr>
                <w:rFonts w:ascii="宋体" w:hAnsi="宋体"/>
                <w:bCs/>
                <w:color w:val="auto"/>
                <w:sz w:val="24"/>
              </w:rPr>
            </w:pPr>
          </w:p>
        </w:tc>
        <w:tc>
          <w:tcPr>
            <w:tcW w:w="1627" w:type="dxa"/>
            <w:tcBorders>
              <w:top w:val="single" w:color="auto" w:sz="4" w:space="0"/>
              <w:left w:val="single" w:color="auto" w:sz="4" w:space="0"/>
              <w:bottom w:val="single" w:color="auto" w:sz="4" w:space="0"/>
              <w:right w:val="single" w:color="auto" w:sz="4" w:space="0"/>
            </w:tcBorders>
            <w:vAlign w:val="center"/>
          </w:tcPr>
          <w:p w14:paraId="44B6E5C9">
            <w:pPr>
              <w:shd w:val="clear"/>
              <w:ind w:firstLine="240"/>
              <w:jc w:val="center"/>
              <w:rPr>
                <w:rFonts w:ascii="宋体" w:hAnsi="宋体"/>
                <w:bCs/>
                <w:color w:val="auto"/>
                <w:sz w:val="24"/>
              </w:rPr>
            </w:pPr>
          </w:p>
        </w:tc>
      </w:tr>
      <w:tr w14:paraId="50A082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1179C824">
            <w:pPr>
              <w:widowControl/>
              <w:shd w:val="clear"/>
              <w:ind w:firstLine="240"/>
              <w:rPr>
                <w:rFonts w:ascii="宋体" w:hAnsi="宋体"/>
                <w:color w:val="auto"/>
                <w:sz w:val="24"/>
              </w:rPr>
            </w:pPr>
          </w:p>
        </w:tc>
        <w:tc>
          <w:tcPr>
            <w:tcW w:w="5819" w:type="dxa"/>
            <w:tcBorders>
              <w:top w:val="single" w:color="auto" w:sz="4" w:space="0"/>
              <w:left w:val="single" w:color="auto" w:sz="4" w:space="0"/>
              <w:bottom w:val="single" w:color="auto" w:sz="4" w:space="0"/>
              <w:right w:val="single" w:color="auto" w:sz="4" w:space="0"/>
            </w:tcBorders>
            <w:vAlign w:val="center"/>
          </w:tcPr>
          <w:p w14:paraId="408E613C">
            <w:pPr>
              <w:shd w:val="clear"/>
              <w:ind w:firstLine="240"/>
              <w:rPr>
                <w:rFonts w:ascii="宋体" w:hAnsi="宋体"/>
                <w:bCs/>
                <w:color w:val="auto"/>
                <w:sz w:val="24"/>
              </w:rPr>
            </w:pPr>
          </w:p>
        </w:tc>
        <w:tc>
          <w:tcPr>
            <w:tcW w:w="1627" w:type="dxa"/>
            <w:tcBorders>
              <w:top w:val="single" w:color="auto" w:sz="4" w:space="0"/>
              <w:left w:val="single" w:color="auto" w:sz="4" w:space="0"/>
              <w:bottom w:val="single" w:color="auto" w:sz="4" w:space="0"/>
              <w:right w:val="single" w:color="auto" w:sz="4" w:space="0"/>
            </w:tcBorders>
            <w:vAlign w:val="center"/>
          </w:tcPr>
          <w:p w14:paraId="0D176B5E">
            <w:pPr>
              <w:shd w:val="clear"/>
              <w:ind w:firstLine="240"/>
              <w:jc w:val="center"/>
              <w:rPr>
                <w:rFonts w:ascii="宋体" w:hAnsi="宋体"/>
                <w:bCs/>
                <w:color w:val="auto"/>
                <w:sz w:val="24"/>
              </w:rPr>
            </w:pPr>
          </w:p>
        </w:tc>
      </w:tr>
      <w:tr w14:paraId="4899CD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5F2FEF3D">
            <w:pPr>
              <w:widowControl/>
              <w:shd w:val="clear"/>
              <w:ind w:firstLine="240"/>
              <w:rPr>
                <w:rFonts w:ascii="宋体" w:hAnsi="宋体"/>
                <w:color w:val="auto"/>
                <w:sz w:val="24"/>
              </w:rPr>
            </w:pPr>
          </w:p>
        </w:tc>
        <w:tc>
          <w:tcPr>
            <w:tcW w:w="5819" w:type="dxa"/>
            <w:tcBorders>
              <w:top w:val="single" w:color="auto" w:sz="4" w:space="0"/>
              <w:left w:val="single" w:color="auto" w:sz="4" w:space="0"/>
              <w:bottom w:val="single" w:color="auto" w:sz="4" w:space="0"/>
              <w:right w:val="single" w:color="auto" w:sz="4" w:space="0"/>
            </w:tcBorders>
            <w:vAlign w:val="center"/>
          </w:tcPr>
          <w:p w14:paraId="7AA468BB">
            <w:pPr>
              <w:shd w:val="clear"/>
              <w:ind w:firstLine="240"/>
              <w:rPr>
                <w:rFonts w:ascii="宋体" w:hAnsi="宋体"/>
                <w:bCs/>
                <w:color w:val="auto"/>
                <w:sz w:val="24"/>
              </w:rPr>
            </w:pPr>
          </w:p>
        </w:tc>
        <w:tc>
          <w:tcPr>
            <w:tcW w:w="1627" w:type="dxa"/>
            <w:tcBorders>
              <w:top w:val="single" w:color="auto" w:sz="4" w:space="0"/>
              <w:left w:val="single" w:color="auto" w:sz="4" w:space="0"/>
              <w:right w:val="single" w:color="auto" w:sz="4" w:space="0"/>
            </w:tcBorders>
            <w:vAlign w:val="center"/>
          </w:tcPr>
          <w:p w14:paraId="7AB9C996">
            <w:pPr>
              <w:shd w:val="clear"/>
              <w:ind w:firstLine="240"/>
              <w:jc w:val="center"/>
              <w:rPr>
                <w:rFonts w:ascii="宋体" w:hAnsi="宋体"/>
                <w:bCs/>
                <w:color w:val="auto"/>
                <w:sz w:val="24"/>
              </w:rPr>
            </w:pPr>
          </w:p>
        </w:tc>
      </w:tr>
    </w:tbl>
    <w:p w14:paraId="71C3527C">
      <w:pPr>
        <w:shd w:val="clear"/>
        <w:snapToGrid w:val="0"/>
        <w:spacing w:line="360" w:lineRule="auto"/>
        <w:ind w:firstLine="240"/>
        <w:outlineLvl w:val="0"/>
        <w:rPr>
          <w:rFonts w:cs="仿宋" w:asciiTheme="majorEastAsia" w:hAnsiTheme="majorEastAsia" w:eastAsiaTheme="majorEastAsia"/>
          <w:color w:val="auto"/>
          <w:kern w:val="0"/>
          <w:sz w:val="24"/>
        </w:rPr>
      </w:pPr>
    </w:p>
    <w:p w14:paraId="007086B7">
      <w:pPr>
        <w:widowControl/>
        <w:shd w:val="clear"/>
        <w:ind w:firstLine="321"/>
        <w:jc w:val="left"/>
        <w:rPr>
          <w:rFonts w:asciiTheme="minorEastAsia" w:hAnsiTheme="minorEastAsia" w:eastAsiaTheme="minorEastAsia" w:cstheme="minorEastAsia"/>
          <w:b/>
          <w:color w:val="auto"/>
          <w:kern w:val="0"/>
          <w:sz w:val="32"/>
          <w:szCs w:val="32"/>
        </w:rPr>
      </w:pPr>
      <w:r>
        <w:rPr>
          <w:rFonts w:asciiTheme="minorEastAsia" w:hAnsiTheme="minorEastAsia" w:eastAsiaTheme="minorEastAsia" w:cstheme="minorEastAsia"/>
          <w:b/>
          <w:color w:val="auto"/>
          <w:kern w:val="0"/>
          <w:sz w:val="32"/>
          <w:szCs w:val="32"/>
        </w:rPr>
        <w:br w:type="page"/>
      </w:r>
    </w:p>
    <w:p w14:paraId="42EC3E97">
      <w:pPr>
        <w:widowControl/>
        <w:shd w:val="clear"/>
        <w:ind w:firstLine="321"/>
        <w:jc w:val="left"/>
        <w:rPr>
          <w:rFonts w:asciiTheme="minorEastAsia" w:hAnsiTheme="minorEastAsia" w:eastAsiaTheme="minorEastAsia" w:cstheme="minorEastAsia"/>
          <w:b/>
          <w:color w:val="auto"/>
          <w:kern w:val="0"/>
          <w:sz w:val="32"/>
          <w:szCs w:val="32"/>
        </w:rPr>
      </w:pPr>
    </w:p>
    <w:p w14:paraId="3EB45417">
      <w:pPr>
        <w:numPr>
          <w:ilvl w:val="0"/>
          <w:numId w:val="5"/>
        </w:numPr>
        <w:shd w:val="clear"/>
        <w:snapToGrid w:val="0"/>
        <w:spacing w:line="360" w:lineRule="auto"/>
        <w:ind w:firstLine="321"/>
        <w:jc w:val="center"/>
        <w:outlineLvl w:val="0"/>
        <w:rPr>
          <w:rFonts w:asciiTheme="minorEastAsia" w:hAnsiTheme="minorEastAsia" w:eastAsiaTheme="minorEastAsia" w:cstheme="minorEastAsia"/>
          <w:b/>
          <w:color w:val="auto"/>
          <w:kern w:val="0"/>
          <w:sz w:val="32"/>
          <w:szCs w:val="32"/>
        </w:rPr>
      </w:pPr>
      <w:r>
        <w:rPr>
          <w:rFonts w:hint="eastAsia" w:asciiTheme="minorEastAsia" w:hAnsiTheme="minorEastAsia" w:eastAsiaTheme="minorEastAsia" w:cstheme="minorEastAsia"/>
          <w:b/>
          <w:color w:val="auto"/>
          <w:kern w:val="0"/>
          <w:sz w:val="32"/>
          <w:szCs w:val="32"/>
        </w:rPr>
        <w:t>符合性自查表</w:t>
      </w:r>
    </w:p>
    <w:tbl>
      <w:tblPr>
        <w:tblStyle w:val="27"/>
        <w:tblW w:w="89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5"/>
        <w:gridCol w:w="3544"/>
        <w:gridCol w:w="2693"/>
        <w:gridCol w:w="1634"/>
      </w:tblGrid>
      <w:tr w14:paraId="03D8A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jc w:val="center"/>
        </w:trPr>
        <w:tc>
          <w:tcPr>
            <w:tcW w:w="1095" w:type="dxa"/>
            <w:vAlign w:val="center"/>
          </w:tcPr>
          <w:p w14:paraId="3E97EE13">
            <w:pPr>
              <w:shd w:val="clear"/>
              <w:snapToGrid w:val="0"/>
              <w:spacing w:line="360" w:lineRule="auto"/>
              <w:ind w:firstLine="241"/>
              <w:rPr>
                <w:rFonts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rPr>
              <w:t>序号</w:t>
            </w:r>
          </w:p>
        </w:tc>
        <w:tc>
          <w:tcPr>
            <w:tcW w:w="3544" w:type="dxa"/>
            <w:vAlign w:val="center"/>
          </w:tcPr>
          <w:p w14:paraId="1F9B71F3">
            <w:pPr>
              <w:shd w:val="clear"/>
              <w:snapToGrid w:val="0"/>
              <w:spacing w:line="360" w:lineRule="auto"/>
              <w:ind w:firstLine="241"/>
              <w:jc w:val="center"/>
              <w:rPr>
                <w:rFonts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rPr>
              <w:t>实质性要求</w:t>
            </w:r>
          </w:p>
        </w:tc>
        <w:tc>
          <w:tcPr>
            <w:tcW w:w="2693" w:type="dxa"/>
            <w:vAlign w:val="center"/>
          </w:tcPr>
          <w:p w14:paraId="1A73C79E">
            <w:pPr>
              <w:shd w:val="clear"/>
              <w:snapToGrid w:val="0"/>
              <w:spacing w:line="360" w:lineRule="auto"/>
              <w:ind w:firstLine="241"/>
              <w:jc w:val="center"/>
              <w:rPr>
                <w:rFonts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rPr>
              <w:t>需要提供的符合性审查资料</w:t>
            </w:r>
          </w:p>
        </w:tc>
        <w:tc>
          <w:tcPr>
            <w:tcW w:w="1634" w:type="dxa"/>
            <w:vAlign w:val="center"/>
          </w:tcPr>
          <w:p w14:paraId="686ACB33">
            <w:pPr>
              <w:shd w:val="clear"/>
              <w:spacing w:line="360" w:lineRule="auto"/>
              <w:ind w:firstLine="241"/>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b/>
                <w:color w:val="auto"/>
                <w:sz w:val="24"/>
              </w:rPr>
              <w:t>自查结论</w:t>
            </w:r>
          </w:p>
        </w:tc>
      </w:tr>
      <w:tr w14:paraId="5D2ED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1095" w:type="dxa"/>
            <w:vAlign w:val="center"/>
          </w:tcPr>
          <w:p w14:paraId="42022B06">
            <w:pPr>
              <w:shd w:val="clear"/>
              <w:spacing w:line="360" w:lineRule="auto"/>
              <w:ind w:firstLine="24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w:t>
            </w:r>
          </w:p>
        </w:tc>
        <w:tc>
          <w:tcPr>
            <w:tcW w:w="3544" w:type="dxa"/>
            <w:vAlign w:val="center"/>
          </w:tcPr>
          <w:p w14:paraId="1076C1A2">
            <w:pPr>
              <w:shd w:val="clear"/>
              <w:spacing w:line="360" w:lineRule="auto"/>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响应文件按照采购文件要求签署、盖章。</w:t>
            </w:r>
          </w:p>
        </w:tc>
        <w:tc>
          <w:tcPr>
            <w:tcW w:w="2693" w:type="dxa"/>
            <w:vAlign w:val="center"/>
          </w:tcPr>
          <w:p w14:paraId="2F451A2C">
            <w:pPr>
              <w:shd w:val="clear"/>
              <w:spacing w:line="360" w:lineRule="auto"/>
              <w:ind w:firstLine="24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需要使用电子签名或者签字盖章的响应文件的组成部分</w:t>
            </w:r>
          </w:p>
        </w:tc>
        <w:tc>
          <w:tcPr>
            <w:tcW w:w="1634" w:type="dxa"/>
            <w:vAlign w:val="center"/>
          </w:tcPr>
          <w:p w14:paraId="078ADCAC">
            <w:pPr>
              <w:shd w:val="clear"/>
              <w:spacing w:line="360" w:lineRule="auto"/>
              <w:ind w:firstLine="24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□通过 </w:t>
            </w:r>
          </w:p>
          <w:p w14:paraId="0D7C1B4D">
            <w:pPr>
              <w:shd w:val="clear"/>
              <w:spacing w:line="360" w:lineRule="auto"/>
              <w:ind w:firstLine="24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□不通过</w:t>
            </w:r>
          </w:p>
        </w:tc>
      </w:tr>
      <w:tr w14:paraId="6F691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1095" w:type="dxa"/>
            <w:vAlign w:val="center"/>
          </w:tcPr>
          <w:p w14:paraId="7570B7B9">
            <w:pPr>
              <w:shd w:val="clear"/>
              <w:spacing w:line="360" w:lineRule="auto"/>
              <w:ind w:firstLine="24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w:t>
            </w:r>
          </w:p>
        </w:tc>
        <w:tc>
          <w:tcPr>
            <w:tcW w:w="3544" w:type="dxa"/>
            <w:vAlign w:val="center"/>
          </w:tcPr>
          <w:p w14:paraId="42677588">
            <w:pPr>
              <w:shd w:val="clear"/>
              <w:spacing w:line="360" w:lineRule="auto"/>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响应文件中承诺的响应有效期不少于采购文件中载明的响应有效期。</w:t>
            </w:r>
          </w:p>
        </w:tc>
        <w:tc>
          <w:tcPr>
            <w:tcW w:w="2693" w:type="dxa"/>
            <w:vAlign w:val="center"/>
          </w:tcPr>
          <w:p w14:paraId="7F9F3875">
            <w:pPr>
              <w:shd w:val="clear"/>
              <w:spacing w:line="360" w:lineRule="auto"/>
              <w:ind w:firstLine="24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磋商函</w:t>
            </w:r>
          </w:p>
        </w:tc>
        <w:tc>
          <w:tcPr>
            <w:tcW w:w="1634" w:type="dxa"/>
            <w:vAlign w:val="center"/>
          </w:tcPr>
          <w:p w14:paraId="3426C9DF">
            <w:pPr>
              <w:shd w:val="clear"/>
              <w:spacing w:line="360" w:lineRule="auto"/>
              <w:ind w:firstLine="24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□通过 </w:t>
            </w:r>
          </w:p>
          <w:p w14:paraId="5C2412CC">
            <w:pPr>
              <w:shd w:val="clear"/>
              <w:spacing w:line="360" w:lineRule="auto"/>
              <w:ind w:firstLine="24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□不通过</w:t>
            </w:r>
          </w:p>
        </w:tc>
      </w:tr>
      <w:tr w14:paraId="20B02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1" w:hRule="atLeast"/>
          <w:jc w:val="center"/>
        </w:trPr>
        <w:tc>
          <w:tcPr>
            <w:tcW w:w="1095" w:type="dxa"/>
            <w:vAlign w:val="center"/>
          </w:tcPr>
          <w:p w14:paraId="02DB20D5">
            <w:pPr>
              <w:shd w:val="clear"/>
              <w:spacing w:line="360" w:lineRule="auto"/>
              <w:ind w:firstLine="24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w:t>
            </w:r>
          </w:p>
        </w:tc>
        <w:tc>
          <w:tcPr>
            <w:tcW w:w="3544" w:type="dxa"/>
            <w:vAlign w:val="center"/>
          </w:tcPr>
          <w:p w14:paraId="747EFAB6">
            <w:pPr>
              <w:shd w:val="clear"/>
              <w:spacing w:line="360" w:lineRule="auto"/>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响应文件满足采购文件的其它实质性要求。</w:t>
            </w:r>
          </w:p>
        </w:tc>
        <w:tc>
          <w:tcPr>
            <w:tcW w:w="2693" w:type="dxa"/>
            <w:vAlign w:val="center"/>
          </w:tcPr>
          <w:p w14:paraId="25BF1968">
            <w:pPr>
              <w:shd w:val="clear"/>
              <w:spacing w:line="360" w:lineRule="auto"/>
              <w:ind w:firstLine="24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kern w:val="0"/>
                <w:sz w:val="24"/>
              </w:rPr>
              <w:t>采购文件其它实质性要求相应的材料（“▲” 系指实质性要求条款，采购文件无其它实质性要求的，无需提供）</w:t>
            </w:r>
          </w:p>
        </w:tc>
        <w:tc>
          <w:tcPr>
            <w:tcW w:w="1634" w:type="dxa"/>
            <w:vAlign w:val="center"/>
          </w:tcPr>
          <w:p w14:paraId="0E48DEF1">
            <w:pPr>
              <w:shd w:val="clear"/>
              <w:spacing w:line="360" w:lineRule="auto"/>
              <w:ind w:firstLine="24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□通过 </w:t>
            </w:r>
          </w:p>
          <w:p w14:paraId="4DF5F88D">
            <w:pPr>
              <w:shd w:val="clear"/>
              <w:spacing w:line="360" w:lineRule="auto"/>
              <w:ind w:firstLine="24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□不通过</w:t>
            </w:r>
          </w:p>
        </w:tc>
      </w:tr>
      <w:tr w14:paraId="1BB6F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095" w:type="dxa"/>
            <w:vAlign w:val="center"/>
          </w:tcPr>
          <w:p w14:paraId="2C691A90">
            <w:pPr>
              <w:shd w:val="clear"/>
              <w:spacing w:line="360" w:lineRule="auto"/>
              <w:ind w:firstLine="24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w:t>
            </w:r>
          </w:p>
        </w:tc>
        <w:tc>
          <w:tcPr>
            <w:tcW w:w="3544" w:type="dxa"/>
            <w:vAlign w:val="center"/>
          </w:tcPr>
          <w:p w14:paraId="3E7A4B7F">
            <w:pPr>
              <w:shd w:val="clear"/>
              <w:snapToGrid w:val="0"/>
              <w:spacing w:line="360" w:lineRule="auto"/>
              <w:jc w:val="left"/>
              <w:rPr>
                <w:rFonts w:asciiTheme="minorEastAsia" w:hAnsiTheme="minorEastAsia" w:eastAsiaTheme="minorEastAsia" w:cstheme="minorEastAsia"/>
                <w:bCs/>
                <w:color w:val="auto"/>
                <w:sz w:val="24"/>
              </w:rPr>
            </w:pPr>
            <w:r>
              <w:rPr>
                <w:rFonts w:hint="eastAsia" w:asciiTheme="minorEastAsia" w:hAnsiTheme="minorEastAsia" w:eastAsiaTheme="minorEastAsia" w:cstheme="minorEastAsia"/>
                <w:bCs/>
                <w:color w:val="auto"/>
                <w:sz w:val="24"/>
              </w:rPr>
              <w:t>响应文件没有采购文件中规定的其它无效响应条款的。</w:t>
            </w:r>
          </w:p>
        </w:tc>
        <w:tc>
          <w:tcPr>
            <w:tcW w:w="2693" w:type="dxa"/>
            <w:vAlign w:val="center"/>
          </w:tcPr>
          <w:p w14:paraId="21B605A0">
            <w:pPr>
              <w:shd w:val="clear"/>
              <w:spacing w:line="360" w:lineRule="auto"/>
              <w:ind w:firstLine="240"/>
              <w:rPr>
                <w:rFonts w:asciiTheme="minorEastAsia" w:hAnsiTheme="minorEastAsia" w:eastAsiaTheme="minorEastAsia" w:cstheme="minorEastAsia"/>
                <w:color w:val="auto"/>
                <w:kern w:val="0"/>
                <w:sz w:val="24"/>
              </w:rPr>
            </w:pPr>
          </w:p>
        </w:tc>
        <w:tc>
          <w:tcPr>
            <w:tcW w:w="1634" w:type="dxa"/>
            <w:vAlign w:val="center"/>
          </w:tcPr>
          <w:p w14:paraId="429191BF">
            <w:pPr>
              <w:shd w:val="clear"/>
              <w:spacing w:line="360" w:lineRule="auto"/>
              <w:ind w:firstLine="24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□通过 </w:t>
            </w:r>
          </w:p>
          <w:p w14:paraId="06024262">
            <w:pPr>
              <w:shd w:val="clear"/>
              <w:spacing w:line="360" w:lineRule="auto"/>
              <w:ind w:firstLine="24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□不通过</w:t>
            </w:r>
          </w:p>
        </w:tc>
      </w:tr>
      <w:tr w14:paraId="4DC8A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095" w:type="dxa"/>
            <w:vAlign w:val="center"/>
          </w:tcPr>
          <w:p w14:paraId="729E04AD">
            <w:pPr>
              <w:shd w:val="clear"/>
              <w:spacing w:line="360" w:lineRule="auto"/>
              <w:ind w:firstLine="24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5</w:t>
            </w:r>
          </w:p>
        </w:tc>
        <w:tc>
          <w:tcPr>
            <w:tcW w:w="3544" w:type="dxa"/>
            <w:vAlign w:val="center"/>
          </w:tcPr>
          <w:p w14:paraId="1AB6118E">
            <w:pPr>
              <w:shd w:val="clear"/>
              <w:snapToGrid w:val="0"/>
              <w:spacing w:line="360" w:lineRule="auto"/>
              <w:jc w:val="left"/>
              <w:rPr>
                <w:rFonts w:asciiTheme="minorEastAsia" w:hAnsiTheme="minorEastAsia" w:eastAsiaTheme="minorEastAsia" w:cstheme="minorEastAsia"/>
                <w:bCs/>
                <w:color w:val="auto"/>
                <w:sz w:val="24"/>
              </w:rPr>
            </w:pPr>
            <w:r>
              <w:rPr>
                <w:rFonts w:hint="eastAsia" w:asciiTheme="minorEastAsia" w:hAnsiTheme="minorEastAsia" w:eastAsiaTheme="minorEastAsia" w:cstheme="minorEastAsia"/>
                <w:bCs/>
                <w:color w:val="auto"/>
                <w:sz w:val="24"/>
              </w:rPr>
              <w:t>按有关法律、法规、规章不属于响应无效的。</w:t>
            </w:r>
          </w:p>
        </w:tc>
        <w:tc>
          <w:tcPr>
            <w:tcW w:w="2693" w:type="dxa"/>
            <w:vAlign w:val="center"/>
          </w:tcPr>
          <w:p w14:paraId="2C05667E">
            <w:pPr>
              <w:shd w:val="clear"/>
              <w:spacing w:line="360" w:lineRule="auto"/>
              <w:ind w:firstLine="240"/>
              <w:rPr>
                <w:rFonts w:asciiTheme="minorEastAsia" w:hAnsiTheme="minorEastAsia" w:eastAsiaTheme="minorEastAsia" w:cstheme="minorEastAsia"/>
                <w:color w:val="auto"/>
                <w:kern w:val="0"/>
                <w:sz w:val="24"/>
              </w:rPr>
            </w:pPr>
          </w:p>
        </w:tc>
        <w:tc>
          <w:tcPr>
            <w:tcW w:w="1634" w:type="dxa"/>
            <w:vAlign w:val="center"/>
          </w:tcPr>
          <w:p w14:paraId="5E0471DD">
            <w:pPr>
              <w:shd w:val="clear"/>
              <w:spacing w:line="360" w:lineRule="auto"/>
              <w:ind w:firstLine="24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□通过 </w:t>
            </w:r>
          </w:p>
          <w:p w14:paraId="773C7CCD">
            <w:pPr>
              <w:shd w:val="clear"/>
              <w:spacing w:line="360" w:lineRule="auto"/>
              <w:ind w:firstLine="24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□不通过</w:t>
            </w:r>
          </w:p>
        </w:tc>
      </w:tr>
    </w:tbl>
    <w:p w14:paraId="2A9FE3D1">
      <w:pPr>
        <w:shd w:val="clear"/>
        <w:snapToGrid w:val="0"/>
        <w:spacing w:line="360" w:lineRule="auto"/>
        <w:ind w:firstLine="241"/>
        <w:jc w:val="left"/>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24"/>
        </w:rPr>
        <w:t xml:space="preserve">备注：供应商自查表将作为供应商有效性审查的重要内容之一，供应商必须严格按照其内容及序列要求在响应文件中对应如实提供，对资格性证明文件的任何缺漏和不符合项将会直接导致响应无效！ </w:t>
      </w:r>
    </w:p>
    <w:p w14:paraId="0C1A4B2A">
      <w:pPr>
        <w:numPr>
          <w:ilvl w:val="0"/>
          <w:numId w:val="5"/>
        </w:numPr>
        <w:shd w:val="clear"/>
        <w:snapToGrid w:val="0"/>
        <w:spacing w:line="360" w:lineRule="auto"/>
        <w:ind w:firstLine="321"/>
        <w:jc w:val="center"/>
        <w:outlineLvl w:val="0"/>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kern w:val="0"/>
          <w:sz w:val="32"/>
          <w:szCs w:val="32"/>
        </w:rPr>
        <w:br w:type="page"/>
      </w:r>
      <w:r>
        <w:rPr>
          <w:rFonts w:hint="eastAsia" w:asciiTheme="minorEastAsia" w:hAnsiTheme="minorEastAsia" w:eastAsiaTheme="minorEastAsia" w:cstheme="minorEastAsia"/>
          <w:b/>
          <w:color w:val="auto"/>
          <w:kern w:val="0"/>
          <w:sz w:val="32"/>
          <w:szCs w:val="32"/>
        </w:rPr>
        <w:t>磋商</w:t>
      </w:r>
      <w:r>
        <w:rPr>
          <w:rFonts w:hint="eastAsia" w:asciiTheme="minorEastAsia" w:hAnsiTheme="minorEastAsia" w:eastAsiaTheme="minorEastAsia" w:cstheme="minorEastAsia"/>
          <w:b/>
          <w:color w:val="auto"/>
          <w:sz w:val="32"/>
          <w:szCs w:val="32"/>
        </w:rPr>
        <w:t>函</w:t>
      </w:r>
    </w:p>
    <w:p w14:paraId="11A31DD4">
      <w:pPr>
        <w:shd w:val="clear"/>
        <w:snapToGrid w:val="0"/>
        <w:spacing w:line="360" w:lineRule="auto"/>
        <w:ind w:firstLine="24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u w:val="single"/>
        </w:rPr>
        <w:t>宁波市奉化区人民政府江口街道办事处</w:t>
      </w:r>
      <w:r>
        <w:rPr>
          <w:rFonts w:hint="eastAsia" w:asciiTheme="minorEastAsia" w:hAnsiTheme="minorEastAsia" w:eastAsiaTheme="minorEastAsia" w:cstheme="minorEastAsia"/>
          <w:color w:val="auto"/>
          <w:kern w:val="0"/>
          <w:sz w:val="24"/>
          <w:lang w:val="zh-CN"/>
        </w:rPr>
        <w:t>：</w:t>
      </w:r>
    </w:p>
    <w:p w14:paraId="66D33549">
      <w:pPr>
        <w:shd w:val="clear"/>
        <w:snapToGrid w:val="0"/>
        <w:spacing w:line="360" w:lineRule="auto"/>
        <w:ind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我方参加你方组织的</w:t>
      </w:r>
      <w:r>
        <w:rPr>
          <w:rFonts w:hint="eastAsia" w:asciiTheme="minorEastAsia" w:hAnsiTheme="minorEastAsia" w:eastAsiaTheme="minorEastAsia" w:cstheme="minorEastAsia"/>
          <w:color w:val="auto"/>
          <w:sz w:val="24"/>
          <w:u w:val="single"/>
        </w:rPr>
        <w:t>（项目名称）【项目编号：             】</w:t>
      </w:r>
      <w:r>
        <w:rPr>
          <w:rFonts w:hint="eastAsia" w:asciiTheme="minorEastAsia" w:hAnsiTheme="minorEastAsia" w:eastAsiaTheme="minorEastAsia" w:cstheme="minorEastAsia"/>
          <w:color w:val="auto"/>
          <w:sz w:val="24"/>
        </w:rPr>
        <w:t>采购活动，并对此项目进行磋商响应。为此：</w:t>
      </w:r>
    </w:p>
    <w:p w14:paraId="4090F987">
      <w:pPr>
        <w:shd w:val="clear"/>
        <w:snapToGrid w:val="0"/>
        <w:spacing w:line="360" w:lineRule="auto"/>
        <w:ind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1.我方承诺响应有效期从提交响应文件的截止之日起</w:t>
      </w:r>
      <w:r>
        <w:rPr>
          <w:rFonts w:hint="eastAsia" w:asciiTheme="minorEastAsia" w:hAnsiTheme="minorEastAsia" w:eastAsiaTheme="minorEastAsia" w:cstheme="minorEastAsia"/>
          <w:color w:val="auto"/>
          <w:sz w:val="24"/>
          <w:u w:val="single"/>
        </w:rPr>
        <w:t xml:space="preserve">     </w:t>
      </w:r>
      <w:r>
        <w:rPr>
          <w:rFonts w:hint="eastAsia" w:asciiTheme="minorEastAsia" w:hAnsiTheme="minorEastAsia" w:eastAsiaTheme="minorEastAsia" w:cstheme="minorEastAsia"/>
          <w:color w:val="auto"/>
          <w:sz w:val="24"/>
        </w:rPr>
        <w:t>天（不少于90日历天）</w:t>
      </w:r>
      <w:r>
        <w:rPr>
          <w:rFonts w:hint="eastAsia" w:asciiTheme="minorEastAsia" w:hAnsiTheme="minorEastAsia" w:eastAsiaTheme="minorEastAsia" w:cstheme="minorEastAsia"/>
          <w:color w:val="auto"/>
        </w:rPr>
        <w:t>，</w:t>
      </w:r>
      <w:r>
        <w:rPr>
          <w:rFonts w:hint="eastAsia" w:asciiTheme="minorEastAsia" w:hAnsiTheme="minorEastAsia" w:eastAsiaTheme="minorEastAsia" w:cstheme="minorEastAsia"/>
          <w:color w:val="auto"/>
          <w:sz w:val="24"/>
        </w:rPr>
        <w:t>本响应文件在响应有效期满之前均具有约束力。</w:t>
      </w:r>
    </w:p>
    <w:p w14:paraId="0026B3E4">
      <w:pPr>
        <w:shd w:val="clear"/>
        <w:snapToGrid w:val="0"/>
        <w:spacing w:line="360" w:lineRule="auto"/>
        <w:ind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2.我方的响应文件包括以下内容：</w:t>
      </w:r>
    </w:p>
    <w:p w14:paraId="77CDB1B0">
      <w:pPr>
        <w:shd w:val="clear"/>
        <w:snapToGrid w:val="0"/>
        <w:spacing w:line="360" w:lineRule="auto"/>
        <w:ind w:left="210" w:leftChars="100"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2.1资格文件：</w:t>
      </w:r>
    </w:p>
    <w:p w14:paraId="067AD4AE">
      <w:pPr>
        <w:shd w:val="clear"/>
        <w:snapToGrid w:val="0"/>
        <w:spacing w:line="360" w:lineRule="auto"/>
        <w:ind w:left="420" w:leftChars="200"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2.1.1有效的企业法人营业执照（或事业法人登记证）、其他组织（个体工商户）的营业执照或者民办非企业单位登记证书；</w:t>
      </w:r>
    </w:p>
    <w:p w14:paraId="43DF8054">
      <w:pPr>
        <w:shd w:val="clear"/>
        <w:snapToGrid w:val="0"/>
        <w:spacing w:line="360" w:lineRule="auto"/>
        <w:ind w:left="420" w:leftChars="200"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2.1.2符合参加采购活动应当具备的一般条件的承诺函；</w:t>
      </w:r>
    </w:p>
    <w:p w14:paraId="02277F80">
      <w:pPr>
        <w:shd w:val="clear"/>
        <w:snapToGrid w:val="0"/>
        <w:spacing w:line="360" w:lineRule="auto"/>
        <w:ind w:firstLine="960" w:firstLineChars="4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2.1.3落实政府采购政策需满足的资格要求（如有）；</w:t>
      </w:r>
    </w:p>
    <w:p w14:paraId="7C5A9CAB">
      <w:pPr>
        <w:shd w:val="clear"/>
        <w:snapToGrid w:val="0"/>
        <w:spacing w:line="360" w:lineRule="auto"/>
        <w:ind w:firstLine="960" w:firstLineChars="4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2.1.4联合协议（如有）；</w:t>
      </w:r>
    </w:p>
    <w:p w14:paraId="366F503C">
      <w:pPr>
        <w:shd w:val="clear"/>
        <w:snapToGrid w:val="0"/>
        <w:spacing w:line="360" w:lineRule="auto"/>
        <w:ind w:firstLine="960" w:firstLineChars="4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2.1.5分包意向协议（如有）；</w:t>
      </w:r>
    </w:p>
    <w:p w14:paraId="6F64D5FE">
      <w:pPr>
        <w:shd w:val="clear"/>
        <w:snapToGrid w:val="0"/>
        <w:spacing w:line="360" w:lineRule="auto"/>
        <w:ind w:firstLine="960" w:firstLineChars="4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sz w:val="24"/>
        </w:rPr>
        <w:t>2.1.6本项目的特定资格要求（如有）。</w:t>
      </w:r>
    </w:p>
    <w:p w14:paraId="5A457829">
      <w:pPr>
        <w:shd w:val="clear"/>
        <w:snapToGrid w:val="0"/>
        <w:spacing w:line="360" w:lineRule="auto"/>
        <w:ind w:left="210" w:leftChars="100" w:firstLine="480" w:firstLineChars="200"/>
        <w:rPr>
          <w:rFonts w:asciiTheme="minorEastAsia" w:hAnsiTheme="minorEastAsia" w:eastAsiaTheme="minorEastAsia" w:cstheme="minorEastAsia"/>
          <w:color w:val="auto"/>
          <w:sz w:val="24"/>
          <w:lang w:val="zh-CN"/>
        </w:rPr>
      </w:pPr>
      <w:r>
        <w:rPr>
          <w:rFonts w:hint="eastAsia" w:asciiTheme="minorEastAsia" w:hAnsiTheme="minorEastAsia" w:eastAsiaTheme="minorEastAsia" w:cstheme="minorEastAsia"/>
          <w:color w:val="auto"/>
          <w:sz w:val="24"/>
        </w:rPr>
        <w:t>2</w:t>
      </w:r>
      <w:r>
        <w:rPr>
          <w:rFonts w:hint="eastAsia" w:asciiTheme="minorEastAsia" w:hAnsiTheme="minorEastAsia" w:eastAsiaTheme="minorEastAsia" w:cstheme="minorEastAsia"/>
          <w:color w:val="auto"/>
          <w:sz w:val="24"/>
          <w:lang w:val="zh-CN"/>
        </w:rPr>
        <w:t>.</w:t>
      </w:r>
      <w:r>
        <w:rPr>
          <w:rFonts w:hint="eastAsia" w:asciiTheme="minorEastAsia" w:hAnsiTheme="minorEastAsia" w:eastAsiaTheme="minorEastAsia" w:cstheme="minorEastAsia"/>
          <w:color w:val="auto"/>
          <w:sz w:val="24"/>
        </w:rPr>
        <w:t>2</w:t>
      </w:r>
      <w:r>
        <w:rPr>
          <w:rFonts w:hint="eastAsia" w:asciiTheme="minorEastAsia" w:hAnsiTheme="minorEastAsia" w:eastAsiaTheme="minorEastAsia" w:cstheme="minorEastAsia"/>
          <w:color w:val="auto"/>
          <w:sz w:val="24"/>
          <w:lang w:val="zh-CN"/>
        </w:rPr>
        <w:t xml:space="preserve"> </w:t>
      </w:r>
      <w:r>
        <w:rPr>
          <w:rFonts w:hint="eastAsia" w:asciiTheme="minorEastAsia" w:hAnsiTheme="minorEastAsia" w:eastAsiaTheme="minorEastAsia" w:cstheme="minorEastAsia"/>
          <w:color w:val="auto"/>
          <w:sz w:val="24"/>
        </w:rPr>
        <w:t>商务技术</w:t>
      </w:r>
      <w:r>
        <w:rPr>
          <w:rFonts w:hint="eastAsia" w:asciiTheme="minorEastAsia" w:hAnsiTheme="minorEastAsia" w:eastAsiaTheme="minorEastAsia" w:cstheme="minorEastAsia"/>
          <w:color w:val="auto"/>
          <w:sz w:val="24"/>
          <w:lang w:val="zh-CN"/>
        </w:rPr>
        <w:t>文件：</w:t>
      </w:r>
    </w:p>
    <w:p w14:paraId="7AE910F9">
      <w:pPr>
        <w:shd w:val="clear"/>
        <w:snapToGrid w:val="0"/>
        <w:spacing w:line="360" w:lineRule="auto"/>
        <w:ind w:left="420" w:leftChars="200"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2.2.1 符合性自查表；</w:t>
      </w:r>
    </w:p>
    <w:p w14:paraId="1F3594AA">
      <w:pPr>
        <w:shd w:val="clear"/>
        <w:snapToGrid w:val="0"/>
        <w:spacing w:line="360" w:lineRule="auto"/>
        <w:ind w:left="420" w:leftChars="200" w:firstLine="480" w:firstLineChars="200"/>
        <w:rPr>
          <w:rFonts w:asciiTheme="minorEastAsia" w:hAnsiTheme="minorEastAsia" w:eastAsiaTheme="minorEastAsia" w:cstheme="minorEastAsia"/>
          <w:color w:val="auto"/>
          <w:lang w:val="zh-CN"/>
        </w:rPr>
      </w:pPr>
      <w:r>
        <w:rPr>
          <w:rFonts w:hint="eastAsia" w:asciiTheme="minorEastAsia" w:hAnsiTheme="minorEastAsia" w:eastAsiaTheme="minorEastAsia" w:cstheme="minorEastAsia"/>
          <w:color w:val="auto"/>
          <w:sz w:val="24"/>
        </w:rPr>
        <w:t>2.2.2 磋商函；</w:t>
      </w:r>
      <w:r>
        <w:rPr>
          <w:rFonts w:hint="eastAsia" w:asciiTheme="minorEastAsia" w:hAnsiTheme="minorEastAsia" w:eastAsiaTheme="minorEastAsia" w:cstheme="minorEastAsia"/>
          <w:color w:val="auto"/>
          <w:sz w:val="24"/>
          <w:lang w:val="zh-CN"/>
        </w:rPr>
        <w:t xml:space="preserve"> </w:t>
      </w:r>
    </w:p>
    <w:p w14:paraId="11BD3374">
      <w:pPr>
        <w:shd w:val="clear"/>
        <w:snapToGrid w:val="0"/>
        <w:spacing w:line="360" w:lineRule="auto"/>
        <w:ind w:left="420" w:leftChars="200"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2.2.3 授权委托书；</w:t>
      </w:r>
    </w:p>
    <w:p w14:paraId="2A4712F7">
      <w:pPr>
        <w:shd w:val="clear"/>
        <w:snapToGrid w:val="0"/>
        <w:spacing w:line="360" w:lineRule="auto"/>
        <w:ind w:left="420" w:leftChars="200"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2.2.4 供应商情况表；</w:t>
      </w:r>
    </w:p>
    <w:p w14:paraId="070F1166">
      <w:pPr>
        <w:shd w:val="clear"/>
        <w:snapToGrid w:val="0"/>
        <w:spacing w:line="360" w:lineRule="auto"/>
        <w:ind w:left="420" w:leftChars="200"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2.2.5 距采购人最近或者能为本项目提供最优服务的网点情况表；</w:t>
      </w:r>
    </w:p>
    <w:p w14:paraId="090F7174">
      <w:pPr>
        <w:shd w:val="clear"/>
        <w:snapToGrid w:val="0"/>
        <w:spacing w:line="360" w:lineRule="auto"/>
        <w:ind w:left="420" w:leftChars="200"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2.2.6 评审标准相应的商务技术资料；</w:t>
      </w:r>
    </w:p>
    <w:p w14:paraId="25B06EFB">
      <w:pPr>
        <w:shd w:val="clear"/>
        <w:snapToGrid w:val="0"/>
        <w:spacing w:line="360" w:lineRule="auto"/>
        <w:ind w:left="420" w:leftChars="200"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w:t>
      </w:r>
      <w:r>
        <w:rPr>
          <w:rFonts w:hint="eastAsia" w:asciiTheme="minorEastAsia" w:hAnsiTheme="minorEastAsia" w:eastAsiaTheme="minorEastAsia" w:cstheme="minorEastAsia"/>
          <w:color w:val="auto"/>
          <w:sz w:val="24"/>
          <w:lang w:val="zh-CN"/>
        </w:rPr>
        <w:t>.</w:t>
      </w:r>
      <w:r>
        <w:rPr>
          <w:rFonts w:hint="eastAsia" w:asciiTheme="minorEastAsia" w:hAnsiTheme="minorEastAsia" w:eastAsiaTheme="minorEastAsia" w:cstheme="minorEastAsia"/>
          <w:color w:val="auto"/>
          <w:sz w:val="24"/>
        </w:rPr>
        <w:t>2</w:t>
      </w:r>
      <w:r>
        <w:rPr>
          <w:rFonts w:hint="eastAsia" w:asciiTheme="minorEastAsia" w:hAnsiTheme="minorEastAsia" w:eastAsiaTheme="minorEastAsia" w:cstheme="minorEastAsia"/>
          <w:color w:val="auto"/>
          <w:sz w:val="24"/>
          <w:lang w:val="zh-CN"/>
        </w:rPr>
        <w:t>.</w:t>
      </w:r>
      <w:r>
        <w:rPr>
          <w:rFonts w:hint="eastAsia" w:asciiTheme="minorEastAsia" w:hAnsiTheme="minorEastAsia" w:eastAsiaTheme="minorEastAsia" w:cstheme="minorEastAsia"/>
          <w:color w:val="auto"/>
          <w:sz w:val="24"/>
        </w:rPr>
        <w:t>7 商务偏离表；</w:t>
      </w:r>
    </w:p>
    <w:p w14:paraId="611C5D15">
      <w:pPr>
        <w:shd w:val="clear"/>
        <w:snapToGrid w:val="0"/>
        <w:spacing w:line="360" w:lineRule="auto"/>
        <w:ind w:left="420" w:leftChars="200"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w:t>
      </w:r>
      <w:r>
        <w:rPr>
          <w:rFonts w:hint="eastAsia" w:asciiTheme="minorEastAsia" w:hAnsiTheme="minorEastAsia" w:eastAsiaTheme="minorEastAsia" w:cstheme="minorEastAsia"/>
          <w:color w:val="auto"/>
          <w:sz w:val="24"/>
          <w:lang w:val="zh-CN"/>
        </w:rPr>
        <w:t>.</w:t>
      </w:r>
      <w:r>
        <w:rPr>
          <w:rFonts w:hint="eastAsia" w:asciiTheme="minorEastAsia" w:hAnsiTheme="minorEastAsia" w:eastAsiaTheme="minorEastAsia" w:cstheme="minorEastAsia"/>
          <w:color w:val="auto"/>
          <w:sz w:val="24"/>
        </w:rPr>
        <w:t>2</w:t>
      </w:r>
      <w:r>
        <w:rPr>
          <w:rFonts w:hint="eastAsia" w:asciiTheme="minorEastAsia" w:hAnsiTheme="minorEastAsia" w:eastAsiaTheme="minorEastAsia" w:cstheme="minorEastAsia"/>
          <w:color w:val="auto"/>
          <w:sz w:val="24"/>
          <w:lang w:val="zh-CN"/>
        </w:rPr>
        <w:t>.</w:t>
      </w:r>
      <w:r>
        <w:rPr>
          <w:rFonts w:hint="eastAsia" w:asciiTheme="minorEastAsia" w:hAnsiTheme="minorEastAsia" w:eastAsiaTheme="minorEastAsia" w:cstheme="minorEastAsia"/>
          <w:color w:val="auto"/>
          <w:sz w:val="24"/>
        </w:rPr>
        <w:t>8 技术偏离表；</w:t>
      </w:r>
    </w:p>
    <w:p w14:paraId="2F20C5E3">
      <w:pPr>
        <w:shd w:val="clear"/>
        <w:snapToGrid w:val="0"/>
        <w:spacing w:line="360" w:lineRule="auto"/>
        <w:ind w:left="420" w:leftChars="200"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w:t>
      </w:r>
      <w:r>
        <w:rPr>
          <w:rFonts w:hint="eastAsia" w:asciiTheme="minorEastAsia" w:hAnsiTheme="minorEastAsia" w:eastAsiaTheme="minorEastAsia" w:cstheme="minorEastAsia"/>
          <w:color w:val="auto"/>
          <w:sz w:val="24"/>
          <w:lang w:val="zh-CN"/>
        </w:rPr>
        <w:t>.</w:t>
      </w:r>
      <w:r>
        <w:rPr>
          <w:rFonts w:hint="eastAsia" w:asciiTheme="minorEastAsia" w:hAnsiTheme="minorEastAsia" w:eastAsiaTheme="minorEastAsia" w:cstheme="minorEastAsia"/>
          <w:color w:val="auto"/>
          <w:sz w:val="24"/>
        </w:rPr>
        <w:t>2</w:t>
      </w:r>
      <w:r>
        <w:rPr>
          <w:rFonts w:hint="eastAsia" w:asciiTheme="minorEastAsia" w:hAnsiTheme="minorEastAsia" w:eastAsiaTheme="minorEastAsia" w:cstheme="minorEastAsia"/>
          <w:color w:val="auto"/>
          <w:sz w:val="24"/>
          <w:lang w:val="zh-CN"/>
        </w:rPr>
        <w:t>.</w:t>
      </w:r>
      <w:r>
        <w:rPr>
          <w:rFonts w:hint="eastAsia" w:asciiTheme="minorEastAsia" w:hAnsiTheme="minorEastAsia" w:eastAsiaTheme="minorEastAsia" w:cstheme="minorEastAsia"/>
          <w:color w:val="auto"/>
          <w:sz w:val="24"/>
        </w:rPr>
        <w:t>9 同类业绩情况一览表；</w:t>
      </w:r>
    </w:p>
    <w:p w14:paraId="11CDE7C9">
      <w:pPr>
        <w:shd w:val="clear"/>
        <w:snapToGrid w:val="0"/>
        <w:spacing w:line="360" w:lineRule="auto"/>
        <w:ind w:left="420" w:leftChars="200" w:firstLine="480" w:firstLineChars="200"/>
        <w:rPr>
          <w:rFonts w:asciiTheme="minorEastAsia" w:hAnsiTheme="minorEastAsia" w:eastAsiaTheme="minorEastAsia" w:cstheme="minorEastAsia"/>
          <w:color w:val="auto"/>
          <w:sz w:val="24"/>
          <w:lang w:val="zh-CN"/>
        </w:rPr>
      </w:pPr>
      <w:r>
        <w:rPr>
          <w:rFonts w:hint="eastAsia" w:asciiTheme="minorEastAsia" w:hAnsiTheme="minorEastAsia" w:eastAsiaTheme="minorEastAsia" w:cstheme="minorEastAsia"/>
          <w:color w:val="auto"/>
          <w:sz w:val="24"/>
        </w:rPr>
        <w:t xml:space="preserve">2.2.10 </w:t>
      </w:r>
      <w:r>
        <w:rPr>
          <w:rFonts w:hint="eastAsia" w:asciiTheme="minorEastAsia" w:hAnsiTheme="minorEastAsia" w:eastAsiaTheme="minorEastAsia" w:cstheme="minorEastAsia"/>
          <w:color w:val="auto"/>
          <w:sz w:val="24"/>
          <w:lang w:val="zh-CN"/>
        </w:rPr>
        <w:t>采购供应商廉洁自律承诺书；</w:t>
      </w:r>
    </w:p>
    <w:p w14:paraId="3A84CD03">
      <w:pPr>
        <w:shd w:val="clear"/>
        <w:snapToGrid w:val="0"/>
        <w:spacing w:line="360" w:lineRule="auto"/>
        <w:ind w:left="420" w:leftChars="200" w:firstLine="480" w:firstLineChars="2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sz w:val="24"/>
        </w:rPr>
        <w:t>2.2.11 其他资料。</w:t>
      </w:r>
    </w:p>
    <w:p w14:paraId="7CC85BF3">
      <w:pPr>
        <w:shd w:val="clear"/>
        <w:snapToGrid w:val="0"/>
        <w:spacing w:line="360" w:lineRule="auto"/>
        <w:ind w:left="210" w:leftChars="100"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w:t>
      </w:r>
      <w:r>
        <w:rPr>
          <w:rFonts w:hint="eastAsia" w:asciiTheme="minorEastAsia" w:hAnsiTheme="minorEastAsia" w:eastAsiaTheme="minorEastAsia" w:cstheme="minorEastAsia"/>
          <w:color w:val="auto"/>
          <w:sz w:val="24"/>
          <w:lang w:val="zh-CN"/>
        </w:rPr>
        <w:t>.</w:t>
      </w:r>
      <w:r>
        <w:rPr>
          <w:rFonts w:hint="eastAsia" w:asciiTheme="minorEastAsia" w:hAnsiTheme="minorEastAsia" w:eastAsiaTheme="minorEastAsia" w:cstheme="minorEastAsia"/>
          <w:color w:val="auto"/>
          <w:sz w:val="24"/>
        </w:rPr>
        <w:t>3报价文件</w:t>
      </w:r>
    </w:p>
    <w:p w14:paraId="585BA82E">
      <w:pPr>
        <w:shd w:val="clear"/>
        <w:snapToGrid w:val="0"/>
        <w:spacing w:line="360" w:lineRule="auto"/>
        <w:ind w:firstLine="960" w:firstLineChars="4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2.3.1 报价一览表；</w:t>
      </w:r>
    </w:p>
    <w:p w14:paraId="31F4D0BF">
      <w:pPr>
        <w:shd w:val="clear"/>
        <w:snapToGrid w:val="0"/>
        <w:spacing w:line="360" w:lineRule="auto"/>
        <w:ind w:firstLine="960" w:firstLineChars="4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2.3.2响应报价明细表；（本项目不适用）</w:t>
      </w:r>
    </w:p>
    <w:p w14:paraId="2403B04A">
      <w:pPr>
        <w:shd w:val="clear"/>
        <w:snapToGrid w:val="0"/>
        <w:spacing w:line="360" w:lineRule="auto"/>
        <w:ind w:firstLine="960" w:firstLineChars="4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2.3.3 中小企业声明函（如有）；</w:t>
      </w:r>
    </w:p>
    <w:p w14:paraId="6A064217">
      <w:pPr>
        <w:shd w:val="clear"/>
        <w:snapToGrid w:val="0"/>
        <w:spacing w:line="360" w:lineRule="auto"/>
        <w:ind w:firstLine="960" w:firstLineChars="4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2.3.4 残疾人福利性单位声明函（如有）；</w:t>
      </w:r>
    </w:p>
    <w:p w14:paraId="0B9F9919">
      <w:pPr>
        <w:shd w:val="clear"/>
        <w:snapToGrid w:val="0"/>
        <w:spacing w:line="360" w:lineRule="auto"/>
        <w:ind w:firstLine="960" w:firstLineChars="4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2.3.5 监狱企业的证明文件（如有）；</w:t>
      </w:r>
    </w:p>
    <w:p w14:paraId="09BB6C5E">
      <w:pPr>
        <w:shd w:val="clear"/>
        <w:snapToGrid w:val="0"/>
        <w:spacing w:line="360" w:lineRule="auto"/>
        <w:ind w:firstLine="960" w:firstLineChars="4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2.3.6 采购统计基础信息表。</w:t>
      </w:r>
    </w:p>
    <w:p w14:paraId="013D47D1">
      <w:pPr>
        <w:shd w:val="clear"/>
        <w:snapToGrid w:val="0"/>
        <w:spacing w:line="360" w:lineRule="auto"/>
        <w:ind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3.我方承诺除商务技术偏离表列出的偏离外，我方响应采购文件的全部要求。</w:t>
      </w:r>
    </w:p>
    <w:p w14:paraId="326B30D0">
      <w:pPr>
        <w:shd w:val="clear"/>
        <w:snapToGrid w:val="0"/>
        <w:spacing w:line="360" w:lineRule="auto"/>
        <w:ind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4.如我方成交，我方承诺：</w:t>
      </w:r>
    </w:p>
    <w:p w14:paraId="5B8DBBA2">
      <w:pPr>
        <w:shd w:val="clear"/>
        <w:snapToGrid w:val="0"/>
        <w:spacing w:line="360" w:lineRule="auto"/>
        <w:ind w:left="210" w:leftChars="100"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4.1在收到成交通知书后，在成交通知书规定的期限内与你方签订合同； </w:t>
      </w:r>
    </w:p>
    <w:p w14:paraId="6285D86F">
      <w:pPr>
        <w:shd w:val="clear"/>
        <w:snapToGrid w:val="0"/>
        <w:spacing w:line="360" w:lineRule="auto"/>
        <w:ind w:left="210" w:leftChars="100"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4.2在签订合同时不向你方提出附加条件； </w:t>
      </w:r>
    </w:p>
    <w:p w14:paraId="15CDB918">
      <w:pPr>
        <w:shd w:val="clear"/>
        <w:snapToGrid w:val="0"/>
        <w:spacing w:line="360" w:lineRule="auto"/>
        <w:ind w:left="210" w:leftChars="100"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4.3按照采购文件要求提交履约保证金； </w:t>
      </w:r>
    </w:p>
    <w:p w14:paraId="775F7B94">
      <w:pPr>
        <w:shd w:val="clear"/>
        <w:snapToGrid w:val="0"/>
        <w:spacing w:line="360" w:lineRule="auto"/>
        <w:ind w:left="210" w:leftChars="100"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4.4在合同约定的期限内完成合同规定的全部义务。 </w:t>
      </w:r>
    </w:p>
    <w:p w14:paraId="01B1FAA8">
      <w:pPr>
        <w:shd w:val="clear"/>
        <w:snapToGrid w:val="0"/>
        <w:spacing w:line="360" w:lineRule="auto"/>
        <w:ind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5.其他补充说明： </w:t>
      </w:r>
      <w:r>
        <w:rPr>
          <w:rFonts w:hint="eastAsia" w:asciiTheme="minorEastAsia" w:hAnsiTheme="minorEastAsia" w:eastAsiaTheme="minorEastAsia" w:cstheme="minorEastAsia"/>
          <w:color w:val="auto"/>
          <w:sz w:val="24"/>
          <w:u w:val="single"/>
        </w:rPr>
        <w:t xml:space="preserve">                                      </w:t>
      </w:r>
      <w:r>
        <w:rPr>
          <w:rFonts w:hint="eastAsia" w:asciiTheme="minorEastAsia" w:hAnsiTheme="minorEastAsia" w:eastAsiaTheme="minorEastAsia" w:cstheme="minorEastAsia"/>
          <w:color w:val="auto"/>
          <w:sz w:val="24"/>
        </w:rPr>
        <w:t xml:space="preserve"> 。</w:t>
      </w:r>
    </w:p>
    <w:p w14:paraId="25755DBA">
      <w:pPr>
        <w:shd w:val="clear"/>
        <w:spacing w:line="360" w:lineRule="auto"/>
        <w:ind w:firstLine="3600" w:firstLineChars="1500"/>
        <w:rPr>
          <w:rFonts w:asciiTheme="minorEastAsia" w:hAnsiTheme="minorEastAsia" w:eastAsiaTheme="minorEastAsia" w:cstheme="minorEastAsia"/>
          <w:color w:val="auto"/>
          <w:sz w:val="24"/>
        </w:rPr>
      </w:pPr>
    </w:p>
    <w:p w14:paraId="598A1689">
      <w:pPr>
        <w:shd w:val="clear"/>
        <w:spacing w:line="360" w:lineRule="auto"/>
        <w:ind w:firstLine="3600" w:firstLineChars="1500"/>
        <w:rPr>
          <w:rFonts w:asciiTheme="minorEastAsia" w:hAnsiTheme="minorEastAsia" w:eastAsiaTheme="minorEastAsia" w:cstheme="minorEastAsia"/>
          <w:color w:val="auto"/>
          <w:sz w:val="24"/>
        </w:rPr>
      </w:pPr>
    </w:p>
    <w:p w14:paraId="61537741">
      <w:pPr>
        <w:shd w:val="clear"/>
        <w:snapToGrid w:val="0"/>
        <w:spacing w:line="360" w:lineRule="auto"/>
        <w:ind w:firstLine="960" w:firstLineChars="4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法定代表人（签名或印章）：     </w:t>
      </w:r>
    </w:p>
    <w:p w14:paraId="6CAAA3D5">
      <w:pPr>
        <w:shd w:val="clear"/>
        <w:snapToGrid w:val="0"/>
        <w:spacing w:line="360" w:lineRule="auto"/>
        <w:ind w:firstLine="960" w:firstLineChars="4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供应商（盖章）：   </w:t>
      </w:r>
    </w:p>
    <w:p w14:paraId="52531C4B">
      <w:pPr>
        <w:shd w:val="clear"/>
        <w:snapToGrid w:val="0"/>
        <w:spacing w:line="360" w:lineRule="auto"/>
        <w:ind w:firstLine="960" w:firstLineChars="4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年    月    日</w:t>
      </w:r>
    </w:p>
    <w:p w14:paraId="7A9F3436">
      <w:pPr>
        <w:shd w:val="clear"/>
        <w:spacing w:line="360" w:lineRule="auto"/>
        <w:ind w:firstLine="321"/>
        <w:jc w:val="center"/>
        <w:rPr>
          <w:rFonts w:asciiTheme="minorEastAsia" w:hAnsiTheme="minorEastAsia" w:eastAsiaTheme="minorEastAsia" w:cstheme="minorEastAsia"/>
          <w:b/>
          <w:color w:val="auto"/>
          <w:kern w:val="0"/>
          <w:sz w:val="32"/>
          <w:szCs w:val="32"/>
        </w:rPr>
      </w:pPr>
    </w:p>
    <w:p w14:paraId="43F05FA9">
      <w:pPr>
        <w:shd w:val="clear"/>
        <w:spacing w:line="360" w:lineRule="auto"/>
        <w:ind w:firstLine="321"/>
        <w:jc w:val="center"/>
        <w:rPr>
          <w:rFonts w:asciiTheme="minorEastAsia" w:hAnsiTheme="minorEastAsia" w:eastAsiaTheme="minorEastAsia" w:cstheme="minorEastAsia"/>
          <w:b/>
          <w:color w:val="auto"/>
          <w:kern w:val="0"/>
          <w:sz w:val="32"/>
          <w:szCs w:val="32"/>
          <w:lang w:val="zh-CN"/>
        </w:rPr>
      </w:pPr>
    </w:p>
    <w:p w14:paraId="4A52032F">
      <w:pPr>
        <w:shd w:val="clear"/>
        <w:spacing w:line="360" w:lineRule="auto"/>
        <w:ind w:firstLine="321"/>
        <w:rPr>
          <w:rFonts w:asciiTheme="minorEastAsia" w:hAnsiTheme="minorEastAsia" w:eastAsiaTheme="minorEastAsia" w:cstheme="minorEastAsia"/>
          <w:b/>
          <w:color w:val="auto"/>
          <w:sz w:val="32"/>
          <w:szCs w:val="32"/>
        </w:rPr>
      </w:pPr>
      <w:bookmarkStart w:id="430" w:name="_Toc488936100"/>
      <w:bookmarkStart w:id="431" w:name="_Toc483379796"/>
      <w:bookmarkStart w:id="432" w:name="_Toc225223761"/>
      <w:bookmarkStart w:id="433" w:name="_Toc479927873"/>
      <w:bookmarkStart w:id="434" w:name="_Toc14746861"/>
      <w:bookmarkStart w:id="435" w:name="_Toc110393361"/>
    </w:p>
    <w:p w14:paraId="6FE4B5FD">
      <w:pPr>
        <w:numPr>
          <w:ilvl w:val="0"/>
          <w:numId w:val="5"/>
        </w:numPr>
        <w:shd w:val="clear"/>
        <w:snapToGrid w:val="0"/>
        <w:spacing w:line="360" w:lineRule="auto"/>
        <w:ind w:firstLine="321"/>
        <w:jc w:val="center"/>
        <w:outlineLvl w:val="0"/>
        <w:rPr>
          <w:rFonts w:asciiTheme="minorEastAsia" w:hAnsiTheme="minorEastAsia" w:eastAsiaTheme="minorEastAsia" w:cstheme="minorEastAsia"/>
          <w:b/>
          <w:color w:val="auto"/>
          <w:kern w:val="0"/>
          <w:sz w:val="32"/>
          <w:szCs w:val="32"/>
          <w:lang w:val="zh-CN"/>
        </w:rPr>
      </w:pPr>
      <w:r>
        <w:rPr>
          <w:rFonts w:hint="eastAsia" w:asciiTheme="minorEastAsia" w:hAnsiTheme="minorEastAsia" w:eastAsiaTheme="minorEastAsia" w:cstheme="minorEastAsia"/>
          <w:b/>
          <w:color w:val="auto"/>
          <w:kern w:val="0"/>
          <w:sz w:val="32"/>
          <w:szCs w:val="32"/>
          <w:lang w:val="zh-CN"/>
        </w:rPr>
        <w:br w:type="page"/>
      </w:r>
      <w:r>
        <w:rPr>
          <w:rFonts w:hint="eastAsia" w:asciiTheme="minorEastAsia" w:hAnsiTheme="minorEastAsia" w:eastAsiaTheme="minorEastAsia" w:cstheme="minorEastAsia"/>
          <w:b/>
          <w:color w:val="auto"/>
          <w:kern w:val="0"/>
          <w:sz w:val="32"/>
          <w:szCs w:val="32"/>
          <w:lang w:val="zh-CN"/>
        </w:rPr>
        <w:t>授权委托书</w:t>
      </w:r>
    </w:p>
    <w:p w14:paraId="33634570">
      <w:pPr>
        <w:shd w:val="clear"/>
        <w:spacing w:line="440" w:lineRule="exact"/>
        <w:ind w:firstLine="240"/>
        <w:jc w:val="left"/>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color w:val="auto"/>
          <w:sz w:val="24"/>
        </w:rPr>
        <w:t xml:space="preserve">                           </w:t>
      </w:r>
      <w:r>
        <w:rPr>
          <w:rFonts w:hint="eastAsia" w:asciiTheme="minorEastAsia" w:hAnsiTheme="minorEastAsia" w:eastAsiaTheme="minorEastAsia" w:cstheme="minorEastAsia"/>
          <w:b/>
          <w:color w:val="auto"/>
          <w:sz w:val="32"/>
          <w:szCs w:val="32"/>
        </w:rPr>
        <w:t>法定代表人授权委托书</w:t>
      </w:r>
    </w:p>
    <w:p w14:paraId="117398CD">
      <w:pPr>
        <w:shd w:val="clear"/>
        <w:spacing w:line="440" w:lineRule="exact"/>
        <w:ind w:firstLine="240"/>
        <w:jc w:val="center"/>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Cs/>
          <w:color w:val="auto"/>
          <w:sz w:val="24"/>
        </w:rPr>
        <w:t>（法定代表人来参加磋商采购活动的，此表不用）</w:t>
      </w:r>
    </w:p>
    <w:p w14:paraId="6D38E7A1">
      <w:pPr>
        <w:shd w:val="clear"/>
        <w:snapToGrid w:val="0"/>
        <w:spacing w:line="360" w:lineRule="auto"/>
        <w:ind w:firstLine="240"/>
        <w:rPr>
          <w:rFonts w:asciiTheme="minorEastAsia" w:hAnsiTheme="minorEastAsia" w:eastAsiaTheme="minorEastAsia" w:cstheme="minorEastAsia"/>
          <w:bCs/>
          <w:color w:val="auto"/>
          <w:sz w:val="24"/>
        </w:rPr>
      </w:pPr>
    </w:p>
    <w:p w14:paraId="56D55D1A">
      <w:pPr>
        <w:shd w:val="clear"/>
        <w:snapToGrid w:val="0"/>
        <w:spacing w:line="360" w:lineRule="auto"/>
        <w:ind w:firstLine="21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bCs/>
          <w:color w:val="auto"/>
          <w:szCs w:val="21"/>
          <w:u w:val="single"/>
        </w:rPr>
        <w:t>宁波市奉化区人民政府江口街道办事处</w:t>
      </w:r>
      <w:r>
        <w:rPr>
          <w:rFonts w:hint="eastAsia" w:asciiTheme="minorEastAsia" w:hAnsiTheme="minorEastAsia" w:eastAsiaTheme="minorEastAsia" w:cstheme="minorEastAsia"/>
          <w:color w:val="auto"/>
          <w:szCs w:val="21"/>
        </w:rPr>
        <w:t>：</w:t>
      </w:r>
    </w:p>
    <w:p w14:paraId="7BF98883">
      <w:pPr>
        <w:shd w:val="clear"/>
        <w:snapToGrid w:val="0"/>
        <w:spacing w:line="360" w:lineRule="auto"/>
        <w:ind w:firstLine="420" w:firstLineChars="200"/>
        <w:rPr>
          <w:rFonts w:asciiTheme="minorEastAsia" w:hAnsiTheme="minorEastAsia" w:eastAsiaTheme="minorEastAsia" w:cstheme="minorEastAsia"/>
          <w:color w:val="auto"/>
          <w:szCs w:val="21"/>
          <w:u w:val="single"/>
        </w:rPr>
      </w:pPr>
      <w:r>
        <w:rPr>
          <w:rFonts w:hint="eastAsia" w:asciiTheme="minorEastAsia" w:hAnsiTheme="minorEastAsia" w:eastAsiaTheme="minorEastAsia" w:cstheme="minorEastAsia"/>
          <w:color w:val="auto"/>
          <w:szCs w:val="21"/>
        </w:rPr>
        <w:t>我</w:t>
      </w:r>
      <w:r>
        <w:rPr>
          <w:rFonts w:hint="eastAsia" w:asciiTheme="minorEastAsia" w:hAnsiTheme="minorEastAsia" w:eastAsiaTheme="minorEastAsia" w:cstheme="minorEastAsia"/>
          <w:color w:val="auto"/>
          <w:szCs w:val="21"/>
          <w:u w:val="single"/>
        </w:rPr>
        <w:t xml:space="preserve">          </w:t>
      </w:r>
      <w:r>
        <w:rPr>
          <w:rFonts w:hint="eastAsia" w:asciiTheme="minorEastAsia" w:hAnsiTheme="minorEastAsia" w:eastAsiaTheme="minorEastAsia" w:cstheme="minorEastAsia"/>
          <w:color w:val="auto"/>
          <w:szCs w:val="21"/>
        </w:rPr>
        <w:t>（姓名）系</w:t>
      </w:r>
      <w:r>
        <w:rPr>
          <w:rFonts w:hint="eastAsia" w:asciiTheme="minorEastAsia" w:hAnsiTheme="minorEastAsia" w:eastAsiaTheme="minorEastAsia" w:cstheme="minorEastAsia"/>
          <w:color w:val="auto"/>
          <w:szCs w:val="21"/>
          <w:u w:val="single"/>
        </w:rPr>
        <w:t xml:space="preserve">           </w:t>
      </w:r>
      <w:r>
        <w:rPr>
          <w:rFonts w:hint="eastAsia" w:asciiTheme="minorEastAsia" w:hAnsiTheme="minorEastAsia" w:eastAsiaTheme="minorEastAsia" w:cstheme="minorEastAsia"/>
          <w:color w:val="auto"/>
          <w:szCs w:val="21"/>
        </w:rPr>
        <w:t xml:space="preserve">（供应商名称）的法定代表人，现授权委托本单位在职职工 </w:t>
      </w:r>
      <w:r>
        <w:rPr>
          <w:rFonts w:hint="eastAsia" w:asciiTheme="minorEastAsia" w:hAnsiTheme="minorEastAsia" w:eastAsiaTheme="minorEastAsia" w:cstheme="minorEastAsia"/>
          <w:color w:val="auto"/>
          <w:szCs w:val="21"/>
          <w:u w:val="single"/>
        </w:rPr>
        <w:t xml:space="preserve">           </w:t>
      </w:r>
      <w:r>
        <w:rPr>
          <w:rFonts w:hint="eastAsia" w:asciiTheme="minorEastAsia" w:hAnsiTheme="minorEastAsia" w:eastAsiaTheme="minorEastAsia" w:cstheme="minorEastAsia"/>
          <w:color w:val="auto"/>
          <w:szCs w:val="21"/>
        </w:rPr>
        <w:t>（姓名）以我方的名义参加</w:t>
      </w:r>
      <w:r>
        <w:rPr>
          <w:rFonts w:hint="eastAsia" w:asciiTheme="minorEastAsia" w:hAnsiTheme="minorEastAsia" w:eastAsiaTheme="minorEastAsia" w:cstheme="minorEastAsia"/>
          <w:color w:val="auto"/>
          <w:szCs w:val="21"/>
          <w:u w:val="single"/>
        </w:rPr>
        <w:t xml:space="preserve">                       </w:t>
      </w:r>
      <w:r>
        <w:rPr>
          <w:rFonts w:hint="eastAsia" w:asciiTheme="minorEastAsia" w:hAnsiTheme="minorEastAsia" w:eastAsiaTheme="minorEastAsia" w:cstheme="minorEastAsia"/>
          <w:color w:val="auto"/>
          <w:szCs w:val="21"/>
        </w:rPr>
        <w:t>项目的磋商采购活动，并代表我方全权办理针对上述项目的磋商、评审、签约等具体事务和签署相关文件。</w:t>
      </w:r>
    </w:p>
    <w:p w14:paraId="6254067C">
      <w:pPr>
        <w:shd w:val="clear"/>
        <w:snapToGrid w:val="0"/>
        <w:spacing w:line="360" w:lineRule="auto"/>
        <w:ind w:firstLine="420" w:firstLineChars="200"/>
        <w:rPr>
          <w:rFonts w:asciiTheme="minorEastAsia" w:hAnsiTheme="minorEastAsia" w:eastAsiaTheme="minorEastAsia" w:cstheme="minorEastAsia"/>
          <w:color w:val="auto"/>
          <w:szCs w:val="21"/>
          <w:u w:val="single"/>
        </w:rPr>
      </w:pPr>
      <w:r>
        <w:rPr>
          <w:rFonts w:hint="eastAsia" w:asciiTheme="minorEastAsia" w:hAnsiTheme="minorEastAsia" w:eastAsiaTheme="minorEastAsia" w:cstheme="minorEastAsia"/>
          <w:color w:val="auto"/>
          <w:szCs w:val="21"/>
        </w:rPr>
        <w:t>我方对被授权人的签名事项负全部责任。</w:t>
      </w:r>
    </w:p>
    <w:p w14:paraId="278D269E">
      <w:pPr>
        <w:shd w:val="clear"/>
        <w:snapToGrid w:val="0"/>
        <w:spacing w:line="360" w:lineRule="auto"/>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在撤销授权的书面通知以前，本授权书一直有效。被授权人在授权书有效期内签署的所有文件不因授权的撤销而失效。</w:t>
      </w:r>
    </w:p>
    <w:p w14:paraId="228C778E">
      <w:pPr>
        <w:shd w:val="clear"/>
        <w:snapToGrid w:val="0"/>
        <w:spacing w:line="360" w:lineRule="auto"/>
        <w:ind w:firstLine="21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被授权人无转委托权，特此委托。</w:t>
      </w:r>
    </w:p>
    <w:p w14:paraId="22FAF567">
      <w:pPr>
        <w:shd w:val="clear"/>
        <w:snapToGrid w:val="0"/>
        <w:spacing w:line="360" w:lineRule="auto"/>
        <w:ind w:firstLine="210"/>
        <w:rPr>
          <w:rFonts w:asciiTheme="minorEastAsia" w:hAnsiTheme="minorEastAsia" w:eastAsiaTheme="minorEastAsia" w:cstheme="minorEastAsia"/>
          <w:color w:val="auto"/>
          <w:szCs w:val="21"/>
        </w:rPr>
      </w:pPr>
    </w:p>
    <w:p w14:paraId="613306DD">
      <w:pPr>
        <w:shd w:val="clear"/>
        <w:snapToGrid w:val="0"/>
        <w:spacing w:line="360" w:lineRule="auto"/>
        <w:ind w:firstLine="210"/>
        <w:rPr>
          <w:rFonts w:asciiTheme="minorEastAsia" w:hAnsiTheme="minorEastAsia" w:eastAsiaTheme="minorEastAsia" w:cstheme="minorEastAsia"/>
          <w:color w:val="auto"/>
          <w:szCs w:val="21"/>
        </w:rPr>
      </w:pPr>
    </w:p>
    <w:p w14:paraId="036B2DB8">
      <w:pPr>
        <w:shd w:val="clear"/>
        <w:snapToGrid w:val="0"/>
        <w:spacing w:line="360" w:lineRule="auto"/>
        <w:ind w:firstLine="210"/>
        <w:rPr>
          <w:rFonts w:asciiTheme="minorEastAsia" w:hAnsiTheme="minorEastAsia" w:eastAsiaTheme="minorEastAsia" w:cstheme="minorEastAsia"/>
          <w:color w:val="auto"/>
          <w:szCs w:val="21"/>
          <w:u w:val="single"/>
        </w:rPr>
      </w:pPr>
      <w:r>
        <w:rPr>
          <w:rFonts w:hint="eastAsia" w:asciiTheme="minorEastAsia" w:hAnsiTheme="minorEastAsia" w:eastAsiaTheme="minorEastAsia" w:cstheme="minorEastAsia"/>
          <w:color w:val="auto"/>
          <w:szCs w:val="21"/>
        </w:rPr>
        <w:t>被授权人签名或印章：</w:t>
      </w:r>
      <w:r>
        <w:rPr>
          <w:rFonts w:hint="eastAsia" w:asciiTheme="minorEastAsia" w:hAnsiTheme="minorEastAsia" w:eastAsiaTheme="minorEastAsia" w:cstheme="minorEastAsia"/>
          <w:color w:val="auto"/>
          <w:szCs w:val="21"/>
          <w:u w:val="single"/>
        </w:rPr>
        <w:t xml:space="preserve">          </w:t>
      </w:r>
      <w:r>
        <w:rPr>
          <w:rFonts w:hint="eastAsia" w:asciiTheme="minorEastAsia" w:hAnsiTheme="minorEastAsia" w:eastAsiaTheme="minorEastAsia" w:cstheme="minorEastAsia"/>
          <w:color w:val="auto"/>
          <w:szCs w:val="21"/>
        </w:rPr>
        <w:t xml:space="preserve">                     法定代表人签名或印章：</w:t>
      </w:r>
      <w:r>
        <w:rPr>
          <w:rFonts w:hint="eastAsia" w:asciiTheme="minorEastAsia" w:hAnsiTheme="minorEastAsia" w:eastAsiaTheme="minorEastAsia" w:cstheme="minorEastAsia"/>
          <w:color w:val="auto"/>
          <w:szCs w:val="21"/>
          <w:u w:val="single"/>
        </w:rPr>
        <w:t xml:space="preserve">          </w:t>
      </w:r>
    </w:p>
    <w:p w14:paraId="36291F08">
      <w:pPr>
        <w:shd w:val="clear"/>
        <w:snapToGrid w:val="0"/>
        <w:spacing w:line="360" w:lineRule="auto"/>
        <w:ind w:firstLine="840" w:firstLineChars="4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职务：</w:t>
      </w:r>
      <w:r>
        <w:rPr>
          <w:rFonts w:hint="eastAsia" w:asciiTheme="minorEastAsia" w:hAnsiTheme="minorEastAsia" w:eastAsiaTheme="minorEastAsia" w:cstheme="minorEastAsia"/>
          <w:color w:val="auto"/>
          <w:szCs w:val="21"/>
          <w:u w:val="single"/>
        </w:rPr>
        <w:t xml:space="preserve">           </w:t>
      </w:r>
      <w:r>
        <w:rPr>
          <w:rFonts w:hint="eastAsia" w:asciiTheme="minorEastAsia" w:hAnsiTheme="minorEastAsia" w:eastAsiaTheme="minorEastAsia" w:cstheme="minorEastAsia"/>
          <w:color w:val="auto"/>
          <w:szCs w:val="21"/>
        </w:rPr>
        <w:t xml:space="preserve">                          职务：</w:t>
      </w:r>
      <w:r>
        <w:rPr>
          <w:rFonts w:hint="eastAsia" w:asciiTheme="minorEastAsia" w:hAnsiTheme="minorEastAsia" w:eastAsiaTheme="minorEastAsia" w:cstheme="minorEastAsia"/>
          <w:color w:val="auto"/>
          <w:szCs w:val="21"/>
          <w:u w:val="single"/>
        </w:rPr>
        <w:t xml:space="preserve">           </w:t>
      </w:r>
    </w:p>
    <w:p w14:paraId="353A974F">
      <w:pPr>
        <w:shd w:val="clear"/>
        <w:snapToGrid w:val="0"/>
        <w:spacing w:line="360" w:lineRule="auto"/>
        <w:ind w:firstLine="21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被授权人身份证号码：</w:t>
      </w:r>
      <w:r>
        <w:rPr>
          <w:rFonts w:hint="eastAsia" w:asciiTheme="minorEastAsia" w:hAnsiTheme="minorEastAsia" w:eastAsiaTheme="minorEastAsia" w:cstheme="minorEastAsia"/>
          <w:color w:val="auto"/>
          <w:szCs w:val="21"/>
          <w:u w:val="single"/>
        </w:rPr>
        <w:t xml:space="preserve">                             </w:t>
      </w:r>
      <w:r>
        <w:rPr>
          <w:rFonts w:hint="eastAsia" w:asciiTheme="minorEastAsia" w:hAnsiTheme="minorEastAsia" w:eastAsiaTheme="minorEastAsia" w:cstheme="minorEastAsia"/>
          <w:color w:val="auto"/>
          <w:szCs w:val="21"/>
        </w:rPr>
        <w:t xml:space="preserve"> </w:t>
      </w:r>
    </w:p>
    <w:p w14:paraId="30D5397D">
      <w:pPr>
        <w:shd w:val="clear"/>
        <w:snapToGrid w:val="0"/>
        <w:spacing w:line="360" w:lineRule="auto"/>
        <w:ind w:firstLine="21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 xml:space="preserve">                                    </w:t>
      </w:r>
    </w:p>
    <w:p w14:paraId="0824B2B1">
      <w:pPr>
        <w:shd w:val="clear"/>
        <w:snapToGrid w:val="0"/>
        <w:spacing w:line="360" w:lineRule="auto"/>
        <w:ind w:firstLine="210"/>
        <w:rPr>
          <w:rFonts w:asciiTheme="minorEastAsia" w:hAnsiTheme="minorEastAsia" w:eastAsiaTheme="minorEastAsia" w:cstheme="minorEastAsia"/>
          <w:color w:val="auto"/>
          <w:szCs w:val="21"/>
        </w:rPr>
      </w:pPr>
    </w:p>
    <w:p w14:paraId="55CF850A">
      <w:pPr>
        <w:shd w:val="clear"/>
        <w:spacing w:line="360" w:lineRule="auto"/>
        <w:ind w:firstLine="4830" w:firstLineChars="23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供应商（盖章）：</w:t>
      </w:r>
    </w:p>
    <w:p w14:paraId="45FE22A6">
      <w:pPr>
        <w:shd w:val="clear"/>
        <w:spacing w:line="360" w:lineRule="auto"/>
        <w:ind w:firstLine="1260" w:firstLineChars="6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                                  日期：</w:t>
      </w:r>
    </w:p>
    <w:p w14:paraId="20346EF1">
      <w:pPr>
        <w:shd w:val="clear"/>
        <w:spacing w:line="360" w:lineRule="auto"/>
        <w:ind w:firstLine="211"/>
        <w:rPr>
          <w:rFonts w:asciiTheme="minorEastAsia" w:hAnsiTheme="minorEastAsia" w:eastAsiaTheme="minorEastAsia" w:cstheme="minorEastAsia"/>
          <w:b/>
          <w:color w:val="auto"/>
          <w:szCs w:val="21"/>
        </w:rPr>
      </w:pPr>
    </w:p>
    <w:p w14:paraId="56386CBE">
      <w:pPr>
        <w:shd w:val="clear"/>
        <w:spacing w:line="360" w:lineRule="auto"/>
        <w:ind w:firstLine="211"/>
        <w:rPr>
          <w:rFonts w:asciiTheme="minorEastAsia" w:hAnsiTheme="minorEastAsia" w:eastAsiaTheme="minorEastAsia" w:cstheme="minorEastAsia"/>
          <w:b/>
          <w:color w:val="auto"/>
          <w:szCs w:val="21"/>
        </w:rPr>
      </w:pPr>
    </w:p>
    <w:p w14:paraId="67ED1A85">
      <w:pPr>
        <w:shd w:val="clear"/>
        <w:spacing w:line="360" w:lineRule="auto"/>
        <w:ind w:firstLine="211"/>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附：法定代表人身份证复印件（正反面）、授权代表身份证复印件（正反面）：</w:t>
      </w:r>
    </w:p>
    <w:p w14:paraId="09BA037B">
      <w:pPr>
        <w:shd w:val="clear"/>
        <w:snapToGrid w:val="0"/>
        <w:spacing w:line="360" w:lineRule="auto"/>
        <w:ind w:firstLine="240"/>
        <w:rPr>
          <w:rFonts w:asciiTheme="minorEastAsia" w:hAnsiTheme="minorEastAsia" w:eastAsiaTheme="minorEastAsia" w:cstheme="minorEastAsia"/>
          <w:color w:val="auto"/>
          <w:sz w:val="24"/>
        </w:rPr>
      </w:pPr>
    </w:p>
    <w:p w14:paraId="5AEDA7D8">
      <w:pPr>
        <w:shd w:val="clear"/>
        <w:spacing w:line="360" w:lineRule="auto"/>
        <w:ind w:firstLine="321"/>
        <w:jc w:val="center"/>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b/>
          <w:color w:val="auto"/>
          <w:kern w:val="0"/>
          <w:sz w:val="32"/>
          <w:szCs w:val="32"/>
          <w:lang w:val="zh-CN"/>
        </w:rPr>
        <w:t xml:space="preserve">      </w:t>
      </w:r>
      <w:r>
        <w:rPr>
          <w:rFonts w:hint="eastAsia" w:asciiTheme="minorEastAsia" w:hAnsiTheme="minorEastAsia" w:eastAsiaTheme="minorEastAsia" w:cstheme="minorEastAsia"/>
          <w:b/>
          <w:color w:val="auto"/>
          <w:kern w:val="0"/>
          <w:sz w:val="32"/>
          <w:szCs w:val="32"/>
        </w:rPr>
        <w:t xml:space="preserve"> </w:t>
      </w:r>
    </w:p>
    <w:p w14:paraId="1B28C283">
      <w:pPr>
        <w:shd w:val="clear"/>
        <w:spacing w:line="360" w:lineRule="auto"/>
        <w:ind w:firstLine="321"/>
        <w:jc w:val="center"/>
        <w:rPr>
          <w:rFonts w:asciiTheme="minorEastAsia" w:hAnsiTheme="minorEastAsia" w:eastAsiaTheme="minorEastAsia" w:cstheme="minorEastAsia"/>
          <w:b/>
          <w:color w:val="auto"/>
          <w:kern w:val="0"/>
          <w:sz w:val="32"/>
          <w:szCs w:val="32"/>
          <w:lang w:val="zh-CN"/>
        </w:rPr>
      </w:pPr>
      <w:r>
        <w:rPr>
          <w:rFonts w:hint="eastAsia" w:asciiTheme="minorEastAsia" w:hAnsiTheme="minorEastAsia" w:eastAsiaTheme="minorEastAsia" w:cstheme="minorEastAsia"/>
          <w:b/>
          <w:color w:val="auto"/>
          <w:kern w:val="0"/>
          <w:sz w:val="32"/>
          <w:szCs w:val="32"/>
          <w:lang w:val="zh-CN"/>
        </w:rPr>
        <w:br w:type="page"/>
      </w:r>
      <w:r>
        <w:rPr>
          <w:rFonts w:hint="eastAsia" w:asciiTheme="minorEastAsia" w:hAnsiTheme="minorEastAsia" w:eastAsiaTheme="minorEastAsia" w:cstheme="minorEastAsia"/>
          <w:b/>
          <w:color w:val="auto"/>
          <w:kern w:val="0"/>
          <w:sz w:val="32"/>
          <w:szCs w:val="32"/>
          <w:lang w:val="zh-CN"/>
        </w:rPr>
        <w:t>供应商基本情况</w:t>
      </w:r>
      <w:bookmarkEnd w:id="430"/>
      <w:bookmarkEnd w:id="431"/>
      <w:bookmarkEnd w:id="432"/>
      <w:bookmarkEnd w:id="433"/>
      <w:bookmarkEnd w:id="434"/>
      <w:bookmarkEnd w:id="435"/>
      <w:r>
        <w:rPr>
          <w:rFonts w:hint="eastAsia" w:asciiTheme="minorEastAsia" w:hAnsiTheme="minorEastAsia" w:eastAsiaTheme="minorEastAsia" w:cstheme="minorEastAsia"/>
          <w:b/>
          <w:color w:val="auto"/>
          <w:kern w:val="0"/>
          <w:sz w:val="32"/>
          <w:szCs w:val="32"/>
          <w:lang w:val="zh-CN"/>
        </w:rPr>
        <w:t>表</w:t>
      </w:r>
    </w:p>
    <w:tbl>
      <w:tblPr>
        <w:tblStyle w:val="27"/>
        <w:tblW w:w="98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0"/>
        <w:gridCol w:w="1743"/>
        <w:gridCol w:w="1066"/>
        <w:gridCol w:w="1786"/>
        <w:gridCol w:w="1401"/>
        <w:gridCol w:w="1651"/>
      </w:tblGrid>
      <w:tr w14:paraId="7772E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1846FBFB">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供应商名称</w:t>
            </w:r>
          </w:p>
        </w:tc>
        <w:tc>
          <w:tcPr>
            <w:tcW w:w="7647" w:type="dxa"/>
            <w:gridSpan w:val="5"/>
            <w:vAlign w:val="center"/>
          </w:tcPr>
          <w:p w14:paraId="58915D5D">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692FE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5236B4C6">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注册地址</w:t>
            </w:r>
          </w:p>
        </w:tc>
        <w:tc>
          <w:tcPr>
            <w:tcW w:w="2809" w:type="dxa"/>
            <w:gridSpan w:val="2"/>
            <w:vAlign w:val="center"/>
          </w:tcPr>
          <w:p w14:paraId="359F076E">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c>
          <w:tcPr>
            <w:tcW w:w="1786" w:type="dxa"/>
            <w:vAlign w:val="center"/>
          </w:tcPr>
          <w:p w14:paraId="276F49BB">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成立时间</w:t>
            </w:r>
          </w:p>
        </w:tc>
        <w:tc>
          <w:tcPr>
            <w:tcW w:w="3052" w:type="dxa"/>
            <w:gridSpan w:val="2"/>
            <w:vAlign w:val="center"/>
          </w:tcPr>
          <w:p w14:paraId="098CF466">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1444A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4D7A5010">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统一信用代码</w:t>
            </w:r>
          </w:p>
        </w:tc>
        <w:tc>
          <w:tcPr>
            <w:tcW w:w="2809" w:type="dxa"/>
            <w:gridSpan w:val="2"/>
            <w:vAlign w:val="center"/>
          </w:tcPr>
          <w:p w14:paraId="2CCBBE3F">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c>
          <w:tcPr>
            <w:tcW w:w="1786" w:type="dxa"/>
            <w:vAlign w:val="center"/>
          </w:tcPr>
          <w:p w14:paraId="299509F7">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注册资金</w:t>
            </w:r>
          </w:p>
        </w:tc>
        <w:tc>
          <w:tcPr>
            <w:tcW w:w="3052" w:type="dxa"/>
            <w:gridSpan w:val="2"/>
            <w:vAlign w:val="center"/>
          </w:tcPr>
          <w:p w14:paraId="6B49E71B">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452B4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4329C816">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供应商授权代表联系人姓名</w:t>
            </w:r>
          </w:p>
        </w:tc>
        <w:tc>
          <w:tcPr>
            <w:tcW w:w="1743" w:type="dxa"/>
            <w:vAlign w:val="center"/>
          </w:tcPr>
          <w:p w14:paraId="669F7415">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c>
          <w:tcPr>
            <w:tcW w:w="1066" w:type="dxa"/>
            <w:vAlign w:val="center"/>
          </w:tcPr>
          <w:p w14:paraId="6F77405C">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电话</w:t>
            </w:r>
          </w:p>
        </w:tc>
        <w:tc>
          <w:tcPr>
            <w:tcW w:w="1786" w:type="dxa"/>
            <w:vAlign w:val="center"/>
          </w:tcPr>
          <w:p w14:paraId="438DA0F6">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c>
          <w:tcPr>
            <w:tcW w:w="1401" w:type="dxa"/>
            <w:vAlign w:val="center"/>
          </w:tcPr>
          <w:p w14:paraId="1F7319A9">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手机</w:t>
            </w:r>
          </w:p>
        </w:tc>
        <w:tc>
          <w:tcPr>
            <w:tcW w:w="1651" w:type="dxa"/>
            <w:vAlign w:val="center"/>
          </w:tcPr>
          <w:p w14:paraId="0EEB2137">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3495E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08AFA785">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法定代表人姓名</w:t>
            </w:r>
          </w:p>
        </w:tc>
        <w:tc>
          <w:tcPr>
            <w:tcW w:w="1743" w:type="dxa"/>
            <w:vAlign w:val="center"/>
          </w:tcPr>
          <w:p w14:paraId="0CD7FA22">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c>
          <w:tcPr>
            <w:tcW w:w="1066" w:type="dxa"/>
            <w:vAlign w:val="center"/>
          </w:tcPr>
          <w:p w14:paraId="54B47A4A">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电话</w:t>
            </w:r>
          </w:p>
        </w:tc>
        <w:tc>
          <w:tcPr>
            <w:tcW w:w="1786" w:type="dxa"/>
            <w:vAlign w:val="center"/>
          </w:tcPr>
          <w:p w14:paraId="6FB9BD9A">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c>
          <w:tcPr>
            <w:tcW w:w="1401" w:type="dxa"/>
            <w:vAlign w:val="center"/>
          </w:tcPr>
          <w:p w14:paraId="247CE94B">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手机</w:t>
            </w:r>
          </w:p>
        </w:tc>
        <w:tc>
          <w:tcPr>
            <w:tcW w:w="1651" w:type="dxa"/>
            <w:vAlign w:val="center"/>
          </w:tcPr>
          <w:p w14:paraId="3800DE3A">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7FEC5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6B7674E7">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项目负责人姓名</w:t>
            </w:r>
          </w:p>
        </w:tc>
        <w:tc>
          <w:tcPr>
            <w:tcW w:w="1743" w:type="dxa"/>
            <w:vAlign w:val="center"/>
          </w:tcPr>
          <w:p w14:paraId="0BDF53ED">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c>
          <w:tcPr>
            <w:tcW w:w="1066" w:type="dxa"/>
            <w:vAlign w:val="center"/>
          </w:tcPr>
          <w:p w14:paraId="440A8967">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电话</w:t>
            </w:r>
          </w:p>
        </w:tc>
        <w:tc>
          <w:tcPr>
            <w:tcW w:w="1786" w:type="dxa"/>
            <w:vAlign w:val="center"/>
          </w:tcPr>
          <w:p w14:paraId="034846DE">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c>
          <w:tcPr>
            <w:tcW w:w="1401" w:type="dxa"/>
            <w:vAlign w:val="center"/>
          </w:tcPr>
          <w:p w14:paraId="4A5EAAC9">
            <w:pPr>
              <w:shd w:val="clear"/>
              <w:adjustRightInd w:val="0"/>
              <w:snapToGrid w:val="0"/>
              <w:spacing w:line="360" w:lineRule="auto"/>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技术职称</w:t>
            </w:r>
          </w:p>
        </w:tc>
        <w:tc>
          <w:tcPr>
            <w:tcW w:w="1651" w:type="dxa"/>
            <w:vAlign w:val="center"/>
          </w:tcPr>
          <w:p w14:paraId="2626BAE7">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24755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restart"/>
            <w:vAlign w:val="center"/>
          </w:tcPr>
          <w:p w14:paraId="455898B1">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员工总人数：</w:t>
            </w:r>
          </w:p>
        </w:tc>
        <w:tc>
          <w:tcPr>
            <w:tcW w:w="1743" w:type="dxa"/>
            <w:vMerge w:val="restart"/>
            <w:vAlign w:val="center"/>
          </w:tcPr>
          <w:p w14:paraId="42D4F443">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c>
          <w:tcPr>
            <w:tcW w:w="1066" w:type="dxa"/>
            <w:vMerge w:val="restart"/>
            <w:vAlign w:val="center"/>
          </w:tcPr>
          <w:p w14:paraId="2EE19B59">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其中</w:t>
            </w:r>
          </w:p>
        </w:tc>
        <w:tc>
          <w:tcPr>
            <w:tcW w:w="1786" w:type="dxa"/>
            <w:vAlign w:val="center"/>
          </w:tcPr>
          <w:p w14:paraId="6ED4A069">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高级职称</w:t>
            </w:r>
          </w:p>
        </w:tc>
        <w:tc>
          <w:tcPr>
            <w:tcW w:w="3052" w:type="dxa"/>
            <w:gridSpan w:val="2"/>
            <w:vAlign w:val="center"/>
          </w:tcPr>
          <w:p w14:paraId="02D8D717">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0AD6C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continue"/>
            <w:vAlign w:val="center"/>
          </w:tcPr>
          <w:p w14:paraId="5F4F022A">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c>
          <w:tcPr>
            <w:tcW w:w="1743" w:type="dxa"/>
            <w:vMerge w:val="continue"/>
            <w:vAlign w:val="center"/>
          </w:tcPr>
          <w:p w14:paraId="4415BC67">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c>
          <w:tcPr>
            <w:tcW w:w="1066" w:type="dxa"/>
            <w:vMerge w:val="continue"/>
            <w:vAlign w:val="center"/>
          </w:tcPr>
          <w:p w14:paraId="6081DFE2">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c>
          <w:tcPr>
            <w:tcW w:w="1786" w:type="dxa"/>
            <w:vAlign w:val="center"/>
          </w:tcPr>
          <w:p w14:paraId="296390F7">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中级职称</w:t>
            </w:r>
          </w:p>
        </w:tc>
        <w:tc>
          <w:tcPr>
            <w:tcW w:w="3052" w:type="dxa"/>
            <w:gridSpan w:val="2"/>
            <w:vAlign w:val="center"/>
          </w:tcPr>
          <w:p w14:paraId="3DEACA08">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64F31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continue"/>
            <w:vAlign w:val="center"/>
          </w:tcPr>
          <w:p w14:paraId="53196E37">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c>
          <w:tcPr>
            <w:tcW w:w="1743" w:type="dxa"/>
            <w:vMerge w:val="continue"/>
            <w:vAlign w:val="center"/>
          </w:tcPr>
          <w:p w14:paraId="428BE9EC">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c>
          <w:tcPr>
            <w:tcW w:w="1066" w:type="dxa"/>
            <w:vMerge w:val="continue"/>
            <w:vAlign w:val="center"/>
          </w:tcPr>
          <w:p w14:paraId="6B2F1A4A">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c>
          <w:tcPr>
            <w:tcW w:w="1786" w:type="dxa"/>
            <w:vAlign w:val="center"/>
          </w:tcPr>
          <w:p w14:paraId="14B1AB32">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各类注册人员</w:t>
            </w:r>
          </w:p>
        </w:tc>
        <w:tc>
          <w:tcPr>
            <w:tcW w:w="3052" w:type="dxa"/>
            <w:gridSpan w:val="2"/>
            <w:vAlign w:val="center"/>
          </w:tcPr>
          <w:p w14:paraId="0E9EDF7B">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41CDC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41B160D1">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基本账户开户银行</w:t>
            </w:r>
          </w:p>
        </w:tc>
        <w:tc>
          <w:tcPr>
            <w:tcW w:w="7647" w:type="dxa"/>
            <w:gridSpan w:val="5"/>
            <w:vAlign w:val="center"/>
          </w:tcPr>
          <w:p w14:paraId="25EA2547">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069B8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5A3F20B4">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基本账户账号</w:t>
            </w:r>
          </w:p>
        </w:tc>
        <w:tc>
          <w:tcPr>
            <w:tcW w:w="7647" w:type="dxa"/>
            <w:gridSpan w:val="5"/>
            <w:vAlign w:val="center"/>
          </w:tcPr>
          <w:p w14:paraId="6012C582">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5D68C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6" w:hRule="atLeast"/>
          <w:jc w:val="center"/>
        </w:trPr>
        <w:tc>
          <w:tcPr>
            <w:tcW w:w="2180" w:type="dxa"/>
            <w:vAlign w:val="center"/>
          </w:tcPr>
          <w:p w14:paraId="1787152F">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经营范围</w:t>
            </w:r>
          </w:p>
        </w:tc>
        <w:tc>
          <w:tcPr>
            <w:tcW w:w="7647" w:type="dxa"/>
            <w:gridSpan w:val="5"/>
            <w:vAlign w:val="center"/>
          </w:tcPr>
          <w:p w14:paraId="2C2C34FF">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16891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2180" w:type="dxa"/>
            <w:vAlign w:val="center"/>
          </w:tcPr>
          <w:p w14:paraId="5D5B9427">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备注</w:t>
            </w:r>
          </w:p>
        </w:tc>
        <w:tc>
          <w:tcPr>
            <w:tcW w:w="7647" w:type="dxa"/>
            <w:gridSpan w:val="5"/>
            <w:vAlign w:val="center"/>
          </w:tcPr>
          <w:p w14:paraId="322154FB">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bl>
    <w:p w14:paraId="6347FD11">
      <w:pPr>
        <w:shd w:val="clear"/>
        <w:adjustRightInd w:val="0"/>
        <w:snapToGrid w:val="0"/>
        <w:spacing w:line="360" w:lineRule="auto"/>
        <w:ind w:firstLine="482" w:firstLineChars="200"/>
        <w:rPr>
          <w:rFonts w:asciiTheme="minorEastAsia" w:hAnsiTheme="minorEastAsia" w:eastAsiaTheme="minorEastAsia" w:cstheme="minorEastAsia"/>
          <w:b/>
          <w:bCs/>
          <w:color w:val="auto"/>
          <w:kern w:val="0"/>
          <w:sz w:val="24"/>
          <w:lang w:val="zh-CN"/>
        </w:rPr>
      </w:pPr>
      <w:r>
        <w:rPr>
          <w:rFonts w:hint="eastAsia" w:asciiTheme="minorEastAsia" w:hAnsiTheme="minorEastAsia" w:eastAsiaTheme="minorEastAsia" w:cstheme="minorEastAsia"/>
          <w:b/>
          <w:bCs/>
          <w:color w:val="auto"/>
          <w:kern w:val="0"/>
          <w:sz w:val="24"/>
          <w:lang w:val="zh-CN"/>
        </w:rPr>
        <w:t>兹证明上述声明是真实、正确的，并提供了全部能提供的资料和数据，我们同意遵照贵方要求出示有关证明文件。</w:t>
      </w:r>
    </w:p>
    <w:p w14:paraId="21494598">
      <w:pPr>
        <w:shd w:val="clear"/>
        <w:autoSpaceDE w:val="0"/>
        <w:autoSpaceDN w:val="0"/>
        <w:spacing w:line="360" w:lineRule="auto"/>
        <w:ind w:firstLine="24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法定代表人或其授权委托人（签名或印章）：</w:t>
      </w:r>
    </w:p>
    <w:p w14:paraId="450F3B7D">
      <w:pPr>
        <w:shd w:val="clear"/>
        <w:autoSpaceDE w:val="0"/>
        <w:autoSpaceDN w:val="0"/>
        <w:spacing w:line="360" w:lineRule="auto"/>
        <w:ind w:firstLine="24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供应商（盖章）：</w:t>
      </w:r>
    </w:p>
    <w:p w14:paraId="75F24A7D">
      <w:pPr>
        <w:shd w:val="clear"/>
        <w:autoSpaceDE w:val="0"/>
        <w:autoSpaceDN w:val="0"/>
        <w:spacing w:line="360" w:lineRule="auto"/>
        <w:ind w:firstLine="24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日期：</w:t>
      </w:r>
    </w:p>
    <w:p w14:paraId="0AD25AD8">
      <w:pPr>
        <w:numPr>
          <w:ilvl w:val="0"/>
          <w:numId w:val="5"/>
        </w:numPr>
        <w:shd w:val="clear"/>
        <w:snapToGrid w:val="0"/>
        <w:spacing w:line="360" w:lineRule="auto"/>
        <w:ind w:firstLine="321"/>
        <w:jc w:val="center"/>
        <w:outlineLvl w:val="0"/>
        <w:rPr>
          <w:rFonts w:asciiTheme="minorEastAsia" w:hAnsiTheme="minorEastAsia" w:eastAsiaTheme="minorEastAsia" w:cstheme="minorEastAsia"/>
          <w:b/>
          <w:color w:val="auto"/>
          <w:kern w:val="0"/>
          <w:sz w:val="32"/>
          <w:szCs w:val="32"/>
          <w:lang w:val="zh-CN"/>
        </w:rPr>
      </w:pPr>
      <w:r>
        <w:rPr>
          <w:rFonts w:hint="eastAsia" w:asciiTheme="minorEastAsia" w:hAnsiTheme="minorEastAsia" w:eastAsiaTheme="minorEastAsia" w:cstheme="minorEastAsia"/>
          <w:b/>
          <w:color w:val="auto"/>
          <w:kern w:val="0"/>
          <w:sz w:val="32"/>
          <w:szCs w:val="32"/>
          <w:lang w:val="zh-CN"/>
        </w:rPr>
        <w:br w:type="page"/>
      </w:r>
      <w:r>
        <w:rPr>
          <w:rFonts w:hint="eastAsia" w:asciiTheme="minorEastAsia" w:hAnsiTheme="minorEastAsia" w:eastAsiaTheme="minorEastAsia" w:cstheme="minorEastAsia"/>
          <w:b/>
          <w:color w:val="auto"/>
          <w:kern w:val="0"/>
          <w:sz w:val="32"/>
          <w:szCs w:val="32"/>
          <w:lang w:val="zh-CN"/>
        </w:rPr>
        <w:t>距采购人最近或者能为本项目提供最优服务的网点情况表</w:t>
      </w:r>
    </w:p>
    <w:p w14:paraId="11D46115">
      <w:pPr>
        <w:shd w:val="clear"/>
        <w:spacing w:line="360" w:lineRule="auto"/>
        <w:ind w:firstLine="210"/>
        <w:rPr>
          <w:rFonts w:asciiTheme="minorEastAsia" w:hAnsiTheme="minorEastAsia" w:eastAsiaTheme="minorEastAsia" w:cstheme="minorEastAsia"/>
          <w:color w:val="auto"/>
        </w:rPr>
      </w:pPr>
    </w:p>
    <w:tbl>
      <w:tblPr>
        <w:tblStyle w:val="27"/>
        <w:tblW w:w="928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95"/>
        <w:gridCol w:w="1780"/>
        <w:gridCol w:w="209"/>
        <w:gridCol w:w="1581"/>
        <w:gridCol w:w="971"/>
        <w:gridCol w:w="2849"/>
      </w:tblGrid>
      <w:tr w14:paraId="593974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1868131D">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服务网点名称</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38E4B9AB">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33A3A8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5C3F8933">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地址</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43F38815">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5F8B66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1559BB1F">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注册资本金</w:t>
            </w:r>
          </w:p>
        </w:tc>
        <w:tc>
          <w:tcPr>
            <w:tcW w:w="1780" w:type="dxa"/>
            <w:tcBorders>
              <w:top w:val="single" w:color="auto" w:sz="4" w:space="0"/>
              <w:left w:val="single" w:color="auto" w:sz="4" w:space="0"/>
              <w:bottom w:val="single" w:color="auto" w:sz="4" w:space="0"/>
              <w:right w:val="single" w:color="auto" w:sz="4" w:space="0"/>
            </w:tcBorders>
            <w:vAlign w:val="center"/>
          </w:tcPr>
          <w:p w14:paraId="25C2B8A2">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c>
          <w:tcPr>
            <w:tcW w:w="2761" w:type="dxa"/>
            <w:gridSpan w:val="3"/>
            <w:tcBorders>
              <w:top w:val="single" w:color="auto" w:sz="4" w:space="0"/>
              <w:left w:val="single" w:color="auto" w:sz="4" w:space="0"/>
              <w:bottom w:val="single" w:color="auto" w:sz="4" w:space="0"/>
              <w:right w:val="single" w:color="auto" w:sz="4" w:space="0"/>
            </w:tcBorders>
            <w:vAlign w:val="center"/>
          </w:tcPr>
          <w:p w14:paraId="7A2A95BB">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其中：供应商出资比例</w:t>
            </w:r>
          </w:p>
        </w:tc>
        <w:tc>
          <w:tcPr>
            <w:tcW w:w="2849" w:type="dxa"/>
            <w:tcBorders>
              <w:top w:val="single" w:color="auto" w:sz="4" w:space="0"/>
              <w:left w:val="single" w:color="auto" w:sz="4" w:space="0"/>
              <w:bottom w:val="single" w:color="auto" w:sz="4" w:space="0"/>
              <w:right w:val="single" w:color="auto" w:sz="4" w:space="0"/>
            </w:tcBorders>
            <w:vAlign w:val="center"/>
          </w:tcPr>
          <w:p w14:paraId="375EF1E7">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0C9FE9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46A84F62">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员工总人数</w:t>
            </w:r>
          </w:p>
        </w:tc>
        <w:tc>
          <w:tcPr>
            <w:tcW w:w="1780" w:type="dxa"/>
            <w:tcBorders>
              <w:top w:val="single" w:color="auto" w:sz="4" w:space="0"/>
              <w:left w:val="single" w:color="auto" w:sz="4" w:space="0"/>
              <w:bottom w:val="single" w:color="auto" w:sz="4" w:space="0"/>
              <w:right w:val="single" w:color="auto" w:sz="4" w:space="0"/>
            </w:tcBorders>
            <w:vAlign w:val="center"/>
          </w:tcPr>
          <w:p w14:paraId="55CA71BC">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c>
          <w:tcPr>
            <w:tcW w:w="2761" w:type="dxa"/>
            <w:gridSpan w:val="3"/>
            <w:tcBorders>
              <w:top w:val="single" w:color="auto" w:sz="4" w:space="0"/>
              <w:left w:val="single" w:color="auto" w:sz="4" w:space="0"/>
              <w:bottom w:val="single" w:color="auto" w:sz="4" w:space="0"/>
              <w:right w:val="single" w:color="auto" w:sz="4" w:space="0"/>
            </w:tcBorders>
            <w:vAlign w:val="center"/>
          </w:tcPr>
          <w:p w14:paraId="51E99DB2">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其中：技术人员数</w:t>
            </w:r>
          </w:p>
        </w:tc>
        <w:tc>
          <w:tcPr>
            <w:tcW w:w="2849" w:type="dxa"/>
            <w:tcBorders>
              <w:top w:val="single" w:color="auto" w:sz="4" w:space="0"/>
              <w:left w:val="single" w:color="auto" w:sz="4" w:space="0"/>
              <w:bottom w:val="single" w:color="auto" w:sz="4" w:space="0"/>
              <w:right w:val="single" w:color="auto" w:sz="4" w:space="0"/>
            </w:tcBorders>
            <w:vAlign w:val="center"/>
          </w:tcPr>
          <w:p w14:paraId="53FE04CA">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3C045A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1ABC2EAF">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经营期限</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0AF55AED">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182500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7F61A915">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售后服务协议</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1C31DE1F">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7C901F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22D7CA05">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售后服务内容</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25339258">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35ADFF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07487279">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工作业绩</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0E878D25">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03DFB4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2C8B90E1">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服务承诺</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08F214E4">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7D4990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47ABFFB8">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业务咨询电话</w:t>
            </w:r>
          </w:p>
        </w:tc>
        <w:tc>
          <w:tcPr>
            <w:tcW w:w="1989" w:type="dxa"/>
            <w:gridSpan w:val="2"/>
            <w:tcBorders>
              <w:top w:val="single" w:color="auto" w:sz="4" w:space="0"/>
              <w:left w:val="single" w:color="auto" w:sz="4" w:space="0"/>
              <w:bottom w:val="single" w:color="auto" w:sz="4" w:space="0"/>
              <w:right w:val="single" w:color="auto" w:sz="2" w:space="0"/>
            </w:tcBorders>
            <w:vAlign w:val="center"/>
          </w:tcPr>
          <w:p w14:paraId="4BC513A5">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c>
          <w:tcPr>
            <w:tcW w:w="1581" w:type="dxa"/>
            <w:tcBorders>
              <w:top w:val="single" w:color="auto" w:sz="4" w:space="0"/>
              <w:left w:val="single" w:color="auto" w:sz="2" w:space="0"/>
              <w:bottom w:val="single" w:color="auto" w:sz="4" w:space="0"/>
              <w:right w:val="single" w:color="auto" w:sz="2" w:space="0"/>
            </w:tcBorders>
            <w:vAlign w:val="center"/>
          </w:tcPr>
          <w:p w14:paraId="47980847">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传 真</w:t>
            </w:r>
          </w:p>
        </w:tc>
        <w:tc>
          <w:tcPr>
            <w:tcW w:w="3820" w:type="dxa"/>
            <w:gridSpan w:val="2"/>
            <w:tcBorders>
              <w:top w:val="single" w:color="auto" w:sz="4" w:space="0"/>
              <w:left w:val="single" w:color="auto" w:sz="2" w:space="0"/>
              <w:bottom w:val="single" w:color="auto" w:sz="4" w:space="0"/>
              <w:right w:val="single" w:color="auto" w:sz="2" w:space="0"/>
            </w:tcBorders>
            <w:vAlign w:val="center"/>
          </w:tcPr>
          <w:p w14:paraId="22AE9226">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r w14:paraId="7F9992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63B993AB">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负责人</w:t>
            </w:r>
          </w:p>
        </w:tc>
        <w:tc>
          <w:tcPr>
            <w:tcW w:w="1989" w:type="dxa"/>
            <w:gridSpan w:val="2"/>
            <w:tcBorders>
              <w:top w:val="single" w:color="auto" w:sz="4" w:space="0"/>
              <w:left w:val="single" w:color="auto" w:sz="4" w:space="0"/>
              <w:bottom w:val="single" w:color="auto" w:sz="4" w:space="0"/>
              <w:right w:val="single" w:color="auto" w:sz="2" w:space="0"/>
            </w:tcBorders>
            <w:vAlign w:val="center"/>
          </w:tcPr>
          <w:p w14:paraId="1AB5B75B">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c>
          <w:tcPr>
            <w:tcW w:w="1581" w:type="dxa"/>
            <w:tcBorders>
              <w:top w:val="single" w:color="auto" w:sz="4" w:space="0"/>
              <w:left w:val="single" w:color="auto" w:sz="2" w:space="0"/>
              <w:bottom w:val="single" w:color="auto" w:sz="4" w:space="0"/>
              <w:right w:val="single" w:color="auto" w:sz="2" w:space="0"/>
            </w:tcBorders>
            <w:vAlign w:val="center"/>
          </w:tcPr>
          <w:p w14:paraId="0BF5E710">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联系电话</w:t>
            </w:r>
          </w:p>
        </w:tc>
        <w:tc>
          <w:tcPr>
            <w:tcW w:w="3820" w:type="dxa"/>
            <w:gridSpan w:val="2"/>
            <w:tcBorders>
              <w:top w:val="single" w:color="auto" w:sz="4" w:space="0"/>
              <w:left w:val="single" w:color="auto" w:sz="2" w:space="0"/>
              <w:bottom w:val="single" w:color="auto" w:sz="4" w:space="0"/>
              <w:right w:val="single" w:color="auto" w:sz="4" w:space="0"/>
            </w:tcBorders>
            <w:vAlign w:val="center"/>
          </w:tcPr>
          <w:p w14:paraId="68FD0DEB">
            <w:pPr>
              <w:shd w:val="clear"/>
              <w:adjustRightInd w:val="0"/>
              <w:snapToGrid w:val="0"/>
              <w:spacing w:line="360" w:lineRule="auto"/>
              <w:ind w:firstLine="240"/>
              <w:rPr>
                <w:rFonts w:asciiTheme="minorEastAsia" w:hAnsiTheme="minorEastAsia" w:eastAsiaTheme="minorEastAsia" w:cstheme="minorEastAsia"/>
                <w:color w:val="auto"/>
                <w:kern w:val="0"/>
                <w:sz w:val="24"/>
                <w:lang w:val="zh-CN"/>
              </w:rPr>
            </w:pPr>
          </w:p>
        </w:tc>
      </w:tr>
    </w:tbl>
    <w:p w14:paraId="76DD2A23">
      <w:pPr>
        <w:shd w:val="clear"/>
        <w:spacing w:line="360" w:lineRule="auto"/>
        <w:ind w:firstLine="210"/>
        <w:rPr>
          <w:rFonts w:asciiTheme="minorEastAsia" w:hAnsiTheme="minorEastAsia" w:eastAsiaTheme="minorEastAsia" w:cstheme="minorEastAsia"/>
          <w:color w:val="auto"/>
        </w:rPr>
      </w:pPr>
    </w:p>
    <w:p w14:paraId="7F1E5F25">
      <w:pPr>
        <w:shd w:val="clear"/>
        <w:spacing w:line="360" w:lineRule="auto"/>
        <w:ind w:firstLine="210"/>
        <w:rPr>
          <w:rFonts w:asciiTheme="minorEastAsia" w:hAnsiTheme="minorEastAsia" w:eastAsiaTheme="minorEastAsia" w:cstheme="minorEastAsia"/>
          <w:color w:val="auto"/>
        </w:rPr>
      </w:pPr>
    </w:p>
    <w:p w14:paraId="04D62695">
      <w:pPr>
        <w:shd w:val="clear"/>
        <w:adjustRightInd w:val="0"/>
        <w:snapToGrid w:val="0"/>
        <w:spacing w:line="360" w:lineRule="auto"/>
        <w:ind w:firstLine="21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rPr>
        <w:t xml:space="preserve">       </w:t>
      </w:r>
    </w:p>
    <w:p w14:paraId="29D40A7C">
      <w:pPr>
        <w:shd w:val="clear"/>
        <w:autoSpaceDE w:val="0"/>
        <w:autoSpaceDN w:val="0"/>
        <w:spacing w:line="360" w:lineRule="auto"/>
        <w:ind w:firstLine="24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法定代表人或其授权委托人（签名或印章）：</w:t>
      </w:r>
    </w:p>
    <w:p w14:paraId="70A5C386">
      <w:pPr>
        <w:shd w:val="clear"/>
        <w:autoSpaceDE w:val="0"/>
        <w:autoSpaceDN w:val="0"/>
        <w:spacing w:line="360" w:lineRule="auto"/>
        <w:ind w:firstLine="24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供应商（盖章）：</w:t>
      </w:r>
    </w:p>
    <w:p w14:paraId="3AC25FD4">
      <w:pPr>
        <w:shd w:val="clear"/>
        <w:autoSpaceDE w:val="0"/>
        <w:autoSpaceDN w:val="0"/>
        <w:spacing w:line="360" w:lineRule="auto"/>
        <w:ind w:firstLine="24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日期：</w:t>
      </w:r>
    </w:p>
    <w:p w14:paraId="02EE2091">
      <w:pPr>
        <w:numPr>
          <w:ilvl w:val="0"/>
          <w:numId w:val="5"/>
        </w:numPr>
        <w:shd w:val="clear"/>
        <w:snapToGrid w:val="0"/>
        <w:spacing w:line="360" w:lineRule="auto"/>
        <w:ind w:firstLine="321"/>
        <w:jc w:val="center"/>
        <w:outlineLvl w:val="0"/>
        <w:rPr>
          <w:rFonts w:asciiTheme="minorEastAsia" w:hAnsiTheme="minorEastAsia" w:eastAsiaTheme="minorEastAsia" w:cstheme="minorEastAsia"/>
          <w:b/>
          <w:color w:val="auto"/>
          <w:kern w:val="0"/>
          <w:sz w:val="32"/>
          <w:szCs w:val="32"/>
          <w:lang w:val="zh-CN"/>
        </w:rPr>
      </w:pPr>
      <w:r>
        <w:rPr>
          <w:rFonts w:hint="eastAsia" w:asciiTheme="minorEastAsia" w:hAnsiTheme="minorEastAsia" w:eastAsiaTheme="minorEastAsia" w:cstheme="minorEastAsia"/>
          <w:b/>
          <w:color w:val="auto"/>
          <w:kern w:val="0"/>
          <w:sz w:val="32"/>
          <w:szCs w:val="32"/>
          <w:lang w:val="zh-CN"/>
        </w:rPr>
        <w:br w:type="page"/>
      </w:r>
      <w:r>
        <w:rPr>
          <w:rFonts w:hint="eastAsia" w:asciiTheme="minorEastAsia" w:hAnsiTheme="minorEastAsia" w:eastAsiaTheme="minorEastAsia" w:cstheme="minorEastAsia"/>
          <w:b/>
          <w:color w:val="auto"/>
          <w:kern w:val="0"/>
          <w:sz w:val="32"/>
          <w:szCs w:val="32"/>
          <w:lang w:val="zh-CN"/>
        </w:rPr>
        <w:t>评审标准相应的商务技术资料</w:t>
      </w:r>
    </w:p>
    <w:p w14:paraId="770A843B">
      <w:pPr>
        <w:shd w:val="clear"/>
        <w:snapToGrid w:val="0"/>
        <w:spacing w:line="360" w:lineRule="auto"/>
        <w:ind w:firstLine="241"/>
        <w:jc w:val="left"/>
        <w:rPr>
          <w:rFonts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rPr>
        <w:t>（按采购文件第四部分评审办法前附表中“响应文件中评审标准相应的商务技术资料目录”提供资料）</w:t>
      </w:r>
    </w:p>
    <w:p w14:paraId="32EE62BF">
      <w:pPr>
        <w:pStyle w:val="34"/>
        <w:shd w:val="clear"/>
        <w:rPr>
          <w:color w:val="auto"/>
        </w:rPr>
      </w:pPr>
    </w:p>
    <w:p w14:paraId="36EDDC01">
      <w:pPr>
        <w:pStyle w:val="34"/>
        <w:shd w:val="clear"/>
        <w:rPr>
          <w:color w:val="auto"/>
        </w:rPr>
      </w:pPr>
    </w:p>
    <w:p w14:paraId="6F936D1C">
      <w:pPr>
        <w:pStyle w:val="34"/>
        <w:shd w:val="clear"/>
        <w:rPr>
          <w:color w:val="auto"/>
        </w:rPr>
      </w:pPr>
    </w:p>
    <w:p w14:paraId="2138DC7C">
      <w:pPr>
        <w:pStyle w:val="34"/>
        <w:shd w:val="clear"/>
        <w:rPr>
          <w:color w:val="auto"/>
        </w:rPr>
      </w:pPr>
    </w:p>
    <w:p w14:paraId="5D6928D3">
      <w:pPr>
        <w:pStyle w:val="34"/>
        <w:shd w:val="clear"/>
        <w:rPr>
          <w:color w:val="auto"/>
        </w:rPr>
      </w:pPr>
    </w:p>
    <w:p w14:paraId="68F28E8D">
      <w:pPr>
        <w:pStyle w:val="34"/>
        <w:shd w:val="clear"/>
        <w:rPr>
          <w:color w:val="auto"/>
        </w:rPr>
      </w:pPr>
    </w:p>
    <w:p w14:paraId="5D5F15B6">
      <w:pPr>
        <w:pStyle w:val="34"/>
        <w:shd w:val="clear"/>
        <w:rPr>
          <w:color w:val="auto"/>
        </w:rPr>
      </w:pPr>
    </w:p>
    <w:p w14:paraId="1CD749F5">
      <w:pPr>
        <w:pStyle w:val="34"/>
        <w:shd w:val="clear"/>
        <w:rPr>
          <w:color w:val="auto"/>
        </w:rPr>
      </w:pPr>
    </w:p>
    <w:p w14:paraId="68549929">
      <w:pPr>
        <w:pStyle w:val="34"/>
        <w:shd w:val="clear"/>
        <w:rPr>
          <w:color w:val="auto"/>
        </w:rPr>
      </w:pPr>
    </w:p>
    <w:p w14:paraId="00DA4942">
      <w:pPr>
        <w:pStyle w:val="34"/>
        <w:shd w:val="clear"/>
        <w:rPr>
          <w:color w:val="auto"/>
        </w:rPr>
      </w:pPr>
    </w:p>
    <w:p w14:paraId="476E38C6">
      <w:pPr>
        <w:pStyle w:val="34"/>
        <w:shd w:val="clear"/>
        <w:rPr>
          <w:color w:val="auto"/>
        </w:rPr>
      </w:pPr>
    </w:p>
    <w:p w14:paraId="276B31EF">
      <w:pPr>
        <w:pStyle w:val="34"/>
        <w:shd w:val="clear"/>
        <w:rPr>
          <w:color w:val="auto"/>
        </w:rPr>
      </w:pPr>
    </w:p>
    <w:p w14:paraId="47091B93">
      <w:pPr>
        <w:pStyle w:val="34"/>
        <w:shd w:val="clear"/>
        <w:rPr>
          <w:color w:val="auto"/>
        </w:rPr>
      </w:pPr>
    </w:p>
    <w:p w14:paraId="2A34413D">
      <w:pPr>
        <w:pStyle w:val="34"/>
        <w:shd w:val="clear"/>
        <w:rPr>
          <w:color w:val="auto"/>
        </w:rPr>
      </w:pPr>
    </w:p>
    <w:p w14:paraId="14EC9209">
      <w:pPr>
        <w:pStyle w:val="34"/>
        <w:shd w:val="clear"/>
        <w:rPr>
          <w:color w:val="auto"/>
        </w:rPr>
      </w:pPr>
    </w:p>
    <w:p w14:paraId="74E1AB5C">
      <w:pPr>
        <w:pStyle w:val="34"/>
        <w:shd w:val="clear"/>
        <w:rPr>
          <w:color w:val="auto"/>
        </w:rPr>
      </w:pPr>
    </w:p>
    <w:p w14:paraId="4950E856">
      <w:pPr>
        <w:pStyle w:val="34"/>
        <w:shd w:val="clear"/>
        <w:rPr>
          <w:color w:val="auto"/>
        </w:rPr>
      </w:pPr>
    </w:p>
    <w:p w14:paraId="1F9C9C7C">
      <w:pPr>
        <w:pStyle w:val="34"/>
        <w:shd w:val="clear"/>
        <w:rPr>
          <w:color w:val="auto"/>
        </w:rPr>
      </w:pPr>
    </w:p>
    <w:p w14:paraId="5DF460B4">
      <w:pPr>
        <w:pStyle w:val="34"/>
        <w:shd w:val="clear"/>
        <w:rPr>
          <w:color w:val="auto"/>
        </w:rPr>
      </w:pPr>
    </w:p>
    <w:p w14:paraId="4F0C825E">
      <w:pPr>
        <w:pStyle w:val="34"/>
        <w:shd w:val="clear"/>
        <w:rPr>
          <w:color w:val="auto"/>
        </w:rPr>
      </w:pPr>
    </w:p>
    <w:p w14:paraId="520CC76A">
      <w:pPr>
        <w:pStyle w:val="34"/>
        <w:shd w:val="clear"/>
        <w:rPr>
          <w:color w:val="auto"/>
        </w:rPr>
      </w:pPr>
    </w:p>
    <w:p w14:paraId="21226CE7">
      <w:pPr>
        <w:pStyle w:val="34"/>
        <w:shd w:val="clear"/>
        <w:rPr>
          <w:color w:val="auto"/>
        </w:rPr>
      </w:pPr>
    </w:p>
    <w:p w14:paraId="56B7F133">
      <w:pPr>
        <w:pStyle w:val="34"/>
        <w:shd w:val="clear"/>
        <w:rPr>
          <w:color w:val="auto"/>
        </w:rPr>
      </w:pPr>
    </w:p>
    <w:p w14:paraId="25E16824">
      <w:pPr>
        <w:pStyle w:val="34"/>
        <w:shd w:val="clear"/>
        <w:rPr>
          <w:color w:val="auto"/>
        </w:rPr>
      </w:pPr>
    </w:p>
    <w:p w14:paraId="2A66097D">
      <w:pPr>
        <w:pStyle w:val="34"/>
        <w:shd w:val="clear"/>
        <w:rPr>
          <w:color w:val="auto"/>
        </w:rPr>
      </w:pPr>
    </w:p>
    <w:p w14:paraId="0288AE4F">
      <w:pPr>
        <w:pStyle w:val="34"/>
        <w:shd w:val="clear"/>
        <w:rPr>
          <w:color w:val="auto"/>
        </w:rPr>
      </w:pPr>
    </w:p>
    <w:p w14:paraId="4C35AEFC">
      <w:pPr>
        <w:pStyle w:val="34"/>
        <w:shd w:val="clear"/>
        <w:rPr>
          <w:color w:val="auto"/>
        </w:rPr>
      </w:pPr>
    </w:p>
    <w:p w14:paraId="4ACE21F8">
      <w:pPr>
        <w:pStyle w:val="34"/>
        <w:shd w:val="clear"/>
        <w:rPr>
          <w:color w:val="auto"/>
        </w:rPr>
      </w:pPr>
    </w:p>
    <w:p w14:paraId="3AF32400">
      <w:pPr>
        <w:pStyle w:val="34"/>
        <w:shd w:val="clear"/>
        <w:rPr>
          <w:color w:val="auto"/>
        </w:rPr>
      </w:pPr>
    </w:p>
    <w:p w14:paraId="5086ACE8">
      <w:pPr>
        <w:pStyle w:val="34"/>
        <w:shd w:val="clear"/>
        <w:rPr>
          <w:color w:val="auto"/>
        </w:rPr>
      </w:pPr>
    </w:p>
    <w:p w14:paraId="39D0A1A5">
      <w:pPr>
        <w:pStyle w:val="34"/>
        <w:shd w:val="clear"/>
        <w:rPr>
          <w:color w:val="auto"/>
        </w:rPr>
      </w:pPr>
    </w:p>
    <w:p w14:paraId="6E103A02">
      <w:pPr>
        <w:pStyle w:val="34"/>
        <w:shd w:val="clear"/>
        <w:rPr>
          <w:color w:val="auto"/>
        </w:rPr>
      </w:pPr>
    </w:p>
    <w:p w14:paraId="7AE9CA7D">
      <w:pPr>
        <w:pStyle w:val="34"/>
        <w:shd w:val="clear"/>
        <w:rPr>
          <w:color w:val="auto"/>
        </w:rPr>
      </w:pPr>
    </w:p>
    <w:p w14:paraId="70C5EB36">
      <w:pPr>
        <w:pStyle w:val="34"/>
        <w:shd w:val="clear"/>
        <w:rPr>
          <w:color w:val="auto"/>
        </w:rPr>
      </w:pPr>
    </w:p>
    <w:p w14:paraId="4E4C8562">
      <w:pPr>
        <w:pStyle w:val="34"/>
        <w:shd w:val="clear"/>
        <w:rPr>
          <w:color w:val="auto"/>
        </w:rPr>
      </w:pPr>
    </w:p>
    <w:p w14:paraId="4E90E5E2">
      <w:pPr>
        <w:pStyle w:val="34"/>
        <w:shd w:val="clear"/>
        <w:rPr>
          <w:color w:val="auto"/>
        </w:rPr>
      </w:pPr>
    </w:p>
    <w:p w14:paraId="34F804DF">
      <w:pPr>
        <w:pStyle w:val="34"/>
        <w:shd w:val="clear"/>
        <w:rPr>
          <w:color w:val="auto"/>
        </w:rPr>
      </w:pPr>
    </w:p>
    <w:p w14:paraId="0579FBE6">
      <w:pPr>
        <w:pStyle w:val="34"/>
        <w:shd w:val="clear"/>
        <w:rPr>
          <w:color w:val="auto"/>
        </w:rPr>
      </w:pPr>
    </w:p>
    <w:p w14:paraId="32E5CBA3">
      <w:pPr>
        <w:pStyle w:val="34"/>
        <w:shd w:val="clear"/>
        <w:rPr>
          <w:color w:val="auto"/>
        </w:rPr>
      </w:pPr>
    </w:p>
    <w:p w14:paraId="76C7E74B">
      <w:pPr>
        <w:pStyle w:val="34"/>
        <w:shd w:val="clear"/>
        <w:rPr>
          <w:color w:val="auto"/>
        </w:rPr>
      </w:pPr>
    </w:p>
    <w:p w14:paraId="17EA1EA1">
      <w:pPr>
        <w:pStyle w:val="34"/>
        <w:shd w:val="clear"/>
        <w:rPr>
          <w:color w:val="auto"/>
        </w:rPr>
      </w:pPr>
    </w:p>
    <w:p w14:paraId="35C29FD6">
      <w:pPr>
        <w:pStyle w:val="34"/>
        <w:shd w:val="clear"/>
        <w:rPr>
          <w:color w:val="auto"/>
        </w:rPr>
      </w:pPr>
    </w:p>
    <w:p w14:paraId="7416BF9D">
      <w:pPr>
        <w:pStyle w:val="34"/>
        <w:shd w:val="clear"/>
        <w:rPr>
          <w:color w:val="auto"/>
        </w:rPr>
      </w:pPr>
    </w:p>
    <w:p w14:paraId="73D31D74">
      <w:pPr>
        <w:pStyle w:val="34"/>
        <w:shd w:val="clear"/>
        <w:rPr>
          <w:color w:val="auto"/>
        </w:rPr>
      </w:pPr>
    </w:p>
    <w:p w14:paraId="194F1C0E">
      <w:pPr>
        <w:pStyle w:val="34"/>
        <w:shd w:val="clear"/>
        <w:rPr>
          <w:color w:val="auto"/>
        </w:rPr>
      </w:pPr>
    </w:p>
    <w:p w14:paraId="1E5EA81B">
      <w:pPr>
        <w:pStyle w:val="34"/>
        <w:shd w:val="clear"/>
        <w:rPr>
          <w:color w:val="auto"/>
        </w:rPr>
      </w:pPr>
    </w:p>
    <w:p w14:paraId="5900E001">
      <w:pPr>
        <w:pStyle w:val="35"/>
        <w:shd w:val="clear"/>
        <w:ind w:firstLine="560"/>
        <w:rPr>
          <w:rFonts w:asciiTheme="minorEastAsia" w:hAnsiTheme="minorEastAsia" w:eastAsiaTheme="minorEastAsia" w:cstheme="minorEastAsia"/>
          <w:color w:val="auto"/>
          <w:lang w:val="zh-CN"/>
        </w:rPr>
      </w:pPr>
    </w:p>
    <w:p w14:paraId="44B8C921">
      <w:pPr>
        <w:numPr>
          <w:ilvl w:val="0"/>
          <w:numId w:val="5"/>
        </w:numPr>
        <w:shd w:val="clear"/>
        <w:snapToGrid w:val="0"/>
        <w:spacing w:line="360" w:lineRule="auto"/>
        <w:ind w:firstLine="321"/>
        <w:jc w:val="center"/>
        <w:outlineLvl w:val="0"/>
        <w:rPr>
          <w:rFonts w:asciiTheme="minorEastAsia" w:hAnsiTheme="minorEastAsia" w:eastAsiaTheme="minorEastAsia" w:cstheme="minorEastAsia"/>
          <w:b/>
          <w:color w:val="auto"/>
          <w:kern w:val="0"/>
          <w:sz w:val="32"/>
          <w:szCs w:val="32"/>
          <w:lang w:val="zh-CN"/>
        </w:rPr>
      </w:pPr>
      <w:r>
        <w:rPr>
          <w:rFonts w:hint="eastAsia" w:asciiTheme="minorEastAsia" w:hAnsiTheme="minorEastAsia" w:eastAsiaTheme="minorEastAsia" w:cstheme="minorEastAsia"/>
          <w:b/>
          <w:color w:val="auto"/>
          <w:kern w:val="0"/>
          <w:sz w:val="32"/>
          <w:szCs w:val="32"/>
          <w:lang w:val="zh-CN"/>
        </w:rPr>
        <w:t>商务</w:t>
      </w:r>
      <w:r>
        <w:rPr>
          <w:rFonts w:hint="eastAsia" w:asciiTheme="minorEastAsia" w:hAnsiTheme="minorEastAsia" w:eastAsiaTheme="minorEastAsia" w:cstheme="minorEastAsia"/>
          <w:b/>
          <w:color w:val="auto"/>
          <w:kern w:val="0"/>
          <w:sz w:val="32"/>
          <w:szCs w:val="32"/>
        </w:rPr>
        <w:t>响应</w:t>
      </w:r>
      <w:r>
        <w:rPr>
          <w:rFonts w:hint="eastAsia" w:asciiTheme="minorEastAsia" w:hAnsiTheme="minorEastAsia" w:eastAsiaTheme="minorEastAsia" w:cstheme="minorEastAsia"/>
          <w:b/>
          <w:color w:val="auto"/>
          <w:kern w:val="0"/>
          <w:sz w:val="32"/>
          <w:szCs w:val="32"/>
          <w:lang w:val="zh-CN"/>
        </w:rPr>
        <w:t>表</w:t>
      </w:r>
    </w:p>
    <w:tbl>
      <w:tblPr>
        <w:tblStyle w:val="27"/>
        <w:tblW w:w="5247" w:type="pct"/>
        <w:tblInd w:w="-45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1228"/>
        <w:gridCol w:w="7137"/>
        <w:gridCol w:w="1380"/>
      </w:tblGrid>
      <w:tr w14:paraId="7305A6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630" w:type="pct"/>
            <w:tcBorders>
              <w:top w:val="single" w:color="auto" w:sz="4" w:space="0"/>
              <w:left w:val="single" w:color="auto" w:sz="4" w:space="0"/>
              <w:bottom w:val="single" w:color="auto" w:sz="4" w:space="0"/>
              <w:right w:val="single" w:color="auto" w:sz="4" w:space="0"/>
            </w:tcBorders>
            <w:vAlign w:val="center"/>
          </w:tcPr>
          <w:p w14:paraId="2CBEF7D2">
            <w:pPr>
              <w:shd w:val="clear"/>
              <w:ind w:firstLine="210"/>
              <w:jc w:val="center"/>
              <w:rPr>
                <w:rFonts w:ascii="宋体" w:hAnsi="宋体" w:cs="宋体"/>
                <w:color w:val="auto"/>
                <w:szCs w:val="21"/>
              </w:rPr>
            </w:pPr>
            <w:r>
              <w:rPr>
                <w:rFonts w:hint="eastAsia" w:ascii="宋体" w:hAnsi="宋体" w:cs="宋体"/>
                <w:color w:val="auto"/>
                <w:szCs w:val="21"/>
              </w:rPr>
              <w:t>项目</w:t>
            </w:r>
          </w:p>
        </w:tc>
        <w:tc>
          <w:tcPr>
            <w:tcW w:w="3662" w:type="pct"/>
            <w:tcBorders>
              <w:top w:val="single" w:color="auto" w:sz="4" w:space="0"/>
              <w:left w:val="single" w:color="auto" w:sz="4" w:space="0"/>
              <w:bottom w:val="single" w:color="auto" w:sz="4" w:space="0"/>
              <w:right w:val="single" w:color="auto" w:sz="4" w:space="0"/>
            </w:tcBorders>
            <w:vAlign w:val="center"/>
          </w:tcPr>
          <w:p w14:paraId="4DCBE61A">
            <w:pPr>
              <w:shd w:val="clear"/>
              <w:ind w:firstLine="210"/>
              <w:jc w:val="center"/>
              <w:rPr>
                <w:rFonts w:ascii="宋体" w:hAnsi="宋体" w:cs="宋体"/>
                <w:color w:val="auto"/>
                <w:szCs w:val="21"/>
              </w:rPr>
            </w:pPr>
            <w:r>
              <w:rPr>
                <w:rFonts w:hint="eastAsia" w:ascii="宋体" w:hAnsi="宋体" w:cs="宋体"/>
                <w:color w:val="auto"/>
                <w:szCs w:val="21"/>
              </w:rPr>
              <w:t>采购文件要求</w:t>
            </w:r>
          </w:p>
        </w:tc>
        <w:tc>
          <w:tcPr>
            <w:tcW w:w="708" w:type="pct"/>
            <w:tcBorders>
              <w:top w:val="single" w:color="auto" w:sz="4" w:space="0"/>
              <w:left w:val="single" w:color="auto" w:sz="4" w:space="0"/>
              <w:bottom w:val="single" w:color="auto" w:sz="4" w:space="0"/>
              <w:right w:val="single" w:color="auto" w:sz="4" w:space="0"/>
            </w:tcBorders>
            <w:vAlign w:val="center"/>
          </w:tcPr>
          <w:p w14:paraId="2B9318BC">
            <w:pPr>
              <w:shd w:val="clear"/>
              <w:ind w:firstLine="210"/>
              <w:jc w:val="center"/>
              <w:rPr>
                <w:rFonts w:ascii="宋体" w:hAnsi="宋体" w:cs="宋体"/>
                <w:color w:val="auto"/>
                <w:szCs w:val="21"/>
              </w:rPr>
            </w:pPr>
            <w:r>
              <w:rPr>
                <w:rFonts w:hint="eastAsia" w:ascii="宋体" w:hAnsi="宋体" w:cs="宋体"/>
                <w:bCs/>
                <w:color w:val="auto"/>
                <w:szCs w:val="21"/>
              </w:rPr>
              <w:t>是否响应</w:t>
            </w:r>
          </w:p>
        </w:tc>
      </w:tr>
      <w:tr w14:paraId="06D15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630" w:type="pct"/>
            <w:tcBorders>
              <w:top w:val="single" w:color="auto" w:sz="4" w:space="0"/>
              <w:left w:val="single" w:color="auto" w:sz="4" w:space="0"/>
              <w:bottom w:val="single" w:color="auto" w:sz="4" w:space="0"/>
              <w:right w:val="single" w:color="auto" w:sz="4" w:space="0"/>
            </w:tcBorders>
            <w:vAlign w:val="center"/>
          </w:tcPr>
          <w:p w14:paraId="107F8226">
            <w:pPr>
              <w:shd w:val="clear"/>
              <w:adjustRightInd w:val="0"/>
              <w:snapToGrid w:val="0"/>
              <w:spacing w:line="300" w:lineRule="auto"/>
              <w:rPr>
                <w:rFonts w:ascii="宋体" w:hAnsi="宋体" w:cs="宋体"/>
                <w:color w:val="auto"/>
                <w:szCs w:val="21"/>
              </w:rPr>
            </w:pPr>
            <w:r>
              <w:rPr>
                <w:rFonts w:hint="eastAsia" w:ascii="宋体" w:hAnsi="宋体" w:cs="宋体"/>
                <w:color w:val="auto"/>
                <w:szCs w:val="21"/>
              </w:rPr>
              <w:t>履约期限</w:t>
            </w:r>
          </w:p>
        </w:tc>
        <w:tc>
          <w:tcPr>
            <w:tcW w:w="3662" w:type="pct"/>
            <w:tcBorders>
              <w:top w:val="single" w:color="auto" w:sz="4" w:space="0"/>
              <w:left w:val="single" w:color="auto" w:sz="4" w:space="0"/>
              <w:bottom w:val="single" w:color="auto" w:sz="4" w:space="0"/>
              <w:right w:val="single" w:color="auto" w:sz="4" w:space="0"/>
            </w:tcBorders>
            <w:vAlign w:val="center"/>
          </w:tcPr>
          <w:p w14:paraId="3EAEDD1B">
            <w:pPr>
              <w:shd w:val="clear"/>
              <w:adjustRightInd w:val="0"/>
              <w:snapToGrid w:val="0"/>
              <w:spacing w:line="300" w:lineRule="auto"/>
              <w:rPr>
                <w:rFonts w:ascii="宋体" w:hAnsi="宋体" w:cs="宋体"/>
                <w:color w:val="auto"/>
                <w:szCs w:val="21"/>
              </w:rPr>
            </w:pPr>
            <w:r>
              <w:rPr>
                <w:rFonts w:hint="eastAsia" w:ascii="宋体" w:hAnsi="宋体" w:cs="宋体"/>
                <w:color w:val="auto"/>
                <w:szCs w:val="21"/>
              </w:rPr>
              <w:t>1年。</w:t>
            </w:r>
          </w:p>
        </w:tc>
        <w:tc>
          <w:tcPr>
            <w:tcW w:w="708" w:type="pct"/>
            <w:tcBorders>
              <w:top w:val="single" w:color="auto" w:sz="4" w:space="0"/>
              <w:left w:val="single" w:color="auto" w:sz="4" w:space="0"/>
              <w:bottom w:val="single" w:color="auto" w:sz="4" w:space="0"/>
              <w:right w:val="single" w:color="auto" w:sz="4" w:space="0"/>
            </w:tcBorders>
          </w:tcPr>
          <w:p w14:paraId="0C800759">
            <w:pPr>
              <w:shd w:val="clear"/>
              <w:adjustRightInd w:val="0"/>
              <w:snapToGrid w:val="0"/>
              <w:spacing w:line="300" w:lineRule="auto"/>
              <w:rPr>
                <w:rFonts w:ascii="宋体" w:hAnsi="宋体" w:cs="宋体"/>
                <w:color w:val="auto"/>
                <w:szCs w:val="21"/>
              </w:rPr>
            </w:pPr>
          </w:p>
        </w:tc>
      </w:tr>
      <w:tr w14:paraId="27E96D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9" w:hRule="atLeast"/>
        </w:trPr>
        <w:tc>
          <w:tcPr>
            <w:tcW w:w="630" w:type="pct"/>
            <w:tcBorders>
              <w:top w:val="single" w:color="auto" w:sz="4" w:space="0"/>
              <w:left w:val="single" w:color="auto" w:sz="4" w:space="0"/>
              <w:bottom w:val="single" w:color="auto" w:sz="4" w:space="0"/>
              <w:right w:val="single" w:color="auto" w:sz="4" w:space="0"/>
            </w:tcBorders>
            <w:vAlign w:val="center"/>
          </w:tcPr>
          <w:p w14:paraId="76BCBAB4">
            <w:pPr>
              <w:shd w:val="clear"/>
              <w:adjustRightInd w:val="0"/>
              <w:snapToGrid w:val="0"/>
              <w:spacing w:line="300" w:lineRule="auto"/>
              <w:rPr>
                <w:rFonts w:ascii="宋体" w:hAnsi="宋体" w:cs="宋体"/>
                <w:color w:val="auto"/>
                <w:szCs w:val="21"/>
              </w:rPr>
            </w:pPr>
            <w:r>
              <w:rPr>
                <w:rFonts w:hint="eastAsia" w:ascii="宋体" w:hAnsi="宋体" w:cs="宋体"/>
                <w:color w:val="auto"/>
                <w:szCs w:val="21"/>
              </w:rPr>
              <w:t>项目地点</w:t>
            </w:r>
          </w:p>
        </w:tc>
        <w:tc>
          <w:tcPr>
            <w:tcW w:w="3662" w:type="pct"/>
            <w:tcBorders>
              <w:top w:val="single" w:color="auto" w:sz="4" w:space="0"/>
              <w:left w:val="single" w:color="auto" w:sz="4" w:space="0"/>
              <w:bottom w:val="single" w:color="auto" w:sz="4" w:space="0"/>
              <w:right w:val="single" w:color="auto" w:sz="4" w:space="0"/>
            </w:tcBorders>
            <w:vAlign w:val="center"/>
          </w:tcPr>
          <w:p w14:paraId="54A3DE06">
            <w:pPr>
              <w:shd w:val="clear"/>
              <w:jc w:val="left"/>
              <w:rPr>
                <w:rFonts w:ascii="宋体" w:hAnsi="宋体" w:cs="宋体"/>
                <w:color w:val="auto"/>
                <w:szCs w:val="21"/>
              </w:rPr>
            </w:pPr>
            <w:r>
              <w:rPr>
                <w:rFonts w:hint="eastAsia" w:ascii="宋体" w:hAnsi="宋体" w:cs="宋体"/>
                <w:color w:val="auto"/>
                <w:szCs w:val="21"/>
              </w:rPr>
              <w:t>业主指定地点。</w:t>
            </w:r>
          </w:p>
        </w:tc>
        <w:tc>
          <w:tcPr>
            <w:tcW w:w="708" w:type="pct"/>
            <w:tcBorders>
              <w:top w:val="single" w:color="auto" w:sz="4" w:space="0"/>
              <w:left w:val="single" w:color="auto" w:sz="4" w:space="0"/>
              <w:bottom w:val="single" w:color="auto" w:sz="4" w:space="0"/>
              <w:right w:val="single" w:color="auto" w:sz="4" w:space="0"/>
            </w:tcBorders>
          </w:tcPr>
          <w:p w14:paraId="1946AC42">
            <w:pPr>
              <w:shd w:val="clear"/>
              <w:jc w:val="left"/>
              <w:rPr>
                <w:rFonts w:ascii="宋体" w:hAnsi="宋体" w:cs="宋体"/>
                <w:color w:val="auto"/>
                <w:szCs w:val="21"/>
              </w:rPr>
            </w:pPr>
          </w:p>
        </w:tc>
      </w:tr>
      <w:tr w14:paraId="22D8DB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5" w:hRule="atLeast"/>
        </w:trPr>
        <w:tc>
          <w:tcPr>
            <w:tcW w:w="630" w:type="pct"/>
            <w:tcBorders>
              <w:top w:val="single" w:color="auto" w:sz="4" w:space="0"/>
              <w:left w:val="single" w:color="auto" w:sz="4" w:space="0"/>
              <w:bottom w:val="single" w:color="auto" w:sz="4" w:space="0"/>
              <w:right w:val="single" w:color="auto" w:sz="4" w:space="0"/>
            </w:tcBorders>
            <w:vAlign w:val="center"/>
          </w:tcPr>
          <w:p w14:paraId="4862344D">
            <w:pPr>
              <w:shd w:val="clear"/>
              <w:adjustRightInd w:val="0"/>
              <w:snapToGrid w:val="0"/>
              <w:spacing w:line="300" w:lineRule="auto"/>
              <w:rPr>
                <w:rFonts w:ascii="宋体" w:hAnsi="宋体" w:cs="宋体"/>
                <w:color w:val="auto"/>
                <w:szCs w:val="21"/>
              </w:rPr>
            </w:pPr>
            <w:r>
              <w:rPr>
                <w:rFonts w:hint="eastAsia" w:ascii="宋体" w:hAnsi="宋体" w:cs="宋体"/>
                <w:color w:val="auto"/>
                <w:szCs w:val="21"/>
              </w:rPr>
              <w:t>计价依据及取费标准</w:t>
            </w:r>
          </w:p>
        </w:tc>
        <w:tc>
          <w:tcPr>
            <w:tcW w:w="3662" w:type="pct"/>
            <w:tcBorders>
              <w:top w:val="single" w:color="auto" w:sz="4" w:space="0"/>
              <w:left w:val="single" w:color="auto" w:sz="4" w:space="0"/>
              <w:bottom w:val="single" w:color="auto" w:sz="4" w:space="0"/>
              <w:right w:val="single" w:color="auto" w:sz="4" w:space="0"/>
            </w:tcBorders>
            <w:vAlign w:val="center"/>
          </w:tcPr>
          <w:p w14:paraId="1A667F9C">
            <w:pPr>
              <w:shd w:val="clear"/>
              <w:spacing w:line="360" w:lineRule="auto"/>
              <w:rPr>
                <w:rFonts w:ascii="宋体" w:hAnsi="宋体" w:cs="宋体"/>
                <w:color w:val="auto"/>
                <w:szCs w:val="21"/>
              </w:rPr>
            </w:pPr>
            <w:r>
              <w:rPr>
                <w:rFonts w:hint="eastAsia" w:ascii="宋体" w:hAnsi="宋体" w:cs="宋体"/>
                <w:color w:val="auto"/>
                <w:szCs w:val="21"/>
              </w:rPr>
              <w:t>（1）计算原则、计价依据：《建设工程工程量清单计价规范》（GB50500-2013）、《房屋建筑与装饰工程工程量计算规范》（GB50854-2013）、《通用安装工程工程量计算规范》(GB50856-2013)、《市政工程工程量计算规范》（GB50857-2013）、《园林绿化工程工程量计算规范》（GB50858-2013）及《建设工程工程量计算规范（2013）浙江省补充规定》；《浙江省房屋建筑与装饰工程预算定额》（2018版）、《浙江省通用安装工程预算定额》（2018版）、《浙江省市政工程预算定额》（2018版）、《浙江省园林绿化及仿古建筑工程预算定额》（2018版）、《浙江省房屋建筑安装工程修缮预算定额》（2018版）、《浙江省建设工程计价规则》（2018版）及其他有关计价文件执行。如在实施过程中，有最新文件发布，则按最新文件执行。</w:t>
            </w:r>
          </w:p>
          <w:p w14:paraId="4AC5BC27">
            <w:pPr>
              <w:shd w:val="clear"/>
              <w:spacing w:line="360" w:lineRule="auto"/>
              <w:rPr>
                <w:rFonts w:ascii="宋体" w:hAnsi="宋体" w:cs="宋体"/>
                <w:color w:val="auto"/>
                <w:szCs w:val="21"/>
              </w:rPr>
            </w:pPr>
            <w:r>
              <w:rPr>
                <w:rFonts w:hint="eastAsia" w:ascii="宋体" w:hAnsi="宋体" w:cs="宋体"/>
                <w:color w:val="auto"/>
                <w:szCs w:val="21"/>
              </w:rPr>
              <w:t>（2）取费：按《浙江省建设工程计价规则》（2018版）相关规定费率计取，凡弹性区间费率均按中值计取。其中创标化工地增加费、提前竣工增加费、优质工程增加费、二次搬运费、行车、行人干扰增加费不计取；规费费率按《浙江省建设工程计价规则》（2018版）取费标准的30%计取。关于增值税调整后我省建设工程计价依据增值税税率及有关计价调整的通知按《浙建建发（2019）92号》文件执行（税率按9%计取）。如在实施过程中，有最新文件发布，则按最新文件执行。</w:t>
            </w:r>
          </w:p>
          <w:p w14:paraId="2F31A33C">
            <w:pPr>
              <w:shd w:val="clear"/>
              <w:spacing w:line="360" w:lineRule="auto"/>
              <w:rPr>
                <w:rFonts w:ascii="宋体" w:hAnsi="宋体" w:cs="宋体"/>
                <w:color w:val="auto"/>
                <w:szCs w:val="21"/>
              </w:rPr>
            </w:pPr>
            <w:r>
              <w:rPr>
                <w:rFonts w:hint="eastAsia" w:ascii="宋体" w:hAnsi="宋体" w:cs="宋体"/>
                <w:color w:val="auto"/>
                <w:szCs w:val="21"/>
              </w:rPr>
              <w:t>人工价格按《宁波造价》（按开工前一个月）价格信息中宁波市建筑安装材料市场信息价。</w:t>
            </w:r>
          </w:p>
          <w:p w14:paraId="749CA759">
            <w:pPr>
              <w:shd w:val="clear"/>
              <w:spacing w:line="360" w:lineRule="auto"/>
              <w:rPr>
                <w:color w:val="auto"/>
                <w:szCs w:val="21"/>
              </w:rPr>
            </w:pPr>
            <w:r>
              <w:rPr>
                <w:rFonts w:hint="eastAsia" w:ascii="宋体" w:hAnsi="宋体" w:cs="宋体"/>
                <w:color w:val="auto"/>
                <w:szCs w:val="21"/>
              </w:rPr>
              <w:t>材料价格按《宁波造价》（按开工前一个月）价格信息中的宁波市建筑安装材料市场信息价（奉化优先，其次为宁波市区价）；宁波市缺项的材料按同期《浙江造价信息》信息价，无信息价材料按市场询价及业主定牌定价取定，上述材料均为除税价。建材商情价格不作为价格依据。</w:t>
            </w:r>
          </w:p>
        </w:tc>
        <w:tc>
          <w:tcPr>
            <w:tcW w:w="708" w:type="pct"/>
            <w:tcBorders>
              <w:top w:val="single" w:color="auto" w:sz="4" w:space="0"/>
              <w:left w:val="single" w:color="auto" w:sz="4" w:space="0"/>
              <w:bottom w:val="single" w:color="auto" w:sz="4" w:space="0"/>
              <w:right w:val="single" w:color="auto" w:sz="4" w:space="0"/>
            </w:tcBorders>
          </w:tcPr>
          <w:p w14:paraId="2913410E">
            <w:pPr>
              <w:shd w:val="clear"/>
              <w:spacing w:line="360" w:lineRule="auto"/>
              <w:rPr>
                <w:rFonts w:ascii="宋体" w:hAnsi="宋体" w:cs="宋体"/>
                <w:color w:val="auto"/>
                <w:szCs w:val="21"/>
              </w:rPr>
            </w:pPr>
          </w:p>
        </w:tc>
      </w:tr>
      <w:tr w14:paraId="75C683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630" w:type="pct"/>
            <w:tcBorders>
              <w:top w:val="single" w:color="auto" w:sz="4" w:space="0"/>
              <w:left w:val="single" w:color="auto" w:sz="4" w:space="0"/>
              <w:bottom w:val="single" w:color="auto" w:sz="4" w:space="0"/>
              <w:right w:val="single" w:color="auto" w:sz="4" w:space="0"/>
            </w:tcBorders>
            <w:vAlign w:val="center"/>
          </w:tcPr>
          <w:p w14:paraId="2C7804C0">
            <w:pPr>
              <w:shd w:val="clear"/>
              <w:adjustRightInd w:val="0"/>
              <w:snapToGrid w:val="0"/>
              <w:spacing w:line="300" w:lineRule="auto"/>
              <w:rPr>
                <w:rFonts w:ascii="宋体" w:hAnsi="宋体" w:cs="宋体"/>
                <w:color w:val="auto"/>
                <w:szCs w:val="21"/>
              </w:rPr>
            </w:pPr>
            <w:r>
              <w:rPr>
                <w:rFonts w:hint="eastAsia" w:ascii="宋体" w:hAnsi="宋体" w:cs="宋体"/>
                <w:color w:val="auto"/>
                <w:szCs w:val="21"/>
              </w:rPr>
              <w:t>结算单价及付款方式</w:t>
            </w:r>
          </w:p>
        </w:tc>
        <w:tc>
          <w:tcPr>
            <w:tcW w:w="3662" w:type="pct"/>
            <w:tcBorders>
              <w:top w:val="single" w:color="auto" w:sz="4" w:space="0"/>
              <w:left w:val="single" w:color="auto" w:sz="4" w:space="0"/>
              <w:bottom w:val="single" w:color="auto" w:sz="4" w:space="0"/>
              <w:right w:val="single" w:color="auto" w:sz="4" w:space="0"/>
            </w:tcBorders>
            <w:vAlign w:val="center"/>
          </w:tcPr>
          <w:p w14:paraId="33864CEE">
            <w:pPr>
              <w:shd w:val="clear"/>
              <w:spacing w:line="360" w:lineRule="auto"/>
              <w:rPr>
                <w:rFonts w:ascii="宋体" w:hAnsi="宋体" w:cs="宋体"/>
                <w:color w:val="auto"/>
                <w:szCs w:val="21"/>
              </w:rPr>
            </w:pPr>
            <w:r>
              <w:rPr>
                <w:rFonts w:hint="eastAsia" w:ascii="宋体" w:hAnsi="宋体" w:cs="宋体"/>
                <w:color w:val="auto"/>
                <w:szCs w:val="21"/>
              </w:rPr>
              <w:t>根据计价依据及取费标准结合成交折扣，每季度按实结算。</w:t>
            </w:r>
          </w:p>
        </w:tc>
        <w:tc>
          <w:tcPr>
            <w:tcW w:w="708" w:type="pct"/>
            <w:tcBorders>
              <w:top w:val="single" w:color="auto" w:sz="4" w:space="0"/>
              <w:left w:val="single" w:color="auto" w:sz="4" w:space="0"/>
              <w:bottom w:val="single" w:color="auto" w:sz="4" w:space="0"/>
              <w:right w:val="single" w:color="auto" w:sz="4" w:space="0"/>
            </w:tcBorders>
          </w:tcPr>
          <w:p w14:paraId="24D14403">
            <w:pPr>
              <w:shd w:val="clear"/>
              <w:spacing w:line="360" w:lineRule="auto"/>
              <w:rPr>
                <w:rFonts w:ascii="宋体" w:hAnsi="宋体" w:cs="宋体"/>
                <w:color w:val="auto"/>
                <w:szCs w:val="21"/>
              </w:rPr>
            </w:pPr>
          </w:p>
        </w:tc>
      </w:tr>
      <w:tr w14:paraId="5494CA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630" w:type="pct"/>
            <w:tcBorders>
              <w:top w:val="single" w:color="auto" w:sz="4" w:space="0"/>
              <w:left w:val="single" w:color="auto" w:sz="4" w:space="0"/>
              <w:bottom w:val="single" w:color="auto" w:sz="4" w:space="0"/>
              <w:right w:val="single" w:color="auto" w:sz="4" w:space="0"/>
            </w:tcBorders>
            <w:vAlign w:val="center"/>
          </w:tcPr>
          <w:p w14:paraId="68C39815">
            <w:pPr>
              <w:shd w:val="clear"/>
              <w:adjustRightInd w:val="0"/>
              <w:snapToGrid w:val="0"/>
              <w:spacing w:line="300" w:lineRule="auto"/>
              <w:rPr>
                <w:rFonts w:ascii="宋体" w:hAnsi="宋体" w:cs="宋体"/>
                <w:color w:val="auto"/>
                <w:szCs w:val="21"/>
              </w:rPr>
            </w:pPr>
            <w:r>
              <w:rPr>
                <w:rFonts w:hint="eastAsia" w:ascii="宋体" w:hAnsi="宋体" w:cs="宋体"/>
                <w:bCs/>
                <w:color w:val="auto"/>
                <w:szCs w:val="21"/>
              </w:rPr>
              <w:t>签约合同价</w:t>
            </w:r>
          </w:p>
        </w:tc>
        <w:tc>
          <w:tcPr>
            <w:tcW w:w="3662" w:type="pct"/>
            <w:tcBorders>
              <w:top w:val="single" w:color="auto" w:sz="4" w:space="0"/>
              <w:left w:val="single" w:color="auto" w:sz="4" w:space="0"/>
              <w:bottom w:val="single" w:color="auto" w:sz="4" w:space="0"/>
              <w:right w:val="single" w:color="auto" w:sz="4" w:space="0"/>
            </w:tcBorders>
            <w:vAlign w:val="center"/>
          </w:tcPr>
          <w:p w14:paraId="6DA7BA77">
            <w:pPr>
              <w:shd w:val="clear"/>
              <w:spacing w:line="360" w:lineRule="auto"/>
              <w:rPr>
                <w:rFonts w:ascii="宋体" w:hAnsi="宋体" w:cs="宋体"/>
                <w:color w:val="auto"/>
                <w:szCs w:val="21"/>
              </w:rPr>
            </w:pPr>
            <w:r>
              <w:rPr>
                <w:rFonts w:hint="eastAsia" w:ascii="宋体" w:hAnsi="宋体" w:cs="宋体"/>
                <w:bCs/>
                <w:color w:val="auto"/>
                <w:szCs w:val="21"/>
              </w:rPr>
              <w:t>本项目签约合同价计算公式：预算金额*成交综合折扣。</w:t>
            </w:r>
          </w:p>
        </w:tc>
        <w:tc>
          <w:tcPr>
            <w:tcW w:w="708" w:type="pct"/>
            <w:tcBorders>
              <w:top w:val="single" w:color="auto" w:sz="4" w:space="0"/>
              <w:left w:val="single" w:color="auto" w:sz="4" w:space="0"/>
              <w:bottom w:val="single" w:color="auto" w:sz="4" w:space="0"/>
              <w:right w:val="single" w:color="auto" w:sz="4" w:space="0"/>
            </w:tcBorders>
          </w:tcPr>
          <w:p w14:paraId="40E47F05">
            <w:pPr>
              <w:shd w:val="clear"/>
              <w:spacing w:line="360" w:lineRule="auto"/>
              <w:rPr>
                <w:rFonts w:ascii="宋体" w:hAnsi="宋体" w:cs="宋体"/>
                <w:bCs/>
                <w:color w:val="auto"/>
                <w:szCs w:val="21"/>
              </w:rPr>
            </w:pPr>
          </w:p>
        </w:tc>
      </w:tr>
      <w:tr w14:paraId="049968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630" w:type="pct"/>
            <w:tcBorders>
              <w:top w:val="single" w:color="auto" w:sz="4" w:space="0"/>
              <w:left w:val="single" w:color="auto" w:sz="4" w:space="0"/>
              <w:bottom w:val="single" w:color="auto" w:sz="4" w:space="0"/>
              <w:right w:val="single" w:color="auto" w:sz="4" w:space="0"/>
            </w:tcBorders>
            <w:vAlign w:val="center"/>
          </w:tcPr>
          <w:p w14:paraId="40319520">
            <w:pPr>
              <w:shd w:val="clear"/>
              <w:adjustRightInd w:val="0"/>
              <w:snapToGrid w:val="0"/>
              <w:spacing w:line="300" w:lineRule="auto"/>
              <w:rPr>
                <w:rFonts w:ascii="宋体" w:hAnsi="宋体" w:cs="宋体"/>
                <w:color w:val="auto"/>
                <w:szCs w:val="21"/>
              </w:rPr>
            </w:pPr>
            <w:r>
              <w:rPr>
                <w:rFonts w:hint="eastAsia" w:ascii="宋体" w:hAnsi="宋体" w:cs="宋体"/>
                <w:color w:val="auto"/>
                <w:szCs w:val="21"/>
              </w:rPr>
              <w:t>质量要求</w:t>
            </w:r>
          </w:p>
        </w:tc>
        <w:tc>
          <w:tcPr>
            <w:tcW w:w="3662" w:type="pct"/>
            <w:tcBorders>
              <w:top w:val="single" w:color="auto" w:sz="4" w:space="0"/>
              <w:left w:val="single" w:color="auto" w:sz="4" w:space="0"/>
              <w:bottom w:val="single" w:color="auto" w:sz="4" w:space="0"/>
              <w:right w:val="single" w:color="auto" w:sz="4" w:space="0"/>
            </w:tcBorders>
            <w:vAlign w:val="center"/>
          </w:tcPr>
          <w:p w14:paraId="6BD629FF">
            <w:pPr>
              <w:shd w:val="clear"/>
              <w:adjustRightInd w:val="0"/>
              <w:snapToGrid w:val="0"/>
              <w:spacing w:line="300" w:lineRule="auto"/>
              <w:rPr>
                <w:rFonts w:ascii="宋体" w:hAnsi="宋体" w:cs="宋体"/>
                <w:color w:val="auto"/>
                <w:szCs w:val="21"/>
              </w:rPr>
            </w:pPr>
            <w:r>
              <w:rPr>
                <w:rFonts w:hint="eastAsia" w:ascii="宋体" w:hAnsi="宋体" w:cs="宋体"/>
                <w:color w:val="auto"/>
                <w:szCs w:val="21"/>
                <w:lang w:val="zh-CN"/>
              </w:rPr>
              <w:t>达到国家和行业施工验收规范一次性验收合格。</w:t>
            </w:r>
          </w:p>
        </w:tc>
        <w:tc>
          <w:tcPr>
            <w:tcW w:w="708" w:type="pct"/>
            <w:tcBorders>
              <w:top w:val="single" w:color="auto" w:sz="4" w:space="0"/>
              <w:left w:val="single" w:color="auto" w:sz="4" w:space="0"/>
              <w:bottom w:val="single" w:color="auto" w:sz="4" w:space="0"/>
              <w:right w:val="single" w:color="auto" w:sz="4" w:space="0"/>
            </w:tcBorders>
          </w:tcPr>
          <w:p w14:paraId="71EA0F30">
            <w:pPr>
              <w:shd w:val="clear"/>
              <w:adjustRightInd w:val="0"/>
              <w:snapToGrid w:val="0"/>
              <w:spacing w:line="300" w:lineRule="auto"/>
              <w:rPr>
                <w:rFonts w:ascii="宋体" w:hAnsi="宋体" w:cs="宋体"/>
                <w:color w:val="auto"/>
                <w:szCs w:val="21"/>
                <w:lang w:val="zh-CN"/>
              </w:rPr>
            </w:pPr>
          </w:p>
        </w:tc>
      </w:tr>
      <w:tr w14:paraId="4116E5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630" w:type="pct"/>
            <w:tcBorders>
              <w:top w:val="single" w:color="auto" w:sz="4" w:space="0"/>
              <w:left w:val="single" w:color="auto" w:sz="4" w:space="0"/>
              <w:bottom w:val="single" w:color="auto" w:sz="4" w:space="0"/>
              <w:right w:val="single" w:color="auto" w:sz="4" w:space="0"/>
            </w:tcBorders>
            <w:vAlign w:val="center"/>
          </w:tcPr>
          <w:p w14:paraId="4B28729C">
            <w:pPr>
              <w:shd w:val="clear"/>
              <w:adjustRightInd w:val="0"/>
              <w:snapToGrid w:val="0"/>
              <w:spacing w:line="300" w:lineRule="auto"/>
              <w:rPr>
                <w:rFonts w:ascii="宋体" w:hAnsi="宋体" w:cs="宋体"/>
                <w:color w:val="auto"/>
                <w:szCs w:val="21"/>
              </w:rPr>
            </w:pPr>
            <w:r>
              <w:rPr>
                <w:rFonts w:hint="eastAsia" w:ascii="宋体" w:hAnsi="宋体"/>
                <w:color w:val="auto"/>
                <w:szCs w:val="21"/>
              </w:rPr>
              <w:t>工程保修（缺陷责任期）及售后要求</w:t>
            </w:r>
          </w:p>
        </w:tc>
        <w:tc>
          <w:tcPr>
            <w:tcW w:w="3662" w:type="pct"/>
            <w:tcBorders>
              <w:top w:val="single" w:color="auto" w:sz="4" w:space="0"/>
              <w:left w:val="single" w:color="auto" w:sz="4" w:space="0"/>
              <w:bottom w:val="single" w:color="auto" w:sz="4" w:space="0"/>
              <w:right w:val="single" w:color="auto" w:sz="4" w:space="0"/>
            </w:tcBorders>
            <w:vAlign w:val="center"/>
          </w:tcPr>
          <w:p w14:paraId="15D9D6D3">
            <w:pPr>
              <w:shd w:val="clear"/>
              <w:adjustRightInd w:val="0"/>
              <w:snapToGrid w:val="0"/>
              <w:spacing w:line="300" w:lineRule="auto"/>
              <w:rPr>
                <w:rFonts w:ascii="宋体" w:hAnsi="宋体" w:cs="宋体"/>
                <w:color w:val="auto"/>
                <w:szCs w:val="21"/>
              </w:rPr>
            </w:pPr>
            <w:r>
              <w:rPr>
                <w:rFonts w:hint="eastAsia" w:ascii="宋体" w:hAnsi="宋体"/>
                <w:color w:val="auto"/>
                <w:szCs w:val="21"/>
              </w:rPr>
              <w:t>本工程缺陷责任期为1年。保修期（缺陷责任期）从完工验收合格之日起计算。在保修范围内和保修期限内发生质量问题的，承包人应当履行保修义务，并对造成的损失承担赔偿责任。</w:t>
            </w:r>
          </w:p>
        </w:tc>
        <w:tc>
          <w:tcPr>
            <w:tcW w:w="708" w:type="pct"/>
            <w:tcBorders>
              <w:top w:val="single" w:color="auto" w:sz="4" w:space="0"/>
              <w:left w:val="single" w:color="auto" w:sz="4" w:space="0"/>
              <w:bottom w:val="single" w:color="auto" w:sz="4" w:space="0"/>
              <w:right w:val="single" w:color="auto" w:sz="4" w:space="0"/>
            </w:tcBorders>
          </w:tcPr>
          <w:p w14:paraId="186789EF">
            <w:pPr>
              <w:shd w:val="clear"/>
              <w:adjustRightInd w:val="0"/>
              <w:snapToGrid w:val="0"/>
              <w:spacing w:line="300" w:lineRule="auto"/>
              <w:rPr>
                <w:rFonts w:ascii="宋体" w:hAnsi="宋体"/>
                <w:color w:val="auto"/>
                <w:szCs w:val="21"/>
              </w:rPr>
            </w:pPr>
          </w:p>
        </w:tc>
      </w:tr>
      <w:tr w14:paraId="19E790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0" w:hRule="atLeast"/>
        </w:trPr>
        <w:tc>
          <w:tcPr>
            <w:tcW w:w="630" w:type="pct"/>
            <w:tcBorders>
              <w:top w:val="single" w:color="auto" w:sz="4" w:space="0"/>
              <w:left w:val="single" w:color="auto" w:sz="4" w:space="0"/>
              <w:bottom w:val="single" w:color="auto" w:sz="4" w:space="0"/>
              <w:right w:val="single" w:color="auto" w:sz="4" w:space="0"/>
            </w:tcBorders>
            <w:vAlign w:val="center"/>
          </w:tcPr>
          <w:p w14:paraId="6FF03B3A">
            <w:pPr>
              <w:shd w:val="clear"/>
              <w:adjustRightInd w:val="0"/>
              <w:snapToGrid w:val="0"/>
              <w:spacing w:line="300" w:lineRule="auto"/>
              <w:rPr>
                <w:rFonts w:ascii="宋体" w:hAnsi="宋体" w:cs="宋体"/>
                <w:color w:val="auto"/>
                <w:szCs w:val="21"/>
              </w:rPr>
            </w:pPr>
            <w:r>
              <w:rPr>
                <w:rFonts w:hint="eastAsia" w:ascii="宋体" w:hAnsi="宋体" w:cs="宋体"/>
                <w:color w:val="auto"/>
                <w:szCs w:val="21"/>
              </w:rPr>
              <w:t>承包方式</w:t>
            </w:r>
          </w:p>
        </w:tc>
        <w:tc>
          <w:tcPr>
            <w:tcW w:w="3662" w:type="pct"/>
            <w:tcBorders>
              <w:top w:val="single" w:color="auto" w:sz="4" w:space="0"/>
              <w:left w:val="single" w:color="auto" w:sz="4" w:space="0"/>
              <w:bottom w:val="single" w:color="auto" w:sz="4" w:space="0"/>
              <w:right w:val="single" w:color="auto" w:sz="4" w:space="0"/>
            </w:tcBorders>
            <w:vAlign w:val="center"/>
          </w:tcPr>
          <w:p w14:paraId="7D1AACD6">
            <w:pPr>
              <w:widowControl/>
              <w:shd w:val="clear"/>
              <w:snapToGrid w:val="0"/>
              <w:spacing w:line="360" w:lineRule="auto"/>
              <w:jc w:val="left"/>
              <w:rPr>
                <w:rFonts w:ascii="宋体" w:hAnsi="宋体" w:cs="宋体"/>
                <w:color w:val="auto"/>
                <w:szCs w:val="21"/>
              </w:rPr>
            </w:pPr>
            <w:r>
              <w:rPr>
                <w:rFonts w:hint="eastAsia" w:ascii="宋体" w:hAnsi="宋体" w:cs="宋体"/>
                <w:color w:val="auto"/>
                <w:szCs w:val="21"/>
              </w:rPr>
              <w:t>包工包料。</w:t>
            </w:r>
          </w:p>
        </w:tc>
        <w:tc>
          <w:tcPr>
            <w:tcW w:w="708" w:type="pct"/>
            <w:tcBorders>
              <w:top w:val="single" w:color="auto" w:sz="4" w:space="0"/>
              <w:left w:val="single" w:color="auto" w:sz="4" w:space="0"/>
              <w:bottom w:val="single" w:color="auto" w:sz="4" w:space="0"/>
              <w:right w:val="single" w:color="auto" w:sz="4" w:space="0"/>
            </w:tcBorders>
          </w:tcPr>
          <w:p w14:paraId="5C0175BE">
            <w:pPr>
              <w:widowControl/>
              <w:shd w:val="clear"/>
              <w:snapToGrid w:val="0"/>
              <w:spacing w:line="360" w:lineRule="auto"/>
              <w:jc w:val="left"/>
              <w:rPr>
                <w:rFonts w:ascii="宋体" w:hAnsi="宋体" w:cs="宋体"/>
                <w:color w:val="auto"/>
                <w:szCs w:val="21"/>
              </w:rPr>
            </w:pPr>
          </w:p>
        </w:tc>
      </w:tr>
      <w:tr w14:paraId="5AAEE6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30" w:type="pct"/>
            <w:tcBorders>
              <w:top w:val="single" w:color="auto" w:sz="4" w:space="0"/>
              <w:left w:val="single" w:color="auto" w:sz="4" w:space="0"/>
              <w:bottom w:val="single" w:color="auto" w:sz="4" w:space="0"/>
              <w:right w:val="single" w:color="auto" w:sz="4" w:space="0"/>
            </w:tcBorders>
            <w:vAlign w:val="center"/>
          </w:tcPr>
          <w:p w14:paraId="0D9AEBAB">
            <w:pPr>
              <w:shd w:val="clear"/>
              <w:adjustRightInd w:val="0"/>
              <w:snapToGrid w:val="0"/>
              <w:spacing w:line="360" w:lineRule="auto"/>
              <w:rPr>
                <w:rFonts w:ascii="宋体" w:hAnsi="宋体" w:cs="宋体"/>
                <w:color w:val="auto"/>
                <w:szCs w:val="21"/>
              </w:rPr>
            </w:pPr>
            <w:r>
              <w:rPr>
                <w:rFonts w:hint="eastAsia" w:ascii="宋体" w:hAnsi="宋体" w:cs="宋体"/>
                <w:color w:val="auto"/>
                <w:szCs w:val="21"/>
              </w:rPr>
              <w:t>合同终止</w:t>
            </w:r>
          </w:p>
        </w:tc>
        <w:tc>
          <w:tcPr>
            <w:tcW w:w="3662" w:type="pct"/>
            <w:tcBorders>
              <w:top w:val="single" w:color="auto" w:sz="4" w:space="0"/>
              <w:left w:val="single" w:color="auto" w:sz="4" w:space="0"/>
              <w:bottom w:val="single" w:color="auto" w:sz="4" w:space="0"/>
              <w:right w:val="single" w:color="auto" w:sz="4" w:space="0"/>
            </w:tcBorders>
            <w:vAlign w:val="center"/>
          </w:tcPr>
          <w:p w14:paraId="1B1AE59C">
            <w:pPr>
              <w:shd w:val="clear"/>
              <w:adjustRightInd w:val="0"/>
              <w:snapToGrid w:val="0"/>
              <w:spacing w:line="360" w:lineRule="auto"/>
              <w:rPr>
                <w:rFonts w:ascii="宋体" w:hAnsi="宋体" w:cs="宋体"/>
                <w:color w:val="auto"/>
                <w:szCs w:val="21"/>
              </w:rPr>
            </w:pPr>
            <w:r>
              <w:rPr>
                <w:rFonts w:hint="eastAsia" w:ascii="宋体" w:hAnsi="宋体" w:cs="宋体"/>
                <w:color w:val="auto"/>
                <w:szCs w:val="21"/>
              </w:rPr>
              <w:t>中标人在合同有效期内，除不可抗力外不得以任何理由终止合同。因中标人不能保证工作质量，或发生重大差错事故的，采购人有权终止合同，中标人承担全部责任。</w:t>
            </w:r>
          </w:p>
        </w:tc>
        <w:tc>
          <w:tcPr>
            <w:tcW w:w="708" w:type="pct"/>
            <w:tcBorders>
              <w:top w:val="single" w:color="auto" w:sz="4" w:space="0"/>
              <w:left w:val="single" w:color="auto" w:sz="4" w:space="0"/>
              <w:bottom w:val="single" w:color="auto" w:sz="4" w:space="0"/>
              <w:right w:val="single" w:color="auto" w:sz="4" w:space="0"/>
            </w:tcBorders>
          </w:tcPr>
          <w:p w14:paraId="76E87C10">
            <w:pPr>
              <w:shd w:val="clear"/>
              <w:adjustRightInd w:val="0"/>
              <w:snapToGrid w:val="0"/>
              <w:spacing w:line="360" w:lineRule="auto"/>
              <w:rPr>
                <w:rFonts w:ascii="宋体" w:hAnsi="宋体" w:cs="宋体"/>
                <w:color w:val="auto"/>
                <w:szCs w:val="21"/>
              </w:rPr>
            </w:pPr>
          </w:p>
        </w:tc>
      </w:tr>
    </w:tbl>
    <w:p w14:paraId="0D59587D">
      <w:pPr>
        <w:pStyle w:val="34"/>
        <w:shd w:val="clear"/>
        <w:rPr>
          <w:color w:val="auto"/>
        </w:rPr>
      </w:pPr>
    </w:p>
    <w:p w14:paraId="47C6F0F0">
      <w:pPr>
        <w:pStyle w:val="34"/>
        <w:shd w:val="clear"/>
        <w:rPr>
          <w:color w:val="auto"/>
        </w:rPr>
      </w:pPr>
    </w:p>
    <w:p w14:paraId="7A871C78">
      <w:pPr>
        <w:pStyle w:val="34"/>
        <w:shd w:val="clear"/>
        <w:rPr>
          <w:color w:val="auto"/>
          <w:lang w:val="zh-CN"/>
        </w:rPr>
      </w:pPr>
    </w:p>
    <w:p w14:paraId="24FADCC7">
      <w:pPr>
        <w:shd w:val="clear"/>
        <w:spacing w:line="360" w:lineRule="auto"/>
        <w:ind w:firstLine="240"/>
        <w:jc w:val="left"/>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供应商保证：除商务偏离表列出的偏离外，供应商响应采购文件的全部商务要求。供应商需完全响应以上商务条款要求并在“是否响应”一栏里明确，未明确响应的作无效标处理。</w:t>
      </w:r>
    </w:p>
    <w:p w14:paraId="0CCE9AD7">
      <w:pPr>
        <w:shd w:val="clear"/>
        <w:adjustRightInd w:val="0"/>
        <w:snapToGrid w:val="0"/>
        <w:spacing w:line="360" w:lineRule="auto"/>
        <w:ind w:firstLine="240"/>
        <w:jc w:val="right"/>
        <w:rPr>
          <w:rFonts w:asciiTheme="minorEastAsia" w:hAnsiTheme="minorEastAsia" w:eastAsiaTheme="minorEastAsia" w:cstheme="minorEastAsia"/>
          <w:color w:val="auto"/>
          <w:kern w:val="0"/>
          <w:sz w:val="24"/>
          <w:lang w:val="zh-CN"/>
        </w:rPr>
      </w:pPr>
    </w:p>
    <w:p w14:paraId="5F7AC0EB">
      <w:pPr>
        <w:shd w:val="clear"/>
        <w:autoSpaceDE w:val="0"/>
        <w:autoSpaceDN w:val="0"/>
        <w:spacing w:line="360" w:lineRule="auto"/>
        <w:ind w:firstLine="24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法定代表人或其授权委托人（签名或印章）：</w:t>
      </w:r>
    </w:p>
    <w:p w14:paraId="2722C974">
      <w:pPr>
        <w:shd w:val="clear"/>
        <w:autoSpaceDE w:val="0"/>
        <w:autoSpaceDN w:val="0"/>
        <w:spacing w:line="360" w:lineRule="auto"/>
        <w:ind w:firstLine="24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供应商（盖章）：</w:t>
      </w:r>
    </w:p>
    <w:p w14:paraId="65A7CB31">
      <w:pPr>
        <w:shd w:val="clear"/>
        <w:autoSpaceDE w:val="0"/>
        <w:autoSpaceDN w:val="0"/>
        <w:spacing w:line="360" w:lineRule="auto"/>
        <w:ind w:firstLine="24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日期：</w:t>
      </w:r>
    </w:p>
    <w:p w14:paraId="149A65D1">
      <w:pPr>
        <w:widowControl/>
        <w:shd w:val="clear"/>
        <w:ind w:firstLine="280"/>
        <w:jc w:val="left"/>
        <w:rPr>
          <w:rFonts w:asciiTheme="minorEastAsia" w:hAnsiTheme="minorEastAsia" w:eastAsiaTheme="minorEastAsia" w:cstheme="minorEastAsia"/>
          <w:color w:val="auto"/>
          <w:sz w:val="28"/>
          <w:lang w:val="zh-CN"/>
        </w:rPr>
      </w:pPr>
      <w:r>
        <w:rPr>
          <w:rFonts w:asciiTheme="minorEastAsia" w:hAnsiTheme="minorEastAsia" w:eastAsiaTheme="minorEastAsia" w:cstheme="minorEastAsia"/>
          <w:color w:val="auto"/>
          <w:sz w:val="28"/>
          <w:lang w:val="zh-CN"/>
        </w:rPr>
        <w:br w:type="page"/>
      </w:r>
    </w:p>
    <w:p w14:paraId="5D8F86C3">
      <w:pPr>
        <w:widowControl/>
        <w:shd w:val="clear"/>
        <w:ind w:firstLine="280"/>
        <w:jc w:val="left"/>
        <w:rPr>
          <w:rFonts w:asciiTheme="minorEastAsia" w:hAnsiTheme="minorEastAsia" w:eastAsiaTheme="minorEastAsia" w:cstheme="minorEastAsia"/>
          <w:color w:val="auto"/>
          <w:sz w:val="28"/>
          <w:lang w:val="zh-CN"/>
        </w:rPr>
      </w:pPr>
    </w:p>
    <w:p w14:paraId="23ABEB2C">
      <w:pPr>
        <w:numPr>
          <w:ilvl w:val="0"/>
          <w:numId w:val="5"/>
        </w:numPr>
        <w:shd w:val="clear"/>
        <w:snapToGrid w:val="0"/>
        <w:spacing w:line="360" w:lineRule="auto"/>
        <w:ind w:firstLine="321"/>
        <w:jc w:val="center"/>
        <w:outlineLvl w:val="0"/>
        <w:rPr>
          <w:rFonts w:asciiTheme="minorEastAsia" w:hAnsiTheme="minorEastAsia" w:eastAsiaTheme="minorEastAsia" w:cstheme="minorEastAsia"/>
          <w:b/>
          <w:color w:val="auto"/>
          <w:kern w:val="0"/>
          <w:sz w:val="32"/>
          <w:szCs w:val="32"/>
          <w:lang w:val="zh-CN"/>
        </w:rPr>
      </w:pPr>
      <w:r>
        <w:rPr>
          <w:rFonts w:hint="eastAsia" w:asciiTheme="minorEastAsia" w:hAnsiTheme="minorEastAsia" w:eastAsiaTheme="minorEastAsia" w:cstheme="minorEastAsia"/>
          <w:b/>
          <w:color w:val="auto"/>
          <w:kern w:val="0"/>
          <w:sz w:val="32"/>
          <w:szCs w:val="32"/>
          <w:lang w:val="zh-CN"/>
        </w:rPr>
        <w:t>技术</w:t>
      </w:r>
      <w:r>
        <w:rPr>
          <w:rFonts w:hint="eastAsia" w:asciiTheme="minorEastAsia" w:hAnsiTheme="minorEastAsia" w:eastAsiaTheme="minorEastAsia" w:cstheme="minorEastAsia"/>
          <w:b/>
          <w:color w:val="auto"/>
          <w:kern w:val="0"/>
          <w:sz w:val="32"/>
          <w:szCs w:val="32"/>
        </w:rPr>
        <w:t>响应</w:t>
      </w:r>
      <w:r>
        <w:rPr>
          <w:rFonts w:hint="eastAsia" w:asciiTheme="minorEastAsia" w:hAnsiTheme="minorEastAsia" w:eastAsiaTheme="minorEastAsia" w:cstheme="minorEastAsia"/>
          <w:b/>
          <w:color w:val="auto"/>
          <w:kern w:val="0"/>
          <w:sz w:val="32"/>
          <w:szCs w:val="32"/>
          <w:lang w:val="zh-CN"/>
        </w:rPr>
        <w:t>表</w:t>
      </w:r>
    </w:p>
    <w:p w14:paraId="64EF5E3D">
      <w:pPr>
        <w:pStyle w:val="34"/>
        <w:shd w:val="clear"/>
        <w:rPr>
          <w:color w:val="auto"/>
          <w:lang w:val="zh-CN"/>
        </w:rPr>
      </w:pPr>
      <w:r>
        <w:rPr>
          <w:rFonts w:hint="eastAsia"/>
          <w:color w:val="auto"/>
          <w:lang w:val="zh-CN"/>
        </w:rPr>
        <w:t>1、技术响应表</w:t>
      </w:r>
    </w:p>
    <w:tbl>
      <w:tblPr>
        <w:tblStyle w:val="28"/>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5528"/>
        <w:gridCol w:w="2693"/>
      </w:tblGrid>
      <w:tr w14:paraId="487C9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959" w:type="dxa"/>
            <w:vAlign w:val="center"/>
          </w:tcPr>
          <w:p w14:paraId="1E7EF05D">
            <w:pPr>
              <w:shd w:val="clear"/>
              <w:spacing w:line="360" w:lineRule="auto"/>
              <w:ind w:firstLine="241" w:firstLineChars="100"/>
              <w:rPr>
                <w:rFonts w:asciiTheme="minorEastAsia" w:hAnsiTheme="minorEastAsia" w:eastAsiaTheme="minorEastAsia" w:cstheme="minorEastAsia"/>
                <w:b/>
                <w:bCs/>
                <w:color w:val="auto"/>
                <w:sz w:val="24"/>
              </w:rPr>
            </w:pPr>
            <w:r>
              <w:rPr>
                <w:rFonts w:hint="eastAsia" w:asciiTheme="minorEastAsia" w:hAnsiTheme="minorEastAsia" w:eastAsiaTheme="minorEastAsia" w:cstheme="minorEastAsia"/>
                <w:b/>
                <w:bCs/>
                <w:color w:val="auto"/>
                <w:sz w:val="24"/>
              </w:rPr>
              <w:t>序号</w:t>
            </w:r>
          </w:p>
        </w:tc>
        <w:tc>
          <w:tcPr>
            <w:tcW w:w="5528" w:type="dxa"/>
            <w:vAlign w:val="center"/>
          </w:tcPr>
          <w:p w14:paraId="25D7DCE3">
            <w:pPr>
              <w:shd w:val="clear"/>
              <w:spacing w:line="360" w:lineRule="auto"/>
              <w:ind w:firstLine="241"/>
              <w:jc w:val="center"/>
              <w:rPr>
                <w:rFonts w:asciiTheme="minorEastAsia" w:hAnsiTheme="minorEastAsia" w:eastAsiaTheme="minorEastAsia" w:cstheme="minorEastAsia"/>
                <w:b/>
                <w:bCs/>
                <w:color w:val="auto"/>
                <w:sz w:val="24"/>
              </w:rPr>
            </w:pPr>
            <w:r>
              <w:rPr>
                <w:rFonts w:hint="eastAsia" w:asciiTheme="minorEastAsia" w:hAnsiTheme="minorEastAsia" w:eastAsiaTheme="minorEastAsia" w:cstheme="minorEastAsia"/>
                <w:b/>
                <w:bCs/>
                <w:color w:val="auto"/>
                <w:sz w:val="24"/>
              </w:rPr>
              <w:t>技术要求</w:t>
            </w:r>
          </w:p>
        </w:tc>
        <w:tc>
          <w:tcPr>
            <w:tcW w:w="2693" w:type="dxa"/>
            <w:vAlign w:val="center"/>
          </w:tcPr>
          <w:p w14:paraId="4AE345C1">
            <w:pPr>
              <w:shd w:val="clear"/>
              <w:spacing w:line="360" w:lineRule="auto"/>
              <w:ind w:firstLine="241"/>
              <w:jc w:val="center"/>
              <w:rPr>
                <w:rFonts w:asciiTheme="minorEastAsia" w:hAnsiTheme="minorEastAsia" w:eastAsiaTheme="minorEastAsia" w:cstheme="minorEastAsia"/>
                <w:b/>
                <w:bCs/>
                <w:color w:val="auto"/>
                <w:sz w:val="24"/>
              </w:rPr>
            </w:pPr>
            <w:r>
              <w:rPr>
                <w:rFonts w:hint="eastAsia" w:asciiTheme="minorEastAsia" w:hAnsiTheme="minorEastAsia" w:eastAsiaTheme="minorEastAsia" w:cstheme="minorEastAsia"/>
                <w:b/>
                <w:bCs/>
                <w:color w:val="auto"/>
                <w:sz w:val="24"/>
              </w:rPr>
              <w:t>响应或偏离说明</w:t>
            </w:r>
          </w:p>
        </w:tc>
      </w:tr>
      <w:tr w14:paraId="17675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61BA365C">
            <w:pPr>
              <w:shd w:val="clear"/>
              <w:spacing w:line="360" w:lineRule="auto"/>
              <w:ind w:firstLine="240"/>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1</w:t>
            </w:r>
          </w:p>
        </w:tc>
        <w:tc>
          <w:tcPr>
            <w:tcW w:w="5528" w:type="dxa"/>
            <w:vAlign w:val="center"/>
          </w:tcPr>
          <w:p w14:paraId="1E01DCA5">
            <w:pPr>
              <w:shd w:val="clear"/>
              <w:spacing w:before="120" w:beforeLines="50" w:line="360" w:lineRule="auto"/>
              <w:rPr>
                <w:rFonts w:asciiTheme="minorEastAsia" w:hAnsiTheme="minorEastAsia" w:eastAsiaTheme="minorEastAsia" w:cstheme="minorEastAsia"/>
                <w:b/>
                <w:color w:val="auto"/>
                <w:kern w:val="0"/>
                <w:sz w:val="32"/>
                <w:szCs w:val="32"/>
              </w:rPr>
            </w:pPr>
            <w:r>
              <w:rPr>
                <w:rFonts w:hint="eastAsia" w:ascii="宋体" w:hAnsi="宋体" w:cs="宋体"/>
                <w:color w:val="auto"/>
                <w:szCs w:val="21"/>
              </w:rPr>
              <w:t>公共基础设施零星修复。采购人不保证施工量，同时最高施工结算金额不超过本单项的最高限价。</w:t>
            </w:r>
          </w:p>
        </w:tc>
        <w:tc>
          <w:tcPr>
            <w:tcW w:w="2693" w:type="dxa"/>
            <w:vAlign w:val="center"/>
          </w:tcPr>
          <w:p w14:paraId="6A23ECB6">
            <w:pPr>
              <w:shd w:val="clear"/>
              <w:spacing w:line="360" w:lineRule="auto"/>
              <w:ind w:firstLine="321"/>
              <w:jc w:val="center"/>
              <w:rPr>
                <w:rFonts w:asciiTheme="minorEastAsia" w:hAnsiTheme="minorEastAsia" w:eastAsiaTheme="minorEastAsia" w:cstheme="minorEastAsia"/>
                <w:b/>
                <w:color w:val="auto"/>
                <w:kern w:val="0"/>
                <w:sz w:val="32"/>
                <w:szCs w:val="32"/>
              </w:rPr>
            </w:pPr>
          </w:p>
        </w:tc>
      </w:tr>
    </w:tbl>
    <w:p w14:paraId="4ACAF1C0">
      <w:pPr>
        <w:shd w:val="clear"/>
        <w:autoSpaceDE w:val="0"/>
        <w:autoSpaceDN w:val="0"/>
        <w:spacing w:line="360" w:lineRule="auto"/>
        <w:ind w:firstLine="240"/>
        <w:jc w:val="left"/>
        <w:rPr>
          <w:rFonts w:asciiTheme="minorEastAsia" w:hAnsiTheme="minorEastAsia" w:eastAsiaTheme="minorEastAsia" w:cstheme="minorEastAsia"/>
          <w:color w:val="auto"/>
          <w:kern w:val="0"/>
          <w:sz w:val="24"/>
          <w:lang w:val="zh-CN"/>
        </w:rPr>
      </w:pPr>
    </w:p>
    <w:p w14:paraId="484CE76F">
      <w:pPr>
        <w:shd w:val="clear"/>
        <w:autoSpaceDE w:val="0"/>
        <w:autoSpaceDN w:val="0"/>
        <w:spacing w:line="360" w:lineRule="auto"/>
        <w:ind w:firstLine="240"/>
        <w:jc w:val="left"/>
        <w:rPr>
          <w:rFonts w:asciiTheme="minorEastAsia" w:hAnsiTheme="minorEastAsia" w:eastAsiaTheme="minorEastAsia" w:cstheme="minorEastAsia"/>
          <w:color w:val="auto"/>
          <w:kern w:val="0"/>
          <w:sz w:val="24"/>
          <w:lang w:val="zh-CN"/>
        </w:rPr>
      </w:pPr>
    </w:p>
    <w:p w14:paraId="33ED379E">
      <w:pPr>
        <w:shd w:val="clear"/>
        <w:autoSpaceDE w:val="0"/>
        <w:autoSpaceDN w:val="0"/>
        <w:spacing w:line="360" w:lineRule="auto"/>
        <w:ind w:firstLine="24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法定代表人或其授权委托人（签名或印章）：</w:t>
      </w:r>
    </w:p>
    <w:p w14:paraId="4CCBAA94">
      <w:pPr>
        <w:shd w:val="clear"/>
        <w:autoSpaceDE w:val="0"/>
        <w:autoSpaceDN w:val="0"/>
        <w:spacing w:line="360" w:lineRule="auto"/>
        <w:ind w:firstLine="24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供应商（盖章）：</w:t>
      </w:r>
    </w:p>
    <w:p w14:paraId="5BDBAF8E">
      <w:pPr>
        <w:shd w:val="clear"/>
        <w:autoSpaceDE w:val="0"/>
        <w:autoSpaceDN w:val="0"/>
        <w:spacing w:line="360" w:lineRule="auto"/>
        <w:ind w:firstLine="24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日期：</w:t>
      </w:r>
    </w:p>
    <w:p w14:paraId="0C3D62B8">
      <w:pPr>
        <w:numPr>
          <w:ilvl w:val="0"/>
          <w:numId w:val="5"/>
        </w:numPr>
        <w:shd w:val="clear"/>
        <w:snapToGrid w:val="0"/>
        <w:spacing w:line="360" w:lineRule="auto"/>
        <w:ind w:firstLine="321"/>
        <w:jc w:val="center"/>
        <w:outlineLvl w:val="0"/>
        <w:rPr>
          <w:rFonts w:asciiTheme="minorEastAsia" w:hAnsiTheme="minorEastAsia" w:eastAsiaTheme="minorEastAsia" w:cstheme="minorEastAsia"/>
          <w:b/>
          <w:color w:val="auto"/>
          <w:kern w:val="0"/>
          <w:sz w:val="32"/>
          <w:szCs w:val="32"/>
          <w:lang w:val="zh-CN"/>
        </w:rPr>
      </w:pPr>
      <w:r>
        <w:rPr>
          <w:rFonts w:hint="eastAsia" w:asciiTheme="minorEastAsia" w:hAnsiTheme="minorEastAsia" w:eastAsiaTheme="minorEastAsia" w:cstheme="minorEastAsia"/>
          <w:b/>
          <w:color w:val="auto"/>
          <w:kern w:val="0"/>
          <w:sz w:val="32"/>
          <w:szCs w:val="32"/>
        </w:rPr>
        <w:br w:type="page"/>
      </w:r>
      <w:r>
        <w:rPr>
          <w:rFonts w:hint="eastAsia" w:asciiTheme="minorEastAsia" w:hAnsiTheme="minorEastAsia" w:eastAsiaTheme="minorEastAsia" w:cstheme="minorEastAsia"/>
          <w:b/>
          <w:color w:val="auto"/>
          <w:kern w:val="0"/>
          <w:sz w:val="32"/>
          <w:szCs w:val="32"/>
        </w:rPr>
        <w:t>同类业绩情况一览表</w:t>
      </w:r>
    </w:p>
    <w:p w14:paraId="172B962F">
      <w:pPr>
        <w:shd w:val="clear"/>
        <w:spacing w:line="360" w:lineRule="auto"/>
        <w:ind w:firstLine="210"/>
        <w:jc w:val="center"/>
        <w:rPr>
          <w:rFonts w:asciiTheme="minorEastAsia" w:hAnsiTheme="minorEastAsia" w:eastAsiaTheme="minorEastAsia" w:cstheme="minorEastAsia"/>
          <w:color w:val="auto"/>
        </w:rPr>
      </w:pPr>
    </w:p>
    <w:tbl>
      <w:tblPr>
        <w:tblStyle w:val="27"/>
        <w:tblW w:w="9972" w:type="dxa"/>
        <w:tblInd w:w="-17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7"/>
        <w:gridCol w:w="1971"/>
        <w:gridCol w:w="1559"/>
        <w:gridCol w:w="1693"/>
        <w:gridCol w:w="1950"/>
        <w:gridCol w:w="1792"/>
      </w:tblGrid>
      <w:tr w14:paraId="3A1E77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1007" w:type="dxa"/>
            <w:tcBorders>
              <w:top w:val="single" w:color="auto" w:sz="4" w:space="0"/>
              <w:left w:val="single" w:color="auto" w:sz="4" w:space="0"/>
              <w:bottom w:val="single" w:color="auto" w:sz="4" w:space="0"/>
              <w:right w:val="single" w:color="auto" w:sz="4" w:space="0"/>
            </w:tcBorders>
            <w:vAlign w:val="center"/>
          </w:tcPr>
          <w:p w14:paraId="1A9D20BA">
            <w:pPr>
              <w:shd w:val="clear"/>
              <w:spacing w:line="360" w:lineRule="auto"/>
              <w:ind w:firstLine="240"/>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序号</w:t>
            </w:r>
          </w:p>
        </w:tc>
        <w:tc>
          <w:tcPr>
            <w:tcW w:w="1971" w:type="dxa"/>
            <w:tcBorders>
              <w:top w:val="single" w:color="auto" w:sz="4" w:space="0"/>
              <w:left w:val="single" w:color="auto" w:sz="4" w:space="0"/>
              <w:bottom w:val="single" w:color="auto" w:sz="4" w:space="0"/>
              <w:right w:val="single" w:color="auto" w:sz="4" w:space="0"/>
            </w:tcBorders>
            <w:vAlign w:val="center"/>
          </w:tcPr>
          <w:p w14:paraId="498253BE">
            <w:pPr>
              <w:shd w:val="clear"/>
              <w:spacing w:line="360" w:lineRule="auto"/>
              <w:ind w:firstLine="240"/>
              <w:jc w:val="left"/>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采购单位名称</w:t>
            </w:r>
          </w:p>
        </w:tc>
        <w:tc>
          <w:tcPr>
            <w:tcW w:w="1559" w:type="dxa"/>
            <w:tcBorders>
              <w:top w:val="single" w:color="auto" w:sz="4" w:space="0"/>
              <w:left w:val="single" w:color="auto" w:sz="4" w:space="0"/>
              <w:right w:val="single" w:color="auto" w:sz="4" w:space="0"/>
            </w:tcBorders>
            <w:vAlign w:val="center"/>
          </w:tcPr>
          <w:p w14:paraId="01A629BD">
            <w:pPr>
              <w:shd w:val="clear"/>
              <w:spacing w:line="360" w:lineRule="auto"/>
              <w:ind w:firstLine="240"/>
              <w:jc w:val="left"/>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项目名称</w:t>
            </w:r>
          </w:p>
        </w:tc>
        <w:tc>
          <w:tcPr>
            <w:tcW w:w="1693" w:type="dxa"/>
            <w:tcBorders>
              <w:top w:val="single" w:color="auto" w:sz="4" w:space="0"/>
              <w:left w:val="single" w:color="auto" w:sz="4" w:space="0"/>
              <w:bottom w:val="single" w:color="auto" w:sz="4" w:space="0"/>
              <w:right w:val="single" w:color="auto" w:sz="4" w:space="0"/>
            </w:tcBorders>
            <w:vAlign w:val="center"/>
          </w:tcPr>
          <w:p w14:paraId="50895B9A">
            <w:pPr>
              <w:shd w:val="clear"/>
              <w:spacing w:line="360" w:lineRule="auto"/>
              <w:ind w:firstLine="240"/>
              <w:jc w:val="left"/>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合同金额</w:t>
            </w:r>
          </w:p>
          <w:p w14:paraId="5F0BF6A5">
            <w:pPr>
              <w:shd w:val="clear"/>
              <w:spacing w:line="360" w:lineRule="auto"/>
              <w:ind w:firstLine="240"/>
              <w:jc w:val="left"/>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（万元）</w:t>
            </w:r>
          </w:p>
        </w:tc>
        <w:tc>
          <w:tcPr>
            <w:tcW w:w="1950" w:type="dxa"/>
            <w:tcBorders>
              <w:top w:val="single" w:color="auto" w:sz="4" w:space="0"/>
              <w:left w:val="single" w:color="auto" w:sz="4" w:space="0"/>
              <w:bottom w:val="single" w:color="auto" w:sz="4" w:space="0"/>
              <w:right w:val="single" w:color="auto" w:sz="4" w:space="0"/>
            </w:tcBorders>
            <w:vAlign w:val="center"/>
          </w:tcPr>
          <w:p w14:paraId="39C9F93E">
            <w:pPr>
              <w:shd w:val="clear"/>
              <w:spacing w:line="360" w:lineRule="auto"/>
              <w:jc w:val="left"/>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采购单位联系人及联系电话</w:t>
            </w:r>
          </w:p>
        </w:tc>
        <w:tc>
          <w:tcPr>
            <w:tcW w:w="1792" w:type="dxa"/>
            <w:tcBorders>
              <w:top w:val="single" w:color="auto" w:sz="4" w:space="0"/>
              <w:left w:val="single" w:color="auto" w:sz="4" w:space="0"/>
              <w:bottom w:val="single" w:color="auto" w:sz="4" w:space="0"/>
              <w:right w:val="single" w:color="auto" w:sz="4" w:space="0"/>
            </w:tcBorders>
            <w:vAlign w:val="center"/>
          </w:tcPr>
          <w:p w14:paraId="56C1CA8A">
            <w:pPr>
              <w:shd w:val="clear"/>
              <w:spacing w:line="360" w:lineRule="auto"/>
              <w:jc w:val="left"/>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合同签订时间</w:t>
            </w:r>
          </w:p>
        </w:tc>
      </w:tr>
      <w:tr w14:paraId="280E49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1007" w:type="dxa"/>
            <w:tcBorders>
              <w:top w:val="single" w:color="auto" w:sz="4" w:space="0"/>
              <w:left w:val="single" w:color="auto" w:sz="4" w:space="0"/>
              <w:bottom w:val="single" w:color="auto" w:sz="4" w:space="0"/>
              <w:right w:val="single" w:color="auto" w:sz="4" w:space="0"/>
            </w:tcBorders>
            <w:vAlign w:val="center"/>
          </w:tcPr>
          <w:p w14:paraId="214F96CD">
            <w:pPr>
              <w:shd w:val="clear"/>
              <w:spacing w:line="360" w:lineRule="auto"/>
              <w:ind w:firstLine="240"/>
              <w:jc w:val="center"/>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1</w:t>
            </w:r>
          </w:p>
        </w:tc>
        <w:tc>
          <w:tcPr>
            <w:tcW w:w="1971" w:type="dxa"/>
            <w:tcBorders>
              <w:top w:val="single" w:color="auto" w:sz="4" w:space="0"/>
              <w:left w:val="single" w:color="auto" w:sz="4" w:space="0"/>
              <w:bottom w:val="single" w:color="auto" w:sz="4" w:space="0"/>
              <w:right w:val="single" w:color="auto" w:sz="4" w:space="0"/>
            </w:tcBorders>
            <w:vAlign w:val="center"/>
          </w:tcPr>
          <w:p w14:paraId="47770294">
            <w:pPr>
              <w:shd w:val="clear"/>
              <w:spacing w:line="360" w:lineRule="auto"/>
              <w:ind w:firstLine="240"/>
              <w:jc w:val="left"/>
              <w:rPr>
                <w:rFonts w:asciiTheme="minorEastAsia" w:hAnsiTheme="minorEastAsia" w:eastAsiaTheme="minorEastAsia" w:cstheme="minorEastAsia"/>
                <w:color w:val="auto"/>
                <w:kern w:val="0"/>
                <w:sz w:val="24"/>
              </w:rPr>
            </w:pPr>
          </w:p>
        </w:tc>
        <w:tc>
          <w:tcPr>
            <w:tcW w:w="1559" w:type="dxa"/>
            <w:tcBorders>
              <w:top w:val="single" w:color="auto" w:sz="4" w:space="0"/>
              <w:left w:val="single" w:color="auto" w:sz="4" w:space="0"/>
              <w:bottom w:val="single" w:color="auto" w:sz="4" w:space="0"/>
              <w:right w:val="single" w:color="auto" w:sz="4" w:space="0"/>
            </w:tcBorders>
            <w:vAlign w:val="center"/>
          </w:tcPr>
          <w:p w14:paraId="1BF4A594">
            <w:pPr>
              <w:shd w:val="clear"/>
              <w:spacing w:line="360" w:lineRule="auto"/>
              <w:ind w:firstLine="240"/>
              <w:jc w:val="left"/>
              <w:rPr>
                <w:rFonts w:asciiTheme="minorEastAsia" w:hAnsiTheme="minorEastAsia" w:eastAsiaTheme="minorEastAsia" w:cstheme="minorEastAsia"/>
                <w:color w:val="auto"/>
                <w:kern w:val="0"/>
                <w:sz w:val="24"/>
              </w:rPr>
            </w:pPr>
          </w:p>
        </w:tc>
        <w:tc>
          <w:tcPr>
            <w:tcW w:w="1693" w:type="dxa"/>
            <w:tcBorders>
              <w:top w:val="single" w:color="auto" w:sz="4" w:space="0"/>
              <w:left w:val="single" w:color="auto" w:sz="4" w:space="0"/>
              <w:bottom w:val="single" w:color="auto" w:sz="4" w:space="0"/>
              <w:right w:val="single" w:color="auto" w:sz="4" w:space="0"/>
            </w:tcBorders>
            <w:vAlign w:val="center"/>
          </w:tcPr>
          <w:p w14:paraId="33CAC7E6">
            <w:pPr>
              <w:shd w:val="clear"/>
              <w:spacing w:line="360" w:lineRule="auto"/>
              <w:ind w:firstLine="240"/>
              <w:jc w:val="left"/>
              <w:rPr>
                <w:rFonts w:asciiTheme="minorEastAsia" w:hAnsiTheme="minorEastAsia" w:eastAsiaTheme="minorEastAsia" w:cstheme="minorEastAsia"/>
                <w:color w:val="auto"/>
                <w:kern w:val="0"/>
                <w:sz w:val="24"/>
              </w:rPr>
            </w:pPr>
          </w:p>
        </w:tc>
        <w:tc>
          <w:tcPr>
            <w:tcW w:w="1950" w:type="dxa"/>
            <w:tcBorders>
              <w:top w:val="single" w:color="auto" w:sz="4" w:space="0"/>
              <w:left w:val="single" w:color="auto" w:sz="4" w:space="0"/>
              <w:bottom w:val="single" w:color="auto" w:sz="4" w:space="0"/>
              <w:right w:val="single" w:color="auto" w:sz="4" w:space="0"/>
            </w:tcBorders>
            <w:vAlign w:val="center"/>
          </w:tcPr>
          <w:p w14:paraId="786CE921">
            <w:pPr>
              <w:shd w:val="clear"/>
              <w:spacing w:line="360" w:lineRule="auto"/>
              <w:ind w:firstLine="240"/>
              <w:jc w:val="left"/>
              <w:rPr>
                <w:rFonts w:asciiTheme="minorEastAsia" w:hAnsiTheme="minorEastAsia" w:eastAsiaTheme="minorEastAsia" w:cstheme="minorEastAsia"/>
                <w:color w:val="auto"/>
                <w:kern w:val="0"/>
                <w:sz w:val="24"/>
              </w:rPr>
            </w:pPr>
          </w:p>
        </w:tc>
        <w:tc>
          <w:tcPr>
            <w:tcW w:w="1792" w:type="dxa"/>
            <w:tcBorders>
              <w:top w:val="single" w:color="auto" w:sz="4" w:space="0"/>
              <w:left w:val="single" w:color="auto" w:sz="4" w:space="0"/>
              <w:bottom w:val="single" w:color="auto" w:sz="4" w:space="0"/>
              <w:right w:val="single" w:color="auto" w:sz="4" w:space="0"/>
            </w:tcBorders>
            <w:vAlign w:val="center"/>
          </w:tcPr>
          <w:p w14:paraId="1D80CDC6">
            <w:pPr>
              <w:shd w:val="clear"/>
              <w:spacing w:line="360" w:lineRule="auto"/>
              <w:ind w:firstLine="240"/>
              <w:jc w:val="left"/>
              <w:rPr>
                <w:rFonts w:asciiTheme="minorEastAsia" w:hAnsiTheme="minorEastAsia" w:eastAsiaTheme="minorEastAsia" w:cstheme="minorEastAsia"/>
                <w:color w:val="auto"/>
                <w:kern w:val="0"/>
                <w:sz w:val="24"/>
              </w:rPr>
            </w:pPr>
          </w:p>
        </w:tc>
      </w:tr>
      <w:tr w14:paraId="67B881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1007" w:type="dxa"/>
            <w:tcBorders>
              <w:top w:val="single" w:color="auto" w:sz="4" w:space="0"/>
              <w:left w:val="single" w:color="auto" w:sz="4" w:space="0"/>
              <w:bottom w:val="single" w:color="auto" w:sz="4" w:space="0"/>
              <w:right w:val="single" w:color="auto" w:sz="4" w:space="0"/>
            </w:tcBorders>
            <w:vAlign w:val="center"/>
          </w:tcPr>
          <w:p w14:paraId="5EBDEAB8">
            <w:pPr>
              <w:shd w:val="clear"/>
              <w:spacing w:line="360" w:lineRule="auto"/>
              <w:ind w:firstLine="240"/>
              <w:jc w:val="center"/>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2</w:t>
            </w:r>
          </w:p>
        </w:tc>
        <w:tc>
          <w:tcPr>
            <w:tcW w:w="1971" w:type="dxa"/>
            <w:tcBorders>
              <w:top w:val="single" w:color="auto" w:sz="4" w:space="0"/>
              <w:left w:val="single" w:color="auto" w:sz="4" w:space="0"/>
              <w:bottom w:val="single" w:color="auto" w:sz="4" w:space="0"/>
              <w:right w:val="single" w:color="auto" w:sz="4" w:space="0"/>
            </w:tcBorders>
            <w:vAlign w:val="center"/>
          </w:tcPr>
          <w:p w14:paraId="6F8764F5">
            <w:pPr>
              <w:shd w:val="clear"/>
              <w:spacing w:line="360" w:lineRule="auto"/>
              <w:ind w:firstLine="240"/>
              <w:jc w:val="left"/>
              <w:rPr>
                <w:rFonts w:asciiTheme="minorEastAsia" w:hAnsiTheme="minorEastAsia" w:eastAsiaTheme="minorEastAsia" w:cstheme="minorEastAsia"/>
                <w:color w:val="auto"/>
                <w:kern w:val="0"/>
                <w:sz w:val="24"/>
              </w:rPr>
            </w:pPr>
          </w:p>
        </w:tc>
        <w:tc>
          <w:tcPr>
            <w:tcW w:w="1559" w:type="dxa"/>
            <w:tcBorders>
              <w:top w:val="single" w:color="auto" w:sz="4" w:space="0"/>
              <w:left w:val="single" w:color="auto" w:sz="4" w:space="0"/>
              <w:bottom w:val="single" w:color="auto" w:sz="4" w:space="0"/>
              <w:right w:val="single" w:color="auto" w:sz="4" w:space="0"/>
            </w:tcBorders>
            <w:vAlign w:val="center"/>
          </w:tcPr>
          <w:p w14:paraId="67762380">
            <w:pPr>
              <w:shd w:val="clear"/>
              <w:spacing w:line="360" w:lineRule="auto"/>
              <w:ind w:firstLine="240"/>
              <w:jc w:val="left"/>
              <w:rPr>
                <w:rFonts w:asciiTheme="minorEastAsia" w:hAnsiTheme="minorEastAsia" w:eastAsiaTheme="minorEastAsia" w:cstheme="minorEastAsia"/>
                <w:color w:val="auto"/>
                <w:kern w:val="0"/>
                <w:sz w:val="24"/>
              </w:rPr>
            </w:pPr>
          </w:p>
        </w:tc>
        <w:tc>
          <w:tcPr>
            <w:tcW w:w="1693" w:type="dxa"/>
            <w:tcBorders>
              <w:top w:val="single" w:color="auto" w:sz="4" w:space="0"/>
              <w:left w:val="single" w:color="auto" w:sz="4" w:space="0"/>
              <w:bottom w:val="single" w:color="auto" w:sz="4" w:space="0"/>
              <w:right w:val="single" w:color="auto" w:sz="4" w:space="0"/>
            </w:tcBorders>
            <w:vAlign w:val="center"/>
          </w:tcPr>
          <w:p w14:paraId="6E88F4A0">
            <w:pPr>
              <w:shd w:val="clear"/>
              <w:spacing w:line="360" w:lineRule="auto"/>
              <w:ind w:firstLine="240"/>
              <w:jc w:val="left"/>
              <w:rPr>
                <w:rFonts w:asciiTheme="minorEastAsia" w:hAnsiTheme="minorEastAsia" w:eastAsiaTheme="minorEastAsia" w:cstheme="minorEastAsia"/>
                <w:color w:val="auto"/>
                <w:kern w:val="0"/>
                <w:sz w:val="24"/>
              </w:rPr>
            </w:pPr>
          </w:p>
        </w:tc>
        <w:tc>
          <w:tcPr>
            <w:tcW w:w="1950" w:type="dxa"/>
            <w:tcBorders>
              <w:top w:val="single" w:color="auto" w:sz="4" w:space="0"/>
              <w:left w:val="single" w:color="auto" w:sz="4" w:space="0"/>
              <w:bottom w:val="single" w:color="auto" w:sz="4" w:space="0"/>
              <w:right w:val="single" w:color="auto" w:sz="4" w:space="0"/>
            </w:tcBorders>
            <w:vAlign w:val="center"/>
          </w:tcPr>
          <w:p w14:paraId="7A586A6A">
            <w:pPr>
              <w:shd w:val="clear"/>
              <w:spacing w:line="360" w:lineRule="auto"/>
              <w:ind w:firstLine="240"/>
              <w:jc w:val="left"/>
              <w:rPr>
                <w:rFonts w:asciiTheme="minorEastAsia" w:hAnsiTheme="minorEastAsia" w:eastAsiaTheme="minorEastAsia" w:cstheme="minorEastAsia"/>
                <w:color w:val="auto"/>
                <w:kern w:val="0"/>
                <w:sz w:val="24"/>
              </w:rPr>
            </w:pPr>
          </w:p>
        </w:tc>
        <w:tc>
          <w:tcPr>
            <w:tcW w:w="1792" w:type="dxa"/>
            <w:tcBorders>
              <w:top w:val="single" w:color="auto" w:sz="4" w:space="0"/>
              <w:left w:val="single" w:color="auto" w:sz="4" w:space="0"/>
              <w:bottom w:val="single" w:color="auto" w:sz="4" w:space="0"/>
              <w:right w:val="single" w:color="auto" w:sz="4" w:space="0"/>
            </w:tcBorders>
            <w:vAlign w:val="center"/>
          </w:tcPr>
          <w:p w14:paraId="60C7BF87">
            <w:pPr>
              <w:shd w:val="clear"/>
              <w:spacing w:line="360" w:lineRule="auto"/>
              <w:ind w:firstLine="240"/>
              <w:jc w:val="left"/>
              <w:rPr>
                <w:rFonts w:asciiTheme="minorEastAsia" w:hAnsiTheme="minorEastAsia" w:eastAsiaTheme="minorEastAsia" w:cstheme="minorEastAsia"/>
                <w:color w:val="auto"/>
                <w:kern w:val="0"/>
                <w:sz w:val="24"/>
              </w:rPr>
            </w:pPr>
          </w:p>
        </w:tc>
      </w:tr>
      <w:tr w14:paraId="75C727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1007" w:type="dxa"/>
            <w:tcBorders>
              <w:top w:val="single" w:color="auto" w:sz="4" w:space="0"/>
              <w:left w:val="single" w:color="auto" w:sz="4" w:space="0"/>
              <w:bottom w:val="single" w:color="auto" w:sz="4" w:space="0"/>
              <w:right w:val="single" w:color="auto" w:sz="4" w:space="0"/>
            </w:tcBorders>
            <w:vAlign w:val="center"/>
          </w:tcPr>
          <w:p w14:paraId="69363044">
            <w:pPr>
              <w:shd w:val="clear"/>
              <w:spacing w:line="360" w:lineRule="auto"/>
              <w:ind w:firstLine="240"/>
              <w:jc w:val="center"/>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3</w:t>
            </w:r>
          </w:p>
        </w:tc>
        <w:tc>
          <w:tcPr>
            <w:tcW w:w="1971" w:type="dxa"/>
            <w:tcBorders>
              <w:top w:val="single" w:color="auto" w:sz="4" w:space="0"/>
              <w:left w:val="single" w:color="auto" w:sz="4" w:space="0"/>
              <w:bottom w:val="single" w:color="auto" w:sz="4" w:space="0"/>
              <w:right w:val="single" w:color="auto" w:sz="4" w:space="0"/>
            </w:tcBorders>
            <w:vAlign w:val="center"/>
          </w:tcPr>
          <w:p w14:paraId="768FA78E">
            <w:pPr>
              <w:shd w:val="clear"/>
              <w:spacing w:line="360" w:lineRule="auto"/>
              <w:ind w:firstLine="240"/>
              <w:jc w:val="left"/>
              <w:rPr>
                <w:rFonts w:asciiTheme="minorEastAsia" w:hAnsiTheme="minorEastAsia" w:eastAsiaTheme="minorEastAsia" w:cstheme="minorEastAsia"/>
                <w:color w:val="auto"/>
                <w:kern w:val="0"/>
                <w:sz w:val="24"/>
              </w:rPr>
            </w:pPr>
          </w:p>
        </w:tc>
        <w:tc>
          <w:tcPr>
            <w:tcW w:w="1559" w:type="dxa"/>
            <w:tcBorders>
              <w:top w:val="single" w:color="auto" w:sz="4" w:space="0"/>
              <w:left w:val="single" w:color="auto" w:sz="4" w:space="0"/>
              <w:bottom w:val="single" w:color="auto" w:sz="4" w:space="0"/>
              <w:right w:val="single" w:color="auto" w:sz="4" w:space="0"/>
            </w:tcBorders>
            <w:vAlign w:val="center"/>
          </w:tcPr>
          <w:p w14:paraId="4C100B75">
            <w:pPr>
              <w:shd w:val="clear"/>
              <w:spacing w:line="360" w:lineRule="auto"/>
              <w:ind w:firstLine="240"/>
              <w:jc w:val="left"/>
              <w:rPr>
                <w:rFonts w:asciiTheme="minorEastAsia" w:hAnsiTheme="minorEastAsia" w:eastAsiaTheme="minorEastAsia" w:cstheme="minorEastAsia"/>
                <w:color w:val="auto"/>
                <w:kern w:val="0"/>
                <w:sz w:val="24"/>
              </w:rPr>
            </w:pPr>
          </w:p>
        </w:tc>
        <w:tc>
          <w:tcPr>
            <w:tcW w:w="1693" w:type="dxa"/>
            <w:tcBorders>
              <w:top w:val="single" w:color="auto" w:sz="4" w:space="0"/>
              <w:left w:val="single" w:color="auto" w:sz="4" w:space="0"/>
              <w:bottom w:val="single" w:color="auto" w:sz="4" w:space="0"/>
              <w:right w:val="single" w:color="auto" w:sz="4" w:space="0"/>
            </w:tcBorders>
            <w:vAlign w:val="center"/>
          </w:tcPr>
          <w:p w14:paraId="6D8EE6BA">
            <w:pPr>
              <w:shd w:val="clear"/>
              <w:spacing w:line="360" w:lineRule="auto"/>
              <w:ind w:firstLine="240"/>
              <w:jc w:val="left"/>
              <w:rPr>
                <w:rFonts w:asciiTheme="minorEastAsia" w:hAnsiTheme="minorEastAsia" w:eastAsiaTheme="minorEastAsia" w:cstheme="minorEastAsia"/>
                <w:color w:val="auto"/>
                <w:kern w:val="0"/>
                <w:sz w:val="24"/>
              </w:rPr>
            </w:pPr>
          </w:p>
        </w:tc>
        <w:tc>
          <w:tcPr>
            <w:tcW w:w="1950" w:type="dxa"/>
            <w:tcBorders>
              <w:top w:val="single" w:color="auto" w:sz="4" w:space="0"/>
              <w:left w:val="single" w:color="auto" w:sz="4" w:space="0"/>
              <w:bottom w:val="single" w:color="auto" w:sz="4" w:space="0"/>
              <w:right w:val="single" w:color="auto" w:sz="4" w:space="0"/>
            </w:tcBorders>
            <w:vAlign w:val="center"/>
          </w:tcPr>
          <w:p w14:paraId="05B39B08">
            <w:pPr>
              <w:shd w:val="clear"/>
              <w:spacing w:line="360" w:lineRule="auto"/>
              <w:ind w:firstLine="240"/>
              <w:jc w:val="left"/>
              <w:rPr>
                <w:rFonts w:asciiTheme="minorEastAsia" w:hAnsiTheme="minorEastAsia" w:eastAsiaTheme="minorEastAsia" w:cstheme="minorEastAsia"/>
                <w:color w:val="auto"/>
                <w:kern w:val="0"/>
                <w:sz w:val="24"/>
              </w:rPr>
            </w:pPr>
          </w:p>
        </w:tc>
        <w:tc>
          <w:tcPr>
            <w:tcW w:w="1792" w:type="dxa"/>
            <w:tcBorders>
              <w:top w:val="single" w:color="auto" w:sz="4" w:space="0"/>
              <w:left w:val="single" w:color="auto" w:sz="4" w:space="0"/>
              <w:bottom w:val="single" w:color="auto" w:sz="4" w:space="0"/>
              <w:right w:val="single" w:color="auto" w:sz="4" w:space="0"/>
            </w:tcBorders>
            <w:vAlign w:val="center"/>
          </w:tcPr>
          <w:p w14:paraId="60B55005">
            <w:pPr>
              <w:shd w:val="clear"/>
              <w:spacing w:line="360" w:lineRule="auto"/>
              <w:ind w:firstLine="240"/>
              <w:jc w:val="left"/>
              <w:rPr>
                <w:rFonts w:asciiTheme="minorEastAsia" w:hAnsiTheme="minorEastAsia" w:eastAsiaTheme="minorEastAsia" w:cstheme="minorEastAsia"/>
                <w:color w:val="auto"/>
                <w:kern w:val="0"/>
                <w:sz w:val="24"/>
              </w:rPr>
            </w:pPr>
          </w:p>
        </w:tc>
      </w:tr>
      <w:tr w14:paraId="3ACBEE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1007" w:type="dxa"/>
            <w:tcBorders>
              <w:top w:val="single" w:color="auto" w:sz="4" w:space="0"/>
              <w:left w:val="single" w:color="auto" w:sz="4" w:space="0"/>
              <w:bottom w:val="single" w:color="auto" w:sz="4" w:space="0"/>
              <w:right w:val="single" w:color="auto" w:sz="4" w:space="0"/>
            </w:tcBorders>
            <w:vAlign w:val="center"/>
          </w:tcPr>
          <w:p w14:paraId="3D4B083F">
            <w:pPr>
              <w:shd w:val="clear"/>
              <w:spacing w:line="360" w:lineRule="auto"/>
              <w:ind w:firstLine="240"/>
              <w:jc w:val="center"/>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4</w:t>
            </w:r>
          </w:p>
        </w:tc>
        <w:tc>
          <w:tcPr>
            <w:tcW w:w="1971" w:type="dxa"/>
            <w:tcBorders>
              <w:top w:val="single" w:color="auto" w:sz="4" w:space="0"/>
              <w:left w:val="single" w:color="auto" w:sz="4" w:space="0"/>
              <w:bottom w:val="single" w:color="auto" w:sz="4" w:space="0"/>
              <w:right w:val="single" w:color="auto" w:sz="4" w:space="0"/>
            </w:tcBorders>
            <w:vAlign w:val="center"/>
          </w:tcPr>
          <w:p w14:paraId="7797A4E1">
            <w:pPr>
              <w:shd w:val="clear"/>
              <w:spacing w:line="360" w:lineRule="auto"/>
              <w:ind w:firstLine="240"/>
              <w:jc w:val="left"/>
              <w:rPr>
                <w:rFonts w:asciiTheme="minorEastAsia" w:hAnsiTheme="minorEastAsia" w:eastAsiaTheme="minorEastAsia" w:cstheme="minorEastAsia"/>
                <w:color w:val="auto"/>
                <w:kern w:val="0"/>
                <w:sz w:val="24"/>
              </w:rPr>
            </w:pPr>
          </w:p>
        </w:tc>
        <w:tc>
          <w:tcPr>
            <w:tcW w:w="1559" w:type="dxa"/>
            <w:tcBorders>
              <w:top w:val="single" w:color="auto" w:sz="4" w:space="0"/>
              <w:left w:val="single" w:color="auto" w:sz="4" w:space="0"/>
              <w:bottom w:val="single" w:color="auto" w:sz="4" w:space="0"/>
              <w:right w:val="single" w:color="auto" w:sz="4" w:space="0"/>
            </w:tcBorders>
            <w:vAlign w:val="center"/>
          </w:tcPr>
          <w:p w14:paraId="7E3C9289">
            <w:pPr>
              <w:shd w:val="clear"/>
              <w:spacing w:line="360" w:lineRule="auto"/>
              <w:ind w:firstLine="240"/>
              <w:jc w:val="left"/>
              <w:rPr>
                <w:rFonts w:asciiTheme="minorEastAsia" w:hAnsiTheme="minorEastAsia" w:eastAsiaTheme="minorEastAsia" w:cstheme="minorEastAsia"/>
                <w:color w:val="auto"/>
                <w:kern w:val="0"/>
                <w:sz w:val="24"/>
              </w:rPr>
            </w:pPr>
          </w:p>
        </w:tc>
        <w:tc>
          <w:tcPr>
            <w:tcW w:w="1693" w:type="dxa"/>
            <w:tcBorders>
              <w:top w:val="single" w:color="auto" w:sz="4" w:space="0"/>
              <w:left w:val="single" w:color="auto" w:sz="4" w:space="0"/>
              <w:bottom w:val="single" w:color="auto" w:sz="4" w:space="0"/>
              <w:right w:val="single" w:color="auto" w:sz="4" w:space="0"/>
            </w:tcBorders>
            <w:vAlign w:val="center"/>
          </w:tcPr>
          <w:p w14:paraId="1C46CF93">
            <w:pPr>
              <w:shd w:val="clear"/>
              <w:spacing w:line="360" w:lineRule="auto"/>
              <w:ind w:firstLine="240"/>
              <w:jc w:val="left"/>
              <w:rPr>
                <w:rFonts w:asciiTheme="minorEastAsia" w:hAnsiTheme="minorEastAsia" w:eastAsiaTheme="minorEastAsia" w:cstheme="minorEastAsia"/>
                <w:color w:val="auto"/>
                <w:kern w:val="0"/>
                <w:sz w:val="24"/>
              </w:rPr>
            </w:pPr>
          </w:p>
        </w:tc>
        <w:tc>
          <w:tcPr>
            <w:tcW w:w="1950" w:type="dxa"/>
            <w:tcBorders>
              <w:top w:val="single" w:color="auto" w:sz="4" w:space="0"/>
              <w:left w:val="single" w:color="auto" w:sz="4" w:space="0"/>
              <w:bottom w:val="single" w:color="auto" w:sz="4" w:space="0"/>
              <w:right w:val="single" w:color="auto" w:sz="4" w:space="0"/>
            </w:tcBorders>
            <w:vAlign w:val="center"/>
          </w:tcPr>
          <w:p w14:paraId="5F4E54F7">
            <w:pPr>
              <w:shd w:val="clear"/>
              <w:spacing w:line="360" w:lineRule="auto"/>
              <w:ind w:firstLine="240"/>
              <w:jc w:val="left"/>
              <w:rPr>
                <w:rFonts w:asciiTheme="minorEastAsia" w:hAnsiTheme="minorEastAsia" w:eastAsiaTheme="minorEastAsia" w:cstheme="minorEastAsia"/>
                <w:color w:val="auto"/>
                <w:kern w:val="0"/>
                <w:sz w:val="24"/>
              </w:rPr>
            </w:pPr>
          </w:p>
        </w:tc>
        <w:tc>
          <w:tcPr>
            <w:tcW w:w="1792" w:type="dxa"/>
            <w:tcBorders>
              <w:top w:val="single" w:color="auto" w:sz="4" w:space="0"/>
              <w:left w:val="single" w:color="auto" w:sz="4" w:space="0"/>
              <w:bottom w:val="single" w:color="auto" w:sz="4" w:space="0"/>
              <w:right w:val="single" w:color="auto" w:sz="4" w:space="0"/>
            </w:tcBorders>
            <w:vAlign w:val="center"/>
          </w:tcPr>
          <w:p w14:paraId="6B68ABCE">
            <w:pPr>
              <w:shd w:val="clear"/>
              <w:spacing w:line="360" w:lineRule="auto"/>
              <w:ind w:firstLine="240"/>
              <w:jc w:val="left"/>
              <w:rPr>
                <w:rFonts w:asciiTheme="minorEastAsia" w:hAnsiTheme="minorEastAsia" w:eastAsiaTheme="minorEastAsia" w:cstheme="minorEastAsia"/>
                <w:color w:val="auto"/>
                <w:kern w:val="0"/>
                <w:sz w:val="24"/>
              </w:rPr>
            </w:pPr>
          </w:p>
        </w:tc>
      </w:tr>
      <w:tr w14:paraId="1DDBBE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1" w:hRule="atLeast"/>
        </w:trPr>
        <w:tc>
          <w:tcPr>
            <w:tcW w:w="1007" w:type="dxa"/>
            <w:tcBorders>
              <w:top w:val="single" w:color="auto" w:sz="4" w:space="0"/>
              <w:left w:val="single" w:color="auto" w:sz="4" w:space="0"/>
              <w:bottom w:val="single" w:color="auto" w:sz="4" w:space="0"/>
              <w:right w:val="single" w:color="auto" w:sz="4" w:space="0"/>
            </w:tcBorders>
            <w:vAlign w:val="center"/>
          </w:tcPr>
          <w:p w14:paraId="23A04AB4">
            <w:pPr>
              <w:shd w:val="clear"/>
              <w:spacing w:line="360" w:lineRule="auto"/>
              <w:ind w:firstLine="240"/>
              <w:jc w:val="center"/>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5</w:t>
            </w:r>
          </w:p>
        </w:tc>
        <w:tc>
          <w:tcPr>
            <w:tcW w:w="1971" w:type="dxa"/>
            <w:tcBorders>
              <w:top w:val="single" w:color="auto" w:sz="4" w:space="0"/>
              <w:left w:val="single" w:color="auto" w:sz="4" w:space="0"/>
              <w:bottom w:val="single" w:color="auto" w:sz="4" w:space="0"/>
              <w:right w:val="single" w:color="auto" w:sz="4" w:space="0"/>
            </w:tcBorders>
            <w:vAlign w:val="center"/>
          </w:tcPr>
          <w:p w14:paraId="08F46B76">
            <w:pPr>
              <w:shd w:val="clear"/>
              <w:spacing w:line="360" w:lineRule="auto"/>
              <w:ind w:firstLine="240"/>
              <w:jc w:val="left"/>
              <w:rPr>
                <w:rFonts w:asciiTheme="minorEastAsia" w:hAnsiTheme="minorEastAsia" w:eastAsiaTheme="minorEastAsia" w:cstheme="minorEastAsia"/>
                <w:color w:val="auto"/>
                <w:kern w:val="0"/>
                <w:sz w:val="24"/>
              </w:rPr>
            </w:pPr>
          </w:p>
        </w:tc>
        <w:tc>
          <w:tcPr>
            <w:tcW w:w="1559" w:type="dxa"/>
            <w:tcBorders>
              <w:top w:val="single" w:color="auto" w:sz="4" w:space="0"/>
              <w:left w:val="single" w:color="auto" w:sz="4" w:space="0"/>
              <w:bottom w:val="single" w:color="auto" w:sz="4" w:space="0"/>
              <w:right w:val="single" w:color="auto" w:sz="4" w:space="0"/>
            </w:tcBorders>
            <w:vAlign w:val="center"/>
          </w:tcPr>
          <w:p w14:paraId="5FE246C6">
            <w:pPr>
              <w:shd w:val="clear"/>
              <w:spacing w:line="360" w:lineRule="auto"/>
              <w:ind w:firstLine="240"/>
              <w:jc w:val="left"/>
              <w:rPr>
                <w:rFonts w:asciiTheme="minorEastAsia" w:hAnsiTheme="minorEastAsia" w:eastAsiaTheme="minorEastAsia" w:cstheme="minorEastAsia"/>
                <w:color w:val="auto"/>
                <w:kern w:val="0"/>
                <w:sz w:val="24"/>
              </w:rPr>
            </w:pPr>
          </w:p>
        </w:tc>
        <w:tc>
          <w:tcPr>
            <w:tcW w:w="1693" w:type="dxa"/>
            <w:tcBorders>
              <w:top w:val="single" w:color="auto" w:sz="4" w:space="0"/>
              <w:left w:val="single" w:color="auto" w:sz="4" w:space="0"/>
              <w:bottom w:val="single" w:color="auto" w:sz="4" w:space="0"/>
              <w:right w:val="single" w:color="auto" w:sz="4" w:space="0"/>
            </w:tcBorders>
            <w:vAlign w:val="center"/>
          </w:tcPr>
          <w:p w14:paraId="2A9E59BD">
            <w:pPr>
              <w:shd w:val="clear"/>
              <w:spacing w:line="360" w:lineRule="auto"/>
              <w:ind w:firstLine="240"/>
              <w:jc w:val="left"/>
              <w:rPr>
                <w:rFonts w:asciiTheme="minorEastAsia" w:hAnsiTheme="minorEastAsia" w:eastAsiaTheme="minorEastAsia" w:cstheme="minorEastAsia"/>
                <w:color w:val="auto"/>
                <w:kern w:val="0"/>
                <w:sz w:val="24"/>
              </w:rPr>
            </w:pPr>
          </w:p>
        </w:tc>
        <w:tc>
          <w:tcPr>
            <w:tcW w:w="1950" w:type="dxa"/>
            <w:tcBorders>
              <w:top w:val="single" w:color="auto" w:sz="4" w:space="0"/>
              <w:left w:val="single" w:color="auto" w:sz="4" w:space="0"/>
              <w:bottom w:val="single" w:color="auto" w:sz="4" w:space="0"/>
              <w:right w:val="single" w:color="auto" w:sz="4" w:space="0"/>
            </w:tcBorders>
            <w:vAlign w:val="center"/>
          </w:tcPr>
          <w:p w14:paraId="481FDB96">
            <w:pPr>
              <w:shd w:val="clear"/>
              <w:spacing w:line="360" w:lineRule="auto"/>
              <w:ind w:firstLine="240"/>
              <w:jc w:val="left"/>
              <w:rPr>
                <w:rFonts w:asciiTheme="minorEastAsia" w:hAnsiTheme="minorEastAsia" w:eastAsiaTheme="minorEastAsia" w:cstheme="minorEastAsia"/>
                <w:color w:val="auto"/>
                <w:kern w:val="0"/>
                <w:sz w:val="24"/>
              </w:rPr>
            </w:pPr>
          </w:p>
        </w:tc>
        <w:tc>
          <w:tcPr>
            <w:tcW w:w="1792" w:type="dxa"/>
            <w:tcBorders>
              <w:top w:val="single" w:color="auto" w:sz="4" w:space="0"/>
              <w:left w:val="single" w:color="auto" w:sz="4" w:space="0"/>
              <w:bottom w:val="single" w:color="auto" w:sz="4" w:space="0"/>
              <w:right w:val="single" w:color="auto" w:sz="4" w:space="0"/>
            </w:tcBorders>
            <w:vAlign w:val="center"/>
          </w:tcPr>
          <w:p w14:paraId="056FD3D0">
            <w:pPr>
              <w:shd w:val="clear"/>
              <w:spacing w:line="360" w:lineRule="auto"/>
              <w:ind w:firstLine="240"/>
              <w:jc w:val="left"/>
              <w:rPr>
                <w:rFonts w:asciiTheme="minorEastAsia" w:hAnsiTheme="minorEastAsia" w:eastAsiaTheme="minorEastAsia" w:cstheme="minorEastAsia"/>
                <w:color w:val="auto"/>
                <w:kern w:val="0"/>
                <w:sz w:val="24"/>
              </w:rPr>
            </w:pPr>
          </w:p>
        </w:tc>
      </w:tr>
    </w:tbl>
    <w:p w14:paraId="45EB2BD2">
      <w:pPr>
        <w:shd w:val="clear"/>
        <w:spacing w:line="360" w:lineRule="auto"/>
        <w:ind w:firstLine="240"/>
        <w:jc w:val="left"/>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附：评分标准要求的证明材料</w:t>
      </w:r>
    </w:p>
    <w:p w14:paraId="436C4F0D">
      <w:pPr>
        <w:shd w:val="clear"/>
        <w:spacing w:line="360" w:lineRule="auto"/>
        <w:ind w:firstLine="240"/>
        <w:jc w:val="left"/>
        <w:rPr>
          <w:rFonts w:asciiTheme="minorEastAsia" w:hAnsiTheme="minorEastAsia" w:eastAsiaTheme="minorEastAsia" w:cstheme="minorEastAsia"/>
          <w:color w:val="auto"/>
          <w:kern w:val="0"/>
          <w:sz w:val="24"/>
        </w:rPr>
      </w:pPr>
    </w:p>
    <w:p w14:paraId="315D72C0">
      <w:pPr>
        <w:shd w:val="clear"/>
        <w:spacing w:line="360" w:lineRule="auto"/>
        <w:ind w:firstLine="240"/>
        <w:jc w:val="left"/>
        <w:rPr>
          <w:rFonts w:asciiTheme="minorEastAsia" w:hAnsiTheme="minorEastAsia" w:eastAsiaTheme="minorEastAsia" w:cstheme="minorEastAsia"/>
          <w:color w:val="auto"/>
          <w:kern w:val="0"/>
          <w:sz w:val="24"/>
        </w:rPr>
      </w:pPr>
    </w:p>
    <w:p w14:paraId="2FF378BE">
      <w:pPr>
        <w:shd w:val="clear"/>
        <w:autoSpaceDE w:val="0"/>
        <w:autoSpaceDN w:val="0"/>
        <w:spacing w:line="360" w:lineRule="auto"/>
        <w:ind w:firstLine="24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法定代表人或其授权委托人（签名或印章）：</w:t>
      </w:r>
    </w:p>
    <w:p w14:paraId="53D8E752">
      <w:pPr>
        <w:shd w:val="clear"/>
        <w:autoSpaceDE w:val="0"/>
        <w:autoSpaceDN w:val="0"/>
        <w:spacing w:line="360" w:lineRule="auto"/>
        <w:ind w:firstLine="24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供应商（盖章）：</w:t>
      </w:r>
    </w:p>
    <w:p w14:paraId="588E3DD8">
      <w:pPr>
        <w:shd w:val="clear"/>
        <w:autoSpaceDE w:val="0"/>
        <w:autoSpaceDN w:val="0"/>
        <w:spacing w:line="360" w:lineRule="auto"/>
        <w:ind w:firstLine="24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日期：</w:t>
      </w:r>
    </w:p>
    <w:p w14:paraId="43A2BC14">
      <w:pPr>
        <w:shd w:val="clear"/>
        <w:spacing w:line="360" w:lineRule="auto"/>
        <w:ind w:left="4620" w:leftChars="2200" w:firstLine="321"/>
        <w:jc w:val="left"/>
        <w:rPr>
          <w:rFonts w:asciiTheme="minorEastAsia" w:hAnsiTheme="minorEastAsia" w:eastAsiaTheme="minorEastAsia" w:cstheme="minorEastAsia"/>
          <w:b/>
          <w:color w:val="auto"/>
          <w:kern w:val="0"/>
          <w:sz w:val="32"/>
          <w:szCs w:val="32"/>
          <w:lang w:val="zh-CN"/>
        </w:rPr>
      </w:pPr>
    </w:p>
    <w:p w14:paraId="394757C0">
      <w:pPr>
        <w:numPr>
          <w:ilvl w:val="0"/>
          <w:numId w:val="5"/>
        </w:numPr>
        <w:shd w:val="clear"/>
        <w:snapToGrid w:val="0"/>
        <w:spacing w:line="360" w:lineRule="auto"/>
        <w:ind w:firstLine="321"/>
        <w:jc w:val="center"/>
        <w:outlineLvl w:val="0"/>
        <w:rPr>
          <w:rFonts w:asciiTheme="minorEastAsia" w:hAnsiTheme="minorEastAsia" w:eastAsiaTheme="minorEastAsia" w:cstheme="minorEastAsia"/>
          <w:b/>
          <w:color w:val="auto"/>
          <w:kern w:val="0"/>
          <w:sz w:val="32"/>
          <w:szCs w:val="32"/>
          <w:lang w:val="zh-CN"/>
        </w:rPr>
      </w:pPr>
      <w:r>
        <w:rPr>
          <w:rFonts w:hint="eastAsia" w:asciiTheme="minorEastAsia" w:hAnsiTheme="minorEastAsia" w:eastAsiaTheme="minorEastAsia" w:cstheme="minorEastAsia"/>
          <w:b/>
          <w:color w:val="auto"/>
          <w:kern w:val="0"/>
          <w:sz w:val="32"/>
          <w:szCs w:val="32"/>
          <w:lang w:val="zh-CN"/>
        </w:rPr>
        <w:br w:type="page"/>
      </w:r>
      <w:r>
        <w:rPr>
          <w:rFonts w:hint="eastAsia" w:asciiTheme="minorEastAsia" w:hAnsiTheme="minorEastAsia" w:eastAsiaTheme="minorEastAsia" w:cstheme="minorEastAsia"/>
          <w:b/>
          <w:color w:val="auto"/>
          <w:kern w:val="0"/>
          <w:sz w:val="32"/>
          <w:szCs w:val="32"/>
          <w:lang w:val="zh-CN"/>
        </w:rPr>
        <w:t>采购供应商廉洁自律承诺书</w:t>
      </w:r>
    </w:p>
    <w:p w14:paraId="41C6D115">
      <w:pPr>
        <w:shd w:val="clear"/>
        <w:snapToGrid w:val="0"/>
        <w:spacing w:line="360" w:lineRule="auto"/>
        <w:ind w:firstLine="240"/>
        <w:rPr>
          <w:rFonts w:asciiTheme="minorEastAsia" w:hAnsiTheme="minorEastAsia" w:eastAsiaTheme="minorEastAsia" w:cstheme="minorEastAsia"/>
          <w:color w:val="auto"/>
          <w:sz w:val="24"/>
        </w:rPr>
      </w:pPr>
    </w:p>
    <w:p w14:paraId="3FE22A5D">
      <w:pPr>
        <w:shd w:val="clear"/>
        <w:snapToGrid w:val="0"/>
        <w:spacing w:line="360" w:lineRule="auto"/>
        <w:ind w:firstLine="240"/>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sz w:val="24"/>
          <w:u w:val="single"/>
        </w:rPr>
        <w:t>宁波市奉化区人民政府江口街道办事处</w:t>
      </w:r>
      <w:r>
        <w:rPr>
          <w:rFonts w:hint="eastAsia" w:asciiTheme="minorEastAsia" w:hAnsiTheme="minorEastAsia" w:eastAsiaTheme="minorEastAsia" w:cstheme="minorEastAsia"/>
          <w:color w:val="auto"/>
          <w:kern w:val="0"/>
          <w:sz w:val="24"/>
          <w:lang w:val="zh-CN"/>
        </w:rPr>
        <w:t>：</w:t>
      </w:r>
    </w:p>
    <w:p w14:paraId="25C4293E">
      <w:pPr>
        <w:shd w:val="clear"/>
        <w:autoSpaceDE w:val="0"/>
        <w:autoSpaceDN w:val="0"/>
        <w:spacing w:line="360" w:lineRule="auto"/>
        <w:ind w:left="2" w:leftChars="1" w:firstLine="480" w:firstLineChars="20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我单位响应你</w:t>
      </w:r>
      <w:r>
        <w:rPr>
          <w:rFonts w:hint="eastAsia" w:asciiTheme="minorEastAsia" w:hAnsiTheme="minorEastAsia" w:eastAsiaTheme="minorEastAsia" w:cstheme="minorEastAsia"/>
          <w:color w:val="auto"/>
          <w:sz w:val="24"/>
        </w:rPr>
        <w:t>单位</w:t>
      </w:r>
      <w:r>
        <w:rPr>
          <w:rFonts w:hint="eastAsia" w:asciiTheme="minorEastAsia" w:hAnsiTheme="minorEastAsia" w:eastAsiaTheme="minorEastAsia" w:cstheme="minorEastAsia"/>
          <w:color w:val="auto"/>
          <w:kern w:val="0"/>
          <w:sz w:val="24"/>
          <w:lang w:val="zh-CN"/>
        </w:rPr>
        <w:t>项目磋商要求参加磋商采购活动。在这次采购过程中和成交后，我们将严格遵守国家法律法规要求，并郑重承诺：</w:t>
      </w:r>
    </w:p>
    <w:p w14:paraId="6E46832B">
      <w:pPr>
        <w:shd w:val="clear"/>
        <w:autoSpaceDE w:val="0"/>
        <w:autoSpaceDN w:val="0"/>
        <w:spacing w:line="360" w:lineRule="auto"/>
        <w:ind w:left="2" w:leftChars="1" w:firstLine="480" w:firstLineChars="20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 xml:space="preserve">一、不向项目有关人员及部门赠送礼金礼物、有价证券、回扣以及中介费、介绍费、咨询费等好处费； </w:t>
      </w:r>
    </w:p>
    <w:p w14:paraId="4AB509AE">
      <w:pPr>
        <w:shd w:val="clear"/>
        <w:autoSpaceDE w:val="0"/>
        <w:autoSpaceDN w:val="0"/>
        <w:spacing w:line="360" w:lineRule="auto"/>
        <w:ind w:left="2" w:leftChars="1" w:firstLine="480" w:firstLineChars="20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 xml:space="preserve">二、不为项目有关人员及部门报销应由你方单位或个人支付的费用； </w:t>
      </w:r>
    </w:p>
    <w:p w14:paraId="0C783DCF">
      <w:pPr>
        <w:shd w:val="clear"/>
        <w:autoSpaceDE w:val="0"/>
        <w:autoSpaceDN w:val="0"/>
        <w:spacing w:line="360" w:lineRule="auto"/>
        <w:ind w:left="2" w:leftChars="1" w:firstLine="480" w:firstLineChars="20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 xml:space="preserve">三、不向项目有关人员及部门提供有可能影响公正的宴请和健身娱乐等活动； </w:t>
      </w:r>
    </w:p>
    <w:p w14:paraId="5C750677">
      <w:pPr>
        <w:shd w:val="clear"/>
        <w:autoSpaceDE w:val="0"/>
        <w:autoSpaceDN w:val="0"/>
        <w:spacing w:line="360" w:lineRule="auto"/>
        <w:ind w:left="2" w:leftChars="1" w:firstLine="480" w:firstLineChars="20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四、不为项目有关人员及部门出国（境）、旅游等提供方便；</w:t>
      </w:r>
    </w:p>
    <w:p w14:paraId="47B59254">
      <w:pPr>
        <w:shd w:val="clear"/>
        <w:autoSpaceDE w:val="0"/>
        <w:autoSpaceDN w:val="0"/>
        <w:spacing w:line="360" w:lineRule="auto"/>
        <w:ind w:left="481" w:leftChars="229" w:firstLine="24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五、不为项目有关人员个人装修住房、婚丧嫁娶、配偶子女工作安排等提供</w:t>
      </w:r>
    </w:p>
    <w:p w14:paraId="02C28A71">
      <w:pPr>
        <w:shd w:val="clear"/>
        <w:autoSpaceDE w:val="0"/>
        <w:autoSpaceDN w:val="0"/>
        <w:spacing w:line="360" w:lineRule="auto"/>
        <w:ind w:firstLine="24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好处；</w:t>
      </w:r>
    </w:p>
    <w:p w14:paraId="7402B2D3">
      <w:pPr>
        <w:shd w:val="clear"/>
        <w:autoSpaceDE w:val="0"/>
        <w:autoSpaceDN w:val="0"/>
        <w:spacing w:line="360" w:lineRule="auto"/>
        <w:ind w:left="481" w:leftChars="229" w:firstLine="24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六、严格遵守《</w:t>
      </w:r>
      <w:r>
        <w:rPr>
          <w:rFonts w:hint="eastAsia" w:asciiTheme="minorEastAsia" w:hAnsiTheme="minorEastAsia" w:eastAsiaTheme="minorEastAsia" w:cstheme="minorEastAsia"/>
          <w:color w:val="auto"/>
          <w:sz w:val="24"/>
          <w:lang w:val="zh-CN"/>
        </w:rPr>
        <w:t>中华人民共和国</w:t>
      </w:r>
      <w:r>
        <w:rPr>
          <w:rFonts w:hint="eastAsia" w:asciiTheme="minorEastAsia" w:hAnsiTheme="minorEastAsia" w:eastAsiaTheme="minorEastAsia" w:cstheme="minorEastAsia"/>
          <w:color w:val="auto"/>
          <w:kern w:val="0"/>
          <w:sz w:val="24"/>
          <w:lang w:val="zh-CN"/>
        </w:rPr>
        <w:t>政府采购法》</w:t>
      </w:r>
      <w:r>
        <w:rPr>
          <w:rFonts w:hint="eastAsia" w:asciiTheme="minorEastAsia" w:hAnsiTheme="minorEastAsia" w:eastAsiaTheme="minorEastAsia" w:cstheme="minorEastAsia"/>
          <w:color w:val="auto"/>
          <w:sz w:val="24"/>
          <w:lang w:val="zh-CN"/>
        </w:rPr>
        <w:t>《中华人民共和国民法典》</w:t>
      </w:r>
      <w:r>
        <w:rPr>
          <w:rFonts w:hint="eastAsia" w:asciiTheme="minorEastAsia" w:hAnsiTheme="minorEastAsia" w:eastAsiaTheme="minorEastAsia" w:cstheme="minorEastAsia"/>
          <w:color w:val="auto"/>
          <w:kern w:val="0"/>
          <w:sz w:val="24"/>
          <w:lang w:val="zh-CN"/>
        </w:rPr>
        <w:t xml:space="preserve">等法律法规，诚实守信，合法经营，坚决抵制各种违法违纪行为。 </w:t>
      </w:r>
    </w:p>
    <w:p w14:paraId="5DDDCA76">
      <w:pPr>
        <w:shd w:val="clear"/>
        <w:autoSpaceDE w:val="0"/>
        <w:autoSpaceDN w:val="0"/>
        <w:spacing w:line="360" w:lineRule="auto"/>
        <w:ind w:firstLine="480" w:firstLineChars="20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如违反上述承诺，你</w:t>
      </w:r>
      <w:r>
        <w:rPr>
          <w:rFonts w:hint="eastAsia" w:asciiTheme="minorEastAsia" w:hAnsiTheme="minorEastAsia" w:eastAsiaTheme="minorEastAsia" w:cstheme="minorEastAsia"/>
          <w:color w:val="auto"/>
          <w:sz w:val="24"/>
        </w:rPr>
        <w:t>单位</w:t>
      </w:r>
      <w:r>
        <w:rPr>
          <w:rFonts w:hint="eastAsia" w:asciiTheme="minorEastAsia" w:hAnsiTheme="minorEastAsia" w:eastAsiaTheme="minorEastAsia" w:cstheme="minorEastAsia"/>
          <w:color w:val="auto"/>
          <w:kern w:val="0"/>
          <w:sz w:val="24"/>
          <w:lang w:val="zh-CN"/>
        </w:rPr>
        <w:t>有权立即取消我单位响应、成交或在建项目的建设资格，有权拒绝我单位在一定时期内进入你</w:t>
      </w:r>
      <w:r>
        <w:rPr>
          <w:rFonts w:hint="eastAsia" w:asciiTheme="minorEastAsia" w:hAnsiTheme="minorEastAsia" w:eastAsiaTheme="minorEastAsia" w:cstheme="minorEastAsia"/>
          <w:color w:val="auto"/>
          <w:sz w:val="24"/>
        </w:rPr>
        <w:t>单位</w:t>
      </w:r>
      <w:r>
        <w:rPr>
          <w:rFonts w:hint="eastAsia" w:asciiTheme="minorEastAsia" w:hAnsiTheme="minorEastAsia" w:eastAsiaTheme="minorEastAsia" w:cstheme="minorEastAsia"/>
          <w:color w:val="auto"/>
          <w:kern w:val="0"/>
          <w:sz w:val="24"/>
          <w:lang w:val="zh-CN"/>
        </w:rPr>
        <w:t>进行项目建设或其他经营活动，并通报市财政局。由此引起的相应损失均由我单位承担。</w:t>
      </w:r>
    </w:p>
    <w:p w14:paraId="24235F44">
      <w:pPr>
        <w:shd w:val="clear"/>
        <w:autoSpaceDE w:val="0"/>
        <w:autoSpaceDN w:val="0"/>
        <w:spacing w:line="360" w:lineRule="auto"/>
        <w:ind w:firstLine="240"/>
        <w:jc w:val="left"/>
        <w:rPr>
          <w:rFonts w:asciiTheme="minorEastAsia" w:hAnsiTheme="minorEastAsia" w:eastAsiaTheme="minorEastAsia" w:cstheme="minorEastAsia"/>
          <w:color w:val="auto"/>
          <w:kern w:val="0"/>
          <w:sz w:val="24"/>
          <w:lang w:val="zh-CN"/>
        </w:rPr>
      </w:pPr>
    </w:p>
    <w:p w14:paraId="4C100DF7">
      <w:pPr>
        <w:shd w:val="clear"/>
        <w:autoSpaceDE w:val="0"/>
        <w:autoSpaceDN w:val="0"/>
        <w:spacing w:line="360" w:lineRule="auto"/>
        <w:ind w:left="2" w:firstLine="240"/>
        <w:jc w:val="left"/>
        <w:rPr>
          <w:rFonts w:asciiTheme="minorEastAsia" w:hAnsiTheme="minorEastAsia" w:eastAsiaTheme="minorEastAsia" w:cstheme="minorEastAsia"/>
          <w:color w:val="auto"/>
          <w:kern w:val="0"/>
          <w:sz w:val="24"/>
          <w:lang w:val="zh-CN"/>
        </w:rPr>
      </w:pPr>
    </w:p>
    <w:p w14:paraId="323C245C">
      <w:pPr>
        <w:shd w:val="clear"/>
        <w:snapToGrid w:val="0"/>
        <w:spacing w:line="360" w:lineRule="auto"/>
        <w:ind w:firstLine="480" w:firstLineChars="20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法定代表人或其授权委托人（签名或印章）：</w:t>
      </w:r>
    </w:p>
    <w:p w14:paraId="1FF92C0A">
      <w:pPr>
        <w:shd w:val="clear"/>
        <w:snapToGrid w:val="0"/>
        <w:spacing w:line="360" w:lineRule="auto"/>
        <w:ind w:firstLine="480" w:firstLineChars="20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供应商（盖章）：</w:t>
      </w:r>
    </w:p>
    <w:p w14:paraId="152AAE38">
      <w:pPr>
        <w:shd w:val="clear"/>
        <w:snapToGrid w:val="0"/>
        <w:spacing w:line="360" w:lineRule="auto"/>
        <w:ind w:firstLine="480" w:firstLineChars="20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日期：</w:t>
      </w:r>
    </w:p>
    <w:p w14:paraId="60D624A8">
      <w:pPr>
        <w:shd w:val="clear"/>
        <w:spacing w:line="360" w:lineRule="auto"/>
        <w:ind w:left="4620" w:leftChars="2200" w:firstLine="240"/>
        <w:rPr>
          <w:rFonts w:asciiTheme="minorEastAsia" w:hAnsiTheme="minorEastAsia" w:eastAsiaTheme="minorEastAsia" w:cstheme="minorEastAsia"/>
          <w:color w:val="auto"/>
          <w:sz w:val="24"/>
        </w:rPr>
      </w:pPr>
    </w:p>
    <w:p w14:paraId="43460F6A">
      <w:pPr>
        <w:shd w:val="clear"/>
        <w:spacing w:line="360" w:lineRule="auto"/>
        <w:ind w:firstLine="241"/>
        <w:jc w:val="center"/>
        <w:rPr>
          <w:rFonts w:asciiTheme="minorEastAsia" w:hAnsiTheme="minorEastAsia" w:eastAsiaTheme="minorEastAsia" w:cstheme="minorEastAsia"/>
          <w:b/>
          <w:bCs/>
          <w:color w:val="auto"/>
          <w:sz w:val="24"/>
        </w:rPr>
      </w:pPr>
    </w:p>
    <w:p w14:paraId="10629BFC">
      <w:pPr>
        <w:shd w:val="clear"/>
        <w:spacing w:line="360" w:lineRule="auto"/>
        <w:ind w:firstLine="241"/>
        <w:jc w:val="center"/>
        <w:rPr>
          <w:rFonts w:asciiTheme="minorEastAsia" w:hAnsiTheme="minorEastAsia" w:eastAsiaTheme="minorEastAsia" w:cstheme="minorEastAsia"/>
          <w:b/>
          <w:bCs/>
          <w:color w:val="auto"/>
          <w:sz w:val="24"/>
        </w:rPr>
        <w:sectPr>
          <w:headerReference r:id="rId4" w:type="first"/>
          <w:footerReference r:id="rId6" w:type="first"/>
          <w:headerReference r:id="rId3" w:type="default"/>
          <w:footerReference r:id="rId5" w:type="default"/>
          <w:pgSz w:w="11906" w:h="16838"/>
          <w:pgMar w:top="1276" w:right="1418" w:bottom="1247" w:left="1418" w:header="851" w:footer="992" w:gutter="0"/>
          <w:cols w:space="720" w:num="1"/>
          <w:titlePg/>
          <w:docGrid w:linePitch="312" w:charSpace="0"/>
        </w:sectPr>
      </w:pPr>
    </w:p>
    <w:p w14:paraId="3B45F7F8">
      <w:pPr>
        <w:shd w:val="clear"/>
        <w:spacing w:line="360" w:lineRule="auto"/>
        <w:ind w:firstLine="361"/>
        <w:jc w:val="center"/>
        <w:outlineLvl w:val="0"/>
        <w:rPr>
          <w:rFonts w:asciiTheme="minorEastAsia" w:hAnsiTheme="minorEastAsia" w:eastAsiaTheme="minorEastAsia" w:cstheme="minorEastAsia"/>
          <w:b/>
          <w:color w:val="auto"/>
          <w:kern w:val="0"/>
          <w:sz w:val="36"/>
          <w:szCs w:val="36"/>
        </w:rPr>
      </w:pPr>
    </w:p>
    <w:p w14:paraId="2BDB131F">
      <w:pPr>
        <w:shd w:val="clear"/>
        <w:spacing w:line="360" w:lineRule="auto"/>
        <w:ind w:firstLine="361"/>
        <w:jc w:val="center"/>
        <w:outlineLvl w:val="0"/>
        <w:rPr>
          <w:rFonts w:asciiTheme="minorEastAsia" w:hAnsiTheme="minorEastAsia" w:eastAsiaTheme="minorEastAsia" w:cstheme="minorEastAsia"/>
          <w:b/>
          <w:color w:val="auto"/>
          <w:kern w:val="0"/>
          <w:sz w:val="36"/>
          <w:szCs w:val="36"/>
        </w:rPr>
      </w:pPr>
      <w:r>
        <w:rPr>
          <w:rFonts w:hint="eastAsia" w:asciiTheme="minorEastAsia" w:hAnsiTheme="minorEastAsia" w:eastAsiaTheme="minorEastAsia" w:cstheme="minorEastAsia"/>
          <w:b/>
          <w:color w:val="auto"/>
          <w:kern w:val="0"/>
          <w:sz w:val="36"/>
          <w:szCs w:val="36"/>
        </w:rPr>
        <w:t>报价文件部分</w:t>
      </w:r>
    </w:p>
    <w:p w14:paraId="320B5ED8">
      <w:pPr>
        <w:shd w:val="clear"/>
        <w:spacing w:line="360" w:lineRule="auto"/>
        <w:ind w:firstLine="361"/>
        <w:jc w:val="center"/>
        <w:outlineLvl w:val="0"/>
        <w:rPr>
          <w:rFonts w:asciiTheme="minorEastAsia" w:hAnsiTheme="minorEastAsia" w:eastAsiaTheme="minorEastAsia" w:cstheme="minorEastAsia"/>
          <w:b/>
          <w:color w:val="auto"/>
          <w:kern w:val="0"/>
          <w:sz w:val="36"/>
          <w:szCs w:val="36"/>
        </w:rPr>
      </w:pPr>
      <w:r>
        <w:rPr>
          <w:rFonts w:hint="eastAsia" w:asciiTheme="minorEastAsia" w:hAnsiTheme="minorEastAsia" w:eastAsiaTheme="minorEastAsia" w:cstheme="minorEastAsia"/>
          <w:b/>
          <w:color w:val="auto"/>
          <w:kern w:val="0"/>
          <w:sz w:val="36"/>
          <w:szCs w:val="36"/>
        </w:rPr>
        <w:t>目录</w:t>
      </w:r>
    </w:p>
    <w:p w14:paraId="7BB77E23">
      <w:pPr>
        <w:shd w:val="clear"/>
        <w:snapToGrid w:val="0"/>
        <w:spacing w:line="360" w:lineRule="auto"/>
        <w:ind w:firstLine="480" w:firstLineChars="200"/>
        <w:rPr>
          <w:rFonts w:asciiTheme="minorEastAsia" w:hAnsiTheme="minorEastAsia" w:eastAsiaTheme="minorEastAsia" w:cstheme="minorEastAsia"/>
          <w:color w:val="auto"/>
          <w:sz w:val="24"/>
          <w:u w:val="single"/>
          <w:lang w:val="zh-CN"/>
        </w:rPr>
      </w:pPr>
      <w:r>
        <w:rPr>
          <w:rFonts w:hint="eastAsia" w:asciiTheme="minorEastAsia" w:hAnsiTheme="minorEastAsia" w:eastAsiaTheme="minorEastAsia" w:cstheme="minorEastAsia"/>
          <w:color w:val="auto"/>
          <w:sz w:val="24"/>
        </w:rPr>
        <w:t xml:space="preserve"> </w:t>
      </w:r>
    </w:p>
    <w:p w14:paraId="0581BBC5">
      <w:pPr>
        <w:shd w:val="clear"/>
        <w:snapToGrid w:val="0"/>
        <w:spacing w:line="360" w:lineRule="auto"/>
        <w:ind w:firstLine="1120" w:firstLineChars="400"/>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1 报价一览表；</w:t>
      </w:r>
    </w:p>
    <w:p w14:paraId="5C4AE041">
      <w:pPr>
        <w:shd w:val="clear"/>
        <w:snapToGrid w:val="0"/>
        <w:spacing w:line="360" w:lineRule="auto"/>
        <w:ind w:firstLine="1120" w:firstLineChars="400"/>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2采购统计基础信息表；</w:t>
      </w:r>
    </w:p>
    <w:p w14:paraId="7AD9EBE2">
      <w:pPr>
        <w:shd w:val="clear"/>
        <w:snapToGrid w:val="0"/>
        <w:spacing w:line="360" w:lineRule="auto"/>
        <w:ind w:firstLine="1120" w:firstLineChars="400"/>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7 其他资料（如有）。</w:t>
      </w:r>
    </w:p>
    <w:p w14:paraId="41B90B66">
      <w:pPr>
        <w:shd w:val="clear"/>
        <w:snapToGrid w:val="0"/>
        <w:spacing w:line="360" w:lineRule="auto"/>
        <w:ind w:right="480" w:firstLine="321"/>
        <w:rPr>
          <w:rFonts w:asciiTheme="minorEastAsia" w:hAnsiTheme="minorEastAsia" w:eastAsiaTheme="minorEastAsia" w:cstheme="minorEastAsia"/>
          <w:b/>
          <w:color w:val="auto"/>
          <w:kern w:val="0"/>
          <w:sz w:val="32"/>
          <w:szCs w:val="32"/>
        </w:rPr>
      </w:pPr>
    </w:p>
    <w:p w14:paraId="7D1B4B2B">
      <w:pPr>
        <w:pStyle w:val="45"/>
        <w:keepNext w:val="0"/>
        <w:pageBreakBefore w:val="0"/>
        <w:shd w:val="clear"/>
        <w:tabs>
          <w:tab w:val="clear" w:pos="720"/>
        </w:tabs>
        <w:snapToGrid w:val="0"/>
        <w:spacing w:before="120" w:after="120"/>
        <w:ind w:firstLine="321"/>
        <w:outlineLvl w:val="9"/>
        <w:rPr>
          <w:rFonts w:asciiTheme="minorEastAsia" w:hAnsiTheme="minorEastAsia" w:eastAsiaTheme="minorEastAsia" w:cstheme="minorEastAsia"/>
          <w:color w:val="auto"/>
          <w:kern w:val="2"/>
          <w:sz w:val="32"/>
          <w:szCs w:val="32"/>
        </w:rPr>
        <w:sectPr>
          <w:headerReference r:id="rId8" w:type="first"/>
          <w:footerReference r:id="rId10" w:type="first"/>
          <w:headerReference r:id="rId7" w:type="default"/>
          <w:footerReference r:id="rId9" w:type="default"/>
          <w:pgSz w:w="11906" w:h="16838"/>
          <w:pgMar w:top="1276" w:right="1418" w:bottom="1247" w:left="1418" w:header="851" w:footer="992" w:gutter="0"/>
          <w:cols w:space="720" w:num="1"/>
          <w:titlePg/>
          <w:docGrid w:linePitch="312" w:charSpace="0"/>
        </w:sectPr>
      </w:pPr>
    </w:p>
    <w:p w14:paraId="1D3A7672">
      <w:pPr>
        <w:pStyle w:val="45"/>
        <w:keepNext w:val="0"/>
        <w:pageBreakBefore w:val="0"/>
        <w:shd w:val="clear"/>
        <w:tabs>
          <w:tab w:val="clear" w:pos="720"/>
        </w:tabs>
        <w:snapToGrid w:val="0"/>
        <w:spacing w:before="156" w:after="120"/>
        <w:ind w:firstLine="321"/>
        <w:outlineLvl w:val="9"/>
        <w:rPr>
          <w:rFonts w:asciiTheme="minorEastAsia" w:hAnsiTheme="minorEastAsia" w:eastAsiaTheme="minorEastAsia" w:cstheme="minorEastAsia"/>
          <w:color w:val="auto"/>
          <w:kern w:val="2"/>
          <w:sz w:val="32"/>
          <w:szCs w:val="32"/>
        </w:rPr>
      </w:pPr>
      <w:r>
        <w:rPr>
          <w:rFonts w:hint="eastAsia" w:asciiTheme="minorEastAsia" w:hAnsiTheme="minorEastAsia" w:eastAsiaTheme="minorEastAsia" w:cstheme="minorEastAsia"/>
          <w:color w:val="auto"/>
          <w:kern w:val="2"/>
          <w:sz w:val="32"/>
          <w:szCs w:val="32"/>
        </w:rPr>
        <w:t>一、报价一览表（初次报价表）</w:t>
      </w:r>
    </w:p>
    <w:p w14:paraId="7CE4DD53">
      <w:pPr>
        <w:shd w:val="clear"/>
        <w:snapToGrid w:val="0"/>
        <w:spacing w:before="156" w:line="360" w:lineRule="auto"/>
        <w:ind w:firstLine="240"/>
        <w:rPr>
          <w:rFonts w:asciiTheme="minorEastAsia" w:hAnsiTheme="minorEastAsia" w:eastAsiaTheme="minorEastAsia" w:cstheme="minorEastAsia"/>
          <w:color w:val="auto"/>
          <w:kern w:val="0"/>
          <w:sz w:val="24"/>
          <w:u w:val="single"/>
        </w:rPr>
      </w:pPr>
      <w:r>
        <w:rPr>
          <w:rFonts w:hint="eastAsia" w:asciiTheme="minorEastAsia" w:hAnsiTheme="minorEastAsia" w:eastAsiaTheme="minorEastAsia" w:cstheme="minorEastAsia"/>
          <w:color w:val="auto"/>
          <w:sz w:val="24"/>
          <w:u w:val="single"/>
        </w:rPr>
        <w:t>宁波市奉化区人民政府江口街道办事处</w:t>
      </w:r>
      <w:r>
        <w:rPr>
          <w:rFonts w:hint="eastAsia" w:asciiTheme="minorEastAsia" w:hAnsiTheme="minorEastAsia" w:eastAsiaTheme="minorEastAsia" w:cstheme="minorEastAsia"/>
          <w:color w:val="auto"/>
          <w:kern w:val="0"/>
          <w:sz w:val="24"/>
          <w:lang w:val="zh-CN"/>
        </w:rPr>
        <w:t>：</w:t>
      </w:r>
    </w:p>
    <w:p w14:paraId="4A523824">
      <w:pPr>
        <w:shd w:val="clear"/>
        <w:snapToGrid w:val="0"/>
        <w:spacing w:before="156" w:line="360" w:lineRule="auto"/>
        <w:ind w:firstLine="24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按你方采购文件要求，我们，本响应文件签字方，谨此向你方发出要约如下：如你方接受本次磋商响应，我方承诺按照如下报价一览表（报价表）的价格完成</w:t>
      </w:r>
      <w:r>
        <w:rPr>
          <w:rFonts w:hint="eastAsia" w:asciiTheme="minorEastAsia" w:hAnsiTheme="minorEastAsia" w:eastAsiaTheme="minorEastAsia" w:cstheme="minorEastAsia"/>
          <w:color w:val="auto"/>
          <w:kern w:val="0"/>
          <w:sz w:val="24"/>
        </w:rPr>
        <w:t>本项目的实施</w:t>
      </w:r>
      <w:r>
        <w:rPr>
          <w:rFonts w:hint="eastAsia" w:asciiTheme="minorEastAsia" w:hAnsiTheme="minorEastAsia" w:eastAsiaTheme="minorEastAsia" w:cstheme="minorEastAsia"/>
          <w:color w:val="auto"/>
          <w:kern w:val="0"/>
          <w:sz w:val="24"/>
          <w:lang w:val="zh-CN"/>
        </w:rPr>
        <w:t>。</w:t>
      </w:r>
    </w:p>
    <w:tbl>
      <w:tblPr>
        <w:tblStyle w:val="27"/>
        <w:tblpPr w:leftFromText="180" w:rightFromText="180" w:vertAnchor="text" w:horzAnchor="page" w:tblpXSpec="center" w:tblpY="360"/>
        <w:tblOverlap w:val="never"/>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794"/>
        <w:gridCol w:w="2125"/>
        <w:gridCol w:w="2603"/>
      </w:tblGrid>
      <w:tr w14:paraId="422FE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6" w:type="pct"/>
          </w:tcPr>
          <w:p w14:paraId="1C95DD3C">
            <w:pPr>
              <w:shd w:val="clear"/>
              <w:spacing w:before="156" w:line="360" w:lineRule="auto"/>
              <w:ind w:firstLine="241"/>
              <w:jc w:val="center"/>
              <w:rPr>
                <w:rFonts w:ascii="宋体" w:hAnsi="宋体"/>
                <w:b/>
                <w:color w:val="auto"/>
                <w:sz w:val="24"/>
              </w:rPr>
            </w:pPr>
            <w:r>
              <w:rPr>
                <w:rFonts w:ascii="宋体" w:hAnsi="宋体"/>
                <w:b/>
                <w:color w:val="auto"/>
                <w:sz w:val="24"/>
              </w:rPr>
              <w:t>项目名称</w:t>
            </w:r>
          </w:p>
        </w:tc>
        <w:tc>
          <w:tcPr>
            <w:tcW w:w="1247" w:type="pct"/>
          </w:tcPr>
          <w:p w14:paraId="0C3F979A">
            <w:pPr>
              <w:shd w:val="clear"/>
              <w:spacing w:before="156" w:line="360" w:lineRule="auto"/>
              <w:ind w:firstLine="241"/>
              <w:jc w:val="center"/>
              <w:rPr>
                <w:rFonts w:ascii="宋体" w:hAnsi="宋体"/>
                <w:b/>
                <w:color w:val="auto"/>
                <w:sz w:val="24"/>
              </w:rPr>
            </w:pPr>
            <w:r>
              <w:rPr>
                <w:rFonts w:hint="eastAsia" w:ascii="宋体" w:hAnsi="宋体"/>
                <w:b/>
                <w:color w:val="auto"/>
                <w:sz w:val="24"/>
              </w:rPr>
              <w:t>项目内容</w:t>
            </w:r>
          </w:p>
        </w:tc>
        <w:tc>
          <w:tcPr>
            <w:tcW w:w="1527" w:type="pct"/>
          </w:tcPr>
          <w:p w14:paraId="03BDDD1A">
            <w:pPr>
              <w:shd w:val="clear"/>
              <w:spacing w:before="156" w:line="360" w:lineRule="auto"/>
              <w:ind w:firstLine="241"/>
              <w:jc w:val="center"/>
              <w:rPr>
                <w:rFonts w:ascii="宋体" w:hAnsi="宋体"/>
                <w:b/>
                <w:color w:val="auto"/>
                <w:sz w:val="24"/>
              </w:rPr>
            </w:pPr>
            <w:r>
              <w:rPr>
                <w:rFonts w:ascii="宋体" w:hAnsi="宋体"/>
                <w:b/>
                <w:color w:val="auto"/>
                <w:sz w:val="24"/>
              </w:rPr>
              <w:t>磋商报</w:t>
            </w:r>
            <w:r>
              <w:rPr>
                <w:rFonts w:hint="eastAsia" w:ascii="宋体" w:hAnsi="宋体"/>
                <w:b/>
                <w:color w:val="auto"/>
                <w:sz w:val="24"/>
              </w:rPr>
              <w:t>价</w:t>
            </w:r>
          </w:p>
        </w:tc>
      </w:tr>
      <w:tr w14:paraId="5BF02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2" w:hRule="atLeast"/>
        </w:trPr>
        <w:tc>
          <w:tcPr>
            <w:tcW w:w="2226" w:type="pct"/>
            <w:vAlign w:val="center"/>
          </w:tcPr>
          <w:p w14:paraId="6C0C951E">
            <w:pPr>
              <w:shd w:val="clear"/>
              <w:spacing w:before="156" w:line="360" w:lineRule="auto"/>
              <w:rPr>
                <w:rFonts w:ascii="宋体" w:hAnsi="宋体" w:cs="宋体"/>
                <w:color w:val="auto"/>
                <w:kern w:val="1"/>
              </w:rPr>
            </w:pPr>
            <w:r>
              <w:rPr>
                <w:rFonts w:hint="eastAsia" w:ascii="宋体" w:hAnsi="宋体" w:cs="宋体"/>
                <w:bCs/>
                <w:color w:val="auto"/>
                <w:szCs w:val="21"/>
              </w:rPr>
              <w:t>江口街道2025年公共基础设施零星修复工程</w:t>
            </w:r>
          </w:p>
        </w:tc>
        <w:tc>
          <w:tcPr>
            <w:tcW w:w="1247" w:type="pct"/>
            <w:vAlign w:val="center"/>
          </w:tcPr>
          <w:p w14:paraId="35D10E82">
            <w:pPr>
              <w:shd w:val="clear"/>
              <w:spacing w:before="156" w:line="360" w:lineRule="auto"/>
              <w:rPr>
                <w:rFonts w:ascii="宋体" w:hAnsi="宋体" w:cs="宋体"/>
                <w:color w:val="auto"/>
                <w:kern w:val="1"/>
              </w:rPr>
            </w:pPr>
            <w:r>
              <w:rPr>
                <w:rFonts w:hint="eastAsia" w:ascii="宋体" w:hAnsi="宋体" w:cs="宋体"/>
                <w:bCs/>
                <w:color w:val="auto"/>
                <w:szCs w:val="21"/>
              </w:rPr>
              <w:t>公共基础设施零星修复工程</w:t>
            </w:r>
          </w:p>
        </w:tc>
        <w:tc>
          <w:tcPr>
            <w:tcW w:w="1527" w:type="pct"/>
            <w:vAlign w:val="center"/>
          </w:tcPr>
          <w:p w14:paraId="0A502AB3">
            <w:pPr>
              <w:shd w:val="clear"/>
              <w:spacing w:before="156" w:line="360" w:lineRule="auto"/>
              <w:ind w:firstLine="241"/>
              <w:rPr>
                <w:rFonts w:ascii="宋体" w:hAnsi="宋体"/>
                <w:color w:val="auto"/>
                <w:sz w:val="24"/>
              </w:rPr>
            </w:pPr>
            <w:r>
              <w:rPr>
                <w:rFonts w:hint="eastAsia" w:ascii="宋体" w:hAnsi="宋体"/>
                <w:b/>
                <w:color w:val="auto"/>
                <w:sz w:val="24"/>
              </w:rPr>
              <w:t>综合折扣</w:t>
            </w:r>
            <w:r>
              <w:rPr>
                <w:rFonts w:hint="eastAsia" w:ascii="宋体" w:hAnsi="宋体"/>
                <w:b/>
                <w:color w:val="auto"/>
                <w:sz w:val="24"/>
                <w:u w:val="single"/>
              </w:rPr>
              <w:t xml:space="preserve">     </w:t>
            </w:r>
            <w:r>
              <w:rPr>
                <w:rFonts w:hint="eastAsia" w:ascii="宋体" w:hAnsi="宋体"/>
                <w:b/>
                <w:color w:val="auto"/>
                <w:sz w:val="24"/>
              </w:rPr>
              <w:t>%</w:t>
            </w:r>
          </w:p>
        </w:tc>
      </w:tr>
    </w:tbl>
    <w:p w14:paraId="222A8EF0">
      <w:pPr>
        <w:shd w:val="clear"/>
        <w:spacing w:before="156" w:line="360" w:lineRule="auto"/>
        <w:ind w:firstLine="241"/>
        <w:rPr>
          <w:rFonts w:ascii="宋体" w:hAnsi="宋体"/>
          <w:b/>
          <w:color w:val="auto"/>
          <w:sz w:val="24"/>
        </w:rPr>
      </w:pPr>
      <w:r>
        <w:rPr>
          <w:rFonts w:hint="eastAsia" w:ascii="宋体" w:hAnsi="宋体" w:cs="仿宋"/>
          <w:b/>
          <w:color w:val="auto"/>
          <w:kern w:val="0"/>
          <w:sz w:val="24"/>
          <w:lang w:val="zh-CN"/>
        </w:rPr>
        <w:t>注：</w:t>
      </w:r>
      <w:r>
        <w:rPr>
          <w:rFonts w:hint="eastAsia" w:ascii="宋体" w:hAnsi="宋体"/>
          <w:b/>
          <w:color w:val="auto"/>
          <w:sz w:val="24"/>
        </w:rPr>
        <w:t>1、</w:t>
      </w:r>
      <w:r>
        <w:rPr>
          <w:rFonts w:hint="eastAsia" w:ascii="宋体" w:hAnsi="宋体"/>
          <w:b/>
          <w:color w:val="auto"/>
          <w:sz w:val="24"/>
          <w:u w:val="single"/>
        </w:rPr>
        <w:t>磋商报价折扣以“%”的形式填写。</w:t>
      </w:r>
      <w:r>
        <w:rPr>
          <w:rFonts w:hint="eastAsia"/>
          <w:b/>
          <w:color w:val="auto"/>
          <w:sz w:val="24"/>
          <w:u w:val="single"/>
        </w:rPr>
        <w:t>本次项目设有最高综合折扣（94%），未按折扣进行报价或超过最高综合折扣进行报价的磋商响应文件作无效处理。</w:t>
      </w:r>
    </w:p>
    <w:p w14:paraId="76655EF0">
      <w:pPr>
        <w:shd w:val="clear"/>
        <w:snapToGrid w:val="0"/>
        <w:spacing w:before="156" w:line="360" w:lineRule="auto"/>
        <w:ind w:left="480" w:firstLine="240"/>
        <w:rPr>
          <w:rFonts w:ascii="宋体" w:hAnsi="宋体" w:cs="仿宋"/>
          <w:b/>
          <w:color w:val="auto"/>
          <w:kern w:val="0"/>
          <w:sz w:val="24"/>
          <w:lang w:val="zh-CN"/>
        </w:rPr>
      </w:pPr>
      <w:r>
        <w:rPr>
          <w:rFonts w:hint="eastAsia" w:ascii="宋体" w:hAnsi="宋体"/>
          <w:color w:val="auto"/>
          <w:sz w:val="24"/>
        </w:rPr>
        <w:t>2</w:t>
      </w:r>
      <w:r>
        <w:rPr>
          <w:rFonts w:ascii="宋体" w:hAnsi="宋体"/>
          <w:color w:val="auto"/>
          <w:sz w:val="24"/>
        </w:rPr>
        <w:t>、报价一经涂改，应在涂改处加盖单位公章或者由法定代表人或授权委托人签名或盖章，否则其</w:t>
      </w:r>
      <w:r>
        <w:rPr>
          <w:rFonts w:hint="eastAsia" w:ascii="宋体" w:hAnsi="宋体"/>
          <w:color w:val="auto"/>
          <w:sz w:val="24"/>
        </w:rPr>
        <w:t>磋商</w:t>
      </w:r>
      <w:r>
        <w:rPr>
          <w:rFonts w:ascii="宋体" w:hAnsi="宋体"/>
          <w:color w:val="auto"/>
          <w:sz w:val="24"/>
        </w:rPr>
        <w:t>响应文件作无效标处理。</w:t>
      </w:r>
    </w:p>
    <w:p w14:paraId="2308A9C8">
      <w:pPr>
        <w:shd w:val="clear"/>
        <w:spacing w:before="156" w:line="360" w:lineRule="auto"/>
        <w:ind w:left="-2" w:leftChars="-1" w:firstLine="480" w:firstLineChars="200"/>
        <w:rPr>
          <w:rFonts w:ascii="宋体" w:hAnsi="宋体" w:cs="仿宋"/>
          <w:color w:val="auto"/>
          <w:kern w:val="0"/>
          <w:sz w:val="24"/>
          <w:lang w:val="zh-CN"/>
        </w:rPr>
      </w:pPr>
      <w:r>
        <w:rPr>
          <w:rFonts w:hint="eastAsia" w:ascii="宋体" w:hAnsi="宋体" w:cs="仿宋"/>
          <w:color w:val="auto"/>
          <w:kern w:val="0"/>
          <w:sz w:val="24"/>
          <w:lang w:val="zh-CN"/>
        </w:rPr>
        <w:t>1、供应商需按本表格式填写，不得自行更改。</w:t>
      </w:r>
    </w:p>
    <w:p w14:paraId="40F1A88C">
      <w:pPr>
        <w:shd w:val="clear"/>
        <w:snapToGrid w:val="0"/>
        <w:spacing w:before="156" w:line="360" w:lineRule="auto"/>
        <w:ind w:firstLine="480" w:firstLineChars="200"/>
        <w:jc w:val="left"/>
        <w:rPr>
          <w:rFonts w:asciiTheme="minorEastAsia" w:hAnsiTheme="minorEastAsia" w:eastAsiaTheme="minorEastAsia" w:cstheme="minorEastAsia"/>
          <w:color w:val="auto"/>
          <w:sz w:val="32"/>
          <w:szCs w:val="32"/>
        </w:rPr>
      </w:pPr>
      <w:r>
        <w:rPr>
          <w:rFonts w:hint="eastAsia" w:ascii="宋体" w:hAnsi="宋体" w:cs="仿宋"/>
          <w:color w:val="auto"/>
          <w:kern w:val="0"/>
          <w:sz w:val="24"/>
          <w:lang w:val="zh-CN"/>
        </w:rPr>
        <w:t>2、有关本项目实施所涉及的一切费用均计入报价。</w:t>
      </w:r>
      <w:r>
        <w:rPr>
          <w:rFonts w:hint="eastAsia" w:ascii="宋体" w:hAnsi="宋体" w:cs="仿宋"/>
          <w:b/>
          <w:color w:val="auto"/>
          <w:kern w:val="0"/>
          <w:sz w:val="24"/>
          <w:lang w:val="zh-CN"/>
        </w:rPr>
        <w:t>采购人将以合同形式有偿取得货物或服务，不接受供应商给予的赠品、回扣或者与采购无关的其他商品、服务</w:t>
      </w:r>
      <w:r>
        <w:rPr>
          <w:rFonts w:hint="eastAsia" w:ascii="宋体" w:hAnsi="宋体" w:cs="仿宋"/>
          <w:color w:val="auto"/>
          <w:kern w:val="0"/>
          <w:sz w:val="24"/>
          <w:lang w:val="zh-CN"/>
        </w:rPr>
        <w:t>，</w:t>
      </w:r>
      <w:r>
        <w:rPr>
          <w:rFonts w:hint="eastAsia" w:ascii="宋体" w:hAnsi="宋体" w:cs="仿宋"/>
          <w:b/>
          <w:color w:val="auto"/>
          <w:kern w:val="0"/>
          <w:sz w:val="24"/>
          <w:lang w:val="zh-CN"/>
        </w:rPr>
        <w:t>不得出现“0元”“免费赠送”等形式的无偿报价，</w:t>
      </w:r>
      <w:r>
        <w:rPr>
          <w:rFonts w:hint="eastAsia" w:ascii="宋体" w:hAnsi="宋体" w:cs="仿宋"/>
          <w:b/>
          <w:color w:val="auto"/>
          <w:kern w:val="0"/>
          <w:sz w:val="24"/>
        </w:rPr>
        <w:t>否则视为</w:t>
      </w:r>
      <w:r>
        <w:rPr>
          <w:rFonts w:hint="eastAsia" w:ascii="宋体" w:hAnsi="宋体" w:cs="仿宋"/>
          <w:b/>
          <w:color w:val="auto"/>
          <w:sz w:val="24"/>
        </w:rPr>
        <w:t>磋商响应文件含有采购人不能接受的附加条件的，磋商响应文件无效</w:t>
      </w:r>
      <w:r>
        <w:rPr>
          <w:rFonts w:hint="eastAsia" w:ascii="宋体" w:hAnsi="宋体" w:cs="仿宋"/>
          <w:b/>
          <w:color w:val="auto"/>
          <w:kern w:val="0"/>
          <w:sz w:val="24"/>
          <w:lang w:val="zh-CN"/>
        </w:rPr>
        <w:t>。</w:t>
      </w:r>
    </w:p>
    <w:p w14:paraId="57D5AD13">
      <w:pPr>
        <w:shd w:val="clear"/>
        <w:spacing w:before="156" w:line="360" w:lineRule="auto"/>
        <w:ind w:firstLine="240"/>
        <w:rPr>
          <w:rFonts w:asciiTheme="minorEastAsia" w:hAnsiTheme="minorEastAsia" w:eastAsiaTheme="minorEastAsia" w:cstheme="minorEastAsia"/>
          <w:color w:val="auto"/>
          <w:sz w:val="24"/>
        </w:rPr>
      </w:pPr>
    </w:p>
    <w:p w14:paraId="0032388C">
      <w:pPr>
        <w:shd w:val="clear"/>
        <w:snapToGrid w:val="0"/>
        <w:spacing w:before="156" w:line="360" w:lineRule="auto"/>
        <w:ind w:firstLine="480" w:firstLineChars="20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 xml:space="preserve">法定代表人或其授权委托人（签名或印章）：  </w:t>
      </w:r>
    </w:p>
    <w:p w14:paraId="325CCDE5">
      <w:pPr>
        <w:shd w:val="clear"/>
        <w:snapToGrid w:val="0"/>
        <w:spacing w:before="156" w:line="360" w:lineRule="auto"/>
        <w:ind w:firstLine="480" w:firstLineChars="20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 xml:space="preserve">供应商（盖章）：         </w:t>
      </w:r>
    </w:p>
    <w:p w14:paraId="0C03F675">
      <w:pPr>
        <w:shd w:val="clear"/>
        <w:snapToGrid w:val="0"/>
        <w:spacing w:before="156" w:line="360" w:lineRule="auto"/>
        <w:ind w:firstLine="480" w:firstLineChars="20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日  期：</w:t>
      </w:r>
    </w:p>
    <w:p w14:paraId="1469B0A0">
      <w:pPr>
        <w:shd w:val="clear"/>
        <w:spacing w:before="156"/>
        <w:ind w:firstLine="1920" w:firstLineChars="800"/>
        <w:rPr>
          <w:rFonts w:asciiTheme="minorEastAsia" w:hAnsiTheme="minorEastAsia" w:eastAsiaTheme="minorEastAsia" w:cstheme="minorEastAsia"/>
          <w:b/>
          <w:color w:val="auto"/>
          <w:spacing w:val="6"/>
          <w:sz w:val="32"/>
          <w:szCs w:val="32"/>
        </w:rPr>
      </w:pPr>
      <w:r>
        <w:rPr>
          <w:rFonts w:hint="eastAsia" w:asciiTheme="minorEastAsia" w:hAnsiTheme="minorEastAsia" w:eastAsiaTheme="minorEastAsia" w:cstheme="minorEastAsia"/>
          <w:color w:val="auto"/>
          <w:sz w:val="24"/>
        </w:rPr>
        <w:br w:type="page"/>
      </w:r>
      <w:r>
        <w:rPr>
          <w:rFonts w:hint="eastAsia" w:asciiTheme="minorEastAsia" w:hAnsiTheme="minorEastAsia" w:eastAsiaTheme="minorEastAsia" w:cstheme="minorEastAsia"/>
          <w:b/>
          <w:color w:val="auto"/>
          <w:spacing w:val="6"/>
          <w:sz w:val="32"/>
          <w:szCs w:val="32"/>
        </w:rPr>
        <w:t>二、</w:t>
      </w:r>
      <w:r>
        <w:rPr>
          <w:rFonts w:hint="eastAsia" w:asciiTheme="minorEastAsia" w:hAnsiTheme="minorEastAsia" w:eastAsiaTheme="minorEastAsia" w:cstheme="minorEastAsia"/>
          <w:b/>
          <w:color w:val="auto"/>
          <w:sz w:val="32"/>
          <w:szCs w:val="32"/>
        </w:rPr>
        <w:t>采购统计基础信息</w:t>
      </w:r>
      <w:r>
        <w:rPr>
          <w:rFonts w:hint="eastAsia" w:asciiTheme="minorEastAsia" w:hAnsiTheme="minorEastAsia" w:eastAsiaTheme="minorEastAsia" w:cstheme="minorEastAsia"/>
          <w:b/>
          <w:color w:val="auto"/>
          <w:spacing w:val="6"/>
          <w:sz w:val="32"/>
          <w:szCs w:val="32"/>
        </w:rPr>
        <w:t>表</w:t>
      </w:r>
    </w:p>
    <w:p w14:paraId="1A9D82ED">
      <w:pPr>
        <w:pStyle w:val="35"/>
        <w:shd w:val="clear"/>
        <w:spacing w:before="156" w:line="360" w:lineRule="auto"/>
        <w:ind w:firstLine="0" w:firstLineChars="0"/>
        <w:rPr>
          <w:rFonts w:asciiTheme="minorEastAsia" w:hAnsiTheme="minorEastAsia" w:eastAsiaTheme="minorEastAsia" w:cstheme="minorEastAsia"/>
          <w:color w:val="auto"/>
        </w:rPr>
      </w:pPr>
    </w:p>
    <w:tbl>
      <w:tblPr>
        <w:tblStyle w:val="27"/>
        <w:tblW w:w="8537" w:type="dxa"/>
        <w:jc w:val="center"/>
        <w:tblLayout w:type="fixed"/>
        <w:tblCellMar>
          <w:top w:w="0" w:type="dxa"/>
          <w:left w:w="108" w:type="dxa"/>
          <w:bottom w:w="0" w:type="dxa"/>
          <w:right w:w="108" w:type="dxa"/>
        </w:tblCellMar>
      </w:tblPr>
      <w:tblGrid>
        <w:gridCol w:w="4998"/>
        <w:gridCol w:w="3539"/>
      </w:tblGrid>
      <w:tr w14:paraId="328B7123">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41358A15">
            <w:pPr>
              <w:shd w:val="clear"/>
              <w:adjustRightInd w:val="0"/>
              <w:spacing w:before="156" w:line="360" w:lineRule="auto"/>
              <w:ind w:firstLine="24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采购人及采购项目名称</w:t>
            </w:r>
          </w:p>
        </w:tc>
        <w:tc>
          <w:tcPr>
            <w:tcW w:w="3539" w:type="dxa"/>
            <w:tcBorders>
              <w:top w:val="single" w:color="000000" w:sz="4" w:space="0"/>
              <w:left w:val="nil"/>
              <w:bottom w:val="single" w:color="000000" w:sz="4" w:space="0"/>
              <w:right w:val="single" w:color="000000" w:sz="4" w:space="0"/>
            </w:tcBorders>
          </w:tcPr>
          <w:p w14:paraId="7331AC25">
            <w:pPr>
              <w:shd w:val="clear"/>
              <w:spacing w:before="156" w:line="360" w:lineRule="auto"/>
              <w:ind w:firstLine="210"/>
              <w:rPr>
                <w:rFonts w:asciiTheme="minorEastAsia" w:hAnsiTheme="minorEastAsia" w:eastAsiaTheme="minorEastAsia" w:cstheme="minorEastAsia"/>
                <w:color w:val="auto"/>
              </w:rPr>
            </w:pPr>
          </w:p>
        </w:tc>
      </w:tr>
      <w:tr w14:paraId="280819DD">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05AA3677">
            <w:pPr>
              <w:shd w:val="clear"/>
              <w:adjustRightInd w:val="0"/>
              <w:spacing w:before="156" w:line="360" w:lineRule="auto"/>
              <w:ind w:firstLine="24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供应商名称</w:t>
            </w:r>
          </w:p>
        </w:tc>
        <w:tc>
          <w:tcPr>
            <w:tcW w:w="3539" w:type="dxa"/>
            <w:tcBorders>
              <w:top w:val="single" w:color="000000" w:sz="4" w:space="0"/>
              <w:left w:val="nil"/>
              <w:bottom w:val="single" w:color="000000" w:sz="4" w:space="0"/>
              <w:right w:val="single" w:color="000000" w:sz="4" w:space="0"/>
            </w:tcBorders>
          </w:tcPr>
          <w:p w14:paraId="1184B1C4">
            <w:pPr>
              <w:shd w:val="clear"/>
              <w:spacing w:before="156" w:line="360" w:lineRule="auto"/>
              <w:ind w:firstLine="210"/>
              <w:rPr>
                <w:rFonts w:asciiTheme="minorEastAsia" w:hAnsiTheme="minorEastAsia" w:eastAsiaTheme="minorEastAsia" w:cstheme="minorEastAsia"/>
                <w:color w:val="auto"/>
              </w:rPr>
            </w:pPr>
          </w:p>
        </w:tc>
      </w:tr>
      <w:tr w14:paraId="1E840E9C">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40C95C8C">
            <w:pPr>
              <w:shd w:val="clear"/>
              <w:adjustRightInd w:val="0"/>
              <w:spacing w:before="156" w:line="360" w:lineRule="auto"/>
              <w:ind w:firstLine="24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供应商是否为外商投资企业</w:t>
            </w:r>
          </w:p>
        </w:tc>
        <w:tc>
          <w:tcPr>
            <w:tcW w:w="3539" w:type="dxa"/>
            <w:tcBorders>
              <w:top w:val="single" w:color="000000" w:sz="4" w:space="0"/>
              <w:left w:val="nil"/>
              <w:bottom w:val="single" w:color="000000" w:sz="4" w:space="0"/>
              <w:right w:val="single" w:color="000000" w:sz="4" w:space="0"/>
            </w:tcBorders>
          </w:tcPr>
          <w:p w14:paraId="3153B28E">
            <w:pPr>
              <w:shd w:val="clear"/>
              <w:spacing w:before="156" w:line="360" w:lineRule="auto"/>
              <w:ind w:firstLine="210"/>
              <w:rPr>
                <w:rFonts w:asciiTheme="minorEastAsia" w:hAnsiTheme="minorEastAsia" w:eastAsiaTheme="minorEastAsia" w:cstheme="minorEastAsia"/>
                <w:color w:val="auto"/>
              </w:rPr>
            </w:pPr>
          </w:p>
        </w:tc>
      </w:tr>
      <w:tr w14:paraId="29F9FA44">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2E9C97E1">
            <w:pPr>
              <w:shd w:val="clear"/>
              <w:adjustRightInd w:val="0"/>
              <w:spacing w:before="156" w:line="360" w:lineRule="auto"/>
              <w:ind w:firstLine="24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供应商是否为宁波企业</w:t>
            </w:r>
          </w:p>
        </w:tc>
        <w:tc>
          <w:tcPr>
            <w:tcW w:w="3539" w:type="dxa"/>
            <w:tcBorders>
              <w:top w:val="single" w:color="000000" w:sz="4" w:space="0"/>
              <w:left w:val="nil"/>
              <w:bottom w:val="single" w:color="000000" w:sz="4" w:space="0"/>
              <w:right w:val="single" w:color="000000" w:sz="4" w:space="0"/>
            </w:tcBorders>
          </w:tcPr>
          <w:p w14:paraId="6E27E26E">
            <w:pPr>
              <w:shd w:val="clear"/>
              <w:spacing w:before="156" w:line="360" w:lineRule="auto"/>
              <w:ind w:firstLine="210"/>
              <w:rPr>
                <w:rFonts w:asciiTheme="minorEastAsia" w:hAnsiTheme="minorEastAsia" w:eastAsiaTheme="minorEastAsia" w:cstheme="minorEastAsia"/>
                <w:color w:val="auto"/>
              </w:rPr>
            </w:pPr>
          </w:p>
        </w:tc>
      </w:tr>
      <w:tr w14:paraId="0C6BE78B">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724ECE89">
            <w:pPr>
              <w:shd w:val="clear"/>
              <w:adjustRightInd w:val="0"/>
              <w:spacing w:before="156" w:line="360" w:lineRule="auto"/>
              <w:ind w:firstLine="24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企业划分标准类型（大型、中型、小型、微型）</w:t>
            </w:r>
          </w:p>
        </w:tc>
        <w:tc>
          <w:tcPr>
            <w:tcW w:w="3539" w:type="dxa"/>
            <w:tcBorders>
              <w:top w:val="single" w:color="000000" w:sz="4" w:space="0"/>
              <w:left w:val="nil"/>
              <w:bottom w:val="single" w:color="000000" w:sz="4" w:space="0"/>
              <w:right w:val="single" w:color="000000" w:sz="4" w:space="0"/>
            </w:tcBorders>
          </w:tcPr>
          <w:p w14:paraId="3E9C7C86">
            <w:pPr>
              <w:shd w:val="clear"/>
              <w:spacing w:before="156" w:line="360" w:lineRule="auto"/>
              <w:ind w:firstLine="210"/>
              <w:rPr>
                <w:rFonts w:asciiTheme="minorEastAsia" w:hAnsiTheme="minorEastAsia" w:eastAsiaTheme="minorEastAsia" w:cstheme="minorEastAsia"/>
                <w:color w:val="auto"/>
              </w:rPr>
            </w:pPr>
          </w:p>
        </w:tc>
      </w:tr>
      <w:tr w14:paraId="37423E96">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1F627043">
            <w:pPr>
              <w:shd w:val="clear"/>
              <w:adjustRightInd w:val="0"/>
              <w:spacing w:before="156" w:line="360" w:lineRule="auto"/>
              <w:ind w:firstLine="24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提供的货物是否本企业制造</w:t>
            </w:r>
          </w:p>
        </w:tc>
        <w:tc>
          <w:tcPr>
            <w:tcW w:w="3539" w:type="dxa"/>
            <w:tcBorders>
              <w:top w:val="single" w:color="000000" w:sz="4" w:space="0"/>
              <w:left w:val="nil"/>
              <w:bottom w:val="single" w:color="000000" w:sz="4" w:space="0"/>
              <w:right w:val="single" w:color="000000" w:sz="4" w:space="0"/>
            </w:tcBorders>
          </w:tcPr>
          <w:p w14:paraId="7B0E3AF7">
            <w:pPr>
              <w:shd w:val="clear"/>
              <w:spacing w:before="156" w:line="360" w:lineRule="auto"/>
              <w:ind w:firstLine="210"/>
              <w:rPr>
                <w:rFonts w:asciiTheme="minorEastAsia" w:hAnsiTheme="minorEastAsia" w:eastAsiaTheme="minorEastAsia" w:cstheme="minorEastAsia"/>
                <w:color w:val="auto"/>
              </w:rPr>
            </w:pPr>
          </w:p>
        </w:tc>
      </w:tr>
      <w:tr w14:paraId="3645F653">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5DE8B516">
            <w:pPr>
              <w:shd w:val="clear"/>
              <w:adjustRightInd w:val="0"/>
              <w:spacing w:before="156" w:line="360" w:lineRule="auto"/>
              <w:ind w:firstLine="24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货物原产地国别</w:t>
            </w:r>
          </w:p>
        </w:tc>
        <w:tc>
          <w:tcPr>
            <w:tcW w:w="3539" w:type="dxa"/>
            <w:tcBorders>
              <w:top w:val="single" w:color="000000" w:sz="4" w:space="0"/>
              <w:left w:val="nil"/>
              <w:bottom w:val="single" w:color="000000" w:sz="4" w:space="0"/>
              <w:right w:val="single" w:color="000000" w:sz="4" w:space="0"/>
            </w:tcBorders>
          </w:tcPr>
          <w:p w14:paraId="6E571358">
            <w:pPr>
              <w:shd w:val="clear"/>
              <w:spacing w:before="156" w:line="360" w:lineRule="auto"/>
              <w:ind w:firstLine="210"/>
              <w:rPr>
                <w:rFonts w:asciiTheme="minorEastAsia" w:hAnsiTheme="minorEastAsia" w:eastAsiaTheme="minorEastAsia" w:cstheme="minorEastAsia"/>
                <w:color w:val="auto"/>
              </w:rPr>
            </w:pPr>
          </w:p>
        </w:tc>
      </w:tr>
      <w:tr w14:paraId="607DF27D">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560191EF">
            <w:pPr>
              <w:shd w:val="clear"/>
              <w:adjustRightInd w:val="0"/>
              <w:spacing w:before="156" w:line="360" w:lineRule="auto"/>
              <w:ind w:firstLine="24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提供的货物是否为节能清单产品</w:t>
            </w:r>
          </w:p>
        </w:tc>
        <w:tc>
          <w:tcPr>
            <w:tcW w:w="3539" w:type="dxa"/>
            <w:tcBorders>
              <w:top w:val="single" w:color="000000" w:sz="4" w:space="0"/>
              <w:left w:val="nil"/>
              <w:bottom w:val="single" w:color="000000" w:sz="4" w:space="0"/>
              <w:right w:val="single" w:color="000000" w:sz="4" w:space="0"/>
            </w:tcBorders>
          </w:tcPr>
          <w:p w14:paraId="452B1107">
            <w:pPr>
              <w:shd w:val="clear"/>
              <w:spacing w:before="156" w:line="360" w:lineRule="auto"/>
              <w:ind w:firstLine="210"/>
              <w:rPr>
                <w:rFonts w:asciiTheme="minorEastAsia" w:hAnsiTheme="minorEastAsia" w:eastAsiaTheme="minorEastAsia" w:cstheme="minorEastAsia"/>
                <w:color w:val="auto"/>
              </w:rPr>
            </w:pPr>
          </w:p>
        </w:tc>
      </w:tr>
      <w:tr w14:paraId="6231EB44">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5BDF22D5">
            <w:pPr>
              <w:shd w:val="clear"/>
              <w:adjustRightInd w:val="0"/>
              <w:spacing w:before="156" w:line="360" w:lineRule="auto"/>
              <w:ind w:firstLine="24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提供的货物是否为环境标志清单产品</w:t>
            </w:r>
          </w:p>
        </w:tc>
        <w:tc>
          <w:tcPr>
            <w:tcW w:w="3539" w:type="dxa"/>
            <w:tcBorders>
              <w:top w:val="single" w:color="000000" w:sz="4" w:space="0"/>
              <w:left w:val="nil"/>
              <w:bottom w:val="single" w:color="000000" w:sz="4" w:space="0"/>
              <w:right w:val="single" w:color="000000" w:sz="4" w:space="0"/>
            </w:tcBorders>
          </w:tcPr>
          <w:p w14:paraId="16D90D57">
            <w:pPr>
              <w:shd w:val="clear"/>
              <w:spacing w:before="156" w:line="360" w:lineRule="auto"/>
              <w:ind w:firstLine="210"/>
              <w:rPr>
                <w:rFonts w:asciiTheme="minorEastAsia" w:hAnsiTheme="minorEastAsia" w:eastAsiaTheme="minorEastAsia" w:cstheme="minorEastAsia"/>
                <w:color w:val="auto"/>
              </w:rPr>
            </w:pPr>
          </w:p>
        </w:tc>
      </w:tr>
      <w:tr w14:paraId="43C235AF">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10FE8325">
            <w:pPr>
              <w:shd w:val="clear"/>
              <w:adjustRightInd w:val="0"/>
              <w:spacing w:before="156" w:line="360" w:lineRule="auto"/>
              <w:ind w:firstLine="24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承担的工程或服务是否本企业提供</w:t>
            </w:r>
          </w:p>
        </w:tc>
        <w:tc>
          <w:tcPr>
            <w:tcW w:w="3539" w:type="dxa"/>
            <w:tcBorders>
              <w:top w:val="single" w:color="000000" w:sz="4" w:space="0"/>
              <w:left w:val="nil"/>
              <w:bottom w:val="single" w:color="000000" w:sz="4" w:space="0"/>
              <w:right w:val="single" w:color="000000" w:sz="4" w:space="0"/>
            </w:tcBorders>
          </w:tcPr>
          <w:p w14:paraId="4714E1DB">
            <w:pPr>
              <w:shd w:val="clear"/>
              <w:spacing w:before="156" w:line="360" w:lineRule="auto"/>
              <w:ind w:firstLine="210"/>
              <w:rPr>
                <w:rFonts w:asciiTheme="minorEastAsia" w:hAnsiTheme="minorEastAsia" w:eastAsiaTheme="minorEastAsia" w:cstheme="minorEastAsia"/>
                <w:color w:val="auto"/>
              </w:rPr>
            </w:pPr>
          </w:p>
        </w:tc>
      </w:tr>
    </w:tbl>
    <w:p w14:paraId="4C6EEBD4">
      <w:pPr>
        <w:shd w:val="clear"/>
        <w:adjustRightInd w:val="0"/>
        <w:spacing w:before="156" w:line="360" w:lineRule="auto"/>
        <w:ind w:firstLine="240"/>
        <w:jc w:val="left"/>
        <w:rPr>
          <w:rFonts w:asciiTheme="minorEastAsia" w:hAnsiTheme="minorEastAsia" w:eastAsiaTheme="minorEastAsia" w:cstheme="minorEastAsia"/>
          <w:color w:val="auto"/>
          <w:sz w:val="24"/>
        </w:rPr>
      </w:pPr>
    </w:p>
    <w:p w14:paraId="44D5155B">
      <w:pPr>
        <w:shd w:val="clear"/>
        <w:snapToGrid w:val="0"/>
        <w:spacing w:before="156" w:line="360" w:lineRule="auto"/>
        <w:ind w:firstLine="480" w:firstLineChars="20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备注：请各供应商务必填写此表作为响应文件的组成部分。</w:t>
      </w:r>
    </w:p>
    <w:p w14:paraId="0B5BE650">
      <w:pPr>
        <w:shd w:val="clear"/>
        <w:adjustRightInd w:val="0"/>
        <w:spacing w:before="156" w:line="360" w:lineRule="auto"/>
        <w:ind w:firstLine="240"/>
        <w:jc w:val="left"/>
        <w:rPr>
          <w:rFonts w:asciiTheme="minorEastAsia" w:hAnsiTheme="minorEastAsia" w:eastAsiaTheme="minorEastAsia" w:cstheme="minorEastAsia"/>
          <w:color w:val="auto"/>
          <w:sz w:val="24"/>
        </w:rPr>
      </w:pPr>
    </w:p>
    <w:p w14:paraId="7D4A1030">
      <w:pPr>
        <w:shd w:val="clear"/>
        <w:snapToGrid w:val="0"/>
        <w:spacing w:before="156" w:line="360" w:lineRule="auto"/>
        <w:ind w:firstLine="480" w:firstLineChars="200"/>
        <w:jc w:val="left"/>
        <w:rPr>
          <w:rFonts w:asciiTheme="minorEastAsia" w:hAnsiTheme="minorEastAsia" w:eastAsiaTheme="minorEastAsia" w:cstheme="minorEastAsia"/>
          <w:color w:val="auto"/>
          <w:kern w:val="0"/>
          <w:sz w:val="24"/>
          <w:lang w:val="zh-CN"/>
        </w:rPr>
      </w:pPr>
    </w:p>
    <w:p w14:paraId="339BA92A">
      <w:pPr>
        <w:shd w:val="clear"/>
        <w:snapToGrid w:val="0"/>
        <w:spacing w:before="156" w:line="360" w:lineRule="auto"/>
        <w:ind w:firstLine="480" w:firstLineChars="20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法定代表人或其授权委托人（签名或印章）：</w:t>
      </w:r>
    </w:p>
    <w:p w14:paraId="49AD5854">
      <w:pPr>
        <w:shd w:val="clear"/>
        <w:snapToGrid w:val="0"/>
        <w:spacing w:before="156" w:line="360" w:lineRule="auto"/>
        <w:ind w:firstLine="480" w:firstLineChars="20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供应商（盖章）：</w:t>
      </w:r>
    </w:p>
    <w:p w14:paraId="5B9737B0">
      <w:pPr>
        <w:shd w:val="clear"/>
        <w:snapToGrid w:val="0"/>
        <w:spacing w:before="156" w:line="360" w:lineRule="auto"/>
        <w:ind w:firstLine="480" w:firstLineChars="200"/>
        <w:jc w:val="left"/>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日期：</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2"/>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A2ED91">
    <w:pPr>
      <w:pStyle w:val="15"/>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w:t>
    </w:r>
  </w:p>
  <w:p w14:paraId="72660267">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EB3104">
    <w:pPr>
      <w:pStyle w:val="15"/>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w:t>
    </w:r>
  </w:p>
  <w:p w14:paraId="5B03B915">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9D7C4D">
    <w:pPr>
      <w:pStyle w:val="15"/>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w:t>
    </w:r>
  </w:p>
  <w:p w14:paraId="11610F81">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3DB706">
    <w:pPr>
      <w:pStyle w:val="15"/>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w:t>
    </w:r>
  </w:p>
  <w:p w14:paraId="75FA7F9B">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60A54A">
    <w:pPr>
      <w:pStyle w:val="16"/>
      <w:pBdr>
        <w:bottom w:val="none" w:color="auto" w:sz="0" w:space="0"/>
      </w:pBdr>
      <w:jc w:val="right"/>
      <w:rPr>
        <w:rFonts w:ascii="仿宋_GB2312" w:eastAsia="仿宋_GB2312"/>
        <w:b/>
        <w:i/>
        <w:u w:val="single"/>
      </w:rPr>
    </w:pPr>
    <w:r>
      <w:t></w:t>
    </w:r>
    <w:r>
      <w:rPr>
        <w:rFonts w:hint="eastAsia"/>
      </w:rPr>
      <w:t xml:space="preserve">                                               </w:t>
    </w:r>
  </w:p>
  <w:p w14:paraId="56141791">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479DCB">
    <w:pPr>
      <w:pStyle w:val="16"/>
      <w:pBdr>
        <w:bottom w:val="none" w:color="auto" w:sz="0" w:space="1"/>
      </w:pBdr>
      <w:jc w:val="right"/>
    </w:pPr>
    <w: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6ACBB0">
    <w:pPr>
      <w:pStyle w:val="16"/>
      <w:pBdr>
        <w:bottom w:val="none" w:color="auto" w:sz="0" w:space="1"/>
      </w:pBdr>
      <w:jc w:val="right"/>
      <w:rPr>
        <w:rFonts w:ascii="仿宋_GB2312" w:eastAsia="仿宋_GB2312"/>
        <w:b/>
        <w:i/>
        <w:u w:val="single"/>
      </w:rPr>
    </w:pPr>
    <w:r>
      <w:rPr>
        <w:rFonts w:hint="eastAsia"/>
      </w:rPr>
      <w:t xml:space="preserve">                                 </w:t>
    </w:r>
  </w:p>
  <w:p w14:paraId="3E272900">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EC101B">
    <w:pPr>
      <w:pStyle w:val="16"/>
      <w:pBdr>
        <w:bottom w:val="none" w:color="auto" w:sz="0" w:space="1"/>
      </w:pBdr>
      <w:jc w:val="right"/>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95BA21C"/>
    <w:multiLevelType w:val="singleLevel"/>
    <w:tmpl w:val="A95BA21C"/>
    <w:lvl w:ilvl="0" w:tentative="0">
      <w:start w:val="1"/>
      <w:numFmt w:val="decimal"/>
      <w:suff w:val="nothing"/>
      <w:lvlText w:val="%1．"/>
      <w:lvlJc w:val="left"/>
      <w:pPr>
        <w:ind w:left="3711" w:firstLine="400"/>
      </w:pPr>
      <w:rPr>
        <w:rFonts w:hint="default"/>
      </w:rPr>
    </w:lvl>
  </w:abstractNum>
  <w:abstractNum w:abstractNumId="1">
    <w:nsid w:val="2DC53F9C"/>
    <w:multiLevelType w:val="singleLevel"/>
    <w:tmpl w:val="2DC53F9C"/>
    <w:lvl w:ilvl="0" w:tentative="0">
      <w:start w:val="5"/>
      <w:numFmt w:val="chineseCounting"/>
      <w:suff w:val="space"/>
      <w:lvlText w:val="第%1部分"/>
      <w:lvlJc w:val="left"/>
      <w:rPr>
        <w:rFonts w:hint="eastAsia"/>
      </w:rPr>
    </w:lvl>
  </w:abstractNum>
  <w:abstractNum w:abstractNumId="2">
    <w:nsid w:val="46F47C2E"/>
    <w:multiLevelType w:val="singleLevel"/>
    <w:tmpl w:val="46F47C2E"/>
    <w:lvl w:ilvl="0" w:tentative="0">
      <w:start w:val="2"/>
      <w:numFmt w:val="decimal"/>
      <w:suff w:val="nothing"/>
      <w:lvlText w:val="%1、"/>
      <w:lvlJc w:val="left"/>
    </w:lvl>
  </w:abstractNum>
  <w:abstractNum w:abstractNumId="3">
    <w:nsid w:val="495C2BCE"/>
    <w:multiLevelType w:val="singleLevel"/>
    <w:tmpl w:val="495C2BCE"/>
    <w:lvl w:ilvl="0" w:tentative="0">
      <w:start w:val="1"/>
      <w:numFmt w:val="chineseCounting"/>
      <w:suff w:val="nothing"/>
      <w:lvlText w:val="%1、"/>
      <w:lvlJc w:val="left"/>
      <w:rPr>
        <w:rFonts w:hint="eastAsia"/>
      </w:rPr>
    </w:lvl>
  </w:abstractNum>
  <w:abstractNum w:abstractNumId="4">
    <w:nsid w:val="5030D621"/>
    <w:multiLevelType w:val="multilevel"/>
    <w:tmpl w:val="5030D621"/>
    <w:lvl w:ilvl="0" w:tentative="0">
      <w:start w:val="3"/>
      <w:numFmt w:val="decimal"/>
      <w:lvlText w:val="%1."/>
      <w:lvlJc w:val="left"/>
      <w:pPr>
        <w:tabs>
          <w:tab w:val="left" w:pos="312"/>
        </w:tabs>
      </w:pPr>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num w:numId="1">
    <w:abstractNumId w:val="0"/>
  </w:num>
  <w:num w:numId="2">
    <w:abstractNumId w:val="4"/>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GU3MzY4Zjc0ZWNjYmRkYWJhODU4Mzc2MjQ4ZWQ4ZmQifQ=="/>
  </w:docVars>
  <w:rsids>
    <w:rsidRoot w:val="004E6532"/>
    <w:rsid w:val="00002E3F"/>
    <w:rsid w:val="00004645"/>
    <w:rsid w:val="00021138"/>
    <w:rsid w:val="00023D48"/>
    <w:rsid w:val="0002482C"/>
    <w:rsid w:val="00034901"/>
    <w:rsid w:val="00036406"/>
    <w:rsid w:val="00052644"/>
    <w:rsid w:val="000633A9"/>
    <w:rsid w:val="000664D1"/>
    <w:rsid w:val="000A380F"/>
    <w:rsid w:val="000A42DD"/>
    <w:rsid w:val="000F071B"/>
    <w:rsid w:val="000F49C7"/>
    <w:rsid w:val="00107D61"/>
    <w:rsid w:val="00127A19"/>
    <w:rsid w:val="00141566"/>
    <w:rsid w:val="00145660"/>
    <w:rsid w:val="001536CA"/>
    <w:rsid w:val="00153DD5"/>
    <w:rsid w:val="00161F39"/>
    <w:rsid w:val="0016702E"/>
    <w:rsid w:val="0016738B"/>
    <w:rsid w:val="001837D5"/>
    <w:rsid w:val="00183EE1"/>
    <w:rsid w:val="00184243"/>
    <w:rsid w:val="00187ED9"/>
    <w:rsid w:val="00192CA3"/>
    <w:rsid w:val="00195087"/>
    <w:rsid w:val="001969B6"/>
    <w:rsid w:val="001A0E98"/>
    <w:rsid w:val="001B5394"/>
    <w:rsid w:val="001C1F9C"/>
    <w:rsid w:val="001C4668"/>
    <w:rsid w:val="001D05FA"/>
    <w:rsid w:val="001E2A93"/>
    <w:rsid w:val="001E3291"/>
    <w:rsid w:val="001E523C"/>
    <w:rsid w:val="001F29BC"/>
    <w:rsid w:val="0020318E"/>
    <w:rsid w:val="00211E80"/>
    <w:rsid w:val="00224FF7"/>
    <w:rsid w:val="002622EF"/>
    <w:rsid w:val="002628D6"/>
    <w:rsid w:val="00266319"/>
    <w:rsid w:val="00267D9E"/>
    <w:rsid w:val="002725E3"/>
    <w:rsid w:val="00287020"/>
    <w:rsid w:val="002A0BE4"/>
    <w:rsid w:val="002A2159"/>
    <w:rsid w:val="002A7689"/>
    <w:rsid w:val="002C62DE"/>
    <w:rsid w:val="002D3699"/>
    <w:rsid w:val="002E1797"/>
    <w:rsid w:val="002F18CE"/>
    <w:rsid w:val="003049CC"/>
    <w:rsid w:val="00306111"/>
    <w:rsid w:val="003212F0"/>
    <w:rsid w:val="003320D1"/>
    <w:rsid w:val="00382391"/>
    <w:rsid w:val="00391D38"/>
    <w:rsid w:val="003923E5"/>
    <w:rsid w:val="00396CA2"/>
    <w:rsid w:val="003C300A"/>
    <w:rsid w:val="003F6AE7"/>
    <w:rsid w:val="00402E3B"/>
    <w:rsid w:val="004131AB"/>
    <w:rsid w:val="00427CDE"/>
    <w:rsid w:val="00433E4E"/>
    <w:rsid w:val="004369B5"/>
    <w:rsid w:val="004427C5"/>
    <w:rsid w:val="00447F48"/>
    <w:rsid w:val="004503D5"/>
    <w:rsid w:val="00453F9B"/>
    <w:rsid w:val="004914BA"/>
    <w:rsid w:val="004A3F9D"/>
    <w:rsid w:val="004D1150"/>
    <w:rsid w:val="004D176A"/>
    <w:rsid w:val="004D2F26"/>
    <w:rsid w:val="004D35F7"/>
    <w:rsid w:val="004E6532"/>
    <w:rsid w:val="004E6FDF"/>
    <w:rsid w:val="005059CF"/>
    <w:rsid w:val="005072DE"/>
    <w:rsid w:val="005104A4"/>
    <w:rsid w:val="00512653"/>
    <w:rsid w:val="00521C83"/>
    <w:rsid w:val="00523E94"/>
    <w:rsid w:val="00535688"/>
    <w:rsid w:val="0054723B"/>
    <w:rsid w:val="00554F92"/>
    <w:rsid w:val="00556954"/>
    <w:rsid w:val="0056214E"/>
    <w:rsid w:val="005737B6"/>
    <w:rsid w:val="005768FE"/>
    <w:rsid w:val="005A4DEB"/>
    <w:rsid w:val="005C3A2F"/>
    <w:rsid w:val="005C62F2"/>
    <w:rsid w:val="005D5B94"/>
    <w:rsid w:val="005E311D"/>
    <w:rsid w:val="005E7505"/>
    <w:rsid w:val="006025D5"/>
    <w:rsid w:val="006132B3"/>
    <w:rsid w:val="00616EEA"/>
    <w:rsid w:val="00621873"/>
    <w:rsid w:val="00627B17"/>
    <w:rsid w:val="00656334"/>
    <w:rsid w:val="00664BC8"/>
    <w:rsid w:val="006721D3"/>
    <w:rsid w:val="006924F5"/>
    <w:rsid w:val="006925CB"/>
    <w:rsid w:val="006D6A57"/>
    <w:rsid w:val="006F3767"/>
    <w:rsid w:val="00700B46"/>
    <w:rsid w:val="00701BF6"/>
    <w:rsid w:val="00713578"/>
    <w:rsid w:val="00720146"/>
    <w:rsid w:val="0072267F"/>
    <w:rsid w:val="007403D0"/>
    <w:rsid w:val="0074580E"/>
    <w:rsid w:val="00771BC5"/>
    <w:rsid w:val="00777D7E"/>
    <w:rsid w:val="007800AF"/>
    <w:rsid w:val="007B204D"/>
    <w:rsid w:val="007B4D8A"/>
    <w:rsid w:val="007C31A6"/>
    <w:rsid w:val="007D62EE"/>
    <w:rsid w:val="007E6E06"/>
    <w:rsid w:val="00801E40"/>
    <w:rsid w:val="00803953"/>
    <w:rsid w:val="0081539A"/>
    <w:rsid w:val="008176C9"/>
    <w:rsid w:val="008277C4"/>
    <w:rsid w:val="0083755C"/>
    <w:rsid w:val="0085433C"/>
    <w:rsid w:val="00877893"/>
    <w:rsid w:val="008859D0"/>
    <w:rsid w:val="0089085D"/>
    <w:rsid w:val="008A29D8"/>
    <w:rsid w:val="008A62ED"/>
    <w:rsid w:val="008C70DC"/>
    <w:rsid w:val="008F08A4"/>
    <w:rsid w:val="00911A8C"/>
    <w:rsid w:val="00926E98"/>
    <w:rsid w:val="00941A63"/>
    <w:rsid w:val="00953B8E"/>
    <w:rsid w:val="00975E2D"/>
    <w:rsid w:val="00977913"/>
    <w:rsid w:val="009821A7"/>
    <w:rsid w:val="009B3568"/>
    <w:rsid w:val="009D1BF4"/>
    <w:rsid w:val="009D2229"/>
    <w:rsid w:val="009D7CB5"/>
    <w:rsid w:val="009F03FB"/>
    <w:rsid w:val="009F62BE"/>
    <w:rsid w:val="00A05BD4"/>
    <w:rsid w:val="00A21E24"/>
    <w:rsid w:val="00A22DD3"/>
    <w:rsid w:val="00A46132"/>
    <w:rsid w:val="00A54768"/>
    <w:rsid w:val="00A56428"/>
    <w:rsid w:val="00A57E19"/>
    <w:rsid w:val="00A71625"/>
    <w:rsid w:val="00A76595"/>
    <w:rsid w:val="00AC321F"/>
    <w:rsid w:val="00AF09DF"/>
    <w:rsid w:val="00B02217"/>
    <w:rsid w:val="00B218EF"/>
    <w:rsid w:val="00B230F3"/>
    <w:rsid w:val="00B258CD"/>
    <w:rsid w:val="00B45DE7"/>
    <w:rsid w:val="00B85239"/>
    <w:rsid w:val="00B924DF"/>
    <w:rsid w:val="00BB56F4"/>
    <w:rsid w:val="00BB78CF"/>
    <w:rsid w:val="00BC3481"/>
    <w:rsid w:val="00BE700F"/>
    <w:rsid w:val="00C009F8"/>
    <w:rsid w:val="00C15B95"/>
    <w:rsid w:val="00C43C54"/>
    <w:rsid w:val="00C73030"/>
    <w:rsid w:val="00C73F83"/>
    <w:rsid w:val="00C8041D"/>
    <w:rsid w:val="00CA2F82"/>
    <w:rsid w:val="00CA5B51"/>
    <w:rsid w:val="00CA758F"/>
    <w:rsid w:val="00CB0E79"/>
    <w:rsid w:val="00CD3472"/>
    <w:rsid w:val="00CE0209"/>
    <w:rsid w:val="00D10611"/>
    <w:rsid w:val="00D10684"/>
    <w:rsid w:val="00D20E3E"/>
    <w:rsid w:val="00D33EBA"/>
    <w:rsid w:val="00D43C04"/>
    <w:rsid w:val="00D447BA"/>
    <w:rsid w:val="00D46994"/>
    <w:rsid w:val="00D63DA1"/>
    <w:rsid w:val="00D72DA0"/>
    <w:rsid w:val="00D90039"/>
    <w:rsid w:val="00D973B3"/>
    <w:rsid w:val="00DD4C6D"/>
    <w:rsid w:val="00DF6AFA"/>
    <w:rsid w:val="00E148E4"/>
    <w:rsid w:val="00E2034C"/>
    <w:rsid w:val="00E57D56"/>
    <w:rsid w:val="00E65A54"/>
    <w:rsid w:val="00E67ECB"/>
    <w:rsid w:val="00E7608A"/>
    <w:rsid w:val="00E77EED"/>
    <w:rsid w:val="00E852B1"/>
    <w:rsid w:val="00EB7D3C"/>
    <w:rsid w:val="00EC3F89"/>
    <w:rsid w:val="00ED5412"/>
    <w:rsid w:val="00F01506"/>
    <w:rsid w:val="00F05B21"/>
    <w:rsid w:val="00F20EE6"/>
    <w:rsid w:val="00F330A6"/>
    <w:rsid w:val="00F41703"/>
    <w:rsid w:val="00F451EA"/>
    <w:rsid w:val="00F710EB"/>
    <w:rsid w:val="00F73095"/>
    <w:rsid w:val="00F75C3C"/>
    <w:rsid w:val="00F91CD1"/>
    <w:rsid w:val="00FA232C"/>
    <w:rsid w:val="00FB3DEC"/>
    <w:rsid w:val="00FC251C"/>
    <w:rsid w:val="00FC4926"/>
    <w:rsid w:val="00FE4389"/>
    <w:rsid w:val="01190775"/>
    <w:rsid w:val="017E3702"/>
    <w:rsid w:val="022507A0"/>
    <w:rsid w:val="029C46B6"/>
    <w:rsid w:val="02FF0DA1"/>
    <w:rsid w:val="04133956"/>
    <w:rsid w:val="04330EDE"/>
    <w:rsid w:val="043F7883"/>
    <w:rsid w:val="04694D1C"/>
    <w:rsid w:val="04756284"/>
    <w:rsid w:val="05C46291"/>
    <w:rsid w:val="064C314F"/>
    <w:rsid w:val="065A1D10"/>
    <w:rsid w:val="06FC438C"/>
    <w:rsid w:val="08153A45"/>
    <w:rsid w:val="08C43072"/>
    <w:rsid w:val="08D31906"/>
    <w:rsid w:val="08EC5795"/>
    <w:rsid w:val="08F04266"/>
    <w:rsid w:val="08FC70AE"/>
    <w:rsid w:val="0A042457"/>
    <w:rsid w:val="0AEF28D2"/>
    <w:rsid w:val="0B095AB3"/>
    <w:rsid w:val="0C436DA2"/>
    <w:rsid w:val="0CCA783C"/>
    <w:rsid w:val="0D014A54"/>
    <w:rsid w:val="0D0504FC"/>
    <w:rsid w:val="0D97522D"/>
    <w:rsid w:val="0DCE6B40"/>
    <w:rsid w:val="0E9E4764"/>
    <w:rsid w:val="0ECE36AE"/>
    <w:rsid w:val="101C0036"/>
    <w:rsid w:val="10826462"/>
    <w:rsid w:val="10831E66"/>
    <w:rsid w:val="11B06C88"/>
    <w:rsid w:val="137C74D8"/>
    <w:rsid w:val="13CD7831"/>
    <w:rsid w:val="13E72483"/>
    <w:rsid w:val="14066032"/>
    <w:rsid w:val="142B4CEC"/>
    <w:rsid w:val="14635EBD"/>
    <w:rsid w:val="149071FA"/>
    <w:rsid w:val="150C577F"/>
    <w:rsid w:val="155E07DE"/>
    <w:rsid w:val="165E2A90"/>
    <w:rsid w:val="167977CF"/>
    <w:rsid w:val="167A1613"/>
    <w:rsid w:val="172F62D6"/>
    <w:rsid w:val="17552F75"/>
    <w:rsid w:val="17AC492E"/>
    <w:rsid w:val="17EC672F"/>
    <w:rsid w:val="181222ED"/>
    <w:rsid w:val="183463C4"/>
    <w:rsid w:val="18CF43F8"/>
    <w:rsid w:val="18DB244F"/>
    <w:rsid w:val="19B968F6"/>
    <w:rsid w:val="1A1A55E6"/>
    <w:rsid w:val="1ABD5311"/>
    <w:rsid w:val="1B2D0950"/>
    <w:rsid w:val="1B7E7809"/>
    <w:rsid w:val="1BD47C9F"/>
    <w:rsid w:val="1CEA33EA"/>
    <w:rsid w:val="1D780306"/>
    <w:rsid w:val="1DA358F3"/>
    <w:rsid w:val="1DB47B11"/>
    <w:rsid w:val="1DD87CBB"/>
    <w:rsid w:val="1DDC5928"/>
    <w:rsid w:val="1DE35D79"/>
    <w:rsid w:val="1E1676DD"/>
    <w:rsid w:val="1E522E75"/>
    <w:rsid w:val="1E8219AC"/>
    <w:rsid w:val="203A51A7"/>
    <w:rsid w:val="209669C5"/>
    <w:rsid w:val="22C73E32"/>
    <w:rsid w:val="235651B5"/>
    <w:rsid w:val="23A710EC"/>
    <w:rsid w:val="23F0560A"/>
    <w:rsid w:val="240E7E40"/>
    <w:rsid w:val="24681644"/>
    <w:rsid w:val="2538304D"/>
    <w:rsid w:val="253E0A44"/>
    <w:rsid w:val="25B763DF"/>
    <w:rsid w:val="25CF1F63"/>
    <w:rsid w:val="25F37999"/>
    <w:rsid w:val="267704A3"/>
    <w:rsid w:val="27002F0E"/>
    <w:rsid w:val="272A6E20"/>
    <w:rsid w:val="27545EB0"/>
    <w:rsid w:val="282C43E5"/>
    <w:rsid w:val="297E7214"/>
    <w:rsid w:val="2A0B7EDE"/>
    <w:rsid w:val="2A4C32D1"/>
    <w:rsid w:val="2BFC0FF0"/>
    <w:rsid w:val="2C091017"/>
    <w:rsid w:val="2C26606D"/>
    <w:rsid w:val="2C413D86"/>
    <w:rsid w:val="2CAB0320"/>
    <w:rsid w:val="2E7C0E64"/>
    <w:rsid w:val="307849BD"/>
    <w:rsid w:val="316A07AA"/>
    <w:rsid w:val="31D42AD9"/>
    <w:rsid w:val="339475AF"/>
    <w:rsid w:val="34F25146"/>
    <w:rsid w:val="355B0F59"/>
    <w:rsid w:val="359853D9"/>
    <w:rsid w:val="35C80418"/>
    <w:rsid w:val="35FC7E3E"/>
    <w:rsid w:val="360C1DD5"/>
    <w:rsid w:val="36D45640"/>
    <w:rsid w:val="370A0339"/>
    <w:rsid w:val="38121F62"/>
    <w:rsid w:val="385D6A11"/>
    <w:rsid w:val="39737207"/>
    <w:rsid w:val="3AF47A17"/>
    <w:rsid w:val="3B0500A6"/>
    <w:rsid w:val="3BC136BC"/>
    <w:rsid w:val="3C3025F0"/>
    <w:rsid w:val="3C3976F6"/>
    <w:rsid w:val="3C5928B0"/>
    <w:rsid w:val="3C8660E7"/>
    <w:rsid w:val="3CC01E92"/>
    <w:rsid w:val="3D034FD9"/>
    <w:rsid w:val="3D2708D9"/>
    <w:rsid w:val="3D470DCF"/>
    <w:rsid w:val="3D964084"/>
    <w:rsid w:val="3E682515"/>
    <w:rsid w:val="3F2226C4"/>
    <w:rsid w:val="3FF12C21"/>
    <w:rsid w:val="3FFC1167"/>
    <w:rsid w:val="401D732F"/>
    <w:rsid w:val="4043280B"/>
    <w:rsid w:val="404716EC"/>
    <w:rsid w:val="40565930"/>
    <w:rsid w:val="41AE11A5"/>
    <w:rsid w:val="41C317D4"/>
    <w:rsid w:val="41D13F2D"/>
    <w:rsid w:val="420E7D4A"/>
    <w:rsid w:val="431421AB"/>
    <w:rsid w:val="43C50D72"/>
    <w:rsid w:val="446B4F27"/>
    <w:rsid w:val="44A92F3F"/>
    <w:rsid w:val="4533775E"/>
    <w:rsid w:val="45840DA9"/>
    <w:rsid w:val="45A656D1"/>
    <w:rsid w:val="45F823D0"/>
    <w:rsid w:val="461447B2"/>
    <w:rsid w:val="46220726"/>
    <w:rsid w:val="46502789"/>
    <w:rsid w:val="47087801"/>
    <w:rsid w:val="470A75E8"/>
    <w:rsid w:val="47484C91"/>
    <w:rsid w:val="47AE7265"/>
    <w:rsid w:val="48236574"/>
    <w:rsid w:val="48BA396D"/>
    <w:rsid w:val="491D1CBF"/>
    <w:rsid w:val="4A084FAB"/>
    <w:rsid w:val="4A356245"/>
    <w:rsid w:val="4A940235"/>
    <w:rsid w:val="4BAF77E3"/>
    <w:rsid w:val="4BF13DF4"/>
    <w:rsid w:val="4C871DB8"/>
    <w:rsid w:val="4C8F29A0"/>
    <w:rsid w:val="4C9B6AAD"/>
    <w:rsid w:val="4CE849E2"/>
    <w:rsid w:val="4DA32011"/>
    <w:rsid w:val="4DCF4114"/>
    <w:rsid w:val="4DE566F3"/>
    <w:rsid w:val="4E540677"/>
    <w:rsid w:val="4EE51018"/>
    <w:rsid w:val="4F7B2708"/>
    <w:rsid w:val="4FEE4E74"/>
    <w:rsid w:val="50083210"/>
    <w:rsid w:val="502A762A"/>
    <w:rsid w:val="50414974"/>
    <w:rsid w:val="522D3402"/>
    <w:rsid w:val="52875411"/>
    <w:rsid w:val="52C27015"/>
    <w:rsid w:val="53CC27A6"/>
    <w:rsid w:val="54081F7F"/>
    <w:rsid w:val="54212AF2"/>
    <w:rsid w:val="55E43DB5"/>
    <w:rsid w:val="56824C32"/>
    <w:rsid w:val="56920EB1"/>
    <w:rsid w:val="57162CDC"/>
    <w:rsid w:val="586A1CF4"/>
    <w:rsid w:val="58FB4731"/>
    <w:rsid w:val="59573918"/>
    <w:rsid w:val="5977723A"/>
    <w:rsid w:val="59D94D98"/>
    <w:rsid w:val="59F36282"/>
    <w:rsid w:val="5AEB2E9C"/>
    <w:rsid w:val="5B8B1199"/>
    <w:rsid w:val="5B9F3F13"/>
    <w:rsid w:val="5BAE0A62"/>
    <w:rsid w:val="5BCD355F"/>
    <w:rsid w:val="5D027239"/>
    <w:rsid w:val="5D5849F8"/>
    <w:rsid w:val="5DE27796"/>
    <w:rsid w:val="5E1B6804"/>
    <w:rsid w:val="5F265461"/>
    <w:rsid w:val="606C4BDB"/>
    <w:rsid w:val="624272DA"/>
    <w:rsid w:val="62456545"/>
    <w:rsid w:val="634A36E8"/>
    <w:rsid w:val="638E5CCA"/>
    <w:rsid w:val="63AE1B87"/>
    <w:rsid w:val="63C90AB0"/>
    <w:rsid w:val="63CF7A2D"/>
    <w:rsid w:val="63DD0CDE"/>
    <w:rsid w:val="64005F33"/>
    <w:rsid w:val="64106A0E"/>
    <w:rsid w:val="64CF3B8C"/>
    <w:rsid w:val="64E5191A"/>
    <w:rsid w:val="653B59DE"/>
    <w:rsid w:val="65D07CD0"/>
    <w:rsid w:val="67A06958"/>
    <w:rsid w:val="68790F37"/>
    <w:rsid w:val="68C34233"/>
    <w:rsid w:val="694A1AEF"/>
    <w:rsid w:val="69761612"/>
    <w:rsid w:val="69A80F39"/>
    <w:rsid w:val="69DD66F3"/>
    <w:rsid w:val="6A0D369A"/>
    <w:rsid w:val="6A6C077C"/>
    <w:rsid w:val="6D064B23"/>
    <w:rsid w:val="6EC46A44"/>
    <w:rsid w:val="6ED24445"/>
    <w:rsid w:val="6F5E7A35"/>
    <w:rsid w:val="6FDD4CA3"/>
    <w:rsid w:val="70E62AE8"/>
    <w:rsid w:val="7146712D"/>
    <w:rsid w:val="71704C61"/>
    <w:rsid w:val="71C75E1B"/>
    <w:rsid w:val="71DD3F80"/>
    <w:rsid w:val="74D95234"/>
    <w:rsid w:val="7654281B"/>
    <w:rsid w:val="76650B0D"/>
    <w:rsid w:val="772A140E"/>
    <w:rsid w:val="77756B2D"/>
    <w:rsid w:val="77A64F39"/>
    <w:rsid w:val="77B5517C"/>
    <w:rsid w:val="78E8332F"/>
    <w:rsid w:val="792A3C52"/>
    <w:rsid w:val="795F1843"/>
    <w:rsid w:val="79B77A3E"/>
    <w:rsid w:val="7A0F2BA3"/>
    <w:rsid w:val="7A1E16FE"/>
    <w:rsid w:val="7A4B601E"/>
    <w:rsid w:val="7A5C507C"/>
    <w:rsid w:val="7AB210C4"/>
    <w:rsid w:val="7ABB6F4D"/>
    <w:rsid w:val="7CB00608"/>
    <w:rsid w:val="7CD6006E"/>
    <w:rsid w:val="7CE338D3"/>
    <w:rsid w:val="7D893EF3"/>
    <w:rsid w:val="7DB87774"/>
    <w:rsid w:val="7E8A55B4"/>
    <w:rsid w:val="7E996565"/>
    <w:rsid w:val="7EC02D84"/>
    <w:rsid w:val="7EF67AE6"/>
    <w:rsid w:val="7F533BF8"/>
    <w:rsid w:val="7FED77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semiHidden="0" w:name="heading 3"/>
    <w:lsdException w:qFormat="1" w:uiPriority="9" w:semiHidden="0" w:name="heading 4"/>
    <w:lsdException w:qFormat="1" w:uiPriority="9" w:name="heading 5"/>
    <w:lsdException w:qFormat="1" w:unhideWhenUsed="0" w:uiPriority="0"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qFormat="1" w:unhideWhenUsed="0" w:uiPriority="0" w:semiHidden="0" w:name="toc 3"/>
    <w:lsdException w:uiPriority="39" w:name="toc 4"/>
    <w:lsdException w:uiPriority="39" w:name="toc 5"/>
    <w:lsdException w:qFormat="1" w:unhideWhenUsed="0" w:uiPriority="39" w:semiHidden="0"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nhideWhenUsed="0"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autoRedefine/>
    <w:qFormat/>
    <w:uiPriority w:val="9"/>
    <w:pPr>
      <w:keepNext/>
      <w:ind w:firstLine="425"/>
      <w:outlineLvl w:val="0"/>
    </w:pPr>
    <w:rPr>
      <w:b/>
      <w:bCs/>
      <w:i/>
      <w:iCs/>
      <w:sz w:val="52"/>
      <w:szCs w:val="20"/>
    </w:rPr>
  </w:style>
  <w:style w:type="paragraph" w:styleId="4">
    <w:name w:val="heading 2"/>
    <w:basedOn w:val="1"/>
    <w:next w:val="1"/>
    <w:link w:val="39"/>
    <w:autoRedefine/>
    <w:qFormat/>
    <w:uiPriority w:val="0"/>
    <w:pPr>
      <w:keepNext/>
      <w:keepLines/>
      <w:tabs>
        <w:tab w:val="left" w:pos="432"/>
      </w:tabs>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link w:val="53"/>
    <w:autoRedefine/>
    <w:unhideWhenUsed/>
    <w:qFormat/>
    <w:uiPriority w:val="9"/>
    <w:pPr>
      <w:keepNext/>
      <w:keepLines/>
      <w:spacing w:before="260" w:after="260" w:line="416" w:lineRule="auto"/>
      <w:outlineLvl w:val="2"/>
    </w:pPr>
    <w:rPr>
      <w:b/>
      <w:bCs/>
      <w:sz w:val="32"/>
      <w:szCs w:val="32"/>
    </w:rPr>
  </w:style>
  <w:style w:type="paragraph" w:styleId="6">
    <w:name w:val="heading 4"/>
    <w:basedOn w:val="1"/>
    <w:next w:val="1"/>
    <w:link w:val="54"/>
    <w:autoRedefine/>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7">
    <w:name w:val="heading 6"/>
    <w:basedOn w:val="1"/>
    <w:next w:val="1"/>
    <w:autoRedefine/>
    <w:qFormat/>
    <w:uiPriority w:val="0"/>
    <w:pPr>
      <w:keepNext/>
      <w:keepLines/>
      <w:spacing w:before="240" w:after="64" w:line="317" w:lineRule="auto"/>
      <w:outlineLvl w:val="5"/>
    </w:pPr>
    <w:rPr>
      <w:rFonts w:ascii="Cambria" w:hAnsi="Cambria"/>
      <w:b/>
      <w:bCs/>
      <w:sz w:val="24"/>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43"/>
    <w:autoRedefine/>
    <w:qFormat/>
    <w:uiPriority w:val="0"/>
    <w:pPr>
      <w:autoSpaceDE w:val="0"/>
      <w:autoSpaceDN w:val="0"/>
      <w:spacing w:line="360" w:lineRule="auto"/>
    </w:pPr>
    <w:rPr>
      <w:rFonts w:ascii="宋体" w:hAnsi="Arial" w:cs="Arial"/>
      <w:snapToGrid w:val="0"/>
      <w:sz w:val="24"/>
      <w:szCs w:val="21"/>
      <w:lang w:val="zh-CN"/>
    </w:rPr>
  </w:style>
  <w:style w:type="paragraph" w:styleId="8">
    <w:name w:val="Normal Indent"/>
    <w:basedOn w:val="1"/>
    <w:next w:val="1"/>
    <w:autoRedefine/>
    <w:qFormat/>
    <w:uiPriority w:val="0"/>
    <w:pPr>
      <w:widowControl/>
      <w:snapToGrid w:val="0"/>
      <w:spacing w:line="480" w:lineRule="exact"/>
      <w:ind w:firstLine="567"/>
    </w:pPr>
    <w:rPr>
      <w:rFonts w:ascii="宋体"/>
      <w:snapToGrid w:val="0"/>
      <w:color w:val="000000"/>
      <w:kern w:val="28"/>
      <w:sz w:val="28"/>
      <w:szCs w:val="20"/>
    </w:rPr>
  </w:style>
  <w:style w:type="paragraph" w:styleId="9">
    <w:name w:val="annotation text"/>
    <w:basedOn w:val="1"/>
    <w:link w:val="61"/>
    <w:autoRedefine/>
    <w:unhideWhenUsed/>
    <w:qFormat/>
    <w:uiPriority w:val="99"/>
    <w:pPr>
      <w:jc w:val="left"/>
    </w:pPr>
  </w:style>
  <w:style w:type="paragraph" w:styleId="10">
    <w:name w:val="Body Text Indent"/>
    <w:basedOn w:val="1"/>
    <w:next w:val="1"/>
    <w:link w:val="40"/>
    <w:autoRedefine/>
    <w:qFormat/>
    <w:uiPriority w:val="0"/>
    <w:pPr>
      <w:spacing w:line="480" w:lineRule="exact"/>
      <w:ind w:firstLine="480" w:firstLineChars="200"/>
    </w:pPr>
    <w:rPr>
      <w:rFonts w:ascii="宋体" w:hAnsi="宋体"/>
      <w:sz w:val="24"/>
    </w:rPr>
  </w:style>
  <w:style w:type="paragraph" w:styleId="11">
    <w:name w:val="toc 3"/>
    <w:basedOn w:val="1"/>
    <w:next w:val="1"/>
    <w:autoRedefine/>
    <w:qFormat/>
    <w:uiPriority w:val="0"/>
    <w:pPr>
      <w:ind w:left="840" w:leftChars="400"/>
    </w:pPr>
    <w:rPr>
      <w:rFonts w:ascii="Times New Roman" w:hAnsi="Times New Roman"/>
    </w:rPr>
  </w:style>
  <w:style w:type="paragraph" w:styleId="12">
    <w:name w:val="Plain Text"/>
    <w:basedOn w:val="1"/>
    <w:next w:val="1"/>
    <w:link w:val="42"/>
    <w:autoRedefine/>
    <w:qFormat/>
    <w:uiPriority w:val="0"/>
    <w:rPr>
      <w:rFonts w:ascii="宋体" w:hAnsi="Courier New" w:cs="Arial"/>
      <w:snapToGrid w:val="0"/>
      <w:szCs w:val="21"/>
    </w:rPr>
  </w:style>
  <w:style w:type="paragraph" w:styleId="13">
    <w:name w:val="Date"/>
    <w:basedOn w:val="1"/>
    <w:next w:val="1"/>
    <w:link w:val="41"/>
    <w:autoRedefine/>
    <w:qFormat/>
    <w:uiPriority w:val="0"/>
    <w:pPr>
      <w:ind w:left="100" w:leftChars="2500"/>
    </w:pPr>
    <w:rPr>
      <w:rFonts w:ascii="宋体"/>
      <w:sz w:val="24"/>
      <w:szCs w:val="21"/>
      <w:lang w:val="zh-CN"/>
    </w:rPr>
  </w:style>
  <w:style w:type="paragraph" w:styleId="14">
    <w:name w:val="Balloon Text"/>
    <w:basedOn w:val="1"/>
    <w:link w:val="56"/>
    <w:autoRedefine/>
    <w:unhideWhenUsed/>
    <w:qFormat/>
    <w:uiPriority w:val="99"/>
    <w:rPr>
      <w:sz w:val="18"/>
      <w:szCs w:val="18"/>
    </w:rPr>
  </w:style>
  <w:style w:type="paragraph" w:styleId="15">
    <w:name w:val="footer"/>
    <w:basedOn w:val="1"/>
    <w:link w:val="38"/>
    <w:autoRedefine/>
    <w:unhideWhenUsed/>
    <w:qFormat/>
    <w:uiPriority w:val="99"/>
    <w:pPr>
      <w:tabs>
        <w:tab w:val="center" w:pos="4153"/>
        <w:tab w:val="right" w:pos="8306"/>
      </w:tabs>
      <w:snapToGrid w:val="0"/>
      <w:jc w:val="left"/>
    </w:pPr>
    <w:rPr>
      <w:sz w:val="18"/>
      <w:szCs w:val="18"/>
    </w:rPr>
  </w:style>
  <w:style w:type="paragraph" w:styleId="16">
    <w:name w:val="header"/>
    <w:basedOn w:val="1"/>
    <w:link w:val="37"/>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7">
    <w:name w:val="Subtitle"/>
    <w:basedOn w:val="1"/>
    <w:next w:val="1"/>
    <w:autoRedefine/>
    <w:qFormat/>
    <w:uiPriority w:val="0"/>
    <w:pPr>
      <w:spacing w:before="240" w:after="60" w:line="312" w:lineRule="auto"/>
      <w:jc w:val="center"/>
      <w:outlineLvl w:val="1"/>
    </w:pPr>
    <w:rPr>
      <w:rFonts w:ascii="Cambria" w:hAnsi="Cambria"/>
      <w:b/>
      <w:bCs/>
      <w:kern w:val="28"/>
      <w:sz w:val="32"/>
      <w:szCs w:val="32"/>
    </w:rPr>
  </w:style>
  <w:style w:type="paragraph" w:styleId="18">
    <w:name w:val="toc 6"/>
    <w:basedOn w:val="1"/>
    <w:next w:val="1"/>
    <w:autoRedefine/>
    <w:qFormat/>
    <w:uiPriority w:val="39"/>
    <w:pPr>
      <w:ind w:left="1000" w:leftChars="1000"/>
    </w:pPr>
  </w:style>
  <w:style w:type="paragraph" w:styleId="19">
    <w:name w:val="Body Text Indent 3"/>
    <w:basedOn w:val="1"/>
    <w:link w:val="72"/>
    <w:autoRedefine/>
    <w:qFormat/>
    <w:uiPriority w:val="0"/>
    <w:pPr>
      <w:spacing w:after="120"/>
      <w:ind w:left="420" w:leftChars="200"/>
    </w:pPr>
    <w:rPr>
      <w:rFonts w:ascii="Times New Roman" w:hAnsi="Times New Roman"/>
      <w:sz w:val="16"/>
      <w:szCs w:val="16"/>
    </w:rPr>
  </w:style>
  <w:style w:type="paragraph" w:styleId="20">
    <w:name w:val="HTML Preformatted"/>
    <w:basedOn w:val="1"/>
    <w:autoRedefine/>
    <w:qFormat/>
    <w:uiPriority w:val="0"/>
    <w:rPr>
      <w:rFonts w:ascii="Courier New" w:hAnsi="Courier New" w:eastAsia="仿宋_GB2312"/>
      <w:b/>
      <w:sz w:val="32"/>
      <w:szCs w:val="32"/>
      <w:lang w:val="en-GB"/>
    </w:rPr>
  </w:style>
  <w:style w:type="paragraph" w:styleId="21">
    <w:name w:val="Normal (Web)"/>
    <w:basedOn w:val="1"/>
    <w:autoRedefine/>
    <w:qFormat/>
    <w:uiPriority w:val="99"/>
    <w:pPr>
      <w:spacing w:before="100" w:beforeAutospacing="1" w:after="100" w:afterAutospacing="1"/>
      <w:jc w:val="left"/>
    </w:pPr>
    <w:rPr>
      <w:kern w:val="0"/>
      <w:sz w:val="24"/>
    </w:rPr>
  </w:style>
  <w:style w:type="paragraph" w:styleId="22">
    <w:name w:val="Title"/>
    <w:basedOn w:val="1"/>
    <w:next w:val="1"/>
    <w:link w:val="73"/>
    <w:qFormat/>
    <w:uiPriority w:val="0"/>
    <w:pPr>
      <w:spacing w:before="240" w:after="60"/>
      <w:jc w:val="center"/>
      <w:outlineLvl w:val="0"/>
    </w:pPr>
    <w:rPr>
      <w:rFonts w:ascii="Cambria" w:hAnsi="Cambria"/>
      <w:b/>
      <w:bCs/>
      <w:sz w:val="32"/>
      <w:szCs w:val="32"/>
    </w:rPr>
  </w:style>
  <w:style w:type="paragraph" w:styleId="23">
    <w:name w:val="annotation subject"/>
    <w:basedOn w:val="9"/>
    <w:next w:val="9"/>
    <w:link w:val="62"/>
    <w:autoRedefine/>
    <w:unhideWhenUsed/>
    <w:qFormat/>
    <w:uiPriority w:val="99"/>
    <w:rPr>
      <w:b/>
      <w:bCs/>
    </w:rPr>
  </w:style>
  <w:style w:type="paragraph" w:styleId="24">
    <w:name w:val="Body Text First Indent"/>
    <w:basedOn w:val="2"/>
    <w:next w:val="18"/>
    <w:autoRedefine/>
    <w:qFormat/>
    <w:uiPriority w:val="0"/>
    <w:pPr>
      <w:adjustRightInd w:val="0"/>
    </w:pPr>
    <w:rPr>
      <w:rFonts w:ascii="Times New Roman" w:hAnsi="Times New Roman" w:cs="Times New Roman"/>
      <w:sz w:val="28"/>
      <w:lang w:val="en-US"/>
    </w:rPr>
  </w:style>
  <w:style w:type="paragraph" w:styleId="25">
    <w:name w:val="Body Text First Indent 2"/>
    <w:basedOn w:val="10"/>
    <w:next w:val="26"/>
    <w:autoRedefine/>
    <w:unhideWhenUsed/>
    <w:qFormat/>
    <w:uiPriority w:val="99"/>
    <w:pPr>
      <w:ind w:firstLine="420"/>
    </w:pPr>
  </w:style>
  <w:style w:type="paragraph" w:customStyle="1" w:styleId="26">
    <w:name w:val="xl53"/>
    <w:basedOn w:val="1"/>
    <w:next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b/>
      <w:bCs/>
      <w:kern w:val="0"/>
      <w:sz w:val="20"/>
    </w:rPr>
  </w:style>
  <w:style w:type="table" w:styleId="28">
    <w:name w:val="Table Grid"/>
    <w:basedOn w:val="27"/>
    <w:autoRedefine/>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page number"/>
    <w:basedOn w:val="29"/>
    <w:autoRedefine/>
    <w:qFormat/>
    <w:uiPriority w:val="0"/>
    <w:rPr>
      <w:rFonts w:ascii="Arial" w:hAnsi="Arial" w:eastAsia="黑体" w:cs="Arial"/>
      <w:snapToGrid w:val="0"/>
      <w:kern w:val="0"/>
      <w:szCs w:val="21"/>
    </w:rPr>
  </w:style>
  <w:style w:type="character" w:styleId="31">
    <w:name w:val="FollowedHyperlink"/>
    <w:basedOn w:val="29"/>
    <w:autoRedefine/>
    <w:semiHidden/>
    <w:unhideWhenUsed/>
    <w:qFormat/>
    <w:uiPriority w:val="99"/>
    <w:rPr>
      <w:color w:val="800080"/>
      <w:u w:val="none"/>
    </w:rPr>
  </w:style>
  <w:style w:type="character" w:styleId="32">
    <w:name w:val="Hyperlink"/>
    <w:autoRedefine/>
    <w:qFormat/>
    <w:uiPriority w:val="99"/>
    <w:rPr>
      <w:rFonts w:ascii="Arial" w:hAnsi="Arial" w:eastAsia="黑体" w:cs="Arial"/>
      <w:snapToGrid w:val="0"/>
      <w:color w:val="000000"/>
      <w:kern w:val="0"/>
      <w:sz w:val="18"/>
      <w:szCs w:val="18"/>
      <w:u w:val="none"/>
    </w:rPr>
  </w:style>
  <w:style w:type="character" w:styleId="33">
    <w:name w:val="annotation reference"/>
    <w:basedOn w:val="29"/>
    <w:autoRedefine/>
    <w:unhideWhenUsed/>
    <w:qFormat/>
    <w:uiPriority w:val="99"/>
    <w:rPr>
      <w:sz w:val="21"/>
      <w:szCs w:val="21"/>
    </w:rPr>
  </w:style>
  <w:style w:type="paragraph" w:customStyle="1" w:styleId="34">
    <w:name w:val="列出段落1"/>
    <w:basedOn w:val="1"/>
    <w:autoRedefine/>
    <w:qFormat/>
    <w:uiPriority w:val="0"/>
    <w:pPr>
      <w:ind w:firstLine="420" w:firstLineChars="200"/>
    </w:pPr>
    <w:rPr>
      <w:szCs w:val="22"/>
    </w:rPr>
  </w:style>
  <w:style w:type="paragraph" w:customStyle="1" w:styleId="35">
    <w:name w:val="_Style 3"/>
    <w:basedOn w:val="1"/>
    <w:autoRedefine/>
    <w:qFormat/>
    <w:uiPriority w:val="1"/>
    <w:pPr>
      <w:ind w:firstLine="420" w:firstLineChars="200"/>
    </w:pPr>
    <w:rPr>
      <w:rFonts w:eastAsia="仿宋_GB2312"/>
      <w:sz w:val="28"/>
    </w:rPr>
  </w:style>
  <w:style w:type="paragraph" w:customStyle="1" w:styleId="36">
    <w:name w:val="自动更正"/>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7">
    <w:name w:val="页眉 Char"/>
    <w:basedOn w:val="29"/>
    <w:link w:val="16"/>
    <w:autoRedefine/>
    <w:qFormat/>
    <w:uiPriority w:val="99"/>
    <w:rPr>
      <w:sz w:val="18"/>
      <w:szCs w:val="18"/>
    </w:rPr>
  </w:style>
  <w:style w:type="character" w:customStyle="1" w:styleId="38">
    <w:name w:val="页脚 Char"/>
    <w:basedOn w:val="29"/>
    <w:link w:val="15"/>
    <w:autoRedefine/>
    <w:qFormat/>
    <w:uiPriority w:val="99"/>
    <w:rPr>
      <w:sz w:val="18"/>
      <w:szCs w:val="18"/>
    </w:rPr>
  </w:style>
  <w:style w:type="character" w:customStyle="1" w:styleId="39">
    <w:name w:val="标题 2 Char"/>
    <w:basedOn w:val="29"/>
    <w:link w:val="4"/>
    <w:autoRedefine/>
    <w:qFormat/>
    <w:uiPriority w:val="0"/>
    <w:rPr>
      <w:rFonts w:ascii="仿宋_GB2312" w:hAnsi="仿宋" w:eastAsia="仿宋_GB2312" w:cs="Times New Roman"/>
      <w:b/>
      <w:bCs/>
      <w:sz w:val="32"/>
      <w:szCs w:val="32"/>
      <w:lang w:val="zh-CN"/>
    </w:rPr>
  </w:style>
  <w:style w:type="character" w:customStyle="1" w:styleId="40">
    <w:name w:val="正文文本缩进 Char"/>
    <w:basedOn w:val="29"/>
    <w:link w:val="10"/>
    <w:autoRedefine/>
    <w:qFormat/>
    <w:uiPriority w:val="0"/>
    <w:rPr>
      <w:rFonts w:ascii="宋体" w:hAnsi="宋体" w:eastAsia="宋体" w:cs="Times New Roman"/>
      <w:sz w:val="24"/>
      <w:szCs w:val="24"/>
    </w:rPr>
  </w:style>
  <w:style w:type="character" w:customStyle="1" w:styleId="41">
    <w:name w:val="日期 Char"/>
    <w:basedOn w:val="29"/>
    <w:link w:val="13"/>
    <w:autoRedefine/>
    <w:qFormat/>
    <w:uiPriority w:val="0"/>
    <w:rPr>
      <w:rFonts w:ascii="宋体" w:hAnsi="Calibri" w:eastAsia="宋体" w:cs="Times New Roman"/>
      <w:sz w:val="24"/>
      <w:szCs w:val="21"/>
      <w:lang w:val="zh-CN"/>
    </w:rPr>
  </w:style>
  <w:style w:type="character" w:customStyle="1" w:styleId="42">
    <w:name w:val="纯文本 Char"/>
    <w:basedOn w:val="29"/>
    <w:link w:val="12"/>
    <w:autoRedefine/>
    <w:qFormat/>
    <w:uiPriority w:val="0"/>
    <w:rPr>
      <w:rFonts w:ascii="宋体" w:hAnsi="Courier New" w:eastAsia="宋体" w:cs="Arial"/>
      <w:snapToGrid w:val="0"/>
      <w:szCs w:val="21"/>
    </w:rPr>
  </w:style>
  <w:style w:type="character" w:customStyle="1" w:styleId="43">
    <w:name w:val="正文文本 Char"/>
    <w:basedOn w:val="29"/>
    <w:link w:val="2"/>
    <w:autoRedefine/>
    <w:qFormat/>
    <w:uiPriority w:val="0"/>
    <w:rPr>
      <w:rFonts w:ascii="宋体" w:hAnsi="Arial" w:eastAsia="宋体" w:cs="Arial"/>
      <w:snapToGrid w:val="0"/>
      <w:sz w:val="24"/>
      <w:szCs w:val="21"/>
      <w:lang w:val="zh-CN"/>
    </w:rPr>
  </w:style>
  <w:style w:type="paragraph" w:customStyle="1" w:styleId="44">
    <w:name w:val="索引 11"/>
    <w:basedOn w:val="1"/>
    <w:next w:val="1"/>
    <w:autoRedefine/>
    <w:qFormat/>
    <w:uiPriority w:val="99"/>
    <w:pPr>
      <w:spacing w:line="360" w:lineRule="auto"/>
    </w:pPr>
    <w:rPr>
      <w:rFonts w:ascii="仿宋_GB2312" w:eastAsia="仿宋_GB2312"/>
      <w:sz w:val="24"/>
      <w:szCs w:val="20"/>
    </w:rPr>
  </w:style>
  <w:style w:type="paragraph" w:customStyle="1" w:styleId="45">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46">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7">
    <w:name w:val="text-tag"/>
    <w:basedOn w:val="1"/>
    <w:autoRedefine/>
    <w:semiHidden/>
    <w:qFormat/>
    <w:uiPriority w:val="99"/>
    <w:pPr>
      <w:widowControl/>
      <w:spacing w:before="100" w:beforeAutospacing="1" w:after="100" w:afterAutospacing="1"/>
      <w:jc w:val="left"/>
    </w:pPr>
    <w:rPr>
      <w:rFonts w:ascii="宋体" w:hAnsi="宋体" w:cs="宋体"/>
      <w:kern w:val="0"/>
      <w:sz w:val="24"/>
    </w:rPr>
  </w:style>
  <w:style w:type="paragraph" w:customStyle="1" w:styleId="48">
    <w:name w:val="纯文本1"/>
    <w:basedOn w:val="1"/>
    <w:autoRedefine/>
    <w:qFormat/>
    <w:uiPriority w:val="0"/>
    <w:rPr>
      <w:rFonts w:ascii="宋体" w:hAnsi="Courier New"/>
      <w:kern w:val="0"/>
      <w:sz w:val="20"/>
      <w:szCs w:val="20"/>
    </w:rPr>
  </w:style>
  <w:style w:type="paragraph" w:customStyle="1" w:styleId="49">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0">
    <w:name w:val="纯文本_0_0"/>
    <w:basedOn w:val="49"/>
    <w:autoRedefine/>
    <w:qFormat/>
    <w:uiPriority w:val="0"/>
    <w:rPr>
      <w:rFonts w:ascii="宋体" w:hAnsi="Courier New"/>
      <w:szCs w:val="21"/>
    </w:rPr>
  </w:style>
  <w:style w:type="paragraph" w:customStyle="1" w:styleId="51">
    <w:name w:val="正文2"/>
    <w:basedOn w:val="1"/>
    <w:autoRedefine/>
    <w:qFormat/>
    <w:uiPriority w:val="0"/>
    <w:pPr>
      <w:spacing w:before="156" w:line="360" w:lineRule="auto"/>
      <w:ind w:firstLine="510" w:firstLineChars="200"/>
    </w:pPr>
    <w:rPr>
      <w:sz w:val="24"/>
      <w:szCs w:val="20"/>
    </w:rPr>
  </w:style>
  <w:style w:type="paragraph" w:customStyle="1" w:styleId="52">
    <w:name w:val="正文缩进1"/>
    <w:basedOn w:val="1"/>
    <w:next w:val="10"/>
    <w:autoRedefine/>
    <w:qFormat/>
    <w:uiPriority w:val="0"/>
    <w:pPr>
      <w:autoSpaceDE w:val="0"/>
      <w:autoSpaceDN w:val="0"/>
      <w:snapToGrid w:val="0"/>
      <w:spacing w:after="120" w:line="360" w:lineRule="auto"/>
      <w:ind w:left="420" w:leftChars="200" w:firstLine="480" w:firstLineChars="200"/>
    </w:pPr>
    <w:rPr>
      <w:sz w:val="24"/>
      <w:szCs w:val="21"/>
    </w:rPr>
  </w:style>
  <w:style w:type="character" w:customStyle="1" w:styleId="53">
    <w:name w:val="标题 3 Char"/>
    <w:basedOn w:val="29"/>
    <w:link w:val="5"/>
    <w:autoRedefine/>
    <w:semiHidden/>
    <w:qFormat/>
    <w:uiPriority w:val="9"/>
    <w:rPr>
      <w:rFonts w:ascii="Calibri" w:hAnsi="Calibri" w:eastAsia="宋体" w:cs="Times New Roman"/>
      <w:b/>
      <w:bCs/>
      <w:sz w:val="32"/>
      <w:szCs w:val="32"/>
    </w:rPr>
  </w:style>
  <w:style w:type="character" w:customStyle="1" w:styleId="54">
    <w:name w:val="标题 4 Char"/>
    <w:basedOn w:val="29"/>
    <w:link w:val="6"/>
    <w:autoRedefine/>
    <w:semiHidden/>
    <w:qFormat/>
    <w:uiPriority w:val="9"/>
    <w:rPr>
      <w:rFonts w:asciiTheme="majorHAnsi" w:hAnsiTheme="majorHAnsi" w:eastAsiaTheme="majorEastAsia" w:cstheme="majorBidi"/>
      <w:b/>
      <w:bCs/>
      <w:sz w:val="28"/>
      <w:szCs w:val="28"/>
    </w:rPr>
  </w:style>
  <w:style w:type="paragraph" w:customStyle="1" w:styleId="55">
    <w:name w:val="标题4"/>
    <w:basedOn w:val="1"/>
    <w:autoRedefine/>
    <w:qFormat/>
    <w:uiPriority w:val="0"/>
    <w:rPr>
      <w:rFonts w:ascii="Times New Roman" w:hAnsi="Times New Roman" w:eastAsia="仿宋_GB2312"/>
      <w:sz w:val="32"/>
      <w:szCs w:val="20"/>
    </w:rPr>
  </w:style>
  <w:style w:type="character" w:customStyle="1" w:styleId="56">
    <w:name w:val="批注框文本 Char"/>
    <w:basedOn w:val="29"/>
    <w:link w:val="14"/>
    <w:autoRedefine/>
    <w:semiHidden/>
    <w:qFormat/>
    <w:uiPriority w:val="99"/>
    <w:rPr>
      <w:rFonts w:ascii="Calibri" w:hAnsi="Calibri" w:eastAsia="宋体" w:cs="Times New Roman"/>
      <w:sz w:val="18"/>
      <w:szCs w:val="18"/>
    </w:rPr>
  </w:style>
  <w:style w:type="character" w:customStyle="1" w:styleId="57">
    <w:name w:val="List Paragraph Char"/>
    <w:link w:val="58"/>
    <w:autoRedefine/>
    <w:qFormat/>
    <w:locked/>
    <w:uiPriority w:val="0"/>
    <w:rPr>
      <w:rFonts w:ascii="Times New Roman" w:hAnsi="Times New Roman"/>
      <w:szCs w:val="24"/>
    </w:rPr>
  </w:style>
  <w:style w:type="paragraph" w:customStyle="1" w:styleId="58">
    <w:name w:val="列出段落11"/>
    <w:basedOn w:val="1"/>
    <w:link w:val="57"/>
    <w:autoRedefine/>
    <w:qFormat/>
    <w:uiPriority w:val="0"/>
    <w:pPr>
      <w:ind w:firstLine="420" w:firstLineChars="200"/>
    </w:pPr>
    <w:rPr>
      <w:rFonts w:ascii="Times New Roman" w:hAnsi="Times New Roman" w:eastAsiaTheme="minorEastAsia" w:cstheme="minorBidi"/>
    </w:rPr>
  </w:style>
  <w:style w:type="paragraph" w:customStyle="1" w:styleId="59">
    <w:name w:val="列表段落1"/>
    <w:basedOn w:val="1"/>
    <w:autoRedefine/>
    <w:qFormat/>
    <w:uiPriority w:val="99"/>
    <w:pPr>
      <w:ind w:firstLine="420" w:firstLineChars="200"/>
    </w:pPr>
  </w:style>
  <w:style w:type="paragraph" w:customStyle="1" w:styleId="60">
    <w:name w:val="修订1"/>
    <w:autoRedefine/>
    <w:hidden/>
    <w:semiHidden/>
    <w:qFormat/>
    <w:uiPriority w:val="99"/>
    <w:rPr>
      <w:rFonts w:ascii="Calibri" w:hAnsi="Calibri" w:eastAsia="宋体" w:cs="Times New Roman"/>
      <w:kern w:val="2"/>
      <w:sz w:val="21"/>
      <w:szCs w:val="24"/>
      <w:lang w:val="en-US" w:eastAsia="zh-CN" w:bidi="ar-SA"/>
    </w:rPr>
  </w:style>
  <w:style w:type="character" w:customStyle="1" w:styleId="61">
    <w:name w:val="批注文字 Char"/>
    <w:basedOn w:val="29"/>
    <w:link w:val="9"/>
    <w:autoRedefine/>
    <w:semiHidden/>
    <w:qFormat/>
    <w:uiPriority w:val="99"/>
    <w:rPr>
      <w:rFonts w:ascii="Calibri" w:hAnsi="Calibri"/>
      <w:kern w:val="2"/>
      <w:sz w:val="21"/>
      <w:szCs w:val="24"/>
    </w:rPr>
  </w:style>
  <w:style w:type="character" w:customStyle="1" w:styleId="62">
    <w:name w:val="批注主题 Char"/>
    <w:basedOn w:val="61"/>
    <w:link w:val="23"/>
    <w:autoRedefine/>
    <w:semiHidden/>
    <w:qFormat/>
    <w:uiPriority w:val="99"/>
    <w:rPr>
      <w:rFonts w:ascii="Calibri" w:hAnsi="Calibri"/>
      <w:b/>
      <w:bCs/>
      <w:kern w:val="2"/>
      <w:sz w:val="21"/>
      <w:szCs w:val="24"/>
    </w:rPr>
  </w:style>
  <w:style w:type="paragraph" w:customStyle="1" w:styleId="63">
    <w:name w:val="修订2"/>
    <w:autoRedefine/>
    <w:hidden/>
    <w:semiHidden/>
    <w:qFormat/>
    <w:uiPriority w:val="99"/>
    <w:rPr>
      <w:rFonts w:ascii="Calibri" w:hAnsi="Calibri" w:eastAsia="宋体" w:cs="Times New Roman"/>
      <w:kern w:val="2"/>
      <w:sz w:val="21"/>
      <w:szCs w:val="24"/>
      <w:lang w:val="en-US" w:eastAsia="zh-CN" w:bidi="ar-SA"/>
    </w:rPr>
  </w:style>
  <w:style w:type="paragraph" w:customStyle="1" w:styleId="64">
    <w:name w:val="修订3"/>
    <w:autoRedefine/>
    <w:hidden/>
    <w:semiHidden/>
    <w:qFormat/>
    <w:uiPriority w:val="99"/>
    <w:rPr>
      <w:rFonts w:ascii="Calibri" w:hAnsi="Calibri" w:eastAsia="宋体" w:cs="Times New Roman"/>
      <w:kern w:val="2"/>
      <w:sz w:val="21"/>
      <w:szCs w:val="24"/>
      <w:lang w:val="en-US" w:eastAsia="zh-CN" w:bidi="ar-SA"/>
    </w:rPr>
  </w:style>
  <w:style w:type="character" w:customStyle="1" w:styleId="65">
    <w:name w:val="textcolor1"/>
    <w:basedOn w:val="29"/>
    <w:autoRedefine/>
    <w:qFormat/>
    <w:uiPriority w:val="0"/>
    <w:rPr>
      <w:color w:val="FF6600"/>
    </w:rPr>
  </w:style>
  <w:style w:type="table" w:customStyle="1" w:styleId="66">
    <w:name w:val="Table Normal"/>
    <w:autoRedefine/>
    <w:semiHidden/>
    <w:unhideWhenUsed/>
    <w:qFormat/>
    <w:uiPriority w:val="0"/>
    <w:tblPr>
      <w:tblCellMar>
        <w:top w:w="0" w:type="dxa"/>
        <w:left w:w="0" w:type="dxa"/>
        <w:bottom w:w="0" w:type="dxa"/>
        <w:right w:w="0" w:type="dxa"/>
      </w:tblCellMar>
    </w:tblPr>
  </w:style>
  <w:style w:type="paragraph" w:customStyle="1" w:styleId="67">
    <w:name w:val="公告正文"/>
    <w:basedOn w:val="1"/>
    <w:link w:val="74"/>
    <w:autoRedefine/>
    <w:qFormat/>
    <w:uiPriority w:val="0"/>
    <w:pPr>
      <w:spacing w:line="400" w:lineRule="atLeast"/>
      <w:ind w:firstLine="437"/>
    </w:pPr>
    <w:rPr>
      <w:rFonts w:ascii="宋体" w:hAnsi="宋体"/>
      <w:kern w:val="0"/>
      <w:sz w:val="24"/>
    </w:rPr>
  </w:style>
  <w:style w:type="paragraph" w:customStyle="1" w:styleId="68">
    <w:name w:val="须知二级小标题"/>
    <w:basedOn w:val="1"/>
    <w:autoRedefine/>
    <w:qFormat/>
    <w:uiPriority w:val="0"/>
    <w:pPr>
      <w:spacing w:line="500" w:lineRule="exact"/>
    </w:pPr>
    <w:rPr>
      <w:rFonts w:ascii="宋体"/>
      <w:b/>
      <w:sz w:val="24"/>
    </w:rPr>
  </w:style>
  <w:style w:type="paragraph" w:customStyle="1" w:styleId="69">
    <w:name w:val="纯文本2"/>
    <w:basedOn w:val="1"/>
    <w:autoRedefine/>
    <w:qFormat/>
    <w:uiPriority w:val="0"/>
    <w:rPr>
      <w:rFonts w:ascii="宋体" w:hAnsi="Courier New" w:eastAsia="Times New Roman"/>
      <w:kern w:val="0"/>
      <w:sz w:val="20"/>
      <w:szCs w:val="20"/>
    </w:rPr>
  </w:style>
  <w:style w:type="paragraph" w:customStyle="1" w:styleId="70">
    <w:name w:val="[Normal]"/>
    <w:autoRedefine/>
    <w:qFormat/>
    <w:uiPriority w:val="0"/>
    <w:rPr>
      <w:rFonts w:ascii="宋体" w:hAnsi="宋体" w:eastAsia="宋体" w:cs="Times New Roman"/>
      <w:sz w:val="24"/>
      <w:szCs w:val="22"/>
      <w:lang w:val="zh-CN" w:eastAsia="zh-CN" w:bidi="ar-SA"/>
    </w:rPr>
  </w:style>
  <w:style w:type="paragraph" w:customStyle="1" w:styleId="71">
    <w:name w:val="正文空格"/>
    <w:basedOn w:val="1"/>
    <w:next w:val="1"/>
    <w:autoRedefine/>
    <w:qFormat/>
    <w:uiPriority w:val="0"/>
    <w:pPr>
      <w:spacing w:line="400" w:lineRule="exact"/>
      <w:ind w:firstLine="200" w:firstLineChars="200"/>
    </w:pPr>
    <w:rPr>
      <w:sz w:val="24"/>
      <w:szCs w:val="22"/>
    </w:rPr>
  </w:style>
  <w:style w:type="character" w:customStyle="1" w:styleId="72">
    <w:name w:val="正文文本缩进 3 Char"/>
    <w:basedOn w:val="29"/>
    <w:link w:val="19"/>
    <w:autoRedefine/>
    <w:qFormat/>
    <w:uiPriority w:val="0"/>
    <w:rPr>
      <w:kern w:val="2"/>
      <w:sz w:val="16"/>
      <w:szCs w:val="16"/>
    </w:rPr>
  </w:style>
  <w:style w:type="character" w:customStyle="1" w:styleId="73">
    <w:name w:val="标题 Char"/>
    <w:basedOn w:val="29"/>
    <w:link w:val="22"/>
    <w:qFormat/>
    <w:uiPriority w:val="0"/>
    <w:rPr>
      <w:rFonts w:ascii="Cambria" w:hAnsi="Cambria"/>
      <w:b/>
      <w:bCs/>
      <w:kern w:val="2"/>
      <w:sz w:val="32"/>
      <w:szCs w:val="32"/>
    </w:rPr>
  </w:style>
  <w:style w:type="character" w:customStyle="1" w:styleId="74">
    <w:name w:val="公告正文 Char Char"/>
    <w:link w:val="67"/>
    <w:qFormat/>
    <w:uiPriority w:val="0"/>
    <w:rPr>
      <w:rFonts w:ascii="宋体" w:hAnsi="宋体"/>
      <w:sz w:val="24"/>
      <w:szCs w:val="24"/>
    </w:rPr>
  </w:style>
  <w:style w:type="paragraph" w:customStyle="1" w:styleId="75">
    <w:name w:val="纯文本3"/>
    <w:basedOn w:val="1"/>
    <w:qFormat/>
    <w:uiPriority w:val="0"/>
    <w:rPr>
      <w:rFonts w:ascii="宋体" w:hAnsi="Courier New" w:eastAsia="Times New Roman"/>
      <w:kern w:val="0"/>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66</Pages>
  <Words>2638</Words>
  <Characters>3025</Characters>
  <Lines>278</Lines>
  <Paragraphs>78</Paragraphs>
  <TotalTime>1</TotalTime>
  <ScaleCrop>false</ScaleCrop>
  <LinksUpToDate>false</LinksUpToDate>
  <CharactersWithSpaces>3173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2023-02-04T21:06:00Z</dcterms:created>
  <dc:creator>Microsoft</dc:creator>
  <cp:lastModifiedBy>Administrator</cp:lastModifiedBy>
  <cp:lastPrinted>2023-12-14T03:27:00Z</cp:lastPrinted>
  <dcterms:modified xsi:type="dcterms:W3CDTF">2025-04-08T02:33:43Z</dcterms:modified>
  <cp:revision>145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8B5B27000FE445D087EE802C81AAB260_13</vt:lpwstr>
  </property>
  <property fmtid="{D5CDD505-2E9C-101B-9397-08002B2CF9AE}" pid="4" name="KSOTemplateDocerSaveRecord">
    <vt:lpwstr>eyJoZGlkIjoiM2ZkZGE5MmZhOThlMjJiZmM4Y2NmNjk3MjZjOWIzM2EifQ==</vt:lpwstr>
  </property>
</Properties>
</file>