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DB0FD">
      <w:pPr>
        <w:jc w:val="center"/>
        <w:rPr>
          <w:rFonts w:ascii="仿宋" w:hAnsi="仿宋" w:cs="仿宋"/>
          <w:b/>
        </w:rPr>
      </w:pPr>
    </w:p>
    <w:p w14:paraId="7DA94CFB">
      <w:pPr>
        <w:jc w:val="center"/>
        <w:rPr>
          <w:rFonts w:ascii="仿宋" w:hAnsi="仿宋" w:cs="仿宋"/>
          <w:b/>
        </w:rPr>
      </w:pPr>
    </w:p>
    <w:p w14:paraId="34117ABE">
      <w:pPr>
        <w:adjustRightInd/>
        <w:ind w:firstLine="964"/>
        <w:jc w:val="center"/>
        <w:rPr>
          <w:rFonts w:ascii="仿宋" w:hAnsi="仿宋" w:cs="仿宋"/>
          <w:b/>
          <w:sz w:val="48"/>
          <w:szCs w:val="48"/>
        </w:rPr>
      </w:pPr>
    </w:p>
    <w:p w14:paraId="006C89A5">
      <w:pPr>
        <w:adjustRightInd/>
        <w:ind w:firstLine="0" w:firstLineChars="0"/>
        <w:jc w:val="center"/>
        <w:rPr>
          <w:rFonts w:hint="eastAsia" w:ascii="仿宋" w:hAnsi="仿宋" w:cs="仿宋"/>
          <w:sz w:val="48"/>
          <w:szCs w:val="48"/>
          <w:lang w:eastAsia="zh-CN"/>
        </w:rPr>
      </w:pPr>
    </w:p>
    <w:p w14:paraId="5837BC1E">
      <w:pPr>
        <w:adjustRightInd/>
        <w:ind w:firstLine="0" w:firstLineChars="0"/>
        <w:jc w:val="center"/>
        <w:rPr>
          <w:rFonts w:ascii="仿宋" w:hAnsi="仿宋" w:cs="仿宋"/>
          <w:sz w:val="48"/>
          <w:szCs w:val="48"/>
        </w:rPr>
      </w:pPr>
      <w:r>
        <w:rPr>
          <w:rFonts w:hint="eastAsia" w:ascii="仿宋" w:hAnsi="仿宋" w:cs="仿宋"/>
          <w:sz w:val="48"/>
          <w:szCs w:val="48"/>
          <w:lang w:eastAsia="zh-CN"/>
        </w:rPr>
        <w:t>慈溪市宗汉街道社会心理服务</w:t>
      </w:r>
      <w:r>
        <w:rPr>
          <w:rFonts w:hint="eastAsia" w:ascii="仿宋" w:hAnsi="仿宋" w:cs="仿宋"/>
          <w:sz w:val="48"/>
          <w:szCs w:val="48"/>
        </w:rPr>
        <w:t>招标文件</w:t>
      </w:r>
    </w:p>
    <w:p w14:paraId="3D139BB1">
      <w:pPr>
        <w:adjustRightInd/>
        <w:ind w:firstLine="0" w:firstLineChars="0"/>
        <w:jc w:val="center"/>
        <w:rPr>
          <w:rFonts w:ascii="仿宋" w:hAnsi="仿宋" w:cs="仿宋"/>
          <w:b/>
          <w:sz w:val="44"/>
          <w:szCs w:val="44"/>
        </w:rPr>
      </w:pPr>
      <w:r>
        <w:rPr>
          <w:rFonts w:hint="eastAsia" w:ascii="仿宋" w:hAnsi="仿宋" w:cs="仿宋"/>
          <w:b/>
          <w:sz w:val="44"/>
          <w:szCs w:val="44"/>
        </w:rPr>
        <w:t xml:space="preserve"> （电子招投标）</w:t>
      </w:r>
    </w:p>
    <w:p w14:paraId="49BC9D1C">
      <w:pPr>
        <w:snapToGrid w:val="0"/>
        <w:ind w:firstLine="0" w:firstLineChars="0"/>
        <w:jc w:val="center"/>
        <w:rPr>
          <w:rFonts w:hint="eastAsia" w:ascii="仿宋" w:hAnsi="仿宋" w:eastAsia="仿宋" w:cs="仿宋"/>
          <w:sz w:val="30"/>
          <w:szCs w:val="30"/>
          <w:lang w:eastAsia="zh-CN"/>
        </w:rPr>
      </w:pPr>
      <w:r>
        <w:rPr>
          <w:rFonts w:hint="eastAsia" w:ascii="仿宋" w:hAnsi="仿宋" w:cs="仿宋"/>
          <w:sz w:val="30"/>
          <w:szCs w:val="30"/>
          <w:lang w:eastAsia="zh-CN"/>
        </w:rPr>
        <w:t>项目编号：330282202411009267</w:t>
      </w:r>
      <w:r>
        <w:rPr>
          <w:rFonts w:hint="eastAsia"/>
          <w:lang w:val="en-US" w:eastAsia="zh-CN"/>
        </w:rPr>
        <w:t xml:space="preserve"> </w:t>
      </w:r>
    </w:p>
    <w:p w14:paraId="761D7662">
      <w:pPr>
        <w:adjustRightInd/>
        <w:ind w:firstLine="560"/>
        <w:rPr>
          <w:rFonts w:ascii="仿宋" w:hAnsi="仿宋" w:cs="仿宋"/>
          <w:sz w:val="28"/>
          <w:szCs w:val="20"/>
        </w:rPr>
      </w:pPr>
    </w:p>
    <w:p w14:paraId="2BB8ED97">
      <w:pPr>
        <w:ind w:firstLine="883"/>
        <w:jc w:val="center"/>
        <w:rPr>
          <w:rFonts w:ascii="仿宋" w:hAnsi="仿宋" w:cs="仿宋"/>
          <w:b/>
          <w:sz w:val="44"/>
          <w:szCs w:val="44"/>
        </w:rPr>
      </w:pPr>
      <w:r>
        <w:rPr>
          <w:rFonts w:hint="eastAsia" w:ascii="仿宋" w:hAnsi="仿宋" w:cs="仿宋"/>
          <w:b/>
          <w:sz w:val="44"/>
          <w:szCs w:val="44"/>
        </w:rPr>
        <w:t xml:space="preserve"> </w:t>
      </w:r>
    </w:p>
    <w:p w14:paraId="5E4333E5">
      <w:pPr>
        <w:ind w:firstLine="883"/>
        <w:jc w:val="center"/>
        <w:rPr>
          <w:rFonts w:ascii="仿宋" w:hAnsi="仿宋" w:cs="仿宋"/>
          <w:b/>
          <w:sz w:val="44"/>
          <w:szCs w:val="44"/>
        </w:rPr>
      </w:pPr>
    </w:p>
    <w:p w14:paraId="17488CD8">
      <w:pPr>
        <w:ind w:firstLine="480"/>
        <w:jc w:val="center"/>
        <w:rPr>
          <w:rFonts w:ascii="仿宋" w:hAnsi="仿宋" w:cs="仿宋"/>
        </w:rPr>
      </w:pPr>
    </w:p>
    <w:p w14:paraId="39EDE014">
      <w:pPr>
        <w:ind w:firstLine="480"/>
      </w:pPr>
    </w:p>
    <w:p w14:paraId="2B3339AF">
      <w:pPr>
        <w:pStyle w:val="28"/>
      </w:pPr>
    </w:p>
    <w:p w14:paraId="6376ACD7">
      <w:pPr>
        <w:snapToGrid w:val="0"/>
        <w:ind w:firstLine="640"/>
        <w:jc w:val="center"/>
        <w:rPr>
          <w:rFonts w:ascii="仿宋" w:hAnsi="仿宋" w:cs="仿宋"/>
          <w:sz w:val="32"/>
          <w:szCs w:val="32"/>
        </w:rPr>
      </w:pPr>
    </w:p>
    <w:p w14:paraId="25F9C21F">
      <w:pPr>
        <w:pStyle w:val="80"/>
      </w:pPr>
    </w:p>
    <w:p w14:paraId="26EBE051">
      <w:pPr>
        <w:keepNext w:val="0"/>
        <w:keepLines w:val="0"/>
        <w:pageBreakBefore w:val="0"/>
        <w:widowControl w:val="0"/>
        <w:kinsoku/>
        <w:wordWrap/>
        <w:overflowPunct/>
        <w:topLinePunct w:val="0"/>
        <w:autoSpaceDE/>
        <w:autoSpaceDN/>
        <w:bidi w:val="0"/>
        <w:adjustRightInd w:val="0"/>
        <w:snapToGrid w:val="0"/>
        <w:spacing w:before="469" w:beforeLines="150" w:after="469" w:afterLines="150"/>
        <w:ind w:firstLine="640"/>
        <w:jc w:val="center"/>
        <w:textAlignment w:val="auto"/>
        <w:rPr>
          <w:rFonts w:hint="eastAsia" w:ascii="仿宋" w:hAnsi="仿宋" w:eastAsia="仿宋" w:cs="仿宋"/>
          <w:sz w:val="32"/>
          <w:szCs w:val="32"/>
          <w:lang w:eastAsia="zh-CN"/>
        </w:rPr>
      </w:pPr>
      <w:r>
        <w:rPr>
          <w:rFonts w:hint="eastAsia" w:ascii="仿宋" w:hAnsi="仿宋" w:cs="仿宋"/>
          <w:sz w:val="32"/>
          <w:szCs w:val="32"/>
        </w:rPr>
        <w:t>采购人：</w:t>
      </w:r>
      <w:r>
        <w:rPr>
          <w:rFonts w:hint="eastAsia" w:ascii="仿宋" w:hAnsi="仿宋" w:cs="仿宋"/>
          <w:sz w:val="32"/>
          <w:szCs w:val="32"/>
          <w:lang w:eastAsia="zh-CN"/>
        </w:rPr>
        <w:t>慈溪市人民政府宗汉街道办事处</w:t>
      </w:r>
    </w:p>
    <w:p w14:paraId="4519B0A1">
      <w:pPr>
        <w:keepNext w:val="0"/>
        <w:keepLines w:val="0"/>
        <w:pageBreakBefore w:val="0"/>
        <w:widowControl w:val="0"/>
        <w:kinsoku/>
        <w:wordWrap/>
        <w:overflowPunct/>
        <w:topLinePunct w:val="0"/>
        <w:autoSpaceDE/>
        <w:autoSpaceDN/>
        <w:bidi w:val="0"/>
        <w:adjustRightInd w:val="0"/>
        <w:spacing w:before="469" w:beforeLines="150" w:after="469" w:afterLines="150"/>
        <w:ind w:firstLine="640"/>
        <w:jc w:val="center"/>
        <w:textAlignment w:val="auto"/>
        <w:rPr>
          <w:rFonts w:ascii="仿宋" w:hAnsi="仿宋" w:cs="仿宋"/>
          <w:bCs/>
          <w:sz w:val="32"/>
          <w:szCs w:val="32"/>
        </w:rPr>
      </w:pPr>
      <w:r>
        <w:rPr>
          <w:rFonts w:hint="eastAsia" w:ascii="仿宋" w:hAnsi="仿宋" w:cs="仿宋"/>
          <w:bCs/>
          <w:sz w:val="32"/>
          <w:szCs w:val="32"/>
        </w:rPr>
        <w:t>采购代理机构：慈溪元达采购招标代理有限公司</w:t>
      </w:r>
    </w:p>
    <w:p w14:paraId="264B3413">
      <w:pPr>
        <w:keepNext w:val="0"/>
        <w:keepLines w:val="0"/>
        <w:pageBreakBefore w:val="0"/>
        <w:widowControl w:val="0"/>
        <w:kinsoku/>
        <w:wordWrap/>
        <w:overflowPunct/>
        <w:topLinePunct w:val="0"/>
        <w:autoSpaceDE/>
        <w:autoSpaceDN/>
        <w:bidi w:val="0"/>
        <w:adjustRightInd w:val="0"/>
        <w:snapToGrid w:val="0"/>
        <w:spacing w:before="469" w:beforeLines="150" w:after="469" w:afterLines="150"/>
        <w:ind w:firstLine="640"/>
        <w:jc w:val="center"/>
        <w:textAlignment w:val="auto"/>
        <w:rPr>
          <w:rFonts w:ascii="仿宋" w:hAnsi="仿宋" w:cs="仿宋"/>
          <w:bCs/>
          <w:sz w:val="32"/>
          <w:szCs w:val="32"/>
        </w:rPr>
      </w:pPr>
      <w:r>
        <w:rPr>
          <w:rFonts w:hint="eastAsia" w:ascii="仿宋" w:hAnsi="仿宋" w:cs="仿宋"/>
          <w:bCs/>
          <w:sz w:val="32"/>
          <w:szCs w:val="32"/>
        </w:rPr>
        <w:t>二〇二</w:t>
      </w:r>
      <w:r>
        <w:rPr>
          <w:rFonts w:hint="eastAsia" w:ascii="仿宋" w:hAnsi="仿宋" w:cs="仿宋"/>
          <w:bCs/>
          <w:sz w:val="32"/>
          <w:szCs w:val="32"/>
          <w:lang w:val="en-US" w:eastAsia="zh-CN"/>
        </w:rPr>
        <w:t>五</w:t>
      </w:r>
      <w:r>
        <w:rPr>
          <w:rFonts w:hint="eastAsia" w:ascii="仿宋" w:hAnsi="仿宋" w:cs="仿宋"/>
          <w:bCs/>
          <w:sz w:val="32"/>
          <w:szCs w:val="32"/>
        </w:rPr>
        <w:t>年</w:t>
      </w:r>
      <w:r>
        <w:rPr>
          <w:rFonts w:hint="eastAsia" w:ascii="仿宋" w:hAnsi="仿宋" w:cs="仿宋"/>
          <w:bCs/>
          <w:sz w:val="32"/>
          <w:szCs w:val="32"/>
          <w:lang w:val="en-US" w:eastAsia="zh-CN"/>
        </w:rPr>
        <w:t>一</w:t>
      </w:r>
      <w:r>
        <w:rPr>
          <w:rFonts w:hint="eastAsia" w:ascii="仿宋" w:hAnsi="仿宋" w:cs="仿宋"/>
          <w:bCs/>
          <w:sz w:val="32"/>
          <w:szCs w:val="32"/>
        </w:rPr>
        <w:t>月</w:t>
      </w:r>
    </w:p>
    <w:p w14:paraId="55A7AFC1">
      <w:pPr>
        <w:keepNext w:val="0"/>
        <w:keepLines w:val="0"/>
        <w:pageBreakBefore w:val="0"/>
        <w:widowControl w:val="0"/>
        <w:kinsoku/>
        <w:wordWrap/>
        <w:overflowPunct/>
        <w:topLinePunct w:val="0"/>
        <w:autoSpaceDE/>
        <w:autoSpaceDN/>
        <w:bidi w:val="0"/>
        <w:adjustRightInd w:val="0"/>
        <w:spacing w:before="469" w:beforeLines="150" w:after="469" w:afterLines="150"/>
        <w:ind w:firstLine="480"/>
        <w:jc w:val="center"/>
        <w:textAlignment w:val="auto"/>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417" w:right="1418" w:bottom="1417" w:left="1418" w:header="851" w:footer="992" w:gutter="0"/>
          <w:cols w:space="720" w:num="1"/>
          <w:titlePg/>
          <w:docGrid w:linePitch="312" w:charSpace="0"/>
        </w:sectPr>
      </w:pPr>
    </w:p>
    <w:sdt>
      <w:sdtPr>
        <w:rPr>
          <w:rFonts w:hint="eastAsia" w:ascii="仿宋" w:hAnsi="仿宋" w:cs="仿宋"/>
          <w:sz w:val="32"/>
          <w:szCs w:val="32"/>
        </w:rPr>
        <w:id w:val="147479071"/>
        <w15:color w:val="DBDBDB"/>
        <w:docPartObj>
          <w:docPartGallery w:val="Table of Contents"/>
          <w:docPartUnique/>
        </w:docPartObj>
      </w:sdtPr>
      <w:sdtEndPr>
        <w:rPr>
          <w:rFonts w:hint="eastAsia" w:ascii="仿宋" w:hAnsi="仿宋" w:cs="仿宋"/>
          <w:b/>
          <w:sz w:val="24"/>
          <w:szCs w:val="24"/>
        </w:rPr>
      </w:sdtEndPr>
      <w:sdtContent>
        <w:p w14:paraId="09D32DF2">
          <w:pPr>
            <w:spacing w:line="240" w:lineRule="auto"/>
            <w:ind w:firstLine="0" w:firstLineChars="0"/>
            <w:jc w:val="center"/>
            <w:rPr>
              <w:rFonts w:ascii="仿宋" w:hAnsi="仿宋" w:cs="仿宋"/>
              <w:sz w:val="32"/>
              <w:szCs w:val="32"/>
            </w:rPr>
          </w:pPr>
          <w:r>
            <w:rPr>
              <w:rFonts w:hint="eastAsia" w:ascii="仿宋" w:hAnsi="仿宋" w:cs="仿宋"/>
              <w:sz w:val="32"/>
              <w:szCs w:val="32"/>
            </w:rPr>
            <w:t>目  录</w:t>
          </w:r>
        </w:p>
        <w:p w14:paraId="41769F45">
          <w:pPr>
            <w:ind w:firstLine="480"/>
          </w:pPr>
        </w:p>
        <w:p w14:paraId="183A2458">
          <w:pPr>
            <w:pStyle w:val="45"/>
            <w:tabs>
              <w:tab w:val="right" w:leader="dot" w:pos="9070"/>
            </w:tabs>
          </w:pPr>
          <w:r>
            <w:rPr>
              <w:rFonts w:hint="eastAsia" w:ascii="仿宋" w:hAnsi="仿宋" w:cs="仿宋"/>
            </w:rPr>
            <w:fldChar w:fldCharType="begin"/>
          </w:r>
          <w:r>
            <w:rPr>
              <w:rFonts w:hint="eastAsia" w:ascii="仿宋" w:hAnsi="仿宋" w:cs="仿宋"/>
            </w:rPr>
            <w:instrText xml:space="preserve">TOC \o "1-2" \h \u </w:instrText>
          </w:r>
          <w:r>
            <w:rPr>
              <w:rFonts w:hint="eastAsia" w:ascii="仿宋" w:hAnsi="仿宋" w:cs="仿宋"/>
            </w:rPr>
            <w:fldChar w:fldCharType="separate"/>
          </w:r>
          <w:r>
            <w:rPr>
              <w:rFonts w:hint="eastAsia" w:ascii="仿宋" w:hAnsi="仿宋" w:cs="仿宋"/>
            </w:rPr>
            <w:fldChar w:fldCharType="begin"/>
          </w:r>
          <w:r>
            <w:rPr>
              <w:rFonts w:hint="eastAsia" w:ascii="仿宋" w:hAnsi="仿宋" w:cs="仿宋"/>
            </w:rPr>
            <w:instrText xml:space="preserve"> HYPERLINK \l _Toc1386 </w:instrText>
          </w:r>
          <w:r>
            <w:rPr>
              <w:rFonts w:hint="eastAsia" w:ascii="仿宋" w:hAnsi="仿宋" w:cs="仿宋"/>
            </w:rPr>
            <w:fldChar w:fldCharType="separate"/>
          </w:r>
          <w:r>
            <w:rPr>
              <w:rFonts w:hint="eastAsia" w:ascii="仿宋" w:hAnsi="仿宋" w:cs="仿宋"/>
              <w:szCs w:val="20"/>
            </w:rPr>
            <w:t>第一部分 招标公告</w:t>
          </w:r>
          <w:r>
            <w:tab/>
          </w:r>
          <w:r>
            <w:fldChar w:fldCharType="begin"/>
          </w:r>
          <w:r>
            <w:instrText xml:space="preserve"> PAGEREF _Toc1386 \h </w:instrText>
          </w:r>
          <w:r>
            <w:fldChar w:fldCharType="separate"/>
          </w:r>
          <w:r>
            <w:t>4</w:t>
          </w:r>
          <w:r>
            <w:fldChar w:fldCharType="end"/>
          </w:r>
          <w:r>
            <w:rPr>
              <w:rFonts w:hint="eastAsia" w:ascii="仿宋" w:hAnsi="仿宋" w:cs="仿宋"/>
            </w:rPr>
            <w:fldChar w:fldCharType="end"/>
          </w:r>
        </w:p>
        <w:p w14:paraId="228B07EF">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_Toc18660 </w:instrText>
          </w:r>
          <w:r>
            <w:rPr>
              <w:rFonts w:hint="eastAsia" w:ascii="仿宋" w:hAnsi="仿宋" w:cs="仿宋"/>
            </w:rPr>
            <w:fldChar w:fldCharType="separate"/>
          </w:r>
          <w:r>
            <w:rPr>
              <w:rFonts w:hint="eastAsia" w:ascii="仿宋" w:hAnsi="仿宋" w:cs="仿宋"/>
            </w:rPr>
            <w:t>一、项目基本情况</w:t>
          </w:r>
          <w:r>
            <w:tab/>
          </w:r>
          <w:r>
            <w:fldChar w:fldCharType="begin"/>
          </w:r>
          <w:r>
            <w:instrText xml:space="preserve"> PAGEREF _Toc18660 \h </w:instrText>
          </w:r>
          <w:r>
            <w:fldChar w:fldCharType="separate"/>
          </w:r>
          <w:r>
            <w:t>4</w:t>
          </w:r>
          <w:r>
            <w:fldChar w:fldCharType="end"/>
          </w:r>
          <w:r>
            <w:rPr>
              <w:rFonts w:hint="eastAsia" w:ascii="仿宋" w:hAnsi="仿宋" w:cs="仿宋"/>
            </w:rPr>
            <w:fldChar w:fldCharType="end"/>
          </w:r>
        </w:p>
        <w:p w14:paraId="4836E3F6">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_Toc18535 </w:instrText>
          </w:r>
          <w:r>
            <w:rPr>
              <w:rFonts w:hint="eastAsia" w:ascii="仿宋" w:hAnsi="仿宋" w:cs="仿宋"/>
            </w:rPr>
            <w:fldChar w:fldCharType="separate"/>
          </w:r>
          <w:r>
            <w:rPr>
              <w:rFonts w:hint="eastAsia" w:ascii="仿宋" w:hAnsi="仿宋" w:cs="仿宋"/>
            </w:rPr>
            <w:t>二、申请人的资格要求</w:t>
          </w:r>
          <w:r>
            <w:tab/>
          </w:r>
          <w:r>
            <w:fldChar w:fldCharType="begin"/>
          </w:r>
          <w:r>
            <w:instrText xml:space="preserve"> PAGEREF _Toc18535 \h </w:instrText>
          </w:r>
          <w:r>
            <w:fldChar w:fldCharType="separate"/>
          </w:r>
          <w:r>
            <w:t>4</w:t>
          </w:r>
          <w:r>
            <w:fldChar w:fldCharType="end"/>
          </w:r>
          <w:r>
            <w:rPr>
              <w:rFonts w:hint="eastAsia" w:ascii="仿宋" w:hAnsi="仿宋" w:cs="仿宋"/>
            </w:rPr>
            <w:fldChar w:fldCharType="end"/>
          </w:r>
        </w:p>
        <w:p w14:paraId="0D846BD3">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_Toc22652 </w:instrText>
          </w:r>
          <w:r>
            <w:rPr>
              <w:rFonts w:hint="eastAsia" w:ascii="仿宋" w:hAnsi="仿宋" w:cs="仿宋"/>
            </w:rPr>
            <w:fldChar w:fldCharType="separate"/>
          </w:r>
          <w:r>
            <w:rPr>
              <w:rFonts w:hint="eastAsia" w:ascii="仿宋" w:hAnsi="仿宋" w:cs="仿宋"/>
            </w:rPr>
            <w:t>三、获取招标文件</w:t>
          </w:r>
          <w:r>
            <w:tab/>
          </w:r>
          <w:r>
            <w:fldChar w:fldCharType="begin"/>
          </w:r>
          <w:r>
            <w:instrText xml:space="preserve"> PAGEREF _Toc22652 \h </w:instrText>
          </w:r>
          <w:r>
            <w:fldChar w:fldCharType="separate"/>
          </w:r>
          <w:r>
            <w:t>4</w:t>
          </w:r>
          <w:r>
            <w:fldChar w:fldCharType="end"/>
          </w:r>
          <w:r>
            <w:rPr>
              <w:rFonts w:hint="eastAsia" w:ascii="仿宋" w:hAnsi="仿宋" w:cs="仿宋"/>
            </w:rPr>
            <w:fldChar w:fldCharType="end"/>
          </w:r>
        </w:p>
        <w:p w14:paraId="1DA94EF0">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_Toc30481 </w:instrText>
          </w:r>
          <w:r>
            <w:rPr>
              <w:rFonts w:hint="eastAsia" w:ascii="仿宋" w:hAnsi="仿宋" w:cs="仿宋"/>
            </w:rPr>
            <w:fldChar w:fldCharType="separate"/>
          </w:r>
          <w:r>
            <w:rPr>
              <w:rFonts w:hint="eastAsia" w:ascii="仿宋" w:hAnsi="仿宋" w:cs="仿宋"/>
            </w:rPr>
            <w:t>四、提交投标文件截止时间、开标时间和地点</w:t>
          </w:r>
          <w:r>
            <w:tab/>
          </w:r>
          <w:r>
            <w:fldChar w:fldCharType="begin"/>
          </w:r>
          <w:r>
            <w:instrText xml:space="preserve"> PAGEREF _Toc30481 \h </w:instrText>
          </w:r>
          <w:r>
            <w:fldChar w:fldCharType="separate"/>
          </w:r>
          <w:r>
            <w:t>5</w:t>
          </w:r>
          <w:r>
            <w:fldChar w:fldCharType="end"/>
          </w:r>
          <w:r>
            <w:rPr>
              <w:rFonts w:hint="eastAsia" w:ascii="仿宋" w:hAnsi="仿宋" w:cs="仿宋"/>
            </w:rPr>
            <w:fldChar w:fldCharType="end"/>
          </w:r>
        </w:p>
        <w:p w14:paraId="12A9B465">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_Toc32456 </w:instrText>
          </w:r>
          <w:r>
            <w:rPr>
              <w:rFonts w:hint="eastAsia" w:ascii="仿宋" w:hAnsi="仿宋" w:cs="仿宋"/>
            </w:rPr>
            <w:fldChar w:fldCharType="separate"/>
          </w:r>
          <w:r>
            <w:rPr>
              <w:rFonts w:hint="eastAsia" w:ascii="仿宋" w:hAnsi="仿宋" w:cs="仿宋"/>
            </w:rPr>
            <w:t>五、公告期限</w:t>
          </w:r>
          <w:r>
            <w:tab/>
          </w:r>
          <w:r>
            <w:fldChar w:fldCharType="begin"/>
          </w:r>
          <w:r>
            <w:instrText xml:space="preserve"> PAGEREF _Toc32456 \h </w:instrText>
          </w:r>
          <w:r>
            <w:fldChar w:fldCharType="separate"/>
          </w:r>
          <w:r>
            <w:t>5</w:t>
          </w:r>
          <w:r>
            <w:fldChar w:fldCharType="end"/>
          </w:r>
          <w:r>
            <w:rPr>
              <w:rFonts w:hint="eastAsia" w:ascii="仿宋" w:hAnsi="仿宋" w:cs="仿宋"/>
            </w:rPr>
            <w:fldChar w:fldCharType="end"/>
          </w:r>
        </w:p>
        <w:p w14:paraId="24B5A46A">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_Toc3439 </w:instrText>
          </w:r>
          <w:r>
            <w:rPr>
              <w:rFonts w:hint="eastAsia" w:ascii="仿宋" w:hAnsi="仿宋" w:cs="仿宋"/>
            </w:rPr>
            <w:fldChar w:fldCharType="separate"/>
          </w:r>
          <w:r>
            <w:rPr>
              <w:rFonts w:hint="eastAsia" w:ascii="仿宋" w:hAnsi="仿宋" w:cs="仿宋"/>
            </w:rPr>
            <w:t>六、其他补充事宜</w:t>
          </w:r>
          <w:r>
            <w:tab/>
          </w:r>
          <w:r>
            <w:fldChar w:fldCharType="begin"/>
          </w:r>
          <w:r>
            <w:instrText xml:space="preserve"> PAGEREF _Toc3439 \h </w:instrText>
          </w:r>
          <w:r>
            <w:fldChar w:fldCharType="separate"/>
          </w:r>
          <w:r>
            <w:t>5</w:t>
          </w:r>
          <w:r>
            <w:fldChar w:fldCharType="end"/>
          </w:r>
          <w:r>
            <w:rPr>
              <w:rFonts w:hint="eastAsia" w:ascii="仿宋" w:hAnsi="仿宋" w:cs="仿宋"/>
            </w:rPr>
            <w:fldChar w:fldCharType="end"/>
          </w:r>
        </w:p>
        <w:p w14:paraId="2AA0F825">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_Toc16260 </w:instrText>
          </w:r>
          <w:r>
            <w:rPr>
              <w:rFonts w:hint="eastAsia" w:ascii="仿宋" w:hAnsi="仿宋" w:cs="仿宋"/>
            </w:rPr>
            <w:fldChar w:fldCharType="separate"/>
          </w:r>
          <w:r>
            <w:rPr>
              <w:rFonts w:hint="eastAsia" w:ascii="仿宋" w:hAnsi="仿宋" w:cs="仿宋"/>
            </w:rPr>
            <w:t>七、对本次采购提出询问、质疑、投诉，请按以下方式联系</w:t>
          </w:r>
          <w:r>
            <w:tab/>
          </w:r>
          <w:r>
            <w:fldChar w:fldCharType="begin"/>
          </w:r>
          <w:r>
            <w:instrText xml:space="preserve"> PAGEREF _Toc16260 \h </w:instrText>
          </w:r>
          <w:r>
            <w:fldChar w:fldCharType="separate"/>
          </w:r>
          <w:r>
            <w:t>6</w:t>
          </w:r>
          <w:r>
            <w:fldChar w:fldCharType="end"/>
          </w:r>
          <w:r>
            <w:rPr>
              <w:rFonts w:hint="eastAsia" w:ascii="仿宋" w:hAnsi="仿宋" w:cs="仿宋"/>
            </w:rPr>
            <w:fldChar w:fldCharType="end"/>
          </w:r>
        </w:p>
        <w:p w14:paraId="17AFE002">
          <w:pPr>
            <w:pStyle w:val="45"/>
            <w:tabs>
              <w:tab w:val="right" w:leader="dot" w:pos="9070"/>
            </w:tabs>
          </w:pPr>
          <w:r>
            <w:rPr>
              <w:rFonts w:hint="eastAsia" w:ascii="仿宋" w:hAnsi="仿宋" w:cs="仿宋"/>
            </w:rPr>
            <w:fldChar w:fldCharType="begin"/>
          </w:r>
          <w:r>
            <w:rPr>
              <w:rFonts w:hint="eastAsia" w:ascii="仿宋" w:hAnsi="仿宋" w:cs="仿宋"/>
            </w:rPr>
            <w:instrText xml:space="preserve"> HYPERLINK \l _Toc24796 </w:instrText>
          </w:r>
          <w:r>
            <w:rPr>
              <w:rFonts w:hint="eastAsia" w:ascii="仿宋" w:hAnsi="仿宋" w:cs="仿宋"/>
            </w:rPr>
            <w:fldChar w:fldCharType="separate"/>
          </w:r>
          <w:r>
            <w:rPr>
              <w:rFonts w:hint="eastAsia" w:ascii="仿宋" w:hAnsi="仿宋" w:cs="仿宋"/>
            </w:rPr>
            <w:t>第二部分 投标人须知</w:t>
          </w:r>
          <w:r>
            <w:tab/>
          </w:r>
          <w:r>
            <w:fldChar w:fldCharType="begin"/>
          </w:r>
          <w:r>
            <w:instrText xml:space="preserve"> PAGEREF _Toc24796 \h </w:instrText>
          </w:r>
          <w:r>
            <w:fldChar w:fldCharType="separate"/>
          </w:r>
          <w:r>
            <w:t>8</w:t>
          </w:r>
          <w:r>
            <w:fldChar w:fldCharType="end"/>
          </w:r>
          <w:r>
            <w:rPr>
              <w:rFonts w:hint="eastAsia" w:ascii="仿宋" w:hAnsi="仿宋" w:cs="仿宋"/>
            </w:rPr>
            <w:fldChar w:fldCharType="end"/>
          </w:r>
        </w:p>
        <w:p w14:paraId="7DFF500A">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_Toc8449 </w:instrText>
          </w:r>
          <w:r>
            <w:rPr>
              <w:rFonts w:hint="eastAsia" w:ascii="仿宋" w:hAnsi="仿宋" w:cs="仿宋"/>
            </w:rPr>
            <w:fldChar w:fldCharType="separate"/>
          </w:r>
          <w:r>
            <w:rPr>
              <w:rFonts w:hint="eastAsia" w:ascii="仿宋" w:hAnsi="仿宋" w:cs="仿宋"/>
            </w:rPr>
            <w:t>前附表</w:t>
          </w:r>
          <w:r>
            <w:tab/>
          </w:r>
          <w:r>
            <w:fldChar w:fldCharType="begin"/>
          </w:r>
          <w:r>
            <w:instrText xml:space="preserve"> PAGEREF _Toc8449 \h </w:instrText>
          </w:r>
          <w:r>
            <w:fldChar w:fldCharType="separate"/>
          </w:r>
          <w:r>
            <w:t>8</w:t>
          </w:r>
          <w:r>
            <w:fldChar w:fldCharType="end"/>
          </w:r>
          <w:r>
            <w:rPr>
              <w:rFonts w:hint="eastAsia" w:ascii="仿宋" w:hAnsi="仿宋" w:cs="仿宋"/>
            </w:rPr>
            <w:fldChar w:fldCharType="end"/>
          </w:r>
        </w:p>
        <w:p w14:paraId="51B1A26F">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_Toc21303 </w:instrText>
          </w:r>
          <w:r>
            <w:rPr>
              <w:rFonts w:hint="eastAsia" w:ascii="仿宋" w:hAnsi="仿宋" w:cs="仿宋"/>
            </w:rPr>
            <w:fldChar w:fldCharType="separate"/>
          </w:r>
          <w:r>
            <w:rPr>
              <w:rFonts w:hint="eastAsia" w:ascii="仿宋" w:hAnsi="仿宋" w:cs="仿宋"/>
            </w:rPr>
            <w:t>一、总则</w:t>
          </w:r>
          <w:r>
            <w:tab/>
          </w:r>
          <w:r>
            <w:fldChar w:fldCharType="begin"/>
          </w:r>
          <w:r>
            <w:instrText xml:space="preserve"> PAGEREF _Toc21303 \h </w:instrText>
          </w:r>
          <w:r>
            <w:fldChar w:fldCharType="separate"/>
          </w:r>
          <w:r>
            <w:t>9</w:t>
          </w:r>
          <w:r>
            <w:fldChar w:fldCharType="end"/>
          </w:r>
          <w:r>
            <w:rPr>
              <w:rFonts w:hint="eastAsia" w:ascii="仿宋" w:hAnsi="仿宋" w:cs="仿宋"/>
            </w:rPr>
            <w:fldChar w:fldCharType="end"/>
          </w:r>
        </w:p>
        <w:p w14:paraId="23C81B8B">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_Toc1812 </w:instrText>
          </w:r>
          <w:r>
            <w:rPr>
              <w:rFonts w:hint="eastAsia" w:ascii="仿宋" w:hAnsi="仿宋" w:cs="仿宋"/>
            </w:rPr>
            <w:fldChar w:fldCharType="separate"/>
          </w:r>
          <w:r>
            <w:rPr>
              <w:rFonts w:hint="eastAsia" w:ascii="仿宋" w:hAnsi="仿宋" w:cs="仿宋"/>
            </w:rPr>
            <w:t>二、招标文件的构成、澄清、修改</w:t>
          </w:r>
          <w:r>
            <w:tab/>
          </w:r>
          <w:r>
            <w:fldChar w:fldCharType="begin"/>
          </w:r>
          <w:r>
            <w:instrText xml:space="preserve"> PAGEREF _Toc1812 \h </w:instrText>
          </w:r>
          <w:r>
            <w:fldChar w:fldCharType="separate"/>
          </w:r>
          <w:r>
            <w:t>12</w:t>
          </w:r>
          <w:r>
            <w:fldChar w:fldCharType="end"/>
          </w:r>
          <w:r>
            <w:rPr>
              <w:rFonts w:hint="eastAsia" w:ascii="仿宋" w:hAnsi="仿宋" w:cs="仿宋"/>
            </w:rPr>
            <w:fldChar w:fldCharType="end"/>
          </w:r>
        </w:p>
        <w:p w14:paraId="0C7574E5">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_Toc25778 </w:instrText>
          </w:r>
          <w:r>
            <w:rPr>
              <w:rFonts w:hint="eastAsia" w:ascii="仿宋" w:hAnsi="仿宋" w:cs="仿宋"/>
            </w:rPr>
            <w:fldChar w:fldCharType="separate"/>
          </w:r>
          <w:r>
            <w:rPr>
              <w:rFonts w:hint="eastAsia" w:ascii="仿宋" w:hAnsi="仿宋" w:cs="仿宋"/>
            </w:rPr>
            <w:t>三、投标</w:t>
          </w:r>
          <w:r>
            <w:tab/>
          </w:r>
          <w:r>
            <w:fldChar w:fldCharType="begin"/>
          </w:r>
          <w:r>
            <w:instrText xml:space="preserve"> PAGEREF _Toc25778 \h </w:instrText>
          </w:r>
          <w:r>
            <w:fldChar w:fldCharType="separate"/>
          </w:r>
          <w:r>
            <w:t>12</w:t>
          </w:r>
          <w:r>
            <w:fldChar w:fldCharType="end"/>
          </w:r>
          <w:r>
            <w:rPr>
              <w:rFonts w:hint="eastAsia" w:ascii="仿宋" w:hAnsi="仿宋" w:cs="仿宋"/>
            </w:rPr>
            <w:fldChar w:fldCharType="end"/>
          </w:r>
        </w:p>
        <w:p w14:paraId="0FA43A3C">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_Toc5674 </w:instrText>
          </w:r>
          <w:r>
            <w:rPr>
              <w:rFonts w:hint="eastAsia" w:ascii="仿宋" w:hAnsi="仿宋" w:cs="仿宋"/>
            </w:rPr>
            <w:fldChar w:fldCharType="separate"/>
          </w:r>
          <w:r>
            <w:rPr>
              <w:rFonts w:hint="eastAsia" w:ascii="仿宋" w:hAnsi="仿宋" w:cs="仿宋"/>
            </w:rPr>
            <w:t>四、开标、资格审查与信用信息查询</w:t>
          </w:r>
          <w:r>
            <w:tab/>
          </w:r>
          <w:r>
            <w:fldChar w:fldCharType="begin"/>
          </w:r>
          <w:r>
            <w:instrText xml:space="preserve"> PAGEREF _Toc5674 \h </w:instrText>
          </w:r>
          <w:r>
            <w:fldChar w:fldCharType="separate"/>
          </w:r>
          <w:r>
            <w:t>15</w:t>
          </w:r>
          <w:r>
            <w:fldChar w:fldCharType="end"/>
          </w:r>
          <w:r>
            <w:rPr>
              <w:rFonts w:hint="eastAsia" w:ascii="仿宋" w:hAnsi="仿宋" w:cs="仿宋"/>
            </w:rPr>
            <w:fldChar w:fldCharType="end"/>
          </w:r>
        </w:p>
        <w:p w14:paraId="270FA22E">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_Toc16636 </w:instrText>
          </w:r>
          <w:r>
            <w:rPr>
              <w:rFonts w:hint="eastAsia" w:ascii="仿宋" w:hAnsi="仿宋" w:cs="仿宋"/>
            </w:rPr>
            <w:fldChar w:fldCharType="separate"/>
          </w:r>
          <w:r>
            <w:rPr>
              <w:rFonts w:hint="eastAsia" w:ascii="仿宋" w:hAnsi="仿宋" w:cs="仿宋"/>
            </w:rPr>
            <w:t>五、评标</w:t>
          </w:r>
          <w:r>
            <w:tab/>
          </w:r>
          <w:r>
            <w:fldChar w:fldCharType="begin"/>
          </w:r>
          <w:r>
            <w:instrText xml:space="preserve"> PAGEREF _Toc16636 \h </w:instrText>
          </w:r>
          <w:r>
            <w:fldChar w:fldCharType="separate"/>
          </w:r>
          <w:r>
            <w:t>16</w:t>
          </w:r>
          <w:r>
            <w:fldChar w:fldCharType="end"/>
          </w:r>
          <w:r>
            <w:rPr>
              <w:rFonts w:hint="eastAsia" w:ascii="仿宋" w:hAnsi="仿宋" w:cs="仿宋"/>
            </w:rPr>
            <w:fldChar w:fldCharType="end"/>
          </w:r>
        </w:p>
        <w:p w14:paraId="3E28270A">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_Toc26692 </w:instrText>
          </w:r>
          <w:r>
            <w:rPr>
              <w:rFonts w:hint="eastAsia" w:ascii="仿宋" w:hAnsi="仿宋" w:cs="仿宋"/>
            </w:rPr>
            <w:fldChar w:fldCharType="separate"/>
          </w:r>
          <w:r>
            <w:rPr>
              <w:rFonts w:hint="eastAsia" w:ascii="仿宋" w:hAnsi="仿宋" w:cs="仿宋"/>
            </w:rPr>
            <w:t>六、定标</w:t>
          </w:r>
          <w:r>
            <w:tab/>
          </w:r>
          <w:r>
            <w:fldChar w:fldCharType="begin"/>
          </w:r>
          <w:r>
            <w:instrText xml:space="preserve"> PAGEREF _Toc26692 \h </w:instrText>
          </w:r>
          <w:r>
            <w:fldChar w:fldCharType="separate"/>
          </w:r>
          <w:r>
            <w:t>17</w:t>
          </w:r>
          <w:r>
            <w:fldChar w:fldCharType="end"/>
          </w:r>
          <w:r>
            <w:rPr>
              <w:rFonts w:hint="eastAsia" w:ascii="仿宋" w:hAnsi="仿宋" w:cs="仿宋"/>
            </w:rPr>
            <w:fldChar w:fldCharType="end"/>
          </w:r>
        </w:p>
        <w:p w14:paraId="5AA0AE43">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_Toc2780 </w:instrText>
          </w:r>
          <w:r>
            <w:rPr>
              <w:rFonts w:hint="eastAsia" w:ascii="仿宋" w:hAnsi="仿宋" w:cs="仿宋"/>
            </w:rPr>
            <w:fldChar w:fldCharType="separate"/>
          </w:r>
          <w:r>
            <w:rPr>
              <w:rFonts w:hint="eastAsia" w:ascii="仿宋" w:hAnsi="仿宋" w:cs="仿宋"/>
            </w:rPr>
            <w:t>七、合同授予</w:t>
          </w:r>
          <w:r>
            <w:tab/>
          </w:r>
          <w:r>
            <w:fldChar w:fldCharType="begin"/>
          </w:r>
          <w:r>
            <w:instrText xml:space="preserve"> PAGEREF _Toc2780 \h </w:instrText>
          </w:r>
          <w:r>
            <w:fldChar w:fldCharType="separate"/>
          </w:r>
          <w:r>
            <w:t>17</w:t>
          </w:r>
          <w:r>
            <w:fldChar w:fldCharType="end"/>
          </w:r>
          <w:r>
            <w:rPr>
              <w:rFonts w:hint="eastAsia" w:ascii="仿宋" w:hAnsi="仿宋" w:cs="仿宋"/>
            </w:rPr>
            <w:fldChar w:fldCharType="end"/>
          </w:r>
        </w:p>
        <w:p w14:paraId="3037FDDF">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_Toc27319 </w:instrText>
          </w:r>
          <w:r>
            <w:rPr>
              <w:rFonts w:hint="eastAsia" w:ascii="仿宋" w:hAnsi="仿宋" w:cs="仿宋"/>
            </w:rPr>
            <w:fldChar w:fldCharType="separate"/>
          </w:r>
          <w:r>
            <w:rPr>
              <w:rFonts w:hint="eastAsia" w:ascii="仿宋" w:hAnsi="仿宋" w:cs="仿宋"/>
            </w:rPr>
            <w:t>八、电子交易活动的中止</w:t>
          </w:r>
          <w:r>
            <w:tab/>
          </w:r>
          <w:r>
            <w:fldChar w:fldCharType="begin"/>
          </w:r>
          <w:r>
            <w:instrText xml:space="preserve"> PAGEREF _Toc27319 \h </w:instrText>
          </w:r>
          <w:r>
            <w:fldChar w:fldCharType="separate"/>
          </w:r>
          <w:r>
            <w:t>19</w:t>
          </w:r>
          <w:r>
            <w:fldChar w:fldCharType="end"/>
          </w:r>
          <w:r>
            <w:rPr>
              <w:rFonts w:hint="eastAsia" w:ascii="仿宋" w:hAnsi="仿宋" w:cs="仿宋"/>
            </w:rPr>
            <w:fldChar w:fldCharType="end"/>
          </w:r>
        </w:p>
        <w:p w14:paraId="45683E32">
          <w:pPr>
            <w:pStyle w:val="45"/>
            <w:tabs>
              <w:tab w:val="right" w:leader="dot" w:pos="9070"/>
            </w:tabs>
          </w:pPr>
          <w:r>
            <w:rPr>
              <w:rFonts w:hint="eastAsia" w:ascii="仿宋" w:hAnsi="仿宋" w:cs="仿宋"/>
            </w:rPr>
            <w:fldChar w:fldCharType="begin"/>
          </w:r>
          <w:r>
            <w:rPr>
              <w:rFonts w:hint="eastAsia" w:ascii="仿宋" w:hAnsi="仿宋" w:cs="仿宋"/>
            </w:rPr>
            <w:instrText xml:space="preserve"> HYPERLINK \l _Toc369 </w:instrText>
          </w:r>
          <w:r>
            <w:rPr>
              <w:rFonts w:hint="eastAsia" w:ascii="仿宋" w:hAnsi="仿宋" w:cs="仿宋"/>
            </w:rPr>
            <w:fldChar w:fldCharType="separate"/>
          </w:r>
          <w:r>
            <w:rPr>
              <w:rFonts w:hint="eastAsia" w:ascii="仿宋" w:hAnsi="仿宋" w:cs="仿宋"/>
              <w:bCs/>
              <w:lang w:val="en-US" w:eastAsia="zh-CN" w:bidi="ar-SA"/>
            </w:rPr>
            <w:t>第三部分 采购需求</w:t>
          </w:r>
          <w:r>
            <w:tab/>
          </w:r>
          <w:r>
            <w:fldChar w:fldCharType="begin"/>
          </w:r>
          <w:r>
            <w:instrText xml:space="preserve"> PAGEREF _Toc369 \h </w:instrText>
          </w:r>
          <w:r>
            <w:fldChar w:fldCharType="separate"/>
          </w:r>
          <w:r>
            <w:t>20</w:t>
          </w:r>
          <w:r>
            <w:fldChar w:fldCharType="end"/>
          </w:r>
          <w:r>
            <w:rPr>
              <w:rFonts w:hint="eastAsia" w:ascii="仿宋" w:hAnsi="仿宋" w:cs="仿宋"/>
            </w:rPr>
            <w:fldChar w:fldCharType="end"/>
          </w:r>
        </w:p>
        <w:p w14:paraId="0FC39AC4">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_Toc13008 </w:instrText>
          </w:r>
          <w:r>
            <w:rPr>
              <w:rFonts w:hint="eastAsia" w:ascii="仿宋" w:hAnsi="仿宋" w:cs="仿宋"/>
            </w:rPr>
            <w:fldChar w:fldCharType="separate"/>
          </w:r>
          <w:r>
            <w:rPr>
              <w:rFonts w:hint="eastAsia"/>
              <w:lang w:val="en-US" w:eastAsia="zh-CN"/>
            </w:rPr>
            <w:t>一</w:t>
          </w:r>
          <w:r>
            <w:rPr>
              <w:rFonts w:hint="eastAsia"/>
            </w:rPr>
            <w:t>、项目概况</w:t>
          </w:r>
          <w:r>
            <w:tab/>
          </w:r>
          <w:r>
            <w:fldChar w:fldCharType="begin"/>
          </w:r>
          <w:r>
            <w:instrText xml:space="preserve"> PAGEREF _Toc13008 \h </w:instrText>
          </w:r>
          <w:r>
            <w:fldChar w:fldCharType="separate"/>
          </w:r>
          <w:r>
            <w:t>20</w:t>
          </w:r>
          <w:r>
            <w:fldChar w:fldCharType="end"/>
          </w:r>
          <w:r>
            <w:rPr>
              <w:rFonts w:hint="eastAsia" w:ascii="仿宋" w:hAnsi="仿宋" w:cs="仿宋"/>
            </w:rPr>
            <w:fldChar w:fldCharType="end"/>
          </w:r>
        </w:p>
        <w:p w14:paraId="01A8DBD9">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_Toc13498 </w:instrText>
          </w:r>
          <w:r>
            <w:rPr>
              <w:rFonts w:hint="eastAsia" w:ascii="仿宋" w:hAnsi="仿宋" w:cs="仿宋"/>
            </w:rPr>
            <w:fldChar w:fldCharType="separate"/>
          </w:r>
          <w:r>
            <w:rPr>
              <w:rFonts w:hint="eastAsia"/>
            </w:rPr>
            <w:t>二、服务内容</w:t>
          </w:r>
          <w:r>
            <w:tab/>
          </w:r>
          <w:r>
            <w:fldChar w:fldCharType="begin"/>
          </w:r>
          <w:r>
            <w:instrText xml:space="preserve"> PAGEREF _Toc13498 \h </w:instrText>
          </w:r>
          <w:r>
            <w:fldChar w:fldCharType="separate"/>
          </w:r>
          <w:r>
            <w:t>20</w:t>
          </w:r>
          <w:r>
            <w:fldChar w:fldCharType="end"/>
          </w:r>
          <w:r>
            <w:rPr>
              <w:rFonts w:hint="eastAsia" w:ascii="仿宋" w:hAnsi="仿宋" w:cs="仿宋"/>
            </w:rPr>
            <w:fldChar w:fldCharType="end"/>
          </w:r>
        </w:p>
        <w:p w14:paraId="02734A18">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_Toc18651 </w:instrText>
          </w:r>
          <w:r>
            <w:rPr>
              <w:rFonts w:hint="eastAsia" w:ascii="仿宋" w:hAnsi="仿宋" w:cs="仿宋"/>
            </w:rPr>
            <w:fldChar w:fldCharType="separate"/>
          </w:r>
          <w:r>
            <w:rPr>
              <w:rFonts w:hint="eastAsia"/>
              <w:lang w:val="en-US" w:eastAsia="zh-CN"/>
            </w:rPr>
            <w:t xml:space="preserve">三. </w:t>
          </w:r>
          <w:r>
            <w:rPr>
              <w:rFonts w:hint="eastAsia"/>
            </w:rPr>
            <w:t>商务要求</w:t>
          </w:r>
          <w:r>
            <w:tab/>
          </w:r>
          <w:r>
            <w:fldChar w:fldCharType="begin"/>
          </w:r>
          <w:r>
            <w:instrText xml:space="preserve"> PAGEREF _Toc18651 \h </w:instrText>
          </w:r>
          <w:r>
            <w:fldChar w:fldCharType="separate"/>
          </w:r>
          <w:r>
            <w:t>21</w:t>
          </w:r>
          <w:r>
            <w:fldChar w:fldCharType="end"/>
          </w:r>
          <w:r>
            <w:rPr>
              <w:rFonts w:hint="eastAsia" w:ascii="仿宋" w:hAnsi="仿宋" w:cs="仿宋"/>
            </w:rPr>
            <w:fldChar w:fldCharType="end"/>
          </w:r>
        </w:p>
        <w:p w14:paraId="715AE838">
          <w:pPr>
            <w:pStyle w:val="45"/>
            <w:tabs>
              <w:tab w:val="right" w:leader="dot" w:pos="9070"/>
            </w:tabs>
          </w:pPr>
          <w:r>
            <w:rPr>
              <w:rFonts w:hint="eastAsia" w:ascii="仿宋" w:hAnsi="仿宋" w:cs="仿宋"/>
            </w:rPr>
            <w:fldChar w:fldCharType="begin"/>
          </w:r>
          <w:r>
            <w:rPr>
              <w:rFonts w:hint="eastAsia" w:ascii="仿宋" w:hAnsi="仿宋" w:cs="仿宋"/>
            </w:rPr>
            <w:instrText xml:space="preserve"> HYPERLINK \l _Toc27407 </w:instrText>
          </w:r>
          <w:r>
            <w:rPr>
              <w:rFonts w:hint="eastAsia" w:ascii="仿宋" w:hAnsi="仿宋" w:cs="仿宋"/>
            </w:rPr>
            <w:fldChar w:fldCharType="separate"/>
          </w:r>
          <w:r>
            <w:rPr>
              <w:rFonts w:hint="eastAsia" w:ascii="仿宋" w:hAnsi="仿宋" w:cs="仿宋"/>
              <w:bCs/>
              <w:lang w:val="en-US" w:eastAsia="zh-CN" w:bidi="ar-SA"/>
            </w:rPr>
            <w:t>第四部分 评标办法</w:t>
          </w:r>
          <w:r>
            <w:tab/>
          </w:r>
          <w:r>
            <w:fldChar w:fldCharType="begin"/>
          </w:r>
          <w:r>
            <w:instrText xml:space="preserve"> PAGEREF _Toc27407 \h </w:instrText>
          </w:r>
          <w:r>
            <w:fldChar w:fldCharType="separate"/>
          </w:r>
          <w:r>
            <w:t>25</w:t>
          </w:r>
          <w:r>
            <w:fldChar w:fldCharType="end"/>
          </w:r>
          <w:r>
            <w:rPr>
              <w:rFonts w:hint="eastAsia" w:ascii="仿宋" w:hAnsi="仿宋" w:cs="仿宋"/>
            </w:rPr>
            <w:fldChar w:fldCharType="end"/>
          </w:r>
        </w:p>
        <w:p w14:paraId="0DBE36D3">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_Toc9241 </w:instrText>
          </w:r>
          <w:r>
            <w:rPr>
              <w:rFonts w:hint="eastAsia" w:ascii="仿宋" w:hAnsi="仿宋" w:cs="仿宋"/>
            </w:rPr>
            <w:fldChar w:fldCharType="separate"/>
          </w:r>
          <w:r>
            <w:rPr>
              <w:rFonts w:hint="eastAsia" w:ascii="仿宋" w:hAnsi="仿宋" w:cs="仿宋"/>
            </w:rPr>
            <w:t>评标办法前附表</w:t>
          </w:r>
          <w:r>
            <w:tab/>
          </w:r>
          <w:r>
            <w:fldChar w:fldCharType="begin"/>
          </w:r>
          <w:r>
            <w:instrText xml:space="preserve"> PAGEREF _Toc9241 \h </w:instrText>
          </w:r>
          <w:r>
            <w:fldChar w:fldCharType="separate"/>
          </w:r>
          <w:r>
            <w:t>25</w:t>
          </w:r>
          <w:r>
            <w:fldChar w:fldCharType="end"/>
          </w:r>
          <w:r>
            <w:rPr>
              <w:rFonts w:hint="eastAsia" w:ascii="仿宋" w:hAnsi="仿宋" w:cs="仿宋"/>
            </w:rPr>
            <w:fldChar w:fldCharType="end"/>
          </w:r>
        </w:p>
        <w:p w14:paraId="6F2F2F3D">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_Toc10164 </w:instrText>
          </w:r>
          <w:r>
            <w:rPr>
              <w:rFonts w:hint="eastAsia" w:ascii="仿宋" w:hAnsi="仿宋" w:cs="仿宋"/>
            </w:rPr>
            <w:fldChar w:fldCharType="separate"/>
          </w:r>
          <w:r>
            <w:rPr>
              <w:rFonts w:hint="eastAsia" w:ascii="仿宋" w:hAnsi="仿宋" w:cs="仿宋"/>
            </w:rPr>
            <w:t>一、评标方法</w:t>
          </w:r>
          <w:r>
            <w:tab/>
          </w:r>
          <w:r>
            <w:fldChar w:fldCharType="begin"/>
          </w:r>
          <w:r>
            <w:instrText xml:space="preserve"> PAGEREF _Toc10164 \h </w:instrText>
          </w:r>
          <w:r>
            <w:fldChar w:fldCharType="separate"/>
          </w:r>
          <w:r>
            <w:t>29</w:t>
          </w:r>
          <w:r>
            <w:fldChar w:fldCharType="end"/>
          </w:r>
          <w:r>
            <w:rPr>
              <w:rFonts w:hint="eastAsia" w:ascii="仿宋" w:hAnsi="仿宋" w:cs="仿宋"/>
            </w:rPr>
            <w:fldChar w:fldCharType="end"/>
          </w:r>
        </w:p>
        <w:p w14:paraId="7FB0365D">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_Toc10153 </w:instrText>
          </w:r>
          <w:r>
            <w:rPr>
              <w:rFonts w:hint="eastAsia" w:ascii="仿宋" w:hAnsi="仿宋" w:cs="仿宋"/>
            </w:rPr>
            <w:fldChar w:fldCharType="separate"/>
          </w:r>
          <w:r>
            <w:rPr>
              <w:rFonts w:hint="eastAsia" w:ascii="仿宋" w:hAnsi="仿宋" w:cs="仿宋"/>
            </w:rPr>
            <w:t>二、评标标准</w:t>
          </w:r>
          <w:r>
            <w:tab/>
          </w:r>
          <w:r>
            <w:fldChar w:fldCharType="begin"/>
          </w:r>
          <w:r>
            <w:instrText xml:space="preserve"> PAGEREF _Toc10153 \h </w:instrText>
          </w:r>
          <w:r>
            <w:fldChar w:fldCharType="separate"/>
          </w:r>
          <w:r>
            <w:t>29</w:t>
          </w:r>
          <w:r>
            <w:fldChar w:fldCharType="end"/>
          </w:r>
          <w:r>
            <w:rPr>
              <w:rFonts w:hint="eastAsia" w:ascii="仿宋" w:hAnsi="仿宋" w:cs="仿宋"/>
            </w:rPr>
            <w:fldChar w:fldCharType="end"/>
          </w:r>
        </w:p>
        <w:p w14:paraId="1D0F0BE0">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_Toc685 </w:instrText>
          </w:r>
          <w:r>
            <w:rPr>
              <w:rFonts w:hint="eastAsia" w:ascii="仿宋" w:hAnsi="仿宋" w:cs="仿宋"/>
            </w:rPr>
            <w:fldChar w:fldCharType="separate"/>
          </w:r>
          <w:r>
            <w:rPr>
              <w:rFonts w:hint="eastAsia" w:ascii="仿宋" w:hAnsi="仿宋" w:cs="仿宋"/>
            </w:rPr>
            <w:t>三、评标程序</w:t>
          </w:r>
          <w:r>
            <w:tab/>
          </w:r>
          <w:r>
            <w:fldChar w:fldCharType="begin"/>
          </w:r>
          <w:r>
            <w:instrText xml:space="preserve"> PAGEREF _Toc685 \h </w:instrText>
          </w:r>
          <w:r>
            <w:fldChar w:fldCharType="separate"/>
          </w:r>
          <w:r>
            <w:t>29</w:t>
          </w:r>
          <w:r>
            <w:fldChar w:fldCharType="end"/>
          </w:r>
          <w:r>
            <w:rPr>
              <w:rFonts w:hint="eastAsia" w:ascii="仿宋" w:hAnsi="仿宋" w:cs="仿宋"/>
            </w:rPr>
            <w:fldChar w:fldCharType="end"/>
          </w:r>
        </w:p>
        <w:p w14:paraId="61A59C0B">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_Toc12141 </w:instrText>
          </w:r>
          <w:r>
            <w:rPr>
              <w:rFonts w:hint="eastAsia" w:ascii="仿宋" w:hAnsi="仿宋" w:cs="仿宋"/>
            </w:rPr>
            <w:fldChar w:fldCharType="separate"/>
          </w:r>
          <w:r>
            <w:rPr>
              <w:rFonts w:hint="eastAsia" w:ascii="仿宋" w:hAnsi="仿宋" w:cs="仿宋"/>
            </w:rPr>
            <w:t>四、评标中的其他事项</w:t>
          </w:r>
          <w:r>
            <w:tab/>
          </w:r>
          <w:r>
            <w:fldChar w:fldCharType="begin"/>
          </w:r>
          <w:r>
            <w:instrText xml:space="preserve"> PAGEREF _Toc12141 \h </w:instrText>
          </w:r>
          <w:r>
            <w:fldChar w:fldCharType="separate"/>
          </w:r>
          <w:r>
            <w:t>30</w:t>
          </w:r>
          <w:r>
            <w:fldChar w:fldCharType="end"/>
          </w:r>
          <w:r>
            <w:rPr>
              <w:rFonts w:hint="eastAsia" w:ascii="仿宋" w:hAnsi="仿宋" w:cs="仿宋"/>
            </w:rPr>
            <w:fldChar w:fldCharType="end"/>
          </w:r>
        </w:p>
        <w:p w14:paraId="5B7B2608">
          <w:pPr>
            <w:pStyle w:val="45"/>
            <w:tabs>
              <w:tab w:val="right" w:leader="dot" w:pos="9070"/>
            </w:tabs>
          </w:pPr>
          <w:r>
            <w:rPr>
              <w:rFonts w:hint="eastAsia" w:ascii="仿宋" w:hAnsi="仿宋" w:cs="仿宋"/>
            </w:rPr>
            <w:fldChar w:fldCharType="begin"/>
          </w:r>
          <w:r>
            <w:rPr>
              <w:rFonts w:hint="eastAsia" w:ascii="仿宋" w:hAnsi="仿宋" w:cs="仿宋"/>
            </w:rPr>
            <w:instrText xml:space="preserve"> HYPERLINK \l _Toc17524 </w:instrText>
          </w:r>
          <w:r>
            <w:rPr>
              <w:rFonts w:hint="eastAsia" w:ascii="仿宋" w:hAnsi="仿宋" w:cs="仿宋"/>
            </w:rPr>
            <w:fldChar w:fldCharType="separate"/>
          </w:r>
          <w:r>
            <w:rPr>
              <w:rFonts w:hint="eastAsia" w:ascii="仿宋" w:hAnsi="仿宋" w:cs="仿宋"/>
              <w:bCs/>
              <w:lang w:val="en-US" w:eastAsia="zh-CN" w:bidi="ar-SA"/>
            </w:rPr>
            <w:t>第五部分 拟签订的合同文本</w:t>
          </w:r>
          <w:r>
            <w:tab/>
          </w:r>
          <w:r>
            <w:fldChar w:fldCharType="begin"/>
          </w:r>
          <w:r>
            <w:instrText xml:space="preserve"> PAGEREF _Toc17524 \h </w:instrText>
          </w:r>
          <w:r>
            <w:fldChar w:fldCharType="separate"/>
          </w:r>
          <w:r>
            <w:t>33</w:t>
          </w:r>
          <w:r>
            <w:fldChar w:fldCharType="end"/>
          </w:r>
          <w:r>
            <w:rPr>
              <w:rFonts w:hint="eastAsia" w:ascii="仿宋" w:hAnsi="仿宋" w:cs="仿宋"/>
            </w:rPr>
            <w:fldChar w:fldCharType="end"/>
          </w:r>
        </w:p>
        <w:p w14:paraId="27A24AE6">
          <w:pPr>
            <w:pStyle w:val="45"/>
            <w:tabs>
              <w:tab w:val="right" w:leader="dot" w:pos="9070"/>
            </w:tabs>
          </w:pPr>
          <w:r>
            <w:rPr>
              <w:rFonts w:hint="eastAsia" w:ascii="仿宋" w:hAnsi="仿宋" w:cs="仿宋"/>
            </w:rPr>
            <w:fldChar w:fldCharType="begin"/>
          </w:r>
          <w:r>
            <w:rPr>
              <w:rFonts w:hint="eastAsia" w:ascii="仿宋" w:hAnsi="仿宋" w:cs="仿宋"/>
            </w:rPr>
            <w:instrText xml:space="preserve"> HYPERLINK \l _Toc30073 </w:instrText>
          </w:r>
          <w:r>
            <w:rPr>
              <w:rFonts w:hint="eastAsia" w:ascii="仿宋" w:hAnsi="仿宋" w:cs="仿宋"/>
            </w:rPr>
            <w:fldChar w:fldCharType="separate"/>
          </w:r>
          <w:r>
            <w:rPr>
              <w:rFonts w:hint="eastAsia" w:ascii="仿宋" w:hAnsi="仿宋" w:cs="仿宋"/>
              <w:bCs/>
              <w:lang w:val="en-US" w:eastAsia="zh-CN" w:bidi="ar-SA"/>
            </w:rPr>
            <w:t>第六部分 应提交的有关格式范例</w:t>
          </w:r>
          <w:r>
            <w:tab/>
          </w:r>
          <w:r>
            <w:fldChar w:fldCharType="begin"/>
          </w:r>
          <w:r>
            <w:instrText xml:space="preserve"> PAGEREF _Toc30073 \h </w:instrText>
          </w:r>
          <w:r>
            <w:fldChar w:fldCharType="separate"/>
          </w:r>
          <w:r>
            <w:t>39</w:t>
          </w:r>
          <w:r>
            <w:fldChar w:fldCharType="end"/>
          </w:r>
          <w:r>
            <w:rPr>
              <w:rFonts w:hint="eastAsia" w:ascii="仿宋" w:hAnsi="仿宋" w:cs="仿宋"/>
            </w:rPr>
            <w:fldChar w:fldCharType="end"/>
          </w:r>
        </w:p>
        <w:p w14:paraId="2007E4D1">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_Toc3152 </w:instrText>
          </w:r>
          <w:r>
            <w:rPr>
              <w:rFonts w:hint="eastAsia" w:ascii="仿宋" w:hAnsi="仿宋" w:cs="仿宋"/>
            </w:rPr>
            <w:fldChar w:fldCharType="separate"/>
          </w:r>
          <w:r>
            <w:rPr>
              <w:rFonts w:hint="eastAsia"/>
            </w:rPr>
            <w:t>资格文件部分</w:t>
          </w:r>
          <w:r>
            <w:tab/>
          </w:r>
          <w:r>
            <w:fldChar w:fldCharType="begin"/>
          </w:r>
          <w:r>
            <w:instrText xml:space="preserve"> PAGEREF _Toc3152 \h </w:instrText>
          </w:r>
          <w:r>
            <w:fldChar w:fldCharType="separate"/>
          </w:r>
          <w:r>
            <w:t>39</w:t>
          </w:r>
          <w:r>
            <w:fldChar w:fldCharType="end"/>
          </w:r>
          <w:r>
            <w:rPr>
              <w:rFonts w:hint="eastAsia" w:ascii="仿宋" w:hAnsi="仿宋" w:cs="仿宋"/>
            </w:rPr>
            <w:fldChar w:fldCharType="end"/>
          </w:r>
        </w:p>
        <w:p w14:paraId="62F64950">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_Toc7048 </w:instrText>
          </w:r>
          <w:r>
            <w:rPr>
              <w:rFonts w:hint="eastAsia" w:ascii="仿宋" w:hAnsi="仿宋" w:cs="仿宋"/>
            </w:rPr>
            <w:fldChar w:fldCharType="separate"/>
          </w:r>
          <w:r>
            <w:rPr>
              <w:rFonts w:hint="eastAsia"/>
            </w:rPr>
            <w:t>商务技术文件部分</w:t>
          </w:r>
          <w:r>
            <w:tab/>
          </w:r>
          <w:r>
            <w:fldChar w:fldCharType="begin"/>
          </w:r>
          <w:r>
            <w:instrText xml:space="preserve"> PAGEREF _Toc7048 \h </w:instrText>
          </w:r>
          <w:r>
            <w:fldChar w:fldCharType="separate"/>
          </w:r>
          <w:r>
            <w:t>44</w:t>
          </w:r>
          <w:r>
            <w:fldChar w:fldCharType="end"/>
          </w:r>
          <w:r>
            <w:rPr>
              <w:rFonts w:hint="eastAsia" w:ascii="仿宋" w:hAnsi="仿宋" w:cs="仿宋"/>
            </w:rPr>
            <w:fldChar w:fldCharType="end"/>
          </w:r>
        </w:p>
        <w:p w14:paraId="2747FF61">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_Toc15954 </w:instrText>
          </w:r>
          <w:r>
            <w:rPr>
              <w:rFonts w:hint="eastAsia" w:ascii="仿宋" w:hAnsi="仿宋" w:cs="仿宋"/>
            </w:rPr>
            <w:fldChar w:fldCharType="separate"/>
          </w:r>
          <w:r>
            <w:rPr>
              <w:rFonts w:hint="eastAsia"/>
            </w:rPr>
            <w:t>报价文件部分</w:t>
          </w:r>
          <w:r>
            <w:tab/>
          </w:r>
          <w:r>
            <w:fldChar w:fldCharType="begin"/>
          </w:r>
          <w:r>
            <w:instrText xml:space="preserve"> PAGEREF _Toc15954 \h </w:instrText>
          </w:r>
          <w:r>
            <w:fldChar w:fldCharType="separate"/>
          </w:r>
          <w:r>
            <w:t>54</w:t>
          </w:r>
          <w:r>
            <w:fldChar w:fldCharType="end"/>
          </w:r>
          <w:r>
            <w:rPr>
              <w:rFonts w:hint="eastAsia" w:ascii="仿宋" w:hAnsi="仿宋" w:cs="仿宋"/>
            </w:rPr>
            <w:fldChar w:fldCharType="end"/>
          </w:r>
        </w:p>
        <w:p w14:paraId="61FB8BE3">
          <w:pPr>
            <w:ind w:firstLine="549" w:firstLineChars="229"/>
            <w:rPr>
              <w:rFonts w:ascii="仿宋" w:hAnsi="仿宋" w:cs="仿宋"/>
            </w:rPr>
          </w:pPr>
          <w:r>
            <w:rPr>
              <w:rFonts w:hint="eastAsia" w:ascii="仿宋" w:hAnsi="仿宋" w:cs="仿宋"/>
            </w:rPr>
            <w:fldChar w:fldCharType="end"/>
          </w:r>
        </w:p>
      </w:sdtContent>
    </w:sdt>
    <w:p w14:paraId="37D1EFFD">
      <w:pPr>
        <w:ind w:firstLine="549" w:firstLineChars="229"/>
        <w:rPr>
          <w:rFonts w:ascii="仿宋" w:hAnsi="仿宋" w:cs="仿宋"/>
        </w:rPr>
      </w:pPr>
    </w:p>
    <w:p w14:paraId="66E0FFA6">
      <w:pPr>
        <w:ind w:firstLine="480"/>
        <w:rPr>
          <w:rFonts w:ascii="仿宋" w:hAnsi="仿宋" w:cs="仿宋"/>
        </w:rPr>
      </w:pPr>
    </w:p>
    <w:p w14:paraId="3EA44390">
      <w:pPr>
        <w:adjustRightInd/>
        <w:ind w:firstLine="723"/>
        <w:jc w:val="center"/>
        <w:rPr>
          <w:rFonts w:ascii="仿宋" w:hAnsi="仿宋" w:cs="仿宋"/>
          <w:b/>
          <w:sz w:val="36"/>
          <w:szCs w:val="20"/>
        </w:rPr>
        <w:sectPr>
          <w:footerReference r:id="rId11" w:type="first"/>
          <w:footerReference r:id="rId10" w:type="default"/>
          <w:pgSz w:w="11906" w:h="16838"/>
          <w:pgMar w:top="1417" w:right="1418" w:bottom="1417" w:left="1418" w:header="851" w:footer="992" w:gutter="0"/>
          <w:cols w:space="720" w:num="1"/>
          <w:docGrid w:linePitch="312" w:charSpace="0"/>
        </w:sectPr>
      </w:pPr>
      <w:bookmarkStart w:id="0" w:name="_Hlt74707423"/>
      <w:bookmarkEnd w:id="0"/>
      <w:bookmarkStart w:id="1" w:name="_Hlt74729822"/>
      <w:bookmarkEnd w:id="1"/>
      <w:bookmarkStart w:id="2" w:name="_Hlt74728647"/>
      <w:bookmarkEnd w:id="2"/>
      <w:bookmarkStart w:id="3" w:name="_Hlt74649545"/>
      <w:bookmarkEnd w:id="3"/>
      <w:bookmarkStart w:id="4" w:name="第二部分"/>
      <w:bookmarkStart w:id="5" w:name="_Toc91899870"/>
      <w:bookmarkStart w:id="6" w:name="_Toc91899871"/>
    </w:p>
    <w:p w14:paraId="4430918F">
      <w:pPr>
        <w:adjustRightInd/>
        <w:ind w:firstLine="723"/>
        <w:jc w:val="center"/>
        <w:outlineLvl w:val="0"/>
        <w:rPr>
          <w:rFonts w:hint="eastAsia" w:ascii="仿宋" w:hAnsi="仿宋" w:cs="仿宋"/>
          <w:b/>
          <w:sz w:val="36"/>
          <w:szCs w:val="20"/>
        </w:rPr>
      </w:pPr>
      <w:bookmarkStart w:id="419" w:name="_GoBack"/>
      <w:bookmarkEnd w:id="419"/>
      <w:bookmarkStart w:id="7" w:name="_Toc1386"/>
      <w:r>
        <w:rPr>
          <w:rFonts w:hint="eastAsia" w:ascii="仿宋" w:hAnsi="仿宋" w:cs="仿宋"/>
          <w:b/>
          <w:sz w:val="36"/>
          <w:szCs w:val="20"/>
        </w:rPr>
        <w:t>第一部分 招标公告</w:t>
      </w:r>
      <w:bookmarkEnd w:id="7"/>
    </w:p>
    <w:p w14:paraId="0625B572">
      <w:pPr>
        <w:pBdr>
          <w:top w:val="single" w:color="auto" w:sz="4" w:space="1"/>
          <w:left w:val="single" w:color="auto" w:sz="4" w:space="4"/>
          <w:bottom w:val="single" w:color="auto" w:sz="4" w:space="1"/>
          <w:right w:val="single" w:color="auto" w:sz="4" w:space="4"/>
        </w:pBdr>
        <w:ind w:firstLine="480"/>
        <w:rPr>
          <w:rFonts w:ascii="仿宋" w:hAnsi="仿宋" w:cs="仿宋"/>
        </w:rPr>
      </w:pPr>
      <w:r>
        <w:rPr>
          <w:rFonts w:hint="eastAsia" w:ascii="仿宋" w:hAnsi="仿宋" w:cs="仿宋"/>
        </w:rPr>
        <w:t>项目概况</w:t>
      </w:r>
    </w:p>
    <w:p w14:paraId="53FB4E0E">
      <w:pPr>
        <w:pBdr>
          <w:top w:val="single" w:color="auto" w:sz="4" w:space="1"/>
          <w:left w:val="single" w:color="auto" w:sz="4" w:space="4"/>
          <w:bottom w:val="single" w:color="auto" w:sz="4" w:space="1"/>
          <w:right w:val="single" w:color="auto" w:sz="4" w:space="4"/>
        </w:pBdr>
        <w:ind w:firstLine="480"/>
        <w:rPr>
          <w:rFonts w:ascii="仿宋" w:hAnsi="仿宋" w:cs="仿宋"/>
          <w:u w:val="single"/>
        </w:rPr>
      </w:pPr>
      <w:r>
        <w:rPr>
          <w:rFonts w:hint="eastAsia" w:ascii="仿宋" w:hAnsi="仿宋" w:cs="仿宋"/>
          <w:u w:val="single"/>
          <w:lang w:eastAsia="zh-CN"/>
        </w:rPr>
        <w:t>慈溪市宗汉街道社会心理服务</w:t>
      </w:r>
      <w:r>
        <w:rPr>
          <w:rFonts w:hint="eastAsia" w:ascii="仿宋" w:hAnsi="仿宋" w:cs="仿宋"/>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仿宋" w:hAnsi="仿宋" w:eastAsia="仿宋" w:cs="仿宋"/>
          <w:snapToGrid/>
          <w:color w:val="auto"/>
          <w:kern w:val="2"/>
          <w:sz w:val="24"/>
          <w:szCs w:val="24"/>
        </w:rPr>
        <w:t>https</w:t>
      </w:r>
      <w:r>
        <w:rPr>
          <w:rStyle w:val="77"/>
          <w:rFonts w:hint="eastAsia" w:ascii="仿宋" w:hAnsi="仿宋" w:cs="仿宋"/>
          <w:snapToGrid/>
          <w:color w:val="auto"/>
          <w:kern w:val="2"/>
          <w:sz w:val="24"/>
          <w:szCs w:val="24"/>
        </w:rPr>
        <w:t>：</w:t>
      </w:r>
      <w:r>
        <w:rPr>
          <w:rStyle w:val="77"/>
          <w:rFonts w:hint="eastAsia" w:ascii="仿宋" w:hAnsi="仿宋" w:eastAsia="仿宋" w:cs="仿宋"/>
          <w:snapToGrid/>
          <w:color w:val="auto"/>
          <w:kern w:val="2"/>
          <w:sz w:val="24"/>
          <w:szCs w:val="24"/>
        </w:rPr>
        <w:t>//www.zcygov.cn/）获取（下载）招标文件，并于</w:t>
      </w:r>
      <w:r>
        <w:rPr>
          <w:rFonts w:hint="eastAsia" w:ascii="仿宋" w:hAnsi="仿宋" w:cs="仿宋"/>
          <w:u w:val="single"/>
          <w:lang w:eastAsia="zh-CN"/>
        </w:rPr>
        <w:t>2025年</w:t>
      </w:r>
      <w:r>
        <w:rPr>
          <w:rFonts w:hint="eastAsia" w:ascii="仿宋" w:hAnsi="仿宋" w:cs="仿宋"/>
          <w:u w:val="single"/>
          <w:lang w:val="en-US" w:eastAsia="zh-CN"/>
        </w:rPr>
        <w:t>02</w:t>
      </w:r>
      <w:r>
        <w:rPr>
          <w:rFonts w:hint="eastAsia" w:ascii="仿宋" w:hAnsi="仿宋" w:cs="仿宋"/>
          <w:u w:val="single"/>
          <w:lang w:eastAsia="zh-CN"/>
        </w:rPr>
        <w:t>月</w:t>
      </w:r>
      <w:r>
        <w:rPr>
          <w:rFonts w:hint="eastAsia" w:ascii="仿宋" w:hAnsi="仿宋" w:cs="仿宋"/>
          <w:u w:val="single"/>
          <w:lang w:val="en-US" w:eastAsia="zh-CN"/>
        </w:rPr>
        <w:t>12</w:t>
      </w:r>
      <w:r>
        <w:rPr>
          <w:rFonts w:hint="eastAsia" w:ascii="仿宋" w:hAnsi="仿宋" w:cs="仿宋"/>
          <w:u w:val="single"/>
          <w:lang w:eastAsia="zh-CN"/>
        </w:rPr>
        <w:t>日</w:t>
      </w:r>
      <w:r>
        <w:rPr>
          <w:rFonts w:hint="eastAsia" w:ascii="仿宋" w:hAnsi="仿宋" w:cs="仿宋"/>
          <w:u w:val="single"/>
          <w:lang w:val="en-US" w:eastAsia="zh-CN"/>
        </w:rPr>
        <w:t>14点</w:t>
      </w:r>
      <w:r>
        <w:rPr>
          <w:rFonts w:hint="eastAsia" w:ascii="仿宋" w:hAnsi="仿宋" w:cs="仿宋"/>
          <w:u w:val="single"/>
        </w:rPr>
        <w:t>30分</w:t>
      </w:r>
      <w:r>
        <w:rPr>
          <w:rFonts w:hint="eastAsia" w:ascii="仿宋" w:hAnsi="仿宋" w:cs="仿宋"/>
          <w:bCs/>
          <w:u w:val="single"/>
        </w:rPr>
        <w:t>00秒</w:t>
      </w:r>
      <w:r>
        <w:rPr>
          <w:rFonts w:hint="eastAsia" w:ascii="仿宋" w:hAnsi="仿宋" w:cs="仿宋"/>
          <w:bCs/>
          <w:u w:val="single"/>
        </w:rPr>
        <w:fldChar w:fldCharType="end"/>
      </w:r>
      <w:r>
        <w:rPr>
          <w:rFonts w:hint="eastAsia" w:ascii="仿宋" w:hAnsi="仿宋" w:cs="仿宋"/>
          <w:bCs/>
        </w:rPr>
        <w:t>（北京时间）前</w:t>
      </w:r>
      <w:r>
        <w:rPr>
          <w:rFonts w:hint="eastAsia" w:ascii="仿宋" w:hAnsi="仿宋" w:cs="仿宋"/>
        </w:rPr>
        <w:t>递交（上传）投标文件。</w:t>
      </w:r>
    </w:p>
    <w:p w14:paraId="18656640">
      <w:pPr>
        <w:outlineLvl w:val="1"/>
        <w:rPr>
          <w:rFonts w:ascii="仿宋" w:hAnsi="仿宋" w:cs="仿宋"/>
          <w:b/>
        </w:rPr>
      </w:pPr>
      <w:bookmarkStart w:id="8" w:name="_Toc18660"/>
      <w:r>
        <w:rPr>
          <w:rFonts w:hint="eastAsia" w:ascii="仿宋" w:hAnsi="仿宋" w:cs="仿宋"/>
          <w:b/>
        </w:rPr>
        <w:t>一、项目基本情况</w:t>
      </w:r>
      <w:bookmarkEnd w:id="8"/>
      <w:r>
        <w:rPr>
          <w:rFonts w:hint="eastAsia" w:ascii="仿宋" w:hAnsi="仿宋" w:cs="仿宋"/>
          <w:b/>
        </w:rPr>
        <w:t xml:space="preserve">                                            </w:t>
      </w:r>
    </w:p>
    <w:p w14:paraId="6770150E">
      <w:pPr>
        <w:ind w:firstLine="480"/>
        <w:rPr>
          <w:rFonts w:hint="eastAsia" w:eastAsia="仿宋"/>
          <w:lang w:eastAsia="zh-CN"/>
        </w:rPr>
      </w:pPr>
      <w:r>
        <w:rPr>
          <w:rFonts w:hint="eastAsia"/>
          <w:lang w:eastAsia="zh-CN"/>
        </w:rPr>
        <w:t>项目编号：330282202411009267</w:t>
      </w:r>
    </w:p>
    <w:p w14:paraId="128F8E8B">
      <w:pPr>
        <w:ind w:firstLine="480"/>
        <w:rPr>
          <w:rFonts w:hint="eastAsia" w:eastAsia="仿宋"/>
          <w:lang w:eastAsia="zh-CN"/>
        </w:rPr>
      </w:pPr>
      <w:r>
        <w:rPr>
          <w:rFonts w:hint="eastAsia"/>
        </w:rPr>
        <w:t>项目名称：</w:t>
      </w:r>
      <w:r>
        <w:rPr>
          <w:rFonts w:hint="eastAsia"/>
          <w:lang w:eastAsia="zh-CN"/>
        </w:rPr>
        <w:t>慈溪市宗汉街道社会心理服务</w:t>
      </w:r>
    </w:p>
    <w:p w14:paraId="34D716CC">
      <w:pPr>
        <w:ind w:firstLine="480"/>
      </w:pPr>
      <w:r>
        <w:rPr>
          <w:rFonts w:hint="eastAsia"/>
        </w:rPr>
        <w:t>预算金额（元</w:t>
      </w:r>
      <w:r>
        <w:rPr>
          <w:rFonts w:hint="eastAsia"/>
          <w:lang w:val="en-US" w:eastAsia="zh-CN"/>
        </w:rPr>
        <w:t>/年</w:t>
      </w:r>
      <w:r>
        <w:rPr>
          <w:rFonts w:hint="eastAsia"/>
        </w:rPr>
        <w:t>）：</w:t>
      </w:r>
      <w:r>
        <w:rPr>
          <w:rFonts w:hint="eastAsia"/>
          <w:lang w:val="en-US" w:eastAsia="zh-CN"/>
        </w:rPr>
        <w:t>1250000</w:t>
      </w:r>
      <w:r>
        <w:rPr>
          <w:rFonts w:hint="eastAsia"/>
        </w:rPr>
        <w:t xml:space="preserve">  </w:t>
      </w:r>
    </w:p>
    <w:p w14:paraId="3606CBFB">
      <w:pPr>
        <w:ind w:firstLine="480"/>
        <w:rPr>
          <w:rFonts w:hint="default" w:eastAsia="仿宋"/>
          <w:lang w:val="en-US" w:eastAsia="zh-CN"/>
        </w:rPr>
      </w:pPr>
      <w:r>
        <w:rPr>
          <w:rFonts w:hint="eastAsia"/>
        </w:rPr>
        <w:t>最高限价（元</w:t>
      </w:r>
      <w:r>
        <w:rPr>
          <w:rFonts w:hint="eastAsia"/>
          <w:lang w:val="en-US" w:eastAsia="zh-CN"/>
        </w:rPr>
        <w:t>/年</w:t>
      </w:r>
      <w:r>
        <w:rPr>
          <w:rFonts w:hint="eastAsia"/>
        </w:rPr>
        <w:t>）：</w:t>
      </w:r>
      <w:r>
        <w:rPr>
          <w:rFonts w:hint="eastAsia"/>
          <w:lang w:val="en-US" w:eastAsia="zh-CN"/>
        </w:rPr>
        <w:t>1250000</w:t>
      </w:r>
    </w:p>
    <w:p w14:paraId="4F4AECB8">
      <w:pPr>
        <w:ind w:firstLine="480"/>
      </w:pPr>
      <w:r>
        <w:rPr>
          <w:rFonts w:hint="eastAsia"/>
        </w:rPr>
        <w:t>采购需求：</w:t>
      </w:r>
    </w:p>
    <w:p w14:paraId="64D7F358">
      <w:pPr>
        <w:ind w:firstLine="480"/>
      </w:pPr>
      <w:r>
        <w:rPr>
          <w:rFonts w:hint="eastAsia"/>
        </w:rPr>
        <w:t>标项名称: </w:t>
      </w:r>
      <w:r>
        <w:rPr>
          <w:rFonts w:hint="eastAsia"/>
          <w:lang w:eastAsia="zh-CN"/>
        </w:rPr>
        <w:t>慈溪市宗汉街道社会心理服务</w:t>
      </w:r>
      <w:r>
        <w:rPr>
          <w:rFonts w:hint="eastAsia"/>
        </w:rPr>
        <w:t> </w:t>
      </w:r>
    </w:p>
    <w:p w14:paraId="408512BE">
      <w:pPr>
        <w:ind w:firstLine="480"/>
      </w:pPr>
      <w:r>
        <w:rPr>
          <w:rFonts w:hint="eastAsia"/>
        </w:rPr>
        <w:t>数量: 1  </w:t>
      </w:r>
    </w:p>
    <w:p w14:paraId="70E89AE7">
      <w:pPr>
        <w:ind w:firstLine="480"/>
      </w:pPr>
      <w:r>
        <w:rPr>
          <w:rFonts w:hint="eastAsia"/>
        </w:rPr>
        <w:t>预算金额（元</w:t>
      </w:r>
      <w:r>
        <w:rPr>
          <w:rFonts w:hint="eastAsia"/>
          <w:lang w:val="en-US" w:eastAsia="zh-CN"/>
        </w:rPr>
        <w:t>/年</w:t>
      </w:r>
      <w:r>
        <w:rPr>
          <w:rFonts w:hint="eastAsia"/>
        </w:rPr>
        <w:t>）：</w:t>
      </w:r>
      <w:r>
        <w:rPr>
          <w:rFonts w:hint="eastAsia"/>
          <w:lang w:val="en-US" w:eastAsia="zh-CN"/>
        </w:rPr>
        <w:t>1250000</w:t>
      </w:r>
      <w:r>
        <w:rPr>
          <w:rFonts w:hint="eastAsia"/>
        </w:rPr>
        <w:t xml:space="preserve">  </w:t>
      </w:r>
    </w:p>
    <w:p w14:paraId="33ED5C72">
      <w:pPr>
        <w:ind w:firstLine="480"/>
      </w:pPr>
      <w:r>
        <w:rPr>
          <w:rFonts w:hint="eastAsia"/>
          <w:highlight w:val="none"/>
        </w:rPr>
        <w:t>简要规格描述或项目基本概况介绍、用途：</w:t>
      </w:r>
      <w:r>
        <w:rPr>
          <w:rFonts w:hint="eastAsia"/>
          <w:highlight w:val="none"/>
          <w:lang w:eastAsia="zh-CN"/>
        </w:rPr>
        <w:t>慈溪市宗汉街道社会心理服务</w:t>
      </w:r>
      <w:r>
        <w:rPr>
          <w:rFonts w:hint="eastAsia"/>
        </w:rPr>
        <w:t>。</w:t>
      </w:r>
    </w:p>
    <w:p w14:paraId="6F7CDCEE">
      <w:pPr>
        <w:ind w:firstLine="480"/>
      </w:pPr>
      <w:r>
        <w:rPr>
          <w:rFonts w:hint="eastAsia"/>
        </w:rPr>
        <w:t>备注：无。</w:t>
      </w:r>
    </w:p>
    <w:p w14:paraId="275DE9BE">
      <w:pPr>
        <w:ind w:firstLine="480"/>
        <w:rPr>
          <w:rFonts w:hint="eastAsia"/>
          <w:highlight w:val="none"/>
          <w:lang w:val="en-US" w:eastAsia="zh-CN"/>
        </w:rPr>
      </w:pPr>
      <w:r>
        <w:rPr>
          <w:rFonts w:hint="eastAsia" w:ascii="仿宋" w:hAnsi="仿宋" w:eastAsia="仿宋" w:cs="仿宋"/>
          <w:b/>
          <w:sz w:val="24"/>
          <w:szCs w:val="24"/>
        </w:rPr>
        <w:t>合同履约期限：</w:t>
      </w:r>
      <w:r>
        <w:rPr>
          <w:rFonts w:hint="eastAsia" w:ascii="仿宋" w:hAnsi="仿宋" w:eastAsia="仿宋" w:cs="仿宋"/>
          <w:b/>
          <w:sz w:val="24"/>
          <w:szCs w:val="24"/>
          <w:lang w:val="en-US" w:eastAsia="zh-CN"/>
        </w:rPr>
        <w:t>服务期限为一年，一年期满后经采购人年度考核合格，双方协商一致，报相关主管部门备案，可续签下一年度合同，最多可续签二年。</w:t>
      </w:r>
    </w:p>
    <w:p w14:paraId="5043DE9C">
      <w:pPr>
        <w:ind w:firstLine="480"/>
      </w:pPr>
      <w:r>
        <w:rPr>
          <w:rFonts w:hint="eastAsia"/>
        </w:rPr>
        <w:t>本项目接受联合体投标：</w:t>
      </w:r>
      <w:sdt>
        <w:sdtPr>
          <w:rPr>
            <w:rFonts w:hint="eastAsia"/>
          </w:rPr>
          <w:id w:val="2035453831"/>
          <w14:checkbox>
            <w14:checked w14:val="0"/>
            <w14:checkedState w14:val="00FE" w14:font="Wingdings"/>
            <w14:uncheckedState w14:val="2610" w14:font="MS Gothic"/>
          </w14:checkbox>
        </w:sdtPr>
        <w:sdtEndPr>
          <w:rPr>
            <w:rFonts w:hint="eastAsia"/>
          </w:rPr>
        </w:sdtEndPr>
        <w:sdtContent>
          <w:r>
            <w:rPr>
              <w:rFonts w:hint="eastAsia" w:ascii="MS Gothic" w:hAnsi="MS Gothic"/>
            </w:rPr>
            <w:t>☐</w:t>
          </w:r>
        </w:sdtContent>
      </w:sdt>
      <w:r>
        <w:rPr>
          <w:rFonts w:hint="eastAsia"/>
        </w:rPr>
        <w:t>是，</w:t>
      </w:r>
      <w:sdt>
        <w:sdtPr>
          <w:rPr>
            <w:rFonts w:hint="eastAsia"/>
          </w:rPr>
          <w:id w:val="-1765526721"/>
          <w14:checkbox>
            <w14:checked w14:val="1"/>
            <w14:checkedState w14:val="00FE" w14:font="Wingdings"/>
            <w14:uncheckedState w14:val="2610" w14:font="MS Gothic"/>
          </w14:checkbox>
        </w:sdtPr>
        <w:sdtEndPr>
          <w:rPr>
            <w:rFonts w:hint="eastAsia" w:ascii="Wingdings" w:hAnsi="Wingdings"/>
          </w:rPr>
        </w:sdtEndPr>
        <w:sdtContent>
          <w:r>
            <w:rPr>
              <w:rFonts w:ascii="Wingdings" w:hAnsi="Wingdings"/>
            </w:rPr>
            <w:t></w:t>
          </w:r>
        </w:sdtContent>
      </w:sdt>
      <w:r>
        <w:rPr>
          <w:rFonts w:hint="eastAsia"/>
        </w:rPr>
        <w:t>否。</w:t>
      </w:r>
    </w:p>
    <w:p w14:paraId="6C2D221E">
      <w:pPr>
        <w:outlineLvl w:val="1"/>
        <w:rPr>
          <w:rFonts w:ascii="仿宋" w:hAnsi="仿宋" w:cs="仿宋"/>
          <w:b/>
        </w:rPr>
      </w:pPr>
      <w:bookmarkStart w:id="9" w:name="_Toc18535"/>
      <w:r>
        <w:rPr>
          <w:rFonts w:hint="eastAsia" w:ascii="仿宋" w:hAnsi="仿宋" w:cs="仿宋"/>
          <w:b/>
        </w:rPr>
        <w:t>二、申请人的资格要求</w:t>
      </w:r>
      <w:bookmarkEnd w:id="9"/>
    </w:p>
    <w:p w14:paraId="293D85A1">
      <w:pPr>
        <w:ind w:firstLine="480"/>
      </w:pPr>
      <w:r>
        <w:rPr>
          <w:rFonts w:hint="eastAsia"/>
        </w:rPr>
        <w:t>1. 满足《中华人民共和国政府采购法》第二十二条规定；未被“信用中国”（www.creditchina.gov.cn)、中国政府采购网（www.ccgp.gov.cn）列入失信被执行人、重大税收违法案件当事人名单、政府采购严重违法失信行为记录名单；</w:t>
      </w:r>
    </w:p>
    <w:p w14:paraId="0F2F4CFD">
      <w:pPr>
        <w:ind w:firstLine="480"/>
        <w:rPr>
          <w:rFonts w:hint="eastAsia" w:ascii="仿宋" w:hAnsi="仿宋" w:eastAsia="仿宋" w:cs="仿宋"/>
          <w:snapToGrid w:val="0"/>
          <w:kern w:val="28"/>
          <w:szCs w:val="20"/>
          <w:lang w:eastAsia="zh-CN"/>
        </w:rPr>
      </w:pPr>
      <w:r>
        <w:rPr>
          <w:rFonts w:hint="eastAsia" w:ascii="仿宋" w:hAnsi="仿宋" w:cs="仿宋"/>
          <w:snapToGrid w:val="0"/>
          <w:kern w:val="28"/>
          <w:szCs w:val="20"/>
        </w:rPr>
        <w:t>2.落实政府采购政策需满足的资格要求：本项目专门面向中小企业采购（监狱企业和残疾人福利性单位视同小微企业）</w:t>
      </w:r>
      <w:r>
        <w:rPr>
          <w:rFonts w:hint="eastAsia" w:ascii="仿宋" w:hAnsi="仿宋" w:cs="仿宋"/>
          <w:snapToGrid w:val="0"/>
          <w:kern w:val="28"/>
          <w:szCs w:val="20"/>
          <w:lang w:eastAsia="zh-CN"/>
        </w:rPr>
        <w:t>；</w:t>
      </w:r>
    </w:p>
    <w:p w14:paraId="2B821911">
      <w:pPr>
        <w:ind w:firstLine="480"/>
        <w:rPr>
          <w:rFonts w:ascii="仿宋" w:hAnsi="仿宋" w:cs="仿宋"/>
        </w:rPr>
      </w:pPr>
      <w:r>
        <w:rPr>
          <w:rFonts w:hint="eastAsia" w:ascii="仿宋" w:hAnsi="仿宋" w:cs="仿宋"/>
        </w:rPr>
        <w:t>3.本项目的特定资格要求：</w:t>
      </w:r>
      <w:r>
        <w:rPr>
          <w:rFonts w:hint="eastAsia"/>
          <w:lang w:val="en-US" w:eastAsia="zh-CN"/>
        </w:rPr>
        <w:t>无</w:t>
      </w:r>
      <w:r>
        <w:rPr>
          <w:rFonts w:hint="eastAsia" w:ascii="仿宋" w:hAnsi="仿宋" w:cs="仿宋"/>
        </w:rPr>
        <w:t>。</w:t>
      </w:r>
    </w:p>
    <w:p w14:paraId="2EB14502">
      <w:pPr>
        <w:outlineLvl w:val="1"/>
        <w:rPr>
          <w:rFonts w:ascii="仿宋" w:hAnsi="仿宋" w:cs="仿宋"/>
          <w:b/>
        </w:rPr>
      </w:pPr>
      <w:bookmarkStart w:id="10" w:name="_Toc22652"/>
      <w:r>
        <w:rPr>
          <w:rFonts w:hint="eastAsia" w:ascii="仿宋" w:hAnsi="仿宋" w:cs="仿宋"/>
          <w:b/>
        </w:rPr>
        <w:t>三、获取招标文件</w:t>
      </w:r>
      <w:bookmarkEnd w:id="10"/>
      <w:r>
        <w:rPr>
          <w:rFonts w:hint="eastAsia" w:ascii="仿宋" w:hAnsi="仿宋" w:cs="仿宋"/>
          <w:b/>
        </w:rPr>
        <w:t xml:space="preserve"> </w:t>
      </w:r>
    </w:p>
    <w:p w14:paraId="637D0E5B">
      <w:pPr>
        <w:rPr>
          <w:rFonts w:ascii="仿宋" w:hAnsi="仿宋" w:cs="仿宋"/>
        </w:rPr>
      </w:pPr>
      <w:r>
        <w:rPr>
          <w:rFonts w:hint="eastAsia" w:ascii="仿宋" w:hAnsi="仿宋" w:cs="仿宋"/>
          <w:b/>
        </w:rPr>
        <w:t>时间：</w:t>
      </w:r>
      <w:r>
        <w:rPr>
          <w:rFonts w:hint="eastAsia" w:ascii="仿宋" w:hAnsi="仿宋" w:cs="仿宋"/>
          <w:u w:val="single"/>
          <w:lang w:eastAsia="zh-CN"/>
        </w:rPr>
        <w:t>2025年</w:t>
      </w:r>
      <w:r>
        <w:rPr>
          <w:rFonts w:hint="eastAsia" w:ascii="仿宋" w:hAnsi="仿宋" w:cs="仿宋"/>
          <w:u w:val="single"/>
          <w:lang w:val="en-US" w:eastAsia="zh-CN"/>
        </w:rPr>
        <w:t>01</w:t>
      </w:r>
      <w:r>
        <w:rPr>
          <w:rFonts w:hint="eastAsia" w:ascii="仿宋" w:hAnsi="仿宋" w:cs="仿宋"/>
          <w:u w:val="single"/>
        </w:rPr>
        <w:t>月</w:t>
      </w:r>
      <w:r>
        <w:rPr>
          <w:rFonts w:hint="eastAsia" w:ascii="仿宋" w:hAnsi="仿宋" w:cs="仿宋"/>
          <w:u w:val="single"/>
          <w:lang w:val="en-US" w:eastAsia="zh-CN"/>
        </w:rPr>
        <w:t>15</w:t>
      </w:r>
      <w:r>
        <w:rPr>
          <w:rFonts w:hint="eastAsia" w:ascii="仿宋" w:hAnsi="仿宋" w:cs="仿宋"/>
          <w:u w:val="single"/>
        </w:rPr>
        <w:t>日</w:t>
      </w:r>
      <w:r>
        <w:rPr>
          <w:rFonts w:hint="eastAsia" w:ascii="仿宋" w:hAnsi="仿宋" w:cs="仿宋"/>
        </w:rPr>
        <w:t>至</w:t>
      </w:r>
      <w:r>
        <w:rPr>
          <w:rFonts w:hint="eastAsia" w:ascii="仿宋" w:hAnsi="仿宋" w:cs="仿宋"/>
          <w:u w:val="single"/>
          <w:lang w:eastAsia="zh-CN"/>
        </w:rPr>
        <w:t>2025年</w:t>
      </w:r>
      <w:r>
        <w:rPr>
          <w:rFonts w:hint="eastAsia" w:ascii="仿宋" w:hAnsi="仿宋" w:cs="仿宋"/>
          <w:u w:val="single"/>
          <w:lang w:val="en-US" w:eastAsia="zh-CN"/>
        </w:rPr>
        <w:t>02月12日</w:t>
      </w:r>
      <w:r>
        <w:rPr>
          <w:rFonts w:hint="eastAsia" w:ascii="仿宋" w:hAnsi="仿宋" w:cs="仿宋"/>
        </w:rPr>
        <w:t>，每天上午00：00至12：00 ，下午12：00至23：59（北京时间，线上获取法定节假日均可，线下获取文件法定节假日除外）。</w:t>
      </w:r>
    </w:p>
    <w:p w14:paraId="6BA7A757">
      <w:pPr>
        <w:rPr>
          <w:rFonts w:ascii="仿宋" w:hAnsi="仿宋" w:cs="仿宋"/>
        </w:rPr>
      </w:pPr>
      <w:r>
        <w:rPr>
          <w:rFonts w:hint="eastAsia" w:ascii="仿宋" w:hAnsi="仿宋" w:cs="仿宋"/>
          <w:b/>
        </w:rPr>
        <w:t>地点（网址）：</w:t>
      </w:r>
      <w:r>
        <w:rPr>
          <w:rFonts w:hint="eastAsia" w:ascii="仿宋" w:hAnsi="仿宋" w:cs="仿宋"/>
        </w:rPr>
        <w:t xml:space="preserve">政采云平台（https：//www.zcygov.cn/）线上获取。 </w:t>
      </w:r>
    </w:p>
    <w:p w14:paraId="3A7B41BB">
      <w:pPr>
        <w:rPr>
          <w:rFonts w:ascii="仿宋" w:hAnsi="仿宋" w:cs="仿宋"/>
        </w:rPr>
      </w:pPr>
      <w:r>
        <w:rPr>
          <w:rFonts w:hint="eastAsia" w:ascii="仿宋" w:hAnsi="仿宋" w:cs="仿宋"/>
          <w:b/>
        </w:rPr>
        <w:t>方式：</w:t>
      </w:r>
      <w:r>
        <w:rPr>
          <w:rFonts w:hint="eastAsia" w:ascii="仿宋" w:hAnsi="仿宋" w:cs="仿宋"/>
          <w:bCs/>
        </w:rPr>
        <w:t>供应商登录政采云平台https://www.zcygov.cn/在线申请获取采购文件（进入“项目采购”应用，在获取采购文件菜单中选择项目，申请获取采购文件）</w:t>
      </w:r>
      <w:r>
        <w:rPr>
          <w:rFonts w:hint="eastAsia" w:ascii="仿宋" w:hAnsi="仿宋" w:cs="仿宋"/>
          <w:bCs/>
          <w:lang w:eastAsia="zh-CN"/>
        </w:rPr>
        <w:t>。</w:t>
      </w:r>
      <w:r>
        <w:rPr>
          <w:rFonts w:hint="eastAsia" w:ascii="仿宋" w:hAnsi="仿宋" w:cs="仿宋"/>
        </w:rPr>
        <w:t xml:space="preserve"> </w:t>
      </w:r>
    </w:p>
    <w:p w14:paraId="395CDC80">
      <w:pPr>
        <w:rPr>
          <w:rFonts w:ascii="仿宋" w:hAnsi="仿宋" w:cs="仿宋"/>
        </w:rPr>
      </w:pPr>
      <w:r>
        <w:rPr>
          <w:rFonts w:hint="eastAsia" w:ascii="仿宋" w:hAnsi="仿宋" w:cs="仿宋"/>
          <w:b/>
        </w:rPr>
        <w:t>售价（元）：</w:t>
      </w:r>
      <w:r>
        <w:rPr>
          <w:rFonts w:hint="eastAsia" w:ascii="仿宋" w:hAnsi="仿宋" w:cs="仿宋"/>
        </w:rPr>
        <w:t xml:space="preserve">0 </w:t>
      </w:r>
      <w:r>
        <w:rPr>
          <w:rFonts w:hint="eastAsia" w:ascii="仿宋" w:hAnsi="仿宋" w:cs="仿宋"/>
        </w:rPr>
        <w:tab/>
      </w:r>
    </w:p>
    <w:p w14:paraId="4C5036E8">
      <w:pPr>
        <w:outlineLvl w:val="1"/>
        <w:rPr>
          <w:rFonts w:ascii="仿宋" w:hAnsi="仿宋" w:cs="仿宋"/>
          <w:b/>
        </w:rPr>
      </w:pPr>
      <w:bookmarkStart w:id="11" w:name="_Toc30481"/>
      <w:r>
        <w:rPr>
          <w:rFonts w:hint="eastAsia" w:ascii="仿宋" w:hAnsi="仿宋" w:cs="仿宋"/>
          <w:b/>
        </w:rPr>
        <w:t>四、提交投标文件截止时间、开标时间和地点</w:t>
      </w:r>
      <w:bookmarkEnd w:id="11"/>
    </w:p>
    <w:p w14:paraId="40AB3241">
      <w:pPr>
        <w:rPr>
          <w:rFonts w:ascii="仿宋" w:hAnsi="仿宋" w:cs="仿宋"/>
        </w:rPr>
      </w:pPr>
      <w:r>
        <w:rPr>
          <w:rFonts w:hint="eastAsia" w:ascii="仿宋" w:hAnsi="仿宋" w:cs="仿宋"/>
          <w:b/>
        </w:rPr>
        <w:t>提交投标文件截止时间：</w:t>
      </w:r>
      <w:r>
        <w:rPr>
          <w:rFonts w:hint="eastAsia" w:ascii="仿宋" w:hAnsi="仿宋" w:cs="仿宋"/>
          <w:u w:val="single"/>
          <w:lang w:eastAsia="zh-CN"/>
        </w:rPr>
        <w:t>2025年</w:t>
      </w:r>
      <w:r>
        <w:rPr>
          <w:rFonts w:hint="eastAsia" w:ascii="仿宋" w:hAnsi="仿宋" w:cs="仿宋"/>
          <w:u w:val="single"/>
          <w:lang w:val="en-US" w:eastAsia="zh-CN"/>
        </w:rPr>
        <w:t>02月12日14点</w:t>
      </w:r>
      <w:r>
        <w:rPr>
          <w:rFonts w:hint="eastAsia" w:ascii="仿宋" w:hAnsi="仿宋" w:cs="仿宋"/>
          <w:u w:val="single"/>
        </w:rPr>
        <w:t>30分</w:t>
      </w:r>
      <w:r>
        <w:rPr>
          <w:rFonts w:hint="eastAsia" w:ascii="仿宋" w:hAnsi="仿宋" w:cs="仿宋"/>
          <w:bCs/>
          <w:u w:val="single"/>
        </w:rPr>
        <w:t xml:space="preserve"> </w:t>
      </w:r>
      <w:r>
        <w:rPr>
          <w:rFonts w:hint="eastAsia" w:ascii="仿宋" w:hAnsi="仿宋" w:cs="仿宋"/>
        </w:rPr>
        <w:t>（北京时间）。</w:t>
      </w:r>
    </w:p>
    <w:p w14:paraId="7936BEB8">
      <w:pPr>
        <w:pStyle w:val="35"/>
        <w:rPr>
          <w:rFonts w:ascii="仿宋" w:hAnsi="仿宋" w:cs="仿宋"/>
          <w:b/>
          <w:szCs w:val="24"/>
        </w:rPr>
      </w:pPr>
      <w:r>
        <w:rPr>
          <w:rFonts w:hint="eastAsia" w:ascii="仿宋" w:hAnsi="仿宋" w:cs="仿宋"/>
          <w:b/>
        </w:rPr>
        <w:t>投标地点（网址）：请登录政采云投标客户端投标</w:t>
      </w:r>
      <w:r>
        <w:rPr>
          <w:rFonts w:hint="eastAsia" w:ascii="仿宋" w:hAnsi="仿宋" w:cs="仿宋"/>
          <w:b/>
          <w:szCs w:val="24"/>
        </w:rPr>
        <w:t>。</w:t>
      </w:r>
    </w:p>
    <w:p w14:paraId="3C168BD1">
      <w:pPr>
        <w:rPr>
          <w:rFonts w:ascii="仿宋" w:hAnsi="仿宋" w:cs="仿宋"/>
          <w:bCs/>
          <w:u w:val="single"/>
        </w:rPr>
      </w:pPr>
      <w:r>
        <w:rPr>
          <w:rFonts w:hint="eastAsia" w:ascii="仿宋" w:hAnsi="仿宋" w:cs="仿宋"/>
          <w:b/>
        </w:rPr>
        <w:t>开标时间：</w:t>
      </w:r>
      <w:r>
        <w:rPr>
          <w:rFonts w:hint="eastAsia" w:ascii="仿宋" w:hAnsi="仿宋" w:cs="仿宋"/>
          <w:u w:val="single"/>
          <w:lang w:eastAsia="zh-CN"/>
        </w:rPr>
        <w:t>2025年</w:t>
      </w:r>
      <w:r>
        <w:rPr>
          <w:rFonts w:hint="eastAsia" w:ascii="仿宋" w:hAnsi="仿宋" w:cs="仿宋"/>
          <w:u w:val="single"/>
          <w:lang w:val="en-US" w:eastAsia="zh-CN"/>
        </w:rPr>
        <w:t>02月12日14点</w:t>
      </w:r>
      <w:r>
        <w:rPr>
          <w:rFonts w:hint="eastAsia" w:ascii="仿宋" w:hAnsi="仿宋" w:cs="仿宋"/>
          <w:u w:val="single"/>
        </w:rPr>
        <w:t>30分</w:t>
      </w:r>
      <w:r>
        <w:rPr>
          <w:rFonts w:hint="eastAsia" w:ascii="仿宋" w:hAnsi="仿宋" w:cs="仿宋"/>
        </w:rPr>
        <w:t>（北京时间）</w:t>
      </w:r>
      <w:r>
        <w:rPr>
          <w:rFonts w:hint="eastAsia" w:ascii="仿宋" w:hAnsi="仿宋" w:cs="仿宋"/>
          <w:bCs/>
        </w:rPr>
        <w:t>。</w:t>
      </w:r>
    </w:p>
    <w:p w14:paraId="0892D6D3">
      <w:pPr>
        <w:rPr>
          <w:rFonts w:ascii="仿宋" w:hAnsi="仿宋" w:cs="仿宋"/>
        </w:rPr>
      </w:pPr>
      <w:r>
        <w:rPr>
          <w:rFonts w:hint="eastAsia" w:ascii="仿宋" w:hAnsi="仿宋" w:cs="仿宋"/>
          <w:b/>
        </w:rPr>
        <w:t>开标地点（网址）：</w:t>
      </w:r>
      <w:r>
        <w:rPr>
          <w:rFonts w:hint="eastAsia"/>
        </w:rPr>
        <w:t>慈溪市公共资源交易中心第</w:t>
      </w:r>
      <w:r>
        <w:rPr>
          <w:rFonts w:hint="eastAsia"/>
          <w:u w:val="single"/>
          <w:lang w:val="en-US" w:eastAsia="zh-CN"/>
        </w:rPr>
        <w:t>五</w:t>
      </w:r>
      <w:r>
        <w:rPr>
          <w:rFonts w:hint="eastAsia"/>
        </w:rPr>
        <w:t>开标室（</w:t>
      </w:r>
      <w:r>
        <w:rPr>
          <w:rFonts w:hint="eastAsia" w:ascii="仿宋" w:hAnsi="仿宋" w:cs="仿宋"/>
        </w:rPr>
        <w:t>慈溪市南二环东路1355号</w:t>
      </w:r>
      <w:r>
        <w:rPr>
          <w:rFonts w:hint="eastAsia"/>
        </w:rPr>
        <w:t>）</w:t>
      </w:r>
      <w:r>
        <w:rPr>
          <w:rFonts w:hint="eastAsia"/>
          <w:lang w:eastAsia="zh-CN"/>
        </w:rPr>
        <w:t>，</w:t>
      </w:r>
      <w:r>
        <w:rPr>
          <w:rFonts w:hint="eastAsia" w:ascii="仿宋" w:hAnsi="仿宋" w:cs="仿宋"/>
        </w:rPr>
        <w:t>政采云平台（https：//www.zcygov.cn/）。</w:t>
      </w:r>
    </w:p>
    <w:p w14:paraId="1A7F0FD8">
      <w:pPr>
        <w:outlineLvl w:val="1"/>
        <w:rPr>
          <w:rFonts w:ascii="仿宋" w:hAnsi="仿宋" w:cs="仿宋"/>
        </w:rPr>
      </w:pPr>
      <w:bookmarkStart w:id="12" w:name="_Toc32456"/>
      <w:r>
        <w:rPr>
          <w:rFonts w:hint="eastAsia" w:ascii="仿宋" w:hAnsi="仿宋" w:cs="仿宋"/>
          <w:b/>
        </w:rPr>
        <w:t>五、公告期限</w:t>
      </w:r>
      <w:bookmarkEnd w:id="12"/>
      <w:r>
        <w:rPr>
          <w:rFonts w:hint="eastAsia" w:ascii="仿宋" w:hAnsi="仿宋" w:cs="仿宋"/>
          <w:b/>
        </w:rPr>
        <w:t xml:space="preserve"> </w:t>
      </w:r>
    </w:p>
    <w:p w14:paraId="522011E4">
      <w:pPr>
        <w:ind w:firstLine="480"/>
        <w:rPr>
          <w:rFonts w:ascii="仿宋" w:hAnsi="仿宋" w:cs="仿宋"/>
        </w:rPr>
      </w:pPr>
      <w:r>
        <w:rPr>
          <w:rFonts w:hint="eastAsia" w:ascii="仿宋" w:hAnsi="仿宋" w:cs="仿宋"/>
        </w:rPr>
        <w:t>自本公告发布之日起5个工作日。</w:t>
      </w:r>
    </w:p>
    <w:p w14:paraId="0EF81CEB">
      <w:pPr>
        <w:outlineLvl w:val="1"/>
        <w:rPr>
          <w:rFonts w:ascii="仿宋" w:hAnsi="仿宋" w:cs="仿宋"/>
          <w:b/>
        </w:rPr>
      </w:pPr>
      <w:bookmarkStart w:id="13" w:name="_Toc3439"/>
      <w:r>
        <w:rPr>
          <w:rFonts w:hint="eastAsia" w:ascii="仿宋" w:hAnsi="仿宋" w:cs="仿宋"/>
          <w:b/>
        </w:rPr>
        <w:t>六、其他补充事宜</w:t>
      </w:r>
      <w:bookmarkEnd w:id="13"/>
    </w:p>
    <w:p w14:paraId="61053B0F">
      <w:pPr>
        <w:ind w:firstLine="480"/>
        <w:rPr>
          <w:rFonts w:ascii="仿宋" w:hAnsi="仿宋" w:cs="仿宋"/>
        </w:rPr>
      </w:pPr>
      <w:r>
        <w:rPr>
          <w:rFonts w:hint="eastAsia" w:ascii="仿宋" w:hAnsi="仿宋" w:cs="仿宋"/>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E9FC7B">
      <w:pPr>
        <w:ind w:firstLine="480"/>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4B28D2">
      <w:pPr>
        <w:ind w:firstLine="480"/>
        <w:rPr>
          <w:rFonts w:ascii="仿宋" w:hAnsi="仿宋" w:cs="仿宋"/>
        </w:rPr>
      </w:pPr>
      <w:r>
        <w:rPr>
          <w:rFonts w:hint="eastAsia" w:ascii="仿宋" w:hAnsi="仿宋" w:cs="仿宋"/>
        </w:rPr>
        <w:t>2.其他事项：（1）需要落实的政府采购政策：包括节约资源、保护环境、支持创新、促进中小企业发展等。</w:t>
      </w:r>
      <w:r>
        <w:rPr>
          <w:rFonts w:hint="eastAsia" w:ascii="仿宋" w:hAnsi="仿宋" w:cs="仿宋"/>
          <w:lang w:eastAsia="zh-CN"/>
        </w:rPr>
        <w:t>具体按</w:t>
      </w:r>
      <w:r>
        <w:rPr>
          <w:rFonts w:hint="eastAsia" w:ascii="仿宋" w:hAnsi="仿宋" w:cs="仿宋"/>
        </w:rPr>
        <w:t>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w:t>
      </w:r>
      <w:r>
        <w:rPr>
          <w:rFonts w:hint="eastAsia" w:ascii="仿宋" w:hAnsi="仿宋" w:cs="仿宋"/>
          <w:lang w:eastAsia="zh-CN"/>
        </w:rPr>
        <w:t>按</w:t>
      </w:r>
      <w:r>
        <w:rPr>
          <w:rFonts w:hint="eastAsia" w:ascii="仿宋" w:hAnsi="仿宋" w:cs="仿宋"/>
        </w:rPr>
        <w:t>“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招标文件不提供纸质版；⑧投标文件的传输递交：投标人在投标截止时间前将加密的投标文件上传至政府采购云平台，还可以在投标截止时间前直接提交或者以邮政快递方式递交备份投标文件1份。备份投标文件的制作、存储、密封</w:t>
      </w:r>
      <w:r>
        <w:rPr>
          <w:rFonts w:hint="eastAsia" w:ascii="仿宋" w:hAnsi="仿宋" w:cs="仿宋"/>
          <w:lang w:eastAsia="zh-CN"/>
        </w:rPr>
        <w:t>按</w:t>
      </w:r>
      <w:r>
        <w:rPr>
          <w:rFonts w:hint="eastAsia" w:ascii="仿宋" w:hAnsi="仿宋" w:cs="仿宋"/>
        </w:rPr>
        <w:t>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w:t>
      </w:r>
      <w:r>
        <w:rPr>
          <w:rFonts w:hint="eastAsia" w:ascii="仿宋" w:hAnsi="仿宋" w:cs="仿宋"/>
          <w:lang w:eastAsia="zh-CN"/>
        </w:rPr>
        <w:t>按</w:t>
      </w:r>
      <w:r>
        <w:rPr>
          <w:rFonts w:hint="eastAsia" w:ascii="仿宋" w:hAnsi="仿宋" w:cs="仿宋"/>
        </w:rPr>
        <w:t>政采云平台“服务中心-帮助文档-项目采购-操作流程-电子招投标-政府采购项目电子交易管理操作指南-供应商”。</w:t>
      </w:r>
    </w:p>
    <w:p w14:paraId="3F082C97">
      <w:pPr>
        <w:outlineLvl w:val="1"/>
        <w:rPr>
          <w:rFonts w:ascii="仿宋" w:hAnsi="仿宋" w:cs="仿宋"/>
          <w:b/>
        </w:rPr>
      </w:pPr>
      <w:bookmarkStart w:id="14" w:name="_Toc16260"/>
      <w:r>
        <w:rPr>
          <w:rFonts w:hint="eastAsia" w:ascii="仿宋" w:hAnsi="仿宋" w:cs="仿宋"/>
          <w:b/>
        </w:rPr>
        <w:t>七、对本次采购提出询问、质疑、投诉，请按以下方式联系</w:t>
      </w:r>
      <w:bookmarkEnd w:id="14"/>
    </w:p>
    <w:p w14:paraId="18502BDC">
      <w:pPr>
        <w:ind w:firstLine="480"/>
      </w:pPr>
      <w:r>
        <w:rPr>
          <w:rFonts w:hint="eastAsia"/>
        </w:rPr>
        <w:t>1.采购人信息</w:t>
      </w:r>
    </w:p>
    <w:p w14:paraId="1DBC8768">
      <w:pPr>
        <w:ind w:firstLine="480"/>
        <w:rPr>
          <w:rFonts w:ascii="仿宋" w:hAnsi="仿宋" w:cs="仿宋"/>
        </w:rPr>
      </w:pPr>
      <w:r>
        <w:rPr>
          <w:rFonts w:hint="eastAsia" w:ascii="仿宋" w:hAnsi="仿宋" w:cs="仿宋"/>
        </w:rPr>
        <w:t>名称：</w:t>
      </w:r>
      <w:r>
        <w:rPr>
          <w:rFonts w:hint="eastAsia" w:ascii="仿宋" w:hAnsi="仿宋" w:cs="仿宋"/>
          <w:lang w:eastAsia="zh-CN"/>
        </w:rPr>
        <w:t>慈溪市人民政府宗汉街道办事处</w:t>
      </w:r>
      <w:r>
        <w:rPr>
          <w:rFonts w:hint="eastAsia" w:ascii="仿宋" w:hAnsi="仿宋" w:cs="仿宋"/>
        </w:rPr>
        <w:t xml:space="preserve"> </w:t>
      </w:r>
    </w:p>
    <w:p w14:paraId="21666B64">
      <w:pPr>
        <w:ind w:firstLine="480"/>
        <w:rPr>
          <w:rFonts w:ascii="仿宋" w:hAnsi="仿宋" w:cs="仿宋"/>
        </w:rPr>
      </w:pPr>
      <w:r>
        <w:rPr>
          <w:rFonts w:hint="eastAsia" w:ascii="仿宋" w:hAnsi="仿宋" w:cs="仿宋"/>
        </w:rPr>
        <w:t>地址：慈溪市西二环北路599号</w:t>
      </w:r>
    </w:p>
    <w:p w14:paraId="26EBD295">
      <w:pPr>
        <w:ind w:firstLine="480"/>
        <w:rPr>
          <w:rFonts w:ascii="仿宋" w:hAnsi="仿宋" w:cs="仿宋"/>
        </w:rPr>
      </w:pPr>
      <w:r>
        <w:rPr>
          <w:rFonts w:hint="eastAsia" w:ascii="仿宋" w:hAnsi="仿宋" w:cs="仿宋"/>
        </w:rPr>
        <w:t>传真：/</w:t>
      </w:r>
    </w:p>
    <w:p w14:paraId="0E55BC46">
      <w:pPr>
        <w:spacing w:line="360" w:lineRule="auto"/>
        <w:ind w:firstLine="480"/>
        <w:rPr>
          <w:rFonts w:hint="default" w:ascii="仿宋" w:hAnsi="仿宋" w:eastAsia="仿宋" w:cs="仿宋"/>
          <w:sz w:val="24"/>
          <w:lang w:val="en-US" w:eastAsia="zh-CN"/>
        </w:rPr>
      </w:pPr>
      <w:r>
        <w:rPr>
          <w:rFonts w:hint="eastAsia" w:ascii="仿宋" w:hAnsi="仿宋" w:eastAsia="仿宋" w:cs="仿宋"/>
          <w:sz w:val="24"/>
        </w:rPr>
        <w:t>项目联系人：</w:t>
      </w:r>
      <w:r>
        <w:rPr>
          <w:rFonts w:hint="eastAsia" w:ascii="仿宋" w:hAnsi="仿宋" w:cs="仿宋"/>
          <w:sz w:val="24"/>
          <w:lang w:val="en-US" w:eastAsia="zh-CN"/>
        </w:rPr>
        <w:t>张女士</w:t>
      </w:r>
    </w:p>
    <w:p w14:paraId="1B6FBC5B">
      <w:pPr>
        <w:spacing w:line="360" w:lineRule="auto"/>
        <w:rPr>
          <w:rFonts w:hint="eastAsia" w:ascii="仿宋" w:hAnsi="仿宋" w:eastAsia="仿宋" w:cs="仿宋"/>
          <w:sz w:val="24"/>
        </w:rPr>
      </w:pPr>
      <w:r>
        <w:rPr>
          <w:rFonts w:hint="eastAsia" w:ascii="仿宋" w:hAnsi="仿宋" w:eastAsia="仿宋" w:cs="仿宋"/>
          <w:sz w:val="24"/>
        </w:rPr>
        <w:t xml:space="preserve">项目联系方式：0574-63203114 </w:t>
      </w:r>
    </w:p>
    <w:p w14:paraId="68ECB7B1">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cs="仿宋"/>
          <w:sz w:val="24"/>
          <w:highlight w:val="none"/>
          <w:lang w:val="en-US" w:eastAsia="zh-CN"/>
        </w:rPr>
        <w:t>质疑</w:t>
      </w:r>
      <w:r>
        <w:rPr>
          <w:rFonts w:hint="eastAsia" w:ascii="仿宋" w:hAnsi="仿宋" w:eastAsia="仿宋" w:cs="仿宋"/>
          <w:sz w:val="24"/>
          <w:highlight w:val="none"/>
        </w:rPr>
        <w:t>联系人：</w:t>
      </w:r>
      <w:r>
        <w:rPr>
          <w:rFonts w:hint="eastAsia" w:ascii="仿宋" w:hAnsi="仿宋" w:cs="仿宋"/>
          <w:sz w:val="24"/>
          <w:highlight w:val="none"/>
          <w:lang w:val="en-US" w:eastAsia="zh-CN"/>
        </w:rPr>
        <w:t>王</w:t>
      </w:r>
      <w:r>
        <w:rPr>
          <w:rFonts w:hint="eastAsia" w:ascii="仿宋" w:hAnsi="仿宋" w:eastAsia="仿宋" w:cs="仿宋"/>
          <w:sz w:val="24"/>
          <w:highlight w:val="none"/>
          <w:lang w:val="en-US" w:eastAsia="zh-CN"/>
        </w:rPr>
        <w:t>先生</w:t>
      </w:r>
      <w:r>
        <w:rPr>
          <w:rFonts w:hint="eastAsia" w:ascii="仿宋" w:hAnsi="仿宋" w:cs="仿宋"/>
          <w:sz w:val="24"/>
          <w:highlight w:val="none"/>
          <w:lang w:val="en-US" w:eastAsia="zh-CN"/>
        </w:rPr>
        <w:t xml:space="preserve">  </w:t>
      </w:r>
    </w:p>
    <w:p w14:paraId="1C4F404A">
      <w:pPr>
        <w:spacing w:line="360" w:lineRule="auto"/>
        <w:ind w:firstLine="480" w:firstLineChars="200"/>
        <w:rPr>
          <w:rFonts w:hint="default" w:eastAsia="仿宋"/>
          <w:highlight w:val="none"/>
          <w:lang w:val="en-US" w:eastAsia="zh-CN"/>
        </w:rPr>
      </w:pPr>
      <w:r>
        <w:rPr>
          <w:rFonts w:hint="eastAsia" w:ascii="仿宋" w:hAnsi="仿宋" w:cs="仿宋"/>
          <w:sz w:val="24"/>
          <w:highlight w:val="none"/>
          <w:lang w:val="en-US" w:eastAsia="zh-CN"/>
        </w:rPr>
        <w:t>质疑</w:t>
      </w:r>
      <w:r>
        <w:rPr>
          <w:rFonts w:hint="eastAsia" w:ascii="仿宋" w:hAnsi="仿宋" w:eastAsia="仿宋" w:cs="仿宋"/>
          <w:sz w:val="24"/>
          <w:highlight w:val="none"/>
        </w:rPr>
        <w:t>联系电话：057</w:t>
      </w:r>
      <w:r>
        <w:rPr>
          <w:rFonts w:hint="eastAsia" w:ascii="仿宋" w:hAnsi="仿宋" w:eastAsia="仿宋" w:cs="仿宋"/>
          <w:sz w:val="24"/>
          <w:highlight w:val="none"/>
          <w:lang w:val="en-US" w:eastAsia="zh-CN"/>
        </w:rPr>
        <w:t>4-63209182</w:t>
      </w:r>
      <w:r>
        <w:rPr>
          <w:rFonts w:hint="eastAsia" w:ascii="仿宋" w:hAnsi="仿宋" w:cs="仿宋"/>
          <w:sz w:val="24"/>
          <w:highlight w:val="none"/>
          <w:lang w:val="en-US" w:eastAsia="zh-CN"/>
        </w:rPr>
        <w:t xml:space="preserve">  </w:t>
      </w:r>
    </w:p>
    <w:p w14:paraId="1D32D84F">
      <w:pPr>
        <w:ind w:firstLine="480"/>
      </w:pPr>
      <w:r>
        <w:rPr>
          <w:rFonts w:hint="eastAsia"/>
        </w:rPr>
        <w:t xml:space="preserve">2.采购代理机构信息 </w:t>
      </w:r>
    </w:p>
    <w:p w14:paraId="6A2D4587">
      <w:pPr>
        <w:ind w:firstLine="480"/>
        <w:rPr>
          <w:rFonts w:ascii="仿宋" w:hAnsi="仿宋" w:cs="仿宋"/>
        </w:rPr>
      </w:pPr>
      <w:r>
        <w:rPr>
          <w:rFonts w:hint="eastAsia" w:ascii="仿宋" w:hAnsi="仿宋" w:cs="仿宋"/>
        </w:rPr>
        <w:t>名    称：慈溪元达采购招标代理有限公司</w:t>
      </w:r>
    </w:p>
    <w:p w14:paraId="321CE161">
      <w:pPr>
        <w:ind w:firstLine="480"/>
        <w:rPr>
          <w:rFonts w:ascii="仿宋" w:hAnsi="仿宋" w:cs="仿宋"/>
        </w:rPr>
      </w:pPr>
      <w:r>
        <w:rPr>
          <w:rFonts w:hint="eastAsia" w:ascii="仿宋" w:hAnsi="仿宋" w:cs="仿宋"/>
        </w:rPr>
        <w:t xml:space="preserve">地    址：慈溪市白沙路街道慈甬路405号东瑞大厦201室 </w:t>
      </w:r>
    </w:p>
    <w:p w14:paraId="12E6F514">
      <w:pPr>
        <w:ind w:firstLine="480"/>
        <w:rPr>
          <w:rFonts w:ascii="仿宋" w:hAnsi="仿宋" w:cs="仿宋"/>
        </w:rPr>
      </w:pPr>
      <w:r>
        <w:rPr>
          <w:rFonts w:hint="eastAsia" w:ascii="仿宋" w:hAnsi="仿宋" w:cs="仿宋"/>
        </w:rPr>
        <w:t xml:space="preserve">传    真：/             </w:t>
      </w:r>
    </w:p>
    <w:p w14:paraId="37F6FF51">
      <w:pPr>
        <w:ind w:firstLine="480"/>
        <w:rPr>
          <w:rFonts w:ascii="仿宋" w:hAnsi="仿宋" w:cs="仿宋"/>
        </w:rPr>
      </w:pPr>
      <w:r>
        <w:rPr>
          <w:rFonts w:hint="eastAsia" w:ascii="仿宋" w:hAnsi="仿宋" w:cs="仿宋"/>
        </w:rPr>
        <w:t>项目联系人（询问）：孙玲朗</w:t>
      </w:r>
    </w:p>
    <w:p w14:paraId="54D006AE">
      <w:pPr>
        <w:ind w:firstLine="480"/>
        <w:rPr>
          <w:rFonts w:ascii="仿宋" w:hAnsi="仿宋" w:cs="仿宋"/>
        </w:rPr>
      </w:pPr>
      <w:r>
        <w:rPr>
          <w:rFonts w:hint="eastAsia" w:ascii="仿宋" w:hAnsi="仿宋" w:cs="仿宋"/>
        </w:rPr>
        <w:t>项目联系方式（询问）：13858329410  邮箱：63101267@qq.com</w:t>
      </w:r>
    </w:p>
    <w:p w14:paraId="28CF8BE5">
      <w:pPr>
        <w:ind w:firstLine="480"/>
        <w:rPr>
          <w:rFonts w:ascii="仿宋" w:hAnsi="仿宋" w:cs="仿宋"/>
        </w:rPr>
      </w:pPr>
      <w:r>
        <w:rPr>
          <w:rFonts w:hint="eastAsia" w:ascii="仿宋" w:hAnsi="仿宋" w:cs="仿宋"/>
        </w:rPr>
        <w:t>质疑联系人：徐益波</w:t>
      </w:r>
    </w:p>
    <w:p w14:paraId="0D2F9850">
      <w:pPr>
        <w:ind w:firstLine="480"/>
        <w:rPr>
          <w:rFonts w:ascii="仿宋" w:hAnsi="仿宋" w:cs="仿宋"/>
        </w:rPr>
      </w:pPr>
      <w:r>
        <w:rPr>
          <w:rFonts w:hint="eastAsia" w:ascii="仿宋" w:hAnsi="仿宋" w:cs="仿宋"/>
        </w:rPr>
        <w:t xml:space="preserve">质疑联系方式：0574-56334315 </w:t>
      </w:r>
    </w:p>
    <w:p w14:paraId="208BE4F5">
      <w:pPr>
        <w:ind w:firstLine="480"/>
      </w:pPr>
      <w:r>
        <w:rPr>
          <w:rFonts w:hint="eastAsia"/>
        </w:rPr>
        <w:t xml:space="preserve">3.同级政府采购监督管理部门            </w:t>
      </w:r>
    </w:p>
    <w:p w14:paraId="68C4F950">
      <w:pPr>
        <w:ind w:firstLine="480"/>
        <w:rPr>
          <w:rFonts w:ascii="仿宋" w:hAnsi="仿宋" w:cs="仿宋"/>
        </w:rPr>
      </w:pPr>
      <w:r>
        <w:rPr>
          <w:rFonts w:hint="eastAsia" w:ascii="仿宋" w:hAnsi="仿宋" w:cs="仿宋"/>
        </w:rPr>
        <w:t>名称：慈溪市财政局</w:t>
      </w:r>
    </w:p>
    <w:p w14:paraId="67876E53">
      <w:pPr>
        <w:ind w:firstLine="480"/>
        <w:rPr>
          <w:rFonts w:hint="default" w:ascii="仿宋" w:hAnsi="仿宋" w:eastAsia="仿宋" w:cs="仿宋"/>
          <w:lang w:val="en-US" w:eastAsia="zh-CN"/>
        </w:rPr>
      </w:pPr>
      <w:r>
        <w:rPr>
          <w:rFonts w:hint="eastAsia" w:ascii="仿宋" w:hAnsi="仿宋" w:cs="仿宋"/>
        </w:rPr>
        <w:t>地址：慈溪市南二环东路1158号</w:t>
      </w:r>
      <w:r>
        <w:rPr>
          <w:rFonts w:hint="eastAsia" w:ascii="仿宋" w:hAnsi="仿宋" w:cs="仿宋"/>
          <w:lang w:val="en-US" w:eastAsia="zh-CN"/>
        </w:rPr>
        <w:t>6楼621室</w:t>
      </w:r>
    </w:p>
    <w:p w14:paraId="24FB7461">
      <w:pPr>
        <w:ind w:firstLine="480"/>
        <w:rPr>
          <w:rFonts w:ascii="仿宋" w:hAnsi="仿宋" w:cs="仿宋"/>
        </w:rPr>
      </w:pPr>
      <w:r>
        <w:rPr>
          <w:rFonts w:hint="eastAsia" w:ascii="仿宋" w:hAnsi="仿宋" w:cs="仿宋"/>
        </w:rPr>
        <w:t>传真：/ </w:t>
      </w:r>
    </w:p>
    <w:p w14:paraId="288F8611">
      <w:pPr>
        <w:ind w:firstLine="480"/>
        <w:rPr>
          <w:rFonts w:hint="eastAsia" w:ascii="仿宋" w:hAnsi="仿宋" w:eastAsia="仿宋" w:cs="仿宋"/>
          <w:lang w:eastAsia="zh-CN"/>
        </w:rPr>
      </w:pPr>
      <w:r>
        <w:rPr>
          <w:rFonts w:hint="eastAsia" w:ascii="仿宋" w:hAnsi="仿宋" w:cs="仿宋"/>
        </w:rPr>
        <w:t>联系人：赵</w:t>
      </w:r>
      <w:r>
        <w:rPr>
          <w:rFonts w:hint="eastAsia" w:ascii="仿宋" w:hAnsi="仿宋" w:cs="仿宋"/>
          <w:lang w:val="en-US" w:eastAsia="zh-CN"/>
        </w:rPr>
        <w:t>老师</w:t>
      </w:r>
    </w:p>
    <w:p w14:paraId="6FC9E869">
      <w:pPr>
        <w:ind w:firstLine="480"/>
      </w:pPr>
      <w:r>
        <w:rPr>
          <w:rFonts w:hint="eastAsia" w:ascii="仿宋" w:hAnsi="仿宋" w:cs="仿宋"/>
        </w:rPr>
        <w:t>监督投诉电话：0574-63032032</w:t>
      </w:r>
    </w:p>
    <w:p w14:paraId="21826B68">
      <w:pPr>
        <w:ind w:firstLine="480"/>
      </w:pPr>
      <w:r>
        <w:rPr>
          <w:rFonts w:hint="eastAsia"/>
        </w:rPr>
        <w:t>若对项目采购电子交易系统操作有疑问，可登录政采云（https://www.zcygov.cn/），点击右侧咨询小采，获取采小蜜智能服务管家帮助，或拨打政采云服务热线95763获取热线服务帮助。</w:t>
      </w:r>
    </w:p>
    <w:p w14:paraId="72552F3E">
      <w:pPr>
        <w:ind w:firstLine="480"/>
      </w:pPr>
      <w:r>
        <w:rPr>
          <w:rFonts w:hint="eastAsia"/>
        </w:rPr>
        <w:t>CA问题联系电话（人工）：汇信CA 400-888-4636；天谷CA 400-087-8198。</w:t>
      </w:r>
    </w:p>
    <w:p w14:paraId="557BDBA6">
      <w:pPr>
        <w:pStyle w:val="35"/>
        <w:ind w:firstLine="480"/>
        <w:rPr>
          <w:rFonts w:ascii="仿宋" w:hAnsi="仿宋" w:cs="仿宋"/>
          <w:szCs w:val="24"/>
        </w:rPr>
      </w:pPr>
    </w:p>
    <w:p w14:paraId="375CB0DC">
      <w:pPr>
        <w:adjustRightInd/>
        <w:ind w:firstLine="723"/>
        <w:jc w:val="center"/>
        <w:outlineLvl w:val="0"/>
        <w:rPr>
          <w:rStyle w:val="288"/>
          <w:rFonts w:ascii="仿宋" w:hAnsi="仿宋" w:cs="仿宋"/>
        </w:rPr>
      </w:pPr>
      <w:r>
        <w:rPr>
          <w:rFonts w:hint="eastAsia" w:ascii="仿宋" w:hAnsi="仿宋" w:cs="仿宋"/>
          <w:b/>
          <w:sz w:val="36"/>
          <w:szCs w:val="20"/>
        </w:rPr>
        <w:br w:type="page"/>
      </w:r>
      <w:bookmarkStart w:id="15" w:name="_Toc24796"/>
      <w:r>
        <w:rPr>
          <w:rStyle w:val="288"/>
          <w:rFonts w:hint="eastAsia" w:ascii="仿宋" w:hAnsi="仿宋" w:cs="仿宋"/>
        </w:rPr>
        <w:t>第二部分</w:t>
      </w:r>
      <w:bookmarkEnd w:id="4"/>
      <w:r>
        <w:rPr>
          <w:rStyle w:val="288"/>
          <w:rFonts w:hint="eastAsia" w:ascii="仿宋" w:hAnsi="仿宋" w:cs="仿宋"/>
        </w:rPr>
        <w:t xml:space="preserve"> 投标人须知</w:t>
      </w:r>
      <w:bookmarkEnd w:id="5"/>
      <w:bookmarkEnd w:id="15"/>
    </w:p>
    <w:p w14:paraId="6A867431">
      <w:pPr>
        <w:pStyle w:val="2"/>
        <w:rPr>
          <w:rFonts w:ascii="仿宋" w:hAnsi="仿宋" w:cs="仿宋"/>
        </w:rPr>
      </w:pPr>
      <w:bookmarkStart w:id="16" w:name="_Toc8449"/>
      <w:r>
        <w:rPr>
          <w:rFonts w:hint="eastAsia" w:ascii="仿宋" w:hAnsi="仿宋" w:cs="仿宋"/>
        </w:rPr>
        <w:t>前附表</w:t>
      </w:r>
      <w:bookmarkEnd w:id="16"/>
    </w:p>
    <w:tbl>
      <w:tblPr>
        <w:tblStyle w:val="6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58"/>
        <w:gridCol w:w="1784"/>
        <w:gridCol w:w="6640"/>
      </w:tblGrid>
      <w:tr w14:paraId="48027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tcPr>
          <w:p w14:paraId="387DBA99">
            <w:pPr>
              <w:pStyle w:val="14"/>
              <w:rPr>
                <w:rFonts w:ascii="仿宋" w:hAnsi="仿宋" w:cs="仿宋"/>
                <w:b/>
                <w:bCs/>
              </w:rPr>
            </w:pPr>
            <w:r>
              <w:rPr>
                <w:rFonts w:hint="eastAsia" w:ascii="仿宋" w:hAnsi="仿宋" w:cs="仿宋"/>
                <w:b/>
                <w:bCs/>
              </w:rPr>
              <w:t>序号</w:t>
            </w:r>
          </w:p>
        </w:tc>
        <w:tc>
          <w:tcPr>
            <w:tcW w:w="982" w:type="pct"/>
            <w:tcBorders>
              <w:top w:val="single" w:color="000000" w:sz="8" w:space="0"/>
              <w:left w:val="single" w:color="auto" w:sz="4" w:space="0"/>
              <w:bottom w:val="single" w:color="000000" w:sz="8" w:space="0"/>
              <w:right w:val="single" w:color="000000" w:sz="8" w:space="0"/>
            </w:tcBorders>
            <w:vAlign w:val="center"/>
          </w:tcPr>
          <w:p w14:paraId="1E48F5AC">
            <w:pPr>
              <w:pStyle w:val="14"/>
              <w:rPr>
                <w:rFonts w:ascii="仿宋" w:hAnsi="仿宋" w:cs="仿宋"/>
                <w:b/>
                <w:bCs/>
              </w:rPr>
            </w:pPr>
            <w:r>
              <w:rPr>
                <w:rFonts w:hint="eastAsia" w:ascii="仿宋" w:hAnsi="仿宋" w:cs="仿宋"/>
                <w:b/>
                <w:bCs/>
              </w:rPr>
              <w:t>事项</w:t>
            </w:r>
          </w:p>
        </w:tc>
        <w:tc>
          <w:tcPr>
            <w:tcW w:w="3655" w:type="pct"/>
            <w:tcBorders>
              <w:top w:val="single" w:color="000000" w:sz="8" w:space="0"/>
              <w:left w:val="single" w:color="000000" w:sz="2" w:space="0"/>
              <w:bottom w:val="single" w:color="000000" w:sz="8" w:space="0"/>
              <w:right w:val="single" w:color="000000" w:sz="8" w:space="0"/>
            </w:tcBorders>
            <w:vAlign w:val="center"/>
          </w:tcPr>
          <w:p w14:paraId="65B676A6">
            <w:pPr>
              <w:pStyle w:val="14"/>
              <w:rPr>
                <w:rFonts w:ascii="仿宋" w:hAnsi="仿宋" w:cs="仿宋"/>
                <w:b/>
                <w:bCs/>
              </w:rPr>
            </w:pPr>
            <w:r>
              <w:rPr>
                <w:rFonts w:hint="eastAsia" w:ascii="仿宋" w:hAnsi="仿宋" w:cs="仿宋"/>
                <w:b/>
                <w:bCs/>
              </w:rPr>
              <w:t>本项目的特别规定</w:t>
            </w:r>
          </w:p>
        </w:tc>
      </w:tr>
      <w:tr w14:paraId="53659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vAlign w:val="center"/>
          </w:tcPr>
          <w:p w14:paraId="07F1B01D">
            <w:pPr>
              <w:pStyle w:val="14"/>
              <w:rPr>
                <w:rFonts w:ascii="仿宋" w:hAnsi="仿宋" w:cs="仿宋"/>
              </w:rPr>
            </w:pPr>
            <w:r>
              <w:rPr>
                <w:rFonts w:hint="eastAsia" w:ascii="仿宋" w:hAnsi="仿宋" w:cs="仿宋"/>
              </w:rPr>
              <w:t>1</w:t>
            </w:r>
          </w:p>
        </w:tc>
        <w:tc>
          <w:tcPr>
            <w:tcW w:w="982" w:type="pct"/>
            <w:tcBorders>
              <w:top w:val="single" w:color="000000" w:sz="8" w:space="0"/>
              <w:left w:val="single" w:color="auto" w:sz="4" w:space="0"/>
              <w:bottom w:val="single" w:color="000000" w:sz="8" w:space="0"/>
              <w:right w:val="single" w:color="000000" w:sz="8" w:space="0"/>
            </w:tcBorders>
            <w:vAlign w:val="center"/>
          </w:tcPr>
          <w:p w14:paraId="371C5DB1">
            <w:pPr>
              <w:pStyle w:val="14"/>
              <w:rPr>
                <w:rFonts w:ascii="仿宋" w:hAnsi="仿宋" w:cs="仿宋"/>
                <w:b/>
                <w:bCs/>
                <w:szCs w:val="20"/>
              </w:rPr>
            </w:pPr>
            <w:r>
              <w:rPr>
                <w:rFonts w:hint="eastAsia" w:ascii="仿宋" w:hAnsi="仿宋" w:cs="仿宋"/>
                <w:b/>
                <w:bCs/>
              </w:rPr>
              <w:t>项目属性与核心产品</w:t>
            </w:r>
          </w:p>
        </w:tc>
        <w:tc>
          <w:tcPr>
            <w:tcW w:w="3655" w:type="pct"/>
            <w:tcBorders>
              <w:top w:val="single" w:color="000000" w:sz="8" w:space="0"/>
              <w:left w:val="single" w:color="000000" w:sz="2" w:space="0"/>
              <w:bottom w:val="single" w:color="000000" w:sz="8" w:space="0"/>
              <w:right w:val="single" w:color="000000" w:sz="8" w:space="0"/>
            </w:tcBorders>
            <w:vAlign w:val="center"/>
          </w:tcPr>
          <w:p w14:paraId="6E200A38">
            <w:pPr>
              <w:ind w:firstLine="480"/>
              <w:rPr>
                <w:rFonts w:ascii="仿宋" w:hAnsi="仿宋" w:cs="仿宋"/>
              </w:rPr>
            </w:pPr>
            <w:sdt>
              <w:sdtPr>
                <w:rPr>
                  <w:rFonts w:hint="eastAsia" w:ascii="仿宋" w:hAnsi="仿宋" w:cs="仿宋"/>
                  <w:kern w:val="0"/>
                </w:rPr>
                <w:id w:val="118727868"/>
                <w14:checkbox>
                  <w14:checked w14:val="0"/>
                  <w14:checkedState w14:val="00FE" w14:font="Wingdings"/>
                  <w14:uncheckedState w14:val="2610" w14:font="MS Gothic"/>
                </w14:checkbox>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货物类，单一产品或</w:t>
            </w:r>
            <w:r>
              <w:rPr>
                <w:rFonts w:hint="eastAsia" w:ascii="仿宋" w:hAnsi="仿宋" w:cs="仿宋"/>
                <w:kern w:val="0"/>
              </w:rPr>
              <w:t>核心产品为：</w:t>
            </w:r>
            <w:r>
              <w:rPr>
                <w:rFonts w:hint="eastAsia" w:ascii="仿宋" w:hAnsi="仿宋" w:cs="仿宋"/>
                <w:u w:val="single"/>
              </w:rPr>
              <w:t xml:space="preserve">    </w:t>
            </w:r>
            <w:r>
              <w:rPr>
                <w:rFonts w:hint="eastAsia" w:ascii="仿宋" w:hAnsi="仿宋" w:cs="仿宋"/>
              </w:rPr>
              <w:t>。</w:t>
            </w:r>
          </w:p>
          <w:p w14:paraId="145D7AF1">
            <w:pPr>
              <w:ind w:firstLine="480"/>
              <w:rPr>
                <w:rFonts w:ascii="仿宋" w:hAnsi="仿宋" w:cs="仿宋"/>
              </w:rPr>
            </w:pPr>
            <w:sdt>
              <w:sdtPr>
                <w:rPr>
                  <w:rFonts w:hint="eastAsia" w:ascii="仿宋" w:hAnsi="仿宋" w:cs="仿宋"/>
                  <w:kern w:val="0"/>
                </w:rPr>
                <w:id w:val="474885559"/>
                <w14:checkbox>
                  <w14:checked w14:val="1"/>
                  <w14:checkedState w14:val="00FE" w14:font="Wingdings"/>
                  <w14:uncheckedState w14:val="2610" w14:font="MS Gothic"/>
                </w14:checkbox>
              </w:sdtPr>
              <w:sdtEndPr>
                <w:rPr>
                  <w:rFonts w:hint="eastAsia" w:ascii="仿宋" w:hAnsi="仿宋" w:cs="仿宋"/>
                  <w:kern w:val="0"/>
                </w:rPr>
              </w:sdtEndPr>
              <w:sdtContent>
                <w:r>
                  <w:rPr>
                    <w:rFonts w:ascii="Wingdings" w:hAnsi="Wingdings" w:cs="仿宋"/>
                    <w:kern w:val="0"/>
                  </w:rPr>
                  <w:t></w:t>
                </w:r>
              </w:sdtContent>
            </w:sdt>
            <w:r>
              <w:rPr>
                <w:rFonts w:hint="eastAsia" w:ascii="仿宋" w:hAnsi="仿宋" w:cs="仿宋"/>
                <w:kern w:val="0"/>
              </w:rPr>
              <w:t>B</w:t>
            </w:r>
            <w:r>
              <w:rPr>
                <w:rFonts w:hint="eastAsia" w:ascii="仿宋" w:hAnsi="仿宋" w:cs="仿宋"/>
              </w:rPr>
              <w:t>服务类。</w:t>
            </w:r>
          </w:p>
        </w:tc>
      </w:tr>
      <w:tr w14:paraId="50EAF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vAlign w:val="center"/>
          </w:tcPr>
          <w:p w14:paraId="2C577462">
            <w:pPr>
              <w:pStyle w:val="14"/>
              <w:rPr>
                <w:rFonts w:ascii="仿宋" w:hAnsi="仿宋" w:cs="仿宋"/>
              </w:rPr>
            </w:pPr>
            <w:r>
              <w:rPr>
                <w:rFonts w:hint="eastAsia" w:ascii="仿宋" w:hAnsi="仿宋" w:cs="仿宋"/>
              </w:rPr>
              <w:t>2</w:t>
            </w:r>
          </w:p>
        </w:tc>
        <w:tc>
          <w:tcPr>
            <w:tcW w:w="982" w:type="pct"/>
            <w:tcBorders>
              <w:top w:val="single" w:color="000000" w:sz="8" w:space="0"/>
              <w:left w:val="single" w:color="auto" w:sz="4" w:space="0"/>
              <w:bottom w:val="single" w:color="000000" w:sz="8" w:space="0"/>
              <w:right w:val="single" w:color="000000" w:sz="8" w:space="0"/>
            </w:tcBorders>
            <w:vAlign w:val="center"/>
          </w:tcPr>
          <w:p w14:paraId="6D4AD4B5">
            <w:pPr>
              <w:pStyle w:val="14"/>
              <w:rPr>
                <w:rFonts w:ascii="仿宋" w:hAnsi="仿宋" w:cs="仿宋"/>
                <w:b/>
                <w:bCs/>
                <w:szCs w:val="20"/>
              </w:rPr>
            </w:pPr>
            <w:r>
              <w:rPr>
                <w:rFonts w:hint="eastAsia" w:ascii="仿宋" w:hAnsi="仿宋" w:cs="仿宋"/>
                <w:b/>
                <w:bCs/>
              </w:rPr>
              <w:t>采购标的对应的中小企业划分标准所属行业</w:t>
            </w:r>
          </w:p>
        </w:tc>
        <w:tc>
          <w:tcPr>
            <w:tcW w:w="3655" w:type="pct"/>
            <w:tcBorders>
              <w:top w:val="single" w:color="000000" w:sz="8" w:space="0"/>
              <w:left w:val="single" w:color="000000" w:sz="2" w:space="0"/>
              <w:bottom w:val="single" w:color="000000" w:sz="8" w:space="0"/>
              <w:right w:val="single" w:color="000000" w:sz="8" w:space="0"/>
            </w:tcBorders>
            <w:vAlign w:val="center"/>
          </w:tcPr>
          <w:p w14:paraId="421A3458">
            <w:pPr>
              <w:snapToGrid w:val="0"/>
              <w:ind w:firstLine="480"/>
              <w:rPr>
                <w:rFonts w:ascii="仿宋" w:hAnsi="仿宋" w:cs="仿宋"/>
                <w:b/>
                <w:bCs/>
                <w:lang w:val="zh-CN"/>
              </w:rPr>
            </w:pPr>
            <w:r>
              <w:rPr>
                <w:rFonts w:hint="eastAsia" w:ascii="仿宋" w:hAnsi="仿宋" w:cs="仿宋"/>
                <w:b/>
                <w:bCs/>
                <w:kern w:val="0"/>
              </w:rPr>
              <w:t>（1）标的：</w:t>
            </w:r>
            <w:r>
              <w:rPr>
                <w:rFonts w:hint="eastAsia" w:ascii="仿宋" w:hAnsi="仿宋" w:cs="仿宋"/>
                <w:b/>
                <w:bCs/>
                <w:kern w:val="0"/>
                <w:u w:val="single"/>
                <w:lang w:eastAsia="zh-CN"/>
              </w:rPr>
              <w:t>慈溪市宗汉街道社会心理服务</w:t>
            </w:r>
            <w:r>
              <w:rPr>
                <w:rFonts w:hint="eastAsia" w:ascii="仿宋" w:hAnsi="仿宋" w:cs="仿宋"/>
                <w:b/>
                <w:bCs/>
                <w:kern w:val="0"/>
              </w:rPr>
              <w:t>，属于</w:t>
            </w:r>
            <w:r>
              <w:rPr>
                <w:rFonts w:hint="eastAsia" w:ascii="仿宋" w:hAnsi="仿宋" w:cs="仿宋"/>
                <w:b/>
                <w:bCs/>
                <w:kern w:val="0"/>
                <w:u w:val="single"/>
              </w:rPr>
              <w:t>其他未列明</w:t>
            </w:r>
            <w:r>
              <w:rPr>
                <w:rFonts w:hint="eastAsia" w:ascii="仿宋" w:hAnsi="仿宋" w:cs="仿宋"/>
                <w:b/>
                <w:bCs/>
                <w:kern w:val="0"/>
              </w:rPr>
              <w:t>行业；</w:t>
            </w:r>
          </w:p>
        </w:tc>
      </w:tr>
      <w:tr w14:paraId="37565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vMerge w:val="restart"/>
            <w:tcBorders>
              <w:top w:val="single" w:color="auto" w:sz="4" w:space="0"/>
              <w:left w:val="single" w:color="auto" w:sz="4" w:space="0"/>
              <w:right w:val="single" w:color="auto" w:sz="4" w:space="0"/>
            </w:tcBorders>
            <w:vAlign w:val="center"/>
          </w:tcPr>
          <w:p w14:paraId="2E9EEB8A">
            <w:pPr>
              <w:pStyle w:val="14"/>
              <w:rPr>
                <w:rFonts w:ascii="仿宋" w:hAnsi="仿宋" w:cs="仿宋"/>
              </w:rPr>
            </w:pPr>
            <w:r>
              <w:rPr>
                <w:rFonts w:hint="eastAsia" w:ascii="仿宋" w:hAnsi="仿宋" w:cs="仿宋"/>
              </w:rPr>
              <w:t>3</w:t>
            </w:r>
          </w:p>
        </w:tc>
        <w:tc>
          <w:tcPr>
            <w:tcW w:w="982" w:type="pct"/>
            <w:vMerge w:val="restart"/>
            <w:tcBorders>
              <w:top w:val="single" w:color="000000" w:sz="8" w:space="0"/>
              <w:left w:val="single" w:color="auto" w:sz="4" w:space="0"/>
              <w:right w:val="single" w:color="000000" w:sz="8" w:space="0"/>
            </w:tcBorders>
            <w:vAlign w:val="center"/>
          </w:tcPr>
          <w:p w14:paraId="64E52793">
            <w:pPr>
              <w:pStyle w:val="14"/>
              <w:rPr>
                <w:rFonts w:ascii="仿宋" w:hAnsi="仿宋" w:cs="仿宋"/>
                <w:b/>
                <w:bCs/>
              </w:rPr>
            </w:pPr>
            <w:r>
              <w:rPr>
                <w:rFonts w:hint="eastAsia" w:ascii="仿宋" w:hAnsi="仿宋" w:cs="仿宋"/>
                <w:b/>
                <w:bCs/>
              </w:rPr>
              <w:t>投标人应当提供的</w:t>
            </w:r>
            <w:r>
              <w:rPr>
                <w:rFonts w:hint="eastAsia" w:ascii="仿宋" w:hAnsi="仿宋" w:cs="仿宋"/>
                <w:b/>
                <w:bCs/>
                <w:lang w:val="en-US"/>
              </w:rPr>
              <w:t>投标</w:t>
            </w:r>
            <w:r>
              <w:rPr>
                <w:rFonts w:hint="eastAsia" w:ascii="仿宋" w:hAnsi="仿宋" w:cs="仿宋"/>
                <w:b/>
                <w:bCs/>
              </w:rPr>
              <w:t>文件</w:t>
            </w:r>
          </w:p>
        </w:tc>
        <w:tc>
          <w:tcPr>
            <w:tcW w:w="3655" w:type="pct"/>
            <w:tcBorders>
              <w:top w:val="single" w:color="000000" w:sz="8" w:space="0"/>
              <w:left w:val="single" w:color="000000" w:sz="2" w:space="0"/>
              <w:bottom w:val="single" w:color="auto" w:sz="4" w:space="0"/>
              <w:right w:val="single" w:color="000000" w:sz="8" w:space="0"/>
            </w:tcBorders>
            <w:vAlign w:val="center"/>
          </w:tcPr>
          <w:p w14:paraId="78C1AE62">
            <w:pPr>
              <w:ind w:firstLine="480"/>
              <w:rPr>
                <w:rFonts w:ascii="仿宋" w:hAnsi="仿宋" w:cs="仿宋"/>
              </w:rPr>
            </w:pPr>
            <w:r>
              <w:rPr>
                <w:rFonts w:hint="eastAsia" w:ascii="仿宋" w:hAnsi="仿宋" w:cs="仿宋"/>
              </w:rPr>
              <w:t>（1）资格证明文件：见招标文件第二部分11.1。</w:t>
            </w:r>
          </w:p>
          <w:p w14:paraId="73AA6F6E">
            <w:pPr>
              <w:ind w:firstLine="480"/>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09159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vMerge w:val="continue"/>
            <w:tcBorders>
              <w:left w:val="single" w:color="auto" w:sz="4" w:space="0"/>
              <w:right w:val="single" w:color="auto" w:sz="4" w:space="0"/>
            </w:tcBorders>
            <w:vAlign w:val="center"/>
          </w:tcPr>
          <w:p w14:paraId="415E854F">
            <w:pPr>
              <w:pStyle w:val="14"/>
              <w:rPr>
                <w:rFonts w:ascii="仿宋" w:hAnsi="仿宋" w:cs="仿宋"/>
              </w:rPr>
            </w:pPr>
          </w:p>
        </w:tc>
        <w:tc>
          <w:tcPr>
            <w:tcW w:w="982" w:type="pct"/>
            <w:vMerge w:val="continue"/>
            <w:tcBorders>
              <w:left w:val="single" w:color="auto" w:sz="4" w:space="0"/>
              <w:right w:val="single" w:color="000000" w:sz="8" w:space="0"/>
            </w:tcBorders>
            <w:vAlign w:val="center"/>
          </w:tcPr>
          <w:p w14:paraId="1538584C">
            <w:pPr>
              <w:pStyle w:val="14"/>
              <w:rPr>
                <w:rFonts w:ascii="仿宋" w:hAnsi="仿宋" w:cs="仿宋"/>
                <w:b/>
                <w:bCs/>
              </w:rPr>
            </w:pPr>
          </w:p>
        </w:tc>
        <w:tc>
          <w:tcPr>
            <w:tcW w:w="3655" w:type="pct"/>
            <w:tcBorders>
              <w:top w:val="single" w:color="auto" w:sz="4" w:space="0"/>
              <w:left w:val="single" w:color="000000" w:sz="2" w:space="0"/>
              <w:bottom w:val="single" w:color="000000" w:sz="8" w:space="0"/>
              <w:right w:val="single" w:color="000000" w:sz="8" w:space="0"/>
            </w:tcBorders>
            <w:vAlign w:val="center"/>
          </w:tcPr>
          <w:p w14:paraId="406A207F">
            <w:pPr>
              <w:ind w:firstLine="480"/>
              <w:rPr>
                <w:rFonts w:ascii="仿宋" w:hAnsi="仿宋" w:cs="仿宋"/>
              </w:rPr>
            </w:pPr>
            <w:r>
              <w:rPr>
                <w:rFonts w:hint="eastAsia" w:ascii="仿宋" w:hAnsi="仿宋" w:cs="仿宋"/>
              </w:rPr>
              <w:t>（2）商务技术文件：见招标文件第二部分11.2。</w:t>
            </w:r>
          </w:p>
        </w:tc>
      </w:tr>
      <w:tr w14:paraId="35590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vMerge w:val="continue"/>
            <w:tcBorders>
              <w:left w:val="single" w:color="auto" w:sz="4" w:space="0"/>
              <w:bottom w:val="single" w:color="auto" w:sz="4" w:space="0"/>
              <w:right w:val="single" w:color="auto" w:sz="4" w:space="0"/>
            </w:tcBorders>
            <w:vAlign w:val="center"/>
          </w:tcPr>
          <w:p w14:paraId="48494763">
            <w:pPr>
              <w:pStyle w:val="14"/>
              <w:rPr>
                <w:rFonts w:ascii="仿宋" w:hAnsi="仿宋" w:cs="仿宋"/>
              </w:rPr>
            </w:pPr>
          </w:p>
        </w:tc>
        <w:tc>
          <w:tcPr>
            <w:tcW w:w="982" w:type="pct"/>
            <w:vMerge w:val="continue"/>
            <w:tcBorders>
              <w:left w:val="single" w:color="auto" w:sz="4" w:space="0"/>
              <w:bottom w:val="single" w:color="000000" w:sz="8" w:space="0"/>
              <w:right w:val="single" w:color="000000" w:sz="8" w:space="0"/>
            </w:tcBorders>
            <w:vAlign w:val="center"/>
          </w:tcPr>
          <w:p w14:paraId="663BE228">
            <w:pPr>
              <w:pStyle w:val="14"/>
              <w:rPr>
                <w:rFonts w:ascii="仿宋" w:hAnsi="仿宋" w:cs="仿宋"/>
                <w:b/>
                <w:bCs/>
              </w:rPr>
            </w:pPr>
          </w:p>
        </w:tc>
        <w:tc>
          <w:tcPr>
            <w:tcW w:w="3655" w:type="pct"/>
            <w:tcBorders>
              <w:top w:val="single" w:color="auto" w:sz="4" w:space="0"/>
              <w:left w:val="single" w:color="000000" w:sz="2" w:space="0"/>
              <w:bottom w:val="single" w:color="000000" w:sz="8" w:space="0"/>
              <w:right w:val="single" w:color="000000" w:sz="8" w:space="0"/>
            </w:tcBorders>
            <w:vAlign w:val="center"/>
          </w:tcPr>
          <w:p w14:paraId="2B9C2204">
            <w:pPr>
              <w:ind w:firstLine="480"/>
              <w:rPr>
                <w:rFonts w:ascii="仿宋" w:hAnsi="仿宋" w:cs="仿宋"/>
              </w:rPr>
            </w:pPr>
            <w:r>
              <w:rPr>
                <w:rFonts w:hint="eastAsia" w:ascii="仿宋" w:hAnsi="仿宋" w:cs="仿宋"/>
              </w:rPr>
              <w:t>（3）报价文件：见招标文件第二部分11.3。</w:t>
            </w:r>
          </w:p>
        </w:tc>
      </w:tr>
      <w:tr w14:paraId="01499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vAlign w:val="center"/>
          </w:tcPr>
          <w:p w14:paraId="5D6994D0">
            <w:pPr>
              <w:pStyle w:val="14"/>
              <w:rPr>
                <w:rFonts w:ascii="仿宋" w:hAnsi="仿宋" w:cs="仿宋"/>
              </w:rPr>
            </w:pPr>
            <w:r>
              <w:rPr>
                <w:rFonts w:hint="eastAsia" w:ascii="仿宋" w:hAnsi="仿宋" w:cs="仿宋"/>
              </w:rPr>
              <w:t>4</w:t>
            </w:r>
          </w:p>
        </w:tc>
        <w:tc>
          <w:tcPr>
            <w:tcW w:w="982" w:type="pct"/>
            <w:tcBorders>
              <w:top w:val="single" w:color="000000" w:sz="8" w:space="0"/>
              <w:left w:val="single" w:color="auto" w:sz="4" w:space="0"/>
              <w:bottom w:val="single" w:color="000000" w:sz="8" w:space="0"/>
              <w:right w:val="single" w:color="000000" w:sz="8" w:space="0"/>
            </w:tcBorders>
            <w:vAlign w:val="center"/>
          </w:tcPr>
          <w:p w14:paraId="67E208E4">
            <w:pPr>
              <w:pStyle w:val="14"/>
              <w:rPr>
                <w:rFonts w:ascii="仿宋" w:hAnsi="仿宋" w:cs="仿宋"/>
                <w:b/>
                <w:bCs/>
              </w:rPr>
            </w:pPr>
            <w:r>
              <w:rPr>
                <w:rFonts w:hint="eastAsia" w:ascii="仿宋" w:hAnsi="仿宋" w:cs="仿宋"/>
                <w:b/>
                <w:bCs/>
              </w:rPr>
              <w:t>报价要求</w:t>
            </w:r>
          </w:p>
        </w:tc>
        <w:tc>
          <w:tcPr>
            <w:tcW w:w="3655" w:type="pct"/>
            <w:tcBorders>
              <w:top w:val="single" w:color="000000" w:sz="8" w:space="0"/>
              <w:left w:val="single" w:color="000000" w:sz="2" w:space="0"/>
              <w:bottom w:val="single" w:color="000000" w:sz="8" w:space="0"/>
              <w:right w:val="single" w:color="000000" w:sz="8" w:space="0"/>
            </w:tcBorders>
            <w:vAlign w:val="center"/>
          </w:tcPr>
          <w:p w14:paraId="3C6E8535">
            <w:pPr>
              <w:snapToGrid w:val="0"/>
              <w:ind w:firstLine="480"/>
              <w:rPr>
                <w:rFonts w:ascii="仿宋" w:hAnsi="仿宋" w:cs="仿宋"/>
                <w:b/>
                <w:kern w:val="0"/>
                <w:lang w:val="zh-CN"/>
              </w:rPr>
            </w:pPr>
            <w:r>
              <w:rPr>
                <w:rFonts w:hint="eastAsia" w:ascii="宋体" w:hAnsi="宋体" w:cs="宋体"/>
                <w:kern w:val="0"/>
                <w:lang w:val="zh-CN"/>
              </w:rPr>
              <w:t>有关本项目实施所需的所有费用（含税费）均计入报价。</w:t>
            </w:r>
            <w:r>
              <w:rPr>
                <w:rFonts w:hint="eastAsia" w:ascii="宋体" w:hAnsi="宋体" w:cs="宋体"/>
                <w:b/>
                <w:bCs/>
                <w:kern w:val="0"/>
                <w:lang w:val="zh-CN"/>
              </w:rPr>
              <w:t>投标文件</w:t>
            </w:r>
            <w:r>
              <w:rPr>
                <w:rFonts w:hint="eastAsia" w:ascii="宋体" w:hAnsi="宋体" w:cs="宋体"/>
                <w:b/>
                <w:bCs/>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lang w:val="zh-CN"/>
              </w:rPr>
              <w:t>投标文件中价格全部采用人民币报价。招标文件未列明，而投标人认为必需的费用也需列入报价。</w:t>
            </w:r>
          </w:p>
          <w:p w14:paraId="102910CB">
            <w:pPr>
              <w:snapToGrid w:val="0"/>
              <w:rPr>
                <w:rFonts w:ascii="仿宋" w:hAnsi="仿宋" w:cs="仿宋"/>
                <w:b/>
                <w:kern w:val="0"/>
                <w:lang w:val="zh-CN"/>
              </w:rPr>
            </w:pPr>
            <w:r>
              <w:rPr>
                <w:rFonts w:hint="eastAsia" w:ascii="仿宋" w:hAnsi="仿宋" w:cs="仿宋"/>
                <w:b/>
                <w:kern w:val="0"/>
                <w:lang w:val="zh-CN"/>
              </w:rPr>
              <w:t>投标报价出现下列情形的，投标无效：</w:t>
            </w:r>
          </w:p>
          <w:p w14:paraId="5E279109">
            <w:pPr>
              <w:snapToGrid w:val="0"/>
              <w:rPr>
                <w:rFonts w:ascii="仿宋" w:hAnsi="仿宋" w:cs="仿宋"/>
                <w:b/>
                <w:kern w:val="0"/>
                <w:lang w:val="zh-CN"/>
              </w:rPr>
            </w:pPr>
            <w:r>
              <w:rPr>
                <w:rFonts w:hint="eastAsia" w:ascii="仿宋" w:hAnsi="仿宋" w:cs="仿宋"/>
                <w:b/>
                <w:kern w:val="0"/>
                <w:lang w:val="zh-CN"/>
              </w:rPr>
              <w:t>投标文件出现不是唯一的、有选择性投标报价的；</w:t>
            </w:r>
          </w:p>
          <w:p w14:paraId="0231A3B6">
            <w:pPr>
              <w:snapToGrid w:val="0"/>
              <w:rPr>
                <w:rFonts w:hint="eastAsia" w:ascii="仿宋" w:hAnsi="仿宋" w:cs="仿宋"/>
                <w:b/>
                <w:kern w:val="0"/>
                <w:lang w:val="en-US" w:eastAsia="zh-CN"/>
              </w:rPr>
            </w:pPr>
            <w:r>
              <w:rPr>
                <w:rFonts w:hint="eastAsia" w:ascii="仿宋" w:hAnsi="仿宋" w:cs="仿宋"/>
                <w:b/>
                <w:kern w:val="0"/>
                <w:lang w:val="en-US" w:eastAsia="zh-CN"/>
              </w:rPr>
              <w:t>投标</w:t>
            </w:r>
            <w:r>
              <w:rPr>
                <w:rFonts w:hint="eastAsia" w:ascii="仿宋" w:hAnsi="仿宋" w:cs="仿宋"/>
                <w:b/>
                <w:kern w:val="0"/>
                <w:lang w:val="zh-CN"/>
              </w:rPr>
              <w:t>报价超过</w:t>
            </w:r>
            <w:r>
              <w:rPr>
                <w:rFonts w:hint="eastAsia" w:ascii="仿宋" w:hAnsi="仿宋" w:cs="仿宋"/>
                <w:b/>
                <w:kern w:val="0"/>
                <w:lang w:val="en-US" w:eastAsia="zh-CN"/>
              </w:rPr>
              <w:t>采购</w:t>
            </w:r>
            <w:r>
              <w:rPr>
                <w:rFonts w:hint="eastAsia" w:ascii="仿宋" w:hAnsi="仿宋" w:cs="仿宋"/>
                <w:b/>
                <w:kern w:val="0"/>
                <w:lang w:val="zh-CN"/>
              </w:rPr>
              <w:t>文件中规定的</w:t>
            </w:r>
            <w:r>
              <w:rPr>
                <w:rFonts w:hint="eastAsia" w:ascii="仿宋" w:hAnsi="仿宋" w:cs="仿宋"/>
                <w:b/>
                <w:kern w:val="0"/>
                <w:lang w:val="en-US" w:eastAsia="zh-CN"/>
              </w:rPr>
              <w:t>预算价或</w:t>
            </w:r>
            <w:r>
              <w:rPr>
                <w:rFonts w:hint="eastAsia" w:ascii="仿宋" w:hAnsi="仿宋" w:cs="仿宋"/>
                <w:b/>
                <w:kern w:val="0"/>
                <w:lang w:val="zh-CN"/>
              </w:rPr>
              <w:t>最高限价的；</w:t>
            </w:r>
          </w:p>
          <w:p w14:paraId="63F724CB">
            <w:pPr>
              <w:snapToGrid w:val="0"/>
              <w:rPr>
                <w:rFonts w:ascii="仿宋" w:hAnsi="仿宋" w:cs="仿宋"/>
                <w:b/>
                <w:kern w:val="0"/>
                <w:lang w:val="zh-CN"/>
              </w:rPr>
            </w:pPr>
            <w:r>
              <w:rPr>
                <w:rFonts w:hint="eastAsia" w:ascii="仿宋" w:hAnsi="仿宋" w:cs="仿宋"/>
                <w:b/>
                <w:kern w:val="0"/>
                <w:lang w:val="en-US" w:eastAsia="zh-CN"/>
              </w:rPr>
              <w:t>投标</w:t>
            </w:r>
            <w:r>
              <w:rPr>
                <w:rFonts w:hint="eastAsia" w:ascii="仿宋" w:hAnsi="仿宋" w:cs="仿宋"/>
                <w:b/>
                <w:kern w:val="0"/>
                <w:lang w:val="zh-CN"/>
              </w:rPr>
              <w:t>报价明显低于其他通过符合性审查供应商的报价，有可能影响产品质量或者不能诚信履约的，未能按要求提供书面说明或者提交相关证明材料证明其报价合理性的；</w:t>
            </w:r>
          </w:p>
          <w:p w14:paraId="39D15048">
            <w:pPr>
              <w:snapToGrid w:val="0"/>
              <w:rPr>
                <w:rFonts w:ascii="仿宋" w:hAnsi="仿宋" w:cs="仿宋"/>
              </w:rPr>
            </w:pPr>
            <w:r>
              <w:rPr>
                <w:rFonts w:hint="eastAsia" w:ascii="仿宋" w:hAnsi="仿宋" w:cs="仿宋"/>
                <w:b/>
                <w:kern w:val="0"/>
                <w:lang w:val="zh-CN"/>
              </w:rPr>
              <w:t>投标人对根</w:t>
            </w:r>
            <w:r>
              <w:rPr>
                <w:rFonts w:hint="eastAsia" w:ascii="仿宋" w:hAnsi="仿宋" w:cs="仿宋"/>
                <w:b/>
                <w:kern w:val="0"/>
              </w:rPr>
              <w:t>据修正原则修正后的报价不确认的</w:t>
            </w:r>
            <w:r>
              <w:rPr>
                <w:rFonts w:hint="eastAsia" w:ascii="仿宋" w:hAnsi="仿宋" w:cs="仿宋"/>
                <w:b/>
              </w:rPr>
              <w:t>。</w:t>
            </w:r>
          </w:p>
        </w:tc>
      </w:tr>
      <w:tr w14:paraId="0E3C4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vAlign w:val="center"/>
          </w:tcPr>
          <w:p w14:paraId="5A76B36A">
            <w:pPr>
              <w:pStyle w:val="14"/>
              <w:rPr>
                <w:rFonts w:ascii="仿宋" w:hAnsi="仿宋" w:cs="仿宋"/>
              </w:rPr>
            </w:pPr>
            <w:r>
              <w:rPr>
                <w:rFonts w:hint="eastAsia" w:ascii="仿宋" w:hAnsi="仿宋" w:cs="仿宋"/>
              </w:rPr>
              <w:t>5</w:t>
            </w:r>
          </w:p>
        </w:tc>
        <w:tc>
          <w:tcPr>
            <w:tcW w:w="982" w:type="pct"/>
            <w:tcBorders>
              <w:top w:val="single" w:color="000000" w:sz="8" w:space="0"/>
              <w:left w:val="single" w:color="auto" w:sz="4" w:space="0"/>
              <w:bottom w:val="single" w:color="000000" w:sz="8" w:space="0"/>
              <w:right w:val="single" w:color="000000" w:sz="8" w:space="0"/>
            </w:tcBorders>
            <w:vAlign w:val="center"/>
          </w:tcPr>
          <w:p w14:paraId="49F5C527">
            <w:pPr>
              <w:pStyle w:val="14"/>
              <w:rPr>
                <w:rFonts w:ascii="宋体" w:hAnsi="宋体" w:cs="宋体"/>
                <w:b/>
                <w:kern w:val="2"/>
                <w:lang w:val="en-US"/>
              </w:rPr>
            </w:pPr>
            <w:r>
              <w:rPr>
                <w:rFonts w:hint="eastAsia" w:ascii="仿宋" w:hAnsi="仿宋" w:cs="仿宋"/>
                <w:b/>
                <w:bCs/>
              </w:rPr>
              <w:t>备份</w:t>
            </w:r>
            <w:r>
              <w:rPr>
                <w:rFonts w:hint="eastAsia" w:ascii="宋体" w:hAnsi="宋体" w:cs="宋体"/>
                <w:b/>
              </w:rPr>
              <w:t xml:space="preserve">投标文件送达地点和签收人员 </w:t>
            </w:r>
          </w:p>
        </w:tc>
        <w:tc>
          <w:tcPr>
            <w:tcW w:w="3655" w:type="pct"/>
            <w:tcBorders>
              <w:top w:val="single" w:color="000000" w:sz="8" w:space="0"/>
              <w:left w:val="single" w:color="000000" w:sz="2" w:space="0"/>
              <w:bottom w:val="single" w:color="000000" w:sz="8" w:space="0"/>
              <w:right w:val="single" w:color="000000" w:sz="8" w:space="0"/>
            </w:tcBorders>
            <w:vAlign w:val="center"/>
          </w:tcPr>
          <w:p w14:paraId="5DFD794B">
            <w:pPr>
              <w:pStyle w:val="35"/>
              <w:ind w:firstLine="480"/>
              <w:rPr>
                <w:rFonts w:hAnsi="宋体" w:cs="宋体"/>
                <w:kern w:val="28"/>
                <w:lang w:val="zh-CN"/>
              </w:rPr>
            </w:pPr>
            <w:r>
              <w:rPr>
                <w:rFonts w:hint="eastAsia" w:hAnsi="宋体" w:cs="宋体"/>
                <w:kern w:val="28"/>
                <w:szCs w:val="24"/>
              </w:rPr>
              <w:t>备份投标文件送达地点：慈溪元达采购招标代理有限公司</w:t>
            </w:r>
            <w:r>
              <w:rPr>
                <w:rFonts w:hint="eastAsia" w:hAnsi="宋体" w:cs="宋体"/>
                <w:u w:val="single"/>
              </w:rPr>
              <w:t>（慈溪市白沙路街道慈甬路405号东瑞大厦201室）</w:t>
            </w:r>
            <w:r>
              <w:rPr>
                <w:rFonts w:hint="eastAsia" w:hAnsi="宋体" w:cs="宋体"/>
                <w:kern w:val="28"/>
                <w:szCs w:val="24"/>
              </w:rPr>
              <w:t>；备份投标文件签收人员联系电话：</w:t>
            </w:r>
            <w:r>
              <w:rPr>
                <w:rFonts w:hint="eastAsia" w:hAnsi="宋体" w:cs="宋体"/>
                <w:kern w:val="28"/>
                <w:szCs w:val="24"/>
                <w:u w:val="single"/>
              </w:rPr>
              <w:t>孙玲朗，13858329410</w:t>
            </w:r>
            <w:r>
              <w:rPr>
                <w:rFonts w:hint="eastAsia" w:hAnsi="宋体" w:cs="宋体"/>
                <w:szCs w:val="24"/>
              </w:rPr>
              <w:t>。</w:t>
            </w:r>
            <w:r>
              <w:rPr>
                <w:rFonts w:hint="eastAsia" w:hAnsi="宋体" w:cs="宋体"/>
                <w:b/>
                <w:szCs w:val="24"/>
              </w:rPr>
              <w:t>采购人、采购代理机构不强制或变相强制投标人提交备份投标文件。</w:t>
            </w:r>
          </w:p>
        </w:tc>
      </w:tr>
      <w:tr w14:paraId="491F9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000000" w:sz="8" w:space="0"/>
              <w:bottom w:val="single" w:color="auto" w:sz="4" w:space="0"/>
              <w:right w:val="single" w:color="000000" w:sz="2" w:space="0"/>
            </w:tcBorders>
            <w:vAlign w:val="center"/>
          </w:tcPr>
          <w:p w14:paraId="7FC322FC">
            <w:pPr>
              <w:pStyle w:val="14"/>
              <w:rPr>
                <w:rFonts w:ascii="仿宋" w:hAnsi="仿宋" w:cs="仿宋"/>
                <w:b/>
                <w:bCs/>
              </w:rPr>
            </w:pPr>
            <w:r>
              <w:rPr>
                <w:rFonts w:hint="eastAsia" w:ascii="仿宋" w:hAnsi="仿宋" w:cs="仿宋"/>
                <w:b/>
                <w:bCs/>
              </w:rPr>
              <w:t>6</w:t>
            </w:r>
          </w:p>
        </w:tc>
        <w:tc>
          <w:tcPr>
            <w:tcW w:w="982" w:type="pct"/>
            <w:tcBorders>
              <w:top w:val="single" w:color="000000" w:sz="8" w:space="0"/>
              <w:left w:val="single" w:color="000000" w:sz="2" w:space="0"/>
              <w:bottom w:val="single" w:color="000000" w:sz="8" w:space="0"/>
              <w:right w:val="single" w:color="000000" w:sz="8" w:space="0"/>
            </w:tcBorders>
            <w:vAlign w:val="center"/>
          </w:tcPr>
          <w:p w14:paraId="350A1976">
            <w:pPr>
              <w:pStyle w:val="14"/>
              <w:rPr>
                <w:rFonts w:ascii="仿宋" w:hAnsi="仿宋" w:cs="仿宋"/>
                <w:b/>
                <w:bCs/>
                <w:szCs w:val="20"/>
              </w:rPr>
            </w:pPr>
            <w:r>
              <w:rPr>
                <w:rFonts w:hint="eastAsia" w:ascii="仿宋" w:hAnsi="仿宋" w:cs="仿宋"/>
                <w:b/>
                <w:bCs/>
                <w:szCs w:val="20"/>
                <w:lang w:val="en-US"/>
              </w:rPr>
              <w:t>代理服务费</w:t>
            </w:r>
          </w:p>
        </w:tc>
        <w:tc>
          <w:tcPr>
            <w:tcW w:w="3655" w:type="pct"/>
            <w:tcBorders>
              <w:top w:val="single" w:color="000000" w:sz="8" w:space="0"/>
              <w:left w:val="single" w:color="000000" w:sz="2" w:space="0"/>
              <w:bottom w:val="single" w:color="000000" w:sz="8" w:space="0"/>
              <w:right w:val="single" w:color="000000" w:sz="8" w:space="0"/>
            </w:tcBorders>
            <w:vAlign w:val="center"/>
          </w:tcPr>
          <w:p w14:paraId="475D118A">
            <w:pPr>
              <w:ind w:firstLine="480"/>
              <w:rPr>
                <w:rFonts w:ascii="仿宋" w:hAnsi="仿宋" w:cs="仿宋"/>
                <w:snapToGrid w:val="0"/>
                <w:kern w:val="28"/>
              </w:rPr>
            </w:pPr>
            <w:r>
              <w:rPr>
                <w:rFonts w:hint="eastAsia" w:ascii="仿宋" w:hAnsi="仿宋" w:cs="仿宋"/>
                <w:snapToGrid w:val="0"/>
                <w:kern w:val="28"/>
                <w:lang w:eastAsia="zh-CN"/>
              </w:rPr>
              <w:t>本次采购中标服务费</w:t>
            </w:r>
            <w:r>
              <w:rPr>
                <w:rFonts w:hint="eastAsia" w:ascii="仿宋" w:hAnsi="仿宋" w:cs="仿宋"/>
                <w:snapToGrid w:val="0"/>
                <w:kern w:val="28"/>
                <w:lang w:val="en-US" w:eastAsia="zh-CN"/>
              </w:rPr>
              <w:t>按中标价的1.5%</w:t>
            </w:r>
            <w:r>
              <w:rPr>
                <w:rFonts w:hint="eastAsia" w:ascii="仿宋" w:hAnsi="仿宋" w:cs="仿宋"/>
                <w:snapToGrid w:val="0"/>
                <w:kern w:val="28"/>
                <w:lang w:eastAsia="zh-CN"/>
              </w:rPr>
              <w:t>由中标人支付。</w:t>
            </w:r>
          </w:p>
        </w:tc>
      </w:tr>
      <w:tr w14:paraId="62D1E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000000" w:sz="8" w:space="0"/>
              <w:bottom w:val="single" w:color="auto" w:sz="4" w:space="0"/>
              <w:right w:val="single" w:color="000000" w:sz="2" w:space="0"/>
            </w:tcBorders>
            <w:vAlign w:val="center"/>
          </w:tcPr>
          <w:p w14:paraId="02514ED1">
            <w:pPr>
              <w:pStyle w:val="14"/>
              <w:rPr>
                <w:rFonts w:ascii="仿宋" w:hAnsi="仿宋" w:cs="仿宋"/>
                <w:b/>
                <w:bCs/>
                <w:lang w:val="en-US"/>
              </w:rPr>
            </w:pPr>
            <w:r>
              <w:rPr>
                <w:rFonts w:hint="eastAsia" w:ascii="仿宋" w:hAnsi="仿宋" w:cs="仿宋"/>
                <w:b/>
                <w:bCs/>
                <w:lang w:val="en-US"/>
              </w:rPr>
              <w:t>7</w:t>
            </w:r>
          </w:p>
        </w:tc>
        <w:tc>
          <w:tcPr>
            <w:tcW w:w="982" w:type="pct"/>
            <w:tcBorders>
              <w:top w:val="single" w:color="000000" w:sz="8" w:space="0"/>
              <w:left w:val="single" w:color="000000" w:sz="2" w:space="0"/>
              <w:bottom w:val="single" w:color="000000" w:sz="8" w:space="0"/>
              <w:right w:val="single" w:color="000000" w:sz="8" w:space="0"/>
            </w:tcBorders>
            <w:vAlign w:val="center"/>
          </w:tcPr>
          <w:p w14:paraId="49E77791">
            <w:pPr>
              <w:pStyle w:val="14"/>
              <w:rPr>
                <w:rFonts w:ascii="仿宋" w:hAnsi="仿宋" w:cs="仿宋"/>
                <w:b/>
                <w:bCs/>
                <w:szCs w:val="20"/>
                <w:lang w:val="en-US"/>
              </w:rPr>
            </w:pPr>
            <w:r>
              <w:rPr>
                <w:rFonts w:hint="eastAsia" w:ascii="仿宋" w:hAnsi="仿宋" w:cs="仿宋"/>
                <w:b/>
                <w:bCs/>
              </w:rPr>
              <w:t>特别说明</w:t>
            </w:r>
          </w:p>
        </w:tc>
        <w:tc>
          <w:tcPr>
            <w:tcW w:w="3655" w:type="pct"/>
            <w:tcBorders>
              <w:top w:val="single" w:color="000000" w:sz="8" w:space="0"/>
              <w:left w:val="single" w:color="000000" w:sz="2" w:space="0"/>
              <w:bottom w:val="single" w:color="000000" w:sz="8" w:space="0"/>
              <w:right w:val="single" w:color="000000" w:sz="8" w:space="0"/>
            </w:tcBorders>
            <w:vAlign w:val="center"/>
          </w:tcPr>
          <w:p w14:paraId="7C2146D4">
            <w:pPr>
              <w:ind w:firstLine="480"/>
              <w:rPr>
                <w:rFonts w:ascii="仿宋" w:hAnsi="仿宋" w:cs="仿宋"/>
                <w:snapToGrid w:val="0"/>
                <w:kern w:val="28"/>
              </w:rPr>
            </w:pPr>
            <w:r>
              <w:rPr>
                <w:rFonts w:hint="eastAsia" w:ascii="仿宋" w:hAnsi="仿宋" w:cs="仿宋"/>
                <w:snapToGrid w:val="0"/>
                <w:kern w:val="28"/>
              </w:rPr>
              <w:t>无</w:t>
            </w:r>
            <w:r>
              <w:rPr>
                <w:rFonts w:hint="eastAsia" w:ascii="仿宋" w:hAnsi="仿宋" w:cs="仿宋"/>
                <w:b/>
                <w:kern w:val="0"/>
              </w:rPr>
              <w:t>。</w:t>
            </w:r>
          </w:p>
        </w:tc>
      </w:tr>
      <w:bookmarkEnd w:id="6"/>
    </w:tbl>
    <w:p w14:paraId="41183B2B">
      <w:pPr>
        <w:pStyle w:val="2"/>
        <w:rPr>
          <w:rFonts w:ascii="仿宋" w:hAnsi="仿宋" w:cs="仿宋"/>
        </w:rPr>
      </w:pPr>
      <w:bookmarkStart w:id="17" w:name="_Toc21303"/>
      <w:bookmarkStart w:id="18" w:name="_Toc164416483"/>
      <w:bookmarkStart w:id="19" w:name="第三部分"/>
      <w:r>
        <w:rPr>
          <w:rFonts w:hint="eastAsia" w:ascii="仿宋" w:hAnsi="仿宋" w:cs="仿宋"/>
        </w:rPr>
        <w:t>一、总则</w:t>
      </w:r>
      <w:bookmarkEnd w:id="17"/>
    </w:p>
    <w:p w14:paraId="58A79BD1">
      <w:pPr>
        <w:pStyle w:val="4"/>
        <w:ind w:firstLine="482"/>
        <w:rPr>
          <w:rFonts w:ascii="仿宋" w:hAnsi="仿宋" w:cs="仿宋"/>
        </w:rPr>
      </w:pPr>
      <w:r>
        <w:rPr>
          <w:rFonts w:hint="eastAsia" w:ascii="仿宋" w:hAnsi="仿宋" w:cs="仿宋"/>
        </w:rPr>
        <w:t>1. 适用范围</w:t>
      </w:r>
    </w:p>
    <w:p w14:paraId="5EFA7A8D">
      <w:pPr>
        <w:ind w:firstLine="480"/>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14:paraId="6C2139D8">
      <w:pPr>
        <w:pStyle w:val="4"/>
        <w:ind w:firstLine="482"/>
        <w:rPr>
          <w:rFonts w:ascii="仿宋" w:hAnsi="仿宋" w:cs="仿宋"/>
        </w:rPr>
      </w:pPr>
      <w:r>
        <w:rPr>
          <w:rFonts w:hint="eastAsia" w:ascii="仿宋" w:hAnsi="仿宋" w:cs="仿宋"/>
        </w:rPr>
        <w:t>2. 定义</w:t>
      </w:r>
    </w:p>
    <w:p w14:paraId="33B0001D">
      <w:pPr>
        <w:ind w:firstLine="480"/>
      </w:pPr>
      <w:r>
        <w:rPr>
          <w:rFonts w:hint="eastAsia"/>
        </w:rPr>
        <w:t>2.1 “采购人”系指</w:t>
      </w:r>
      <w:r>
        <w:rPr>
          <w:rFonts w:hint="eastAsia"/>
          <w:lang w:eastAsia="zh-CN"/>
        </w:rPr>
        <w:t>慈溪市人民政府宗汉街道办事处</w:t>
      </w:r>
      <w:r>
        <w:rPr>
          <w:rFonts w:hint="eastAsia"/>
        </w:rPr>
        <w:t>。</w:t>
      </w:r>
    </w:p>
    <w:p w14:paraId="0AFA89E7">
      <w:pPr>
        <w:ind w:firstLine="480"/>
      </w:pPr>
      <w:r>
        <w:rPr>
          <w:rFonts w:hint="eastAsia"/>
        </w:rPr>
        <w:t>2.2 “采购代理机构”系指慈溪元达采购招标代理有限公司。</w:t>
      </w:r>
    </w:p>
    <w:p w14:paraId="7B44D41D">
      <w:pPr>
        <w:ind w:firstLine="480"/>
      </w:pPr>
      <w:r>
        <w:rPr>
          <w:rFonts w:hint="eastAsia"/>
        </w:rPr>
        <w:t>2.3 “投标人（或供应商）”系指是指响应招标、参加投标竞争的法人、其他组织或者自然人。</w:t>
      </w:r>
    </w:p>
    <w:p w14:paraId="159BFE59">
      <w:pPr>
        <w:ind w:firstLine="480"/>
      </w:pPr>
      <w:r>
        <w:rPr>
          <w:rFonts w:hint="eastAsia"/>
        </w:rPr>
        <w:t>2.4 “负责人”系指法人企业的法定负责人，或其他组织为法律、行政法规规定代表单位行使职权的主要负责人，或自然人本人。</w:t>
      </w:r>
    </w:p>
    <w:p w14:paraId="5F10E234">
      <w:pPr>
        <w:ind w:firstLine="480"/>
      </w:pPr>
      <w:r>
        <w:rPr>
          <w:rFonts w:hint="eastAsia"/>
        </w:rPr>
        <w:t>2.5“电子签名”系指数据电文中以电子形式所含、所附用于识别签名人身份并表明签名人认可其中内容的数据；“公章”系指单位法定名称章。</w:t>
      </w:r>
    </w:p>
    <w:p w14:paraId="5C28B5C3">
      <w:pPr>
        <w:ind w:firstLine="480"/>
      </w:pPr>
      <w:r>
        <w:rPr>
          <w:rFonts w:hint="eastAsia"/>
        </w:rPr>
        <w:t>2.6“电子交易平台”是指本项目政府采购活动所依托的政府采购云平台（https：//www.zcygov.cn/）。</w:t>
      </w:r>
    </w:p>
    <w:p w14:paraId="3D9A50CD">
      <w:pPr>
        <w:ind w:firstLine="480"/>
        <w:rPr>
          <w:rFonts w:ascii="仿宋" w:hAnsi="仿宋" w:cs="仿宋"/>
        </w:rPr>
      </w:pPr>
      <w:r>
        <w:rPr>
          <w:rFonts w:hint="eastAsia"/>
        </w:rPr>
        <w:t>2.7“★” 系指实质性要求条款，</w:t>
      </w:r>
      <w:r>
        <w:rPr>
          <w:rFonts w:hint="eastAsia" w:ascii="仿宋" w:hAnsi="仿宋" w:cs="仿宋"/>
        </w:rPr>
        <w:t>“</w:t>
      </w:r>
      <w:sdt>
        <w:sdtPr>
          <w:rPr>
            <w:rFonts w:hint="eastAsia" w:ascii="仿宋" w:hAnsi="仿宋" w:cs="仿宋"/>
          </w:rPr>
          <w:id w:val="512970236"/>
          <w14:checkbox>
            <w14:checked w14:val="1"/>
            <w14:checkedState w14:val="00FE" w14:font="Wingdings"/>
            <w14:uncheckedState w14:val="2610" w14:font="MS Gothic"/>
          </w14:checkbox>
        </w:sdtPr>
        <w:sdtEndPr>
          <w:rPr>
            <w:rFonts w:hint="eastAsia" w:ascii="仿宋" w:hAnsi="仿宋" w:cs="仿宋"/>
          </w:rPr>
        </w:sdtEndPr>
        <w:sdtContent>
          <w:r>
            <w:rPr>
              <w:rFonts w:ascii="Wingdings" w:hAnsi="Wingdings" w:cs="仿宋"/>
            </w:rPr>
            <w:t></w:t>
          </w:r>
        </w:sdtContent>
      </w:sdt>
      <w:r>
        <w:rPr>
          <w:rFonts w:hint="eastAsia" w:ascii="仿宋" w:hAnsi="仿宋" w:cs="仿宋"/>
        </w:rPr>
        <w:t>” 系指适用本项目的要求，“</w:t>
      </w:r>
      <w:sdt>
        <w:sdtPr>
          <w:rPr>
            <w:rFonts w:hint="eastAsia" w:ascii="仿宋" w:hAnsi="仿宋" w:cs="仿宋"/>
          </w:rPr>
          <w:id w:val="404888855"/>
          <w14:checkbox>
            <w14:checked w14:val="0"/>
            <w14:checkedState w14:val="00FE" w14:font="Wingdings"/>
            <w14:uncheckedState w14:val="2610" w14:font="MS Gothic"/>
          </w14:checkbox>
        </w:sdtPr>
        <w:sdtEndPr>
          <w:rPr>
            <w:rFonts w:hint="eastAsia" w:ascii="仿宋" w:hAnsi="仿宋" w:cs="仿宋"/>
          </w:rPr>
        </w:sdtEndPr>
        <w:sdtContent>
          <w:r>
            <w:rPr>
              <w:rFonts w:hint="eastAsia" w:ascii="仿宋" w:hAnsi="仿宋" w:cs="仿宋"/>
            </w:rPr>
            <w:t>☐</w:t>
          </w:r>
        </w:sdtContent>
      </w:sdt>
      <w:r>
        <w:rPr>
          <w:rFonts w:hint="eastAsia" w:ascii="仿宋" w:hAnsi="仿宋" w:cs="仿宋"/>
        </w:rPr>
        <w:t>” 系指不适用本项目的要求。</w:t>
      </w:r>
    </w:p>
    <w:p w14:paraId="42774EDC">
      <w:pPr>
        <w:pStyle w:val="4"/>
        <w:ind w:firstLine="482"/>
      </w:pPr>
      <w:r>
        <w:rPr>
          <w:rFonts w:hint="eastAsia"/>
        </w:rPr>
        <w:t>3. 采购项目需要落实的政府采购政策</w:t>
      </w:r>
    </w:p>
    <w:p w14:paraId="06A87C54">
      <w:pPr>
        <w:ind w:firstLine="480"/>
      </w:pPr>
      <w:r>
        <w:rPr>
          <w:rFonts w:hint="eastAsia"/>
        </w:rPr>
        <w:t>3.1 本项目采购本国生产的货物、工程和服务。</w:t>
      </w:r>
    </w:p>
    <w:p w14:paraId="16A448EF">
      <w:pPr>
        <w:ind w:firstLine="480"/>
      </w:pPr>
      <w:r>
        <w:rPr>
          <w:rFonts w:hint="eastAsia"/>
        </w:rPr>
        <w:t>3.2支持中小企业发展</w:t>
      </w:r>
    </w:p>
    <w:p w14:paraId="641FC416">
      <w:pPr>
        <w:ind w:firstLine="480"/>
      </w:pPr>
      <w:r>
        <w:rPr>
          <w:rFonts w:hint="eastAsia"/>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5F831E53">
      <w:pPr>
        <w:ind w:firstLine="480"/>
      </w:pPr>
      <w:r>
        <w:rPr>
          <w:rFonts w:hint="eastAsia"/>
        </w:rPr>
        <w:t>符合中小企业划分标准的个体工商户，在政府采购活动中视同中小企业。</w:t>
      </w:r>
    </w:p>
    <w:p w14:paraId="67D873ED">
      <w:pPr>
        <w:widowControl/>
        <w:spacing w:line="360" w:lineRule="auto"/>
        <w:ind w:firstLine="480" w:firstLineChars="200"/>
        <w:jc w:val="left"/>
      </w:pPr>
      <w:r>
        <w:rPr>
          <w:rFonts w:hint="eastAsia"/>
          <w:b w:val="0"/>
          <w:bCs w:val="0"/>
        </w:rPr>
        <w:t>3.2.2</w:t>
      </w:r>
      <w:r>
        <w:rPr>
          <w:rFonts w:hint="eastAsia"/>
          <w:b/>
          <w:bCs/>
        </w:rPr>
        <w:t>本项目专门面向中小企业采购，服务应由中小企业承接，即提供服务的人员为中小企业依照《中华人民共和国劳动合同法》订立劳动合同的从业人员。</w:t>
      </w:r>
    </w:p>
    <w:p w14:paraId="17DDDC90">
      <w:pPr>
        <w:ind w:firstLine="480"/>
      </w:pPr>
      <w:r>
        <w:rPr>
          <w:rFonts w:hint="eastAsia"/>
        </w:rPr>
        <w:t>3.2.3符合《关于促进残疾人就业政府采购政策的通知》（财库〔2017〕141号）规定的条件并提供《残疾人福利性单位声明函》的残疾人福利性单位视同小型、微型企业；</w:t>
      </w:r>
    </w:p>
    <w:p w14:paraId="77E0EAEB">
      <w:pPr>
        <w:ind w:firstLine="480"/>
      </w:pPr>
      <w:r>
        <w:rPr>
          <w:rFonts w:hint="eastAsia"/>
        </w:rPr>
        <w:t>3.2.4符合《关于政府采购支持监狱企业发展有关问题的通知》（财库[2014]68号）规定的监狱企业并提供由省级以上监狱管理局、戒毒管理局（含新疆生产建设兵团）出具的属于监狱企业证明文件的，视同为小型、微型企业。</w:t>
      </w:r>
    </w:p>
    <w:p w14:paraId="13DA07F1">
      <w:pPr>
        <w:ind w:firstLine="480"/>
      </w:pPr>
      <w:r>
        <w:rPr>
          <w:rFonts w:hint="eastAsia" w:ascii="Times New Roman" w:hAnsi="Times New Roman" w:cs="Times New Roman"/>
        </w:rPr>
        <w:t>3.</w:t>
      </w:r>
      <w:r>
        <w:rPr>
          <w:rFonts w:hint="eastAsia" w:ascii="Times New Roman" w:hAnsi="Times New Roman" w:cs="Times New Roman"/>
          <w:lang w:val="en-US" w:eastAsia="zh-CN"/>
        </w:rPr>
        <w:t>2.5</w:t>
      </w:r>
      <w:r>
        <w:rPr>
          <w:rFonts w:hint="eastAsia"/>
          <w:b/>
          <w:bCs/>
        </w:rPr>
        <w:t>供应商应按照</w:t>
      </w:r>
      <w:r>
        <w:rPr>
          <w:rFonts w:hint="eastAsia"/>
          <w:b/>
          <w:bCs/>
          <w:lang w:eastAsia="zh-CN"/>
        </w:rPr>
        <w:t>招标文件</w:t>
      </w:r>
      <w:r>
        <w:rPr>
          <w:rFonts w:hint="eastAsia"/>
          <w:b/>
          <w:bCs/>
        </w:rPr>
        <w:t>格式要求提供《中小企业声明函》，供应商未提供《中小企业声明函》或提供的《中小企业声明函》与实际情况不符的，响应无效</w:t>
      </w:r>
      <w:r>
        <w:rPr>
          <w:rFonts w:hint="eastAsia" w:ascii="仿宋" w:hAnsi="仿宋" w:cs="仿宋"/>
          <w:b/>
          <w:bCs/>
        </w:rPr>
        <w:t>。声明内容不实的，属于提供虚假材料谋取</w:t>
      </w:r>
      <w:r>
        <w:rPr>
          <w:rFonts w:hint="eastAsia" w:ascii="仿宋" w:hAnsi="仿宋" w:cs="仿宋"/>
          <w:b/>
          <w:bCs/>
          <w:lang w:eastAsia="zh-CN"/>
        </w:rPr>
        <w:t>中标</w:t>
      </w:r>
      <w:r>
        <w:rPr>
          <w:rFonts w:hint="eastAsia" w:ascii="仿宋" w:hAnsi="仿宋" w:cs="仿宋"/>
          <w:b/>
          <w:bCs/>
        </w:rPr>
        <w:t>，依法承担法律责任。</w:t>
      </w:r>
    </w:p>
    <w:p w14:paraId="4FCC53E5">
      <w:pPr>
        <w:pStyle w:val="4"/>
        <w:ind w:firstLine="482"/>
      </w:pPr>
      <w:r>
        <w:rPr>
          <w:rFonts w:hint="eastAsia"/>
        </w:rPr>
        <w:t>4. 询问、质疑、投诉</w:t>
      </w:r>
    </w:p>
    <w:p w14:paraId="62238268">
      <w:pPr>
        <w:ind w:firstLine="480"/>
        <w:rPr>
          <w:lang w:val="zh-CN"/>
        </w:rPr>
      </w:pPr>
      <w:r>
        <w:rPr>
          <w:rFonts w:hint="eastAsia" w:ascii="宋体" w:hAnsi="宋体" w:cs="宋体"/>
          <w:kern w:val="0"/>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B5BB6C">
      <w:pPr>
        <w:ind w:firstLine="480"/>
        <w:rPr>
          <w:lang w:val="zh-CN"/>
        </w:rPr>
      </w:pPr>
      <w:r>
        <w:rPr>
          <w:rFonts w:hint="eastAsia"/>
          <w:lang w:val="zh-CN"/>
        </w:rPr>
        <w:t>4.1供应商询问。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B601AE">
      <w:pPr>
        <w:ind w:firstLine="480"/>
        <w:rPr>
          <w:lang w:val="zh-CN"/>
        </w:rPr>
      </w:pPr>
      <w:r>
        <w:rPr>
          <w:rFonts w:hint="eastAsia"/>
          <w:lang w:val="zh-CN"/>
        </w:rPr>
        <w:t>4.2供应商质疑</w:t>
      </w:r>
    </w:p>
    <w:p w14:paraId="1CA78909">
      <w:pPr>
        <w:ind w:firstLine="480"/>
      </w:pPr>
      <w:r>
        <w:rPr>
          <w:rFonts w:hint="eastAsia"/>
          <w:lang w:val="zh-CN"/>
        </w:rPr>
        <w:t>4.2</w:t>
      </w:r>
      <w:r>
        <w:rPr>
          <w:rFonts w:hint="eastAsia"/>
        </w:rPr>
        <w:t>.1提出质疑的供应商应当是参与所质疑项目采购活动的供应商。潜在供应商已依法获取其可质疑的招标文件的，可以对该文件提出质疑。</w:t>
      </w:r>
    </w:p>
    <w:p w14:paraId="62A5BE8D">
      <w:pPr>
        <w:ind w:firstLine="480"/>
      </w:pPr>
      <w:r>
        <w:rPr>
          <w:rFonts w:hint="eastAsia"/>
          <w:lang w:val="zh-CN"/>
        </w:rPr>
        <w:t>4.2</w:t>
      </w:r>
      <w:r>
        <w:rPr>
          <w:rFonts w:hint="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34B7FC2">
      <w:pPr>
        <w:ind w:firstLine="480"/>
      </w:pPr>
      <w:r>
        <w:rPr>
          <w:rFonts w:hint="eastAsia"/>
        </w:rPr>
        <w:t>4.2.2.1对招标文件提出质疑的，质疑期限为供应商获得招标文件之日或者招标文件公告期限届满之日起计算。</w:t>
      </w:r>
    </w:p>
    <w:p w14:paraId="3E531B81">
      <w:pPr>
        <w:ind w:firstLine="480"/>
      </w:pPr>
      <w:r>
        <w:rPr>
          <w:rFonts w:hint="eastAsia"/>
        </w:rPr>
        <w:t>4.2.2.2对采购过程提出质疑的，质疑期限为各采购程序环节结束之日起计算。</w:t>
      </w:r>
    </w:p>
    <w:p w14:paraId="10FAD3C0">
      <w:pPr>
        <w:ind w:firstLine="480"/>
      </w:pPr>
      <w:r>
        <w:rPr>
          <w:rFonts w:hint="eastAsia"/>
        </w:rPr>
        <w:t>4.2.2.3对采购结果提出质疑的，质疑期限自采购结果公告期限届满之日起计算。</w:t>
      </w:r>
    </w:p>
    <w:p w14:paraId="3C7C815D">
      <w:pPr>
        <w:ind w:firstLine="480"/>
        <w:rPr>
          <w:lang w:val="zh-CN"/>
        </w:rPr>
      </w:pPr>
      <w:r>
        <w:rPr>
          <w:rFonts w:hint="eastAsia"/>
          <w:lang w:val="zh-CN"/>
        </w:rPr>
        <w:t>4.2.3</w:t>
      </w:r>
      <w:r>
        <w:rPr>
          <w:rFonts w:hint="eastAsia"/>
        </w:rPr>
        <w:t>供应商提出质疑应当提交质疑函和必要的证明材料。质疑函应当包括下列内容：</w:t>
      </w:r>
    </w:p>
    <w:p w14:paraId="7947C043">
      <w:pPr>
        <w:ind w:firstLine="480"/>
        <w:rPr>
          <w:lang w:val="zh-CN"/>
        </w:rPr>
      </w:pPr>
      <w:r>
        <w:rPr>
          <w:rFonts w:hint="eastAsia"/>
          <w:lang w:val="zh-CN"/>
        </w:rPr>
        <w:t>（</w:t>
      </w:r>
      <w:r>
        <w:rPr>
          <w:rFonts w:hint="eastAsia"/>
        </w:rPr>
        <w:t>1</w:t>
      </w:r>
      <w:r>
        <w:rPr>
          <w:rFonts w:hint="eastAsia"/>
          <w:lang w:val="zh-CN"/>
        </w:rPr>
        <w:t>）供应商的姓名或者名称、地址、邮编、联系人及联系电话；</w:t>
      </w:r>
    </w:p>
    <w:p w14:paraId="53E06332">
      <w:pPr>
        <w:ind w:firstLine="480"/>
        <w:rPr>
          <w:lang w:val="zh-CN"/>
        </w:rPr>
      </w:pPr>
      <w:r>
        <w:rPr>
          <w:rFonts w:hint="eastAsia"/>
          <w:lang w:val="zh-CN"/>
        </w:rPr>
        <w:t>（</w:t>
      </w:r>
      <w:r>
        <w:rPr>
          <w:rFonts w:hint="eastAsia"/>
        </w:rPr>
        <w:t>2</w:t>
      </w:r>
      <w:r>
        <w:rPr>
          <w:rFonts w:hint="eastAsia"/>
          <w:lang w:val="zh-CN"/>
        </w:rPr>
        <w:t>）质疑项目的名称、编号；</w:t>
      </w:r>
    </w:p>
    <w:p w14:paraId="56574133">
      <w:pPr>
        <w:ind w:firstLine="480"/>
        <w:rPr>
          <w:lang w:val="zh-CN"/>
        </w:rPr>
      </w:pPr>
      <w:r>
        <w:rPr>
          <w:rFonts w:hint="eastAsia"/>
          <w:lang w:val="zh-CN"/>
        </w:rPr>
        <w:t>（</w:t>
      </w:r>
      <w:r>
        <w:rPr>
          <w:rFonts w:hint="eastAsia"/>
        </w:rPr>
        <w:t>3</w:t>
      </w:r>
      <w:r>
        <w:rPr>
          <w:rFonts w:hint="eastAsia"/>
          <w:lang w:val="zh-CN"/>
        </w:rPr>
        <w:t>）具体、明确的质疑事项和与质疑事项相关的请求；</w:t>
      </w:r>
    </w:p>
    <w:p w14:paraId="3E6ADA16">
      <w:pPr>
        <w:ind w:firstLine="480"/>
        <w:rPr>
          <w:lang w:val="zh-CN"/>
        </w:rPr>
      </w:pPr>
      <w:r>
        <w:rPr>
          <w:rFonts w:hint="eastAsia"/>
          <w:lang w:val="zh-CN"/>
        </w:rPr>
        <w:t>（</w:t>
      </w:r>
      <w:r>
        <w:rPr>
          <w:rFonts w:hint="eastAsia"/>
        </w:rPr>
        <w:t>4</w:t>
      </w:r>
      <w:r>
        <w:rPr>
          <w:rFonts w:hint="eastAsia"/>
          <w:lang w:val="zh-CN"/>
        </w:rPr>
        <w:t>）事实依据；</w:t>
      </w:r>
    </w:p>
    <w:p w14:paraId="56AFAC37">
      <w:pPr>
        <w:ind w:firstLine="480"/>
        <w:rPr>
          <w:lang w:val="zh-CN"/>
        </w:rPr>
      </w:pPr>
      <w:r>
        <w:rPr>
          <w:rFonts w:hint="eastAsia"/>
          <w:lang w:val="zh-CN"/>
        </w:rPr>
        <w:t>（</w:t>
      </w:r>
      <w:r>
        <w:rPr>
          <w:rFonts w:hint="eastAsia"/>
        </w:rPr>
        <w:t>5</w:t>
      </w:r>
      <w:r>
        <w:rPr>
          <w:rFonts w:hint="eastAsia"/>
          <w:lang w:val="zh-CN"/>
        </w:rPr>
        <w:t>）必要的法律依据；</w:t>
      </w:r>
    </w:p>
    <w:p w14:paraId="22DBFC9D">
      <w:pPr>
        <w:ind w:firstLine="480"/>
        <w:rPr>
          <w:lang w:val="zh-CN"/>
        </w:rPr>
      </w:pPr>
      <w:r>
        <w:rPr>
          <w:rFonts w:hint="eastAsia"/>
          <w:lang w:val="zh-CN"/>
        </w:rPr>
        <w:t>（</w:t>
      </w:r>
      <w:r>
        <w:rPr>
          <w:rFonts w:hint="eastAsia"/>
        </w:rPr>
        <w:t>6</w:t>
      </w:r>
      <w:r>
        <w:rPr>
          <w:rFonts w:hint="eastAsia"/>
          <w:lang w:val="zh-CN"/>
        </w:rPr>
        <w:t>）提出质疑的日期。</w:t>
      </w:r>
    </w:p>
    <w:p w14:paraId="161594D9">
      <w:pPr>
        <w:ind w:firstLine="480"/>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51AC9EF">
      <w:pPr>
        <w:ind w:firstLine="480"/>
      </w:pPr>
      <w:r>
        <w:rPr>
          <w:rFonts w:hint="eastAsia"/>
        </w:rPr>
        <w:t>质疑函范本及制作可在“浙江政府采购网”上自行下载。</w:t>
      </w:r>
    </w:p>
    <w:p w14:paraId="4858906D">
      <w:pPr>
        <w:ind w:firstLine="480"/>
      </w:pPr>
      <w:r>
        <w:rPr>
          <w:rFonts w:hint="eastAsia"/>
          <w:lang w:val="zh-CN"/>
        </w:rPr>
        <w:t>4.2</w:t>
      </w:r>
      <w:r>
        <w:rPr>
          <w:rFonts w:hint="eastAsia"/>
        </w:rPr>
        <w:t>.4对同一采购程序环节的质疑，供应商须在法定质疑期内一次性提出。</w:t>
      </w:r>
    </w:p>
    <w:p w14:paraId="18867391">
      <w:pPr>
        <w:ind w:firstLine="480"/>
      </w:pPr>
      <w:r>
        <w:rPr>
          <w:rFonts w:hint="eastAsia"/>
        </w:rPr>
        <w:t>4.2.5采购人或者采购代理机构应当在收到供应商的书面质疑后七个工作日内作出答复，并以书面形式通知质疑供应商和其他与质疑处理结果有利害关系的政府采购当事人，但答复的内容不得涉及商业秘密。</w:t>
      </w:r>
    </w:p>
    <w:p w14:paraId="07680D67">
      <w:pPr>
        <w:ind w:firstLine="480"/>
      </w:pPr>
      <w:r>
        <w:rPr>
          <w:rFonts w:hint="eastAsia"/>
          <w:lang w:val="zh-CN"/>
        </w:rPr>
        <w:t>4.2</w:t>
      </w:r>
      <w:r>
        <w:rPr>
          <w:rFonts w:hint="eastAsia"/>
        </w:rPr>
        <w:t>.6询问或者质疑事项可能影响采购结果的，采购人应当暂停签订合同，已经签订合同的，应当中止履行合同。</w:t>
      </w:r>
    </w:p>
    <w:p w14:paraId="47D45A1A">
      <w:pPr>
        <w:ind w:firstLine="480"/>
        <w:rPr>
          <w:lang w:val="zh-CN"/>
        </w:rPr>
      </w:pPr>
      <w:r>
        <w:rPr>
          <w:rFonts w:hint="eastAsia"/>
          <w:lang w:val="zh-CN"/>
        </w:rPr>
        <w:t>4.3供应商投诉</w:t>
      </w:r>
    </w:p>
    <w:p w14:paraId="58A8200D">
      <w:pPr>
        <w:ind w:firstLine="480"/>
        <w:rPr>
          <w:lang w:val="zh-CN"/>
        </w:rPr>
      </w:pPr>
      <w:r>
        <w:rPr>
          <w:rFonts w:hint="eastAsia"/>
          <w:lang w:val="zh-CN"/>
        </w:rPr>
        <w:t>4.3.1质疑供应商对采购人、采购代理机构的答复不满意或者采购人、采购代理机构未在规定的时间内作出答复的，可以在答复期满后十五个工作日内向同级政府采购监督管理部门提出投诉。</w:t>
      </w:r>
    </w:p>
    <w:p w14:paraId="5DD7B99F">
      <w:pPr>
        <w:ind w:firstLine="480"/>
        <w:rPr>
          <w:lang w:val="zh-CN"/>
        </w:rPr>
      </w:pPr>
      <w:r>
        <w:rPr>
          <w:rFonts w:hint="eastAsia"/>
          <w:lang w:val="zh-CN"/>
        </w:rPr>
        <w:t>4.3.2供应商投诉的事项不得超出已质疑事项的范围，基于质疑答复内容提出的投诉事项除外。</w:t>
      </w:r>
    </w:p>
    <w:p w14:paraId="6105B10A">
      <w:pPr>
        <w:ind w:firstLine="480"/>
        <w:rPr>
          <w:lang w:val="zh-CN"/>
        </w:rPr>
      </w:pPr>
      <w:r>
        <w:rPr>
          <w:rFonts w:hint="eastAsia"/>
          <w:lang w:val="zh-CN"/>
        </w:rPr>
        <w:t>4.3.3供应商投诉应当有明确的请求和必要的证明材料。</w:t>
      </w:r>
    </w:p>
    <w:p w14:paraId="69B0AE6B">
      <w:pPr>
        <w:ind w:firstLine="480"/>
      </w:pPr>
      <w:r>
        <w:rPr>
          <w:rFonts w:hint="eastAsia"/>
        </w:rPr>
        <w:t>投诉书范本及制作说明可在“浙江政府采购网”上自行下载。</w:t>
      </w:r>
    </w:p>
    <w:p w14:paraId="36EC065B">
      <w:pPr>
        <w:pStyle w:val="2"/>
        <w:rPr>
          <w:rFonts w:ascii="仿宋" w:hAnsi="仿宋" w:cs="仿宋"/>
        </w:rPr>
      </w:pPr>
      <w:bookmarkStart w:id="20" w:name="_Toc1812"/>
      <w:r>
        <w:rPr>
          <w:rFonts w:hint="eastAsia" w:ascii="仿宋" w:hAnsi="仿宋" w:cs="仿宋"/>
        </w:rPr>
        <w:t>二、招标文件的构成、澄清、修改</w:t>
      </w:r>
      <w:bookmarkEnd w:id="20"/>
    </w:p>
    <w:p w14:paraId="306FC34A">
      <w:pPr>
        <w:pStyle w:val="4"/>
        <w:ind w:firstLine="482"/>
      </w:pPr>
      <w:r>
        <w:rPr>
          <w:rFonts w:hint="eastAsia"/>
        </w:rPr>
        <w:t>5．招标文件的构成</w:t>
      </w:r>
    </w:p>
    <w:p w14:paraId="19AC3859">
      <w:pPr>
        <w:ind w:firstLine="480"/>
      </w:pPr>
      <w:r>
        <w:rPr>
          <w:rFonts w:hint="eastAsia"/>
        </w:rPr>
        <w:t>5.1 招标文件包括下列文件及附件：</w:t>
      </w:r>
    </w:p>
    <w:p w14:paraId="5DD10040">
      <w:pPr>
        <w:pStyle w:val="35"/>
        <w:tabs>
          <w:tab w:val="left" w:pos="840"/>
        </w:tabs>
        <w:ind w:firstLine="960" w:firstLineChars="400"/>
        <w:rPr>
          <w:rFonts w:ascii="仿宋" w:hAnsi="仿宋" w:cs="仿宋"/>
          <w:szCs w:val="24"/>
        </w:rPr>
      </w:pPr>
      <w:r>
        <w:rPr>
          <w:rFonts w:hint="eastAsia" w:ascii="仿宋" w:hAnsi="仿宋" w:cs="仿宋"/>
          <w:szCs w:val="24"/>
        </w:rPr>
        <w:t>（1）招标公告；</w:t>
      </w:r>
    </w:p>
    <w:p w14:paraId="23E36E95">
      <w:pPr>
        <w:pStyle w:val="35"/>
        <w:tabs>
          <w:tab w:val="left" w:pos="840"/>
        </w:tabs>
        <w:ind w:firstLine="960" w:firstLineChars="400"/>
        <w:rPr>
          <w:rFonts w:ascii="仿宋" w:hAnsi="仿宋" w:cs="仿宋"/>
          <w:szCs w:val="24"/>
        </w:rPr>
      </w:pPr>
      <w:r>
        <w:rPr>
          <w:rFonts w:hint="eastAsia" w:ascii="仿宋" w:hAnsi="仿宋" w:cs="仿宋"/>
          <w:szCs w:val="24"/>
        </w:rPr>
        <w:t>（2）投标人须知；</w:t>
      </w:r>
    </w:p>
    <w:p w14:paraId="16DA1986">
      <w:pPr>
        <w:pStyle w:val="35"/>
        <w:tabs>
          <w:tab w:val="left" w:pos="840"/>
        </w:tabs>
        <w:ind w:firstLine="960" w:firstLineChars="400"/>
        <w:rPr>
          <w:rFonts w:ascii="仿宋" w:hAnsi="仿宋" w:cs="仿宋"/>
          <w:szCs w:val="24"/>
        </w:rPr>
      </w:pPr>
      <w:r>
        <w:rPr>
          <w:rFonts w:hint="eastAsia" w:ascii="仿宋" w:hAnsi="仿宋" w:cs="仿宋"/>
          <w:szCs w:val="24"/>
        </w:rPr>
        <w:t>（3）采购需求；</w:t>
      </w:r>
    </w:p>
    <w:p w14:paraId="5D22815E">
      <w:pPr>
        <w:pStyle w:val="35"/>
        <w:tabs>
          <w:tab w:val="left" w:pos="840"/>
        </w:tabs>
        <w:ind w:firstLine="960" w:firstLineChars="400"/>
        <w:rPr>
          <w:rFonts w:ascii="仿宋" w:hAnsi="仿宋" w:cs="仿宋"/>
          <w:szCs w:val="24"/>
        </w:rPr>
      </w:pPr>
      <w:r>
        <w:rPr>
          <w:rFonts w:hint="eastAsia" w:ascii="仿宋" w:hAnsi="仿宋" w:cs="仿宋"/>
          <w:szCs w:val="24"/>
        </w:rPr>
        <w:t>（4）评标办法；</w:t>
      </w:r>
    </w:p>
    <w:p w14:paraId="0A90DA57">
      <w:pPr>
        <w:pStyle w:val="35"/>
        <w:tabs>
          <w:tab w:val="left" w:pos="840"/>
        </w:tabs>
        <w:ind w:firstLine="960" w:firstLineChars="400"/>
        <w:rPr>
          <w:rFonts w:ascii="仿宋" w:hAnsi="仿宋" w:cs="仿宋"/>
          <w:szCs w:val="24"/>
        </w:rPr>
      </w:pPr>
      <w:r>
        <w:rPr>
          <w:rFonts w:hint="eastAsia" w:ascii="仿宋" w:hAnsi="仿宋" w:cs="仿宋"/>
          <w:szCs w:val="24"/>
        </w:rPr>
        <w:t>（5）拟签订的合同文本；</w:t>
      </w:r>
    </w:p>
    <w:p w14:paraId="41FE0300">
      <w:pPr>
        <w:pStyle w:val="35"/>
        <w:tabs>
          <w:tab w:val="left" w:pos="840"/>
        </w:tabs>
        <w:ind w:firstLine="960" w:firstLineChars="400"/>
        <w:rPr>
          <w:rFonts w:ascii="仿宋" w:hAnsi="仿宋" w:cs="仿宋"/>
          <w:szCs w:val="24"/>
        </w:rPr>
      </w:pPr>
      <w:r>
        <w:rPr>
          <w:rFonts w:hint="eastAsia" w:ascii="仿宋" w:hAnsi="仿宋" w:cs="仿宋"/>
        </w:rPr>
        <w:t>（6）</w:t>
      </w:r>
      <w:r>
        <w:rPr>
          <w:rFonts w:hint="eastAsia" w:ascii="仿宋" w:hAnsi="仿宋" w:cs="仿宋"/>
          <w:szCs w:val="24"/>
        </w:rPr>
        <w:t>应提交的有关格式范例。</w:t>
      </w:r>
    </w:p>
    <w:p w14:paraId="79C13271">
      <w:pPr>
        <w:ind w:firstLine="480"/>
      </w:pPr>
      <w:r>
        <w:rPr>
          <w:rFonts w:hint="eastAsia"/>
        </w:rPr>
        <w:t>5.2与本项目有关的澄清或者修改的内容为招标文件的组成部分。</w:t>
      </w:r>
    </w:p>
    <w:p w14:paraId="29BA5ED2">
      <w:pPr>
        <w:pStyle w:val="4"/>
        <w:ind w:firstLine="482"/>
      </w:pPr>
      <w:r>
        <w:rPr>
          <w:rFonts w:hint="eastAsia"/>
        </w:rPr>
        <w:t>6. 招标文件的澄清、修改</w:t>
      </w:r>
    </w:p>
    <w:p w14:paraId="21D7DDB2">
      <w:pPr>
        <w:ind w:firstLine="480"/>
      </w:pPr>
      <w:r>
        <w:rPr>
          <w:rFonts w:hint="eastAsia"/>
        </w:rPr>
        <w:t>6.1已获取招标文件的潜在投标人，若有问题需要澄清，应于投标截止时间前，以书面形式向采购代理机构提出。</w:t>
      </w:r>
    </w:p>
    <w:p w14:paraId="30C6F605">
      <w:pPr>
        <w:ind w:firstLine="480"/>
      </w:pPr>
      <w:r>
        <w:rPr>
          <w:rFonts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92D3F6">
      <w:pPr>
        <w:pStyle w:val="2"/>
        <w:rPr>
          <w:rFonts w:ascii="仿宋" w:hAnsi="仿宋" w:cs="仿宋"/>
        </w:rPr>
      </w:pPr>
      <w:bookmarkStart w:id="21" w:name="_Toc25778"/>
      <w:r>
        <w:rPr>
          <w:rFonts w:hint="eastAsia" w:ascii="仿宋" w:hAnsi="仿宋" w:cs="仿宋"/>
        </w:rPr>
        <w:t>三、投标</w:t>
      </w:r>
      <w:bookmarkEnd w:id="21"/>
    </w:p>
    <w:p w14:paraId="551FA39A">
      <w:pPr>
        <w:pStyle w:val="4"/>
        <w:ind w:firstLine="482"/>
      </w:pPr>
      <w:r>
        <w:rPr>
          <w:rFonts w:hint="eastAsia"/>
        </w:rPr>
        <w:t>7. 招标文件的获取</w:t>
      </w:r>
    </w:p>
    <w:p w14:paraId="21C289AF">
      <w:pPr>
        <w:ind w:firstLine="480"/>
        <w:rPr>
          <w:rFonts w:ascii="仿宋" w:hAnsi="仿宋" w:cs="仿宋"/>
        </w:rPr>
      </w:pPr>
      <w:r>
        <w:rPr>
          <w:rFonts w:hint="eastAsia" w:ascii="仿宋" w:hAnsi="仿宋" w:cs="仿宋"/>
          <w:lang w:eastAsia="zh-CN"/>
        </w:rPr>
        <w:t>按</w:t>
      </w:r>
      <w:r>
        <w:rPr>
          <w:rFonts w:hint="eastAsia" w:ascii="仿宋" w:hAnsi="仿宋" w:cs="仿宋"/>
        </w:rPr>
        <w:t>招标公告中“获取招标文件”。</w:t>
      </w:r>
    </w:p>
    <w:p w14:paraId="57D82EF3">
      <w:pPr>
        <w:pStyle w:val="4"/>
        <w:ind w:firstLine="482"/>
        <w:rPr>
          <w:rFonts w:ascii="仿宋" w:hAnsi="仿宋" w:cs="仿宋"/>
          <w:szCs w:val="24"/>
        </w:rPr>
      </w:pPr>
      <w:r>
        <w:rPr>
          <w:rFonts w:hint="eastAsia" w:ascii="仿宋" w:hAnsi="仿宋" w:cs="仿宋"/>
          <w:szCs w:val="24"/>
        </w:rPr>
        <w:t>8. 开标前答疑会或现场考察</w:t>
      </w:r>
    </w:p>
    <w:p w14:paraId="7D67E62A">
      <w:pPr>
        <w:ind w:firstLine="480"/>
        <w:rPr>
          <w:rFonts w:ascii="仿宋" w:hAnsi="仿宋" w:cs="仿宋"/>
        </w:rPr>
      </w:pPr>
      <w:r>
        <w:rPr>
          <w:rFonts w:hint="eastAsia" w:ascii="仿宋" w:hAnsi="仿宋" w:cs="仿宋"/>
        </w:rPr>
        <w:t>无。</w:t>
      </w:r>
    </w:p>
    <w:p w14:paraId="07EF1B17">
      <w:pPr>
        <w:pStyle w:val="4"/>
        <w:ind w:firstLine="482"/>
        <w:rPr>
          <w:rFonts w:ascii="仿宋" w:hAnsi="仿宋" w:cs="仿宋"/>
          <w:szCs w:val="24"/>
        </w:rPr>
      </w:pPr>
      <w:r>
        <w:rPr>
          <w:rFonts w:hint="eastAsia" w:ascii="仿宋" w:hAnsi="仿宋" w:cs="仿宋"/>
          <w:kern w:val="28"/>
          <w:szCs w:val="24"/>
        </w:rPr>
        <w:t>9. 投标保证金</w:t>
      </w:r>
    </w:p>
    <w:p w14:paraId="7D2524B2">
      <w:pPr>
        <w:ind w:firstLine="480"/>
        <w:rPr>
          <w:rFonts w:ascii="仿宋" w:hAnsi="仿宋" w:cs="仿宋"/>
        </w:rPr>
      </w:pPr>
      <w:r>
        <w:rPr>
          <w:rFonts w:hint="eastAsia" w:ascii="仿宋" w:hAnsi="仿宋" w:cs="仿宋"/>
        </w:rPr>
        <w:t>本项目不需缴纳投标保证金。</w:t>
      </w:r>
    </w:p>
    <w:p w14:paraId="6D6DB2F1">
      <w:pPr>
        <w:pStyle w:val="4"/>
        <w:ind w:firstLine="482"/>
      </w:pPr>
      <w:r>
        <w:rPr>
          <w:rFonts w:hint="eastAsia"/>
        </w:rPr>
        <w:t>10. 投标文件的语言</w:t>
      </w:r>
    </w:p>
    <w:p w14:paraId="3BDADD87">
      <w:pPr>
        <w:ind w:firstLine="480"/>
        <w:rPr>
          <w:rFonts w:ascii="仿宋" w:hAnsi="仿宋" w:cs="仿宋"/>
          <w:lang w:val="zh-CN"/>
        </w:rPr>
      </w:pPr>
      <w:r>
        <w:rPr>
          <w:rFonts w:hint="eastAsia" w:ascii="仿宋" w:hAnsi="仿宋" w:cs="仿宋"/>
        </w:rPr>
        <w:t>投标文件及投标人与采购有关的来往通知、函件和文件均应使用中文。</w:t>
      </w:r>
    </w:p>
    <w:p w14:paraId="20582EF0">
      <w:pPr>
        <w:pStyle w:val="4"/>
        <w:ind w:firstLine="482"/>
      </w:pPr>
      <w:r>
        <w:rPr>
          <w:rFonts w:hint="eastAsia"/>
        </w:rPr>
        <w:t>11. 投标文件的组成</w:t>
      </w:r>
    </w:p>
    <w:p w14:paraId="4778E68B">
      <w:pPr>
        <w:ind w:firstLine="480"/>
      </w:pPr>
      <w:r>
        <w:rPr>
          <w:rFonts w:hint="eastAsia"/>
        </w:rPr>
        <w:t>11.1资格文件：</w:t>
      </w:r>
    </w:p>
    <w:p w14:paraId="0D066A6F">
      <w:pPr>
        <w:snapToGrid w:val="0"/>
        <w:ind w:firstLine="960" w:firstLineChars="400"/>
        <w:rPr>
          <w:rFonts w:hint="eastAsia" w:ascii="仿宋" w:hAnsi="仿宋" w:cs="仿宋"/>
          <w:lang w:eastAsia="zh-CN"/>
        </w:rPr>
      </w:pPr>
      <w:r>
        <w:rPr>
          <w:rFonts w:hint="eastAsia"/>
          <w:lang w:eastAsia="zh-CN"/>
        </w:rPr>
        <w:t>（</w:t>
      </w:r>
      <w:r>
        <w:rPr>
          <w:rFonts w:hint="eastAsia"/>
          <w:lang w:val="en-US" w:eastAsia="zh-CN"/>
        </w:rPr>
        <w:t>1</w:t>
      </w:r>
      <w:r>
        <w:rPr>
          <w:rFonts w:hint="eastAsia"/>
          <w:lang w:eastAsia="zh-CN"/>
        </w:rPr>
        <w:t>）</w:t>
      </w:r>
      <w:r>
        <w:rPr>
          <w:rFonts w:hint="eastAsia"/>
        </w:rPr>
        <w:t>符合参加</w:t>
      </w:r>
      <w:r>
        <w:rPr>
          <w:rFonts w:hint="eastAsia" w:ascii="仿宋" w:hAnsi="仿宋" w:cs="仿宋"/>
        </w:rPr>
        <w:t>政府采购活动应当具备的一般条件的承诺函</w:t>
      </w:r>
      <w:r>
        <w:rPr>
          <w:rFonts w:hint="eastAsia" w:ascii="仿宋" w:hAnsi="仿宋" w:cs="仿宋"/>
          <w:lang w:eastAsia="zh-CN"/>
        </w:rPr>
        <w:t>；</w:t>
      </w:r>
    </w:p>
    <w:p w14:paraId="15977065">
      <w:pPr>
        <w:snapToGrid w:val="0"/>
        <w:ind w:firstLine="960" w:firstLineChars="400"/>
        <w:rPr>
          <w:rFonts w:hint="eastAsia" w:ascii="仿宋" w:hAnsi="仿宋" w:cs="仿宋"/>
          <w:lang w:eastAsia="zh-CN"/>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lang w:eastAsia="zh-CN"/>
        </w:rPr>
        <w:t>）落实政府采购政策需满足的资格要求；</w:t>
      </w:r>
    </w:p>
    <w:p w14:paraId="059CBD8B">
      <w:pPr>
        <w:ind w:firstLine="480"/>
        <w:rPr>
          <w:rFonts w:ascii="仿宋" w:hAnsi="仿宋" w:cs="仿宋"/>
          <w:lang w:val="zh-CN"/>
        </w:rPr>
      </w:pPr>
      <w:r>
        <w:rPr>
          <w:rFonts w:hint="eastAsia"/>
          <w:lang w:val="zh-CN"/>
        </w:rPr>
        <w:t>11.</w:t>
      </w:r>
      <w:r>
        <w:rPr>
          <w:rFonts w:hint="eastAsia"/>
        </w:rPr>
        <w:t>2商务技术</w:t>
      </w:r>
      <w:r>
        <w:rPr>
          <w:rFonts w:hint="eastAsia"/>
          <w:lang w:val="zh-CN"/>
        </w:rPr>
        <w:t>文</w:t>
      </w:r>
      <w:r>
        <w:rPr>
          <w:rFonts w:hint="eastAsia" w:ascii="仿宋" w:hAnsi="仿宋" w:cs="仿宋"/>
          <w:lang w:val="zh-CN"/>
        </w:rPr>
        <w:t>件：</w:t>
      </w:r>
    </w:p>
    <w:p w14:paraId="7F976775">
      <w:pPr>
        <w:snapToGrid w:val="0"/>
        <w:ind w:firstLine="960" w:firstLineChars="400"/>
      </w:pPr>
      <w:r>
        <w:rPr>
          <w:rFonts w:hint="eastAsia"/>
          <w:lang w:eastAsia="zh-CN"/>
        </w:rPr>
        <w:t>（</w:t>
      </w:r>
      <w:r>
        <w:rPr>
          <w:rFonts w:hint="eastAsia"/>
          <w:lang w:val="en-US" w:eastAsia="zh-CN"/>
        </w:rPr>
        <w:t>1</w:t>
      </w:r>
      <w:r>
        <w:rPr>
          <w:rFonts w:hint="eastAsia"/>
          <w:lang w:eastAsia="zh-CN"/>
        </w:rPr>
        <w:t>）</w:t>
      </w:r>
      <w:r>
        <w:rPr>
          <w:rFonts w:hint="eastAsia"/>
        </w:rPr>
        <w:t>投标函；</w:t>
      </w:r>
      <w:r>
        <w:rPr>
          <w:rFonts w:hint="eastAsia"/>
          <w:lang w:val="zh-CN"/>
        </w:rPr>
        <w:t xml:space="preserve"> </w:t>
      </w:r>
    </w:p>
    <w:p w14:paraId="75FC6F9C">
      <w:pPr>
        <w:snapToGrid w:val="0"/>
        <w:ind w:firstLine="960" w:firstLineChars="400"/>
      </w:pPr>
      <w:r>
        <w:rPr>
          <w:rFonts w:hint="eastAsia"/>
          <w:lang w:eastAsia="zh-CN"/>
        </w:rPr>
        <w:t>（</w:t>
      </w:r>
      <w:r>
        <w:rPr>
          <w:rFonts w:hint="eastAsia"/>
          <w:lang w:val="en-US" w:eastAsia="zh-CN"/>
        </w:rPr>
        <w:t>2</w:t>
      </w:r>
      <w:r>
        <w:rPr>
          <w:rFonts w:hint="eastAsia"/>
          <w:lang w:eastAsia="zh-CN"/>
        </w:rPr>
        <w:t>）</w:t>
      </w:r>
      <w:r>
        <w:rPr>
          <w:rFonts w:hint="eastAsia"/>
        </w:rPr>
        <w:t>授权委托书或法定代表人（单位负责人、自然人本人）身份证明；</w:t>
      </w:r>
    </w:p>
    <w:p w14:paraId="77E1B59A">
      <w:pPr>
        <w:snapToGrid w:val="0"/>
        <w:ind w:firstLine="960" w:firstLineChars="400"/>
      </w:pPr>
      <w:r>
        <w:rPr>
          <w:rFonts w:hint="eastAsia"/>
          <w:lang w:eastAsia="zh-CN"/>
        </w:rPr>
        <w:t>（</w:t>
      </w:r>
      <w:r>
        <w:rPr>
          <w:rFonts w:hint="eastAsia"/>
          <w:lang w:val="en-US" w:eastAsia="zh-CN"/>
        </w:rPr>
        <w:t>3</w:t>
      </w:r>
      <w:r>
        <w:rPr>
          <w:rFonts w:hint="eastAsia"/>
          <w:lang w:eastAsia="zh-CN"/>
        </w:rPr>
        <w:t>）</w:t>
      </w:r>
      <w:r>
        <w:rPr>
          <w:rFonts w:hint="eastAsia"/>
        </w:rPr>
        <w:t>符合性审查资料；</w:t>
      </w:r>
    </w:p>
    <w:p w14:paraId="66670AB3">
      <w:pPr>
        <w:snapToGrid w:val="0"/>
        <w:ind w:firstLine="960" w:firstLineChars="400"/>
      </w:pPr>
      <w:r>
        <w:rPr>
          <w:rFonts w:hint="eastAsia"/>
          <w:lang w:eastAsia="zh-CN"/>
        </w:rPr>
        <w:t>（</w:t>
      </w:r>
      <w:r>
        <w:rPr>
          <w:rFonts w:hint="eastAsia"/>
          <w:lang w:val="en-US" w:eastAsia="zh-CN"/>
        </w:rPr>
        <w:t>4</w:t>
      </w:r>
      <w:r>
        <w:rPr>
          <w:rFonts w:hint="eastAsia"/>
          <w:lang w:eastAsia="zh-CN"/>
        </w:rPr>
        <w:t>）</w:t>
      </w:r>
      <w:r>
        <w:rPr>
          <w:rFonts w:hint="eastAsia"/>
        </w:rPr>
        <w:t>评标标准相应的商务技术资料；</w:t>
      </w:r>
    </w:p>
    <w:p w14:paraId="5DCD8171">
      <w:pPr>
        <w:snapToGrid w:val="0"/>
        <w:ind w:firstLine="960" w:firstLineChars="400"/>
      </w:pPr>
      <w:r>
        <w:rPr>
          <w:rFonts w:hint="eastAsia"/>
          <w:lang w:eastAsia="zh-CN"/>
        </w:rPr>
        <w:t>（</w:t>
      </w:r>
      <w:r>
        <w:rPr>
          <w:rFonts w:hint="eastAsia"/>
          <w:lang w:val="en-US" w:eastAsia="zh-CN"/>
        </w:rPr>
        <w:t>5</w:t>
      </w:r>
      <w:r>
        <w:rPr>
          <w:rFonts w:hint="eastAsia"/>
          <w:lang w:eastAsia="zh-CN"/>
        </w:rPr>
        <w:t>）商务条款偏离表</w:t>
      </w:r>
      <w:r>
        <w:rPr>
          <w:rFonts w:hint="eastAsia"/>
        </w:rPr>
        <w:t>；</w:t>
      </w:r>
    </w:p>
    <w:p w14:paraId="05AD20AF">
      <w:pPr>
        <w:snapToGrid w:val="0"/>
        <w:ind w:firstLine="960" w:firstLineChars="400"/>
        <w:rPr>
          <w:lang w:val="zh-CN"/>
        </w:rPr>
      </w:pPr>
      <w:r>
        <w:rPr>
          <w:rFonts w:hint="eastAsia"/>
          <w:lang w:val="zh-CN"/>
        </w:rPr>
        <w:t>（</w:t>
      </w:r>
      <w:r>
        <w:rPr>
          <w:rFonts w:hint="eastAsia"/>
          <w:lang w:val="en-US" w:eastAsia="zh-CN"/>
        </w:rPr>
        <w:t>6</w:t>
      </w:r>
      <w:r>
        <w:rPr>
          <w:rFonts w:hint="eastAsia"/>
          <w:lang w:val="zh-CN"/>
        </w:rPr>
        <w:t>）政府采购供应商廉洁自律承诺书。</w:t>
      </w:r>
    </w:p>
    <w:p w14:paraId="09E3D7E2">
      <w:pPr>
        <w:ind w:firstLine="480"/>
        <w:rPr>
          <w:rFonts w:ascii="仿宋" w:hAnsi="仿宋" w:cs="仿宋"/>
          <w:highlight w:val="none"/>
          <w:lang w:val="zh-CN"/>
        </w:rPr>
      </w:pPr>
      <w:r>
        <w:rPr>
          <w:rFonts w:hint="eastAsia"/>
          <w:highlight w:val="none"/>
          <w:lang w:val="zh-CN"/>
        </w:rPr>
        <w:t>11.3报</w:t>
      </w:r>
      <w:r>
        <w:rPr>
          <w:rFonts w:hint="eastAsia" w:ascii="仿宋" w:hAnsi="仿宋" w:cs="仿宋"/>
          <w:highlight w:val="none"/>
        </w:rPr>
        <w:t xml:space="preserve">价文件： </w:t>
      </w:r>
    </w:p>
    <w:p w14:paraId="6557E446">
      <w:pPr>
        <w:snapToGrid w:val="0"/>
        <w:ind w:firstLine="960" w:firstLineChars="400"/>
        <w:rPr>
          <w:rFonts w:hint="eastAsia" w:ascii="仿宋" w:hAnsi="仿宋" w:cs="仿宋"/>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ascii="仿宋" w:hAnsi="仿宋" w:cs="仿宋"/>
          <w:highlight w:val="none"/>
        </w:rPr>
        <w:t>开标一览表（报价表）</w:t>
      </w:r>
    </w:p>
    <w:p w14:paraId="11C55F78">
      <w:pPr>
        <w:ind w:firstLine="723" w:firstLineChars="300"/>
        <w:rPr>
          <w:rFonts w:ascii="仿宋" w:hAnsi="仿宋" w:cs="仿宋"/>
          <w:b/>
        </w:rPr>
      </w:pPr>
      <w:r>
        <w:rPr>
          <w:rFonts w:hint="eastAsia" w:ascii="仿宋" w:hAnsi="仿宋" w:cs="仿宋"/>
          <w:b/>
        </w:rPr>
        <w:t>★投标文件含有采购人不能接受的附加条件的，投标无效；</w:t>
      </w:r>
    </w:p>
    <w:p w14:paraId="49BC7BD3">
      <w:pPr>
        <w:ind w:firstLine="723" w:firstLineChars="300"/>
        <w:rPr>
          <w:rFonts w:ascii="仿宋" w:hAnsi="仿宋" w:cs="仿宋"/>
          <w:b/>
          <w:szCs w:val="21"/>
        </w:rPr>
      </w:pPr>
      <w:r>
        <w:rPr>
          <w:rFonts w:hint="eastAsia" w:ascii="仿宋" w:hAnsi="仿宋" w:cs="仿宋"/>
          <w:b/>
        </w:rPr>
        <w:t>★投标人提供虚假材料投标的，投标无效。</w:t>
      </w:r>
    </w:p>
    <w:p w14:paraId="1983EB07">
      <w:pPr>
        <w:pStyle w:val="4"/>
        <w:ind w:firstLine="482"/>
        <w:rPr>
          <w:rFonts w:ascii="仿宋" w:hAnsi="仿宋" w:cs="仿宋"/>
          <w:szCs w:val="24"/>
        </w:rPr>
      </w:pPr>
      <w:r>
        <w:rPr>
          <w:rFonts w:hint="eastAsia" w:ascii="仿宋" w:hAnsi="仿宋" w:cs="仿宋"/>
          <w:szCs w:val="24"/>
        </w:rPr>
        <w:t>12</w:t>
      </w:r>
      <w:r>
        <w:rPr>
          <w:rFonts w:hint="eastAsia" w:ascii="仿宋" w:hAnsi="仿宋" w:cs="仿宋"/>
          <w:kern w:val="0"/>
          <w:szCs w:val="24"/>
          <w:lang w:val="zh-CN"/>
        </w:rPr>
        <w:t xml:space="preserve">. </w:t>
      </w:r>
      <w:r>
        <w:rPr>
          <w:rFonts w:hint="eastAsia" w:ascii="仿宋" w:hAnsi="仿宋" w:cs="仿宋"/>
          <w:szCs w:val="24"/>
        </w:rPr>
        <w:t>投标文件的编制</w:t>
      </w:r>
    </w:p>
    <w:p w14:paraId="03D4A512">
      <w:pPr>
        <w:ind w:firstLine="480"/>
      </w:pPr>
      <w:r>
        <w:rPr>
          <w:rFonts w:hint="eastAsia"/>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B26914D">
      <w:pPr>
        <w:ind w:firstLine="480"/>
        <w:rPr>
          <w:lang w:val="zh-CN"/>
        </w:rPr>
      </w:pPr>
      <w:r>
        <w:rPr>
          <w:rFonts w:hint="eastAsia"/>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D54C13A">
      <w:pPr>
        <w:ind w:firstLine="480"/>
        <w:rPr>
          <w:lang w:val="zh-CN"/>
        </w:rPr>
      </w:pPr>
      <w:r>
        <w:rPr>
          <w:rFonts w:hint="eastAsia"/>
          <w:lang w:val="zh-CN"/>
        </w:rPr>
        <w:t>12.3使用“政采云电子交易客户端”需要提前申领CA数字证书，申领流程请自行前往“浙江政府采购网-下载专区-电子交易客户端-CA驱动和申领流程”进行查阅。</w:t>
      </w:r>
    </w:p>
    <w:p w14:paraId="358EF1A2">
      <w:pPr>
        <w:pStyle w:val="4"/>
        <w:ind w:firstLine="482"/>
        <w:rPr>
          <w:rFonts w:ascii="仿宋" w:hAnsi="仿宋" w:cs="仿宋"/>
        </w:rPr>
      </w:pPr>
      <w:r>
        <w:rPr>
          <w:rFonts w:hint="eastAsia" w:ascii="仿宋" w:hAnsi="仿宋" w:cs="仿宋"/>
        </w:rPr>
        <w:t>13. 投标文件的签署、盖章</w:t>
      </w:r>
    </w:p>
    <w:p w14:paraId="611B0311">
      <w:pPr>
        <w:ind w:firstLine="480"/>
        <w:rPr>
          <w:rFonts w:ascii="仿宋" w:hAnsi="仿宋" w:cs="仿宋"/>
          <w:b/>
        </w:rPr>
      </w:pPr>
      <w:r>
        <w:rPr>
          <w:rFonts w:hint="eastAsia" w:ascii="仿宋" w:hAnsi="仿宋" w:cs="仿宋"/>
        </w:rPr>
        <w:t>13.1投标文件按照招标文件第六部分格式要求进行签署、盖章。</w:t>
      </w:r>
      <w:r>
        <w:rPr>
          <w:rFonts w:hint="eastAsia" w:ascii="仿宋" w:hAnsi="仿宋" w:cs="仿宋"/>
          <w:b/>
        </w:rPr>
        <w:t>★投标人的投标文件未按照招标文件要求签署、盖章的，其投标无效</w:t>
      </w:r>
      <w:r>
        <w:rPr>
          <w:rFonts w:hint="eastAsia" w:ascii="仿宋" w:hAnsi="仿宋" w:cs="仿宋"/>
        </w:rPr>
        <w:t>。</w:t>
      </w:r>
    </w:p>
    <w:p w14:paraId="67F86BD5">
      <w:pPr>
        <w:ind w:firstLine="480"/>
        <w:rPr>
          <w:rFonts w:ascii="仿宋" w:hAnsi="仿宋" w:cs="仿宋"/>
        </w:rPr>
      </w:pPr>
      <w:r>
        <w:rPr>
          <w:rFonts w:hint="eastAsia" w:ascii="仿宋" w:hAnsi="仿宋" w:cs="仿宋"/>
        </w:rPr>
        <w:t>13.2为确保网上操作合法、有效和安全，投标人应当在投标截止时间前完成在“政府采购云平台”的身份认证，确保在电子投标过程中能够对相关数据电文进行加密和使用电子签名。</w:t>
      </w:r>
    </w:p>
    <w:p w14:paraId="1C4F992A">
      <w:pPr>
        <w:ind w:firstLine="480"/>
        <w:rPr>
          <w:rFonts w:ascii="仿宋" w:hAnsi="仿宋" w:cs="仿宋"/>
        </w:rPr>
      </w:pPr>
      <w:r>
        <w:rPr>
          <w:rFonts w:hint="eastAsia" w:ascii="仿宋" w:hAnsi="仿宋" w:cs="仿宋"/>
        </w:rPr>
        <w:t>13.3招标文件对投标文件签署、盖章的要求适用于电子签名。</w:t>
      </w:r>
    </w:p>
    <w:p w14:paraId="7917A531">
      <w:pPr>
        <w:pStyle w:val="4"/>
        <w:ind w:firstLine="482"/>
      </w:pPr>
      <w:r>
        <w:rPr>
          <w:rFonts w:hint="eastAsia"/>
        </w:rPr>
        <w:t>14. 投标文件的提交、补充、修改、撤回</w:t>
      </w:r>
    </w:p>
    <w:p w14:paraId="1530F6EF">
      <w:pPr>
        <w:pStyle w:val="136"/>
        <w:snapToGrid w:val="0"/>
        <w:spacing w:before="0"/>
        <w:ind w:firstLine="480"/>
        <w:rPr>
          <w:rFonts w:ascii="仿宋" w:hAnsi="仿宋" w:cs="仿宋"/>
        </w:rPr>
      </w:pPr>
      <w:r>
        <w:rPr>
          <w:rFonts w:hint="eastAsia" w:ascii="仿宋" w:hAnsi="仿宋" w:cs="仿宋"/>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cs="仿宋"/>
          <w:b/>
          <w:bCs/>
        </w:rPr>
        <w:t>投标截止时间后递交的投标文件，电子交易平台将拒收。</w:t>
      </w:r>
    </w:p>
    <w:p w14:paraId="382A011C">
      <w:pPr>
        <w:ind w:firstLine="480"/>
        <w:rPr>
          <w:rFonts w:ascii="仿宋" w:hAnsi="仿宋" w:cs="仿宋"/>
        </w:rPr>
      </w:pPr>
      <w:r>
        <w:rPr>
          <w:rFonts w:hint="eastAsia" w:ascii="仿宋" w:hAnsi="仿宋" w:cs="仿宋"/>
        </w:rPr>
        <w:t>14.2电子交易平台收到投标文件，将妥善保存并即时向供应商发出确认回执通知。在投标截止时间前，除供应商补充、修改或者撤回投标文件外，任何单位和个人不得解密或提取投标文件。</w:t>
      </w:r>
    </w:p>
    <w:p w14:paraId="469D04F7">
      <w:pPr>
        <w:ind w:firstLine="480"/>
        <w:rPr>
          <w:rFonts w:ascii="仿宋" w:hAnsi="仿宋" w:cs="仿宋"/>
        </w:rPr>
      </w:pPr>
      <w:r>
        <w:rPr>
          <w:rFonts w:hint="eastAsia" w:ascii="仿宋" w:hAnsi="仿宋" w:cs="仿宋"/>
        </w:rPr>
        <w:t>14.3采购人、采购代理机构可以视情况延长投标文件提交的截止时间。在上述情况下，采购代理机构与投标人以前在投标截止期方面的全部权利、责任和义务，将适用于延长至新的投标截止期。</w:t>
      </w:r>
    </w:p>
    <w:p w14:paraId="496793EF">
      <w:pPr>
        <w:pStyle w:val="4"/>
        <w:ind w:firstLine="482"/>
        <w:rPr>
          <w:rFonts w:ascii="仿宋" w:hAnsi="仿宋" w:cs="仿宋"/>
        </w:rPr>
      </w:pPr>
      <w:r>
        <w:rPr>
          <w:rFonts w:hint="eastAsia" w:ascii="仿宋" w:hAnsi="仿宋" w:cs="仿宋"/>
        </w:rPr>
        <w:t>15. 备份投标文件</w:t>
      </w:r>
    </w:p>
    <w:p w14:paraId="73C5E1F6">
      <w:pPr>
        <w:pStyle w:val="35"/>
        <w:ind w:firstLine="360" w:firstLineChars="150"/>
        <w:rPr>
          <w:rFonts w:ascii="仿宋" w:hAnsi="仿宋" w:cs="仿宋"/>
          <w:b/>
          <w:szCs w:val="24"/>
        </w:rPr>
      </w:pPr>
      <w:r>
        <w:rPr>
          <w:rFonts w:hint="eastAsia" w:ascii="仿宋" w:hAnsi="仿宋" w:cs="仿宋"/>
        </w:rPr>
        <w:t xml:space="preserve"> 15.1投标人在电子交易平台传输递交投标文件后，还可以在投标截止时间前直接提</w:t>
      </w:r>
      <w:r>
        <w:rPr>
          <w:rFonts w:hint="eastAsia" w:ascii="仿宋" w:hAnsi="仿宋" w:cs="仿宋"/>
          <w:szCs w:val="24"/>
        </w:rPr>
        <w:t>交或者以邮政快递方式递交备份投标文件1份，</w:t>
      </w:r>
      <w:r>
        <w:rPr>
          <w:rFonts w:hint="eastAsia" w:ascii="仿宋" w:hAnsi="仿宋" w:cs="仿宋"/>
          <w:b/>
          <w:szCs w:val="24"/>
        </w:rPr>
        <w:t>但采购人、采购代理机构不强制或变相强制投标人提交备份投标文件。</w:t>
      </w:r>
    </w:p>
    <w:p w14:paraId="48747AE2">
      <w:pPr>
        <w:pStyle w:val="35"/>
        <w:ind w:firstLine="480"/>
        <w:rPr>
          <w:rFonts w:ascii="仿宋" w:hAnsi="仿宋" w:cs="仿宋"/>
          <w:b/>
          <w:szCs w:val="24"/>
        </w:rPr>
      </w:pPr>
      <w:r>
        <w:rPr>
          <w:rFonts w:hint="eastAsia" w:ascii="仿宋" w:hAnsi="仿宋" w:cs="仿宋"/>
        </w:rPr>
        <w:t>15.2备份投标文件须在“政采云投标客户端”制作生成，并储存在DVD光盘或U盘中。备</w:t>
      </w:r>
      <w:r>
        <w:rPr>
          <w:rFonts w:hint="eastAsia" w:ascii="仿宋" w:hAnsi="仿宋" w:cs="仿宋"/>
          <w:szCs w:val="24"/>
        </w:rPr>
        <w:t>份投标文件应当密封包装并在包装上加盖公章并注明投标项目名称，投标人名称。</w:t>
      </w:r>
      <w:r>
        <w:rPr>
          <w:rFonts w:hint="eastAsia" w:ascii="仿宋" w:hAnsi="仿宋" w:cs="仿宋"/>
          <w:b/>
        </w:rPr>
        <w:t>不符合上述制作、</w:t>
      </w:r>
      <w:r>
        <w:rPr>
          <w:rFonts w:hint="eastAsia" w:ascii="仿宋" w:hAnsi="仿宋" w:cs="仿宋"/>
          <w:b/>
          <w:szCs w:val="24"/>
        </w:rPr>
        <w:t>存储、密封规定的备份投标文件将被视为无效或者被拒绝接收。</w:t>
      </w:r>
    </w:p>
    <w:p w14:paraId="4711BD28">
      <w:pPr>
        <w:pStyle w:val="35"/>
        <w:ind w:firstLine="480"/>
        <w:rPr>
          <w:rFonts w:ascii="仿宋" w:hAnsi="仿宋" w:cs="仿宋"/>
          <w:szCs w:val="24"/>
        </w:rPr>
      </w:pPr>
      <w:r>
        <w:rPr>
          <w:rFonts w:hint="eastAsia" w:ascii="仿宋" w:hAnsi="仿宋" w:cs="仿宋"/>
        </w:rPr>
        <w:t>15.3直接提交备份投标文件的，投标人应于投标截止时间前在招标公告中载明的开</w:t>
      </w:r>
      <w:r>
        <w:rPr>
          <w:rFonts w:hint="eastAsia" w:ascii="仿宋" w:hAnsi="仿宋" w:cs="仿宋"/>
          <w:szCs w:val="24"/>
        </w:rPr>
        <w:t>标地点将备份投标文件提交给采购代理机构，</w:t>
      </w:r>
      <w:r>
        <w:rPr>
          <w:rFonts w:hint="eastAsia" w:ascii="仿宋" w:hAnsi="仿宋" w:cs="仿宋"/>
          <w:b/>
          <w:bCs/>
          <w:szCs w:val="24"/>
        </w:rPr>
        <w:t>采购代理机构将拒绝接受逾期送达的备份投标文件</w:t>
      </w:r>
      <w:r>
        <w:rPr>
          <w:rFonts w:hint="eastAsia" w:ascii="仿宋" w:hAnsi="仿宋" w:cs="仿宋"/>
          <w:szCs w:val="24"/>
        </w:rPr>
        <w:t>。</w:t>
      </w:r>
    </w:p>
    <w:p w14:paraId="7663F356">
      <w:pPr>
        <w:pStyle w:val="35"/>
        <w:ind w:firstLine="480"/>
        <w:rPr>
          <w:rFonts w:ascii="仿宋" w:hAnsi="仿宋" w:cs="仿宋"/>
          <w:szCs w:val="24"/>
        </w:rPr>
      </w:pPr>
      <w:r>
        <w:rPr>
          <w:rFonts w:hint="eastAsia" w:ascii="仿宋" w:hAnsi="仿宋" w:cs="仿宋"/>
        </w:rPr>
        <w:t>15.4以邮政快递方式递交备份投标文件的，投标人应先将备份投标文件按要求密封和标记，再进行邮政快递包装后邮寄。备份投标文件须在投标截止时间之前送达招标文</w:t>
      </w:r>
      <w:r>
        <w:rPr>
          <w:rFonts w:hint="eastAsia" w:ascii="仿宋" w:hAnsi="仿宋" w:cs="仿宋"/>
          <w:snapToGrid/>
          <w:szCs w:val="24"/>
        </w:rPr>
        <w:t>件规定的备份投标文件送达地点；</w:t>
      </w:r>
      <w:r>
        <w:rPr>
          <w:rFonts w:hint="eastAsia" w:ascii="仿宋" w:hAnsi="仿宋" w:cs="仿宋"/>
          <w:szCs w:val="24"/>
        </w:rPr>
        <w:t>送达时间以签收人签收时间为准。</w:t>
      </w:r>
      <w:r>
        <w:rPr>
          <w:rFonts w:hint="eastAsia" w:ascii="仿宋" w:hAnsi="仿宋" w:cs="仿宋"/>
          <w:b/>
          <w:bCs/>
          <w:szCs w:val="24"/>
        </w:rPr>
        <w:t>采购代理机构将拒绝接受逾期送达的备份投标文件。</w:t>
      </w:r>
      <w:r>
        <w:rPr>
          <w:rFonts w:hint="eastAsia" w:ascii="仿宋" w:hAnsi="仿宋" w:cs="仿宋"/>
          <w:szCs w:val="24"/>
        </w:rPr>
        <w:t>邮寄过程中，电子备份投标文件发生泄露、遗失、损坏或延期送达等情况的，由投标人自行负责。</w:t>
      </w:r>
    </w:p>
    <w:p w14:paraId="730AF9AD">
      <w:pPr>
        <w:pStyle w:val="35"/>
        <w:ind w:firstLine="479" w:firstLineChars="199"/>
        <w:rPr>
          <w:rFonts w:ascii="仿宋" w:hAnsi="仿宋" w:cs="仿宋"/>
          <w:b/>
          <w:szCs w:val="24"/>
        </w:rPr>
      </w:pPr>
      <w:r>
        <w:rPr>
          <w:rFonts w:hint="eastAsia" w:ascii="仿宋" w:hAnsi="仿宋" w:cs="仿宋"/>
          <w:b/>
          <w:szCs w:val="24"/>
        </w:rPr>
        <w:t>★15.5投标人仅提交备份投标文件，没有在电子交易平台传输递交投标文件的，投标无效。</w:t>
      </w:r>
    </w:p>
    <w:p w14:paraId="7CEAFF85">
      <w:pPr>
        <w:pStyle w:val="4"/>
        <w:ind w:firstLine="482"/>
        <w:rPr>
          <w:rFonts w:ascii="仿宋" w:hAnsi="仿宋" w:cs="仿宋"/>
        </w:rPr>
      </w:pPr>
      <w:r>
        <w:rPr>
          <w:rFonts w:hint="eastAsia" w:ascii="仿宋" w:hAnsi="仿宋" w:cs="仿宋"/>
        </w:rPr>
        <w:t>16. 投标文件的无效处理</w:t>
      </w:r>
    </w:p>
    <w:p w14:paraId="06BE6F7E">
      <w:pPr>
        <w:pStyle w:val="28"/>
        <w:spacing w:line="360" w:lineRule="auto"/>
        <w:ind w:firstLine="360" w:firstLineChars="150"/>
        <w:rPr>
          <w:rFonts w:ascii="仿宋" w:hAnsi="仿宋" w:cs="仿宋"/>
          <w:szCs w:val="21"/>
        </w:rPr>
      </w:pPr>
      <w:r>
        <w:rPr>
          <w:rFonts w:hint="eastAsia" w:ascii="仿宋" w:hAnsi="仿宋" w:cs="仿宋"/>
          <w:szCs w:val="21"/>
        </w:rPr>
        <w:t>有招标文件第四部分</w:t>
      </w:r>
      <w:r>
        <w:rPr>
          <w:rFonts w:hint="eastAsia" w:ascii="仿宋" w:hAnsi="仿宋" w:cs="仿宋"/>
        </w:rPr>
        <w:t>4.2规定</w:t>
      </w:r>
      <w:r>
        <w:rPr>
          <w:rFonts w:hint="eastAsia" w:ascii="仿宋" w:hAnsi="仿宋" w:cs="仿宋"/>
          <w:szCs w:val="21"/>
        </w:rPr>
        <w:t>的情形之一的，投标无效。</w:t>
      </w:r>
    </w:p>
    <w:p w14:paraId="21862292">
      <w:pPr>
        <w:pStyle w:val="4"/>
        <w:ind w:firstLine="482"/>
        <w:rPr>
          <w:rFonts w:ascii="仿宋" w:hAnsi="仿宋" w:cs="仿宋"/>
          <w:szCs w:val="24"/>
        </w:rPr>
      </w:pPr>
      <w:r>
        <w:rPr>
          <w:rFonts w:hint="eastAsia" w:ascii="仿宋" w:hAnsi="仿宋" w:cs="仿宋"/>
        </w:rPr>
        <w:t>17</w:t>
      </w:r>
      <w:r>
        <w:rPr>
          <w:rFonts w:hint="eastAsia" w:ascii="仿宋" w:hAnsi="仿宋" w:cs="仿宋"/>
          <w:szCs w:val="24"/>
        </w:rPr>
        <w:t>. 投标有效期</w:t>
      </w:r>
    </w:p>
    <w:p w14:paraId="44D4A7C3">
      <w:pPr>
        <w:rPr>
          <w:rFonts w:ascii="仿宋" w:hAnsi="仿宋" w:cs="仿宋"/>
          <w:b/>
          <w:szCs w:val="21"/>
        </w:rPr>
      </w:pPr>
      <w:r>
        <w:rPr>
          <w:rFonts w:hint="eastAsia" w:ascii="仿宋" w:hAnsi="仿宋" w:cs="仿宋"/>
          <w:b/>
          <w:bCs/>
          <w:szCs w:val="20"/>
        </w:rPr>
        <w:t>★17.1投标有效期为从提交投标文件的截止之日起90天。投标人的投标文件中承</w:t>
      </w:r>
      <w:r>
        <w:rPr>
          <w:rFonts w:hint="eastAsia" w:ascii="仿宋" w:hAnsi="仿宋" w:cs="仿宋"/>
          <w:b/>
          <w:szCs w:val="21"/>
        </w:rPr>
        <w:t>诺的投标有效期少于招标文件中载明的投标有效期的，投标无效。</w:t>
      </w:r>
    </w:p>
    <w:p w14:paraId="3ECF93B8">
      <w:pPr>
        <w:ind w:firstLine="480"/>
      </w:pPr>
      <w:r>
        <w:rPr>
          <w:rFonts w:hint="eastAsia"/>
        </w:rPr>
        <w:t>17.2投标文件合格投递后，自投标截止日期起，在投标有效期内有效。</w:t>
      </w:r>
    </w:p>
    <w:p w14:paraId="4F8A0523">
      <w:pPr>
        <w:ind w:firstLine="480"/>
      </w:pPr>
      <w:r>
        <w:rPr>
          <w:rFonts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43F073D5">
      <w:pPr>
        <w:pStyle w:val="2"/>
        <w:rPr>
          <w:rFonts w:ascii="仿宋" w:hAnsi="仿宋" w:cs="仿宋"/>
        </w:rPr>
      </w:pPr>
      <w:bookmarkStart w:id="22" w:name="_Toc5674"/>
      <w:r>
        <w:rPr>
          <w:rFonts w:hint="eastAsia" w:ascii="仿宋" w:hAnsi="仿宋" w:cs="仿宋"/>
        </w:rPr>
        <w:t>四、开标、资格审查与信用信息查询</w:t>
      </w:r>
      <w:bookmarkEnd w:id="22"/>
    </w:p>
    <w:p w14:paraId="3F546412">
      <w:pPr>
        <w:pStyle w:val="4"/>
        <w:ind w:firstLine="482"/>
        <w:rPr>
          <w:rFonts w:ascii="仿宋" w:hAnsi="仿宋" w:cs="仿宋"/>
        </w:rPr>
      </w:pPr>
      <w:r>
        <w:rPr>
          <w:rFonts w:hint="eastAsia" w:ascii="仿宋" w:hAnsi="仿宋" w:cs="仿宋"/>
          <w:szCs w:val="24"/>
        </w:rPr>
        <w:t>18. 开标</w:t>
      </w:r>
      <w:r>
        <w:rPr>
          <w:rFonts w:hint="eastAsia" w:ascii="仿宋" w:hAnsi="仿宋" w:cs="仿宋"/>
        </w:rPr>
        <w:t xml:space="preserve"> </w:t>
      </w:r>
    </w:p>
    <w:p w14:paraId="79B32DE2">
      <w:pPr>
        <w:ind w:firstLine="480"/>
      </w:pPr>
      <w:r>
        <w:rPr>
          <w:rFonts w:hint="eastAsia"/>
        </w:rPr>
        <w:t>18.1采购代理机构按照招标文件规定的时间通过电子交易平台组织开标，所有投标人均应当准时在线参加。</w:t>
      </w:r>
      <w:r>
        <w:rPr>
          <w:rFonts w:hint="eastAsia"/>
          <w:b/>
          <w:bCs/>
        </w:rPr>
        <w:t>投标人不足3家的，不得开标。</w:t>
      </w:r>
    </w:p>
    <w:p w14:paraId="29A2F9CC">
      <w:pPr>
        <w:ind w:firstLine="480"/>
      </w:pPr>
      <w:r>
        <w:rPr>
          <w:rFonts w:hint="eastAsia"/>
        </w:rPr>
        <w:t>18.2开标时，电子交易平台按开标时间自动提取所有投标文件。采购代理机构依托电子交易平台发起开始解密指令，投标人按照平台提示和招标文件的规定在半小时内完成在线解密。</w:t>
      </w:r>
    </w:p>
    <w:p w14:paraId="0A0DA4A0">
      <w:pPr>
        <w:pStyle w:val="562"/>
        <w:spacing w:before="0" w:line="360" w:lineRule="auto"/>
        <w:ind w:left="0" w:firstLine="240" w:firstLineChars="100"/>
        <w:contextualSpacing/>
        <w:rPr>
          <w:rFonts w:ascii="仿宋" w:hAnsi="仿宋" w:eastAsia="仿宋" w:cs="仿宋"/>
          <w:b/>
          <w:sz w:val="24"/>
          <w:szCs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56B6B28E">
      <w:pPr>
        <w:pStyle w:val="4"/>
        <w:ind w:firstLine="482"/>
      </w:pPr>
      <w:r>
        <w:rPr>
          <w:rFonts w:hint="eastAsia"/>
        </w:rPr>
        <w:t>19、资格审查</w:t>
      </w:r>
    </w:p>
    <w:p w14:paraId="3D0818A8">
      <w:pPr>
        <w:ind w:firstLine="480"/>
      </w:pPr>
      <w:r>
        <w:rPr>
          <w:rFonts w:hint="eastAsia"/>
        </w:rPr>
        <w:t>19.1开标后，采购人或采购代理机构将依法对投标人的资格进行审查。</w:t>
      </w:r>
    </w:p>
    <w:p w14:paraId="4277E552">
      <w:pPr>
        <w:ind w:firstLine="480"/>
      </w:pPr>
      <w:r>
        <w:rPr>
          <w:rFonts w:hint="eastAsia"/>
        </w:rPr>
        <w:t>19.2采购人或采购代理机构依据法律法规和招标文件的规定，对投标人的基本资格条件、</w:t>
      </w:r>
      <w:r>
        <w:rPr>
          <w:rFonts w:hint="eastAsia" w:ascii="仿宋" w:hAnsi="仿宋" w:cs="仿宋"/>
          <w:snapToGrid w:val="0"/>
          <w:kern w:val="28"/>
          <w:szCs w:val="20"/>
        </w:rPr>
        <w:t>落实政府采购政策需满足的资格要求、</w:t>
      </w:r>
      <w:r>
        <w:rPr>
          <w:rFonts w:hint="eastAsia"/>
        </w:rPr>
        <w:t>特定资格条件进行审查。</w:t>
      </w:r>
    </w:p>
    <w:p w14:paraId="2D5135CD">
      <w:pPr>
        <w:rPr>
          <w:b/>
          <w:bCs/>
        </w:rPr>
      </w:pPr>
      <w:r>
        <w:rPr>
          <w:rFonts w:hint="eastAsia"/>
          <w:b/>
          <w:bCs/>
        </w:rPr>
        <w:t>19.3投标人未按照招标文件要求提供与基本资格条件、落实政府采购政策需满足的资格要求、特定资格条件相应的有效资格证明材料的，视为投标人不具备招标文件中规定的资格要求，其投标无效。本项目资格审查内容如下：</w:t>
      </w:r>
    </w:p>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3550"/>
        <w:gridCol w:w="4437"/>
      </w:tblGrid>
      <w:tr w14:paraId="0B60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14:paraId="05A3D7E5">
            <w:pPr>
              <w:pStyle w:val="14"/>
              <w:jc w:val="center"/>
              <w:rPr>
                <w:rFonts w:hint="eastAsia" w:ascii="仿宋" w:hAnsi="仿宋" w:eastAsia="仿宋" w:cs="仿宋"/>
                <w:b/>
                <w:bCs/>
                <w:lang w:val="en-US"/>
              </w:rPr>
            </w:pPr>
            <w:r>
              <w:rPr>
                <w:rFonts w:hint="eastAsia" w:ascii="仿宋" w:hAnsi="仿宋" w:eastAsia="仿宋" w:cs="仿宋"/>
                <w:b/>
                <w:bCs/>
                <w:lang w:val="en-US"/>
              </w:rPr>
              <w:t>资格条件</w:t>
            </w:r>
          </w:p>
        </w:tc>
        <w:tc>
          <w:tcPr>
            <w:tcW w:w="1921" w:type="pct"/>
            <w:vAlign w:val="center"/>
          </w:tcPr>
          <w:p w14:paraId="78CCB132">
            <w:pPr>
              <w:pStyle w:val="14"/>
              <w:jc w:val="center"/>
              <w:rPr>
                <w:rFonts w:hint="eastAsia" w:ascii="仿宋" w:hAnsi="仿宋" w:eastAsia="仿宋" w:cs="仿宋"/>
                <w:b/>
                <w:bCs/>
                <w:lang w:val="en-US"/>
              </w:rPr>
            </w:pPr>
            <w:r>
              <w:rPr>
                <w:rFonts w:hint="eastAsia" w:ascii="仿宋" w:hAnsi="仿宋" w:cs="仿宋"/>
                <w:b/>
                <w:bCs/>
                <w:lang w:val="en-US" w:eastAsia="zh-CN"/>
              </w:rPr>
              <w:t>招标文件</w:t>
            </w:r>
            <w:r>
              <w:rPr>
                <w:rFonts w:hint="eastAsia" w:ascii="仿宋" w:hAnsi="仿宋" w:eastAsia="仿宋" w:cs="仿宋"/>
                <w:b/>
                <w:bCs/>
                <w:lang w:val="en-US"/>
              </w:rPr>
              <w:t>要求</w:t>
            </w:r>
          </w:p>
        </w:tc>
        <w:tc>
          <w:tcPr>
            <w:tcW w:w="2401" w:type="pct"/>
            <w:vAlign w:val="center"/>
          </w:tcPr>
          <w:p w14:paraId="472A0613">
            <w:pPr>
              <w:pStyle w:val="14"/>
              <w:jc w:val="center"/>
              <w:rPr>
                <w:rFonts w:hint="eastAsia" w:ascii="仿宋" w:hAnsi="仿宋" w:eastAsia="仿宋" w:cs="仿宋"/>
                <w:b/>
                <w:bCs/>
                <w:lang w:val="en-US"/>
              </w:rPr>
            </w:pPr>
            <w:r>
              <w:rPr>
                <w:rFonts w:hint="eastAsia" w:ascii="仿宋" w:hAnsi="仿宋" w:eastAsia="仿宋" w:cs="仿宋"/>
                <w:b/>
                <w:bCs/>
                <w:lang w:val="en-US"/>
              </w:rPr>
              <w:t>审查资料</w:t>
            </w:r>
          </w:p>
        </w:tc>
      </w:tr>
      <w:tr w14:paraId="6F0B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76" w:type="pct"/>
            <w:vMerge w:val="restart"/>
            <w:vAlign w:val="center"/>
          </w:tcPr>
          <w:p w14:paraId="56C7C374">
            <w:pPr>
              <w:pStyle w:val="14"/>
              <w:rPr>
                <w:rFonts w:hint="eastAsia" w:ascii="仿宋" w:hAnsi="仿宋" w:eastAsia="仿宋" w:cs="仿宋"/>
                <w:b/>
                <w:bCs/>
                <w:lang w:val="en-US"/>
              </w:rPr>
            </w:pPr>
            <w:r>
              <w:rPr>
                <w:rFonts w:hint="eastAsia" w:ascii="仿宋" w:hAnsi="仿宋" w:eastAsia="仿宋" w:cs="仿宋"/>
                <w:b/>
                <w:bCs/>
              </w:rPr>
              <w:t>基本资格条件</w:t>
            </w:r>
          </w:p>
        </w:tc>
        <w:tc>
          <w:tcPr>
            <w:tcW w:w="1921" w:type="pct"/>
            <w:vAlign w:val="center"/>
          </w:tcPr>
          <w:p w14:paraId="00FA5750">
            <w:pPr>
              <w:bidi w:val="0"/>
              <w:jc w:val="both"/>
              <w:rPr>
                <w:rFonts w:hint="eastAsia" w:ascii="仿宋" w:hAnsi="仿宋" w:eastAsia="仿宋" w:cs="仿宋"/>
                <w:b/>
                <w:bCs/>
                <w:lang w:val="en-US"/>
              </w:rPr>
            </w:pPr>
            <w:r>
              <w:rPr>
                <w:rFonts w:hint="eastAsia" w:ascii="仿宋" w:hAnsi="仿宋" w:eastAsia="仿宋" w:cs="仿宋"/>
                <w:b/>
                <w:bCs/>
                <w:lang w:val="en-US" w:eastAsia="zh-CN"/>
              </w:rPr>
              <w:t>满足</w:t>
            </w:r>
            <w:r>
              <w:rPr>
                <w:rFonts w:hint="eastAsia" w:ascii="仿宋" w:hAnsi="仿宋" w:eastAsia="仿宋" w:cs="仿宋"/>
                <w:b/>
                <w:bCs/>
                <w:snapToGrid w:val="0"/>
                <w:kern w:val="28"/>
                <w:szCs w:val="20"/>
              </w:rPr>
              <w:t>《中华人民共和国政府采购法》第二十二条规定</w:t>
            </w:r>
          </w:p>
        </w:tc>
        <w:tc>
          <w:tcPr>
            <w:tcW w:w="2401" w:type="pct"/>
          </w:tcPr>
          <w:p w14:paraId="605727E8">
            <w:pPr>
              <w:bidi w:val="0"/>
              <w:jc w:val="both"/>
              <w:rPr>
                <w:rFonts w:hint="eastAsia" w:ascii="仿宋" w:hAnsi="仿宋" w:eastAsia="仿宋" w:cs="仿宋"/>
                <w:b/>
                <w:bCs/>
                <w:lang w:val="en-US"/>
              </w:rPr>
            </w:pPr>
            <w:r>
              <w:rPr>
                <w:rFonts w:hint="eastAsia" w:ascii="仿宋" w:hAnsi="仿宋" w:eastAsia="仿宋" w:cs="仿宋"/>
                <w:b/>
                <w:bCs/>
                <w:lang w:val="en-US"/>
              </w:rPr>
              <w:t>《</w:t>
            </w:r>
            <w:r>
              <w:rPr>
                <w:rFonts w:hint="eastAsia" w:ascii="仿宋" w:hAnsi="仿宋" w:eastAsia="仿宋" w:cs="仿宋"/>
                <w:b/>
                <w:bCs/>
                <w:snapToGrid w:val="0"/>
                <w:kern w:val="28"/>
                <w:szCs w:val="20"/>
                <w:lang w:val="en-US"/>
              </w:rPr>
              <w:t>符合</w:t>
            </w:r>
            <w:r>
              <w:rPr>
                <w:rFonts w:hint="eastAsia" w:ascii="仿宋" w:hAnsi="仿宋" w:eastAsia="仿宋" w:cs="仿宋"/>
                <w:b/>
                <w:bCs/>
                <w:lang w:val="en-US"/>
              </w:rPr>
              <w:t>参加政府采购活动应当具备的一般条件的承诺函》</w:t>
            </w:r>
          </w:p>
        </w:tc>
      </w:tr>
      <w:tr w14:paraId="30CD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76" w:type="pct"/>
            <w:vMerge w:val="continue"/>
            <w:vAlign w:val="center"/>
          </w:tcPr>
          <w:p w14:paraId="08512960">
            <w:pPr>
              <w:pStyle w:val="14"/>
              <w:jc w:val="left"/>
              <w:rPr>
                <w:rFonts w:hint="eastAsia" w:ascii="仿宋" w:hAnsi="仿宋" w:eastAsia="仿宋" w:cs="仿宋"/>
                <w:b/>
                <w:bCs/>
              </w:rPr>
            </w:pPr>
          </w:p>
        </w:tc>
        <w:tc>
          <w:tcPr>
            <w:tcW w:w="1921" w:type="pct"/>
            <w:vAlign w:val="center"/>
          </w:tcPr>
          <w:p w14:paraId="1F69E284">
            <w:pPr>
              <w:bidi w:val="0"/>
              <w:jc w:val="both"/>
              <w:rPr>
                <w:rFonts w:hint="eastAsia" w:ascii="仿宋" w:hAnsi="仿宋" w:eastAsia="仿宋" w:cs="仿宋"/>
                <w:b/>
                <w:bCs/>
              </w:rPr>
            </w:pPr>
            <w:r>
              <w:rPr>
                <w:rFonts w:hint="eastAsia" w:ascii="仿宋" w:hAnsi="仿宋" w:eastAsia="仿宋" w:cs="仿宋"/>
                <w:b/>
                <w:bCs/>
                <w:snapToGrid w:val="0"/>
                <w:kern w:val="28"/>
                <w:szCs w:val="20"/>
              </w:rPr>
              <w:t>未被“信用中国”（www.creditchina.gov.cn)、中国政府采购网（www.ccgp.gov.cn）列入失信被执行人、重大税收违法案件当事人名单、政府采购严重违法失信行为记录名单。</w:t>
            </w:r>
          </w:p>
        </w:tc>
        <w:tc>
          <w:tcPr>
            <w:tcW w:w="2401" w:type="pct"/>
          </w:tcPr>
          <w:p w14:paraId="3DFF39C6">
            <w:pPr>
              <w:bidi w:val="0"/>
              <w:jc w:val="both"/>
              <w:rPr>
                <w:rFonts w:hint="eastAsia" w:ascii="仿宋" w:hAnsi="仿宋" w:eastAsia="仿宋" w:cs="仿宋"/>
                <w:b/>
                <w:bCs/>
                <w:lang w:val="en-US"/>
              </w:rPr>
            </w:pPr>
            <w:r>
              <w:rPr>
                <w:rFonts w:hint="eastAsia" w:ascii="仿宋" w:hAnsi="仿宋" w:eastAsia="仿宋" w:cs="仿宋"/>
                <w:b/>
                <w:bCs/>
                <w:lang w:val="en-US"/>
              </w:rPr>
              <w:t>在</w:t>
            </w:r>
            <w:r>
              <w:rPr>
                <w:rFonts w:hint="eastAsia" w:ascii="仿宋" w:hAnsi="仿宋" w:eastAsia="仿宋" w:cs="仿宋"/>
                <w:b/>
                <w:bCs/>
                <w:snapToGrid w:val="0"/>
                <w:kern w:val="28"/>
                <w:szCs w:val="20"/>
              </w:rPr>
              <w:t>“信用中国”（www.creditchina.gov.cn)、中国政府采购网（www.ccgp.gov.cn）</w:t>
            </w:r>
            <w:r>
              <w:rPr>
                <w:rFonts w:hint="eastAsia" w:ascii="仿宋" w:hAnsi="仿宋" w:eastAsia="仿宋" w:cs="仿宋"/>
                <w:b/>
                <w:bCs/>
                <w:snapToGrid w:val="0"/>
                <w:kern w:val="28"/>
                <w:szCs w:val="20"/>
                <w:lang w:val="en-US"/>
              </w:rPr>
              <w:t>上</w:t>
            </w:r>
            <w:r>
              <w:rPr>
                <w:rFonts w:hint="eastAsia" w:ascii="仿宋" w:hAnsi="仿宋" w:eastAsia="仿宋" w:cs="仿宋"/>
                <w:b/>
                <w:bCs/>
                <w:lang w:val="en-US"/>
              </w:rPr>
              <w:t>查询供应商是否被列入失信被执行人、重大税收违法案件当事人名单、政府采购严重违法失信行为记录名单，</w:t>
            </w:r>
            <w:r>
              <w:rPr>
                <w:rFonts w:hint="eastAsia" w:ascii="仿宋" w:hAnsi="仿宋" w:cs="仿宋"/>
                <w:b/>
                <w:bCs/>
                <w:highlight w:val="none"/>
                <w:lang w:val="en-US" w:eastAsia="zh-CN"/>
              </w:rPr>
              <w:t>投标文件</w:t>
            </w:r>
            <w:r>
              <w:rPr>
                <w:rFonts w:hint="eastAsia" w:ascii="仿宋" w:hAnsi="仿宋" w:eastAsia="仿宋" w:cs="仿宋"/>
                <w:b/>
                <w:bCs/>
                <w:highlight w:val="none"/>
                <w:lang w:val="en-US"/>
              </w:rPr>
              <w:t>中无须上传相关查询结果。</w:t>
            </w:r>
          </w:p>
        </w:tc>
      </w:tr>
      <w:tr w14:paraId="49F3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tcPr>
          <w:p w14:paraId="7E3FD8D7">
            <w:pPr>
              <w:pStyle w:val="14"/>
              <w:rPr>
                <w:rFonts w:hint="eastAsia" w:ascii="仿宋" w:hAnsi="仿宋" w:eastAsia="仿宋" w:cs="仿宋"/>
                <w:b/>
                <w:bCs/>
                <w:lang w:val="en-US"/>
              </w:rPr>
            </w:pPr>
            <w:r>
              <w:rPr>
                <w:rFonts w:hint="eastAsia" w:ascii="仿宋" w:hAnsi="仿宋" w:eastAsia="仿宋" w:cs="仿宋"/>
                <w:b/>
                <w:bCs/>
                <w:snapToGrid w:val="0"/>
                <w:kern w:val="28"/>
                <w:szCs w:val="20"/>
              </w:rPr>
              <w:t>落实政府采购政策需满足的资格要求</w:t>
            </w:r>
          </w:p>
        </w:tc>
        <w:tc>
          <w:tcPr>
            <w:tcW w:w="1921" w:type="pct"/>
            <w:vAlign w:val="center"/>
          </w:tcPr>
          <w:p w14:paraId="29297CB3">
            <w:pPr>
              <w:bidi w:val="0"/>
              <w:jc w:val="both"/>
              <w:rPr>
                <w:rFonts w:hint="eastAsia" w:ascii="仿宋" w:hAnsi="仿宋" w:eastAsia="仿宋" w:cs="仿宋"/>
                <w:b/>
                <w:bCs/>
                <w:lang w:val="en-US" w:eastAsia="zh-CN"/>
              </w:rPr>
            </w:pPr>
            <w:r>
              <w:rPr>
                <w:rFonts w:hint="eastAsia" w:ascii="仿宋" w:hAnsi="仿宋" w:eastAsia="仿宋" w:cs="仿宋"/>
                <w:b/>
                <w:bCs/>
                <w:lang w:val="en-US" w:eastAsia="zh-CN"/>
              </w:rPr>
              <w:t>本项目专门面向中、小企业采购。</w:t>
            </w:r>
          </w:p>
        </w:tc>
        <w:tc>
          <w:tcPr>
            <w:tcW w:w="2401" w:type="pct"/>
            <w:vAlign w:val="center"/>
          </w:tcPr>
          <w:p w14:paraId="74DB18D7">
            <w:pPr>
              <w:bidi w:val="0"/>
              <w:jc w:val="both"/>
              <w:rPr>
                <w:rFonts w:hint="eastAsia" w:ascii="仿宋" w:hAnsi="仿宋" w:eastAsia="仿宋" w:cs="仿宋"/>
                <w:b/>
                <w:bCs/>
                <w:lang w:val="en-US" w:eastAsia="zh-CN"/>
              </w:rPr>
            </w:pPr>
            <w:r>
              <w:rPr>
                <w:rFonts w:hint="eastAsia" w:ascii="仿宋" w:hAnsi="仿宋" w:eastAsia="仿宋" w:cs="仿宋"/>
                <w:b/>
                <w:bCs/>
                <w:lang w:val="en-US" w:eastAsia="zh-CN"/>
              </w:rPr>
              <w:t>《中小企业声明函》</w:t>
            </w:r>
          </w:p>
        </w:tc>
      </w:tr>
      <w:tr w14:paraId="2C6D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14:paraId="25BF8965">
            <w:pPr>
              <w:pStyle w:val="14"/>
              <w:rPr>
                <w:rFonts w:hint="eastAsia" w:ascii="仿宋" w:hAnsi="仿宋" w:eastAsia="仿宋" w:cs="仿宋"/>
                <w:b/>
                <w:bCs/>
                <w:lang w:val="en-US"/>
              </w:rPr>
            </w:pPr>
            <w:r>
              <w:rPr>
                <w:rFonts w:hint="eastAsia" w:ascii="仿宋" w:hAnsi="仿宋" w:eastAsia="仿宋" w:cs="仿宋"/>
                <w:b/>
                <w:bCs/>
              </w:rPr>
              <w:t>特定资格条件</w:t>
            </w:r>
          </w:p>
        </w:tc>
        <w:tc>
          <w:tcPr>
            <w:tcW w:w="1921" w:type="pct"/>
            <w:vAlign w:val="center"/>
          </w:tcPr>
          <w:p w14:paraId="16CBFD46">
            <w:pPr>
              <w:bidi w:val="0"/>
              <w:jc w:val="both"/>
              <w:rPr>
                <w:rFonts w:hint="eastAsia" w:ascii="仿宋" w:hAnsi="仿宋" w:eastAsia="仿宋" w:cs="仿宋"/>
                <w:b/>
                <w:bCs/>
                <w:lang w:val="en-US" w:eastAsia="zh-CN"/>
              </w:rPr>
            </w:pPr>
            <w:r>
              <w:rPr>
                <w:rFonts w:hint="eastAsia" w:ascii="仿宋" w:hAnsi="仿宋" w:cs="仿宋"/>
                <w:b/>
                <w:bCs/>
                <w:lang w:val="en-US" w:eastAsia="zh-CN"/>
              </w:rPr>
              <w:t>无。</w:t>
            </w:r>
          </w:p>
        </w:tc>
        <w:tc>
          <w:tcPr>
            <w:tcW w:w="2401" w:type="pct"/>
            <w:shd w:val="clear" w:color="auto" w:fill="auto"/>
            <w:vAlign w:val="center"/>
          </w:tcPr>
          <w:p w14:paraId="1E884B49">
            <w:pPr>
              <w:bidi w:val="0"/>
              <w:jc w:val="both"/>
              <w:rPr>
                <w:rFonts w:hint="default" w:ascii="仿宋" w:hAnsi="仿宋" w:eastAsia="仿宋" w:cs="仿宋"/>
                <w:b/>
                <w:bCs/>
                <w:color w:val="595959"/>
                <w:kern w:val="20"/>
                <w:sz w:val="24"/>
                <w:szCs w:val="24"/>
                <w:lang w:val="en-US" w:eastAsia="zh-CN" w:bidi="ar-SA"/>
              </w:rPr>
            </w:pPr>
            <w:r>
              <w:rPr>
                <w:rFonts w:hint="eastAsia" w:ascii="仿宋" w:hAnsi="仿宋" w:cs="仿宋"/>
                <w:b/>
                <w:bCs/>
                <w:color w:val="595959"/>
                <w:kern w:val="20"/>
                <w:sz w:val="24"/>
                <w:szCs w:val="24"/>
                <w:lang w:val="en-US" w:eastAsia="zh-CN" w:bidi="ar-SA"/>
              </w:rPr>
              <w:t>无。</w:t>
            </w:r>
          </w:p>
        </w:tc>
      </w:tr>
    </w:tbl>
    <w:p w14:paraId="580DC3D3">
      <w:pPr>
        <w:ind w:firstLine="480"/>
      </w:pPr>
      <w:r>
        <w:rPr>
          <w:rFonts w:hint="eastAsia"/>
        </w:rPr>
        <w:t>19.4对未通过资格审查的投标人，采购人或采购代理机构告知其未通过的原因。</w:t>
      </w:r>
    </w:p>
    <w:p w14:paraId="62CB3A46">
      <w:pPr>
        <w:ind w:firstLine="480"/>
      </w:pPr>
      <w:r>
        <w:rPr>
          <w:rFonts w:hint="eastAsia"/>
        </w:rPr>
        <w:t>19.5合格投标人不足3家的，不再评标。</w:t>
      </w:r>
    </w:p>
    <w:p w14:paraId="38BB59BA">
      <w:pPr>
        <w:pStyle w:val="4"/>
        <w:ind w:firstLine="482"/>
      </w:pPr>
      <w:r>
        <w:rPr>
          <w:rFonts w:hint="eastAsia"/>
        </w:rPr>
        <w:t>20、信用信息查询</w:t>
      </w:r>
    </w:p>
    <w:p w14:paraId="0CFD0BA3">
      <w:pPr>
        <w:ind w:firstLine="480"/>
      </w:pPr>
      <w:r>
        <w:rPr>
          <w:rFonts w:hint="eastAsia"/>
        </w:rPr>
        <w:t>20.1信用信息查询渠道及截止时间：采购代理机构将通过“信用中国”网站(www.creditchina.gov.cn)、中国政府采购网(www.ccgp.gov.cn)渠道查询投标人投标截止时间当天的信用记录。</w:t>
      </w:r>
    </w:p>
    <w:p w14:paraId="110A346E">
      <w:pPr>
        <w:ind w:firstLine="480"/>
      </w:pPr>
      <w:r>
        <w:rPr>
          <w:rFonts w:hint="eastAsia"/>
        </w:rPr>
        <w:t>20.2信用信息查询记录和证据留存的具体方式：现场查询的投标人的信用记录、查询结果经确认后将与采购文件一起存档。</w:t>
      </w:r>
    </w:p>
    <w:p w14:paraId="69179B96">
      <w:pPr>
        <w:ind w:firstLine="480"/>
      </w:pPr>
      <w:r>
        <w:rPr>
          <w:rFonts w:hint="eastAsia"/>
        </w:rPr>
        <w:t>20.3信用信息的使用规则：经查询列入失信被执行人名单、重大税收违法案件当事人名单、政府采购严重违法失信行为记录名单的投标人将被拒绝参与政府采购活动。</w:t>
      </w:r>
    </w:p>
    <w:p w14:paraId="6DDACF46">
      <w:pPr>
        <w:pStyle w:val="2"/>
        <w:rPr>
          <w:rFonts w:ascii="仿宋" w:hAnsi="仿宋" w:cs="仿宋"/>
        </w:rPr>
      </w:pPr>
      <w:bookmarkStart w:id="23" w:name="_Toc16636"/>
      <w:r>
        <w:rPr>
          <w:rFonts w:hint="eastAsia" w:ascii="仿宋" w:hAnsi="仿宋" w:cs="仿宋"/>
        </w:rPr>
        <w:t>五、评标</w:t>
      </w:r>
      <w:bookmarkEnd w:id="23"/>
    </w:p>
    <w:p w14:paraId="25A193BB">
      <w:pPr>
        <w:ind w:firstLine="480"/>
      </w:pPr>
      <w:bookmarkStart w:id="24" w:name="_Toc91899903"/>
      <w:r>
        <w:rPr>
          <w:rFonts w:hint="eastAsia"/>
        </w:rPr>
        <w:t>21.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lang w:val="en-US" w:eastAsia="zh-CN"/>
        </w:rPr>
        <w:t>具体按</w:t>
      </w:r>
      <w:r>
        <w:rPr>
          <w:rFonts w:hint="eastAsia"/>
        </w:rPr>
        <w:t>招标文件第四部分评标办法。</w:t>
      </w:r>
    </w:p>
    <w:p w14:paraId="37B0EA9A">
      <w:pPr>
        <w:pStyle w:val="2"/>
        <w:rPr>
          <w:rFonts w:ascii="仿宋" w:hAnsi="仿宋" w:cs="仿宋"/>
        </w:rPr>
      </w:pPr>
      <w:bookmarkStart w:id="25" w:name="_Toc26692"/>
      <w:r>
        <w:rPr>
          <w:rFonts w:hint="eastAsia" w:ascii="仿宋" w:hAnsi="仿宋" w:cs="仿宋"/>
        </w:rPr>
        <w:t>六、定标</w:t>
      </w:r>
      <w:bookmarkEnd w:id="25"/>
    </w:p>
    <w:p w14:paraId="273795BC">
      <w:pPr>
        <w:pStyle w:val="4"/>
        <w:ind w:firstLine="482"/>
      </w:pPr>
      <w:r>
        <w:rPr>
          <w:rFonts w:hint="eastAsia"/>
        </w:rPr>
        <w:t>22. 确定中标供应商</w:t>
      </w:r>
    </w:p>
    <w:p w14:paraId="5D40E635">
      <w:pPr>
        <w:pStyle w:val="136"/>
        <w:snapToGrid w:val="0"/>
        <w:spacing w:before="0"/>
        <w:ind w:firstLine="480"/>
        <w:rPr>
          <w:rFonts w:ascii="仿宋" w:hAnsi="仿宋" w:cs="仿宋"/>
          <w:b/>
          <w:szCs w:val="24"/>
        </w:rPr>
      </w:pPr>
      <w:r>
        <w:rPr>
          <w:rFonts w:hint="eastAsia" w:ascii="仿宋" w:hAnsi="仿宋" w:cs="仿宋"/>
          <w:szCs w:val="24"/>
        </w:rPr>
        <w:t>采购人将自收到评审报告之日起5个工作日内通过电子交易平台在评审报告推荐的中标候选人中按顺序确定中标供应商。</w:t>
      </w:r>
    </w:p>
    <w:p w14:paraId="20EB5D7A">
      <w:pPr>
        <w:pStyle w:val="4"/>
        <w:ind w:firstLine="482"/>
      </w:pPr>
      <w:r>
        <w:rPr>
          <w:rFonts w:hint="eastAsia"/>
        </w:rPr>
        <w:t>23. 中标通知与中标结果公告</w:t>
      </w:r>
    </w:p>
    <w:p w14:paraId="26F060F3">
      <w:pPr>
        <w:pStyle w:val="83"/>
        <w:ind w:firstLine="480"/>
      </w:pPr>
      <w:r>
        <w:rPr>
          <w:rFonts w:hint="eastAsia"/>
        </w:rPr>
        <w:t>23.1</w:t>
      </w:r>
      <w:r>
        <w:rPr>
          <w:rFonts w:hint="eastAsia" w:ascii="宋体" w:hAnsi="宋体" w:cs="宋体"/>
          <w:szCs w:val="24"/>
        </w:rPr>
        <w:t>自中标人确定之日起2个工作日内，采购代理机构通过电子交易平台向中标人发出中标通知书，同时编制发布采购结果公告。采购代理机构也可以以纸质形式进行中标通知。</w:t>
      </w:r>
    </w:p>
    <w:p w14:paraId="2674995B">
      <w:pPr>
        <w:ind w:firstLine="480"/>
      </w:pPr>
      <w:r>
        <w:rPr>
          <w:rFonts w:hint="eastAsia"/>
        </w:rPr>
        <w:t>23.2中标结果公告内容包括采购人及其委托的采购代理机构的名称、地址、联系方式，项目名称和项目编号，中标人名称、地址和中标金额，主要中标标的的名称、规格型号、数量、单价、服务要求，开标记录、</w:t>
      </w:r>
      <w:bookmarkStart w:id="26" w:name="_Hlk101184471"/>
      <w:r>
        <w:rPr>
          <w:rFonts w:hint="eastAsia" w:ascii="宋体" w:hAnsi="宋体" w:cs="宋体"/>
        </w:rPr>
        <w:t>资格审查情况、评审专家抽取规则、符合性审查情况、</w:t>
      </w:r>
      <w:bookmarkEnd w:id="26"/>
      <w:r>
        <w:rPr>
          <w:rFonts w:hint="eastAsia" w:ascii="宋体" w:hAnsi="宋体" w:cs="宋体"/>
        </w:rPr>
        <w:t>未中标情况说明、中标公告期限以及评审专家名单、评分汇总及明细。</w:t>
      </w:r>
    </w:p>
    <w:p w14:paraId="790EB07C">
      <w:pPr>
        <w:ind w:firstLine="480"/>
      </w:pPr>
      <w:r>
        <w:rPr>
          <w:rFonts w:hint="eastAsia"/>
        </w:rPr>
        <w:t>23.3公告期限为1个工作日。</w:t>
      </w:r>
    </w:p>
    <w:p w14:paraId="600CECA2">
      <w:pPr>
        <w:pStyle w:val="2"/>
        <w:rPr>
          <w:rFonts w:ascii="仿宋" w:hAnsi="仿宋" w:cs="仿宋"/>
        </w:rPr>
      </w:pPr>
      <w:bookmarkStart w:id="27" w:name="_Toc2780"/>
      <w:r>
        <w:rPr>
          <w:rFonts w:hint="eastAsia" w:ascii="仿宋" w:hAnsi="仿宋" w:cs="仿宋"/>
        </w:rPr>
        <w:t>七、合同授予</w:t>
      </w:r>
      <w:bookmarkEnd w:id="27"/>
    </w:p>
    <w:p w14:paraId="41FCA1F5">
      <w:pPr>
        <w:pStyle w:val="4"/>
        <w:ind w:firstLine="482"/>
      </w:pPr>
      <w:r>
        <w:rPr>
          <w:rFonts w:hint="eastAsia"/>
        </w:rPr>
        <w:t>24. 合同主要条款</w:t>
      </w:r>
    </w:p>
    <w:p w14:paraId="1EF754FE">
      <w:pPr>
        <w:ind w:firstLine="480"/>
      </w:pPr>
      <w:r>
        <w:rPr>
          <w:rFonts w:hint="eastAsia"/>
        </w:rPr>
        <w:t>第五部分拟签订的合同文本。</w:t>
      </w:r>
    </w:p>
    <w:p w14:paraId="7E20D2C2">
      <w:pPr>
        <w:pStyle w:val="4"/>
        <w:ind w:firstLine="482"/>
      </w:pPr>
      <w:r>
        <w:rPr>
          <w:rFonts w:hint="eastAsia"/>
        </w:rPr>
        <w:t>25. 合同的签订</w:t>
      </w:r>
    </w:p>
    <w:p w14:paraId="6C7AEAE4">
      <w:pPr>
        <w:ind w:firstLine="480"/>
      </w:pPr>
      <w:r>
        <w:rPr>
          <w:rFonts w:hint="eastAsia"/>
        </w:rPr>
        <w:t>25.1</w:t>
      </w:r>
      <w:r>
        <w:rPr>
          <w:rFonts w:hint="eastAsia" w:ascii="宋体" w:hAnsi="宋体" w:cs="宋体"/>
          <w:kern w:val="0"/>
        </w:rPr>
        <w:t>采购人与中标人应当通过电子交易平台在中标通知书发出之日起三十日内，按照招标文件确定的事项签订政府采购合同，并在签订之日起2个工作日内将政府采购合同在浙江政府采购网上公告。</w:t>
      </w:r>
    </w:p>
    <w:p w14:paraId="46093C87">
      <w:pPr>
        <w:ind w:firstLine="480"/>
      </w:pPr>
      <w:r>
        <w:rPr>
          <w:rFonts w:hint="eastAsia"/>
          <w:lang w:val="zh-CN"/>
        </w:rPr>
        <w:t>25.2中标人按规定的日期、时间、地点，由法定代表人或其授权代表与采购人代表签订合同。</w:t>
      </w:r>
    </w:p>
    <w:p w14:paraId="6D098293">
      <w:pPr>
        <w:ind w:firstLine="480"/>
      </w:pPr>
      <w:r>
        <w:rPr>
          <w:rFonts w:hint="eastAsia"/>
        </w:rPr>
        <w:t>25.3如签订合同并生效后，供应商无故拒绝或延期，除按照合同条款处理外，将向相关部门说明情况。</w:t>
      </w:r>
    </w:p>
    <w:p w14:paraId="14161C3C">
      <w:pPr>
        <w:ind w:firstLine="480"/>
      </w:pPr>
      <w:r>
        <w:rPr>
          <w:rFonts w:hint="eastAsia"/>
        </w:rPr>
        <w:t>25.4中标供应商拒绝与采购人签订合同的，采购人可以按照评审报告推荐的中标候选人名单排序，确定下一候选人为中标供应商，也可以重新开展政府采购活动。</w:t>
      </w:r>
    </w:p>
    <w:p w14:paraId="0AA2AB3D">
      <w:pPr>
        <w:ind w:firstLine="480"/>
      </w:pPr>
      <w:r>
        <w:rPr>
          <w:rFonts w:hint="eastAsia"/>
        </w:rPr>
        <w:t>25.5采购合同由采购人与中标供应商根据招标文件、投标文件等内容通过政府采购电子交易平台在线签订，自动备案。</w:t>
      </w:r>
    </w:p>
    <w:p w14:paraId="62CD6CFE">
      <w:pPr>
        <w:pStyle w:val="4"/>
        <w:ind w:firstLine="482"/>
      </w:pPr>
      <w:r>
        <w:rPr>
          <w:rFonts w:hint="eastAsia"/>
        </w:rPr>
        <w:t>26. 履约保证金</w:t>
      </w:r>
    </w:p>
    <w:p w14:paraId="76101E71">
      <w:pPr>
        <w:tabs>
          <w:tab w:val="left" w:pos="0"/>
        </w:tabs>
        <w:ind w:firstLine="480"/>
        <w:rPr>
          <w:rFonts w:ascii="仿宋" w:hAnsi="仿宋" w:cs="仿宋"/>
          <w:b/>
        </w:rPr>
      </w:pPr>
      <w:r>
        <w:rPr>
          <w:rFonts w:hint="eastAsia" w:ascii="仿宋" w:hAnsi="仿宋" w:cs="仿宋"/>
          <w:kern w:val="0"/>
        </w:rPr>
        <w:t>拟签订的合同文本要求中标供应商提交履约保证金的，供应商应当以支票、汇票、本票或者金融机构、担保机构出具的保函等非现金形式提交</w:t>
      </w:r>
      <w:r>
        <w:rPr>
          <w:rFonts w:hint="eastAsia" w:ascii="仿宋" w:hAnsi="仿宋" w:cs="仿宋"/>
        </w:rPr>
        <w:t>。履约保证金的数额不得超过政府采购合同金额的1%。鼓励和支持供应商以银行、保险公司出具的保函形式提供履约保证金。</w:t>
      </w:r>
      <w:r>
        <w:rPr>
          <w:rFonts w:hint="eastAsia" w:ascii="仿宋" w:hAnsi="仿宋" w:cs="仿宋"/>
          <w:b/>
        </w:rPr>
        <w:t>采购人不得拒收履约保函。</w:t>
      </w:r>
    </w:p>
    <w:p w14:paraId="7D13BF9D">
      <w:pPr>
        <w:ind w:firstLine="480"/>
      </w:pPr>
      <w:r>
        <w:rPr>
          <w:rFonts w:hint="eastAsi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2C7310D">
      <w:pPr>
        <w:pStyle w:val="4"/>
        <w:ind w:firstLine="482"/>
      </w:pPr>
      <w:r>
        <w:rPr>
          <w:rFonts w:hint="eastAsia"/>
        </w:rPr>
        <w:t>27. 预付款</w:t>
      </w:r>
    </w:p>
    <w:p w14:paraId="01E55C86">
      <w:pPr>
        <w:adjustRightInd/>
        <w:ind w:firstLine="480"/>
      </w:pPr>
      <w:r>
        <w:rPr>
          <w:rFonts w:hint="eastAsia" w:ascii="宋体" w:hAnsi="宋体"/>
        </w:rPr>
        <w:t>采购单位应当在政府采购合同中约定预付款，对中小企业合同预付款比例原则上不低于合同金额的</w:t>
      </w:r>
      <w:r>
        <w:rPr>
          <w:rFonts w:ascii="宋体" w:hAnsi="宋体"/>
        </w:rPr>
        <w:t>40％</w:t>
      </w:r>
      <w:r>
        <w:rPr>
          <w:rFonts w:hint="eastAsia" w:ascii="宋体" w:hAnsi="宋体"/>
        </w:rPr>
        <w:t>，不高于合同金额的</w:t>
      </w:r>
      <w:r>
        <w:rPr>
          <w:rFonts w:ascii="宋体" w:hAnsi="宋体"/>
        </w:rPr>
        <w:t>70%；项目分年安排预算的，每年预付款比例</w:t>
      </w:r>
      <w:r>
        <w:rPr>
          <w:rFonts w:hint="eastAsia" w:ascii="宋体" w:hAnsi="宋体"/>
        </w:rPr>
        <w:t>不低于</w:t>
      </w:r>
      <w:r>
        <w:rPr>
          <w:rFonts w:ascii="宋体" w:hAnsi="宋体"/>
        </w:rPr>
        <w:t>项目年度计划支付资金额的40％</w:t>
      </w:r>
      <w:r>
        <w:rPr>
          <w:rFonts w:hint="eastAsia" w:ascii="宋体" w:hAnsi="宋体"/>
        </w:rPr>
        <w:t>，不高于合同金额的</w:t>
      </w:r>
      <w:r>
        <w:rPr>
          <w:rFonts w:ascii="宋体" w:hAnsi="宋体"/>
        </w:rPr>
        <w:t>70%；采购项目实施以人工投入为主的，</w:t>
      </w:r>
      <w:r>
        <w:rPr>
          <w:rFonts w:hint="eastAsia" w:ascii="宋体" w:hAnsi="宋体"/>
        </w:rPr>
        <w:t>可适当降低预付款比例，但不得低于</w:t>
      </w:r>
      <w:r>
        <w:rPr>
          <w:rFonts w:ascii="宋体" w:hAnsi="宋体"/>
        </w:rPr>
        <w:t>20%。对供应商为大型企业的项目或者以人工投入为主且实行按月定期结算支付款项的项目，预付款可低于上述比例或者不约定预付款。在签订合同时，</w:t>
      </w:r>
      <w:r>
        <w:rPr>
          <w:rFonts w:hint="eastAsia" w:ascii="宋体" w:hAnsi="宋体"/>
        </w:rPr>
        <w:t>供应商</w:t>
      </w:r>
      <w:r>
        <w:rPr>
          <w:rFonts w:ascii="宋体" w:hAnsi="宋体"/>
        </w:rPr>
        <w:t>明确表示无需预付款或者主动要求降低预付款比例的，</w:t>
      </w:r>
      <w:r>
        <w:rPr>
          <w:rFonts w:hint="eastAsia" w:ascii="宋体" w:hAnsi="宋体"/>
        </w:rPr>
        <w:t>采购单位</w:t>
      </w:r>
      <w:r>
        <w:rPr>
          <w:rFonts w:ascii="宋体" w:hAnsi="宋体"/>
        </w:rPr>
        <w:t>可不适用前述规定。</w:t>
      </w:r>
      <w:r>
        <w:rPr>
          <w:rFonts w:hint="eastAsia" w:ascii="宋体" w:hAnsi="宋体"/>
        </w:rPr>
        <w:t>采购单位</w:t>
      </w:r>
      <w:r>
        <w:rPr>
          <w:rFonts w:ascii="宋体" w:hAnsi="宋体"/>
        </w:rPr>
        <w:t>根据项目特点、供应商诚信等因素，可以要求</w:t>
      </w:r>
      <w:r>
        <w:rPr>
          <w:rFonts w:hint="eastAsia" w:ascii="宋体" w:hAnsi="宋体"/>
        </w:rPr>
        <w:t>供应商</w:t>
      </w:r>
      <w:r>
        <w:rPr>
          <w:rFonts w:ascii="宋体" w:hAnsi="宋体"/>
        </w:rPr>
        <w:t>提交银行、保险公司等金融机构出具的预付款保函或其他担保措施。政府采购预付款应在合同生效以及具备实施条件后5个工作日内支付。</w:t>
      </w:r>
      <w:r>
        <w:rPr>
          <w:rFonts w:hint="eastAsia" w:ascii="宋体" w:hAnsi="宋体"/>
        </w:rPr>
        <w:t>政府采购工程以及与工程建设有关的货物、服务，采用招标方式采购的，预付款从其相关规定。供应商可登录政采云前台大厅选择金融服务</w:t>
      </w:r>
      <w:r>
        <w:rPr>
          <w:rFonts w:ascii="宋体" w:hAnsi="宋体"/>
        </w:rPr>
        <w:t xml:space="preserve"> - </w:t>
      </w:r>
      <w:r>
        <w:rPr>
          <w:rFonts w:hint="eastAsia" w:ascii="宋体" w:hAnsi="宋体"/>
        </w:rPr>
        <w:t>【保函保险服务】出具预付款保函，具体步骤：选择产品—填写供应商信息—选择中标项目—确认信息—等待保险</w:t>
      </w:r>
      <w:r>
        <w:rPr>
          <w:rFonts w:ascii="宋体" w:hAnsi="宋体"/>
        </w:rPr>
        <w:t>/保函受理—确认保单—支付保费—成功出单。政</w:t>
      </w:r>
      <w:r>
        <w:rPr>
          <w:rFonts w:hint="eastAsia" w:ascii="宋体" w:hAnsi="宋体"/>
        </w:rPr>
        <w:t>采云金融专线</w:t>
      </w:r>
      <w:r>
        <w:rPr>
          <w:rFonts w:ascii="宋体" w:hAnsi="宋体"/>
        </w:rPr>
        <w:t>400-903-9583。</w:t>
      </w:r>
    </w:p>
    <w:p w14:paraId="654AE288">
      <w:pPr>
        <w:pStyle w:val="2"/>
        <w:rPr>
          <w:rFonts w:ascii="仿宋" w:hAnsi="仿宋" w:cs="仿宋"/>
        </w:rPr>
      </w:pPr>
      <w:bookmarkStart w:id="28" w:name="_Toc27319"/>
      <w:r>
        <w:rPr>
          <w:rFonts w:hint="eastAsia" w:ascii="仿宋" w:hAnsi="仿宋" w:cs="仿宋"/>
        </w:rPr>
        <w:t>八、电子交易活动的中止</w:t>
      </w:r>
      <w:bookmarkEnd w:id="28"/>
    </w:p>
    <w:p w14:paraId="59ACD42A">
      <w:pPr>
        <w:pStyle w:val="4"/>
        <w:ind w:firstLine="482"/>
      </w:pPr>
      <w:r>
        <w:rPr>
          <w:rFonts w:hint="eastAsia"/>
        </w:rPr>
        <w:t xml:space="preserve">28. </w:t>
      </w:r>
      <w:r>
        <w:rPr>
          <w:rFonts w:hint="eastAsia" w:ascii="仿宋" w:hAnsi="仿宋" w:cs="仿宋"/>
        </w:rPr>
        <w:t>电子交易活动的中止</w:t>
      </w:r>
    </w:p>
    <w:p w14:paraId="32E7B584">
      <w:pPr>
        <w:ind w:firstLine="480"/>
      </w:pPr>
      <w:r>
        <w:rPr>
          <w:rFonts w:hint="eastAsia"/>
        </w:rPr>
        <w:t>采购过程中出现以下情形，导致电子交易平台无法正常运行，或者无法保证电子交易的公平、公正和安全时，采购代理机构可中止电子交易活动：</w:t>
      </w:r>
    </w:p>
    <w:p w14:paraId="07F90169">
      <w:pPr>
        <w:ind w:firstLine="480"/>
      </w:pPr>
      <w:r>
        <w:rPr>
          <w:rFonts w:hint="eastAsia"/>
        </w:rPr>
        <w:t xml:space="preserve">（1）电子交易平台发生故障而无法登录访问的； </w:t>
      </w:r>
    </w:p>
    <w:p w14:paraId="0FE943DB">
      <w:pPr>
        <w:ind w:firstLine="480"/>
      </w:pPr>
      <w:r>
        <w:rPr>
          <w:rFonts w:hint="eastAsia"/>
        </w:rPr>
        <w:t>（2）电子交易平台应用或数据库出现错误，不能进行正常操作的；</w:t>
      </w:r>
    </w:p>
    <w:p w14:paraId="6D7B385A">
      <w:pPr>
        <w:ind w:firstLine="480"/>
      </w:pPr>
      <w:r>
        <w:rPr>
          <w:rFonts w:hint="eastAsia"/>
        </w:rPr>
        <w:t>（3）电子交易平台发现严重安全漏洞，有潜在泄密危险的；</w:t>
      </w:r>
    </w:p>
    <w:p w14:paraId="5EA366B5">
      <w:pPr>
        <w:ind w:firstLine="480"/>
      </w:pPr>
      <w:r>
        <w:rPr>
          <w:rFonts w:hint="eastAsia"/>
        </w:rPr>
        <w:t xml:space="preserve">（4）病毒发作导致不能进行正常操作的； </w:t>
      </w:r>
    </w:p>
    <w:p w14:paraId="0AA3BAFF">
      <w:pPr>
        <w:ind w:firstLine="480"/>
      </w:pPr>
      <w:r>
        <w:rPr>
          <w:rFonts w:hint="eastAsia"/>
        </w:rPr>
        <w:t>（5）其他无法保证电子交易的公平、公正和安全的情况。</w:t>
      </w:r>
    </w:p>
    <w:p w14:paraId="45592E45">
      <w:pPr>
        <w:pStyle w:val="4"/>
        <w:ind w:firstLine="482"/>
        <w:rPr>
          <w:rFonts w:hint="eastAsia"/>
        </w:rPr>
      </w:pPr>
      <w:r>
        <w:rPr>
          <w:rFonts w:hint="eastAsia"/>
        </w:rPr>
        <w:t>29. 后续处理</w:t>
      </w:r>
    </w:p>
    <w:p w14:paraId="054768A4">
      <w:pPr>
        <w:bidi w:val="0"/>
        <w:rPr>
          <w:rFonts w:hint="eastAsia" w:ascii="仿宋" w:hAnsi="仿宋" w:cs="仿宋"/>
        </w:rPr>
      </w:pPr>
      <w:r>
        <w:rPr>
          <w:rFonts w:hint="eastAsia"/>
        </w:rPr>
        <w:t>出现以上情形，不影响采购公平、公正性的，采购组织机构可以待上述情形消除后继续组织电子交易活动，也可以决定某些环节以纸质形式进行；影响或可能影响采购公平、公正性的，重新采</w:t>
      </w:r>
      <w:r>
        <w:rPr>
          <w:rFonts w:hint="eastAsia" w:ascii="仿宋" w:hAnsi="仿宋" w:cs="仿宋"/>
        </w:rPr>
        <w:t>购。</w:t>
      </w:r>
      <w:bookmarkEnd w:id="18"/>
      <w:bookmarkEnd w:id="19"/>
      <w:bookmarkEnd w:id="24"/>
      <w:bookmarkStart w:id="29" w:name="第四部分"/>
    </w:p>
    <w:p w14:paraId="67651269">
      <w:pPr>
        <w:rPr>
          <w:rFonts w:hint="eastAsia" w:ascii="仿宋" w:hAnsi="仿宋" w:cs="仿宋"/>
        </w:rPr>
      </w:pPr>
      <w:r>
        <w:rPr>
          <w:rFonts w:hint="eastAsia" w:ascii="仿宋" w:hAnsi="仿宋" w:cs="仿宋"/>
        </w:rPr>
        <w:br w:type="page"/>
      </w:r>
    </w:p>
    <w:p w14:paraId="5E3D5B68">
      <w:pPr>
        <w:pStyle w:val="3"/>
        <w:bidi w:val="0"/>
        <w:jc w:val="center"/>
        <w:rPr>
          <w:rStyle w:val="288"/>
          <w:rFonts w:hint="eastAsia" w:ascii="仿宋" w:hAnsi="仿宋" w:cs="仿宋"/>
          <w:bCs/>
          <w:lang w:val="en-US" w:eastAsia="zh-CN" w:bidi="ar-SA"/>
        </w:rPr>
      </w:pPr>
      <w:bookmarkStart w:id="30" w:name="_Toc369"/>
      <w:r>
        <w:rPr>
          <w:rStyle w:val="288"/>
          <w:rFonts w:hint="eastAsia" w:ascii="仿宋" w:hAnsi="仿宋" w:cs="仿宋"/>
          <w:bCs/>
          <w:lang w:val="en-US" w:eastAsia="zh-CN" w:bidi="ar-SA"/>
        </w:rPr>
        <w:t>第三部分 采购需求</w:t>
      </w:r>
      <w:bookmarkEnd w:id="30"/>
    </w:p>
    <w:p w14:paraId="0EAB4C19">
      <w:pPr>
        <w:pStyle w:val="2"/>
        <w:bidi w:val="0"/>
      </w:pPr>
      <w:bookmarkStart w:id="31" w:name="_Toc13008"/>
      <w:bookmarkStart w:id="32" w:name="_Toc17863"/>
      <w:r>
        <w:rPr>
          <w:rFonts w:hint="eastAsia"/>
          <w:lang w:val="en-US" w:eastAsia="zh-CN"/>
        </w:rPr>
        <w:t>一</w:t>
      </w:r>
      <w:r>
        <w:rPr>
          <w:rFonts w:hint="eastAsia"/>
        </w:rPr>
        <w:t>、项目概况</w:t>
      </w:r>
      <w:bookmarkEnd w:id="31"/>
      <w:bookmarkEnd w:id="32"/>
    </w:p>
    <w:p w14:paraId="63AEE693">
      <w:pPr>
        <w:bidi w:val="0"/>
        <w:rPr>
          <w:rFonts w:hint="default"/>
          <w:lang w:val="en-US" w:eastAsia="zh-CN"/>
        </w:rPr>
      </w:pPr>
      <w:r>
        <w:rPr>
          <w:rFonts w:hint="eastAsia"/>
          <w:lang w:val="en-US" w:eastAsia="zh-CN"/>
        </w:rPr>
        <w:t>1.1</w:t>
      </w:r>
      <w:r>
        <w:rPr>
          <w:rFonts w:hint="eastAsia"/>
        </w:rPr>
        <w:t>项目名称：慈溪市宗汉街道</w:t>
      </w:r>
      <w:r>
        <w:rPr>
          <w:rFonts w:hint="eastAsia"/>
          <w:lang w:val="en-US" w:eastAsia="zh-CN"/>
        </w:rPr>
        <w:t>社会心理服务</w:t>
      </w:r>
    </w:p>
    <w:p w14:paraId="059C0349">
      <w:pPr>
        <w:bidi w:val="0"/>
        <w:rPr>
          <w:rFonts w:hint="eastAsia"/>
        </w:rPr>
      </w:pPr>
      <w:r>
        <w:rPr>
          <w:rFonts w:hint="eastAsia"/>
          <w:lang w:val="en-US" w:eastAsia="zh-CN"/>
        </w:rPr>
        <w:t>1.2</w:t>
      </w:r>
      <w:r>
        <w:rPr>
          <w:rFonts w:hint="eastAsia"/>
        </w:rPr>
        <w:t>项目预算：</w:t>
      </w:r>
      <w:r>
        <w:rPr>
          <w:rFonts w:hint="eastAsia"/>
          <w:lang w:val="en-US" w:eastAsia="zh-CN"/>
        </w:rPr>
        <w:t>125</w:t>
      </w:r>
      <w:r>
        <w:rPr>
          <w:rFonts w:hint="eastAsia"/>
        </w:rPr>
        <w:t>万元</w:t>
      </w:r>
    </w:p>
    <w:p w14:paraId="5837BFA8">
      <w:pPr>
        <w:bidi w:val="0"/>
        <w:rPr>
          <w:rFonts w:hint="eastAsia"/>
        </w:rPr>
      </w:pPr>
      <w:r>
        <w:rPr>
          <w:rFonts w:hint="eastAsia"/>
          <w:lang w:val="en-US" w:eastAsia="zh-CN"/>
        </w:rPr>
        <w:t>1.3</w:t>
      </w:r>
      <w:r>
        <w:rPr>
          <w:rFonts w:hint="eastAsia"/>
        </w:rPr>
        <w:t>服务内容：为中小学师生、机关职能部门干部、村社干部提供</w:t>
      </w:r>
      <w:r>
        <w:rPr>
          <w:rFonts w:hint="eastAsia"/>
          <w:lang w:val="en-US" w:eastAsia="zh-CN"/>
        </w:rPr>
        <w:t>健康心理研学、教育、拓展活动、网上学校、科普、宣传</w:t>
      </w:r>
      <w:r>
        <w:rPr>
          <w:rFonts w:hint="eastAsia"/>
        </w:rPr>
        <w:t>等活动。</w:t>
      </w:r>
    </w:p>
    <w:p w14:paraId="167CAA2F">
      <w:pPr>
        <w:pStyle w:val="2"/>
        <w:bidi w:val="0"/>
      </w:pPr>
      <w:bookmarkStart w:id="33" w:name="_Toc13498"/>
      <w:bookmarkStart w:id="34" w:name="_Toc3073"/>
      <w:r>
        <w:rPr>
          <w:rFonts w:hint="eastAsia"/>
        </w:rPr>
        <w:t>二、服务内容</w:t>
      </w:r>
      <w:bookmarkEnd w:id="33"/>
      <w:bookmarkEnd w:id="34"/>
    </w:p>
    <w:p w14:paraId="120D63E6">
      <w:pPr>
        <w:pStyle w:val="4"/>
        <w:bidi w:val="0"/>
        <w:rPr>
          <w:rFonts w:hint="eastAsia"/>
          <w:lang w:val="en-US" w:eastAsia="zh-CN"/>
        </w:rPr>
      </w:pPr>
      <w:bookmarkStart w:id="35" w:name="_Toc28521"/>
      <w:r>
        <w:rPr>
          <w:rFonts w:hint="eastAsia"/>
          <w:lang w:val="en-US" w:eastAsia="zh-CN"/>
        </w:rPr>
        <w:t>2.1健康心理研学活动</w:t>
      </w:r>
    </w:p>
    <w:p w14:paraId="70599F42">
      <w:pPr>
        <w:bidi w:val="0"/>
        <w:rPr>
          <w:rFonts w:hint="eastAsia"/>
        </w:rPr>
      </w:pPr>
      <w:r>
        <w:rPr>
          <w:rFonts w:hint="eastAsia"/>
        </w:rPr>
        <w:t>加强心理健康基础理论研究、应用研究和成果转化，开展心理行为问题的生物、心理、社会因素综合研究和心理健康问题的早期识别与干预研究。</w:t>
      </w:r>
    </w:p>
    <w:p w14:paraId="38D6A3AF">
      <w:pPr>
        <w:bidi w:val="0"/>
        <w:rPr>
          <w:rFonts w:hint="default"/>
          <w:lang w:val="en-US" w:eastAsia="zh-CN"/>
        </w:rPr>
      </w:pPr>
      <w:r>
        <w:rPr>
          <w:rFonts w:hint="default"/>
          <w:lang w:val="en-US" w:eastAsia="zh-CN"/>
        </w:rPr>
        <w:t>服务对象：辖区</w:t>
      </w:r>
      <w:r>
        <w:rPr>
          <w:rFonts w:hint="eastAsia"/>
          <w:lang w:val="en-US" w:eastAsia="zh-CN"/>
        </w:rPr>
        <w:t>内的中小学</w:t>
      </w:r>
      <w:r>
        <w:rPr>
          <w:rFonts w:hint="default"/>
          <w:lang w:val="en-US" w:eastAsia="zh-CN"/>
        </w:rPr>
        <w:t>生；</w:t>
      </w:r>
    </w:p>
    <w:p w14:paraId="6BE93EB3">
      <w:pPr>
        <w:bidi w:val="0"/>
        <w:rPr>
          <w:rFonts w:hint="default"/>
          <w:lang w:val="en-US" w:eastAsia="zh-CN"/>
        </w:rPr>
      </w:pPr>
      <w:r>
        <w:rPr>
          <w:rFonts w:hint="default"/>
          <w:lang w:val="en-US" w:eastAsia="zh-CN"/>
        </w:rPr>
        <w:t>服务目的：培养学生</w:t>
      </w:r>
      <w:r>
        <w:rPr>
          <w:rFonts w:hint="eastAsia"/>
          <w:lang w:val="en-US" w:eastAsia="zh-CN"/>
        </w:rPr>
        <w:t>保持健康心理</w:t>
      </w:r>
      <w:r>
        <w:rPr>
          <w:rFonts w:hint="default"/>
          <w:lang w:val="en-US" w:eastAsia="zh-CN"/>
        </w:rPr>
        <w:t>、</w:t>
      </w:r>
      <w:r>
        <w:rPr>
          <w:rFonts w:hint="eastAsia"/>
          <w:lang w:val="en-US" w:eastAsia="zh-CN"/>
        </w:rPr>
        <w:t>积极进取</w:t>
      </w:r>
      <w:r>
        <w:rPr>
          <w:rFonts w:hint="default"/>
          <w:lang w:val="en-US" w:eastAsia="zh-CN"/>
        </w:rPr>
        <w:t>的态度；</w:t>
      </w:r>
    </w:p>
    <w:p w14:paraId="78B9BD35">
      <w:pPr>
        <w:bidi w:val="0"/>
        <w:rPr>
          <w:rFonts w:hint="default"/>
          <w:lang w:val="en-US" w:eastAsia="zh-CN"/>
        </w:rPr>
      </w:pPr>
      <w:r>
        <w:rPr>
          <w:rFonts w:hint="default"/>
          <w:lang w:val="en-US" w:eastAsia="zh-CN"/>
        </w:rPr>
        <w:t>服务内容包括培养学生发现问题、提出问题、从而解决问题的能力；</w:t>
      </w:r>
    </w:p>
    <w:p w14:paraId="510B7C83">
      <w:pPr>
        <w:bidi w:val="0"/>
        <w:rPr>
          <w:rFonts w:hint="default"/>
          <w:lang w:val="en-US" w:eastAsia="zh-CN"/>
        </w:rPr>
      </w:pPr>
      <w:r>
        <w:rPr>
          <w:rFonts w:hint="default"/>
          <w:lang w:val="en-US" w:eastAsia="zh-CN"/>
        </w:rPr>
        <w:t>全年服务</w:t>
      </w:r>
      <w:r>
        <w:rPr>
          <w:rFonts w:hint="eastAsia"/>
          <w:lang w:val="en-US" w:eastAsia="zh-CN"/>
        </w:rPr>
        <w:t>数量</w:t>
      </w:r>
      <w:r>
        <w:rPr>
          <w:rFonts w:hint="default"/>
          <w:lang w:val="en-US" w:eastAsia="zh-CN"/>
        </w:rPr>
        <w:t>不少于</w:t>
      </w:r>
      <w:r>
        <w:rPr>
          <w:rFonts w:hint="eastAsia"/>
          <w:lang w:val="en-US" w:eastAsia="zh-CN"/>
        </w:rPr>
        <w:t>2000人</w:t>
      </w:r>
      <w:r>
        <w:rPr>
          <w:rFonts w:hint="default"/>
          <w:lang w:val="en-US" w:eastAsia="zh-CN"/>
        </w:rPr>
        <w:t>次。</w:t>
      </w:r>
    </w:p>
    <w:p w14:paraId="61D032EC">
      <w:pPr>
        <w:pStyle w:val="4"/>
        <w:bidi w:val="0"/>
        <w:rPr>
          <w:rFonts w:hint="eastAsia"/>
          <w:lang w:val="en-US" w:eastAsia="zh-CN"/>
        </w:rPr>
      </w:pPr>
      <w:r>
        <w:rPr>
          <w:rFonts w:hint="eastAsia"/>
          <w:lang w:val="en-US" w:eastAsia="zh-CN"/>
        </w:rPr>
        <w:t>2.2</w:t>
      </w:r>
      <w:r>
        <w:rPr>
          <w:rFonts w:hint="eastAsia"/>
        </w:rPr>
        <w:t>加强心理健康教育</w:t>
      </w:r>
      <w:r>
        <w:rPr>
          <w:rFonts w:hint="eastAsia"/>
          <w:lang w:val="en-US" w:eastAsia="zh-CN"/>
        </w:rPr>
        <w:t>服务</w:t>
      </w:r>
    </w:p>
    <w:p w14:paraId="1B7015B2">
      <w:pPr>
        <w:bidi w:val="0"/>
        <w:rPr>
          <w:rFonts w:hint="eastAsia"/>
          <w:lang w:val="en-US" w:eastAsia="zh-CN"/>
        </w:rPr>
      </w:pPr>
      <w:r>
        <w:rPr>
          <w:rFonts w:hint="eastAsia"/>
          <w:lang w:val="en-US" w:eastAsia="zh-CN"/>
        </w:rPr>
        <w:t>针对学生、家长、老师、机关职能部门、村社干部身心特点开展心理健康教育，加强心理健康服务。</w:t>
      </w:r>
    </w:p>
    <w:p w14:paraId="15E8704C">
      <w:pPr>
        <w:bidi w:val="0"/>
        <w:rPr>
          <w:rFonts w:hint="eastAsia"/>
          <w:lang w:val="en-US" w:eastAsia="zh-CN"/>
        </w:rPr>
      </w:pPr>
      <w:r>
        <w:rPr>
          <w:rFonts w:hint="eastAsia"/>
          <w:lang w:val="en-US" w:eastAsia="zh-CN"/>
        </w:rPr>
        <w:t>（1）面向幼、小、中学学生的服务内容包括积极适应新环境、保持健康心理对中考考生心理疏导等；</w:t>
      </w:r>
    </w:p>
    <w:p w14:paraId="44AC836F">
      <w:pPr>
        <w:bidi w:val="0"/>
        <w:rPr>
          <w:rFonts w:hint="eastAsia"/>
          <w:lang w:val="en-US" w:eastAsia="zh-CN"/>
        </w:rPr>
      </w:pPr>
      <w:r>
        <w:rPr>
          <w:rFonts w:hint="eastAsia"/>
          <w:lang w:val="en-US" w:eastAsia="zh-CN"/>
        </w:rPr>
        <w:t>（2）面向幼、小、中学老师的服务内容包括健康心理在学校教育管理和学校教育工作中的应用、提升教师心理健康专业知识等；</w:t>
      </w:r>
    </w:p>
    <w:p w14:paraId="7DDD1F5D">
      <w:pPr>
        <w:bidi w:val="0"/>
        <w:rPr>
          <w:rFonts w:hint="eastAsia"/>
          <w:lang w:val="en-US" w:eastAsia="zh-CN"/>
        </w:rPr>
      </w:pPr>
      <w:r>
        <w:rPr>
          <w:rFonts w:hint="eastAsia"/>
          <w:lang w:val="en-US" w:eastAsia="zh-CN"/>
        </w:rPr>
        <w:t>（3）面向机关职能部门、村社于部、家长等群体的服务内容包括提升家长综合能力、提升机关干部心理调节能力等。</w:t>
      </w:r>
    </w:p>
    <w:p w14:paraId="1D3B0230">
      <w:pPr>
        <w:bidi w:val="0"/>
        <w:rPr>
          <w:rFonts w:hint="default"/>
          <w:lang w:val="en-US" w:eastAsia="zh-CN"/>
        </w:rPr>
      </w:pPr>
      <w:r>
        <w:rPr>
          <w:rFonts w:hint="eastAsia"/>
          <w:lang w:val="en-US" w:eastAsia="zh-CN"/>
        </w:rPr>
        <w:t>全年组织面向机关职能部门、村社于部、家长、老师等群体的大型综合型心理健康教育一场，面向幼、小、中学师生、机关职能部门、村社干部的专场教育不少于4场。</w:t>
      </w:r>
    </w:p>
    <w:p w14:paraId="12F0123D">
      <w:pPr>
        <w:pStyle w:val="4"/>
        <w:bidi w:val="0"/>
        <w:rPr>
          <w:rFonts w:hint="eastAsia"/>
          <w:lang w:val="en-US" w:eastAsia="zh-CN"/>
        </w:rPr>
      </w:pPr>
      <w:r>
        <w:rPr>
          <w:rFonts w:hint="eastAsia"/>
          <w:lang w:val="en-US" w:eastAsia="zh-CN"/>
        </w:rPr>
        <w:t>2.3健康心理拓展活动</w:t>
      </w:r>
    </w:p>
    <w:p w14:paraId="1DB8BB02">
      <w:pPr>
        <w:bidi w:val="0"/>
        <w:rPr>
          <w:rFonts w:hint="default"/>
          <w:lang w:val="en-US" w:eastAsia="zh-CN"/>
        </w:rPr>
      </w:pPr>
      <w:r>
        <w:rPr>
          <w:rFonts w:hint="eastAsia"/>
          <w:lang w:val="en-US" w:eastAsia="zh-CN"/>
        </w:rPr>
        <w:t>结合“世界精神卫生日”、基本公共卫生服务项目、全民健康生活方式、健康单位创建等，开展心理健康主题活动，加强科普宣传，增强公众心理健康意识。</w:t>
      </w:r>
      <w:r>
        <w:rPr>
          <w:rFonts w:hint="default"/>
          <w:lang w:val="en-US" w:eastAsia="zh-CN"/>
        </w:rPr>
        <w:t>服务内容包括</w:t>
      </w:r>
      <w:r>
        <w:rPr>
          <w:rFonts w:hint="eastAsia"/>
          <w:lang w:val="en-US" w:eastAsia="zh-CN"/>
        </w:rPr>
        <w:t>健康心理在学校教育管理和学校教育工作中的应用</w:t>
      </w:r>
      <w:r>
        <w:rPr>
          <w:rFonts w:hint="default"/>
          <w:lang w:val="en-US" w:eastAsia="zh-CN"/>
        </w:rPr>
        <w:t>、提升老师心理调节能力、学生心理专项减压、学生积极品质培养、亲子沟通能力培养</w:t>
      </w:r>
      <w:r>
        <w:rPr>
          <w:rFonts w:hint="eastAsia"/>
          <w:lang w:val="en-US" w:eastAsia="zh-CN"/>
        </w:rPr>
        <w:t>、</w:t>
      </w:r>
      <w:r>
        <w:rPr>
          <w:rFonts w:hint="default"/>
          <w:lang w:val="en-US" w:eastAsia="zh-CN"/>
        </w:rPr>
        <w:t>提升机关干部心理调节能力等；</w:t>
      </w:r>
    </w:p>
    <w:p w14:paraId="7780CD1A">
      <w:pPr>
        <w:bidi w:val="0"/>
        <w:rPr>
          <w:rFonts w:hint="default"/>
          <w:lang w:val="en-US" w:eastAsia="zh-CN"/>
        </w:rPr>
      </w:pPr>
      <w:r>
        <w:rPr>
          <w:rFonts w:hint="default"/>
          <w:lang w:val="en-US" w:eastAsia="zh-CN"/>
        </w:rPr>
        <w:t>全年服务次数不少于</w:t>
      </w:r>
      <w:r>
        <w:rPr>
          <w:rFonts w:hint="eastAsia"/>
          <w:lang w:val="en-US" w:eastAsia="zh-CN"/>
        </w:rPr>
        <w:t>55</w:t>
      </w:r>
      <w:r>
        <w:rPr>
          <w:rFonts w:hint="default"/>
          <w:lang w:val="en-US" w:eastAsia="zh-CN"/>
        </w:rPr>
        <w:t>次。</w:t>
      </w:r>
    </w:p>
    <w:p w14:paraId="7BEA04C1">
      <w:pPr>
        <w:bidi w:val="0"/>
        <w:rPr>
          <w:rFonts w:hint="default"/>
          <w:lang w:val="en-US" w:eastAsia="zh-CN"/>
        </w:rPr>
      </w:pPr>
      <w:r>
        <w:rPr>
          <w:rFonts w:hint="eastAsia"/>
          <w:lang w:val="en-US" w:eastAsia="zh-CN"/>
        </w:rPr>
        <w:t>服务要求：</w:t>
      </w:r>
    </w:p>
    <w:p w14:paraId="3D76FCAE">
      <w:pPr>
        <w:bidi w:val="0"/>
        <w:rPr>
          <w:rFonts w:hint="eastAsia"/>
          <w:lang w:val="en-US" w:eastAsia="zh-CN"/>
        </w:rPr>
      </w:pPr>
      <w:r>
        <w:rPr>
          <w:rFonts w:hint="eastAsia"/>
          <w:lang w:val="en-US" w:eastAsia="zh-CN"/>
        </w:rPr>
        <w:t>（1）供应商应有面积不少于2000平方米的场内场外健心场所，各功能活动区应齐全，并满足项目要求。</w:t>
      </w:r>
    </w:p>
    <w:p w14:paraId="2AEF825C">
      <w:pPr>
        <w:bidi w:val="0"/>
        <w:rPr>
          <w:rFonts w:hint="eastAsia"/>
          <w:lang w:val="en-US" w:eastAsia="zh-CN"/>
        </w:rPr>
      </w:pPr>
      <w:r>
        <w:rPr>
          <w:rFonts w:hint="eastAsia"/>
          <w:lang w:val="en-US" w:eastAsia="zh-CN"/>
        </w:rPr>
        <w:t>（2）场所内的设备设施：场所内的设备设施应基于互联网技术的心理健康设备和产品，包括正念冥想系统设备、VR互动系统设备、VR职业体验系统设备、团体训练系统设备、身心放松系统设备、呐喊宣泄系统设备、减压赋能系统设备、体感互动情绪调节系统设备、团体沙盘等国内一流的心理健康设备和场外互动设施。</w:t>
      </w:r>
    </w:p>
    <w:p w14:paraId="034E2DAF">
      <w:pPr>
        <w:pStyle w:val="4"/>
        <w:bidi w:val="0"/>
        <w:rPr>
          <w:rFonts w:hint="eastAsia"/>
          <w:lang w:val="en-US" w:eastAsia="zh-CN"/>
        </w:rPr>
      </w:pPr>
      <w:r>
        <w:rPr>
          <w:rFonts w:hint="eastAsia"/>
          <w:lang w:val="en-US" w:eastAsia="zh-CN"/>
        </w:rPr>
        <w:t>2.4健康心理网上学校服务</w:t>
      </w:r>
    </w:p>
    <w:p w14:paraId="08ED66A0">
      <w:pPr>
        <w:bidi w:val="0"/>
        <w:rPr>
          <w:rFonts w:hint="eastAsia"/>
          <w:lang w:val="en-US" w:eastAsia="zh-CN"/>
        </w:rPr>
      </w:pPr>
      <w:r>
        <w:rPr>
          <w:rFonts w:hint="eastAsia"/>
          <w:lang w:val="en-US" w:eastAsia="zh-CN"/>
        </w:rPr>
        <w:t>网上学校采用提供公众号服务的形式，公众号可以采用供应商现自有公众号，如供应商无自有公众号的，应提供网站学习服务。</w:t>
      </w:r>
    </w:p>
    <w:p w14:paraId="32BC7D73">
      <w:pPr>
        <w:bidi w:val="0"/>
        <w:rPr>
          <w:rFonts w:hint="eastAsia"/>
          <w:lang w:val="en-US" w:eastAsia="zh-CN"/>
        </w:rPr>
      </w:pPr>
      <w:r>
        <w:rPr>
          <w:rFonts w:hint="eastAsia"/>
          <w:lang w:val="en-US" w:eastAsia="zh-CN"/>
        </w:rPr>
        <w:t>公众号在线学习平台应确保稳定、可靠、流畅（至少应保证500人同时在线观看视频），通过公众号平台提供以下服务：</w:t>
      </w:r>
    </w:p>
    <w:p w14:paraId="6D1FC4BA">
      <w:pPr>
        <w:bidi w:val="0"/>
        <w:rPr>
          <w:rFonts w:hint="eastAsia"/>
          <w:lang w:val="en-US" w:eastAsia="zh-CN"/>
        </w:rPr>
      </w:pPr>
      <w:r>
        <w:rPr>
          <w:rFonts w:hint="eastAsia"/>
          <w:lang w:val="en-US" w:eastAsia="zh-CN"/>
        </w:rPr>
        <w:t>（1）提供心理健康教育服务的录播课和其他的心理健康知识宣普和视频，采购人可随时在线观看、学习。</w:t>
      </w:r>
    </w:p>
    <w:p w14:paraId="31D8BA41">
      <w:pPr>
        <w:bidi w:val="0"/>
        <w:rPr>
          <w:rFonts w:hint="eastAsia"/>
          <w:lang w:val="en-US" w:eastAsia="zh-CN"/>
        </w:rPr>
      </w:pPr>
      <w:r>
        <w:rPr>
          <w:rFonts w:hint="eastAsia"/>
          <w:lang w:val="en-US" w:eastAsia="zh-CN"/>
        </w:rPr>
        <w:t>（2）心理咨询、健康生活方式培养等相关课程学习，以提高学习人员的健康心理素质。</w:t>
      </w:r>
    </w:p>
    <w:p w14:paraId="3D528A32">
      <w:pPr>
        <w:bidi w:val="0"/>
        <w:rPr>
          <w:rFonts w:hint="eastAsia"/>
          <w:lang w:val="en-US" w:eastAsia="zh-CN"/>
        </w:rPr>
      </w:pPr>
      <w:r>
        <w:rPr>
          <w:rFonts w:hint="eastAsia"/>
          <w:lang w:val="en-US" w:eastAsia="zh-CN"/>
        </w:rPr>
        <w:t>（3）及时更新和优化学习资源，以满足不同人员的学习需求。</w:t>
      </w:r>
    </w:p>
    <w:p w14:paraId="78E7FEF6">
      <w:pPr>
        <w:pStyle w:val="4"/>
        <w:bidi w:val="0"/>
        <w:rPr>
          <w:rFonts w:hint="default"/>
          <w:lang w:val="en-US" w:eastAsia="zh-CN"/>
        </w:rPr>
      </w:pPr>
      <w:r>
        <w:rPr>
          <w:rFonts w:hint="eastAsia"/>
          <w:lang w:val="en-US" w:eastAsia="zh-CN"/>
        </w:rPr>
        <w:t>2.5</w:t>
      </w:r>
      <w:r>
        <w:rPr>
          <w:rFonts w:hint="default"/>
          <w:lang w:val="en-US" w:eastAsia="zh-CN"/>
        </w:rPr>
        <w:t>保持健康心理的科普、宣传</w:t>
      </w:r>
    </w:p>
    <w:p w14:paraId="3CF8826D">
      <w:pPr>
        <w:bidi w:val="0"/>
        <w:rPr>
          <w:rFonts w:hint="eastAsia"/>
          <w:lang w:val="en-US" w:eastAsia="zh-CN"/>
        </w:rPr>
      </w:pPr>
      <w:r>
        <w:rPr>
          <w:rFonts w:hint="default"/>
          <w:lang w:val="en-US" w:eastAsia="zh-CN"/>
        </w:rPr>
        <w:t>做好保持健康心理的科普、宣传及各方的参观、考察的接待工作，加强对青少年心理的援助、危机干预等服务，提升辖区人民的幸福感和获得感。</w:t>
      </w:r>
      <w:r>
        <w:rPr>
          <w:rFonts w:hint="eastAsia"/>
          <w:lang w:val="en-US" w:eastAsia="zh-CN"/>
        </w:rPr>
        <w:t>全年科普、宣传健康心理次数不少于5次。</w:t>
      </w:r>
    </w:p>
    <w:p w14:paraId="3690B013">
      <w:pPr>
        <w:pStyle w:val="2"/>
        <w:bidi w:val="0"/>
        <w:rPr>
          <w:rFonts w:hint="eastAsia"/>
        </w:rPr>
      </w:pPr>
      <w:bookmarkStart w:id="36" w:name="_Toc10968"/>
      <w:bookmarkStart w:id="37" w:name="_Toc18651"/>
      <w:r>
        <w:rPr>
          <w:rFonts w:hint="eastAsia"/>
          <w:lang w:val="en-US" w:eastAsia="zh-CN"/>
        </w:rPr>
        <w:t xml:space="preserve">三. </w:t>
      </w:r>
      <w:r>
        <w:rPr>
          <w:rFonts w:hint="eastAsia"/>
        </w:rPr>
        <w:t>商务要求</w:t>
      </w:r>
      <w:bookmarkEnd w:id="35"/>
      <w:bookmarkEnd w:id="36"/>
      <w:bookmarkEnd w:id="37"/>
    </w:p>
    <w:p w14:paraId="63424E83">
      <w:pPr>
        <w:bidi w:val="0"/>
        <w:rPr>
          <w:rFonts w:hint="default"/>
          <w:lang w:val="en-US" w:eastAsia="zh-CN"/>
        </w:rPr>
      </w:pPr>
      <w:r>
        <w:rPr>
          <w:rFonts w:hint="eastAsia"/>
          <w:lang w:val="en-US" w:eastAsia="zh-CN"/>
        </w:rPr>
        <w:t>3.1服务期限：服务期限为一年，一年期满后经采购人年度考核合格，双方协商一致，报相关主管部门备案，可续签下一年度合同，最多可续签二年。</w:t>
      </w:r>
    </w:p>
    <w:p w14:paraId="58386C09">
      <w:pPr>
        <w:bidi w:val="0"/>
        <w:rPr>
          <w:rFonts w:hint="default"/>
          <w:lang w:val="en-US" w:eastAsia="zh-CN"/>
        </w:rPr>
      </w:pPr>
      <w:r>
        <w:rPr>
          <w:rFonts w:hint="eastAsia"/>
          <w:lang w:val="en-US" w:eastAsia="zh-CN"/>
        </w:rPr>
        <w:t>3.2项目实施要求：项目实施前应提供完整项目实施方案，项目实施方案可行，服务内容及活动设备、设施满足项目需求，项目实施方案经采购人确认后实施。</w:t>
      </w:r>
    </w:p>
    <w:p w14:paraId="6E58CDCE">
      <w:pPr>
        <w:bidi w:val="0"/>
        <w:rPr>
          <w:rFonts w:hint="eastAsia"/>
          <w:lang w:val="en-US" w:eastAsia="zh-CN"/>
        </w:rPr>
      </w:pPr>
      <w:r>
        <w:rPr>
          <w:rFonts w:hint="eastAsia"/>
          <w:lang w:val="en-US" w:eastAsia="zh-CN"/>
        </w:rPr>
        <w:t>3.3服务团队要求</w:t>
      </w:r>
    </w:p>
    <w:p w14:paraId="3D088324">
      <w:pPr>
        <w:bidi w:val="0"/>
        <w:rPr>
          <w:rFonts w:hint="default"/>
          <w:lang w:val="en-US" w:eastAsia="zh-CN"/>
        </w:rPr>
      </w:pPr>
      <w:r>
        <w:rPr>
          <w:rFonts w:hint="eastAsia"/>
          <w:lang w:val="en-US" w:eastAsia="zh-CN"/>
        </w:rPr>
        <w:t>至少包含4名专职工作人员。其中</w:t>
      </w:r>
    </w:p>
    <w:p w14:paraId="4FF74A0E">
      <w:pPr>
        <w:bidi w:val="0"/>
        <w:rPr>
          <w:rFonts w:hint="eastAsia"/>
          <w:lang w:val="en-US" w:eastAsia="zh-CN"/>
        </w:rPr>
      </w:pPr>
      <w:r>
        <w:rPr>
          <w:rFonts w:hint="eastAsia"/>
          <w:lang w:val="en-US" w:eastAsia="zh-CN"/>
        </w:rPr>
        <w:t>专职馆长1人，专门负责全街道心理服务策划运营；</w:t>
      </w:r>
    </w:p>
    <w:p w14:paraId="1629DCC7">
      <w:pPr>
        <w:bidi w:val="0"/>
        <w:rPr>
          <w:rFonts w:hint="eastAsia"/>
          <w:lang w:val="en-US" w:eastAsia="zh-CN"/>
        </w:rPr>
      </w:pPr>
      <w:r>
        <w:rPr>
          <w:rFonts w:hint="eastAsia"/>
          <w:lang w:val="en-US" w:eastAsia="zh-CN"/>
        </w:rPr>
        <w:t>专职咨询2人，专门负责接待、咨询、宣传、信息汇总等工作；</w:t>
      </w:r>
    </w:p>
    <w:p w14:paraId="71B18FDC">
      <w:pPr>
        <w:bidi w:val="0"/>
        <w:rPr>
          <w:rFonts w:hint="eastAsia"/>
          <w:lang w:val="en-US" w:eastAsia="zh-CN"/>
        </w:rPr>
      </w:pPr>
      <w:r>
        <w:rPr>
          <w:rFonts w:hint="eastAsia"/>
          <w:lang w:val="en-US" w:eastAsia="zh-CN"/>
        </w:rPr>
        <w:t>现场指导人员1人，专职负责设备指导、人员梳理、应急处置等工作。</w:t>
      </w:r>
    </w:p>
    <w:p w14:paraId="302FAAE9">
      <w:pPr>
        <w:bidi w:val="0"/>
        <w:rPr>
          <w:rFonts w:hint="default"/>
          <w:lang w:val="en-US" w:eastAsia="zh-CN"/>
        </w:rPr>
      </w:pPr>
      <w:r>
        <w:rPr>
          <w:rFonts w:hint="eastAsia"/>
          <w:lang w:val="en-US" w:eastAsia="zh-CN"/>
        </w:rPr>
        <w:t>3.4付款方式</w:t>
      </w:r>
    </w:p>
    <w:p w14:paraId="532B36B4">
      <w:pPr>
        <w:bidi w:val="0"/>
        <w:rPr>
          <w:rFonts w:hint="eastAsia"/>
          <w:lang w:val="en-US" w:eastAsia="zh-CN"/>
        </w:rPr>
      </w:pPr>
      <w:r>
        <w:rPr>
          <w:rFonts w:hint="eastAsia"/>
          <w:lang w:val="en-US" w:eastAsia="zh-CN"/>
        </w:rPr>
        <w:t>预付款：合同签订并具备实施条件后7个工作日内支付40%预付款（签订合同时，如供应商明确无需预付款或要求降低预付款比例的，可以不适用本条款，供应商在接收预付款前，应向采购人提交银行、保险公司等金融机构出具的预付款保函）。</w:t>
      </w:r>
    </w:p>
    <w:p w14:paraId="530C0CB3">
      <w:pPr>
        <w:bidi w:val="0"/>
        <w:rPr>
          <w:rFonts w:hint="eastAsia"/>
          <w:lang w:val="en-US" w:eastAsia="zh-CN"/>
        </w:rPr>
      </w:pPr>
      <w:r>
        <w:rPr>
          <w:rFonts w:hint="eastAsia"/>
          <w:lang w:val="en-US" w:eastAsia="zh-CN"/>
        </w:rPr>
        <w:t>余款：余款待采购人考核合格后十个工作日内一次性付清，供应商应提供等额税务发票。如供应商考核未合格的，付款比例及考核得分约定如下：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3533"/>
        <w:gridCol w:w="3379"/>
        <w:gridCol w:w="1344"/>
      </w:tblGrid>
      <w:tr w14:paraId="4A0E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017A9F4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vertAlign w:val="baseline"/>
                <w:lang w:val="en-US" w:eastAsia="zh-CN"/>
              </w:rPr>
            </w:pPr>
            <w:r>
              <w:rPr>
                <w:rFonts w:hint="eastAsia"/>
                <w:vertAlign w:val="baseline"/>
                <w:lang w:val="en-US" w:eastAsia="zh-CN"/>
              </w:rPr>
              <w:t>序号</w:t>
            </w:r>
          </w:p>
        </w:tc>
        <w:tc>
          <w:tcPr>
            <w:tcW w:w="3553" w:type="dxa"/>
          </w:tcPr>
          <w:p w14:paraId="5CCEECD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vertAlign w:val="baseline"/>
                <w:lang w:val="en-US" w:eastAsia="zh-CN"/>
              </w:rPr>
            </w:pPr>
            <w:r>
              <w:rPr>
                <w:rFonts w:hint="eastAsia"/>
                <w:vertAlign w:val="baseline"/>
                <w:lang w:val="en-US" w:eastAsia="zh-CN"/>
              </w:rPr>
              <w:t>考核得分</w:t>
            </w:r>
          </w:p>
        </w:tc>
        <w:tc>
          <w:tcPr>
            <w:tcW w:w="3396" w:type="dxa"/>
          </w:tcPr>
          <w:p w14:paraId="4091E0B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vertAlign w:val="baseline"/>
                <w:lang w:val="en-US" w:eastAsia="zh-CN"/>
              </w:rPr>
            </w:pPr>
            <w:r>
              <w:rPr>
                <w:rFonts w:hint="eastAsia"/>
                <w:vertAlign w:val="baseline"/>
                <w:lang w:val="en-US" w:eastAsia="zh-CN"/>
              </w:rPr>
              <w:t>付款比例</w:t>
            </w:r>
          </w:p>
        </w:tc>
        <w:tc>
          <w:tcPr>
            <w:tcW w:w="1350" w:type="dxa"/>
          </w:tcPr>
          <w:p w14:paraId="3A11778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vertAlign w:val="baseline"/>
                <w:lang w:val="en-US" w:eastAsia="zh-CN"/>
              </w:rPr>
            </w:pPr>
            <w:r>
              <w:rPr>
                <w:rFonts w:hint="eastAsia"/>
                <w:vertAlign w:val="baseline"/>
                <w:lang w:val="en-US" w:eastAsia="zh-CN"/>
              </w:rPr>
              <w:t>备注</w:t>
            </w:r>
          </w:p>
        </w:tc>
      </w:tr>
      <w:tr w14:paraId="3607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1449973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vertAlign w:val="baseline"/>
                <w:lang w:val="en-US" w:eastAsia="zh-CN"/>
              </w:rPr>
            </w:pPr>
            <w:r>
              <w:rPr>
                <w:rFonts w:hint="eastAsia"/>
                <w:vertAlign w:val="baseline"/>
                <w:lang w:val="en-US" w:eastAsia="zh-CN"/>
              </w:rPr>
              <w:t>1</w:t>
            </w:r>
          </w:p>
        </w:tc>
        <w:tc>
          <w:tcPr>
            <w:tcW w:w="3553" w:type="dxa"/>
          </w:tcPr>
          <w:p w14:paraId="1CDF614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vertAlign w:val="baseline"/>
                <w:lang w:val="en-US" w:eastAsia="zh-CN"/>
              </w:rPr>
            </w:pPr>
            <w:r>
              <w:rPr>
                <w:rFonts w:hint="eastAsia"/>
                <w:lang w:val="en-US" w:eastAsia="zh-CN"/>
              </w:rPr>
              <w:t>90分</w:t>
            </w:r>
            <w:r>
              <w:rPr>
                <w:rFonts w:hint="eastAsia" w:ascii="仿宋" w:hAnsi="仿宋" w:eastAsia="仿宋" w:cs="仿宋"/>
                <w:lang w:val="en-US" w:eastAsia="zh-CN"/>
              </w:rPr>
              <w:t>＞</w:t>
            </w:r>
            <w:r>
              <w:rPr>
                <w:rFonts w:hint="eastAsia"/>
                <w:lang w:val="en-US" w:eastAsia="zh-CN"/>
              </w:rPr>
              <w:t>考核得分</w:t>
            </w:r>
            <w:r>
              <w:rPr>
                <w:rFonts w:hint="eastAsia" w:ascii="仿宋" w:hAnsi="仿宋" w:eastAsia="仿宋" w:cs="仿宋"/>
                <w:lang w:val="en-US" w:eastAsia="zh-CN"/>
              </w:rPr>
              <w:t>≥</w:t>
            </w:r>
            <w:r>
              <w:rPr>
                <w:rFonts w:hint="eastAsia" w:ascii="仿宋" w:hAnsi="仿宋" w:cs="仿宋"/>
                <w:lang w:val="en-US" w:eastAsia="zh-CN"/>
              </w:rPr>
              <w:t>80分</w:t>
            </w:r>
          </w:p>
        </w:tc>
        <w:tc>
          <w:tcPr>
            <w:tcW w:w="3396" w:type="dxa"/>
          </w:tcPr>
          <w:p w14:paraId="672332C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vertAlign w:val="baseline"/>
                <w:lang w:val="en-US" w:eastAsia="zh-CN"/>
              </w:rPr>
            </w:pPr>
            <w:r>
              <w:rPr>
                <w:rFonts w:hint="eastAsia"/>
                <w:vertAlign w:val="baseline"/>
                <w:lang w:val="en-US" w:eastAsia="zh-CN"/>
              </w:rPr>
              <w:t>按合同金额90%支付</w:t>
            </w:r>
          </w:p>
        </w:tc>
        <w:tc>
          <w:tcPr>
            <w:tcW w:w="1350" w:type="dxa"/>
          </w:tcPr>
          <w:p w14:paraId="39640921">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vertAlign w:val="baseline"/>
                <w:lang w:val="en-US" w:eastAsia="zh-CN"/>
              </w:rPr>
            </w:pPr>
          </w:p>
        </w:tc>
      </w:tr>
      <w:tr w14:paraId="372E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54C5D01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vertAlign w:val="baseline"/>
                <w:lang w:val="en-US" w:eastAsia="zh-CN"/>
              </w:rPr>
            </w:pPr>
            <w:r>
              <w:rPr>
                <w:rFonts w:hint="eastAsia"/>
                <w:vertAlign w:val="baseline"/>
                <w:lang w:val="en-US" w:eastAsia="zh-CN"/>
              </w:rPr>
              <w:t>2</w:t>
            </w:r>
          </w:p>
        </w:tc>
        <w:tc>
          <w:tcPr>
            <w:tcW w:w="3553" w:type="dxa"/>
            <w:shd w:val="clear" w:color="auto" w:fill="auto"/>
          </w:tcPr>
          <w:p w14:paraId="2F5385C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 w:cs="Times New Roman"/>
                <w:kern w:val="2"/>
                <w:sz w:val="28"/>
                <w:szCs w:val="24"/>
                <w:vertAlign w:val="baseline"/>
                <w:lang w:val="en-US" w:eastAsia="zh-CN" w:bidi="ar-SA"/>
              </w:rPr>
            </w:pPr>
            <w:r>
              <w:rPr>
                <w:rFonts w:hint="eastAsia"/>
                <w:lang w:val="en-US" w:eastAsia="zh-CN"/>
              </w:rPr>
              <w:t>80分</w:t>
            </w:r>
            <w:r>
              <w:rPr>
                <w:rFonts w:hint="eastAsia" w:ascii="仿宋" w:hAnsi="仿宋" w:eastAsia="仿宋" w:cs="仿宋"/>
                <w:lang w:val="en-US" w:eastAsia="zh-CN"/>
              </w:rPr>
              <w:t>＞</w:t>
            </w:r>
            <w:r>
              <w:rPr>
                <w:rFonts w:hint="eastAsia"/>
                <w:lang w:val="en-US" w:eastAsia="zh-CN"/>
              </w:rPr>
              <w:t>考核得分</w:t>
            </w:r>
            <w:r>
              <w:rPr>
                <w:rFonts w:hint="eastAsia" w:ascii="仿宋" w:hAnsi="仿宋" w:eastAsia="仿宋" w:cs="仿宋"/>
                <w:lang w:val="en-US" w:eastAsia="zh-CN"/>
              </w:rPr>
              <w:t>≥</w:t>
            </w:r>
            <w:r>
              <w:rPr>
                <w:rFonts w:hint="eastAsia" w:ascii="仿宋" w:hAnsi="仿宋" w:cs="仿宋"/>
                <w:lang w:val="en-US" w:eastAsia="zh-CN"/>
              </w:rPr>
              <w:t>70分</w:t>
            </w:r>
          </w:p>
        </w:tc>
        <w:tc>
          <w:tcPr>
            <w:tcW w:w="3396" w:type="dxa"/>
            <w:shd w:val="clear" w:color="auto" w:fill="auto"/>
          </w:tcPr>
          <w:p w14:paraId="47C3247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 w:cs="Times New Roman"/>
                <w:kern w:val="2"/>
                <w:sz w:val="28"/>
                <w:szCs w:val="24"/>
                <w:vertAlign w:val="baseline"/>
                <w:lang w:val="en-US" w:eastAsia="zh-CN" w:bidi="ar-SA"/>
              </w:rPr>
            </w:pPr>
            <w:r>
              <w:rPr>
                <w:rFonts w:hint="eastAsia"/>
                <w:vertAlign w:val="baseline"/>
                <w:lang w:val="en-US" w:eastAsia="zh-CN"/>
              </w:rPr>
              <w:t>按合同金额80%支付</w:t>
            </w:r>
          </w:p>
        </w:tc>
        <w:tc>
          <w:tcPr>
            <w:tcW w:w="1350" w:type="dxa"/>
          </w:tcPr>
          <w:p w14:paraId="3A496A30">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vertAlign w:val="baseline"/>
                <w:lang w:val="en-US" w:eastAsia="zh-CN"/>
              </w:rPr>
            </w:pPr>
          </w:p>
        </w:tc>
      </w:tr>
      <w:tr w14:paraId="37E5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27D2F5C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vertAlign w:val="baseline"/>
                <w:lang w:val="en-US" w:eastAsia="zh-CN"/>
              </w:rPr>
            </w:pPr>
            <w:r>
              <w:rPr>
                <w:rFonts w:hint="eastAsia"/>
                <w:vertAlign w:val="baseline"/>
                <w:lang w:val="en-US" w:eastAsia="zh-CN"/>
              </w:rPr>
              <w:t>3</w:t>
            </w:r>
          </w:p>
        </w:tc>
        <w:tc>
          <w:tcPr>
            <w:tcW w:w="3553" w:type="dxa"/>
            <w:shd w:val="clear" w:color="auto" w:fill="auto"/>
          </w:tcPr>
          <w:p w14:paraId="16F79EC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 w:cs="Times New Roman"/>
                <w:kern w:val="2"/>
                <w:sz w:val="28"/>
                <w:szCs w:val="24"/>
                <w:vertAlign w:val="baseline"/>
                <w:lang w:val="en-US" w:eastAsia="zh-CN" w:bidi="ar-SA"/>
              </w:rPr>
            </w:pPr>
            <w:r>
              <w:rPr>
                <w:rFonts w:hint="eastAsia"/>
                <w:lang w:val="en-US" w:eastAsia="zh-CN"/>
              </w:rPr>
              <w:t>70分</w:t>
            </w:r>
            <w:r>
              <w:rPr>
                <w:rFonts w:hint="eastAsia" w:ascii="仿宋" w:hAnsi="仿宋" w:eastAsia="仿宋" w:cs="仿宋"/>
                <w:lang w:val="en-US" w:eastAsia="zh-CN"/>
              </w:rPr>
              <w:t>＞</w:t>
            </w:r>
            <w:r>
              <w:rPr>
                <w:rFonts w:hint="eastAsia"/>
                <w:lang w:val="en-US" w:eastAsia="zh-CN"/>
              </w:rPr>
              <w:t>考核得分</w:t>
            </w:r>
            <w:r>
              <w:rPr>
                <w:rFonts w:hint="eastAsia" w:ascii="仿宋" w:hAnsi="仿宋" w:eastAsia="仿宋" w:cs="仿宋"/>
                <w:lang w:val="en-US" w:eastAsia="zh-CN"/>
              </w:rPr>
              <w:t>≥</w:t>
            </w:r>
            <w:r>
              <w:rPr>
                <w:rFonts w:hint="eastAsia" w:ascii="仿宋" w:hAnsi="仿宋" w:cs="仿宋"/>
                <w:lang w:val="en-US" w:eastAsia="zh-CN"/>
              </w:rPr>
              <w:t>60分</w:t>
            </w:r>
          </w:p>
        </w:tc>
        <w:tc>
          <w:tcPr>
            <w:tcW w:w="3396" w:type="dxa"/>
            <w:shd w:val="clear" w:color="auto" w:fill="auto"/>
          </w:tcPr>
          <w:p w14:paraId="2084F56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 w:cs="Times New Roman"/>
                <w:kern w:val="2"/>
                <w:sz w:val="28"/>
                <w:szCs w:val="24"/>
                <w:vertAlign w:val="baseline"/>
                <w:lang w:val="en-US" w:eastAsia="zh-CN" w:bidi="ar-SA"/>
              </w:rPr>
            </w:pPr>
            <w:r>
              <w:rPr>
                <w:rFonts w:hint="eastAsia"/>
                <w:vertAlign w:val="baseline"/>
                <w:lang w:val="en-US" w:eastAsia="zh-CN"/>
              </w:rPr>
              <w:t>按合同金额65%支付</w:t>
            </w:r>
          </w:p>
        </w:tc>
        <w:tc>
          <w:tcPr>
            <w:tcW w:w="1350" w:type="dxa"/>
          </w:tcPr>
          <w:p w14:paraId="2D67513D">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vertAlign w:val="baseline"/>
                <w:lang w:val="en-US" w:eastAsia="zh-CN"/>
              </w:rPr>
            </w:pPr>
          </w:p>
        </w:tc>
      </w:tr>
      <w:tr w14:paraId="3BE0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7E715BD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vertAlign w:val="baseline"/>
                <w:lang w:val="en-US" w:eastAsia="zh-CN"/>
              </w:rPr>
            </w:pPr>
            <w:r>
              <w:rPr>
                <w:rFonts w:hint="eastAsia"/>
                <w:vertAlign w:val="baseline"/>
                <w:lang w:val="en-US" w:eastAsia="zh-CN"/>
              </w:rPr>
              <w:t>4</w:t>
            </w:r>
          </w:p>
        </w:tc>
        <w:tc>
          <w:tcPr>
            <w:tcW w:w="3553" w:type="dxa"/>
            <w:shd w:val="clear" w:color="auto" w:fill="auto"/>
          </w:tcPr>
          <w:p w14:paraId="4A31121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 w:cs="Times New Roman"/>
                <w:kern w:val="2"/>
                <w:sz w:val="28"/>
                <w:szCs w:val="24"/>
                <w:vertAlign w:val="baseline"/>
                <w:lang w:val="en-US" w:eastAsia="zh-CN" w:bidi="ar-SA"/>
              </w:rPr>
            </w:pPr>
            <w:r>
              <w:rPr>
                <w:rFonts w:hint="eastAsia"/>
                <w:lang w:val="en-US" w:eastAsia="zh-CN"/>
              </w:rPr>
              <w:t>考核得分</w:t>
            </w:r>
            <w:r>
              <w:rPr>
                <w:rFonts w:hint="eastAsia" w:ascii="仿宋" w:hAnsi="仿宋" w:eastAsia="仿宋" w:cs="仿宋"/>
                <w:lang w:val="en-US" w:eastAsia="zh-CN"/>
              </w:rPr>
              <w:t>＜</w:t>
            </w:r>
            <w:r>
              <w:rPr>
                <w:rFonts w:hint="eastAsia" w:ascii="仿宋" w:hAnsi="仿宋" w:cs="仿宋"/>
                <w:lang w:val="en-US" w:eastAsia="zh-CN"/>
              </w:rPr>
              <w:t>60分</w:t>
            </w:r>
          </w:p>
        </w:tc>
        <w:tc>
          <w:tcPr>
            <w:tcW w:w="3396" w:type="dxa"/>
            <w:shd w:val="clear" w:color="auto" w:fill="auto"/>
          </w:tcPr>
          <w:p w14:paraId="4F86AE9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 w:cs="Times New Roman"/>
                <w:kern w:val="2"/>
                <w:sz w:val="28"/>
                <w:szCs w:val="24"/>
                <w:vertAlign w:val="baseline"/>
                <w:lang w:val="en-US" w:eastAsia="zh-CN" w:bidi="ar-SA"/>
              </w:rPr>
            </w:pPr>
            <w:r>
              <w:rPr>
                <w:rFonts w:hint="eastAsia"/>
                <w:vertAlign w:val="baseline"/>
                <w:lang w:val="en-US" w:eastAsia="zh-CN"/>
              </w:rPr>
              <w:t>按合同金额40%支付</w:t>
            </w:r>
          </w:p>
        </w:tc>
        <w:tc>
          <w:tcPr>
            <w:tcW w:w="1350" w:type="dxa"/>
          </w:tcPr>
          <w:p w14:paraId="3D5145E4">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vertAlign w:val="baseline"/>
                <w:lang w:val="en-US" w:eastAsia="zh-CN"/>
              </w:rPr>
            </w:pPr>
          </w:p>
        </w:tc>
      </w:tr>
    </w:tbl>
    <w:p w14:paraId="4C36CD79">
      <w:pPr>
        <w:bidi w:val="0"/>
        <w:rPr>
          <w:rFonts w:hint="eastAsia"/>
          <w:lang w:val="en-US" w:eastAsia="zh-CN"/>
        </w:rPr>
      </w:pPr>
      <w:r>
        <w:rPr>
          <w:rFonts w:hint="eastAsia"/>
          <w:lang w:val="en-US" w:eastAsia="zh-CN"/>
        </w:rPr>
        <w:t>3.5安全保密要求</w:t>
      </w:r>
    </w:p>
    <w:p w14:paraId="42826D19">
      <w:pPr>
        <w:bidi w:val="0"/>
        <w:rPr>
          <w:rFonts w:hint="eastAsia"/>
          <w:lang w:val="en-US" w:eastAsia="zh-CN"/>
        </w:rPr>
      </w:pPr>
      <w:r>
        <w:rPr>
          <w:rFonts w:hint="eastAsia"/>
          <w:lang w:val="en-US" w:eastAsia="zh-CN"/>
        </w:rPr>
        <w:t>供应商应对服务对象的各类个人信息做好保密工作，不得向任何单位或个人泄露。</w:t>
      </w:r>
    </w:p>
    <w:p w14:paraId="7D280E96">
      <w:pPr>
        <w:bidi w:val="0"/>
        <w:rPr>
          <w:rFonts w:hint="eastAsia"/>
          <w:lang w:val="en-US" w:eastAsia="zh-CN"/>
        </w:rPr>
      </w:pPr>
      <w:r>
        <w:rPr>
          <w:rFonts w:hint="eastAsia"/>
          <w:lang w:val="en-US" w:eastAsia="zh-CN"/>
        </w:rPr>
        <w:t>3.6风险因素</w:t>
      </w:r>
    </w:p>
    <w:p w14:paraId="3E131F2D">
      <w:pPr>
        <w:bidi w:val="0"/>
        <w:rPr>
          <w:rFonts w:hint="eastAsia"/>
          <w:lang w:val="en-US" w:eastAsia="zh-CN"/>
        </w:rPr>
      </w:pPr>
      <w:r>
        <w:rPr>
          <w:rFonts w:hint="eastAsia"/>
          <w:lang w:val="en-US" w:eastAsia="zh-CN"/>
        </w:rPr>
        <w:t>（1）因国家政策变化引起的风险，由供应商负责承担。</w:t>
      </w:r>
    </w:p>
    <w:p w14:paraId="432C2A0A">
      <w:pPr>
        <w:bidi w:val="0"/>
        <w:rPr>
          <w:rFonts w:hint="eastAsia"/>
          <w:lang w:val="en-US" w:eastAsia="zh-CN"/>
        </w:rPr>
      </w:pPr>
      <w:r>
        <w:rPr>
          <w:rFonts w:hint="eastAsia"/>
          <w:lang w:val="en-US" w:eastAsia="zh-CN"/>
        </w:rPr>
        <w:t>（2）如供应商在项目实施过程中未按原先承诺的服务标准提供服务的，采购人可以视供应商未提供此服务，供应商自行承担所有责任和损失。</w:t>
      </w:r>
    </w:p>
    <w:p w14:paraId="715166FE">
      <w:pPr>
        <w:bidi w:val="0"/>
        <w:rPr>
          <w:rFonts w:hint="eastAsia"/>
          <w:lang w:val="en-US" w:eastAsia="zh-CN"/>
        </w:rPr>
      </w:pPr>
      <w:r>
        <w:rPr>
          <w:rFonts w:hint="eastAsia"/>
          <w:lang w:val="en-US" w:eastAsia="zh-CN"/>
        </w:rPr>
        <w:t>3.7考核标准</w:t>
      </w:r>
    </w:p>
    <w:p w14:paraId="06937B9C">
      <w:pPr>
        <w:bidi w:val="0"/>
        <w:rPr>
          <w:rFonts w:hint="eastAsia"/>
          <w:lang w:val="en-US" w:eastAsia="zh-CN"/>
        </w:rPr>
      </w:pPr>
      <w:r>
        <w:rPr>
          <w:rFonts w:hint="eastAsia"/>
          <w:lang w:val="en-US" w:eastAsia="zh-CN"/>
        </w:rPr>
        <w:t>服务期结束前，采购人对供应商的履约情况进行总体考核，考核结果作为续签合同和支付余款的依据，考核结果得分在90分以上的视为考核合格，可以续签下一年合同，全额支付合同款项。具体考核标准如下：</w:t>
      </w:r>
    </w:p>
    <w:p w14:paraId="72B05334">
      <w:pPr>
        <w:spacing w:line="560" w:lineRule="exact"/>
        <w:ind w:firstLine="480" w:firstLineChars="200"/>
        <w:jc w:val="center"/>
        <w:rPr>
          <w:rFonts w:hint="default" w:ascii="仿宋" w:hAnsi="仿宋" w:cs="仿宋"/>
          <w:iCs/>
          <w:sz w:val="24"/>
          <w:szCs w:val="24"/>
          <w:lang w:val="en-US" w:eastAsia="zh-CN"/>
        </w:rPr>
      </w:pPr>
      <w:r>
        <w:rPr>
          <w:rFonts w:hint="eastAsia" w:ascii="仿宋" w:hAnsi="仿宋" w:cs="仿宋"/>
          <w:iCs/>
          <w:sz w:val="24"/>
          <w:szCs w:val="24"/>
          <w:lang w:val="en-US" w:eastAsia="zh-CN"/>
        </w:rPr>
        <w:t>年度考核表</w:t>
      </w:r>
    </w:p>
    <w:tbl>
      <w:tblPr>
        <w:tblStyle w:val="63"/>
        <w:tblW w:w="49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9"/>
        <w:gridCol w:w="1451"/>
        <w:gridCol w:w="3280"/>
        <w:gridCol w:w="802"/>
        <w:gridCol w:w="2881"/>
      </w:tblGrid>
      <w:tr w14:paraId="158F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413" w:type="pct"/>
            <w:shd w:val="clear" w:color="auto" w:fill="auto"/>
            <w:noWrap/>
            <w:vAlign w:val="center"/>
          </w:tcPr>
          <w:p w14:paraId="5D213F2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序号</w:t>
            </w:r>
          </w:p>
        </w:tc>
        <w:tc>
          <w:tcPr>
            <w:tcW w:w="790" w:type="pct"/>
            <w:shd w:val="clear" w:color="auto" w:fill="auto"/>
            <w:noWrap/>
            <w:vAlign w:val="center"/>
          </w:tcPr>
          <w:p w14:paraId="138951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主题内容</w:t>
            </w:r>
          </w:p>
        </w:tc>
        <w:tc>
          <w:tcPr>
            <w:tcW w:w="1787" w:type="pct"/>
            <w:shd w:val="clear" w:color="auto" w:fill="auto"/>
            <w:noWrap/>
            <w:vAlign w:val="center"/>
          </w:tcPr>
          <w:p w14:paraId="2D1CAD4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cs="仿宋"/>
                <w:i w:val="0"/>
                <w:iCs w:val="0"/>
                <w:color w:val="000000"/>
                <w:kern w:val="0"/>
                <w:sz w:val="24"/>
                <w:szCs w:val="24"/>
                <w:u w:val="none"/>
                <w:lang w:val="en-US" w:eastAsia="zh-CN"/>
              </w:rPr>
              <w:t>要求</w:t>
            </w:r>
          </w:p>
        </w:tc>
        <w:tc>
          <w:tcPr>
            <w:tcW w:w="437" w:type="pct"/>
            <w:shd w:val="clear" w:color="auto" w:fill="auto"/>
            <w:noWrap/>
            <w:vAlign w:val="center"/>
          </w:tcPr>
          <w:p w14:paraId="7C41088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cs="仿宋"/>
                <w:i w:val="0"/>
                <w:iCs w:val="0"/>
                <w:color w:val="000000"/>
                <w:kern w:val="0"/>
                <w:sz w:val="24"/>
                <w:szCs w:val="24"/>
                <w:u w:val="none"/>
                <w:lang w:val="en-US" w:eastAsia="zh-CN"/>
              </w:rPr>
              <w:t>分值</w:t>
            </w:r>
          </w:p>
        </w:tc>
        <w:tc>
          <w:tcPr>
            <w:tcW w:w="1570" w:type="pct"/>
            <w:shd w:val="clear" w:color="auto" w:fill="auto"/>
            <w:noWrap/>
            <w:vAlign w:val="center"/>
          </w:tcPr>
          <w:p w14:paraId="030F3F6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cs="仿宋"/>
                <w:i w:val="0"/>
                <w:iCs w:val="0"/>
                <w:color w:val="000000"/>
                <w:kern w:val="0"/>
                <w:sz w:val="24"/>
                <w:szCs w:val="24"/>
                <w:u w:val="none"/>
                <w:lang w:val="en-US" w:eastAsia="zh-CN"/>
              </w:rPr>
            </w:pPr>
            <w:r>
              <w:rPr>
                <w:rFonts w:hint="eastAsia" w:ascii="仿宋" w:hAnsi="仿宋" w:cs="仿宋"/>
                <w:color w:val="auto"/>
                <w:sz w:val="24"/>
                <w:szCs w:val="24"/>
                <w:highlight w:val="none"/>
                <w:lang w:val="en-US" w:eastAsia="zh-CN"/>
              </w:rPr>
              <w:t>扣分标准</w:t>
            </w:r>
          </w:p>
        </w:tc>
      </w:tr>
      <w:tr w14:paraId="59C7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413" w:type="pct"/>
            <w:shd w:val="clear" w:color="auto" w:fill="auto"/>
            <w:noWrap/>
            <w:vAlign w:val="center"/>
          </w:tcPr>
          <w:p w14:paraId="333E0F7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仿宋" w:hAnsi="仿宋" w:eastAsia="仿宋" w:cs="仿宋"/>
                <w:i w:val="0"/>
                <w:iCs w:val="0"/>
                <w:color w:val="000000"/>
                <w:kern w:val="0"/>
                <w:sz w:val="24"/>
                <w:szCs w:val="24"/>
                <w:u w:val="none"/>
                <w:lang w:val="en-US" w:eastAsia="zh-CN"/>
              </w:rPr>
            </w:pPr>
            <w:r>
              <w:rPr>
                <w:rFonts w:hint="eastAsia" w:ascii="仿宋" w:hAnsi="仿宋" w:cs="仿宋"/>
                <w:i w:val="0"/>
                <w:iCs w:val="0"/>
                <w:color w:val="000000"/>
                <w:kern w:val="0"/>
                <w:sz w:val="24"/>
                <w:szCs w:val="24"/>
                <w:u w:val="none"/>
                <w:lang w:val="en-US" w:eastAsia="zh-CN"/>
              </w:rPr>
              <w:t>一</w:t>
            </w:r>
          </w:p>
        </w:tc>
        <w:tc>
          <w:tcPr>
            <w:tcW w:w="4586" w:type="pct"/>
            <w:gridSpan w:val="4"/>
            <w:shd w:val="clear" w:color="auto" w:fill="auto"/>
            <w:noWrap/>
            <w:vAlign w:val="center"/>
          </w:tcPr>
          <w:p w14:paraId="3CA611C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考核项</w:t>
            </w:r>
          </w:p>
        </w:tc>
      </w:tr>
      <w:tr w14:paraId="6BE7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413" w:type="pct"/>
            <w:shd w:val="clear" w:color="auto" w:fill="auto"/>
            <w:noWrap/>
            <w:vAlign w:val="center"/>
          </w:tcPr>
          <w:p w14:paraId="19C089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1</w:t>
            </w:r>
          </w:p>
        </w:tc>
        <w:tc>
          <w:tcPr>
            <w:tcW w:w="790" w:type="pct"/>
            <w:shd w:val="clear" w:color="auto" w:fill="auto"/>
            <w:noWrap/>
            <w:vAlign w:val="center"/>
          </w:tcPr>
          <w:p w14:paraId="0ADFD9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0"/>
                <w:sz w:val="24"/>
                <w:szCs w:val="24"/>
                <w:u w:val="none"/>
                <w:lang w:val="en-US" w:eastAsia="zh-CN"/>
              </w:rPr>
            </w:pPr>
            <w:r>
              <w:rPr>
                <w:rFonts w:hint="eastAsia" w:ascii="仿宋" w:hAnsi="仿宋" w:cs="仿宋"/>
                <w:i w:val="0"/>
                <w:iCs w:val="0"/>
                <w:color w:val="000000"/>
                <w:kern w:val="0"/>
                <w:sz w:val="24"/>
                <w:szCs w:val="24"/>
                <w:u w:val="none"/>
                <w:lang w:val="en-US" w:eastAsia="zh-CN"/>
              </w:rPr>
              <w:t>健康心理研学活动</w:t>
            </w:r>
          </w:p>
        </w:tc>
        <w:tc>
          <w:tcPr>
            <w:tcW w:w="1787" w:type="pct"/>
            <w:shd w:val="clear" w:color="auto" w:fill="auto"/>
            <w:noWrap/>
            <w:vAlign w:val="center"/>
          </w:tcPr>
          <w:p w14:paraId="3E343CE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sz w:val="24"/>
                <w:szCs w:val="24"/>
                <w:lang w:val="en-US" w:eastAsia="zh-CN"/>
              </w:rPr>
              <w:t>全年服务数量不少于</w:t>
            </w:r>
            <w:r>
              <w:rPr>
                <w:rFonts w:hint="eastAsia"/>
                <w:sz w:val="24"/>
                <w:szCs w:val="24"/>
                <w:u w:val="none"/>
                <w:lang w:val="en-US" w:eastAsia="zh-CN"/>
              </w:rPr>
              <w:t>2000</w:t>
            </w:r>
            <w:r>
              <w:rPr>
                <w:rFonts w:hint="eastAsia"/>
                <w:sz w:val="24"/>
                <w:szCs w:val="24"/>
                <w:lang w:val="en-US" w:eastAsia="zh-CN"/>
              </w:rPr>
              <w:t>人次。</w:t>
            </w:r>
          </w:p>
        </w:tc>
        <w:tc>
          <w:tcPr>
            <w:tcW w:w="437" w:type="pct"/>
            <w:shd w:val="clear" w:color="auto" w:fill="auto"/>
            <w:noWrap/>
            <w:vAlign w:val="center"/>
          </w:tcPr>
          <w:p w14:paraId="0FCD08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highlight w:val="cyan"/>
                <w:u w:val="none"/>
                <w:lang w:val="en-US" w:eastAsia="zh-CN" w:bidi="ar-SA"/>
              </w:rPr>
            </w:pPr>
            <w:r>
              <w:rPr>
                <w:rFonts w:hint="eastAsia" w:ascii="仿宋" w:hAnsi="仿宋" w:cs="仿宋"/>
                <w:i w:val="0"/>
                <w:iCs w:val="0"/>
                <w:color w:val="000000"/>
                <w:sz w:val="24"/>
                <w:szCs w:val="24"/>
                <w:highlight w:val="none"/>
                <w:u w:val="none"/>
                <w:lang w:val="en-US" w:eastAsia="zh-CN"/>
              </w:rPr>
              <w:t>25</w:t>
            </w:r>
          </w:p>
        </w:tc>
        <w:tc>
          <w:tcPr>
            <w:tcW w:w="1570" w:type="pct"/>
            <w:shd w:val="clear" w:color="auto" w:fill="auto"/>
            <w:noWrap/>
            <w:vAlign w:val="center"/>
          </w:tcPr>
          <w:p w14:paraId="58CB28B3">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cs="仿宋"/>
                <w:i w:val="0"/>
                <w:iCs w:val="0"/>
                <w:color w:val="000000"/>
                <w:kern w:val="0"/>
                <w:sz w:val="24"/>
                <w:szCs w:val="24"/>
                <w:u w:val="none"/>
                <w:lang w:val="en-US" w:eastAsia="zh-CN"/>
              </w:rPr>
              <w:t>服务数量每少40人次扣0.5分，扣完为止。</w:t>
            </w:r>
          </w:p>
        </w:tc>
      </w:tr>
      <w:tr w14:paraId="4797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3" w:type="pct"/>
            <w:shd w:val="clear" w:color="auto" w:fill="auto"/>
            <w:noWrap/>
            <w:vAlign w:val="center"/>
          </w:tcPr>
          <w:p w14:paraId="04B7DC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2</w:t>
            </w:r>
          </w:p>
        </w:tc>
        <w:tc>
          <w:tcPr>
            <w:tcW w:w="790" w:type="pct"/>
            <w:shd w:val="clear" w:color="auto" w:fill="auto"/>
            <w:noWrap/>
            <w:vAlign w:val="center"/>
          </w:tcPr>
          <w:p w14:paraId="24C17A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0"/>
                <w:sz w:val="24"/>
                <w:szCs w:val="24"/>
                <w:u w:val="none"/>
                <w:lang w:val="en-US" w:eastAsia="zh-CN"/>
              </w:rPr>
            </w:pPr>
            <w:r>
              <w:rPr>
                <w:rFonts w:hint="eastAsia" w:ascii="仿宋" w:hAnsi="仿宋" w:cs="仿宋"/>
                <w:i w:val="0"/>
                <w:iCs w:val="0"/>
                <w:color w:val="000000"/>
                <w:kern w:val="0"/>
                <w:sz w:val="24"/>
                <w:szCs w:val="24"/>
                <w:u w:val="none"/>
                <w:lang w:val="en-US" w:eastAsia="zh-CN"/>
              </w:rPr>
              <w:t>加强心理健康教育服务</w:t>
            </w:r>
          </w:p>
        </w:tc>
        <w:tc>
          <w:tcPr>
            <w:tcW w:w="1787" w:type="pct"/>
            <w:shd w:val="clear" w:color="auto" w:fill="auto"/>
            <w:noWrap/>
            <w:vAlign w:val="center"/>
          </w:tcPr>
          <w:p w14:paraId="0F8B647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全年组织面向机关职能部门、村社于部、家长、老师等群体的大型综合型心理健康教育一场，面向幼、小、中学师生、机关职能部门、村社干部的专场教育不少于4场。</w:t>
            </w:r>
          </w:p>
        </w:tc>
        <w:tc>
          <w:tcPr>
            <w:tcW w:w="437" w:type="pct"/>
            <w:shd w:val="clear" w:color="auto" w:fill="auto"/>
            <w:noWrap/>
            <w:vAlign w:val="center"/>
          </w:tcPr>
          <w:p w14:paraId="513A8A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cs="仿宋"/>
                <w:i w:val="0"/>
                <w:iCs w:val="0"/>
                <w:color w:val="000000"/>
                <w:sz w:val="24"/>
                <w:szCs w:val="24"/>
                <w:u w:val="none"/>
                <w:lang w:val="en-US" w:eastAsia="zh-CN"/>
              </w:rPr>
              <w:t>10</w:t>
            </w:r>
          </w:p>
        </w:tc>
        <w:tc>
          <w:tcPr>
            <w:tcW w:w="1570" w:type="pct"/>
            <w:shd w:val="clear" w:color="auto" w:fill="auto"/>
            <w:noWrap/>
            <w:vAlign w:val="center"/>
          </w:tcPr>
          <w:p w14:paraId="62F6BBC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cs="仿宋"/>
                <w:i w:val="0"/>
                <w:iCs w:val="0"/>
                <w:color w:val="000000"/>
                <w:kern w:val="0"/>
                <w:sz w:val="24"/>
                <w:szCs w:val="24"/>
                <w:u w:val="none"/>
                <w:lang w:val="en-US" w:eastAsia="zh-CN"/>
              </w:rPr>
              <w:t>每少1场扣2分，扣完为止。</w:t>
            </w:r>
          </w:p>
        </w:tc>
      </w:tr>
      <w:tr w14:paraId="1DF0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13" w:type="pct"/>
            <w:vMerge w:val="restart"/>
            <w:shd w:val="clear" w:color="auto" w:fill="auto"/>
            <w:vAlign w:val="center"/>
          </w:tcPr>
          <w:p w14:paraId="18FAFA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3</w:t>
            </w:r>
          </w:p>
        </w:tc>
        <w:tc>
          <w:tcPr>
            <w:tcW w:w="790" w:type="pct"/>
            <w:vMerge w:val="restart"/>
            <w:shd w:val="clear" w:color="auto" w:fill="auto"/>
            <w:vAlign w:val="center"/>
          </w:tcPr>
          <w:p w14:paraId="13E7022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Times New Roman" w:hAnsi="Times New Roman" w:eastAsia="仿宋" w:cs="Times New Roman"/>
                <w:color w:val="000000"/>
                <w:kern w:val="2"/>
                <w:sz w:val="24"/>
                <w:szCs w:val="24"/>
                <w:lang w:val="en-US" w:eastAsia="zh-CN" w:bidi="ar-SA"/>
              </w:rPr>
            </w:pPr>
            <w:r>
              <w:rPr>
                <w:rFonts w:hint="eastAsia"/>
                <w:sz w:val="24"/>
                <w:szCs w:val="24"/>
                <w:lang w:val="en-US" w:eastAsia="zh-CN"/>
              </w:rPr>
              <w:t>健康心理拓展活动</w:t>
            </w:r>
          </w:p>
        </w:tc>
        <w:tc>
          <w:tcPr>
            <w:tcW w:w="1787" w:type="pct"/>
            <w:shd w:val="clear" w:color="auto" w:fill="auto"/>
            <w:noWrap/>
            <w:vAlign w:val="center"/>
          </w:tcPr>
          <w:p w14:paraId="65CC2AE7">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仿宋" w:hAnsi="仿宋" w:eastAsia="仿宋" w:cs="仿宋"/>
                <w:i w:val="0"/>
                <w:iCs w:val="0"/>
                <w:color w:val="000000"/>
                <w:kern w:val="2"/>
                <w:sz w:val="24"/>
                <w:szCs w:val="24"/>
                <w:u w:val="none"/>
                <w:lang w:val="en-US" w:eastAsia="zh-CN" w:bidi="ar-SA"/>
              </w:rPr>
            </w:pPr>
            <w:r>
              <w:rPr>
                <w:rFonts w:hint="default"/>
                <w:sz w:val="24"/>
                <w:szCs w:val="24"/>
                <w:lang w:val="en-US" w:eastAsia="zh-CN"/>
              </w:rPr>
              <w:t>全年服务次数不少于</w:t>
            </w:r>
            <w:r>
              <w:rPr>
                <w:rFonts w:hint="eastAsia"/>
                <w:sz w:val="24"/>
                <w:szCs w:val="24"/>
                <w:u w:val="single"/>
                <w:lang w:val="en-US" w:eastAsia="zh-CN"/>
              </w:rPr>
              <w:t>55</w:t>
            </w:r>
            <w:r>
              <w:rPr>
                <w:rFonts w:hint="default"/>
                <w:sz w:val="24"/>
                <w:szCs w:val="24"/>
                <w:lang w:val="en-US" w:eastAsia="zh-CN"/>
              </w:rPr>
              <w:t>次</w:t>
            </w:r>
          </w:p>
        </w:tc>
        <w:tc>
          <w:tcPr>
            <w:tcW w:w="437" w:type="pct"/>
            <w:shd w:val="clear" w:color="auto" w:fill="auto"/>
            <w:noWrap/>
            <w:vAlign w:val="center"/>
          </w:tcPr>
          <w:p w14:paraId="7E6267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cs="仿宋"/>
                <w:i w:val="0"/>
                <w:iCs w:val="0"/>
                <w:color w:val="000000"/>
                <w:sz w:val="24"/>
                <w:szCs w:val="24"/>
                <w:u w:val="none"/>
                <w:lang w:val="en-US" w:eastAsia="zh-CN"/>
              </w:rPr>
              <w:t>22</w:t>
            </w:r>
          </w:p>
        </w:tc>
        <w:tc>
          <w:tcPr>
            <w:tcW w:w="1570" w:type="pct"/>
            <w:shd w:val="clear" w:color="auto" w:fill="auto"/>
            <w:noWrap/>
            <w:vAlign w:val="center"/>
          </w:tcPr>
          <w:p w14:paraId="6684FF4F">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仿宋" w:hAnsi="仿宋" w:eastAsia="仿宋" w:cs="仿宋"/>
                <w:i w:val="0"/>
                <w:iCs w:val="0"/>
                <w:color w:val="000000"/>
                <w:kern w:val="0"/>
                <w:sz w:val="24"/>
                <w:szCs w:val="24"/>
                <w:u w:val="none"/>
                <w:lang w:val="en-US" w:eastAsia="zh-CN" w:bidi="ar-SA"/>
              </w:rPr>
            </w:pPr>
            <w:r>
              <w:rPr>
                <w:rFonts w:hint="eastAsia" w:ascii="仿宋" w:hAnsi="仿宋" w:cs="仿宋"/>
                <w:i w:val="0"/>
                <w:iCs w:val="0"/>
                <w:color w:val="000000"/>
                <w:kern w:val="0"/>
                <w:sz w:val="24"/>
                <w:szCs w:val="24"/>
                <w:u w:val="none"/>
                <w:lang w:val="en-US" w:eastAsia="zh-CN"/>
              </w:rPr>
              <w:t>服务次数每少1次扣0.4分，扣完为止。</w:t>
            </w:r>
          </w:p>
        </w:tc>
      </w:tr>
      <w:tr w14:paraId="58AD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3" w:hRule="atLeast"/>
        </w:trPr>
        <w:tc>
          <w:tcPr>
            <w:tcW w:w="413" w:type="pct"/>
            <w:vMerge w:val="continue"/>
            <w:shd w:val="clear" w:color="auto" w:fill="auto"/>
            <w:vAlign w:val="center"/>
          </w:tcPr>
          <w:p w14:paraId="7544CA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rPr>
            </w:pPr>
          </w:p>
        </w:tc>
        <w:tc>
          <w:tcPr>
            <w:tcW w:w="790" w:type="pct"/>
            <w:vMerge w:val="continue"/>
            <w:shd w:val="clear" w:color="auto" w:fill="auto"/>
            <w:vAlign w:val="center"/>
          </w:tcPr>
          <w:p w14:paraId="772B4A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cs="仿宋"/>
                <w:sz w:val="24"/>
                <w:szCs w:val="24"/>
                <w:lang w:val="en-US" w:eastAsia="zh-CN"/>
              </w:rPr>
            </w:pPr>
          </w:p>
        </w:tc>
        <w:tc>
          <w:tcPr>
            <w:tcW w:w="1787" w:type="pct"/>
            <w:shd w:val="clear" w:color="auto" w:fill="auto"/>
            <w:noWrap/>
            <w:vAlign w:val="center"/>
          </w:tcPr>
          <w:p w14:paraId="717D38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cs="仿宋"/>
                <w:color w:val="auto"/>
                <w:sz w:val="24"/>
                <w:szCs w:val="24"/>
                <w:highlight w:val="none"/>
                <w:lang w:val="en-US" w:eastAsia="zh-CN"/>
              </w:rPr>
              <w:t>场所面积不少于2000平方米</w:t>
            </w:r>
          </w:p>
        </w:tc>
        <w:tc>
          <w:tcPr>
            <w:tcW w:w="437" w:type="pct"/>
            <w:shd w:val="clear" w:color="auto" w:fill="auto"/>
            <w:noWrap/>
            <w:vAlign w:val="center"/>
          </w:tcPr>
          <w:p w14:paraId="24F5A3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cs="仿宋"/>
                <w:i w:val="0"/>
                <w:iCs w:val="0"/>
                <w:color w:val="000000"/>
                <w:kern w:val="0"/>
                <w:sz w:val="24"/>
                <w:szCs w:val="24"/>
                <w:u w:val="none"/>
                <w:lang w:val="en-US" w:eastAsia="zh-CN"/>
              </w:rPr>
              <w:t>10</w:t>
            </w:r>
          </w:p>
        </w:tc>
        <w:tc>
          <w:tcPr>
            <w:tcW w:w="1570" w:type="pct"/>
            <w:shd w:val="clear" w:color="auto" w:fill="auto"/>
            <w:noWrap/>
            <w:vAlign w:val="center"/>
          </w:tcPr>
          <w:p w14:paraId="58DF8EF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cs="仿宋"/>
                <w:i w:val="0"/>
                <w:iCs w:val="0"/>
                <w:color w:val="000000"/>
                <w:kern w:val="0"/>
                <w:sz w:val="24"/>
                <w:szCs w:val="24"/>
                <w:u w:val="none"/>
                <w:lang w:val="en-US" w:eastAsia="zh-CN"/>
              </w:rPr>
              <w:t>面积不足每少50平方米扣0.5分，扣完为止。</w:t>
            </w:r>
          </w:p>
        </w:tc>
      </w:tr>
      <w:tr w14:paraId="7428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3" w:hRule="atLeast"/>
        </w:trPr>
        <w:tc>
          <w:tcPr>
            <w:tcW w:w="413" w:type="pct"/>
            <w:vMerge w:val="continue"/>
            <w:shd w:val="clear" w:color="auto" w:fill="auto"/>
            <w:vAlign w:val="center"/>
          </w:tcPr>
          <w:p w14:paraId="7790843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sz w:val="24"/>
                <w:szCs w:val="24"/>
              </w:rPr>
            </w:pPr>
          </w:p>
        </w:tc>
        <w:tc>
          <w:tcPr>
            <w:tcW w:w="790" w:type="pct"/>
            <w:vMerge w:val="continue"/>
            <w:shd w:val="clear" w:color="auto" w:fill="auto"/>
            <w:vAlign w:val="center"/>
          </w:tcPr>
          <w:p w14:paraId="680B81B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sz w:val="24"/>
                <w:szCs w:val="24"/>
              </w:rPr>
            </w:pPr>
          </w:p>
        </w:tc>
        <w:tc>
          <w:tcPr>
            <w:tcW w:w="1787" w:type="pct"/>
            <w:shd w:val="clear" w:color="auto" w:fill="auto"/>
            <w:noWrap/>
            <w:vAlign w:val="center"/>
          </w:tcPr>
          <w:p w14:paraId="00AB88B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功能分布完整</w:t>
            </w:r>
          </w:p>
        </w:tc>
        <w:tc>
          <w:tcPr>
            <w:tcW w:w="437" w:type="pct"/>
            <w:shd w:val="clear" w:color="auto" w:fill="auto"/>
            <w:noWrap/>
            <w:vAlign w:val="center"/>
          </w:tcPr>
          <w:p w14:paraId="6E20AB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5</w:t>
            </w:r>
          </w:p>
        </w:tc>
        <w:tc>
          <w:tcPr>
            <w:tcW w:w="1570" w:type="pct"/>
            <w:shd w:val="clear" w:color="auto" w:fill="auto"/>
            <w:noWrap/>
            <w:vAlign w:val="center"/>
          </w:tcPr>
          <w:p w14:paraId="728C2F20">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功能区分布不完整的扣0.5-1分/项，扣完为止。</w:t>
            </w:r>
          </w:p>
        </w:tc>
      </w:tr>
      <w:tr w14:paraId="3F82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3" w:hRule="atLeast"/>
        </w:trPr>
        <w:tc>
          <w:tcPr>
            <w:tcW w:w="413" w:type="pct"/>
            <w:vMerge w:val="continue"/>
            <w:shd w:val="clear" w:color="auto" w:fill="auto"/>
            <w:vAlign w:val="center"/>
          </w:tcPr>
          <w:p w14:paraId="709DD5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790" w:type="pct"/>
            <w:vMerge w:val="continue"/>
            <w:shd w:val="clear" w:color="auto" w:fill="auto"/>
            <w:vAlign w:val="center"/>
          </w:tcPr>
          <w:p w14:paraId="133D8806">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color w:val="auto"/>
                <w:sz w:val="24"/>
                <w:szCs w:val="24"/>
                <w:highlight w:val="none"/>
                <w:lang w:val="en-US" w:eastAsia="zh-CN"/>
              </w:rPr>
            </w:pPr>
          </w:p>
        </w:tc>
        <w:tc>
          <w:tcPr>
            <w:tcW w:w="1787" w:type="pct"/>
            <w:shd w:val="clear" w:color="auto" w:fill="auto"/>
            <w:noWrap/>
            <w:vAlign w:val="center"/>
          </w:tcPr>
          <w:p w14:paraId="39FEB05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设备设施齐全</w:t>
            </w:r>
          </w:p>
        </w:tc>
        <w:tc>
          <w:tcPr>
            <w:tcW w:w="437" w:type="pct"/>
            <w:shd w:val="clear" w:color="auto" w:fill="auto"/>
            <w:noWrap/>
            <w:vAlign w:val="center"/>
          </w:tcPr>
          <w:p w14:paraId="2A145E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9</w:t>
            </w:r>
          </w:p>
        </w:tc>
        <w:tc>
          <w:tcPr>
            <w:tcW w:w="1570" w:type="pct"/>
            <w:shd w:val="clear" w:color="auto" w:fill="auto"/>
            <w:noWrap/>
            <w:vAlign w:val="center"/>
          </w:tcPr>
          <w:p w14:paraId="3D14E550">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设备设施每少一种扣1分，扣完为止。</w:t>
            </w:r>
          </w:p>
        </w:tc>
      </w:tr>
      <w:tr w14:paraId="0642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3" w:type="pct"/>
            <w:shd w:val="clear" w:color="auto" w:fill="auto"/>
            <w:vAlign w:val="center"/>
          </w:tcPr>
          <w:p w14:paraId="0AF765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4</w:t>
            </w:r>
          </w:p>
        </w:tc>
        <w:tc>
          <w:tcPr>
            <w:tcW w:w="790" w:type="pct"/>
            <w:shd w:val="clear" w:color="auto" w:fill="auto"/>
            <w:vAlign w:val="center"/>
          </w:tcPr>
          <w:p w14:paraId="47A3A74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cs="Times New Roman"/>
                <w:color w:val="000000"/>
                <w:sz w:val="24"/>
                <w:szCs w:val="24"/>
                <w:lang w:val="en-US" w:eastAsia="zh-CN"/>
              </w:rPr>
            </w:pPr>
            <w:r>
              <w:rPr>
                <w:rFonts w:hint="eastAsia" w:cs="Times New Roman"/>
                <w:color w:val="000000"/>
                <w:sz w:val="24"/>
                <w:szCs w:val="24"/>
                <w:lang w:val="en-US" w:eastAsia="zh-CN"/>
              </w:rPr>
              <w:t>健康心理网上学校服务</w:t>
            </w:r>
          </w:p>
        </w:tc>
        <w:tc>
          <w:tcPr>
            <w:tcW w:w="1787" w:type="pct"/>
            <w:shd w:val="clear" w:color="auto" w:fill="auto"/>
            <w:noWrap/>
            <w:vAlign w:val="center"/>
          </w:tcPr>
          <w:p w14:paraId="598158D3">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仿宋" w:hAnsi="仿宋" w:eastAsia="仿宋" w:cs="仿宋"/>
                <w:i w:val="0"/>
                <w:iCs w:val="0"/>
                <w:color w:val="000000"/>
                <w:sz w:val="24"/>
                <w:szCs w:val="24"/>
                <w:u w:val="none"/>
                <w:lang w:val="en-US"/>
              </w:rPr>
            </w:pPr>
            <w:r>
              <w:rPr>
                <w:rFonts w:hint="eastAsia"/>
                <w:sz w:val="24"/>
                <w:szCs w:val="24"/>
                <w:lang w:val="en-US" w:eastAsia="zh-CN"/>
              </w:rPr>
              <w:t>公众号在线学习平台应确保稳定、可靠、流畅。</w:t>
            </w:r>
          </w:p>
        </w:tc>
        <w:tc>
          <w:tcPr>
            <w:tcW w:w="437" w:type="pct"/>
            <w:shd w:val="clear" w:color="auto" w:fill="auto"/>
            <w:noWrap/>
            <w:vAlign w:val="center"/>
          </w:tcPr>
          <w:p w14:paraId="0860C5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cs="仿宋"/>
                <w:i w:val="0"/>
                <w:iCs w:val="0"/>
                <w:color w:val="000000"/>
                <w:sz w:val="24"/>
                <w:szCs w:val="24"/>
                <w:u w:val="none"/>
                <w:lang w:val="en-US" w:eastAsia="zh-CN"/>
              </w:rPr>
              <w:t>10</w:t>
            </w:r>
          </w:p>
        </w:tc>
        <w:tc>
          <w:tcPr>
            <w:tcW w:w="1570" w:type="pct"/>
            <w:shd w:val="clear" w:color="auto" w:fill="auto"/>
            <w:noWrap/>
            <w:vAlign w:val="center"/>
          </w:tcPr>
          <w:p w14:paraId="7556D52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kern w:val="0"/>
                <w:sz w:val="24"/>
                <w:szCs w:val="24"/>
                <w:u w:val="none"/>
                <w:lang w:val="en-US" w:eastAsia="zh-CN" w:bidi="ar-SA"/>
              </w:rPr>
            </w:pPr>
            <w:r>
              <w:rPr>
                <w:rFonts w:hint="eastAsia"/>
                <w:sz w:val="24"/>
                <w:szCs w:val="24"/>
                <w:lang w:val="en-US" w:eastAsia="zh-CN"/>
              </w:rPr>
              <w:t>公众号在线学习平台不稳定、不可靠、不流畅的本项不得分，服务内容缺少一项扣5分，扣完为止。</w:t>
            </w:r>
          </w:p>
        </w:tc>
      </w:tr>
      <w:tr w14:paraId="58BF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7" w:hRule="atLeast"/>
        </w:trPr>
        <w:tc>
          <w:tcPr>
            <w:tcW w:w="413" w:type="pct"/>
            <w:shd w:val="clear" w:color="auto" w:fill="auto"/>
            <w:vAlign w:val="center"/>
          </w:tcPr>
          <w:p w14:paraId="4E6B9D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cs="仿宋"/>
                <w:i w:val="0"/>
                <w:iCs w:val="0"/>
                <w:color w:val="000000"/>
                <w:kern w:val="0"/>
                <w:sz w:val="24"/>
                <w:szCs w:val="24"/>
                <w:u w:val="none"/>
                <w:lang w:val="en-US" w:eastAsia="zh-CN"/>
              </w:rPr>
              <w:t>5</w:t>
            </w:r>
          </w:p>
        </w:tc>
        <w:tc>
          <w:tcPr>
            <w:tcW w:w="790" w:type="pct"/>
            <w:shd w:val="clear" w:color="auto" w:fill="auto"/>
            <w:vAlign w:val="center"/>
          </w:tcPr>
          <w:p w14:paraId="5C05D82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Times New Roman" w:hAnsi="Times New Roman" w:cs="Times New Roman"/>
                <w:color w:val="000000"/>
                <w:sz w:val="24"/>
                <w:szCs w:val="24"/>
                <w:lang w:eastAsia="zh-CN"/>
              </w:rPr>
            </w:pPr>
            <w:r>
              <w:rPr>
                <w:rFonts w:hint="default"/>
                <w:sz w:val="24"/>
                <w:szCs w:val="24"/>
                <w:lang w:val="en-US" w:eastAsia="zh-CN"/>
              </w:rPr>
              <w:t>保持健康心理的科普、宣传</w:t>
            </w:r>
          </w:p>
        </w:tc>
        <w:tc>
          <w:tcPr>
            <w:tcW w:w="1787" w:type="pct"/>
            <w:shd w:val="clear" w:color="auto" w:fill="auto"/>
            <w:noWrap/>
            <w:vAlign w:val="center"/>
          </w:tcPr>
          <w:p w14:paraId="3888CB24">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全年科普、宣传次数不少于</w:t>
            </w:r>
            <w:r>
              <w:rPr>
                <w:rFonts w:hint="eastAsia" w:ascii="仿宋" w:hAnsi="仿宋" w:cs="仿宋"/>
                <w:i w:val="0"/>
                <w:iCs w:val="0"/>
                <w:color w:val="000000"/>
                <w:kern w:val="2"/>
                <w:sz w:val="24"/>
                <w:szCs w:val="24"/>
                <w:u w:val="none"/>
                <w:lang w:val="en-US" w:eastAsia="zh-CN" w:bidi="ar-SA"/>
              </w:rPr>
              <w:t>5</w:t>
            </w:r>
            <w:r>
              <w:rPr>
                <w:rFonts w:hint="eastAsia" w:ascii="仿宋" w:hAnsi="仿宋" w:eastAsia="仿宋" w:cs="仿宋"/>
                <w:i w:val="0"/>
                <w:iCs w:val="0"/>
                <w:color w:val="000000"/>
                <w:kern w:val="2"/>
                <w:sz w:val="24"/>
                <w:szCs w:val="24"/>
                <w:u w:val="none"/>
                <w:lang w:val="en-US" w:eastAsia="zh-CN" w:bidi="ar-SA"/>
              </w:rPr>
              <w:t>次</w:t>
            </w:r>
          </w:p>
        </w:tc>
        <w:tc>
          <w:tcPr>
            <w:tcW w:w="437" w:type="pct"/>
            <w:shd w:val="clear" w:color="auto" w:fill="auto"/>
            <w:noWrap/>
            <w:vAlign w:val="center"/>
          </w:tcPr>
          <w:p w14:paraId="1D8F41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cs="仿宋"/>
                <w:i w:val="0"/>
                <w:iCs w:val="0"/>
                <w:color w:val="000000"/>
                <w:sz w:val="24"/>
                <w:szCs w:val="24"/>
                <w:u w:val="none"/>
                <w:lang w:val="en-US" w:eastAsia="zh-CN"/>
              </w:rPr>
              <w:t>5</w:t>
            </w:r>
          </w:p>
        </w:tc>
        <w:tc>
          <w:tcPr>
            <w:tcW w:w="1570" w:type="pct"/>
            <w:shd w:val="clear" w:color="auto" w:fill="auto"/>
            <w:noWrap/>
            <w:vAlign w:val="center"/>
          </w:tcPr>
          <w:p w14:paraId="46B42E87">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cs="仿宋"/>
                <w:i w:val="0"/>
                <w:iCs w:val="0"/>
                <w:color w:val="000000"/>
                <w:kern w:val="0"/>
                <w:sz w:val="24"/>
                <w:szCs w:val="24"/>
                <w:u w:val="none"/>
                <w:lang w:val="en-US" w:eastAsia="zh-CN"/>
              </w:rPr>
              <w:t>服务数量每少1次扣1分，扣完为止。</w:t>
            </w:r>
          </w:p>
        </w:tc>
      </w:tr>
      <w:tr w14:paraId="5D32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413" w:type="pct"/>
            <w:shd w:val="clear" w:color="auto" w:fill="auto"/>
            <w:vAlign w:val="center"/>
          </w:tcPr>
          <w:p w14:paraId="7C4841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cs="仿宋"/>
                <w:i w:val="0"/>
                <w:iCs w:val="0"/>
                <w:color w:val="000000"/>
                <w:kern w:val="0"/>
                <w:sz w:val="24"/>
                <w:szCs w:val="24"/>
                <w:u w:val="none"/>
                <w:lang w:val="en-US" w:eastAsia="zh-CN"/>
              </w:rPr>
            </w:pPr>
            <w:r>
              <w:rPr>
                <w:rFonts w:hint="eastAsia" w:ascii="仿宋" w:hAnsi="仿宋" w:cs="仿宋"/>
                <w:i w:val="0"/>
                <w:iCs w:val="0"/>
                <w:color w:val="000000"/>
                <w:kern w:val="0"/>
                <w:sz w:val="24"/>
                <w:szCs w:val="24"/>
                <w:u w:val="none"/>
                <w:lang w:val="en-US" w:eastAsia="zh-CN"/>
              </w:rPr>
              <w:t>6</w:t>
            </w:r>
          </w:p>
        </w:tc>
        <w:tc>
          <w:tcPr>
            <w:tcW w:w="790" w:type="pct"/>
            <w:shd w:val="clear" w:color="auto" w:fill="auto"/>
            <w:vAlign w:val="center"/>
          </w:tcPr>
          <w:p w14:paraId="630792C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sz w:val="24"/>
                <w:szCs w:val="24"/>
                <w:lang w:val="en-US" w:eastAsia="zh-CN"/>
              </w:rPr>
            </w:pPr>
            <w:r>
              <w:rPr>
                <w:rFonts w:hint="eastAsia"/>
                <w:sz w:val="24"/>
                <w:szCs w:val="24"/>
                <w:lang w:val="en-US" w:eastAsia="zh-CN"/>
              </w:rPr>
              <w:t>服务团队要求</w:t>
            </w:r>
          </w:p>
        </w:tc>
        <w:tc>
          <w:tcPr>
            <w:tcW w:w="1787" w:type="pct"/>
            <w:shd w:val="clear" w:color="auto" w:fill="auto"/>
            <w:noWrap/>
            <w:vAlign w:val="center"/>
          </w:tcPr>
          <w:p w14:paraId="78710721">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cs="仿宋"/>
                <w:i w:val="0"/>
                <w:iCs w:val="0"/>
                <w:color w:val="000000"/>
                <w:kern w:val="2"/>
                <w:sz w:val="24"/>
                <w:szCs w:val="24"/>
                <w:u w:val="none"/>
                <w:lang w:val="en-US" w:eastAsia="zh-CN" w:bidi="ar-SA"/>
              </w:rPr>
              <w:t>专职服务人员不少于4人</w:t>
            </w:r>
          </w:p>
        </w:tc>
        <w:tc>
          <w:tcPr>
            <w:tcW w:w="437" w:type="pct"/>
            <w:shd w:val="clear" w:color="auto" w:fill="auto"/>
            <w:noWrap/>
            <w:vAlign w:val="center"/>
          </w:tcPr>
          <w:p w14:paraId="5AE4D6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cs="仿宋"/>
                <w:i w:val="0"/>
                <w:iCs w:val="0"/>
                <w:color w:val="000000"/>
                <w:sz w:val="24"/>
                <w:szCs w:val="24"/>
                <w:u w:val="none"/>
                <w:lang w:val="en-US" w:eastAsia="zh-CN"/>
              </w:rPr>
            </w:pPr>
            <w:r>
              <w:rPr>
                <w:rFonts w:hint="eastAsia" w:ascii="仿宋" w:hAnsi="仿宋" w:cs="仿宋"/>
                <w:i w:val="0"/>
                <w:iCs w:val="0"/>
                <w:color w:val="000000"/>
                <w:sz w:val="24"/>
                <w:szCs w:val="24"/>
                <w:u w:val="none"/>
                <w:lang w:val="en-US" w:eastAsia="zh-CN"/>
              </w:rPr>
              <w:t>4</w:t>
            </w:r>
          </w:p>
        </w:tc>
        <w:tc>
          <w:tcPr>
            <w:tcW w:w="1570" w:type="pct"/>
            <w:shd w:val="clear" w:color="auto" w:fill="auto"/>
            <w:noWrap/>
            <w:vAlign w:val="center"/>
          </w:tcPr>
          <w:p w14:paraId="0AAFAFB6">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仿宋" w:hAnsi="仿宋" w:cs="仿宋"/>
                <w:i w:val="0"/>
                <w:iCs w:val="0"/>
                <w:color w:val="000000"/>
                <w:kern w:val="0"/>
                <w:sz w:val="24"/>
                <w:szCs w:val="24"/>
                <w:u w:val="none"/>
                <w:lang w:val="en-US" w:eastAsia="zh-CN"/>
              </w:rPr>
            </w:pPr>
            <w:r>
              <w:rPr>
                <w:rFonts w:hint="eastAsia" w:ascii="仿宋" w:hAnsi="仿宋" w:cs="仿宋"/>
                <w:i w:val="0"/>
                <w:iCs w:val="0"/>
                <w:color w:val="000000"/>
                <w:kern w:val="0"/>
                <w:sz w:val="24"/>
                <w:szCs w:val="24"/>
                <w:u w:val="none"/>
                <w:lang w:val="en-US" w:eastAsia="zh-CN"/>
              </w:rPr>
              <w:t>每少1人扣1分。</w:t>
            </w:r>
          </w:p>
        </w:tc>
      </w:tr>
      <w:tr w14:paraId="5FE9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992" w:type="pct"/>
            <w:gridSpan w:val="3"/>
            <w:shd w:val="clear" w:color="auto" w:fill="auto"/>
            <w:vAlign w:val="center"/>
          </w:tcPr>
          <w:p w14:paraId="7FC4E2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cs="仿宋"/>
                <w:i w:val="0"/>
                <w:iCs w:val="0"/>
                <w:color w:val="000000"/>
                <w:kern w:val="0"/>
                <w:sz w:val="24"/>
                <w:szCs w:val="24"/>
                <w:u w:val="none"/>
                <w:lang w:val="en-US" w:eastAsia="zh-CN"/>
              </w:rPr>
            </w:pPr>
            <w:r>
              <w:rPr>
                <w:rFonts w:hint="eastAsia" w:ascii="仿宋" w:hAnsi="仿宋" w:cs="仿宋"/>
                <w:i w:val="0"/>
                <w:iCs w:val="0"/>
                <w:color w:val="000000"/>
                <w:kern w:val="0"/>
                <w:sz w:val="24"/>
                <w:szCs w:val="24"/>
                <w:u w:val="none"/>
                <w:lang w:val="en-US" w:eastAsia="zh-CN"/>
              </w:rPr>
              <w:t>合计</w:t>
            </w:r>
          </w:p>
        </w:tc>
        <w:tc>
          <w:tcPr>
            <w:tcW w:w="437" w:type="pct"/>
            <w:shd w:val="clear" w:color="auto" w:fill="auto"/>
            <w:noWrap/>
            <w:vAlign w:val="center"/>
          </w:tcPr>
          <w:p w14:paraId="23163C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0"/>
                <w:sz w:val="24"/>
                <w:szCs w:val="24"/>
                <w:u w:val="none"/>
                <w:lang w:eastAsia="zh-CN"/>
              </w:rPr>
            </w:pPr>
            <w:r>
              <w:rPr>
                <w:rFonts w:hint="default" w:ascii="仿宋" w:hAnsi="仿宋" w:eastAsia="仿宋" w:cs="仿宋"/>
                <w:i w:val="0"/>
                <w:iCs w:val="0"/>
                <w:color w:val="000000"/>
                <w:kern w:val="0"/>
                <w:sz w:val="24"/>
                <w:szCs w:val="24"/>
                <w:u w:val="none"/>
                <w:lang w:eastAsia="zh-CN"/>
              </w:rPr>
              <w:fldChar w:fldCharType="begin"/>
            </w:r>
            <w:r>
              <w:rPr>
                <w:rFonts w:hint="default" w:ascii="仿宋" w:hAnsi="仿宋" w:eastAsia="仿宋" w:cs="仿宋"/>
                <w:i w:val="0"/>
                <w:iCs w:val="0"/>
                <w:color w:val="000000"/>
                <w:kern w:val="0"/>
                <w:sz w:val="24"/>
                <w:szCs w:val="24"/>
                <w:u w:val="none"/>
                <w:lang w:eastAsia="zh-CN"/>
              </w:rPr>
              <w:instrText xml:space="preserve"> =SUM(ABOVE) \* MERGEFORMAT </w:instrText>
            </w:r>
            <w:r>
              <w:rPr>
                <w:rFonts w:hint="default" w:ascii="仿宋" w:hAnsi="仿宋" w:eastAsia="仿宋" w:cs="仿宋"/>
                <w:i w:val="0"/>
                <w:iCs w:val="0"/>
                <w:color w:val="000000"/>
                <w:kern w:val="0"/>
                <w:sz w:val="24"/>
                <w:szCs w:val="24"/>
                <w:u w:val="none"/>
                <w:lang w:eastAsia="zh-CN"/>
              </w:rPr>
              <w:fldChar w:fldCharType="separate"/>
            </w:r>
            <w:r>
              <w:rPr>
                <w:rFonts w:hint="default" w:ascii="仿宋" w:hAnsi="仿宋" w:eastAsia="仿宋" w:cs="仿宋"/>
                <w:i w:val="0"/>
                <w:iCs w:val="0"/>
                <w:color w:val="000000"/>
                <w:kern w:val="0"/>
                <w:sz w:val="24"/>
                <w:szCs w:val="24"/>
                <w:u w:val="none"/>
                <w:lang w:eastAsia="zh-CN"/>
              </w:rPr>
              <w:t>100</w:t>
            </w:r>
            <w:r>
              <w:rPr>
                <w:rFonts w:hint="default" w:ascii="仿宋" w:hAnsi="仿宋" w:eastAsia="仿宋" w:cs="仿宋"/>
                <w:i w:val="0"/>
                <w:iCs w:val="0"/>
                <w:color w:val="000000"/>
                <w:kern w:val="0"/>
                <w:sz w:val="24"/>
                <w:szCs w:val="24"/>
                <w:u w:val="none"/>
                <w:lang w:eastAsia="zh-CN"/>
              </w:rPr>
              <w:fldChar w:fldCharType="end"/>
            </w:r>
          </w:p>
        </w:tc>
        <w:tc>
          <w:tcPr>
            <w:tcW w:w="1570" w:type="pct"/>
            <w:shd w:val="clear" w:color="auto" w:fill="auto"/>
            <w:noWrap/>
            <w:vAlign w:val="center"/>
          </w:tcPr>
          <w:p w14:paraId="02458DA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i w:val="0"/>
                <w:iCs w:val="0"/>
                <w:color w:val="000000"/>
                <w:kern w:val="0"/>
                <w:sz w:val="24"/>
                <w:szCs w:val="24"/>
                <w:u w:val="none"/>
                <w:lang w:val="en-US" w:eastAsia="zh-CN"/>
              </w:rPr>
            </w:pPr>
          </w:p>
        </w:tc>
      </w:tr>
      <w:tr w14:paraId="63F4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13" w:type="pct"/>
            <w:shd w:val="clear" w:color="auto" w:fill="auto"/>
            <w:vAlign w:val="center"/>
          </w:tcPr>
          <w:p w14:paraId="223C19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cs="仿宋"/>
                <w:i w:val="0"/>
                <w:iCs w:val="0"/>
                <w:color w:val="000000"/>
                <w:kern w:val="0"/>
                <w:sz w:val="24"/>
                <w:szCs w:val="24"/>
                <w:u w:val="none"/>
                <w:lang w:val="en-US" w:eastAsia="zh-CN"/>
              </w:rPr>
            </w:pPr>
            <w:r>
              <w:rPr>
                <w:rFonts w:hint="eastAsia" w:ascii="仿宋" w:hAnsi="仿宋" w:cs="仿宋"/>
                <w:i w:val="0"/>
                <w:iCs w:val="0"/>
                <w:color w:val="000000"/>
                <w:kern w:val="0"/>
                <w:sz w:val="24"/>
                <w:szCs w:val="24"/>
                <w:u w:val="none"/>
                <w:lang w:val="en-US" w:eastAsia="zh-CN"/>
              </w:rPr>
              <w:t>二</w:t>
            </w:r>
          </w:p>
        </w:tc>
        <w:tc>
          <w:tcPr>
            <w:tcW w:w="4586" w:type="pct"/>
            <w:gridSpan w:val="4"/>
            <w:shd w:val="clear" w:color="auto" w:fill="auto"/>
            <w:noWrap/>
            <w:vAlign w:val="center"/>
          </w:tcPr>
          <w:p w14:paraId="0BF40B1E">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i w:val="0"/>
                <w:iCs w:val="0"/>
                <w:color w:val="000000"/>
                <w:kern w:val="0"/>
                <w:sz w:val="24"/>
                <w:szCs w:val="24"/>
                <w:u w:val="none"/>
                <w:lang w:val="en-US" w:eastAsia="zh-CN"/>
              </w:rPr>
            </w:pPr>
            <w:r>
              <w:rPr>
                <w:rFonts w:hint="eastAsia" w:ascii="仿宋" w:hAnsi="仿宋" w:cs="仿宋"/>
                <w:i w:val="0"/>
                <w:iCs w:val="0"/>
                <w:color w:val="000000"/>
                <w:kern w:val="0"/>
                <w:sz w:val="24"/>
                <w:szCs w:val="24"/>
                <w:u w:val="none"/>
                <w:lang w:val="en-US" w:eastAsia="zh-CN"/>
              </w:rPr>
              <w:t>额外项</w:t>
            </w:r>
          </w:p>
        </w:tc>
      </w:tr>
      <w:tr w14:paraId="7DC9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13" w:type="pct"/>
            <w:shd w:val="clear" w:color="auto" w:fill="auto"/>
            <w:vAlign w:val="center"/>
          </w:tcPr>
          <w:p w14:paraId="5443AD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cs="仿宋"/>
                <w:i w:val="0"/>
                <w:iCs w:val="0"/>
                <w:color w:val="000000"/>
                <w:kern w:val="0"/>
                <w:sz w:val="24"/>
                <w:szCs w:val="24"/>
                <w:u w:val="none"/>
                <w:lang w:val="en-US" w:eastAsia="zh-CN"/>
              </w:rPr>
            </w:pPr>
            <w:r>
              <w:rPr>
                <w:rFonts w:hint="eastAsia" w:ascii="仿宋" w:hAnsi="仿宋" w:cs="仿宋"/>
                <w:i w:val="0"/>
                <w:iCs w:val="0"/>
                <w:color w:val="000000"/>
                <w:kern w:val="0"/>
                <w:sz w:val="24"/>
                <w:szCs w:val="24"/>
                <w:u w:val="none"/>
                <w:lang w:val="en-US" w:eastAsia="zh-CN"/>
              </w:rPr>
              <w:t>1</w:t>
            </w:r>
          </w:p>
        </w:tc>
        <w:tc>
          <w:tcPr>
            <w:tcW w:w="4586" w:type="pct"/>
            <w:gridSpan w:val="4"/>
            <w:shd w:val="clear" w:color="auto" w:fill="auto"/>
            <w:vAlign w:val="center"/>
          </w:tcPr>
          <w:p w14:paraId="061423C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i w:val="0"/>
                <w:iCs w:val="0"/>
                <w:color w:val="000000"/>
                <w:kern w:val="0"/>
                <w:sz w:val="24"/>
                <w:szCs w:val="24"/>
                <w:highlight w:val="none"/>
                <w:u w:val="none"/>
                <w:lang w:val="en-US" w:eastAsia="zh-CN"/>
              </w:rPr>
            </w:pPr>
            <w:r>
              <w:rPr>
                <w:rFonts w:hint="eastAsia" w:ascii="仿宋" w:hAnsi="仿宋" w:cs="仿宋"/>
                <w:i w:val="0"/>
                <w:iCs w:val="0"/>
                <w:color w:val="000000"/>
                <w:kern w:val="0"/>
                <w:sz w:val="24"/>
                <w:szCs w:val="24"/>
                <w:highlight w:val="none"/>
                <w:u w:val="none"/>
                <w:lang w:val="en-US" w:eastAsia="zh-CN"/>
              </w:rPr>
              <w:t>荣誉加分（5分）</w:t>
            </w:r>
          </w:p>
          <w:p w14:paraId="72C990D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i w:val="0"/>
                <w:iCs w:val="0"/>
                <w:color w:val="000000"/>
                <w:kern w:val="0"/>
                <w:sz w:val="24"/>
                <w:szCs w:val="24"/>
                <w:highlight w:val="none"/>
                <w:u w:val="none"/>
                <w:lang w:val="en-US" w:eastAsia="zh-CN"/>
              </w:rPr>
            </w:pPr>
            <w:r>
              <w:rPr>
                <w:rFonts w:hint="eastAsia" w:ascii="仿宋" w:hAnsi="仿宋" w:cs="仿宋"/>
                <w:i w:val="0"/>
                <w:iCs w:val="0"/>
                <w:color w:val="000000"/>
                <w:kern w:val="0"/>
                <w:sz w:val="24"/>
                <w:szCs w:val="24"/>
                <w:highlight w:val="none"/>
                <w:u w:val="none"/>
                <w:lang w:val="en-US" w:eastAsia="zh-CN"/>
              </w:rPr>
              <w:t>供应商提供的服务获得国家级媒体报道或被授予国家级荣誉的得5分；</w:t>
            </w:r>
          </w:p>
          <w:p w14:paraId="6D13AF36">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i w:val="0"/>
                <w:iCs w:val="0"/>
                <w:color w:val="000000"/>
                <w:kern w:val="0"/>
                <w:sz w:val="24"/>
                <w:szCs w:val="24"/>
                <w:highlight w:val="none"/>
                <w:u w:val="none"/>
                <w:lang w:val="en-US" w:eastAsia="zh-CN"/>
              </w:rPr>
            </w:pPr>
            <w:r>
              <w:rPr>
                <w:rFonts w:hint="eastAsia" w:ascii="仿宋" w:hAnsi="仿宋" w:cs="仿宋"/>
                <w:i w:val="0"/>
                <w:iCs w:val="0"/>
                <w:color w:val="000000"/>
                <w:kern w:val="0"/>
                <w:sz w:val="24"/>
                <w:szCs w:val="24"/>
                <w:highlight w:val="none"/>
                <w:u w:val="none"/>
                <w:lang w:val="en-US" w:eastAsia="zh-CN"/>
              </w:rPr>
              <w:t>供应商提供的服务获得省级媒体报道或被授予省级荣誉的得3分；</w:t>
            </w:r>
          </w:p>
          <w:p w14:paraId="2FE16DE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i w:val="0"/>
                <w:iCs w:val="0"/>
                <w:color w:val="000000"/>
                <w:kern w:val="0"/>
                <w:sz w:val="24"/>
                <w:szCs w:val="24"/>
                <w:highlight w:val="none"/>
                <w:u w:val="none"/>
                <w:lang w:val="en-US" w:eastAsia="zh-CN"/>
              </w:rPr>
            </w:pPr>
            <w:r>
              <w:rPr>
                <w:rFonts w:hint="eastAsia" w:ascii="仿宋" w:hAnsi="仿宋" w:cs="仿宋"/>
                <w:i w:val="0"/>
                <w:iCs w:val="0"/>
                <w:color w:val="000000"/>
                <w:kern w:val="0"/>
                <w:sz w:val="24"/>
                <w:szCs w:val="24"/>
                <w:highlight w:val="none"/>
                <w:u w:val="none"/>
                <w:lang w:val="en-US" w:eastAsia="zh-CN"/>
              </w:rPr>
              <w:t>供应商提供的服务获得宁波市级媒体报道或被授予宁波市级荣誉的得1分；</w:t>
            </w:r>
          </w:p>
          <w:p w14:paraId="2CA6CCF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i w:val="0"/>
                <w:iCs w:val="0"/>
                <w:color w:val="000000"/>
                <w:kern w:val="0"/>
                <w:sz w:val="24"/>
                <w:szCs w:val="24"/>
                <w:highlight w:val="none"/>
                <w:u w:val="none"/>
                <w:lang w:val="en-US" w:eastAsia="zh-CN"/>
              </w:rPr>
            </w:pPr>
            <w:r>
              <w:rPr>
                <w:rFonts w:hint="eastAsia" w:ascii="仿宋" w:hAnsi="仿宋" w:cs="仿宋"/>
                <w:i w:val="0"/>
                <w:iCs w:val="0"/>
                <w:color w:val="000000"/>
                <w:kern w:val="0"/>
                <w:sz w:val="24"/>
                <w:szCs w:val="24"/>
                <w:highlight w:val="none"/>
                <w:u w:val="none"/>
                <w:lang w:val="en-US" w:eastAsia="zh-CN"/>
              </w:rPr>
              <w:t>供应商提供的服务获得慈溪市级媒体报道并被授予慈溪市级荣誉的得0.5分。</w:t>
            </w:r>
          </w:p>
          <w:p w14:paraId="6E518CC0">
            <w:pPr>
              <w:pStyle w:val="80"/>
              <w:rPr>
                <w:rFonts w:hint="default"/>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SA"/>
              </w:rPr>
              <w:t>以上不重复计分，以获得最高级媒体报道或荣誉为准。</w:t>
            </w:r>
          </w:p>
        </w:tc>
      </w:tr>
    </w:tbl>
    <w:p w14:paraId="3B097F63">
      <w:pPr>
        <w:bidi w:val="0"/>
        <w:rPr>
          <w:rFonts w:hint="eastAsia"/>
        </w:rPr>
      </w:pPr>
      <w:r>
        <w:rPr>
          <w:rFonts w:hint="eastAsia"/>
          <w:lang w:val="en-US" w:eastAsia="zh-CN"/>
        </w:rPr>
        <w:t>3.8</w:t>
      </w:r>
      <w:r>
        <w:rPr>
          <w:rFonts w:hint="eastAsia"/>
        </w:rPr>
        <w:t>转包和分包</w:t>
      </w:r>
    </w:p>
    <w:p w14:paraId="050D066C">
      <w:pPr>
        <w:bidi w:val="0"/>
        <w:rPr>
          <w:rFonts w:hint="default"/>
          <w:lang w:val="en-US" w:eastAsia="zh-CN"/>
        </w:rPr>
      </w:pPr>
      <w:r>
        <w:rPr>
          <w:rFonts w:hint="eastAsia"/>
          <w:lang w:val="en-US" w:eastAsia="zh-CN"/>
        </w:rPr>
        <w:t>本项目全部服务应由供应商提供，不允许转包和分包。</w:t>
      </w:r>
    </w:p>
    <w:p w14:paraId="495186A7">
      <w:pPr>
        <w:bidi w:val="0"/>
        <w:rPr>
          <w:rFonts w:hint="eastAsia"/>
          <w:lang w:val="en-US" w:eastAsia="zh-CN"/>
        </w:rPr>
      </w:pPr>
      <w:r>
        <w:rPr>
          <w:rFonts w:hint="eastAsia"/>
          <w:lang w:val="en-US" w:eastAsia="zh-CN"/>
        </w:rPr>
        <w:t>3.9</w:t>
      </w:r>
      <w:r>
        <w:rPr>
          <w:rFonts w:hint="eastAsia"/>
        </w:rPr>
        <w:t>合同终止</w:t>
      </w:r>
    </w:p>
    <w:p w14:paraId="4EDD1078">
      <w:pPr>
        <w:bidi w:val="0"/>
        <w:rPr>
          <w:rFonts w:hint="eastAsia"/>
        </w:rPr>
      </w:pPr>
      <w:r>
        <w:rPr>
          <w:rFonts w:hint="eastAsia"/>
          <w:lang w:val="en-US" w:eastAsia="zh-CN"/>
        </w:rPr>
        <w:t>（1）</w:t>
      </w:r>
      <w:r>
        <w:rPr>
          <w:rFonts w:hint="eastAsia"/>
        </w:rPr>
        <w:t>供应商在合同有效期内，不得以任何理由终止合同，确有特殊情况的，应提前两个月向采购人提出书面申请，经采购人</w:t>
      </w:r>
      <w:r>
        <w:rPr>
          <w:rFonts w:hint="eastAsia"/>
          <w:lang w:val="en-US" w:eastAsia="zh-CN"/>
        </w:rPr>
        <w:t>确认</w:t>
      </w:r>
      <w:r>
        <w:rPr>
          <w:rFonts w:hint="eastAsia"/>
        </w:rPr>
        <w:t>后，可终止合同，同时酌情扣除履约保证金。</w:t>
      </w:r>
    </w:p>
    <w:p w14:paraId="2214A05F">
      <w:pPr>
        <w:spacing w:line="560" w:lineRule="exact"/>
        <w:ind w:firstLine="480" w:firstLineChars="200"/>
        <w:jc w:val="left"/>
      </w:pPr>
      <w:r>
        <w:rPr>
          <w:rFonts w:hint="eastAsia"/>
          <w:lang w:val="en-US" w:eastAsia="zh-CN"/>
        </w:rPr>
        <w:t>（2）供应商提供的服务损害了被服务人员或采购人的利益，采购人可根据事态的严重程度随时终止合同，供应商承担安抚、赔偿、消除影响等所有责任，采购人不作任何补偿。</w:t>
      </w:r>
    </w:p>
    <w:p w14:paraId="6016E317"/>
    <w:p w14:paraId="1C6A3739">
      <w:pPr>
        <w:pStyle w:val="3"/>
        <w:rPr>
          <w:rFonts w:hint="eastAsia" w:ascii="仿宋" w:hAnsi="仿宋" w:cs="仿宋"/>
          <w:sz w:val="24"/>
        </w:rPr>
        <w:sectPr>
          <w:footerReference r:id="rId13" w:type="first"/>
          <w:footerReference r:id="rId12" w:type="default"/>
          <w:pgSz w:w="11906" w:h="16838"/>
          <w:pgMar w:top="1423" w:right="1440" w:bottom="1423" w:left="1440" w:header="851" w:footer="992" w:gutter="0"/>
          <w:cols w:space="0" w:num="1"/>
          <w:rtlGutter w:val="0"/>
          <w:docGrid w:type="lines" w:linePitch="334" w:charSpace="0"/>
        </w:sectPr>
      </w:pPr>
      <w:r>
        <w:rPr>
          <w:rFonts w:hint="eastAsia" w:ascii="仿宋" w:hAnsi="仿宋" w:cs="仿宋"/>
          <w:sz w:val="24"/>
        </w:rPr>
        <w:br w:type="page"/>
      </w:r>
    </w:p>
    <w:p w14:paraId="3B40F7C7">
      <w:pPr>
        <w:pStyle w:val="3"/>
        <w:bidi w:val="0"/>
        <w:jc w:val="center"/>
        <w:rPr>
          <w:rStyle w:val="288"/>
          <w:rFonts w:hint="eastAsia" w:ascii="仿宋" w:hAnsi="仿宋" w:cs="仿宋"/>
          <w:bCs/>
          <w:lang w:val="en-US" w:eastAsia="zh-CN" w:bidi="ar-SA"/>
        </w:rPr>
      </w:pPr>
      <w:bookmarkStart w:id="38" w:name="_Toc27407"/>
      <w:r>
        <w:rPr>
          <w:rStyle w:val="288"/>
          <w:rFonts w:hint="eastAsia" w:ascii="仿宋" w:hAnsi="仿宋" w:cs="仿宋"/>
          <w:bCs/>
          <w:lang w:val="en-US" w:eastAsia="zh-CN" w:bidi="ar-SA"/>
        </w:rPr>
        <w:t xml:space="preserve">第四部分 </w:t>
      </w:r>
      <w:bookmarkStart w:id="39" w:name="_Toc184312111"/>
      <w:bookmarkEnd w:id="39"/>
      <w:bookmarkStart w:id="40" w:name="_Toc184314416"/>
      <w:bookmarkEnd w:id="40"/>
      <w:bookmarkStart w:id="41" w:name="_Toc184314482"/>
      <w:bookmarkEnd w:id="41"/>
      <w:bookmarkStart w:id="42" w:name="_Toc184314452"/>
      <w:bookmarkEnd w:id="42"/>
      <w:bookmarkStart w:id="43" w:name="_Toc184314429"/>
      <w:bookmarkEnd w:id="43"/>
      <w:bookmarkStart w:id="44" w:name="_Toc184313250"/>
      <w:bookmarkEnd w:id="44"/>
      <w:bookmarkStart w:id="45" w:name="_Toc184312096"/>
      <w:bookmarkEnd w:id="45"/>
      <w:bookmarkStart w:id="46" w:name="_Toc184310306"/>
      <w:bookmarkEnd w:id="46"/>
      <w:bookmarkStart w:id="47" w:name="_Toc184312115"/>
      <w:bookmarkEnd w:id="47"/>
      <w:bookmarkStart w:id="48" w:name="_Toc184314424"/>
      <w:bookmarkEnd w:id="48"/>
      <w:bookmarkStart w:id="49" w:name="_Toc184310322"/>
      <w:bookmarkEnd w:id="49"/>
      <w:bookmarkStart w:id="50" w:name="_Toc184314480"/>
      <w:bookmarkEnd w:id="50"/>
      <w:bookmarkStart w:id="51" w:name="_Toc184313307"/>
      <w:bookmarkEnd w:id="51"/>
      <w:bookmarkStart w:id="52" w:name="_Toc184314437"/>
      <w:bookmarkEnd w:id="52"/>
      <w:bookmarkStart w:id="53" w:name="_Toc184308066"/>
      <w:bookmarkEnd w:id="53"/>
      <w:bookmarkStart w:id="54" w:name="_Toc184308054"/>
      <w:bookmarkEnd w:id="54"/>
      <w:bookmarkStart w:id="55" w:name="_Toc184310308"/>
      <w:bookmarkEnd w:id="55"/>
      <w:bookmarkStart w:id="56" w:name="_Toc184312101"/>
      <w:bookmarkEnd w:id="56"/>
      <w:bookmarkStart w:id="57" w:name="_Toc184314410"/>
      <w:bookmarkEnd w:id="57"/>
      <w:bookmarkStart w:id="58" w:name="_Toc184312089"/>
      <w:bookmarkEnd w:id="58"/>
      <w:bookmarkStart w:id="59" w:name="_Toc184308046"/>
      <w:bookmarkEnd w:id="59"/>
      <w:bookmarkStart w:id="60" w:name="_Toc184308083"/>
      <w:bookmarkEnd w:id="60"/>
      <w:bookmarkStart w:id="61" w:name="_Toc184308101"/>
      <w:bookmarkEnd w:id="61"/>
      <w:bookmarkStart w:id="62" w:name="_Toc184310293"/>
      <w:bookmarkEnd w:id="62"/>
      <w:bookmarkStart w:id="63" w:name="_Toc184308062"/>
      <w:bookmarkEnd w:id="63"/>
      <w:bookmarkStart w:id="64" w:name="_Toc184308055"/>
      <w:bookmarkEnd w:id="64"/>
      <w:bookmarkStart w:id="65" w:name="_Toc184310313"/>
      <w:bookmarkEnd w:id="65"/>
      <w:bookmarkStart w:id="66" w:name="_Toc184314432"/>
      <w:bookmarkEnd w:id="66"/>
      <w:bookmarkStart w:id="67" w:name="_Toc184310278"/>
      <w:bookmarkEnd w:id="67"/>
      <w:bookmarkStart w:id="68" w:name="_Toc184312081"/>
      <w:bookmarkEnd w:id="68"/>
      <w:bookmarkStart w:id="69" w:name="_Toc184310333"/>
      <w:bookmarkEnd w:id="69"/>
      <w:bookmarkStart w:id="70" w:name="_Toc184314434"/>
      <w:bookmarkEnd w:id="70"/>
      <w:bookmarkStart w:id="71" w:name="_Toc184313290"/>
      <w:bookmarkEnd w:id="71"/>
      <w:bookmarkStart w:id="72" w:name="_Toc184308050"/>
      <w:bookmarkEnd w:id="72"/>
      <w:bookmarkStart w:id="73" w:name="_Toc184310342"/>
      <w:bookmarkEnd w:id="73"/>
      <w:bookmarkStart w:id="74" w:name="_Toc184314474"/>
      <w:bookmarkEnd w:id="74"/>
      <w:bookmarkStart w:id="75" w:name="_Toc184308045"/>
      <w:bookmarkEnd w:id="75"/>
      <w:bookmarkStart w:id="76" w:name="_Toc184314436"/>
      <w:bookmarkEnd w:id="76"/>
      <w:bookmarkStart w:id="77" w:name="_Toc184314455"/>
      <w:bookmarkEnd w:id="77"/>
      <w:bookmarkStart w:id="78" w:name="_Toc184314448"/>
      <w:bookmarkEnd w:id="78"/>
      <w:bookmarkStart w:id="79" w:name="_Toc184310316"/>
      <w:bookmarkEnd w:id="79"/>
      <w:bookmarkStart w:id="80" w:name="_Toc184310295"/>
      <w:bookmarkEnd w:id="80"/>
      <w:bookmarkStart w:id="81" w:name="_Toc184308096"/>
      <w:bookmarkEnd w:id="81"/>
      <w:bookmarkStart w:id="82" w:name="_Toc184308057"/>
      <w:bookmarkEnd w:id="82"/>
      <w:bookmarkStart w:id="83" w:name="_Toc184312069"/>
      <w:bookmarkEnd w:id="83"/>
      <w:bookmarkStart w:id="84" w:name="_Toc184312129"/>
      <w:bookmarkEnd w:id="84"/>
      <w:bookmarkStart w:id="85" w:name="_Toc184308097"/>
      <w:bookmarkEnd w:id="85"/>
      <w:bookmarkStart w:id="86" w:name="_Toc184310310"/>
      <w:bookmarkEnd w:id="86"/>
      <w:bookmarkStart w:id="87" w:name="_Toc184314420"/>
      <w:bookmarkEnd w:id="87"/>
      <w:bookmarkStart w:id="88" w:name="_Toc184312100"/>
      <w:bookmarkEnd w:id="88"/>
      <w:bookmarkStart w:id="89" w:name="_Toc184313271"/>
      <w:bookmarkEnd w:id="89"/>
      <w:bookmarkStart w:id="90" w:name="_Toc184308082"/>
      <w:bookmarkEnd w:id="90"/>
      <w:bookmarkStart w:id="91" w:name="_Toc184308072"/>
      <w:bookmarkEnd w:id="91"/>
      <w:bookmarkStart w:id="92" w:name="_Toc184314426"/>
      <w:bookmarkEnd w:id="92"/>
      <w:bookmarkStart w:id="93" w:name="_Toc184314447"/>
      <w:bookmarkEnd w:id="93"/>
      <w:bookmarkStart w:id="94" w:name="_Toc184308044"/>
      <w:bookmarkEnd w:id="94"/>
      <w:bookmarkStart w:id="95" w:name="_Toc184314464"/>
      <w:bookmarkEnd w:id="95"/>
      <w:bookmarkStart w:id="96" w:name="_Toc184313243"/>
      <w:bookmarkEnd w:id="96"/>
      <w:bookmarkStart w:id="97" w:name="_Toc184308093"/>
      <w:bookmarkEnd w:id="97"/>
      <w:bookmarkStart w:id="98" w:name="_Toc184308071"/>
      <w:bookmarkEnd w:id="98"/>
      <w:bookmarkStart w:id="99" w:name="_Toc184308084"/>
      <w:bookmarkEnd w:id="99"/>
      <w:bookmarkStart w:id="100" w:name="_Toc184308037"/>
      <w:bookmarkEnd w:id="100"/>
      <w:bookmarkStart w:id="101" w:name="_Toc184313300"/>
      <w:bookmarkEnd w:id="101"/>
      <w:bookmarkStart w:id="102" w:name="_Toc184314445"/>
      <w:bookmarkEnd w:id="102"/>
      <w:bookmarkStart w:id="103" w:name="_Toc184314465"/>
      <w:bookmarkEnd w:id="103"/>
      <w:bookmarkStart w:id="104" w:name="_Toc184308076"/>
      <w:bookmarkEnd w:id="104"/>
      <w:bookmarkStart w:id="105" w:name="_Toc184314454"/>
      <w:bookmarkEnd w:id="105"/>
      <w:bookmarkStart w:id="106" w:name="_Toc184312073"/>
      <w:bookmarkEnd w:id="106"/>
      <w:bookmarkStart w:id="107" w:name="_Toc184308104"/>
      <w:bookmarkEnd w:id="107"/>
      <w:bookmarkStart w:id="108" w:name="_Toc184312120"/>
      <w:bookmarkEnd w:id="108"/>
      <w:bookmarkStart w:id="109" w:name="_Toc184310325"/>
      <w:bookmarkEnd w:id="109"/>
      <w:bookmarkStart w:id="110" w:name="_Toc184310292"/>
      <w:bookmarkEnd w:id="110"/>
      <w:bookmarkStart w:id="111" w:name="_Toc184312123"/>
      <w:bookmarkEnd w:id="111"/>
      <w:bookmarkStart w:id="112" w:name="_Toc184314472"/>
      <w:bookmarkEnd w:id="112"/>
      <w:bookmarkStart w:id="113" w:name="_Toc184313246"/>
      <w:bookmarkEnd w:id="113"/>
      <w:bookmarkStart w:id="114" w:name="_Toc184308042"/>
      <w:bookmarkEnd w:id="114"/>
      <w:bookmarkStart w:id="115" w:name="_Toc184313286"/>
      <w:bookmarkEnd w:id="115"/>
      <w:bookmarkStart w:id="116" w:name="_Toc184308068"/>
      <w:bookmarkEnd w:id="116"/>
      <w:bookmarkStart w:id="117" w:name="_Toc184314475"/>
      <w:bookmarkEnd w:id="117"/>
      <w:bookmarkStart w:id="118" w:name="_Toc184313259"/>
      <w:bookmarkEnd w:id="118"/>
      <w:bookmarkStart w:id="119" w:name="_Toc184310323"/>
      <w:bookmarkEnd w:id="119"/>
      <w:bookmarkStart w:id="120" w:name="_Toc184313257"/>
      <w:bookmarkEnd w:id="120"/>
      <w:bookmarkStart w:id="121" w:name="_Toc184310315"/>
      <w:bookmarkEnd w:id="121"/>
      <w:bookmarkStart w:id="122" w:name="_Toc184313302"/>
      <w:bookmarkEnd w:id="122"/>
      <w:bookmarkStart w:id="123" w:name="_Toc184310300"/>
      <w:bookmarkEnd w:id="123"/>
      <w:bookmarkStart w:id="124" w:name="_Toc184310334"/>
      <w:bookmarkEnd w:id="124"/>
      <w:bookmarkStart w:id="125" w:name="_Toc184310311"/>
      <w:bookmarkEnd w:id="125"/>
      <w:bookmarkStart w:id="126" w:name="_Toc184310296"/>
      <w:bookmarkEnd w:id="126"/>
      <w:bookmarkStart w:id="127" w:name="_Toc184312072"/>
      <w:bookmarkEnd w:id="127"/>
      <w:bookmarkStart w:id="128" w:name="_Toc184313274"/>
      <w:bookmarkEnd w:id="128"/>
      <w:bookmarkStart w:id="129" w:name="_Toc184312113"/>
      <w:bookmarkEnd w:id="129"/>
      <w:bookmarkStart w:id="130" w:name="_Toc184308065"/>
      <w:bookmarkEnd w:id="130"/>
      <w:bookmarkStart w:id="131" w:name="_Toc184308036"/>
      <w:bookmarkEnd w:id="131"/>
      <w:bookmarkStart w:id="132" w:name="_Toc184310301"/>
      <w:bookmarkEnd w:id="132"/>
      <w:bookmarkStart w:id="133" w:name="_Toc184308103"/>
      <w:bookmarkEnd w:id="133"/>
      <w:bookmarkStart w:id="134" w:name="_Toc184313241"/>
      <w:bookmarkEnd w:id="134"/>
      <w:bookmarkStart w:id="135" w:name="_Toc184312127"/>
      <w:bookmarkEnd w:id="135"/>
      <w:bookmarkStart w:id="136" w:name="_Toc184308108"/>
      <w:bookmarkEnd w:id="136"/>
      <w:bookmarkStart w:id="137" w:name="_Toc184312125"/>
      <w:bookmarkEnd w:id="137"/>
      <w:bookmarkStart w:id="138" w:name="_Toc184312138"/>
      <w:bookmarkEnd w:id="138"/>
      <w:bookmarkStart w:id="139" w:name="_Toc184310326"/>
      <w:bookmarkEnd w:id="139"/>
      <w:bookmarkStart w:id="140" w:name="_Toc184312128"/>
      <w:bookmarkEnd w:id="140"/>
      <w:bookmarkStart w:id="141" w:name="_Toc184308094"/>
      <w:bookmarkEnd w:id="141"/>
      <w:bookmarkStart w:id="142" w:name="_Toc184314479"/>
      <w:bookmarkEnd w:id="142"/>
      <w:bookmarkStart w:id="143" w:name="_Toc184308039"/>
      <w:bookmarkEnd w:id="143"/>
      <w:bookmarkStart w:id="144" w:name="_Toc184313294"/>
      <w:bookmarkEnd w:id="144"/>
      <w:bookmarkStart w:id="145" w:name="_Toc184312094"/>
      <w:bookmarkEnd w:id="145"/>
      <w:bookmarkStart w:id="146" w:name="_Toc184312078"/>
      <w:bookmarkEnd w:id="146"/>
      <w:bookmarkStart w:id="147" w:name="_Toc184310338"/>
      <w:bookmarkEnd w:id="147"/>
      <w:bookmarkStart w:id="148" w:name="_Toc184310339"/>
      <w:bookmarkEnd w:id="148"/>
      <w:bookmarkStart w:id="149" w:name="_Toc184310272"/>
      <w:bookmarkEnd w:id="149"/>
      <w:bookmarkStart w:id="150" w:name="_Toc184312083"/>
      <w:bookmarkEnd w:id="150"/>
      <w:bookmarkStart w:id="151" w:name="_Toc184312076"/>
      <w:bookmarkEnd w:id="151"/>
      <w:bookmarkStart w:id="152" w:name="_Toc184310285"/>
      <w:bookmarkEnd w:id="152"/>
      <w:bookmarkStart w:id="153" w:name="_Toc184312077"/>
      <w:bookmarkEnd w:id="153"/>
      <w:bookmarkStart w:id="154" w:name="_Toc184312112"/>
      <w:bookmarkEnd w:id="154"/>
      <w:bookmarkStart w:id="155" w:name="_Toc184314458"/>
      <w:bookmarkEnd w:id="155"/>
      <w:bookmarkStart w:id="156" w:name="_Toc184313275"/>
      <w:bookmarkEnd w:id="156"/>
      <w:bookmarkStart w:id="157" w:name="_Toc184308075"/>
      <w:bookmarkEnd w:id="157"/>
      <w:bookmarkStart w:id="158" w:name="_Toc184314440"/>
      <w:bookmarkEnd w:id="158"/>
      <w:bookmarkStart w:id="159" w:name="_Toc184313306"/>
      <w:bookmarkEnd w:id="159"/>
      <w:bookmarkStart w:id="160" w:name="_Toc184314417"/>
      <w:bookmarkEnd w:id="160"/>
      <w:bookmarkStart w:id="161" w:name="_Toc184308079"/>
      <w:bookmarkEnd w:id="161"/>
      <w:bookmarkStart w:id="162" w:name="_Toc184308051"/>
      <w:bookmarkEnd w:id="162"/>
      <w:bookmarkStart w:id="163" w:name="_Toc184312108"/>
      <w:bookmarkEnd w:id="163"/>
      <w:bookmarkStart w:id="164" w:name="_Toc184313240"/>
      <w:bookmarkEnd w:id="164"/>
      <w:bookmarkStart w:id="165" w:name="_Toc184313297"/>
      <w:bookmarkEnd w:id="165"/>
      <w:bookmarkStart w:id="166" w:name="_Toc184314463"/>
      <w:bookmarkEnd w:id="166"/>
      <w:bookmarkStart w:id="167" w:name="_Toc184314460"/>
      <w:bookmarkEnd w:id="167"/>
      <w:bookmarkStart w:id="168" w:name="_Toc184310329"/>
      <w:bookmarkEnd w:id="168"/>
      <w:bookmarkStart w:id="169" w:name="_Toc184310340"/>
      <w:bookmarkEnd w:id="169"/>
      <w:bookmarkStart w:id="170" w:name="_Toc184313245"/>
      <w:bookmarkEnd w:id="170"/>
      <w:bookmarkStart w:id="171" w:name="_Toc184312110"/>
      <w:bookmarkEnd w:id="171"/>
      <w:bookmarkStart w:id="172" w:name="_Toc184308091"/>
      <w:bookmarkEnd w:id="172"/>
      <w:bookmarkStart w:id="173" w:name="_Toc184308087"/>
      <w:bookmarkEnd w:id="173"/>
      <w:bookmarkStart w:id="174" w:name="_Toc184314418"/>
      <w:bookmarkEnd w:id="174"/>
      <w:bookmarkStart w:id="175" w:name="_Toc184310331"/>
      <w:bookmarkEnd w:id="175"/>
      <w:bookmarkStart w:id="176" w:name="_Toc184310275"/>
      <w:bookmarkEnd w:id="176"/>
      <w:bookmarkStart w:id="177" w:name="_Toc184313305"/>
      <w:bookmarkEnd w:id="177"/>
      <w:bookmarkStart w:id="178" w:name="_Toc184314441"/>
      <w:bookmarkEnd w:id="178"/>
      <w:bookmarkStart w:id="179" w:name="_Toc184314430"/>
      <w:bookmarkEnd w:id="179"/>
      <w:bookmarkStart w:id="180" w:name="_Toc184310319"/>
      <w:bookmarkEnd w:id="180"/>
      <w:bookmarkStart w:id="181" w:name="_Toc184314449"/>
      <w:bookmarkEnd w:id="181"/>
      <w:bookmarkStart w:id="182" w:name="_Toc184314470"/>
      <w:bookmarkEnd w:id="182"/>
      <w:bookmarkStart w:id="183" w:name="_Toc184313262"/>
      <w:bookmarkEnd w:id="183"/>
      <w:bookmarkStart w:id="184" w:name="_Toc184312088"/>
      <w:bookmarkEnd w:id="184"/>
      <w:bookmarkStart w:id="185" w:name="_Toc184312132"/>
      <w:bookmarkEnd w:id="185"/>
      <w:bookmarkStart w:id="186" w:name="_Toc184312068"/>
      <w:bookmarkEnd w:id="186"/>
      <w:bookmarkStart w:id="187" w:name="_Toc184308107"/>
      <w:bookmarkEnd w:id="187"/>
      <w:bookmarkStart w:id="188" w:name="_Toc184314473"/>
      <w:bookmarkEnd w:id="188"/>
      <w:bookmarkStart w:id="189" w:name="_Toc184308064"/>
      <w:bookmarkEnd w:id="189"/>
      <w:bookmarkStart w:id="190" w:name="_Toc184314468"/>
      <w:bookmarkEnd w:id="190"/>
      <w:bookmarkStart w:id="191" w:name="_Toc184312116"/>
      <w:bookmarkEnd w:id="191"/>
      <w:bookmarkStart w:id="192" w:name="_Toc184313255"/>
      <w:bookmarkEnd w:id="192"/>
      <w:bookmarkStart w:id="193" w:name="_Toc184308053"/>
      <w:bookmarkEnd w:id="193"/>
      <w:bookmarkStart w:id="194" w:name="_Toc184310327"/>
      <w:bookmarkEnd w:id="194"/>
      <w:bookmarkStart w:id="195" w:name="_Toc184313282"/>
      <w:bookmarkEnd w:id="195"/>
      <w:bookmarkStart w:id="196" w:name="_Toc184314478"/>
      <w:bookmarkEnd w:id="196"/>
      <w:bookmarkStart w:id="197" w:name="_Toc184314419"/>
      <w:bookmarkEnd w:id="197"/>
      <w:bookmarkStart w:id="198" w:name="_Toc184310305"/>
      <w:bookmarkEnd w:id="198"/>
      <w:bookmarkStart w:id="199" w:name="_Toc184308088"/>
      <w:bookmarkEnd w:id="199"/>
      <w:bookmarkStart w:id="200" w:name="_Toc184308047"/>
      <w:bookmarkEnd w:id="200"/>
      <w:bookmarkStart w:id="201" w:name="_Toc184314422"/>
      <w:bookmarkEnd w:id="201"/>
      <w:bookmarkStart w:id="202" w:name="_Toc184312118"/>
      <w:bookmarkEnd w:id="202"/>
      <w:bookmarkStart w:id="203" w:name="_Toc184308086"/>
      <w:bookmarkEnd w:id="203"/>
      <w:bookmarkStart w:id="204" w:name="_Toc184310276"/>
      <w:bookmarkEnd w:id="204"/>
      <w:bookmarkStart w:id="205" w:name="_Toc184310284"/>
      <w:bookmarkEnd w:id="205"/>
      <w:bookmarkStart w:id="206" w:name="_Toc184313291"/>
      <w:bookmarkEnd w:id="206"/>
      <w:bookmarkStart w:id="207" w:name="_Toc184312135"/>
      <w:bookmarkEnd w:id="207"/>
      <w:bookmarkStart w:id="208" w:name="_Toc184312126"/>
      <w:bookmarkEnd w:id="208"/>
      <w:bookmarkStart w:id="209" w:name="_Toc184312086"/>
      <w:bookmarkEnd w:id="209"/>
      <w:bookmarkStart w:id="210" w:name="_Toc184313288"/>
      <w:bookmarkEnd w:id="210"/>
      <w:bookmarkStart w:id="211" w:name="_Toc184313308"/>
      <w:bookmarkEnd w:id="211"/>
      <w:bookmarkStart w:id="212" w:name="_Toc184308080"/>
      <w:bookmarkEnd w:id="212"/>
      <w:bookmarkStart w:id="213" w:name="_Toc184313310"/>
      <w:bookmarkEnd w:id="213"/>
      <w:bookmarkStart w:id="214" w:name="_Toc184310279"/>
      <w:bookmarkEnd w:id="214"/>
      <w:bookmarkStart w:id="215" w:name="_Toc184313287"/>
      <w:bookmarkEnd w:id="215"/>
      <w:bookmarkStart w:id="216" w:name="_Toc184314446"/>
      <w:bookmarkEnd w:id="216"/>
      <w:bookmarkStart w:id="217" w:name="_Toc184313276"/>
      <w:bookmarkEnd w:id="217"/>
      <w:bookmarkStart w:id="218" w:name="_Toc184314431"/>
      <w:bookmarkEnd w:id="218"/>
      <w:bookmarkStart w:id="219" w:name="_Toc184308061"/>
      <w:bookmarkEnd w:id="219"/>
      <w:bookmarkStart w:id="220" w:name="_Toc184314412"/>
      <w:bookmarkEnd w:id="220"/>
      <w:bookmarkStart w:id="221" w:name="_Toc184313285"/>
      <w:bookmarkEnd w:id="221"/>
      <w:bookmarkStart w:id="222" w:name="_Toc184310291"/>
      <w:bookmarkEnd w:id="222"/>
      <w:bookmarkStart w:id="223" w:name="_Toc184313280"/>
      <w:bookmarkEnd w:id="223"/>
      <w:bookmarkStart w:id="224" w:name="_Toc184313265"/>
      <w:bookmarkEnd w:id="224"/>
      <w:bookmarkStart w:id="225" w:name="_Toc184313239"/>
      <w:bookmarkEnd w:id="225"/>
      <w:bookmarkStart w:id="226" w:name="_Toc184310341"/>
      <w:bookmarkEnd w:id="226"/>
      <w:bookmarkStart w:id="227" w:name="_Toc184313267"/>
      <w:bookmarkEnd w:id="227"/>
      <w:bookmarkStart w:id="228" w:name="_Toc184312102"/>
      <w:bookmarkEnd w:id="228"/>
      <w:bookmarkStart w:id="229" w:name="_Toc184314425"/>
      <w:bookmarkEnd w:id="229"/>
      <w:bookmarkStart w:id="230" w:name="_Toc184308099"/>
      <w:bookmarkEnd w:id="230"/>
      <w:bookmarkStart w:id="231" w:name="_Toc184308081"/>
      <w:bookmarkEnd w:id="231"/>
      <w:bookmarkStart w:id="232" w:name="_Toc184308038"/>
      <w:bookmarkEnd w:id="232"/>
      <w:bookmarkStart w:id="233" w:name="_Toc184314466"/>
      <w:bookmarkEnd w:id="233"/>
      <w:bookmarkStart w:id="234" w:name="_Toc184313309"/>
      <w:bookmarkEnd w:id="234"/>
      <w:bookmarkStart w:id="235" w:name="_Toc184310318"/>
      <w:bookmarkEnd w:id="235"/>
      <w:bookmarkStart w:id="236" w:name="_Toc184310344"/>
      <w:bookmarkEnd w:id="236"/>
      <w:bookmarkStart w:id="237" w:name="_Toc184308106"/>
      <w:bookmarkEnd w:id="237"/>
      <w:bookmarkStart w:id="238" w:name="_Toc184308048"/>
      <w:bookmarkEnd w:id="238"/>
      <w:bookmarkStart w:id="239" w:name="_Toc184314421"/>
      <w:bookmarkEnd w:id="239"/>
      <w:bookmarkStart w:id="240" w:name="_Toc184314467"/>
      <w:bookmarkEnd w:id="240"/>
      <w:bookmarkStart w:id="241" w:name="_Toc184312114"/>
      <w:bookmarkEnd w:id="241"/>
      <w:bookmarkStart w:id="242" w:name="_Toc184314413"/>
      <w:bookmarkEnd w:id="242"/>
      <w:bookmarkStart w:id="243" w:name="_Toc184308100"/>
      <w:bookmarkEnd w:id="243"/>
      <w:bookmarkStart w:id="244" w:name="_Toc184312122"/>
      <w:bookmarkEnd w:id="244"/>
      <w:bookmarkStart w:id="245" w:name="_Toc184313254"/>
      <w:bookmarkEnd w:id="245"/>
      <w:bookmarkStart w:id="246" w:name="_Toc184313260"/>
      <w:bookmarkEnd w:id="246"/>
      <w:bookmarkStart w:id="247" w:name="_Toc184310281"/>
      <w:bookmarkEnd w:id="247"/>
      <w:bookmarkStart w:id="248" w:name="_Toc184310274"/>
      <w:bookmarkEnd w:id="248"/>
      <w:bookmarkStart w:id="249" w:name="_Toc184310282"/>
      <w:bookmarkEnd w:id="249"/>
      <w:bookmarkStart w:id="250" w:name="_Toc184314415"/>
      <w:bookmarkEnd w:id="250"/>
      <w:bookmarkStart w:id="251" w:name="_Toc184310314"/>
      <w:bookmarkEnd w:id="251"/>
      <w:bookmarkStart w:id="252" w:name="_Toc184314461"/>
      <w:bookmarkEnd w:id="252"/>
      <w:bookmarkStart w:id="253" w:name="_Toc184314450"/>
      <w:bookmarkEnd w:id="253"/>
      <w:bookmarkStart w:id="254" w:name="_Toc184308063"/>
      <w:bookmarkEnd w:id="254"/>
      <w:bookmarkStart w:id="255" w:name="_Toc184313248"/>
      <w:bookmarkEnd w:id="255"/>
      <w:bookmarkStart w:id="256" w:name="_Toc184313266"/>
      <w:bookmarkEnd w:id="256"/>
      <w:bookmarkStart w:id="257" w:name="_Toc184308078"/>
      <w:bookmarkEnd w:id="257"/>
      <w:bookmarkStart w:id="258" w:name="_Toc184308089"/>
      <w:bookmarkEnd w:id="258"/>
      <w:bookmarkStart w:id="259" w:name="_Toc184308073"/>
      <w:bookmarkEnd w:id="259"/>
      <w:bookmarkStart w:id="260" w:name="_Toc184314438"/>
      <w:bookmarkEnd w:id="260"/>
      <w:bookmarkStart w:id="261" w:name="_Toc184310280"/>
      <w:bookmarkEnd w:id="261"/>
      <w:bookmarkStart w:id="262" w:name="_Toc184314423"/>
      <w:bookmarkEnd w:id="262"/>
      <w:bookmarkStart w:id="263" w:name="_Toc184313293"/>
      <w:bookmarkEnd w:id="263"/>
      <w:bookmarkStart w:id="264" w:name="_Toc184308058"/>
      <w:bookmarkEnd w:id="264"/>
      <w:bookmarkStart w:id="265" w:name="_Toc184308085"/>
      <w:bookmarkEnd w:id="265"/>
      <w:bookmarkStart w:id="266" w:name="_Toc184314476"/>
      <w:bookmarkEnd w:id="266"/>
      <w:bookmarkStart w:id="267" w:name="_Toc184314411"/>
      <w:bookmarkEnd w:id="267"/>
      <w:bookmarkStart w:id="268" w:name="_Toc184312097"/>
      <w:bookmarkEnd w:id="268"/>
      <w:bookmarkStart w:id="269" w:name="_Toc184312107"/>
      <w:bookmarkEnd w:id="269"/>
      <w:bookmarkStart w:id="270" w:name="_Toc184313263"/>
      <w:bookmarkEnd w:id="270"/>
      <w:bookmarkStart w:id="271" w:name="_Toc184312119"/>
      <w:bookmarkEnd w:id="271"/>
      <w:bookmarkStart w:id="272" w:name="_Toc184312091"/>
      <w:bookmarkEnd w:id="272"/>
      <w:bookmarkStart w:id="273" w:name="_Toc184310290"/>
      <w:bookmarkEnd w:id="273"/>
      <w:bookmarkStart w:id="274" w:name="_Toc184310309"/>
      <w:bookmarkEnd w:id="274"/>
      <w:bookmarkStart w:id="275" w:name="_Toc184314442"/>
      <w:bookmarkEnd w:id="275"/>
      <w:bookmarkStart w:id="276" w:name="_Toc184312099"/>
      <w:bookmarkEnd w:id="276"/>
      <w:bookmarkStart w:id="277" w:name="_Toc184310321"/>
      <w:bookmarkEnd w:id="277"/>
      <w:bookmarkStart w:id="278" w:name="_Toc184312070"/>
      <w:bookmarkEnd w:id="278"/>
      <w:bookmarkStart w:id="279" w:name="_Toc184313269"/>
      <w:bookmarkEnd w:id="279"/>
      <w:bookmarkStart w:id="280" w:name="_Toc184308070"/>
      <w:bookmarkEnd w:id="280"/>
      <w:bookmarkStart w:id="281" w:name="_Toc184313251"/>
      <w:bookmarkEnd w:id="281"/>
      <w:bookmarkStart w:id="282" w:name="_Toc184313261"/>
      <w:bookmarkEnd w:id="282"/>
      <w:bookmarkStart w:id="283" w:name="_Toc184308059"/>
      <w:bookmarkEnd w:id="283"/>
      <w:bookmarkStart w:id="284" w:name="_Toc184313304"/>
      <w:bookmarkEnd w:id="284"/>
      <w:bookmarkStart w:id="285" w:name="_Toc184312117"/>
      <w:bookmarkEnd w:id="285"/>
      <w:bookmarkStart w:id="286" w:name="_Toc184310302"/>
      <w:bookmarkEnd w:id="286"/>
      <w:bookmarkStart w:id="287" w:name="_Toc184313279"/>
      <w:bookmarkEnd w:id="287"/>
      <w:bookmarkStart w:id="288" w:name="_Toc184310307"/>
      <w:bookmarkEnd w:id="288"/>
      <w:bookmarkStart w:id="289" w:name="_Toc184312093"/>
      <w:bookmarkEnd w:id="289"/>
      <w:bookmarkStart w:id="290" w:name="_Toc184312087"/>
      <w:bookmarkEnd w:id="290"/>
      <w:bookmarkStart w:id="291" w:name="_Toc184312095"/>
      <w:bookmarkEnd w:id="291"/>
      <w:bookmarkStart w:id="292" w:name="_Toc184312124"/>
      <w:bookmarkEnd w:id="292"/>
      <w:bookmarkStart w:id="293" w:name="_Toc184310288"/>
      <w:bookmarkEnd w:id="293"/>
      <w:bookmarkStart w:id="294" w:name="_Toc184310304"/>
      <w:bookmarkEnd w:id="294"/>
      <w:bookmarkStart w:id="295" w:name="_Toc184310330"/>
      <w:bookmarkEnd w:id="295"/>
      <w:bookmarkStart w:id="296" w:name="_Toc184313296"/>
      <w:bookmarkEnd w:id="296"/>
      <w:bookmarkStart w:id="297" w:name="_Toc184308043"/>
      <w:bookmarkEnd w:id="297"/>
      <w:bookmarkStart w:id="298" w:name="_Toc184314453"/>
      <w:bookmarkEnd w:id="298"/>
      <w:bookmarkStart w:id="299" w:name="_Toc184313249"/>
      <w:bookmarkEnd w:id="299"/>
      <w:bookmarkStart w:id="300" w:name="_Toc184310277"/>
      <w:bookmarkEnd w:id="300"/>
      <w:bookmarkStart w:id="301" w:name="_Toc184314451"/>
      <w:bookmarkEnd w:id="301"/>
      <w:bookmarkStart w:id="302" w:name="_Toc184308052"/>
      <w:bookmarkEnd w:id="302"/>
      <w:bookmarkStart w:id="303" w:name="_Toc184314471"/>
      <w:bookmarkEnd w:id="303"/>
      <w:bookmarkStart w:id="304" w:name="_Toc184312105"/>
      <w:bookmarkEnd w:id="304"/>
      <w:bookmarkStart w:id="305" w:name="_Toc184308056"/>
      <w:bookmarkEnd w:id="305"/>
      <w:bookmarkStart w:id="306" w:name="_Toc184314457"/>
      <w:bookmarkEnd w:id="306"/>
      <w:bookmarkStart w:id="307" w:name="_Toc184312098"/>
      <w:bookmarkEnd w:id="307"/>
      <w:bookmarkStart w:id="308" w:name="_Toc184312084"/>
      <w:bookmarkEnd w:id="308"/>
      <w:bookmarkStart w:id="309" w:name="_Toc184310320"/>
      <w:bookmarkEnd w:id="309"/>
      <w:bookmarkStart w:id="310" w:name="_Toc184308098"/>
      <w:bookmarkEnd w:id="310"/>
      <w:bookmarkStart w:id="311" w:name="_Toc184313299"/>
      <w:bookmarkEnd w:id="311"/>
      <w:bookmarkStart w:id="312" w:name="_Toc184314414"/>
      <w:bookmarkEnd w:id="312"/>
      <w:bookmarkStart w:id="313" w:name="_Toc184312139"/>
      <w:bookmarkEnd w:id="313"/>
      <w:bookmarkStart w:id="314" w:name="_Toc184312085"/>
      <w:bookmarkEnd w:id="314"/>
      <w:bookmarkStart w:id="315" w:name="_Toc184310324"/>
      <w:bookmarkEnd w:id="315"/>
      <w:bookmarkStart w:id="316" w:name="_Toc184313298"/>
      <w:bookmarkEnd w:id="316"/>
      <w:bookmarkStart w:id="317" w:name="_Toc184313252"/>
      <w:bookmarkEnd w:id="317"/>
      <w:bookmarkStart w:id="318" w:name="_Toc184314444"/>
      <w:bookmarkEnd w:id="318"/>
      <w:bookmarkStart w:id="319" w:name="_Toc184310297"/>
      <w:bookmarkEnd w:id="319"/>
      <w:bookmarkStart w:id="320" w:name="_Toc184310298"/>
      <w:bookmarkEnd w:id="320"/>
      <w:bookmarkStart w:id="321" w:name="_Toc184313270"/>
      <w:bookmarkEnd w:id="321"/>
      <w:bookmarkStart w:id="322" w:name="_Toc184308069"/>
      <w:bookmarkEnd w:id="322"/>
      <w:bookmarkStart w:id="323" w:name="_Toc184312134"/>
      <w:bookmarkEnd w:id="323"/>
      <w:bookmarkStart w:id="324" w:name="_Toc184308092"/>
      <w:bookmarkEnd w:id="324"/>
      <w:bookmarkStart w:id="325" w:name="_Toc184313273"/>
      <w:bookmarkEnd w:id="325"/>
      <w:bookmarkStart w:id="326" w:name="_Toc184310286"/>
      <w:bookmarkEnd w:id="326"/>
      <w:bookmarkStart w:id="327" w:name="_Toc184310283"/>
      <w:bookmarkEnd w:id="327"/>
      <w:bookmarkStart w:id="328" w:name="_Toc184312133"/>
      <w:bookmarkEnd w:id="328"/>
      <w:bookmarkStart w:id="329" w:name="_Toc184308102"/>
      <w:bookmarkEnd w:id="329"/>
      <w:bookmarkStart w:id="330" w:name="_Toc184308040"/>
      <w:bookmarkEnd w:id="330"/>
      <w:bookmarkStart w:id="331" w:name="_Toc184310328"/>
      <w:bookmarkEnd w:id="331"/>
      <w:bookmarkStart w:id="332" w:name="_Toc184310317"/>
      <w:bookmarkEnd w:id="332"/>
      <w:bookmarkStart w:id="333" w:name="_Toc184312103"/>
      <w:bookmarkEnd w:id="333"/>
      <w:bookmarkStart w:id="334" w:name="_Toc184308105"/>
      <w:bookmarkEnd w:id="334"/>
      <w:bookmarkStart w:id="335" w:name="_Toc184314435"/>
      <w:bookmarkEnd w:id="335"/>
      <w:bookmarkStart w:id="336" w:name="_Toc184314477"/>
      <w:bookmarkEnd w:id="336"/>
      <w:bookmarkStart w:id="337" w:name="_Toc184310312"/>
      <w:bookmarkEnd w:id="337"/>
      <w:bookmarkStart w:id="338" w:name="_Toc184313295"/>
      <w:bookmarkEnd w:id="338"/>
      <w:bookmarkStart w:id="339" w:name="_Toc184310303"/>
      <w:bookmarkEnd w:id="339"/>
      <w:bookmarkStart w:id="340" w:name="_Toc184312079"/>
      <w:bookmarkEnd w:id="340"/>
      <w:bookmarkStart w:id="341" w:name="_Toc184313278"/>
      <w:bookmarkEnd w:id="341"/>
      <w:bookmarkStart w:id="342" w:name="_Toc184310337"/>
      <w:bookmarkEnd w:id="342"/>
      <w:bookmarkStart w:id="343" w:name="_Toc184313292"/>
      <w:bookmarkEnd w:id="343"/>
      <w:bookmarkStart w:id="344" w:name="_Toc184308095"/>
      <w:bookmarkEnd w:id="344"/>
      <w:bookmarkStart w:id="345" w:name="_Toc184312080"/>
      <w:bookmarkEnd w:id="345"/>
      <w:bookmarkStart w:id="346" w:name="_Toc184313253"/>
      <w:bookmarkEnd w:id="346"/>
      <w:bookmarkStart w:id="347" w:name="_Toc184314443"/>
      <w:bookmarkEnd w:id="347"/>
      <w:bookmarkStart w:id="348" w:name="_Toc184313256"/>
      <w:bookmarkEnd w:id="348"/>
      <w:bookmarkStart w:id="349" w:name="_Toc184308049"/>
      <w:bookmarkEnd w:id="349"/>
      <w:bookmarkStart w:id="350" w:name="_Toc184312109"/>
      <w:bookmarkEnd w:id="350"/>
      <w:bookmarkStart w:id="351" w:name="_Toc184312067"/>
      <w:bookmarkEnd w:id="351"/>
      <w:bookmarkStart w:id="352" w:name="_Toc184313268"/>
      <w:bookmarkEnd w:id="352"/>
      <w:bookmarkStart w:id="353" w:name="_Toc184313264"/>
      <w:bookmarkEnd w:id="353"/>
      <w:bookmarkStart w:id="354" w:name="_Toc184313247"/>
      <w:bookmarkEnd w:id="354"/>
      <w:bookmarkStart w:id="355" w:name="_Toc184312130"/>
      <w:bookmarkEnd w:id="355"/>
      <w:bookmarkStart w:id="356" w:name="_Toc184308041"/>
      <w:bookmarkEnd w:id="356"/>
      <w:bookmarkStart w:id="357" w:name="_Toc184314459"/>
      <w:bookmarkEnd w:id="357"/>
      <w:bookmarkStart w:id="358" w:name="_Toc184313303"/>
      <w:bookmarkEnd w:id="358"/>
      <w:bookmarkStart w:id="359" w:name="_Toc184313242"/>
      <w:bookmarkEnd w:id="359"/>
      <w:bookmarkStart w:id="360" w:name="_Toc184310287"/>
      <w:bookmarkEnd w:id="360"/>
      <w:bookmarkStart w:id="361" w:name="_Toc184310336"/>
      <w:bookmarkEnd w:id="361"/>
      <w:bookmarkStart w:id="362" w:name="_Toc184310332"/>
      <w:bookmarkEnd w:id="362"/>
      <w:bookmarkStart w:id="363" w:name="_Toc184312074"/>
      <w:bookmarkEnd w:id="363"/>
      <w:bookmarkStart w:id="364" w:name="_Toc184312131"/>
      <w:bookmarkEnd w:id="364"/>
      <w:bookmarkStart w:id="365" w:name="_Toc184310294"/>
      <w:bookmarkEnd w:id="365"/>
      <w:bookmarkStart w:id="366" w:name="_Toc184312121"/>
      <w:bookmarkEnd w:id="366"/>
      <w:bookmarkStart w:id="367" w:name="_Toc184310273"/>
      <w:bookmarkEnd w:id="367"/>
      <w:bookmarkStart w:id="368" w:name="_Toc184314428"/>
      <w:bookmarkEnd w:id="368"/>
      <w:bookmarkStart w:id="369" w:name="_Toc184312106"/>
      <w:bookmarkEnd w:id="369"/>
      <w:bookmarkStart w:id="370" w:name="_Toc184312071"/>
      <w:bookmarkEnd w:id="370"/>
      <w:bookmarkStart w:id="371" w:name="_Toc184314469"/>
      <w:bookmarkEnd w:id="371"/>
      <w:bookmarkStart w:id="372" w:name="_Toc184314439"/>
      <w:bookmarkEnd w:id="372"/>
      <w:bookmarkStart w:id="373" w:name="_Toc184308067"/>
      <w:bookmarkEnd w:id="373"/>
      <w:bookmarkStart w:id="374" w:name="_Toc184314456"/>
      <w:bookmarkEnd w:id="374"/>
      <w:bookmarkStart w:id="375" w:name="_Toc184313277"/>
      <w:bookmarkEnd w:id="375"/>
      <w:bookmarkStart w:id="376" w:name="_Toc184312104"/>
      <w:bookmarkEnd w:id="376"/>
      <w:bookmarkStart w:id="377" w:name="_Toc184312136"/>
      <w:bookmarkEnd w:id="377"/>
      <w:bookmarkStart w:id="378" w:name="_Toc184312082"/>
      <w:bookmarkEnd w:id="378"/>
      <w:bookmarkStart w:id="379" w:name="_Toc184312137"/>
      <w:bookmarkEnd w:id="379"/>
      <w:bookmarkStart w:id="380" w:name="_Toc184313238"/>
      <w:bookmarkEnd w:id="380"/>
      <w:bookmarkStart w:id="381" w:name="_Toc184314427"/>
      <w:bookmarkEnd w:id="381"/>
      <w:bookmarkStart w:id="382" w:name="_Toc184308060"/>
      <w:bookmarkEnd w:id="382"/>
      <w:bookmarkStart w:id="383" w:name="_Toc184310335"/>
      <w:bookmarkEnd w:id="383"/>
      <w:bookmarkStart w:id="384" w:name="_Toc184312090"/>
      <w:bookmarkEnd w:id="384"/>
      <w:bookmarkStart w:id="385" w:name="_Toc184312075"/>
      <w:bookmarkEnd w:id="385"/>
      <w:bookmarkStart w:id="386" w:name="_Toc184313301"/>
      <w:bookmarkEnd w:id="386"/>
      <w:bookmarkStart w:id="387" w:name="_Toc184313284"/>
      <w:bookmarkEnd w:id="387"/>
      <w:bookmarkStart w:id="388" w:name="_Toc184314481"/>
      <w:bookmarkEnd w:id="388"/>
      <w:bookmarkStart w:id="389" w:name="_Toc184313272"/>
      <w:bookmarkEnd w:id="389"/>
      <w:bookmarkStart w:id="390" w:name="_Toc184312092"/>
      <w:bookmarkEnd w:id="390"/>
      <w:bookmarkStart w:id="391" w:name="_Toc184308077"/>
      <w:bookmarkEnd w:id="391"/>
      <w:bookmarkStart w:id="392" w:name="_Toc184313281"/>
      <w:bookmarkEnd w:id="392"/>
      <w:bookmarkStart w:id="393" w:name="_Toc184310343"/>
      <w:bookmarkEnd w:id="393"/>
      <w:bookmarkStart w:id="394" w:name="_Toc184313258"/>
      <w:bookmarkEnd w:id="394"/>
      <w:bookmarkStart w:id="395" w:name="_Toc184314433"/>
      <w:bookmarkEnd w:id="395"/>
      <w:bookmarkStart w:id="396" w:name="_Toc184314462"/>
      <w:bookmarkEnd w:id="396"/>
      <w:bookmarkStart w:id="397" w:name="_Toc184313289"/>
      <w:bookmarkEnd w:id="397"/>
      <w:bookmarkStart w:id="398" w:name="_Toc184308090"/>
      <w:bookmarkEnd w:id="398"/>
      <w:bookmarkStart w:id="399" w:name="_Toc184313244"/>
      <w:bookmarkEnd w:id="399"/>
      <w:bookmarkStart w:id="400" w:name="_Toc184310289"/>
      <w:bookmarkEnd w:id="400"/>
      <w:bookmarkStart w:id="401" w:name="_Toc184308074"/>
      <w:bookmarkEnd w:id="401"/>
      <w:bookmarkStart w:id="402" w:name="_Toc184313283"/>
      <w:bookmarkEnd w:id="402"/>
      <w:bookmarkStart w:id="403" w:name="_Toc184310299"/>
      <w:bookmarkEnd w:id="403"/>
      <w:r>
        <w:rPr>
          <w:rStyle w:val="288"/>
          <w:rFonts w:hint="eastAsia" w:ascii="仿宋" w:hAnsi="仿宋" w:cs="仿宋"/>
          <w:bCs/>
          <w:lang w:val="en-US" w:eastAsia="zh-CN" w:bidi="ar-SA"/>
        </w:rPr>
        <w:t>评标办法</w:t>
      </w:r>
      <w:bookmarkEnd w:id="38"/>
    </w:p>
    <w:p w14:paraId="39CD148F">
      <w:pPr>
        <w:pStyle w:val="2"/>
        <w:rPr>
          <w:rFonts w:ascii="仿宋" w:hAnsi="仿宋" w:cs="仿宋"/>
          <w:sz w:val="20"/>
          <w:szCs w:val="20"/>
          <w:shd w:val="clear" w:color="auto" w:fill="FFFFFF"/>
        </w:rPr>
      </w:pPr>
      <w:bookmarkStart w:id="404" w:name="_Toc9241"/>
      <w:r>
        <w:rPr>
          <w:rFonts w:hint="eastAsia" w:ascii="仿宋" w:hAnsi="仿宋" w:cs="仿宋"/>
        </w:rPr>
        <w:t>评标办法前附表</w:t>
      </w:r>
      <w:bookmarkEnd w:id="404"/>
    </w:p>
    <w:tbl>
      <w:tblPr>
        <w:tblStyle w:val="6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91"/>
        <w:gridCol w:w="859"/>
        <w:gridCol w:w="5307"/>
        <w:gridCol w:w="813"/>
        <w:gridCol w:w="1268"/>
      </w:tblGrid>
      <w:tr w14:paraId="64580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75F226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rPr>
              <w:t>评审</w:t>
            </w:r>
          </w:p>
          <w:p w14:paraId="4D3254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rPr>
              <w:t>内容</w:t>
            </w:r>
          </w:p>
        </w:tc>
        <w:tc>
          <w:tcPr>
            <w:tcW w:w="3337" w:type="pct"/>
            <w:gridSpan w:val="2"/>
            <w:tcBorders>
              <w:top w:val="single" w:color="auto" w:sz="4" w:space="0"/>
              <w:left w:val="single" w:color="auto" w:sz="4" w:space="0"/>
              <w:bottom w:val="single" w:color="auto" w:sz="4" w:space="0"/>
              <w:right w:val="single" w:color="auto" w:sz="4" w:space="0"/>
            </w:tcBorders>
            <w:vAlign w:val="center"/>
          </w:tcPr>
          <w:p w14:paraId="02E9F9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rPr>
              <w:t>评分标准</w:t>
            </w:r>
          </w:p>
        </w:tc>
        <w:tc>
          <w:tcPr>
            <w:tcW w:w="440" w:type="pct"/>
            <w:tcBorders>
              <w:top w:val="single" w:color="auto" w:sz="4" w:space="0"/>
              <w:left w:val="single" w:color="auto" w:sz="4" w:space="0"/>
              <w:bottom w:val="single" w:color="auto" w:sz="4" w:space="0"/>
              <w:right w:val="single" w:color="auto" w:sz="4" w:space="0"/>
            </w:tcBorders>
            <w:vAlign w:val="center"/>
          </w:tcPr>
          <w:p w14:paraId="1AA62E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最高分值</w:t>
            </w:r>
          </w:p>
        </w:tc>
        <w:tc>
          <w:tcPr>
            <w:tcW w:w="686" w:type="pct"/>
            <w:tcBorders>
              <w:top w:val="single" w:color="auto" w:sz="4" w:space="0"/>
              <w:left w:val="single" w:color="auto" w:sz="4" w:space="0"/>
              <w:bottom w:val="single" w:color="auto" w:sz="4" w:space="0"/>
              <w:right w:val="single" w:color="auto" w:sz="4" w:space="0"/>
            </w:tcBorders>
            <w:vAlign w:val="center"/>
          </w:tcPr>
          <w:p w14:paraId="1A0CAC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sz w:val="24"/>
                <w:szCs w:val="24"/>
              </w:rPr>
            </w:pPr>
            <w:r>
              <w:rPr>
                <w:rFonts w:hint="eastAsia" w:ascii="仿宋" w:hAnsi="仿宋" w:cs="仿宋"/>
                <w:bCs/>
                <w:sz w:val="24"/>
                <w:szCs w:val="24"/>
                <w:lang w:eastAsia="zh-CN"/>
              </w:rPr>
              <w:t>招标</w:t>
            </w:r>
            <w:r>
              <w:rPr>
                <w:rFonts w:hint="eastAsia" w:ascii="仿宋" w:hAnsi="仿宋" w:eastAsia="仿宋" w:cs="仿宋"/>
                <w:bCs/>
                <w:sz w:val="24"/>
                <w:szCs w:val="24"/>
              </w:rPr>
              <w:t>文件中评审标准相应的商务技术资料目录 </w:t>
            </w:r>
          </w:p>
        </w:tc>
      </w:tr>
      <w:tr w14:paraId="2253F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77989304">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rPr>
              <w:t>报价分</w:t>
            </w:r>
          </w:p>
        </w:tc>
        <w:tc>
          <w:tcPr>
            <w:tcW w:w="3337" w:type="pct"/>
            <w:gridSpan w:val="2"/>
            <w:tcBorders>
              <w:top w:val="single" w:color="auto" w:sz="4" w:space="0"/>
              <w:left w:val="single" w:color="auto" w:sz="4" w:space="0"/>
              <w:bottom w:val="single" w:color="auto" w:sz="4" w:space="0"/>
              <w:right w:val="single" w:color="auto" w:sz="4" w:space="0"/>
            </w:tcBorders>
            <w:vAlign w:val="center"/>
          </w:tcPr>
          <w:p w14:paraId="70F30594">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价格</w:t>
            </w:r>
            <w:r>
              <w:rPr>
                <w:rFonts w:hint="eastAsia" w:ascii="仿宋" w:hAnsi="仿宋" w:eastAsia="仿宋" w:cs="仿宋"/>
                <w:sz w:val="24"/>
                <w:szCs w:val="24"/>
                <w:lang w:val="en-US" w:eastAsia="zh-CN"/>
              </w:rPr>
              <w:t>分采用低价优先法计算，即满足</w:t>
            </w:r>
            <w:r>
              <w:rPr>
                <w:rFonts w:hint="eastAsia" w:ascii="仿宋" w:hAnsi="仿宋" w:cs="仿宋"/>
                <w:sz w:val="24"/>
                <w:szCs w:val="24"/>
                <w:lang w:val="en-US" w:eastAsia="zh-CN"/>
              </w:rPr>
              <w:t>招标</w:t>
            </w:r>
            <w:r>
              <w:rPr>
                <w:rFonts w:hint="eastAsia" w:ascii="仿宋" w:hAnsi="仿宋" w:eastAsia="仿宋" w:cs="仿宋"/>
                <w:sz w:val="24"/>
                <w:szCs w:val="24"/>
                <w:lang w:val="en-US" w:eastAsia="zh-CN"/>
              </w:rPr>
              <w:t>文件要求且</w:t>
            </w:r>
            <w:r>
              <w:rPr>
                <w:rFonts w:hint="eastAsia" w:ascii="仿宋" w:hAnsi="仿宋" w:cs="仿宋"/>
                <w:sz w:val="24"/>
                <w:szCs w:val="24"/>
                <w:lang w:val="en-US" w:eastAsia="zh-CN"/>
              </w:rPr>
              <w:t>投标价格最低的投标</w:t>
            </w:r>
            <w:r>
              <w:rPr>
                <w:rFonts w:hint="eastAsia" w:ascii="仿宋" w:hAnsi="仿宋" w:eastAsia="仿宋" w:cs="仿宋"/>
                <w:sz w:val="24"/>
                <w:szCs w:val="24"/>
                <w:lang w:val="en-US" w:eastAsia="zh-CN"/>
              </w:rPr>
              <w:t>报价为评标基准价，其价格分为满分。其他供应商的价格分统一按照下面公式计算：</w:t>
            </w:r>
          </w:p>
          <w:p w14:paraId="7626D9E8">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投标报价得分=(评标基准价／投标报价)×</w:t>
            </w:r>
            <w:r>
              <w:rPr>
                <w:rFonts w:hint="eastAsia" w:ascii="仿宋" w:hAnsi="仿宋" w:cs="仿宋"/>
                <w:sz w:val="24"/>
                <w:szCs w:val="24"/>
                <w:lang w:val="en-US" w:eastAsia="zh-CN"/>
              </w:rPr>
              <w:t>15</w:t>
            </w:r>
          </w:p>
        </w:tc>
        <w:tc>
          <w:tcPr>
            <w:tcW w:w="440" w:type="pct"/>
            <w:tcBorders>
              <w:top w:val="single" w:color="auto" w:sz="4" w:space="0"/>
              <w:left w:val="single" w:color="auto" w:sz="4" w:space="0"/>
              <w:bottom w:val="single" w:color="auto" w:sz="4" w:space="0"/>
              <w:right w:val="single" w:color="auto" w:sz="4" w:space="0"/>
            </w:tcBorders>
            <w:vAlign w:val="center"/>
          </w:tcPr>
          <w:p w14:paraId="28E2D44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仿宋" w:hAnsi="仿宋" w:eastAsia="仿宋" w:cs="仿宋"/>
                <w:bCs/>
                <w:kern w:val="2"/>
                <w:sz w:val="24"/>
                <w:szCs w:val="24"/>
                <w:lang w:val="en-US" w:eastAsia="zh-CN" w:bidi="ar-SA"/>
              </w:rPr>
            </w:pPr>
            <w:r>
              <w:rPr>
                <w:rFonts w:hint="eastAsia" w:ascii="仿宋" w:hAnsi="仿宋" w:cs="仿宋"/>
                <w:bCs/>
                <w:sz w:val="24"/>
                <w:szCs w:val="24"/>
                <w:lang w:val="en-US" w:eastAsia="zh-CN"/>
              </w:rPr>
              <w:t>15</w:t>
            </w:r>
          </w:p>
        </w:tc>
        <w:tc>
          <w:tcPr>
            <w:tcW w:w="686" w:type="pct"/>
            <w:tcBorders>
              <w:top w:val="single" w:color="auto" w:sz="4" w:space="0"/>
              <w:left w:val="single" w:color="auto" w:sz="4" w:space="0"/>
              <w:bottom w:val="single" w:color="auto" w:sz="4" w:space="0"/>
              <w:right w:val="single" w:color="auto" w:sz="4" w:space="0"/>
            </w:tcBorders>
            <w:vAlign w:val="center"/>
          </w:tcPr>
          <w:p w14:paraId="712A986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 w:hAnsi="仿宋" w:cs="仿宋"/>
                <w:bCs/>
                <w:sz w:val="24"/>
                <w:szCs w:val="24"/>
                <w:lang w:val="en-US" w:eastAsia="zh-CN"/>
              </w:rPr>
            </w:pPr>
          </w:p>
        </w:tc>
      </w:tr>
      <w:tr w14:paraId="5F6F1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restart"/>
            <w:tcBorders>
              <w:top w:val="single" w:color="auto" w:sz="4" w:space="0"/>
              <w:left w:val="single" w:color="auto" w:sz="4" w:space="0"/>
              <w:right w:val="single" w:color="auto" w:sz="4" w:space="0"/>
            </w:tcBorders>
            <w:vAlign w:val="center"/>
          </w:tcPr>
          <w:p w14:paraId="4CF1D55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仿宋"/>
                <w:bCs/>
                <w:sz w:val="24"/>
                <w:szCs w:val="24"/>
                <w:shd w:val="clear" w:color="auto" w:fill="FFFFFF"/>
                <w:lang w:val="en-US" w:eastAsia="zh-CN"/>
              </w:rPr>
            </w:pPr>
            <w:r>
              <w:rPr>
                <w:rFonts w:hint="eastAsia" w:ascii="仿宋" w:hAnsi="仿宋" w:cs="仿宋"/>
                <w:bCs/>
                <w:sz w:val="24"/>
                <w:szCs w:val="24"/>
                <w:shd w:val="clear" w:color="auto" w:fill="FFFFFF"/>
                <w:lang w:val="en-US" w:eastAsia="zh-CN"/>
              </w:rPr>
              <w:t>商务技术分</w:t>
            </w:r>
          </w:p>
        </w:tc>
        <w:tc>
          <w:tcPr>
            <w:tcW w:w="333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FED8E7">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总体服务方案：包括服务总体</w:t>
            </w:r>
            <w:r>
              <w:rPr>
                <w:rFonts w:hint="eastAsia" w:ascii="仿宋" w:hAnsi="仿宋" w:cs="仿宋"/>
                <w:bCs/>
                <w:sz w:val="24"/>
                <w:szCs w:val="24"/>
                <w:highlight w:val="none"/>
                <w:lang w:val="en-US" w:eastAsia="zh-CN"/>
              </w:rPr>
              <w:t>目标、</w:t>
            </w:r>
            <w:r>
              <w:rPr>
                <w:rFonts w:hint="eastAsia" w:ascii="仿宋" w:hAnsi="仿宋" w:eastAsia="仿宋" w:cs="仿宋"/>
                <w:bCs/>
                <w:sz w:val="24"/>
                <w:szCs w:val="24"/>
                <w:highlight w:val="none"/>
                <w:lang w:val="en-US" w:eastAsia="zh-CN"/>
              </w:rPr>
              <w:t>沟通管理、质量控制、安全管理、整改措施等。</w:t>
            </w:r>
          </w:p>
          <w:p w14:paraId="66F612DB">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实施方案完整，内容详实，完全满足项目需求的</w:t>
            </w:r>
            <w:r>
              <w:rPr>
                <w:rFonts w:hint="eastAsia" w:ascii="仿宋" w:hAnsi="仿宋" w:eastAsia="仿宋" w:cs="仿宋"/>
                <w:bCs/>
                <w:sz w:val="24"/>
                <w:szCs w:val="24"/>
                <w:highlight w:val="none"/>
              </w:rPr>
              <w:t>得</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w:t>
            </w:r>
            <w:r>
              <w:rPr>
                <w:rFonts w:hint="eastAsia" w:ascii="仿宋" w:hAnsi="仿宋" w:eastAsia="仿宋" w:cs="仿宋"/>
                <w:bCs/>
                <w:sz w:val="24"/>
                <w:szCs w:val="24"/>
                <w:highlight w:val="none"/>
                <w:lang w:eastAsia="zh-CN"/>
              </w:rPr>
              <w:t>；</w:t>
            </w:r>
          </w:p>
          <w:p w14:paraId="59097D03">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实施方案基本完整，内容详实，基本符合项目需求</w:t>
            </w:r>
            <w:r>
              <w:rPr>
                <w:rFonts w:hint="eastAsia" w:ascii="仿宋" w:hAnsi="仿宋" w:eastAsia="仿宋" w:cs="仿宋"/>
                <w:bCs/>
                <w:sz w:val="24"/>
                <w:szCs w:val="24"/>
                <w:highlight w:val="none"/>
              </w:rPr>
              <w:t>的得</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分</w:t>
            </w:r>
            <w:r>
              <w:rPr>
                <w:rFonts w:hint="eastAsia" w:ascii="仿宋" w:hAnsi="仿宋" w:eastAsia="仿宋" w:cs="仿宋"/>
                <w:bCs/>
                <w:sz w:val="24"/>
                <w:szCs w:val="24"/>
                <w:highlight w:val="none"/>
                <w:lang w:eastAsia="zh-CN"/>
              </w:rPr>
              <w:t>；</w:t>
            </w:r>
          </w:p>
          <w:p w14:paraId="1FF4B1A0">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实施方案有欠缺，与项目需求存在一定偏差</w:t>
            </w:r>
            <w:r>
              <w:rPr>
                <w:rFonts w:hint="eastAsia" w:ascii="仿宋" w:hAnsi="仿宋" w:eastAsia="仿宋" w:cs="仿宋"/>
                <w:bCs/>
                <w:sz w:val="24"/>
                <w:szCs w:val="24"/>
                <w:highlight w:val="none"/>
              </w:rPr>
              <w:t>的得</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分</w:t>
            </w:r>
            <w:r>
              <w:rPr>
                <w:rFonts w:hint="eastAsia" w:ascii="仿宋" w:hAnsi="仿宋" w:eastAsia="仿宋" w:cs="仿宋"/>
                <w:bCs/>
                <w:sz w:val="24"/>
                <w:szCs w:val="24"/>
                <w:highlight w:val="none"/>
                <w:lang w:eastAsia="zh-CN"/>
              </w:rPr>
              <w:t>；</w:t>
            </w:r>
          </w:p>
          <w:p w14:paraId="650C095A">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default"/>
                <w:lang w:val="en-US" w:eastAsia="zh-CN"/>
              </w:rPr>
            </w:pPr>
            <w:r>
              <w:rPr>
                <w:rFonts w:hint="eastAsia" w:ascii="仿宋" w:hAnsi="仿宋" w:eastAsia="仿宋" w:cs="仿宋"/>
                <w:bCs/>
                <w:sz w:val="24"/>
                <w:szCs w:val="24"/>
                <w:highlight w:val="none"/>
                <w:lang w:val="en-US" w:eastAsia="zh-CN"/>
              </w:rPr>
              <w:t>无方案或与项目需求不相符的不得分</w:t>
            </w:r>
            <w:r>
              <w:rPr>
                <w:rFonts w:hint="eastAsia" w:ascii="仿宋" w:hAnsi="仿宋" w:eastAsia="仿宋" w:cs="仿宋"/>
                <w:bCs/>
                <w:sz w:val="24"/>
                <w:szCs w:val="24"/>
                <w:highlight w:val="none"/>
              </w:rPr>
              <w:t>。</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985F2F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41B8CF0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sz w:val="24"/>
                <w:szCs w:val="24"/>
                <w:highlight w:val="none"/>
                <w:lang w:val="en-US" w:eastAsia="zh-CN"/>
              </w:rPr>
            </w:pPr>
          </w:p>
        </w:tc>
      </w:tr>
      <w:tr w14:paraId="495F0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529D6B2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tcBorders>
              <w:top w:val="single" w:color="auto" w:sz="4" w:space="0"/>
              <w:left w:val="single" w:color="auto" w:sz="4" w:space="0"/>
              <w:right w:val="single" w:color="auto" w:sz="4" w:space="0"/>
            </w:tcBorders>
            <w:shd w:val="clear" w:color="auto" w:fill="auto"/>
            <w:vAlign w:val="center"/>
          </w:tcPr>
          <w:p w14:paraId="183557FD">
            <w:pPr>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lang w:val="en-US" w:eastAsia="zh-CN"/>
              </w:rPr>
              <w:t>健康心理研学活动</w:t>
            </w: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342E486E">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面向中小学生的</w:t>
            </w:r>
            <w:r>
              <w:rPr>
                <w:rFonts w:hint="eastAsia" w:ascii="仿宋" w:hAnsi="仿宋" w:eastAsia="仿宋" w:cs="仿宋"/>
                <w:bCs/>
                <w:sz w:val="24"/>
                <w:szCs w:val="24"/>
                <w:highlight w:val="none"/>
                <w:lang w:val="en-US" w:eastAsia="zh-CN"/>
              </w:rPr>
              <w:t>健康心理研学</w:t>
            </w:r>
            <w:r>
              <w:rPr>
                <w:rFonts w:hint="eastAsia" w:ascii="仿宋" w:hAnsi="仿宋" w:cs="仿宋"/>
                <w:bCs/>
                <w:sz w:val="24"/>
                <w:szCs w:val="24"/>
                <w:highlight w:val="none"/>
                <w:lang w:val="en-US" w:eastAsia="zh-CN"/>
              </w:rPr>
              <w:t>方案：包括服务目标、内容、服务团队、服务方式、安全保障等。</w:t>
            </w:r>
          </w:p>
          <w:p w14:paraId="7039874A">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方案紧扣主题、团队经验丰富、服务方式适合采购人参与、安全保障措施齐全的得8分；</w:t>
            </w:r>
          </w:p>
          <w:p w14:paraId="2F16D48C">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团队经验一般的得5分；</w:t>
            </w:r>
          </w:p>
          <w:p w14:paraId="1ECF6855">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default" w:ascii="仿宋" w:hAnsi="仿宋" w:cs="仿宋"/>
                <w:bCs/>
                <w:sz w:val="24"/>
                <w:szCs w:val="24"/>
                <w:highlight w:val="none"/>
                <w:lang w:val="en-US" w:eastAsia="zh-CN"/>
              </w:rPr>
            </w:pPr>
            <w:r>
              <w:rPr>
                <w:rFonts w:hint="eastAsia" w:ascii="仿宋" w:hAnsi="仿宋" w:cs="仿宋"/>
                <w:bCs/>
                <w:sz w:val="24"/>
                <w:szCs w:val="24"/>
                <w:highlight w:val="none"/>
                <w:lang w:val="en-US" w:eastAsia="zh-CN"/>
              </w:rPr>
              <w:t>安全保障措施不得力的得3分；</w:t>
            </w:r>
          </w:p>
          <w:p w14:paraId="5ADC540E">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供应商提供的服务方式不太适合采购人参与的得1分；</w:t>
            </w:r>
          </w:p>
          <w:p w14:paraId="4C784666">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cyan"/>
                <w:lang w:val="en-US" w:eastAsia="zh-CN" w:bidi="ar-SA"/>
              </w:rPr>
            </w:pPr>
            <w:r>
              <w:rPr>
                <w:rFonts w:hint="eastAsia" w:ascii="仿宋" w:hAnsi="仿宋" w:cs="仿宋"/>
                <w:bCs/>
                <w:sz w:val="24"/>
                <w:szCs w:val="24"/>
                <w:highlight w:val="none"/>
                <w:lang w:val="en-US" w:eastAsia="zh-CN"/>
              </w:rPr>
              <w:t>无方案或安全保障措施不完善的不得分。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75A212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8</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19A89B1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04BC3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63AFDAF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955610">
            <w:pPr>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kern w:val="2"/>
                <w:sz w:val="24"/>
                <w:szCs w:val="24"/>
                <w:highlight w:val="none"/>
                <w:lang w:val="en-US" w:eastAsia="zh-CN" w:bidi="ar-SA"/>
              </w:rPr>
              <w:t>加强心理健康教育服务</w:t>
            </w: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34A97006">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积极适应新环境服务方案：包括服务目标、内容、服务团队、服务方式等。</w:t>
            </w:r>
          </w:p>
          <w:p w14:paraId="5C462145">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方案紧扣主题、团队经验丰富、服务方式适合采购人参与的得5分；</w:t>
            </w:r>
          </w:p>
          <w:p w14:paraId="5FD8A0C1">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团队经验一般的得3分；</w:t>
            </w:r>
          </w:p>
          <w:p w14:paraId="4A70B336">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供应商提供的服务方式不太适合采购人参与的得1分；</w:t>
            </w:r>
          </w:p>
          <w:p w14:paraId="413CB6B9">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default"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2AC5148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5</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3AC416B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14FE8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3F14C8C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C5D334">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7A9A5052">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保持健康心理对中考考生心理疏导服务方案：包括服务目标、内容、服务团队、服务方式等。</w:t>
            </w:r>
          </w:p>
          <w:p w14:paraId="5085E81F">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方案紧扣主题、团队经验丰富、服务方式适合采购人参与的得5分；</w:t>
            </w:r>
          </w:p>
          <w:p w14:paraId="38AFB4AC">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团队经验一般的得3分；</w:t>
            </w:r>
          </w:p>
          <w:p w14:paraId="4000E74A">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供应商提供的服务方式不太适合采购人参与的得1分；</w:t>
            </w:r>
          </w:p>
          <w:p w14:paraId="73E01F6B">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4DC613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5</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209B42E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7A4E3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62C4FA3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34CF81">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6FC0C83F">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健康心理在学校教育管理和学校教育工作中的应用、</w:t>
            </w:r>
            <w:r>
              <w:rPr>
                <w:rFonts w:hint="eastAsia" w:ascii="仿宋" w:hAnsi="仿宋" w:eastAsia="仿宋" w:cs="仿宋"/>
                <w:bCs/>
                <w:sz w:val="24"/>
                <w:szCs w:val="24"/>
                <w:highlight w:val="none"/>
                <w:lang w:val="en-US" w:eastAsia="zh-CN"/>
              </w:rPr>
              <w:t>提升教师心理健康专业知识</w:t>
            </w:r>
            <w:r>
              <w:rPr>
                <w:rFonts w:hint="eastAsia" w:ascii="仿宋" w:hAnsi="仿宋" w:cs="仿宋"/>
                <w:bCs/>
                <w:sz w:val="24"/>
                <w:szCs w:val="24"/>
                <w:highlight w:val="none"/>
                <w:lang w:val="en-US" w:eastAsia="zh-CN"/>
              </w:rPr>
              <w:t>方案：包括服务目标、内容、服务团队、服务方式等。</w:t>
            </w:r>
          </w:p>
          <w:p w14:paraId="4CBFDF3E">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方案紧扣主题、团队经验丰富、服务方式适合采购人参与的得5分；</w:t>
            </w:r>
          </w:p>
          <w:p w14:paraId="0619713A">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团队经验一般的得3分；</w:t>
            </w:r>
          </w:p>
          <w:p w14:paraId="506D2FCA">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供应商提供的服务方式不太适合采购人参与的得1分；</w:t>
            </w:r>
          </w:p>
          <w:p w14:paraId="5CBFF612">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9176CD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5</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07C1F3D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21369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2D763E0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93D5C0">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0836EB40">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eastAsia="仿宋" w:cs="仿宋"/>
                <w:bCs/>
                <w:sz w:val="24"/>
                <w:szCs w:val="24"/>
                <w:highlight w:val="none"/>
                <w:lang w:val="en-US" w:eastAsia="zh-CN"/>
              </w:rPr>
              <w:t>提升家长综合能力</w:t>
            </w:r>
            <w:r>
              <w:rPr>
                <w:rFonts w:hint="eastAsia" w:ascii="仿宋" w:hAnsi="仿宋" w:cs="仿宋"/>
                <w:bCs/>
                <w:sz w:val="24"/>
                <w:szCs w:val="24"/>
                <w:highlight w:val="none"/>
                <w:lang w:val="en-US" w:eastAsia="zh-CN"/>
              </w:rPr>
              <w:t>、</w:t>
            </w:r>
            <w:r>
              <w:rPr>
                <w:rFonts w:hint="eastAsia" w:ascii="仿宋" w:hAnsi="仿宋" w:eastAsia="仿宋" w:cs="仿宋"/>
                <w:bCs/>
                <w:sz w:val="24"/>
                <w:szCs w:val="24"/>
                <w:highlight w:val="none"/>
                <w:lang w:val="en-US" w:eastAsia="zh-CN"/>
              </w:rPr>
              <w:t>提升机关干部心理调节能力等</w:t>
            </w:r>
            <w:r>
              <w:rPr>
                <w:rFonts w:hint="eastAsia" w:ascii="仿宋" w:hAnsi="仿宋" w:cs="仿宋"/>
                <w:bCs/>
                <w:sz w:val="24"/>
                <w:szCs w:val="24"/>
                <w:highlight w:val="none"/>
                <w:lang w:val="en-US" w:eastAsia="zh-CN"/>
              </w:rPr>
              <w:t>服务方案：包括服务目标、内容、服务团队、服务方式等。</w:t>
            </w:r>
          </w:p>
          <w:p w14:paraId="4B1D28C1">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方案紧扣主题、团队经验丰富、服务方式适合采购人参与的得5分；</w:t>
            </w:r>
          </w:p>
          <w:p w14:paraId="790E94ED">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团队经验一般的得3分；</w:t>
            </w:r>
          </w:p>
          <w:p w14:paraId="253B5147">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供应商提供的服务方式不太适合采购人参与的得1分；</w:t>
            </w:r>
          </w:p>
          <w:p w14:paraId="53900CC9">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0786667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5</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1122028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26A2B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61AFB89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restart"/>
            <w:tcBorders>
              <w:top w:val="single" w:color="auto" w:sz="4" w:space="0"/>
              <w:left w:val="single" w:color="auto" w:sz="4" w:space="0"/>
              <w:right w:val="single" w:color="auto" w:sz="4" w:space="0"/>
            </w:tcBorders>
            <w:shd w:val="clear" w:color="auto" w:fill="auto"/>
            <w:vAlign w:val="center"/>
          </w:tcPr>
          <w:p w14:paraId="1C3F6A1A">
            <w:pPr>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健康心理拓展活动</w:t>
            </w:r>
          </w:p>
          <w:p w14:paraId="77F977A7">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06C13AC5">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健康心理在学校教育管理和学校教育工作中的应用方案：包括服务目标、内容、服务团队、服务方式、活动场地、设备设施等。</w:t>
            </w:r>
          </w:p>
          <w:p w14:paraId="167782A7">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方案紧扣主题、团队经验丰富、服务方式适合采购人参与、活动场地具备、设备设施齐全的得3分；</w:t>
            </w:r>
          </w:p>
          <w:p w14:paraId="0E0AD60E">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团队经验一般的得2分；</w:t>
            </w:r>
          </w:p>
          <w:p w14:paraId="5C4460E8">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供应商提供的服务方式不太适合采购人参与、活动场地缺乏、设备设施不齐全的得1分；</w:t>
            </w:r>
          </w:p>
          <w:p w14:paraId="3DF8DE28">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default" w:ascii="仿宋" w:hAnsi="仿宋" w:cs="仿宋"/>
                <w:bCs/>
                <w:sz w:val="24"/>
                <w:szCs w:val="24"/>
                <w:highlight w:val="none"/>
                <w:lang w:val="en-US" w:eastAsia="zh-CN"/>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CE93F4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3</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6C6E3F1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0B185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621BF71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left w:val="single" w:color="auto" w:sz="4" w:space="0"/>
              <w:right w:val="single" w:color="auto" w:sz="4" w:space="0"/>
            </w:tcBorders>
            <w:shd w:val="clear" w:color="auto" w:fill="auto"/>
            <w:vAlign w:val="center"/>
          </w:tcPr>
          <w:p w14:paraId="0C1BBE85">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42370952">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default" w:ascii="仿宋" w:hAnsi="仿宋" w:cs="仿宋"/>
                <w:bCs/>
                <w:sz w:val="24"/>
                <w:szCs w:val="24"/>
                <w:highlight w:val="none"/>
                <w:lang w:val="en-US" w:eastAsia="zh-CN"/>
              </w:rPr>
              <w:t>提升老师心理调节能力</w:t>
            </w:r>
            <w:r>
              <w:rPr>
                <w:rFonts w:hint="eastAsia" w:ascii="仿宋" w:hAnsi="仿宋" w:cs="仿宋"/>
                <w:bCs/>
                <w:sz w:val="24"/>
                <w:szCs w:val="24"/>
                <w:highlight w:val="none"/>
                <w:lang w:val="en-US" w:eastAsia="zh-CN"/>
              </w:rPr>
              <w:t>方案：包括服务目标、内容、服务团队、服务方式、活动场地、设备设施等。</w:t>
            </w:r>
          </w:p>
          <w:p w14:paraId="69701AFB">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方案紧扣主题、团队经验丰富、服务方式适合采购人参与、活动场地具备、设备设施齐全的得3分；</w:t>
            </w:r>
          </w:p>
          <w:p w14:paraId="5362D0D1">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团队经验一般的得2分；</w:t>
            </w:r>
          </w:p>
          <w:p w14:paraId="79010BFE">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供应商提供的服务方式不太适合采购人参与、活动场地缺乏、设备设施不齐全的得1分；</w:t>
            </w:r>
          </w:p>
          <w:p w14:paraId="6B9482CA">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2116026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3</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1CA72FE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35154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3F4FAA0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left w:val="single" w:color="auto" w:sz="4" w:space="0"/>
              <w:right w:val="single" w:color="auto" w:sz="4" w:space="0"/>
            </w:tcBorders>
            <w:shd w:val="clear" w:color="auto" w:fill="auto"/>
            <w:vAlign w:val="center"/>
          </w:tcPr>
          <w:p w14:paraId="3646148D">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5091C32D">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default" w:ascii="仿宋" w:hAnsi="仿宋" w:cs="仿宋"/>
                <w:bCs/>
                <w:sz w:val="24"/>
                <w:szCs w:val="24"/>
                <w:highlight w:val="none"/>
                <w:lang w:val="en-US" w:eastAsia="zh-CN"/>
              </w:rPr>
              <w:t>学生心理专项减压</w:t>
            </w:r>
            <w:r>
              <w:rPr>
                <w:rFonts w:hint="eastAsia" w:ascii="仿宋" w:hAnsi="仿宋" w:cs="仿宋"/>
                <w:bCs/>
                <w:sz w:val="24"/>
                <w:szCs w:val="24"/>
                <w:highlight w:val="none"/>
                <w:lang w:val="en-US" w:eastAsia="zh-CN"/>
              </w:rPr>
              <w:t>方案：包括服务目标、内容、服务团队、服务方式、活动场地、设备设施等。</w:t>
            </w:r>
          </w:p>
          <w:p w14:paraId="3BD5D86F">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方案紧扣主题、团队经验丰富、服务方式适合采购人参与、活动场地具备、设备设施齐全的得4分；</w:t>
            </w:r>
          </w:p>
          <w:p w14:paraId="0DDBA7F9">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团队经验一般的得2分；</w:t>
            </w:r>
          </w:p>
          <w:p w14:paraId="07C3D4C7">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供应商提供的服务方式不太适合采购人参与、活动场地缺乏、设备设施不齐全的得1分；</w:t>
            </w:r>
          </w:p>
          <w:p w14:paraId="38ED7981">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912522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4</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253942D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09642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671BAFA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left w:val="single" w:color="auto" w:sz="4" w:space="0"/>
              <w:right w:val="single" w:color="auto" w:sz="4" w:space="0"/>
            </w:tcBorders>
            <w:shd w:val="clear" w:color="auto" w:fill="auto"/>
            <w:vAlign w:val="center"/>
          </w:tcPr>
          <w:p w14:paraId="3DD30395">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041D4051">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default" w:ascii="仿宋" w:hAnsi="仿宋" w:cs="仿宋"/>
                <w:bCs/>
                <w:sz w:val="24"/>
                <w:szCs w:val="24"/>
                <w:highlight w:val="none"/>
                <w:lang w:val="en-US" w:eastAsia="zh-CN"/>
              </w:rPr>
              <w:t>学生积极品质培养</w:t>
            </w:r>
            <w:r>
              <w:rPr>
                <w:rFonts w:hint="eastAsia" w:ascii="仿宋" w:hAnsi="仿宋" w:cs="仿宋"/>
                <w:bCs/>
                <w:sz w:val="24"/>
                <w:szCs w:val="24"/>
                <w:highlight w:val="none"/>
                <w:lang w:val="en-US" w:eastAsia="zh-CN"/>
              </w:rPr>
              <w:t>方案：包括服务目标、内容、服务团队、服务方式、活动场地、设备设施等。</w:t>
            </w:r>
          </w:p>
          <w:p w14:paraId="3A5B8015">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方案紧扣主题、团队经验丰富、服务方式适合采购人参与、活动场地具备、设备设施齐全的得4分；</w:t>
            </w:r>
          </w:p>
          <w:p w14:paraId="17347228">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团队经验一般的得2分；</w:t>
            </w:r>
          </w:p>
          <w:p w14:paraId="53344E50">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供应商提供的服务方式不太适合采购人参与、活动场地缺乏、设备设施不齐全的得1分；</w:t>
            </w:r>
          </w:p>
          <w:p w14:paraId="29065C6A">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0096D8A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4</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1A0FD4D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260E9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0F91068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left w:val="single" w:color="auto" w:sz="4" w:space="0"/>
              <w:bottom w:val="single" w:color="auto" w:sz="4" w:space="0"/>
              <w:right w:val="single" w:color="auto" w:sz="4" w:space="0"/>
            </w:tcBorders>
            <w:shd w:val="clear" w:color="auto" w:fill="auto"/>
            <w:vAlign w:val="center"/>
          </w:tcPr>
          <w:p w14:paraId="46CC8229">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79C04F2E">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default" w:ascii="仿宋" w:hAnsi="仿宋" w:cs="仿宋"/>
                <w:bCs/>
                <w:sz w:val="24"/>
                <w:szCs w:val="24"/>
                <w:highlight w:val="none"/>
                <w:lang w:val="en-US" w:eastAsia="zh-CN"/>
              </w:rPr>
              <w:t>亲子沟通能力培养</w:t>
            </w:r>
            <w:r>
              <w:rPr>
                <w:rFonts w:hint="eastAsia" w:ascii="仿宋" w:hAnsi="仿宋" w:cs="仿宋"/>
                <w:bCs/>
                <w:sz w:val="24"/>
                <w:szCs w:val="24"/>
                <w:highlight w:val="none"/>
                <w:lang w:val="en-US" w:eastAsia="zh-CN"/>
              </w:rPr>
              <w:t>方案：包括服务目标、内容、服务团队、服务方式、活动场地、设备设施等。</w:t>
            </w:r>
          </w:p>
          <w:p w14:paraId="196B2ECF">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方案紧扣主题、团队经验丰富、服务方式适合采购人参与、活动场地具备、设备设施齐全的得4分；</w:t>
            </w:r>
          </w:p>
          <w:p w14:paraId="7E391A97">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团队经验一般的得2分；</w:t>
            </w:r>
          </w:p>
          <w:p w14:paraId="70897FED">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供应商提供的服务方式不太适合采购人参与、活动场地缺乏、设备设施不齐全的得1分；</w:t>
            </w:r>
          </w:p>
          <w:p w14:paraId="3028F00C">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E415CC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4</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1C255E8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318E3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48525B8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left w:val="single" w:color="auto" w:sz="4" w:space="0"/>
              <w:bottom w:val="single" w:color="auto" w:sz="4" w:space="0"/>
              <w:right w:val="single" w:color="auto" w:sz="4" w:space="0"/>
            </w:tcBorders>
            <w:shd w:val="clear" w:color="auto" w:fill="auto"/>
            <w:vAlign w:val="center"/>
          </w:tcPr>
          <w:p w14:paraId="5CC9D90A">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20B744D1">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default" w:ascii="仿宋" w:hAnsi="仿宋" w:cs="仿宋"/>
                <w:bCs/>
                <w:sz w:val="24"/>
                <w:szCs w:val="24"/>
                <w:highlight w:val="none"/>
                <w:lang w:val="en-US" w:eastAsia="zh-CN"/>
              </w:rPr>
              <w:t>提升机关干部心理调节能力</w:t>
            </w:r>
            <w:r>
              <w:rPr>
                <w:rFonts w:hint="eastAsia" w:ascii="仿宋" w:hAnsi="仿宋" w:cs="仿宋"/>
                <w:bCs/>
                <w:sz w:val="24"/>
                <w:szCs w:val="24"/>
                <w:highlight w:val="none"/>
                <w:lang w:val="en-US" w:eastAsia="zh-CN"/>
              </w:rPr>
              <w:t>方案：包括服务目标、内容、服务团队、服务方式、活动场地、设备设施等。</w:t>
            </w:r>
          </w:p>
          <w:p w14:paraId="4ADFAFBD">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方案紧扣主题、团队经验丰富、服务方式适合采购人参与、活动场地具备、设备设施齐全的得3分；</w:t>
            </w:r>
          </w:p>
          <w:p w14:paraId="32691560">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团队经验一般的得2分；</w:t>
            </w:r>
          </w:p>
          <w:p w14:paraId="54D45457">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供应商提供的服务方式不太适合采购人参与、活动场地缺乏、设备设施不齐全的得1分；</w:t>
            </w:r>
          </w:p>
          <w:p w14:paraId="14AB427C">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7282F57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3</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1DCB19C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0F365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191BA76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left w:val="single" w:color="auto" w:sz="4" w:space="0"/>
              <w:bottom w:val="single" w:color="auto" w:sz="4" w:space="0"/>
              <w:right w:val="single" w:color="auto" w:sz="4" w:space="0"/>
            </w:tcBorders>
            <w:shd w:val="clear" w:color="auto" w:fill="auto"/>
            <w:vAlign w:val="center"/>
          </w:tcPr>
          <w:p w14:paraId="2C115B0B">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0F3FBFD8">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项目场地管理</w:t>
            </w:r>
            <w:r>
              <w:rPr>
                <w:rFonts w:hint="eastAsia" w:ascii="仿宋" w:hAnsi="仿宋" w:eastAsia="仿宋" w:cs="仿宋"/>
                <w:sz w:val="24"/>
                <w:szCs w:val="24"/>
                <w:highlight w:val="none"/>
                <w:lang w:val="en-US" w:eastAsia="zh-CN"/>
              </w:rPr>
              <w:t>方案：包括</w:t>
            </w:r>
            <w:r>
              <w:rPr>
                <w:rFonts w:hint="eastAsia" w:ascii="仿宋" w:hAnsi="仿宋" w:cs="仿宋"/>
                <w:sz w:val="24"/>
                <w:szCs w:val="24"/>
                <w:highlight w:val="none"/>
                <w:lang w:val="en-US" w:eastAsia="zh-CN"/>
              </w:rPr>
              <w:t>场地建设、分区管理、功能说明、现场效果、面积分布等</w:t>
            </w:r>
            <w:r>
              <w:rPr>
                <w:rFonts w:hint="eastAsia" w:ascii="仿宋" w:hAnsi="仿宋" w:eastAsia="仿宋" w:cs="仿宋"/>
                <w:sz w:val="24"/>
                <w:szCs w:val="24"/>
                <w:highlight w:val="none"/>
                <w:lang w:val="en-US" w:eastAsia="zh-CN"/>
              </w:rPr>
              <w:t>。</w:t>
            </w:r>
          </w:p>
          <w:p w14:paraId="2E7BFB59">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eastAsia="zh-CN"/>
              </w:rPr>
            </w:pPr>
            <w:r>
              <w:rPr>
                <w:rFonts w:hint="eastAsia" w:ascii="仿宋" w:hAnsi="仿宋" w:cs="仿宋"/>
                <w:bCs/>
                <w:sz w:val="24"/>
                <w:szCs w:val="24"/>
                <w:highlight w:val="none"/>
                <w:lang w:val="en-US" w:eastAsia="zh-CN"/>
              </w:rPr>
              <w:t>项目场地面积分布、功能分区科学</w:t>
            </w:r>
            <w:r>
              <w:rPr>
                <w:rFonts w:hint="eastAsia" w:ascii="仿宋" w:hAnsi="仿宋" w:eastAsia="仿宋" w:cs="仿宋"/>
                <w:bCs/>
                <w:sz w:val="24"/>
                <w:szCs w:val="24"/>
                <w:highlight w:val="none"/>
                <w:lang w:val="en-US" w:eastAsia="zh-CN"/>
              </w:rPr>
              <w:t>完整，</w:t>
            </w:r>
            <w:r>
              <w:rPr>
                <w:rFonts w:hint="eastAsia" w:ascii="仿宋" w:hAnsi="仿宋" w:cs="仿宋"/>
                <w:bCs/>
                <w:sz w:val="24"/>
                <w:szCs w:val="24"/>
                <w:highlight w:val="none"/>
                <w:lang w:val="en-US" w:eastAsia="zh-CN"/>
              </w:rPr>
              <w:t>场地建设和效果</w:t>
            </w:r>
            <w:r>
              <w:rPr>
                <w:rFonts w:hint="eastAsia" w:ascii="仿宋" w:hAnsi="仿宋" w:eastAsia="仿宋" w:cs="仿宋"/>
                <w:bCs/>
                <w:sz w:val="24"/>
                <w:szCs w:val="24"/>
                <w:highlight w:val="none"/>
                <w:lang w:val="en-US" w:eastAsia="zh-CN"/>
              </w:rPr>
              <w:t>完全满足项目需求的</w:t>
            </w:r>
            <w:r>
              <w:rPr>
                <w:rFonts w:hint="eastAsia" w:ascii="仿宋" w:hAnsi="仿宋" w:eastAsia="仿宋" w:cs="仿宋"/>
                <w:bCs/>
                <w:sz w:val="24"/>
                <w:szCs w:val="24"/>
                <w:highlight w:val="none"/>
              </w:rPr>
              <w:t>得</w:t>
            </w:r>
            <w:r>
              <w:rPr>
                <w:rFonts w:hint="eastAsia" w:ascii="仿宋" w:hAnsi="仿宋" w:cs="仿宋"/>
                <w:bCs/>
                <w:sz w:val="24"/>
                <w:szCs w:val="24"/>
                <w:highlight w:val="none"/>
                <w:lang w:val="en-US" w:eastAsia="zh-CN"/>
              </w:rPr>
              <w:t>8</w:t>
            </w:r>
            <w:r>
              <w:rPr>
                <w:rFonts w:hint="eastAsia" w:ascii="仿宋" w:hAnsi="仿宋" w:eastAsia="仿宋" w:cs="仿宋"/>
                <w:bCs/>
                <w:sz w:val="24"/>
                <w:szCs w:val="24"/>
                <w:highlight w:val="none"/>
              </w:rPr>
              <w:t>分</w:t>
            </w:r>
            <w:r>
              <w:rPr>
                <w:rFonts w:hint="eastAsia" w:ascii="仿宋" w:hAnsi="仿宋" w:eastAsia="仿宋" w:cs="仿宋"/>
                <w:bCs/>
                <w:sz w:val="24"/>
                <w:szCs w:val="24"/>
                <w:highlight w:val="none"/>
                <w:lang w:eastAsia="zh-CN"/>
              </w:rPr>
              <w:t>；</w:t>
            </w:r>
          </w:p>
          <w:p w14:paraId="28EB8596">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eastAsia="zh-CN"/>
              </w:rPr>
            </w:pPr>
            <w:r>
              <w:rPr>
                <w:rFonts w:hint="eastAsia" w:ascii="仿宋" w:hAnsi="仿宋" w:cs="仿宋"/>
                <w:bCs/>
                <w:sz w:val="24"/>
                <w:szCs w:val="24"/>
                <w:highlight w:val="none"/>
                <w:lang w:val="en-US" w:eastAsia="zh-CN"/>
              </w:rPr>
              <w:t>项目场地功能分区基本完备、基本可以满足</w:t>
            </w:r>
            <w:r>
              <w:rPr>
                <w:rFonts w:hint="eastAsia" w:ascii="仿宋" w:hAnsi="仿宋" w:eastAsia="仿宋" w:cs="仿宋"/>
                <w:bCs/>
                <w:sz w:val="24"/>
                <w:szCs w:val="24"/>
                <w:highlight w:val="none"/>
                <w:lang w:val="en-US" w:eastAsia="zh-CN"/>
              </w:rPr>
              <w:t>项目需求</w:t>
            </w:r>
            <w:r>
              <w:rPr>
                <w:rFonts w:hint="eastAsia" w:ascii="仿宋" w:hAnsi="仿宋" w:eastAsia="仿宋" w:cs="仿宋"/>
                <w:bCs/>
                <w:sz w:val="24"/>
                <w:szCs w:val="24"/>
                <w:highlight w:val="none"/>
              </w:rPr>
              <w:t>的得</w:t>
            </w:r>
            <w:r>
              <w:rPr>
                <w:rFonts w:hint="eastAsia" w:ascii="仿宋" w:hAnsi="仿宋" w:cs="仿宋"/>
                <w:bCs/>
                <w:sz w:val="24"/>
                <w:szCs w:val="24"/>
                <w:highlight w:val="none"/>
                <w:lang w:val="en-US" w:eastAsia="zh-CN"/>
              </w:rPr>
              <w:t>5</w:t>
            </w:r>
            <w:r>
              <w:rPr>
                <w:rFonts w:hint="eastAsia" w:ascii="仿宋" w:hAnsi="仿宋" w:eastAsia="仿宋" w:cs="仿宋"/>
                <w:bCs/>
                <w:sz w:val="24"/>
                <w:szCs w:val="24"/>
                <w:highlight w:val="none"/>
              </w:rPr>
              <w:t>分</w:t>
            </w:r>
            <w:r>
              <w:rPr>
                <w:rFonts w:hint="eastAsia" w:ascii="仿宋" w:hAnsi="仿宋" w:eastAsia="仿宋" w:cs="仿宋"/>
                <w:bCs/>
                <w:sz w:val="24"/>
                <w:szCs w:val="24"/>
                <w:highlight w:val="none"/>
                <w:lang w:eastAsia="zh-CN"/>
              </w:rPr>
              <w:t>；</w:t>
            </w:r>
          </w:p>
          <w:p w14:paraId="0AC60FBA">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项目场地面积与项目需求偏离较大的得3分；</w:t>
            </w:r>
          </w:p>
          <w:p w14:paraId="648286A6">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rPr>
            </w:pPr>
            <w:r>
              <w:rPr>
                <w:rFonts w:hint="eastAsia" w:ascii="仿宋" w:hAnsi="仿宋" w:cs="仿宋"/>
                <w:bCs/>
                <w:sz w:val="24"/>
                <w:szCs w:val="24"/>
                <w:highlight w:val="none"/>
                <w:lang w:val="en-US" w:eastAsia="zh-CN"/>
              </w:rPr>
              <w:t>项目场地无现场效果</w:t>
            </w:r>
            <w:r>
              <w:rPr>
                <w:rFonts w:hint="eastAsia" w:ascii="仿宋" w:hAnsi="仿宋" w:eastAsia="仿宋" w:cs="仿宋"/>
                <w:bCs/>
                <w:sz w:val="24"/>
                <w:szCs w:val="24"/>
                <w:highlight w:val="none"/>
              </w:rPr>
              <w:t>的得</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分</w:t>
            </w:r>
            <w:r>
              <w:rPr>
                <w:rFonts w:hint="eastAsia" w:ascii="仿宋" w:hAnsi="仿宋" w:eastAsia="仿宋" w:cs="仿宋"/>
                <w:bCs/>
                <w:sz w:val="24"/>
                <w:szCs w:val="24"/>
                <w:highlight w:val="none"/>
                <w:lang w:eastAsia="zh-CN"/>
              </w:rPr>
              <w:t>；</w:t>
            </w:r>
          </w:p>
          <w:p w14:paraId="13FD92F4">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cyan"/>
                <w:lang w:val="en-US" w:eastAsia="zh-CN" w:bidi="ar-SA"/>
              </w:rPr>
            </w:pPr>
            <w:r>
              <w:rPr>
                <w:rFonts w:hint="eastAsia" w:ascii="仿宋" w:hAnsi="仿宋" w:eastAsia="仿宋" w:cs="仿宋"/>
                <w:bCs/>
                <w:sz w:val="24"/>
                <w:szCs w:val="24"/>
                <w:highlight w:val="none"/>
                <w:lang w:val="en-US" w:eastAsia="zh-CN"/>
              </w:rPr>
              <w:t>无方案的不得分</w:t>
            </w:r>
            <w:r>
              <w:rPr>
                <w:rFonts w:hint="eastAsia" w:ascii="仿宋" w:hAnsi="仿宋" w:eastAsia="仿宋" w:cs="仿宋"/>
                <w:bCs/>
                <w:sz w:val="24"/>
                <w:szCs w:val="24"/>
                <w:highlight w:val="none"/>
              </w:rPr>
              <w:t>。</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2342D8C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8</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7C3412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highlight w:val="none"/>
                <w:lang w:val="en-US" w:eastAsia="zh-CN"/>
              </w:rPr>
            </w:pPr>
          </w:p>
        </w:tc>
      </w:tr>
      <w:tr w14:paraId="697CE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6F693F1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left w:val="single" w:color="auto" w:sz="4" w:space="0"/>
              <w:bottom w:val="single" w:color="auto" w:sz="4" w:space="0"/>
              <w:right w:val="single" w:color="auto" w:sz="4" w:space="0"/>
            </w:tcBorders>
            <w:shd w:val="clear" w:color="auto" w:fill="auto"/>
            <w:vAlign w:val="center"/>
          </w:tcPr>
          <w:p w14:paraId="4880F394">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69269830">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设备配置方案：包括场内外设备设施的选择、配置、数量、功能、现场布置等。</w:t>
            </w:r>
          </w:p>
          <w:p w14:paraId="4A65B787">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场内外设备设施配置合理、功能与项目需求相适应、现场布置合理的得8分；</w:t>
            </w:r>
          </w:p>
          <w:p w14:paraId="7F47DFFF">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无场外设备、设施的得5分；</w:t>
            </w:r>
          </w:p>
          <w:p w14:paraId="283A9F4D">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场内设备设施配置不合理的得3分；</w:t>
            </w:r>
          </w:p>
          <w:p w14:paraId="60195F9D">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无现场布置方案的得1分；</w:t>
            </w:r>
          </w:p>
          <w:p w14:paraId="5749848C">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Times New Roman" w:hAnsi="Times New Roman" w:eastAsia="仿宋" w:cs="Times New Roman"/>
                <w:kern w:val="2"/>
                <w:sz w:val="28"/>
                <w:szCs w:val="24"/>
                <w:highlight w:val="cyan"/>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2DCE3A2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8</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721F3A0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highlight w:val="none"/>
                <w:lang w:val="en-US" w:eastAsia="zh-CN"/>
              </w:rPr>
            </w:pPr>
          </w:p>
        </w:tc>
      </w:tr>
      <w:tr w14:paraId="01EB6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24D7A4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left w:val="single" w:color="auto" w:sz="4" w:space="0"/>
              <w:bottom w:val="single" w:color="auto" w:sz="4" w:space="0"/>
              <w:right w:val="single" w:color="auto" w:sz="4" w:space="0"/>
            </w:tcBorders>
            <w:shd w:val="clear" w:color="auto" w:fill="auto"/>
            <w:vAlign w:val="center"/>
          </w:tcPr>
          <w:p w14:paraId="04355554">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2DE31099">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健心场所管理方案：包括工作人员经验、资历、制度等。</w:t>
            </w:r>
          </w:p>
          <w:p w14:paraId="619FC3FA">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方案完整、工作人员具有相关工作经验、资历、制度完善的得3分；</w:t>
            </w:r>
          </w:p>
          <w:p w14:paraId="3D08CB92">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方案基本完整、工作人员无相关工作经验、资历的得2分；</w:t>
            </w:r>
          </w:p>
          <w:p w14:paraId="44B28219">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方案基本完整、缺乏相关制度的得1分；</w:t>
            </w:r>
          </w:p>
          <w:p w14:paraId="527702F8">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642EBFD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3</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788371A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highlight w:val="none"/>
                <w:lang w:val="en-US" w:eastAsia="zh-CN"/>
              </w:rPr>
            </w:pPr>
          </w:p>
        </w:tc>
      </w:tr>
      <w:tr w14:paraId="05AAF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45B6956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70DA3693">
            <w:pPr>
              <w:keepNext w:val="0"/>
              <w:keepLines w:val="0"/>
              <w:pageBreakBefore w:val="0"/>
              <w:widowControl w:val="0"/>
              <w:suppressAutoHyphens/>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健康心理网上学校服务</w:t>
            </w: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04143E3E">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健康心理网上学校服务方案：包括供应商现有公众号或网站运行状态分析、最大承受能力分析、服务内容更新、解决能力等。</w:t>
            </w:r>
          </w:p>
          <w:p w14:paraId="335BDCD5">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方案完整、公众号或网站运行稳定、可靠、流畅、解决问题能力强的得8分；</w:t>
            </w:r>
          </w:p>
          <w:p w14:paraId="358E09F2">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方案基本完整、网站服务内容更新不及时的得5分；</w:t>
            </w:r>
          </w:p>
          <w:p w14:paraId="16E6E44D">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方案基本完整、公众号或网站运行稳定性、可靠性、流畅性不强的得3分；</w:t>
            </w:r>
          </w:p>
          <w:p w14:paraId="585F99B6">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default"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方案基本完整、解决问题能力不强的得1分；</w:t>
            </w:r>
          </w:p>
          <w:p w14:paraId="7735577E">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default" w:ascii="仿宋" w:hAnsi="仿宋" w:cs="仿宋"/>
                <w:bCs/>
                <w:sz w:val="24"/>
                <w:szCs w:val="24"/>
                <w:highlight w:val="none"/>
                <w:lang w:val="en-US" w:eastAsia="zh-CN"/>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2178AA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8</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5FBA906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highlight w:val="none"/>
                <w:lang w:val="en-US" w:eastAsia="zh-CN"/>
              </w:rPr>
            </w:pPr>
          </w:p>
        </w:tc>
      </w:tr>
      <w:tr w14:paraId="36925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3BC5D88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782EF30C">
            <w:pPr>
              <w:keepNext w:val="0"/>
              <w:keepLines w:val="0"/>
              <w:pageBreakBefore w:val="0"/>
              <w:widowControl w:val="0"/>
              <w:suppressAutoHyphens/>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保持健康心理的科普、宣传</w:t>
            </w: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691AA3D4">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eastAsia="仿宋" w:cs="仿宋"/>
                <w:bCs/>
                <w:sz w:val="24"/>
                <w:szCs w:val="24"/>
                <w:highlight w:val="none"/>
                <w:lang w:val="en-US" w:eastAsia="zh-CN"/>
              </w:rPr>
              <w:t>保持健康心理的科普、宣传</w:t>
            </w:r>
            <w:r>
              <w:rPr>
                <w:rFonts w:hint="eastAsia" w:ascii="仿宋" w:hAnsi="仿宋" w:cs="仿宋"/>
                <w:bCs/>
                <w:sz w:val="24"/>
                <w:szCs w:val="24"/>
                <w:highlight w:val="none"/>
                <w:lang w:val="en-US" w:eastAsia="zh-CN"/>
              </w:rPr>
              <w:t>方案：包括科普、宣传的目标、内容、服务方式、进度安排等。</w:t>
            </w:r>
          </w:p>
          <w:p w14:paraId="14DDDBC3">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方案紧扣主题、进度安排合理、服务方式合理的得3分；</w:t>
            </w:r>
          </w:p>
          <w:p w14:paraId="4D5380BD">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进度安排不合理的得2分；</w:t>
            </w:r>
          </w:p>
          <w:p w14:paraId="1D3733F4">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方案偏离主题的得1分；</w:t>
            </w:r>
          </w:p>
          <w:p w14:paraId="5D237645">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61106F8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sz w:val="24"/>
                <w:szCs w:val="24"/>
                <w:highlight w:val="none"/>
                <w:lang w:val="en-US" w:eastAsia="zh-CN"/>
              </w:rPr>
            </w:pPr>
            <w:r>
              <w:rPr>
                <w:rFonts w:hint="eastAsia" w:ascii="仿宋" w:hAnsi="仿宋" w:cs="仿宋"/>
                <w:bCs/>
                <w:kern w:val="2"/>
                <w:sz w:val="24"/>
                <w:szCs w:val="24"/>
                <w:highlight w:val="none"/>
                <w:lang w:val="en-US" w:eastAsia="zh-CN" w:bidi="ar-SA"/>
              </w:rPr>
              <w:t>3</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51D9F4F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47D11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536" w:type="pct"/>
            <w:vMerge w:val="continue"/>
            <w:tcBorders>
              <w:left w:val="single" w:color="auto" w:sz="4" w:space="0"/>
              <w:bottom w:val="single" w:color="auto" w:sz="4" w:space="0"/>
              <w:right w:val="single" w:color="auto" w:sz="4" w:space="0"/>
            </w:tcBorders>
            <w:vAlign w:val="center"/>
          </w:tcPr>
          <w:p w14:paraId="7317302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仿宋"/>
                <w:bCs/>
                <w:sz w:val="24"/>
                <w:szCs w:val="24"/>
                <w:highlight w:val="none"/>
                <w:lang w:val="en-US" w:eastAsia="zh-CN"/>
              </w:rPr>
            </w:pPr>
          </w:p>
        </w:tc>
        <w:tc>
          <w:tcPr>
            <w:tcW w:w="3337" w:type="pct"/>
            <w:gridSpan w:val="2"/>
            <w:tcBorders>
              <w:top w:val="single" w:color="auto" w:sz="4" w:space="0"/>
              <w:left w:val="single" w:color="auto" w:sz="4" w:space="0"/>
              <w:bottom w:val="single" w:color="auto" w:sz="4" w:space="0"/>
              <w:right w:val="single" w:color="auto" w:sz="4" w:space="0"/>
            </w:tcBorders>
            <w:vAlign w:val="center"/>
          </w:tcPr>
          <w:p w14:paraId="2DF14146">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业绩：自2022年至今（以合同签订之日为准），供应商具有类似社会心理服务项目业绩的得1分。</w:t>
            </w:r>
          </w:p>
          <w:p w14:paraId="6970A299">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default" w:ascii="仿宋" w:hAnsi="仿宋" w:cs="仿宋"/>
                <w:bCs/>
                <w:sz w:val="24"/>
                <w:szCs w:val="24"/>
                <w:highlight w:val="none"/>
                <w:lang w:val="en-US" w:eastAsia="zh-CN"/>
              </w:rPr>
            </w:pPr>
            <w:r>
              <w:rPr>
                <w:rFonts w:hint="eastAsia" w:ascii="仿宋" w:hAnsi="仿宋" w:cs="仿宋"/>
                <w:bCs/>
                <w:sz w:val="24"/>
                <w:szCs w:val="24"/>
                <w:highlight w:val="none"/>
                <w:lang w:val="en-US" w:eastAsia="zh-CN"/>
              </w:rPr>
              <w:t>上传类似社会心理服务项目业绩合同原件及验收合格证明（或相关税务发票）原件扫描件。</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7F0D12E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cs="仿宋"/>
                <w:bCs/>
                <w:sz w:val="24"/>
                <w:szCs w:val="24"/>
                <w:highlight w:val="none"/>
                <w:lang w:val="en-US" w:eastAsia="zh-CN"/>
              </w:rPr>
            </w:pPr>
            <w:r>
              <w:rPr>
                <w:rFonts w:hint="eastAsia" w:ascii="仿宋" w:hAnsi="仿宋" w:cs="仿宋"/>
                <w:bCs/>
                <w:sz w:val="24"/>
                <w:szCs w:val="24"/>
                <w:highlight w:val="none"/>
                <w:lang w:val="en-US" w:eastAsia="zh-CN"/>
              </w:rPr>
              <w:t>1</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6A9E5C9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highlight w:val="none"/>
                <w:lang w:val="en-US" w:eastAsia="zh-CN"/>
              </w:rPr>
            </w:pPr>
          </w:p>
        </w:tc>
      </w:tr>
      <w:tr w14:paraId="5C206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3873" w:type="pct"/>
            <w:gridSpan w:val="3"/>
            <w:tcBorders>
              <w:top w:val="single" w:color="auto" w:sz="4" w:space="0"/>
              <w:left w:val="single" w:color="auto" w:sz="4" w:space="0"/>
              <w:right w:val="single" w:color="auto" w:sz="4" w:space="0"/>
            </w:tcBorders>
            <w:vAlign w:val="center"/>
          </w:tcPr>
          <w:p w14:paraId="749780D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合计</w:t>
            </w:r>
          </w:p>
        </w:tc>
        <w:tc>
          <w:tcPr>
            <w:tcW w:w="440" w:type="pct"/>
            <w:tcBorders>
              <w:top w:val="single" w:color="auto" w:sz="4" w:space="0"/>
              <w:left w:val="single" w:color="auto" w:sz="4" w:space="0"/>
              <w:bottom w:val="single" w:color="auto" w:sz="4" w:space="0"/>
              <w:right w:val="single" w:color="auto" w:sz="4" w:space="0"/>
            </w:tcBorders>
            <w:vAlign w:val="center"/>
          </w:tcPr>
          <w:p w14:paraId="7BBCE569">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仿宋" w:hAnsi="仿宋" w:eastAsia="仿宋" w:cs="仿宋"/>
                <w:bCs/>
                <w:kern w:val="2"/>
                <w:sz w:val="24"/>
                <w:szCs w:val="24"/>
                <w:lang w:eastAsia="zh-CN" w:bidi="ar-SA"/>
              </w:rPr>
            </w:pPr>
            <w:r>
              <w:rPr>
                <w:rFonts w:hint="default" w:ascii="仿宋" w:hAnsi="仿宋" w:eastAsia="仿宋" w:cs="仿宋"/>
                <w:bCs/>
                <w:kern w:val="2"/>
                <w:sz w:val="24"/>
                <w:szCs w:val="24"/>
                <w:lang w:eastAsia="zh-CN" w:bidi="ar-SA"/>
              </w:rPr>
              <w:fldChar w:fldCharType="begin"/>
            </w:r>
            <w:r>
              <w:rPr>
                <w:rFonts w:hint="default" w:ascii="仿宋" w:hAnsi="仿宋" w:eastAsia="仿宋" w:cs="仿宋"/>
                <w:bCs/>
                <w:kern w:val="2"/>
                <w:sz w:val="24"/>
                <w:szCs w:val="24"/>
                <w:lang w:eastAsia="zh-CN" w:bidi="ar-SA"/>
              </w:rPr>
              <w:instrText xml:space="preserve"> =SUM(ABOVE) \* MERGEFORMAT </w:instrText>
            </w:r>
            <w:r>
              <w:rPr>
                <w:rFonts w:hint="default" w:ascii="仿宋" w:hAnsi="仿宋" w:eastAsia="仿宋" w:cs="仿宋"/>
                <w:bCs/>
                <w:kern w:val="2"/>
                <w:sz w:val="24"/>
                <w:szCs w:val="24"/>
                <w:lang w:eastAsia="zh-CN" w:bidi="ar-SA"/>
              </w:rPr>
              <w:fldChar w:fldCharType="separate"/>
            </w:r>
            <w:r>
              <w:rPr>
                <w:rFonts w:hint="default" w:ascii="仿宋" w:hAnsi="仿宋" w:eastAsia="仿宋" w:cs="仿宋"/>
                <w:bCs/>
                <w:kern w:val="2"/>
                <w:sz w:val="24"/>
                <w:szCs w:val="24"/>
                <w:lang w:eastAsia="zh-CN" w:bidi="ar-SA"/>
              </w:rPr>
              <w:t>100</w:t>
            </w:r>
            <w:r>
              <w:rPr>
                <w:rFonts w:hint="default" w:ascii="仿宋" w:hAnsi="仿宋" w:eastAsia="仿宋" w:cs="仿宋"/>
                <w:bCs/>
                <w:kern w:val="2"/>
                <w:sz w:val="24"/>
                <w:szCs w:val="24"/>
                <w:lang w:eastAsia="zh-CN" w:bidi="ar-SA"/>
              </w:rPr>
              <w:fldChar w:fldCharType="end"/>
            </w:r>
          </w:p>
        </w:tc>
        <w:tc>
          <w:tcPr>
            <w:tcW w:w="686" w:type="pct"/>
            <w:tcBorders>
              <w:top w:val="single" w:color="auto" w:sz="4" w:space="0"/>
              <w:left w:val="single" w:color="auto" w:sz="4" w:space="0"/>
              <w:bottom w:val="single" w:color="auto" w:sz="4" w:space="0"/>
              <w:right w:val="single" w:color="auto" w:sz="4" w:space="0"/>
            </w:tcBorders>
            <w:vAlign w:val="center"/>
          </w:tcPr>
          <w:p w14:paraId="2EEA5195">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仿宋" w:hAnsi="仿宋" w:eastAsia="仿宋" w:cs="仿宋"/>
                <w:bCs/>
                <w:kern w:val="2"/>
                <w:sz w:val="24"/>
                <w:szCs w:val="24"/>
                <w:lang w:eastAsia="zh-CN" w:bidi="ar-SA"/>
              </w:rPr>
            </w:pPr>
          </w:p>
        </w:tc>
      </w:tr>
    </w:tbl>
    <w:p w14:paraId="53D3C638">
      <w:pPr>
        <w:snapToGrid w:val="0"/>
        <w:ind w:firstLine="400"/>
        <w:rPr>
          <w:rFonts w:ascii="仿宋" w:hAnsi="仿宋" w:cs="仿宋"/>
          <w:b/>
        </w:rPr>
      </w:pPr>
      <w:r>
        <w:rPr>
          <w:rFonts w:hint="eastAsia" w:ascii="仿宋" w:hAnsi="仿宋" w:cs="仿宋"/>
          <w:sz w:val="20"/>
          <w:szCs w:val="20"/>
          <w:shd w:val="clear" w:color="auto" w:fill="FFFFFF"/>
        </w:rPr>
        <w:t> *</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14:paraId="1DACFAA2">
      <w:pPr>
        <w:pStyle w:val="2"/>
        <w:rPr>
          <w:rFonts w:ascii="仿宋" w:hAnsi="仿宋" w:cs="仿宋"/>
        </w:rPr>
      </w:pPr>
      <w:bookmarkStart w:id="405" w:name="_Toc10164"/>
      <w:r>
        <w:rPr>
          <w:rFonts w:hint="eastAsia" w:ascii="仿宋" w:hAnsi="仿宋" w:cs="仿宋"/>
        </w:rPr>
        <w:t>一、评标方法</w:t>
      </w:r>
      <w:bookmarkEnd w:id="405"/>
    </w:p>
    <w:p w14:paraId="68486C8A">
      <w:pPr>
        <w:adjustRightInd/>
        <w:ind w:firstLine="472" w:firstLineChars="196"/>
        <w:rPr>
          <w:rFonts w:ascii="仿宋" w:hAnsi="仿宋" w:cs="仿宋"/>
          <w:kern w:val="0"/>
        </w:rPr>
      </w:pPr>
      <w:r>
        <w:rPr>
          <w:rFonts w:hint="eastAsia" w:ascii="仿宋" w:hAnsi="仿宋" w:cs="仿宋"/>
          <w:b/>
          <w:kern w:val="0"/>
        </w:rPr>
        <w:t>1.本项目采用综合评分法。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14:paraId="155D490A">
      <w:pPr>
        <w:pStyle w:val="2"/>
        <w:rPr>
          <w:rFonts w:ascii="仿宋" w:hAnsi="仿宋" w:cs="仿宋"/>
        </w:rPr>
      </w:pPr>
      <w:bookmarkStart w:id="406" w:name="_Toc10153"/>
      <w:r>
        <w:rPr>
          <w:rFonts w:hint="eastAsia" w:ascii="仿宋" w:hAnsi="仿宋" w:cs="仿宋"/>
        </w:rPr>
        <w:t>二、评标标准</w:t>
      </w:r>
      <w:bookmarkEnd w:id="406"/>
    </w:p>
    <w:p w14:paraId="49C87461">
      <w:pPr>
        <w:ind w:firstLine="472" w:firstLineChars="196"/>
        <w:rPr>
          <w:rFonts w:ascii="仿宋" w:hAnsi="仿宋" w:cs="仿宋"/>
          <w:b/>
        </w:rPr>
      </w:pPr>
      <w:r>
        <w:rPr>
          <w:rFonts w:hint="eastAsia" w:ascii="仿宋" w:hAnsi="仿宋" w:cs="仿宋"/>
          <w:b/>
        </w:rPr>
        <w:t>2.</w:t>
      </w:r>
      <w:r>
        <w:rPr>
          <w:rFonts w:hint="eastAsia" w:ascii="仿宋" w:hAnsi="仿宋" w:cs="仿宋"/>
        </w:rPr>
        <w:t xml:space="preserve"> </w:t>
      </w:r>
      <w:r>
        <w:rPr>
          <w:rFonts w:hint="eastAsia" w:ascii="仿宋" w:hAnsi="仿宋" w:cs="仿宋"/>
          <w:b/>
        </w:rPr>
        <w:t>评标标准：</w:t>
      </w:r>
      <w:r>
        <w:rPr>
          <w:rFonts w:hint="eastAsia" w:ascii="仿宋" w:hAnsi="仿宋" w:cs="仿宋"/>
          <w:kern w:val="0"/>
        </w:rPr>
        <w:t>见评标办法前附表。</w:t>
      </w:r>
    </w:p>
    <w:p w14:paraId="346EE9AB">
      <w:pPr>
        <w:pStyle w:val="2"/>
        <w:rPr>
          <w:rFonts w:ascii="仿宋" w:hAnsi="仿宋" w:cs="仿宋"/>
        </w:rPr>
      </w:pPr>
      <w:bookmarkStart w:id="407" w:name="_Toc685"/>
      <w:r>
        <w:rPr>
          <w:rFonts w:hint="eastAsia" w:ascii="仿宋" w:hAnsi="仿宋" w:cs="仿宋"/>
        </w:rPr>
        <w:t>三、评标程序</w:t>
      </w:r>
      <w:bookmarkEnd w:id="407"/>
    </w:p>
    <w:p w14:paraId="29B30DD4">
      <w:pPr>
        <w:pStyle w:val="83"/>
        <w:ind w:firstLine="482"/>
      </w:pPr>
      <w:r>
        <w:rPr>
          <w:rFonts w:hint="eastAsia" w:ascii="仿宋" w:hAnsi="仿宋" w:cs="仿宋"/>
          <w:b/>
          <w:kern w:val="0"/>
        </w:rPr>
        <w:t>3.1符合性审查。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14:paraId="4E17955E">
      <w:pPr>
        <w:ind w:firstLine="472" w:firstLineChars="196"/>
        <w:rPr>
          <w:rFonts w:ascii="仿宋" w:hAnsi="仿宋" w:cs="仿宋"/>
          <w:kern w:val="0"/>
        </w:rPr>
      </w:pPr>
      <w:r>
        <w:rPr>
          <w:rFonts w:hint="eastAsia" w:ascii="仿宋" w:hAnsi="仿宋" w:cs="仿宋"/>
          <w:b/>
          <w:kern w:val="0"/>
        </w:rPr>
        <w:t>3.2 比较与评价。</w:t>
      </w:r>
      <w:r>
        <w:rPr>
          <w:rFonts w:hint="eastAsia" w:ascii="仿宋" w:hAnsi="仿宋" w:cs="仿宋"/>
          <w:kern w:val="0"/>
        </w:rPr>
        <w:t>评标委员会应当按照招标文件中规定的评标方法和标准，对符合性审查合格的投标文件进行商务和技术评估，综合比较与评价。</w:t>
      </w:r>
    </w:p>
    <w:p w14:paraId="57FC6B53">
      <w:pPr>
        <w:ind w:firstLine="472" w:firstLineChars="196"/>
        <w:rPr>
          <w:rFonts w:ascii="仿宋" w:hAnsi="仿宋" w:cs="仿宋"/>
          <w:kern w:val="0"/>
        </w:rPr>
      </w:pPr>
      <w:r>
        <w:rPr>
          <w:rFonts w:hint="eastAsia" w:ascii="仿宋" w:hAnsi="仿宋" w:cs="仿宋"/>
          <w:b/>
          <w:kern w:val="0"/>
        </w:rPr>
        <w:t>3.3汇总商务技术得分。</w:t>
      </w:r>
      <w:r>
        <w:rPr>
          <w:rFonts w:hint="eastAsia" w:ascii="仿宋" w:hAnsi="仿宋" w:cs="仿宋"/>
          <w:kern w:val="0"/>
        </w:rPr>
        <w:t>评标委员会各成员应当独立对每个投标人的商务和技术文件进行评价，并汇总商务技术得分情况。</w:t>
      </w:r>
    </w:p>
    <w:p w14:paraId="511C1FBA">
      <w:pPr>
        <w:ind w:firstLine="472" w:firstLineChars="196"/>
        <w:rPr>
          <w:rFonts w:ascii="仿宋" w:hAnsi="仿宋" w:cs="仿宋"/>
          <w:b/>
          <w:kern w:val="0"/>
        </w:rPr>
      </w:pPr>
      <w:r>
        <w:rPr>
          <w:rFonts w:hint="eastAsia" w:ascii="仿宋" w:hAnsi="仿宋" w:cs="仿宋"/>
          <w:b/>
          <w:kern w:val="0"/>
        </w:rPr>
        <w:t>3.4报价评审。</w:t>
      </w:r>
    </w:p>
    <w:p w14:paraId="6A27D22F">
      <w:pPr>
        <w:pStyle w:val="136"/>
        <w:spacing w:before="0"/>
        <w:ind w:firstLine="482"/>
        <w:rPr>
          <w:rFonts w:hint="default" w:ascii="仿宋" w:hAnsi="仿宋" w:cs="仿宋"/>
          <w:kern w:val="0"/>
          <w:szCs w:val="24"/>
          <w:lang w:val="en-US" w:eastAsia="zh-CN"/>
        </w:rPr>
      </w:pPr>
      <w:r>
        <w:rPr>
          <w:rFonts w:hint="default" w:ascii="仿宋" w:hAnsi="仿宋" w:cs="仿宋"/>
          <w:kern w:val="0"/>
          <w:szCs w:val="24"/>
          <w:lang w:val="en-US" w:eastAsia="zh-CN"/>
        </w:rPr>
        <w:t>3.4.1投标文件报价出现前后不一致的，按照下列规定修正：</w:t>
      </w:r>
    </w:p>
    <w:p w14:paraId="490D6E81">
      <w:pPr>
        <w:pStyle w:val="136"/>
        <w:spacing w:before="0"/>
        <w:ind w:firstLine="482"/>
        <w:rPr>
          <w:rFonts w:hint="default" w:ascii="仿宋" w:hAnsi="仿宋" w:cs="仿宋"/>
          <w:kern w:val="0"/>
          <w:szCs w:val="24"/>
          <w:lang w:val="en-US" w:eastAsia="zh-CN"/>
        </w:rPr>
      </w:pPr>
      <w:r>
        <w:rPr>
          <w:rFonts w:hint="eastAsia" w:ascii="仿宋" w:hAnsi="仿宋" w:cs="仿宋"/>
          <w:kern w:val="0"/>
          <w:szCs w:val="24"/>
          <w:lang w:val="en-US" w:eastAsia="zh-CN"/>
        </w:rPr>
        <w:t>（1）</w:t>
      </w:r>
      <w:r>
        <w:rPr>
          <w:rFonts w:hint="default" w:ascii="仿宋" w:hAnsi="仿宋" w:cs="仿宋"/>
          <w:kern w:val="0"/>
          <w:szCs w:val="24"/>
          <w:lang w:val="en-US" w:eastAsia="zh-CN"/>
        </w:rPr>
        <w:t>投标文件中开标一览表(报价表)内容与投标文件中相应内容不一致的，</w:t>
      </w:r>
      <w:r>
        <w:rPr>
          <w:rFonts w:hint="eastAsia" w:ascii="仿宋" w:hAnsi="仿宋" w:cs="仿宋"/>
          <w:kern w:val="0"/>
          <w:szCs w:val="24"/>
          <w:lang w:val="en-US" w:eastAsia="zh-CN"/>
        </w:rPr>
        <w:t>或与政采云平台报价不一致的，</w:t>
      </w:r>
      <w:r>
        <w:rPr>
          <w:rFonts w:hint="default" w:ascii="仿宋" w:hAnsi="仿宋" w:cs="仿宋"/>
          <w:kern w:val="0"/>
          <w:szCs w:val="24"/>
          <w:lang w:val="en-US" w:eastAsia="zh-CN"/>
        </w:rPr>
        <w:t>以开标一览表(报价表)为准;</w:t>
      </w:r>
    </w:p>
    <w:p w14:paraId="4027EF44">
      <w:pPr>
        <w:pStyle w:val="136"/>
        <w:spacing w:before="0"/>
        <w:ind w:firstLine="482"/>
        <w:rPr>
          <w:rFonts w:hint="default" w:ascii="仿宋" w:hAnsi="仿宋" w:cs="仿宋"/>
          <w:kern w:val="0"/>
          <w:szCs w:val="24"/>
          <w:lang w:val="en-US" w:eastAsia="zh-CN"/>
        </w:rPr>
      </w:pPr>
      <w:r>
        <w:rPr>
          <w:rFonts w:hint="eastAsia" w:ascii="仿宋" w:hAnsi="仿宋" w:cs="仿宋"/>
          <w:kern w:val="0"/>
          <w:szCs w:val="24"/>
          <w:lang w:val="en-US" w:eastAsia="zh-CN"/>
        </w:rPr>
        <w:t>（2）</w:t>
      </w:r>
      <w:r>
        <w:rPr>
          <w:rFonts w:hint="default" w:ascii="仿宋" w:hAnsi="仿宋" w:cs="仿宋"/>
          <w:kern w:val="0"/>
          <w:szCs w:val="24"/>
          <w:lang w:val="en-US" w:eastAsia="zh-CN"/>
        </w:rPr>
        <w:t>大写金额和小写金额不一致的，以大写金额为准;</w:t>
      </w:r>
    </w:p>
    <w:p w14:paraId="4545D397">
      <w:pPr>
        <w:pStyle w:val="136"/>
        <w:spacing w:before="0"/>
        <w:ind w:firstLine="482"/>
        <w:rPr>
          <w:rFonts w:hint="default" w:ascii="仿宋" w:hAnsi="仿宋" w:cs="仿宋"/>
          <w:kern w:val="0"/>
          <w:szCs w:val="24"/>
          <w:lang w:val="en-US" w:eastAsia="zh-CN"/>
        </w:rPr>
      </w:pPr>
      <w:r>
        <w:rPr>
          <w:rFonts w:hint="eastAsia" w:ascii="仿宋" w:hAnsi="仿宋" w:cs="仿宋"/>
          <w:kern w:val="0"/>
          <w:szCs w:val="24"/>
          <w:lang w:val="en-US" w:eastAsia="zh-CN"/>
        </w:rPr>
        <w:t>（3）</w:t>
      </w:r>
      <w:r>
        <w:rPr>
          <w:rFonts w:hint="default" w:ascii="仿宋" w:hAnsi="仿宋" w:cs="仿宋"/>
          <w:kern w:val="0"/>
          <w:szCs w:val="24"/>
          <w:lang w:val="en-US" w:eastAsia="zh-CN"/>
        </w:rPr>
        <w:t>单价金额小数点或者百分比有明显错位的，以开标一览表的总价为准，并修改单价;</w:t>
      </w:r>
    </w:p>
    <w:p w14:paraId="5CAA0FDF">
      <w:pPr>
        <w:pStyle w:val="136"/>
        <w:spacing w:before="0"/>
        <w:ind w:firstLine="482"/>
        <w:rPr>
          <w:rFonts w:hint="default" w:ascii="仿宋" w:hAnsi="仿宋" w:cs="仿宋"/>
          <w:kern w:val="0"/>
          <w:szCs w:val="24"/>
          <w:lang w:val="en-US" w:eastAsia="zh-CN"/>
        </w:rPr>
      </w:pPr>
      <w:r>
        <w:rPr>
          <w:rFonts w:hint="eastAsia" w:ascii="仿宋" w:hAnsi="仿宋" w:cs="仿宋"/>
          <w:kern w:val="0"/>
          <w:szCs w:val="24"/>
          <w:lang w:val="en-US" w:eastAsia="zh-CN"/>
        </w:rPr>
        <w:t>（4）</w:t>
      </w:r>
      <w:r>
        <w:rPr>
          <w:rFonts w:hint="default" w:ascii="仿宋" w:hAnsi="仿宋" w:cs="仿宋"/>
          <w:kern w:val="0"/>
          <w:szCs w:val="24"/>
          <w:lang w:val="en-US" w:eastAsia="zh-CN"/>
        </w:rPr>
        <w:t>总价金额与按单价汇总金额不一致的，以单价金额计算结果为准。</w:t>
      </w:r>
    </w:p>
    <w:p w14:paraId="3D664066">
      <w:pPr>
        <w:pStyle w:val="136"/>
        <w:spacing w:before="0"/>
        <w:ind w:firstLine="482"/>
        <w:rPr>
          <w:rFonts w:hint="default" w:ascii="仿宋" w:hAnsi="仿宋" w:cs="仿宋"/>
          <w:kern w:val="0"/>
          <w:szCs w:val="24"/>
          <w:lang w:val="en-US" w:eastAsia="zh-CN"/>
        </w:rPr>
      </w:pPr>
      <w:r>
        <w:rPr>
          <w:rFonts w:hint="eastAsia" w:ascii="仿宋" w:hAnsi="仿宋" w:cs="仿宋"/>
          <w:kern w:val="0"/>
          <w:szCs w:val="24"/>
          <w:lang w:val="en-US" w:eastAsia="zh-CN"/>
        </w:rPr>
        <w:t>（5）</w:t>
      </w:r>
      <w:r>
        <w:rPr>
          <w:rFonts w:hint="default" w:ascii="仿宋" w:hAnsi="仿宋" w:cs="仿宋"/>
          <w:kern w:val="0"/>
          <w:szCs w:val="24"/>
          <w:lang w:val="en-US" w:eastAsia="zh-CN"/>
        </w:rPr>
        <w:t>同时出现两种以上不一致的，按照3.4.1规定的顺序修正。修正后的报价按照财政部第87号令 《政府采购货物和服务招标投标管理办法》第五十一条第二款的规定经投标人确认后产生约束力。</w:t>
      </w:r>
    </w:p>
    <w:p w14:paraId="7166B79C">
      <w:pPr>
        <w:pStyle w:val="136"/>
        <w:spacing w:before="0"/>
        <w:ind w:firstLine="482"/>
        <w:rPr>
          <w:rFonts w:hint="default" w:ascii="仿宋" w:hAnsi="仿宋" w:cs="仿宋"/>
          <w:kern w:val="0"/>
          <w:szCs w:val="24"/>
          <w:lang w:val="en-US" w:eastAsia="zh-CN"/>
        </w:rPr>
      </w:pPr>
      <w:r>
        <w:rPr>
          <w:rFonts w:hint="eastAsia" w:ascii="仿宋" w:hAnsi="仿宋" w:cs="仿宋"/>
          <w:kern w:val="0"/>
          <w:szCs w:val="24"/>
          <w:lang w:val="en-US" w:eastAsia="zh-CN"/>
        </w:rPr>
        <w:t>供应商拒绝按以上规定修正的，投标无效。</w:t>
      </w:r>
    </w:p>
    <w:p w14:paraId="2ED2E922">
      <w:pPr>
        <w:pStyle w:val="136"/>
        <w:spacing w:before="0"/>
        <w:ind w:firstLine="482"/>
        <w:rPr>
          <w:rFonts w:hint="default" w:ascii="仿宋" w:hAnsi="仿宋" w:cs="仿宋"/>
          <w:kern w:val="0"/>
          <w:szCs w:val="24"/>
          <w:lang w:val="en-US" w:eastAsia="zh-CN"/>
        </w:rPr>
      </w:pPr>
      <w:r>
        <w:rPr>
          <w:rFonts w:hint="default" w:ascii="仿宋" w:hAnsi="仿宋" w:cs="仿宋"/>
          <w:kern w:val="0"/>
          <w:szCs w:val="24"/>
          <w:lang w:val="en-US" w:eastAsia="zh-CN"/>
        </w:rPr>
        <w:t>3.4.2投标文件出现不是唯一的、有选择性投标报价的，投标无效。</w:t>
      </w:r>
    </w:p>
    <w:p w14:paraId="7187D0EA">
      <w:pPr>
        <w:pStyle w:val="136"/>
        <w:spacing w:before="0"/>
        <w:ind w:firstLine="482"/>
        <w:rPr>
          <w:rFonts w:hint="default" w:ascii="仿宋" w:hAnsi="仿宋" w:cs="仿宋"/>
          <w:kern w:val="0"/>
          <w:szCs w:val="24"/>
          <w:lang w:val="en-US" w:eastAsia="zh-CN"/>
        </w:rPr>
      </w:pPr>
      <w:r>
        <w:rPr>
          <w:rFonts w:hint="default" w:ascii="仿宋" w:hAnsi="仿宋" w:cs="仿宋"/>
          <w:kern w:val="0"/>
          <w:szCs w:val="24"/>
          <w:lang w:val="en-US" w:eastAsia="zh-CN"/>
        </w:rPr>
        <w:t>3.4.3投标报价超过招标文件中规定的预算金额或者最高限价的，投标无效。</w:t>
      </w:r>
    </w:p>
    <w:p w14:paraId="4013ADAF">
      <w:pPr>
        <w:rPr>
          <w:rFonts w:hint="default" w:ascii="仿宋" w:hAnsi="仿宋" w:cs="仿宋"/>
          <w:kern w:val="0"/>
          <w:szCs w:val="24"/>
          <w:lang w:val="en-US" w:eastAsia="zh-CN"/>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14:paraId="45FDC2E3">
      <w:pPr>
        <w:rPr>
          <w:rFonts w:hint="default" w:ascii="仿宋" w:hAnsi="仿宋" w:cs="仿宋"/>
          <w:kern w:val="0"/>
          <w:szCs w:val="24"/>
          <w:lang w:val="en-US" w:eastAsia="zh-CN"/>
        </w:rPr>
      </w:pPr>
      <w:r>
        <w:rPr>
          <w:rFonts w:hint="default" w:ascii="仿宋" w:hAnsi="仿宋" w:cs="仿宋"/>
          <w:kern w:val="0"/>
          <w:szCs w:val="24"/>
          <w:lang w:val="en-US" w:eastAsia="zh-CN"/>
        </w:rPr>
        <w:t>3.4.</w:t>
      </w:r>
      <w:r>
        <w:rPr>
          <w:rFonts w:hint="eastAsia" w:ascii="仿宋" w:hAnsi="仿宋" w:cs="仿宋"/>
          <w:kern w:val="0"/>
          <w:szCs w:val="24"/>
          <w:lang w:val="en-US" w:eastAsia="zh-CN"/>
        </w:rPr>
        <w:t>5本项目</w:t>
      </w:r>
      <w:r>
        <w:rPr>
          <w:rFonts w:hint="default" w:ascii="仿宋" w:hAnsi="仿宋" w:cs="仿宋"/>
          <w:kern w:val="0"/>
          <w:szCs w:val="24"/>
          <w:lang w:val="en-US" w:eastAsia="zh-CN"/>
        </w:rPr>
        <w:t>专门面向中小企业</w:t>
      </w:r>
      <w:r>
        <w:rPr>
          <w:rFonts w:hint="eastAsia" w:ascii="仿宋" w:hAnsi="仿宋" w:cs="仿宋"/>
          <w:kern w:val="0"/>
          <w:szCs w:val="24"/>
          <w:lang w:val="en-US" w:eastAsia="zh-CN"/>
        </w:rPr>
        <w:t>采购</w:t>
      </w:r>
      <w:r>
        <w:rPr>
          <w:rFonts w:hint="default" w:ascii="仿宋" w:hAnsi="仿宋" w:cs="仿宋"/>
          <w:kern w:val="0"/>
          <w:szCs w:val="24"/>
          <w:lang w:val="en-US" w:eastAsia="zh-CN"/>
        </w:rPr>
        <w:t>，</w:t>
      </w:r>
      <w:r>
        <w:rPr>
          <w:rFonts w:hint="eastAsia" w:ascii="仿宋" w:hAnsi="仿宋" w:cs="仿宋"/>
          <w:kern w:val="0"/>
          <w:szCs w:val="24"/>
          <w:lang w:val="en-US" w:eastAsia="zh-CN"/>
        </w:rPr>
        <w:t>在综合评分过程中，</w:t>
      </w:r>
      <w:r>
        <w:rPr>
          <w:rFonts w:hint="default" w:ascii="仿宋" w:hAnsi="仿宋" w:cs="仿宋"/>
          <w:kern w:val="0"/>
          <w:szCs w:val="24"/>
          <w:lang w:val="en-US" w:eastAsia="zh-CN"/>
        </w:rPr>
        <w:t>对小型和微型企业的投标报价</w:t>
      </w:r>
      <w:r>
        <w:rPr>
          <w:rFonts w:hint="eastAsia" w:ascii="仿宋" w:hAnsi="仿宋" w:cs="仿宋"/>
          <w:kern w:val="0"/>
          <w:szCs w:val="24"/>
          <w:lang w:val="en-US" w:eastAsia="zh-CN"/>
        </w:rPr>
        <w:t>不予价格扣除</w:t>
      </w:r>
      <w:r>
        <w:rPr>
          <w:rFonts w:hint="default" w:ascii="仿宋" w:hAnsi="仿宋" w:cs="仿宋"/>
          <w:kern w:val="0"/>
          <w:szCs w:val="24"/>
          <w:lang w:val="en-US" w:eastAsia="zh-CN"/>
        </w:rPr>
        <w:t>。</w:t>
      </w:r>
    </w:p>
    <w:p w14:paraId="591113BC">
      <w:pPr>
        <w:rPr>
          <w:rFonts w:ascii="仿宋" w:hAnsi="仿宋" w:cs="仿宋"/>
          <w:kern w:val="0"/>
        </w:rPr>
      </w:pPr>
      <w:r>
        <w:rPr>
          <w:rFonts w:hint="eastAsia" w:ascii="仿宋" w:hAnsi="仿宋" w:cs="仿宋"/>
          <w:b/>
          <w:kern w:val="0"/>
        </w:rPr>
        <w:t>3.5排序与推荐。</w:t>
      </w:r>
      <w:r>
        <w:rPr>
          <w:rFonts w:hint="eastAsia" w:ascii="仿宋" w:hAnsi="仿宋" w:cs="仿宋"/>
          <w:kern w:val="0"/>
        </w:rPr>
        <w:t>采用综合评分法的，评标结果按评审后得分由高到低顺序排列。得分相同的并列。投标文件满足招标文件全部实质性要求，且按照评审因素的量化指标评审得分最高的投标人为排名第一的中标候选人。</w:t>
      </w:r>
    </w:p>
    <w:p w14:paraId="3BBB2D4E">
      <w:pPr>
        <w:ind w:firstLine="472" w:firstLineChars="196"/>
        <w:rPr>
          <w:rFonts w:ascii="仿宋" w:hAnsi="仿宋" w:cs="仿宋"/>
          <w:kern w:val="0"/>
        </w:rPr>
      </w:pPr>
      <w:r>
        <w:rPr>
          <w:rFonts w:hint="eastAsia" w:ascii="仿宋" w:hAnsi="仿宋" w:cs="仿宋"/>
          <w:b/>
          <w:kern w:val="0"/>
        </w:rPr>
        <w:t>3.6编写评标报告。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EA5776">
      <w:pPr>
        <w:pStyle w:val="2"/>
        <w:rPr>
          <w:rFonts w:ascii="仿宋" w:hAnsi="仿宋" w:cs="仿宋"/>
        </w:rPr>
      </w:pPr>
      <w:bookmarkStart w:id="408" w:name="_Toc12141"/>
      <w:r>
        <w:rPr>
          <w:rFonts w:hint="eastAsia" w:ascii="仿宋" w:hAnsi="仿宋" w:cs="仿宋"/>
        </w:rPr>
        <w:t>四、评标中的其他事项</w:t>
      </w:r>
      <w:bookmarkEnd w:id="408"/>
    </w:p>
    <w:p w14:paraId="65496F08">
      <w:pPr>
        <w:pStyle w:val="136"/>
        <w:spacing w:before="0"/>
        <w:ind w:firstLine="472" w:firstLineChars="196"/>
        <w:rPr>
          <w:rFonts w:ascii="仿宋" w:hAnsi="仿宋" w:cs="仿宋"/>
          <w:kern w:val="0"/>
          <w:szCs w:val="24"/>
        </w:rPr>
      </w:pPr>
      <w:r>
        <w:rPr>
          <w:rFonts w:hint="eastAsia" w:ascii="仿宋" w:hAnsi="仿宋" w:cs="仿宋"/>
          <w:b/>
          <w:kern w:val="0"/>
          <w:szCs w:val="24"/>
        </w:rPr>
        <w:t>4.1投标人澄清、说明或者补正。</w:t>
      </w:r>
      <w:r>
        <w:rPr>
          <w:rFonts w:hint="eastAsia" w:ascii="仿宋" w:hAnsi="仿宋" w:cs="仿宋"/>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0ADC2D">
      <w:pPr>
        <w:pStyle w:val="28"/>
        <w:spacing w:line="360" w:lineRule="auto"/>
        <w:ind w:left="1021" w:leftChars="226" w:hanging="479" w:firstLineChars="0"/>
        <w:rPr>
          <w:rFonts w:ascii="仿宋" w:hAnsi="仿宋" w:cs="仿宋"/>
          <w:szCs w:val="21"/>
        </w:rPr>
      </w:pPr>
      <w:r>
        <w:rPr>
          <w:rFonts w:hint="eastAsia" w:ascii="仿宋" w:hAnsi="仿宋" w:cs="仿宋"/>
          <w:b/>
          <w:kern w:val="0"/>
        </w:rPr>
        <w:t>4.2投标无效。</w:t>
      </w:r>
      <w:r>
        <w:rPr>
          <w:rFonts w:hint="eastAsia" w:ascii="仿宋" w:hAnsi="仿宋" w:cs="仿宋"/>
        </w:rPr>
        <w:t>有下列情况之一的，投标无效：</w:t>
      </w:r>
    </w:p>
    <w:p w14:paraId="6F0A5CBC">
      <w:pPr>
        <w:rPr>
          <w:rFonts w:ascii="仿宋" w:hAnsi="仿宋" w:cs="仿宋"/>
          <w:b/>
          <w:bCs/>
          <w:kern w:val="0"/>
        </w:rPr>
      </w:pPr>
      <w:r>
        <w:rPr>
          <w:rFonts w:hint="eastAsia" w:ascii="仿宋" w:hAnsi="仿宋" w:cs="仿宋"/>
          <w:b/>
          <w:bCs/>
          <w:kern w:val="0"/>
        </w:rPr>
        <w:t>（1）投标人不具备招标文件中规定的资格要求的（投标人未提供有效的资格文件的，视为投标人不具备招标文件中规定的资格要求）；</w:t>
      </w:r>
    </w:p>
    <w:p w14:paraId="418E1D55">
      <w:pPr>
        <w:rPr>
          <w:rFonts w:ascii="仿宋" w:hAnsi="仿宋" w:cs="仿宋"/>
          <w:b/>
          <w:bCs/>
          <w:kern w:val="0"/>
        </w:rPr>
      </w:pPr>
      <w:r>
        <w:rPr>
          <w:rFonts w:hint="eastAsia" w:ascii="仿宋" w:hAnsi="仿宋" w:cs="仿宋"/>
          <w:b/>
          <w:bCs/>
          <w:kern w:val="0"/>
        </w:rPr>
        <w:t>（2）投标文件未按照招标文件要求签署、盖章的；</w:t>
      </w:r>
    </w:p>
    <w:p w14:paraId="37E95579">
      <w:pPr>
        <w:rPr>
          <w:rFonts w:ascii="仿宋" w:hAnsi="仿宋" w:cs="仿宋"/>
          <w:b/>
          <w:bCs/>
          <w:kern w:val="0"/>
        </w:rPr>
      </w:pPr>
      <w:r>
        <w:rPr>
          <w:rFonts w:hint="eastAsia" w:ascii="仿宋" w:hAnsi="仿宋" w:cs="仿宋"/>
          <w:b/>
          <w:bCs/>
          <w:kern w:val="0"/>
        </w:rPr>
        <w:t>（3）投标文件中承诺的投标有效期少于招标文件中载明的投标有效期的；</w:t>
      </w:r>
    </w:p>
    <w:p w14:paraId="6F52FAA4">
      <w:pPr>
        <w:rPr>
          <w:rFonts w:ascii="仿宋" w:hAnsi="仿宋" w:cs="仿宋"/>
          <w:b/>
          <w:bCs/>
          <w:kern w:val="0"/>
        </w:rPr>
      </w:pPr>
      <w:r>
        <w:rPr>
          <w:rFonts w:hint="eastAsia" w:ascii="仿宋" w:hAnsi="仿宋" w:cs="仿宋"/>
          <w:b/>
          <w:bCs/>
          <w:kern w:val="0"/>
        </w:rPr>
        <w:t>（4）投标文件含有采购人不能接受的附加条件的；</w:t>
      </w:r>
    </w:p>
    <w:p w14:paraId="0F827823">
      <w:pPr>
        <w:rPr>
          <w:rFonts w:ascii="仿宋" w:hAnsi="仿宋" w:cs="仿宋"/>
          <w:b/>
          <w:bCs/>
          <w:kern w:val="0"/>
        </w:rPr>
      </w:pPr>
      <w:r>
        <w:rPr>
          <w:rFonts w:hint="eastAsia" w:ascii="仿宋" w:hAnsi="仿宋" w:cs="仿宋"/>
          <w:b/>
          <w:bCs/>
          <w:kern w:val="0"/>
        </w:rPr>
        <w:t>（5）投标文件出现不是唯一的、有选择性投标报价的;</w:t>
      </w:r>
    </w:p>
    <w:p w14:paraId="4EB5C4C3">
      <w:pPr>
        <w:rPr>
          <w:rFonts w:ascii="仿宋" w:hAnsi="仿宋" w:cs="仿宋"/>
          <w:b/>
          <w:bCs/>
          <w:kern w:val="0"/>
        </w:rPr>
      </w:pPr>
      <w:r>
        <w:rPr>
          <w:rFonts w:hint="eastAsia" w:ascii="仿宋" w:hAnsi="仿宋" w:cs="仿宋"/>
          <w:b/>
          <w:bCs/>
          <w:kern w:val="0"/>
        </w:rPr>
        <w:t>（6）投标报价</w:t>
      </w:r>
      <w:r>
        <w:rPr>
          <w:rFonts w:hint="eastAsia" w:ascii="仿宋" w:hAnsi="仿宋" w:cs="仿宋"/>
          <w:b/>
          <w:bCs/>
          <w:kern w:val="0"/>
          <w:lang w:val="en-US" w:eastAsia="zh-CN"/>
        </w:rPr>
        <w:t>未按照</w:t>
      </w:r>
      <w:r>
        <w:rPr>
          <w:rFonts w:hint="eastAsia" w:ascii="仿宋" w:hAnsi="仿宋" w:cs="仿宋"/>
          <w:b/>
          <w:bCs/>
          <w:kern w:val="0"/>
        </w:rPr>
        <w:t>招标文件规定</w:t>
      </w:r>
      <w:r>
        <w:rPr>
          <w:rFonts w:hint="eastAsia" w:ascii="仿宋" w:hAnsi="仿宋" w:cs="仿宋"/>
          <w:b/>
          <w:bCs/>
          <w:kern w:val="0"/>
          <w:lang w:val="en-US" w:eastAsia="zh-CN"/>
        </w:rPr>
        <w:t>格式</w:t>
      </w:r>
      <w:r>
        <w:rPr>
          <w:rFonts w:hint="eastAsia" w:ascii="仿宋" w:hAnsi="仿宋" w:cs="仿宋"/>
          <w:b/>
          <w:bCs/>
          <w:kern w:val="0"/>
        </w:rPr>
        <w:t>的;</w:t>
      </w:r>
    </w:p>
    <w:p w14:paraId="31673C75">
      <w:pPr>
        <w:rPr>
          <w:rFonts w:ascii="仿宋" w:hAnsi="仿宋" w:cs="仿宋"/>
          <w:b/>
          <w:bCs/>
          <w:kern w:val="0"/>
        </w:rPr>
      </w:pPr>
      <w:r>
        <w:rPr>
          <w:rFonts w:hint="eastAsia" w:ascii="仿宋" w:hAnsi="仿宋" w:cs="仿宋"/>
          <w:b/>
          <w:bCs/>
          <w:kern w:val="0"/>
        </w:rPr>
        <w:t>（7）投标人对根据修正原则修正后的报价不确认的；</w:t>
      </w:r>
    </w:p>
    <w:p w14:paraId="1A6E7916">
      <w:pPr>
        <w:rPr>
          <w:rFonts w:ascii="仿宋" w:hAnsi="仿宋" w:cs="仿宋"/>
          <w:b/>
          <w:bCs/>
          <w:kern w:val="0"/>
        </w:rPr>
      </w:pPr>
      <w:r>
        <w:rPr>
          <w:rFonts w:hint="eastAsia" w:ascii="仿宋" w:hAnsi="仿宋" w:cs="仿宋"/>
          <w:b/>
          <w:bCs/>
          <w:kern w:val="0"/>
        </w:rPr>
        <w:t>（8）投标人提供虚假材料投标的；</w:t>
      </w:r>
    </w:p>
    <w:p w14:paraId="501EB864">
      <w:pPr>
        <w:rPr>
          <w:rFonts w:ascii="仿宋" w:hAnsi="仿宋" w:cs="仿宋"/>
          <w:b/>
          <w:bCs/>
          <w:kern w:val="0"/>
        </w:rPr>
      </w:pPr>
      <w:r>
        <w:rPr>
          <w:rFonts w:hint="eastAsia" w:ascii="仿宋" w:hAnsi="仿宋" w:cs="仿宋"/>
          <w:b/>
          <w:bCs/>
          <w:kern w:val="0"/>
        </w:rPr>
        <w:t>（9）投标人有恶意串通、妨碍其他投标人的竞争行为、损害采购人或者其他投标人的合法权益情形的；</w:t>
      </w:r>
    </w:p>
    <w:p w14:paraId="31BC866A">
      <w:pPr>
        <w:rPr>
          <w:rFonts w:ascii="仿宋" w:hAnsi="仿宋" w:cs="仿宋"/>
          <w:b/>
          <w:bCs/>
          <w:kern w:val="0"/>
        </w:rPr>
      </w:pPr>
      <w:r>
        <w:rPr>
          <w:rFonts w:hint="eastAsia" w:ascii="仿宋" w:hAnsi="仿宋" w:cs="仿宋"/>
          <w:b/>
          <w:bCs/>
          <w:kern w:val="0"/>
        </w:rPr>
        <w:t>（10）投标人仅提交备份投标文件，没有在电子交易平台传输递交投标文件的；</w:t>
      </w:r>
    </w:p>
    <w:p w14:paraId="56D07CD8">
      <w:pPr>
        <w:rPr>
          <w:rFonts w:ascii="仿宋" w:hAnsi="仿宋" w:cs="仿宋"/>
          <w:b/>
          <w:bCs/>
          <w:kern w:val="0"/>
        </w:rPr>
      </w:pPr>
      <w:r>
        <w:rPr>
          <w:rFonts w:hint="eastAsia" w:ascii="仿宋" w:hAnsi="仿宋" w:cs="仿宋"/>
          <w:b/>
          <w:bCs/>
          <w:kern w:val="0"/>
        </w:rPr>
        <w:t>（11）投标文件不满足招标文件的其它实质性要求的；</w:t>
      </w:r>
    </w:p>
    <w:p w14:paraId="589409E0">
      <w:pPr>
        <w:rPr>
          <w:rFonts w:ascii="仿宋" w:hAnsi="仿宋" w:cs="仿宋"/>
          <w:b/>
          <w:bCs/>
          <w:kern w:val="0"/>
        </w:rPr>
      </w:pPr>
      <w:r>
        <w:rPr>
          <w:rFonts w:hint="eastAsia" w:ascii="仿宋" w:hAnsi="仿宋" w:cs="仿宋"/>
          <w:b/>
          <w:bCs/>
          <w:kern w:val="0"/>
        </w:rPr>
        <w:t>（12）法律、法规、规章及省级以上规范性文件规定的其他无效情形。</w:t>
      </w:r>
    </w:p>
    <w:p w14:paraId="478164FB">
      <w:pPr>
        <w:rPr>
          <w:rFonts w:ascii="仿宋" w:hAnsi="仿宋" w:cs="仿宋"/>
        </w:rPr>
      </w:pPr>
      <w:r>
        <w:rPr>
          <w:rFonts w:hint="eastAsia" w:ascii="仿宋" w:hAnsi="仿宋" w:cs="仿宋"/>
          <w:b/>
        </w:rPr>
        <w:t>5.废标。</w:t>
      </w:r>
      <w:r>
        <w:rPr>
          <w:rFonts w:hint="eastAsia" w:ascii="仿宋" w:hAnsi="仿宋" w:cs="仿宋"/>
        </w:rPr>
        <w:t>根据《中华人民共和国政府采购法》第三十六条之规定，在采购中，出现下列情形之一的，应予废标：</w:t>
      </w:r>
    </w:p>
    <w:p w14:paraId="1EDB815A">
      <w:pPr>
        <w:ind w:firstLine="480"/>
      </w:pPr>
      <w:r>
        <w:rPr>
          <w:rFonts w:hint="eastAsia"/>
        </w:rPr>
        <w:t>（1）符合专业条件的供应商或者对招标文件作实质响应的供应商不足3家的；</w:t>
      </w:r>
    </w:p>
    <w:p w14:paraId="4A586691">
      <w:pPr>
        <w:ind w:firstLine="480"/>
      </w:pPr>
      <w:r>
        <w:rPr>
          <w:rFonts w:hint="eastAsia"/>
        </w:rPr>
        <w:t>（2）出现影响采购公正的违法、违规行为的；</w:t>
      </w:r>
    </w:p>
    <w:p w14:paraId="3407D059">
      <w:pPr>
        <w:ind w:firstLine="480"/>
      </w:pPr>
      <w:r>
        <w:rPr>
          <w:rFonts w:hint="eastAsia"/>
        </w:rPr>
        <w:t>（3）投标人的报价均</w:t>
      </w:r>
      <w:r>
        <w:rPr>
          <w:rFonts w:hint="eastAsia"/>
          <w:lang w:val="en-US" w:eastAsia="zh-CN"/>
        </w:rPr>
        <w:t>未按招标文件的格式的</w:t>
      </w:r>
      <w:r>
        <w:rPr>
          <w:rFonts w:hint="eastAsia"/>
        </w:rPr>
        <w:t>；</w:t>
      </w:r>
    </w:p>
    <w:p w14:paraId="048944BE">
      <w:pPr>
        <w:ind w:firstLine="480"/>
      </w:pPr>
      <w:r>
        <w:rPr>
          <w:rFonts w:hint="eastAsia"/>
        </w:rPr>
        <w:t>（4）因重大变故，采购任务取消的。</w:t>
      </w:r>
    </w:p>
    <w:p w14:paraId="4977A68C">
      <w:pPr>
        <w:ind w:firstLine="480"/>
        <w:rPr>
          <w:rFonts w:ascii="仿宋" w:hAnsi="仿宋" w:cs="仿宋"/>
        </w:rPr>
      </w:pPr>
      <w:r>
        <w:rPr>
          <w:rFonts w:hint="eastAsia" w:ascii="仿宋" w:hAnsi="仿宋" w:cs="仿宋"/>
        </w:rPr>
        <w:t>废标后，采购代理机构应当将废标理由通知所有投标人。</w:t>
      </w:r>
    </w:p>
    <w:p w14:paraId="2D0F92A1">
      <w:pPr>
        <w:pStyle w:val="28"/>
        <w:snapToGrid w:val="0"/>
        <w:spacing w:line="360" w:lineRule="auto"/>
        <w:ind w:firstLine="590" w:firstLineChars="245"/>
        <w:rPr>
          <w:rFonts w:ascii="仿宋" w:hAnsi="仿宋" w:cs="仿宋"/>
        </w:rPr>
      </w:pPr>
      <w:r>
        <w:rPr>
          <w:rFonts w:hint="eastAsia" w:ascii="仿宋" w:hAnsi="仿宋" w:cs="仿宋"/>
          <w:b/>
        </w:rPr>
        <w:t>6.修改招标文件，重新组织采购活动。</w:t>
      </w:r>
      <w:r>
        <w:rPr>
          <w:rFonts w:hint="eastAsia" w:ascii="仿宋" w:hAnsi="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257EDF7">
      <w:pPr>
        <w:rPr>
          <w:rFonts w:ascii="仿宋" w:hAnsi="仿宋" w:cs="仿宋"/>
        </w:rPr>
      </w:pPr>
      <w:r>
        <w:rPr>
          <w:rFonts w:hint="eastAsia" w:ascii="仿宋" w:hAnsi="仿宋" w:cs="仿宋"/>
          <w:b/>
          <w:kern w:val="0"/>
        </w:rPr>
        <w:t>7.重新开展采购。</w:t>
      </w:r>
      <w:r>
        <w:rPr>
          <w:rFonts w:hint="eastAsia" w:ascii="仿宋" w:hAnsi="仿宋" w:cs="仿宋"/>
        </w:rPr>
        <w:t>有政府采购法第七十一条、第七十二条规定的违法行为之一，影响或者可能影响中标结果的，依照下列规定处理：</w:t>
      </w:r>
    </w:p>
    <w:p w14:paraId="3B086C13">
      <w:pPr>
        <w:ind w:firstLine="480"/>
        <w:rPr>
          <w:rFonts w:ascii="仿宋" w:hAnsi="仿宋" w:cs="仿宋"/>
        </w:rPr>
      </w:pPr>
      <w:r>
        <w:rPr>
          <w:rFonts w:hint="eastAsia" w:ascii="仿宋" w:hAnsi="仿宋" w:cs="仿宋"/>
        </w:rPr>
        <w:t>7.1未确定中标或者中标人的，终止本次政府采购活动，重新开展政府采购活动。</w:t>
      </w:r>
    </w:p>
    <w:p w14:paraId="6A513039">
      <w:pPr>
        <w:ind w:firstLine="480"/>
        <w:rPr>
          <w:rFonts w:ascii="仿宋" w:hAnsi="仿宋" w:cs="仿宋"/>
        </w:rPr>
      </w:pPr>
      <w:r>
        <w:rPr>
          <w:rFonts w:hint="eastAsia" w:ascii="仿宋" w:hAnsi="仿宋" w:cs="仿宋"/>
        </w:rPr>
        <w:t>7.2已确定中标或者中标人但尚未签订政府采购合同的，中标结果无效，从合格的中标候选人中另行确定中标或者中标人；没有合格的中标候选人的，重新开展政府采购活动。</w:t>
      </w:r>
    </w:p>
    <w:p w14:paraId="2602C196">
      <w:pPr>
        <w:ind w:firstLine="480"/>
        <w:rPr>
          <w:rFonts w:ascii="仿宋" w:hAnsi="仿宋" w:cs="仿宋"/>
        </w:rPr>
      </w:pPr>
      <w:r>
        <w:rPr>
          <w:rFonts w:hint="eastAsia" w:ascii="仿宋" w:hAnsi="仿宋" w:cs="仿宋"/>
        </w:rPr>
        <w:t>7.3政府采购合同已签订但尚未履行的，撤销合同，从合格的中标候选人中另行确定中标或者中标人；没有合格的中标候选人的，重新开展政府采购活动。</w:t>
      </w:r>
    </w:p>
    <w:p w14:paraId="3924C31A">
      <w:pPr>
        <w:ind w:firstLine="480"/>
        <w:rPr>
          <w:rFonts w:ascii="仿宋" w:hAnsi="仿宋" w:cs="仿宋"/>
        </w:rPr>
      </w:pPr>
      <w:r>
        <w:rPr>
          <w:rFonts w:hint="eastAsia" w:ascii="仿宋" w:hAnsi="仿宋" w:cs="仿宋"/>
        </w:rPr>
        <w:t>7.4政府采购合同已经履行，给采购人、供应商造成损失的，由责任人承担赔偿责任。</w:t>
      </w:r>
    </w:p>
    <w:p w14:paraId="15A95A5E">
      <w:pPr>
        <w:ind w:firstLine="480"/>
        <w:rPr>
          <w:rFonts w:ascii="仿宋" w:hAnsi="仿宋" w:cs="仿宋"/>
        </w:rPr>
      </w:pPr>
      <w:r>
        <w:rPr>
          <w:rFonts w:hint="eastAsia" w:ascii="仿宋" w:hAnsi="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29"/>
    <w:p w14:paraId="368AEDEC">
      <w:pPr>
        <w:ind w:firstLine="480"/>
        <w:rPr>
          <w:rFonts w:ascii="仿宋" w:hAnsi="仿宋" w:cs="仿宋"/>
        </w:rPr>
      </w:pPr>
      <w:bookmarkStart w:id="409" w:name="第五部分"/>
      <w:bookmarkStart w:id="410" w:name="_Toc86217003"/>
    </w:p>
    <w:p w14:paraId="2B4963A1">
      <w:pPr>
        <w:ind w:firstLine="480"/>
        <w:rPr>
          <w:rFonts w:ascii="仿宋" w:hAnsi="仿宋" w:cs="仿宋"/>
        </w:rPr>
      </w:pPr>
      <w:r>
        <w:rPr>
          <w:rFonts w:hint="eastAsia" w:ascii="仿宋" w:hAnsi="仿宋" w:cs="仿宋"/>
        </w:rPr>
        <w:br w:type="page"/>
      </w:r>
    </w:p>
    <w:p w14:paraId="410206B8">
      <w:pPr>
        <w:pStyle w:val="3"/>
        <w:bidi w:val="0"/>
        <w:jc w:val="center"/>
        <w:rPr>
          <w:rStyle w:val="288"/>
          <w:rFonts w:hint="eastAsia" w:ascii="仿宋" w:hAnsi="仿宋" w:cs="仿宋"/>
          <w:bCs/>
          <w:lang w:val="en-US" w:eastAsia="zh-CN" w:bidi="ar-SA"/>
        </w:rPr>
      </w:pPr>
      <w:bookmarkStart w:id="411" w:name="_Toc17524"/>
      <w:r>
        <w:rPr>
          <w:rStyle w:val="288"/>
          <w:rFonts w:hint="eastAsia" w:ascii="仿宋" w:hAnsi="仿宋" w:cs="仿宋"/>
          <w:bCs/>
          <w:lang w:val="en-US" w:eastAsia="zh-CN" w:bidi="ar-SA"/>
        </w:rPr>
        <w:t>第五部分 拟签订的合同文本</w:t>
      </w:r>
      <w:bookmarkEnd w:id="411"/>
    </w:p>
    <w:p w14:paraId="4C8ECB97">
      <w:pPr>
        <w:ind w:firstLine="480"/>
        <w:rPr>
          <w:rFonts w:ascii="仿宋" w:hAnsi="仿宋" w:cs="仿宋"/>
          <w:u w:val="single"/>
        </w:rPr>
      </w:pPr>
      <w:r>
        <w:rPr>
          <w:rFonts w:hint="eastAsia" w:ascii="仿宋" w:hAnsi="仿宋" w:cs="仿宋"/>
        </w:rPr>
        <w:t>合同编号：</w:t>
      </w:r>
      <w:r>
        <w:rPr>
          <w:rFonts w:hint="eastAsia" w:ascii="仿宋" w:hAnsi="仿宋" w:cs="仿宋"/>
          <w:u w:val="single"/>
        </w:rPr>
        <w:t xml:space="preserve">           </w:t>
      </w:r>
    </w:p>
    <w:p w14:paraId="661921FF">
      <w:pPr>
        <w:ind w:firstLine="480"/>
        <w:rPr>
          <w:rFonts w:ascii="仿宋" w:hAnsi="仿宋" w:cs="仿宋"/>
        </w:rPr>
      </w:pPr>
    </w:p>
    <w:p w14:paraId="4BBEF7D6">
      <w:pPr>
        <w:spacing w:line="480" w:lineRule="auto"/>
        <w:jc w:val="center"/>
        <w:rPr>
          <w:rFonts w:ascii="仿宋" w:hAnsi="仿宋" w:cs="仿宋"/>
          <w:b/>
        </w:rPr>
      </w:pPr>
    </w:p>
    <w:p w14:paraId="1FE8238F">
      <w:pPr>
        <w:spacing w:line="480" w:lineRule="auto"/>
        <w:ind w:firstLine="720"/>
        <w:jc w:val="center"/>
        <w:rPr>
          <w:sz w:val="36"/>
          <w:szCs w:val="36"/>
        </w:rPr>
      </w:pPr>
    </w:p>
    <w:p w14:paraId="626D8B21">
      <w:pPr>
        <w:spacing w:line="480" w:lineRule="auto"/>
        <w:ind w:firstLine="720"/>
        <w:jc w:val="center"/>
        <w:rPr>
          <w:rFonts w:ascii="仿宋" w:hAnsi="仿宋" w:cs="仿宋"/>
          <w:b/>
          <w:sz w:val="36"/>
          <w:szCs w:val="36"/>
        </w:rPr>
      </w:pPr>
      <w:r>
        <w:rPr>
          <w:rFonts w:hint="eastAsia"/>
          <w:sz w:val="36"/>
          <w:szCs w:val="36"/>
        </w:rPr>
        <w:t>政府采购合同参考范本</w:t>
      </w:r>
    </w:p>
    <w:p w14:paraId="3B344FD6">
      <w:pPr>
        <w:spacing w:line="480" w:lineRule="auto"/>
        <w:ind w:firstLine="723"/>
        <w:jc w:val="center"/>
        <w:rPr>
          <w:rFonts w:ascii="仿宋" w:hAnsi="仿宋" w:cs="仿宋"/>
          <w:b/>
          <w:sz w:val="36"/>
          <w:szCs w:val="36"/>
        </w:rPr>
      </w:pPr>
    </w:p>
    <w:p w14:paraId="68BF24CE">
      <w:pPr>
        <w:pStyle w:val="707"/>
        <w:ind w:left="480"/>
        <w:rPr>
          <w:rFonts w:ascii="仿宋" w:hAnsi="仿宋" w:cs="仿宋"/>
          <w:szCs w:val="24"/>
        </w:rPr>
      </w:pPr>
    </w:p>
    <w:p w14:paraId="2176436F">
      <w:pPr>
        <w:bidi w:val="0"/>
      </w:pPr>
    </w:p>
    <w:p w14:paraId="7BCAD321">
      <w:pPr>
        <w:pStyle w:val="707"/>
        <w:ind w:left="480"/>
        <w:rPr>
          <w:rFonts w:ascii="仿宋" w:hAnsi="仿宋" w:cs="仿宋"/>
          <w:szCs w:val="24"/>
        </w:rPr>
      </w:pPr>
    </w:p>
    <w:p w14:paraId="029CB22A">
      <w:pPr>
        <w:pStyle w:val="707"/>
        <w:ind w:left="480"/>
        <w:rPr>
          <w:rFonts w:ascii="仿宋" w:hAnsi="仿宋" w:cs="仿宋"/>
          <w:szCs w:val="24"/>
        </w:rPr>
      </w:pPr>
    </w:p>
    <w:p w14:paraId="4B2385C8">
      <w:pPr>
        <w:spacing w:before="120" w:line="22" w:lineRule="atLeast"/>
        <w:ind w:firstLine="480"/>
        <w:rPr>
          <w:rFonts w:ascii="仿宋" w:hAnsi="仿宋" w:cs="仿宋"/>
        </w:rPr>
      </w:pPr>
    </w:p>
    <w:p w14:paraId="727BF097">
      <w:pPr>
        <w:spacing w:before="120" w:line="22" w:lineRule="atLeast"/>
        <w:ind w:left="960" w:firstLine="480"/>
        <w:rPr>
          <w:rFonts w:ascii="仿宋" w:hAnsi="仿宋" w:cs="仿宋"/>
        </w:rPr>
      </w:pPr>
      <w:r>
        <w:rPr>
          <w:rFonts w:hint="eastAsia" w:ascii="仿宋" w:hAnsi="仿宋" w:cs="仿宋"/>
        </w:rPr>
        <w:t>项目名称：</w:t>
      </w:r>
      <w:r>
        <w:rPr>
          <w:rFonts w:hint="eastAsia" w:ascii="仿宋" w:hAnsi="仿宋" w:cs="仿宋"/>
          <w:u w:val="single"/>
        </w:rPr>
        <w:t xml:space="preserve">                                   </w:t>
      </w:r>
    </w:p>
    <w:p w14:paraId="5F1F9FB2">
      <w:pPr>
        <w:pStyle w:val="604"/>
        <w:spacing w:before="120" w:line="22" w:lineRule="atLeast"/>
        <w:ind w:firstLine="480"/>
        <w:rPr>
          <w:rFonts w:ascii="仿宋" w:hAnsi="仿宋" w:eastAsia="仿宋" w:cs="仿宋"/>
          <w:szCs w:val="24"/>
        </w:rPr>
      </w:pPr>
    </w:p>
    <w:p w14:paraId="09F851DD">
      <w:pPr>
        <w:pStyle w:val="604"/>
        <w:spacing w:before="120" w:line="22" w:lineRule="atLeast"/>
        <w:ind w:firstLine="480"/>
        <w:rPr>
          <w:rFonts w:ascii="仿宋" w:hAnsi="仿宋" w:eastAsia="仿宋" w:cs="仿宋"/>
          <w:szCs w:val="24"/>
        </w:rPr>
      </w:pPr>
    </w:p>
    <w:p w14:paraId="00D9F45A">
      <w:pPr>
        <w:ind w:firstLine="480"/>
        <w:rPr>
          <w:rFonts w:ascii="仿宋" w:hAnsi="仿宋" w:cs="仿宋"/>
        </w:rPr>
      </w:pPr>
    </w:p>
    <w:p w14:paraId="0E9ECD1C">
      <w:pPr>
        <w:ind w:firstLine="480"/>
        <w:rPr>
          <w:rFonts w:ascii="仿宋" w:hAnsi="仿宋" w:cs="仿宋"/>
        </w:rPr>
      </w:pPr>
    </w:p>
    <w:p w14:paraId="16651500">
      <w:pPr>
        <w:spacing w:before="120" w:line="22" w:lineRule="atLeast"/>
        <w:ind w:left="960" w:firstLine="480"/>
        <w:rPr>
          <w:rFonts w:ascii="仿宋" w:hAnsi="仿宋" w:cs="仿宋"/>
          <w:u w:val="single"/>
        </w:rPr>
      </w:pPr>
      <w:r>
        <w:rPr>
          <w:rFonts w:hint="eastAsia" w:ascii="仿宋" w:hAnsi="仿宋" w:cs="仿宋"/>
        </w:rPr>
        <w:t>甲方：</w:t>
      </w:r>
      <w:r>
        <w:rPr>
          <w:rFonts w:hint="eastAsia" w:ascii="仿宋" w:hAnsi="仿宋" w:cs="仿宋"/>
          <w:u w:val="single"/>
        </w:rPr>
        <w:t xml:space="preserve">                                       </w:t>
      </w:r>
    </w:p>
    <w:p w14:paraId="2CD79DBD">
      <w:pPr>
        <w:spacing w:before="120" w:line="22" w:lineRule="atLeast"/>
        <w:ind w:firstLine="480"/>
        <w:rPr>
          <w:rFonts w:ascii="仿宋" w:hAnsi="仿宋" w:cs="仿宋"/>
        </w:rPr>
      </w:pPr>
    </w:p>
    <w:p w14:paraId="2C435977">
      <w:pPr>
        <w:spacing w:before="120" w:line="22" w:lineRule="atLeast"/>
        <w:ind w:left="960" w:firstLine="480"/>
        <w:rPr>
          <w:rFonts w:ascii="仿宋" w:hAnsi="仿宋" w:cs="仿宋"/>
          <w:u w:val="single"/>
        </w:rPr>
      </w:pPr>
      <w:r>
        <w:rPr>
          <w:rFonts w:hint="eastAsia" w:ascii="仿宋" w:hAnsi="仿宋" w:cs="仿宋"/>
        </w:rPr>
        <w:t>乙方：</w:t>
      </w:r>
      <w:r>
        <w:rPr>
          <w:rFonts w:hint="eastAsia" w:ascii="仿宋" w:hAnsi="仿宋" w:cs="仿宋"/>
          <w:u w:val="single"/>
        </w:rPr>
        <w:t xml:space="preserve">                                       </w:t>
      </w:r>
    </w:p>
    <w:p w14:paraId="04E123A3">
      <w:pPr>
        <w:spacing w:before="120" w:line="22" w:lineRule="atLeast"/>
        <w:ind w:firstLine="480"/>
        <w:rPr>
          <w:rFonts w:ascii="仿宋" w:hAnsi="仿宋" w:cs="仿宋"/>
        </w:rPr>
      </w:pPr>
    </w:p>
    <w:p w14:paraId="2CEEB8B9">
      <w:pPr>
        <w:spacing w:before="120" w:line="22" w:lineRule="atLeast"/>
        <w:ind w:firstLine="960" w:firstLineChars="400"/>
        <w:rPr>
          <w:rFonts w:ascii="仿宋" w:hAnsi="仿宋" w:cs="仿宋"/>
          <w:u w:val="single"/>
        </w:rPr>
      </w:pPr>
      <w:r>
        <w:rPr>
          <w:rFonts w:hint="eastAsia" w:ascii="仿宋" w:hAnsi="仿宋" w:cs="仿宋"/>
        </w:rPr>
        <w:t>签订地：</w:t>
      </w:r>
      <w:r>
        <w:rPr>
          <w:rFonts w:hint="eastAsia" w:ascii="仿宋" w:hAnsi="仿宋" w:cs="仿宋"/>
          <w:u w:val="single"/>
        </w:rPr>
        <w:t xml:space="preserve">                                     </w:t>
      </w:r>
    </w:p>
    <w:p w14:paraId="2173EC01">
      <w:pPr>
        <w:spacing w:before="120" w:line="22" w:lineRule="atLeast"/>
        <w:ind w:firstLine="480"/>
        <w:rPr>
          <w:rFonts w:ascii="仿宋" w:hAnsi="仿宋" w:cs="仿宋"/>
        </w:rPr>
      </w:pPr>
    </w:p>
    <w:p w14:paraId="4A65822A">
      <w:pPr>
        <w:spacing w:before="120" w:line="22" w:lineRule="atLeast"/>
        <w:ind w:firstLine="960" w:firstLineChars="400"/>
        <w:rPr>
          <w:rFonts w:ascii="仿宋" w:hAnsi="仿宋" w:cs="仿宋"/>
        </w:rPr>
      </w:pPr>
      <w:r>
        <w:rPr>
          <w:rFonts w:hint="eastAsia" w:ascii="仿宋" w:hAnsi="仿宋" w:cs="仿宋"/>
        </w:rPr>
        <w:t>签订日期：</w:t>
      </w:r>
      <w:r>
        <w:rPr>
          <w:rFonts w:hint="eastAsia" w:ascii="仿宋" w:hAnsi="仿宋" w:cs="仿宋"/>
          <w:u w:val="single"/>
        </w:rPr>
        <w:t xml:space="preserve">               </w:t>
      </w:r>
      <w:r>
        <w:rPr>
          <w:rFonts w:hint="eastAsia" w:ascii="仿宋" w:hAnsi="仿宋" w:cs="仿宋"/>
        </w:rPr>
        <w:t>年</w:t>
      </w:r>
      <w:r>
        <w:rPr>
          <w:rFonts w:hint="eastAsia" w:ascii="仿宋" w:hAnsi="仿宋" w:cs="仿宋"/>
          <w:u w:val="single"/>
        </w:rPr>
        <w:t xml:space="preserve">       </w:t>
      </w:r>
      <w:r>
        <w:rPr>
          <w:rFonts w:hint="eastAsia" w:ascii="仿宋" w:hAnsi="仿宋" w:cs="仿宋"/>
        </w:rPr>
        <w:t>月</w:t>
      </w:r>
      <w:r>
        <w:rPr>
          <w:rFonts w:hint="eastAsia" w:ascii="仿宋" w:hAnsi="仿宋" w:cs="仿宋"/>
          <w:u w:val="single"/>
        </w:rPr>
        <w:t xml:space="preserve">       </w:t>
      </w:r>
      <w:r>
        <w:rPr>
          <w:rFonts w:hint="eastAsia" w:ascii="仿宋" w:hAnsi="仿宋" w:cs="仿宋"/>
        </w:rPr>
        <w:t>日</w:t>
      </w:r>
    </w:p>
    <w:p w14:paraId="746F5017">
      <w:pPr>
        <w:spacing w:before="120" w:line="22" w:lineRule="atLeast"/>
        <w:ind w:firstLine="960" w:firstLineChars="400"/>
        <w:rPr>
          <w:rFonts w:ascii="仿宋" w:hAnsi="仿宋" w:cs="仿宋"/>
        </w:rPr>
      </w:pPr>
    </w:p>
    <w:p w14:paraId="16B4D9BD">
      <w:pPr>
        <w:rPr>
          <w:rFonts w:hint="eastAsia" w:ascii="仿宋" w:hAnsi="仿宋" w:cs="仿宋"/>
          <w:u w:val="single"/>
          <w:lang w:val="zh-CN"/>
        </w:rPr>
      </w:pPr>
      <w:r>
        <w:rPr>
          <w:rFonts w:hint="eastAsia" w:ascii="仿宋" w:hAnsi="仿宋" w:cs="仿宋"/>
          <w:u w:val="single"/>
          <w:lang w:val="zh-CN"/>
        </w:rPr>
        <w:br w:type="page"/>
      </w:r>
    </w:p>
    <w:p w14:paraId="129AE53F">
      <w:pPr>
        <w:spacing w:line="560" w:lineRule="exact"/>
        <w:jc w:val="center"/>
        <w:rPr>
          <w:rFonts w:hint="eastAsia" w:ascii="仿宋" w:hAnsi="仿宋" w:eastAsia="仿宋" w:cs="仿宋"/>
          <w:sz w:val="28"/>
          <w:szCs w:val="28"/>
        </w:rPr>
      </w:pPr>
      <w:bookmarkStart w:id="412" w:name="_Toc331685783"/>
    </w:p>
    <w:p w14:paraId="65BEF30E">
      <w:pPr>
        <w:ind w:firstLine="480"/>
        <w:rPr>
          <w:rFonts w:ascii="仿宋" w:hAnsi="仿宋" w:cs="仿宋"/>
        </w:rPr>
      </w:pPr>
      <w:r>
        <w:rPr>
          <w:rFonts w:hint="eastAsia" w:ascii="仿宋" w:hAnsi="仿宋" w:cs="仿宋"/>
          <w:u w:val="single"/>
          <w:lang w:val="zh-CN"/>
        </w:rPr>
        <w:t xml:space="preserve">        </w:t>
      </w:r>
      <w:r>
        <w:rPr>
          <w:rFonts w:hint="eastAsia" w:ascii="仿宋" w:hAnsi="仿宋" w:cs="仿宋"/>
          <w:lang w:val="zh-CN"/>
        </w:rPr>
        <w:t>年</w:t>
      </w:r>
      <w:r>
        <w:rPr>
          <w:rFonts w:hint="eastAsia" w:ascii="仿宋" w:hAnsi="仿宋" w:cs="仿宋"/>
          <w:u w:val="single"/>
          <w:lang w:val="zh-CN"/>
        </w:rPr>
        <w:t xml:space="preserve">    </w:t>
      </w:r>
      <w:r>
        <w:rPr>
          <w:rFonts w:hint="eastAsia" w:ascii="仿宋" w:hAnsi="仿宋" w:cs="仿宋"/>
          <w:lang w:val="zh-CN"/>
        </w:rPr>
        <w:t>月</w:t>
      </w:r>
      <w:r>
        <w:rPr>
          <w:rFonts w:hint="eastAsia" w:ascii="仿宋" w:hAnsi="仿宋" w:cs="仿宋"/>
          <w:u w:val="single"/>
          <w:lang w:val="zh-CN"/>
        </w:rPr>
        <w:t xml:space="preserve">    </w:t>
      </w:r>
      <w:r>
        <w:rPr>
          <w:rFonts w:hint="eastAsia" w:ascii="仿宋" w:hAnsi="仿宋" w:cs="仿宋"/>
          <w:lang w:val="zh-CN"/>
        </w:rPr>
        <w:t>日</w:t>
      </w:r>
      <w:r>
        <w:rPr>
          <w:rFonts w:hint="eastAsia" w:ascii="仿宋" w:hAnsi="仿宋" w:cs="仿宋"/>
        </w:rPr>
        <w:t>，</w:t>
      </w:r>
      <w:r>
        <w:rPr>
          <w:rFonts w:hint="eastAsia" w:ascii="仿宋" w:hAnsi="仿宋" w:cs="仿宋"/>
          <w:u w:val="single"/>
        </w:rPr>
        <w:t xml:space="preserve">   （采购人）   </w:t>
      </w:r>
      <w:r>
        <w:rPr>
          <w:rFonts w:hint="eastAsia" w:ascii="仿宋" w:hAnsi="仿宋" w:cs="仿宋"/>
        </w:rPr>
        <w:t>以</w:t>
      </w:r>
      <w:r>
        <w:rPr>
          <w:rFonts w:hint="eastAsia" w:ascii="仿宋" w:hAnsi="仿宋" w:cs="仿宋"/>
          <w:u w:val="single"/>
        </w:rPr>
        <w:t xml:space="preserve"> </w:t>
      </w:r>
      <w:r>
        <w:rPr>
          <w:rFonts w:hint="eastAsia" w:ascii="仿宋" w:hAnsi="仿宋" w:cs="仿宋"/>
          <w:u w:val="single"/>
          <w:lang w:val="en-US" w:eastAsia="zh-CN"/>
        </w:rPr>
        <w:t>公开招标方式</w:t>
      </w:r>
      <w:r>
        <w:rPr>
          <w:rFonts w:hint="eastAsia" w:ascii="仿宋" w:hAnsi="仿宋" w:cs="仿宋"/>
          <w:u w:val="single"/>
        </w:rPr>
        <w:t xml:space="preserve"> </w:t>
      </w:r>
      <w:r>
        <w:rPr>
          <w:rFonts w:hint="eastAsia" w:ascii="仿宋" w:hAnsi="仿宋" w:cs="仿宋"/>
        </w:rPr>
        <w:t>对</w:t>
      </w:r>
      <w:r>
        <w:rPr>
          <w:rFonts w:hint="eastAsia" w:ascii="仿宋" w:hAnsi="仿宋" w:cs="仿宋"/>
          <w:u w:val="single"/>
        </w:rPr>
        <w:t xml:space="preserve">   （同前页项目名称）   </w:t>
      </w:r>
      <w:r>
        <w:rPr>
          <w:rFonts w:hint="eastAsia" w:ascii="仿宋" w:hAnsi="仿宋" w:cs="仿宋"/>
        </w:rPr>
        <w:t>项目进行了采购。经</w:t>
      </w:r>
      <w:r>
        <w:rPr>
          <w:rFonts w:hint="eastAsia" w:ascii="仿宋" w:hAnsi="仿宋" w:cs="仿宋"/>
          <w:u w:val="single"/>
        </w:rPr>
        <w:t xml:space="preserve"> </w:t>
      </w:r>
      <w:r>
        <w:rPr>
          <w:rFonts w:hint="eastAsia" w:ascii="仿宋" w:hAnsi="仿宋" w:cs="仿宋"/>
          <w:u w:val="single"/>
          <w:lang w:val="en-US" w:eastAsia="zh-CN"/>
        </w:rPr>
        <w:t>评标委员会</w:t>
      </w:r>
      <w:r>
        <w:rPr>
          <w:rFonts w:hint="eastAsia" w:ascii="仿宋" w:hAnsi="仿宋" w:cs="仿宋"/>
          <w:u w:val="single"/>
        </w:rPr>
        <w:t xml:space="preserve"> </w:t>
      </w:r>
      <w:r>
        <w:rPr>
          <w:rFonts w:hint="eastAsia" w:ascii="仿宋" w:hAnsi="仿宋" w:cs="仿宋"/>
        </w:rPr>
        <w:t>评定，</w:t>
      </w:r>
      <w:r>
        <w:rPr>
          <w:rFonts w:hint="eastAsia" w:ascii="仿宋" w:hAnsi="仿宋" w:cs="仿宋"/>
          <w:u w:val="single"/>
        </w:rPr>
        <w:t xml:space="preserve">   （</w:t>
      </w:r>
      <w:r>
        <w:rPr>
          <w:rFonts w:hint="eastAsia" w:ascii="仿宋" w:hAnsi="仿宋" w:cs="仿宋"/>
          <w:u w:val="single"/>
          <w:lang w:val="en-US" w:eastAsia="zh-CN"/>
        </w:rPr>
        <w:t>中标</w:t>
      </w:r>
      <w:r>
        <w:rPr>
          <w:rFonts w:hint="eastAsia" w:ascii="仿宋" w:hAnsi="仿宋" w:cs="仿宋"/>
          <w:u w:val="single"/>
        </w:rPr>
        <w:t>供应商名称）</w:t>
      </w:r>
      <w:r>
        <w:rPr>
          <w:rFonts w:hint="eastAsia" w:ascii="仿宋" w:hAnsi="仿宋" w:cs="仿宋"/>
        </w:rPr>
        <w:t>为该项目</w:t>
      </w:r>
      <w:r>
        <w:rPr>
          <w:rFonts w:hint="eastAsia" w:ascii="仿宋" w:hAnsi="仿宋" w:cs="仿宋"/>
          <w:lang w:val="en-US" w:eastAsia="zh-CN"/>
        </w:rPr>
        <w:t>中标</w:t>
      </w:r>
      <w:r>
        <w:rPr>
          <w:rFonts w:hint="eastAsia" w:ascii="仿宋" w:hAnsi="仿宋" w:cs="仿宋"/>
        </w:rPr>
        <w:t>供应商。现于</w:t>
      </w:r>
      <w:r>
        <w:rPr>
          <w:rFonts w:hint="eastAsia" w:ascii="仿宋" w:hAnsi="仿宋" w:cs="仿宋"/>
          <w:lang w:eastAsia="zh-CN"/>
        </w:rPr>
        <w:t>中标</w:t>
      </w:r>
      <w:r>
        <w:rPr>
          <w:rFonts w:hint="eastAsia" w:ascii="仿宋" w:hAnsi="仿宋" w:cs="仿宋"/>
        </w:rPr>
        <w:t>通知书发出之日起三十日内，按照采购文件确定的事项签订本合同。</w:t>
      </w:r>
    </w:p>
    <w:p w14:paraId="5E115DD8">
      <w:pPr>
        <w:ind w:firstLine="480"/>
        <w:rPr>
          <w:rFonts w:ascii="仿宋" w:hAnsi="仿宋" w:cs="仿宋"/>
        </w:rPr>
      </w:pPr>
      <w:r>
        <w:rPr>
          <w:rFonts w:hint="eastAsia" w:ascii="仿宋" w:hAnsi="仿宋" w:cs="仿宋"/>
          <w:lang w:val="zh-CN"/>
        </w:rPr>
        <w:t>根据《中华人民共和国民法典》等相关法律法规之规定，按照平等、自愿、公平、诚实信用和绿色的原则，经</w:t>
      </w:r>
      <w:r>
        <w:rPr>
          <w:rFonts w:hint="eastAsia" w:ascii="仿宋" w:hAnsi="仿宋" w:cs="仿宋"/>
          <w:u w:val="single"/>
        </w:rPr>
        <w:t xml:space="preserve">   （采购人）   </w:t>
      </w:r>
      <w:r>
        <w:rPr>
          <w:rFonts w:hint="eastAsia" w:ascii="仿宋" w:hAnsi="仿宋" w:cs="仿宋"/>
          <w:lang w:val="zh-CN"/>
        </w:rPr>
        <w:t>(以下简称：甲方)和</w:t>
      </w:r>
      <w:r>
        <w:rPr>
          <w:rFonts w:hint="eastAsia" w:ascii="仿宋" w:hAnsi="仿宋" w:cs="仿宋"/>
          <w:u w:val="single"/>
        </w:rPr>
        <w:t xml:space="preserve">   （</w:t>
      </w:r>
      <w:r>
        <w:rPr>
          <w:rFonts w:hint="eastAsia" w:ascii="仿宋" w:hAnsi="仿宋" w:cs="仿宋"/>
          <w:u w:val="single"/>
          <w:lang w:eastAsia="zh-CN"/>
        </w:rPr>
        <w:t>中标</w:t>
      </w:r>
      <w:r>
        <w:rPr>
          <w:rFonts w:hint="eastAsia" w:ascii="仿宋" w:hAnsi="仿宋" w:cs="仿宋"/>
          <w:u w:val="single"/>
        </w:rPr>
        <w:t xml:space="preserve">供应商名称）   </w:t>
      </w:r>
      <w:r>
        <w:rPr>
          <w:rFonts w:hint="eastAsia" w:ascii="仿宋" w:hAnsi="仿宋" w:cs="仿宋"/>
          <w:lang w:val="zh-CN"/>
        </w:rPr>
        <w:t>(以下简称：乙方)协商一致，约定以下合同</w:t>
      </w:r>
      <w:r>
        <w:rPr>
          <w:rFonts w:hint="eastAsia" w:ascii="仿宋" w:hAnsi="仿宋" w:cs="仿宋"/>
        </w:rPr>
        <w:t>条款，以兹共同遵守、全面履行。</w:t>
      </w:r>
    </w:p>
    <w:p w14:paraId="2480C286">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第一条  合同文件组成及解释顺序</w:t>
      </w:r>
    </w:p>
    <w:p w14:paraId="1A58394B">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下列文件一起组成本合同文件：</w:t>
      </w:r>
    </w:p>
    <w:p w14:paraId="21ACE44A">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（1）本采购合同及其补充协议（如有）；</w:t>
      </w:r>
    </w:p>
    <w:p w14:paraId="433FFD50">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cs="仿宋"/>
          <w:sz w:val="24"/>
          <w:szCs w:val="24"/>
          <w:lang w:val="en-US" w:eastAsia="zh-CN"/>
        </w:rPr>
        <w:t>中标</w:t>
      </w:r>
      <w:r>
        <w:rPr>
          <w:rFonts w:hint="eastAsia" w:ascii="仿宋" w:hAnsi="仿宋" w:eastAsia="仿宋" w:cs="仿宋"/>
          <w:sz w:val="24"/>
          <w:szCs w:val="24"/>
        </w:rPr>
        <w:t>通知书；</w:t>
      </w:r>
    </w:p>
    <w:p w14:paraId="05634400">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（3）招标文件及其修改、补充文件（如有）；</w:t>
      </w:r>
    </w:p>
    <w:p w14:paraId="4800814D">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（4）询标承诺、询疑答复（如有）；</w:t>
      </w:r>
    </w:p>
    <w:p w14:paraId="679BC999">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cs="仿宋"/>
          <w:sz w:val="24"/>
          <w:szCs w:val="24"/>
          <w:lang w:val="en-US" w:eastAsia="zh-CN"/>
        </w:rPr>
        <w:t>乙方投标</w:t>
      </w:r>
      <w:r>
        <w:rPr>
          <w:rFonts w:hint="eastAsia" w:ascii="仿宋" w:hAnsi="仿宋" w:eastAsia="仿宋" w:cs="仿宋"/>
          <w:sz w:val="24"/>
          <w:szCs w:val="24"/>
        </w:rPr>
        <w:t>文件及其补充文件；</w:t>
      </w:r>
    </w:p>
    <w:p w14:paraId="0DF391C3">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（6）双方来函</w:t>
      </w:r>
    </w:p>
    <w:p w14:paraId="3D8B4697">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14:paraId="423ED5DD">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 xml:space="preserve">第二条  </w:t>
      </w:r>
      <w:r>
        <w:rPr>
          <w:rFonts w:hint="eastAsia" w:ascii="仿宋" w:hAnsi="仿宋" w:eastAsia="仿宋" w:cs="仿宋"/>
          <w:sz w:val="24"/>
          <w:szCs w:val="24"/>
          <w:lang w:val="en-US" w:eastAsia="zh-CN"/>
        </w:rPr>
        <w:t>合同事项</w:t>
      </w:r>
    </w:p>
    <w:p w14:paraId="12840057">
      <w:pPr>
        <w:spacing w:line="560" w:lineRule="exact"/>
        <w:ind w:firstLine="480" w:firstLineChars="200"/>
        <w:jc w:val="left"/>
        <w:rPr>
          <w:rFonts w:hint="default" w:ascii="仿宋" w:hAnsi="仿宋" w:eastAsia="仿宋" w:cs="仿宋"/>
          <w:sz w:val="24"/>
          <w:szCs w:val="24"/>
          <w:lang w:val="en-US" w:eastAsia="zh-CN"/>
        </w:rPr>
      </w:pPr>
      <w:r>
        <w:rPr>
          <w:rFonts w:hint="eastAsia" w:ascii="仿宋" w:hAnsi="仿宋" w:cs="仿宋"/>
          <w:sz w:val="24"/>
          <w:szCs w:val="24"/>
          <w:lang w:val="en-US" w:eastAsia="zh-CN"/>
        </w:rPr>
        <w:t>按</w:t>
      </w:r>
      <w:r>
        <w:rPr>
          <w:rFonts w:hint="eastAsia" w:ascii="仿宋" w:hAnsi="仿宋" w:eastAsia="仿宋" w:cs="仿宋"/>
          <w:sz w:val="24"/>
          <w:szCs w:val="24"/>
          <w:lang w:val="en-US" w:eastAsia="zh-CN"/>
        </w:rPr>
        <w:t>采购需求</w:t>
      </w:r>
      <w:r>
        <w:rPr>
          <w:rFonts w:hint="eastAsia" w:ascii="仿宋" w:hAnsi="仿宋" w:cs="仿宋"/>
          <w:sz w:val="24"/>
          <w:szCs w:val="24"/>
          <w:lang w:val="en-US" w:eastAsia="zh-CN"/>
        </w:rPr>
        <w:t>。</w:t>
      </w:r>
    </w:p>
    <w:p w14:paraId="077B3DAF">
      <w:pPr>
        <w:spacing w:line="560" w:lineRule="exact"/>
        <w:ind w:firstLine="480" w:firstLineChars="200"/>
        <w:jc w:val="left"/>
        <w:rPr>
          <w:rFonts w:hint="eastAsia" w:ascii="仿宋" w:hAnsi="仿宋" w:eastAsia="仿宋" w:cs="仿宋"/>
          <w:sz w:val="24"/>
          <w:szCs w:val="24"/>
        </w:rPr>
      </w:pPr>
    </w:p>
    <w:p w14:paraId="3CA97F1C">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rPr>
        <w:t xml:space="preserve">第三条  </w:t>
      </w:r>
      <w:r>
        <w:rPr>
          <w:rFonts w:hint="eastAsia" w:ascii="仿宋" w:hAnsi="仿宋" w:eastAsia="仿宋" w:cs="仿宋"/>
          <w:sz w:val="24"/>
          <w:szCs w:val="24"/>
          <w:lang w:val="en-US" w:eastAsia="zh-CN"/>
        </w:rPr>
        <w:t>服务对象数量</w:t>
      </w:r>
    </w:p>
    <w:p w14:paraId="77984F6C">
      <w:pPr>
        <w:spacing w:line="560" w:lineRule="exact"/>
        <w:ind w:firstLine="480" w:firstLineChars="200"/>
        <w:jc w:val="left"/>
        <w:rPr>
          <w:rFonts w:hint="default"/>
          <w:sz w:val="24"/>
          <w:szCs w:val="24"/>
          <w:lang w:val="en-US" w:eastAsia="zh-CN"/>
        </w:rPr>
      </w:pPr>
      <w:r>
        <w:rPr>
          <w:rFonts w:hint="eastAsia"/>
          <w:sz w:val="24"/>
          <w:szCs w:val="24"/>
          <w:lang w:val="en-US" w:eastAsia="zh-CN"/>
        </w:rPr>
        <w:t>按采购需求。</w:t>
      </w:r>
    </w:p>
    <w:p w14:paraId="08BFA39C">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第四条  服务期限和地点</w:t>
      </w:r>
    </w:p>
    <w:p w14:paraId="177C67B2">
      <w:pPr>
        <w:spacing w:line="56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4.1</w:t>
      </w:r>
      <w:r>
        <w:rPr>
          <w:rFonts w:hint="eastAsia" w:ascii="仿宋" w:hAnsi="仿宋" w:eastAsia="仿宋" w:cs="仿宋"/>
          <w:sz w:val="24"/>
          <w:szCs w:val="24"/>
          <w:highlight w:val="none"/>
          <w:lang w:val="en-US" w:eastAsia="zh-CN"/>
        </w:rPr>
        <w:t>本合同</w:t>
      </w:r>
      <w:r>
        <w:rPr>
          <w:rFonts w:hint="eastAsia" w:ascii="仿宋" w:hAnsi="仿宋" w:cs="仿宋"/>
          <w:iCs/>
          <w:sz w:val="24"/>
          <w:szCs w:val="24"/>
          <w:highlight w:val="none"/>
          <w:lang w:val="en-US" w:eastAsia="zh-CN"/>
        </w:rPr>
        <w:t>服务期限为一年，一年期满后经甲方年度考核合格，双方协商一致，报相关主管部门备案，可续签下一年度合同，最多可续签二年。</w:t>
      </w:r>
    </w:p>
    <w:p w14:paraId="11925A27">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本合同服务期限自202</w:t>
      </w:r>
      <w:r>
        <w:rPr>
          <w:rFonts w:hint="eastAsia" w:ascii="仿宋" w:hAnsi="仿宋" w:cs="仿宋"/>
          <w:sz w:val="24"/>
          <w:szCs w:val="24"/>
          <w:highlight w:val="none"/>
          <w:lang w:val="en-US" w:eastAsia="zh-CN"/>
        </w:rPr>
        <w:t xml:space="preserve">  </w:t>
      </w:r>
      <w:r>
        <w:rPr>
          <w:rFonts w:hint="eastAsia" w:ascii="仿宋" w:hAnsi="仿宋" w:eastAsia="仿宋" w:cs="仿宋"/>
          <w:sz w:val="24"/>
          <w:szCs w:val="24"/>
          <w:highlight w:val="none"/>
          <w:lang w:val="en-US" w:eastAsia="zh-CN"/>
        </w:rPr>
        <w:t>年    月    日至202</w:t>
      </w:r>
      <w:r>
        <w:rPr>
          <w:rFonts w:hint="eastAsia" w:ascii="仿宋" w:hAnsi="仿宋" w:cs="仿宋"/>
          <w:sz w:val="24"/>
          <w:szCs w:val="24"/>
          <w:highlight w:val="none"/>
          <w:lang w:val="en-US" w:eastAsia="zh-CN"/>
        </w:rPr>
        <w:t xml:space="preserve">  </w:t>
      </w:r>
      <w:r>
        <w:rPr>
          <w:rFonts w:hint="eastAsia" w:ascii="仿宋" w:hAnsi="仿宋" w:eastAsia="仿宋" w:cs="仿宋"/>
          <w:sz w:val="24"/>
          <w:szCs w:val="24"/>
          <w:highlight w:val="none"/>
          <w:lang w:val="en-US" w:eastAsia="zh-CN"/>
        </w:rPr>
        <w:t>年   月   日。</w:t>
      </w:r>
    </w:p>
    <w:p w14:paraId="220CFD46">
      <w:pPr>
        <w:spacing w:line="560" w:lineRule="exact"/>
        <w:ind w:firstLine="480" w:firstLineChars="200"/>
        <w:jc w:val="left"/>
        <w:rPr>
          <w:rFonts w:hint="eastAsia" w:ascii="仿宋" w:hAnsi="仿宋" w:eastAsia="仿宋" w:cs="仿宋"/>
          <w:sz w:val="24"/>
          <w:szCs w:val="24"/>
          <w:highlight w:val="cyan"/>
          <w:lang w:val="en-US" w:eastAsia="zh-CN"/>
        </w:rPr>
      </w:pPr>
      <w:r>
        <w:rPr>
          <w:rFonts w:hint="eastAsia" w:ascii="仿宋" w:hAnsi="仿宋" w:eastAsia="仿宋" w:cs="仿宋"/>
          <w:sz w:val="24"/>
          <w:szCs w:val="24"/>
          <w:highlight w:val="none"/>
          <w:lang w:val="en-US" w:eastAsia="zh-CN"/>
        </w:rPr>
        <w:t>因甲方对乙方的考核不合格致使合同无法续签时，由乙方承担全部责任，与甲方无涉。</w:t>
      </w:r>
    </w:p>
    <w:p w14:paraId="0FA60913">
      <w:pPr>
        <w:spacing w:line="560" w:lineRule="exact"/>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4.2服务地点：</w:t>
      </w:r>
      <w:r>
        <w:rPr>
          <w:rFonts w:hint="eastAsia" w:ascii="仿宋" w:hAnsi="仿宋" w:eastAsia="仿宋" w:cs="仿宋"/>
          <w:sz w:val="24"/>
          <w:szCs w:val="24"/>
          <w:u w:val="single"/>
          <w:lang w:val="en-US" w:eastAsia="zh-CN"/>
        </w:rPr>
        <w:t xml:space="preserve">甲方指定地点 </w:t>
      </w:r>
      <w:r>
        <w:rPr>
          <w:rFonts w:hint="eastAsia" w:ascii="仿宋" w:hAnsi="仿宋" w:eastAsia="仿宋" w:cs="仿宋"/>
          <w:sz w:val="24"/>
          <w:szCs w:val="24"/>
          <w:lang w:val="en-US" w:eastAsia="zh-CN"/>
        </w:rPr>
        <w:t>。</w:t>
      </w:r>
    </w:p>
    <w:p w14:paraId="7D215798">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第五条  合同金额</w:t>
      </w:r>
      <w:r>
        <w:rPr>
          <w:rFonts w:hint="eastAsia" w:ascii="仿宋" w:hAnsi="仿宋" w:cs="仿宋"/>
          <w:sz w:val="24"/>
          <w:szCs w:val="24"/>
          <w:lang w:val="en-US" w:eastAsia="zh-CN"/>
        </w:rPr>
        <w:t>、</w:t>
      </w:r>
      <w:r>
        <w:rPr>
          <w:rFonts w:hint="eastAsia" w:ascii="仿宋" w:hAnsi="仿宋" w:eastAsia="仿宋" w:cs="仿宋"/>
          <w:sz w:val="24"/>
          <w:szCs w:val="24"/>
          <w:lang w:val="en-US" w:eastAsia="zh-CN"/>
        </w:rPr>
        <w:t>支付</w:t>
      </w:r>
    </w:p>
    <w:p w14:paraId="7F7FFE7C">
      <w:pPr>
        <w:spacing w:line="560" w:lineRule="exact"/>
        <w:ind w:firstLine="480" w:firstLineChars="200"/>
        <w:jc w:val="left"/>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w:t>
      </w:r>
      <w:r>
        <w:rPr>
          <w:rFonts w:hint="eastAsia" w:ascii="仿宋" w:hAnsi="仿宋" w:cs="仿宋"/>
          <w:sz w:val="24"/>
          <w:szCs w:val="24"/>
          <w:lang w:val="en-US" w:eastAsia="zh-CN"/>
        </w:rPr>
        <w:t>合同金额：本项目采用总价合同，合同金额为：人民币大写</w:t>
      </w:r>
      <w:r>
        <w:rPr>
          <w:rFonts w:hint="eastAsia" w:ascii="仿宋" w:hAnsi="仿宋" w:cs="仿宋"/>
          <w:sz w:val="24"/>
          <w:szCs w:val="24"/>
          <w:u w:val="single"/>
          <w:lang w:val="en-US" w:eastAsia="zh-CN"/>
        </w:rPr>
        <w:t xml:space="preserve">   </w:t>
      </w:r>
      <w:r>
        <w:rPr>
          <w:rFonts w:hint="eastAsia" w:ascii="仿宋" w:hAnsi="仿宋" w:cs="仿宋"/>
          <w:sz w:val="24"/>
          <w:szCs w:val="24"/>
          <w:u w:val="none"/>
          <w:lang w:val="en-US" w:eastAsia="zh-CN"/>
        </w:rPr>
        <w:t>元（￥</w:t>
      </w:r>
      <w:r>
        <w:rPr>
          <w:rFonts w:hint="eastAsia" w:ascii="仿宋" w:hAnsi="仿宋" w:cs="仿宋"/>
          <w:sz w:val="24"/>
          <w:szCs w:val="24"/>
          <w:u w:val="single"/>
          <w:lang w:val="en-US" w:eastAsia="zh-CN"/>
        </w:rPr>
        <w:t xml:space="preserve">              </w:t>
      </w:r>
      <w:r>
        <w:rPr>
          <w:rFonts w:hint="eastAsia" w:ascii="仿宋" w:hAnsi="仿宋" w:cs="仿宋"/>
          <w:sz w:val="24"/>
          <w:szCs w:val="24"/>
          <w:u w:val="none"/>
          <w:lang w:val="en-US" w:eastAsia="zh-CN"/>
        </w:rPr>
        <w:t>元）。</w:t>
      </w:r>
    </w:p>
    <w:p w14:paraId="3E96D6D8">
      <w:pPr>
        <w:spacing w:line="560" w:lineRule="exact"/>
        <w:ind w:firstLine="480" w:firstLineChars="200"/>
        <w:jc w:val="left"/>
        <w:rPr>
          <w:rFonts w:hint="default" w:ascii="仿宋" w:hAnsi="仿宋" w:cs="仿宋"/>
          <w:sz w:val="24"/>
          <w:szCs w:val="24"/>
          <w:lang w:val="en-US" w:eastAsia="zh-CN"/>
        </w:rPr>
      </w:pPr>
      <w:r>
        <w:rPr>
          <w:rFonts w:hint="eastAsia" w:ascii="仿宋" w:hAnsi="仿宋" w:cs="仿宋"/>
          <w:sz w:val="24"/>
          <w:szCs w:val="24"/>
          <w:lang w:val="en-US" w:eastAsia="zh-CN"/>
        </w:rPr>
        <w:t>（2）款项支付</w:t>
      </w:r>
    </w:p>
    <w:p w14:paraId="1017D4C9">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预付款：合同签订并具备实施条件后7个工作日内支付</w:t>
      </w:r>
      <w:r>
        <w:rPr>
          <w:rFonts w:hint="eastAsia" w:ascii="仿宋" w:hAnsi="仿宋" w:cs="仿宋"/>
          <w:sz w:val="24"/>
          <w:szCs w:val="24"/>
          <w:lang w:val="en-US" w:eastAsia="zh-CN"/>
        </w:rPr>
        <w:t>4</w:t>
      </w:r>
      <w:r>
        <w:rPr>
          <w:rFonts w:hint="eastAsia" w:ascii="仿宋" w:hAnsi="仿宋" w:eastAsia="仿宋" w:cs="仿宋"/>
          <w:sz w:val="24"/>
          <w:szCs w:val="24"/>
          <w:lang w:val="en-US" w:eastAsia="zh-CN"/>
        </w:rPr>
        <w:t>0%预付款（签订合同时，如</w:t>
      </w:r>
      <w:r>
        <w:rPr>
          <w:rFonts w:hint="eastAsia" w:ascii="仿宋" w:hAnsi="仿宋" w:cs="仿宋"/>
          <w:sz w:val="24"/>
          <w:szCs w:val="24"/>
          <w:lang w:val="en-US" w:eastAsia="zh-CN"/>
        </w:rPr>
        <w:t>乙方</w:t>
      </w:r>
      <w:r>
        <w:rPr>
          <w:rFonts w:hint="eastAsia" w:ascii="仿宋" w:hAnsi="仿宋" w:eastAsia="仿宋" w:cs="仿宋"/>
          <w:sz w:val="24"/>
          <w:szCs w:val="24"/>
          <w:lang w:val="en-US" w:eastAsia="zh-CN"/>
        </w:rPr>
        <w:t>明确无需预付款或要求降低预付款比例的，可以不适用本条款，</w:t>
      </w:r>
      <w:r>
        <w:rPr>
          <w:rFonts w:hint="eastAsia" w:ascii="仿宋" w:hAnsi="仿宋" w:cs="仿宋"/>
          <w:sz w:val="24"/>
          <w:szCs w:val="24"/>
          <w:lang w:val="en-US" w:eastAsia="zh-CN"/>
        </w:rPr>
        <w:t>乙方</w:t>
      </w:r>
      <w:r>
        <w:rPr>
          <w:rFonts w:hint="eastAsia" w:ascii="仿宋" w:hAnsi="仿宋" w:eastAsia="仿宋" w:cs="仿宋"/>
          <w:sz w:val="24"/>
          <w:szCs w:val="24"/>
          <w:lang w:val="en-US" w:eastAsia="zh-CN"/>
        </w:rPr>
        <w:t>在接收预付款前，应向</w:t>
      </w:r>
      <w:r>
        <w:rPr>
          <w:rFonts w:hint="eastAsia" w:ascii="仿宋" w:hAnsi="仿宋" w:cs="仿宋"/>
          <w:sz w:val="24"/>
          <w:szCs w:val="24"/>
          <w:lang w:val="en-US" w:eastAsia="zh-CN"/>
        </w:rPr>
        <w:t>甲方</w:t>
      </w:r>
      <w:r>
        <w:rPr>
          <w:rFonts w:hint="eastAsia" w:ascii="仿宋" w:hAnsi="仿宋" w:eastAsia="仿宋" w:cs="仿宋"/>
          <w:sz w:val="24"/>
          <w:szCs w:val="24"/>
          <w:lang w:val="en-US" w:eastAsia="zh-CN"/>
        </w:rPr>
        <w:t>提交银行、保险公司等金融机构出具的预付款保函）。</w:t>
      </w:r>
    </w:p>
    <w:p w14:paraId="097A1DE1">
      <w:pPr>
        <w:spacing w:line="560" w:lineRule="exact"/>
        <w:ind w:firstLine="480" w:firstLineChars="200"/>
        <w:jc w:val="left"/>
        <w:rPr>
          <w:rFonts w:hint="eastAsia" w:ascii="仿宋" w:hAnsi="仿宋" w:cs="仿宋"/>
          <w:sz w:val="24"/>
          <w:szCs w:val="24"/>
          <w:lang w:val="en-US" w:eastAsia="zh-CN"/>
        </w:rPr>
      </w:pPr>
      <w:r>
        <w:rPr>
          <w:rFonts w:hint="eastAsia" w:ascii="仿宋" w:hAnsi="仿宋" w:eastAsia="仿宋" w:cs="仿宋"/>
          <w:sz w:val="24"/>
          <w:szCs w:val="24"/>
          <w:lang w:val="en-US" w:eastAsia="zh-CN"/>
        </w:rPr>
        <w:t>余款：余款待</w:t>
      </w:r>
      <w:r>
        <w:rPr>
          <w:rFonts w:hint="eastAsia" w:ascii="仿宋" w:hAnsi="仿宋" w:cs="仿宋"/>
          <w:sz w:val="24"/>
          <w:szCs w:val="24"/>
          <w:lang w:val="en-US" w:eastAsia="zh-CN"/>
        </w:rPr>
        <w:t>甲方</w:t>
      </w:r>
      <w:r>
        <w:rPr>
          <w:rFonts w:hint="eastAsia" w:ascii="仿宋" w:hAnsi="仿宋" w:eastAsia="仿宋" w:cs="仿宋"/>
          <w:sz w:val="24"/>
          <w:szCs w:val="24"/>
          <w:lang w:val="en-US" w:eastAsia="zh-CN"/>
        </w:rPr>
        <w:t>考核合格后十个工作日内一次性付清。乙方应提供等额税务发票。</w:t>
      </w:r>
      <w:r>
        <w:rPr>
          <w:rFonts w:hint="eastAsia" w:ascii="仿宋" w:hAnsi="仿宋" w:cs="仿宋"/>
          <w:sz w:val="24"/>
          <w:szCs w:val="24"/>
          <w:lang w:val="en-US" w:eastAsia="zh-CN"/>
        </w:rPr>
        <w:t>如乙方考核未合格的，付款比例及考核得分约定如下：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3236"/>
        <w:gridCol w:w="3004"/>
        <w:gridCol w:w="2016"/>
      </w:tblGrid>
      <w:tr w14:paraId="76A7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3F6BEC6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序号</w:t>
            </w:r>
          </w:p>
        </w:tc>
        <w:tc>
          <w:tcPr>
            <w:tcW w:w="3254" w:type="dxa"/>
          </w:tcPr>
          <w:p w14:paraId="1E4207F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考核得分</w:t>
            </w:r>
          </w:p>
        </w:tc>
        <w:tc>
          <w:tcPr>
            <w:tcW w:w="3019" w:type="dxa"/>
          </w:tcPr>
          <w:p w14:paraId="0C089C7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付款比例</w:t>
            </w:r>
          </w:p>
        </w:tc>
        <w:tc>
          <w:tcPr>
            <w:tcW w:w="2026" w:type="dxa"/>
          </w:tcPr>
          <w:p w14:paraId="48CAC4C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备注</w:t>
            </w:r>
          </w:p>
        </w:tc>
      </w:tr>
      <w:tr w14:paraId="2DA1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4296E72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1</w:t>
            </w:r>
          </w:p>
        </w:tc>
        <w:tc>
          <w:tcPr>
            <w:tcW w:w="3254" w:type="dxa"/>
          </w:tcPr>
          <w:p w14:paraId="1C2C7C73">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sz w:val="24"/>
                <w:szCs w:val="24"/>
                <w:vertAlign w:val="baseline"/>
                <w:lang w:val="en-US" w:eastAsia="zh-CN"/>
              </w:rPr>
            </w:pPr>
            <w:r>
              <w:rPr>
                <w:rFonts w:hint="eastAsia"/>
                <w:sz w:val="24"/>
                <w:szCs w:val="24"/>
                <w:lang w:val="en-US" w:eastAsia="zh-CN"/>
              </w:rPr>
              <w:t>90分</w:t>
            </w:r>
            <w:r>
              <w:rPr>
                <w:rFonts w:hint="eastAsia" w:ascii="仿宋" w:hAnsi="仿宋" w:eastAsia="仿宋" w:cs="仿宋"/>
                <w:sz w:val="24"/>
                <w:szCs w:val="24"/>
                <w:lang w:val="en-US" w:eastAsia="zh-CN"/>
              </w:rPr>
              <w:t>＞</w:t>
            </w:r>
            <w:r>
              <w:rPr>
                <w:rFonts w:hint="eastAsia"/>
                <w:sz w:val="24"/>
                <w:szCs w:val="24"/>
                <w:lang w:val="en-US" w:eastAsia="zh-CN"/>
              </w:rPr>
              <w:t>考核得分</w:t>
            </w:r>
            <w:r>
              <w:rPr>
                <w:rFonts w:hint="eastAsia" w:ascii="仿宋" w:hAnsi="仿宋" w:eastAsia="仿宋" w:cs="仿宋"/>
                <w:sz w:val="24"/>
                <w:szCs w:val="24"/>
                <w:lang w:val="en-US" w:eastAsia="zh-CN"/>
              </w:rPr>
              <w:t>≥</w:t>
            </w:r>
            <w:r>
              <w:rPr>
                <w:rFonts w:hint="eastAsia" w:ascii="仿宋" w:hAnsi="仿宋" w:cs="仿宋"/>
                <w:sz w:val="24"/>
                <w:szCs w:val="24"/>
                <w:lang w:val="en-US" w:eastAsia="zh-CN"/>
              </w:rPr>
              <w:t>80分</w:t>
            </w:r>
          </w:p>
        </w:tc>
        <w:tc>
          <w:tcPr>
            <w:tcW w:w="3019" w:type="dxa"/>
          </w:tcPr>
          <w:p w14:paraId="299CB542">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sz w:val="24"/>
                <w:szCs w:val="24"/>
                <w:vertAlign w:val="baseline"/>
                <w:lang w:val="en-US" w:eastAsia="zh-CN"/>
              </w:rPr>
            </w:pPr>
            <w:r>
              <w:rPr>
                <w:rFonts w:hint="eastAsia"/>
                <w:sz w:val="24"/>
                <w:szCs w:val="24"/>
                <w:vertAlign w:val="baseline"/>
                <w:lang w:val="en-US" w:eastAsia="zh-CN"/>
              </w:rPr>
              <w:t>按合同金额90%支付</w:t>
            </w:r>
          </w:p>
        </w:tc>
        <w:tc>
          <w:tcPr>
            <w:tcW w:w="2026" w:type="dxa"/>
          </w:tcPr>
          <w:p w14:paraId="4289F3A8">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sz w:val="24"/>
                <w:szCs w:val="24"/>
                <w:vertAlign w:val="baseline"/>
                <w:lang w:val="en-US" w:eastAsia="zh-CN"/>
              </w:rPr>
            </w:pPr>
          </w:p>
        </w:tc>
      </w:tr>
      <w:tr w14:paraId="574C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39725AF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3254" w:type="dxa"/>
            <w:shd w:val="clear" w:color="auto" w:fill="auto"/>
          </w:tcPr>
          <w:p w14:paraId="3DA1A905">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仿宋" w:cs="Times New Roman"/>
                <w:kern w:val="2"/>
                <w:sz w:val="24"/>
                <w:szCs w:val="24"/>
                <w:vertAlign w:val="baseline"/>
                <w:lang w:val="en-US" w:eastAsia="zh-CN" w:bidi="ar-SA"/>
              </w:rPr>
            </w:pPr>
            <w:r>
              <w:rPr>
                <w:rFonts w:hint="eastAsia"/>
                <w:sz w:val="24"/>
                <w:szCs w:val="24"/>
                <w:lang w:val="en-US" w:eastAsia="zh-CN"/>
              </w:rPr>
              <w:t>80分</w:t>
            </w:r>
            <w:r>
              <w:rPr>
                <w:rFonts w:hint="eastAsia" w:ascii="仿宋" w:hAnsi="仿宋" w:eastAsia="仿宋" w:cs="仿宋"/>
                <w:sz w:val="24"/>
                <w:szCs w:val="24"/>
                <w:lang w:val="en-US" w:eastAsia="zh-CN"/>
              </w:rPr>
              <w:t>＞</w:t>
            </w:r>
            <w:r>
              <w:rPr>
                <w:rFonts w:hint="eastAsia"/>
                <w:sz w:val="24"/>
                <w:szCs w:val="24"/>
                <w:lang w:val="en-US" w:eastAsia="zh-CN"/>
              </w:rPr>
              <w:t>考核得分</w:t>
            </w:r>
            <w:r>
              <w:rPr>
                <w:rFonts w:hint="eastAsia" w:ascii="仿宋" w:hAnsi="仿宋" w:eastAsia="仿宋" w:cs="仿宋"/>
                <w:sz w:val="24"/>
                <w:szCs w:val="24"/>
                <w:lang w:val="en-US" w:eastAsia="zh-CN"/>
              </w:rPr>
              <w:t>≥</w:t>
            </w:r>
            <w:r>
              <w:rPr>
                <w:rFonts w:hint="eastAsia" w:ascii="仿宋" w:hAnsi="仿宋" w:cs="仿宋"/>
                <w:sz w:val="24"/>
                <w:szCs w:val="24"/>
                <w:lang w:val="en-US" w:eastAsia="zh-CN"/>
              </w:rPr>
              <w:t>70分</w:t>
            </w:r>
          </w:p>
        </w:tc>
        <w:tc>
          <w:tcPr>
            <w:tcW w:w="3019" w:type="dxa"/>
            <w:shd w:val="clear" w:color="auto" w:fill="auto"/>
          </w:tcPr>
          <w:p w14:paraId="31C37761">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仿宋" w:cs="Times New Roman"/>
                <w:kern w:val="2"/>
                <w:sz w:val="24"/>
                <w:szCs w:val="24"/>
                <w:vertAlign w:val="baseline"/>
                <w:lang w:val="en-US" w:eastAsia="zh-CN" w:bidi="ar-SA"/>
              </w:rPr>
            </w:pPr>
            <w:r>
              <w:rPr>
                <w:rFonts w:hint="eastAsia"/>
                <w:sz w:val="24"/>
                <w:szCs w:val="24"/>
                <w:vertAlign w:val="baseline"/>
                <w:lang w:val="en-US" w:eastAsia="zh-CN"/>
              </w:rPr>
              <w:t>按合同金额80%支付</w:t>
            </w:r>
          </w:p>
        </w:tc>
        <w:tc>
          <w:tcPr>
            <w:tcW w:w="2026" w:type="dxa"/>
          </w:tcPr>
          <w:p w14:paraId="0A3DCFA1">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sz w:val="24"/>
                <w:szCs w:val="24"/>
                <w:vertAlign w:val="baseline"/>
                <w:lang w:val="en-US" w:eastAsia="zh-CN"/>
              </w:rPr>
            </w:pPr>
          </w:p>
        </w:tc>
      </w:tr>
      <w:tr w14:paraId="104F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529149E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3</w:t>
            </w:r>
          </w:p>
        </w:tc>
        <w:tc>
          <w:tcPr>
            <w:tcW w:w="3254" w:type="dxa"/>
            <w:shd w:val="clear" w:color="auto" w:fill="auto"/>
          </w:tcPr>
          <w:p w14:paraId="45CA8BF6">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仿宋" w:cs="Times New Roman"/>
                <w:kern w:val="2"/>
                <w:sz w:val="24"/>
                <w:szCs w:val="24"/>
                <w:vertAlign w:val="baseline"/>
                <w:lang w:val="en-US" w:eastAsia="zh-CN" w:bidi="ar-SA"/>
              </w:rPr>
            </w:pPr>
            <w:r>
              <w:rPr>
                <w:rFonts w:hint="eastAsia"/>
                <w:sz w:val="24"/>
                <w:szCs w:val="24"/>
                <w:lang w:val="en-US" w:eastAsia="zh-CN"/>
              </w:rPr>
              <w:t>70分</w:t>
            </w:r>
            <w:r>
              <w:rPr>
                <w:rFonts w:hint="eastAsia" w:ascii="仿宋" w:hAnsi="仿宋" w:eastAsia="仿宋" w:cs="仿宋"/>
                <w:sz w:val="24"/>
                <w:szCs w:val="24"/>
                <w:lang w:val="en-US" w:eastAsia="zh-CN"/>
              </w:rPr>
              <w:t>＞</w:t>
            </w:r>
            <w:r>
              <w:rPr>
                <w:rFonts w:hint="eastAsia"/>
                <w:sz w:val="24"/>
                <w:szCs w:val="24"/>
                <w:lang w:val="en-US" w:eastAsia="zh-CN"/>
              </w:rPr>
              <w:t>考核得分</w:t>
            </w:r>
            <w:r>
              <w:rPr>
                <w:rFonts w:hint="eastAsia" w:ascii="仿宋" w:hAnsi="仿宋" w:eastAsia="仿宋" w:cs="仿宋"/>
                <w:sz w:val="24"/>
                <w:szCs w:val="24"/>
                <w:lang w:val="en-US" w:eastAsia="zh-CN"/>
              </w:rPr>
              <w:t>≥</w:t>
            </w:r>
            <w:r>
              <w:rPr>
                <w:rFonts w:hint="eastAsia" w:ascii="仿宋" w:hAnsi="仿宋" w:cs="仿宋"/>
                <w:sz w:val="24"/>
                <w:szCs w:val="24"/>
                <w:lang w:val="en-US" w:eastAsia="zh-CN"/>
              </w:rPr>
              <w:t>60分</w:t>
            </w:r>
          </w:p>
        </w:tc>
        <w:tc>
          <w:tcPr>
            <w:tcW w:w="3019" w:type="dxa"/>
            <w:shd w:val="clear" w:color="auto" w:fill="auto"/>
          </w:tcPr>
          <w:p w14:paraId="0E0F95C7">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仿宋" w:cs="Times New Roman"/>
                <w:kern w:val="2"/>
                <w:sz w:val="24"/>
                <w:szCs w:val="24"/>
                <w:vertAlign w:val="baseline"/>
                <w:lang w:val="en-US" w:eastAsia="zh-CN" w:bidi="ar-SA"/>
              </w:rPr>
            </w:pPr>
            <w:r>
              <w:rPr>
                <w:rFonts w:hint="eastAsia"/>
                <w:sz w:val="24"/>
                <w:szCs w:val="24"/>
                <w:vertAlign w:val="baseline"/>
                <w:lang w:val="en-US" w:eastAsia="zh-CN"/>
              </w:rPr>
              <w:t>按合同金额65%支付</w:t>
            </w:r>
          </w:p>
        </w:tc>
        <w:tc>
          <w:tcPr>
            <w:tcW w:w="2026" w:type="dxa"/>
          </w:tcPr>
          <w:p w14:paraId="3BE4ACFB">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sz w:val="24"/>
                <w:szCs w:val="24"/>
                <w:vertAlign w:val="baseline"/>
                <w:lang w:val="en-US" w:eastAsia="zh-CN"/>
              </w:rPr>
            </w:pPr>
          </w:p>
        </w:tc>
      </w:tr>
      <w:tr w14:paraId="37D4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147E2F4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4</w:t>
            </w:r>
          </w:p>
        </w:tc>
        <w:tc>
          <w:tcPr>
            <w:tcW w:w="3254" w:type="dxa"/>
            <w:shd w:val="clear" w:color="auto" w:fill="auto"/>
          </w:tcPr>
          <w:p w14:paraId="503E720C">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仿宋" w:cs="Times New Roman"/>
                <w:kern w:val="2"/>
                <w:sz w:val="24"/>
                <w:szCs w:val="24"/>
                <w:vertAlign w:val="baseline"/>
                <w:lang w:val="en-US" w:eastAsia="zh-CN" w:bidi="ar-SA"/>
              </w:rPr>
            </w:pPr>
            <w:r>
              <w:rPr>
                <w:rFonts w:hint="eastAsia"/>
                <w:sz w:val="24"/>
                <w:szCs w:val="24"/>
                <w:lang w:val="en-US" w:eastAsia="zh-CN"/>
              </w:rPr>
              <w:t>考核得分</w:t>
            </w:r>
            <w:r>
              <w:rPr>
                <w:rFonts w:hint="eastAsia" w:ascii="仿宋" w:hAnsi="仿宋" w:eastAsia="仿宋" w:cs="仿宋"/>
                <w:sz w:val="24"/>
                <w:szCs w:val="24"/>
                <w:lang w:val="en-US" w:eastAsia="zh-CN"/>
              </w:rPr>
              <w:t>＜</w:t>
            </w:r>
            <w:r>
              <w:rPr>
                <w:rFonts w:hint="eastAsia" w:ascii="仿宋" w:hAnsi="仿宋" w:cs="仿宋"/>
                <w:sz w:val="24"/>
                <w:szCs w:val="24"/>
                <w:lang w:val="en-US" w:eastAsia="zh-CN"/>
              </w:rPr>
              <w:t>60分</w:t>
            </w:r>
          </w:p>
        </w:tc>
        <w:tc>
          <w:tcPr>
            <w:tcW w:w="3019" w:type="dxa"/>
            <w:shd w:val="clear" w:color="auto" w:fill="auto"/>
          </w:tcPr>
          <w:p w14:paraId="14099332">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仿宋" w:cs="Times New Roman"/>
                <w:kern w:val="2"/>
                <w:sz w:val="24"/>
                <w:szCs w:val="24"/>
                <w:vertAlign w:val="baseline"/>
                <w:lang w:val="en-US" w:eastAsia="zh-CN" w:bidi="ar-SA"/>
              </w:rPr>
            </w:pPr>
            <w:r>
              <w:rPr>
                <w:rFonts w:hint="eastAsia"/>
                <w:sz w:val="24"/>
                <w:szCs w:val="24"/>
                <w:vertAlign w:val="baseline"/>
                <w:lang w:val="en-US" w:eastAsia="zh-CN"/>
              </w:rPr>
              <w:t>按合同金额40%支付</w:t>
            </w:r>
          </w:p>
        </w:tc>
        <w:tc>
          <w:tcPr>
            <w:tcW w:w="2026" w:type="dxa"/>
          </w:tcPr>
          <w:p w14:paraId="13FF823D">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sz w:val="24"/>
                <w:szCs w:val="24"/>
                <w:vertAlign w:val="baseline"/>
                <w:lang w:val="en-US" w:eastAsia="zh-CN"/>
              </w:rPr>
            </w:pPr>
          </w:p>
        </w:tc>
      </w:tr>
    </w:tbl>
    <w:p w14:paraId="3F039821">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（3）特殊情形</w:t>
      </w:r>
    </w:p>
    <w:p w14:paraId="090455FD">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A、在项目实施前三天内采购人因故取消或未参与的，视为已完成该项服务；</w:t>
      </w:r>
    </w:p>
    <w:p w14:paraId="336D6919">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B、实施方案未经采购人确认或采购人未同意实施的，视为未提供此项服务。</w:t>
      </w:r>
    </w:p>
    <w:p w14:paraId="1FF4B14B">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第六条  考核</w:t>
      </w:r>
    </w:p>
    <w:p w14:paraId="166F8DC7">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服务期结束前，甲方对乙方的履约情况进行总体考核，考核结果作为续签合同和支付余款的依据，考核结果得分在90分以上的视为考核合格，可以续签下一年合同，全额支付余款。具体考核标准如下：</w:t>
      </w:r>
    </w:p>
    <w:p w14:paraId="7617C1CB">
      <w:pPr>
        <w:spacing w:line="560" w:lineRule="exact"/>
        <w:ind w:firstLine="480" w:firstLineChars="200"/>
        <w:jc w:val="left"/>
        <w:rPr>
          <w:rFonts w:hint="default" w:ascii="仿宋" w:hAnsi="仿宋" w:eastAsia="仿宋" w:cs="仿宋"/>
          <w:sz w:val="24"/>
          <w:szCs w:val="24"/>
          <w:lang w:val="en-US" w:eastAsia="zh-CN"/>
        </w:rPr>
      </w:pPr>
      <w:r>
        <w:rPr>
          <w:rFonts w:hint="eastAsia" w:ascii="仿宋" w:hAnsi="仿宋" w:cs="仿宋"/>
          <w:sz w:val="24"/>
          <w:szCs w:val="24"/>
          <w:lang w:val="en-US" w:eastAsia="zh-CN"/>
        </w:rPr>
        <w:t>附：</w:t>
      </w:r>
      <w:r>
        <w:rPr>
          <w:rFonts w:hint="eastAsia" w:ascii="仿宋" w:hAnsi="仿宋" w:eastAsia="仿宋" w:cs="仿宋"/>
          <w:sz w:val="24"/>
          <w:szCs w:val="24"/>
          <w:lang w:val="en-US" w:eastAsia="zh-CN"/>
        </w:rPr>
        <w:t>年度考核表</w:t>
      </w:r>
      <w:r>
        <w:rPr>
          <w:rFonts w:hint="eastAsia" w:ascii="仿宋" w:hAnsi="仿宋" w:cs="仿宋"/>
          <w:sz w:val="24"/>
          <w:szCs w:val="24"/>
          <w:lang w:val="en-US" w:eastAsia="zh-CN"/>
        </w:rPr>
        <w:t>（此略）</w:t>
      </w:r>
    </w:p>
    <w:p w14:paraId="4CA1453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第七条  履约保证</w:t>
      </w:r>
    </w:p>
    <w:p w14:paraId="0309585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本项目不需要提交履约保证金</w:t>
      </w:r>
      <w:r>
        <w:rPr>
          <w:rFonts w:hint="eastAsia" w:ascii="仿宋" w:hAnsi="仿宋" w:eastAsia="仿宋" w:cs="仿宋"/>
          <w:sz w:val="24"/>
          <w:szCs w:val="24"/>
          <w:lang w:val="en-US" w:eastAsia="zh-CN"/>
        </w:rPr>
        <w:t>。</w:t>
      </w:r>
    </w:p>
    <w:p w14:paraId="73F3DE0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第八条  违约责任</w:t>
      </w:r>
    </w:p>
    <w:p w14:paraId="623EBA1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1、除不可抗力外，如果乙方没有按照本合同约定的期限、地点和方式提供服务，那么甲方可要求乙方支付违约金，违约金按每迟延提供服务一日的应支付合同总价格的</w:t>
      </w:r>
      <w:r>
        <w:rPr>
          <w:rFonts w:hint="eastAsia" w:ascii="仿宋" w:hAnsi="仿宋" w:eastAsia="仿宋" w:cs="仿宋"/>
          <w:sz w:val="24"/>
          <w:szCs w:val="24"/>
          <w:u w:val="single"/>
          <w:lang w:val="en-US" w:eastAsia="zh-CN"/>
        </w:rPr>
        <w:t xml:space="preserve">  0.5  </w:t>
      </w:r>
      <w:r>
        <w:rPr>
          <w:rFonts w:hint="eastAsia" w:ascii="仿宋" w:hAnsi="仿宋" w:eastAsia="仿宋" w:cs="仿宋"/>
          <w:sz w:val="24"/>
          <w:szCs w:val="24"/>
          <w:lang w:val="en-US" w:eastAsia="zh-CN"/>
        </w:rPr>
        <w:t>%计算，最高限额为本合同总价的</w:t>
      </w:r>
      <w:r>
        <w:rPr>
          <w:rFonts w:hint="eastAsia" w:ascii="仿宋" w:hAnsi="仿宋" w:eastAsia="仿宋" w:cs="仿宋"/>
          <w:sz w:val="24"/>
          <w:szCs w:val="24"/>
          <w:u w:val="single"/>
          <w:lang w:val="en-US" w:eastAsia="zh-CN"/>
        </w:rPr>
        <w:t xml:space="preserve"> 20 </w:t>
      </w:r>
      <w:r>
        <w:rPr>
          <w:rFonts w:hint="eastAsia" w:ascii="仿宋" w:hAnsi="仿宋" w:eastAsia="仿宋" w:cs="仿宋"/>
          <w:sz w:val="24"/>
          <w:szCs w:val="24"/>
          <w:lang w:val="en-US" w:eastAsia="zh-CN"/>
        </w:rPr>
        <w:t>%；迟延提供服务的违约金计算数额达到前述最高限额之日起，甲方有权在要求乙方支付违约金的同时，书面通知乙方解除本合同；</w:t>
      </w:r>
    </w:p>
    <w:p w14:paraId="744BE1E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2、除不可抗力外，如在服务过程中乙方擅自中止或终止合同的，那么甲方可要求乙方支付违约金，违约金金额为本合同总价的</w:t>
      </w:r>
      <w:r>
        <w:rPr>
          <w:rFonts w:hint="eastAsia" w:ascii="仿宋" w:hAnsi="仿宋" w:eastAsia="仿宋" w:cs="仿宋"/>
          <w:sz w:val="24"/>
          <w:szCs w:val="24"/>
          <w:u w:val="single"/>
          <w:lang w:val="en-US" w:eastAsia="zh-CN"/>
        </w:rPr>
        <w:t xml:space="preserve"> 20 </w:t>
      </w:r>
      <w:r>
        <w:rPr>
          <w:rFonts w:hint="eastAsia" w:ascii="仿宋" w:hAnsi="仿宋" w:eastAsia="仿宋" w:cs="仿宋"/>
          <w:sz w:val="24"/>
          <w:szCs w:val="24"/>
          <w:lang w:val="en-US" w:eastAsia="zh-CN"/>
        </w:rPr>
        <w:t>%；</w:t>
      </w:r>
    </w:p>
    <w:p w14:paraId="32301C4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如在服务过程中，乙方擅自中止合同的，违约金按每中止服务一日服务应支付合同总价格的</w:t>
      </w:r>
      <w:r>
        <w:rPr>
          <w:rFonts w:hint="eastAsia" w:ascii="仿宋" w:hAnsi="仿宋" w:eastAsia="仿宋" w:cs="仿宋"/>
          <w:sz w:val="24"/>
          <w:szCs w:val="24"/>
          <w:u w:val="single"/>
          <w:lang w:val="en-US" w:eastAsia="zh-CN"/>
        </w:rPr>
        <w:t xml:space="preserve">  0.5  </w:t>
      </w:r>
      <w:r>
        <w:rPr>
          <w:rFonts w:hint="eastAsia" w:ascii="仿宋" w:hAnsi="仿宋" w:eastAsia="仿宋" w:cs="仿宋"/>
          <w:sz w:val="24"/>
          <w:szCs w:val="24"/>
          <w:lang w:val="en-US" w:eastAsia="zh-CN"/>
        </w:rPr>
        <w:t>%计算，最高限额为本合同总价的</w:t>
      </w:r>
      <w:r>
        <w:rPr>
          <w:rFonts w:hint="eastAsia" w:ascii="仿宋" w:hAnsi="仿宋" w:eastAsia="仿宋" w:cs="仿宋"/>
          <w:sz w:val="24"/>
          <w:szCs w:val="24"/>
          <w:u w:val="single"/>
          <w:lang w:val="en-US" w:eastAsia="zh-CN"/>
        </w:rPr>
        <w:t xml:space="preserve"> 20 </w:t>
      </w:r>
      <w:r>
        <w:rPr>
          <w:rFonts w:hint="eastAsia" w:ascii="仿宋" w:hAnsi="仿宋" w:eastAsia="仿宋" w:cs="仿宋"/>
          <w:sz w:val="24"/>
          <w:szCs w:val="24"/>
          <w:lang w:val="en-US" w:eastAsia="zh-CN"/>
        </w:rPr>
        <w:t>%；中止服务的违约金计算数额达到前述最高限额之日起，甲方有权在要求乙方支付违约金的同时，书面通知乙方解除本合同；</w:t>
      </w:r>
    </w:p>
    <w:p w14:paraId="45373B8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如在服务过程中，乙方擅自终止合同的，违约金最高限额为本合同总价的</w:t>
      </w:r>
      <w:r>
        <w:rPr>
          <w:rFonts w:hint="eastAsia" w:ascii="仿宋" w:hAnsi="仿宋" w:eastAsia="仿宋" w:cs="仿宋"/>
          <w:sz w:val="24"/>
          <w:szCs w:val="24"/>
          <w:u w:val="single"/>
          <w:lang w:val="en-US" w:eastAsia="zh-CN"/>
        </w:rPr>
        <w:t xml:space="preserve"> 20 </w:t>
      </w:r>
      <w:r>
        <w:rPr>
          <w:rFonts w:hint="eastAsia" w:ascii="仿宋" w:hAnsi="仿宋" w:eastAsia="仿宋" w:cs="仿宋"/>
          <w:sz w:val="24"/>
          <w:szCs w:val="24"/>
          <w:lang w:val="en-US" w:eastAsia="zh-CN"/>
        </w:rPr>
        <w:t>%；自乙方擅自终止服务之日起，甲方有权在要求乙方支付违约金的同时，书面通知乙方解除本合同；</w:t>
      </w:r>
    </w:p>
    <w:p w14:paraId="4C34A8A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3、在服务过程中，如乙方将本合同全部服务事项转包给第三方服务的，那么甲方可要求乙方支付违约金，违约金金额为本合同总价的</w:t>
      </w:r>
      <w:r>
        <w:rPr>
          <w:rFonts w:hint="eastAsia" w:ascii="仿宋" w:hAnsi="仿宋" w:eastAsia="仿宋" w:cs="仿宋"/>
          <w:sz w:val="24"/>
          <w:szCs w:val="24"/>
          <w:u w:val="single"/>
          <w:lang w:val="en-US" w:eastAsia="zh-CN"/>
        </w:rPr>
        <w:t xml:space="preserve"> 20 </w:t>
      </w:r>
      <w:r>
        <w:rPr>
          <w:rFonts w:hint="eastAsia" w:ascii="仿宋" w:hAnsi="仿宋" w:eastAsia="仿宋" w:cs="仿宋"/>
          <w:sz w:val="24"/>
          <w:szCs w:val="24"/>
          <w:lang w:val="en-US" w:eastAsia="zh-CN"/>
        </w:rPr>
        <w:t>%，甲方有权在要求乙方支付违约金的同时，书面通知乙方解除本合同；</w:t>
      </w:r>
    </w:p>
    <w:p w14:paraId="5B64E91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4、如果出现政府采购监督管理部门在处理投诉事项期间，书面通知甲方暂停采购活动的情形，或者询问或质疑事项可能影响中标结果的，导致甲方中止履行合同的情形，均不视为甲方违约。</w:t>
      </w:r>
    </w:p>
    <w:p w14:paraId="3785F2D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第九条  其他</w:t>
      </w:r>
    </w:p>
    <w:p w14:paraId="2626C25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w:t>
      </w:r>
      <w:r>
        <w:rPr>
          <w:rFonts w:hint="eastAsia" w:ascii="仿宋" w:hAnsi="仿宋" w:eastAsia="仿宋" w:cs="仿宋"/>
          <w:sz w:val="24"/>
          <w:szCs w:val="24"/>
          <w:lang w:val="en-US"/>
        </w:rPr>
        <w:t>安全保密要求</w:t>
      </w:r>
      <w:r>
        <w:rPr>
          <w:rFonts w:hint="eastAsia" w:ascii="仿宋" w:hAnsi="仿宋" w:eastAsia="仿宋" w:cs="仿宋"/>
          <w:sz w:val="24"/>
          <w:szCs w:val="24"/>
          <w:lang w:val="en-US" w:eastAsia="zh-CN"/>
        </w:rPr>
        <w:t>。乙方应加强服务对象各类信息的保护，对服务对象的个人信息严格保密，不得向任何单位或个人泄露。</w:t>
      </w:r>
    </w:p>
    <w:p w14:paraId="2AEE021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w:t>
      </w:r>
      <w:r>
        <w:rPr>
          <w:rFonts w:hint="eastAsia" w:ascii="仿宋" w:hAnsi="仿宋" w:eastAsia="仿宋" w:cs="仿宋"/>
          <w:sz w:val="24"/>
          <w:szCs w:val="24"/>
          <w:lang w:val="en-US"/>
        </w:rPr>
        <w:t>交付成果物要求</w:t>
      </w:r>
      <w:r>
        <w:rPr>
          <w:rFonts w:hint="eastAsia" w:ascii="仿宋" w:hAnsi="仿宋" w:eastAsia="仿宋" w:cs="仿宋"/>
          <w:sz w:val="24"/>
          <w:szCs w:val="24"/>
          <w:lang w:val="en-US" w:eastAsia="zh-CN"/>
        </w:rPr>
        <w:t>。在服务期间，乙方提交的实施方案经甲方认可后，由乙方自行组织各项服务的开展工作，不得向甲方收取合同款项以外的任何费用。</w:t>
      </w:r>
    </w:p>
    <w:p w14:paraId="1334C6F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9.3风险因素</w:t>
      </w:r>
    </w:p>
    <w:p w14:paraId="07D4686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1）因国家政策变化引起的风险，由乙方负责承担。</w:t>
      </w:r>
    </w:p>
    <w:p w14:paraId="70D3BAE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2）如乙方在项目实施过程中未按原先承诺的服务标准提供服务的，甲方可以视供应商未提供此服务，乙方自行承担所有责任和损失。</w:t>
      </w:r>
    </w:p>
    <w:p w14:paraId="5848F78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知识产权。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AA006A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9.5税。与本项目相关的一切税，均由乙方承担。</w:t>
      </w:r>
    </w:p>
    <w:p w14:paraId="1DE31DE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w:t>
      </w:r>
      <w:bookmarkStart w:id="413" w:name="_Toc1292_WPSOffice_Level2"/>
      <w:bookmarkStart w:id="414" w:name="_Toc1897_WPSOffice_Level2"/>
      <w:r>
        <w:rPr>
          <w:rFonts w:hint="eastAsia" w:ascii="仿宋" w:hAnsi="仿宋" w:eastAsia="仿宋" w:cs="仿宋"/>
          <w:sz w:val="24"/>
          <w:szCs w:val="24"/>
          <w:lang w:val="en-US" w:eastAsia="zh-CN"/>
        </w:rPr>
        <w:t>转包或分包</w:t>
      </w:r>
      <w:bookmarkEnd w:id="413"/>
      <w:bookmarkEnd w:id="414"/>
    </w:p>
    <w:p w14:paraId="6228181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（1）本合同范围的服务，应由乙方直接提供，不得转包或分包给第三方；</w:t>
      </w:r>
    </w:p>
    <w:p w14:paraId="79B7DAF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（2）如有转让和未经甲方同意的分包行为，甲方有权解除合同，没收履约保证金并追究乙方的违约责任。</w:t>
      </w:r>
    </w:p>
    <w:p w14:paraId="32C0A99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9.7不可抗力事件处理</w:t>
      </w:r>
    </w:p>
    <w:p w14:paraId="0201B16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（1）在合同有效期内，任何一方因不可抗力事件导致不能履行合同，则合同履行期可延长，其延长期与不可抗力影响期相同。</w:t>
      </w:r>
    </w:p>
    <w:p w14:paraId="75476AF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（2）不可抗力事件发生后，应立即通知对方，并寄送有关权威机构出具的证明。</w:t>
      </w:r>
    </w:p>
    <w:p w14:paraId="0F82353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（3）不可抗力事件延续120天以上，双方应通过友好协商，确定是否继续履行合同。</w:t>
      </w:r>
    </w:p>
    <w:p w14:paraId="5FFA206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第十条  争议解决</w:t>
      </w:r>
    </w:p>
    <w:p w14:paraId="5F26358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双方因本协议书发生发生争议，应友好协商解决；协商不成的，任意一方均可向签订合同所在地人民法院起诉。 </w:t>
      </w:r>
    </w:p>
    <w:p w14:paraId="6682916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第十一条  合同生效</w:t>
      </w:r>
    </w:p>
    <w:p w14:paraId="5711163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1、合同经双方法定代表人或授权代表签字并加盖公章后生效。</w:t>
      </w:r>
    </w:p>
    <w:p w14:paraId="48ACEAE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2、本合同未尽事宜，经双方协商一致，可签订补充协议，补充协议应在政采云平台公告，与本协议书具有同等法律效力。</w:t>
      </w:r>
    </w:p>
    <w:p w14:paraId="516AF95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3、本合同一式</w:t>
      </w:r>
      <w:r>
        <w:rPr>
          <w:rFonts w:hint="eastAsia" w:ascii="仿宋" w:hAnsi="仿宋" w:cs="仿宋"/>
          <w:sz w:val="24"/>
          <w:szCs w:val="24"/>
          <w:lang w:val="en-US" w:eastAsia="zh-CN"/>
        </w:rPr>
        <w:t>四</w:t>
      </w:r>
      <w:r>
        <w:rPr>
          <w:rFonts w:hint="eastAsia" w:ascii="仿宋" w:hAnsi="仿宋" w:eastAsia="仿宋" w:cs="仿宋"/>
          <w:sz w:val="24"/>
          <w:szCs w:val="24"/>
          <w:lang w:val="en-US" w:eastAsia="zh-CN"/>
        </w:rPr>
        <w:t>份，甲、乙双方各执二份，均具有同等法律效力。</w:t>
      </w:r>
    </w:p>
    <w:p w14:paraId="54DE7253">
      <w:pPr>
        <w:pStyle w:val="35"/>
        <w:spacing w:before="0" w:beforeAutospacing="0" w:after="0" w:afterAutospacing="0"/>
        <w:ind w:firstLine="422"/>
        <w:contextualSpacing/>
        <w:rPr>
          <w:b/>
          <w:sz w:val="21"/>
          <w:szCs w:val="21"/>
        </w:rPr>
      </w:pPr>
    </w:p>
    <w:p w14:paraId="68046003">
      <w:pPr>
        <w:pStyle w:val="35"/>
        <w:spacing w:before="0" w:beforeAutospacing="0" w:after="0" w:afterAutospacing="0"/>
        <w:ind w:firstLine="422"/>
        <w:contextualSpacing/>
        <w:rPr>
          <w:b/>
          <w:sz w:val="21"/>
          <w:szCs w:val="21"/>
        </w:rPr>
      </w:pPr>
    </w:p>
    <w:tbl>
      <w:tblPr>
        <w:tblStyle w:val="63"/>
        <w:tblW w:w="0" w:type="auto"/>
        <w:tblInd w:w="0" w:type="dxa"/>
        <w:tblLayout w:type="fixed"/>
        <w:tblCellMar>
          <w:top w:w="0" w:type="dxa"/>
          <w:left w:w="108" w:type="dxa"/>
          <w:bottom w:w="0" w:type="dxa"/>
          <w:right w:w="108" w:type="dxa"/>
        </w:tblCellMar>
      </w:tblPr>
      <w:tblGrid>
        <w:gridCol w:w="1272"/>
        <w:gridCol w:w="3372"/>
        <w:gridCol w:w="1295"/>
        <w:gridCol w:w="3350"/>
      </w:tblGrid>
      <w:tr w14:paraId="6BFA6AB2">
        <w:tblPrEx>
          <w:tblCellMar>
            <w:top w:w="0" w:type="dxa"/>
            <w:left w:w="108" w:type="dxa"/>
            <w:bottom w:w="0" w:type="dxa"/>
            <w:right w:w="108" w:type="dxa"/>
          </w:tblCellMar>
        </w:tblPrEx>
        <w:trPr>
          <w:trHeight w:val="567" w:hRule="atLeast"/>
        </w:trPr>
        <w:tc>
          <w:tcPr>
            <w:tcW w:w="1272" w:type="dxa"/>
            <w:noWrap w:val="0"/>
            <w:vAlign w:val="center"/>
          </w:tcPr>
          <w:p w14:paraId="3999378E">
            <w:pPr>
              <w:pStyle w:val="973"/>
              <w:bidi w:val="0"/>
              <w:jc w:val="center"/>
            </w:pPr>
            <w:r>
              <w:rPr>
                <w:rFonts w:hint="eastAsia"/>
              </w:rPr>
              <w:t>甲    方</w:t>
            </w:r>
          </w:p>
        </w:tc>
        <w:tc>
          <w:tcPr>
            <w:tcW w:w="3372" w:type="dxa"/>
            <w:tcBorders>
              <w:right w:val="single" w:color="auto" w:sz="4" w:space="0"/>
            </w:tcBorders>
            <w:noWrap w:val="0"/>
            <w:vAlign w:val="center"/>
          </w:tcPr>
          <w:p w14:paraId="2623AABA">
            <w:pPr>
              <w:pStyle w:val="973"/>
              <w:bidi w:val="0"/>
            </w:pPr>
            <w:r>
              <w:rPr>
                <w:rFonts w:hint="eastAsia"/>
              </w:rPr>
              <w:t>（盖</w:t>
            </w:r>
            <w:r>
              <w:rPr>
                <w:rFonts w:hint="eastAsia"/>
                <w:lang w:val="en-US" w:eastAsia="zh-CN"/>
              </w:rPr>
              <w:t>公</w:t>
            </w:r>
            <w:r>
              <w:rPr>
                <w:rFonts w:hint="eastAsia"/>
              </w:rPr>
              <w:t>章）</w:t>
            </w:r>
          </w:p>
        </w:tc>
        <w:tc>
          <w:tcPr>
            <w:tcW w:w="1295" w:type="dxa"/>
            <w:tcBorders>
              <w:left w:val="single" w:color="auto" w:sz="4" w:space="0"/>
              <w:right w:val="nil"/>
            </w:tcBorders>
            <w:noWrap w:val="0"/>
            <w:vAlign w:val="center"/>
          </w:tcPr>
          <w:p w14:paraId="1886894E">
            <w:pPr>
              <w:pStyle w:val="973"/>
              <w:bidi w:val="0"/>
              <w:jc w:val="center"/>
            </w:pPr>
            <w:r>
              <w:rPr>
                <w:rFonts w:hint="eastAsia"/>
              </w:rPr>
              <w:t>乙    方</w:t>
            </w:r>
          </w:p>
        </w:tc>
        <w:tc>
          <w:tcPr>
            <w:tcW w:w="3350" w:type="dxa"/>
            <w:tcBorders>
              <w:left w:val="nil"/>
            </w:tcBorders>
            <w:noWrap w:val="0"/>
            <w:vAlign w:val="center"/>
          </w:tcPr>
          <w:p w14:paraId="6FAFC51C">
            <w:pPr>
              <w:pStyle w:val="973"/>
              <w:bidi w:val="0"/>
            </w:pPr>
            <w:r>
              <w:rPr>
                <w:rFonts w:hint="eastAsia"/>
              </w:rPr>
              <w:t>（盖</w:t>
            </w:r>
            <w:r>
              <w:rPr>
                <w:rFonts w:hint="eastAsia"/>
                <w:lang w:val="en-US" w:eastAsia="zh-CN"/>
              </w:rPr>
              <w:t>公</w:t>
            </w:r>
            <w:r>
              <w:rPr>
                <w:rFonts w:hint="eastAsia"/>
              </w:rPr>
              <w:t>章）</w:t>
            </w:r>
          </w:p>
        </w:tc>
      </w:tr>
      <w:tr w14:paraId="72D810E4">
        <w:tblPrEx>
          <w:tblCellMar>
            <w:top w:w="0" w:type="dxa"/>
            <w:left w:w="108" w:type="dxa"/>
            <w:bottom w:w="0" w:type="dxa"/>
            <w:right w:w="108" w:type="dxa"/>
          </w:tblCellMar>
        </w:tblPrEx>
        <w:trPr>
          <w:trHeight w:val="567" w:hRule="atLeast"/>
        </w:trPr>
        <w:tc>
          <w:tcPr>
            <w:tcW w:w="1272" w:type="dxa"/>
            <w:noWrap w:val="0"/>
            <w:vAlign w:val="center"/>
          </w:tcPr>
          <w:p w14:paraId="5D62639B">
            <w:pPr>
              <w:pStyle w:val="973"/>
              <w:bidi w:val="0"/>
              <w:jc w:val="center"/>
            </w:pPr>
            <w:r>
              <w:rPr>
                <w:rFonts w:hint="eastAsia"/>
              </w:rPr>
              <w:t>法定代表人</w:t>
            </w:r>
          </w:p>
        </w:tc>
        <w:tc>
          <w:tcPr>
            <w:tcW w:w="3372" w:type="dxa"/>
            <w:vMerge w:val="restart"/>
            <w:tcBorders>
              <w:right w:val="single" w:color="auto" w:sz="4" w:space="0"/>
            </w:tcBorders>
            <w:noWrap w:val="0"/>
            <w:vAlign w:val="bottom"/>
          </w:tcPr>
          <w:p w14:paraId="2D504ADC">
            <w:pPr>
              <w:pStyle w:val="973"/>
              <w:bidi w:val="0"/>
              <w:jc w:val="right"/>
            </w:pPr>
            <w:r>
              <w:rPr>
                <w:rFonts w:hint="eastAsia"/>
              </w:rPr>
              <w:t>（签字</w:t>
            </w:r>
            <w:r>
              <w:rPr>
                <w:rFonts w:hint="eastAsia"/>
                <w:lang w:val="en-US" w:eastAsia="zh-CN"/>
              </w:rPr>
              <w:t>或签章</w:t>
            </w:r>
            <w:r>
              <w:rPr>
                <w:rFonts w:hint="eastAsia"/>
              </w:rPr>
              <w:t>）</w:t>
            </w:r>
          </w:p>
        </w:tc>
        <w:tc>
          <w:tcPr>
            <w:tcW w:w="1295" w:type="dxa"/>
            <w:tcBorders>
              <w:left w:val="single" w:color="auto" w:sz="4" w:space="0"/>
              <w:right w:val="nil"/>
            </w:tcBorders>
            <w:noWrap w:val="0"/>
            <w:vAlign w:val="center"/>
          </w:tcPr>
          <w:p w14:paraId="4A3D49FD">
            <w:pPr>
              <w:pStyle w:val="973"/>
              <w:bidi w:val="0"/>
              <w:jc w:val="center"/>
            </w:pPr>
            <w:r>
              <w:rPr>
                <w:rFonts w:hint="eastAsia"/>
              </w:rPr>
              <w:t>法定代表人</w:t>
            </w:r>
          </w:p>
        </w:tc>
        <w:tc>
          <w:tcPr>
            <w:tcW w:w="3350" w:type="dxa"/>
            <w:vMerge w:val="restart"/>
            <w:tcBorders>
              <w:left w:val="nil"/>
            </w:tcBorders>
            <w:noWrap w:val="0"/>
            <w:vAlign w:val="bottom"/>
          </w:tcPr>
          <w:p w14:paraId="59EC347B">
            <w:pPr>
              <w:pStyle w:val="973"/>
              <w:bidi w:val="0"/>
              <w:jc w:val="right"/>
            </w:pPr>
            <w:r>
              <w:rPr>
                <w:rFonts w:hint="eastAsia"/>
              </w:rPr>
              <w:t>（签字</w:t>
            </w:r>
            <w:r>
              <w:rPr>
                <w:rFonts w:hint="eastAsia"/>
                <w:lang w:val="en-US" w:eastAsia="zh-CN"/>
              </w:rPr>
              <w:t>或签章</w:t>
            </w:r>
            <w:r>
              <w:rPr>
                <w:rFonts w:hint="eastAsia"/>
              </w:rPr>
              <w:t>）</w:t>
            </w:r>
          </w:p>
        </w:tc>
      </w:tr>
      <w:tr w14:paraId="2A98F74A">
        <w:tblPrEx>
          <w:tblCellMar>
            <w:top w:w="0" w:type="dxa"/>
            <w:left w:w="108" w:type="dxa"/>
            <w:bottom w:w="0" w:type="dxa"/>
            <w:right w:w="108" w:type="dxa"/>
          </w:tblCellMar>
        </w:tblPrEx>
        <w:trPr>
          <w:trHeight w:val="567" w:hRule="atLeast"/>
        </w:trPr>
        <w:tc>
          <w:tcPr>
            <w:tcW w:w="1272" w:type="dxa"/>
            <w:noWrap w:val="0"/>
            <w:vAlign w:val="center"/>
          </w:tcPr>
          <w:p w14:paraId="508D5744">
            <w:pPr>
              <w:pStyle w:val="973"/>
              <w:bidi w:val="0"/>
              <w:jc w:val="center"/>
              <w:rPr>
                <w:rFonts w:hint="default" w:eastAsia="宋体"/>
                <w:lang w:val="en-US" w:eastAsia="zh-CN"/>
              </w:rPr>
            </w:pPr>
            <w:r>
              <w:rPr>
                <w:rFonts w:hint="eastAsia"/>
              </w:rPr>
              <w:t>或</w:t>
            </w:r>
            <w:r>
              <w:rPr>
                <w:rFonts w:hint="eastAsia"/>
                <w:lang w:val="en-US" w:eastAsia="zh-CN"/>
              </w:rPr>
              <w:t>授权代表</w:t>
            </w:r>
          </w:p>
        </w:tc>
        <w:tc>
          <w:tcPr>
            <w:tcW w:w="3372" w:type="dxa"/>
            <w:vMerge w:val="continue"/>
            <w:tcBorders>
              <w:right w:val="single" w:color="auto" w:sz="4" w:space="0"/>
            </w:tcBorders>
            <w:noWrap w:val="0"/>
            <w:vAlign w:val="center"/>
          </w:tcPr>
          <w:p w14:paraId="788D95EE">
            <w:pPr>
              <w:pStyle w:val="973"/>
              <w:bidi w:val="0"/>
            </w:pPr>
          </w:p>
        </w:tc>
        <w:tc>
          <w:tcPr>
            <w:tcW w:w="1295" w:type="dxa"/>
            <w:tcBorders>
              <w:left w:val="single" w:color="auto" w:sz="4" w:space="0"/>
              <w:right w:val="nil"/>
            </w:tcBorders>
            <w:noWrap w:val="0"/>
            <w:vAlign w:val="center"/>
          </w:tcPr>
          <w:p w14:paraId="587C3D47">
            <w:pPr>
              <w:pStyle w:val="973"/>
              <w:bidi w:val="0"/>
              <w:jc w:val="center"/>
              <w:rPr>
                <w:rFonts w:hint="default" w:eastAsia="宋体"/>
                <w:lang w:val="en-US" w:eastAsia="zh-CN"/>
              </w:rPr>
            </w:pPr>
            <w:r>
              <w:rPr>
                <w:rFonts w:hint="eastAsia"/>
              </w:rPr>
              <w:t>或</w:t>
            </w:r>
            <w:r>
              <w:rPr>
                <w:rFonts w:hint="eastAsia"/>
                <w:lang w:val="en-US" w:eastAsia="zh-CN"/>
              </w:rPr>
              <w:t>授权代表</w:t>
            </w:r>
          </w:p>
        </w:tc>
        <w:tc>
          <w:tcPr>
            <w:tcW w:w="3350" w:type="dxa"/>
            <w:vMerge w:val="continue"/>
            <w:tcBorders>
              <w:left w:val="nil"/>
            </w:tcBorders>
            <w:noWrap w:val="0"/>
            <w:vAlign w:val="top"/>
          </w:tcPr>
          <w:p w14:paraId="5A56F759">
            <w:pPr>
              <w:pStyle w:val="973"/>
              <w:bidi w:val="0"/>
            </w:pPr>
          </w:p>
        </w:tc>
      </w:tr>
      <w:tr w14:paraId="742F1195">
        <w:tblPrEx>
          <w:tblCellMar>
            <w:top w:w="0" w:type="dxa"/>
            <w:left w:w="108" w:type="dxa"/>
            <w:bottom w:w="0" w:type="dxa"/>
            <w:right w:w="108" w:type="dxa"/>
          </w:tblCellMar>
        </w:tblPrEx>
        <w:trPr>
          <w:trHeight w:val="567" w:hRule="atLeast"/>
        </w:trPr>
        <w:tc>
          <w:tcPr>
            <w:tcW w:w="1272" w:type="dxa"/>
            <w:noWrap w:val="0"/>
            <w:vAlign w:val="center"/>
          </w:tcPr>
          <w:p w14:paraId="7835E194">
            <w:pPr>
              <w:pStyle w:val="973"/>
              <w:bidi w:val="0"/>
              <w:jc w:val="center"/>
            </w:pPr>
            <w:r>
              <w:rPr>
                <w:rFonts w:hint="eastAsia"/>
              </w:rPr>
              <w:t>地    址：</w:t>
            </w:r>
          </w:p>
        </w:tc>
        <w:tc>
          <w:tcPr>
            <w:tcW w:w="3372" w:type="dxa"/>
            <w:tcBorders>
              <w:right w:val="single" w:color="auto" w:sz="4" w:space="0"/>
            </w:tcBorders>
            <w:noWrap w:val="0"/>
            <w:vAlign w:val="center"/>
          </w:tcPr>
          <w:p w14:paraId="4F419E63">
            <w:pPr>
              <w:pStyle w:val="973"/>
              <w:bidi w:val="0"/>
            </w:pPr>
          </w:p>
        </w:tc>
        <w:tc>
          <w:tcPr>
            <w:tcW w:w="1295" w:type="dxa"/>
            <w:tcBorders>
              <w:left w:val="single" w:color="auto" w:sz="4" w:space="0"/>
              <w:right w:val="nil"/>
            </w:tcBorders>
            <w:noWrap w:val="0"/>
            <w:vAlign w:val="center"/>
          </w:tcPr>
          <w:p w14:paraId="30459D9B">
            <w:pPr>
              <w:pStyle w:val="973"/>
              <w:bidi w:val="0"/>
              <w:jc w:val="center"/>
            </w:pPr>
            <w:r>
              <w:rPr>
                <w:rFonts w:hint="eastAsia"/>
              </w:rPr>
              <w:t>地    址：</w:t>
            </w:r>
          </w:p>
        </w:tc>
        <w:tc>
          <w:tcPr>
            <w:tcW w:w="3350" w:type="dxa"/>
            <w:tcBorders>
              <w:left w:val="nil"/>
            </w:tcBorders>
            <w:noWrap w:val="0"/>
            <w:vAlign w:val="center"/>
          </w:tcPr>
          <w:p w14:paraId="5C28A14A">
            <w:pPr>
              <w:pStyle w:val="973"/>
              <w:bidi w:val="0"/>
            </w:pPr>
          </w:p>
        </w:tc>
      </w:tr>
      <w:tr w14:paraId="7D6CDE17">
        <w:tblPrEx>
          <w:tblCellMar>
            <w:top w:w="0" w:type="dxa"/>
            <w:left w:w="108" w:type="dxa"/>
            <w:bottom w:w="0" w:type="dxa"/>
            <w:right w:w="108" w:type="dxa"/>
          </w:tblCellMar>
        </w:tblPrEx>
        <w:trPr>
          <w:trHeight w:val="567" w:hRule="atLeast"/>
        </w:trPr>
        <w:tc>
          <w:tcPr>
            <w:tcW w:w="1272" w:type="dxa"/>
            <w:noWrap w:val="0"/>
            <w:vAlign w:val="center"/>
          </w:tcPr>
          <w:p w14:paraId="00E9D084">
            <w:pPr>
              <w:pStyle w:val="973"/>
              <w:bidi w:val="0"/>
              <w:jc w:val="center"/>
            </w:pPr>
            <w:r>
              <w:rPr>
                <w:rFonts w:hint="eastAsia"/>
              </w:rPr>
              <w:t>电    话：</w:t>
            </w:r>
          </w:p>
        </w:tc>
        <w:tc>
          <w:tcPr>
            <w:tcW w:w="3372" w:type="dxa"/>
            <w:tcBorders>
              <w:right w:val="single" w:color="auto" w:sz="4" w:space="0"/>
            </w:tcBorders>
            <w:noWrap w:val="0"/>
            <w:vAlign w:val="center"/>
          </w:tcPr>
          <w:p w14:paraId="1AF36038">
            <w:pPr>
              <w:pStyle w:val="973"/>
              <w:bidi w:val="0"/>
            </w:pPr>
          </w:p>
        </w:tc>
        <w:tc>
          <w:tcPr>
            <w:tcW w:w="1295" w:type="dxa"/>
            <w:tcBorders>
              <w:left w:val="single" w:color="auto" w:sz="4" w:space="0"/>
              <w:right w:val="nil"/>
            </w:tcBorders>
            <w:noWrap w:val="0"/>
            <w:vAlign w:val="center"/>
          </w:tcPr>
          <w:p w14:paraId="18540556">
            <w:pPr>
              <w:pStyle w:val="973"/>
              <w:bidi w:val="0"/>
              <w:jc w:val="center"/>
            </w:pPr>
            <w:r>
              <w:rPr>
                <w:rFonts w:hint="eastAsia"/>
              </w:rPr>
              <w:t>电    话：</w:t>
            </w:r>
          </w:p>
        </w:tc>
        <w:tc>
          <w:tcPr>
            <w:tcW w:w="3350" w:type="dxa"/>
            <w:tcBorders>
              <w:left w:val="nil"/>
            </w:tcBorders>
            <w:noWrap w:val="0"/>
            <w:vAlign w:val="center"/>
          </w:tcPr>
          <w:p w14:paraId="3AF9F512">
            <w:pPr>
              <w:pStyle w:val="973"/>
              <w:bidi w:val="0"/>
            </w:pPr>
          </w:p>
        </w:tc>
      </w:tr>
      <w:tr w14:paraId="2336BC6D">
        <w:tblPrEx>
          <w:tblCellMar>
            <w:top w:w="0" w:type="dxa"/>
            <w:left w:w="108" w:type="dxa"/>
            <w:bottom w:w="0" w:type="dxa"/>
            <w:right w:w="108" w:type="dxa"/>
          </w:tblCellMar>
        </w:tblPrEx>
        <w:trPr>
          <w:trHeight w:val="567" w:hRule="atLeast"/>
        </w:trPr>
        <w:tc>
          <w:tcPr>
            <w:tcW w:w="1272" w:type="dxa"/>
            <w:noWrap w:val="0"/>
            <w:vAlign w:val="center"/>
          </w:tcPr>
          <w:p w14:paraId="0076E87E">
            <w:pPr>
              <w:pStyle w:val="973"/>
              <w:bidi w:val="0"/>
              <w:jc w:val="center"/>
            </w:pPr>
            <w:r>
              <w:rPr>
                <w:rFonts w:hint="eastAsia"/>
              </w:rPr>
              <w:t>开户银行：</w:t>
            </w:r>
          </w:p>
        </w:tc>
        <w:tc>
          <w:tcPr>
            <w:tcW w:w="3372" w:type="dxa"/>
            <w:tcBorders>
              <w:right w:val="single" w:color="auto" w:sz="4" w:space="0"/>
            </w:tcBorders>
            <w:noWrap w:val="0"/>
            <w:vAlign w:val="center"/>
          </w:tcPr>
          <w:p w14:paraId="645407AB">
            <w:pPr>
              <w:pStyle w:val="973"/>
              <w:bidi w:val="0"/>
            </w:pPr>
          </w:p>
        </w:tc>
        <w:tc>
          <w:tcPr>
            <w:tcW w:w="1295" w:type="dxa"/>
            <w:tcBorders>
              <w:left w:val="single" w:color="auto" w:sz="4" w:space="0"/>
              <w:right w:val="nil"/>
            </w:tcBorders>
            <w:noWrap w:val="0"/>
            <w:vAlign w:val="center"/>
          </w:tcPr>
          <w:p w14:paraId="5D188AF9">
            <w:pPr>
              <w:pStyle w:val="973"/>
              <w:bidi w:val="0"/>
              <w:jc w:val="center"/>
            </w:pPr>
            <w:r>
              <w:rPr>
                <w:rFonts w:hint="eastAsia"/>
              </w:rPr>
              <w:t>开户银行：</w:t>
            </w:r>
          </w:p>
        </w:tc>
        <w:tc>
          <w:tcPr>
            <w:tcW w:w="3350" w:type="dxa"/>
            <w:tcBorders>
              <w:left w:val="nil"/>
            </w:tcBorders>
            <w:noWrap w:val="0"/>
            <w:vAlign w:val="center"/>
          </w:tcPr>
          <w:p w14:paraId="0E01B6A0">
            <w:pPr>
              <w:pStyle w:val="973"/>
              <w:bidi w:val="0"/>
            </w:pPr>
          </w:p>
        </w:tc>
      </w:tr>
      <w:tr w14:paraId="441D268B">
        <w:tblPrEx>
          <w:tblCellMar>
            <w:top w:w="0" w:type="dxa"/>
            <w:left w:w="108" w:type="dxa"/>
            <w:bottom w:w="0" w:type="dxa"/>
            <w:right w:w="108" w:type="dxa"/>
          </w:tblCellMar>
        </w:tblPrEx>
        <w:trPr>
          <w:trHeight w:val="567" w:hRule="atLeast"/>
        </w:trPr>
        <w:tc>
          <w:tcPr>
            <w:tcW w:w="1272" w:type="dxa"/>
            <w:noWrap w:val="0"/>
            <w:vAlign w:val="center"/>
          </w:tcPr>
          <w:p w14:paraId="165CB254">
            <w:pPr>
              <w:pStyle w:val="973"/>
              <w:bidi w:val="0"/>
              <w:jc w:val="center"/>
            </w:pPr>
            <w:r>
              <w:rPr>
                <w:rFonts w:hint="eastAsia"/>
              </w:rPr>
              <w:t>帐    号：</w:t>
            </w:r>
          </w:p>
        </w:tc>
        <w:tc>
          <w:tcPr>
            <w:tcW w:w="3372" w:type="dxa"/>
            <w:tcBorders>
              <w:right w:val="single" w:color="auto" w:sz="4" w:space="0"/>
            </w:tcBorders>
            <w:noWrap w:val="0"/>
            <w:vAlign w:val="center"/>
          </w:tcPr>
          <w:p w14:paraId="2A8FA1C6">
            <w:pPr>
              <w:pStyle w:val="973"/>
              <w:bidi w:val="0"/>
            </w:pPr>
          </w:p>
        </w:tc>
        <w:tc>
          <w:tcPr>
            <w:tcW w:w="1295" w:type="dxa"/>
            <w:tcBorders>
              <w:left w:val="single" w:color="auto" w:sz="4" w:space="0"/>
              <w:right w:val="nil"/>
            </w:tcBorders>
            <w:noWrap w:val="0"/>
            <w:vAlign w:val="center"/>
          </w:tcPr>
          <w:p w14:paraId="64939555">
            <w:pPr>
              <w:pStyle w:val="973"/>
              <w:bidi w:val="0"/>
              <w:jc w:val="center"/>
            </w:pPr>
            <w:r>
              <w:rPr>
                <w:rFonts w:hint="eastAsia"/>
              </w:rPr>
              <w:t>帐    号：</w:t>
            </w:r>
          </w:p>
        </w:tc>
        <w:tc>
          <w:tcPr>
            <w:tcW w:w="3350" w:type="dxa"/>
            <w:tcBorders>
              <w:left w:val="nil"/>
            </w:tcBorders>
            <w:noWrap w:val="0"/>
            <w:vAlign w:val="center"/>
          </w:tcPr>
          <w:p w14:paraId="32CF4C73">
            <w:pPr>
              <w:pStyle w:val="973"/>
              <w:bidi w:val="0"/>
            </w:pPr>
          </w:p>
        </w:tc>
      </w:tr>
    </w:tbl>
    <w:p w14:paraId="2DD3B4C7">
      <w:pPr>
        <w:pStyle w:val="35"/>
        <w:snapToGrid w:val="0"/>
        <w:spacing w:before="0" w:beforeAutospacing="0" w:after="0" w:afterAutospacing="0" w:line="240" w:lineRule="auto"/>
        <w:ind w:firstLine="0" w:firstLineChars="0"/>
        <w:jc w:val="right"/>
        <w:rPr>
          <w:color w:val="auto"/>
          <w:sz w:val="21"/>
          <w:szCs w:val="21"/>
        </w:rPr>
      </w:pPr>
    </w:p>
    <w:p w14:paraId="7ACCBCF0">
      <w:pPr>
        <w:pStyle w:val="35"/>
        <w:snapToGrid w:val="0"/>
        <w:spacing w:before="0" w:beforeAutospacing="0" w:after="0" w:afterAutospacing="0"/>
        <w:ind w:firstLine="0" w:firstLineChars="0"/>
        <w:jc w:val="right"/>
        <w:rPr>
          <w:color w:val="auto"/>
          <w:sz w:val="21"/>
          <w:szCs w:val="21"/>
        </w:rPr>
      </w:pPr>
      <w:r>
        <w:rPr>
          <w:rFonts w:hint="eastAsia"/>
          <w:color w:val="auto"/>
          <w:sz w:val="21"/>
          <w:szCs w:val="21"/>
        </w:rPr>
        <w:t>签约时间：20</w:t>
      </w:r>
      <w:r>
        <w:rPr>
          <w:rFonts w:hint="eastAsia"/>
          <w:color w:val="auto"/>
          <w:sz w:val="21"/>
          <w:szCs w:val="21"/>
          <w:lang w:val="en-US" w:eastAsia="zh-CN"/>
        </w:rPr>
        <w:t xml:space="preserve">2  </w:t>
      </w:r>
      <w:r>
        <w:rPr>
          <w:rFonts w:hint="eastAsia"/>
          <w:color w:val="auto"/>
          <w:sz w:val="21"/>
          <w:szCs w:val="21"/>
        </w:rPr>
        <w:t>年    月    日</w:t>
      </w:r>
    </w:p>
    <w:p w14:paraId="702D6215">
      <w:pPr>
        <w:pStyle w:val="35"/>
        <w:snapToGrid w:val="0"/>
        <w:spacing w:before="0" w:beforeAutospacing="0" w:after="0" w:afterAutospacing="0"/>
        <w:ind w:firstLine="0" w:firstLineChars="0"/>
        <w:jc w:val="right"/>
        <w:rPr>
          <w:rFonts w:hint="eastAsia" w:eastAsia="仿宋"/>
          <w:color w:val="auto"/>
          <w:sz w:val="21"/>
          <w:szCs w:val="21"/>
          <w:lang w:eastAsia="zh-CN"/>
        </w:rPr>
      </w:pPr>
      <w:r>
        <w:rPr>
          <w:rFonts w:hint="eastAsia"/>
          <w:color w:val="auto"/>
          <w:sz w:val="21"/>
          <w:szCs w:val="21"/>
        </w:rPr>
        <w:t>签约地点：</w:t>
      </w:r>
      <w:r>
        <w:rPr>
          <w:rFonts w:hint="eastAsia"/>
          <w:color w:val="auto"/>
          <w:sz w:val="21"/>
          <w:szCs w:val="21"/>
          <w:lang w:eastAsia="zh-CN"/>
        </w:rPr>
        <w:t>慈溪市人民政府宗汉街道办事处</w:t>
      </w:r>
    </w:p>
    <w:p w14:paraId="4AB5F53A">
      <w:pPr>
        <w:pStyle w:val="35"/>
        <w:snapToGrid w:val="0"/>
        <w:spacing w:before="0" w:beforeAutospacing="0" w:after="0" w:afterAutospacing="0"/>
        <w:ind w:firstLine="0" w:firstLineChars="0"/>
        <w:jc w:val="right"/>
        <w:rPr>
          <w:rFonts w:hint="eastAsia"/>
          <w:color w:val="auto"/>
          <w:sz w:val="21"/>
          <w:szCs w:val="21"/>
        </w:rPr>
      </w:pPr>
    </w:p>
    <w:p w14:paraId="201C239E">
      <w:pPr>
        <w:bidi w:val="0"/>
      </w:pPr>
    </w:p>
    <w:bookmarkEnd w:id="412"/>
    <w:p w14:paraId="39548234">
      <w:pPr>
        <w:ind w:firstLine="723"/>
        <w:rPr>
          <w:rFonts w:ascii="仿宋" w:hAnsi="仿宋" w:cs="仿宋"/>
          <w:b/>
          <w:sz w:val="36"/>
          <w:szCs w:val="20"/>
        </w:rPr>
      </w:pPr>
      <w:r>
        <w:rPr>
          <w:rFonts w:hint="eastAsia" w:ascii="仿宋" w:hAnsi="仿宋" w:cs="仿宋"/>
          <w:b/>
          <w:sz w:val="36"/>
          <w:szCs w:val="20"/>
        </w:rPr>
        <w:br w:type="page"/>
      </w:r>
    </w:p>
    <w:p w14:paraId="4534A66B">
      <w:pPr>
        <w:pStyle w:val="3"/>
        <w:bidi w:val="0"/>
        <w:jc w:val="center"/>
        <w:rPr>
          <w:rStyle w:val="288"/>
          <w:rFonts w:hint="eastAsia" w:ascii="仿宋" w:hAnsi="仿宋" w:cs="仿宋"/>
          <w:bCs/>
          <w:lang w:val="en-US" w:eastAsia="zh-CN" w:bidi="ar-SA"/>
        </w:rPr>
      </w:pPr>
      <w:bookmarkStart w:id="415" w:name="_Toc30073"/>
      <w:r>
        <w:rPr>
          <w:rStyle w:val="288"/>
          <w:rFonts w:hint="eastAsia" w:ascii="仿宋" w:hAnsi="仿宋" w:cs="仿宋"/>
          <w:bCs/>
          <w:lang w:val="en-US" w:eastAsia="zh-CN" w:bidi="ar-SA"/>
        </w:rPr>
        <w:t>第六部分</w:t>
      </w:r>
      <w:bookmarkEnd w:id="409"/>
      <w:r>
        <w:rPr>
          <w:rStyle w:val="288"/>
          <w:rFonts w:hint="eastAsia" w:ascii="仿宋" w:hAnsi="仿宋" w:cs="仿宋"/>
          <w:bCs/>
          <w:lang w:val="en-US" w:eastAsia="zh-CN" w:bidi="ar-SA"/>
        </w:rPr>
        <w:t xml:space="preserve"> </w:t>
      </w:r>
      <w:bookmarkEnd w:id="410"/>
      <w:r>
        <w:rPr>
          <w:rStyle w:val="288"/>
          <w:rFonts w:hint="eastAsia" w:ascii="仿宋" w:hAnsi="仿宋" w:cs="仿宋"/>
          <w:bCs/>
          <w:lang w:val="en-US" w:eastAsia="zh-CN" w:bidi="ar-SA"/>
        </w:rPr>
        <w:t>应提交的有关格式范例</w:t>
      </w:r>
      <w:bookmarkEnd w:id="415"/>
    </w:p>
    <w:p w14:paraId="738944F8">
      <w:pPr>
        <w:ind w:firstLine="480"/>
        <w:rPr>
          <w:rFonts w:ascii="仿宋" w:hAnsi="仿宋" w:cs="仿宋"/>
        </w:rPr>
      </w:pPr>
    </w:p>
    <w:p w14:paraId="4EDEB49E">
      <w:pPr>
        <w:pStyle w:val="2"/>
      </w:pPr>
      <w:bookmarkStart w:id="416" w:name="_Toc3152"/>
      <w:r>
        <w:rPr>
          <w:rFonts w:hint="eastAsia"/>
        </w:rPr>
        <w:t>资格文件部分</w:t>
      </w:r>
      <w:bookmarkEnd w:id="416"/>
    </w:p>
    <w:p w14:paraId="0578CC42">
      <w:pPr>
        <w:pStyle w:val="8"/>
        <w:spacing w:before="120" w:after="240"/>
        <w:rPr>
          <w:rFonts w:ascii="仿宋" w:hAnsi="仿宋" w:cs="仿宋"/>
        </w:rPr>
      </w:pPr>
      <w:r>
        <w:rPr>
          <w:rFonts w:hint="eastAsia" w:ascii="仿宋" w:hAnsi="仿宋" w:cs="仿宋"/>
        </w:rPr>
        <w:t>目录</w:t>
      </w:r>
    </w:p>
    <w:p w14:paraId="1091A572">
      <w:pPr>
        <w:ind w:firstLine="480"/>
        <w:rPr>
          <w:rFonts w:ascii="仿宋" w:hAnsi="仿宋" w:cs="仿宋"/>
        </w:rPr>
      </w:pPr>
    </w:p>
    <w:p w14:paraId="0666EA19">
      <w:pPr>
        <w:ind w:firstLine="480"/>
        <w:rPr>
          <w:rFonts w:ascii="仿宋" w:hAnsi="仿宋" w:cs="仿宋"/>
        </w:rPr>
      </w:pPr>
      <w:r>
        <w:rPr>
          <w:rFonts w:hint="eastAsia" w:ascii="仿宋" w:hAnsi="仿宋" w:cs="仿宋"/>
        </w:rPr>
        <w:t>（1）符合参加政府采购活动应当具备的一般条件的承诺函………………（页码）</w:t>
      </w:r>
    </w:p>
    <w:p w14:paraId="10584BC7">
      <w:pPr>
        <w:ind w:firstLine="480"/>
        <w:rPr>
          <w:rFonts w:hint="eastAsia" w:ascii="仿宋" w:hAnsi="仿宋" w:cs="仿宋"/>
          <w:lang w:eastAsia="zh-CN"/>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lang w:eastAsia="zh-CN"/>
        </w:rPr>
        <w:t>）落实政府采购政策需满足的资格要求</w:t>
      </w:r>
      <w:r>
        <w:rPr>
          <w:rFonts w:hint="eastAsia" w:ascii="仿宋" w:hAnsi="仿宋" w:cs="仿宋"/>
        </w:rPr>
        <w:t>…………………………………（页码）</w:t>
      </w:r>
    </w:p>
    <w:p w14:paraId="6EBBEEE3">
      <w:pPr>
        <w:ind w:firstLine="480"/>
        <w:rPr>
          <w:rFonts w:ascii="仿宋" w:hAnsi="仿宋" w:cs="仿宋"/>
        </w:rPr>
      </w:pPr>
    </w:p>
    <w:p w14:paraId="546E517C">
      <w:pPr>
        <w:pStyle w:val="8"/>
        <w:spacing w:before="120" w:after="240"/>
        <w:ind w:left="1151" w:hanging="1151"/>
        <w:rPr>
          <w:rFonts w:ascii="仿宋" w:hAnsi="仿宋" w:cs="仿宋"/>
          <w:kern w:val="0"/>
          <w:szCs w:val="32"/>
        </w:rPr>
      </w:pPr>
      <w:r>
        <w:rPr>
          <w:rFonts w:hint="eastAsia" w:ascii="仿宋" w:hAnsi="仿宋" w:cs="仿宋"/>
          <w:kern w:val="0"/>
          <w:sz w:val="24"/>
        </w:rPr>
        <w:br w:type="page"/>
      </w:r>
      <w:r>
        <w:rPr>
          <w:rFonts w:hint="eastAsia" w:ascii="仿宋" w:hAnsi="仿宋" w:cs="仿宋"/>
          <w:kern w:val="0"/>
          <w:szCs w:val="32"/>
        </w:rPr>
        <w:t>一、符合参加政府采购活动应当具备的一般条件的承诺函</w:t>
      </w:r>
    </w:p>
    <w:p w14:paraId="5FF95D08">
      <w:pPr>
        <w:pStyle w:val="26"/>
        <w:rPr>
          <w:rFonts w:ascii="仿宋" w:hAnsi="仿宋" w:cs="仿宋"/>
        </w:rPr>
      </w:pPr>
      <w:r>
        <w:rPr>
          <w:rFonts w:hint="eastAsia" w:ascii="仿宋" w:hAnsi="仿宋" w:cs="仿宋"/>
          <w:u w:val="single"/>
          <w:lang w:eastAsia="zh-CN"/>
        </w:rPr>
        <w:t>慈溪市人民政府宗汉街道办事处、慈溪元达采购招标代理有限公司</w:t>
      </w:r>
      <w:r>
        <w:rPr>
          <w:rFonts w:hint="eastAsia" w:ascii="仿宋" w:hAnsi="仿宋" w:cs="仿宋"/>
        </w:rPr>
        <w:t>：</w:t>
      </w:r>
    </w:p>
    <w:p w14:paraId="5129CE1A">
      <w:pPr>
        <w:snapToGrid w:val="0"/>
        <w:ind w:firstLine="480"/>
        <w:rPr>
          <w:rFonts w:ascii="仿宋" w:hAnsi="仿宋" w:cs="仿宋"/>
        </w:rPr>
      </w:pPr>
      <w:r>
        <w:rPr>
          <w:rFonts w:hint="eastAsia" w:ascii="仿宋" w:hAnsi="仿宋" w:cs="仿宋"/>
        </w:rPr>
        <w:t>我方参与</w:t>
      </w:r>
      <w:r>
        <w:rPr>
          <w:rFonts w:hint="eastAsia" w:ascii="仿宋" w:hAnsi="仿宋" w:cs="仿宋"/>
          <w:u w:val="single"/>
          <w:lang w:eastAsia="zh-CN"/>
        </w:rPr>
        <w:t>慈溪市宗汉街道社会心理服务</w:t>
      </w:r>
      <w:r>
        <w:rPr>
          <w:rFonts w:hint="eastAsia" w:ascii="仿宋" w:hAnsi="仿宋" w:cs="仿宋"/>
        </w:rPr>
        <w:t>【</w:t>
      </w:r>
      <w:r>
        <w:rPr>
          <w:rFonts w:hint="eastAsia" w:ascii="仿宋" w:hAnsi="仿宋" w:cs="仿宋"/>
          <w:lang w:val="en-US" w:eastAsia="zh-CN"/>
        </w:rPr>
        <w:t>项目编号：330282202411009267</w:t>
      </w:r>
      <w:r>
        <w:rPr>
          <w:rFonts w:hint="eastAsia" w:ascii="仿宋" w:hAnsi="仿宋" w:cs="仿宋"/>
        </w:rPr>
        <w:t>】政府采购活动，郑重承诺：</w:t>
      </w:r>
    </w:p>
    <w:p w14:paraId="4B3A7427">
      <w:pPr>
        <w:snapToGrid w:val="0"/>
        <w:ind w:firstLine="360" w:firstLineChars="150"/>
        <w:rPr>
          <w:rFonts w:ascii="仿宋" w:hAnsi="仿宋" w:cs="仿宋"/>
        </w:rPr>
      </w:pPr>
      <w:r>
        <w:rPr>
          <w:rFonts w:hint="eastAsia" w:ascii="仿宋" w:hAnsi="仿宋" w:cs="仿宋"/>
        </w:rPr>
        <w:t>（一）具备《中华人民共和国政府采购法》第二十二条第一款规定的条件：</w:t>
      </w:r>
    </w:p>
    <w:p w14:paraId="4A6BD289">
      <w:pPr>
        <w:snapToGrid w:val="0"/>
        <w:ind w:firstLine="480"/>
        <w:rPr>
          <w:rFonts w:ascii="仿宋" w:hAnsi="仿宋" w:cs="仿宋"/>
        </w:rPr>
      </w:pPr>
      <w:r>
        <w:rPr>
          <w:rFonts w:hint="eastAsia" w:ascii="仿宋" w:hAnsi="仿宋" w:cs="仿宋"/>
        </w:rPr>
        <w:t>1、具有独立承担民事责任的能力；</w:t>
      </w:r>
    </w:p>
    <w:p w14:paraId="5E8D7D81">
      <w:pPr>
        <w:snapToGrid w:val="0"/>
        <w:ind w:firstLine="480"/>
        <w:rPr>
          <w:rFonts w:ascii="仿宋" w:hAnsi="仿宋" w:cs="仿宋"/>
        </w:rPr>
      </w:pPr>
      <w:r>
        <w:rPr>
          <w:rFonts w:hint="eastAsia" w:ascii="仿宋" w:hAnsi="仿宋" w:cs="仿宋"/>
        </w:rPr>
        <w:t xml:space="preserve">2、具有良好的商业信誉和健全的财务会计制度； </w:t>
      </w:r>
    </w:p>
    <w:p w14:paraId="3EAF965D">
      <w:pPr>
        <w:snapToGrid w:val="0"/>
        <w:ind w:firstLine="480"/>
        <w:rPr>
          <w:rFonts w:ascii="仿宋" w:hAnsi="仿宋" w:cs="仿宋"/>
        </w:rPr>
      </w:pPr>
      <w:r>
        <w:rPr>
          <w:rFonts w:hint="eastAsia" w:ascii="仿宋" w:hAnsi="仿宋" w:cs="仿宋"/>
        </w:rPr>
        <w:t>3、具有履行合同所必需的设备和专业技术能力；</w:t>
      </w:r>
    </w:p>
    <w:p w14:paraId="7882895F">
      <w:pPr>
        <w:snapToGrid w:val="0"/>
        <w:ind w:firstLine="480"/>
        <w:rPr>
          <w:rFonts w:ascii="仿宋" w:hAnsi="仿宋" w:cs="仿宋"/>
        </w:rPr>
      </w:pPr>
      <w:r>
        <w:rPr>
          <w:rFonts w:hint="eastAsia" w:ascii="仿宋" w:hAnsi="仿宋" w:cs="仿宋"/>
        </w:rPr>
        <w:t>4、有依法缴纳税收和社会保障资金的良好记录；</w:t>
      </w:r>
    </w:p>
    <w:p w14:paraId="060C67B7">
      <w:pPr>
        <w:snapToGrid w:val="0"/>
        <w:ind w:firstLine="480"/>
        <w:rPr>
          <w:rFonts w:ascii="仿宋" w:hAnsi="仿宋" w:cs="仿宋"/>
        </w:rPr>
      </w:pPr>
      <w:r>
        <w:rPr>
          <w:rFonts w:hint="eastAsia" w:ascii="仿宋" w:hAnsi="仿宋" w:cs="仿宋"/>
        </w:rPr>
        <w:t>5、参加政府采购活动前三年内，在经营活动中没有重大违法记录；</w:t>
      </w:r>
    </w:p>
    <w:p w14:paraId="510B0575">
      <w:pPr>
        <w:snapToGrid w:val="0"/>
        <w:ind w:firstLine="480"/>
        <w:rPr>
          <w:rFonts w:ascii="仿宋" w:hAnsi="仿宋" w:cs="仿宋"/>
        </w:rPr>
      </w:pPr>
      <w:r>
        <w:rPr>
          <w:rFonts w:hint="eastAsia" w:ascii="仿宋" w:hAnsi="仿宋" w:cs="仿宋"/>
        </w:rPr>
        <w:t>6、具有法律、行政法规规定的其他条件。</w:t>
      </w:r>
    </w:p>
    <w:p w14:paraId="66EDCD98">
      <w:pPr>
        <w:snapToGrid w:val="0"/>
        <w:ind w:firstLine="480"/>
        <w:rPr>
          <w:rFonts w:ascii="仿宋" w:hAnsi="仿宋" w:cs="仿宋"/>
        </w:rPr>
      </w:pPr>
      <w:r>
        <w:rPr>
          <w:rFonts w:hint="eastAsia" w:ascii="仿宋" w:hAnsi="仿宋" w:cs="仿宋"/>
        </w:rPr>
        <w:t>（二）未被信用中国（www.creditchina.gov.cn)、中国政府采购网（www.ccgp.gov.cn）列入失信被执行人、重大税收违法案件当事人名单、政府采购严重违法失信行为记录名单。</w:t>
      </w:r>
    </w:p>
    <w:p w14:paraId="719AA2E6">
      <w:pPr>
        <w:snapToGrid w:val="0"/>
        <w:ind w:firstLine="480"/>
        <w:rPr>
          <w:rFonts w:ascii="仿宋" w:hAnsi="仿宋" w:cs="仿宋"/>
        </w:rPr>
      </w:pPr>
      <w:r>
        <w:rPr>
          <w:rFonts w:hint="eastAsia" w:ascii="仿宋" w:hAnsi="仿宋" w:cs="仿宋"/>
        </w:rPr>
        <w:t>（三）不存在以下情况：</w:t>
      </w:r>
    </w:p>
    <w:p w14:paraId="30256A13">
      <w:pPr>
        <w:snapToGrid w:val="0"/>
        <w:ind w:firstLine="480"/>
        <w:rPr>
          <w:rFonts w:ascii="仿宋" w:hAnsi="仿宋" w:cs="仿宋"/>
        </w:rPr>
      </w:pPr>
      <w:r>
        <w:rPr>
          <w:rFonts w:hint="eastAsia" w:ascii="仿宋" w:hAnsi="仿宋" w:cs="仿宋"/>
        </w:rPr>
        <w:t>1、单位负责人为同一人或者存在直接控股、管理关系的不同供应商参加同一合同项下的政府采购活动的；</w:t>
      </w:r>
    </w:p>
    <w:p w14:paraId="067CD4E3">
      <w:pPr>
        <w:snapToGrid w:val="0"/>
        <w:ind w:firstLine="480"/>
        <w:rPr>
          <w:rFonts w:ascii="仿宋" w:hAnsi="仿宋" w:cs="仿宋"/>
        </w:rPr>
      </w:pPr>
      <w:r>
        <w:rPr>
          <w:rFonts w:hint="eastAsia" w:ascii="仿宋" w:hAnsi="仿宋" w:cs="仿宋"/>
        </w:rPr>
        <w:t>2、为采购项目提供整体设计、规范编制或者项目管理、监理、检测等服务后再参加该采购项目的其他采购活动的。</w:t>
      </w:r>
    </w:p>
    <w:p w14:paraId="3DE51912">
      <w:pPr>
        <w:snapToGrid w:val="0"/>
        <w:ind w:firstLine="480"/>
        <w:rPr>
          <w:rFonts w:ascii="仿宋" w:hAnsi="仿宋" w:cs="仿宋"/>
        </w:rPr>
      </w:pPr>
    </w:p>
    <w:p w14:paraId="2D3D6EFB">
      <w:pPr>
        <w:snapToGrid w:val="0"/>
        <w:ind w:firstLine="480"/>
        <w:rPr>
          <w:rFonts w:ascii="仿宋" w:hAnsi="仿宋" w:cs="仿宋"/>
        </w:rPr>
      </w:pPr>
    </w:p>
    <w:p w14:paraId="3FFB8754">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72DF93AA">
      <w:pPr>
        <w:snapToGrid w:val="0"/>
        <w:ind w:firstLine="480"/>
        <w:jc w:val="right"/>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568EE149">
      <w:r>
        <w:br w:type="page"/>
      </w:r>
    </w:p>
    <w:p w14:paraId="789CA4C5">
      <w:pPr>
        <w:pStyle w:val="8"/>
        <w:spacing w:before="120" w:after="240"/>
        <w:ind w:left="1151" w:hanging="1151"/>
      </w:pPr>
      <w:r>
        <w:rPr>
          <w:rFonts w:hint="eastAsia"/>
        </w:rPr>
        <w:t>二</w:t>
      </w:r>
      <w:r>
        <w:rPr>
          <w:rFonts w:hint="eastAsia"/>
          <w:lang w:eastAsia="zh-CN"/>
        </w:rPr>
        <w:t>、</w:t>
      </w:r>
      <w:r>
        <w:rPr>
          <w:rFonts w:hint="eastAsia"/>
        </w:rPr>
        <w:t>落实政府采购政策需满足的资格要求</w:t>
      </w:r>
    </w:p>
    <w:p w14:paraId="36EB2A16">
      <w:pPr>
        <w:pStyle w:val="8"/>
        <w:spacing w:before="120" w:after="240"/>
        <w:ind w:left="1151" w:hanging="1151"/>
      </w:pPr>
      <w:r>
        <w:rPr>
          <w:rFonts w:hint="eastAsia"/>
        </w:rPr>
        <w:t>1、中小企业声明函</w:t>
      </w:r>
    </w:p>
    <w:p w14:paraId="6683636A">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ascii="仿宋" w:hAnsi="仿宋" w:cs="仿宋"/>
        </w:rPr>
      </w:pPr>
      <w:r>
        <w:rPr>
          <w:rFonts w:hint="eastAsia" w:ascii="仿宋" w:hAnsi="仿宋" w:cs="仿宋"/>
        </w:rPr>
        <w:t>本公司郑重声明，根据《政府采购促进中小企业发展管理办法》（财库﹝2020﹞46 号）的规定，本公司参加</w:t>
      </w:r>
      <w:r>
        <w:rPr>
          <w:rFonts w:hint="eastAsia" w:ascii="仿宋" w:hAnsi="仿宋" w:cs="仿宋"/>
          <w:u w:val="single"/>
          <w:lang w:val="en-US" w:eastAsia="zh-CN"/>
        </w:rPr>
        <w:t>慈溪市人民政府宗汉街道办事处</w:t>
      </w:r>
      <w:r>
        <w:rPr>
          <w:rFonts w:hint="eastAsia" w:ascii="仿宋" w:hAnsi="仿宋" w:cs="仿宋"/>
        </w:rPr>
        <w:t>的</w:t>
      </w:r>
      <w:r>
        <w:rPr>
          <w:rFonts w:hint="eastAsia" w:ascii="仿宋" w:hAnsi="仿宋" w:cs="仿宋"/>
          <w:u w:val="single"/>
          <w:lang w:eastAsia="zh-CN"/>
        </w:rPr>
        <w:t>慈溪市宗汉街道社会心理服务</w:t>
      </w:r>
      <w:r>
        <w:rPr>
          <w:rFonts w:hint="eastAsia" w:ascii="仿宋" w:hAnsi="仿宋" w:cs="仿宋"/>
        </w:rPr>
        <w:t>采购活动，服务全部由符合政策要求的中小企业承接。相关企业的具体情况如下：</w:t>
      </w:r>
    </w:p>
    <w:p w14:paraId="2432D2AB">
      <w:pPr>
        <w:keepNext w:val="0"/>
        <w:keepLines w:val="0"/>
        <w:pageBreakBefore w:val="0"/>
        <w:widowControl w:val="0"/>
        <w:kinsoku/>
        <w:wordWrap/>
        <w:overflowPunct/>
        <w:topLinePunct w:val="0"/>
        <w:autoSpaceDE/>
        <w:autoSpaceDN/>
        <w:bidi w:val="0"/>
        <w:adjustRightInd w:val="0"/>
        <w:snapToGrid/>
        <w:ind w:firstLine="480"/>
        <w:textAlignment w:val="auto"/>
        <w:rPr>
          <w:rFonts w:ascii="仿宋" w:hAnsi="仿宋" w:cs="仿宋"/>
        </w:rPr>
      </w:pPr>
      <w:r>
        <w:rPr>
          <w:rFonts w:hint="eastAsia" w:ascii="仿宋" w:hAnsi="仿宋" w:cs="仿宋"/>
        </w:rPr>
        <w:t>1.</w:t>
      </w:r>
      <w:r>
        <w:rPr>
          <w:rFonts w:hint="eastAsia" w:ascii="仿宋" w:hAnsi="仿宋" w:cs="仿宋"/>
          <w:u w:val="single"/>
          <w:lang w:eastAsia="zh-CN"/>
        </w:rPr>
        <w:t>慈溪市宗汉街道社会心理服务</w:t>
      </w:r>
      <w:r>
        <w:rPr>
          <w:rFonts w:hint="eastAsia" w:ascii="仿宋" w:hAnsi="仿宋" w:cs="仿宋"/>
        </w:rPr>
        <w:t>，属于</w:t>
      </w:r>
      <w:r>
        <w:rPr>
          <w:rFonts w:hint="eastAsia" w:ascii="仿宋" w:hAnsi="仿宋" w:cs="仿宋"/>
          <w:u w:val="single"/>
          <w:lang w:val="en-US" w:eastAsia="zh-CN"/>
        </w:rPr>
        <w:t>其他未列明行业</w:t>
      </w:r>
      <w:r>
        <w:rPr>
          <w:rFonts w:hint="eastAsia" w:ascii="仿宋" w:hAnsi="仿宋" w:cs="仿宋"/>
        </w:rPr>
        <w:t xml:space="preserve">；承建（承接）企业为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27C8C98D">
      <w:pPr>
        <w:keepNext w:val="0"/>
        <w:keepLines w:val="0"/>
        <w:pageBreakBefore w:val="0"/>
        <w:widowControl w:val="0"/>
        <w:kinsoku/>
        <w:wordWrap/>
        <w:overflowPunct/>
        <w:topLinePunct w:val="0"/>
        <w:autoSpaceDE/>
        <w:autoSpaceDN/>
        <w:bidi w:val="0"/>
        <w:adjustRightInd w:val="0"/>
        <w:snapToGrid/>
        <w:ind w:firstLine="480"/>
        <w:textAlignment w:val="auto"/>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14:paraId="27E9C203">
      <w:pPr>
        <w:keepNext w:val="0"/>
        <w:keepLines w:val="0"/>
        <w:pageBreakBefore w:val="0"/>
        <w:widowControl w:val="0"/>
        <w:kinsoku/>
        <w:wordWrap/>
        <w:overflowPunct/>
        <w:topLinePunct w:val="0"/>
        <w:autoSpaceDE/>
        <w:autoSpaceDN/>
        <w:bidi w:val="0"/>
        <w:adjustRightInd w:val="0"/>
        <w:snapToGrid/>
        <w:ind w:firstLine="480"/>
        <w:textAlignment w:val="auto"/>
        <w:rPr>
          <w:rFonts w:ascii="仿宋" w:hAnsi="仿宋" w:cs="仿宋"/>
        </w:rPr>
      </w:pPr>
      <w:r>
        <w:rPr>
          <w:rFonts w:hint="eastAsia" w:ascii="仿宋" w:hAnsi="仿宋" w:cs="仿宋"/>
        </w:rPr>
        <w:t>本企业对上述声明内容的真实性负责。如有虚假，将依法承担相应责任。</w:t>
      </w:r>
    </w:p>
    <w:p w14:paraId="0A1874BC">
      <w:pPr>
        <w:snapToGrid w:val="0"/>
        <w:ind w:firstLine="5520" w:firstLineChars="2300"/>
        <w:rPr>
          <w:rFonts w:hint="eastAsia" w:ascii="仿宋" w:hAnsi="仿宋" w:cs="仿宋"/>
          <w:kern w:val="0"/>
          <w:lang w:val="zh-CN"/>
        </w:rPr>
      </w:pPr>
    </w:p>
    <w:p w14:paraId="263876E9">
      <w:pPr>
        <w:snapToGrid w:val="0"/>
        <w:ind w:firstLine="5520" w:firstLineChars="2300"/>
        <w:rPr>
          <w:rFonts w:ascii="仿宋" w:hAnsi="仿宋" w:cs="仿宋"/>
          <w:kern w:val="0"/>
        </w:rPr>
      </w:pPr>
      <w:r>
        <w:rPr>
          <w:rFonts w:hint="eastAsia" w:ascii="仿宋" w:hAnsi="仿宋" w:cs="仿宋"/>
          <w:kern w:val="0"/>
          <w:lang w:val="zh-CN"/>
        </w:rPr>
        <w:t>供应商名称（电子签名）：</w:t>
      </w:r>
    </w:p>
    <w:p w14:paraId="04A1EC1E">
      <w:pPr>
        <w:snapToGrid w:val="0"/>
        <w:ind w:firstLine="480"/>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55345D52">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仿宋" w:hAnsi="仿宋" w:cs="仿宋"/>
          <w:b/>
          <w:szCs w:val="21"/>
          <w:lang w:val="en-US" w:eastAsia="zh-CN"/>
        </w:rPr>
      </w:pPr>
    </w:p>
    <w:p w14:paraId="52C56A58">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default" w:ascii="仿宋" w:hAnsi="仿宋" w:eastAsia="仿宋" w:cs="仿宋"/>
          <w:b/>
          <w:szCs w:val="21"/>
          <w:lang w:val="en-US" w:eastAsia="zh-CN"/>
        </w:rPr>
      </w:pPr>
      <w:r>
        <w:rPr>
          <w:rFonts w:hint="eastAsia" w:ascii="仿宋" w:hAnsi="仿宋" w:cs="仿宋"/>
          <w:b/>
          <w:szCs w:val="21"/>
          <w:lang w:val="en-US" w:eastAsia="zh-CN"/>
        </w:rPr>
        <w:t>关于《中小企业声明函》填写说明：</w:t>
      </w:r>
    </w:p>
    <w:p w14:paraId="46BF209C">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仿宋" w:hAnsi="仿宋" w:cs="仿宋"/>
          <w:b/>
          <w:szCs w:val="21"/>
        </w:rPr>
      </w:pPr>
      <w:r>
        <w:rPr>
          <w:rFonts w:hint="eastAsia" w:ascii="仿宋" w:hAnsi="仿宋" w:cs="仿宋"/>
          <w:b/>
          <w:szCs w:val="21"/>
          <w:lang w:val="en-US" w:eastAsia="zh-CN"/>
        </w:rPr>
        <w:t>1.</w:t>
      </w:r>
      <w:r>
        <w:rPr>
          <w:rFonts w:hint="eastAsia" w:ascii="仿宋" w:hAnsi="仿宋" w:cs="仿宋"/>
          <w:b/>
          <w:szCs w:val="21"/>
        </w:rPr>
        <w:t>从业人员、营业收入、资产总额填报上一年度数据，无上一年度数据的新成立企业可不填报。</w:t>
      </w:r>
    </w:p>
    <w:p w14:paraId="17FAEE81">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仿宋" w:hAnsi="仿宋" w:cs="仿宋"/>
          <w:b/>
          <w:szCs w:val="21"/>
          <w:lang w:val="en-US" w:eastAsia="zh-CN"/>
        </w:rPr>
      </w:pPr>
      <w:r>
        <w:rPr>
          <w:rFonts w:hint="eastAsia" w:ascii="仿宋" w:hAnsi="仿宋" w:cs="仿宋"/>
          <w:b/>
          <w:szCs w:val="21"/>
          <w:lang w:val="en-US" w:eastAsia="zh-CN"/>
        </w:rPr>
        <w:t>2.</w:t>
      </w:r>
      <w:r>
        <w:rPr>
          <w:rFonts w:hint="eastAsia" w:ascii="仿宋" w:hAnsi="仿宋" w:cs="仿宋"/>
          <w:b/>
          <w:szCs w:val="21"/>
          <w:u w:val="single"/>
          <w:lang w:val="en-US" w:eastAsia="zh-CN"/>
        </w:rPr>
        <w:t>类型错误，投标无效。</w:t>
      </w:r>
      <w:r>
        <w:rPr>
          <w:rFonts w:hint="eastAsia" w:ascii="仿宋" w:hAnsi="仿宋" w:cs="仿宋"/>
          <w:b/>
          <w:szCs w:val="21"/>
          <w:lang w:val="en-US" w:eastAsia="zh-CN"/>
        </w:rPr>
        <w:t>如果供应商声明的类型获得了本不应获得的利益（价格扣除或者资格审查通过），则属于提供虚假材料谋取中标（成交）。</w:t>
      </w:r>
    </w:p>
    <w:p w14:paraId="59FCBD41">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仿宋" w:hAnsi="仿宋" w:cs="仿宋"/>
          <w:b/>
          <w:szCs w:val="21"/>
          <w:lang w:eastAsia="zh-CN"/>
        </w:rPr>
      </w:pPr>
      <w:r>
        <w:rPr>
          <w:rFonts w:hint="eastAsia" w:ascii="仿宋" w:hAnsi="仿宋" w:cs="仿宋"/>
          <w:b/>
          <w:szCs w:val="21"/>
          <w:lang w:val="en-US" w:eastAsia="zh-CN"/>
        </w:rPr>
        <w:t>3.填</w:t>
      </w:r>
      <w:r>
        <w:rPr>
          <w:rFonts w:hint="eastAsia" w:ascii="仿宋" w:hAnsi="仿宋" w:cs="仿宋"/>
          <w:b/>
          <w:szCs w:val="21"/>
          <w:u w:val="single"/>
          <w:lang w:val="en-US" w:eastAsia="zh-CN"/>
        </w:rPr>
        <w:t>写行业错误或者未填写的，投标无效</w:t>
      </w:r>
      <w:r>
        <w:rPr>
          <w:rFonts w:hint="eastAsia" w:ascii="仿宋" w:hAnsi="仿宋" w:cs="仿宋"/>
          <w:b/>
          <w:szCs w:val="21"/>
          <w:lang w:val="en-US" w:eastAsia="zh-CN"/>
        </w:rPr>
        <w:t>。</w:t>
      </w:r>
    </w:p>
    <w:p w14:paraId="0EA77E06">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仿宋" w:hAnsi="仿宋" w:cs="仿宋"/>
          <w:b/>
          <w:szCs w:val="21"/>
          <w:lang w:val="en-US" w:eastAsia="zh-CN"/>
        </w:rPr>
      </w:pPr>
      <w:r>
        <w:rPr>
          <w:rFonts w:hint="eastAsia" w:ascii="仿宋" w:hAnsi="仿宋" w:cs="仿宋"/>
          <w:b/>
          <w:szCs w:val="21"/>
          <w:lang w:val="en-US" w:eastAsia="zh-CN"/>
        </w:rPr>
        <w:t>4.</w:t>
      </w:r>
      <w:r>
        <w:rPr>
          <w:rFonts w:hint="eastAsia" w:ascii="仿宋" w:hAnsi="仿宋" w:cs="仿宋"/>
          <w:b/>
          <w:szCs w:val="21"/>
          <w:u w:val="single"/>
          <w:lang w:val="en-US" w:eastAsia="zh-CN"/>
        </w:rPr>
        <w:t>本年度新成立的公司，也需要提供声明函，在声明函中对营业收入、资产总额、从业人员的数据可以不填写，对企业类型以及是否</w:t>
      </w:r>
      <w:r>
        <w:rPr>
          <w:rFonts w:hint="eastAsia" w:ascii="仿宋" w:hAnsi="仿宋" w:cs="仿宋"/>
          <w:b/>
          <w:szCs w:val="21"/>
          <w:u w:val="single"/>
        </w:rPr>
        <w:t>与大企业的负责人为同一人，或者与大企业存在直接控股、管理关系</w:t>
      </w:r>
      <w:r>
        <w:rPr>
          <w:rFonts w:hint="eastAsia" w:ascii="仿宋" w:hAnsi="仿宋" w:cs="仿宋"/>
          <w:b/>
          <w:szCs w:val="21"/>
          <w:u w:val="single"/>
          <w:lang w:val="en-US" w:eastAsia="zh-CN"/>
        </w:rPr>
        <w:t>进行声明，否则声明函无效</w:t>
      </w:r>
      <w:r>
        <w:rPr>
          <w:rFonts w:hint="eastAsia" w:ascii="仿宋" w:hAnsi="仿宋" w:cs="仿宋"/>
          <w:b/>
          <w:szCs w:val="21"/>
          <w:lang w:val="en-US" w:eastAsia="zh-CN"/>
        </w:rPr>
        <w:t>。</w:t>
      </w:r>
    </w:p>
    <w:p w14:paraId="76B72734">
      <w:pPr>
        <w:rPr>
          <w:rFonts w:hint="eastAsia" w:ascii="仿宋" w:hAnsi="仿宋" w:cs="仿宋"/>
          <w:b/>
          <w:szCs w:val="21"/>
          <w:lang w:val="en-US" w:eastAsia="zh-CN"/>
        </w:rPr>
      </w:pPr>
      <w:r>
        <w:rPr>
          <w:rFonts w:hint="eastAsia" w:ascii="仿宋" w:hAnsi="仿宋" w:cs="仿宋"/>
          <w:b/>
          <w:szCs w:val="21"/>
          <w:lang w:val="en-US" w:eastAsia="zh-CN"/>
        </w:rPr>
        <w:br w:type="page"/>
      </w:r>
    </w:p>
    <w:p w14:paraId="3950BAE8">
      <w:pPr>
        <w:keepNext w:val="0"/>
        <w:keepLines w:val="0"/>
        <w:pageBreakBefore w:val="0"/>
        <w:widowControl w:val="0"/>
        <w:kinsoku/>
        <w:wordWrap/>
        <w:overflowPunct/>
        <w:topLinePunct w:val="0"/>
        <w:autoSpaceDE/>
        <w:autoSpaceDN/>
        <w:bidi w:val="0"/>
        <w:adjustRightInd w:val="0"/>
        <w:snapToGrid/>
        <w:ind w:left="0" w:leftChars="0" w:right="0" w:firstLine="0" w:firstLineChars="0"/>
        <w:jc w:val="center"/>
        <w:textAlignment w:val="auto"/>
        <w:rPr>
          <w:rFonts w:ascii="仿宋" w:hAnsi="仿宋" w:cs="仿宋"/>
          <w:b/>
          <w:kern w:val="0"/>
          <w:sz w:val="36"/>
          <w:szCs w:val="36"/>
        </w:rPr>
      </w:pPr>
      <w:r>
        <w:rPr>
          <w:rFonts w:hint="eastAsia" w:ascii="仿宋" w:hAnsi="仿宋" w:eastAsia="仿宋" w:cs="仿宋"/>
          <w:b/>
          <w:bCs/>
          <w:color w:val="auto"/>
          <w:sz w:val="24"/>
        </w:rPr>
        <w:t>中小微行业划型标准规定（根据工信部联企业〔2011〕300号制定）</w:t>
      </w:r>
    </w:p>
    <w:tbl>
      <w:tblPr>
        <w:tblStyle w:val="63"/>
        <w:tblW w:w="4997" w:type="pct"/>
        <w:jc w:val="center"/>
        <w:tblLayout w:type="autofit"/>
        <w:tblCellMar>
          <w:top w:w="0" w:type="dxa"/>
          <w:left w:w="108" w:type="dxa"/>
          <w:bottom w:w="0" w:type="dxa"/>
          <w:right w:w="108" w:type="dxa"/>
        </w:tblCellMar>
      </w:tblPr>
      <w:tblGrid>
        <w:gridCol w:w="980"/>
        <w:gridCol w:w="900"/>
        <w:gridCol w:w="985"/>
        <w:gridCol w:w="987"/>
        <w:gridCol w:w="902"/>
        <w:gridCol w:w="985"/>
        <w:gridCol w:w="987"/>
        <w:gridCol w:w="846"/>
        <w:gridCol w:w="821"/>
        <w:gridCol w:w="843"/>
      </w:tblGrid>
      <w:tr w14:paraId="7EBE9986">
        <w:tblPrEx>
          <w:tblCellMar>
            <w:top w:w="0" w:type="dxa"/>
            <w:left w:w="108" w:type="dxa"/>
            <w:bottom w:w="0" w:type="dxa"/>
            <w:right w:w="108" w:type="dxa"/>
          </w:tblCellMar>
        </w:tblPrEx>
        <w:trPr>
          <w:trHeight w:val="266" w:hRule="atLeast"/>
          <w:jc w:val="center"/>
        </w:trPr>
        <w:tc>
          <w:tcPr>
            <w:tcW w:w="531" w:type="pct"/>
            <w:vMerge w:val="restart"/>
            <w:tcBorders>
              <w:top w:val="single" w:color="auto" w:sz="8" w:space="0"/>
              <w:left w:val="single" w:color="auto" w:sz="8" w:space="0"/>
              <w:bottom w:val="single" w:color="000000" w:sz="4" w:space="0"/>
              <w:right w:val="single" w:color="auto" w:sz="8" w:space="0"/>
            </w:tcBorders>
            <w:noWrap w:val="0"/>
            <w:vAlign w:val="center"/>
          </w:tcPr>
          <w:p w14:paraId="24DABA2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行业</w:t>
            </w:r>
          </w:p>
        </w:tc>
        <w:tc>
          <w:tcPr>
            <w:tcW w:w="1554" w:type="pct"/>
            <w:gridSpan w:val="3"/>
            <w:tcBorders>
              <w:top w:val="single" w:color="auto" w:sz="8" w:space="0"/>
              <w:left w:val="nil"/>
              <w:bottom w:val="single" w:color="auto" w:sz="4" w:space="0"/>
              <w:right w:val="single" w:color="000000" w:sz="8" w:space="0"/>
            </w:tcBorders>
            <w:noWrap w:val="0"/>
            <w:vAlign w:val="center"/>
          </w:tcPr>
          <w:p w14:paraId="7261DE8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中型企业</w:t>
            </w:r>
          </w:p>
        </w:tc>
        <w:tc>
          <w:tcPr>
            <w:tcW w:w="1555" w:type="pct"/>
            <w:gridSpan w:val="3"/>
            <w:tcBorders>
              <w:top w:val="single" w:color="auto" w:sz="8" w:space="0"/>
              <w:left w:val="nil"/>
              <w:bottom w:val="single" w:color="auto" w:sz="4" w:space="0"/>
              <w:right w:val="single" w:color="000000" w:sz="8" w:space="0"/>
            </w:tcBorders>
            <w:noWrap w:val="0"/>
            <w:vAlign w:val="center"/>
          </w:tcPr>
          <w:p w14:paraId="037644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小型企业</w:t>
            </w:r>
          </w:p>
        </w:tc>
        <w:tc>
          <w:tcPr>
            <w:tcW w:w="1358" w:type="pct"/>
            <w:gridSpan w:val="3"/>
            <w:tcBorders>
              <w:top w:val="single" w:color="auto" w:sz="8" w:space="0"/>
              <w:left w:val="nil"/>
              <w:bottom w:val="single" w:color="auto" w:sz="4" w:space="0"/>
              <w:right w:val="single" w:color="000000" w:sz="8" w:space="0"/>
            </w:tcBorders>
            <w:noWrap w:val="0"/>
            <w:vAlign w:val="center"/>
          </w:tcPr>
          <w:p w14:paraId="007DE2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微型企业</w:t>
            </w:r>
          </w:p>
        </w:tc>
      </w:tr>
      <w:tr w14:paraId="6460CE6C">
        <w:tblPrEx>
          <w:tblCellMar>
            <w:top w:w="0" w:type="dxa"/>
            <w:left w:w="108" w:type="dxa"/>
            <w:bottom w:w="0" w:type="dxa"/>
            <w:right w:w="108" w:type="dxa"/>
          </w:tblCellMar>
        </w:tblPrEx>
        <w:trPr>
          <w:trHeight w:val="512" w:hRule="atLeast"/>
          <w:jc w:val="center"/>
        </w:trPr>
        <w:tc>
          <w:tcPr>
            <w:tcW w:w="531" w:type="pct"/>
            <w:vMerge w:val="continue"/>
            <w:tcBorders>
              <w:top w:val="single" w:color="auto" w:sz="8" w:space="0"/>
              <w:left w:val="single" w:color="auto" w:sz="8" w:space="0"/>
              <w:bottom w:val="single" w:color="000000" w:sz="4" w:space="0"/>
              <w:right w:val="single" w:color="auto" w:sz="8" w:space="0"/>
            </w:tcBorders>
            <w:noWrap w:val="0"/>
            <w:vAlign w:val="center"/>
          </w:tcPr>
          <w:p w14:paraId="6DDC40C2">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仿宋" w:hAnsi="仿宋" w:eastAsia="仿宋" w:cs="仿宋"/>
                <w:b/>
                <w:bCs/>
                <w:color w:val="auto"/>
                <w:sz w:val="21"/>
                <w:szCs w:val="21"/>
              </w:rPr>
            </w:pPr>
          </w:p>
        </w:tc>
        <w:tc>
          <w:tcPr>
            <w:tcW w:w="487" w:type="pct"/>
            <w:tcBorders>
              <w:top w:val="nil"/>
              <w:left w:val="nil"/>
              <w:bottom w:val="single" w:color="auto" w:sz="4" w:space="0"/>
              <w:right w:val="single" w:color="auto" w:sz="4" w:space="0"/>
            </w:tcBorders>
            <w:noWrap w:val="0"/>
            <w:vAlign w:val="center"/>
          </w:tcPr>
          <w:p w14:paraId="14980FF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从业人员X（人）</w:t>
            </w:r>
          </w:p>
        </w:tc>
        <w:tc>
          <w:tcPr>
            <w:tcW w:w="533" w:type="pct"/>
            <w:tcBorders>
              <w:top w:val="nil"/>
              <w:left w:val="nil"/>
              <w:bottom w:val="single" w:color="auto" w:sz="4" w:space="0"/>
              <w:right w:val="single" w:color="auto" w:sz="4" w:space="0"/>
            </w:tcBorders>
            <w:noWrap w:val="0"/>
            <w:vAlign w:val="center"/>
          </w:tcPr>
          <w:p w14:paraId="3742351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营业收入Y</w:t>
            </w:r>
          </w:p>
          <w:p w14:paraId="7C5334D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（万元）</w:t>
            </w:r>
          </w:p>
        </w:tc>
        <w:tc>
          <w:tcPr>
            <w:tcW w:w="534" w:type="pct"/>
            <w:tcBorders>
              <w:top w:val="nil"/>
              <w:left w:val="nil"/>
              <w:bottom w:val="single" w:color="auto" w:sz="4" w:space="0"/>
              <w:right w:val="single" w:color="auto" w:sz="8" w:space="0"/>
            </w:tcBorders>
            <w:noWrap w:val="0"/>
            <w:vAlign w:val="center"/>
          </w:tcPr>
          <w:p w14:paraId="29084F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资产总额Z</w:t>
            </w:r>
          </w:p>
          <w:p w14:paraId="28D8068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（万元）</w:t>
            </w:r>
          </w:p>
        </w:tc>
        <w:tc>
          <w:tcPr>
            <w:tcW w:w="488" w:type="pct"/>
            <w:tcBorders>
              <w:top w:val="nil"/>
              <w:left w:val="nil"/>
              <w:bottom w:val="single" w:color="auto" w:sz="4" w:space="0"/>
              <w:right w:val="single" w:color="auto" w:sz="4" w:space="0"/>
            </w:tcBorders>
            <w:noWrap w:val="0"/>
            <w:vAlign w:val="center"/>
          </w:tcPr>
          <w:p w14:paraId="66BEE7E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从业人员X（人）</w:t>
            </w:r>
          </w:p>
        </w:tc>
        <w:tc>
          <w:tcPr>
            <w:tcW w:w="533" w:type="pct"/>
            <w:tcBorders>
              <w:top w:val="nil"/>
              <w:left w:val="nil"/>
              <w:bottom w:val="single" w:color="auto" w:sz="4" w:space="0"/>
              <w:right w:val="single" w:color="auto" w:sz="4" w:space="0"/>
            </w:tcBorders>
            <w:noWrap w:val="0"/>
            <w:vAlign w:val="center"/>
          </w:tcPr>
          <w:p w14:paraId="5F5460A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营业收入Y</w:t>
            </w:r>
          </w:p>
          <w:p w14:paraId="3119FDC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（万元）</w:t>
            </w:r>
          </w:p>
        </w:tc>
        <w:tc>
          <w:tcPr>
            <w:tcW w:w="534" w:type="pct"/>
            <w:tcBorders>
              <w:top w:val="nil"/>
              <w:left w:val="nil"/>
              <w:bottom w:val="single" w:color="auto" w:sz="4" w:space="0"/>
              <w:right w:val="single" w:color="auto" w:sz="8" w:space="0"/>
            </w:tcBorders>
            <w:noWrap w:val="0"/>
            <w:vAlign w:val="center"/>
          </w:tcPr>
          <w:p w14:paraId="01E3BE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资产总额Z</w:t>
            </w:r>
          </w:p>
          <w:p w14:paraId="26016C6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（万元）</w:t>
            </w:r>
          </w:p>
        </w:tc>
        <w:tc>
          <w:tcPr>
            <w:tcW w:w="458" w:type="pct"/>
            <w:tcBorders>
              <w:top w:val="nil"/>
              <w:left w:val="nil"/>
              <w:bottom w:val="single" w:color="auto" w:sz="4" w:space="0"/>
              <w:right w:val="single" w:color="auto" w:sz="4" w:space="0"/>
            </w:tcBorders>
            <w:noWrap w:val="0"/>
            <w:vAlign w:val="center"/>
          </w:tcPr>
          <w:p w14:paraId="24B2780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从业人员X（人）</w:t>
            </w:r>
          </w:p>
        </w:tc>
        <w:tc>
          <w:tcPr>
            <w:tcW w:w="444" w:type="pct"/>
            <w:tcBorders>
              <w:top w:val="nil"/>
              <w:left w:val="nil"/>
              <w:bottom w:val="single" w:color="auto" w:sz="4" w:space="0"/>
              <w:right w:val="single" w:color="auto" w:sz="4" w:space="0"/>
            </w:tcBorders>
            <w:noWrap w:val="0"/>
            <w:vAlign w:val="center"/>
          </w:tcPr>
          <w:p w14:paraId="1B793FA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营业收入Y（万元）</w:t>
            </w:r>
          </w:p>
        </w:tc>
        <w:tc>
          <w:tcPr>
            <w:tcW w:w="455" w:type="pct"/>
            <w:tcBorders>
              <w:top w:val="nil"/>
              <w:left w:val="nil"/>
              <w:bottom w:val="single" w:color="auto" w:sz="4" w:space="0"/>
              <w:right w:val="single" w:color="auto" w:sz="8" w:space="0"/>
            </w:tcBorders>
            <w:noWrap w:val="0"/>
            <w:vAlign w:val="center"/>
          </w:tcPr>
          <w:p w14:paraId="1AC993B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资产总额Z（万元）</w:t>
            </w:r>
          </w:p>
        </w:tc>
      </w:tr>
      <w:tr w14:paraId="45246B49">
        <w:tblPrEx>
          <w:tblCellMar>
            <w:top w:w="0" w:type="dxa"/>
            <w:left w:w="108" w:type="dxa"/>
            <w:bottom w:w="0" w:type="dxa"/>
            <w:right w:w="108" w:type="dxa"/>
          </w:tblCellMar>
        </w:tblPrEx>
        <w:trPr>
          <w:trHeight w:val="350" w:hRule="atLeast"/>
          <w:jc w:val="center"/>
        </w:trPr>
        <w:tc>
          <w:tcPr>
            <w:tcW w:w="531" w:type="pct"/>
            <w:tcBorders>
              <w:top w:val="nil"/>
              <w:left w:val="single" w:color="auto" w:sz="8" w:space="0"/>
              <w:bottom w:val="single" w:color="auto" w:sz="4" w:space="0"/>
              <w:right w:val="single" w:color="auto" w:sz="8" w:space="0"/>
            </w:tcBorders>
            <w:noWrap w:val="0"/>
            <w:vAlign w:val="center"/>
          </w:tcPr>
          <w:p w14:paraId="596AB25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农林牧渔业</w:t>
            </w:r>
          </w:p>
        </w:tc>
        <w:tc>
          <w:tcPr>
            <w:tcW w:w="487" w:type="pct"/>
            <w:tcBorders>
              <w:top w:val="nil"/>
              <w:left w:val="nil"/>
              <w:bottom w:val="single" w:color="auto" w:sz="4" w:space="0"/>
              <w:right w:val="single" w:color="auto" w:sz="4" w:space="0"/>
            </w:tcBorders>
            <w:noWrap w:val="0"/>
            <w:vAlign w:val="center"/>
          </w:tcPr>
          <w:p w14:paraId="5EABC0B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7331FDC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500≤Y＜20000</w:t>
            </w:r>
          </w:p>
        </w:tc>
        <w:tc>
          <w:tcPr>
            <w:tcW w:w="534" w:type="pct"/>
            <w:tcBorders>
              <w:top w:val="nil"/>
              <w:left w:val="nil"/>
              <w:bottom w:val="single" w:color="auto" w:sz="4" w:space="0"/>
              <w:right w:val="single" w:color="auto" w:sz="8" w:space="0"/>
            </w:tcBorders>
            <w:noWrap w:val="0"/>
            <w:vAlign w:val="center"/>
          </w:tcPr>
          <w:p w14:paraId="1557367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227AD72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552DA8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50≤Y＜500</w:t>
            </w:r>
          </w:p>
        </w:tc>
        <w:tc>
          <w:tcPr>
            <w:tcW w:w="534" w:type="pct"/>
            <w:tcBorders>
              <w:top w:val="nil"/>
              <w:left w:val="nil"/>
              <w:bottom w:val="single" w:color="auto" w:sz="4" w:space="0"/>
              <w:right w:val="single" w:color="auto" w:sz="8" w:space="0"/>
            </w:tcBorders>
            <w:noWrap w:val="0"/>
            <w:vAlign w:val="center"/>
          </w:tcPr>
          <w:p w14:paraId="038279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5CC12C4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44" w:type="pct"/>
            <w:tcBorders>
              <w:top w:val="nil"/>
              <w:left w:val="nil"/>
              <w:bottom w:val="single" w:color="auto" w:sz="4" w:space="0"/>
              <w:right w:val="single" w:color="auto" w:sz="4" w:space="0"/>
            </w:tcBorders>
            <w:noWrap w:val="0"/>
            <w:vAlign w:val="center"/>
          </w:tcPr>
          <w:p w14:paraId="09AA553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Y＜50</w:t>
            </w:r>
          </w:p>
        </w:tc>
        <w:tc>
          <w:tcPr>
            <w:tcW w:w="455" w:type="pct"/>
            <w:tcBorders>
              <w:top w:val="nil"/>
              <w:left w:val="nil"/>
              <w:bottom w:val="single" w:color="auto" w:sz="4" w:space="0"/>
              <w:right w:val="single" w:color="auto" w:sz="8" w:space="0"/>
            </w:tcBorders>
            <w:noWrap w:val="0"/>
            <w:vAlign w:val="center"/>
          </w:tcPr>
          <w:p w14:paraId="74E499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33CE25E9">
        <w:tblPrEx>
          <w:tblCellMar>
            <w:top w:w="0" w:type="dxa"/>
            <w:left w:w="108" w:type="dxa"/>
            <w:bottom w:w="0" w:type="dxa"/>
            <w:right w:w="108" w:type="dxa"/>
          </w:tblCellMar>
        </w:tblPrEx>
        <w:trPr>
          <w:trHeight w:val="360" w:hRule="atLeast"/>
          <w:jc w:val="center"/>
        </w:trPr>
        <w:tc>
          <w:tcPr>
            <w:tcW w:w="531" w:type="pct"/>
            <w:tcBorders>
              <w:top w:val="nil"/>
              <w:left w:val="single" w:color="auto" w:sz="8" w:space="0"/>
              <w:bottom w:val="single" w:color="auto" w:sz="4" w:space="0"/>
              <w:right w:val="single" w:color="auto" w:sz="8" w:space="0"/>
            </w:tcBorders>
            <w:noWrap w:val="0"/>
            <w:vAlign w:val="center"/>
          </w:tcPr>
          <w:p w14:paraId="7202AE8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工业</w:t>
            </w:r>
          </w:p>
        </w:tc>
        <w:tc>
          <w:tcPr>
            <w:tcW w:w="487" w:type="pct"/>
            <w:tcBorders>
              <w:top w:val="nil"/>
              <w:left w:val="nil"/>
              <w:bottom w:val="single" w:color="auto" w:sz="4" w:space="0"/>
              <w:right w:val="single" w:color="auto" w:sz="4" w:space="0"/>
            </w:tcBorders>
            <w:noWrap w:val="0"/>
            <w:vAlign w:val="center"/>
          </w:tcPr>
          <w:p w14:paraId="662377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300≤X＜1000</w:t>
            </w:r>
          </w:p>
        </w:tc>
        <w:tc>
          <w:tcPr>
            <w:tcW w:w="533" w:type="pct"/>
            <w:tcBorders>
              <w:top w:val="nil"/>
              <w:left w:val="nil"/>
              <w:bottom w:val="single" w:color="auto" w:sz="4" w:space="0"/>
              <w:right w:val="single" w:color="auto" w:sz="4" w:space="0"/>
            </w:tcBorders>
            <w:noWrap w:val="0"/>
            <w:vAlign w:val="center"/>
          </w:tcPr>
          <w:p w14:paraId="12BC2B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2000≤Y＜40000</w:t>
            </w:r>
          </w:p>
        </w:tc>
        <w:tc>
          <w:tcPr>
            <w:tcW w:w="534" w:type="pct"/>
            <w:tcBorders>
              <w:top w:val="nil"/>
              <w:left w:val="nil"/>
              <w:bottom w:val="single" w:color="auto" w:sz="4" w:space="0"/>
              <w:right w:val="single" w:color="auto" w:sz="8" w:space="0"/>
            </w:tcBorders>
            <w:noWrap w:val="0"/>
            <w:vAlign w:val="center"/>
          </w:tcPr>
          <w:p w14:paraId="5176D4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5B1DB67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20≤X＜300</w:t>
            </w:r>
          </w:p>
        </w:tc>
        <w:tc>
          <w:tcPr>
            <w:tcW w:w="533" w:type="pct"/>
            <w:tcBorders>
              <w:top w:val="nil"/>
              <w:left w:val="nil"/>
              <w:bottom w:val="single" w:color="auto" w:sz="4" w:space="0"/>
              <w:right w:val="single" w:color="auto" w:sz="4" w:space="0"/>
            </w:tcBorders>
            <w:noWrap w:val="0"/>
            <w:vAlign w:val="center"/>
          </w:tcPr>
          <w:p w14:paraId="66D28DC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300≤Y＜2000</w:t>
            </w:r>
          </w:p>
        </w:tc>
        <w:tc>
          <w:tcPr>
            <w:tcW w:w="534" w:type="pct"/>
            <w:tcBorders>
              <w:top w:val="nil"/>
              <w:left w:val="nil"/>
              <w:bottom w:val="single" w:color="auto" w:sz="4" w:space="0"/>
              <w:right w:val="single" w:color="auto" w:sz="8" w:space="0"/>
            </w:tcBorders>
            <w:noWrap w:val="0"/>
            <w:vAlign w:val="center"/>
          </w:tcPr>
          <w:p w14:paraId="0D3AA72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7DEC2D7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X＜20</w:t>
            </w:r>
          </w:p>
        </w:tc>
        <w:tc>
          <w:tcPr>
            <w:tcW w:w="444" w:type="pct"/>
            <w:tcBorders>
              <w:top w:val="nil"/>
              <w:left w:val="nil"/>
              <w:bottom w:val="single" w:color="auto" w:sz="4" w:space="0"/>
              <w:right w:val="single" w:color="auto" w:sz="4" w:space="0"/>
            </w:tcBorders>
            <w:noWrap w:val="0"/>
            <w:vAlign w:val="center"/>
          </w:tcPr>
          <w:p w14:paraId="4AAE763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Y＜300</w:t>
            </w:r>
          </w:p>
        </w:tc>
        <w:tc>
          <w:tcPr>
            <w:tcW w:w="455" w:type="pct"/>
            <w:tcBorders>
              <w:top w:val="nil"/>
              <w:left w:val="nil"/>
              <w:bottom w:val="single" w:color="auto" w:sz="4" w:space="0"/>
              <w:right w:val="single" w:color="auto" w:sz="8" w:space="0"/>
            </w:tcBorders>
            <w:noWrap w:val="0"/>
            <w:vAlign w:val="center"/>
          </w:tcPr>
          <w:p w14:paraId="327F5CA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0CE85DE8">
        <w:tblPrEx>
          <w:tblCellMar>
            <w:top w:w="0" w:type="dxa"/>
            <w:left w:w="108" w:type="dxa"/>
            <w:bottom w:w="0" w:type="dxa"/>
            <w:right w:w="108" w:type="dxa"/>
          </w:tblCellMar>
        </w:tblPrEx>
        <w:trPr>
          <w:trHeight w:val="331" w:hRule="atLeast"/>
          <w:jc w:val="center"/>
        </w:trPr>
        <w:tc>
          <w:tcPr>
            <w:tcW w:w="531" w:type="pct"/>
            <w:tcBorders>
              <w:top w:val="nil"/>
              <w:left w:val="single" w:color="auto" w:sz="8" w:space="0"/>
              <w:bottom w:val="single" w:color="auto" w:sz="4" w:space="0"/>
              <w:right w:val="single" w:color="auto" w:sz="8" w:space="0"/>
            </w:tcBorders>
            <w:noWrap w:val="0"/>
            <w:vAlign w:val="center"/>
          </w:tcPr>
          <w:p w14:paraId="3340EF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建筑业</w:t>
            </w:r>
          </w:p>
        </w:tc>
        <w:tc>
          <w:tcPr>
            <w:tcW w:w="487" w:type="pct"/>
            <w:tcBorders>
              <w:top w:val="nil"/>
              <w:left w:val="nil"/>
              <w:bottom w:val="single" w:color="auto" w:sz="4" w:space="0"/>
              <w:right w:val="single" w:color="auto" w:sz="4" w:space="0"/>
            </w:tcBorders>
            <w:noWrap w:val="0"/>
            <w:vAlign w:val="center"/>
          </w:tcPr>
          <w:p w14:paraId="4A63FC4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2B838FF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6000≤Y＜80000</w:t>
            </w:r>
          </w:p>
        </w:tc>
        <w:tc>
          <w:tcPr>
            <w:tcW w:w="534" w:type="pct"/>
            <w:tcBorders>
              <w:top w:val="nil"/>
              <w:left w:val="nil"/>
              <w:bottom w:val="single" w:color="auto" w:sz="4" w:space="0"/>
              <w:right w:val="single" w:color="auto" w:sz="8" w:space="0"/>
            </w:tcBorders>
            <w:noWrap w:val="0"/>
            <w:vAlign w:val="center"/>
          </w:tcPr>
          <w:p w14:paraId="6C81EF9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5000≤Z＜80000</w:t>
            </w:r>
          </w:p>
        </w:tc>
        <w:tc>
          <w:tcPr>
            <w:tcW w:w="488" w:type="pct"/>
            <w:tcBorders>
              <w:top w:val="nil"/>
              <w:left w:val="nil"/>
              <w:bottom w:val="single" w:color="auto" w:sz="4" w:space="0"/>
              <w:right w:val="single" w:color="auto" w:sz="4" w:space="0"/>
            </w:tcBorders>
            <w:noWrap w:val="0"/>
            <w:vAlign w:val="center"/>
          </w:tcPr>
          <w:p w14:paraId="1169D2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1798B1C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300≤Y＜6000</w:t>
            </w:r>
          </w:p>
        </w:tc>
        <w:tc>
          <w:tcPr>
            <w:tcW w:w="534" w:type="pct"/>
            <w:tcBorders>
              <w:top w:val="nil"/>
              <w:left w:val="nil"/>
              <w:bottom w:val="single" w:color="auto" w:sz="4" w:space="0"/>
              <w:right w:val="single" w:color="auto" w:sz="8" w:space="0"/>
            </w:tcBorders>
            <w:noWrap w:val="0"/>
            <w:vAlign w:val="center"/>
          </w:tcPr>
          <w:p w14:paraId="105427B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300≤Z＜5000</w:t>
            </w:r>
          </w:p>
        </w:tc>
        <w:tc>
          <w:tcPr>
            <w:tcW w:w="458" w:type="pct"/>
            <w:tcBorders>
              <w:top w:val="nil"/>
              <w:left w:val="nil"/>
              <w:bottom w:val="single" w:color="auto" w:sz="4" w:space="0"/>
              <w:right w:val="single" w:color="auto" w:sz="4" w:space="0"/>
            </w:tcBorders>
            <w:noWrap w:val="0"/>
            <w:vAlign w:val="center"/>
          </w:tcPr>
          <w:p w14:paraId="1EE1ADB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44" w:type="pct"/>
            <w:tcBorders>
              <w:top w:val="nil"/>
              <w:left w:val="nil"/>
              <w:bottom w:val="single" w:color="auto" w:sz="4" w:space="0"/>
              <w:right w:val="single" w:color="auto" w:sz="4" w:space="0"/>
            </w:tcBorders>
            <w:noWrap w:val="0"/>
            <w:vAlign w:val="center"/>
          </w:tcPr>
          <w:p w14:paraId="3F0B5B6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Y＜300</w:t>
            </w:r>
          </w:p>
        </w:tc>
        <w:tc>
          <w:tcPr>
            <w:tcW w:w="455" w:type="pct"/>
            <w:tcBorders>
              <w:top w:val="nil"/>
              <w:left w:val="nil"/>
              <w:bottom w:val="single" w:color="auto" w:sz="4" w:space="0"/>
              <w:right w:val="single" w:color="auto" w:sz="8" w:space="0"/>
            </w:tcBorders>
            <w:noWrap w:val="0"/>
            <w:vAlign w:val="center"/>
          </w:tcPr>
          <w:p w14:paraId="069E228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Z＜300</w:t>
            </w:r>
          </w:p>
        </w:tc>
      </w:tr>
      <w:tr w14:paraId="0BF0AE0B">
        <w:tblPrEx>
          <w:tblCellMar>
            <w:top w:w="0" w:type="dxa"/>
            <w:left w:w="108" w:type="dxa"/>
            <w:bottom w:w="0" w:type="dxa"/>
            <w:right w:w="108" w:type="dxa"/>
          </w:tblCellMar>
        </w:tblPrEx>
        <w:trPr>
          <w:trHeight w:val="317" w:hRule="atLeast"/>
          <w:jc w:val="center"/>
        </w:trPr>
        <w:tc>
          <w:tcPr>
            <w:tcW w:w="531" w:type="pct"/>
            <w:tcBorders>
              <w:top w:val="nil"/>
              <w:left w:val="single" w:color="auto" w:sz="8" w:space="0"/>
              <w:bottom w:val="single" w:color="auto" w:sz="4" w:space="0"/>
              <w:right w:val="single" w:color="auto" w:sz="8" w:space="0"/>
            </w:tcBorders>
            <w:noWrap w:val="0"/>
            <w:vAlign w:val="center"/>
          </w:tcPr>
          <w:p w14:paraId="45B97C9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批发业</w:t>
            </w:r>
          </w:p>
        </w:tc>
        <w:tc>
          <w:tcPr>
            <w:tcW w:w="487" w:type="pct"/>
            <w:tcBorders>
              <w:top w:val="nil"/>
              <w:left w:val="nil"/>
              <w:bottom w:val="single" w:color="auto" w:sz="4" w:space="0"/>
              <w:right w:val="single" w:color="auto" w:sz="4" w:space="0"/>
            </w:tcBorders>
            <w:noWrap w:val="0"/>
            <w:vAlign w:val="center"/>
          </w:tcPr>
          <w:p w14:paraId="779E081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20≤X＜200</w:t>
            </w:r>
          </w:p>
        </w:tc>
        <w:tc>
          <w:tcPr>
            <w:tcW w:w="533" w:type="pct"/>
            <w:tcBorders>
              <w:top w:val="nil"/>
              <w:left w:val="nil"/>
              <w:bottom w:val="single" w:color="auto" w:sz="4" w:space="0"/>
              <w:right w:val="single" w:color="auto" w:sz="4" w:space="0"/>
            </w:tcBorders>
            <w:noWrap w:val="0"/>
            <w:vAlign w:val="center"/>
          </w:tcPr>
          <w:p w14:paraId="3E32FFF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5000≤Y＜40000</w:t>
            </w:r>
          </w:p>
        </w:tc>
        <w:tc>
          <w:tcPr>
            <w:tcW w:w="534" w:type="pct"/>
            <w:tcBorders>
              <w:top w:val="nil"/>
              <w:left w:val="nil"/>
              <w:bottom w:val="single" w:color="auto" w:sz="4" w:space="0"/>
              <w:right w:val="single" w:color="auto" w:sz="8" w:space="0"/>
            </w:tcBorders>
            <w:noWrap w:val="0"/>
            <w:vAlign w:val="center"/>
          </w:tcPr>
          <w:p w14:paraId="0C9A376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4970674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5≤X＜20</w:t>
            </w:r>
          </w:p>
        </w:tc>
        <w:tc>
          <w:tcPr>
            <w:tcW w:w="533" w:type="pct"/>
            <w:tcBorders>
              <w:top w:val="nil"/>
              <w:left w:val="nil"/>
              <w:bottom w:val="single" w:color="auto" w:sz="4" w:space="0"/>
              <w:right w:val="single" w:color="auto" w:sz="4" w:space="0"/>
            </w:tcBorders>
            <w:noWrap w:val="0"/>
            <w:vAlign w:val="center"/>
          </w:tcPr>
          <w:p w14:paraId="534CD7F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1000≤Y＜5000</w:t>
            </w:r>
          </w:p>
        </w:tc>
        <w:tc>
          <w:tcPr>
            <w:tcW w:w="534" w:type="pct"/>
            <w:tcBorders>
              <w:top w:val="nil"/>
              <w:left w:val="nil"/>
              <w:bottom w:val="single" w:color="auto" w:sz="4" w:space="0"/>
              <w:right w:val="single" w:color="auto" w:sz="8" w:space="0"/>
            </w:tcBorders>
            <w:noWrap w:val="0"/>
            <w:vAlign w:val="center"/>
          </w:tcPr>
          <w:p w14:paraId="2470934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6FD111A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X＜5</w:t>
            </w:r>
          </w:p>
        </w:tc>
        <w:tc>
          <w:tcPr>
            <w:tcW w:w="444" w:type="pct"/>
            <w:tcBorders>
              <w:top w:val="nil"/>
              <w:left w:val="nil"/>
              <w:bottom w:val="single" w:color="auto" w:sz="4" w:space="0"/>
              <w:right w:val="single" w:color="auto" w:sz="4" w:space="0"/>
            </w:tcBorders>
            <w:noWrap w:val="0"/>
            <w:vAlign w:val="center"/>
          </w:tcPr>
          <w:p w14:paraId="5AE9F4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Y＜1000</w:t>
            </w:r>
          </w:p>
        </w:tc>
        <w:tc>
          <w:tcPr>
            <w:tcW w:w="455" w:type="pct"/>
            <w:tcBorders>
              <w:top w:val="nil"/>
              <w:left w:val="nil"/>
              <w:bottom w:val="single" w:color="auto" w:sz="4" w:space="0"/>
              <w:right w:val="single" w:color="auto" w:sz="8" w:space="0"/>
            </w:tcBorders>
            <w:noWrap w:val="0"/>
            <w:vAlign w:val="center"/>
          </w:tcPr>
          <w:p w14:paraId="3BD178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5576B7A4">
        <w:tblPrEx>
          <w:tblCellMar>
            <w:top w:w="0" w:type="dxa"/>
            <w:left w:w="108" w:type="dxa"/>
            <w:bottom w:w="0" w:type="dxa"/>
            <w:right w:w="108" w:type="dxa"/>
          </w:tblCellMar>
        </w:tblPrEx>
        <w:trPr>
          <w:trHeight w:val="325" w:hRule="atLeast"/>
          <w:jc w:val="center"/>
        </w:trPr>
        <w:tc>
          <w:tcPr>
            <w:tcW w:w="531" w:type="pct"/>
            <w:tcBorders>
              <w:top w:val="nil"/>
              <w:left w:val="single" w:color="auto" w:sz="8" w:space="0"/>
              <w:bottom w:val="single" w:color="auto" w:sz="4" w:space="0"/>
              <w:right w:val="single" w:color="auto" w:sz="8" w:space="0"/>
            </w:tcBorders>
            <w:noWrap w:val="0"/>
            <w:vAlign w:val="center"/>
          </w:tcPr>
          <w:p w14:paraId="0F0528E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零售业</w:t>
            </w:r>
          </w:p>
        </w:tc>
        <w:tc>
          <w:tcPr>
            <w:tcW w:w="487" w:type="pct"/>
            <w:tcBorders>
              <w:top w:val="nil"/>
              <w:left w:val="nil"/>
              <w:bottom w:val="single" w:color="auto" w:sz="4" w:space="0"/>
              <w:right w:val="single" w:color="auto" w:sz="4" w:space="0"/>
            </w:tcBorders>
            <w:noWrap w:val="0"/>
            <w:vAlign w:val="center"/>
          </w:tcPr>
          <w:p w14:paraId="405CF19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50≤X＜300</w:t>
            </w:r>
          </w:p>
        </w:tc>
        <w:tc>
          <w:tcPr>
            <w:tcW w:w="533" w:type="pct"/>
            <w:tcBorders>
              <w:top w:val="nil"/>
              <w:left w:val="nil"/>
              <w:bottom w:val="single" w:color="auto" w:sz="4" w:space="0"/>
              <w:right w:val="single" w:color="auto" w:sz="4" w:space="0"/>
            </w:tcBorders>
            <w:noWrap w:val="0"/>
            <w:vAlign w:val="center"/>
          </w:tcPr>
          <w:p w14:paraId="15E632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500≤Y＜20000</w:t>
            </w:r>
          </w:p>
        </w:tc>
        <w:tc>
          <w:tcPr>
            <w:tcW w:w="534" w:type="pct"/>
            <w:tcBorders>
              <w:top w:val="nil"/>
              <w:left w:val="nil"/>
              <w:bottom w:val="single" w:color="auto" w:sz="4" w:space="0"/>
              <w:right w:val="single" w:color="auto" w:sz="8" w:space="0"/>
            </w:tcBorders>
            <w:noWrap w:val="0"/>
            <w:vAlign w:val="center"/>
          </w:tcPr>
          <w:p w14:paraId="07331C4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339390B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10≤X＜50</w:t>
            </w:r>
          </w:p>
        </w:tc>
        <w:tc>
          <w:tcPr>
            <w:tcW w:w="533" w:type="pct"/>
            <w:tcBorders>
              <w:top w:val="nil"/>
              <w:left w:val="nil"/>
              <w:bottom w:val="single" w:color="auto" w:sz="4" w:space="0"/>
              <w:right w:val="single" w:color="auto" w:sz="4" w:space="0"/>
            </w:tcBorders>
            <w:noWrap w:val="0"/>
            <w:vAlign w:val="center"/>
          </w:tcPr>
          <w:p w14:paraId="31722D0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100≤Y＜500</w:t>
            </w:r>
          </w:p>
        </w:tc>
        <w:tc>
          <w:tcPr>
            <w:tcW w:w="534" w:type="pct"/>
            <w:tcBorders>
              <w:top w:val="nil"/>
              <w:left w:val="nil"/>
              <w:bottom w:val="single" w:color="auto" w:sz="4" w:space="0"/>
              <w:right w:val="single" w:color="auto" w:sz="8" w:space="0"/>
            </w:tcBorders>
            <w:noWrap w:val="0"/>
            <w:vAlign w:val="center"/>
          </w:tcPr>
          <w:p w14:paraId="2689716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701639E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2AED3E5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74B4A8F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0A2B987D">
        <w:tblPrEx>
          <w:tblCellMar>
            <w:top w:w="0" w:type="dxa"/>
            <w:left w:w="108" w:type="dxa"/>
            <w:bottom w:w="0" w:type="dxa"/>
            <w:right w:w="108" w:type="dxa"/>
          </w:tblCellMar>
        </w:tblPrEx>
        <w:trPr>
          <w:trHeight w:val="299" w:hRule="atLeast"/>
          <w:jc w:val="center"/>
        </w:trPr>
        <w:tc>
          <w:tcPr>
            <w:tcW w:w="531" w:type="pct"/>
            <w:tcBorders>
              <w:top w:val="nil"/>
              <w:left w:val="single" w:color="auto" w:sz="8" w:space="0"/>
              <w:bottom w:val="single" w:color="auto" w:sz="4" w:space="0"/>
              <w:right w:val="single" w:color="auto" w:sz="8" w:space="0"/>
            </w:tcBorders>
            <w:noWrap w:val="0"/>
            <w:vAlign w:val="center"/>
          </w:tcPr>
          <w:p w14:paraId="416C99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交通运输业</w:t>
            </w:r>
          </w:p>
        </w:tc>
        <w:tc>
          <w:tcPr>
            <w:tcW w:w="487" w:type="pct"/>
            <w:tcBorders>
              <w:top w:val="nil"/>
              <w:left w:val="nil"/>
              <w:bottom w:val="single" w:color="auto" w:sz="4" w:space="0"/>
              <w:right w:val="single" w:color="auto" w:sz="4" w:space="0"/>
            </w:tcBorders>
            <w:noWrap w:val="0"/>
            <w:vAlign w:val="center"/>
          </w:tcPr>
          <w:p w14:paraId="40B8D60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300≤X＜1000</w:t>
            </w:r>
          </w:p>
        </w:tc>
        <w:tc>
          <w:tcPr>
            <w:tcW w:w="533" w:type="pct"/>
            <w:tcBorders>
              <w:top w:val="nil"/>
              <w:left w:val="nil"/>
              <w:bottom w:val="single" w:color="auto" w:sz="4" w:space="0"/>
              <w:right w:val="single" w:color="auto" w:sz="4" w:space="0"/>
            </w:tcBorders>
            <w:noWrap w:val="0"/>
            <w:vAlign w:val="center"/>
          </w:tcPr>
          <w:p w14:paraId="0838E3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3000≤Y＜30000</w:t>
            </w:r>
          </w:p>
        </w:tc>
        <w:tc>
          <w:tcPr>
            <w:tcW w:w="534" w:type="pct"/>
            <w:tcBorders>
              <w:top w:val="nil"/>
              <w:left w:val="nil"/>
              <w:bottom w:val="single" w:color="auto" w:sz="4" w:space="0"/>
              <w:right w:val="single" w:color="auto" w:sz="8" w:space="0"/>
            </w:tcBorders>
            <w:noWrap w:val="0"/>
            <w:vAlign w:val="center"/>
          </w:tcPr>
          <w:p w14:paraId="3A20FD8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421A20A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20≤X＜300</w:t>
            </w:r>
          </w:p>
        </w:tc>
        <w:tc>
          <w:tcPr>
            <w:tcW w:w="533" w:type="pct"/>
            <w:tcBorders>
              <w:top w:val="nil"/>
              <w:left w:val="nil"/>
              <w:bottom w:val="single" w:color="auto" w:sz="4" w:space="0"/>
              <w:right w:val="single" w:color="auto" w:sz="4" w:space="0"/>
            </w:tcBorders>
            <w:noWrap w:val="0"/>
            <w:vAlign w:val="center"/>
          </w:tcPr>
          <w:p w14:paraId="5D2326A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200≤Y＜3000</w:t>
            </w:r>
          </w:p>
        </w:tc>
        <w:tc>
          <w:tcPr>
            <w:tcW w:w="534" w:type="pct"/>
            <w:tcBorders>
              <w:top w:val="nil"/>
              <w:left w:val="nil"/>
              <w:bottom w:val="single" w:color="auto" w:sz="4" w:space="0"/>
              <w:right w:val="single" w:color="auto" w:sz="8" w:space="0"/>
            </w:tcBorders>
            <w:noWrap w:val="0"/>
            <w:vAlign w:val="center"/>
          </w:tcPr>
          <w:p w14:paraId="6244CE0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6AF8A7E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X＜20</w:t>
            </w:r>
          </w:p>
        </w:tc>
        <w:tc>
          <w:tcPr>
            <w:tcW w:w="444" w:type="pct"/>
            <w:tcBorders>
              <w:top w:val="nil"/>
              <w:left w:val="nil"/>
              <w:bottom w:val="single" w:color="auto" w:sz="4" w:space="0"/>
              <w:right w:val="single" w:color="auto" w:sz="4" w:space="0"/>
            </w:tcBorders>
            <w:noWrap w:val="0"/>
            <w:vAlign w:val="center"/>
          </w:tcPr>
          <w:p w14:paraId="1BC0A7A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V＜200</w:t>
            </w:r>
          </w:p>
        </w:tc>
        <w:tc>
          <w:tcPr>
            <w:tcW w:w="455" w:type="pct"/>
            <w:tcBorders>
              <w:top w:val="nil"/>
              <w:left w:val="nil"/>
              <w:bottom w:val="single" w:color="auto" w:sz="4" w:space="0"/>
              <w:right w:val="single" w:color="auto" w:sz="8" w:space="0"/>
            </w:tcBorders>
            <w:noWrap w:val="0"/>
            <w:vAlign w:val="center"/>
          </w:tcPr>
          <w:p w14:paraId="264D701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16E1F1B8">
        <w:tblPrEx>
          <w:tblCellMar>
            <w:top w:w="0" w:type="dxa"/>
            <w:left w:w="108" w:type="dxa"/>
            <w:bottom w:w="0" w:type="dxa"/>
            <w:right w:w="108" w:type="dxa"/>
          </w:tblCellMar>
        </w:tblPrEx>
        <w:trPr>
          <w:trHeight w:val="298" w:hRule="atLeast"/>
          <w:jc w:val="center"/>
        </w:trPr>
        <w:tc>
          <w:tcPr>
            <w:tcW w:w="531" w:type="pct"/>
            <w:tcBorders>
              <w:top w:val="nil"/>
              <w:left w:val="single" w:color="auto" w:sz="8" w:space="0"/>
              <w:bottom w:val="single" w:color="auto" w:sz="4" w:space="0"/>
              <w:right w:val="single" w:color="auto" w:sz="8" w:space="0"/>
            </w:tcBorders>
            <w:noWrap w:val="0"/>
            <w:vAlign w:val="center"/>
          </w:tcPr>
          <w:p w14:paraId="6E3D351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仓储业</w:t>
            </w:r>
          </w:p>
        </w:tc>
        <w:tc>
          <w:tcPr>
            <w:tcW w:w="487" w:type="pct"/>
            <w:tcBorders>
              <w:top w:val="nil"/>
              <w:left w:val="nil"/>
              <w:bottom w:val="single" w:color="auto" w:sz="4" w:space="0"/>
              <w:right w:val="single" w:color="auto" w:sz="4" w:space="0"/>
            </w:tcBorders>
            <w:noWrap w:val="0"/>
            <w:vAlign w:val="center"/>
          </w:tcPr>
          <w:p w14:paraId="4161A2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100≤X＜200</w:t>
            </w:r>
          </w:p>
        </w:tc>
        <w:tc>
          <w:tcPr>
            <w:tcW w:w="533" w:type="pct"/>
            <w:tcBorders>
              <w:top w:val="nil"/>
              <w:left w:val="nil"/>
              <w:bottom w:val="single" w:color="auto" w:sz="4" w:space="0"/>
              <w:right w:val="single" w:color="auto" w:sz="4" w:space="0"/>
            </w:tcBorders>
            <w:noWrap w:val="0"/>
            <w:vAlign w:val="center"/>
          </w:tcPr>
          <w:p w14:paraId="0DAACA8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1000≤Y＜30000</w:t>
            </w:r>
          </w:p>
        </w:tc>
        <w:tc>
          <w:tcPr>
            <w:tcW w:w="534" w:type="pct"/>
            <w:tcBorders>
              <w:top w:val="nil"/>
              <w:left w:val="nil"/>
              <w:bottom w:val="single" w:color="auto" w:sz="4" w:space="0"/>
              <w:right w:val="single" w:color="auto" w:sz="8" w:space="0"/>
            </w:tcBorders>
            <w:noWrap w:val="0"/>
            <w:vAlign w:val="center"/>
          </w:tcPr>
          <w:p w14:paraId="1D6024A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37E9A12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20≤X＜100</w:t>
            </w:r>
          </w:p>
        </w:tc>
        <w:tc>
          <w:tcPr>
            <w:tcW w:w="533" w:type="pct"/>
            <w:tcBorders>
              <w:top w:val="nil"/>
              <w:left w:val="nil"/>
              <w:bottom w:val="single" w:color="auto" w:sz="4" w:space="0"/>
              <w:right w:val="single" w:color="auto" w:sz="4" w:space="0"/>
            </w:tcBorders>
            <w:noWrap w:val="0"/>
            <w:vAlign w:val="center"/>
          </w:tcPr>
          <w:p w14:paraId="543778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100≤Y＜1000</w:t>
            </w:r>
          </w:p>
        </w:tc>
        <w:tc>
          <w:tcPr>
            <w:tcW w:w="534" w:type="pct"/>
            <w:tcBorders>
              <w:top w:val="nil"/>
              <w:left w:val="nil"/>
              <w:bottom w:val="single" w:color="auto" w:sz="4" w:space="0"/>
              <w:right w:val="single" w:color="auto" w:sz="8" w:space="0"/>
            </w:tcBorders>
            <w:noWrap w:val="0"/>
            <w:vAlign w:val="center"/>
          </w:tcPr>
          <w:p w14:paraId="4505775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3E8BF46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X＜20</w:t>
            </w:r>
          </w:p>
        </w:tc>
        <w:tc>
          <w:tcPr>
            <w:tcW w:w="444" w:type="pct"/>
            <w:tcBorders>
              <w:top w:val="nil"/>
              <w:left w:val="nil"/>
              <w:bottom w:val="single" w:color="auto" w:sz="4" w:space="0"/>
              <w:right w:val="single" w:color="auto" w:sz="4" w:space="0"/>
            </w:tcBorders>
            <w:noWrap w:val="0"/>
            <w:vAlign w:val="center"/>
          </w:tcPr>
          <w:p w14:paraId="337C88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499EE50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676096BA">
        <w:tblPrEx>
          <w:tblCellMar>
            <w:top w:w="0" w:type="dxa"/>
            <w:left w:w="108" w:type="dxa"/>
            <w:bottom w:w="0" w:type="dxa"/>
            <w:right w:w="108" w:type="dxa"/>
          </w:tblCellMar>
        </w:tblPrEx>
        <w:trPr>
          <w:trHeight w:val="316" w:hRule="atLeast"/>
          <w:jc w:val="center"/>
        </w:trPr>
        <w:tc>
          <w:tcPr>
            <w:tcW w:w="531" w:type="pct"/>
            <w:tcBorders>
              <w:top w:val="nil"/>
              <w:left w:val="single" w:color="auto" w:sz="8" w:space="0"/>
              <w:bottom w:val="single" w:color="auto" w:sz="4" w:space="0"/>
              <w:right w:val="single" w:color="auto" w:sz="8" w:space="0"/>
            </w:tcBorders>
            <w:noWrap w:val="0"/>
            <w:vAlign w:val="center"/>
          </w:tcPr>
          <w:p w14:paraId="5D15DE5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邮政业</w:t>
            </w:r>
          </w:p>
        </w:tc>
        <w:tc>
          <w:tcPr>
            <w:tcW w:w="487" w:type="pct"/>
            <w:tcBorders>
              <w:top w:val="nil"/>
              <w:left w:val="nil"/>
              <w:bottom w:val="single" w:color="auto" w:sz="4" w:space="0"/>
              <w:right w:val="single" w:color="auto" w:sz="4" w:space="0"/>
            </w:tcBorders>
            <w:noWrap w:val="0"/>
            <w:vAlign w:val="center"/>
          </w:tcPr>
          <w:p w14:paraId="15A42C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300≤X＜1000</w:t>
            </w:r>
          </w:p>
        </w:tc>
        <w:tc>
          <w:tcPr>
            <w:tcW w:w="533" w:type="pct"/>
            <w:tcBorders>
              <w:top w:val="nil"/>
              <w:left w:val="nil"/>
              <w:bottom w:val="single" w:color="auto" w:sz="4" w:space="0"/>
              <w:right w:val="single" w:color="auto" w:sz="4" w:space="0"/>
            </w:tcBorders>
            <w:noWrap w:val="0"/>
            <w:vAlign w:val="center"/>
          </w:tcPr>
          <w:p w14:paraId="7A9724C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2000≤Y＜30000</w:t>
            </w:r>
          </w:p>
        </w:tc>
        <w:tc>
          <w:tcPr>
            <w:tcW w:w="534" w:type="pct"/>
            <w:tcBorders>
              <w:top w:val="nil"/>
              <w:left w:val="nil"/>
              <w:bottom w:val="single" w:color="auto" w:sz="4" w:space="0"/>
              <w:right w:val="single" w:color="auto" w:sz="8" w:space="0"/>
            </w:tcBorders>
            <w:noWrap w:val="0"/>
            <w:vAlign w:val="center"/>
          </w:tcPr>
          <w:p w14:paraId="2CCB6B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500969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20≤X＜300</w:t>
            </w:r>
          </w:p>
        </w:tc>
        <w:tc>
          <w:tcPr>
            <w:tcW w:w="533" w:type="pct"/>
            <w:tcBorders>
              <w:top w:val="nil"/>
              <w:left w:val="nil"/>
              <w:bottom w:val="single" w:color="auto" w:sz="4" w:space="0"/>
              <w:right w:val="single" w:color="auto" w:sz="4" w:space="0"/>
            </w:tcBorders>
            <w:noWrap w:val="0"/>
            <w:vAlign w:val="center"/>
          </w:tcPr>
          <w:p w14:paraId="75A9F5A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100≤Y＜2000</w:t>
            </w:r>
          </w:p>
        </w:tc>
        <w:tc>
          <w:tcPr>
            <w:tcW w:w="534" w:type="pct"/>
            <w:tcBorders>
              <w:top w:val="nil"/>
              <w:left w:val="nil"/>
              <w:bottom w:val="single" w:color="auto" w:sz="4" w:space="0"/>
              <w:right w:val="single" w:color="auto" w:sz="8" w:space="0"/>
            </w:tcBorders>
            <w:noWrap w:val="0"/>
            <w:vAlign w:val="center"/>
          </w:tcPr>
          <w:p w14:paraId="26E7BA2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3EAA993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X＜20</w:t>
            </w:r>
          </w:p>
        </w:tc>
        <w:tc>
          <w:tcPr>
            <w:tcW w:w="444" w:type="pct"/>
            <w:tcBorders>
              <w:top w:val="nil"/>
              <w:left w:val="nil"/>
              <w:bottom w:val="single" w:color="auto" w:sz="4" w:space="0"/>
              <w:right w:val="single" w:color="auto" w:sz="4" w:space="0"/>
            </w:tcBorders>
            <w:noWrap w:val="0"/>
            <w:vAlign w:val="center"/>
          </w:tcPr>
          <w:p w14:paraId="3CE4F9E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0BF136A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6262D87E">
        <w:tblPrEx>
          <w:tblCellMar>
            <w:top w:w="0" w:type="dxa"/>
            <w:left w:w="108" w:type="dxa"/>
            <w:bottom w:w="0" w:type="dxa"/>
            <w:right w:w="108" w:type="dxa"/>
          </w:tblCellMar>
        </w:tblPrEx>
        <w:trPr>
          <w:trHeight w:val="325" w:hRule="atLeast"/>
          <w:jc w:val="center"/>
        </w:trPr>
        <w:tc>
          <w:tcPr>
            <w:tcW w:w="531" w:type="pct"/>
            <w:tcBorders>
              <w:top w:val="nil"/>
              <w:left w:val="single" w:color="auto" w:sz="8" w:space="0"/>
              <w:bottom w:val="single" w:color="auto" w:sz="4" w:space="0"/>
              <w:right w:val="single" w:color="auto" w:sz="8" w:space="0"/>
            </w:tcBorders>
            <w:noWrap w:val="0"/>
            <w:vAlign w:val="center"/>
          </w:tcPr>
          <w:p w14:paraId="667AB6A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住宿业</w:t>
            </w:r>
          </w:p>
        </w:tc>
        <w:tc>
          <w:tcPr>
            <w:tcW w:w="487" w:type="pct"/>
            <w:tcBorders>
              <w:top w:val="nil"/>
              <w:left w:val="nil"/>
              <w:bottom w:val="single" w:color="auto" w:sz="4" w:space="0"/>
              <w:right w:val="single" w:color="auto" w:sz="4" w:space="0"/>
            </w:tcBorders>
            <w:noWrap w:val="0"/>
            <w:vAlign w:val="center"/>
          </w:tcPr>
          <w:p w14:paraId="2689DA0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100≤X＜300</w:t>
            </w:r>
          </w:p>
        </w:tc>
        <w:tc>
          <w:tcPr>
            <w:tcW w:w="533" w:type="pct"/>
            <w:tcBorders>
              <w:top w:val="nil"/>
              <w:left w:val="nil"/>
              <w:bottom w:val="single" w:color="auto" w:sz="4" w:space="0"/>
              <w:right w:val="single" w:color="auto" w:sz="4" w:space="0"/>
            </w:tcBorders>
            <w:noWrap w:val="0"/>
            <w:vAlign w:val="center"/>
          </w:tcPr>
          <w:p w14:paraId="2C51F62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2000≤Y＜10000</w:t>
            </w:r>
          </w:p>
        </w:tc>
        <w:tc>
          <w:tcPr>
            <w:tcW w:w="534" w:type="pct"/>
            <w:tcBorders>
              <w:top w:val="nil"/>
              <w:left w:val="nil"/>
              <w:bottom w:val="single" w:color="auto" w:sz="4" w:space="0"/>
              <w:right w:val="single" w:color="auto" w:sz="8" w:space="0"/>
            </w:tcBorders>
            <w:noWrap w:val="0"/>
            <w:vAlign w:val="center"/>
          </w:tcPr>
          <w:p w14:paraId="1BC07B9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0D31E4B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10≤X＜100</w:t>
            </w:r>
          </w:p>
        </w:tc>
        <w:tc>
          <w:tcPr>
            <w:tcW w:w="533" w:type="pct"/>
            <w:tcBorders>
              <w:top w:val="nil"/>
              <w:left w:val="nil"/>
              <w:bottom w:val="single" w:color="auto" w:sz="4" w:space="0"/>
              <w:right w:val="single" w:color="auto" w:sz="4" w:space="0"/>
            </w:tcBorders>
            <w:noWrap w:val="0"/>
            <w:vAlign w:val="center"/>
          </w:tcPr>
          <w:p w14:paraId="117DA9C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100≤Y＜2000</w:t>
            </w:r>
          </w:p>
        </w:tc>
        <w:tc>
          <w:tcPr>
            <w:tcW w:w="534" w:type="pct"/>
            <w:tcBorders>
              <w:top w:val="nil"/>
              <w:left w:val="nil"/>
              <w:bottom w:val="single" w:color="auto" w:sz="4" w:space="0"/>
              <w:right w:val="single" w:color="auto" w:sz="8" w:space="0"/>
            </w:tcBorders>
            <w:noWrap w:val="0"/>
            <w:vAlign w:val="center"/>
          </w:tcPr>
          <w:p w14:paraId="1FE691E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046F25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3BFC7C6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2765B05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34B7F419">
        <w:tblPrEx>
          <w:tblCellMar>
            <w:top w:w="0" w:type="dxa"/>
            <w:left w:w="108" w:type="dxa"/>
            <w:bottom w:w="0" w:type="dxa"/>
            <w:right w:w="108" w:type="dxa"/>
          </w:tblCellMar>
        </w:tblPrEx>
        <w:trPr>
          <w:trHeight w:val="256" w:hRule="atLeast"/>
          <w:jc w:val="center"/>
        </w:trPr>
        <w:tc>
          <w:tcPr>
            <w:tcW w:w="531" w:type="pct"/>
            <w:tcBorders>
              <w:top w:val="nil"/>
              <w:left w:val="single" w:color="auto" w:sz="8" w:space="0"/>
              <w:bottom w:val="single" w:color="auto" w:sz="4" w:space="0"/>
              <w:right w:val="single" w:color="auto" w:sz="8" w:space="0"/>
            </w:tcBorders>
            <w:noWrap w:val="0"/>
            <w:vAlign w:val="center"/>
          </w:tcPr>
          <w:p w14:paraId="4125D3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餐饮业</w:t>
            </w:r>
          </w:p>
        </w:tc>
        <w:tc>
          <w:tcPr>
            <w:tcW w:w="487" w:type="pct"/>
            <w:tcBorders>
              <w:top w:val="nil"/>
              <w:left w:val="nil"/>
              <w:bottom w:val="single" w:color="auto" w:sz="4" w:space="0"/>
              <w:right w:val="single" w:color="auto" w:sz="4" w:space="0"/>
            </w:tcBorders>
            <w:noWrap w:val="0"/>
            <w:vAlign w:val="center"/>
          </w:tcPr>
          <w:p w14:paraId="2812D1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100≤X＜300</w:t>
            </w:r>
          </w:p>
        </w:tc>
        <w:tc>
          <w:tcPr>
            <w:tcW w:w="533" w:type="pct"/>
            <w:tcBorders>
              <w:top w:val="nil"/>
              <w:left w:val="nil"/>
              <w:bottom w:val="single" w:color="auto" w:sz="4" w:space="0"/>
              <w:right w:val="single" w:color="auto" w:sz="4" w:space="0"/>
            </w:tcBorders>
            <w:noWrap w:val="0"/>
            <w:vAlign w:val="center"/>
          </w:tcPr>
          <w:p w14:paraId="36F70D9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2000≤Y＜10000</w:t>
            </w:r>
          </w:p>
        </w:tc>
        <w:tc>
          <w:tcPr>
            <w:tcW w:w="534" w:type="pct"/>
            <w:tcBorders>
              <w:top w:val="nil"/>
              <w:left w:val="nil"/>
              <w:bottom w:val="single" w:color="auto" w:sz="4" w:space="0"/>
              <w:right w:val="single" w:color="auto" w:sz="8" w:space="0"/>
            </w:tcBorders>
            <w:noWrap w:val="0"/>
            <w:vAlign w:val="center"/>
          </w:tcPr>
          <w:p w14:paraId="1E7932E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7AC2027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10≤X＜100</w:t>
            </w:r>
          </w:p>
        </w:tc>
        <w:tc>
          <w:tcPr>
            <w:tcW w:w="533" w:type="pct"/>
            <w:tcBorders>
              <w:top w:val="nil"/>
              <w:left w:val="nil"/>
              <w:bottom w:val="single" w:color="auto" w:sz="4" w:space="0"/>
              <w:right w:val="single" w:color="auto" w:sz="4" w:space="0"/>
            </w:tcBorders>
            <w:noWrap w:val="0"/>
            <w:vAlign w:val="center"/>
          </w:tcPr>
          <w:p w14:paraId="6EABA17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100≤Y＜2000</w:t>
            </w:r>
          </w:p>
        </w:tc>
        <w:tc>
          <w:tcPr>
            <w:tcW w:w="534" w:type="pct"/>
            <w:tcBorders>
              <w:top w:val="nil"/>
              <w:left w:val="nil"/>
              <w:bottom w:val="single" w:color="auto" w:sz="4" w:space="0"/>
              <w:right w:val="single" w:color="auto" w:sz="8" w:space="0"/>
            </w:tcBorders>
            <w:noWrap w:val="0"/>
            <w:vAlign w:val="center"/>
          </w:tcPr>
          <w:p w14:paraId="33BF8B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1482DB6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31EA6B5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V＜100</w:t>
            </w:r>
          </w:p>
        </w:tc>
        <w:tc>
          <w:tcPr>
            <w:tcW w:w="455" w:type="pct"/>
            <w:tcBorders>
              <w:top w:val="nil"/>
              <w:left w:val="nil"/>
              <w:bottom w:val="single" w:color="auto" w:sz="4" w:space="0"/>
              <w:right w:val="single" w:color="auto" w:sz="8" w:space="0"/>
            </w:tcBorders>
            <w:noWrap w:val="0"/>
            <w:vAlign w:val="center"/>
          </w:tcPr>
          <w:p w14:paraId="7DE5CC4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0D8D88B3">
        <w:tblPrEx>
          <w:tblCellMar>
            <w:top w:w="0" w:type="dxa"/>
            <w:left w:w="108" w:type="dxa"/>
            <w:bottom w:w="0" w:type="dxa"/>
            <w:right w:w="108" w:type="dxa"/>
          </w:tblCellMar>
        </w:tblPrEx>
        <w:trPr>
          <w:trHeight w:val="399" w:hRule="atLeast"/>
          <w:jc w:val="center"/>
        </w:trPr>
        <w:tc>
          <w:tcPr>
            <w:tcW w:w="531" w:type="pct"/>
            <w:tcBorders>
              <w:top w:val="nil"/>
              <w:left w:val="single" w:color="auto" w:sz="8" w:space="0"/>
              <w:bottom w:val="single" w:color="auto" w:sz="4" w:space="0"/>
              <w:right w:val="single" w:color="auto" w:sz="8" w:space="0"/>
            </w:tcBorders>
            <w:noWrap w:val="0"/>
            <w:vAlign w:val="center"/>
          </w:tcPr>
          <w:p w14:paraId="195A1F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信息传输业</w:t>
            </w:r>
          </w:p>
        </w:tc>
        <w:tc>
          <w:tcPr>
            <w:tcW w:w="487" w:type="pct"/>
            <w:tcBorders>
              <w:top w:val="nil"/>
              <w:left w:val="nil"/>
              <w:bottom w:val="single" w:color="auto" w:sz="4" w:space="0"/>
              <w:right w:val="single" w:color="auto" w:sz="4" w:space="0"/>
            </w:tcBorders>
            <w:noWrap w:val="0"/>
            <w:vAlign w:val="center"/>
          </w:tcPr>
          <w:p w14:paraId="1E1DBEF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100≤X＜2000</w:t>
            </w:r>
          </w:p>
        </w:tc>
        <w:tc>
          <w:tcPr>
            <w:tcW w:w="533" w:type="pct"/>
            <w:tcBorders>
              <w:top w:val="nil"/>
              <w:left w:val="nil"/>
              <w:bottom w:val="single" w:color="auto" w:sz="4" w:space="0"/>
              <w:right w:val="single" w:color="auto" w:sz="4" w:space="0"/>
            </w:tcBorders>
            <w:noWrap w:val="0"/>
            <w:vAlign w:val="center"/>
          </w:tcPr>
          <w:p w14:paraId="1F21307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1000≤Y＜100000</w:t>
            </w:r>
          </w:p>
        </w:tc>
        <w:tc>
          <w:tcPr>
            <w:tcW w:w="534" w:type="pct"/>
            <w:tcBorders>
              <w:top w:val="nil"/>
              <w:left w:val="nil"/>
              <w:bottom w:val="single" w:color="auto" w:sz="4" w:space="0"/>
              <w:right w:val="single" w:color="auto" w:sz="8" w:space="0"/>
            </w:tcBorders>
            <w:noWrap w:val="0"/>
            <w:vAlign w:val="center"/>
          </w:tcPr>
          <w:p w14:paraId="712CC18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7FDADF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10≤X＜100</w:t>
            </w:r>
          </w:p>
        </w:tc>
        <w:tc>
          <w:tcPr>
            <w:tcW w:w="533" w:type="pct"/>
            <w:tcBorders>
              <w:top w:val="nil"/>
              <w:left w:val="nil"/>
              <w:bottom w:val="single" w:color="auto" w:sz="4" w:space="0"/>
              <w:right w:val="single" w:color="auto" w:sz="4" w:space="0"/>
            </w:tcBorders>
            <w:noWrap w:val="0"/>
            <w:vAlign w:val="center"/>
          </w:tcPr>
          <w:p w14:paraId="264A5F4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100≤Y＜1000</w:t>
            </w:r>
          </w:p>
        </w:tc>
        <w:tc>
          <w:tcPr>
            <w:tcW w:w="534" w:type="pct"/>
            <w:tcBorders>
              <w:top w:val="nil"/>
              <w:left w:val="nil"/>
              <w:bottom w:val="single" w:color="auto" w:sz="4" w:space="0"/>
              <w:right w:val="single" w:color="auto" w:sz="8" w:space="0"/>
            </w:tcBorders>
            <w:noWrap w:val="0"/>
            <w:vAlign w:val="center"/>
          </w:tcPr>
          <w:p w14:paraId="10C9B5D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1FE9444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26D49D1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311A813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5178FD30">
        <w:tblPrEx>
          <w:tblCellMar>
            <w:top w:w="0" w:type="dxa"/>
            <w:left w:w="108" w:type="dxa"/>
            <w:bottom w:w="0" w:type="dxa"/>
            <w:right w:w="108" w:type="dxa"/>
          </w:tblCellMar>
        </w:tblPrEx>
        <w:trPr>
          <w:trHeight w:val="333" w:hRule="atLeast"/>
          <w:jc w:val="center"/>
        </w:trPr>
        <w:tc>
          <w:tcPr>
            <w:tcW w:w="531" w:type="pct"/>
            <w:tcBorders>
              <w:top w:val="nil"/>
              <w:left w:val="single" w:color="auto" w:sz="8" w:space="0"/>
              <w:bottom w:val="single" w:color="auto" w:sz="4" w:space="0"/>
              <w:right w:val="single" w:color="auto" w:sz="8" w:space="0"/>
            </w:tcBorders>
            <w:noWrap w:val="0"/>
            <w:vAlign w:val="center"/>
          </w:tcPr>
          <w:p w14:paraId="34E8737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软件和信息技术服务业</w:t>
            </w:r>
          </w:p>
        </w:tc>
        <w:tc>
          <w:tcPr>
            <w:tcW w:w="487" w:type="pct"/>
            <w:tcBorders>
              <w:top w:val="nil"/>
              <w:left w:val="nil"/>
              <w:bottom w:val="single" w:color="auto" w:sz="4" w:space="0"/>
              <w:right w:val="single" w:color="auto" w:sz="4" w:space="0"/>
            </w:tcBorders>
            <w:noWrap w:val="0"/>
            <w:vAlign w:val="center"/>
          </w:tcPr>
          <w:p w14:paraId="2579E0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100≤X＜300</w:t>
            </w:r>
          </w:p>
        </w:tc>
        <w:tc>
          <w:tcPr>
            <w:tcW w:w="533" w:type="pct"/>
            <w:tcBorders>
              <w:top w:val="nil"/>
              <w:left w:val="nil"/>
              <w:bottom w:val="single" w:color="auto" w:sz="4" w:space="0"/>
              <w:right w:val="single" w:color="auto" w:sz="4" w:space="0"/>
            </w:tcBorders>
            <w:noWrap w:val="0"/>
            <w:vAlign w:val="center"/>
          </w:tcPr>
          <w:p w14:paraId="79628AA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1000≤Y＜10000</w:t>
            </w:r>
          </w:p>
        </w:tc>
        <w:tc>
          <w:tcPr>
            <w:tcW w:w="534" w:type="pct"/>
            <w:tcBorders>
              <w:top w:val="nil"/>
              <w:left w:val="nil"/>
              <w:bottom w:val="single" w:color="auto" w:sz="4" w:space="0"/>
              <w:right w:val="single" w:color="auto" w:sz="8" w:space="0"/>
            </w:tcBorders>
            <w:noWrap w:val="0"/>
            <w:vAlign w:val="center"/>
          </w:tcPr>
          <w:p w14:paraId="34B362B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4B4BDD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10≤X＜100</w:t>
            </w:r>
          </w:p>
        </w:tc>
        <w:tc>
          <w:tcPr>
            <w:tcW w:w="533" w:type="pct"/>
            <w:tcBorders>
              <w:top w:val="nil"/>
              <w:left w:val="nil"/>
              <w:bottom w:val="single" w:color="auto" w:sz="4" w:space="0"/>
              <w:right w:val="single" w:color="auto" w:sz="4" w:space="0"/>
            </w:tcBorders>
            <w:noWrap w:val="0"/>
            <w:vAlign w:val="center"/>
          </w:tcPr>
          <w:p w14:paraId="401280F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50≤Y＜1000</w:t>
            </w:r>
          </w:p>
        </w:tc>
        <w:tc>
          <w:tcPr>
            <w:tcW w:w="534" w:type="pct"/>
            <w:tcBorders>
              <w:top w:val="nil"/>
              <w:left w:val="nil"/>
              <w:bottom w:val="single" w:color="auto" w:sz="4" w:space="0"/>
              <w:right w:val="single" w:color="auto" w:sz="8" w:space="0"/>
            </w:tcBorders>
            <w:noWrap w:val="0"/>
            <w:vAlign w:val="center"/>
          </w:tcPr>
          <w:p w14:paraId="60FBC40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1E6DC92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15CF0E2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Y＜50</w:t>
            </w:r>
          </w:p>
        </w:tc>
        <w:tc>
          <w:tcPr>
            <w:tcW w:w="455" w:type="pct"/>
            <w:tcBorders>
              <w:top w:val="nil"/>
              <w:left w:val="nil"/>
              <w:bottom w:val="single" w:color="auto" w:sz="4" w:space="0"/>
              <w:right w:val="single" w:color="auto" w:sz="8" w:space="0"/>
            </w:tcBorders>
            <w:noWrap w:val="0"/>
            <w:vAlign w:val="center"/>
          </w:tcPr>
          <w:p w14:paraId="74879D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075F87AB">
        <w:tblPrEx>
          <w:tblCellMar>
            <w:top w:w="0" w:type="dxa"/>
            <w:left w:w="108" w:type="dxa"/>
            <w:bottom w:w="0" w:type="dxa"/>
            <w:right w:w="108" w:type="dxa"/>
          </w:tblCellMar>
        </w:tblPrEx>
        <w:trPr>
          <w:trHeight w:val="425" w:hRule="atLeast"/>
          <w:jc w:val="center"/>
        </w:trPr>
        <w:tc>
          <w:tcPr>
            <w:tcW w:w="531" w:type="pct"/>
            <w:tcBorders>
              <w:top w:val="nil"/>
              <w:left w:val="single" w:color="auto" w:sz="8" w:space="0"/>
              <w:bottom w:val="single" w:color="auto" w:sz="4" w:space="0"/>
              <w:right w:val="single" w:color="auto" w:sz="8" w:space="0"/>
            </w:tcBorders>
            <w:noWrap w:val="0"/>
            <w:vAlign w:val="center"/>
          </w:tcPr>
          <w:p w14:paraId="4D62996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房地产开发经营</w:t>
            </w:r>
          </w:p>
        </w:tc>
        <w:tc>
          <w:tcPr>
            <w:tcW w:w="487" w:type="pct"/>
            <w:tcBorders>
              <w:top w:val="nil"/>
              <w:left w:val="nil"/>
              <w:bottom w:val="single" w:color="auto" w:sz="4" w:space="0"/>
              <w:right w:val="single" w:color="auto" w:sz="4" w:space="0"/>
            </w:tcBorders>
            <w:noWrap w:val="0"/>
            <w:vAlign w:val="center"/>
          </w:tcPr>
          <w:p w14:paraId="3E0713F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099CC1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1000≤Y＜200000</w:t>
            </w:r>
          </w:p>
        </w:tc>
        <w:tc>
          <w:tcPr>
            <w:tcW w:w="534" w:type="pct"/>
            <w:tcBorders>
              <w:top w:val="nil"/>
              <w:left w:val="nil"/>
              <w:bottom w:val="single" w:color="auto" w:sz="4" w:space="0"/>
              <w:right w:val="single" w:color="auto" w:sz="8" w:space="0"/>
            </w:tcBorders>
            <w:noWrap w:val="0"/>
            <w:vAlign w:val="center"/>
          </w:tcPr>
          <w:p w14:paraId="3BA92A5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5000≤Z＜10000</w:t>
            </w:r>
          </w:p>
        </w:tc>
        <w:tc>
          <w:tcPr>
            <w:tcW w:w="488" w:type="pct"/>
            <w:tcBorders>
              <w:top w:val="nil"/>
              <w:left w:val="nil"/>
              <w:bottom w:val="single" w:color="auto" w:sz="4" w:space="0"/>
              <w:right w:val="single" w:color="auto" w:sz="4" w:space="0"/>
            </w:tcBorders>
            <w:noWrap w:val="0"/>
            <w:vAlign w:val="center"/>
          </w:tcPr>
          <w:p w14:paraId="57DB45E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4100D58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100≤Y＜1000</w:t>
            </w:r>
          </w:p>
        </w:tc>
        <w:tc>
          <w:tcPr>
            <w:tcW w:w="534" w:type="pct"/>
            <w:tcBorders>
              <w:top w:val="nil"/>
              <w:left w:val="nil"/>
              <w:bottom w:val="single" w:color="auto" w:sz="4" w:space="0"/>
              <w:right w:val="single" w:color="auto" w:sz="8" w:space="0"/>
            </w:tcBorders>
            <w:noWrap w:val="0"/>
            <w:vAlign w:val="center"/>
          </w:tcPr>
          <w:p w14:paraId="689374D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2000≤Z＜5000</w:t>
            </w:r>
          </w:p>
        </w:tc>
        <w:tc>
          <w:tcPr>
            <w:tcW w:w="458" w:type="pct"/>
            <w:tcBorders>
              <w:top w:val="nil"/>
              <w:left w:val="nil"/>
              <w:bottom w:val="single" w:color="auto" w:sz="4" w:space="0"/>
              <w:right w:val="single" w:color="auto" w:sz="4" w:space="0"/>
            </w:tcBorders>
            <w:noWrap w:val="0"/>
            <w:vAlign w:val="center"/>
          </w:tcPr>
          <w:p w14:paraId="05BB31E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44" w:type="pct"/>
            <w:tcBorders>
              <w:top w:val="nil"/>
              <w:left w:val="nil"/>
              <w:bottom w:val="single" w:color="auto" w:sz="4" w:space="0"/>
              <w:right w:val="single" w:color="auto" w:sz="4" w:space="0"/>
            </w:tcBorders>
            <w:noWrap w:val="0"/>
            <w:vAlign w:val="center"/>
          </w:tcPr>
          <w:p w14:paraId="01A60A8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1BE6B58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Z＜2000</w:t>
            </w:r>
          </w:p>
        </w:tc>
      </w:tr>
      <w:tr w14:paraId="128D4571">
        <w:tblPrEx>
          <w:tblCellMar>
            <w:top w:w="0" w:type="dxa"/>
            <w:left w:w="108" w:type="dxa"/>
            <w:bottom w:w="0" w:type="dxa"/>
            <w:right w:w="108" w:type="dxa"/>
          </w:tblCellMar>
        </w:tblPrEx>
        <w:trPr>
          <w:trHeight w:val="350" w:hRule="atLeast"/>
          <w:jc w:val="center"/>
        </w:trPr>
        <w:tc>
          <w:tcPr>
            <w:tcW w:w="531" w:type="pct"/>
            <w:tcBorders>
              <w:top w:val="nil"/>
              <w:left w:val="single" w:color="auto" w:sz="8" w:space="0"/>
              <w:bottom w:val="single" w:color="auto" w:sz="4" w:space="0"/>
              <w:right w:val="single" w:color="auto" w:sz="8" w:space="0"/>
            </w:tcBorders>
            <w:noWrap w:val="0"/>
            <w:vAlign w:val="center"/>
          </w:tcPr>
          <w:p w14:paraId="18E2C1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物业管理</w:t>
            </w:r>
          </w:p>
        </w:tc>
        <w:tc>
          <w:tcPr>
            <w:tcW w:w="487" w:type="pct"/>
            <w:tcBorders>
              <w:top w:val="nil"/>
              <w:left w:val="nil"/>
              <w:bottom w:val="single" w:color="auto" w:sz="4" w:space="0"/>
              <w:right w:val="single" w:color="auto" w:sz="4" w:space="0"/>
            </w:tcBorders>
            <w:noWrap w:val="0"/>
            <w:vAlign w:val="center"/>
          </w:tcPr>
          <w:p w14:paraId="54E2B46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300≤X＜1000</w:t>
            </w:r>
          </w:p>
        </w:tc>
        <w:tc>
          <w:tcPr>
            <w:tcW w:w="533" w:type="pct"/>
            <w:tcBorders>
              <w:top w:val="nil"/>
              <w:left w:val="nil"/>
              <w:bottom w:val="single" w:color="auto" w:sz="4" w:space="0"/>
              <w:right w:val="single" w:color="auto" w:sz="4" w:space="0"/>
            </w:tcBorders>
            <w:noWrap w:val="0"/>
            <w:vAlign w:val="center"/>
          </w:tcPr>
          <w:p w14:paraId="6D1C310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1000≤Y＜5000</w:t>
            </w:r>
          </w:p>
        </w:tc>
        <w:tc>
          <w:tcPr>
            <w:tcW w:w="534" w:type="pct"/>
            <w:tcBorders>
              <w:top w:val="nil"/>
              <w:left w:val="nil"/>
              <w:bottom w:val="single" w:color="auto" w:sz="4" w:space="0"/>
              <w:right w:val="single" w:color="auto" w:sz="8" w:space="0"/>
            </w:tcBorders>
            <w:noWrap w:val="0"/>
            <w:vAlign w:val="center"/>
          </w:tcPr>
          <w:p w14:paraId="22C204C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50AFB09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100≤X＜300</w:t>
            </w:r>
          </w:p>
        </w:tc>
        <w:tc>
          <w:tcPr>
            <w:tcW w:w="533" w:type="pct"/>
            <w:tcBorders>
              <w:top w:val="nil"/>
              <w:left w:val="nil"/>
              <w:bottom w:val="single" w:color="auto" w:sz="4" w:space="0"/>
              <w:right w:val="single" w:color="auto" w:sz="4" w:space="0"/>
            </w:tcBorders>
            <w:noWrap w:val="0"/>
            <w:vAlign w:val="center"/>
          </w:tcPr>
          <w:p w14:paraId="00CB5BA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500≤Y＜1000</w:t>
            </w:r>
          </w:p>
        </w:tc>
        <w:tc>
          <w:tcPr>
            <w:tcW w:w="534" w:type="pct"/>
            <w:tcBorders>
              <w:top w:val="nil"/>
              <w:left w:val="nil"/>
              <w:bottom w:val="single" w:color="auto" w:sz="4" w:space="0"/>
              <w:right w:val="single" w:color="auto" w:sz="8" w:space="0"/>
            </w:tcBorders>
            <w:noWrap w:val="0"/>
            <w:vAlign w:val="center"/>
          </w:tcPr>
          <w:p w14:paraId="1D35608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5B4D8F6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X＜100</w:t>
            </w:r>
          </w:p>
        </w:tc>
        <w:tc>
          <w:tcPr>
            <w:tcW w:w="444" w:type="pct"/>
            <w:tcBorders>
              <w:top w:val="nil"/>
              <w:left w:val="nil"/>
              <w:bottom w:val="single" w:color="auto" w:sz="4" w:space="0"/>
              <w:right w:val="single" w:color="auto" w:sz="4" w:space="0"/>
            </w:tcBorders>
            <w:noWrap w:val="0"/>
            <w:vAlign w:val="center"/>
          </w:tcPr>
          <w:p w14:paraId="50864D8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Y＜500</w:t>
            </w:r>
          </w:p>
        </w:tc>
        <w:tc>
          <w:tcPr>
            <w:tcW w:w="455" w:type="pct"/>
            <w:tcBorders>
              <w:top w:val="nil"/>
              <w:left w:val="nil"/>
              <w:bottom w:val="single" w:color="auto" w:sz="4" w:space="0"/>
              <w:right w:val="single" w:color="auto" w:sz="8" w:space="0"/>
            </w:tcBorders>
            <w:noWrap w:val="0"/>
            <w:vAlign w:val="center"/>
          </w:tcPr>
          <w:p w14:paraId="1610051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77AB0142">
        <w:tblPrEx>
          <w:tblCellMar>
            <w:top w:w="0" w:type="dxa"/>
            <w:left w:w="108" w:type="dxa"/>
            <w:bottom w:w="0" w:type="dxa"/>
            <w:right w:w="108" w:type="dxa"/>
          </w:tblCellMar>
        </w:tblPrEx>
        <w:trPr>
          <w:trHeight w:val="502" w:hRule="atLeast"/>
          <w:jc w:val="center"/>
        </w:trPr>
        <w:tc>
          <w:tcPr>
            <w:tcW w:w="531" w:type="pct"/>
            <w:tcBorders>
              <w:top w:val="nil"/>
              <w:left w:val="single" w:color="auto" w:sz="8" w:space="0"/>
              <w:bottom w:val="single" w:color="auto" w:sz="4" w:space="0"/>
              <w:right w:val="single" w:color="auto" w:sz="8" w:space="0"/>
            </w:tcBorders>
            <w:noWrap w:val="0"/>
            <w:vAlign w:val="center"/>
          </w:tcPr>
          <w:p w14:paraId="7B28389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租赁和商务服务业</w:t>
            </w:r>
          </w:p>
        </w:tc>
        <w:tc>
          <w:tcPr>
            <w:tcW w:w="487" w:type="pct"/>
            <w:tcBorders>
              <w:top w:val="nil"/>
              <w:left w:val="nil"/>
              <w:bottom w:val="single" w:color="auto" w:sz="4" w:space="0"/>
              <w:right w:val="single" w:color="auto" w:sz="4" w:space="0"/>
            </w:tcBorders>
            <w:noWrap w:val="0"/>
            <w:vAlign w:val="center"/>
          </w:tcPr>
          <w:p w14:paraId="3A91947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100≤X＜300</w:t>
            </w:r>
          </w:p>
        </w:tc>
        <w:tc>
          <w:tcPr>
            <w:tcW w:w="533" w:type="pct"/>
            <w:tcBorders>
              <w:top w:val="nil"/>
              <w:left w:val="nil"/>
              <w:bottom w:val="single" w:color="auto" w:sz="4" w:space="0"/>
              <w:right w:val="single" w:color="auto" w:sz="4" w:space="0"/>
            </w:tcBorders>
            <w:noWrap w:val="0"/>
            <w:vAlign w:val="center"/>
          </w:tcPr>
          <w:p w14:paraId="52D05F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4" w:type="pct"/>
            <w:tcBorders>
              <w:top w:val="nil"/>
              <w:left w:val="nil"/>
              <w:bottom w:val="single" w:color="auto" w:sz="4" w:space="0"/>
              <w:right w:val="single" w:color="auto" w:sz="8" w:space="0"/>
            </w:tcBorders>
            <w:noWrap w:val="0"/>
            <w:vAlign w:val="center"/>
          </w:tcPr>
          <w:p w14:paraId="10B1A60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8000≤Z＜120000</w:t>
            </w:r>
          </w:p>
        </w:tc>
        <w:tc>
          <w:tcPr>
            <w:tcW w:w="488" w:type="pct"/>
            <w:tcBorders>
              <w:top w:val="nil"/>
              <w:left w:val="nil"/>
              <w:bottom w:val="single" w:color="auto" w:sz="4" w:space="0"/>
              <w:right w:val="single" w:color="auto" w:sz="4" w:space="0"/>
            </w:tcBorders>
            <w:noWrap w:val="0"/>
            <w:vAlign w:val="center"/>
          </w:tcPr>
          <w:p w14:paraId="139ED57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10≤X＜100</w:t>
            </w:r>
          </w:p>
        </w:tc>
        <w:tc>
          <w:tcPr>
            <w:tcW w:w="533" w:type="pct"/>
            <w:tcBorders>
              <w:top w:val="nil"/>
              <w:left w:val="nil"/>
              <w:bottom w:val="single" w:color="auto" w:sz="4" w:space="0"/>
              <w:right w:val="single" w:color="auto" w:sz="4" w:space="0"/>
            </w:tcBorders>
            <w:noWrap w:val="0"/>
            <w:vAlign w:val="center"/>
          </w:tcPr>
          <w:p w14:paraId="5CD02B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4" w:type="pct"/>
            <w:tcBorders>
              <w:top w:val="nil"/>
              <w:left w:val="nil"/>
              <w:bottom w:val="single" w:color="auto" w:sz="4" w:space="0"/>
              <w:right w:val="single" w:color="auto" w:sz="8" w:space="0"/>
            </w:tcBorders>
            <w:noWrap w:val="0"/>
            <w:vAlign w:val="center"/>
          </w:tcPr>
          <w:p w14:paraId="35ED717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100≤Z＜8000</w:t>
            </w:r>
          </w:p>
        </w:tc>
        <w:tc>
          <w:tcPr>
            <w:tcW w:w="458" w:type="pct"/>
            <w:tcBorders>
              <w:top w:val="nil"/>
              <w:left w:val="nil"/>
              <w:bottom w:val="single" w:color="auto" w:sz="4" w:space="0"/>
              <w:right w:val="single" w:color="auto" w:sz="4" w:space="0"/>
            </w:tcBorders>
            <w:noWrap w:val="0"/>
            <w:vAlign w:val="center"/>
          </w:tcPr>
          <w:p w14:paraId="5A47603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023DB72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5" w:type="pct"/>
            <w:tcBorders>
              <w:top w:val="nil"/>
              <w:left w:val="nil"/>
              <w:bottom w:val="single" w:color="auto" w:sz="4" w:space="0"/>
              <w:right w:val="single" w:color="auto" w:sz="8" w:space="0"/>
            </w:tcBorders>
            <w:noWrap w:val="0"/>
            <w:vAlign w:val="center"/>
          </w:tcPr>
          <w:p w14:paraId="317A84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Z＜100</w:t>
            </w:r>
          </w:p>
        </w:tc>
      </w:tr>
      <w:tr w14:paraId="245D81A4">
        <w:tblPrEx>
          <w:tblCellMar>
            <w:top w:w="0" w:type="dxa"/>
            <w:left w:w="108" w:type="dxa"/>
            <w:bottom w:w="0" w:type="dxa"/>
            <w:right w:w="108" w:type="dxa"/>
          </w:tblCellMar>
        </w:tblPrEx>
        <w:trPr>
          <w:trHeight w:val="256" w:hRule="atLeast"/>
          <w:jc w:val="center"/>
        </w:trPr>
        <w:tc>
          <w:tcPr>
            <w:tcW w:w="531" w:type="pct"/>
            <w:tcBorders>
              <w:top w:val="nil"/>
              <w:left w:val="single" w:color="auto" w:sz="8" w:space="0"/>
              <w:bottom w:val="single" w:color="auto" w:sz="8" w:space="0"/>
              <w:right w:val="single" w:color="auto" w:sz="8" w:space="0"/>
            </w:tcBorders>
            <w:noWrap w:val="0"/>
            <w:vAlign w:val="center"/>
          </w:tcPr>
          <w:p w14:paraId="613A7D9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其他未列明行业</w:t>
            </w:r>
          </w:p>
        </w:tc>
        <w:tc>
          <w:tcPr>
            <w:tcW w:w="487" w:type="pct"/>
            <w:tcBorders>
              <w:top w:val="nil"/>
              <w:left w:val="nil"/>
              <w:bottom w:val="single" w:color="auto" w:sz="8" w:space="0"/>
              <w:right w:val="single" w:color="auto" w:sz="4" w:space="0"/>
            </w:tcBorders>
            <w:noWrap w:val="0"/>
            <w:vAlign w:val="center"/>
          </w:tcPr>
          <w:p w14:paraId="602D89D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100≤X＜300</w:t>
            </w:r>
          </w:p>
        </w:tc>
        <w:tc>
          <w:tcPr>
            <w:tcW w:w="533" w:type="pct"/>
            <w:tcBorders>
              <w:top w:val="nil"/>
              <w:left w:val="nil"/>
              <w:bottom w:val="single" w:color="auto" w:sz="8" w:space="0"/>
              <w:right w:val="single" w:color="auto" w:sz="4" w:space="0"/>
            </w:tcBorders>
            <w:noWrap w:val="0"/>
            <w:vAlign w:val="center"/>
          </w:tcPr>
          <w:p w14:paraId="03CE617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4" w:type="pct"/>
            <w:tcBorders>
              <w:top w:val="nil"/>
              <w:left w:val="nil"/>
              <w:bottom w:val="single" w:color="auto" w:sz="8" w:space="0"/>
              <w:right w:val="single" w:color="auto" w:sz="8" w:space="0"/>
            </w:tcBorders>
            <w:noWrap w:val="0"/>
            <w:vAlign w:val="center"/>
          </w:tcPr>
          <w:p w14:paraId="0055E44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8" w:space="0"/>
              <w:right w:val="single" w:color="auto" w:sz="4" w:space="0"/>
            </w:tcBorders>
            <w:noWrap w:val="0"/>
            <w:vAlign w:val="center"/>
          </w:tcPr>
          <w:p w14:paraId="1D105AC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10≤X＜100</w:t>
            </w:r>
          </w:p>
        </w:tc>
        <w:tc>
          <w:tcPr>
            <w:tcW w:w="533" w:type="pct"/>
            <w:tcBorders>
              <w:top w:val="nil"/>
              <w:left w:val="nil"/>
              <w:bottom w:val="single" w:color="auto" w:sz="8" w:space="0"/>
              <w:right w:val="single" w:color="auto" w:sz="4" w:space="0"/>
            </w:tcBorders>
            <w:noWrap w:val="0"/>
            <w:vAlign w:val="center"/>
          </w:tcPr>
          <w:p w14:paraId="335004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4" w:type="pct"/>
            <w:tcBorders>
              <w:top w:val="nil"/>
              <w:left w:val="nil"/>
              <w:bottom w:val="single" w:color="auto" w:sz="8" w:space="0"/>
              <w:right w:val="single" w:color="auto" w:sz="8" w:space="0"/>
            </w:tcBorders>
            <w:noWrap w:val="0"/>
            <w:vAlign w:val="center"/>
          </w:tcPr>
          <w:p w14:paraId="482D086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8" w:space="0"/>
              <w:right w:val="single" w:color="auto" w:sz="4" w:space="0"/>
            </w:tcBorders>
            <w:noWrap w:val="0"/>
            <w:vAlign w:val="center"/>
          </w:tcPr>
          <w:p w14:paraId="7336B8F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8" w:space="0"/>
              <w:right w:val="single" w:color="auto" w:sz="4" w:space="0"/>
            </w:tcBorders>
            <w:noWrap w:val="0"/>
            <w:vAlign w:val="center"/>
          </w:tcPr>
          <w:p w14:paraId="2744C8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5" w:type="pct"/>
            <w:tcBorders>
              <w:top w:val="nil"/>
              <w:left w:val="nil"/>
              <w:bottom w:val="single" w:color="auto" w:sz="8" w:space="0"/>
              <w:right w:val="single" w:color="auto" w:sz="8" w:space="0"/>
            </w:tcBorders>
            <w:noWrap w:val="0"/>
            <w:vAlign w:val="center"/>
          </w:tcPr>
          <w:p w14:paraId="13457ED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bl>
    <w:p w14:paraId="501FB897">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仿宋" w:hAnsi="仿宋" w:cs="仿宋"/>
          <w:b/>
          <w:szCs w:val="21"/>
          <w:lang w:val="en-US" w:eastAsia="zh-CN"/>
        </w:rPr>
      </w:pPr>
      <w:r>
        <w:rPr>
          <w:rFonts w:hint="eastAsia" w:ascii="仿宋" w:hAnsi="仿宋" w:eastAsia="仿宋" w:cs="仿宋"/>
          <w:color w:val="auto"/>
          <w:sz w:val="21"/>
          <w:szCs w:val="21"/>
        </w:rPr>
        <w:t>本规定的中型企业标准上限即为大型企业标准的下限。</w:t>
      </w:r>
    </w:p>
    <w:p w14:paraId="482487D5">
      <w:pPr>
        <w:ind w:firstLine="480"/>
      </w:pPr>
      <w:r>
        <w:rPr>
          <w:rFonts w:hint="eastAsia"/>
        </w:rPr>
        <w:br w:type="page"/>
      </w:r>
    </w:p>
    <w:p w14:paraId="105C42BF">
      <w:pPr>
        <w:pStyle w:val="8"/>
        <w:spacing w:before="120" w:after="240"/>
        <w:rPr>
          <w:bCs/>
        </w:rPr>
      </w:pPr>
      <w:r>
        <w:rPr>
          <w:rFonts w:hint="eastAsia"/>
          <w:bCs/>
        </w:rPr>
        <w:t>2、残疾人福利性单位声明函</w:t>
      </w:r>
    </w:p>
    <w:p w14:paraId="58E55FBD">
      <w:pPr>
        <w:ind w:firstLine="480"/>
        <w:rPr>
          <w:rFonts w:ascii="仿宋" w:hAnsi="仿宋" w:cs="仿宋"/>
        </w:rPr>
      </w:pPr>
      <w:r>
        <w:rPr>
          <w:rFonts w:hint="eastAsia" w:ascii="仿宋" w:hAnsi="仿宋" w:cs="仿宋"/>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cs="仿宋"/>
          <w:u w:val="single"/>
          <w:lang w:eastAsia="zh-CN"/>
        </w:rPr>
        <w:t>慈溪市人民政府宗汉街道办事处</w:t>
      </w:r>
      <w:r>
        <w:rPr>
          <w:rFonts w:hint="eastAsia" w:ascii="仿宋" w:hAnsi="仿宋" w:cs="仿宋"/>
        </w:rPr>
        <w:t>的</w:t>
      </w:r>
      <w:r>
        <w:rPr>
          <w:rFonts w:hint="eastAsia" w:ascii="仿宋" w:hAnsi="仿宋" w:cs="仿宋"/>
          <w:u w:val="single"/>
          <w:lang w:eastAsia="zh-CN"/>
        </w:rPr>
        <w:t>慈溪市宗汉街道社会心理服务</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14:paraId="0665C974">
      <w:pPr>
        <w:ind w:firstLine="480"/>
        <w:rPr>
          <w:rFonts w:ascii="仿宋" w:hAnsi="仿宋" w:cs="仿宋"/>
        </w:rPr>
      </w:pPr>
      <w:r>
        <w:rPr>
          <w:rFonts w:hint="eastAsia" w:ascii="仿宋" w:hAnsi="仿宋" w:cs="仿宋"/>
        </w:rPr>
        <w:t>本单位对上述声明的真实性负责。如有虚假，将依法承担相应责任。</w:t>
      </w:r>
    </w:p>
    <w:p w14:paraId="5C0A5B63">
      <w:pPr>
        <w:ind w:firstLine="480"/>
        <w:rPr>
          <w:rFonts w:ascii="仿宋" w:hAnsi="仿宋" w:cs="仿宋"/>
        </w:rPr>
      </w:pPr>
    </w:p>
    <w:p w14:paraId="1C683789">
      <w:pPr>
        <w:ind w:firstLine="480"/>
        <w:rPr>
          <w:rFonts w:ascii="仿宋" w:hAnsi="仿宋" w:cs="仿宋"/>
        </w:rPr>
      </w:pPr>
    </w:p>
    <w:p w14:paraId="79A502B2">
      <w:pPr>
        <w:snapToGrid w:val="0"/>
        <w:ind w:firstLine="5520" w:firstLineChars="2300"/>
        <w:rPr>
          <w:rFonts w:ascii="仿宋" w:hAnsi="仿宋" w:cs="仿宋"/>
          <w:kern w:val="0"/>
        </w:rPr>
      </w:pPr>
      <w:r>
        <w:rPr>
          <w:rFonts w:hint="eastAsia" w:ascii="仿宋" w:hAnsi="仿宋" w:cs="仿宋"/>
          <w:kern w:val="0"/>
          <w:lang w:val="zh-CN"/>
        </w:rPr>
        <w:t>供应商名称（电子签名）：</w:t>
      </w:r>
    </w:p>
    <w:p w14:paraId="58BC0FB3">
      <w:pPr>
        <w:snapToGrid w:val="0"/>
        <w:ind w:firstLine="480"/>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6F747BE5">
      <w:pPr>
        <w:ind w:firstLine="480"/>
        <w:rPr>
          <w:rFonts w:ascii="仿宋" w:hAnsi="仿宋" w:cs="仿宋"/>
        </w:rPr>
      </w:pPr>
    </w:p>
    <w:p w14:paraId="5390459E">
      <w:pPr>
        <w:ind w:firstLine="480"/>
        <w:rPr>
          <w:rFonts w:ascii="仿宋" w:hAnsi="仿宋" w:cs="仿宋"/>
        </w:rPr>
      </w:pPr>
    </w:p>
    <w:p w14:paraId="027EBE13">
      <w:pPr>
        <w:ind w:firstLine="480"/>
        <w:rPr>
          <w:rFonts w:ascii="仿宋" w:hAnsi="仿宋" w:cs="仿宋"/>
        </w:rPr>
      </w:pPr>
    </w:p>
    <w:p w14:paraId="47185BC5">
      <w:pPr>
        <w:pStyle w:val="8"/>
        <w:spacing w:before="120" w:after="240"/>
        <w:rPr>
          <w:bCs/>
        </w:rPr>
      </w:pPr>
      <w:r>
        <w:rPr>
          <w:rFonts w:hint="eastAsia"/>
        </w:rPr>
        <w:t>3、省级以上监狱管理局、戒毒管理局（含新疆生产建设兵团）出具的属于监狱企业证明文件</w:t>
      </w:r>
    </w:p>
    <w:p w14:paraId="257294ED">
      <w:pPr>
        <w:ind w:firstLine="480"/>
        <w:rPr>
          <w:rFonts w:ascii="仿宋" w:hAnsi="仿宋" w:cs="仿宋"/>
        </w:rPr>
      </w:pPr>
    </w:p>
    <w:p w14:paraId="05C4979F">
      <w:pPr>
        <w:rPr>
          <w:rFonts w:ascii="仿宋" w:hAnsi="仿宋" w:cs="仿宋"/>
          <w:b/>
        </w:rPr>
      </w:pPr>
    </w:p>
    <w:p w14:paraId="2BF95F2C">
      <w:pPr>
        <w:pStyle w:val="26"/>
      </w:pPr>
    </w:p>
    <w:p w14:paraId="40809584">
      <w:pPr>
        <w:ind w:firstLine="643"/>
        <w:rPr>
          <w:rFonts w:ascii="仿宋" w:hAnsi="仿宋" w:cs="仿宋"/>
          <w:b/>
          <w:kern w:val="0"/>
          <w:sz w:val="32"/>
          <w:szCs w:val="32"/>
        </w:rPr>
      </w:pPr>
      <w:r>
        <w:rPr>
          <w:rFonts w:hint="eastAsia"/>
        </w:rPr>
        <w:br w:type="page"/>
      </w:r>
    </w:p>
    <w:p w14:paraId="0C08BCBA">
      <w:pPr>
        <w:pStyle w:val="2"/>
      </w:pPr>
      <w:bookmarkStart w:id="417" w:name="_Toc7048"/>
      <w:r>
        <w:rPr>
          <w:rFonts w:hint="eastAsia"/>
        </w:rPr>
        <w:t>商务技术文件部分</w:t>
      </w:r>
      <w:bookmarkEnd w:id="417"/>
    </w:p>
    <w:p w14:paraId="4715DF7F">
      <w:pPr>
        <w:pStyle w:val="8"/>
        <w:spacing w:before="120" w:after="240"/>
        <w:rPr>
          <w:rFonts w:ascii="仿宋" w:hAnsi="仿宋" w:cs="仿宋"/>
        </w:rPr>
      </w:pPr>
      <w:r>
        <w:rPr>
          <w:rFonts w:hint="eastAsia" w:ascii="仿宋" w:hAnsi="仿宋" w:cs="仿宋"/>
        </w:rPr>
        <w:t>目录</w:t>
      </w:r>
    </w:p>
    <w:p w14:paraId="4C5B388E">
      <w:pPr>
        <w:ind w:firstLine="480"/>
        <w:rPr>
          <w:rFonts w:ascii="仿宋" w:hAnsi="仿宋" w:cs="仿宋"/>
        </w:rPr>
      </w:pPr>
      <w:r>
        <w:rPr>
          <w:rFonts w:hint="eastAsia" w:ascii="仿宋" w:hAnsi="仿宋" w:cs="仿宋"/>
        </w:rPr>
        <w:t>（1）</w:t>
      </w:r>
      <w:r>
        <w:rPr>
          <w:rFonts w:hint="eastAsia"/>
        </w:rPr>
        <w:t>投标函</w:t>
      </w:r>
      <w:r>
        <w:rPr>
          <w:rFonts w:hint="eastAsia" w:ascii="仿宋" w:hAnsi="仿宋" w:cs="仿宋"/>
        </w:rPr>
        <w:t>………………………………………………………………………（页码）</w:t>
      </w:r>
    </w:p>
    <w:p w14:paraId="540B99C5">
      <w:pPr>
        <w:ind w:firstLine="480"/>
        <w:rPr>
          <w:rFonts w:ascii="仿宋" w:hAnsi="仿宋" w:cs="仿宋"/>
        </w:rPr>
      </w:pPr>
      <w:r>
        <w:rPr>
          <w:rFonts w:hint="eastAsia" w:ascii="仿宋" w:hAnsi="仿宋" w:cs="仿宋"/>
        </w:rPr>
        <w:t>（2）授权委托书或法定代表人（单位负责人、自然人本人）身份证明……（页码）</w:t>
      </w:r>
    </w:p>
    <w:p w14:paraId="5CA09109">
      <w:pPr>
        <w:ind w:firstLine="480"/>
        <w:rPr>
          <w:rFonts w:ascii="仿宋" w:hAnsi="仿宋" w:cs="仿宋"/>
        </w:rPr>
      </w:pPr>
      <w:r>
        <w:rPr>
          <w:rFonts w:hint="eastAsia" w:ascii="仿宋" w:hAnsi="仿宋" w:cs="仿宋"/>
        </w:rPr>
        <w:t>（3）符合性审查资料……………………………………………………………（页码）</w:t>
      </w:r>
    </w:p>
    <w:p w14:paraId="2B6BFBC9">
      <w:pPr>
        <w:ind w:firstLine="480"/>
        <w:rPr>
          <w:rFonts w:ascii="仿宋" w:hAnsi="仿宋" w:cs="仿宋"/>
        </w:rPr>
      </w:pPr>
      <w:r>
        <w:rPr>
          <w:rFonts w:hint="eastAsia" w:ascii="仿宋" w:hAnsi="仿宋" w:cs="仿宋"/>
        </w:rPr>
        <w:t>（4）评标标准相应的商务技术资料……………………………………………（页码）</w:t>
      </w:r>
    </w:p>
    <w:p w14:paraId="754670C0">
      <w:pPr>
        <w:ind w:firstLine="480"/>
        <w:rPr>
          <w:rFonts w:ascii="仿宋" w:hAnsi="仿宋" w:cs="仿宋"/>
        </w:rPr>
      </w:pPr>
      <w:r>
        <w:rPr>
          <w:rFonts w:hint="eastAsia" w:ascii="仿宋" w:hAnsi="仿宋" w:cs="仿宋"/>
        </w:rPr>
        <w:t>（5）</w:t>
      </w:r>
      <w:r>
        <w:rPr>
          <w:rFonts w:hint="eastAsia" w:ascii="仿宋" w:hAnsi="仿宋" w:cs="仿宋"/>
          <w:lang w:eastAsia="zh-CN"/>
        </w:rPr>
        <w:t>商务条款偏离表</w:t>
      </w:r>
      <w:r>
        <w:rPr>
          <w:rFonts w:hint="eastAsia" w:ascii="仿宋" w:hAnsi="仿宋" w:cs="仿宋"/>
        </w:rPr>
        <w:t>……………………………………………………………（页码）</w:t>
      </w:r>
    </w:p>
    <w:p w14:paraId="32FD3CDA">
      <w:pPr>
        <w:ind w:firstLine="480"/>
        <w:rPr>
          <w:rFonts w:ascii="仿宋" w:hAnsi="仿宋" w:cs="仿宋"/>
        </w:rPr>
      </w:pPr>
      <w:r>
        <w:rPr>
          <w:rFonts w:hint="eastAsia" w:ascii="仿宋" w:hAnsi="仿宋" w:cs="仿宋"/>
          <w:lang w:val="zh-CN"/>
        </w:rPr>
        <w:t>（</w:t>
      </w:r>
      <w:r>
        <w:rPr>
          <w:rFonts w:hint="eastAsia" w:ascii="仿宋" w:hAnsi="仿宋" w:cs="仿宋"/>
        </w:rPr>
        <w:t>6</w:t>
      </w:r>
      <w:r>
        <w:rPr>
          <w:rFonts w:hint="eastAsia" w:ascii="仿宋" w:hAnsi="仿宋" w:cs="仿宋"/>
          <w:lang w:val="zh-CN"/>
        </w:rPr>
        <w:t>）政府采购供应商廉洁自律承诺书</w:t>
      </w:r>
      <w:r>
        <w:rPr>
          <w:rFonts w:hint="eastAsia" w:ascii="仿宋" w:hAnsi="仿宋" w:cs="仿宋"/>
        </w:rPr>
        <w:t>…………………………………………（页码）</w:t>
      </w:r>
    </w:p>
    <w:p w14:paraId="07837A15">
      <w:pPr>
        <w:ind w:firstLine="480"/>
        <w:rPr>
          <w:rFonts w:ascii="仿宋" w:hAnsi="仿宋" w:cs="仿宋"/>
          <w:lang w:val="zh-CN"/>
        </w:rPr>
      </w:pPr>
    </w:p>
    <w:p w14:paraId="1EB9CEE2">
      <w:pPr>
        <w:ind w:firstLine="480"/>
        <w:rPr>
          <w:rFonts w:ascii="仿宋" w:hAnsi="仿宋" w:cs="仿宋"/>
          <w:lang w:val="zh-CN"/>
        </w:rPr>
      </w:pPr>
    </w:p>
    <w:p w14:paraId="0396A2A8">
      <w:pPr>
        <w:ind w:firstLine="480"/>
        <w:rPr>
          <w:rFonts w:ascii="仿宋" w:hAnsi="仿宋" w:cs="仿宋"/>
          <w:lang w:val="zh-CN"/>
        </w:rPr>
      </w:pPr>
    </w:p>
    <w:p w14:paraId="0E3D19FD">
      <w:pPr>
        <w:ind w:firstLine="480"/>
        <w:rPr>
          <w:rFonts w:ascii="仿宋" w:hAnsi="仿宋" w:cs="仿宋"/>
          <w:lang w:val="zh-CN"/>
        </w:rPr>
      </w:pPr>
    </w:p>
    <w:p w14:paraId="227300E3">
      <w:pPr>
        <w:ind w:firstLine="480"/>
        <w:rPr>
          <w:rFonts w:ascii="仿宋" w:hAnsi="仿宋" w:cs="仿宋"/>
          <w:lang w:val="zh-CN"/>
        </w:rPr>
      </w:pPr>
    </w:p>
    <w:p w14:paraId="06866151">
      <w:pPr>
        <w:ind w:firstLine="480"/>
        <w:rPr>
          <w:rFonts w:ascii="仿宋" w:hAnsi="仿宋" w:cs="仿宋"/>
        </w:rPr>
      </w:pPr>
    </w:p>
    <w:p w14:paraId="5B19F21D">
      <w:pPr>
        <w:ind w:firstLine="480"/>
        <w:rPr>
          <w:rFonts w:ascii="仿宋" w:hAnsi="仿宋" w:cs="仿宋"/>
        </w:rPr>
      </w:pPr>
    </w:p>
    <w:p w14:paraId="37105889">
      <w:pPr>
        <w:ind w:firstLine="480"/>
        <w:rPr>
          <w:rFonts w:ascii="仿宋" w:hAnsi="仿宋" w:cs="仿宋"/>
        </w:rPr>
      </w:pPr>
    </w:p>
    <w:p w14:paraId="558D0A7C">
      <w:pPr>
        <w:ind w:firstLine="480"/>
        <w:rPr>
          <w:rFonts w:ascii="仿宋" w:hAnsi="仿宋" w:cs="仿宋"/>
        </w:rPr>
      </w:pPr>
    </w:p>
    <w:p w14:paraId="3B62B088">
      <w:pPr>
        <w:ind w:firstLine="480"/>
        <w:rPr>
          <w:rFonts w:ascii="仿宋" w:hAnsi="仿宋" w:cs="仿宋"/>
        </w:rPr>
      </w:pPr>
    </w:p>
    <w:p w14:paraId="4161AF8A">
      <w:pPr>
        <w:ind w:firstLine="480"/>
        <w:rPr>
          <w:rFonts w:ascii="仿宋" w:hAnsi="仿宋" w:cs="仿宋"/>
        </w:rPr>
      </w:pPr>
    </w:p>
    <w:p w14:paraId="09986888">
      <w:pPr>
        <w:ind w:firstLine="480"/>
        <w:rPr>
          <w:rFonts w:ascii="仿宋" w:hAnsi="仿宋" w:cs="仿宋"/>
        </w:rPr>
      </w:pPr>
    </w:p>
    <w:p w14:paraId="33D58317">
      <w:pPr>
        <w:ind w:firstLine="480"/>
        <w:rPr>
          <w:rFonts w:ascii="仿宋" w:hAnsi="仿宋" w:cs="仿宋"/>
        </w:rPr>
      </w:pPr>
    </w:p>
    <w:p w14:paraId="02F3993B">
      <w:pPr>
        <w:ind w:firstLine="480"/>
        <w:rPr>
          <w:rFonts w:ascii="仿宋" w:hAnsi="仿宋" w:cs="仿宋"/>
        </w:rPr>
      </w:pPr>
    </w:p>
    <w:p w14:paraId="2E0F5190">
      <w:pPr>
        <w:ind w:firstLine="643"/>
        <w:rPr>
          <w:rFonts w:ascii="仿宋" w:hAnsi="仿宋" w:cs="仿宋"/>
          <w:b/>
          <w:kern w:val="0"/>
          <w:sz w:val="32"/>
          <w:szCs w:val="32"/>
        </w:rPr>
      </w:pPr>
      <w:r>
        <w:rPr>
          <w:rFonts w:hint="eastAsia" w:ascii="仿宋" w:hAnsi="仿宋" w:cs="仿宋"/>
          <w:b/>
          <w:kern w:val="0"/>
          <w:sz w:val="32"/>
          <w:szCs w:val="32"/>
        </w:rPr>
        <w:br w:type="page"/>
      </w:r>
    </w:p>
    <w:p w14:paraId="17A2A9F2">
      <w:pPr>
        <w:pStyle w:val="8"/>
        <w:spacing w:before="120" w:after="240"/>
      </w:pPr>
      <w:r>
        <w:rPr>
          <w:rFonts w:hint="eastAsia"/>
        </w:rPr>
        <w:t>一、投标函</w:t>
      </w:r>
    </w:p>
    <w:p w14:paraId="676512BE">
      <w:pPr>
        <w:pStyle w:val="26"/>
        <w:keepNext w:val="0"/>
        <w:keepLines w:val="0"/>
        <w:pageBreakBefore w:val="0"/>
        <w:widowControl w:val="0"/>
        <w:kinsoku/>
        <w:wordWrap/>
        <w:overflowPunct/>
        <w:topLinePunct w:val="0"/>
        <w:bidi w:val="0"/>
        <w:adjustRightInd w:val="0"/>
        <w:spacing w:line="336" w:lineRule="auto"/>
        <w:textAlignment w:val="auto"/>
        <w:rPr>
          <w:rFonts w:ascii="仿宋" w:hAnsi="仿宋" w:cs="仿宋"/>
        </w:rPr>
      </w:pPr>
      <w:r>
        <w:rPr>
          <w:rFonts w:hint="eastAsia" w:ascii="仿宋" w:hAnsi="仿宋" w:cs="仿宋"/>
          <w:u w:val="single"/>
          <w:lang w:eastAsia="zh-CN"/>
        </w:rPr>
        <w:t>慈溪市人民政府宗汉街道办事处、慈溪元达采购招标代理有限公司</w:t>
      </w:r>
      <w:r>
        <w:rPr>
          <w:rFonts w:hint="eastAsia" w:ascii="仿宋" w:hAnsi="仿宋" w:cs="仿宋"/>
        </w:rPr>
        <w:t>：</w:t>
      </w:r>
    </w:p>
    <w:p w14:paraId="34669C53">
      <w:pPr>
        <w:keepNext w:val="0"/>
        <w:keepLines w:val="0"/>
        <w:pageBreakBefore w:val="0"/>
        <w:widowControl w:val="0"/>
        <w:kinsoku/>
        <w:wordWrap/>
        <w:overflowPunct/>
        <w:topLinePunct w:val="0"/>
        <w:bidi w:val="0"/>
        <w:adjustRightInd w:val="0"/>
        <w:snapToGrid w:val="0"/>
        <w:spacing w:line="336" w:lineRule="auto"/>
        <w:ind w:firstLine="480"/>
        <w:textAlignment w:val="auto"/>
        <w:rPr>
          <w:rFonts w:ascii="仿宋" w:hAnsi="仿宋" w:cs="仿宋"/>
        </w:rPr>
      </w:pPr>
      <w:r>
        <w:rPr>
          <w:rFonts w:hint="eastAsia" w:ascii="仿宋" w:hAnsi="仿宋" w:cs="仿宋"/>
        </w:rPr>
        <w:t>我方参加你方组织的</w:t>
      </w:r>
      <w:r>
        <w:rPr>
          <w:rFonts w:hint="eastAsia" w:ascii="仿宋" w:hAnsi="仿宋" w:cs="仿宋"/>
          <w:u w:val="single"/>
          <w:lang w:eastAsia="zh-CN"/>
        </w:rPr>
        <w:t>慈溪市宗汉街道社会心理服务</w:t>
      </w:r>
      <w:r>
        <w:rPr>
          <w:rFonts w:hint="eastAsia" w:ascii="仿宋" w:hAnsi="仿宋" w:cs="仿宋"/>
        </w:rPr>
        <w:t>【</w:t>
      </w:r>
      <w:r>
        <w:rPr>
          <w:rFonts w:hint="eastAsia" w:ascii="仿宋" w:hAnsi="仿宋" w:cs="仿宋"/>
          <w:lang w:val="en-US" w:eastAsia="zh-CN"/>
        </w:rPr>
        <w:t>项目编号：330282202411009267</w:t>
      </w:r>
      <w:r>
        <w:rPr>
          <w:rFonts w:hint="eastAsia" w:ascii="仿宋" w:hAnsi="仿宋" w:cs="仿宋"/>
        </w:rPr>
        <w:t>】招标的有关活动，并对此项目进行投标。为此：</w:t>
      </w:r>
    </w:p>
    <w:p w14:paraId="2C465929">
      <w:pPr>
        <w:keepNext w:val="0"/>
        <w:keepLines w:val="0"/>
        <w:pageBreakBefore w:val="0"/>
        <w:widowControl w:val="0"/>
        <w:kinsoku/>
        <w:wordWrap/>
        <w:overflowPunct/>
        <w:topLinePunct w:val="0"/>
        <w:bidi w:val="0"/>
        <w:adjustRightInd w:val="0"/>
        <w:spacing w:line="336" w:lineRule="auto"/>
        <w:ind w:firstLine="480"/>
        <w:textAlignment w:val="auto"/>
      </w:pPr>
      <w:r>
        <w:rPr>
          <w:rFonts w:hint="eastAsia"/>
        </w:rPr>
        <w:t>1、我方承诺投标有效期从提交投标文件的截止之日起</w:t>
      </w:r>
      <w:r>
        <w:rPr>
          <w:rFonts w:hint="eastAsia"/>
          <w:u w:val="single"/>
        </w:rPr>
        <w:t xml:space="preserve">     </w:t>
      </w:r>
      <w:r>
        <w:rPr>
          <w:rFonts w:hint="eastAsia"/>
        </w:rPr>
        <w:t>天（不少于90天），本投标文件在投标有效期满之前均具有约束力。</w:t>
      </w:r>
    </w:p>
    <w:p w14:paraId="1F9CF0F6">
      <w:pPr>
        <w:keepNext w:val="0"/>
        <w:keepLines w:val="0"/>
        <w:pageBreakBefore w:val="0"/>
        <w:widowControl w:val="0"/>
        <w:kinsoku/>
        <w:wordWrap/>
        <w:overflowPunct/>
        <w:topLinePunct w:val="0"/>
        <w:bidi w:val="0"/>
        <w:adjustRightInd w:val="0"/>
        <w:spacing w:line="336" w:lineRule="auto"/>
        <w:ind w:firstLine="480"/>
        <w:textAlignment w:val="auto"/>
      </w:pPr>
      <w:r>
        <w:rPr>
          <w:rFonts w:hint="eastAsia"/>
        </w:rPr>
        <w:t>2、我方的投标文件包括以下内容：</w:t>
      </w:r>
    </w:p>
    <w:p w14:paraId="0E578D91">
      <w:pPr>
        <w:keepNext w:val="0"/>
        <w:keepLines w:val="0"/>
        <w:pageBreakBefore w:val="0"/>
        <w:widowControl w:val="0"/>
        <w:kinsoku/>
        <w:wordWrap/>
        <w:overflowPunct/>
        <w:topLinePunct w:val="0"/>
        <w:bidi w:val="0"/>
        <w:adjustRightInd w:val="0"/>
        <w:spacing w:line="336" w:lineRule="auto"/>
        <w:ind w:firstLine="480"/>
        <w:textAlignment w:val="auto"/>
      </w:pPr>
      <w:r>
        <w:rPr>
          <w:rFonts w:hint="eastAsia"/>
        </w:rPr>
        <w:t>2.1资格文件：</w:t>
      </w:r>
    </w:p>
    <w:p w14:paraId="22A69A9A">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rPr>
        <w:t>（1）符合参加政府采购活动应当具备的一般条件的承诺函</w:t>
      </w:r>
      <w:r>
        <w:rPr>
          <w:rFonts w:hint="eastAsia" w:ascii="仿宋" w:hAnsi="仿宋" w:cs="仿宋"/>
          <w:lang w:eastAsia="zh-CN"/>
        </w:rPr>
        <w:t>；</w:t>
      </w:r>
    </w:p>
    <w:p w14:paraId="38851BFB">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lang w:eastAsia="zh-CN"/>
        </w:rPr>
        <w:t>）落实政府采购政策需满足的资格要求；</w:t>
      </w:r>
    </w:p>
    <w:p w14:paraId="431BFC51">
      <w:pPr>
        <w:keepNext w:val="0"/>
        <w:keepLines w:val="0"/>
        <w:pageBreakBefore w:val="0"/>
        <w:widowControl w:val="0"/>
        <w:kinsoku/>
        <w:wordWrap/>
        <w:overflowPunct/>
        <w:topLinePunct w:val="0"/>
        <w:bidi w:val="0"/>
        <w:adjustRightInd w:val="0"/>
        <w:spacing w:line="336" w:lineRule="auto"/>
        <w:ind w:firstLine="480"/>
        <w:textAlignment w:val="auto"/>
        <w:rPr>
          <w:lang w:val="zh-CN"/>
        </w:rPr>
      </w:pPr>
      <w:r>
        <w:rPr>
          <w:rFonts w:hint="eastAsia"/>
        </w:rPr>
        <w:t>2</w:t>
      </w:r>
      <w:r>
        <w:rPr>
          <w:rFonts w:hint="eastAsia"/>
          <w:lang w:val="zh-CN"/>
        </w:rPr>
        <w:t>.</w:t>
      </w:r>
      <w:r>
        <w:rPr>
          <w:rFonts w:hint="eastAsia"/>
        </w:rPr>
        <w:t>2</w:t>
      </w:r>
      <w:r>
        <w:rPr>
          <w:rFonts w:hint="eastAsia"/>
          <w:lang w:val="zh-CN"/>
        </w:rPr>
        <w:t xml:space="preserve"> </w:t>
      </w:r>
      <w:r>
        <w:rPr>
          <w:rFonts w:hint="eastAsia"/>
        </w:rPr>
        <w:t>商务技术</w:t>
      </w:r>
      <w:r>
        <w:rPr>
          <w:rFonts w:hint="eastAsia"/>
          <w:lang w:val="zh-CN"/>
        </w:rPr>
        <w:t>文件：</w:t>
      </w:r>
    </w:p>
    <w:p w14:paraId="4957B25B">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rPr>
        <w:t>（1）投标函</w:t>
      </w:r>
      <w:r>
        <w:rPr>
          <w:rFonts w:hint="eastAsia" w:ascii="仿宋" w:hAnsi="仿宋" w:cs="仿宋"/>
          <w:lang w:eastAsia="zh-CN"/>
        </w:rPr>
        <w:t>；</w:t>
      </w:r>
    </w:p>
    <w:p w14:paraId="23318901">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rPr>
        <w:t>（2）授权委托书或法定代表人（单位负责人、自然人本人）身份证明</w:t>
      </w:r>
      <w:r>
        <w:rPr>
          <w:rFonts w:hint="eastAsia" w:ascii="仿宋" w:hAnsi="仿宋" w:cs="仿宋"/>
          <w:lang w:eastAsia="zh-CN"/>
        </w:rPr>
        <w:t>；</w:t>
      </w:r>
    </w:p>
    <w:p w14:paraId="5AE9E5CF">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rPr>
        <w:t>（3）符合性审查资料</w:t>
      </w:r>
      <w:r>
        <w:rPr>
          <w:rFonts w:hint="eastAsia" w:ascii="仿宋" w:hAnsi="仿宋" w:cs="仿宋"/>
          <w:lang w:eastAsia="zh-CN"/>
        </w:rPr>
        <w:t>；</w:t>
      </w:r>
    </w:p>
    <w:p w14:paraId="73AA7FDE">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rPr>
        <w:t>（4）评标标准相应的商务技术资料</w:t>
      </w:r>
      <w:r>
        <w:rPr>
          <w:rFonts w:hint="eastAsia" w:ascii="仿宋" w:hAnsi="仿宋" w:cs="仿宋"/>
          <w:lang w:eastAsia="zh-CN"/>
        </w:rPr>
        <w:t>；</w:t>
      </w:r>
    </w:p>
    <w:p w14:paraId="1577AA9B">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rPr>
        <w:t>（5）</w:t>
      </w:r>
      <w:r>
        <w:rPr>
          <w:rFonts w:hint="eastAsia" w:ascii="仿宋" w:hAnsi="仿宋" w:cs="仿宋"/>
          <w:lang w:eastAsia="zh-CN"/>
        </w:rPr>
        <w:t>商务条款偏离表；</w:t>
      </w:r>
    </w:p>
    <w:p w14:paraId="50D57F15">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hint="eastAsia" w:ascii="仿宋" w:hAnsi="仿宋" w:eastAsia="仿宋" w:cs="仿宋"/>
          <w:lang w:eastAsia="zh-CN"/>
        </w:rPr>
      </w:pPr>
      <w:r>
        <w:rPr>
          <w:rFonts w:hint="eastAsia" w:ascii="仿宋" w:hAnsi="仿宋" w:cs="仿宋"/>
          <w:lang w:val="zh-CN"/>
        </w:rPr>
        <w:t>（</w:t>
      </w:r>
      <w:r>
        <w:rPr>
          <w:rFonts w:hint="eastAsia" w:ascii="仿宋" w:hAnsi="仿宋" w:cs="仿宋"/>
        </w:rPr>
        <w:t>6</w:t>
      </w:r>
      <w:r>
        <w:rPr>
          <w:rFonts w:hint="eastAsia" w:ascii="仿宋" w:hAnsi="仿宋" w:cs="仿宋"/>
          <w:lang w:val="zh-CN"/>
        </w:rPr>
        <w:t>）政府采购供应商廉洁自律承诺书。</w:t>
      </w:r>
    </w:p>
    <w:p w14:paraId="615D7334">
      <w:pPr>
        <w:keepNext w:val="0"/>
        <w:keepLines w:val="0"/>
        <w:pageBreakBefore w:val="0"/>
        <w:widowControl w:val="0"/>
        <w:kinsoku/>
        <w:wordWrap/>
        <w:overflowPunct/>
        <w:topLinePunct w:val="0"/>
        <w:bidi w:val="0"/>
        <w:adjustRightInd w:val="0"/>
        <w:spacing w:line="336" w:lineRule="auto"/>
        <w:ind w:firstLine="480"/>
        <w:textAlignment w:val="auto"/>
      </w:pPr>
      <w:r>
        <w:rPr>
          <w:rFonts w:hint="eastAsia"/>
        </w:rPr>
        <w:t>2</w:t>
      </w:r>
      <w:r>
        <w:rPr>
          <w:rFonts w:hint="eastAsia"/>
          <w:lang w:val="zh-CN"/>
        </w:rPr>
        <w:t>.</w:t>
      </w:r>
      <w:r>
        <w:rPr>
          <w:rFonts w:hint="eastAsia"/>
        </w:rPr>
        <w:t>3报价文件</w:t>
      </w:r>
    </w:p>
    <w:p w14:paraId="6BC76E54">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hint="eastAsia" w:ascii="仿宋" w:hAnsi="仿宋" w:cs="仿宋"/>
          <w:lang w:val="en-US" w:eastAsia="zh-CN"/>
        </w:rPr>
      </w:pPr>
      <w:r>
        <w:rPr>
          <w:rFonts w:hint="eastAsia" w:ascii="仿宋" w:hAnsi="仿宋" w:cs="仿宋"/>
          <w:lang w:eastAsia="zh-CN"/>
        </w:rPr>
        <w:t>（</w:t>
      </w:r>
      <w:r>
        <w:rPr>
          <w:rFonts w:hint="eastAsia" w:ascii="仿宋" w:hAnsi="仿宋" w:cs="仿宋"/>
          <w:lang w:val="en-US" w:eastAsia="zh-CN"/>
        </w:rPr>
        <w:t>1</w:t>
      </w:r>
      <w:r>
        <w:rPr>
          <w:rFonts w:hint="eastAsia" w:ascii="仿宋" w:hAnsi="仿宋" w:cs="仿宋"/>
          <w:lang w:eastAsia="zh-CN"/>
        </w:rPr>
        <w:t>）</w:t>
      </w:r>
      <w:r>
        <w:rPr>
          <w:rFonts w:hint="eastAsia" w:ascii="仿宋" w:hAnsi="仿宋" w:cs="仿宋"/>
        </w:rPr>
        <w:t>开标一览表（报价表）</w:t>
      </w:r>
      <w:r>
        <w:rPr>
          <w:rFonts w:hint="eastAsia" w:ascii="仿宋" w:hAnsi="仿宋" w:cs="仿宋"/>
          <w:lang w:val="en-US" w:eastAsia="zh-CN"/>
        </w:rPr>
        <w:t>;</w:t>
      </w:r>
    </w:p>
    <w:p w14:paraId="46051105">
      <w:pPr>
        <w:keepNext w:val="0"/>
        <w:keepLines w:val="0"/>
        <w:pageBreakBefore w:val="0"/>
        <w:widowControl w:val="0"/>
        <w:kinsoku/>
        <w:wordWrap/>
        <w:overflowPunct/>
        <w:topLinePunct w:val="0"/>
        <w:bidi w:val="0"/>
        <w:adjustRightInd w:val="0"/>
        <w:snapToGrid w:val="0"/>
        <w:spacing w:line="336" w:lineRule="auto"/>
        <w:ind w:firstLine="480"/>
        <w:textAlignment w:val="auto"/>
        <w:rPr>
          <w:rFonts w:ascii="仿宋" w:hAnsi="仿宋" w:cs="仿宋"/>
        </w:rPr>
      </w:pPr>
      <w:r>
        <w:rPr>
          <w:rFonts w:hint="eastAsia" w:ascii="仿宋" w:hAnsi="仿宋" w:cs="仿宋"/>
        </w:rPr>
        <w:t>3、我方承诺除偏离表列出的偏离外，我方响应招标文件的全部要求。</w:t>
      </w:r>
    </w:p>
    <w:p w14:paraId="63A376C9">
      <w:pPr>
        <w:keepNext w:val="0"/>
        <w:keepLines w:val="0"/>
        <w:pageBreakBefore w:val="0"/>
        <w:widowControl w:val="0"/>
        <w:kinsoku/>
        <w:wordWrap/>
        <w:overflowPunct/>
        <w:topLinePunct w:val="0"/>
        <w:bidi w:val="0"/>
        <w:adjustRightInd w:val="0"/>
        <w:snapToGrid w:val="0"/>
        <w:spacing w:line="336" w:lineRule="auto"/>
        <w:ind w:firstLine="480"/>
        <w:textAlignment w:val="auto"/>
        <w:rPr>
          <w:rFonts w:ascii="仿宋" w:hAnsi="仿宋" w:cs="仿宋"/>
        </w:rPr>
      </w:pPr>
      <w:r>
        <w:rPr>
          <w:rFonts w:hint="eastAsia" w:ascii="仿宋" w:hAnsi="仿宋" w:cs="仿宋"/>
        </w:rPr>
        <w:t>4、如我方中标，我方承诺：</w:t>
      </w:r>
    </w:p>
    <w:p w14:paraId="42899072">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ascii="仿宋" w:hAnsi="仿宋" w:cs="仿宋"/>
        </w:rPr>
      </w:pPr>
      <w:r>
        <w:rPr>
          <w:rFonts w:hint="eastAsia" w:ascii="仿宋" w:hAnsi="仿宋" w:cs="仿宋"/>
        </w:rPr>
        <w:t xml:space="preserve">4.1在收到中标通知书后，在中标通知书规定的期限内与你方签订合同； </w:t>
      </w:r>
    </w:p>
    <w:p w14:paraId="6890E735">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ascii="仿宋" w:hAnsi="仿宋" w:cs="仿宋"/>
        </w:rPr>
      </w:pPr>
      <w:r>
        <w:rPr>
          <w:rFonts w:hint="eastAsia" w:ascii="仿宋" w:hAnsi="仿宋" w:cs="仿宋"/>
        </w:rPr>
        <w:t xml:space="preserve">4.2在签订合同时不向你方提出附加条件； </w:t>
      </w:r>
    </w:p>
    <w:p w14:paraId="03F066AB">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ascii="仿宋" w:hAnsi="仿宋" w:cs="仿宋"/>
        </w:rPr>
      </w:pPr>
      <w:r>
        <w:rPr>
          <w:rFonts w:hint="eastAsia" w:ascii="仿宋" w:hAnsi="仿宋" w:cs="仿宋"/>
        </w:rPr>
        <w:t xml:space="preserve">4.3按照招标文件要求提交履约保证金； </w:t>
      </w:r>
    </w:p>
    <w:p w14:paraId="356C7F11">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ascii="仿宋" w:hAnsi="仿宋" w:cs="仿宋"/>
        </w:rPr>
      </w:pPr>
      <w:r>
        <w:rPr>
          <w:rFonts w:hint="eastAsia" w:ascii="仿宋" w:hAnsi="仿宋" w:cs="仿宋"/>
        </w:rPr>
        <w:t xml:space="preserve">4.4在合同约定的期限内完成合同规定的全部义务。 </w:t>
      </w:r>
    </w:p>
    <w:p w14:paraId="28DDD491">
      <w:pPr>
        <w:keepNext w:val="0"/>
        <w:keepLines w:val="0"/>
        <w:pageBreakBefore w:val="0"/>
        <w:widowControl w:val="0"/>
        <w:kinsoku/>
        <w:wordWrap/>
        <w:overflowPunct/>
        <w:topLinePunct w:val="0"/>
        <w:bidi w:val="0"/>
        <w:adjustRightInd w:val="0"/>
        <w:snapToGrid w:val="0"/>
        <w:spacing w:line="336" w:lineRule="auto"/>
        <w:ind w:firstLine="480"/>
        <w:textAlignment w:val="auto"/>
        <w:rPr>
          <w:rFonts w:ascii="仿宋" w:hAnsi="仿宋" w:cs="仿宋"/>
        </w:rPr>
      </w:pPr>
      <w:r>
        <w:rPr>
          <w:rFonts w:hint="eastAsia" w:ascii="仿宋" w:hAnsi="仿宋" w:cs="仿宋"/>
        </w:rPr>
        <w:t>5、其他补充说明：</w:t>
      </w:r>
      <w:r>
        <w:rPr>
          <w:rFonts w:hint="eastAsia" w:ascii="仿宋" w:hAnsi="仿宋" w:cs="仿宋"/>
          <w:u w:val="single"/>
        </w:rPr>
        <w:t xml:space="preserve">                                        </w:t>
      </w:r>
      <w:r>
        <w:rPr>
          <w:rFonts w:hint="eastAsia" w:ascii="仿宋" w:hAnsi="仿宋" w:cs="仿宋"/>
        </w:rPr>
        <w:t>。</w:t>
      </w:r>
    </w:p>
    <w:p w14:paraId="245FF9CC">
      <w:pPr>
        <w:keepNext w:val="0"/>
        <w:keepLines w:val="0"/>
        <w:pageBreakBefore w:val="0"/>
        <w:widowControl w:val="0"/>
        <w:kinsoku/>
        <w:wordWrap/>
        <w:overflowPunct/>
        <w:topLinePunct w:val="0"/>
        <w:bidi w:val="0"/>
        <w:adjustRightInd w:val="0"/>
        <w:snapToGrid w:val="0"/>
        <w:spacing w:line="336" w:lineRule="auto"/>
        <w:ind w:right="2400" w:rightChars="1000" w:firstLine="0" w:firstLineChars="0"/>
        <w:jc w:val="right"/>
        <w:textAlignment w:val="auto"/>
        <w:rPr>
          <w:rFonts w:hint="eastAsia" w:ascii="仿宋" w:hAnsi="仿宋" w:cs="仿宋"/>
          <w:kern w:val="0"/>
          <w:lang w:val="zh-CN"/>
        </w:rPr>
      </w:pPr>
    </w:p>
    <w:p w14:paraId="59B9E47D">
      <w:pPr>
        <w:keepNext w:val="0"/>
        <w:keepLines w:val="0"/>
        <w:pageBreakBefore w:val="0"/>
        <w:widowControl w:val="0"/>
        <w:kinsoku/>
        <w:wordWrap/>
        <w:overflowPunct/>
        <w:topLinePunct w:val="0"/>
        <w:bidi w:val="0"/>
        <w:adjustRightInd w:val="0"/>
        <w:snapToGrid w:val="0"/>
        <w:spacing w:line="336" w:lineRule="auto"/>
        <w:ind w:right="2400" w:rightChars="1000" w:firstLine="0" w:firstLineChars="0"/>
        <w:jc w:val="right"/>
        <w:textAlignment w:val="auto"/>
        <w:rPr>
          <w:rFonts w:ascii="仿宋" w:hAnsi="仿宋" w:cs="仿宋"/>
          <w:kern w:val="0"/>
        </w:rPr>
      </w:pPr>
      <w:r>
        <w:rPr>
          <w:rFonts w:hint="eastAsia" w:ascii="仿宋" w:hAnsi="仿宋" w:cs="仿宋"/>
          <w:kern w:val="0"/>
          <w:lang w:val="zh-CN"/>
        </w:rPr>
        <w:t>投标人名称(电子签名)：</w:t>
      </w:r>
    </w:p>
    <w:p w14:paraId="25DD2CC7">
      <w:pPr>
        <w:keepNext w:val="0"/>
        <w:keepLines w:val="0"/>
        <w:pageBreakBefore w:val="0"/>
        <w:widowControl w:val="0"/>
        <w:kinsoku/>
        <w:wordWrap/>
        <w:overflowPunct/>
        <w:topLinePunct w:val="0"/>
        <w:bidi w:val="0"/>
        <w:adjustRightInd w:val="0"/>
        <w:snapToGrid w:val="0"/>
        <w:spacing w:line="336" w:lineRule="auto"/>
        <w:ind w:firstLine="480"/>
        <w:jc w:val="right"/>
        <w:textAlignment w:val="auto"/>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35E98128">
      <w:pPr>
        <w:pStyle w:val="8"/>
        <w:spacing w:before="120" w:after="240"/>
        <w:ind w:left="1151" w:hanging="1151"/>
        <w:rPr>
          <w:lang w:val="zh-CN"/>
        </w:rPr>
      </w:pPr>
      <w:r>
        <w:rPr>
          <w:rFonts w:hint="eastAsia"/>
          <w:lang w:val="zh-CN"/>
        </w:rPr>
        <w:t>二、授权委托书或法定代表人（单位负责人、自然人本人）身份证明</w:t>
      </w:r>
    </w:p>
    <w:p w14:paraId="459D5C9C">
      <w:pPr>
        <w:pStyle w:val="8"/>
        <w:spacing w:before="120" w:after="240"/>
        <w:rPr>
          <w:rFonts w:ascii="仿宋" w:hAnsi="仿宋" w:cs="仿宋"/>
        </w:rPr>
      </w:pPr>
      <w:r>
        <w:rPr>
          <w:rFonts w:hint="eastAsia" w:ascii="仿宋" w:hAnsi="仿宋" w:cs="仿宋"/>
          <w:kern w:val="0"/>
          <w:szCs w:val="32"/>
          <w:lang w:val="zh-CN"/>
        </w:rPr>
        <w:t>授权委托书</w:t>
      </w:r>
    </w:p>
    <w:p w14:paraId="37A9EC73">
      <w:pPr>
        <w:pStyle w:val="26"/>
        <w:rPr>
          <w:rFonts w:ascii="仿宋" w:hAnsi="仿宋" w:cs="仿宋"/>
          <w:kern w:val="0"/>
        </w:rPr>
      </w:pPr>
      <w:r>
        <w:rPr>
          <w:rFonts w:hint="eastAsia" w:ascii="仿宋" w:hAnsi="仿宋" w:cs="仿宋"/>
          <w:u w:val="single"/>
          <w:lang w:eastAsia="zh-CN"/>
        </w:rPr>
        <w:t>慈溪市人民政府宗汉街道办事处、慈溪元达采购招标代理有限公司</w:t>
      </w:r>
      <w:r>
        <w:rPr>
          <w:rFonts w:hint="eastAsia" w:ascii="仿宋" w:hAnsi="仿宋" w:cs="仿宋"/>
          <w:kern w:val="0"/>
        </w:rPr>
        <w:t>：</w:t>
      </w:r>
    </w:p>
    <w:p w14:paraId="0357BC20">
      <w:pPr>
        <w:snapToGrid w:val="0"/>
        <w:ind w:firstLine="480"/>
        <w:rPr>
          <w:rFonts w:ascii="仿宋" w:hAnsi="仿宋" w:cs="仿宋"/>
          <w:kern w:val="0"/>
        </w:rPr>
      </w:pPr>
      <w:r>
        <w:rPr>
          <w:rFonts w:hint="eastAsia" w:ascii="仿宋" w:hAnsi="仿宋" w:cs="仿宋"/>
          <w:kern w:val="0"/>
        </w:rPr>
        <w:t>现</w:t>
      </w:r>
      <w:r>
        <w:rPr>
          <w:rFonts w:hint="eastAsia" w:ascii="仿宋" w:hAnsi="仿宋" w:cs="仿宋"/>
          <w:kern w:val="0"/>
          <w:lang w:val="zh-CN"/>
        </w:rPr>
        <w:t>委托</w:t>
      </w:r>
      <w:r>
        <w:rPr>
          <w:rFonts w:hint="eastAsia" w:ascii="仿宋" w:hAnsi="仿宋" w:cs="仿宋"/>
          <w:kern w:val="0"/>
          <w:u w:val="single"/>
          <w:lang w:val="zh-CN"/>
        </w:rPr>
        <w:t xml:space="preserve">          </w:t>
      </w:r>
      <w:r>
        <w:rPr>
          <w:rFonts w:hint="eastAsia" w:ascii="仿宋" w:hAnsi="仿宋" w:cs="仿宋"/>
          <w:kern w:val="0"/>
          <w:lang w:val="zh-CN"/>
        </w:rPr>
        <w:t>（姓名）为我方代理人（身份证号码：</w:t>
      </w:r>
      <w:r>
        <w:rPr>
          <w:rFonts w:hint="eastAsia" w:ascii="仿宋" w:hAnsi="仿宋" w:cs="仿宋"/>
          <w:kern w:val="0"/>
          <w:u w:val="single"/>
          <w:lang w:val="zh-CN"/>
        </w:rPr>
        <w:t xml:space="preserve">          </w:t>
      </w:r>
      <w:r>
        <w:rPr>
          <w:rFonts w:hint="eastAsia" w:ascii="仿宋" w:hAnsi="仿宋" w:cs="仿宋"/>
          <w:kern w:val="0"/>
          <w:lang w:val="zh-CN"/>
        </w:rPr>
        <w:t>，手机：</w:t>
      </w:r>
      <w:r>
        <w:rPr>
          <w:rFonts w:hint="eastAsia" w:ascii="仿宋" w:hAnsi="仿宋" w:cs="仿宋"/>
          <w:kern w:val="0"/>
          <w:u w:val="single"/>
          <w:lang w:val="zh-CN"/>
        </w:rPr>
        <w:t xml:space="preserve">          </w:t>
      </w:r>
      <w:r>
        <w:rPr>
          <w:rFonts w:hint="eastAsia" w:ascii="仿宋" w:hAnsi="仿宋" w:cs="仿宋"/>
          <w:kern w:val="0"/>
          <w:lang w:val="zh-CN"/>
        </w:rPr>
        <w:t>），以我方名义处理</w:t>
      </w:r>
      <w:r>
        <w:rPr>
          <w:rFonts w:hint="eastAsia" w:ascii="仿宋" w:hAnsi="仿宋" w:cs="仿宋"/>
          <w:kern w:val="0"/>
          <w:u w:val="single"/>
          <w:lang w:val="zh-CN"/>
        </w:rPr>
        <w:t>慈溪市宗汉街道社会心理服务</w:t>
      </w:r>
      <w:r>
        <w:rPr>
          <w:rFonts w:hint="eastAsia" w:ascii="仿宋" w:hAnsi="仿宋" w:cs="仿宋"/>
        </w:rPr>
        <w:t>【</w:t>
      </w:r>
      <w:r>
        <w:rPr>
          <w:rFonts w:hint="eastAsia" w:ascii="仿宋" w:hAnsi="仿宋" w:cs="仿宋"/>
          <w:lang w:val="en-US" w:eastAsia="zh-CN"/>
        </w:rPr>
        <w:t>项目编号：330282202411009267</w:t>
      </w:r>
      <w:r>
        <w:rPr>
          <w:rFonts w:hint="eastAsia" w:ascii="仿宋" w:hAnsi="仿宋" w:cs="仿宋"/>
        </w:rPr>
        <w:t>】</w:t>
      </w:r>
      <w:r>
        <w:rPr>
          <w:rFonts w:hint="eastAsia" w:ascii="仿宋" w:hAnsi="仿宋" w:cs="仿宋"/>
          <w:kern w:val="0"/>
          <w:lang w:val="zh-CN"/>
        </w:rPr>
        <w:t>政府采购投标的一切事项，其法律后果由我方承担。</w:t>
      </w:r>
    </w:p>
    <w:p w14:paraId="6BF246BD">
      <w:pPr>
        <w:snapToGrid w:val="0"/>
        <w:ind w:firstLine="480"/>
        <w:rPr>
          <w:rFonts w:ascii="仿宋" w:hAnsi="仿宋" w:cs="仿宋"/>
          <w:kern w:val="0"/>
        </w:rPr>
      </w:pPr>
      <w:r>
        <w:rPr>
          <w:rFonts w:hint="eastAsia" w:ascii="仿宋" w:hAnsi="仿宋" w:cs="仿宋"/>
          <w:kern w:val="0"/>
        </w:rPr>
        <w:t xml:space="preserve">    </w:t>
      </w: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14:paraId="2F610BC1">
      <w:pPr>
        <w:snapToGrid w:val="0"/>
        <w:ind w:firstLine="480"/>
        <w:rPr>
          <w:rFonts w:ascii="仿宋" w:hAnsi="仿宋" w:cs="仿宋"/>
          <w:kern w:val="0"/>
        </w:rPr>
      </w:pPr>
      <w:r>
        <w:rPr>
          <w:rFonts w:hint="eastAsia" w:ascii="仿宋" w:hAnsi="仿宋" w:cs="仿宋"/>
          <w:kern w:val="0"/>
        </w:rPr>
        <w:t xml:space="preserve">    </w:t>
      </w:r>
      <w:r>
        <w:rPr>
          <w:rFonts w:hint="eastAsia" w:ascii="仿宋" w:hAnsi="仿宋" w:cs="仿宋"/>
          <w:kern w:val="0"/>
          <w:lang w:val="zh-CN"/>
        </w:rPr>
        <w:t>特此告知。</w:t>
      </w:r>
    </w:p>
    <w:p w14:paraId="0A4069C1">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784F3DEF">
      <w:pPr>
        <w:snapToGrid w:val="0"/>
        <w:ind w:firstLine="480"/>
        <w:jc w:val="right"/>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签发日期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107E1336">
      <w:pPr>
        <w:snapToGrid w:val="0"/>
        <w:ind w:firstLine="480"/>
        <w:rPr>
          <w:rFonts w:ascii="仿宋" w:hAnsi="仿宋" w:cs="仿宋"/>
        </w:rPr>
      </w:pPr>
    </w:p>
    <w:p w14:paraId="5F24ABD1">
      <w:pPr>
        <w:pStyle w:val="8"/>
        <w:spacing w:before="120" w:after="240"/>
        <w:rPr>
          <w:rFonts w:ascii="仿宋" w:hAnsi="仿宋" w:cs="仿宋"/>
          <w:sz w:val="24"/>
        </w:rPr>
      </w:pPr>
      <w:r>
        <w:rPr>
          <w:rFonts w:hint="eastAsia" w:ascii="仿宋" w:hAnsi="仿宋" w:cs="仿宋"/>
          <w:kern w:val="0"/>
          <w:szCs w:val="32"/>
          <w:lang w:val="zh-CN"/>
        </w:rPr>
        <w:t>法定代表人、单位负责人或自然人本人</w:t>
      </w:r>
      <w:r>
        <w:rPr>
          <w:rFonts w:hint="eastAsia" w:ascii="仿宋" w:hAnsi="仿宋" w:cs="仿宋"/>
          <w:sz w:val="30"/>
          <w:szCs w:val="30"/>
        </w:rPr>
        <w:t>的身份证明（适用于法定代表人、单位负责人或者自然人本人代表投标人参加投标）</w:t>
      </w:r>
    </w:p>
    <w:p w14:paraId="2D83F2C1">
      <w:pPr>
        <w:pStyle w:val="154"/>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D00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jc w:val="center"/>
        </w:trPr>
        <w:tc>
          <w:tcPr>
            <w:tcW w:w="9060" w:type="dxa"/>
          </w:tcPr>
          <w:p w14:paraId="400FC77E">
            <w:pPr>
              <w:pStyle w:val="154"/>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7A26C28E">
            <w:pPr>
              <w:pStyle w:val="154"/>
              <w:adjustRightInd w:val="0"/>
              <w:spacing w:line="360" w:lineRule="auto"/>
              <w:rPr>
                <w:rFonts w:ascii="仿宋" w:hAnsi="仿宋" w:eastAsia="仿宋" w:cs="仿宋"/>
                <w:bCs/>
                <w:sz w:val="24"/>
              </w:rPr>
            </w:pPr>
          </w:p>
        </w:tc>
      </w:tr>
    </w:tbl>
    <w:p w14:paraId="25432BE8">
      <w:pPr>
        <w:snapToGrid w:val="0"/>
        <w:ind w:firstLine="480"/>
        <w:jc w:val="center"/>
        <w:rPr>
          <w:rFonts w:ascii="仿宋" w:hAnsi="仿宋" w:cs="仿宋"/>
          <w:kern w:val="0"/>
          <w:lang w:val="zh-CN"/>
        </w:rPr>
      </w:pPr>
      <w:r>
        <w:rPr>
          <w:rFonts w:hint="eastAsia" w:ascii="仿宋" w:hAnsi="仿宋" w:cs="仿宋"/>
          <w:kern w:val="0"/>
          <w:lang w:val="zh-CN"/>
        </w:rPr>
        <w:t xml:space="preserve">                 </w:t>
      </w:r>
    </w:p>
    <w:p w14:paraId="0D789B4C">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6A664E01">
      <w:pPr>
        <w:snapToGrid w:val="0"/>
        <w:ind w:firstLine="480"/>
        <w:jc w:val="right"/>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659138B4">
      <w:pPr>
        <w:ind w:firstLine="480"/>
        <w:rPr>
          <w:rFonts w:ascii="仿宋" w:hAnsi="仿宋" w:cs="仿宋"/>
          <w:kern w:val="0"/>
          <w:lang w:val="zh-CN"/>
        </w:rPr>
      </w:pPr>
      <w:r>
        <w:rPr>
          <w:rFonts w:hint="eastAsia" w:ascii="仿宋" w:hAnsi="仿宋" w:cs="仿宋"/>
          <w:kern w:val="0"/>
          <w:lang w:val="zh-CN"/>
        </w:rPr>
        <w:br w:type="page"/>
      </w:r>
    </w:p>
    <w:p w14:paraId="2AD8769D">
      <w:pPr>
        <w:pStyle w:val="8"/>
        <w:spacing w:before="120" w:after="240"/>
        <w:ind w:left="1151" w:hanging="1151"/>
        <w:rPr>
          <w:rFonts w:ascii="仿宋" w:hAnsi="仿宋" w:cs="仿宋"/>
        </w:rPr>
      </w:pPr>
      <w:r>
        <w:rPr>
          <w:rFonts w:hint="eastAsia" w:ascii="仿宋" w:hAnsi="仿宋" w:cs="仿宋"/>
        </w:rPr>
        <w:t>三、符合性审查资料</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3952"/>
        <w:gridCol w:w="3305"/>
        <w:gridCol w:w="1360"/>
      </w:tblGrid>
      <w:tr w14:paraId="5404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5" w:type="pct"/>
            <w:vAlign w:val="center"/>
          </w:tcPr>
          <w:p w14:paraId="72B02F6D">
            <w:pPr>
              <w:pStyle w:val="14"/>
              <w:rPr>
                <w:rFonts w:ascii="仿宋" w:hAnsi="仿宋" w:cs="仿宋"/>
              </w:rPr>
            </w:pPr>
            <w:r>
              <w:rPr>
                <w:rFonts w:hint="eastAsia" w:ascii="仿宋" w:hAnsi="仿宋" w:cs="仿宋"/>
              </w:rPr>
              <w:t>序号</w:t>
            </w:r>
          </w:p>
        </w:tc>
        <w:tc>
          <w:tcPr>
            <w:tcW w:w="2139" w:type="pct"/>
            <w:vAlign w:val="center"/>
          </w:tcPr>
          <w:p w14:paraId="31BA0A4A">
            <w:pPr>
              <w:pStyle w:val="14"/>
              <w:rPr>
                <w:rFonts w:ascii="仿宋" w:hAnsi="仿宋" w:cs="仿宋"/>
              </w:rPr>
            </w:pPr>
            <w:r>
              <w:rPr>
                <w:rFonts w:hint="eastAsia" w:ascii="仿宋" w:hAnsi="仿宋" w:cs="仿宋"/>
              </w:rPr>
              <w:t>实质性要求</w:t>
            </w:r>
          </w:p>
        </w:tc>
        <w:tc>
          <w:tcPr>
            <w:tcW w:w="1789" w:type="pct"/>
            <w:vAlign w:val="center"/>
          </w:tcPr>
          <w:p w14:paraId="77D5AD0D">
            <w:pPr>
              <w:pStyle w:val="14"/>
              <w:rPr>
                <w:rFonts w:ascii="仿宋" w:hAnsi="仿宋" w:cs="仿宋"/>
              </w:rPr>
            </w:pPr>
            <w:r>
              <w:rPr>
                <w:rFonts w:hint="eastAsia" w:ascii="仿宋" w:hAnsi="仿宋" w:cs="仿宋"/>
              </w:rPr>
              <w:t>符合性审查资料</w:t>
            </w:r>
          </w:p>
        </w:tc>
        <w:tc>
          <w:tcPr>
            <w:tcW w:w="736" w:type="pct"/>
            <w:vAlign w:val="center"/>
          </w:tcPr>
          <w:p w14:paraId="4A5EB1F2">
            <w:pPr>
              <w:pStyle w:val="14"/>
              <w:rPr>
                <w:rFonts w:hint="eastAsia" w:ascii="仿宋" w:hAnsi="仿宋" w:eastAsia="仿宋" w:cs="仿宋"/>
                <w:lang w:val="en-US" w:eastAsia="zh-CN"/>
              </w:rPr>
            </w:pPr>
            <w:r>
              <w:rPr>
                <w:rFonts w:hint="eastAsia" w:ascii="仿宋" w:hAnsi="仿宋" w:cs="仿宋"/>
                <w:lang w:val="en-US" w:eastAsia="zh-CN"/>
              </w:rPr>
              <w:t>备注</w:t>
            </w:r>
          </w:p>
        </w:tc>
      </w:tr>
      <w:tr w14:paraId="458B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63AB4F2A">
            <w:pPr>
              <w:pStyle w:val="14"/>
              <w:rPr>
                <w:rFonts w:ascii="仿宋" w:hAnsi="仿宋" w:cs="仿宋"/>
              </w:rPr>
            </w:pPr>
            <w:r>
              <w:rPr>
                <w:rFonts w:hint="eastAsia" w:ascii="仿宋" w:hAnsi="仿宋" w:cs="仿宋"/>
              </w:rPr>
              <w:t>1</w:t>
            </w:r>
          </w:p>
        </w:tc>
        <w:tc>
          <w:tcPr>
            <w:tcW w:w="2139" w:type="pct"/>
            <w:vAlign w:val="center"/>
          </w:tcPr>
          <w:p w14:paraId="2E28F185">
            <w:pPr>
              <w:pStyle w:val="14"/>
              <w:ind w:left="0" w:leftChars="0" w:firstLine="0" w:firstLineChars="0"/>
              <w:jc w:val="both"/>
              <w:rPr>
                <w:rFonts w:ascii="仿宋" w:hAnsi="仿宋" w:cs="仿宋"/>
              </w:rPr>
            </w:pPr>
            <w:r>
              <w:rPr>
                <w:rFonts w:hint="eastAsia" w:ascii="仿宋" w:hAnsi="仿宋" w:cs="仿宋"/>
                <w:b/>
                <w:bCs/>
              </w:rPr>
              <w:t>投标文件按照招标文件要求签署、盖章。</w:t>
            </w:r>
          </w:p>
        </w:tc>
        <w:tc>
          <w:tcPr>
            <w:tcW w:w="1789" w:type="pct"/>
            <w:vAlign w:val="center"/>
          </w:tcPr>
          <w:p w14:paraId="3E2B7D52">
            <w:pPr>
              <w:pStyle w:val="14"/>
              <w:ind w:left="0" w:leftChars="0" w:firstLine="0" w:firstLineChars="0"/>
              <w:jc w:val="both"/>
              <w:rPr>
                <w:rFonts w:ascii="仿宋" w:hAnsi="仿宋" w:cs="仿宋"/>
              </w:rPr>
            </w:pPr>
            <w:r>
              <w:rPr>
                <w:rFonts w:hint="eastAsia" w:ascii="仿宋" w:hAnsi="仿宋" w:cs="仿宋"/>
              </w:rPr>
              <w:t>需要使用电子签名或者签字盖章</w:t>
            </w:r>
            <w:r>
              <w:rPr>
                <w:rFonts w:hint="eastAsia" w:ascii="仿宋" w:hAnsi="仿宋" w:cs="仿宋"/>
                <w:lang w:val="en-US" w:eastAsia="zh-CN"/>
              </w:rPr>
              <w:t>是</w:t>
            </w:r>
            <w:r>
              <w:rPr>
                <w:rFonts w:hint="eastAsia" w:ascii="仿宋" w:hAnsi="仿宋" w:cs="仿宋"/>
              </w:rPr>
              <w:t>投标文件的组成部分</w:t>
            </w:r>
          </w:p>
        </w:tc>
        <w:tc>
          <w:tcPr>
            <w:tcW w:w="736" w:type="pct"/>
            <w:vAlign w:val="center"/>
          </w:tcPr>
          <w:p w14:paraId="41DD9845">
            <w:pPr>
              <w:pStyle w:val="14"/>
              <w:rPr>
                <w:rFonts w:ascii="仿宋" w:hAnsi="仿宋" w:cs="仿宋"/>
              </w:rPr>
            </w:pPr>
          </w:p>
        </w:tc>
      </w:tr>
      <w:tr w14:paraId="7B2E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4848B7E5">
            <w:pPr>
              <w:pStyle w:val="14"/>
              <w:rPr>
                <w:rFonts w:ascii="仿宋" w:hAnsi="仿宋" w:cs="仿宋"/>
              </w:rPr>
            </w:pPr>
            <w:r>
              <w:rPr>
                <w:rFonts w:hint="eastAsia" w:ascii="仿宋" w:hAnsi="仿宋" w:cs="仿宋"/>
              </w:rPr>
              <w:t>2</w:t>
            </w:r>
          </w:p>
        </w:tc>
        <w:tc>
          <w:tcPr>
            <w:tcW w:w="2139" w:type="pct"/>
            <w:vAlign w:val="center"/>
          </w:tcPr>
          <w:p w14:paraId="369DBE92">
            <w:pPr>
              <w:pStyle w:val="14"/>
              <w:ind w:left="0" w:leftChars="0" w:firstLine="0" w:firstLineChars="0"/>
              <w:jc w:val="both"/>
              <w:rPr>
                <w:rFonts w:ascii="仿宋" w:hAnsi="仿宋" w:cs="仿宋"/>
                <w:szCs w:val="20"/>
              </w:rPr>
            </w:pPr>
            <w:r>
              <w:rPr>
                <w:rFonts w:hint="eastAsia" w:ascii="仿宋" w:hAnsi="仿宋" w:cs="仿宋"/>
                <w:b/>
                <w:bCs/>
              </w:rPr>
              <w:t>投标文件中承诺的投标有效期不少于招标文件中载明的投标有效期。</w:t>
            </w:r>
          </w:p>
        </w:tc>
        <w:tc>
          <w:tcPr>
            <w:tcW w:w="1789" w:type="pct"/>
            <w:vAlign w:val="center"/>
          </w:tcPr>
          <w:p w14:paraId="12AF9411">
            <w:pPr>
              <w:pStyle w:val="14"/>
              <w:ind w:left="0" w:leftChars="0" w:firstLine="0" w:firstLineChars="0"/>
              <w:jc w:val="both"/>
              <w:rPr>
                <w:rFonts w:ascii="仿宋" w:hAnsi="仿宋" w:cs="仿宋"/>
                <w:szCs w:val="20"/>
              </w:rPr>
            </w:pPr>
            <w:r>
              <w:rPr>
                <w:rFonts w:hint="eastAsia" w:ascii="仿宋" w:hAnsi="仿宋" w:cs="仿宋"/>
              </w:rPr>
              <w:t>投标函</w:t>
            </w:r>
          </w:p>
        </w:tc>
        <w:tc>
          <w:tcPr>
            <w:tcW w:w="736" w:type="pct"/>
          </w:tcPr>
          <w:p w14:paraId="24596111">
            <w:pPr>
              <w:pStyle w:val="14"/>
              <w:rPr>
                <w:rFonts w:ascii="仿宋" w:hAnsi="仿宋" w:cs="仿宋"/>
                <w:szCs w:val="20"/>
                <w:lang w:val="en-US"/>
              </w:rPr>
            </w:pPr>
          </w:p>
        </w:tc>
      </w:tr>
      <w:tr w14:paraId="22AA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5270766F">
            <w:pPr>
              <w:pStyle w:val="14"/>
              <w:rPr>
                <w:rFonts w:ascii="仿宋" w:hAnsi="仿宋" w:cs="仿宋"/>
              </w:rPr>
            </w:pPr>
            <w:r>
              <w:rPr>
                <w:rFonts w:hint="eastAsia" w:ascii="仿宋" w:hAnsi="仿宋" w:cs="仿宋"/>
              </w:rPr>
              <w:t>3</w:t>
            </w:r>
          </w:p>
        </w:tc>
        <w:tc>
          <w:tcPr>
            <w:tcW w:w="2139" w:type="pct"/>
            <w:vAlign w:val="center"/>
          </w:tcPr>
          <w:p w14:paraId="0BF7053A">
            <w:pPr>
              <w:pStyle w:val="14"/>
              <w:ind w:left="0" w:leftChars="0" w:firstLine="0" w:firstLineChars="0"/>
              <w:jc w:val="both"/>
              <w:rPr>
                <w:rFonts w:ascii="仿宋" w:hAnsi="仿宋" w:cs="仿宋"/>
                <w:szCs w:val="20"/>
              </w:rPr>
            </w:pPr>
            <w:r>
              <w:rPr>
                <w:rFonts w:hint="eastAsia" w:ascii="仿宋" w:hAnsi="仿宋" w:cs="仿宋"/>
                <w:b/>
                <w:bCs/>
              </w:rPr>
              <w:t>投标文件满足招标文件的其它实质性要求。</w:t>
            </w:r>
          </w:p>
        </w:tc>
        <w:tc>
          <w:tcPr>
            <w:tcW w:w="1789" w:type="pct"/>
            <w:vAlign w:val="center"/>
          </w:tcPr>
          <w:p w14:paraId="2B2D00E3">
            <w:pPr>
              <w:pStyle w:val="14"/>
              <w:ind w:left="0" w:leftChars="0" w:firstLine="0" w:firstLineChars="0"/>
              <w:jc w:val="both"/>
              <w:rPr>
                <w:rFonts w:ascii="仿宋" w:hAnsi="仿宋" w:cs="仿宋"/>
                <w:szCs w:val="20"/>
              </w:rPr>
            </w:pPr>
            <w:r>
              <w:rPr>
                <w:rFonts w:hint="eastAsia" w:ascii="仿宋" w:hAnsi="仿宋" w:cs="仿宋"/>
              </w:rPr>
              <w:t>招标文件其它实质性要求相应的材料（“★” 系指实质性要求条款，招标文件无其它实质性要求的，无需提供）</w:t>
            </w:r>
          </w:p>
        </w:tc>
        <w:tc>
          <w:tcPr>
            <w:tcW w:w="736" w:type="pct"/>
            <w:vAlign w:val="center"/>
          </w:tcPr>
          <w:p w14:paraId="62B18314">
            <w:pPr>
              <w:pStyle w:val="14"/>
              <w:rPr>
                <w:rFonts w:ascii="仿宋" w:hAnsi="仿宋" w:cs="仿宋"/>
                <w:szCs w:val="20"/>
              </w:rPr>
            </w:pPr>
          </w:p>
        </w:tc>
      </w:tr>
      <w:tr w14:paraId="5258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5C41222E">
            <w:pPr>
              <w:pStyle w:val="14"/>
              <w:rPr>
                <w:rFonts w:hint="eastAsia" w:ascii="仿宋" w:hAnsi="仿宋" w:eastAsia="仿宋" w:cs="仿宋"/>
                <w:lang w:val="en-US" w:eastAsia="zh-CN"/>
              </w:rPr>
            </w:pPr>
            <w:r>
              <w:rPr>
                <w:rFonts w:hint="eastAsia" w:ascii="仿宋" w:hAnsi="仿宋" w:cs="仿宋"/>
                <w:lang w:val="en-US" w:eastAsia="zh-CN"/>
              </w:rPr>
              <w:t>4</w:t>
            </w:r>
          </w:p>
        </w:tc>
        <w:tc>
          <w:tcPr>
            <w:tcW w:w="2139" w:type="pct"/>
            <w:vAlign w:val="center"/>
          </w:tcPr>
          <w:p w14:paraId="4A3172F0">
            <w:pPr>
              <w:pStyle w:val="14"/>
              <w:jc w:val="both"/>
              <w:rPr>
                <w:rFonts w:hint="eastAsia" w:ascii="仿宋" w:hAnsi="仿宋" w:cs="仿宋"/>
                <w:b/>
                <w:bCs/>
                <w:lang w:eastAsia="zh-CN"/>
              </w:rPr>
            </w:pPr>
            <w:r>
              <w:rPr>
                <w:rFonts w:hint="eastAsia" w:ascii="仿宋" w:hAnsi="仿宋" w:cs="仿宋"/>
                <w:b/>
                <w:bCs/>
              </w:rPr>
              <w:t>投标文件含有采购人不能接受的附加条件的</w:t>
            </w:r>
            <w:r>
              <w:rPr>
                <w:rFonts w:hint="eastAsia" w:ascii="仿宋" w:hAnsi="仿宋" w:cs="仿宋"/>
                <w:b/>
                <w:bCs/>
                <w:lang w:eastAsia="zh-CN"/>
              </w:rPr>
              <w:t>；</w:t>
            </w:r>
          </w:p>
          <w:p w14:paraId="0EE8A32C">
            <w:pPr>
              <w:pStyle w:val="14"/>
              <w:jc w:val="both"/>
              <w:rPr>
                <w:rFonts w:hint="eastAsia" w:ascii="仿宋" w:hAnsi="仿宋" w:cs="仿宋"/>
                <w:b/>
                <w:bCs/>
                <w:lang w:eastAsia="zh-CN"/>
              </w:rPr>
            </w:pPr>
            <w:r>
              <w:rPr>
                <w:rFonts w:hint="eastAsia" w:ascii="仿宋" w:hAnsi="仿宋" w:cs="仿宋"/>
                <w:b/>
                <w:bCs/>
              </w:rPr>
              <w:t>投标人提供虚假材料投标的</w:t>
            </w:r>
            <w:r>
              <w:rPr>
                <w:rFonts w:hint="eastAsia" w:ascii="仿宋" w:hAnsi="仿宋" w:cs="仿宋"/>
                <w:b/>
                <w:bCs/>
                <w:lang w:eastAsia="zh-CN"/>
              </w:rPr>
              <w:t>；</w:t>
            </w:r>
          </w:p>
          <w:p w14:paraId="180F12C7">
            <w:pPr>
              <w:pStyle w:val="15"/>
              <w:ind w:left="0" w:leftChars="0" w:firstLine="0" w:firstLineChars="0"/>
              <w:rPr>
                <w:rFonts w:hint="eastAsia" w:ascii="仿宋" w:hAnsi="仿宋" w:eastAsia="仿宋" w:cs="仿宋"/>
                <w:lang w:eastAsia="zh-CN"/>
              </w:rPr>
            </w:pPr>
            <w:r>
              <w:rPr>
                <w:rFonts w:hint="eastAsia" w:ascii="仿宋" w:hAnsi="仿宋" w:cs="仿宋"/>
                <w:b/>
                <w:bCs/>
                <w:kern w:val="0"/>
              </w:rPr>
              <w:t>投标人有恶意串通、妨碍其他投标人的竞争行为、损害采购人或者其他投标人的合法权益情形的</w:t>
            </w:r>
            <w:r>
              <w:rPr>
                <w:rFonts w:hint="eastAsia" w:ascii="仿宋" w:hAnsi="仿宋" w:cs="仿宋"/>
                <w:b/>
                <w:bCs/>
                <w:kern w:val="0"/>
                <w:lang w:eastAsia="zh-CN"/>
              </w:rPr>
              <w:t>。</w:t>
            </w:r>
          </w:p>
        </w:tc>
        <w:tc>
          <w:tcPr>
            <w:tcW w:w="1789" w:type="pct"/>
            <w:vAlign w:val="center"/>
          </w:tcPr>
          <w:p w14:paraId="1E80507C">
            <w:pPr>
              <w:pStyle w:val="14"/>
              <w:ind w:left="0" w:leftChars="0" w:firstLine="0" w:firstLineChars="0"/>
              <w:jc w:val="both"/>
              <w:rPr>
                <w:rFonts w:hint="default" w:ascii="仿宋" w:hAnsi="仿宋" w:eastAsia="仿宋" w:cs="仿宋"/>
                <w:lang w:val="en-US" w:eastAsia="zh-CN"/>
              </w:rPr>
            </w:pPr>
            <w:r>
              <w:rPr>
                <w:rFonts w:hint="eastAsia" w:ascii="仿宋" w:hAnsi="仿宋" w:cs="仿宋"/>
                <w:lang w:val="en-US" w:eastAsia="zh-CN"/>
              </w:rPr>
              <w:t>投标文件</w:t>
            </w:r>
          </w:p>
        </w:tc>
        <w:tc>
          <w:tcPr>
            <w:tcW w:w="736" w:type="pct"/>
            <w:vAlign w:val="center"/>
          </w:tcPr>
          <w:p w14:paraId="33A3848B">
            <w:pPr>
              <w:pStyle w:val="14"/>
              <w:rPr>
                <w:rFonts w:ascii="仿宋" w:hAnsi="仿宋" w:cs="仿宋"/>
                <w:szCs w:val="20"/>
              </w:rPr>
            </w:pPr>
          </w:p>
        </w:tc>
      </w:tr>
      <w:tr w14:paraId="7AA1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798C3A06">
            <w:pPr>
              <w:pStyle w:val="14"/>
              <w:rPr>
                <w:rFonts w:hint="default" w:ascii="仿宋" w:hAnsi="仿宋" w:cs="仿宋"/>
                <w:lang w:val="en-US" w:eastAsia="zh-CN"/>
              </w:rPr>
            </w:pPr>
            <w:r>
              <w:rPr>
                <w:rFonts w:hint="eastAsia" w:ascii="仿宋" w:hAnsi="仿宋" w:cs="仿宋"/>
                <w:lang w:val="en-US" w:eastAsia="zh-CN"/>
              </w:rPr>
              <w:t>5</w:t>
            </w:r>
          </w:p>
        </w:tc>
        <w:tc>
          <w:tcPr>
            <w:tcW w:w="2139" w:type="pct"/>
            <w:vAlign w:val="center"/>
          </w:tcPr>
          <w:p w14:paraId="064A9434">
            <w:pPr>
              <w:pStyle w:val="14"/>
              <w:jc w:val="both"/>
              <w:rPr>
                <w:rFonts w:hint="eastAsia" w:ascii="仿宋" w:hAnsi="仿宋" w:cs="仿宋"/>
                <w:b/>
                <w:bCs/>
              </w:rPr>
            </w:pPr>
            <w:r>
              <w:rPr>
                <w:rFonts w:hint="eastAsia" w:ascii="仿宋" w:hAnsi="仿宋" w:cs="仿宋"/>
                <w:b/>
                <w:bCs/>
              </w:rPr>
              <w:t>投标文件出现不是唯一的、有选择性投标报价的;</w:t>
            </w:r>
          </w:p>
          <w:p w14:paraId="33A1E301">
            <w:pPr>
              <w:pStyle w:val="15"/>
              <w:ind w:left="0" w:leftChars="0" w:firstLine="0" w:firstLineChars="0"/>
              <w:rPr>
                <w:rFonts w:hint="default" w:eastAsia="仿宋_GB2312"/>
                <w:lang w:val="en-US" w:eastAsia="zh-CN"/>
              </w:rPr>
            </w:pPr>
            <w:r>
              <w:rPr>
                <w:rFonts w:hint="eastAsia" w:ascii="仿宋" w:hAnsi="仿宋" w:cs="仿宋"/>
                <w:b/>
                <w:bCs/>
                <w:lang w:val="en-US" w:eastAsia="zh-CN"/>
              </w:rPr>
              <w:t>投标报价超过采购预算价或最高限高的；</w:t>
            </w:r>
          </w:p>
          <w:p w14:paraId="646D4BEA">
            <w:pPr>
              <w:pStyle w:val="15"/>
              <w:ind w:left="0" w:leftChars="0" w:firstLine="0" w:firstLineChars="0"/>
              <w:rPr>
                <w:rFonts w:hint="eastAsia" w:ascii="仿宋" w:hAnsi="仿宋" w:cs="仿宋"/>
                <w:b/>
                <w:bCs/>
                <w:kern w:val="0"/>
                <w:szCs w:val="24"/>
              </w:rPr>
            </w:pPr>
            <w:r>
              <w:rPr>
                <w:rFonts w:hint="eastAsia" w:ascii="仿宋" w:hAnsi="仿宋" w:cs="仿宋"/>
                <w:b/>
                <w:bCs/>
                <w:kern w:val="0"/>
                <w:szCs w:val="24"/>
              </w:rPr>
              <w:t>评标委员会认为投标人的报价明显低于其他通过符合性审查投标人的报价，有可能影响产品质量或者不能诚信履约的，</w:t>
            </w:r>
            <w:r>
              <w:rPr>
                <w:rFonts w:hint="eastAsia" w:ascii="仿宋" w:hAnsi="仿宋" w:cs="仿宋"/>
                <w:b/>
                <w:bCs/>
                <w:kern w:val="0"/>
                <w:szCs w:val="24"/>
                <w:lang w:val="en-US" w:eastAsia="zh-CN"/>
              </w:rPr>
              <w:t>投标人未</w:t>
            </w:r>
            <w:r>
              <w:rPr>
                <w:rFonts w:hint="eastAsia" w:ascii="仿宋" w:hAnsi="仿宋" w:cs="仿宋"/>
                <w:b/>
                <w:bCs/>
                <w:kern w:val="0"/>
                <w:szCs w:val="24"/>
              </w:rPr>
              <w:t>在合理的时间内提供书面说明</w:t>
            </w:r>
            <w:r>
              <w:rPr>
                <w:rFonts w:hint="eastAsia" w:ascii="仿宋" w:hAnsi="仿宋" w:cs="仿宋"/>
                <w:b/>
                <w:bCs/>
                <w:kern w:val="0"/>
                <w:szCs w:val="24"/>
                <w:lang w:val="en-US" w:eastAsia="zh-CN"/>
              </w:rPr>
              <w:t>的或未</w:t>
            </w:r>
            <w:r>
              <w:rPr>
                <w:rFonts w:hint="eastAsia" w:ascii="仿宋" w:hAnsi="仿宋" w:cs="仿宋"/>
                <w:b/>
                <w:bCs/>
                <w:kern w:val="0"/>
                <w:szCs w:val="24"/>
              </w:rPr>
              <w:t>提交必要</w:t>
            </w:r>
            <w:r>
              <w:rPr>
                <w:rFonts w:hint="eastAsia" w:ascii="仿宋" w:hAnsi="仿宋" w:cs="仿宋"/>
                <w:b/>
                <w:bCs/>
                <w:kern w:val="0"/>
                <w:szCs w:val="24"/>
                <w:lang w:val="en-US" w:eastAsia="zh-CN"/>
              </w:rPr>
              <w:t>的</w:t>
            </w:r>
            <w:r>
              <w:rPr>
                <w:rFonts w:hint="eastAsia" w:ascii="仿宋" w:hAnsi="仿宋" w:cs="仿宋"/>
                <w:b/>
                <w:bCs/>
                <w:kern w:val="0"/>
                <w:szCs w:val="24"/>
              </w:rPr>
              <w:t>相关证明材料</w:t>
            </w:r>
            <w:r>
              <w:rPr>
                <w:rFonts w:hint="eastAsia" w:ascii="仿宋" w:hAnsi="仿宋" w:cs="仿宋"/>
                <w:b/>
                <w:bCs/>
                <w:kern w:val="0"/>
                <w:szCs w:val="24"/>
                <w:lang w:eastAsia="zh-CN"/>
              </w:rPr>
              <w:t>，</w:t>
            </w:r>
            <w:r>
              <w:rPr>
                <w:rFonts w:hint="eastAsia" w:ascii="仿宋" w:hAnsi="仿宋" w:cs="仿宋"/>
                <w:b/>
                <w:bCs/>
                <w:kern w:val="0"/>
                <w:szCs w:val="24"/>
              </w:rPr>
              <w:t>投标人不能证明其报价合理性的</w:t>
            </w:r>
            <w:r>
              <w:rPr>
                <w:rFonts w:hint="eastAsia" w:ascii="仿宋" w:hAnsi="仿宋" w:cs="仿宋"/>
                <w:b/>
                <w:bCs/>
                <w:lang w:val="en-US" w:eastAsia="zh-CN"/>
              </w:rPr>
              <w:t>；</w:t>
            </w:r>
          </w:p>
          <w:p w14:paraId="0E789C1A">
            <w:pPr>
              <w:pStyle w:val="15"/>
              <w:ind w:left="0" w:leftChars="0" w:firstLine="0" w:firstLineChars="0"/>
              <w:rPr>
                <w:rFonts w:hint="eastAsia" w:ascii="仿宋" w:hAnsi="仿宋" w:eastAsia="仿宋" w:cs="仿宋"/>
                <w:lang w:eastAsia="zh-CN"/>
              </w:rPr>
            </w:pPr>
            <w:r>
              <w:rPr>
                <w:rFonts w:hint="eastAsia" w:ascii="仿宋" w:hAnsi="仿宋" w:cs="仿宋"/>
                <w:b/>
                <w:bCs/>
                <w:lang w:val="en-US" w:eastAsia="zh-CN"/>
              </w:rPr>
              <w:t>对于修正后报价不予确认的</w:t>
            </w:r>
            <w:r>
              <w:rPr>
                <w:rFonts w:hint="eastAsia" w:ascii="仿宋" w:hAnsi="仿宋" w:cs="仿宋"/>
                <w:b/>
                <w:bCs/>
                <w:kern w:val="0"/>
                <w:szCs w:val="24"/>
              </w:rPr>
              <w:t>。</w:t>
            </w:r>
          </w:p>
        </w:tc>
        <w:tc>
          <w:tcPr>
            <w:tcW w:w="1789" w:type="pct"/>
            <w:vAlign w:val="center"/>
          </w:tcPr>
          <w:p w14:paraId="66080A68">
            <w:pPr>
              <w:pStyle w:val="14"/>
              <w:ind w:left="0" w:leftChars="0" w:firstLine="0" w:firstLineChars="0"/>
              <w:jc w:val="both"/>
              <w:rPr>
                <w:rFonts w:hint="default" w:ascii="仿宋" w:hAnsi="仿宋" w:eastAsia="仿宋" w:cs="仿宋"/>
                <w:lang w:val="en-US" w:eastAsia="zh-CN"/>
              </w:rPr>
            </w:pPr>
            <w:r>
              <w:rPr>
                <w:rFonts w:hint="eastAsia" w:ascii="仿宋" w:hAnsi="仿宋" w:cs="仿宋"/>
                <w:lang w:val="en-US" w:eastAsia="zh-CN"/>
              </w:rPr>
              <w:t>报价文件</w:t>
            </w:r>
          </w:p>
        </w:tc>
        <w:tc>
          <w:tcPr>
            <w:tcW w:w="736" w:type="pct"/>
            <w:vAlign w:val="center"/>
          </w:tcPr>
          <w:p w14:paraId="4798A150">
            <w:pPr>
              <w:pStyle w:val="14"/>
              <w:rPr>
                <w:rFonts w:ascii="仿宋" w:hAnsi="仿宋" w:cs="仿宋"/>
                <w:szCs w:val="20"/>
              </w:rPr>
            </w:pPr>
          </w:p>
        </w:tc>
      </w:tr>
    </w:tbl>
    <w:p w14:paraId="37CDDA64">
      <w:pPr>
        <w:ind w:firstLine="480"/>
        <w:rPr>
          <w:rFonts w:ascii="仿宋" w:hAnsi="仿宋" w:cs="仿宋"/>
        </w:rPr>
      </w:pPr>
      <w:r>
        <w:rPr>
          <w:rFonts w:hint="eastAsia" w:ascii="仿宋" w:hAnsi="仿宋" w:cs="仿宋"/>
        </w:rPr>
        <w:br w:type="page"/>
      </w:r>
    </w:p>
    <w:p w14:paraId="06EC33D8">
      <w:pPr>
        <w:pStyle w:val="8"/>
        <w:spacing w:before="120" w:after="240"/>
        <w:ind w:left="1151" w:hanging="1151"/>
        <w:rPr>
          <w:rFonts w:ascii="仿宋" w:hAnsi="仿宋" w:cs="仿宋"/>
        </w:rPr>
      </w:pPr>
      <w:r>
        <w:rPr>
          <w:rFonts w:hint="eastAsia" w:ascii="仿宋" w:hAnsi="仿宋" w:cs="仿宋"/>
        </w:rPr>
        <w:t>四、评标标准相应的商务技术资料</w:t>
      </w:r>
    </w:p>
    <w:p w14:paraId="66DFEFB9">
      <w:pPr>
        <w:snapToGrid w:val="0"/>
        <w:rPr>
          <w:rFonts w:ascii="仿宋" w:hAnsi="仿宋" w:cs="仿宋"/>
          <w:b/>
        </w:rPr>
      </w:pPr>
      <w:r>
        <w:rPr>
          <w:rFonts w:hint="eastAsia" w:ascii="仿宋" w:hAnsi="仿宋" w:cs="仿宋"/>
          <w:b/>
        </w:rPr>
        <w:t>（按招标文件第四部分评标办法前附表中“投标文件中评标标准相应的商务技术资料目录”提供资料）</w:t>
      </w:r>
    </w:p>
    <w:p w14:paraId="0643F4D1">
      <w:pPr>
        <w:ind w:firstLine="643"/>
        <w:jc w:val="center"/>
        <w:rPr>
          <w:rFonts w:ascii="仿宋" w:hAnsi="仿宋" w:cs="仿宋"/>
          <w:b/>
          <w:kern w:val="0"/>
          <w:sz w:val="32"/>
          <w:szCs w:val="32"/>
        </w:rPr>
      </w:pPr>
    </w:p>
    <w:p w14:paraId="76A44FCE">
      <w:pPr>
        <w:ind w:firstLine="643"/>
        <w:jc w:val="center"/>
        <w:rPr>
          <w:rFonts w:ascii="仿宋" w:hAnsi="仿宋" w:cs="仿宋"/>
          <w:b/>
          <w:kern w:val="0"/>
          <w:sz w:val="32"/>
          <w:szCs w:val="32"/>
        </w:rPr>
      </w:pPr>
    </w:p>
    <w:p w14:paraId="3442C8E8">
      <w:pPr>
        <w:ind w:firstLine="643"/>
        <w:jc w:val="center"/>
        <w:rPr>
          <w:rFonts w:ascii="仿宋" w:hAnsi="仿宋" w:cs="仿宋"/>
          <w:b/>
          <w:kern w:val="0"/>
          <w:sz w:val="32"/>
          <w:szCs w:val="32"/>
        </w:rPr>
      </w:pPr>
    </w:p>
    <w:p w14:paraId="111EA62A">
      <w:pPr>
        <w:ind w:firstLine="643"/>
        <w:jc w:val="center"/>
        <w:rPr>
          <w:rFonts w:ascii="仿宋" w:hAnsi="仿宋" w:cs="仿宋"/>
          <w:b/>
          <w:kern w:val="0"/>
          <w:sz w:val="32"/>
          <w:szCs w:val="32"/>
        </w:rPr>
      </w:pPr>
    </w:p>
    <w:p w14:paraId="35115A65">
      <w:pPr>
        <w:ind w:firstLine="643"/>
        <w:jc w:val="center"/>
        <w:rPr>
          <w:rFonts w:ascii="仿宋" w:hAnsi="仿宋" w:cs="仿宋"/>
          <w:b/>
          <w:kern w:val="0"/>
          <w:sz w:val="32"/>
          <w:szCs w:val="32"/>
        </w:rPr>
      </w:pPr>
    </w:p>
    <w:p w14:paraId="68F9B120">
      <w:pPr>
        <w:ind w:firstLine="643"/>
        <w:jc w:val="center"/>
        <w:rPr>
          <w:rFonts w:ascii="仿宋" w:hAnsi="仿宋" w:cs="仿宋"/>
          <w:b/>
          <w:kern w:val="0"/>
          <w:sz w:val="32"/>
          <w:szCs w:val="32"/>
        </w:rPr>
      </w:pPr>
    </w:p>
    <w:p w14:paraId="443CB95F">
      <w:pPr>
        <w:ind w:firstLine="643"/>
        <w:jc w:val="center"/>
        <w:rPr>
          <w:rFonts w:ascii="仿宋" w:hAnsi="仿宋" w:cs="仿宋"/>
          <w:b/>
          <w:kern w:val="0"/>
          <w:sz w:val="32"/>
          <w:szCs w:val="32"/>
        </w:rPr>
      </w:pPr>
    </w:p>
    <w:p w14:paraId="47EA485F">
      <w:pPr>
        <w:ind w:firstLine="643"/>
        <w:jc w:val="center"/>
        <w:rPr>
          <w:rFonts w:ascii="仿宋" w:hAnsi="仿宋" w:cs="仿宋"/>
          <w:b/>
          <w:kern w:val="0"/>
          <w:sz w:val="32"/>
          <w:szCs w:val="32"/>
        </w:rPr>
      </w:pPr>
    </w:p>
    <w:p w14:paraId="439F68A2">
      <w:pPr>
        <w:ind w:firstLine="643"/>
        <w:jc w:val="center"/>
        <w:rPr>
          <w:rFonts w:ascii="仿宋" w:hAnsi="仿宋" w:cs="仿宋"/>
          <w:b/>
          <w:kern w:val="0"/>
          <w:sz w:val="32"/>
          <w:szCs w:val="32"/>
        </w:rPr>
      </w:pPr>
    </w:p>
    <w:p w14:paraId="62241C18">
      <w:pPr>
        <w:ind w:firstLine="643"/>
        <w:jc w:val="center"/>
        <w:rPr>
          <w:rFonts w:ascii="仿宋" w:hAnsi="仿宋" w:cs="仿宋"/>
          <w:b/>
          <w:kern w:val="0"/>
          <w:sz w:val="32"/>
          <w:szCs w:val="32"/>
        </w:rPr>
      </w:pPr>
    </w:p>
    <w:p w14:paraId="7620F711">
      <w:pPr>
        <w:ind w:firstLine="643"/>
        <w:jc w:val="center"/>
        <w:rPr>
          <w:rFonts w:ascii="仿宋" w:hAnsi="仿宋" w:cs="仿宋"/>
          <w:b/>
          <w:kern w:val="0"/>
          <w:sz w:val="32"/>
          <w:szCs w:val="32"/>
        </w:rPr>
      </w:pPr>
    </w:p>
    <w:p w14:paraId="44B014C8">
      <w:pPr>
        <w:ind w:firstLine="643"/>
        <w:jc w:val="center"/>
        <w:rPr>
          <w:rFonts w:ascii="仿宋" w:hAnsi="仿宋" w:cs="仿宋"/>
          <w:b/>
          <w:kern w:val="0"/>
          <w:sz w:val="32"/>
          <w:szCs w:val="32"/>
        </w:rPr>
      </w:pPr>
    </w:p>
    <w:p w14:paraId="23E66DA1">
      <w:pPr>
        <w:ind w:firstLine="643"/>
        <w:jc w:val="center"/>
        <w:rPr>
          <w:rFonts w:ascii="仿宋" w:hAnsi="仿宋" w:cs="仿宋"/>
          <w:b/>
          <w:kern w:val="0"/>
          <w:sz w:val="32"/>
          <w:szCs w:val="32"/>
        </w:rPr>
      </w:pPr>
    </w:p>
    <w:p w14:paraId="679DB28E">
      <w:pPr>
        <w:ind w:firstLine="643"/>
        <w:jc w:val="center"/>
        <w:rPr>
          <w:rFonts w:ascii="仿宋" w:hAnsi="仿宋" w:cs="仿宋"/>
          <w:b/>
          <w:kern w:val="0"/>
          <w:sz w:val="32"/>
          <w:szCs w:val="32"/>
        </w:rPr>
      </w:pPr>
    </w:p>
    <w:p w14:paraId="52CA7D01">
      <w:pPr>
        <w:ind w:firstLine="643"/>
        <w:jc w:val="center"/>
        <w:rPr>
          <w:rFonts w:ascii="仿宋" w:hAnsi="仿宋" w:cs="仿宋"/>
          <w:b/>
          <w:kern w:val="0"/>
          <w:sz w:val="32"/>
          <w:szCs w:val="32"/>
        </w:rPr>
      </w:pPr>
    </w:p>
    <w:p w14:paraId="00C45840">
      <w:pPr>
        <w:ind w:firstLine="643"/>
        <w:jc w:val="center"/>
        <w:rPr>
          <w:rFonts w:ascii="仿宋" w:hAnsi="仿宋" w:cs="仿宋"/>
          <w:b/>
          <w:kern w:val="0"/>
          <w:sz w:val="32"/>
          <w:szCs w:val="32"/>
        </w:rPr>
      </w:pPr>
    </w:p>
    <w:p w14:paraId="646D28DF">
      <w:pPr>
        <w:rPr>
          <w:rFonts w:ascii="仿宋" w:hAnsi="仿宋" w:cs="仿宋"/>
          <w:b/>
          <w:kern w:val="0"/>
          <w:sz w:val="32"/>
          <w:szCs w:val="32"/>
        </w:rPr>
      </w:pPr>
      <w:r>
        <w:rPr>
          <w:rFonts w:ascii="仿宋" w:hAnsi="仿宋" w:cs="仿宋"/>
          <w:b/>
          <w:kern w:val="0"/>
          <w:sz w:val="32"/>
          <w:szCs w:val="32"/>
        </w:rPr>
        <w:br w:type="page"/>
      </w:r>
    </w:p>
    <w:p w14:paraId="22043A7F">
      <w:pPr>
        <w:snapToGrid w:val="0"/>
        <w:spacing w:line="360" w:lineRule="auto"/>
        <w:jc w:val="center"/>
        <w:rPr>
          <w:rFonts w:hint="eastAsia" w:ascii="仿宋" w:hAnsi="仿宋" w:eastAsia="仿宋" w:cs="仿宋"/>
          <w:b/>
          <w:sz w:val="32"/>
          <w:szCs w:val="32"/>
        </w:rPr>
      </w:pPr>
      <w:r>
        <w:rPr>
          <w:rFonts w:hint="eastAsia" w:ascii="仿宋" w:hAnsi="仿宋" w:cs="仿宋"/>
          <w:b/>
          <w:sz w:val="32"/>
          <w:szCs w:val="32"/>
          <w:lang w:val="en-US" w:eastAsia="zh-CN"/>
        </w:rPr>
        <w:t>4</w:t>
      </w:r>
      <w:r>
        <w:rPr>
          <w:rFonts w:hint="eastAsia" w:ascii="仿宋" w:hAnsi="仿宋" w:eastAsia="仿宋" w:cs="仿宋"/>
          <w:b/>
          <w:sz w:val="32"/>
          <w:szCs w:val="32"/>
          <w:lang w:val="en-US" w:eastAsia="zh-CN"/>
        </w:rPr>
        <w:t>.1</w:t>
      </w:r>
      <w:r>
        <w:rPr>
          <w:rFonts w:hint="eastAsia" w:ascii="仿宋" w:hAnsi="仿宋" w:cs="仿宋"/>
          <w:b/>
          <w:sz w:val="32"/>
          <w:szCs w:val="32"/>
          <w:lang w:val="en-US" w:eastAsia="zh-CN"/>
        </w:rPr>
        <w:t>投入</w:t>
      </w:r>
      <w:r>
        <w:rPr>
          <w:rFonts w:hint="eastAsia" w:ascii="仿宋" w:hAnsi="仿宋" w:eastAsia="仿宋" w:cs="仿宋"/>
          <w:b/>
          <w:sz w:val="32"/>
          <w:szCs w:val="32"/>
        </w:rPr>
        <w:t>产品规格配置清单</w:t>
      </w:r>
    </w:p>
    <w:tbl>
      <w:tblPr>
        <w:tblStyle w:val="6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1926"/>
        <w:gridCol w:w="2574"/>
        <w:gridCol w:w="1080"/>
        <w:gridCol w:w="1332"/>
      </w:tblGrid>
      <w:tr w14:paraId="17EB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5E714F22">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531" w:type="dxa"/>
            <w:vAlign w:val="center"/>
          </w:tcPr>
          <w:p w14:paraId="6A3602FA">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rPr>
            </w:pPr>
            <w:r>
              <w:rPr>
                <w:rFonts w:hint="eastAsia" w:ascii="仿宋" w:hAnsi="仿宋" w:eastAsia="仿宋" w:cs="仿宋"/>
                <w:b/>
                <w:sz w:val="24"/>
              </w:rPr>
              <w:t>设备名称</w:t>
            </w:r>
          </w:p>
        </w:tc>
        <w:tc>
          <w:tcPr>
            <w:tcW w:w="1926" w:type="dxa"/>
            <w:vAlign w:val="center"/>
          </w:tcPr>
          <w:p w14:paraId="70B0EB40">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rPr>
            </w:pPr>
            <w:r>
              <w:rPr>
                <w:rFonts w:hint="eastAsia" w:ascii="仿宋" w:hAnsi="仿宋" w:eastAsia="仿宋" w:cs="仿宋"/>
                <w:b/>
                <w:sz w:val="24"/>
              </w:rPr>
              <w:t>品牌及型号</w:t>
            </w:r>
          </w:p>
        </w:tc>
        <w:tc>
          <w:tcPr>
            <w:tcW w:w="2574" w:type="dxa"/>
            <w:vAlign w:val="center"/>
          </w:tcPr>
          <w:p w14:paraId="12CE9E69">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rPr>
            </w:pPr>
            <w:r>
              <w:rPr>
                <w:rFonts w:hint="eastAsia" w:ascii="仿宋" w:hAnsi="仿宋" w:eastAsia="仿宋" w:cs="仿宋"/>
                <w:b/>
                <w:sz w:val="24"/>
              </w:rPr>
              <w:t>规格配置详细说明</w:t>
            </w:r>
          </w:p>
        </w:tc>
        <w:tc>
          <w:tcPr>
            <w:tcW w:w="1080" w:type="dxa"/>
            <w:vAlign w:val="center"/>
          </w:tcPr>
          <w:p w14:paraId="7CC7057D">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rPr>
            </w:pPr>
            <w:r>
              <w:rPr>
                <w:rFonts w:hint="eastAsia" w:ascii="仿宋" w:hAnsi="仿宋" w:eastAsia="仿宋" w:cs="仿宋"/>
                <w:b/>
                <w:sz w:val="24"/>
              </w:rPr>
              <w:t>数量</w:t>
            </w:r>
          </w:p>
        </w:tc>
        <w:tc>
          <w:tcPr>
            <w:tcW w:w="1332" w:type="dxa"/>
            <w:vAlign w:val="center"/>
          </w:tcPr>
          <w:p w14:paraId="3752B438">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rPr>
            </w:pPr>
            <w:r>
              <w:rPr>
                <w:rFonts w:hint="eastAsia" w:ascii="仿宋" w:hAnsi="仿宋" w:eastAsia="仿宋" w:cs="仿宋"/>
                <w:b/>
                <w:sz w:val="24"/>
              </w:rPr>
              <w:t>备注</w:t>
            </w:r>
          </w:p>
        </w:tc>
      </w:tr>
      <w:tr w14:paraId="7E16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2959D31E">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1</w:t>
            </w:r>
          </w:p>
        </w:tc>
        <w:tc>
          <w:tcPr>
            <w:tcW w:w="1531" w:type="dxa"/>
            <w:vAlign w:val="center"/>
          </w:tcPr>
          <w:p w14:paraId="0147047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926" w:type="dxa"/>
            <w:vAlign w:val="center"/>
          </w:tcPr>
          <w:p w14:paraId="35ADCC4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2574" w:type="dxa"/>
            <w:vAlign w:val="center"/>
          </w:tcPr>
          <w:p w14:paraId="4714A022">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7E98D417">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34C353FF">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63E8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FCC9890">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2</w:t>
            </w:r>
          </w:p>
        </w:tc>
        <w:tc>
          <w:tcPr>
            <w:tcW w:w="1531" w:type="dxa"/>
            <w:vAlign w:val="center"/>
          </w:tcPr>
          <w:p w14:paraId="5140A66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926" w:type="dxa"/>
            <w:vAlign w:val="center"/>
          </w:tcPr>
          <w:p w14:paraId="28E3291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2574" w:type="dxa"/>
            <w:vAlign w:val="center"/>
          </w:tcPr>
          <w:p w14:paraId="4D0C7400">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7C53EAE9">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7D42528B">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4FBD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00E1262">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3</w:t>
            </w:r>
          </w:p>
        </w:tc>
        <w:tc>
          <w:tcPr>
            <w:tcW w:w="1531" w:type="dxa"/>
            <w:vAlign w:val="center"/>
          </w:tcPr>
          <w:p w14:paraId="13A854D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926" w:type="dxa"/>
            <w:vAlign w:val="center"/>
          </w:tcPr>
          <w:p w14:paraId="36DB33D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2574" w:type="dxa"/>
            <w:vAlign w:val="center"/>
          </w:tcPr>
          <w:p w14:paraId="05A589C0">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7BDE808B">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698C13E2">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1C2B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03B4ECD">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4</w:t>
            </w:r>
          </w:p>
        </w:tc>
        <w:tc>
          <w:tcPr>
            <w:tcW w:w="1531" w:type="dxa"/>
            <w:vAlign w:val="center"/>
          </w:tcPr>
          <w:p w14:paraId="45225A2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926" w:type="dxa"/>
            <w:vAlign w:val="center"/>
          </w:tcPr>
          <w:p w14:paraId="3F3EFA3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2574" w:type="dxa"/>
            <w:vAlign w:val="center"/>
          </w:tcPr>
          <w:p w14:paraId="16668C4B">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49375C6B">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45497CD7">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06A5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95E8F5E">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5</w:t>
            </w:r>
          </w:p>
        </w:tc>
        <w:tc>
          <w:tcPr>
            <w:tcW w:w="1531" w:type="dxa"/>
            <w:vAlign w:val="center"/>
          </w:tcPr>
          <w:p w14:paraId="5E0938E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926" w:type="dxa"/>
            <w:vAlign w:val="center"/>
          </w:tcPr>
          <w:p w14:paraId="7922E74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2574" w:type="dxa"/>
            <w:vAlign w:val="center"/>
          </w:tcPr>
          <w:p w14:paraId="4E4C81A6">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0995F9B8">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7EF0480C">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7B96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6DA8367">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531" w:type="dxa"/>
            <w:vAlign w:val="center"/>
          </w:tcPr>
          <w:p w14:paraId="6837CC7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926" w:type="dxa"/>
            <w:vAlign w:val="center"/>
          </w:tcPr>
          <w:p w14:paraId="369CF85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2574" w:type="dxa"/>
            <w:vAlign w:val="center"/>
          </w:tcPr>
          <w:p w14:paraId="51BC1935">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6B26DA0F">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5B0D989A">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1836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9C3161E">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531" w:type="dxa"/>
            <w:vAlign w:val="center"/>
          </w:tcPr>
          <w:p w14:paraId="1048A69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926" w:type="dxa"/>
            <w:vAlign w:val="center"/>
          </w:tcPr>
          <w:p w14:paraId="293AF99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2574" w:type="dxa"/>
            <w:vAlign w:val="center"/>
          </w:tcPr>
          <w:p w14:paraId="1F6E4B2A">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0315F1D7">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12C48872">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177B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130FB8A">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531" w:type="dxa"/>
            <w:vAlign w:val="center"/>
          </w:tcPr>
          <w:p w14:paraId="08B117E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926" w:type="dxa"/>
            <w:vAlign w:val="center"/>
          </w:tcPr>
          <w:p w14:paraId="399BE83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2574" w:type="dxa"/>
            <w:vAlign w:val="center"/>
          </w:tcPr>
          <w:p w14:paraId="1E972ED6">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56BCA470">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4B3EE4E6">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11A1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5858C30">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531" w:type="dxa"/>
            <w:vAlign w:val="center"/>
          </w:tcPr>
          <w:p w14:paraId="72B2012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926" w:type="dxa"/>
            <w:vAlign w:val="center"/>
          </w:tcPr>
          <w:p w14:paraId="4809D58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2574" w:type="dxa"/>
            <w:vAlign w:val="center"/>
          </w:tcPr>
          <w:p w14:paraId="5A8F770D">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0E88F22F">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6E54C322">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bl>
    <w:p w14:paraId="62B03A14">
      <w:pPr>
        <w:pStyle w:val="80"/>
        <w:rPr>
          <w:rFonts w:hint="eastAsia" w:ascii="仿宋" w:hAnsi="仿宋" w:eastAsia="仿宋" w:cs="仿宋"/>
        </w:rPr>
      </w:pPr>
    </w:p>
    <w:p w14:paraId="0F0CB056">
      <w:pPr>
        <w:pStyle w:val="80"/>
        <w:rPr>
          <w:rFonts w:hint="eastAsia" w:ascii="仿宋" w:hAnsi="仿宋" w:eastAsia="仿宋" w:cs="仿宋"/>
        </w:rPr>
      </w:pPr>
    </w:p>
    <w:p w14:paraId="6AA010B2">
      <w:pPr>
        <w:spacing w:line="360" w:lineRule="auto"/>
        <w:jc w:val="center"/>
        <w:rPr>
          <w:rFonts w:hint="eastAsia" w:ascii="仿宋" w:hAnsi="仿宋" w:eastAsia="仿宋" w:cs="仿宋"/>
          <w:b/>
          <w:bCs/>
          <w:sz w:val="32"/>
          <w:szCs w:val="32"/>
        </w:rPr>
      </w:pPr>
    </w:p>
    <w:p w14:paraId="388E1E61">
      <w:pPr>
        <w:spacing w:line="360" w:lineRule="auto"/>
        <w:jc w:val="center"/>
        <w:rPr>
          <w:rFonts w:hint="eastAsia" w:ascii="仿宋" w:hAnsi="仿宋" w:eastAsia="仿宋" w:cs="仿宋"/>
          <w:b/>
          <w:bCs/>
          <w:sz w:val="32"/>
          <w:szCs w:val="32"/>
          <w:lang w:val="en-US" w:eastAsia="zh-CN"/>
        </w:rPr>
      </w:pPr>
      <w:r>
        <w:rPr>
          <w:rFonts w:hint="eastAsia" w:ascii="仿宋" w:hAnsi="仿宋" w:cs="仿宋"/>
          <w:b/>
          <w:bCs/>
          <w:sz w:val="32"/>
          <w:szCs w:val="32"/>
          <w:lang w:val="en-US" w:eastAsia="zh-CN"/>
        </w:rPr>
        <w:t>4</w:t>
      </w:r>
      <w:r>
        <w:rPr>
          <w:rFonts w:hint="eastAsia" w:ascii="仿宋" w:hAnsi="仿宋" w:eastAsia="仿宋" w:cs="仿宋"/>
          <w:b/>
          <w:bCs/>
          <w:sz w:val="32"/>
          <w:szCs w:val="32"/>
          <w:lang w:val="en-US" w:eastAsia="zh-CN"/>
        </w:rPr>
        <w:t>.2场地功能分区配置清单</w:t>
      </w:r>
    </w:p>
    <w:tbl>
      <w:tblPr>
        <w:tblStyle w:val="6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3269"/>
        <w:gridCol w:w="1231"/>
        <w:gridCol w:w="1080"/>
        <w:gridCol w:w="1332"/>
      </w:tblGrid>
      <w:tr w14:paraId="5319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1609F1C5">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531" w:type="dxa"/>
            <w:vAlign w:val="center"/>
          </w:tcPr>
          <w:p w14:paraId="4BC8A50C">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lang w:val="en-US" w:eastAsia="zh-CN"/>
              </w:rPr>
            </w:pPr>
            <w:r>
              <w:rPr>
                <w:rFonts w:hint="eastAsia" w:ascii="仿宋" w:hAnsi="仿宋" w:eastAsia="仿宋" w:cs="仿宋"/>
                <w:b/>
                <w:sz w:val="24"/>
                <w:lang w:val="en-US" w:eastAsia="zh-CN"/>
              </w:rPr>
              <w:t>功能区名称</w:t>
            </w:r>
          </w:p>
        </w:tc>
        <w:tc>
          <w:tcPr>
            <w:tcW w:w="3269" w:type="dxa"/>
            <w:vAlign w:val="center"/>
          </w:tcPr>
          <w:p w14:paraId="06835384">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lang w:val="en-US" w:eastAsia="zh-CN"/>
              </w:rPr>
            </w:pPr>
            <w:r>
              <w:rPr>
                <w:rFonts w:hint="eastAsia" w:ascii="仿宋" w:hAnsi="仿宋" w:eastAsia="仿宋" w:cs="仿宋"/>
                <w:b/>
                <w:sz w:val="24"/>
                <w:lang w:val="en-US" w:eastAsia="zh-CN"/>
              </w:rPr>
              <w:t>功能区说明</w:t>
            </w:r>
          </w:p>
        </w:tc>
        <w:tc>
          <w:tcPr>
            <w:tcW w:w="1231" w:type="dxa"/>
            <w:shd w:val="clear" w:color="auto" w:fill="auto"/>
            <w:vAlign w:val="center"/>
          </w:tcPr>
          <w:p w14:paraId="2706973D">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面积</w:t>
            </w:r>
          </w:p>
        </w:tc>
        <w:tc>
          <w:tcPr>
            <w:tcW w:w="1080" w:type="dxa"/>
            <w:vAlign w:val="center"/>
          </w:tcPr>
          <w:p w14:paraId="0A3E2936">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rPr>
            </w:pPr>
            <w:r>
              <w:rPr>
                <w:rFonts w:hint="eastAsia" w:ascii="仿宋" w:hAnsi="仿宋" w:eastAsia="仿宋" w:cs="仿宋"/>
                <w:b/>
                <w:sz w:val="24"/>
              </w:rPr>
              <w:t>数量</w:t>
            </w:r>
          </w:p>
        </w:tc>
        <w:tc>
          <w:tcPr>
            <w:tcW w:w="1332" w:type="dxa"/>
            <w:vAlign w:val="center"/>
          </w:tcPr>
          <w:p w14:paraId="2B34FCE9">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rPr>
            </w:pPr>
            <w:r>
              <w:rPr>
                <w:rFonts w:hint="eastAsia" w:ascii="仿宋" w:hAnsi="仿宋" w:eastAsia="仿宋" w:cs="仿宋"/>
                <w:b/>
                <w:sz w:val="24"/>
              </w:rPr>
              <w:t>备注</w:t>
            </w:r>
          </w:p>
        </w:tc>
      </w:tr>
      <w:tr w14:paraId="7810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272FAFD5">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1</w:t>
            </w:r>
          </w:p>
        </w:tc>
        <w:tc>
          <w:tcPr>
            <w:tcW w:w="1531" w:type="dxa"/>
            <w:vAlign w:val="center"/>
          </w:tcPr>
          <w:p w14:paraId="0134B14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3269" w:type="dxa"/>
            <w:vAlign w:val="center"/>
          </w:tcPr>
          <w:p w14:paraId="22CDA7F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231" w:type="dxa"/>
            <w:vAlign w:val="center"/>
          </w:tcPr>
          <w:p w14:paraId="08DB8780">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351165E7">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06151D3B">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7EEB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8B4E178">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2</w:t>
            </w:r>
          </w:p>
        </w:tc>
        <w:tc>
          <w:tcPr>
            <w:tcW w:w="1531" w:type="dxa"/>
            <w:vAlign w:val="center"/>
          </w:tcPr>
          <w:p w14:paraId="7C367AF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3269" w:type="dxa"/>
            <w:vAlign w:val="center"/>
          </w:tcPr>
          <w:p w14:paraId="22AD393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231" w:type="dxa"/>
            <w:vAlign w:val="center"/>
          </w:tcPr>
          <w:p w14:paraId="4F5A0DB4">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0BFF5F7F">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3F5AF70D">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032A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9B5F214">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3</w:t>
            </w:r>
          </w:p>
        </w:tc>
        <w:tc>
          <w:tcPr>
            <w:tcW w:w="1531" w:type="dxa"/>
            <w:vAlign w:val="center"/>
          </w:tcPr>
          <w:p w14:paraId="37CDB3D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3269" w:type="dxa"/>
            <w:vAlign w:val="center"/>
          </w:tcPr>
          <w:p w14:paraId="713582C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231" w:type="dxa"/>
            <w:vAlign w:val="center"/>
          </w:tcPr>
          <w:p w14:paraId="2750821D">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0CD87D56">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444AD21A">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0635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D791BE6">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4</w:t>
            </w:r>
          </w:p>
        </w:tc>
        <w:tc>
          <w:tcPr>
            <w:tcW w:w="1531" w:type="dxa"/>
            <w:vAlign w:val="center"/>
          </w:tcPr>
          <w:p w14:paraId="3590708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3269" w:type="dxa"/>
            <w:vAlign w:val="center"/>
          </w:tcPr>
          <w:p w14:paraId="56F0E5F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231" w:type="dxa"/>
            <w:vAlign w:val="center"/>
          </w:tcPr>
          <w:p w14:paraId="0AB0281A">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1E496AF4">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684F06BC">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3F34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07651C7">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5</w:t>
            </w:r>
          </w:p>
        </w:tc>
        <w:tc>
          <w:tcPr>
            <w:tcW w:w="1531" w:type="dxa"/>
            <w:vAlign w:val="center"/>
          </w:tcPr>
          <w:p w14:paraId="002D972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3269" w:type="dxa"/>
            <w:vAlign w:val="center"/>
          </w:tcPr>
          <w:p w14:paraId="7EFCA3B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231" w:type="dxa"/>
            <w:vAlign w:val="center"/>
          </w:tcPr>
          <w:p w14:paraId="71EDA64E">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71FB1D81">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09208B73">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211F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8133828">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531" w:type="dxa"/>
            <w:vAlign w:val="center"/>
          </w:tcPr>
          <w:p w14:paraId="03F099C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3269" w:type="dxa"/>
            <w:vAlign w:val="center"/>
          </w:tcPr>
          <w:p w14:paraId="6F738EE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231" w:type="dxa"/>
            <w:vAlign w:val="center"/>
          </w:tcPr>
          <w:p w14:paraId="1F18AE7A">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1461736E">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3AC50CEF">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363D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EA7EB84">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531" w:type="dxa"/>
            <w:vAlign w:val="center"/>
          </w:tcPr>
          <w:p w14:paraId="5A6EB65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3269" w:type="dxa"/>
            <w:vAlign w:val="center"/>
          </w:tcPr>
          <w:p w14:paraId="4F32DD2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231" w:type="dxa"/>
            <w:vAlign w:val="center"/>
          </w:tcPr>
          <w:p w14:paraId="21D5A659">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5B711CC8">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24C42CA1">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6AA8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FDB5BE">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531" w:type="dxa"/>
            <w:vAlign w:val="center"/>
          </w:tcPr>
          <w:p w14:paraId="6FF4840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3269" w:type="dxa"/>
            <w:vAlign w:val="center"/>
          </w:tcPr>
          <w:p w14:paraId="77C8A48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231" w:type="dxa"/>
            <w:vAlign w:val="center"/>
          </w:tcPr>
          <w:p w14:paraId="087144CF">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23F25231">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0480C3C4">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5943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A3A9F42">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531" w:type="dxa"/>
            <w:vAlign w:val="center"/>
          </w:tcPr>
          <w:p w14:paraId="0E6E2A4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3269" w:type="dxa"/>
            <w:vAlign w:val="center"/>
          </w:tcPr>
          <w:p w14:paraId="30BCD05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231" w:type="dxa"/>
            <w:vAlign w:val="center"/>
          </w:tcPr>
          <w:p w14:paraId="553D7F98">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0A5687C1">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30AC0E73">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bl>
    <w:p w14:paraId="539CACAE">
      <w:pPr>
        <w:keepNext/>
        <w:autoSpaceDE w:val="0"/>
        <w:autoSpaceDN w:val="0"/>
        <w:spacing w:line="360" w:lineRule="auto"/>
        <w:ind w:firstLine="477"/>
        <w:rPr>
          <w:rFonts w:hint="eastAsia" w:ascii="仿宋" w:hAnsi="仿宋" w:eastAsia="仿宋" w:cs="仿宋"/>
          <w:lang w:val="en-US" w:eastAsia="zh-CN"/>
        </w:rPr>
      </w:pPr>
      <w:r>
        <w:rPr>
          <w:rFonts w:hint="eastAsia" w:ascii="仿宋" w:hAnsi="仿宋" w:eastAsia="仿宋" w:cs="仿宋"/>
          <w:lang w:val="en-US" w:eastAsia="zh-CN"/>
        </w:rPr>
        <w:t>附：自有场地，附产权证明文件；租赁场地，附租赁合同和产权证明文件。</w:t>
      </w:r>
    </w:p>
    <w:p w14:paraId="372A4725">
      <w:pP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14:paraId="31A79F12">
      <w:pPr>
        <w:spacing w:line="360" w:lineRule="auto"/>
        <w:jc w:val="center"/>
        <w:rPr>
          <w:rFonts w:hint="eastAsia" w:ascii="仿宋" w:hAnsi="仿宋" w:eastAsia="仿宋" w:cs="仿宋"/>
          <w:b/>
          <w:bCs/>
          <w:sz w:val="32"/>
          <w:szCs w:val="32"/>
        </w:rPr>
      </w:pPr>
      <w:r>
        <w:rPr>
          <w:rFonts w:hint="eastAsia" w:ascii="仿宋" w:hAnsi="仿宋" w:cs="仿宋"/>
          <w:b/>
          <w:bCs/>
          <w:sz w:val="32"/>
          <w:szCs w:val="32"/>
          <w:lang w:val="en-US" w:eastAsia="zh-CN"/>
        </w:rPr>
        <w:t>4</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项目小组人员名单</w:t>
      </w:r>
    </w:p>
    <w:p w14:paraId="5B421E92">
      <w:pPr>
        <w:keepNext/>
        <w:autoSpaceDE w:val="0"/>
        <w:autoSpaceDN w:val="0"/>
        <w:spacing w:line="360" w:lineRule="auto"/>
        <w:ind w:firstLine="477"/>
        <w:rPr>
          <w:rFonts w:hint="eastAsia" w:ascii="仿宋" w:hAnsi="仿宋" w:eastAsia="仿宋" w:cs="仿宋"/>
          <w:b/>
          <w:sz w:val="24"/>
        </w:rPr>
      </w:pPr>
      <w:r>
        <w:rPr>
          <w:rFonts w:hint="eastAsia" w:ascii="仿宋" w:hAnsi="仿宋" w:eastAsia="仿宋" w:cs="仿宋"/>
          <w:b/>
          <w:sz w:val="24"/>
          <w:lang w:val="en-US" w:eastAsia="zh-CN"/>
        </w:rPr>
        <w:t>（1）专职馆长</w:t>
      </w:r>
      <w:r>
        <w:rPr>
          <w:rFonts w:hint="eastAsia" w:ascii="仿宋" w:hAnsi="仿宋" w:eastAsia="仿宋" w:cs="仿宋"/>
          <w:b/>
          <w:sz w:val="24"/>
        </w:rPr>
        <w:t>情况表</w:t>
      </w:r>
    </w:p>
    <w:tbl>
      <w:tblPr>
        <w:tblStyle w:val="63"/>
        <w:tblW w:w="9286" w:type="dxa"/>
        <w:tblInd w:w="0" w:type="dxa"/>
        <w:tblLayout w:type="fixed"/>
        <w:tblCellMar>
          <w:top w:w="0" w:type="dxa"/>
          <w:left w:w="108" w:type="dxa"/>
          <w:bottom w:w="0" w:type="dxa"/>
          <w:right w:w="108" w:type="dxa"/>
        </w:tblCellMar>
      </w:tblPr>
      <w:tblGrid>
        <w:gridCol w:w="2554"/>
        <w:gridCol w:w="1595"/>
        <w:gridCol w:w="5137"/>
      </w:tblGrid>
      <w:tr w14:paraId="3A33A54B">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B9F504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7853854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5C925AA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r>
              <w:rPr>
                <w:rFonts w:hint="eastAsia" w:ascii="仿宋" w:hAnsi="仿宋" w:eastAsia="仿宋" w:cs="仿宋"/>
                <w:sz w:val="24"/>
              </w:rPr>
              <w:t>响应截止时间近3年业绩及承担的主要工作情况</w:t>
            </w:r>
          </w:p>
        </w:tc>
      </w:tr>
      <w:tr w14:paraId="39B68D2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6C3B62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D03DC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9D70E8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39725623">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BA825F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37547C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ED4880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218131E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8576DF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B59AA9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AC3F09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4C31375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71F4FF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C6B1D8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C23989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5B730AC2">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329FA1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2394904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BD4A82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23C9324D">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CD9AFC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20C089D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D04F62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1FE9E131">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D4AF56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7A285C5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DBD0F3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6514AEAE">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80D8C0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50B2F1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81013F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0DAD87FA">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69A31F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96C905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B2FAF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bl>
    <w:p w14:paraId="4ADF0C70">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w:t>
      </w:r>
    </w:p>
    <w:p w14:paraId="04378F20">
      <w:pPr>
        <w:autoSpaceDE w:val="0"/>
        <w:autoSpaceDN w:val="0"/>
        <w:spacing w:line="360" w:lineRule="auto"/>
        <w:rPr>
          <w:rFonts w:hint="eastAsia" w:ascii="仿宋" w:hAnsi="仿宋" w:eastAsia="仿宋" w:cs="仿宋"/>
          <w:b/>
          <w:sz w:val="24"/>
        </w:rPr>
      </w:pPr>
    </w:p>
    <w:p w14:paraId="0655EB47">
      <w:pPr>
        <w:keepNext/>
        <w:autoSpaceDE w:val="0"/>
        <w:autoSpaceDN w:val="0"/>
        <w:spacing w:line="360" w:lineRule="auto"/>
        <w:ind w:firstLine="477"/>
        <w:rPr>
          <w:rFonts w:hint="eastAsia" w:ascii="仿宋" w:hAnsi="仿宋" w:eastAsia="仿宋" w:cs="仿宋"/>
          <w:b/>
          <w:sz w:val="24"/>
        </w:rPr>
      </w:pPr>
      <w:r>
        <w:rPr>
          <w:rFonts w:hint="eastAsia" w:ascii="仿宋" w:hAnsi="仿宋" w:eastAsia="仿宋" w:cs="仿宋"/>
          <w:b/>
          <w:sz w:val="24"/>
          <w:lang w:val="en-US" w:eastAsia="zh-CN"/>
        </w:rPr>
        <w:t>（</w:t>
      </w:r>
      <w:r>
        <w:rPr>
          <w:rFonts w:hint="eastAsia" w:ascii="仿宋" w:hAnsi="仿宋" w:cs="仿宋"/>
          <w:b/>
          <w:sz w:val="24"/>
          <w:lang w:val="en-US" w:eastAsia="zh-CN"/>
        </w:rPr>
        <w:t>2</w:t>
      </w:r>
      <w:r>
        <w:rPr>
          <w:rFonts w:hint="eastAsia" w:ascii="仿宋" w:hAnsi="仿宋" w:eastAsia="仿宋" w:cs="仿宋"/>
          <w:b/>
          <w:sz w:val="24"/>
          <w:lang w:val="en-US" w:eastAsia="zh-CN"/>
        </w:rPr>
        <w:t>）</w:t>
      </w:r>
      <w:r>
        <w:rPr>
          <w:rFonts w:hint="eastAsia" w:ascii="仿宋" w:hAnsi="仿宋" w:cs="仿宋"/>
          <w:b/>
          <w:sz w:val="24"/>
          <w:lang w:val="en-US" w:eastAsia="zh-CN"/>
        </w:rPr>
        <w:t>兼</w:t>
      </w:r>
      <w:r>
        <w:rPr>
          <w:rFonts w:hint="eastAsia" w:ascii="仿宋" w:hAnsi="仿宋" w:eastAsia="仿宋" w:cs="仿宋"/>
          <w:b/>
          <w:sz w:val="24"/>
          <w:lang w:val="en-US" w:eastAsia="zh-CN"/>
        </w:rPr>
        <w:t>职</w:t>
      </w:r>
      <w:r>
        <w:rPr>
          <w:rFonts w:hint="eastAsia" w:ascii="仿宋" w:hAnsi="仿宋" w:cs="仿宋"/>
          <w:b/>
          <w:sz w:val="24"/>
          <w:lang w:val="en-US" w:eastAsia="zh-CN"/>
        </w:rPr>
        <w:t>人员</w:t>
      </w:r>
      <w:r>
        <w:rPr>
          <w:rFonts w:hint="eastAsia" w:ascii="仿宋" w:hAnsi="仿宋" w:eastAsia="仿宋" w:cs="仿宋"/>
          <w:b/>
          <w:sz w:val="24"/>
        </w:rPr>
        <w:t>情况表</w:t>
      </w:r>
    </w:p>
    <w:tbl>
      <w:tblPr>
        <w:tblStyle w:val="63"/>
        <w:tblW w:w="9286" w:type="dxa"/>
        <w:tblInd w:w="0" w:type="dxa"/>
        <w:tblLayout w:type="fixed"/>
        <w:tblCellMar>
          <w:top w:w="0" w:type="dxa"/>
          <w:left w:w="108" w:type="dxa"/>
          <w:bottom w:w="0" w:type="dxa"/>
          <w:right w:w="108" w:type="dxa"/>
        </w:tblCellMar>
      </w:tblPr>
      <w:tblGrid>
        <w:gridCol w:w="2297"/>
        <w:gridCol w:w="1852"/>
        <w:gridCol w:w="5137"/>
      </w:tblGrid>
      <w:tr w14:paraId="6DEBB644">
        <w:tblPrEx>
          <w:tblCellMar>
            <w:top w:w="0" w:type="dxa"/>
            <w:left w:w="108" w:type="dxa"/>
            <w:bottom w:w="0" w:type="dxa"/>
            <w:right w:w="108" w:type="dxa"/>
          </w:tblCellMar>
        </w:tblPrEx>
        <w:trPr>
          <w:trHeight w:val="604" w:hRule="atLeast"/>
        </w:trPr>
        <w:tc>
          <w:tcPr>
            <w:tcW w:w="2297" w:type="dxa"/>
            <w:tcBorders>
              <w:top w:val="single" w:color="auto" w:sz="6" w:space="0"/>
              <w:left w:val="single" w:color="auto" w:sz="6" w:space="0"/>
              <w:bottom w:val="single" w:color="auto" w:sz="6" w:space="0"/>
              <w:right w:val="single" w:color="auto" w:sz="6" w:space="0"/>
            </w:tcBorders>
            <w:shd w:val="clear" w:color="auto" w:fill="auto"/>
            <w:vAlign w:val="center"/>
          </w:tcPr>
          <w:p w14:paraId="6A5875D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姓名</w:t>
            </w:r>
          </w:p>
        </w:tc>
        <w:tc>
          <w:tcPr>
            <w:tcW w:w="1852" w:type="dxa"/>
            <w:tcBorders>
              <w:top w:val="single" w:color="auto" w:sz="6" w:space="0"/>
              <w:left w:val="single" w:color="auto" w:sz="6" w:space="0"/>
              <w:bottom w:val="single" w:color="auto" w:sz="6" w:space="0"/>
              <w:right w:val="single" w:color="auto" w:sz="4" w:space="0"/>
            </w:tcBorders>
            <w:shd w:val="clear" w:color="auto" w:fill="B3B3B3"/>
            <w:vAlign w:val="center"/>
          </w:tcPr>
          <w:p w14:paraId="2A39D09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3C16969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r>
              <w:rPr>
                <w:rFonts w:hint="eastAsia" w:ascii="仿宋" w:hAnsi="仿宋" w:eastAsia="仿宋" w:cs="仿宋"/>
                <w:sz w:val="24"/>
              </w:rPr>
              <w:t>响应截止时间近3年业绩及承担的主要工作情况</w:t>
            </w:r>
          </w:p>
        </w:tc>
      </w:tr>
      <w:tr w14:paraId="73DB8503">
        <w:tblPrEx>
          <w:tblCellMar>
            <w:top w:w="0" w:type="dxa"/>
            <w:left w:w="108" w:type="dxa"/>
            <w:bottom w:w="0" w:type="dxa"/>
            <w:right w:w="108" w:type="dxa"/>
          </w:tblCellMar>
        </w:tblPrEx>
        <w:trPr>
          <w:cantSplit/>
          <w:trHeight w:val="345" w:hRule="atLeast"/>
        </w:trPr>
        <w:tc>
          <w:tcPr>
            <w:tcW w:w="2297" w:type="dxa"/>
            <w:tcBorders>
              <w:top w:val="single" w:color="auto" w:sz="6" w:space="0"/>
              <w:left w:val="single" w:color="auto" w:sz="6" w:space="0"/>
              <w:bottom w:val="single" w:color="auto" w:sz="6" w:space="0"/>
              <w:right w:val="single" w:color="auto" w:sz="6" w:space="0"/>
            </w:tcBorders>
            <w:vAlign w:val="center"/>
          </w:tcPr>
          <w:p w14:paraId="2989206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性别</w:t>
            </w:r>
          </w:p>
        </w:tc>
        <w:tc>
          <w:tcPr>
            <w:tcW w:w="1852" w:type="dxa"/>
            <w:tcBorders>
              <w:top w:val="single" w:color="auto" w:sz="6" w:space="0"/>
              <w:left w:val="single" w:color="auto" w:sz="6" w:space="0"/>
              <w:bottom w:val="single" w:color="auto" w:sz="6" w:space="0"/>
              <w:right w:val="single" w:color="auto" w:sz="4" w:space="0"/>
            </w:tcBorders>
            <w:vAlign w:val="center"/>
          </w:tcPr>
          <w:p w14:paraId="6A4DADE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A65629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406F1925">
        <w:tblPrEx>
          <w:tblCellMar>
            <w:top w:w="0" w:type="dxa"/>
            <w:left w:w="108" w:type="dxa"/>
            <w:bottom w:w="0" w:type="dxa"/>
            <w:right w:w="108" w:type="dxa"/>
          </w:tblCellMar>
        </w:tblPrEx>
        <w:trPr>
          <w:cantSplit/>
          <w:trHeight w:val="337" w:hRule="atLeast"/>
        </w:trPr>
        <w:tc>
          <w:tcPr>
            <w:tcW w:w="2297" w:type="dxa"/>
            <w:tcBorders>
              <w:top w:val="single" w:color="auto" w:sz="6" w:space="0"/>
              <w:left w:val="single" w:color="auto" w:sz="6" w:space="0"/>
              <w:bottom w:val="single" w:color="auto" w:sz="6" w:space="0"/>
              <w:right w:val="single" w:color="auto" w:sz="6" w:space="0"/>
            </w:tcBorders>
            <w:vAlign w:val="center"/>
          </w:tcPr>
          <w:p w14:paraId="367AD2B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年龄</w:t>
            </w:r>
          </w:p>
        </w:tc>
        <w:tc>
          <w:tcPr>
            <w:tcW w:w="1852" w:type="dxa"/>
            <w:tcBorders>
              <w:top w:val="single" w:color="auto" w:sz="6" w:space="0"/>
              <w:left w:val="single" w:color="auto" w:sz="6" w:space="0"/>
              <w:bottom w:val="single" w:color="auto" w:sz="6" w:space="0"/>
              <w:right w:val="single" w:color="auto" w:sz="4" w:space="0"/>
            </w:tcBorders>
            <w:vAlign w:val="center"/>
          </w:tcPr>
          <w:p w14:paraId="41E6BFD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62AA63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5D8024DD">
        <w:tblPrEx>
          <w:tblCellMar>
            <w:top w:w="0" w:type="dxa"/>
            <w:left w:w="108" w:type="dxa"/>
            <w:bottom w:w="0" w:type="dxa"/>
            <w:right w:w="108" w:type="dxa"/>
          </w:tblCellMar>
        </w:tblPrEx>
        <w:trPr>
          <w:cantSplit/>
          <w:trHeight w:val="345" w:hRule="atLeast"/>
        </w:trPr>
        <w:tc>
          <w:tcPr>
            <w:tcW w:w="2297" w:type="dxa"/>
            <w:tcBorders>
              <w:top w:val="single" w:color="auto" w:sz="6" w:space="0"/>
              <w:left w:val="single" w:color="auto" w:sz="6" w:space="0"/>
              <w:bottom w:val="single" w:color="auto" w:sz="6" w:space="0"/>
              <w:right w:val="single" w:color="auto" w:sz="6" w:space="0"/>
            </w:tcBorders>
            <w:vAlign w:val="center"/>
          </w:tcPr>
          <w:p w14:paraId="2A35A6E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职称</w:t>
            </w:r>
          </w:p>
        </w:tc>
        <w:tc>
          <w:tcPr>
            <w:tcW w:w="1852" w:type="dxa"/>
            <w:tcBorders>
              <w:top w:val="single" w:color="auto" w:sz="6" w:space="0"/>
              <w:left w:val="single" w:color="auto" w:sz="6" w:space="0"/>
              <w:bottom w:val="single" w:color="auto" w:sz="6" w:space="0"/>
              <w:right w:val="single" w:color="auto" w:sz="4" w:space="0"/>
            </w:tcBorders>
            <w:vAlign w:val="center"/>
          </w:tcPr>
          <w:p w14:paraId="666AD51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81A2E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650A9045">
        <w:tblPrEx>
          <w:tblCellMar>
            <w:top w:w="0" w:type="dxa"/>
            <w:left w:w="108" w:type="dxa"/>
            <w:bottom w:w="0" w:type="dxa"/>
            <w:right w:w="108" w:type="dxa"/>
          </w:tblCellMar>
        </w:tblPrEx>
        <w:trPr>
          <w:cantSplit/>
          <w:trHeight w:val="345" w:hRule="atLeast"/>
        </w:trPr>
        <w:tc>
          <w:tcPr>
            <w:tcW w:w="2297" w:type="dxa"/>
            <w:tcBorders>
              <w:top w:val="single" w:color="auto" w:sz="6" w:space="0"/>
              <w:left w:val="single" w:color="auto" w:sz="6" w:space="0"/>
              <w:bottom w:val="single" w:color="auto" w:sz="6" w:space="0"/>
              <w:right w:val="single" w:color="auto" w:sz="6" w:space="0"/>
            </w:tcBorders>
            <w:vAlign w:val="center"/>
          </w:tcPr>
          <w:p w14:paraId="32B1F72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毕业时间</w:t>
            </w:r>
          </w:p>
        </w:tc>
        <w:tc>
          <w:tcPr>
            <w:tcW w:w="1852" w:type="dxa"/>
            <w:tcBorders>
              <w:top w:val="single" w:color="auto" w:sz="6" w:space="0"/>
              <w:left w:val="single" w:color="auto" w:sz="6" w:space="0"/>
              <w:bottom w:val="single" w:color="auto" w:sz="6" w:space="0"/>
              <w:right w:val="single" w:color="auto" w:sz="4" w:space="0"/>
            </w:tcBorders>
            <w:vAlign w:val="center"/>
          </w:tcPr>
          <w:p w14:paraId="5CB87E1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734DEB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2A3C59AF">
        <w:tblPrEx>
          <w:tblCellMar>
            <w:top w:w="0" w:type="dxa"/>
            <w:left w:w="108" w:type="dxa"/>
            <w:bottom w:w="0" w:type="dxa"/>
            <w:right w:w="108" w:type="dxa"/>
          </w:tblCellMar>
        </w:tblPrEx>
        <w:trPr>
          <w:cantSplit/>
          <w:trHeight w:val="422" w:hRule="atLeast"/>
        </w:trPr>
        <w:tc>
          <w:tcPr>
            <w:tcW w:w="2297" w:type="dxa"/>
            <w:tcBorders>
              <w:top w:val="single" w:color="auto" w:sz="6" w:space="0"/>
              <w:left w:val="single" w:color="auto" w:sz="6" w:space="0"/>
              <w:bottom w:val="single" w:color="auto" w:sz="6" w:space="0"/>
              <w:right w:val="single" w:color="auto" w:sz="6" w:space="0"/>
            </w:tcBorders>
            <w:vAlign w:val="center"/>
          </w:tcPr>
          <w:p w14:paraId="77F59EE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所学专业</w:t>
            </w:r>
          </w:p>
        </w:tc>
        <w:tc>
          <w:tcPr>
            <w:tcW w:w="1852" w:type="dxa"/>
            <w:tcBorders>
              <w:top w:val="single" w:color="auto" w:sz="6" w:space="0"/>
              <w:left w:val="single" w:color="auto" w:sz="6" w:space="0"/>
              <w:bottom w:val="single" w:color="auto" w:sz="6" w:space="0"/>
              <w:right w:val="single" w:color="auto" w:sz="4" w:space="0"/>
            </w:tcBorders>
            <w:vAlign w:val="center"/>
          </w:tcPr>
          <w:p w14:paraId="0446059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997B72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097C41B2">
        <w:tblPrEx>
          <w:tblCellMar>
            <w:top w:w="0" w:type="dxa"/>
            <w:left w:w="108" w:type="dxa"/>
            <w:bottom w:w="0" w:type="dxa"/>
            <w:right w:w="108" w:type="dxa"/>
          </w:tblCellMar>
        </w:tblPrEx>
        <w:trPr>
          <w:cantSplit/>
          <w:trHeight w:val="416" w:hRule="atLeast"/>
        </w:trPr>
        <w:tc>
          <w:tcPr>
            <w:tcW w:w="2297" w:type="dxa"/>
            <w:tcBorders>
              <w:top w:val="single" w:color="auto" w:sz="6" w:space="0"/>
              <w:left w:val="single" w:color="auto" w:sz="6" w:space="0"/>
              <w:bottom w:val="single" w:color="auto" w:sz="6" w:space="0"/>
              <w:right w:val="single" w:color="auto" w:sz="6" w:space="0"/>
            </w:tcBorders>
            <w:vAlign w:val="center"/>
          </w:tcPr>
          <w:p w14:paraId="32B3A74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学历</w:t>
            </w:r>
          </w:p>
        </w:tc>
        <w:tc>
          <w:tcPr>
            <w:tcW w:w="1852" w:type="dxa"/>
            <w:tcBorders>
              <w:top w:val="single" w:color="auto" w:sz="6" w:space="0"/>
              <w:left w:val="single" w:color="auto" w:sz="6" w:space="0"/>
              <w:bottom w:val="single" w:color="auto" w:sz="6" w:space="0"/>
              <w:right w:val="single" w:color="auto" w:sz="4" w:space="0"/>
            </w:tcBorders>
            <w:vAlign w:val="center"/>
          </w:tcPr>
          <w:p w14:paraId="620EA1E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E6D62D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0C3A49FF">
        <w:tblPrEx>
          <w:tblCellMar>
            <w:top w:w="0" w:type="dxa"/>
            <w:left w:w="108" w:type="dxa"/>
            <w:bottom w:w="0" w:type="dxa"/>
            <w:right w:w="108" w:type="dxa"/>
          </w:tblCellMar>
        </w:tblPrEx>
        <w:trPr>
          <w:cantSplit/>
          <w:trHeight w:val="200" w:hRule="atLeast"/>
        </w:trPr>
        <w:tc>
          <w:tcPr>
            <w:tcW w:w="2297" w:type="dxa"/>
            <w:tcBorders>
              <w:top w:val="single" w:color="auto" w:sz="6" w:space="0"/>
              <w:left w:val="single" w:color="auto" w:sz="6" w:space="0"/>
              <w:bottom w:val="single" w:color="auto" w:sz="6" w:space="0"/>
              <w:right w:val="single" w:color="auto" w:sz="6" w:space="0"/>
            </w:tcBorders>
            <w:vAlign w:val="center"/>
          </w:tcPr>
          <w:p w14:paraId="430A240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资质证书</w:t>
            </w:r>
          </w:p>
        </w:tc>
        <w:tc>
          <w:tcPr>
            <w:tcW w:w="1852" w:type="dxa"/>
            <w:tcBorders>
              <w:top w:val="single" w:color="auto" w:sz="6" w:space="0"/>
              <w:left w:val="single" w:color="auto" w:sz="6" w:space="0"/>
              <w:bottom w:val="single" w:color="auto" w:sz="6" w:space="0"/>
              <w:right w:val="single" w:color="auto" w:sz="4" w:space="0"/>
            </w:tcBorders>
            <w:vAlign w:val="center"/>
          </w:tcPr>
          <w:p w14:paraId="7FFDAC0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245A08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0F2C5407">
        <w:tblPrEx>
          <w:tblCellMar>
            <w:top w:w="0" w:type="dxa"/>
            <w:left w:w="108" w:type="dxa"/>
            <w:bottom w:w="0" w:type="dxa"/>
            <w:right w:w="108" w:type="dxa"/>
          </w:tblCellMar>
        </w:tblPrEx>
        <w:trPr>
          <w:cantSplit/>
          <w:trHeight w:val="177" w:hRule="atLeast"/>
        </w:trPr>
        <w:tc>
          <w:tcPr>
            <w:tcW w:w="2297" w:type="dxa"/>
            <w:tcBorders>
              <w:top w:val="single" w:color="auto" w:sz="6" w:space="0"/>
              <w:left w:val="single" w:color="auto" w:sz="6" w:space="0"/>
              <w:bottom w:val="single" w:color="auto" w:sz="6" w:space="0"/>
              <w:right w:val="single" w:color="auto" w:sz="6" w:space="0"/>
            </w:tcBorders>
            <w:vAlign w:val="center"/>
          </w:tcPr>
          <w:p w14:paraId="4DCC258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其他资质情况</w:t>
            </w:r>
          </w:p>
        </w:tc>
        <w:tc>
          <w:tcPr>
            <w:tcW w:w="1852" w:type="dxa"/>
            <w:tcBorders>
              <w:top w:val="single" w:color="auto" w:sz="6" w:space="0"/>
              <w:left w:val="single" w:color="auto" w:sz="6" w:space="0"/>
              <w:bottom w:val="single" w:color="auto" w:sz="6" w:space="0"/>
              <w:right w:val="single" w:color="auto" w:sz="4" w:space="0"/>
            </w:tcBorders>
            <w:vAlign w:val="center"/>
          </w:tcPr>
          <w:p w14:paraId="40D88E2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CBA106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bl>
    <w:p w14:paraId="6EACB7AD">
      <w:pPr>
        <w:autoSpaceDE w:val="0"/>
        <w:autoSpaceDN w:val="0"/>
        <w:spacing w:line="360" w:lineRule="auto"/>
        <w:rPr>
          <w:rFonts w:hint="default" w:ascii="仿宋" w:hAnsi="仿宋" w:eastAsia="仿宋" w:cs="仿宋"/>
          <w:b/>
          <w:sz w:val="24"/>
          <w:lang w:val="en-US" w:eastAsia="zh-CN"/>
        </w:rPr>
      </w:pPr>
      <w:r>
        <w:rPr>
          <w:rFonts w:hint="eastAsia" w:ascii="仿宋" w:hAnsi="仿宋" w:eastAsia="仿宋" w:cs="仿宋"/>
          <w:b/>
          <w:sz w:val="24"/>
        </w:rPr>
        <w:t>注：</w:t>
      </w:r>
      <w:r>
        <w:rPr>
          <w:rFonts w:hint="eastAsia" w:ascii="仿宋" w:hAnsi="仿宋" w:cs="仿宋"/>
          <w:b/>
          <w:sz w:val="24"/>
          <w:lang w:val="en-US" w:eastAsia="zh-CN"/>
        </w:rPr>
        <w:t>每个兼职人员1份，</w:t>
      </w:r>
      <w:r>
        <w:rPr>
          <w:rFonts w:hint="eastAsia" w:ascii="仿宋" w:hAnsi="仿宋" w:eastAsia="仿宋" w:cs="仿宋"/>
          <w:b/>
          <w:sz w:val="24"/>
        </w:rPr>
        <w:t>须随表提交相应的证书复印件。</w:t>
      </w:r>
    </w:p>
    <w:p w14:paraId="3A8D1C13">
      <w:pPr>
        <w:autoSpaceDE w:val="0"/>
        <w:autoSpaceDN w:val="0"/>
        <w:spacing w:line="360" w:lineRule="auto"/>
        <w:rPr>
          <w:rFonts w:hint="eastAsia" w:ascii="仿宋" w:hAnsi="仿宋" w:eastAsia="仿宋" w:cs="仿宋"/>
          <w:b/>
          <w:sz w:val="24"/>
        </w:rPr>
      </w:pPr>
    </w:p>
    <w:p w14:paraId="51AAC905">
      <w:pPr>
        <w:autoSpaceDE w:val="0"/>
        <w:autoSpaceDN w:val="0"/>
        <w:spacing w:line="360" w:lineRule="auto"/>
        <w:rPr>
          <w:rFonts w:hint="eastAsia" w:ascii="仿宋" w:hAnsi="仿宋" w:eastAsia="仿宋" w:cs="仿宋"/>
          <w:b/>
          <w:sz w:val="24"/>
        </w:rPr>
      </w:pPr>
      <w:r>
        <w:rPr>
          <w:rFonts w:hint="eastAsia" w:ascii="仿宋" w:hAnsi="仿宋" w:cs="仿宋"/>
          <w:b/>
          <w:sz w:val="24"/>
          <w:lang w:eastAsia="zh-CN"/>
        </w:rPr>
        <w:t>（</w:t>
      </w:r>
      <w:r>
        <w:rPr>
          <w:rFonts w:hint="eastAsia" w:ascii="仿宋" w:hAnsi="仿宋" w:cs="仿宋"/>
          <w:b/>
          <w:sz w:val="24"/>
          <w:lang w:val="en-US" w:eastAsia="zh-CN"/>
        </w:rPr>
        <w:t>3</w:t>
      </w:r>
      <w:r>
        <w:rPr>
          <w:rFonts w:hint="eastAsia" w:ascii="仿宋" w:hAnsi="仿宋" w:cs="仿宋"/>
          <w:b/>
          <w:sz w:val="24"/>
          <w:lang w:eastAsia="zh-CN"/>
        </w:rPr>
        <w:t>）</w:t>
      </w:r>
      <w:r>
        <w:rPr>
          <w:rFonts w:hint="eastAsia" w:ascii="仿宋" w:hAnsi="仿宋" w:cs="仿宋"/>
          <w:b/>
          <w:sz w:val="24"/>
          <w:lang w:val="en-US" w:eastAsia="zh-CN"/>
        </w:rPr>
        <w:t>其他专职</w:t>
      </w:r>
      <w:r>
        <w:rPr>
          <w:rFonts w:hint="eastAsia" w:ascii="仿宋" w:hAnsi="仿宋" w:eastAsia="仿宋" w:cs="仿宋"/>
          <w:b/>
          <w:sz w:val="24"/>
        </w:rPr>
        <w:t>人员情况表</w:t>
      </w:r>
      <w:r>
        <w:rPr>
          <w:rFonts w:hint="eastAsia" w:ascii="仿宋" w:hAnsi="仿宋" w:eastAsia="仿宋" w:cs="仿宋"/>
          <w:sz w:val="24"/>
        </w:rPr>
        <w:t>（按此格式自制）</w:t>
      </w:r>
    </w:p>
    <w:tbl>
      <w:tblPr>
        <w:tblStyle w:val="6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7896BB2">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E26B84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D75C96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40693B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EB842B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0C121C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学历</w:t>
            </w:r>
          </w:p>
          <w:p w14:paraId="1502AF3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AB387C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专业</w:t>
            </w:r>
          </w:p>
          <w:p w14:paraId="523104C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081940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职称</w:t>
            </w:r>
          </w:p>
          <w:p w14:paraId="37FB2A5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4B0617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DF616A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BBBF76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参与本项目的到位情况</w:t>
            </w:r>
          </w:p>
        </w:tc>
      </w:tr>
      <w:tr w14:paraId="2DD984AC">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97F27F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2C04F3D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3B3483D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428C830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4B97EF5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4AF06D4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2A72643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1AAAF99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7DB2C6D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1FF433E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2D78453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50C7C2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37FA616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7717F2B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12C24EC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3CAB070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45F1AF6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874C9B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17D9C2D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332CC57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4132BBB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0D965F4F">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C90807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58E3AB2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176AB02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160818B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145B20E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74F47D9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68B7108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450BBE5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66CBD47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59BC9F9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bl>
    <w:p w14:paraId="2C76ADFB">
      <w:pPr>
        <w:spacing w:line="360" w:lineRule="auto"/>
        <w:rPr>
          <w:rFonts w:hint="eastAsia" w:ascii="仿宋" w:hAnsi="仿宋" w:eastAsia="仿宋" w:cs="仿宋"/>
          <w:b/>
          <w:bCs/>
          <w:sz w:val="24"/>
        </w:rPr>
      </w:pPr>
      <w:r>
        <w:rPr>
          <w:rFonts w:hint="eastAsia" w:ascii="仿宋" w:hAnsi="仿宋" w:eastAsia="仿宋" w:cs="仿宋"/>
          <w:b/>
          <w:sz w:val="24"/>
        </w:rPr>
        <w:t>注：供应商可按上述的格式自行编制，须随表提交相应的证书复印件。</w:t>
      </w:r>
    </w:p>
    <w:p w14:paraId="638491D0">
      <w:pPr>
        <w:spacing w:line="360" w:lineRule="auto"/>
        <w:rPr>
          <w:rFonts w:hint="eastAsia" w:ascii="仿宋" w:hAnsi="仿宋" w:eastAsia="仿宋" w:cs="仿宋"/>
          <w:b/>
          <w:sz w:val="24"/>
        </w:rPr>
      </w:pPr>
    </w:p>
    <w:p w14:paraId="11A6B261">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5D947E0F">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2B987AA6">
      <w:pPr>
        <w:pStyle w:val="80"/>
        <w:rPr>
          <w:rFonts w:hint="eastAsia"/>
        </w:rPr>
      </w:pPr>
    </w:p>
    <w:p w14:paraId="0DC3BB74">
      <w:pPr>
        <w:pStyle w:val="80"/>
        <w:rPr>
          <w:rFonts w:hint="eastAsia"/>
        </w:rPr>
      </w:pPr>
    </w:p>
    <w:p w14:paraId="6FEDF4F9">
      <w:pPr>
        <w:rPr>
          <w:rFonts w:hint="eastAsia" w:ascii="仿宋" w:hAnsi="仿宋" w:eastAsia="仿宋" w:cs="仿宋"/>
          <w:lang w:val="en-US" w:eastAsia="zh-CN"/>
        </w:rPr>
      </w:pPr>
      <w:r>
        <w:rPr>
          <w:rFonts w:hint="eastAsia" w:ascii="仿宋" w:hAnsi="仿宋" w:eastAsia="仿宋" w:cs="仿宋"/>
          <w:lang w:val="en-US" w:eastAsia="zh-CN"/>
        </w:rPr>
        <w:br w:type="page"/>
      </w:r>
    </w:p>
    <w:p w14:paraId="1F2F88E5">
      <w:pPr>
        <w:pStyle w:val="8"/>
        <w:spacing w:before="120" w:after="240"/>
        <w:ind w:left="1151" w:hanging="1151"/>
        <w:rPr>
          <w:rFonts w:hint="eastAsia" w:ascii="仿宋" w:hAnsi="仿宋" w:eastAsia="仿宋" w:cs="仿宋"/>
          <w:lang w:eastAsia="zh-CN"/>
        </w:rPr>
      </w:pPr>
      <w:r>
        <w:rPr>
          <w:rFonts w:hint="eastAsia" w:ascii="仿宋" w:hAnsi="仿宋" w:cs="仿宋"/>
        </w:rPr>
        <w:t>五、</w:t>
      </w:r>
      <w:r>
        <w:rPr>
          <w:rFonts w:hint="eastAsia" w:ascii="仿宋" w:hAnsi="仿宋" w:cs="仿宋"/>
          <w:lang w:eastAsia="zh-CN"/>
        </w:rPr>
        <w:t>商务条款偏离表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0CA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DBCB26">
            <w:pPr>
              <w:pStyle w:val="14"/>
              <w:rPr>
                <w:rFonts w:ascii="仿宋" w:hAnsi="仿宋" w:cs="仿宋"/>
              </w:rPr>
            </w:pPr>
            <w:r>
              <w:rPr>
                <w:rFonts w:hint="eastAsia" w:ascii="仿宋" w:hAnsi="仿宋" w:cs="仿宋"/>
              </w:rPr>
              <w:t>序号</w:t>
            </w:r>
          </w:p>
        </w:tc>
        <w:tc>
          <w:tcPr>
            <w:tcW w:w="3683" w:type="dxa"/>
          </w:tcPr>
          <w:p w14:paraId="7A9426C4">
            <w:pPr>
              <w:pStyle w:val="14"/>
              <w:rPr>
                <w:rFonts w:ascii="仿宋" w:hAnsi="仿宋" w:cs="仿宋"/>
              </w:rPr>
            </w:pPr>
            <w:r>
              <w:rPr>
                <w:rFonts w:hint="eastAsia" w:ascii="仿宋" w:hAnsi="仿宋" w:cs="仿宋"/>
              </w:rPr>
              <w:t>招标文件章节及具体内容</w:t>
            </w:r>
          </w:p>
        </w:tc>
        <w:tc>
          <w:tcPr>
            <w:tcW w:w="3546" w:type="dxa"/>
          </w:tcPr>
          <w:p w14:paraId="36D2D32F">
            <w:pPr>
              <w:pStyle w:val="14"/>
              <w:rPr>
                <w:rFonts w:ascii="仿宋" w:hAnsi="仿宋" w:cs="仿宋"/>
              </w:rPr>
            </w:pPr>
            <w:r>
              <w:rPr>
                <w:rFonts w:hint="eastAsia" w:ascii="仿宋" w:hAnsi="仿宋" w:cs="仿宋"/>
              </w:rPr>
              <w:t>投标文件章节及具体内容</w:t>
            </w:r>
          </w:p>
        </w:tc>
        <w:tc>
          <w:tcPr>
            <w:tcW w:w="1276" w:type="dxa"/>
          </w:tcPr>
          <w:p w14:paraId="50B04B7F">
            <w:pPr>
              <w:pStyle w:val="14"/>
              <w:rPr>
                <w:rFonts w:ascii="仿宋" w:hAnsi="仿宋" w:cs="仿宋"/>
              </w:rPr>
            </w:pPr>
            <w:r>
              <w:rPr>
                <w:rFonts w:hint="eastAsia" w:ascii="仿宋" w:hAnsi="仿宋" w:cs="仿宋"/>
              </w:rPr>
              <w:t>偏离说明</w:t>
            </w:r>
          </w:p>
        </w:tc>
      </w:tr>
      <w:tr w14:paraId="2BFB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A54040">
            <w:pPr>
              <w:pStyle w:val="14"/>
              <w:rPr>
                <w:rFonts w:ascii="仿宋" w:hAnsi="仿宋" w:cs="仿宋"/>
              </w:rPr>
            </w:pPr>
            <w:r>
              <w:rPr>
                <w:rFonts w:hint="eastAsia" w:ascii="仿宋" w:hAnsi="仿宋" w:cs="仿宋"/>
              </w:rPr>
              <w:t>1</w:t>
            </w:r>
          </w:p>
        </w:tc>
        <w:tc>
          <w:tcPr>
            <w:tcW w:w="3683" w:type="dxa"/>
          </w:tcPr>
          <w:p w14:paraId="295F3A47">
            <w:pPr>
              <w:pStyle w:val="14"/>
              <w:rPr>
                <w:rFonts w:ascii="仿宋" w:hAnsi="仿宋" w:cs="仿宋"/>
              </w:rPr>
            </w:pPr>
          </w:p>
        </w:tc>
        <w:tc>
          <w:tcPr>
            <w:tcW w:w="3546" w:type="dxa"/>
          </w:tcPr>
          <w:p w14:paraId="7436C9BE">
            <w:pPr>
              <w:pStyle w:val="14"/>
              <w:rPr>
                <w:rFonts w:ascii="仿宋" w:hAnsi="仿宋" w:cs="仿宋"/>
              </w:rPr>
            </w:pPr>
          </w:p>
        </w:tc>
        <w:tc>
          <w:tcPr>
            <w:tcW w:w="1276" w:type="dxa"/>
          </w:tcPr>
          <w:p w14:paraId="547973BA">
            <w:pPr>
              <w:pStyle w:val="14"/>
              <w:rPr>
                <w:rFonts w:ascii="仿宋" w:hAnsi="仿宋" w:cs="仿宋"/>
              </w:rPr>
            </w:pPr>
          </w:p>
        </w:tc>
      </w:tr>
      <w:tr w14:paraId="50A1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4AA270">
            <w:pPr>
              <w:pStyle w:val="14"/>
              <w:rPr>
                <w:rFonts w:ascii="仿宋" w:hAnsi="仿宋" w:cs="仿宋"/>
              </w:rPr>
            </w:pPr>
            <w:r>
              <w:rPr>
                <w:rFonts w:hint="eastAsia" w:ascii="仿宋" w:hAnsi="仿宋" w:cs="仿宋"/>
              </w:rPr>
              <w:t>2</w:t>
            </w:r>
          </w:p>
        </w:tc>
        <w:tc>
          <w:tcPr>
            <w:tcW w:w="3683" w:type="dxa"/>
          </w:tcPr>
          <w:p w14:paraId="382EAA74">
            <w:pPr>
              <w:pStyle w:val="14"/>
              <w:rPr>
                <w:rFonts w:ascii="仿宋" w:hAnsi="仿宋" w:cs="仿宋"/>
              </w:rPr>
            </w:pPr>
          </w:p>
        </w:tc>
        <w:tc>
          <w:tcPr>
            <w:tcW w:w="3546" w:type="dxa"/>
          </w:tcPr>
          <w:p w14:paraId="4D92F05A">
            <w:pPr>
              <w:pStyle w:val="14"/>
              <w:rPr>
                <w:rFonts w:ascii="仿宋" w:hAnsi="仿宋" w:cs="仿宋"/>
              </w:rPr>
            </w:pPr>
          </w:p>
        </w:tc>
        <w:tc>
          <w:tcPr>
            <w:tcW w:w="1276" w:type="dxa"/>
          </w:tcPr>
          <w:p w14:paraId="2160F2EA">
            <w:pPr>
              <w:pStyle w:val="14"/>
              <w:rPr>
                <w:rFonts w:ascii="仿宋" w:hAnsi="仿宋" w:cs="仿宋"/>
              </w:rPr>
            </w:pPr>
          </w:p>
        </w:tc>
      </w:tr>
      <w:tr w14:paraId="31CF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8901D6">
            <w:pPr>
              <w:pStyle w:val="14"/>
              <w:rPr>
                <w:rFonts w:ascii="仿宋" w:hAnsi="仿宋" w:cs="仿宋"/>
              </w:rPr>
            </w:pPr>
            <w:r>
              <w:rPr>
                <w:rFonts w:hint="eastAsia" w:ascii="仿宋" w:hAnsi="仿宋" w:cs="仿宋"/>
              </w:rPr>
              <w:t>……</w:t>
            </w:r>
          </w:p>
        </w:tc>
        <w:tc>
          <w:tcPr>
            <w:tcW w:w="3683" w:type="dxa"/>
          </w:tcPr>
          <w:p w14:paraId="4A52CA69">
            <w:pPr>
              <w:pStyle w:val="14"/>
              <w:rPr>
                <w:rFonts w:ascii="仿宋" w:hAnsi="仿宋" w:cs="仿宋"/>
              </w:rPr>
            </w:pPr>
          </w:p>
        </w:tc>
        <w:tc>
          <w:tcPr>
            <w:tcW w:w="3546" w:type="dxa"/>
          </w:tcPr>
          <w:p w14:paraId="304C244F">
            <w:pPr>
              <w:pStyle w:val="14"/>
              <w:rPr>
                <w:rFonts w:ascii="仿宋" w:hAnsi="仿宋" w:cs="仿宋"/>
              </w:rPr>
            </w:pPr>
          </w:p>
        </w:tc>
        <w:tc>
          <w:tcPr>
            <w:tcW w:w="1276" w:type="dxa"/>
          </w:tcPr>
          <w:p w14:paraId="70A3649E">
            <w:pPr>
              <w:pStyle w:val="14"/>
              <w:rPr>
                <w:rFonts w:ascii="仿宋" w:hAnsi="仿宋" w:cs="仿宋"/>
              </w:rPr>
            </w:pPr>
          </w:p>
        </w:tc>
      </w:tr>
    </w:tbl>
    <w:p w14:paraId="5640AFEC">
      <w:pPr>
        <w:ind w:firstLine="480"/>
        <w:rPr>
          <w:rFonts w:ascii="仿宋" w:hAnsi="仿宋" w:cs="仿宋"/>
          <w:kern w:val="0"/>
        </w:rPr>
      </w:pPr>
      <w:r>
        <w:rPr>
          <w:rFonts w:hint="eastAsia" w:ascii="仿宋" w:hAnsi="仿宋" w:cs="仿宋"/>
          <w:kern w:val="0"/>
        </w:rPr>
        <w:t>投标人保证：除本偏离表列出的偏离外，投标人响应招标文件的全部要求。</w:t>
      </w:r>
    </w:p>
    <w:p w14:paraId="4D8C0F56">
      <w:pPr>
        <w:ind w:firstLine="643"/>
        <w:jc w:val="center"/>
        <w:rPr>
          <w:rFonts w:ascii="仿宋" w:hAnsi="仿宋" w:cs="仿宋"/>
          <w:b/>
          <w:kern w:val="0"/>
          <w:sz w:val="32"/>
          <w:szCs w:val="32"/>
        </w:rPr>
      </w:pPr>
    </w:p>
    <w:p w14:paraId="3E59C35F">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446108CF">
      <w:pPr>
        <w:snapToGrid w:val="0"/>
        <w:ind w:firstLine="480"/>
        <w:jc w:val="right"/>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1B25E963">
      <w:pPr>
        <w:ind w:firstLine="2891" w:firstLineChars="900"/>
        <w:rPr>
          <w:rFonts w:ascii="仿宋" w:hAnsi="仿宋" w:cs="仿宋"/>
          <w:b/>
          <w:bCs/>
          <w:sz w:val="32"/>
          <w:szCs w:val="32"/>
        </w:rPr>
      </w:pPr>
    </w:p>
    <w:p w14:paraId="68CF9579">
      <w:pPr>
        <w:rPr>
          <w:rFonts w:hint="eastAsia" w:ascii="仿宋" w:hAnsi="仿宋" w:cs="仿宋"/>
          <w:kern w:val="0"/>
          <w:szCs w:val="32"/>
        </w:rPr>
      </w:pPr>
      <w:r>
        <w:rPr>
          <w:rFonts w:hint="eastAsia" w:ascii="仿宋" w:hAnsi="仿宋" w:cs="仿宋"/>
          <w:kern w:val="0"/>
          <w:szCs w:val="32"/>
        </w:rPr>
        <w:br w:type="page"/>
      </w:r>
    </w:p>
    <w:p w14:paraId="4281B094">
      <w:pPr>
        <w:pStyle w:val="8"/>
        <w:spacing w:before="120" w:after="240"/>
        <w:ind w:left="1151" w:hanging="1151"/>
        <w:rPr>
          <w:rFonts w:ascii="仿宋" w:hAnsi="仿宋" w:cs="仿宋"/>
          <w:kern w:val="0"/>
          <w:szCs w:val="32"/>
        </w:rPr>
      </w:pPr>
      <w:r>
        <w:rPr>
          <w:rFonts w:hint="eastAsia" w:ascii="仿宋" w:hAnsi="仿宋" w:cs="仿宋"/>
          <w:kern w:val="0"/>
          <w:szCs w:val="32"/>
        </w:rPr>
        <w:t>六、</w:t>
      </w:r>
      <w:r>
        <w:rPr>
          <w:rFonts w:hint="eastAsia" w:ascii="仿宋" w:hAnsi="仿宋" w:cs="仿宋"/>
          <w:kern w:val="0"/>
          <w:szCs w:val="32"/>
          <w:lang w:val="zh-CN"/>
        </w:rPr>
        <w:t>政府采购供应商廉洁自律承诺书</w:t>
      </w:r>
    </w:p>
    <w:p w14:paraId="51F7BBE9">
      <w:pPr>
        <w:pStyle w:val="26"/>
        <w:rPr>
          <w:rFonts w:ascii="仿宋" w:hAnsi="仿宋" w:cs="仿宋"/>
          <w:kern w:val="0"/>
        </w:rPr>
      </w:pPr>
      <w:r>
        <w:rPr>
          <w:rFonts w:hint="eastAsia" w:ascii="仿宋" w:hAnsi="仿宋" w:cs="仿宋"/>
          <w:u w:val="single"/>
          <w:lang w:eastAsia="zh-CN"/>
        </w:rPr>
        <w:t>慈溪市人民政府宗汉街道办事处、慈溪元达采购招标代理有限公司</w:t>
      </w:r>
      <w:r>
        <w:rPr>
          <w:rFonts w:hint="eastAsia" w:ascii="仿宋" w:hAnsi="仿宋" w:cs="仿宋"/>
          <w:kern w:val="0"/>
        </w:rPr>
        <w:t>：</w:t>
      </w:r>
    </w:p>
    <w:p w14:paraId="482CFC21">
      <w:pPr>
        <w:autoSpaceDE w:val="0"/>
        <w:autoSpaceDN w:val="0"/>
        <w:ind w:left="2" w:leftChars="1" w:firstLine="480"/>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14:paraId="4EEF5E13">
      <w:pPr>
        <w:autoSpaceDE w:val="0"/>
        <w:autoSpaceDN w:val="0"/>
        <w:ind w:left="2" w:leftChars="1" w:firstLine="480"/>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14:paraId="1DAC140A">
      <w:pPr>
        <w:autoSpaceDE w:val="0"/>
        <w:autoSpaceDN w:val="0"/>
        <w:ind w:left="2" w:leftChars="1" w:firstLine="480"/>
        <w:rPr>
          <w:rFonts w:ascii="仿宋" w:hAnsi="仿宋" w:cs="仿宋"/>
          <w:kern w:val="0"/>
          <w:lang w:val="zh-CN"/>
        </w:rPr>
      </w:pPr>
      <w:r>
        <w:rPr>
          <w:rFonts w:hint="eastAsia" w:ascii="仿宋" w:hAnsi="仿宋" w:cs="仿宋"/>
          <w:kern w:val="0"/>
          <w:lang w:val="zh-CN"/>
        </w:rPr>
        <w:t xml:space="preserve">二、不为项目有关人员及部门报销应由你方单位或个人支付的费用； </w:t>
      </w:r>
    </w:p>
    <w:p w14:paraId="15A96987">
      <w:pPr>
        <w:autoSpaceDE w:val="0"/>
        <w:autoSpaceDN w:val="0"/>
        <w:ind w:left="2" w:leftChars="1" w:firstLine="480"/>
        <w:rPr>
          <w:rFonts w:ascii="仿宋" w:hAnsi="仿宋" w:cs="仿宋"/>
          <w:kern w:val="0"/>
          <w:lang w:val="zh-CN"/>
        </w:rPr>
      </w:pPr>
      <w:r>
        <w:rPr>
          <w:rFonts w:hint="eastAsia" w:ascii="仿宋" w:hAnsi="仿宋" w:cs="仿宋"/>
          <w:kern w:val="0"/>
          <w:lang w:val="zh-CN"/>
        </w:rPr>
        <w:t xml:space="preserve">三、不向项目有关人员及部门提供有可能影响公正的宴请和健身娱乐等活动； </w:t>
      </w:r>
    </w:p>
    <w:p w14:paraId="504C980D">
      <w:pPr>
        <w:autoSpaceDE w:val="0"/>
        <w:autoSpaceDN w:val="0"/>
        <w:ind w:left="2" w:leftChars="1" w:firstLine="480"/>
        <w:rPr>
          <w:rFonts w:ascii="仿宋" w:hAnsi="仿宋" w:cs="仿宋"/>
          <w:kern w:val="0"/>
          <w:lang w:val="zh-CN"/>
        </w:rPr>
      </w:pPr>
      <w:r>
        <w:rPr>
          <w:rFonts w:hint="eastAsia" w:ascii="仿宋" w:hAnsi="仿宋" w:cs="仿宋"/>
          <w:kern w:val="0"/>
          <w:lang w:val="zh-CN"/>
        </w:rPr>
        <w:t>四、不为项目有关人员及部门出国（境）、旅游等提供方便；</w:t>
      </w:r>
    </w:p>
    <w:p w14:paraId="095245CB">
      <w:pPr>
        <w:ind w:firstLine="480"/>
        <w:rPr>
          <w:rFonts w:ascii="仿宋" w:hAnsi="仿宋" w:cs="仿宋"/>
          <w:kern w:val="0"/>
          <w:lang w:val="zh-CN"/>
        </w:rPr>
      </w:pPr>
      <w:r>
        <w:rPr>
          <w:rFonts w:hint="eastAsia" w:ascii="仿宋" w:hAnsi="仿宋" w:cs="仿宋"/>
          <w:lang w:val="zh-CN"/>
        </w:rPr>
        <w:t>五、不为项目有关人员个人装修住房、婚丧嫁娶、配偶子女工作安排等提供</w:t>
      </w:r>
      <w:r>
        <w:rPr>
          <w:rFonts w:hint="eastAsia" w:ascii="仿宋" w:hAnsi="仿宋" w:cs="仿宋"/>
          <w:kern w:val="0"/>
          <w:lang w:val="zh-CN"/>
        </w:rPr>
        <w:t>好处；</w:t>
      </w:r>
    </w:p>
    <w:p w14:paraId="3CF0EFC8">
      <w:pPr>
        <w:ind w:firstLine="480"/>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w:t>
      </w:r>
      <w:r>
        <w:rPr>
          <w:rFonts w:hint="eastAsia" w:ascii="仿宋" w:hAnsi="仿宋" w:cs="仿宋"/>
          <w:kern w:val="0"/>
          <w:lang w:val="zh-CN"/>
        </w:rPr>
        <w:t>招标投标法》</w:t>
      </w:r>
      <w:r>
        <w:rPr>
          <w:rFonts w:hint="eastAsia" w:ascii="仿宋" w:hAnsi="仿宋" w:cs="仿宋"/>
          <w:lang w:val="zh-CN"/>
        </w:rPr>
        <w:t>《中华人民共和国民法典》</w:t>
      </w:r>
      <w:r>
        <w:rPr>
          <w:rFonts w:hint="eastAsia" w:ascii="仿宋" w:hAnsi="仿宋" w:cs="仿宋"/>
          <w:kern w:val="0"/>
          <w:lang w:val="zh-CN"/>
        </w:rPr>
        <w:t xml:space="preserve">等法律法规，诚实守信，合法经营，坚决抵制各种违法违纪行为。 </w:t>
      </w:r>
    </w:p>
    <w:p w14:paraId="58007F45">
      <w:pPr>
        <w:autoSpaceDE w:val="0"/>
        <w:autoSpaceDN w:val="0"/>
        <w:ind w:firstLine="480"/>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进行项目建设或其他经营活动，并通报市财政局。由此引起的相应损失均由我单位承担。</w:t>
      </w:r>
    </w:p>
    <w:p w14:paraId="2DC4E6A9">
      <w:pPr>
        <w:autoSpaceDE w:val="0"/>
        <w:autoSpaceDN w:val="0"/>
        <w:ind w:left="2" w:firstLine="480"/>
        <w:rPr>
          <w:rFonts w:ascii="仿宋" w:hAnsi="仿宋" w:cs="仿宋"/>
          <w:kern w:val="0"/>
          <w:lang w:val="zh-CN"/>
        </w:rPr>
      </w:pPr>
    </w:p>
    <w:p w14:paraId="4D5E85A3">
      <w:pPr>
        <w:autoSpaceDE w:val="0"/>
        <w:autoSpaceDN w:val="0"/>
        <w:ind w:left="2" w:firstLine="480"/>
        <w:rPr>
          <w:rFonts w:ascii="仿宋" w:hAnsi="仿宋" w:cs="仿宋"/>
          <w:kern w:val="0"/>
          <w:lang w:val="zh-CN"/>
        </w:rPr>
      </w:pPr>
    </w:p>
    <w:p w14:paraId="36F68061">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3940C141">
      <w:pPr>
        <w:snapToGrid w:val="0"/>
        <w:ind w:firstLine="480"/>
        <w:jc w:val="right"/>
        <w:rPr>
          <w:rFonts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en-US" w:eastAsia="zh-CN"/>
        </w:rPr>
        <w:t xml:space="preserve">   </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4BA9766D">
      <w:pPr>
        <w:jc w:val="center"/>
        <w:rPr>
          <w:rFonts w:ascii="仿宋" w:hAnsi="仿宋" w:cs="仿宋"/>
          <w:b/>
          <w:bCs/>
        </w:rPr>
      </w:pPr>
    </w:p>
    <w:p w14:paraId="1CCB5C66">
      <w:pPr>
        <w:jc w:val="center"/>
        <w:rPr>
          <w:rFonts w:ascii="仿宋" w:hAnsi="仿宋" w:cs="仿宋"/>
          <w:b/>
          <w:bCs/>
        </w:rPr>
        <w:sectPr>
          <w:pgSz w:w="11906" w:h="16838"/>
          <w:pgMar w:top="1423" w:right="1440" w:bottom="1423" w:left="1440" w:header="851" w:footer="992" w:gutter="0"/>
          <w:cols w:space="0" w:num="1"/>
          <w:rtlGutter w:val="0"/>
          <w:docGrid w:type="lines" w:linePitch="334" w:charSpace="0"/>
        </w:sectPr>
      </w:pPr>
    </w:p>
    <w:p w14:paraId="1AD56D36">
      <w:pPr>
        <w:pStyle w:val="2"/>
      </w:pPr>
      <w:bookmarkStart w:id="418" w:name="_Toc15954"/>
      <w:r>
        <w:rPr>
          <w:rFonts w:hint="eastAsia"/>
        </w:rPr>
        <w:t>报价文件部分</w:t>
      </w:r>
      <w:bookmarkEnd w:id="418"/>
    </w:p>
    <w:p w14:paraId="699D23DF">
      <w:pPr>
        <w:pStyle w:val="8"/>
        <w:spacing w:before="120" w:after="240"/>
        <w:rPr>
          <w:rFonts w:ascii="仿宋" w:hAnsi="仿宋" w:cs="仿宋"/>
        </w:rPr>
      </w:pPr>
      <w:r>
        <w:rPr>
          <w:rFonts w:hint="eastAsia" w:ascii="仿宋" w:hAnsi="仿宋" w:cs="仿宋"/>
        </w:rPr>
        <w:t>目录</w:t>
      </w:r>
    </w:p>
    <w:p w14:paraId="0B44D12B">
      <w:pPr>
        <w:ind w:firstLine="480"/>
        <w:rPr>
          <w:rFonts w:ascii="仿宋" w:hAnsi="仿宋" w:cs="仿宋"/>
        </w:rPr>
      </w:pPr>
    </w:p>
    <w:p w14:paraId="55C9F183">
      <w:pPr>
        <w:ind w:firstLine="480"/>
        <w:rPr>
          <w:rFonts w:ascii="仿宋" w:hAnsi="仿宋" w:cs="仿宋"/>
        </w:rPr>
      </w:pPr>
      <w:r>
        <w:rPr>
          <w:rFonts w:hint="eastAsia" w:ascii="仿宋" w:hAnsi="仿宋" w:cs="仿宋"/>
        </w:rPr>
        <w:t>（1）开标一览表（报价表）………………………………………………（页码）</w:t>
      </w:r>
    </w:p>
    <w:p w14:paraId="6D95E9F7">
      <w:pPr>
        <w:ind w:firstLine="480"/>
      </w:pPr>
    </w:p>
    <w:p w14:paraId="2588DE02">
      <w:pPr>
        <w:snapToGrid w:val="0"/>
        <w:ind w:right="480" w:firstLine="643"/>
        <w:jc w:val="center"/>
        <w:rPr>
          <w:rFonts w:ascii="仿宋" w:hAnsi="仿宋" w:cs="仿宋"/>
          <w:b/>
          <w:kern w:val="0"/>
          <w:sz w:val="32"/>
          <w:szCs w:val="32"/>
        </w:rPr>
      </w:pPr>
    </w:p>
    <w:p w14:paraId="7AC56826">
      <w:pPr>
        <w:snapToGrid w:val="0"/>
        <w:ind w:right="480" w:firstLine="643"/>
        <w:jc w:val="center"/>
        <w:rPr>
          <w:rFonts w:ascii="仿宋" w:hAnsi="仿宋" w:cs="仿宋"/>
          <w:b/>
          <w:kern w:val="0"/>
          <w:sz w:val="32"/>
          <w:szCs w:val="32"/>
        </w:rPr>
      </w:pPr>
    </w:p>
    <w:p w14:paraId="49B286EB">
      <w:r>
        <w:br w:type="page"/>
      </w:r>
    </w:p>
    <w:p w14:paraId="012B38BB">
      <w:pPr>
        <w:pStyle w:val="8"/>
        <w:spacing w:before="120" w:after="240"/>
        <w:rPr>
          <w:rFonts w:hint="eastAsia"/>
        </w:rPr>
        <w:sectPr>
          <w:headerReference r:id="rId15" w:type="first"/>
          <w:footerReference r:id="rId18" w:type="first"/>
          <w:headerReference r:id="rId14" w:type="default"/>
          <w:footerReference r:id="rId16" w:type="default"/>
          <w:footerReference r:id="rId17" w:type="even"/>
          <w:pgSz w:w="11906" w:h="16838"/>
          <w:pgMar w:top="1423" w:right="1440" w:bottom="1423" w:left="1440" w:header="851" w:footer="992" w:gutter="0"/>
          <w:cols w:space="0" w:num="1"/>
          <w:rtlGutter w:val="0"/>
          <w:docGrid w:type="lines" w:linePitch="334" w:charSpace="0"/>
        </w:sectPr>
      </w:pPr>
    </w:p>
    <w:p w14:paraId="1A17A970">
      <w:pPr>
        <w:pStyle w:val="8"/>
        <w:spacing w:before="120" w:after="240"/>
        <w:ind w:left="1151" w:hanging="1151"/>
      </w:pPr>
      <w:r>
        <w:rPr>
          <w:rFonts w:hint="eastAsia"/>
        </w:rPr>
        <w:t>一、开标一览表（报价表）</w:t>
      </w:r>
    </w:p>
    <w:p w14:paraId="270FB022">
      <w:pPr>
        <w:pStyle w:val="26"/>
        <w:rPr>
          <w:rFonts w:ascii="仿宋" w:hAnsi="仿宋" w:cs="仿宋"/>
          <w:kern w:val="0"/>
        </w:rPr>
      </w:pPr>
      <w:r>
        <w:rPr>
          <w:rFonts w:hint="eastAsia" w:ascii="仿宋" w:hAnsi="仿宋" w:cs="仿宋"/>
          <w:u w:val="single"/>
          <w:lang w:eastAsia="zh-CN"/>
        </w:rPr>
        <w:t>慈溪市人民政府宗汉街道办事处、慈溪元达采购招标代理有限公司</w:t>
      </w:r>
      <w:r>
        <w:rPr>
          <w:rFonts w:hint="eastAsia" w:ascii="仿宋" w:hAnsi="仿宋" w:cs="仿宋"/>
          <w:kern w:val="0"/>
        </w:rPr>
        <w:t>：</w:t>
      </w:r>
    </w:p>
    <w:p w14:paraId="35364D6B">
      <w:pPr>
        <w:snapToGrid w:val="0"/>
        <w:ind w:firstLine="480"/>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kern w:val="0"/>
          <w:u w:val="single"/>
          <w:lang w:val="zh-CN"/>
        </w:rPr>
        <w:t>慈溪市宗汉街道社会心理服务</w:t>
      </w:r>
      <w:r>
        <w:rPr>
          <w:rFonts w:hint="eastAsia" w:ascii="仿宋" w:hAnsi="仿宋" w:cs="仿宋"/>
          <w:kern w:val="0"/>
          <w:lang w:val="zh-CN"/>
        </w:rPr>
        <w:t>【</w:t>
      </w:r>
      <w:r>
        <w:rPr>
          <w:rFonts w:hint="eastAsia" w:ascii="仿宋" w:hAnsi="仿宋" w:cs="仿宋"/>
          <w:kern w:val="0"/>
          <w:lang w:val="en-US" w:eastAsia="zh-CN"/>
        </w:rPr>
        <w:t>项目编号：330282202411009267</w:t>
      </w:r>
      <w:r>
        <w:rPr>
          <w:rFonts w:hint="eastAsia" w:ascii="仿宋" w:hAnsi="仿宋" w:cs="仿宋"/>
        </w:rPr>
        <w:t>】的实施</w:t>
      </w:r>
      <w:r>
        <w:rPr>
          <w:rFonts w:hint="eastAsia" w:ascii="仿宋" w:hAnsi="仿宋" w:cs="仿宋"/>
          <w:kern w:val="0"/>
          <w:lang w:val="zh-CN"/>
        </w:rPr>
        <w:t>。</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4"/>
        <w:gridCol w:w="6771"/>
      </w:tblGrid>
      <w:tr w14:paraId="2406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334" w:type="pct"/>
            <w:vAlign w:val="center"/>
          </w:tcPr>
          <w:p w14:paraId="767B88D6">
            <w:pPr>
              <w:pStyle w:val="14"/>
              <w:spacing w:before="120" w:after="120"/>
              <w:jc w:val="center"/>
              <w:rPr>
                <w:rFonts w:ascii="仿宋" w:hAnsi="仿宋" w:cs="仿宋"/>
              </w:rPr>
            </w:pPr>
            <w:r>
              <w:rPr>
                <w:rFonts w:hint="eastAsia" w:ascii="仿宋" w:hAnsi="仿宋" w:cs="仿宋"/>
                <w:lang w:val="en-US"/>
              </w:rPr>
              <w:t>标项</w:t>
            </w:r>
          </w:p>
        </w:tc>
        <w:tc>
          <w:tcPr>
            <w:tcW w:w="3665" w:type="pct"/>
            <w:vAlign w:val="center"/>
          </w:tcPr>
          <w:p w14:paraId="718B26CE">
            <w:pPr>
              <w:pStyle w:val="14"/>
              <w:spacing w:before="120" w:after="120"/>
              <w:jc w:val="center"/>
              <w:rPr>
                <w:rFonts w:ascii="仿宋" w:hAnsi="仿宋" w:cs="仿宋"/>
                <w:lang w:val="en-US"/>
              </w:rPr>
            </w:pPr>
            <w:r>
              <w:rPr>
                <w:rFonts w:hint="eastAsia" w:ascii="仿宋" w:hAnsi="仿宋" w:cs="仿宋"/>
                <w:lang w:val="en-US"/>
              </w:rPr>
              <w:t>1</w:t>
            </w:r>
          </w:p>
        </w:tc>
      </w:tr>
      <w:tr w14:paraId="7E2E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34" w:type="pct"/>
            <w:vAlign w:val="center"/>
          </w:tcPr>
          <w:p w14:paraId="738EC4DE">
            <w:pPr>
              <w:pStyle w:val="14"/>
              <w:spacing w:before="120" w:after="120"/>
              <w:jc w:val="center"/>
              <w:rPr>
                <w:rFonts w:ascii="仿宋" w:hAnsi="仿宋" w:cs="仿宋"/>
                <w:lang w:val="en-US"/>
              </w:rPr>
            </w:pPr>
            <w:r>
              <w:rPr>
                <w:rFonts w:hint="eastAsia" w:ascii="仿宋" w:hAnsi="仿宋" w:cs="仿宋"/>
                <w:lang w:val="en-US"/>
              </w:rPr>
              <w:t>项目名称</w:t>
            </w:r>
          </w:p>
        </w:tc>
        <w:tc>
          <w:tcPr>
            <w:tcW w:w="3665" w:type="pct"/>
            <w:vAlign w:val="center"/>
          </w:tcPr>
          <w:p w14:paraId="4A02331D">
            <w:pPr>
              <w:pStyle w:val="14"/>
              <w:spacing w:before="120" w:after="120"/>
              <w:jc w:val="center"/>
              <w:rPr>
                <w:rFonts w:ascii="仿宋" w:hAnsi="仿宋" w:cs="仿宋"/>
              </w:rPr>
            </w:pPr>
            <w:r>
              <w:rPr>
                <w:rFonts w:hint="eastAsia" w:ascii="仿宋" w:hAnsi="仿宋" w:cs="仿宋"/>
                <w:lang w:eastAsia="zh-CN"/>
              </w:rPr>
              <w:t>慈溪市宗汉街道社会心理服务</w:t>
            </w:r>
          </w:p>
        </w:tc>
      </w:tr>
      <w:tr w14:paraId="47AB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34" w:type="pct"/>
            <w:vAlign w:val="center"/>
          </w:tcPr>
          <w:p w14:paraId="45549A2F">
            <w:pPr>
              <w:pStyle w:val="14"/>
              <w:spacing w:before="120" w:after="120"/>
              <w:jc w:val="center"/>
              <w:rPr>
                <w:rFonts w:ascii="仿宋" w:hAnsi="仿宋" w:cs="仿宋"/>
              </w:rPr>
            </w:pPr>
            <w:r>
              <w:rPr>
                <w:rFonts w:hint="eastAsia" w:ascii="仿宋" w:hAnsi="仿宋" w:cs="仿宋"/>
                <w:lang w:val="en-US" w:eastAsia="zh-CN"/>
              </w:rPr>
              <w:t>投标</w:t>
            </w:r>
            <w:r>
              <w:rPr>
                <w:rFonts w:hint="eastAsia" w:ascii="仿宋" w:hAnsi="仿宋" w:cs="仿宋"/>
              </w:rPr>
              <w:t>报价（小写）</w:t>
            </w:r>
          </w:p>
        </w:tc>
        <w:tc>
          <w:tcPr>
            <w:tcW w:w="3665" w:type="pct"/>
            <w:vAlign w:val="center"/>
          </w:tcPr>
          <w:p w14:paraId="40368E23">
            <w:pPr>
              <w:pStyle w:val="14"/>
              <w:spacing w:before="120" w:after="120"/>
              <w:jc w:val="center"/>
              <w:rPr>
                <w:rFonts w:hint="default" w:ascii="仿宋" w:hAnsi="仿宋" w:eastAsia="仿宋" w:cs="仿宋"/>
                <w:u w:val="none"/>
                <w:lang w:val="en-US" w:eastAsia="zh-CN"/>
              </w:rPr>
            </w:pPr>
            <w:r>
              <w:rPr>
                <w:rFonts w:hint="eastAsia" w:ascii="仿宋" w:hAnsi="仿宋" w:cs="仿宋"/>
                <w:lang w:val="en-US" w:eastAsia="zh-CN"/>
              </w:rPr>
              <w:t>￥</w:t>
            </w:r>
            <w:r>
              <w:rPr>
                <w:rFonts w:hint="eastAsia" w:ascii="仿宋" w:hAnsi="仿宋" w:cs="仿宋"/>
                <w:u w:val="single"/>
                <w:lang w:val="en-US" w:eastAsia="zh-CN"/>
              </w:rPr>
              <w:t xml:space="preserve">              </w:t>
            </w:r>
            <w:r>
              <w:rPr>
                <w:rFonts w:hint="eastAsia" w:ascii="仿宋" w:hAnsi="仿宋" w:cs="仿宋"/>
                <w:u w:val="none"/>
                <w:lang w:val="en-US" w:eastAsia="zh-CN"/>
              </w:rPr>
              <w:t>元</w:t>
            </w:r>
          </w:p>
        </w:tc>
      </w:tr>
      <w:tr w14:paraId="0685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34" w:type="pct"/>
            <w:vAlign w:val="center"/>
          </w:tcPr>
          <w:p w14:paraId="656DB436">
            <w:pPr>
              <w:pStyle w:val="14"/>
              <w:spacing w:before="120" w:after="120"/>
              <w:jc w:val="center"/>
              <w:rPr>
                <w:rFonts w:ascii="仿宋" w:hAnsi="仿宋" w:cs="仿宋"/>
              </w:rPr>
            </w:pPr>
            <w:r>
              <w:rPr>
                <w:rFonts w:hint="eastAsia" w:ascii="仿宋" w:hAnsi="仿宋" w:cs="仿宋"/>
                <w:lang w:val="en-US" w:eastAsia="zh-CN"/>
              </w:rPr>
              <w:t>投标</w:t>
            </w:r>
            <w:r>
              <w:rPr>
                <w:rFonts w:hint="eastAsia" w:ascii="仿宋" w:hAnsi="仿宋" w:cs="仿宋"/>
              </w:rPr>
              <w:t>报价（大写）</w:t>
            </w:r>
          </w:p>
        </w:tc>
        <w:tc>
          <w:tcPr>
            <w:tcW w:w="3665" w:type="pct"/>
            <w:vAlign w:val="center"/>
          </w:tcPr>
          <w:p w14:paraId="49C57609">
            <w:pPr>
              <w:pStyle w:val="14"/>
              <w:spacing w:before="120" w:after="120"/>
              <w:jc w:val="center"/>
              <w:rPr>
                <w:rFonts w:hint="default" w:ascii="仿宋" w:hAnsi="仿宋" w:cs="仿宋"/>
                <w:lang w:val="en-US"/>
              </w:rPr>
            </w:pPr>
            <w:r>
              <w:rPr>
                <w:rFonts w:hint="eastAsia" w:ascii="仿宋" w:hAnsi="仿宋" w:cs="仿宋"/>
                <w:u w:val="none"/>
                <w:lang w:val="en-US" w:eastAsia="zh-CN"/>
              </w:rPr>
              <w:t>人民币大写</w:t>
            </w:r>
            <w:r>
              <w:rPr>
                <w:rFonts w:hint="eastAsia" w:ascii="仿宋" w:hAnsi="仿宋" w:cs="仿宋"/>
                <w:u w:val="single"/>
                <w:lang w:val="en-US" w:eastAsia="zh-CN"/>
              </w:rPr>
              <w:t xml:space="preserve">              </w:t>
            </w:r>
            <w:r>
              <w:rPr>
                <w:rFonts w:hint="eastAsia" w:ascii="仿宋" w:hAnsi="仿宋" w:cs="仿宋"/>
                <w:u w:val="none"/>
                <w:lang w:val="en-US" w:eastAsia="zh-CN"/>
              </w:rPr>
              <w:t>元整</w:t>
            </w:r>
          </w:p>
        </w:tc>
      </w:tr>
    </w:tbl>
    <w:p w14:paraId="22E077F9">
      <w:pPr>
        <w:ind w:firstLine="480"/>
        <w:rPr>
          <w:lang w:val="zh-CN"/>
        </w:rPr>
      </w:pPr>
      <w:r>
        <w:rPr>
          <w:rFonts w:hint="eastAsia"/>
          <w:lang w:val="zh-CN"/>
        </w:rPr>
        <w:t>注：</w:t>
      </w:r>
    </w:p>
    <w:p w14:paraId="54C0D1D6">
      <w:pPr>
        <w:ind w:firstLine="480"/>
        <w:rPr>
          <w:rFonts w:hint="default" w:eastAsia="仿宋"/>
          <w:lang w:val="en-US" w:eastAsia="zh-CN"/>
        </w:rPr>
      </w:pPr>
      <w:r>
        <w:rPr>
          <w:rFonts w:hint="eastAsia"/>
          <w:lang w:val="zh-CN"/>
        </w:rPr>
        <w:t>1、投标人需按本表格式填写，不得自行更改。</w:t>
      </w:r>
    </w:p>
    <w:p w14:paraId="179BA326">
      <w:pPr>
        <w:ind w:firstLine="48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采购人将以合同形式有偿取得货物或服务，不接受投标人给予的赠品、回扣或者与采购无关的其他商品、服务</w:t>
      </w:r>
      <w:r>
        <w:rPr>
          <w:rFonts w:hint="eastAsia" w:ascii="仿宋" w:hAnsi="仿宋" w:cs="仿宋"/>
          <w:kern w:val="0"/>
          <w:lang w:val="zh-CN"/>
        </w:rPr>
        <w:t>，</w:t>
      </w:r>
      <w:r>
        <w:rPr>
          <w:rFonts w:hint="eastAsia" w:ascii="仿宋" w:hAnsi="仿宋" w:cs="仿宋"/>
          <w:b/>
          <w:kern w:val="0"/>
          <w:lang w:val="zh-CN"/>
        </w:rPr>
        <w:t>不得出现“0元”“免费赠送”等形式的无偿报价，</w:t>
      </w:r>
      <w:r>
        <w:rPr>
          <w:rFonts w:hint="eastAsia" w:ascii="仿宋" w:hAnsi="仿宋" w:cs="仿宋"/>
          <w:b/>
          <w:kern w:val="0"/>
        </w:rPr>
        <w:t>否则视为</w:t>
      </w:r>
      <w:r>
        <w:rPr>
          <w:rFonts w:hint="eastAsia" w:ascii="仿宋" w:hAnsi="仿宋" w:cs="仿宋"/>
          <w:b/>
        </w:rPr>
        <w:t>投标文件含有采购人不能接受的附加条件的，投标无效</w:t>
      </w:r>
      <w:r>
        <w:rPr>
          <w:rFonts w:hint="eastAsia" w:ascii="仿宋" w:hAnsi="仿宋" w:cs="仿宋"/>
          <w:b/>
          <w:kern w:val="0"/>
          <w:lang w:val="zh-CN"/>
        </w:rPr>
        <w:t>。</w:t>
      </w:r>
    </w:p>
    <w:p w14:paraId="5DC1D471">
      <w:pPr>
        <w:ind w:firstLine="480"/>
        <w:rPr>
          <w:lang w:val="zh-CN"/>
        </w:rPr>
      </w:pPr>
      <w:r>
        <w:rPr>
          <w:rFonts w:hint="eastAsia"/>
          <w:lang w:val="zh-CN"/>
        </w:rPr>
        <w:t>3、特别提示：采购代理机构将对项目名称和项目编号，中标供应商名称、地址和中标金额，主要中标标的名称、服务范围、服务要求、服务时间、服务标准等予以公示。</w:t>
      </w:r>
    </w:p>
    <w:p w14:paraId="7176EE93">
      <w:pPr>
        <w:ind w:firstLine="480"/>
        <w:rPr>
          <w:rFonts w:ascii="仿宋" w:hAnsi="仿宋" w:eastAsia="仿宋" w:cs="仿宋"/>
          <w:kern w:val="2"/>
          <w:sz w:val="32"/>
          <w:szCs w:val="32"/>
        </w:rPr>
      </w:pPr>
      <w:r>
        <w:rPr>
          <w:lang w:val="zh-CN"/>
        </w:rPr>
        <w:t>4</w:t>
      </w:r>
      <w:r>
        <w:rPr>
          <w:rFonts w:hint="eastAsia"/>
          <w:lang w:val="zh-CN"/>
        </w:rPr>
        <w:t>、</w:t>
      </w:r>
      <w:r>
        <w:rPr>
          <w:rFonts w:hint="eastAsia"/>
          <w:b/>
          <w:bCs/>
          <w:lang w:val="en-US" w:eastAsia="zh-CN"/>
        </w:rPr>
        <w:t>政采云平台报价与本表报价不一致时以本表报价为准，同时修正政采云平台报价，拒绝修正的投标无效。</w:t>
      </w:r>
    </w:p>
    <w:p w14:paraId="24DD312D">
      <w:pPr>
        <w:snapToGrid w:val="0"/>
        <w:ind w:right="2400" w:rightChars="1000" w:firstLine="0" w:firstLineChars="0"/>
        <w:jc w:val="right"/>
        <w:rPr>
          <w:rFonts w:hint="eastAsia" w:ascii="仿宋" w:hAnsi="仿宋" w:cs="仿宋"/>
          <w:kern w:val="0"/>
          <w:lang w:val="zh-CN"/>
        </w:rPr>
      </w:pPr>
    </w:p>
    <w:p w14:paraId="0EBACDCF">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2AB6709E">
      <w:pPr>
        <w:snapToGrid w:val="0"/>
        <w:ind w:firstLine="480"/>
        <w:jc w:val="right"/>
        <w:rPr>
          <w:rFonts w:hint="eastAsia" w:ascii="仿宋" w:hAnsi="仿宋" w:cs="仿宋"/>
          <w:kern w:val="0"/>
          <w:lang w:val="zh-CN"/>
        </w:rPr>
      </w:pPr>
    </w:p>
    <w:p w14:paraId="059D82D6">
      <w:pPr>
        <w:keepNext w:val="0"/>
        <w:keepLines w:val="0"/>
        <w:pageBreakBefore w:val="0"/>
        <w:widowControl w:val="0"/>
        <w:kinsoku/>
        <w:wordWrap/>
        <w:overflowPunct/>
        <w:topLinePunct w:val="0"/>
        <w:autoSpaceDE/>
        <w:autoSpaceDN/>
        <w:bidi w:val="0"/>
        <w:adjustRightInd w:val="0"/>
        <w:snapToGrid w:val="0"/>
        <w:ind w:right="0" w:rightChars="0" w:firstLine="0" w:firstLineChars="0"/>
        <w:jc w:val="right"/>
        <w:textAlignment w:val="auto"/>
      </w:pPr>
      <w:r>
        <w:rPr>
          <w:rFonts w:hint="eastAsia" w:ascii="仿宋" w:hAnsi="仿宋" w:cs="仿宋"/>
          <w:kern w:val="0"/>
          <w:lang w:val="zh-CN"/>
        </w:rPr>
        <w:t xml:space="preserve">日期： </w:t>
      </w:r>
      <w:r>
        <w:rPr>
          <w:rFonts w:hint="eastAsia" w:ascii="仿宋" w:hAnsi="仿宋" w:cs="仿宋"/>
          <w:kern w:val="0"/>
          <w:lang w:val="en-US" w:eastAsia="zh-CN"/>
        </w:rPr>
        <w:t xml:space="preserve">   </w:t>
      </w:r>
      <w:r>
        <w:rPr>
          <w:rFonts w:hint="eastAsia" w:ascii="仿宋" w:hAnsi="仿宋" w:cs="仿宋"/>
          <w:kern w:val="0"/>
          <w:lang w:val="zh-CN"/>
        </w:rPr>
        <w:t xml:space="preserve"> 年  </w:t>
      </w:r>
      <w:r>
        <w:rPr>
          <w:rFonts w:hint="eastAsia" w:ascii="仿宋" w:hAnsi="仿宋" w:cs="仿宋"/>
          <w:kern w:val="0"/>
          <w:lang w:val="en-US" w:eastAsia="zh-CN"/>
        </w:rPr>
        <w:t xml:space="preserve">  </w:t>
      </w:r>
      <w:r>
        <w:rPr>
          <w:rFonts w:hint="eastAsia" w:ascii="仿宋" w:hAnsi="仿宋" w:cs="仿宋"/>
          <w:kern w:val="0"/>
          <w:lang w:val="zh-CN"/>
        </w:rPr>
        <w:t>月   日</w:t>
      </w:r>
    </w:p>
    <w:sectPr>
      <w:headerReference r:id="rId19" w:type="default"/>
      <w:footerReference r:id="rId20" w:type="default"/>
      <w:pgSz w:w="11906" w:h="16838"/>
      <w:pgMar w:top="1423" w:right="1440" w:bottom="1423" w:left="1440" w:header="851" w:footer="992" w:gutter="0"/>
      <w:cols w:space="0" w:num="1"/>
      <w:rtlGutter w:val="0"/>
      <w:docGrid w:type="lines" w:linePitch="33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D186">
    <w:pPr>
      <w:pStyle w:val="4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865AD">
                          <w:pPr>
                            <w:pStyle w:val="42"/>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2865AD">
                    <w:pPr>
                      <w:pStyle w:val="42"/>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5F4F3">
    <w:pPr>
      <w:pStyle w:val="42"/>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81DD1">
                          <w:pPr>
                            <w:pStyle w:val="42"/>
                            <w:ind w:firstLine="360"/>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6C81DD1">
                    <w:pPr>
                      <w:pStyle w:val="42"/>
                      <w:ind w:firstLine="360"/>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49652">
    <w:pPr>
      <w:pStyle w:val="42"/>
      <w:ind w:firstLine="360"/>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0AF9C">
                          <w:pPr>
                            <w:pStyle w:val="42"/>
                            <w:ind w:firstLine="36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430AF9C">
                    <w:pPr>
                      <w:pStyle w:val="42"/>
                      <w:ind w:firstLine="36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AA910">
    <w:pPr>
      <w:pStyle w:val="42"/>
      <w:framePr w:wrap="around" w:vAnchor="text" w:hAnchor="margin" w:xAlign="right" w:y="1"/>
      <w:ind w:firstLine="360"/>
      <w:rPr>
        <w:rStyle w:val="73"/>
      </w:rPr>
    </w:pPr>
    <w:r>
      <w:fldChar w:fldCharType="begin"/>
    </w:r>
    <w:r>
      <w:rPr>
        <w:rStyle w:val="73"/>
      </w:rPr>
      <w:instrText xml:space="preserve">PAGE  </w:instrText>
    </w:r>
    <w:r>
      <w:fldChar w:fldCharType="end"/>
    </w:r>
  </w:p>
  <w:p w14:paraId="0457C4AC">
    <w:pPr>
      <w:pStyle w:val="4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3EDD0">
    <w:pPr>
      <w:pStyle w:val="4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1B07B">
                          <w:pPr>
                            <w:pStyle w:val="42"/>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021B07B">
                    <w:pPr>
                      <w:pStyle w:val="42"/>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CDBE6">
    <w:pPr>
      <w:pStyle w:val="42"/>
      <w:ind w:firstLine="360"/>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0D7D8">
                          <w:pPr>
                            <w:pStyle w:val="42"/>
                            <w:ind w:firstLine="36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0E0D7D8">
                    <w:pPr>
                      <w:pStyle w:val="42"/>
                      <w:ind w:firstLine="36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6F717">
    <w:pPr>
      <w:pStyle w:val="42"/>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C40D">
    <w:pPr>
      <w:pStyle w:val="42"/>
      <w:ind w:firstLine="36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DD1DF">
                          <w:pPr>
                            <w:pStyle w:val="42"/>
                            <w:ind w:firstLine="360"/>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05DD1DF">
                    <w:pPr>
                      <w:pStyle w:val="42"/>
                      <w:ind w:firstLine="360"/>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5E969">
    <w:pPr>
      <w:pStyle w:val="42"/>
      <w:ind w:firstLine="36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0D467">
                          <w:pPr>
                            <w:pStyle w:val="42"/>
                            <w:ind w:firstLine="360"/>
                            <w:jc w:val="center"/>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B40D467">
                    <w:pPr>
                      <w:pStyle w:val="42"/>
                      <w:ind w:firstLine="360"/>
                      <w:jc w:val="center"/>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B27C">
    <w:pPr>
      <w:pStyle w:val="42"/>
      <w:ind w:firstLine="360"/>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C052D">
                          <w:pPr>
                            <w:pStyle w:val="42"/>
                            <w:ind w:firstLine="36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FDC052D">
                    <w:pPr>
                      <w:pStyle w:val="42"/>
                      <w:ind w:firstLine="36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42624">
    <w:pPr>
      <w:pStyle w:val="42"/>
      <w:framePr w:wrap="around" w:vAnchor="text" w:hAnchor="margin" w:xAlign="right" w:y="1"/>
      <w:ind w:firstLine="360"/>
      <w:rPr>
        <w:rStyle w:val="73"/>
      </w:rPr>
    </w:pPr>
    <w:r>
      <w:fldChar w:fldCharType="begin"/>
    </w:r>
    <w:r>
      <w:rPr>
        <w:rStyle w:val="73"/>
      </w:rPr>
      <w:instrText xml:space="preserve">PAGE  </w:instrText>
    </w:r>
    <w:r>
      <w:fldChar w:fldCharType="end"/>
    </w:r>
  </w:p>
  <w:p w14:paraId="196F3C13">
    <w:pPr>
      <w:pStyle w:val="4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D7331">
    <w:pPr>
      <w:pStyle w:val="43"/>
      <w:pBdr>
        <w:bottom w:val="single" w:color="auto" w:sz="6" w:space="4"/>
      </w:pBdr>
      <w:rPr>
        <w:rFonts w:hint="eastAsia" w:ascii="仿宋_GB2312" w:eastAsia="仿宋_GB2312"/>
        <w:i/>
        <w:u w:val="single"/>
        <w:lang w:eastAsia="zh-CN"/>
      </w:rPr>
    </w:pPr>
    <w:r>
      <w:rPr>
        <w:rFonts w:hint="eastAsia" w:ascii="仿宋" w:hAnsi="仿宋" w:eastAsia="仿宋_GB2312" w:cs="仿宋"/>
        <w:lang w:eastAsia="zh-CN"/>
      </w:rPr>
      <w:t>慈溪市宗汉街道社会心理服务招标文件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302DB">
    <w:pPr>
      <w:pStyle w:val="43"/>
      <w:pBdr>
        <w:bottom w:val="single" w:color="auto" w:sz="6" w:space="0"/>
      </w:pBdr>
      <w:tabs>
        <w:tab w:val="center" w:pos="4535"/>
        <w:tab w:val="right" w:pos="9070"/>
        <w:tab w:val="clear" w:pos="4153"/>
        <w:tab w:val="clear" w:pos="8306"/>
      </w:tabs>
      <w:rPr>
        <w:rFonts w:ascii="仿宋" w:hAnsi="仿宋" w:cs="仿宋"/>
      </w:rPr>
    </w:pPr>
    <w:r>
      <w:rPr>
        <w:rFonts w:hint="eastAsia" w:ascii="仿宋" w:hAnsi="仿宋" w:cs="仿宋"/>
        <w:lang w:val="zh-CN"/>
      </w:rPr>
      <w:t>慈溪市宗汉街道社会心理服务招标文件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36F0A">
    <w:pPr>
      <w:pStyle w:val="43"/>
      <w:rPr>
        <w:rFonts w:hint="eastAsia" w:eastAsia="仿宋"/>
        <w:lang w:eastAsia="zh-CN"/>
      </w:rPr>
    </w:pPr>
    <w:r>
      <w:rPr>
        <w:rFonts w:hint="eastAsia"/>
      </w:rPr>
      <w:t xml:space="preserve"> </w:t>
    </w:r>
    <w:r>
      <w:rPr>
        <w:rFonts w:hint="eastAsia" w:ascii="仿宋" w:hAnsi="仿宋" w:cs="仿宋"/>
        <w:lang w:eastAsia="zh-CN"/>
      </w:rPr>
      <w:t>慈溪市宗汉街道社会心理服务招标文件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684F2">
    <w:pPr>
      <w:pStyle w:val="43"/>
      <w:rPr>
        <w:rFonts w:hint="eastAsia" w:eastAsia="仿宋"/>
        <w:lang w:eastAsia="zh-CN"/>
      </w:rPr>
    </w:pPr>
    <w:r>
      <w:rPr>
        <w:rFonts w:hint="eastAsia"/>
      </w:rPr>
      <w:t xml:space="preserve"> </w:t>
    </w:r>
    <w:r>
      <w:rPr>
        <w:rFonts w:hint="eastAsia" w:ascii="仿宋" w:hAnsi="仿宋" w:cs="仿宋"/>
        <w:lang w:eastAsia="zh-CN"/>
      </w:rPr>
      <w:t>慈溪市宗汉街道社会心理服务招标文件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90317">
    <w:pPr>
      <w:pStyle w:val="43"/>
      <w:rPr>
        <w:rFonts w:hint="eastAsia" w:eastAsia="仿宋"/>
        <w:lang w:eastAsia="zh-CN"/>
      </w:rPr>
    </w:pPr>
    <w:r>
      <w:rPr>
        <w:rFonts w:hint="eastAsia"/>
      </w:rPr>
      <w:t xml:space="preserve"> </w:t>
    </w:r>
    <w:r>
      <w:rPr>
        <w:rFonts w:hint="eastAsia" w:ascii="仿宋" w:hAnsi="仿宋" w:cs="仿宋"/>
        <w:lang w:eastAsia="zh-CN"/>
      </w:rPr>
      <w:t>慈溪市宗汉街道社会心理服务招标文件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167"/>
  <w:displayHorizontalDrawingGridEvery w:val="1"/>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NjlmMjZjNmVjNDBjNjI3MzM4MGM3NDJlYmI2MT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BAE"/>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67FD7"/>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42D"/>
    <w:rsid w:val="00961867"/>
    <w:rsid w:val="00961A4F"/>
    <w:rsid w:val="009625B7"/>
    <w:rsid w:val="00962FB8"/>
    <w:rsid w:val="00963183"/>
    <w:rsid w:val="0096373F"/>
    <w:rsid w:val="00964007"/>
    <w:rsid w:val="00964283"/>
    <w:rsid w:val="009642A4"/>
    <w:rsid w:val="009643F4"/>
    <w:rsid w:val="009645A6"/>
    <w:rsid w:val="00964817"/>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876"/>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15"/>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7A8"/>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C7E"/>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634CB"/>
    <w:rsid w:val="011F6449"/>
    <w:rsid w:val="01236AFB"/>
    <w:rsid w:val="01612B98"/>
    <w:rsid w:val="019F7441"/>
    <w:rsid w:val="01B37585"/>
    <w:rsid w:val="01D55165"/>
    <w:rsid w:val="01D554A0"/>
    <w:rsid w:val="01DF6BF8"/>
    <w:rsid w:val="01EC2C57"/>
    <w:rsid w:val="026B2E25"/>
    <w:rsid w:val="02824D4D"/>
    <w:rsid w:val="028A2E64"/>
    <w:rsid w:val="02DC4B10"/>
    <w:rsid w:val="02DD76CE"/>
    <w:rsid w:val="02F36323"/>
    <w:rsid w:val="02F5619C"/>
    <w:rsid w:val="0326446A"/>
    <w:rsid w:val="032D5555"/>
    <w:rsid w:val="036634D2"/>
    <w:rsid w:val="03DD35E4"/>
    <w:rsid w:val="04076900"/>
    <w:rsid w:val="041A5A3B"/>
    <w:rsid w:val="042311BA"/>
    <w:rsid w:val="042B157A"/>
    <w:rsid w:val="048C5989"/>
    <w:rsid w:val="048F763B"/>
    <w:rsid w:val="049F330E"/>
    <w:rsid w:val="04AA775C"/>
    <w:rsid w:val="04AF1889"/>
    <w:rsid w:val="04F66F48"/>
    <w:rsid w:val="05251E14"/>
    <w:rsid w:val="05A16594"/>
    <w:rsid w:val="05A73948"/>
    <w:rsid w:val="05A7762D"/>
    <w:rsid w:val="060644F0"/>
    <w:rsid w:val="060E5941"/>
    <w:rsid w:val="06110FAF"/>
    <w:rsid w:val="06301F59"/>
    <w:rsid w:val="06493CA7"/>
    <w:rsid w:val="064E112E"/>
    <w:rsid w:val="065A6178"/>
    <w:rsid w:val="066F1CF3"/>
    <w:rsid w:val="06930BB8"/>
    <w:rsid w:val="06C510AB"/>
    <w:rsid w:val="07245D42"/>
    <w:rsid w:val="07264C62"/>
    <w:rsid w:val="0779354C"/>
    <w:rsid w:val="07B45A57"/>
    <w:rsid w:val="07E549AE"/>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D77B5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B01E4"/>
    <w:rsid w:val="0E5604B2"/>
    <w:rsid w:val="0E6D5D79"/>
    <w:rsid w:val="0E9D0089"/>
    <w:rsid w:val="0EA75161"/>
    <w:rsid w:val="0EAF4F47"/>
    <w:rsid w:val="0EB803EE"/>
    <w:rsid w:val="0EF94D4B"/>
    <w:rsid w:val="0F4958DC"/>
    <w:rsid w:val="0F515DF7"/>
    <w:rsid w:val="0F596BA8"/>
    <w:rsid w:val="0F6248D2"/>
    <w:rsid w:val="0F693536"/>
    <w:rsid w:val="0F7B0511"/>
    <w:rsid w:val="0F7B76D9"/>
    <w:rsid w:val="0F816ACD"/>
    <w:rsid w:val="0F9832DB"/>
    <w:rsid w:val="0FBF3FD2"/>
    <w:rsid w:val="0FBF7FF3"/>
    <w:rsid w:val="0FED5B79"/>
    <w:rsid w:val="0FF673E7"/>
    <w:rsid w:val="103A0164"/>
    <w:rsid w:val="10646583"/>
    <w:rsid w:val="107208CA"/>
    <w:rsid w:val="107D4B15"/>
    <w:rsid w:val="108A3C80"/>
    <w:rsid w:val="10C26171"/>
    <w:rsid w:val="10F33360"/>
    <w:rsid w:val="10FC16EA"/>
    <w:rsid w:val="110F1D40"/>
    <w:rsid w:val="11266F33"/>
    <w:rsid w:val="118963A1"/>
    <w:rsid w:val="11C6522A"/>
    <w:rsid w:val="11C708F0"/>
    <w:rsid w:val="11E104CC"/>
    <w:rsid w:val="11E20309"/>
    <w:rsid w:val="12255233"/>
    <w:rsid w:val="12530213"/>
    <w:rsid w:val="127723A9"/>
    <w:rsid w:val="12862074"/>
    <w:rsid w:val="12883966"/>
    <w:rsid w:val="129E45B4"/>
    <w:rsid w:val="12A8566D"/>
    <w:rsid w:val="12D81596"/>
    <w:rsid w:val="13072A44"/>
    <w:rsid w:val="135B44F6"/>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4147AE"/>
    <w:rsid w:val="166C1FBB"/>
    <w:rsid w:val="16A8729C"/>
    <w:rsid w:val="16B33777"/>
    <w:rsid w:val="16BC70A7"/>
    <w:rsid w:val="16C6339E"/>
    <w:rsid w:val="172F2D79"/>
    <w:rsid w:val="17557BEF"/>
    <w:rsid w:val="17D349C1"/>
    <w:rsid w:val="1830729E"/>
    <w:rsid w:val="18671C16"/>
    <w:rsid w:val="18693153"/>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22DAD"/>
    <w:rsid w:val="1BA209CF"/>
    <w:rsid w:val="1BB4777D"/>
    <w:rsid w:val="1BD75AB8"/>
    <w:rsid w:val="1C0459C2"/>
    <w:rsid w:val="1C1B3B4A"/>
    <w:rsid w:val="1C88086E"/>
    <w:rsid w:val="1D266CE1"/>
    <w:rsid w:val="1D3963AF"/>
    <w:rsid w:val="1D6A673C"/>
    <w:rsid w:val="1D9247AE"/>
    <w:rsid w:val="1DB567EC"/>
    <w:rsid w:val="1DF51A98"/>
    <w:rsid w:val="1E2F0085"/>
    <w:rsid w:val="1E3D060F"/>
    <w:rsid w:val="1E3F7D2E"/>
    <w:rsid w:val="1E4134E4"/>
    <w:rsid w:val="1E417396"/>
    <w:rsid w:val="1E5062B3"/>
    <w:rsid w:val="1E523514"/>
    <w:rsid w:val="1E714A66"/>
    <w:rsid w:val="1E802593"/>
    <w:rsid w:val="1E86743E"/>
    <w:rsid w:val="1EA703CC"/>
    <w:rsid w:val="1EB00B20"/>
    <w:rsid w:val="1EB7330C"/>
    <w:rsid w:val="1F0A0FF3"/>
    <w:rsid w:val="1F5771FF"/>
    <w:rsid w:val="1F8C0D08"/>
    <w:rsid w:val="1FE868A9"/>
    <w:rsid w:val="1FF6699B"/>
    <w:rsid w:val="20034907"/>
    <w:rsid w:val="20173E4B"/>
    <w:rsid w:val="204E48BC"/>
    <w:rsid w:val="208921B3"/>
    <w:rsid w:val="20973DEB"/>
    <w:rsid w:val="20B26522"/>
    <w:rsid w:val="20B44310"/>
    <w:rsid w:val="211116EB"/>
    <w:rsid w:val="216133FC"/>
    <w:rsid w:val="21D56769"/>
    <w:rsid w:val="21E52EF3"/>
    <w:rsid w:val="21FB5D7B"/>
    <w:rsid w:val="2203156E"/>
    <w:rsid w:val="220B1C3D"/>
    <w:rsid w:val="221D1D20"/>
    <w:rsid w:val="22263728"/>
    <w:rsid w:val="22334A87"/>
    <w:rsid w:val="22BE6801"/>
    <w:rsid w:val="22C93F3C"/>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C2DC3"/>
    <w:rsid w:val="258B00E2"/>
    <w:rsid w:val="25A73490"/>
    <w:rsid w:val="25A917A6"/>
    <w:rsid w:val="25BE27CC"/>
    <w:rsid w:val="25F74A5C"/>
    <w:rsid w:val="2628662C"/>
    <w:rsid w:val="262D45DE"/>
    <w:rsid w:val="26A53EF9"/>
    <w:rsid w:val="26A94201"/>
    <w:rsid w:val="26AC274F"/>
    <w:rsid w:val="27044A29"/>
    <w:rsid w:val="271D34C8"/>
    <w:rsid w:val="276142BF"/>
    <w:rsid w:val="27783712"/>
    <w:rsid w:val="278D5D9A"/>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35C87"/>
    <w:rsid w:val="2B357971"/>
    <w:rsid w:val="2B437463"/>
    <w:rsid w:val="2B7807EE"/>
    <w:rsid w:val="2BBA5C59"/>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9223F"/>
    <w:rsid w:val="2F0A6B38"/>
    <w:rsid w:val="2F946CCB"/>
    <w:rsid w:val="2FD25781"/>
    <w:rsid w:val="2FE835F7"/>
    <w:rsid w:val="2FFD7934"/>
    <w:rsid w:val="303C72DE"/>
    <w:rsid w:val="30733ACD"/>
    <w:rsid w:val="308C3862"/>
    <w:rsid w:val="309379D8"/>
    <w:rsid w:val="30A270F7"/>
    <w:rsid w:val="30DF1478"/>
    <w:rsid w:val="30EC586F"/>
    <w:rsid w:val="31817AC8"/>
    <w:rsid w:val="31847808"/>
    <w:rsid w:val="319C6071"/>
    <w:rsid w:val="31AC537E"/>
    <w:rsid w:val="31E3679B"/>
    <w:rsid w:val="31E732FD"/>
    <w:rsid w:val="32517576"/>
    <w:rsid w:val="32BE5C2C"/>
    <w:rsid w:val="32D61E6F"/>
    <w:rsid w:val="32FB6478"/>
    <w:rsid w:val="33263B3F"/>
    <w:rsid w:val="336963EB"/>
    <w:rsid w:val="33816EEB"/>
    <w:rsid w:val="33EB55CD"/>
    <w:rsid w:val="33EC4C02"/>
    <w:rsid w:val="340D2360"/>
    <w:rsid w:val="3410665D"/>
    <w:rsid w:val="34176317"/>
    <w:rsid w:val="34211214"/>
    <w:rsid w:val="342E63AB"/>
    <w:rsid w:val="34547172"/>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DB7303"/>
    <w:rsid w:val="36EC0CC9"/>
    <w:rsid w:val="373F410B"/>
    <w:rsid w:val="37EE7094"/>
    <w:rsid w:val="38274953"/>
    <w:rsid w:val="38296C89"/>
    <w:rsid w:val="383002EB"/>
    <w:rsid w:val="384D79BF"/>
    <w:rsid w:val="38586797"/>
    <w:rsid w:val="38BA2E26"/>
    <w:rsid w:val="38BC0149"/>
    <w:rsid w:val="38D87D1C"/>
    <w:rsid w:val="38E56AE8"/>
    <w:rsid w:val="3937482D"/>
    <w:rsid w:val="39636459"/>
    <w:rsid w:val="396B7F6C"/>
    <w:rsid w:val="39B417A9"/>
    <w:rsid w:val="39FC5695"/>
    <w:rsid w:val="3A006D8E"/>
    <w:rsid w:val="3A04577A"/>
    <w:rsid w:val="3A3651E5"/>
    <w:rsid w:val="3A744481"/>
    <w:rsid w:val="3A8C7BEF"/>
    <w:rsid w:val="3A906246"/>
    <w:rsid w:val="3B2349B7"/>
    <w:rsid w:val="3B616CFF"/>
    <w:rsid w:val="3B6259F6"/>
    <w:rsid w:val="3B976654"/>
    <w:rsid w:val="3BC01EFC"/>
    <w:rsid w:val="3BCA786A"/>
    <w:rsid w:val="3BD31E2F"/>
    <w:rsid w:val="3BF15831"/>
    <w:rsid w:val="3C105946"/>
    <w:rsid w:val="3C2D50AF"/>
    <w:rsid w:val="3C471448"/>
    <w:rsid w:val="3C5F759A"/>
    <w:rsid w:val="3C6C525A"/>
    <w:rsid w:val="3CCE23CB"/>
    <w:rsid w:val="3CD17D17"/>
    <w:rsid w:val="3CD27C94"/>
    <w:rsid w:val="3CF53382"/>
    <w:rsid w:val="3D3C7F39"/>
    <w:rsid w:val="3D440F09"/>
    <w:rsid w:val="3D4504A0"/>
    <w:rsid w:val="3D8734BB"/>
    <w:rsid w:val="3D9A11D4"/>
    <w:rsid w:val="3DA16D89"/>
    <w:rsid w:val="3DA364BE"/>
    <w:rsid w:val="3DC11833"/>
    <w:rsid w:val="3DDF6F52"/>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86D36"/>
    <w:rsid w:val="4019356B"/>
    <w:rsid w:val="40592157"/>
    <w:rsid w:val="406E1CAE"/>
    <w:rsid w:val="40A0133A"/>
    <w:rsid w:val="40C31A53"/>
    <w:rsid w:val="40FF545D"/>
    <w:rsid w:val="410067C8"/>
    <w:rsid w:val="418F0D2A"/>
    <w:rsid w:val="41D01505"/>
    <w:rsid w:val="423C78C9"/>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B7D84"/>
    <w:rsid w:val="449101DD"/>
    <w:rsid w:val="44DE1391"/>
    <w:rsid w:val="451B225C"/>
    <w:rsid w:val="452410C9"/>
    <w:rsid w:val="45317DFB"/>
    <w:rsid w:val="456D3CE4"/>
    <w:rsid w:val="4579042C"/>
    <w:rsid w:val="457F0571"/>
    <w:rsid w:val="45851176"/>
    <w:rsid w:val="45C63B94"/>
    <w:rsid w:val="45F06C66"/>
    <w:rsid w:val="460E7DA5"/>
    <w:rsid w:val="46422483"/>
    <w:rsid w:val="464265D3"/>
    <w:rsid w:val="4659254A"/>
    <w:rsid w:val="465B0637"/>
    <w:rsid w:val="465E3F0D"/>
    <w:rsid w:val="466A16E6"/>
    <w:rsid w:val="46893F2B"/>
    <w:rsid w:val="46C4686E"/>
    <w:rsid w:val="472201AF"/>
    <w:rsid w:val="476B7AF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02816"/>
    <w:rsid w:val="497654FD"/>
    <w:rsid w:val="49B64211"/>
    <w:rsid w:val="49D159B1"/>
    <w:rsid w:val="49F6167F"/>
    <w:rsid w:val="4A064FA0"/>
    <w:rsid w:val="4A0E7B5D"/>
    <w:rsid w:val="4A16615C"/>
    <w:rsid w:val="4A4424D7"/>
    <w:rsid w:val="4A5652F9"/>
    <w:rsid w:val="4AB82D0F"/>
    <w:rsid w:val="4AEB7664"/>
    <w:rsid w:val="4AFD7C19"/>
    <w:rsid w:val="4B0567D1"/>
    <w:rsid w:val="4B236AAE"/>
    <w:rsid w:val="4B707271"/>
    <w:rsid w:val="4B9739F7"/>
    <w:rsid w:val="4BEE2503"/>
    <w:rsid w:val="4C245A30"/>
    <w:rsid w:val="4CB35816"/>
    <w:rsid w:val="4CB6685F"/>
    <w:rsid w:val="4CC367FE"/>
    <w:rsid w:val="4D077F3C"/>
    <w:rsid w:val="4D0E4287"/>
    <w:rsid w:val="4D123355"/>
    <w:rsid w:val="4D2A3B31"/>
    <w:rsid w:val="4D312C52"/>
    <w:rsid w:val="4D905305"/>
    <w:rsid w:val="4D943C89"/>
    <w:rsid w:val="4D964A72"/>
    <w:rsid w:val="4D9C1254"/>
    <w:rsid w:val="4E135A76"/>
    <w:rsid w:val="4E31336E"/>
    <w:rsid w:val="4E344577"/>
    <w:rsid w:val="4E793892"/>
    <w:rsid w:val="4E800872"/>
    <w:rsid w:val="4E862163"/>
    <w:rsid w:val="4EC569ED"/>
    <w:rsid w:val="4ED50EA1"/>
    <w:rsid w:val="4EEC050C"/>
    <w:rsid w:val="4F104EC3"/>
    <w:rsid w:val="4F47354A"/>
    <w:rsid w:val="4F603595"/>
    <w:rsid w:val="4F911C54"/>
    <w:rsid w:val="4FA0611E"/>
    <w:rsid w:val="4FE625E0"/>
    <w:rsid w:val="5021480F"/>
    <w:rsid w:val="5064009D"/>
    <w:rsid w:val="50962ECB"/>
    <w:rsid w:val="50A42E38"/>
    <w:rsid w:val="50A4577F"/>
    <w:rsid w:val="50B73D1F"/>
    <w:rsid w:val="50BD5BC9"/>
    <w:rsid w:val="50C11EEE"/>
    <w:rsid w:val="50E97CFC"/>
    <w:rsid w:val="50FA4028"/>
    <w:rsid w:val="510D65B7"/>
    <w:rsid w:val="511157AB"/>
    <w:rsid w:val="5142540C"/>
    <w:rsid w:val="517F4E2C"/>
    <w:rsid w:val="518832C8"/>
    <w:rsid w:val="51A0432A"/>
    <w:rsid w:val="51A86090"/>
    <w:rsid w:val="51B7396D"/>
    <w:rsid w:val="522E4CC3"/>
    <w:rsid w:val="5244713B"/>
    <w:rsid w:val="52615633"/>
    <w:rsid w:val="52977FD4"/>
    <w:rsid w:val="52A25790"/>
    <w:rsid w:val="52A96B6F"/>
    <w:rsid w:val="52B45975"/>
    <w:rsid w:val="52D94AA4"/>
    <w:rsid w:val="52E50CA9"/>
    <w:rsid w:val="52EA3A62"/>
    <w:rsid w:val="52F50BB8"/>
    <w:rsid w:val="53097272"/>
    <w:rsid w:val="531559C4"/>
    <w:rsid w:val="53544462"/>
    <w:rsid w:val="5397158E"/>
    <w:rsid w:val="53A63603"/>
    <w:rsid w:val="54013861"/>
    <w:rsid w:val="54487265"/>
    <w:rsid w:val="544D6070"/>
    <w:rsid w:val="54605E1E"/>
    <w:rsid w:val="54B3506A"/>
    <w:rsid w:val="54CA0D16"/>
    <w:rsid w:val="54DD4057"/>
    <w:rsid w:val="54E7490F"/>
    <w:rsid w:val="550764A4"/>
    <w:rsid w:val="550B2BF6"/>
    <w:rsid w:val="55214EB5"/>
    <w:rsid w:val="55364EFD"/>
    <w:rsid w:val="55506783"/>
    <w:rsid w:val="555D4828"/>
    <w:rsid w:val="557A4C8B"/>
    <w:rsid w:val="558931E1"/>
    <w:rsid w:val="55923347"/>
    <w:rsid w:val="55925180"/>
    <w:rsid w:val="55983B1B"/>
    <w:rsid w:val="55A8376B"/>
    <w:rsid w:val="55DC29B6"/>
    <w:rsid w:val="55DD4241"/>
    <w:rsid w:val="5661168A"/>
    <w:rsid w:val="566B6D1E"/>
    <w:rsid w:val="57032A2C"/>
    <w:rsid w:val="57090C4E"/>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72D0E"/>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E07344"/>
    <w:rsid w:val="5CED62A1"/>
    <w:rsid w:val="5D0C4701"/>
    <w:rsid w:val="5D0F0395"/>
    <w:rsid w:val="5D221076"/>
    <w:rsid w:val="5D337C97"/>
    <w:rsid w:val="5D397964"/>
    <w:rsid w:val="5D5A391C"/>
    <w:rsid w:val="5D5F10C0"/>
    <w:rsid w:val="5D891B7B"/>
    <w:rsid w:val="5DAD38EE"/>
    <w:rsid w:val="5E006862"/>
    <w:rsid w:val="5E0207B9"/>
    <w:rsid w:val="5E1834A1"/>
    <w:rsid w:val="5E261785"/>
    <w:rsid w:val="5E4A7017"/>
    <w:rsid w:val="5E552BBA"/>
    <w:rsid w:val="5E611C10"/>
    <w:rsid w:val="5E6F4DA2"/>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6652C"/>
    <w:rsid w:val="624F3E49"/>
    <w:rsid w:val="62632286"/>
    <w:rsid w:val="626A3683"/>
    <w:rsid w:val="62885958"/>
    <w:rsid w:val="62F40B65"/>
    <w:rsid w:val="62FC2CFE"/>
    <w:rsid w:val="63024505"/>
    <w:rsid w:val="635B1DB5"/>
    <w:rsid w:val="63711FED"/>
    <w:rsid w:val="63880DDC"/>
    <w:rsid w:val="638D750D"/>
    <w:rsid w:val="63AC6CC0"/>
    <w:rsid w:val="64055776"/>
    <w:rsid w:val="641C36AA"/>
    <w:rsid w:val="64240056"/>
    <w:rsid w:val="643E143A"/>
    <w:rsid w:val="64474C9F"/>
    <w:rsid w:val="644C3310"/>
    <w:rsid w:val="648B6EEF"/>
    <w:rsid w:val="64C158BF"/>
    <w:rsid w:val="64CE2EAA"/>
    <w:rsid w:val="653C3090"/>
    <w:rsid w:val="655E6B60"/>
    <w:rsid w:val="65854376"/>
    <w:rsid w:val="658767BE"/>
    <w:rsid w:val="65892531"/>
    <w:rsid w:val="66195831"/>
    <w:rsid w:val="662E75B1"/>
    <w:rsid w:val="66342C2E"/>
    <w:rsid w:val="663E784C"/>
    <w:rsid w:val="668B6A45"/>
    <w:rsid w:val="66A77A21"/>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0E7CD9"/>
    <w:rsid w:val="693316FD"/>
    <w:rsid w:val="693E15D3"/>
    <w:rsid w:val="69627681"/>
    <w:rsid w:val="6977531D"/>
    <w:rsid w:val="69803744"/>
    <w:rsid w:val="69CC2BFF"/>
    <w:rsid w:val="69FD55B8"/>
    <w:rsid w:val="6A0B1C62"/>
    <w:rsid w:val="6A2406C8"/>
    <w:rsid w:val="6ADE0BD1"/>
    <w:rsid w:val="6AE96859"/>
    <w:rsid w:val="6B147746"/>
    <w:rsid w:val="6B24787C"/>
    <w:rsid w:val="6B573233"/>
    <w:rsid w:val="6B5B6274"/>
    <w:rsid w:val="6B935D53"/>
    <w:rsid w:val="6B9D79D6"/>
    <w:rsid w:val="6C196F71"/>
    <w:rsid w:val="6C226FCB"/>
    <w:rsid w:val="6C31226F"/>
    <w:rsid w:val="6C552F0B"/>
    <w:rsid w:val="6C762E7E"/>
    <w:rsid w:val="6C8C67B7"/>
    <w:rsid w:val="6C9D744C"/>
    <w:rsid w:val="6CBC288D"/>
    <w:rsid w:val="6D167928"/>
    <w:rsid w:val="6D26299B"/>
    <w:rsid w:val="6D4772EC"/>
    <w:rsid w:val="6D9078AF"/>
    <w:rsid w:val="6DAA3FEF"/>
    <w:rsid w:val="6DC0172B"/>
    <w:rsid w:val="6DCB690C"/>
    <w:rsid w:val="6DD41A5B"/>
    <w:rsid w:val="6DF43C2E"/>
    <w:rsid w:val="6DF51CA3"/>
    <w:rsid w:val="6E6301BA"/>
    <w:rsid w:val="6E8335BD"/>
    <w:rsid w:val="6E864C83"/>
    <w:rsid w:val="6E8E12EF"/>
    <w:rsid w:val="6E972936"/>
    <w:rsid w:val="6ED446C5"/>
    <w:rsid w:val="6F2A7D94"/>
    <w:rsid w:val="6F8331F1"/>
    <w:rsid w:val="6FAE1A09"/>
    <w:rsid w:val="6FD75BF8"/>
    <w:rsid w:val="6FE85032"/>
    <w:rsid w:val="707723D0"/>
    <w:rsid w:val="70E770F8"/>
    <w:rsid w:val="70F5661B"/>
    <w:rsid w:val="71360107"/>
    <w:rsid w:val="713B688E"/>
    <w:rsid w:val="71CB3C00"/>
    <w:rsid w:val="71D43752"/>
    <w:rsid w:val="71F1796A"/>
    <w:rsid w:val="72154626"/>
    <w:rsid w:val="72262B5D"/>
    <w:rsid w:val="72283FF7"/>
    <w:rsid w:val="722E7212"/>
    <w:rsid w:val="723A0474"/>
    <w:rsid w:val="725923E4"/>
    <w:rsid w:val="72864BF7"/>
    <w:rsid w:val="729023FC"/>
    <w:rsid w:val="72C87D13"/>
    <w:rsid w:val="73C0646E"/>
    <w:rsid w:val="742222F5"/>
    <w:rsid w:val="74476126"/>
    <w:rsid w:val="74706664"/>
    <w:rsid w:val="747F3682"/>
    <w:rsid w:val="749C4185"/>
    <w:rsid w:val="75067759"/>
    <w:rsid w:val="752E6DCD"/>
    <w:rsid w:val="7551380D"/>
    <w:rsid w:val="75600BE5"/>
    <w:rsid w:val="7564475C"/>
    <w:rsid w:val="7583797F"/>
    <w:rsid w:val="75B63877"/>
    <w:rsid w:val="75D20F1D"/>
    <w:rsid w:val="75DA2C18"/>
    <w:rsid w:val="75F54412"/>
    <w:rsid w:val="761D08E0"/>
    <w:rsid w:val="765D347C"/>
    <w:rsid w:val="76826699"/>
    <w:rsid w:val="76C87133"/>
    <w:rsid w:val="76CD08D5"/>
    <w:rsid w:val="76CE2EB9"/>
    <w:rsid w:val="76DB4B92"/>
    <w:rsid w:val="77052AA4"/>
    <w:rsid w:val="7707213F"/>
    <w:rsid w:val="77136511"/>
    <w:rsid w:val="77340A39"/>
    <w:rsid w:val="77351FD0"/>
    <w:rsid w:val="77472422"/>
    <w:rsid w:val="777F31F2"/>
    <w:rsid w:val="77A967D7"/>
    <w:rsid w:val="77D1700D"/>
    <w:rsid w:val="77DD0896"/>
    <w:rsid w:val="77EC04CC"/>
    <w:rsid w:val="78775729"/>
    <w:rsid w:val="78A42DB0"/>
    <w:rsid w:val="78A656AB"/>
    <w:rsid w:val="78B2245C"/>
    <w:rsid w:val="78E172CC"/>
    <w:rsid w:val="78EA1D1F"/>
    <w:rsid w:val="7904172F"/>
    <w:rsid w:val="790F7E27"/>
    <w:rsid w:val="792A231A"/>
    <w:rsid w:val="79316829"/>
    <w:rsid w:val="79554C6E"/>
    <w:rsid w:val="797E66A9"/>
    <w:rsid w:val="79A97383"/>
    <w:rsid w:val="79AF21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5ED6"/>
    <w:rsid w:val="7DB57A34"/>
    <w:rsid w:val="7DE60973"/>
    <w:rsid w:val="7DEF0916"/>
    <w:rsid w:val="7E1C3D8A"/>
    <w:rsid w:val="7E1E5218"/>
    <w:rsid w:val="7E9A4E1F"/>
    <w:rsid w:val="7EA7723A"/>
    <w:rsid w:val="7EF56FBB"/>
    <w:rsid w:val="7F0768EB"/>
    <w:rsid w:val="7F143BEC"/>
    <w:rsid w:val="7F2F7D85"/>
    <w:rsid w:val="7F4E7F9A"/>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uto"/>
      <w:ind w:firstLine="482" w:firstLineChars="200"/>
    </w:pPr>
    <w:rPr>
      <w:rFonts w:ascii="Times New Roman" w:hAnsi="Times New Roman" w:eastAsia="仿宋" w:cs="Times New Roman"/>
      <w:kern w:val="2"/>
      <w:sz w:val="24"/>
      <w:szCs w:val="24"/>
      <w:lang w:val="en-US" w:eastAsia="zh-CN" w:bidi="ar-SA"/>
    </w:rPr>
  </w:style>
  <w:style w:type="paragraph" w:styleId="3">
    <w:name w:val="heading 1"/>
    <w:basedOn w:val="1"/>
    <w:next w:val="1"/>
    <w:link w:val="288"/>
    <w:autoRedefine/>
    <w:qFormat/>
    <w:uiPriority w:val="9"/>
    <w:pPr>
      <w:keepNext/>
      <w:keepLines/>
      <w:tabs>
        <w:tab w:val="left" w:pos="432"/>
      </w:tabs>
      <w:spacing w:before="340" w:after="330"/>
      <w:ind w:firstLine="0" w:firstLineChars="0"/>
      <w:outlineLvl w:val="0"/>
    </w:pPr>
    <w:rPr>
      <w:bCs/>
      <w:kern w:val="44"/>
      <w:sz w:val="32"/>
      <w:szCs w:val="44"/>
    </w:rPr>
  </w:style>
  <w:style w:type="paragraph" w:styleId="2">
    <w:name w:val="heading 2"/>
    <w:basedOn w:val="1"/>
    <w:next w:val="1"/>
    <w:link w:val="964"/>
    <w:autoRedefine/>
    <w:qFormat/>
    <w:uiPriority w:val="0"/>
    <w:pPr>
      <w:keepNext/>
      <w:keepLines/>
      <w:tabs>
        <w:tab w:val="left" w:pos="432"/>
      </w:tabs>
      <w:adjustRightInd/>
      <w:outlineLvl w:val="1"/>
    </w:pPr>
    <w:rPr>
      <w:rFonts w:ascii="仿宋_GB2312" w:hAnsi="仿宋_GB2312"/>
      <w:b/>
      <w:bCs/>
      <w:szCs w:val="32"/>
      <w:lang w:val="zh-CN"/>
    </w:rPr>
  </w:style>
  <w:style w:type="paragraph" w:styleId="4">
    <w:name w:val="heading 3"/>
    <w:basedOn w:val="1"/>
    <w:next w:val="1"/>
    <w:link w:val="969"/>
    <w:autoRedefine/>
    <w:qFormat/>
    <w:uiPriority w:val="0"/>
    <w:pPr>
      <w:keepNext/>
      <w:keepLines/>
      <w:tabs>
        <w:tab w:val="left" w:pos="900"/>
      </w:tabs>
      <w:ind w:hanging="720"/>
      <w:outlineLvl w:val="2"/>
    </w:pPr>
    <w:rPr>
      <w:b/>
      <w:bCs/>
      <w:szCs w:val="32"/>
    </w:rPr>
  </w:style>
  <w:style w:type="paragraph" w:styleId="5">
    <w:name w:val="heading 4"/>
    <w:basedOn w:val="4"/>
    <w:next w:val="1"/>
    <w:link w:val="332"/>
    <w:qFormat/>
    <w:uiPriority w:val="0"/>
    <w:pPr>
      <w:keepNext/>
      <w:keepLines/>
      <w:tabs>
        <w:tab w:val="left" w:pos="864"/>
        <w:tab w:val="clear" w:pos="900"/>
      </w:tabs>
      <w:jc w:val="left"/>
      <w:outlineLvl w:val="3"/>
    </w:pPr>
    <w:rPr>
      <w:rFonts w:ascii="Arial" w:hAnsi="Arial"/>
      <w:szCs w:val="28"/>
      <w:lang w:val="zh-CN"/>
    </w:rPr>
  </w:style>
  <w:style w:type="paragraph" w:styleId="6">
    <w:name w:val="heading 5"/>
    <w:basedOn w:val="7"/>
    <w:next w:val="1"/>
    <w:link w:val="298"/>
    <w:autoRedefine/>
    <w:qFormat/>
    <w:uiPriority w:val="0"/>
    <w:pPr>
      <w:keepNext/>
      <w:keepLines/>
      <w:tabs>
        <w:tab w:val="left" w:pos="1008"/>
      </w:tabs>
      <w:jc w:val="left"/>
      <w:outlineLvl w:val="4"/>
    </w:pPr>
    <w:rPr>
      <w:bCs/>
      <w:szCs w:val="28"/>
    </w:rPr>
  </w:style>
  <w:style w:type="paragraph" w:styleId="8">
    <w:name w:val="heading 6"/>
    <w:basedOn w:val="1"/>
    <w:next w:val="1"/>
    <w:link w:val="152"/>
    <w:autoRedefine/>
    <w:qFormat/>
    <w:uiPriority w:val="0"/>
    <w:pPr>
      <w:keepNext/>
      <w:keepLines/>
      <w:tabs>
        <w:tab w:val="left" w:pos="1152"/>
      </w:tabs>
      <w:spacing w:before="50" w:beforeLines="50" w:after="100" w:afterLines="100"/>
      <w:ind w:firstLine="0" w:firstLineChars="0"/>
      <w:jc w:val="center"/>
      <w:outlineLvl w:val="5"/>
    </w:pPr>
    <w:rPr>
      <w:rFonts w:ascii="Arial" w:hAnsi="Arial"/>
      <w:b/>
      <w:sz w:val="32"/>
    </w:rPr>
  </w:style>
  <w:style w:type="paragraph" w:styleId="9">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7">
    <w:name w:val="Title"/>
    <w:basedOn w:val="1"/>
    <w:link w:val="291"/>
    <w:autoRedefine/>
    <w:qFormat/>
    <w:uiPriority w:val="10"/>
    <w:pPr>
      <w:widowControl/>
      <w:overflowPunct w:val="0"/>
      <w:autoSpaceDE w:val="0"/>
      <w:autoSpaceDN w:val="0"/>
      <w:jc w:val="center"/>
      <w:textAlignment w:val="baseline"/>
    </w:pPr>
    <w:rPr>
      <w:b/>
      <w:kern w:val="0"/>
      <w:szCs w:val="20"/>
      <w:lang w:val="en-GB"/>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pPr>
    <w:rPr>
      <w:kern w:val="0"/>
      <w:szCs w:val="20"/>
    </w:rPr>
  </w:style>
  <w:style w:type="paragraph" w:styleId="14">
    <w:name w:val="List Bullet 4"/>
    <w:basedOn w:val="15"/>
    <w:next w:val="15"/>
    <w:autoRedefine/>
    <w:unhideWhenUsed/>
    <w:qFormat/>
    <w:uiPriority w:val="99"/>
    <w:pPr>
      <w:widowControl/>
      <w:tabs>
        <w:tab w:val="left" w:pos="432"/>
        <w:tab w:val="right" w:leader="dot" w:pos="8268"/>
      </w:tabs>
      <w:adjustRightInd/>
      <w:ind w:firstLine="0" w:firstLineChars="0"/>
      <w:contextualSpacing/>
      <w:jc w:val="center"/>
    </w:pPr>
    <w:rPr>
      <w:rFonts w:ascii="Cambria" w:hAnsi="Cambria" w:eastAsia="仿宋"/>
      <w:color w:val="595959"/>
      <w:kern w:val="20"/>
      <w:lang w:val="zh-CN"/>
    </w:rPr>
  </w:style>
  <w:style w:type="paragraph" w:customStyle="1" w:styleId="15">
    <w:name w:val="正文1"/>
    <w:basedOn w:val="16"/>
    <w:autoRedefine/>
    <w:qFormat/>
    <w:uiPriority w:val="0"/>
    <w:pPr>
      <w:tabs>
        <w:tab w:val="right" w:leader="dot" w:pos="8268"/>
      </w:tabs>
      <w:ind w:left="0" w:leftChars="0" w:firstLine="480"/>
    </w:pPr>
    <w:rPr>
      <w:rFonts w:ascii="仿宋_GB2312" w:hAnsi="Courier New" w:eastAsia="仿宋_GB2312"/>
      <w:kern w:val="28"/>
    </w:rPr>
  </w:style>
  <w:style w:type="paragraph" w:styleId="16">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17">
    <w:name w:val="List Number"/>
    <w:basedOn w:val="1"/>
    <w:autoRedefine/>
    <w:qFormat/>
    <w:uiPriority w:val="0"/>
    <w:pPr>
      <w:widowControl/>
      <w:tabs>
        <w:tab w:val="left" w:pos="390"/>
        <w:tab w:val="left" w:pos="454"/>
      </w:tabs>
      <w:adjustRightInd/>
      <w:spacing w:after="156" w:afterLines="50"/>
      <w:ind w:left="454" w:hanging="284"/>
    </w:pPr>
    <w:rPr>
      <w:kern w:val="0"/>
      <w:szCs w:val="20"/>
    </w:rPr>
  </w:style>
  <w:style w:type="paragraph" w:styleId="18">
    <w:name w:val="Normal Indent"/>
    <w:basedOn w:val="1"/>
    <w:next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4"/>
    <w:autoRedefine/>
    <w:qFormat/>
    <w:uiPriority w:val="0"/>
    <w:rPr>
      <w:b/>
      <w:sz w:val="28"/>
      <w:szCs w:val="20"/>
    </w:rPr>
  </w:style>
  <w:style w:type="paragraph" w:styleId="20">
    <w:name w:val="index 5"/>
    <w:basedOn w:val="1"/>
    <w:next w:val="1"/>
    <w:autoRedefine/>
    <w:qFormat/>
    <w:uiPriority w:val="0"/>
    <w:pPr>
      <w:adjustRightInd/>
      <w:ind w:left="800" w:leftChars="800" w:firstLine="200"/>
    </w:pPr>
  </w:style>
  <w:style w:type="paragraph" w:styleId="21">
    <w:name w:val="Document Map"/>
    <w:basedOn w:val="1"/>
    <w:link w:val="207"/>
    <w:autoRedefine/>
    <w:qFormat/>
    <w:uiPriority w:val="0"/>
    <w:pPr>
      <w:shd w:val="clear" w:color="auto" w:fill="000080"/>
    </w:pPr>
  </w:style>
  <w:style w:type="paragraph" w:styleId="22">
    <w:name w:val="annotation text"/>
    <w:basedOn w:val="1"/>
    <w:link w:val="349"/>
    <w:autoRedefine/>
    <w:qFormat/>
    <w:uiPriority w:val="99"/>
  </w:style>
  <w:style w:type="paragraph" w:styleId="23">
    <w:name w:val="Salutation"/>
    <w:basedOn w:val="1"/>
    <w:next w:val="1"/>
    <w:link w:val="303"/>
    <w:autoRedefine/>
    <w:qFormat/>
    <w:uiPriority w:val="0"/>
    <w:rPr>
      <w:rFonts w:ascii="仿宋_GB2312" w:eastAsia="仿宋_GB2312"/>
      <w:sz w:val="28"/>
      <w:szCs w:val="20"/>
    </w:rPr>
  </w:style>
  <w:style w:type="paragraph" w:styleId="24">
    <w:name w:val="Body Text 3"/>
    <w:basedOn w:val="1"/>
    <w:link w:val="335"/>
    <w:autoRedefine/>
    <w:qFormat/>
    <w:uiPriority w:val="0"/>
    <w:pPr>
      <w:jc w:val="center"/>
    </w:pPr>
    <w:rPr>
      <w:szCs w:val="20"/>
    </w:rPr>
  </w:style>
  <w:style w:type="paragraph" w:styleId="25">
    <w:name w:val="List Bullet 3"/>
    <w:basedOn w:val="1"/>
    <w:autoRedefine/>
    <w:unhideWhenUsed/>
    <w:qFormat/>
    <w:uiPriority w:val="0"/>
    <w:pPr>
      <w:snapToGrid w:val="0"/>
      <w:ind w:left="360" w:right="238" w:hanging="360"/>
      <w:contextualSpacing/>
    </w:pPr>
  </w:style>
  <w:style w:type="paragraph" w:styleId="26">
    <w:name w:val="Body Text"/>
    <w:basedOn w:val="1"/>
    <w:next w:val="27"/>
    <w:link w:val="435"/>
    <w:autoRedefine/>
    <w:qFormat/>
    <w:uiPriority w:val="0"/>
    <w:pPr>
      <w:autoSpaceDE w:val="0"/>
      <w:autoSpaceDN w:val="0"/>
      <w:ind w:firstLine="0" w:firstLineChars="0"/>
    </w:pPr>
    <w:rPr>
      <w:rFonts w:ascii="宋体" w:hAnsi="宋体" w:cs="Arial"/>
      <w:snapToGrid w:val="0"/>
      <w:szCs w:val="21"/>
      <w:lang w:val="zh-CN"/>
    </w:rPr>
  </w:style>
  <w:style w:type="paragraph" w:styleId="27">
    <w:name w:val="Body Text 2"/>
    <w:basedOn w:val="1"/>
    <w:link w:val="307"/>
    <w:autoRedefine/>
    <w:qFormat/>
    <w:uiPriority w:val="0"/>
    <w:pPr>
      <w:spacing w:after="120" w:line="480" w:lineRule="auto"/>
    </w:pPr>
  </w:style>
  <w:style w:type="paragraph" w:styleId="28">
    <w:name w:val="Body Text Indent"/>
    <w:basedOn w:val="1"/>
    <w:next w:val="1"/>
    <w:link w:val="270"/>
    <w:autoRedefine/>
    <w:qFormat/>
    <w:uiPriority w:val="0"/>
    <w:pPr>
      <w:spacing w:line="480" w:lineRule="exact"/>
      <w:ind w:firstLine="480"/>
    </w:pPr>
    <w:rPr>
      <w:rFonts w:ascii="宋体" w:hAnsi="宋体"/>
    </w:rPr>
  </w:style>
  <w:style w:type="paragraph" w:styleId="29">
    <w:name w:val="List Number 3"/>
    <w:basedOn w:val="1"/>
    <w:autoRedefine/>
    <w:qFormat/>
    <w:uiPriority w:val="0"/>
    <w:pPr>
      <w:widowControl/>
      <w:tabs>
        <w:tab w:val="left" w:pos="360"/>
        <w:tab w:val="left" w:pos="482"/>
      </w:tabs>
      <w:adjustRightInd/>
      <w:spacing w:after="156" w:afterLines="50"/>
      <w:ind w:left="482" w:hanging="340"/>
    </w:pPr>
    <w:rPr>
      <w:kern w:val="0"/>
      <w:szCs w:val="20"/>
    </w:rPr>
  </w:style>
  <w:style w:type="paragraph" w:styleId="30">
    <w:name w:val="List 2"/>
    <w:basedOn w:val="1"/>
    <w:autoRedefine/>
    <w:qFormat/>
    <w:uiPriority w:val="0"/>
    <w:pPr>
      <w:adjustRightInd/>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pPr>
    <w:rPr>
      <w:rFonts w:ascii="宋体" w:hAnsi="宋体"/>
      <w:color w:val="000000"/>
      <w:kern w:val="0"/>
      <w:szCs w:val="20"/>
    </w:rPr>
  </w:style>
  <w:style w:type="paragraph" w:styleId="33">
    <w:name w:val="HTML Address"/>
    <w:basedOn w:val="1"/>
    <w:link w:val="224"/>
    <w:autoRedefine/>
    <w:qFormat/>
    <w:uiPriority w:val="0"/>
    <w:pPr>
      <w:widowControl/>
      <w:adjustRightInd/>
      <w:ind w:firstLine="200"/>
    </w:pPr>
    <w:rPr>
      <w:rFonts w:ascii="宋体" w:hAnsi="宋体"/>
      <w:i/>
      <w:iCs/>
      <w:kern w:val="0"/>
    </w:rPr>
  </w:style>
  <w:style w:type="paragraph" w:styleId="34">
    <w:name w:val="toc 5"/>
    <w:basedOn w:val="1"/>
    <w:next w:val="1"/>
    <w:autoRedefine/>
    <w:qFormat/>
    <w:uiPriority w:val="0"/>
    <w:pPr>
      <w:ind w:left="1680" w:leftChars="800"/>
    </w:pPr>
  </w:style>
  <w:style w:type="paragraph" w:styleId="35">
    <w:name w:val="Plain Text"/>
    <w:basedOn w:val="1"/>
    <w:link w:val="130"/>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7">
    <w:name w:val="toc 8"/>
    <w:basedOn w:val="1"/>
    <w:next w:val="1"/>
    <w:autoRedefine/>
    <w:qFormat/>
    <w:uiPriority w:val="0"/>
    <w:pPr>
      <w:ind w:left="2940" w:leftChars="1400"/>
    </w:pPr>
  </w:style>
  <w:style w:type="paragraph" w:styleId="38">
    <w:name w:val="Date"/>
    <w:basedOn w:val="1"/>
    <w:next w:val="1"/>
    <w:link w:val="186"/>
    <w:autoRedefine/>
    <w:qFormat/>
    <w:uiPriority w:val="0"/>
    <w:pPr>
      <w:ind w:left="100" w:leftChars="2500"/>
    </w:pPr>
    <w:rPr>
      <w:rFonts w:ascii="宋体"/>
      <w:szCs w:val="21"/>
      <w:lang w:val="zh-CN"/>
    </w:rPr>
  </w:style>
  <w:style w:type="paragraph" w:styleId="39">
    <w:name w:val="Body Text Indent 2"/>
    <w:basedOn w:val="1"/>
    <w:next w:val="1"/>
    <w:link w:val="313"/>
    <w:autoRedefine/>
    <w:qFormat/>
    <w:uiPriority w:val="0"/>
    <w:pPr>
      <w:ind w:firstLine="0" w:firstLineChars="0"/>
      <w:jc w:val="center"/>
      <w:textAlignment w:val="baseline"/>
    </w:pPr>
    <w:rPr>
      <w:rFonts w:ascii="宋体" w:hAnsi="宋体"/>
      <w:b/>
      <w:kern w:val="0"/>
      <w:sz w:val="36"/>
      <w:szCs w:val="20"/>
    </w:rPr>
  </w:style>
  <w:style w:type="paragraph" w:styleId="40">
    <w:name w:val="endnote text"/>
    <w:basedOn w:val="1"/>
    <w:link w:val="932"/>
    <w:autoRedefine/>
    <w:qFormat/>
    <w:uiPriority w:val="0"/>
    <w:rPr>
      <w:lang w:val="zh-CN"/>
    </w:rPr>
  </w:style>
  <w:style w:type="paragraph" w:styleId="41">
    <w:name w:val="Balloon Text"/>
    <w:basedOn w:val="1"/>
    <w:link w:val="193"/>
    <w:autoRedefine/>
    <w:qFormat/>
    <w:uiPriority w:val="0"/>
    <w:rPr>
      <w:sz w:val="18"/>
      <w:szCs w:val="18"/>
    </w:rPr>
  </w:style>
  <w:style w:type="paragraph" w:styleId="42">
    <w:name w:val="footer"/>
    <w:basedOn w:val="1"/>
    <w:link w:val="388"/>
    <w:autoRedefine/>
    <w:qFormat/>
    <w:uiPriority w:val="99"/>
    <w:pPr>
      <w:tabs>
        <w:tab w:val="center" w:pos="4153"/>
        <w:tab w:val="right" w:pos="8306"/>
      </w:tabs>
      <w:snapToGrid w:val="0"/>
    </w:pPr>
    <w:rPr>
      <w:sz w:val="18"/>
      <w:szCs w:val="18"/>
    </w:rPr>
  </w:style>
  <w:style w:type="paragraph" w:styleId="43">
    <w:name w:val="header"/>
    <w:basedOn w:val="1"/>
    <w:link w:val="397"/>
    <w:autoRedefine/>
    <w:qFormat/>
    <w:uiPriority w:val="99"/>
    <w:pPr>
      <w:pBdr>
        <w:bottom w:val="single" w:color="auto" w:sz="6" w:space="1"/>
      </w:pBdr>
      <w:tabs>
        <w:tab w:val="center" w:pos="4153"/>
        <w:tab w:val="right" w:pos="8306"/>
      </w:tabs>
      <w:snapToGrid w:val="0"/>
      <w:spacing w:line="240" w:lineRule="auto"/>
      <w:ind w:firstLine="0" w:firstLineChars="0"/>
      <w:jc w:val="right"/>
    </w:pPr>
    <w:rPr>
      <w:sz w:val="18"/>
      <w:szCs w:val="18"/>
    </w:rPr>
  </w:style>
  <w:style w:type="paragraph" w:styleId="44">
    <w:name w:val="Signature"/>
    <w:basedOn w:val="1"/>
    <w:link w:val="350"/>
    <w:autoRedefine/>
    <w:qFormat/>
    <w:uiPriority w:val="0"/>
    <w:pPr>
      <w:spacing w:after="600" w:line="312" w:lineRule="atLeast"/>
      <w:jc w:val="center"/>
      <w:textAlignment w:val="baseline"/>
    </w:pPr>
    <w:rPr>
      <w:rFonts w:eastAsia="仿宋_GB2312"/>
      <w:kern w:val="0"/>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pPr>
  </w:style>
  <w:style w:type="paragraph" w:styleId="48">
    <w:name w:val="index 1"/>
    <w:basedOn w:val="1"/>
    <w:next w:val="1"/>
    <w:autoRedefine/>
    <w:qFormat/>
    <w:uiPriority w:val="0"/>
    <w:pPr>
      <w:adjustRightInd/>
      <w:ind w:firstLine="200"/>
      <w:jc w:val="center"/>
    </w:pPr>
    <w:rPr>
      <w:szCs w:val="20"/>
    </w:rPr>
  </w:style>
  <w:style w:type="paragraph" w:styleId="49">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Cs w:val="20"/>
    </w:rPr>
  </w:style>
  <w:style w:type="paragraph" w:styleId="51">
    <w:name w:val="List"/>
    <w:basedOn w:val="1"/>
    <w:autoRedefine/>
    <w:qFormat/>
    <w:uiPriority w:val="0"/>
    <w:pPr>
      <w:ind w:left="200" w:hanging="200" w:hangingChars="200"/>
    </w:pPr>
  </w:style>
  <w:style w:type="paragraph" w:styleId="52">
    <w:name w:val="footnote text"/>
    <w:basedOn w:val="18"/>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0"/>
    <w:autoRedefine/>
    <w:qFormat/>
    <w:uiPriority w:val="0"/>
    <w:pPr>
      <w:ind w:firstLine="420"/>
    </w:pPr>
    <w:rPr>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pPr>
    <w:rPr>
      <w:rFonts w:ascii="宋体" w:hAnsi="宋体"/>
      <w:kern w:val="0"/>
    </w:rPr>
  </w:style>
  <w:style w:type="paragraph" w:styleId="60">
    <w:name w:val="annotation subject"/>
    <w:basedOn w:val="22"/>
    <w:next w:val="22"/>
    <w:link w:val="101"/>
    <w:autoRedefine/>
    <w:qFormat/>
    <w:uiPriority w:val="0"/>
    <w:rPr>
      <w:b/>
      <w:bCs/>
    </w:rPr>
  </w:style>
  <w:style w:type="paragraph" w:styleId="61">
    <w:name w:val="Body Text First Indent"/>
    <w:basedOn w:val="26"/>
    <w:link w:val="326"/>
    <w:autoRedefine/>
    <w:qFormat/>
    <w:uiPriority w:val="0"/>
    <w:pPr>
      <w:ind w:firstLine="420"/>
    </w:pPr>
    <w:rPr>
      <w:rFonts w:hAnsi="Calibri" w:cs="Times New Roman"/>
      <w:snapToGrid/>
      <w:szCs w:val="20"/>
    </w:rPr>
  </w:style>
  <w:style w:type="paragraph" w:styleId="62">
    <w:name w:val="Body Text First Indent 2"/>
    <w:basedOn w:val="28"/>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本文正文"/>
    <w:basedOn w:val="1"/>
    <w:autoRedefine/>
    <w:qFormat/>
    <w:uiPriority w:val="0"/>
    <w:pPr>
      <w:ind w:firstLine="1040"/>
    </w:pPr>
    <w:rPr>
      <w:rFonts w:ascii="Calibri" w:hAnsi="Calibri"/>
      <w:sz w:val="28"/>
    </w:rPr>
  </w:style>
  <w:style w:type="paragraph" w:customStyle="1" w:styleId="83">
    <w:name w:val="列出段落1"/>
    <w:basedOn w:val="1"/>
    <w:next w:val="1"/>
    <w:autoRedefine/>
    <w:qFormat/>
    <w:uiPriority w:val="0"/>
    <w:pPr>
      <w:adjustRightInd/>
      <w:ind w:firstLine="420"/>
    </w:pPr>
    <w:rPr>
      <w:rFonts w:ascii="Calibri" w:hAnsi="Calibri"/>
      <w:szCs w:val="22"/>
    </w:rPr>
  </w:style>
  <w:style w:type="paragraph" w:customStyle="1" w:styleId="84">
    <w:name w:val="表格 内容"/>
    <w:basedOn w:val="85"/>
    <w:autoRedefine/>
    <w:qFormat/>
    <w:uiPriority w:val="0"/>
    <w:pPr>
      <w:spacing w:line="240" w:lineRule="auto"/>
      <w:ind w:firstLine="0" w:firstLineChars="0"/>
      <w:jc w:val="left"/>
    </w:pPr>
    <w:rPr>
      <w:rFonts w:hAnsi="微软雅黑" w:eastAsia="仿宋"/>
      <w:b w:val="0"/>
      <w:sz w:val="24"/>
    </w:rPr>
  </w:style>
  <w:style w:type="paragraph" w:customStyle="1" w:styleId="85">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86">
    <w:name w:val="表内文字"/>
    <w:basedOn w:val="1"/>
    <w:next w:val="1"/>
    <w:autoRedefine/>
    <w:qFormat/>
    <w:uiPriority w:val="0"/>
    <w:pPr>
      <w:tabs>
        <w:tab w:val="left" w:pos="1418"/>
      </w:tabs>
      <w:adjustRightInd w:val="0"/>
      <w:snapToGrid w:val="0"/>
      <w:ind w:firstLine="0" w:firstLineChars="0"/>
      <w:jc w:val="center"/>
    </w:pPr>
    <w:rPr>
      <w:rFonts w:ascii="仿宋_GB2312" w:hAnsi="仿宋_GB2312"/>
      <w:spacing w:val="-20"/>
      <w:kern w:val="0"/>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pPr>
    <w:rPr>
      <w:rFonts w:ascii="宋体" w:hAnsi="宋体"/>
      <w:kern w:val="0"/>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pPr>
    <w:rPr>
      <w:kern w:val="0"/>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Char1"/>
    <w:link w:val="60"/>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ind w:firstLine="200"/>
    </w:pPr>
    <w:rPr>
      <w:rFonts w:ascii="宋体" w:hAnsi="宋体"/>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ind w:firstLine="566" w:firstLineChars="202"/>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Char"/>
    <w:link w:val="62"/>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ind w:firstLine="510"/>
    </w:pPr>
    <w:rPr>
      <w:szCs w:val="20"/>
    </w:rPr>
  </w:style>
  <w:style w:type="character" w:customStyle="1" w:styleId="137">
    <w:name w:val="Char Char24"/>
    <w:autoRedefine/>
    <w:qFormat/>
    <w:uiPriority w:val="6"/>
    <w:rPr>
      <w:kern w:val="1"/>
      <w:sz w:val="21"/>
    </w:rPr>
  </w:style>
  <w:style w:type="character" w:customStyle="1" w:styleId="138">
    <w:name w:val="副标题 Char"/>
    <w:link w:val="49"/>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Char"/>
    <w:link w:val="8"/>
    <w:autoRedefine/>
    <w:qFormat/>
    <w:uiPriority w:val="0"/>
    <w:rPr>
      <w:rFonts w:ascii="Arial" w:hAnsi="Arial" w:eastAsia="仿宋"/>
      <w:b/>
      <w:bCs/>
      <w:kern w:val="2"/>
      <w:sz w:val="32"/>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2"/>
    <w:link w:val="175"/>
    <w:autoRedefine/>
    <w:qFormat/>
    <w:uiPriority w:val="0"/>
    <w:pPr>
      <w:snapToGrid w:val="0"/>
      <w:spacing w:before="240" w:after="240" w:line="240" w:lineRule="auto"/>
      <w:ind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Char"/>
    <w:link w:val="38"/>
    <w:autoRedefine/>
    <w:qFormat/>
    <w:uiPriority w:val="0"/>
    <w:rPr>
      <w:rFonts w:ascii="宋体"/>
      <w:kern w:val="2"/>
      <w:sz w:val="24"/>
      <w:szCs w:val="21"/>
      <w:lang w:val="zh-CN"/>
    </w:rPr>
  </w:style>
  <w:style w:type="character" w:customStyle="1" w:styleId="187">
    <w:name w:val="标题 9 Char"/>
    <w:link w:val="11"/>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Char"/>
    <w:link w:val="41"/>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ind w:firstLine="480"/>
    </w:pPr>
    <w:rPr>
      <w:rFonts w:ascii="Tahoma" w:hAnsi="Tahoma"/>
      <w:kern w:val="0"/>
    </w:rPr>
  </w:style>
  <w:style w:type="character" w:customStyle="1" w:styleId="198">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Char1"/>
    <w:link w:val="21"/>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Char"/>
    <w:link w:val="33"/>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5"/>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ind w:firstLine="480"/>
    </w:pPr>
    <w:rPr>
      <w:rFonts w:ascii="宋体" w:hAnsi="宋体"/>
      <w:color w:val="000000"/>
      <w:kern w:val="0"/>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Char"/>
    <w:link w:val="19"/>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仿宋_GB2312" w:eastAsia="仿宋_GB2312" w:cs="仿宋_GB2312"/>
      <w:color w:val="000000"/>
      <w:sz w:val="24"/>
      <w:szCs w:val="24"/>
      <w:lang w:val="en-US" w:eastAsia="zh-CN" w:bidi="ar-SA"/>
    </w:rPr>
  </w:style>
  <w:style w:type="paragraph" w:customStyle="1" w:styleId="240">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ind w:firstLine="480"/>
    </w:pPr>
    <w:rPr>
      <w:kern w:val="0"/>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ind w:firstLine="480"/>
    </w:pPr>
    <w:rPr>
      <w:rFonts w:ascii="宋体" w:hAnsi="宋体"/>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ind w:left="720" w:firstLine="200"/>
    </w:pPr>
    <w:rPr>
      <w:kern w:val="0"/>
      <w:szCs w:val="20"/>
      <w:lang w:eastAsia="en-US"/>
    </w:rPr>
  </w:style>
  <w:style w:type="paragraph" w:styleId="263">
    <w:name w:val="List Paragraph"/>
    <w:basedOn w:val="1"/>
    <w:autoRedefine/>
    <w:qFormat/>
    <w:uiPriority w:val="34"/>
    <w:pPr>
      <w:ind w:firstLine="200"/>
    </w:pPr>
    <w:rPr>
      <w:rFonts w:eastAsia="楷体_GB2312" w:cs="Lucida Sans"/>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28"/>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ind w:firstLine="200"/>
    </w:p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Char"/>
    <w:link w:val="3"/>
    <w:autoRedefine/>
    <w:qFormat/>
    <w:uiPriority w:val="9"/>
    <w:rPr>
      <w:rFonts w:eastAsia="仿宋"/>
      <w:b/>
      <w:bCs/>
      <w:kern w:val="44"/>
      <w:sz w:val="32"/>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Char2"/>
    <w:link w:val="7"/>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Char"/>
    <w:link w:val="6"/>
    <w:autoRedefine/>
    <w:qFormat/>
    <w:uiPriority w:val="9"/>
    <w:rPr>
      <w:rFonts w:eastAsia="仿宋"/>
      <w:b/>
      <w:bCs/>
      <w:kern w:val="2"/>
      <w:sz w:val="24"/>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Char"/>
    <w:link w:val="23"/>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Char"/>
    <w:link w:val="58"/>
    <w:autoRedefine/>
    <w:qFormat/>
    <w:uiPriority w:val="0"/>
    <w:rPr>
      <w:rFonts w:ascii="黑体" w:hAnsi="Courier New" w:eastAsia="黑体"/>
    </w:rPr>
  </w:style>
  <w:style w:type="character" w:customStyle="1" w:styleId="307">
    <w:name w:val="正文文本 2 Char1"/>
    <w:link w:val="2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5"/>
    <w:link w:val="418"/>
    <w:autoRedefine/>
    <w:qFormat/>
    <w:uiPriority w:val="0"/>
    <w:pPr>
      <w:tabs>
        <w:tab w:val="left" w:pos="2356"/>
        <w:tab w:val="clear" w:pos="864"/>
      </w:tabs>
      <w:adjustRightInd/>
      <w:ind w:left="1984" w:leftChars="75" w:hanging="708"/>
    </w:pPr>
    <w:rPr>
      <w:rFonts w:ascii="微软雅黑" w:hAnsi="微软雅黑" w:eastAsia="微软雅黑"/>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Char"/>
    <w:link w:val="9"/>
    <w:autoRedefine/>
    <w:qFormat/>
    <w:uiPriority w:val="0"/>
    <w:rPr>
      <w:b/>
      <w:bCs/>
      <w:kern w:val="2"/>
      <w:sz w:val="24"/>
      <w:szCs w:val="24"/>
    </w:rPr>
  </w:style>
  <w:style w:type="character" w:customStyle="1" w:styleId="313">
    <w:name w:val="正文文本缩进 2 Char"/>
    <w:link w:val="39"/>
    <w:autoRedefine/>
    <w:qFormat/>
    <w:uiPriority w:val="0"/>
    <w:rPr>
      <w:rFonts w:ascii="宋体" w:hAnsi="宋体" w:eastAsia="仿宋"/>
      <w:b/>
      <w:sz w:val="36"/>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Char"/>
    <w:link w:val="52"/>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Char"/>
    <w:link w:val="61"/>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Char2"/>
    <w:link w:val="5"/>
    <w:autoRedefine/>
    <w:qFormat/>
    <w:uiPriority w:val="9"/>
    <w:rPr>
      <w:rFonts w:ascii="Arial" w:hAnsi="Arial" w:eastAsia="仿宋"/>
      <w:b/>
      <w:bCs/>
      <w:kern w:val="2"/>
      <w:sz w:val="24"/>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Char"/>
    <w:link w:val="24"/>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pPr>
    <w:rPr>
      <w:kern w:val="0"/>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pPr>
    <w:rPr>
      <w:kern w:val="0"/>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Char1"/>
    <w:link w:val="22"/>
    <w:autoRedefine/>
    <w:qFormat/>
    <w:uiPriority w:val="0"/>
    <w:rPr>
      <w:kern w:val="2"/>
      <w:sz w:val="21"/>
      <w:szCs w:val="24"/>
    </w:rPr>
  </w:style>
  <w:style w:type="character" w:customStyle="1" w:styleId="350">
    <w:name w:val="签名 Char"/>
    <w:link w:val="44"/>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ind w:firstLine="360"/>
    </w:pPr>
    <w:rPr>
      <w:rFonts w:ascii="仿宋_GB2312" w:eastAsia="仿宋_GB2312"/>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0"/>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Char"/>
    <w:link w:val="55"/>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Char2"/>
    <w:link w:val="42"/>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ind w:firstLine="480"/>
    </w:pPr>
    <w:rPr>
      <w:rFonts w:ascii="宋体" w:hAnsi="宋体"/>
      <w:kern w:val="0"/>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Char2"/>
    <w:link w:val="43"/>
    <w:autoRedefine/>
    <w:qFormat/>
    <w:uiPriority w:val="99"/>
    <w:rPr>
      <w:rFonts w:eastAsia="仿宋"/>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pPr>
    <w:rPr>
      <w:kern w:val="0"/>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ind w:firstLine="480"/>
    </w:pPr>
    <w:rPr>
      <w:rFonts w:ascii="宋体" w:hAnsi="宋体"/>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ind w:left="432" w:hanging="432"/>
    </w:pPr>
    <w:rPr>
      <w:rFonts w:ascii="Arial" w:hAnsi="Arial"/>
      <w:kern w:val="0"/>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ind w:firstLine="480"/>
    </w:pPr>
    <w:rPr>
      <w:rFonts w:ascii="仿宋_GB2312" w:eastAsia="仿宋_GB2312"/>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0"/>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18"/>
    <w:link w:val="433"/>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5">
    <w:name w:val="正文文本 Char1"/>
    <w:link w:val="26"/>
    <w:autoRedefine/>
    <w:qFormat/>
    <w:uiPriority w:val="0"/>
    <w:rPr>
      <w:rFonts w:ascii="宋体" w:hAnsi="宋体" w:eastAsia="仿宋" w:cs="Arial"/>
      <w:snapToGrid w:val="0"/>
      <w:kern w:val="2"/>
      <w:sz w:val="24"/>
      <w:szCs w:val="21"/>
      <w:lang w:val="zh-CN" w:eastAsia="zh-CN" w:bidi="ar-SA"/>
    </w:rPr>
  </w:style>
  <w:style w:type="character" w:customStyle="1" w:styleId="436">
    <w:name w:val="gray6"/>
    <w:basedOn w:val="70"/>
    <w:autoRedefine/>
    <w:qFormat/>
    <w:uiPriority w:val="0"/>
    <w:rPr>
      <w:rFonts w:ascii="Arial" w:hAnsi="Arial" w:eastAsia="黑体" w:cs="Arial"/>
      <w:snapToGrid w:val="0"/>
      <w:kern w:val="0"/>
      <w:szCs w:val="21"/>
    </w:rPr>
  </w:style>
  <w:style w:type="character" w:customStyle="1" w:styleId="437">
    <w:name w:val="hui"/>
    <w:basedOn w:val="70"/>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2">
    <w:name w:val="表格标题1"/>
    <w:basedOn w:val="1"/>
    <w:autoRedefine/>
    <w:qFormat/>
    <w:uiPriority w:val="0"/>
    <w:pPr>
      <w:adjustRightInd/>
      <w:jc w:val="center"/>
    </w:pPr>
    <w:rPr>
      <w:rFonts w:ascii="宋体" w:hAnsi="宋体" w:cs="宋体"/>
      <w:b/>
      <w:bCs/>
      <w:color w:val="000000"/>
      <w:szCs w:val="21"/>
    </w:rPr>
  </w:style>
  <w:style w:type="paragraph" w:customStyle="1" w:styleId="443">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jc w:val="center"/>
    </w:pPr>
    <w:rPr>
      <w:rFonts w:ascii="宋体" w:hAnsi="宋体" w:cs="宋体"/>
      <w:b/>
      <w:bCs/>
      <w:szCs w:val="20"/>
    </w:rPr>
  </w:style>
  <w:style w:type="paragraph" w:customStyle="1" w:styleId="446">
    <w:name w:val="标题4_自定义"/>
    <w:basedOn w:val="5"/>
    <w:autoRedefine/>
    <w:qFormat/>
    <w:uiPriority w:val="0"/>
    <w:pPr>
      <w:adjustRightInd/>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szCs w:val="20"/>
    </w:rPr>
  </w:style>
  <w:style w:type="paragraph" w:customStyle="1" w:styleId="451">
    <w:name w:val="reader-word-layer"/>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pPr>
    <w:rPr>
      <w:rFonts w:ascii="Tahoma" w:hAnsi="Tahoma"/>
      <w:szCs w:val="20"/>
    </w:rPr>
  </w:style>
  <w:style w:type="paragraph" w:customStyle="1" w:styleId="458">
    <w:name w:val="style82 f9a f9a f9a"/>
    <w:basedOn w:val="1"/>
    <w:autoRedefine/>
    <w:qFormat/>
    <w:uiPriority w:val="0"/>
    <w:pPr>
      <w:widowControl/>
      <w:spacing w:before="100" w:beforeAutospacing="1" w:after="100" w:afterAutospacing="1" w:line="276" w:lineRule="auto"/>
    </w:pPr>
    <w:rPr>
      <w:rFonts w:ascii="宋体" w:hAnsi="宋体"/>
      <w:kern w:val="0"/>
      <w:szCs w:val="20"/>
    </w:rPr>
  </w:style>
  <w:style w:type="paragraph" w:customStyle="1" w:styleId="459">
    <w:name w:val="正文 编号"/>
    <w:basedOn w:val="1"/>
    <w:autoRedefine/>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460">
    <w:name w:val="Char Char Char Char Char Char Char Char"/>
    <w:basedOn w:val="1"/>
    <w:autoRedefine/>
    <w:qFormat/>
    <w:uiPriority w:val="0"/>
    <w:pPr>
      <w:tabs>
        <w:tab w:val="left" w:pos="360"/>
      </w:tabs>
    </w:pPr>
    <w:rPr>
      <w:szCs w:val="20"/>
    </w:rPr>
  </w:style>
  <w:style w:type="paragraph" w:customStyle="1" w:styleId="461">
    <w:name w:val="Char Char11 Char Char Char"/>
    <w:basedOn w:val="1"/>
    <w:autoRedefine/>
    <w:qFormat/>
    <w:uiPriority w:val="0"/>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312"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rPr>
  </w:style>
  <w:style w:type="paragraph" w:customStyle="1" w:styleId="467">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8">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ind w:firstLine="510"/>
    </w:pPr>
    <w:rPr>
      <w:szCs w:val="20"/>
    </w:rPr>
  </w:style>
  <w:style w:type="paragraph" w:customStyle="1" w:styleId="471">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6">
    <w:name w:val="样式 宋体 行距: 1.5 倍行距 首行缩进:  2 字符"/>
    <w:basedOn w:val="1"/>
    <w:autoRedefine/>
    <w:qFormat/>
    <w:uiPriority w:val="0"/>
    <w:pPr>
      <w:adjustRightInd/>
      <w:ind w:firstLine="420"/>
    </w:pPr>
    <w:rPr>
      <w:rFonts w:ascii="宋体" w:hAnsi="宋体"/>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spacing w:before="0" w:after="0"/>
      <w:outlineLvl w:val="5"/>
    </w:pPr>
  </w:style>
  <w:style w:type="paragraph" w:customStyle="1" w:styleId="479">
    <w:name w:val="5级标题"/>
    <w:basedOn w:val="480"/>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pPr>
    <w:rPr>
      <w:sz w:val="28"/>
      <w:szCs w:val="20"/>
      <w:lang w:eastAsia="zh-TW"/>
    </w:rPr>
  </w:style>
  <w:style w:type="paragraph" w:customStyle="1" w:styleId="482">
    <w:name w:val="Char2 Char Char"/>
    <w:basedOn w:val="1"/>
    <w:autoRedefine/>
    <w:qFormat/>
    <w:uiPriority w:val="0"/>
    <w:pPr>
      <w:adjustRightInd/>
    </w:pPr>
    <w:rPr>
      <w:rFonts w:ascii="Tahoma" w:hAnsi="Tahoma"/>
      <w:szCs w:val="20"/>
    </w:rPr>
  </w:style>
  <w:style w:type="paragraph" w:customStyle="1" w:styleId="483">
    <w:name w:val="_Style 11"/>
    <w:basedOn w:val="1"/>
    <w:autoRedefine/>
    <w:qFormat/>
    <w:uiPriority w:val="34"/>
    <w:pPr>
      <w:adjustRightInd/>
      <w:ind w:firstLine="42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485">
    <w:name w:val="Char Char Char"/>
    <w:basedOn w:val="1"/>
    <w:autoRedefine/>
    <w:qFormat/>
    <w:uiPriority w:val="0"/>
    <w:rPr>
      <w:rFonts w:ascii="Tahoma" w:hAnsi="Tahoma"/>
      <w:szCs w:val="20"/>
    </w:rPr>
  </w:style>
  <w:style w:type="paragraph" w:customStyle="1" w:styleId="486">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3"/>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92">
    <w:name w:val="Char Char1 Char1"/>
    <w:basedOn w:val="1"/>
    <w:autoRedefine/>
    <w:qFormat/>
    <w:uiPriority w:val="6"/>
    <w:pPr>
      <w:widowControl/>
      <w:snapToGrid w:val="0"/>
      <w:spacing w:before="120" w:after="160"/>
      <w:ind w:right="-360"/>
    </w:pPr>
    <w:rPr>
      <w:rFonts w:ascii="Arial" w:hAnsi="Arial"/>
      <w:kern w:val="0"/>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pPr>
    <w:rPr>
      <w:rFonts w:ascii="Arial" w:hAnsi="Arial"/>
      <w:color w:val="000000"/>
      <w:kern w:val="0"/>
      <w:sz w:val="28"/>
      <w:szCs w:val="28"/>
    </w:rPr>
  </w:style>
  <w:style w:type="paragraph" w:customStyle="1" w:styleId="494">
    <w:name w:val="MM Topic 2"/>
    <w:basedOn w:val="2"/>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3"/>
    <w:next w:val="1"/>
    <w:autoRedefine/>
    <w:qFormat/>
    <w:uiPriority w:val="0"/>
    <w:pPr>
      <w:adjustRightInd/>
      <w:spacing w:before="480" w:after="0" w:line="276" w:lineRule="auto"/>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pPr>
    <w:rPr>
      <w:rFonts w:ascii="Calibri" w:hAnsi="Calibri"/>
      <w:szCs w:val="22"/>
    </w:rPr>
  </w:style>
  <w:style w:type="paragraph" w:customStyle="1" w:styleId="499">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4"/>
    <w:next w:val="1"/>
    <w:autoRedefine/>
    <w:qFormat/>
    <w:uiPriority w:val="0"/>
    <w:pPr>
      <w:spacing w:line="240" w:lineRule="auto"/>
    </w:pPr>
    <w:rPr>
      <w:sz w:val="28"/>
      <w:szCs w:val="28"/>
    </w:rPr>
  </w:style>
  <w:style w:type="paragraph" w:customStyle="1" w:styleId="502">
    <w:name w:val="FA正文"/>
    <w:basedOn w:val="1"/>
    <w:autoRedefine/>
    <w:qFormat/>
    <w:uiPriority w:val="0"/>
    <w:pPr>
      <w:ind w:firstLine="480"/>
    </w:pPr>
    <w:rPr>
      <w:rFonts w:hAnsi="宋体"/>
      <w:szCs w:val="20"/>
    </w:rPr>
  </w:style>
  <w:style w:type="paragraph" w:customStyle="1" w:styleId="503">
    <w:name w:val="MM Topic 5"/>
    <w:basedOn w:val="6"/>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jc w:val="center"/>
    </w:pPr>
    <w:rPr>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2">
    <w:name w:val="MM Topic 3"/>
    <w:basedOn w:val="4"/>
    <w:autoRedefine/>
    <w:qFormat/>
    <w:uiPriority w:val="0"/>
    <w:pPr>
      <w:tabs>
        <w:tab w:val="left" w:pos="1680"/>
      </w:tabs>
      <w:adjustRightInd/>
      <w:ind w:left="1680" w:hanging="420"/>
    </w:pPr>
  </w:style>
  <w:style w:type="paragraph" w:customStyle="1" w:styleId="513">
    <w:name w:val="标准小四"/>
    <w:basedOn w:val="1"/>
    <w:autoRedefine/>
    <w:qFormat/>
    <w:uiPriority w:val="0"/>
    <w:pPr>
      <w:ind w:firstLine="480"/>
    </w:pPr>
    <w:rPr>
      <w:rFonts w:ascii="Arial" w:hAnsi="Arial"/>
      <w:szCs w:val="21"/>
    </w:rPr>
  </w:style>
  <w:style w:type="paragraph" w:customStyle="1" w:styleId="514">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szCs w:val="21"/>
    </w:rPr>
  </w:style>
  <w:style w:type="paragraph" w:customStyle="1" w:styleId="516">
    <w:name w:val="Char Char Char Char Char Char1 Char"/>
    <w:basedOn w:val="1"/>
    <w:autoRedefine/>
    <w:qFormat/>
    <w:uiPriority w:val="0"/>
    <w:pPr>
      <w:widowControl/>
      <w:spacing w:after="160" w:line="240" w:lineRule="exac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Cs w:val="20"/>
    </w:rPr>
  </w:style>
  <w:style w:type="paragraph" w:customStyle="1" w:styleId="518">
    <w:name w:val="列出段落5"/>
    <w:basedOn w:val="1"/>
    <w:autoRedefine/>
    <w:qFormat/>
    <w:uiPriority w:val="0"/>
    <w:pPr>
      <w:ind w:firstLine="200"/>
    </w:pPr>
    <w:rPr>
      <w:rFonts w:eastAsia="楷体_GB2312" w:cs="Lucida Sans"/>
    </w:rPr>
  </w:style>
  <w:style w:type="paragraph" w:customStyle="1" w:styleId="519">
    <w:name w:val="font7"/>
    <w:basedOn w:val="1"/>
    <w:autoRedefine/>
    <w:qFormat/>
    <w:uiPriority w:val="0"/>
    <w:pPr>
      <w:widowControl/>
      <w:adjustRightInd/>
      <w:spacing w:before="100" w:beforeAutospacing="1" w:after="100" w:afterAutospacing="1"/>
      <w:ind w:firstLine="200"/>
    </w:pPr>
    <w:rPr>
      <w:kern w:val="0"/>
      <w:sz w:val="20"/>
      <w:szCs w:val="20"/>
    </w:rPr>
  </w:style>
  <w:style w:type="paragraph" w:customStyle="1" w:styleId="520">
    <w:name w:val="表格文字"/>
    <w:basedOn w:val="1"/>
    <w:next w:val="18"/>
    <w:autoRedefine/>
    <w:qFormat/>
    <w:uiPriority w:val="0"/>
    <w:pPr>
      <w:adjustRightInd/>
      <w:ind w:firstLine="200"/>
    </w:pPr>
    <w:rPr>
      <w:rFonts w:ascii="Arial" w:hAnsi="Arial"/>
      <w:spacing w:val="-5"/>
      <w:kern w:val="0"/>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autoRedefine/>
    <w:unhideWhenUsed/>
    <w:qFormat/>
    <w:uiPriority w:val="0"/>
    <w:pPr>
      <w:adjustRightInd/>
      <w:spacing w:before="480" w:after="0" w:line="276" w:lineRule="auto"/>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524">
    <w:name w:val="样式 左侧:  0.85 厘米 首行缩进:  0.85 厘米"/>
    <w:basedOn w:val="1"/>
    <w:autoRedefine/>
    <w:qFormat/>
    <w:uiPriority w:val="0"/>
    <w:pPr>
      <w:adjustRightInd/>
    </w:pPr>
    <w:rPr>
      <w:rFonts w:cs="宋体"/>
      <w:szCs w:val="20"/>
    </w:rPr>
  </w:style>
  <w:style w:type="paragraph" w:customStyle="1" w:styleId="525">
    <w:name w:val="Char3 Char Char"/>
    <w:basedOn w:val="1"/>
    <w:autoRedefine/>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526">
    <w:name w:val="_Style 3"/>
    <w:basedOn w:val="1"/>
    <w:autoRedefine/>
    <w:qFormat/>
    <w:uiPriority w:val="0"/>
    <w:pPr>
      <w:adjustRightInd/>
      <w:ind w:firstLine="42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8">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jc w:val="right"/>
    </w:pPr>
  </w:style>
  <w:style w:type="paragraph" w:customStyle="1" w:styleId="530">
    <w:name w:val="Char Char11 Char Char Char Char Char Char Char Char Char"/>
    <w:basedOn w:val="1"/>
    <w:autoRedefine/>
    <w:qFormat/>
    <w:uiPriority w:val="0"/>
    <w:rPr>
      <w:szCs w:val="20"/>
    </w:rPr>
  </w:style>
  <w:style w:type="paragraph" w:customStyle="1" w:styleId="531">
    <w:name w:val="正文1.25"/>
    <w:basedOn w:val="1"/>
    <w:autoRedefine/>
    <w:qFormat/>
    <w:uiPriority w:val="0"/>
    <w:pPr>
      <w:adjustRightInd/>
      <w:spacing w:line="300" w:lineRule="auto"/>
      <w:ind w:firstLine="480"/>
    </w:pPr>
    <w:rPr>
      <w:szCs w:val="20"/>
    </w:rPr>
  </w:style>
  <w:style w:type="paragraph" w:customStyle="1" w:styleId="532">
    <w:name w:val="1正文"/>
    <w:basedOn w:val="1"/>
    <w:autoRedefine/>
    <w:qFormat/>
    <w:uiPriority w:val="0"/>
    <w:pPr>
      <w:adjustRightInd/>
      <w:ind w:firstLine="200"/>
    </w:pPr>
    <w:rPr>
      <w:rFonts w:ascii="仿宋_GB2312" w:hAnsi="Arial"/>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pPr>
    <w:rPr>
      <w:rFonts w:ascii="宋体" w:hAnsi="宋体"/>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autoRedefine/>
    <w:qFormat/>
    <w:uiPriority w:val="0"/>
    <w:rPr>
      <w:rFonts w:cs="宋体"/>
      <w:szCs w:val="20"/>
    </w:rPr>
  </w:style>
  <w:style w:type="paragraph" w:customStyle="1" w:styleId="540">
    <w:name w:val="彩色列表 - 强调文字颜色 11"/>
    <w:basedOn w:val="1"/>
    <w:autoRedefine/>
    <w:qFormat/>
    <w:uiPriority w:val="0"/>
    <w:pPr>
      <w:adjustRightInd/>
      <w:ind w:firstLine="42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ind w:firstLine="422"/>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textAlignment w:val="top"/>
    </w:pPr>
    <w:rPr>
      <w:rFonts w:ascii="宋体" w:hAnsi="宋体"/>
      <w:kern w:val="0"/>
      <w:sz w:val="20"/>
      <w:szCs w:val="20"/>
    </w:rPr>
  </w:style>
  <w:style w:type="paragraph" w:customStyle="1" w:styleId="546">
    <w:name w:val="样式 标题 2 + 宋体 左侧:  1.76 厘米 首行缩进:  0 厘米"/>
    <w:basedOn w:val="2"/>
    <w:autoRedefine/>
    <w:qFormat/>
    <w:uiPriority w:val="0"/>
    <w:pPr>
      <w:tabs>
        <w:tab w:val="left" w:pos="0"/>
        <w:tab w:val="clear" w:pos="432"/>
      </w:tabs>
      <w:spacing w:before="260" w:after="260" w:line="415" w:lineRule="auto"/>
      <w:ind w:firstLine="200"/>
      <w:jc w:val="both"/>
    </w:pPr>
    <w:rPr>
      <w:rFonts w:ascii="宋体" w:hAnsi="Cambria" w:eastAsia="宋体" w:cs="宋体"/>
      <w:szCs w:val="20"/>
      <w:lang w:val="en-US"/>
    </w:rPr>
  </w:style>
  <w:style w:type="paragraph" w:customStyle="1" w:styleId="547">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8">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50">
    <w:name w:val="CM14"/>
    <w:basedOn w:val="240"/>
    <w:next w:val="240"/>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4">
    <w:name w:val="正文文字 2"/>
    <w:basedOn w:val="240"/>
    <w:next w:val="240"/>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558">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9">
    <w:name w:val="Char Char111"/>
    <w:basedOn w:val="1"/>
    <w:autoRedefine/>
    <w:qFormat/>
    <w:uiPriority w:val="0"/>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ind w:firstLine="200"/>
    </w:pPr>
    <w:rPr>
      <w:rFonts w:ascii="宋体" w:hAnsi="Calibri"/>
    </w:rPr>
  </w:style>
  <w:style w:type="paragraph" w:customStyle="1" w:styleId="565">
    <w:name w:val="正文格式"/>
    <w:basedOn w:val="1"/>
    <w:autoRedefine/>
    <w:qFormat/>
    <w:uiPriority w:val="0"/>
    <w:pPr>
      <w:widowControl/>
      <w:autoSpaceDE w:val="0"/>
      <w:autoSpaceDN w:val="0"/>
      <w:snapToGrid w:val="0"/>
      <w:spacing w:line="360" w:lineRule="atLeast"/>
      <w:ind w:firstLine="200"/>
      <w:textAlignment w:val="baseline"/>
    </w:pPr>
    <w:rPr>
      <w:kern w:val="0"/>
      <w:szCs w:val="20"/>
    </w:rPr>
  </w:style>
  <w:style w:type="paragraph" w:customStyle="1" w:styleId="566">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ind w:right="-360"/>
    </w:pPr>
    <w:rPr>
      <w:rFonts w:ascii="Arial" w:hAnsi="Arial"/>
      <w:kern w:val="0"/>
      <w:lang w:eastAsia="en-US"/>
    </w:rPr>
  </w:style>
  <w:style w:type="paragraph" w:customStyle="1" w:styleId="571">
    <w:name w:val="Char Char Char11"/>
    <w:basedOn w:val="1"/>
    <w:autoRedefine/>
    <w:qFormat/>
    <w:uiPriority w:val="0"/>
    <w:pPr>
      <w:widowControl/>
      <w:spacing w:after="160" w:line="240" w:lineRule="exac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pPr>
    <w:rPr>
      <w:rFonts w:ascii="宋体" w:hAnsi="宋体" w:cs="宋体"/>
      <w:kern w:val="0"/>
    </w:rPr>
  </w:style>
  <w:style w:type="paragraph" w:customStyle="1" w:styleId="576">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ind w:firstLine="420"/>
    </w:pPr>
    <w:rPr>
      <w:rFonts w:ascii="Calibri" w:hAnsi="Calibri"/>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8"/>
    <w:autoRedefine/>
    <w:qFormat/>
    <w:uiPriority w:val="0"/>
    <w:pPr>
      <w:widowControl/>
      <w:tabs>
        <w:tab w:val="left" w:pos="840"/>
      </w:tabs>
      <w:overflowPunct w:val="0"/>
      <w:autoSpaceDE w:val="0"/>
      <w:autoSpaceDN w:val="0"/>
      <w:spacing w:before="156" w:beforeLines="50" w:after="120" w:line="400" w:lineRule="exact"/>
      <w:ind w:left="200" w:leftChars="200" w:firstLine="200"/>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Cs w:val="20"/>
    </w:rPr>
  </w:style>
  <w:style w:type="paragraph" w:customStyle="1" w:styleId="589">
    <w:name w:val="标题五"/>
    <w:basedOn w:val="1"/>
    <w:autoRedefine/>
    <w:qFormat/>
    <w:uiPriority w:val="0"/>
    <w:pPr>
      <w:adjustRightInd/>
      <w:spacing w:before="156" w:beforeLines="50"/>
    </w:pPr>
    <w:rPr>
      <w:b/>
    </w:rPr>
  </w:style>
  <w:style w:type="paragraph" w:customStyle="1" w:styleId="590">
    <w:name w:val="Char Char1101"/>
    <w:basedOn w:val="1"/>
    <w:autoRedefine/>
    <w:qFormat/>
    <w:uiPriority w:val="0"/>
    <w:rPr>
      <w:rFonts w:ascii="Tahoma" w:hAnsi="Tahoma"/>
      <w:szCs w:val="20"/>
    </w:rPr>
  </w:style>
  <w:style w:type="paragraph" w:customStyle="1" w:styleId="591">
    <w:name w:val="Char Char Char Char Char Char Char Char1"/>
    <w:basedOn w:val="1"/>
    <w:autoRedefine/>
    <w:qFormat/>
    <w:uiPriority w:val="0"/>
    <w:pPr>
      <w:tabs>
        <w:tab w:val="left" w:pos="360"/>
      </w:tabs>
    </w:pPr>
    <w:rPr>
      <w:szCs w:val="20"/>
    </w:rPr>
  </w:style>
  <w:style w:type="paragraph" w:customStyle="1" w:styleId="592">
    <w:name w:val="Char Char Char 字元 字元"/>
    <w:basedOn w:val="1"/>
    <w:autoRedefine/>
    <w:qFormat/>
    <w:uiPriority w:val="0"/>
    <w:pPr>
      <w:adjustRightInd/>
      <w:ind w:firstLine="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597">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5"/>
    <w:autoRedefine/>
    <w:qFormat/>
    <w:uiPriority w:val="0"/>
    <w:pPr>
      <w:spacing w:line="460" w:lineRule="exact"/>
      <w:outlineLvl w:val="2"/>
    </w:pPr>
    <w:rPr>
      <w:rFonts w:ascii="仿宋_GB2312" w:hAnsi="宋体" w:eastAsia="仿宋_GB2312"/>
      <w:b/>
      <w:bCs/>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pPr>
    <w:rPr>
      <w:rFonts w:ascii="仿宋_GB2312" w:eastAsia="仿宋_GB2312"/>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pPr>
    <w:rPr>
      <w:rFonts w:ascii="宋体"/>
      <w:szCs w:val="20"/>
    </w:rPr>
  </w:style>
  <w:style w:type="paragraph" w:customStyle="1" w:styleId="607">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Cs w:val="20"/>
    </w:rPr>
  </w:style>
  <w:style w:type="paragraph" w:customStyle="1" w:styleId="609">
    <w:name w:val="正文文字表格居中"/>
    <w:basedOn w:val="1"/>
    <w:next w:val="27"/>
    <w:autoRedefine/>
    <w:qFormat/>
    <w:uiPriority w:val="0"/>
    <w:pPr>
      <w:snapToGrid w:val="0"/>
    </w:pPr>
    <w:rPr>
      <w:rFonts w:ascii="宋体"/>
      <w:b/>
      <w:szCs w:val="20"/>
    </w:rPr>
  </w:style>
  <w:style w:type="paragraph" w:customStyle="1" w:styleId="610">
    <w:name w:val="规划正文"/>
    <w:basedOn w:val="1"/>
    <w:autoRedefine/>
    <w:qFormat/>
    <w:uiPriority w:val="0"/>
    <w:pPr>
      <w:adjustRightInd/>
      <w:spacing w:before="312" w:beforeLines="100"/>
    </w:pPr>
    <w:rPr>
      <w:rFonts w:ascii="Arial" w:hAnsi="Arial" w:eastAsia="仿宋_GB2312"/>
      <w:bCs/>
      <w:sz w:val="28"/>
    </w:rPr>
  </w:style>
  <w:style w:type="paragraph" w:customStyle="1" w:styleId="611">
    <w:name w:val="小节"/>
    <w:basedOn w:val="4"/>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kern w:val="0"/>
      <w:sz w:val="20"/>
      <w:szCs w:val="20"/>
    </w:rPr>
  </w:style>
  <w:style w:type="paragraph" w:customStyle="1" w:styleId="615">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6">
    <w:name w:val="标题2"/>
    <w:basedOn w:val="2"/>
    <w:next w:val="1"/>
    <w:autoRedefine/>
    <w:qFormat/>
    <w:uiPriority w:val="0"/>
    <w:pPr>
      <w:tabs>
        <w:tab w:val="left" w:pos="578"/>
        <w:tab w:val="left" w:pos="900"/>
        <w:tab w:val="left" w:pos="1440"/>
      </w:tabs>
      <w:ind w:left="1440" w:hanging="360"/>
    </w:pPr>
    <w:rPr>
      <w:rFonts w:ascii="仿宋" w:cs="宋体"/>
      <w:bCs w:val="0"/>
      <w:szCs w:val="28"/>
    </w:rPr>
  </w:style>
  <w:style w:type="paragraph" w:customStyle="1" w:styleId="617">
    <w:name w:val="List Paragraph1"/>
    <w:basedOn w:val="1"/>
    <w:autoRedefine/>
    <w:qFormat/>
    <w:uiPriority w:val="0"/>
    <w:pPr>
      <w:ind w:firstLine="200"/>
    </w:pPr>
    <w:rPr>
      <w:rFonts w:eastAsia="楷体_GB2312" w:cs="Lucida Sans"/>
    </w:rPr>
  </w:style>
  <w:style w:type="paragraph" w:customStyle="1" w:styleId="618">
    <w:name w:val="样式 标题 3标题 3 Char第二层条h33Bold Headbh章标题1小标题level_3PIM 3..."/>
    <w:basedOn w:val="4"/>
    <w:autoRedefine/>
    <w:qFormat/>
    <w:uiPriority w:val="0"/>
    <w:pPr>
      <w:snapToGrid w:val="0"/>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21">
    <w:name w:val="Char3 Char Char Char"/>
    <w:basedOn w:val="1"/>
    <w:autoRedefine/>
    <w:qFormat/>
    <w:uiPriority w:val="0"/>
    <w:pPr>
      <w:widowControl/>
      <w:adjustRightInd/>
      <w:spacing w:after="160" w:line="240" w:lineRule="exac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pPr>
    <w:rPr>
      <w:rFonts w:ascii="Arial" w:hAnsi="Arial" w:eastAsia="Times New Roman" w:cs="Verdana"/>
      <w:b/>
      <w:kern w:val="0"/>
      <w:szCs w:val="20"/>
      <w:lang w:eastAsia="en-US"/>
    </w:rPr>
  </w:style>
  <w:style w:type="paragraph" w:customStyle="1" w:styleId="627">
    <w:name w:val="Char Char11 Char Char Char Char Char Char Char Char Char11"/>
    <w:basedOn w:val="1"/>
    <w:autoRedefine/>
    <w:qFormat/>
    <w:uiPriority w:val="0"/>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szCs w:val="20"/>
    </w:rPr>
  </w:style>
  <w:style w:type="paragraph" w:customStyle="1" w:styleId="629">
    <w:name w:val="样式  + 首行缩进:  2 字符"/>
    <w:basedOn w:val="1"/>
    <w:autoRedefine/>
    <w:qFormat/>
    <w:uiPriority w:val="0"/>
    <w:pPr>
      <w:adjustRightInd/>
      <w:spacing w:before="60" w:after="60"/>
      <w:ind w:firstLine="200"/>
    </w:pPr>
    <w:rPr>
      <w:sz w:val="28"/>
      <w:szCs w:val="20"/>
    </w:rPr>
  </w:style>
  <w:style w:type="paragraph" w:customStyle="1" w:styleId="630">
    <w:name w:val="MM Topic 1"/>
    <w:basedOn w:val="3"/>
    <w:autoRedefine/>
    <w:qFormat/>
    <w:uiPriority w:val="0"/>
    <w:pPr>
      <w:tabs>
        <w:tab w:val="left" w:pos="840"/>
      </w:tabs>
      <w:adjustRightInd/>
      <w:ind w:left="840" w:hanging="420"/>
    </w:pPr>
  </w:style>
  <w:style w:type="paragraph" w:customStyle="1" w:styleId="631">
    <w:name w:val="样式 标题 2标题2H2Heading 2 HiddenHeading 2 CCBSheading 22nd lev..."/>
    <w:basedOn w:val="2"/>
    <w:autoRedefine/>
    <w:qFormat/>
    <w:uiPriority w:val="0"/>
    <w:pPr>
      <w:widowControl/>
      <w:spacing w:before="260" w:after="260" w:line="416" w:lineRule="auto"/>
      <w:ind w:firstLine="0"/>
    </w:pPr>
    <w:rPr>
      <w:rFonts w:ascii="Arial" w:hAnsi="Arial" w:eastAsia="黑体"/>
      <w:sz w:val="30"/>
      <w:szCs w:val="21"/>
    </w:rPr>
  </w:style>
  <w:style w:type="paragraph" w:customStyle="1" w:styleId="632">
    <w:name w:val="文本正文 Char"/>
    <w:basedOn w:val="1"/>
    <w:autoRedefine/>
    <w:qFormat/>
    <w:uiPriority w:val="0"/>
    <w:pPr>
      <w:ind w:firstLine="200"/>
    </w:pPr>
    <w:rPr>
      <w:kern w:val="0"/>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5"/>
    <w:autoRedefine/>
    <w:qFormat/>
    <w:uiPriority w:val="0"/>
    <w:pPr>
      <w:keepLines w:val="0"/>
      <w:snapToGrid w:val="0"/>
      <w:spacing w:line="300" w:lineRule="auto"/>
    </w:pPr>
    <w:rPr>
      <w:rFonts w:ascii="Arial Narrow" w:hAnsi="Arial Narrow" w:eastAsia="仿宋_GB2312"/>
      <w:bCs w:val="0"/>
      <w:color w:val="00000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color w:val="000000"/>
      <w:kern w:val="0"/>
      <w:sz w:val="20"/>
      <w:szCs w:val="20"/>
    </w:rPr>
  </w:style>
  <w:style w:type="paragraph" w:customStyle="1" w:styleId="637">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pPr>
    <w:rPr>
      <w:rFonts w:ascii="Arial" w:hAnsi="Arial"/>
      <w:kern w:val="0"/>
      <w:lang w:eastAsia="en-US"/>
    </w:rPr>
  </w:style>
  <w:style w:type="paragraph" w:customStyle="1" w:styleId="641">
    <w:name w:val="button"/>
    <w:basedOn w:val="1"/>
    <w:autoRedefine/>
    <w:qFormat/>
    <w:uiPriority w:val="0"/>
    <w:pPr>
      <w:widowControl/>
      <w:spacing w:before="100" w:beforeAutospacing="1" w:after="100" w:afterAutospacing="1"/>
    </w:pPr>
    <w:rPr>
      <w:rFonts w:ascii="Arial Unicode MS" w:hAnsi="Arial Unicode MS"/>
      <w:color w:val="000000"/>
      <w:kern w:val="0"/>
    </w:rPr>
  </w:style>
  <w:style w:type="paragraph" w:customStyle="1" w:styleId="642">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ind w:firstLine="200"/>
    </w:pPr>
    <w:rPr>
      <w:rFonts w:ascii="Arial" w:hAnsi="Arial"/>
      <w:szCs w:val="20"/>
    </w:rPr>
  </w:style>
  <w:style w:type="paragraph" w:customStyle="1" w:styleId="651">
    <w:name w:val="Char1 Char Char Char1"/>
    <w:basedOn w:val="1"/>
    <w:autoRedefine/>
    <w:qFormat/>
    <w:uiPriority w:val="0"/>
    <w:pPr>
      <w:adjustRightInd/>
      <w:ind w:firstLine="200"/>
    </w:pPr>
    <w:rPr>
      <w:rFonts w:ascii="Tahoma" w:hAnsi="Tahoma"/>
      <w:szCs w:val="20"/>
    </w:rPr>
  </w:style>
  <w:style w:type="paragraph" w:customStyle="1" w:styleId="652">
    <w:name w:val="a1"/>
    <w:basedOn w:val="1"/>
    <w:autoRedefine/>
    <w:qFormat/>
    <w:uiPriority w:val="0"/>
    <w:pPr>
      <w:widowControl/>
      <w:spacing w:line="300" w:lineRule="atLeas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pPr>
    <w:rPr>
      <w:rFonts w:ascii="微软雅黑" w:hAnsi="微软雅黑" w:eastAsia="Arial Unicode MS" w:cs="Arial Unicode MS"/>
      <w:kern w:val="0"/>
      <w:sz w:val="23"/>
      <w:szCs w:val="23"/>
    </w:rPr>
  </w:style>
  <w:style w:type="paragraph" w:customStyle="1" w:styleId="657">
    <w:name w:val="样式 样式2 + 左侧:  1 字符 右侧:  1 字符"/>
    <w:basedOn w:val="465"/>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Cs w:val="20"/>
    </w:rPr>
  </w:style>
  <w:style w:type="paragraph" w:customStyle="1" w:styleId="659">
    <w:name w:val="Char1 Char Char Char"/>
    <w:basedOn w:val="1"/>
    <w:autoRedefine/>
    <w:qFormat/>
    <w:uiPriority w:val="0"/>
    <w:pPr>
      <w:widowControl/>
      <w:snapToGrid w:val="0"/>
      <w:spacing w:before="120" w:after="160"/>
      <w:ind w:right="-360"/>
    </w:pPr>
    <w:rPr>
      <w:rFonts w:ascii="Arial" w:hAnsi="Arial"/>
      <w:kern w:val="0"/>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pPr>
    <w:rPr>
      <w:rFonts w:ascii="宋体" w:hAnsi="宋体" w:cs="宋体"/>
      <w:kern w:val="0"/>
    </w:rPr>
  </w:style>
  <w:style w:type="paragraph" w:customStyle="1" w:styleId="666">
    <w:name w:val="样式 标题 1Level 1 HeadPIM 1Section Headh1l11Heading 0Datash..."/>
    <w:basedOn w:val="3"/>
    <w:autoRedefine/>
    <w:qFormat/>
    <w:uiPriority w:val="0"/>
    <w:pPr>
      <w:keepNext w:val="0"/>
      <w:keepLines w:val="0"/>
      <w:spacing w:before="0" w:after="100"/>
      <w:jc w:val="left"/>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668">
    <w:name w:val="样式 标题 1章节第一层h1H"/>
    <w:basedOn w:val="3"/>
    <w:autoRedefine/>
    <w:qFormat/>
    <w:uiPriority w:val="0"/>
    <w:pPr>
      <w:keepNext w:val="0"/>
      <w:keepLines w:val="0"/>
      <w:spacing w:before="0" w:after="0" w:line="240" w:lineRule="auto"/>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672">
    <w:name w:val="Body Text 2*"/>
    <w:basedOn w:val="1"/>
    <w:autoRedefine/>
    <w:qFormat/>
    <w:uiPriority w:val="6"/>
    <w:pPr>
      <w:widowControl/>
      <w:adjustRightInd/>
      <w:ind w:left="720" w:hanging="720"/>
    </w:pPr>
    <w:rPr>
      <w:color w:val="000000"/>
      <w:kern w:val="0"/>
      <w:szCs w:val="20"/>
      <w:lang w:val="en-GB"/>
    </w:rPr>
  </w:style>
  <w:style w:type="paragraph" w:customStyle="1" w:styleId="673">
    <w:name w:val="表1"/>
    <w:basedOn w:val="1"/>
    <w:autoRedefine/>
    <w:qFormat/>
    <w:uiPriority w:val="0"/>
    <w:pPr>
      <w:tabs>
        <w:tab w:val="left" w:pos="703"/>
      </w:tabs>
      <w:adjustRightInd/>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6">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7">
    <w:name w:val="2级标题"/>
    <w:basedOn w:val="678"/>
    <w:autoRedefine/>
    <w:qFormat/>
    <w:uiPriority w:val="0"/>
    <w:pPr>
      <w:jc w:val="left"/>
      <w:outlineLvl w:val="1"/>
    </w:pPr>
    <w:rPr>
      <w:rFonts w:ascii="Times New Roman" w:hAnsi="Times New Roman"/>
      <w:sz w:val="30"/>
    </w:rPr>
  </w:style>
  <w:style w:type="paragraph" w:customStyle="1" w:styleId="678">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pPr>
    <w:rPr>
      <w:rFonts w:ascii="宋体" w:hAnsi="宋体"/>
      <w:kern w:val="0"/>
      <w:szCs w:val="20"/>
    </w:rPr>
  </w:style>
  <w:style w:type="paragraph" w:customStyle="1" w:styleId="685">
    <w:name w:val="普通正文"/>
    <w:basedOn w:val="1"/>
    <w:autoRedefine/>
    <w:qFormat/>
    <w:uiPriority w:val="0"/>
    <w:pPr>
      <w:tabs>
        <w:tab w:val="left" w:pos="2280"/>
      </w:tabs>
      <w:spacing w:before="120" w:after="120"/>
      <w:ind w:firstLine="480"/>
      <w:textAlignment w:val="baseline"/>
    </w:pPr>
    <w:rPr>
      <w:rFonts w:ascii="Arial" w:hAnsi="Arial"/>
      <w:kern w:val="0"/>
    </w:rPr>
  </w:style>
  <w:style w:type="paragraph" w:customStyle="1" w:styleId="686">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8">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90">
    <w:name w:val="xl73"/>
    <w:basedOn w:val="1"/>
    <w:autoRedefine/>
    <w:qFormat/>
    <w:uiPriority w:val="0"/>
    <w:pPr>
      <w:widowControl/>
      <w:adjustRightInd/>
      <w:spacing w:before="100" w:beforeAutospacing="1" w:after="100" w:afterAutospacing="1"/>
    </w:pPr>
    <w:rPr>
      <w:rFonts w:ascii="微软雅黑" w:hAnsi="微软雅黑" w:eastAsia="微软雅黑" w:cs="宋体"/>
      <w:kern w:val="0"/>
      <w:sz w:val="20"/>
      <w:szCs w:val="20"/>
    </w:rPr>
  </w:style>
  <w:style w:type="paragraph" w:customStyle="1" w:styleId="691">
    <w:name w:val="MM Topic 4"/>
    <w:basedOn w:val="5"/>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p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rPr>
      <w:szCs w:val="20"/>
    </w:rPr>
  </w:style>
  <w:style w:type="paragraph" w:customStyle="1" w:styleId="695">
    <w:name w:val="金宏发行正文 Char"/>
    <w:basedOn w:val="1"/>
    <w:qFormat/>
    <w:uiPriority w:val="0"/>
    <w:pPr>
      <w:adjustRightInd/>
      <w:spacing w:line="500" w:lineRule="exact"/>
      <w:ind w:firstLine="56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7">
    <w:name w:val="body text bold"/>
    <w:basedOn w:val="26"/>
    <w:autoRedefine/>
    <w:qFormat/>
    <w:uiPriority w:val="0"/>
    <w:pPr>
      <w:widowControl/>
      <w:autoSpaceDE/>
      <w:autoSpaceDN/>
      <w:adjustRightInd/>
      <w:spacing w:line="240" w:lineRule="auto"/>
      <w:ind w:firstLine="200" w:firstLineChars="200"/>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pPr>
    <w:rPr>
      <w:rFonts w:ascii="宋体"/>
      <w:kern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3">
    <w:name w:val="style25"/>
    <w:basedOn w:val="1"/>
    <w:autoRedefine/>
    <w:qFormat/>
    <w:uiPriority w:val="0"/>
    <w:pPr>
      <w:widowControl/>
      <w:adjustRightInd/>
      <w:spacing w:before="100" w:beforeAutospacing="1" w:after="100" w:afterAutospacing="1"/>
      <w:ind w:firstLine="200"/>
    </w:pPr>
    <w:rPr>
      <w:rFonts w:ascii="宋体" w:hAnsi="宋体" w:cs="宋体"/>
      <w:color w:val="557AAF"/>
      <w:kern w:val="0"/>
      <w:sz w:val="18"/>
      <w:szCs w:val="18"/>
    </w:rPr>
  </w:style>
  <w:style w:type="paragraph" w:customStyle="1" w:styleId="704">
    <w:name w:val="单元格居中"/>
    <w:basedOn w:val="1"/>
    <w:autoRedefine/>
    <w:qFormat/>
    <w:uiPriority w:val="0"/>
    <w:pPr>
      <w:adjustRightInd/>
      <w:jc w:val="center"/>
    </w:pPr>
  </w:style>
  <w:style w:type="paragraph" w:customStyle="1" w:styleId="705">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28"/>
    <w:autoRedefine/>
    <w:qFormat/>
    <w:uiPriority w:val="0"/>
    <w:pPr>
      <w:autoSpaceDE w:val="0"/>
      <w:autoSpaceDN w:val="0"/>
      <w:snapToGrid w:val="0"/>
      <w:spacing w:after="120"/>
      <w:ind w:left="420" w:leftChars="200" w:firstLine="480"/>
    </w:pPr>
    <w:rPr>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pPr>
    <w:rPr>
      <w:szCs w:val="20"/>
    </w:rPr>
  </w:style>
  <w:style w:type="paragraph" w:customStyle="1" w:styleId="710">
    <w:name w:val="Char Char1121"/>
    <w:basedOn w:val="1"/>
    <w:autoRedefine/>
    <w:qFormat/>
    <w:uiPriority w:val="0"/>
    <w:rPr>
      <w:szCs w:val="20"/>
    </w:rPr>
  </w:style>
  <w:style w:type="paragraph" w:customStyle="1" w:styleId="711">
    <w:name w:val="小项目标题"/>
    <w:basedOn w:val="1"/>
    <w:autoRedefine/>
    <w:qFormat/>
    <w:uiPriority w:val="0"/>
    <w:pPr>
      <w:adjustRightInd/>
      <w:spacing w:before="100" w:beforeAutospacing="1" w:after="100" w:afterAutospacing="1"/>
      <w:ind w:left="480" w:leftChars="200" w:firstLine="200"/>
    </w:p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ind w:firstLine="200"/>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3">
    <w:name w:val="样式 标题 2 + 四号"/>
    <w:basedOn w:val="2"/>
    <w:autoRedefine/>
    <w:qFormat/>
    <w:uiPriority w:val="0"/>
    <w:pPr>
      <w:spacing w:before="120" w:after="120"/>
      <w:ind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7">
    <w:name w:val="4"/>
    <w:basedOn w:val="1"/>
    <w:next w:val="39"/>
    <w:autoRedefine/>
    <w:qFormat/>
    <w:uiPriority w:val="0"/>
    <w:pPr>
      <w:spacing w:after="120" w:line="480" w:lineRule="auto"/>
      <w:ind w:left="420" w:leftChars="200"/>
    </w:pPr>
    <w:rPr>
      <w:szCs w:val="20"/>
    </w:rPr>
  </w:style>
  <w:style w:type="paragraph" w:customStyle="1" w:styleId="728">
    <w:name w:val="tableheading"/>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pPr>
    <w:rPr>
      <w:rFonts w:ascii="宋体" w:hAnsi="宋体"/>
      <w:kern w:val="0"/>
      <w:szCs w:val="20"/>
    </w:rPr>
  </w:style>
  <w:style w:type="paragraph" w:customStyle="1" w:styleId="730">
    <w:name w:val="样式 标题 3H3 + 两端对齐"/>
    <w:basedOn w:val="4"/>
    <w:autoRedefine/>
    <w:qFormat/>
    <w:uiPriority w:val="0"/>
    <w:pPr>
      <w:keepLines w:val="0"/>
      <w:spacing w:line="240" w:lineRule="auto"/>
    </w:pPr>
    <w:rPr>
      <w:rFonts w:cs="宋体"/>
      <w:sz w:val="21"/>
      <w:szCs w:val="20"/>
    </w:rPr>
  </w:style>
  <w:style w:type="paragraph" w:customStyle="1" w:styleId="731">
    <w:name w:val="样式 仿宋_GB2312 小三 左侧:  1.06 厘米"/>
    <w:basedOn w:val="1"/>
    <w:autoRedefine/>
    <w:qFormat/>
    <w:uiPriority w:val="0"/>
    <w:pPr>
      <w:ind w:left="601"/>
    </w:pPr>
    <w:rPr>
      <w:rFonts w:ascii="仿宋_GB2312" w:eastAsia="仿宋_GB2312"/>
      <w:szCs w:val="20"/>
    </w:rPr>
  </w:style>
  <w:style w:type="paragraph" w:customStyle="1" w:styleId="732">
    <w:name w:val="小标题"/>
    <w:basedOn w:val="1"/>
    <w:autoRedefine/>
    <w:qFormat/>
    <w:uiPriority w:val="0"/>
    <w:pPr>
      <w:spacing w:before="120" w:line="360" w:lineRule="atLeast"/>
      <w:ind w:left="1134"/>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8">
    <w:name w:val="Picture"/>
    <w:basedOn w:val="1"/>
    <w:next w:val="19"/>
    <w:autoRedefine/>
    <w:qFormat/>
    <w:uiPriority w:val="0"/>
    <w:pPr>
      <w:keepNext/>
      <w:widowControl/>
      <w:adjustRightInd/>
      <w:ind w:firstLine="200"/>
    </w:pPr>
    <w:rPr>
      <w:rFonts w:ascii="楷体" w:hAnsi="Arial" w:eastAsia="楷体"/>
      <w:b/>
      <w:spacing w:val="-5"/>
      <w:w w:val="98"/>
      <w:kern w:val="0"/>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pPr>
    <w:rPr>
      <w:szCs w:val="20"/>
    </w:rPr>
  </w:style>
  <w:style w:type="paragraph" w:customStyle="1" w:styleId="741">
    <w:name w:val="Char1 Char Char Char21"/>
    <w:basedOn w:val="1"/>
    <w:autoRedefine/>
    <w:qFormat/>
    <w:uiPriority w:val="0"/>
    <w:rPr>
      <w:rFonts w:ascii="Tahoma" w:hAnsi="Tahoma"/>
      <w:szCs w:val="20"/>
    </w:rPr>
  </w:style>
  <w:style w:type="paragraph" w:customStyle="1" w:styleId="742">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3">
    <w:name w:val="正文（标题三）"/>
    <w:basedOn w:val="1"/>
    <w:autoRedefine/>
    <w:qFormat/>
    <w:uiPriority w:val="0"/>
    <w:pPr>
      <w:ind w:firstLine="200"/>
    </w:pPr>
  </w:style>
  <w:style w:type="paragraph" w:customStyle="1" w:styleId="744">
    <w:name w:val="样式 正1 + 首行缩进:  2 字符"/>
    <w:basedOn w:val="1"/>
    <w:autoRedefine/>
    <w:qFormat/>
    <w:uiPriority w:val="0"/>
    <w:pPr>
      <w:adjustRightInd/>
      <w:ind w:firstLine="480"/>
    </w:pPr>
    <w:rPr>
      <w:rFonts w:ascii="仿宋_GB2312" w:eastAsia="仿宋_GB2312"/>
    </w:rPr>
  </w:style>
  <w:style w:type="paragraph" w:customStyle="1" w:styleId="745">
    <w:name w:val="xl66"/>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746">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7">
    <w:name w:val="Default Text"/>
    <w:basedOn w:val="1"/>
    <w:autoRedefine/>
    <w:qFormat/>
    <w:uiPriority w:val="0"/>
    <w:pPr>
      <w:widowControl/>
      <w:overflowPunct w:val="0"/>
      <w:autoSpaceDE w:val="0"/>
      <w:autoSpaceDN w:val="0"/>
      <w:ind w:firstLine="480"/>
      <w:textAlignment w:val="baseline"/>
    </w:pPr>
    <w:rPr>
      <w:rFonts w:ascii="宋体" w:hAnsi="宋体" w:eastAsia="微软雅黑"/>
      <w:kern w:val="0"/>
      <w:szCs w:val="20"/>
    </w:rPr>
  </w:style>
  <w:style w:type="paragraph" w:customStyle="1" w:styleId="748">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9">
    <w:name w:val="Char1 Char Char Char4"/>
    <w:basedOn w:val="1"/>
    <w:autoRedefine/>
    <w:qFormat/>
    <w:uiPriority w:val="0"/>
    <w:pPr>
      <w:adjustRightInd/>
      <w:ind w:firstLine="200"/>
    </w:pPr>
    <w:rPr>
      <w:rFonts w:ascii="Tahoma" w:hAnsi="Tahoma"/>
      <w:szCs w:val="20"/>
    </w:rPr>
  </w:style>
  <w:style w:type="paragraph" w:customStyle="1" w:styleId="750">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4">
    <w:name w:val="正文 主体"/>
    <w:basedOn w:val="1"/>
    <w:autoRedefine/>
    <w:qFormat/>
    <w:uiPriority w:val="0"/>
    <w:pPr>
      <w:adjustRightInd/>
      <w:ind w:firstLine="200"/>
    </w:pPr>
    <w:rPr>
      <w:rFonts w:ascii="微软雅黑" w:hAnsi="Calibri" w:eastAsia="微软雅黑"/>
      <w:kern w:val="0"/>
      <w:szCs w:val="20"/>
    </w:rPr>
  </w:style>
  <w:style w:type="paragraph" w:customStyle="1" w:styleId="755">
    <w:name w:val="四号　首行缩进"/>
    <w:basedOn w:val="1"/>
    <w:autoRedefine/>
    <w:qFormat/>
    <w:uiPriority w:val="0"/>
    <w:pPr>
      <w:adjustRightInd/>
    </w:pPr>
    <w:rPr>
      <w:rFonts w:ascii="宋体" w:hAnsi="宋体"/>
      <w:szCs w:val="20"/>
    </w:rPr>
  </w:style>
  <w:style w:type="paragraph" w:customStyle="1" w:styleId="756">
    <w:name w:val="深色列表 - 强调文字颜色 51"/>
    <w:basedOn w:val="1"/>
    <w:autoRedefine/>
    <w:qFormat/>
    <w:uiPriority w:val="0"/>
    <w:pPr>
      <w:adjustRightInd/>
      <w:ind w:firstLine="200"/>
    </w:pPr>
    <w:rPr>
      <w:rFonts w:eastAsia="楷体_GB2312" w:cs="Lucida Sans"/>
    </w:rPr>
  </w:style>
  <w:style w:type="paragraph" w:customStyle="1" w:styleId="757">
    <w:name w:val="Char Char Char Char Char Char Char Char Char Char Char1 Char"/>
    <w:basedOn w:val="1"/>
    <w:autoRedefine/>
    <w:qFormat/>
    <w:uiPriority w:val="0"/>
    <w:pPr>
      <w:adjustRightInd/>
    </w:pPr>
    <w:rPr>
      <w:rFonts w:ascii="Tahoma" w:hAnsi="Tahoma"/>
    </w:rPr>
  </w:style>
  <w:style w:type="paragraph" w:customStyle="1" w:styleId="758">
    <w:name w:val="Char Char Char Char11"/>
    <w:basedOn w:val="1"/>
    <w:autoRedefine/>
    <w:qFormat/>
    <w:uiPriority w:val="0"/>
    <w:rPr>
      <w:rFonts w:ascii="Tahoma" w:hAnsi="Tahoma"/>
      <w:szCs w:val="20"/>
    </w:rPr>
  </w:style>
  <w:style w:type="paragraph" w:customStyle="1" w:styleId="759">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Cs w:val="20"/>
    </w:rPr>
  </w:style>
  <w:style w:type="paragraph" w:customStyle="1" w:styleId="761">
    <w:name w:val="标1"/>
    <w:basedOn w:val="1"/>
    <w:autoRedefine/>
    <w:qFormat/>
    <w:uiPriority w:val="0"/>
    <w:pPr>
      <w:widowControl/>
      <w:tabs>
        <w:tab w:val="left" w:pos="1020"/>
      </w:tabs>
      <w:snapToGrid w:val="0"/>
      <w:spacing w:before="312" w:beforeLines="100"/>
      <w:ind w:left="1020" w:hanging="420"/>
      <w:outlineLvl w:val="0"/>
    </w:pPr>
    <w:rPr>
      <w:rFonts w:ascii="Arial Narrow" w:hAnsi="Arial Narrow" w:eastAsia="仿宋_GB2312"/>
      <w:b/>
      <w:spacing w:val="20"/>
      <w:kern w:val="0"/>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5">
    <w:name w:val="_Style 5"/>
    <w:basedOn w:val="1"/>
    <w:autoRedefine/>
    <w:qFormat/>
    <w:uiPriority w:val="34"/>
    <w:pPr>
      <w:adjustRightInd/>
      <w:ind w:firstLine="42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pPr>
    <w:rPr>
      <w:rFonts w:ascii="Futura Bk" w:hAnsi="Futura Bk" w:cs="Futura Bk"/>
      <w:kern w:val="0"/>
      <w:sz w:val="18"/>
      <w:szCs w:val="18"/>
    </w:rPr>
  </w:style>
  <w:style w:type="paragraph" w:customStyle="1" w:styleId="767">
    <w:name w:val="列出段落*"/>
    <w:basedOn w:val="1"/>
    <w:autoRedefine/>
    <w:qFormat/>
    <w:uiPriority w:val="0"/>
    <w:pPr>
      <w:adjustRightInd/>
      <w:ind w:firstLine="200"/>
    </w:pPr>
    <w:rPr>
      <w:rFonts w:eastAsia="楷体_GB2312" w:cs="Lucida Sans Unicode"/>
      <w:color w:val="000000"/>
      <w:kern w:val="1"/>
    </w:rPr>
  </w:style>
  <w:style w:type="paragraph" w:customStyle="1" w:styleId="768">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ind w:firstLine="48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pPr>
    <w:rPr>
      <w:rFonts w:ascii="Verdana" w:hAnsi="Verdana" w:eastAsia="仿宋_GB2312"/>
      <w:kern w:val="0"/>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Cs w:val="20"/>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1">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ind w:firstLine="480"/>
    </w:pPr>
    <w:rPr>
      <w:rFonts w:ascii="宋体" w:hAnsi="宋体" w:eastAsia="微软雅黑" w:cs="宋体"/>
      <w:kern w:val="0"/>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8"/>
    <w:autoRedefine/>
    <w:qFormat/>
    <w:uiPriority w:val="0"/>
    <w:pPr>
      <w:adjustRightInd/>
      <w:snapToGrid/>
      <w:spacing w:before="100" w:beforeAutospacing="1" w:after="100" w:afterLines="50" w:afterAutospacing="1" w:line="360" w:lineRule="auto"/>
      <w:ind w:firstLine="480"/>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5"/>
    <w:autoRedefine/>
    <w:qFormat/>
    <w:uiPriority w:val="0"/>
    <w:pPr>
      <w:tabs>
        <w:tab w:val="clear" w:pos="900"/>
      </w:tabs>
    </w:pPr>
    <w:rPr>
      <w:rFonts w:ascii="仿宋" w:hAnsi="仿宋" w:cs="仿宋"/>
    </w:rPr>
  </w:style>
  <w:style w:type="paragraph" w:customStyle="1" w:styleId="791">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2">
    <w:name w:val="Char Char Char1"/>
    <w:basedOn w:val="1"/>
    <w:autoRedefine/>
    <w:qFormat/>
    <w:uiPriority w:val="6"/>
    <w:pPr>
      <w:widowControl/>
      <w:spacing w:after="160" w:line="240" w:lineRule="exac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pPr>
    <w:rPr>
      <w:rFonts w:ascii="Tahoma" w:hAnsi="Tahoma"/>
      <w:szCs w:val="20"/>
    </w:rPr>
  </w:style>
  <w:style w:type="paragraph" w:customStyle="1" w:styleId="7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5"/>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60"/>
    <w:next w:val="645"/>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9"/>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pPr>
    <w:rPr>
      <w:rFonts w:ascii="Helvetica" w:hAnsi="Helvetica"/>
      <w:kern w:val="1"/>
      <w:sz w:val="20"/>
      <w:szCs w:val="20"/>
    </w:rPr>
  </w:style>
  <w:style w:type="paragraph" w:customStyle="1" w:styleId="817">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pPr>
    <w:rPr>
      <w:rFonts w:ascii="Tahoma" w:hAnsi="Tahoma"/>
    </w:rPr>
  </w:style>
  <w:style w:type="paragraph" w:customStyle="1" w:styleId="823">
    <w:name w:val="Char Char Char Char2"/>
    <w:basedOn w:val="1"/>
    <w:autoRedefine/>
    <w:qFormat/>
    <w:uiPriority w:val="0"/>
    <w:pPr>
      <w:widowControl/>
      <w:spacing w:after="160" w:line="240" w:lineRule="exac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830">
    <w:name w:val="数字标题4"/>
    <w:basedOn w:val="5"/>
    <w:autoRedefine/>
    <w:qFormat/>
    <w:uiPriority w:val="0"/>
    <w:pPr>
      <w:tabs>
        <w:tab w:val="left" w:pos="0"/>
        <w:tab w:val="clear" w:pos="864"/>
      </w:tabs>
      <w:ind w:left="1"/>
    </w:pPr>
    <w:rPr>
      <w:rFonts w:eastAsia="仿宋_GB2312" w:cs="Arial"/>
      <w:b w:val="0"/>
      <w:bCs w:val="0"/>
      <w:color w:val="00000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4"/>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9"/>
    <w:autoRedefine/>
    <w:qFormat/>
    <w:uiPriority w:val="0"/>
    <w:pPr>
      <w:adjustRightInd/>
      <w:ind w:firstLine="560" w:firstLineChars="200"/>
      <w:textAlignment w:val="auto"/>
    </w:pPr>
    <w:rPr>
      <w:rFonts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844">
    <w:name w:val="模板普通正文"/>
    <w:basedOn w:val="28"/>
    <w:autoRedefine/>
    <w:qFormat/>
    <w:uiPriority w:val="0"/>
    <w:pPr>
      <w:adjustRightInd/>
      <w:spacing w:before="156" w:beforeLines="50" w:after="10" w:line="360" w:lineRule="auto"/>
      <w:ind w:firstLine="175" w:firstLineChars="175"/>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0">
    <w:name w:val="legal"/>
    <w:basedOn w:val="1"/>
    <w:autoRedefine/>
    <w:qFormat/>
    <w:uiPriority w:val="0"/>
    <w:pPr>
      <w:widowControl/>
      <w:adjustRightInd/>
      <w:spacing w:line="180" w:lineRule="exact"/>
      <w:ind w:firstLine="200"/>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852">
    <w:name w:val="Char Char Char Char Char Char1 Char2"/>
    <w:basedOn w:val="1"/>
    <w:autoRedefine/>
    <w:qFormat/>
    <w:uiPriority w:val="0"/>
    <w:pPr>
      <w:widowControl/>
      <w:spacing w:after="160" w:line="240" w:lineRule="exac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4">
    <w:name w:val="中等深浅网格 1 - 强调文字颜色 21"/>
    <w:basedOn w:val="1"/>
    <w:autoRedefine/>
    <w:qFormat/>
    <w:uiPriority w:val="0"/>
    <w:pPr>
      <w:ind w:firstLine="200"/>
    </w:pPr>
    <w:rPr>
      <w:rFonts w:eastAsia="楷体_GB2312" w:cs="Lucida Sans"/>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firstLine="0"/>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1">
    <w:name w:val="Char Char1"/>
    <w:basedOn w:val="1"/>
    <w:autoRedefine/>
    <w:qFormat/>
    <w:uiPriority w:val="0"/>
    <w:pPr>
      <w:widowControl/>
      <w:spacing w:after="160" w:line="240" w:lineRule="exact"/>
    </w:pPr>
    <w:rPr>
      <w:rFonts w:eastAsia="仿宋_GB2312"/>
      <w:sz w:val="28"/>
    </w:rPr>
  </w:style>
  <w:style w:type="paragraph" w:customStyle="1" w:styleId="862">
    <w:name w:val="Char21"/>
    <w:basedOn w:val="1"/>
    <w:autoRedefine/>
    <w:qFormat/>
    <w:uiPriority w:val="0"/>
    <w:pPr>
      <w:adjustRightInd/>
      <w:ind w:firstLine="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rPr>
  </w:style>
  <w:style w:type="paragraph" w:customStyle="1" w:styleId="864">
    <w:name w:val="Char Char110"/>
    <w:basedOn w:val="1"/>
    <w:autoRedefine/>
    <w:qFormat/>
    <w:uiPriority w:val="6"/>
    <w:rPr>
      <w:rFonts w:ascii="Tahoma" w:hAnsi="Tahoma"/>
      <w:szCs w:val="20"/>
    </w:rPr>
  </w:style>
  <w:style w:type="paragraph" w:customStyle="1" w:styleId="865">
    <w:name w:val="xl80"/>
    <w:basedOn w:val="1"/>
    <w:autoRedefine/>
    <w:qFormat/>
    <w:uiPriority w:val="0"/>
    <w:pPr>
      <w:widowControl/>
      <w:adjustRightInd/>
      <w:spacing w:before="100" w:beforeAutospacing="1" w:after="100" w:afterAutospacing="1"/>
    </w:pPr>
    <w:rPr>
      <w:rFonts w:ascii="仿宋" w:hAnsi="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Cs w:val="20"/>
    </w:rPr>
  </w:style>
  <w:style w:type="paragraph" w:customStyle="1" w:styleId="870">
    <w:name w:val="样式9"/>
    <w:basedOn w:val="1"/>
    <w:autoRedefine/>
    <w:qFormat/>
    <w:uiPriority w:val="0"/>
    <w:pPr>
      <w:adjustRightInd/>
      <w:spacing w:before="240" w:after="60" w:line="319" w:lineRule="auto"/>
      <w:ind w:firstLine="200"/>
      <w:outlineLvl w:val="0"/>
    </w:pPr>
    <w:rPr>
      <w:rFonts w:ascii="仿宋_GB2312" w:hAnsi="Arial" w:eastAsia="仿宋_GB2312" w:cs="Arial"/>
      <w:b/>
      <w:bCs/>
      <w:szCs w:val="32"/>
    </w:rPr>
  </w:style>
  <w:style w:type="paragraph" w:customStyle="1" w:styleId="871">
    <w:name w:val="Char Char281"/>
    <w:basedOn w:val="1"/>
    <w:autoRedefine/>
    <w:qFormat/>
    <w:uiPriority w:val="0"/>
    <w:pPr>
      <w:adjustRightInd/>
      <w:snapToGrid w:val="0"/>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pPr>
    <w:rPr>
      <w:rFonts w:ascii="Tahoma" w:hAnsi="Tahoma"/>
      <w:szCs w:val="20"/>
    </w:rPr>
  </w:style>
  <w:style w:type="paragraph" w:customStyle="1" w:styleId="874">
    <w:name w:val="_Style 12"/>
    <w:basedOn w:val="21"/>
    <w:autoRedefine/>
    <w:qFormat/>
    <w:uiPriority w:val="0"/>
    <w:pPr>
      <w:snapToGrid w:val="0"/>
    </w:pPr>
  </w:style>
  <w:style w:type="paragraph" w:customStyle="1" w:styleId="875">
    <w:name w:val="样式 首行缩进:  0 字符"/>
    <w:basedOn w:val="1"/>
    <w:autoRedefine/>
    <w:qFormat/>
    <w:uiPriority w:val="0"/>
    <w:pPr>
      <w:adjustRightInd/>
      <w:ind w:firstLine="200"/>
    </w:pPr>
    <w:rPr>
      <w:rFonts w:ascii="Arial" w:hAnsi="Arial" w:cs="宋体"/>
      <w:szCs w:val="20"/>
    </w:rPr>
  </w:style>
  <w:style w:type="paragraph" w:customStyle="1" w:styleId="876">
    <w:name w:val="Char1 Char Char Char6"/>
    <w:basedOn w:val="1"/>
    <w:autoRedefine/>
    <w:qFormat/>
    <w:uiPriority w:val="6"/>
    <w:pPr>
      <w:widowControl/>
      <w:snapToGrid w:val="0"/>
      <w:spacing w:before="120" w:after="160"/>
      <w:ind w:right="-360"/>
    </w:pPr>
    <w:rPr>
      <w:rFonts w:ascii="Arial" w:hAnsi="Arial"/>
      <w:kern w:val="0"/>
      <w:lang w:eastAsia="en-US"/>
    </w:rPr>
  </w:style>
  <w:style w:type="paragraph" w:customStyle="1" w:styleId="877">
    <w:name w:val="_Style 94"/>
    <w:basedOn w:val="1"/>
    <w:next w:val="263"/>
    <w:autoRedefine/>
    <w:qFormat/>
    <w:uiPriority w:val="34"/>
    <w:pPr>
      <w:adjustRightInd/>
      <w:ind w:firstLine="200"/>
    </w:pPr>
    <w:rPr>
      <w:rFonts w:ascii="Calibri" w:hAnsi="Calibri"/>
      <w:sz w:val="28"/>
      <w:szCs w:val="20"/>
    </w:rPr>
  </w:style>
  <w:style w:type="paragraph" w:customStyle="1" w:styleId="878">
    <w:name w:val="方案正文"/>
    <w:basedOn w:val="1"/>
    <w:autoRedefine/>
    <w:qFormat/>
    <w:uiPriority w:val="0"/>
    <w:pPr>
      <w:snapToGrid w:val="0"/>
      <w:spacing w:line="324" w:lineRule="auto"/>
    </w:pPr>
    <w:rPr>
      <w:rFonts w:ascii="仿宋_GB2312" w:eastAsia="仿宋_GB2312"/>
      <w:b/>
      <w:color w:val="000000"/>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ind w:firstLine="200"/>
    </w:pPr>
    <w:rPr>
      <w:rFonts w:ascii="仿宋" w:hAnsi="Calibri"/>
      <w:kern w:val="0"/>
    </w:rPr>
  </w:style>
  <w:style w:type="paragraph" w:customStyle="1" w:styleId="881">
    <w:name w:val="3级标题"/>
    <w:basedOn w:val="677"/>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color w:val="000000"/>
      <w:kern w:val="0"/>
      <w:sz w:val="20"/>
      <w:szCs w:val="20"/>
    </w:rPr>
  </w:style>
  <w:style w:type="paragraph" w:customStyle="1" w:styleId="883">
    <w:name w:val="Char1 Char Char Char3"/>
    <w:basedOn w:val="1"/>
    <w:autoRedefine/>
    <w:qFormat/>
    <w:uiPriority w:val="0"/>
    <w:pPr>
      <w:adjustRightInd/>
      <w:ind w:firstLine="200"/>
    </w:pPr>
    <w:rPr>
      <w:rFonts w:ascii="Tahoma" w:hAnsi="Tahoma"/>
      <w:szCs w:val="20"/>
    </w:rPr>
  </w:style>
  <w:style w:type="paragraph" w:customStyle="1" w:styleId="884">
    <w:name w:val="GP正文(首行缩进)"/>
    <w:basedOn w:val="1"/>
    <w:autoRedefine/>
    <w:qFormat/>
    <w:uiPriority w:val="0"/>
    <w:pPr>
      <w:adjustRightInd/>
      <w:ind w:firstLine="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3"/>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891">
    <w:name w:val="标书标题3"/>
    <w:basedOn w:val="4"/>
    <w:autoRedefine/>
    <w:qFormat/>
    <w:uiPriority w:val="0"/>
    <w:pPr>
      <w:keepLines w:val="0"/>
      <w:widowControl/>
      <w:snapToGrid w:val="0"/>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adjustRightInd/>
      <w:spacing w:before="480" w:after="0" w:line="276" w:lineRule="auto"/>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pPr>
    <w:rPr>
      <w:rFonts w:eastAsia="仿宋_GB2312"/>
      <w:sz w:val="28"/>
    </w:rPr>
  </w:style>
  <w:style w:type="paragraph" w:customStyle="1" w:styleId="894">
    <w:name w:val="正文首行缩进1"/>
    <w:basedOn w:val="26"/>
    <w:autoRedefine/>
    <w:qFormat/>
    <w:uiPriority w:val="0"/>
    <w:pPr>
      <w:suppressAutoHyphens/>
      <w:autoSpaceDE/>
      <w:autoSpaceDN/>
      <w:adjustRightInd/>
      <w:spacing w:after="120" w:line="240" w:lineRule="auto"/>
      <w:ind w:firstLine="420"/>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ind w:left="200" w:leftChars="200" w:firstLine="200"/>
    </w:p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pPr>
    <w:rPr>
      <w:rFonts w:ascii="Arial (W1)" w:hAnsi="Arial (W1)"/>
      <w:color w:val="000000"/>
      <w:kern w:val="0"/>
      <w:lang w:val="en-GB" w:eastAsia="en-US"/>
    </w:rPr>
  </w:style>
  <w:style w:type="paragraph" w:customStyle="1" w:styleId="902">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3">
    <w:name w:val="Bullet"/>
    <w:basedOn w:val="1"/>
    <w:autoRedefine/>
    <w:qFormat/>
    <w:uiPriority w:val="0"/>
    <w:pPr>
      <w:widowControl/>
      <w:tabs>
        <w:tab w:val="left" w:pos="288"/>
      </w:tabs>
      <w:adjustRightInd/>
      <w:ind w:left="288" w:hanging="360"/>
    </w:pPr>
    <w:rPr>
      <w:rFonts w:ascii="Arial" w:hAnsi="Arial"/>
      <w:kern w:val="0"/>
      <w:sz w:val="20"/>
      <w:szCs w:val="20"/>
    </w:rPr>
  </w:style>
  <w:style w:type="paragraph" w:customStyle="1" w:styleId="904">
    <w:name w:val="0"/>
    <w:basedOn w:val="1"/>
    <w:autoRedefine/>
    <w:qFormat/>
    <w:uiPriority w:val="0"/>
    <w:pPr>
      <w:widowControl/>
    </w:pPr>
    <w:rPr>
      <w:kern w:val="0"/>
      <w:szCs w:val="20"/>
    </w:rPr>
  </w:style>
  <w:style w:type="paragraph" w:customStyle="1" w:styleId="905">
    <w:name w:val="Char Char113"/>
    <w:basedOn w:val="1"/>
    <w:autoRedefine/>
    <w:qFormat/>
    <w:uiPriority w:val="0"/>
    <w:pPr>
      <w:widowControl/>
      <w:spacing w:after="160" w:line="240" w:lineRule="exact"/>
    </w:pPr>
    <w:rPr>
      <w:rFonts w:eastAsia="仿宋_GB2312"/>
      <w:sz w:val="28"/>
    </w:rPr>
  </w:style>
  <w:style w:type="paragraph" w:customStyle="1" w:styleId="906">
    <w:name w:val="样式5"/>
    <w:basedOn w:val="1"/>
    <w:autoRedefine/>
    <w:qFormat/>
    <w:uiPriority w:val="0"/>
    <w:pPr>
      <w:spacing w:line="440" w:lineRule="exact"/>
      <w:ind w:left="2" w:firstLine="480"/>
    </w:pPr>
    <w:rPr>
      <w:rFonts w:ascii="仿宋_GB2312" w:hAnsi="仿宋" w:eastAsia="仿宋_GB2312"/>
    </w:rPr>
  </w:style>
  <w:style w:type="paragraph" w:customStyle="1" w:styleId="907">
    <w:name w:val="_Style 8"/>
    <w:basedOn w:val="1"/>
    <w:autoRedefine/>
    <w:qFormat/>
    <w:uiPriority w:val="34"/>
    <w:pPr>
      <w:adjustRightInd/>
      <w:ind w:firstLine="42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909">
    <w:name w:val="正文样式 首行缩进:  0.74 厘米"/>
    <w:basedOn w:val="1"/>
    <w:autoRedefine/>
    <w:qFormat/>
    <w:uiPriority w:val="0"/>
    <w:pPr>
      <w:adjustRightInd/>
      <w:spacing w:before="156" w:beforeLines="50"/>
      <w:ind w:firstLine="420"/>
    </w:pPr>
    <w:rPr>
      <w:rFonts w:cs="宋体"/>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911">
    <w:name w:val="列出段落31"/>
    <w:basedOn w:val="1"/>
    <w:autoRedefine/>
    <w:qFormat/>
    <w:uiPriority w:val="0"/>
    <w:pPr>
      <w:adjustRightInd/>
      <w:ind w:firstLine="420"/>
    </w:pPr>
    <w:rPr>
      <w:rFonts w:ascii="Calibri" w:hAnsi="Calibri"/>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pPr>
    <w:rPr>
      <w:rFonts w:eastAsia="仿宋_GB2312"/>
      <w:sz w:val="28"/>
    </w:rPr>
  </w:style>
  <w:style w:type="paragraph" w:customStyle="1" w:styleId="914">
    <w:name w:val="正文 图"/>
    <w:basedOn w:val="448"/>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textAlignment w:val="baseline"/>
    </w:pPr>
    <w:rPr>
      <w:rFonts w:ascii="Arial Narrow" w:hAnsi="Arial Narrow"/>
      <w:kern w:val="0"/>
      <w:sz w:val="18"/>
      <w:szCs w:val="20"/>
    </w:rPr>
  </w:style>
  <w:style w:type="paragraph" w:customStyle="1" w:styleId="917">
    <w:name w:val="Thf"/>
    <w:basedOn w:val="567"/>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ind w:firstLine="480"/>
    </w:p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40"/>
    <w:autoRedefine/>
    <w:qFormat/>
    <w:uiPriority w:val="0"/>
    <w:rPr>
      <w:kern w:val="2"/>
      <w:sz w:val="21"/>
      <w:szCs w:val="24"/>
      <w:lang w:val="zh-CN"/>
    </w:rPr>
  </w:style>
  <w:style w:type="character" w:customStyle="1" w:styleId="933">
    <w:name w:val="无间隔 Char"/>
    <w:link w:val="488"/>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ind w:firstLine="480"/>
    </w:pPr>
    <w:rPr>
      <w:rFonts w:cs="宋体"/>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3"/>
    <w:autoRedefine/>
    <w:qFormat/>
    <w:uiPriority w:val="34"/>
    <w:pPr>
      <w:adjustRightInd/>
      <w:ind w:firstLine="42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pPr>
    <w:rPr>
      <w:rFonts w:ascii="Century Gothic" w:hAnsi="Century Gothic"/>
      <w:kern w:val="0"/>
      <w:szCs w:val="20"/>
    </w:rPr>
  </w:style>
  <w:style w:type="paragraph" w:customStyle="1" w:styleId="954">
    <w:name w:val="节"/>
    <w:basedOn w:val="2"/>
    <w:autoRedefine/>
    <w:qFormat/>
    <w:uiPriority w:val="0"/>
    <w:pPr>
      <w:tabs>
        <w:tab w:val="clear" w:pos="432"/>
      </w:tabs>
      <w:spacing w:before="160" w:after="160" w:line="720" w:lineRule="exact"/>
      <w:ind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pPr>
    <w:rPr>
      <w:kern w:val="0"/>
      <w:szCs w:val="20"/>
    </w:rPr>
  </w:style>
  <w:style w:type="paragraph" w:customStyle="1" w:styleId="956">
    <w:name w:val="p1"/>
    <w:basedOn w:val="1"/>
    <w:autoRedefine/>
    <w:qFormat/>
    <w:uiPriority w:val="0"/>
    <w:pPr>
      <w:widowControl/>
      <w:adjustRightInd/>
    </w:pPr>
    <w:rPr>
      <w:rFonts w:ascii=".PingFang SC" w:eastAsia=".PingFang SC"/>
      <w:color w:val="454545"/>
      <w:kern w:val="0"/>
      <w:sz w:val="18"/>
      <w:szCs w:val="18"/>
    </w:rPr>
  </w:style>
  <w:style w:type="paragraph" w:customStyle="1" w:styleId="957">
    <w:name w:val="Table Paragraph"/>
    <w:basedOn w:val="1"/>
    <w:autoRedefine/>
    <w:qFormat/>
    <w:uiPriority w:val="0"/>
    <w:pPr>
      <w:adjustRightInd/>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autoRedefine/>
    <w:semiHidden/>
    <w:qFormat/>
    <w:uiPriority w:val="99"/>
    <w:pPr>
      <w:widowControl/>
      <w:adjustRightInd/>
      <w:spacing w:before="100" w:beforeAutospacing="1" w:after="100" w:afterAutospacing="1"/>
    </w:pPr>
    <w:rPr>
      <w:rFonts w:ascii="宋体" w:hAnsi="宋体" w:cs="宋体"/>
      <w:kern w:val="0"/>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character" w:customStyle="1" w:styleId="964">
    <w:name w:val="标题 2 Char1"/>
    <w:link w:val="2"/>
    <w:autoRedefine/>
    <w:qFormat/>
    <w:uiPriority w:val="0"/>
    <w:rPr>
      <w:rFonts w:ascii="仿宋_GB2312" w:hAnsi="仿宋_GB2312" w:eastAsia="仿宋"/>
      <w:b/>
      <w:bCs/>
      <w:sz w:val="24"/>
      <w:szCs w:val="32"/>
      <w:lang w:val="zh-CN"/>
    </w:rPr>
  </w:style>
  <w:style w:type="paragraph" w:customStyle="1" w:styleId="965">
    <w:name w:val="表内居中"/>
    <w:basedOn w:val="1"/>
    <w:autoRedefine/>
    <w:qFormat/>
    <w:uiPriority w:val="1"/>
    <w:pPr>
      <w:ind w:firstLine="0" w:firstLineChars="0"/>
      <w:jc w:val="center"/>
    </w:pPr>
    <w:rPr>
      <w:szCs w:val="22"/>
    </w:rPr>
  </w:style>
  <w:style w:type="paragraph" w:customStyle="1" w:styleId="966">
    <w:name w:val="WPSOffice手动目录 1"/>
    <w:autoRedefine/>
    <w:qFormat/>
    <w:uiPriority w:val="0"/>
    <w:rPr>
      <w:rFonts w:ascii="Times New Roman" w:hAnsi="Times New Roman" w:eastAsia="宋体" w:cs="Times New Roman"/>
      <w:lang w:val="en-US" w:eastAsia="zh-CN" w:bidi="ar-SA"/>
    </w:rPr>
  </w:style>
  <w:style w:type="paragraph" w:customStyle="1" w:styleId="96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68">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969">
    <w:name w:val="标题 3 Char"/>
    <w:link w:val="4"/>
    <w:autoRedefine/>
    <w:qFormat/>
    <w:uiPriority w:val="0"/>
    <w:rPr>
      <w:b/>
      <w:bCs/>
      <w:sz w:val="24"/>
      <w:szCs w:val="32"/>
    </w:rPr>
  </w:style>
  <w:style w:type="paragraph" w:customStyle="1" w:styleId="970">
    <w:name w:val="条文"/>
    <w:basedOn w:val="1"/>
    <w:autoRedefine/>
    <w:qFormat/>
    <w:uiPriority w:val="0"/>
    <w:pPr>
      <w:ind w:firstLine="600"/>
    </w:pPr>
    <w:rPr>
      <w:b/>
      <w:color w:val="000000"/>
    </w:rPr>
  </w:style>
  <w:style w:type="table" w:customStyle="1" w:styleId="971">
    <w:name w:val="Table Normal"/>
    <w:autoRedefine/>
    <w:semiHidden/>
    <w:unhideWhenUsed/>
    <w:qFormat/>
    <w:uiPriority w:val="0"/>
    <w:tblPr>
      <w:tblCellMar>
        <w:top w:w="0" w:type="dxa"/>
        <w:left w:w="0" w:type="dxa"/>
        <w:bottom w:w="0" w:type="dxa"/>
        <w:right w:w="0" w:type="dxa"/>
      </w:tblCellMar>
    </w:tblPr>
  </w:style>
  <w:style w:type="paragraph" w:customStyle="1" w:styleId="972">
    <w:name w:val="A正文小四"/>
    <w:basedOn w:val="1"/>
    <w:autoRedefine/>
    <w:qFormat/>
    <w:uiPriority w:val="0"/>
    <w:pPr>
      <w:spacing w:line="360" w:lineRule="auto"/>
      <w:ind w:firstLine="600" w:firstLineChars="200"/>
      <w:jc w:val="left"/>
    </w:pPr>
    <w:rPr>
      <w:color w:val="000000"/>
      <w:szCs w:val="24"/>
    </w:rPr>
  </w:style>
  <w:style w:type="paragraph" w:customStyle="1" w:styleId="973">
    <w:name w:val="表格内文字"/>
    <w:basedOn w:val="1"/>
    <w:autoRedefine/>
    <w:qFormat/>
    <w:uiPriority w:val="0"/>
    <w:pPr>
      <w:ind w:firstLine="0" w:firstLineChars="0"/>
      <w:jc w:val="center"/>
    </w:pPr>
    <w:rPr>
      <w:sz w:val="21"/>
    </w:rPr>
  </w:style>
  <w:style w:type="paragraph" w:customStyle="1" w:styleId="974">
    <w:name w:val="Body Text First Indent1"/>
    <w:basedOn w:val="26"/>
    <w:autoRedefine/>
    <w:qFormat/>
    <w:uiPriority w:val="0"/>
    <w:pPr>
      <w:ind w:firstLine="420" w:firstLineChars="100"/>
    </w:pPr>
  </w:style>
  <w:style w:type="character" w:customStyle="1" w:styleId="975">
    <w:name w:val="font101"/>
    <w:basedOn w:val="70"/>
    <w:qFormat/>
    <w:uiPriority w:val="0"/>
    <w:rPr>
      <w:rFonts w:hint="default"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55</Pages>
  <Words>4363</Words>
  <Characters>4852</Characters>
  <Lines>244</Lines>
  <Paragraphs>68</Paragraphs>
  <TotalTime>95</TotalTime>
  <ScaleCrop>false</ScaleCrop>
  <LinksUpToDate>false</LinksUpToDate>
  <CharactersWithSpaces>5124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林郎1374707049</cp:lastModifiedBy>
  <cp:lastPrinted>2024-12-12T06:08:00Z</cp:lastPrinted>
  <dcterms:modified xsi:type="dcterms:W3CDTF">2025-01-15T08:14:57Z</dcterms:modified>
  <dc:title>杭州市市民卡扩大发卡工程</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D4B1CE1CD7674C7BADC149A9ABBF680F_13</vt:lpwstr>
  </property>
  <property fmtid="{D5CDD505-2E9C-101B-9397-08002B2CF9AE}" pid="5" name="KSOTemplateDocerSaveRecord">
    <vt:lpwstr>eyJoZGlkIjoiNDlkNjlmMjZjNmVjNDBjNjI3MzM4MGM3NDJlYmI2MTAiLCJ1c2VySWQiOiIzNTg0NzkwIn0=</vt:lpwstr>
  </property>
</Properties>
</file>