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4AEAF">
      <w:pPr>
        <w:adjustRightInd/>
        <w:spacing w:line="360" w:lineRule="auto"/>
        <w:jc w:val="both"/>
        <w:rPr>
          <w:rFonts w:ascii="宋体" w:hAnsi="宋体" w:cs="宋体"/>
          <w:b/>
          <w:color w:val="auto"/>
          <w:sz w:val="48"/>
          <w:szCs w:val="48"/>
        </w:rPr>
      </w:pPr>
    </w:p>
    <w:p w14:paraId="1485D722">
      <w:pPr>
        <w:adjustRightInd/>
        <w:spacing w:line="360" w:lineRule="auto"/>
        <w:jc w:val="center"/>
        <w:rPr>
          <w:rFonts w:hint="eastAsia" w:ascii="宋体" w:hAnsi="宋体" w:eastAsia="宋体" w:cs="宋体"/>
          <w:color w:val="auto"/>
          <w:sz w:val="48"/>
          <w:szCs w:val="48"/>
          <w:lang w:val="en-US" w:eastAsia="zh-CN"/>
        </w:rPr>
      </w:pPr>
      <w:r>
        <w:rPr>
          <w:rFonts w:hint="eastAsia" w:ascii="宋体" w:hAnsi="宋体" w:cs="宋体"/>
          <w:color w:val="auto"/>
          <w:sz w:val="44"/>
          <w:szCs w:val="44"/>
          <w:lang w:val="en-US" w:eastAsia="zh-CN"/>
        </w:rPr>
        <w:t xml:space="preserve">大佳何“艺术谷”和美示范片区工程—宁海县大佳何镇南阳福园景区（二期） </w:t>
      </w:r>
    </w:p>
    <w:p w14:paraId="71841BE3">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竞争性磋商文件</w:t>
      </w:r>
    </w:p>
    <w:p w14:paraId="3824BC92">
      <w:pPr>
        <w:adjustRightInd/>
        <w:spacing w:line="360" w:lineRule="auto"/>
        <w:jc w:val="center"/>
        <w:rPr>
          <w:rFonts w:hint="eastAsia" w:ascii="宋体" w:hAnsi="宋体" w:cs="宋体"/>
          <w:b/>
          <w:color w:val="auto"/>
          <w:sz w:val="44"/>
          <w:szCs w:val="44"/>
        </w:rPr>
      </w:pPr>
    </w:p>
    <w:p w14:paraId="78DA9A3B">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（电子交易）</w:t>
      </w:r>
    </w:p>
    <w:p w14:paraId="4F77AE71">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编号:NBHZCG-202</w:t>
      </w:r>
      <w:r>
        <w:rPr>
          <w:rFonts w:hint="eastAsia" w:ascii="宋体" w:hAnsi="宋体" w:cs="宋体"/>
          <w:color w:val="auto"/>
          <w:sz w:val="30"/>
          <w:szCs w:val="30"/>
          <w:lang w:val="en-US" w:eastAsia="zh-CN"/>
        </w:rPr>
        <w:t>5</w:t>
      </w:r>
      <w:r>
        <w:rPr>
          <w:rFonts w:hint="eastAsia" w:ascii="宋体" w:hAnsi="宋体" w:cs="宋体"/>
          <w:color w:val="auto"/>
          <w:sz w:val="30"/>
          <w:szCs w:val="30"/>
        </w:rPr>
        <w:t>-0</w:t>
      </w:r>
      <w:r>
        <w:rPr>
          <w:rFonts w:hint="eastAsia" w:ascii="宋体" w:hAnsi="宋体" w:cs="宋体"/>
          <w:color w:val="auto"/>
          <w:sz w:val="30"/>
          <w:szCs w:val="30"/>
          <w:lang w:val="en-US" w:eastAsia="zh-CN"/>
        </w:rPr>
        <w:t>02</w:t>
      </w:r>
    </w:p>
    <w:p w14:paraId="702FB215">
      <w:pPr>
        <w:adjustRightInd/>
        <w:spacing w:line="360" w:lineRule="auto"/>
        <w:rPr>
          <w:rFonts w:ascii="宋体" w:hAnsi="宋体" w:cs="宋体"/>
          <w:color w:val="auto"/>
          <w:sz w:val="28"/>
          <w:szCs w:val="20"/>
        </w:rPr>
      </w:pPr>
    </w:p>
    <w:p w14:paraId="2900CF63">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2639BAF2">
      <w:pPr>
        <w:spacing w:line="360" w:lineRule="auto"/>
        <w:jc w:val="center"/>
        <w:rPr>
          <w:rFonts w:ascii="宋体" w:hAnsi="宋体" w:cs="宋体"/>
          <w:b/>
          <w:color w:val="auto"/>
          <w:sz w:val="44"/>
          <w:szCs w:val="44"/>
        </w:rPr>
      </w:pPr>
    </w:p>
    <w:p w14:paraId="4EED9517">
      <w:pPr>
        <w:spacing w:line="360" w:lineRule="auto"/>
        <w:jc w:val="center"/>
        <w:rPr>
          <w:rFonts w:ascii="宋体" w:hAnsi="宋体" w:cs="宋体"/>
          <w:color w:val="auto"/>
          <w:sz w:val="24"/>
        </w:rPr>
      </w:pPr>
    </w:p>
    <w:p w14:paraId="774383FA">
      <w:pPr>
        <w:pStyle w:val="25"/>
      </w:pPr>
    </w:p>
    <w:p w14:paraId="1A0D6D24">
      <w:pPr>
        <w:spacing w:line="360" w:lineRule="auto"/>
        <w:jc w:val="center"/>
        <w:rPr>
          <w:rFonts w:ascii="宋体" w:hAnsi="宋体" w:cs="宋体"/>
          <w:color w:val="auto"/>
          <w:sz w:val="24"/>
        </w:rPr>
      </w:pPr>
    </w:p>
    <w:p w14:paraId="55D1FFAD">
      <w:pPr>
        <w:spacing w:line="360" w:lineRule="auto"/>
        <w:rPr>
          <w:rFonts w:ascii="宋体" w:hAnsi="宋体" w:cs="宋体"/>
          <w:color w:val="auto"/>
          <w:sz w:val="32"/>
          <w:szCs w:val="32"/>
        </w:rPr>
      </w:pPr>
    </w:p>
    <w:p w14:paraId="0B9520B7">
      <w:pPr>
        <w:snapToGrid w:val="0"/>
        <w:spacing w:line="360" w:lineRule="auto"/>
        <w:ind w:firstLine="2240" w:firstLineChars="700"/>
        <w:jc w:val="both"/>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 xml:space="preserve">采购单位：宁海县大佳何镇人民政府    </w:t>
      </w:r>
    </w:p>
    <w:p w14:paraId="6B284836">
      <w:pPr>
        <w:snapToGrid w:val="0"/>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rPr>
        <w:t>代理机构：</w:t>
      </w:r>
      <w:r>
        <w:rPr>
          <w:rFonts w:hint="eastAsia" w:ascii="宋体" w:hAnsi="宋体" w:cs="宋体"/>
          <w:bCs/>
          <w:color w:val="auto"/>
          <w:sz w:val="32"/>
          <w:szCs w:val="32"/>
          <w:lang w:eastAsia="zh-CN"/>
        </w:rPr>
        <w:t>宁波禾正工程管理有限公司</w:t>
      </w:r>
    </w:p>
    <w:p w14:paraId="078DF768">
      <w:pPr>
        <w:snapToGrid w:val="0"/>
        <w:spacing w:line="360" w:lineRule="auto"/>
        <w:jc w:val="center"/>
        <w:rPr>
          <w:rFonts w:hint="eastAsia" w:ascii="宋体" w:hAnsi="宋体" w:cs="宋体"/>
          <w:bCs/>
          <w:color w:val="auto"/>
          <w:sz w:val="32"/>
          <w:szCs w:val="32"/>
        </w:rPr>
      </w:pPr>
    </w:p>
    <w:p w14:paraId="060C3995">
      <w:pPr>
        <w:kinsoku/>
        <w:wordWrap/>
        <w:overflowPunct/>
        <w:topLinePunct w:val="0"/>
        <w:bidi w:val="0"/>
        <w:snapToGrid w:val="0"/>
        <w:spacing w:line="360" w:lineRule="auto"/>
        <w:jc w:val="center"/>
        <w:outlineLvl w:val="9"/>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一</w:t>
      </w:r>
      <w:r>
        <w:rPr>
          <w:rFonts w:hint="eastAsia" w:ascii="宋体" w:hAnsi="宋体" w:cs="宋体"/>
          <w:bCs/>
          <w:sz w:val="32"/>
          <w:szCs w:val="32"/>
        </w:rPr>
        <w:t>月</w:t>
      </w:r>
    </w:p>
    <w:p w14:paraId="36102FA8">
      <w:pPr>
        <w:spacing w:line="360" w:lineRule="auto"/>
        <w:ind w:firstLine="1280" w:firstLineChars="400"/>
        <w:rPr>
          <w:rFonts w:hint="eastAsia" w:ascii="宋体" w:hAnsi="宋体" w:eastAsia="宋体" w:cs="宋体"/>
          <w:color w:val="auto"/>
          <w:sz w:val="32"/>
          <w:szCs w:val="32"/>
          <w:lang w:val="en-US" w:eastAsia="zh-CN"/>
        </w:rPr>
      </w:pPr>
      <w:r>
        <w:rPr>
          <w:rFonts w:hint="eastAsia" w:ascii="宋体" w:hAnsi="宋体" w:cs="宋体"/>
          <w:color w:val="auto"/>
          <w:sz w:val="32"/>
          <w:szCs w:val="32"/>
          <w:lang w:val="en-US" w:eastAsia="zh-CN"/>
        </w:rPr>
        <w:t xml:space="preserve"> </w:t>
      </w:r>
    </w:p>
    <w:p w14:paraId="41B5C253">
      <w:pPr>
        <w:spacing w:line="360" w:lineRule="auto"/>
        <w:ind w:firstLine="549" w:firstLineChars="229"/>
        <w:rPr>
          <w:rFonts w:ascii="宋体" w:hAnsi="宋体" w:cs="宋体"/>
          <w:color w:val="auto"/>
          <w:sz w:val="24"/>
        </w:rPr>
      </w:pPr>
      <w:bookmarkStart w:id="0" w:name="_Hlt91233176"/>
      <w:bookmarkEnd w:id="0"/>
      <w:bookmarkStart w:id="1" w:name="_Toc91899869"/>
    </w:p>
    <w:p w14:paraId="592C6B64">
      <w:pPr>
        <w:spacing w:line="360" w:lineRule="auto"/>
        <w:ind w:firstLine="549" w:firstLineChars="229"/>
        <w:rPr>
          <w:rFonts w:ascii="宋体" w:hAnsi="宋体" w:cs="宋体"/>
          <w:color w:val="auto"/>
          <w:sz w:val="24"/>
        </w:rPr>
      </w:pPr>
    </w:p>
    <w:p w14:paraId="1588A0B5">
      <w:pPr>
        <w:spacing w:line="360" w:lineRule="auto"/>
        <w:ind w:firstLine="549" w:firstLineChars="229"/>
        <w:rPr>
          <w:rFonts w:ascii="宋体" w:hAnsi="宋体" w:cs="宋体"/>
          <w:color w:val="auto"/>
          <w:sz w:val="24"/>
        </w:rPr>
      </w:pPr>
    </w:p>
    <w:p w14:paraId="0D2EB108">
      <w:pPr>
        <w:spacing w:line="360" w:lineRule="auto"/>
        <w:ind w:firstLine="549" w:firstLineChars="229"/>
        <w:rPr>
          <w:rFonts w:ascii="宋体" w:hAnsi="宋体" w:cs="宋体"/>
          <w:color w:val="auto"/>
          <w:sz w:val="24"/>
        </w:rPr>
      </w:pPr>
    </w:p>
    <w:p w14:paraId="31A75342">
      <w:pPr>
        <w:spacing w:line="360" w:lineRule="auto"/>
        <w:ind w:firstLine="549" w:firstLineChars="229"/>
        <w:rPr>
          <w:rFonts w:ascii="宋体" w:hAnsi="宋体" w:cs="宋体"/>
          <w:color w:val="auto"/>
          <w:sz w:val="24"/>
        </w:rPr>
      </w:pPr>
    </w:p>
    <w:p w14:paraId="77475110">
      <w:pPr>
        <w:spacing w:line="360" w:lineRule="auto"/>
        <w:ind w:firstLine="549" w:firstLineChars="229"/>
        <w:rPr>
          <w:rFonts w:ascii="宋体" w:hAnsi="宋体" w:cs="宋体"/>
          <w:color w:val="auto"/>
          <w:sz w:val="24"/>
        </w:rPr>
      </w:pPr>
    </w:p>
    <w:p w14:paraId="138DDC12">
      <w:pPr>
        <w:spacing w:line="360" w:lineRule="auto"/>
        <w:ind w:firstLine="549" w:firstLineChars="229"/>
        <w:rPr>
          <w:rFonts w:ascii="宋体" w:hAnsi="宋体" w:cs="宋体"/>
          <w:color w:val="auto"/>
          <w:sz w:val="24"/>
        </w:rPr>
      </w:pPr>
    </w:p>
    <w:p w14:paraId="442C76CC">
      <w:pPr>
        <w:spacing w:line="360" w:lineRule="auto"/>
        <w:ind w:firstLine="549" w:firstLineChars="229"/>
        <w:rPr>
          <w:rFonts w:ascii="宋体" w:hAnsi="宋体" w:cs="宋体"/>
          <w:color w:val="auto"/>
          <w:sz w:val="24"/>
        </w:rPr>
      </w:pPr>
    </w:p>
    <w:p w14:paraId="45000A3D">
      <w:pPr>
        <w:spacing w:line="360" w:lineRule="auto"/>
        <w:ind w:firstLine="549" w:firstLineChars="229"/>
        <w:rPr>
          <w:rFonts w:ascii="宋体" w:hAnsi="宋体" w:cs="宋体"/>
          <w:color w:val="auto"/>
          <w:sz w:val="24"/>
        </w:rPr>
      </w:pPr>
    </w:p>
    <w:p w14:paraId="418ACD6F">
      <w:pPr>
        <w:spacing w:line="360" w:lineRule="auto"/>
        <w:ind w:firstLine="549" w:firstLineChars="229"/>
        <w:rPr>
          <w:rFonts w:ascii="宋体" w:hAnsi="宋体" w:cs="宋体"/>
          <w:color w:val="auto"/>
          <w:sz w:val="24"/>
        </w:rPr>
        <w:sectPr>
          <w:footerReference r:id="rId3" w:type="first"/>
          <w:pgSz w:w="11906" w:h="16838"/>
          <w:pgMar w:top="1440" w:right="1080" w:bottom="1440" w:left="1080" w:header="851" w:footer="992" w:gutter="0"/>
          <w:pgNumType w:fmt="decimal" w:start="1"/>
          <w:cols w:space="720" w:num="1"/>
          <w:docGrid w:linePitch="312" w:charSpace="0"/>
        </w:sectPr>
      </w:pPr>
    </w:p>
    <w:bookmarkEnd w:id="1"/>
    <w:p w14:paraId="5C978096">
      <w:pPr>
        <w:spacing w:line="360" w:lineRule="auto"/>
        <w:ind w:firstLine="4337" w:firstLineChars="900"/>
        <w:jc w:val="both"/>
        <w:rPr>
          <w:rFonts w:ascii="宋体" w:hAnsi="宋体" w:cs="宋体"/>
          <w:b/>
          <w:color w:val="auto"/>
          <w:sz w:val="48"/>
          <w:szCs w:val="48"/>
        </w:rPr>
      </w:pPr>
      <w:bookmarkStart w:id="2" w:name="_Hlt74728647"/>
      <w:bookmarkEnd w:id="2"/>
      <w:bookmarkStart w:id="3" w:name="_Hlt74649545"/>
      <w:bookmarkEnd w:id="3"/>
      <w:bookmarkStart w:id="4" w:name="_Hlt74707423"/>
      <w:bookmarkEnd w:id="4"/>
      <w:bookmarkStart w:id="5" w:name="_Hlt74729822"/>
      <w:bookmarkEnd w:id="5"/>
      <w:bookmarkStart w:id="6" w:name="第二部分"/>
      <w:bookmarkStart w:id="7" w:name="_Toc91899870"/>
      <w:bookmarkStart w:id="8" w:name="_Toc91899871"/>
      <w:r>
        <w:rPr>
          <w:rFonts w:hint="eastAsia" w:ascii="宋体" w:hAnsi="宋体" w:cs="宋体"/>
          <w:b/>
          <w:color w:val="auto"/>
          <w:sz w:val="48"/>
          <w:szCs w:val="48"/>
        </w:rPr>
        <w:t>目  录</w:t>
      </w:r>
    </w:p>
    <w:p w14:paraId="57B2D989">
      <w:pPr>
        <w:spacing w:line="360" w:lineRule="auto"/>
        <w:rPr>
          <w:rFonts w:ascii="宋体" w:hAnsi="宋体" w:cs="宋体"/>
          <w:color w:val="auto"/>
          <w:sz w:val="32"/>
          <w:szCs w:val="32"/>
        </w:rPr>
      </w:pPr>
    </w:p>
    <w:p w14:paraId="57B2FA21">
      <w:pPr>
        <w:spacing w:line="360" w:lineRule="auto"/>
        <w:rPr>
          <w:rFonts w:ascii="宋体" w:hAnsi="宋体" w:cs="宋体"/>
          <w:color w:val="auto"/>
          <w:sz w:val="32"/>
          <w:szCs w:val="32"/>
        </w:rPr>
      </w:pPr>
    </w:p>
    <w:p w14:paraId="58BB772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竞争性磋商公告</w:t>
      </w:r>
    </w:p>
    <w:p w14:paraId="141B5DD6">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第二部分      供应商须知</w:t>
      </w:r>
      <w:r>
        <w:rPr>
          <w:rFonts w:hint="eastAsia" w:ascii="宋体" w:hAnsi="宋体" w:cs="宋体"/>
          <w:color w:val="auto"/>
          <w:sz w:val="32"/>
          <w:szCs w:val="32"/>
          <w:lang w:val="en-US" w:eastAsia="zh-CN"/>
        </w:rPr>
        <w:t xml:space="preserve">  </w:t>
      </w:r>
    </w:p>
    <w:p w14:paraId="0A534AB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251418F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评审办法</w:t>
      </w:r>
    </w:p>
    <w:p w14:paraId="7CE56BB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32EA906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178F094E">
      <w:pPr>
        <w:adjustRightInd/>
        <w:spacing w:line="360" w:lineRule="auto"/>
        <w:jc w:val="both"/>
        <w:outlineLvl w:val="0"/>
        <w:rPr>
          <w:rFonts w:hint="eastAsia" w:ascii="宋体" w:hAnsi="宋体" w:cs="宋体"/>
          <w:b/>
          <w:color w:val="auto"/>
          <w:sz w:val="36"/>
          <w:szCs w:val="20"/>
        </w:rPr>
        <w:sectPr>
          <w:footerReference r:id="rId4" w:type="default"/>
          <w:pgSz w:w="11906" w:h="16838"/>
          <w:pgMar w:top="1440" w:right="1080" w:bottom="1440" w:left="1080" w:header="851" w:footer="992" w:gutter="0"/>
          <w:pgNumType w:fmt="decimal" w:start="1"/>
          <w:cols w:space="720" w:num="1"/>
          <w:docGrid w:linePitch="312" w:charSpace="0"/>
        </w:sectPr>
      </w:pPr>
    </w:p>
    <w:p w14:paraId="16DF9F5A">
      <w:pPr>
        <w:adjustRightInd/>
        <w:spacing w:line="360" w:lineRule="auto"/>
        <w:ind w:firstLine="2891" w:firstLineChars="800"/>
        <w:jc w:val="both"/>
        <w:outlineLvl w:val="0"/>
        <w:rPr>
          <w:rFonts w:ascii="宋体" w:hAnsi="宋体" w:cs="宋体"/>
          <w:b/>
          <w:color w:val="auto"/>
          <w:sz w:val="36"/>
          <w:szCs w:val="20"/>
        </w:rPr>
      </w:pPr>
      <w:r>
        <w:rPr>
          <w:rFonts w:hint="eastAsia" w:ascii="宋体" w:hAnsi="宋体" w:cs="宋体"/>
          <w:b/>
          <w:color w:val="auto"/>
          <w:sz w:val="36"/>
          <w:szCs w:val="20"/>
        </w:rPr>
        <w:t>第一部分 竞争性磋商公告</w:t>
      </w:r>
    </w:p>
    <w:p w14:paraId="79F75C86">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rPr>
      </w:pPr>
      <w:r>
        <w:rPr>
          <w:rFonts w:hint="eastAsia" w:ascii="宋体" w:hAnsi="宋体" w:cs="宋体"/>
          <w:color w:val="auto"/>
          <w:sz w:val="24"/>
        </w:rPr>
        <w:t>项目概况</w:t>
      </w:r>
    </w:p>
    <w:p w14:paraId="027D849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val="en-US" w:eastAsia="zh-CN"/>
        </w:rPr>
        <w:t xml:space="preserve">大佳何“艺术谷”和美示范片区工程—宁海县大佳何镇南阳福园景区（二期） </w:t>
      </w:r>
      <w:r>
        <w:rPr>
          <w:rFonts w:hint="eastAsia" w:ascii="宋体" w:hAnsi="宋体" w:cs="宋体"/>
          <w:color w:val="auto"/>
          <w:sz w:val="24"/>
        </w:rPr>
        <w:t>采购项目的潜在供应商应在政采云平台（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8"/>
          <w:rFonts w:hint="eastAsia" w:ascii="宋体" w:hAnsi="宋体" w:eastAsia="宋体" w:cs="宋体"/>
          <w:snapToGrid/>
          <w:color w:val="auto"/>
          <w:kern w:val="2"/>
          <w:sz w:val="24"/>
          <w:szCs w:val="24"/>
        </w:rPr>
        <w:t>https://www.zcygov.cn/）获取（下载）采购文件，并于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01</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 xml:space="preserve"> 点 </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00秒</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提交（上传）响应文件。</w:t>
      </w:r>
    </w:p>
    <w:p w14:paraId="1DA1A279">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089CB98F">
      <w:pPr>
        <w:snapToGrid w:val="0"/>
        <w:spacing w:line="360" w:lineRule="auto"/>
        <w:ind w:firstLine="482" w:firstLineChars="200"/>
        <w:rPr>
          <w:rFonts w:hint="default" w:ascii="宋体" w:hAnsi="宋体" w:eastAsia="宋体" w:cs="宋体"/>
          <w:color w:val="auto"/>
          <w:sz w:val="24"/>
          <w:lang w:val="en-US" w:eastAsia="zh-CN"/>
        </w:rPr>
      </w:pPr>
      <w:r>
        <w:rPr>
          <w:rFonts w:hint="eastAsia" w:ascii="宋体" w:hAnsi="宋体" w:cs="宋体"/>
          <w:b/>
          <w:color w:val="auto"/>
          <w:sz w:val="24"/>
        </w:rPr>
        <w:t>项目编号：</w:t>
      </w:r>
      <w:r>
        <w:rPr>
          <w:rFonts w:hint="eastAsia" w:ascii="宋体" w:hAnsi="宋体" w:eastAsia="宋体" w:cs="宋体"/>
          <w:b w:val="0"/>
          <w:bCs/>
          <w:color w:val="auto"/>
          <w:sz w:val="24"/>
          <w:lang w:val="en-US" w:eastAsia="zh-CN"/>
        </w:rPr>
        <w:t>NBHZCG-202</w:t>
      </w:r>
      <w:r>
        <w:rPr>
          <w:rFonts w:hint="eastAsia" w:ascii="宋体" w:hAnsi="宋体" w:cs="宋体"/>
          <w:b w:val="0"/>
          <w:bCs/>
          <w:color w:val="auto"/>
          <w:sz w:val="24"/>
          <w:lang w:val="en-US" w:eastAsia="zh-CN"/>
        </w:rPr>
        <w:t>5</w:t>
      </w:r>
      <w:r>
        <w:rPr>
          <w:rFonts w:hint="eastAsia" w:ascii="宋体" w:hAnsi="宋体" w:eastAsia="宋体" w:cs="宋体"/>
          <w:b w:val="0"/>
          <w:bCs/>
          <w:color w:val="auto"/>
          <w:sz w:val="24"/>
          <w:lang w:val="en-US" w:eastAsia="zh-CN"/>
        </w:rPr>
        <w:t>-0</w:t>
      </w:r>
      <w:r>
        <w:rPr>
          <w:rFonts w:hint="eastAsia" w:ascii="宋体" w:hAnsi="宋体" w:cs="宋体"/>
          <w:b w:val="0"/>
          <w:bCs/>
          <w:color w:val="auto"/>
          <w:sz w:val="24"/>
          <w:lang w:val="en-US" w:eastAsia="zh-CN"/>
        </w:rPr>
        <w:t>02</w:t>
      </w:r>
    </w:p>
    <w:p w14:paraId="088DFD86">
      <w:pPr>
        <w:snapToGrid w:val="0"/>
        <w:spacing w:line="360" w:lineRule="auto"/>
        <w:ind w:firstLine="482" w:firstLineChars="200"/>
        <w:rPr>
          <w:rFonts w:hint="default" w:ascii="宋体" w:hAnsi="宋体" w:eastAsia="宋体" w:cs="宋体"/>
          <w:b w:val="0"/>
          <w:bCs/>
          <w:color w:val="auto"/>
          <w:sz w:val="24"/>
          <w:lang w:val="en-US" w:eastAsia="zh-CN"/>
        </w:rPr>
      </w:pPr>
      <w:r>
        <w:rPr>
          <w:rFonts w:hint="eastAsia" w:ascii="宋体" w:hAnsi="宋体" w:cs="宋体"/>
          <w:b/>
          <w:color w:val="auto"/>
          <w:sz w:val="24"/>
        </w:rPr>
        <w:t>项目名称：</w:t>
      </w:r>
      <w:r>
        <w:rPr>
          <w:rFonts w:hint="eastAsia" w:ascii="宋体" w:hAnsi="宋体" w:cs="宋体"/>
          <w:b w:val="0"/>
          <w:bCs/>
          <w:color w:val="auto"/>
          <w:sz w:val="24"/>
          <w:lang w:val="en-US" w:eastAsia="zh-CN"/>
        </w:rPr>
        <w:t xml:space="preserve">大佳何“艺术谷”和美示范片区工程—宁海县大佳何镇南阳福园景区（二期） </w:t>
      </w:r>
    </w:p>
    <w:p w14:paraId="0F99CEBA">
      <w:pPr>
        <w:snapToGrid w:val="0"/>
        <w:spacing w:line="360" w:lineRule="auto"/>
        <w:ind w:firstLine="482" w:firstLineChars="200"/>
        <w:rPr>
          <w:rFonts w:hint="default" w:ascii="宋体" w:hAnsi="宋体" w:cs="宋体"/>
          <w:color w:val="auto"/>
          <w:sz w:val="24"/>
          <w:lang w:val="en-US"/>
        </w:rPr>
      </w:pPr>
      <w:r>
        <w:rPr>
          <w:rFonts w:hint="eastAsia" w:ascii="宋体" w:hAnsi="宋体" w:cs="宋体"/>
          <w:b/>
          <w:color w:val="auto"/>
          <w:sz w:val="24"/>
        </w:rPr>
        <w:t>预算金额（元）：</w:t>
      </w:r>
      <w:r>
        <w:rPr>
          <w:rFonts w:hint="eastAsia" w:ascii="宋体" w:hAnsi="宋体" w:eastAsia="宋体" w:cs="宋体"/>
          <w:b w:val="0"/>
          <w:bCs/>
          <w:snapToGrid w:val="0"/>
          <w:color w:val="auto"/>
          <w:kern w:val="28"/>
          <w:sz w:val="24"/>
          <w:szCs w:val="20"/>
          <w:lang w:val="en-US" w:eastAsia="zh-CN" w:bidi="ar-SA"/>
        </w:rPr>
        <w:t>3598231</w:t>
      </w:r>
    </w:p>
    <w:p w14:paraId="32F9FCC6">
      <w:pPr>
        <w:pStyle w:val="17"/>
        <w:spacing w:line="360" w:lineRule="auto"/>
        <w:ind w:firstLine="482" w:firstLineChars="200"/>
        <w:rPr>
          <w:rFonts w:hint="eastAsia" w:ascii="宋体" w:hAnsi="宋体" w:eastAsia="宋体" w:cs="宋体"/>
          <w:b w:val="0"/>
          <w:bCs/>
          <w:color w:val="auto"/>
          <w:sz w:val="24"/>
          <w:lang w:val="en-US" w:eastAsia="zh-CN"/>
        </w:rPr>
      </w:pPr>
      <w:r>
        <w:rPr>
          <w:rFonts w:hint="eastAsia" w:ascii="宋体" w:hAnsi="宋体" w:cs="宋体"/>
          <w:b/>
          <w:color w:val="auto"/>
          <w:sz w:val="24"/>
        </w:rPr>
        <w:t>最高限价（元）</w:t>
      </w:r>
      <w:r>
        <w:rPr>
          <w:rFonts w:hint="eastAsia" w:ascii="宋体" w:hAnsi="宋体" w:eastAsia="宋体" w:cs="宋体"/>
          <w:b w:val="0"/>
          <w:bCs/>
          <w:color w:val="auto"/>
          <w:sz w:val="24"/>
          <w:lang w:val="en-US" w:eastAsia="zh-CN"/>
        </w:rPr>
        <w:t>：3598231</w:t>
      </w:r>
    </w:p>
    <w:p w14:paraId="2C3B9DB6">
      <w:pPr>
        <w:pStyle w:val="17"/>
        <w:keepNext w:val="0"/>
        <w:keepLines w:val="0"/>
        <w:pageBreakBefore w:val="0"/>
        <w:kinsoku/>
        <w:wordWrap/>
        <w:overflowPunct/>
        <w:topLinePunct w:val="0"/>
        <w:autoSpaceDE/>
        <w:autoSpaceDN/>
        <w:bidi w:val="0"/>
        <w:adjustRightInd w:val="0"/>
        <w:spacing w:line="312" w:lineRule="auto"/>
        <w:ind w:firstLine="482" w:firstLineChars="200"/>
        <w:textAlignment w:val="auto"/>
        <w:outlineLvl w:val="9"/>
        <w:rPr>
          <w:rFonts w:hAnsi="宋体" w:cs="宋体"/>
          <w:b w:val="0"/>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3E317AD8">
      <w:pPr>
        <w:pStyle w:val="132"/>
        <w:snapToGrid w:val="0"/>
        <w:spacing w:before="0"/>
        <w:ind w:firstLine="482"/>
        <w:outlineLvl w:val="2"/>
        <w:rPr>
          <w:rFonts w:hint="default" w:ascii="宋体" w:hAnsi="宋体" w:eastAsia="宋体" w:cs="宋体"/>
          <w:b w:val="0"/>
          <w:bCs/>
          <w:snapToGrid w:val="0"/>
          <w:color w:val="auto"/>
          <w:kern w:val="28"/>
          <w:sz w:val="24"/>
          <w:szCs w:val="20"/>
          <w:lang w:val="en-US" w:eastAsia="zh-CN" w:bidi="ar-SA"/>
        </w:rPr>
      </w:pPr>
      <w:r>
        <w:rPr>
          <w:rFonts w:hint="eastAsia" w:ascii="宋体" w:hAnsi="宋体" w:cs="宋体"/>
          <w:b/>
          <w:color w:val="auto"/>
        </w:rPr>
        <w:t>合同履约期限：</w:t>
      </w:r>
      <w:r>
        <w:rPr>
          <w:rFonts w:hint="eastAsia" w:ascii="宋体" w:hAnsi="宋体" w:eastAsia="宋体" w:cs="宋体"/>
          <w:b w:val="0"/>
          <w:bCs/>
          <w:snapToGrid w:val="0"/>
          <w:color w:val="auto"/>
          <w:kern w:val="28"/>
          <w:sz w:val="24"/>
          <w:szCs w:val="20"/>
          <w:lang w:val="en-US" w:eastAsia="zh-CN" w:bidi="ar-SA"/>
        </w:rPr>
        <w:t>自开工令发出之日起</w:t>
      </w:r>
      <w:r>
        <w:rPr>
          <w:rFonts w:hint="eastAsia" w:ascii="宋体" w:hAnsi="宋体" w:cs="宋体"/>
          <w:b w:val="0"/>
          <w:bCs/>
          <w:snapToGrid w:val="0"/>
          <w:color w:val="auto"/>
          <w:kern w:val="28"/>
          <w:sz w:val="24"/>
          <w:szCs w:val="20"/>
          <w:highlight w:val="none"/>
          <w:lang w:val="en-US" w:eastAsia="zh-CN" w:bidi="ar-SA"/>
        </w:rPr>
        <w:t>150</w:t>
      </w:r>
      <w:r>
        <w:rPr>
          <w:rFonts w:hint="eastAsia" w:ascii="宋体" w:hAnsi="宋体" w:eastAsia="宋体" w:cs="宋体"/>
          <w:b w:val="0"/>
          <w:bCs/>
          <w:snapToGrid w:val="0"/>
          <w:color w:val="auto"/>
          <w:kern w:val="28"/>
          <w:sz w:val="24"/>
          <w:szCs w:val="20"/>
          <w:lang w:val="en-US" w:eastAsia="zh-CN" w:bidi="ar-SA"/>
        </w:rPr>
        <w:t>日历天内完成。</w:t>
      </w:r>
    </w:p>
    <w:p w14:paraId="20754165">
      <w:pPr>
        <w:pStyle w:val="17"/>
        <w:spacing w:line="360" w:lineRule="auto"/>
        <w:ind w:firstLine="482" w:firstLineChars="200"/>
        <w:rPr>
          <w:rFonts w:hAnsi="宋体" w:cs="宋体"/>
          <w:b/>
          <w:color w:val="auto"/>
          <w:sz w:val="24"/>
        </w:rPr>
      </w:pPr>
      <w:r>
        <w:rPr>
          <w:rFonts w:hint="eastAsia" w:hAnsi="宋体" w:cs="宋体"/>
          <w:b/>
          <w:color w:val="auto"/>
          <w:sz w:val="24"/>
        </w:rPr>
        <w:t>本项目接受联合体：</w:t>
      </w:r>
    </w:p>
    <w:p w14:paraId="27B317F3">
      <w:pPr>
        <w:pStyle w:val="17"/>
        <w:spacing w:line="360" w:lineRule="auto"/>
        <w:ind w:firstLine="480" w:firstLineChars="200"/>
        <w:rPr>
          <w:rFonts w:hint="eastAsia" w:ascii="宋体" w:hAnsi="宋体" w:eastAsia="宋体" w:cs="宋体"/>
          <w:b/>
          <w:color w:val="auto"/>
          <w:lang w:eastAsia="zh-CN"/>
        </w:rPr>
      </w:pP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color w:val="auto"/>
          <w:sz w:val="24"/>
        </w:rPr>
        <w:t>是</w:t>
      </w:r>
      <w:r>
        <w:rPr>
          <w:rFonts w:hint="eastAsia" w:hAnsi="宋体" w:cs="宋体"/>
          <w:color w:val="auto"/>
          <w:sz w:val="24"/>
          <w:lang w:eastAsia="zh-CN"/>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color w:val="auto"/>
          <w:sz w:val="24"/>
        </w:rPr>
        <w:t>否</w:t>
      </w:r>
      <w:r>
        <w:rPr>
          <w:rFonts w:hint="eastAsia" w:hAnsi="宋体" w:cs="宋体"/>
          <w:color w:val="auto"/>
          <w:sz w:val="24"/>
          <w:lang w:eastAsia="zh-CN"/>
        </w:rPr>
        <w:t>。</w:t>
      </w:r>
    </w:p>
    <w:p w14:paraId="18B626ED">
      <w:pPr>
        <w:spacing w:line="360" w:lineRule="auto"/>
        <w:rPr>
          <w:rFonts w:ascii="宋体" w:hAnsi="宋体" w:cs="宋体"/>
          <w:b/>
          <w:color w:val="auto"/>
          <w:sz w:val="24"/>
        </w:rPr>
      </w:pPr>
      <w:r>
        <w:rPr>
          <w:rFonts w:hint="eastAsia" w:ascii="宋体" w:hAnsi="宋体" w:cs="宋体"/>
          <w:b/>
          <w:color w:val="auto"/>
          <w:sz w:val="24"/>
        </w:rPr>
        <w:t>二、</w:t>
      </w:r>
      <w:bookmarkStart w:id="9" w:name="_Hlk101132948"/>
      <w:r>
        <w:rPr>
          <w:rFonts w:hint="eastAsia" w:ascii="宋体" w:hAnsi="宋体" w:cs="宋体"/>
          <w:b/>
          <w:color w:val="auto"/>
          <w:sz w:val="24"/>
        </w:rPr>
        <w:t>申请人的资格要求</w:t>
      </w:r>
      <w:bookmarkEnd w:id="9"/>
      <w:r>
        <w:rPr>
          <w:rFonts w:hint="eastAsia" w:ascii="宋体" w:hAnsi="宋体" w:cs="宋体"/>
          <w:b/>
          <w:color w:val="auto"/>
          <w:sz w:val="24"/>
        </w:rPr>
        <w:t>：</w:t>
      </w:r>
    </w:p>
    <w:p w14:paraId="64633FE4">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B0D45AD">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以联合体形式参与的，提供联合协议(本项目不接受联合体或者供应商不以联合体形式参与的，则不需要提供) ；</w:t>
      </w:r>
    </w:p>
    <w:p w14:paraId="23021078">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16DC913B">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p>
    <w:p w14:paraId="4F57EE3B">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1A69A9E3">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工程全部由符合政策要求的中小企业承建，提供中小企业声明函；</w:t>
      </w:r>
    </w:p>
    <w:p w14:paraId="707DFB5B">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工程全部由符合政策要求的小微企业承建，提供中小企业声明函；</w:t>
      </w:r>
    </w:p>
    <w:p w14:paraId="53B8D204">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0"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0"/>
    <w:p w14:paraId="5A3C0DFC">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rPr>
        <w:t>；</w:t>
      </w:r>
    </w:p>
    <w:p w14:paraId="0C0C86E9">
      <w:pPr>
        <w:keepNext w:val="0"/>
        <w:keepLines w:val="0"/>
        <w:pageBreakBefore w:val="0"/>
        <w:widowControl/>
        <w:kinsoku/>
        <w:wordWrap/>
        <w:overflowPunct/>
        <w:topLinePunct w:val="0"/>
        <w:autoSpaceDE/>
        <w:autoSpaceDN/>
        <w:bidi w:val="0"/>
        <w:adjustRightInd w:val="0"/>
        <w:spacing w:line="312" w:lineRule="auto"/>
        <w:ind w:firstLine="480" w:firstLineChars="200"/>
        <w:textAlignment w:val="auto"/>
        <w:outlineLvl w:val="9"/>
        <w:rPr>
          <w:rFonts w:hint="eastAsia" w:ascii="宋体" w:hAnsi="宋体" w:eastAsia="宋体" w:cs="宋体"/>
          <w:color w:val="auto"/>
          <w:sz w:val="24"/>
          <w:highlight w:val="none"/>
          <w:u w:val="single"/>
          <w:lang w:eastAsia="zh-CN"/>
        </w:rPr>
      </w:pP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color w:val="auto"/>
          <w:sz w:val="24"/>
          <w:u w:val="single"/>
        </w:rPr>
        <w:t>须具备建筑工程施工总承包叁级及以上资质并具有有效的营业执照和安全生产许可证</w:t>
      </w:r>
      <w:r>
        <w:rPr>
          <w:rFonts w:hint="eastAsia" w:ascii="宋体" w:hAnsi="宋体" w:cs="宋体"/>
          <w:b/>
          <w:bCs/>
          <w:color w:val="auto"/>
          <w:sz w:val="24"/>
          <w:u w:val="single"/>
          <w:lang w:eastAsia="zh-CN"/>
        </w:rPr>
        <w:t>。</w:t>
      </w:r>
    </w:p>
    <w:p w14:paraId="04E0914A">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AF7E49">
      <w:pPr>
        <w:spacing w:line="360" w:lineRule="auto"/>
        <w:rPr>
          <w:rFonts w:ascii="宋体" w:hAnsi="宋体" w:cs="宋体"/>
          <w:b/>
          <w:color w:val="auto"/>
          <w:sz w:val="24"/>
        </w:rPr>
      </w:pPr>
      <w:r>
        <w:rPr>
          <w:rFonts w:hint="eastAsia" w:ascii="宋体" w:hAnsi="宋体" w:cs="宋体"/>
          <w:b/>
          <w:color w:val="auto"/>
          <w:sz w:val="24"/>
        </w:rPr>
        <w:t xml:space="preserve">三、获取采购文件 </w:t>
      </w:r>
    </w:p>
    <w:p w14:paraId="7FC85E46">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u w:val="single"/>
          <w:lang w:val="en-US" w:eastAsia="zh-CN"/>
        </w:rPr>
        <w:t>公告之日起</w:t>
      </w:r>
      <w:r>
        <w:rPr>
          <w:rFonts w:hint="eastAsia" w:ascii="宋体" w:hAnsi="宋体" w:eastAsia="宋体" w:cs="宋体"/>
          <w:color w:val="auto"/>
          <w:sz w:val="24"/>
          <w:u w:val="single"/>
        </w:rPr>
        <w:t>至202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01</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eastAsia="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393A5478">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F2FD823">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000569F3">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130DA70E">
      <w:pPr>
        <w:spacing w:line="360" w:lineRule="auto"/>
        <w:rPr>
          <w:rFonts w:ascii="宋体" w:hAnsi="宋体" w:cs="宋体"/>
          <w:b/>
          <w:color w:val="auto"/>
          <w:sz w:val="24"/>
        </w:rPr>
      </w:pPr>
      <w:r>
        <w:rPr>
          <w:rFonts w:hint="eastAsia" w:ascii="宋体" w:hAnsi="宋体" w:cs="宋体"/>
          <w:b/>
          <w:color w:val="auto"/>
          <w:sz w:val="24"/>
        </w:rPr>
        <w:t>四、响应文件提交（上传）</w:t>
      </w:r>
    </w:p>
    <w:p w14:paraId="3D4DE6F5">
      <w:pPr>
        <w:spacing w:line="360" w:lineRule="auto"/>
        <w:ind w:firstLine="482" w:firstLineChars="200"/>
        <w:rPr>
          <w:rFonts w:ascii="宋体" w:hAnsi="宋体" w:cs="宋体"/>
          <w:color w:val="auto"/>
          <w:sz w:val="24"/>
        </w:rPr>
      </w:pPr>
      <w:r>
        <w:rPr>
          <w:rFonts w:hint="eastAsia" w:ascii="宋体" w:hAnsi="宋体" w:cs="宋体"/>
          <w:b/>
          <w:color w:val="auto"/>
          <w:sz w:val="24"/>
        </w:rPr>
        <w:t>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01</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 xml:space="preserve">日 </w:t>
      </w:r>
      <w:r>
        <w:rPr>
          <w:rFonts w:hint="eastAsia" w:ascii="宋体" w:hAnsi="宋体" w:cs="宋体"/>
          <w:color w:val="auto"/>
          <w:sz w:val="24"/>
          <w:u w:val="single"/>
          <w:lang w:val="en-US" w:eastAsia="zh-CN"/>
        </w:rPr>
        <w:t>13</w:t>
      </w:r>
      <w:r>
        <w:rPr>
          <w:rFonts w:hint="eastAsia" w:ascii="宋体" w:hAnsi="宋体" w:cs="宋体"/>
          <w:color w:val="auto"/>
          <w:sz w:val="24"/>
          <w:u w:val="single"/>
        </w:rPr>
        <w:t xml:space="preserve">点 </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6E0D5623">
      <w:pPr>
        <w:spacing w:line="360" w:lineRule="auto"/>
        <w:ind w:firstLine="482" w:firstLineChars="200"/>
        <w:rPr>
          <w:rFonts w:ascii="宋体" w:hAnsi="宋体" w:cs="宋体"/>
          <w:b/>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77982DE9">
      <w:pPr>
        <w:spacing w:line="360" w:lineRule="auto"/>
        <w:rPr>
          <w:rFonts w:ascii="宋体" w:hAnsi="宋体" w:cs="宋体"/>
          <w:color w:val="auto"/>
          <w:sz w:val="24"/>
        </w:rPr>
      </w:pPr>
      <w:r>
        <w:rPr>
          <w:rFonts w:hint="eastAsia" w:ascii="宋体" w:hAnsi="宋体" w:cs="宋体"/>
          <w:b/>
          <w:color w:val="auto"/>
          <w:sz w:val="24"/>
        </w:rPr>
        <w:t xml:space="preserve">五、响应文件开启 </w:t>
      </w:r>
    </w:p>
    <w:p w14:paraId="7BEF906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开启时间：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01</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 xml:space="preserve">日 </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w:t>
      </w:r>
      <w:r>
        <w:rPr>
          <w:rFonts w:hint="eastAsia" w:ascii="宋体" w:hAnsi="宋体" w:cs="宋体"/>
          <w:bCs/>
          <w:color w:val="auto"/>
          <w:sz w:val="24"/>
          <w:u w:val="single"/>
        </w:rPr>
        <w:t xml:space="preserve"> </w:t>
      </w:r>
    </w:p>
    <w:p w14:paraId="6FDE0F5E">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政采云平台（https://www.zcygov.cn/）</w:t>
      </w:r>
    </w:p>
    <w:p w14:paraId="0F8D2106">
      <w:pPr>
        <w:spacing w:line="360" w:lineRule="auto"/>
        <w:rPr>
          <w:rFonts w:ascii="宋体" w:hAnsi="宋体" w:cs="宋体"/>
          <w:color w:val="auto"/>
          <w:sz w:val="24"/>
        </w:rPr>
      </w:pPr>
      <w:r>
        <w:rPr>
          <w:rFonts w:hint="eastAsia" w:ascii="宋体" w:hAnsi="宋体" w:cs="宋体"/>
          <w:b/>
          <w:color w:val="auto"/>
          <w:sz w:val="24"/>
        </w:rPr>
        <w:t xml:space="preserve">六、公告期限 </w:t>
      </w:r>
    </w:p>
    <w:p w14:paraId="4F62D222">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自本公告发布之日起3个工作日。</w:t>
      </w:r>
    </w:p>
    <w:p w14:paraId="3DB54241">
      <w:pPr>
        <w:spacing w:line="360" w:lineRule="auto"/>
        <w:rPr>
          <w:rFonts w:ascii="宋体" w:hAnsi="宋体" w:cs="宋体"/>
          <w:b/>
          <w:color w:val="auto"/>
          <w:sz w:val="24"/>
        </w:rPr>
      </w:pPr>
      <w:r>
        <w:rPr>
          <w:rFonts w:hint="eastAsia" w:ascii="宋体" w:hAnsi="宋体" w:cs="宋体"/>
          <w:b/>
          <w:color w:val="auto"/>
          <w:sz w:val="24"/>
        </w:rPr>
        <w:t>七、其他补充事宜</w:t>
      </w:r>
    </w:p>
    <w:p w14:paraId="26C3AB1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shd w:val="clear" w:color="auto" w:fill="FFFFFF"/>
        </w:rPr>
        <w:t>》（浙财采监〔2022〕8号）</w:t>
      </w:r>
      <w:r>
        <w:rPr>
          <w:rFonts w:hint="eastAsia" w:ascii="宋体" w:hAnsi="宋体" w:cs="宋体"/>
          <w:color w:val="auto"/>
          <w:sz w:val="24"/>
        </w:rPr>
        <w:t>已分别于2022年1月29日、2022年2月1日和2022年7月1日开始实施，此前有关规定与上述文件内容不一致的，按上述文件要求执行。</w:t>
      </w:r>
    </w:p>
    <w:p w14:paraId="451685E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B8535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2C621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99FD482">
      <w:pPr>
        <w:spacing w:line="360" w:lineRule="auto"/>
        <w:rPr>
          <w:rFonts w:ascii="宋体" w:hAnsi="宋体" w:cs="宋体"/>
          <w:b/>
          <w:color w:val="auto"/>
          <w:sz w:val="24"/>
        </w:rPr>
      </w:pPr>
      <w:r>
        <w:rPr>
          <w:rFonts w:hint="eastAsia" w:ascii="宋体" w:hAnsi="宋体" w:cs="宋体"/>
          <w:b/>
          <w:color w:val="auto"/>
          <w:sz w:val="24"/>
        </w:rPr>
        <w:t>八、对本次采购提出询问、质疑、投诉，请按以下方式联系</w:t>
      </w:r>
    </w:p>
    <w:p w14:paraId="223C2FD3">
      <w:pPr>
        <w:widowControl/>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highlight w:val="none"/>
        </w:rPr>
        <w:t>1.采购人：</w:t>
      </w:r>
      <w:r>
        <w:rPr>
          <w:rFonts w:hint="eastAsia" w:ascii="宋体" w:hAnsi="宋体" w:cs="宋体"/>
          <w:color w:val="auto"/>
          <w:szCs w:val="21"/>
          <w:highlight w:val="none"/>
          <w:lang w:val="en-US" w:eastAsia="zh-CN"/>
        </w:rPr>
        <w:t>宁海县大佳何镇人民政府</w:t>
      </w:r>
    </w:p>
    <w:p w14:paraId="6C7F9A2B">
      <w:pPr>
        <w:widowControl/>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highlight w:val="none"/>
        </w:rPr>
        <w:t xml:space="preserve">地 </w:t>
      </w:r>
      <w:r>
        <w:rPr>
          <w:rFonts w:hint="eastAsia" w:ascii="宋体" w:hAnsi="宋体" w:eastAsia="宋体" w:cs="宋体"/>
          <w:color w:val="auto"/>
          <w:szCs w:val="21"/>
          <w:highlight w:val="none"/>
          <w:lang w:val="en-US" w:eastAsia="zh-CN"/>
        </w:rPr>
        <w:t xml:space="preserve"> 址：宁海县大佳何镇 </w:t>
      </w:r>
      <w:r>
        <w:rPr>
          <w:rFonts w:hint="eastAsia" w:ascii="宋体" w:hAnsi="宋体" w:cs="宋体"/>
          <w:color w:val="auto"/>
          <w:szCs w:val="21"/>
          <w:highlight w:val="none"/>
          <w:lang w:val="en-US" w:eastAsia="zh-CN"/>
        </w:rPr>
        <w:t xml:space="preserve"> </w:t>
      </w:r>
    </w:p>
    <w:p w14:paraId="42C29C92">
      <w:pPr>
        <w:widowControl/>
        <w:spacing w:line="360" w:lineRule="auto"/>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项目联系人（询问）：石老师</w:t>
      </w:r>
    </w:p>
    <w:p w14:paraId="663737F1">
      <w:pPr>
        <w:widowControl/>
        <w:spacing w:line="360" w:lineRule="auto"/>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项目联系方式（询问）：0574-65152028  </w:t>
      </w:r>
    </w:p>
    <w:p w14:paraId="4814161B">
      <w:pPr>
        <w:widowControl/>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质疑联系人：何老师 </w:t>
      </w:r>
    </w:p>
    <w:p w14:paraId="757D60C5">
      <w:pPr>
        <w:widowControl/>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质疑联系方式：0574-65152028 </w:t>
      </w:r>
    </w:p>
    <w:p w14:paraId="1998828A">
      <w:pPr>
        <w:widowControl/>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2.代理机构：</w:t>
      </w:r>
      <w:r>
        <w:rPr>
          <w:rFonts w:hint="eastAsia" w:ascii="宋体" w:hAnsi="宋体" w:cs="宋体"/>
          <w:color w:val="auto"/>
          <w:highlight w:val="none"/>
          <w:lang w:eastAsia="zh-CN"/>
        </w:rPr>
        <w:t>宁波禾正工程管理有限公司</w:t>
      </w:r>
    </w:p>
    <w:p w14:paraId="6364D490">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地    址：宁海县桃源街道明湖银座2幢1号1301室</w:t>
      </w:r>
    </w:p>
    <w:p w14:paraId="21474309">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联 系 人：</w:t>
      </w:r>
      <w:r>
        <w:rPr>
          <w:rFonts w:hint="eastAsia" w:ascii="宋体" w:hAnsi="宋体" w:cs="宋体"/>
          <w:color w:val="auto"/>
          <w:kern w:val="0"/>
          <w:szCs w:val="21"/>
          <w:highlight w:val="none"/>
          <w:lang w:val="en-US" w:eastAsia="zh-CN"/>
        </w:rPr>
        <w:t>章安娜</w:t>
      </w:r>
      <w:r>
        <w:rPr>
          <w:rFonts w:hint="eastAsia" w:ascii="宋体" w:hAnsi="宋体" w:eastAsia="宋体" w:cs="宋体"/>
          <w:color w:val="auto"/>
          <w:highlight w:val="none"/>
        </w:rPr>
        <w:t xml:space="preserve">       </w:t>
      </w:r>
    </w:p>
    <w:p w14:paraId="579DFC12">
      <w:pPr>
        <w:widowControl/>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highlight w:val="none"/>
        </w:rPr>
        <w:t>联系电话：</w:t>
      </w:r>
      <w:r>
        <w:rPr>
          <w:rFonts w:hint="eastAsia" w:ascii="宋体" w:hAnsi="宋体" w:cs="宋体"/>
          <w:color w:val="auto"/>
          <w:kern w:val="0"/>
          <w:szCs w:val="21"/>
          <w:highlight w:val="none"/>
          <w:lang w:eastAsia="zh-CN"/>
        </w:rPr>
        <w:t>0574-65553599</w:t>
      </w:r>
    </w:p>
    <w:p w14:paraId="40E1FBBF">
      <w:pPr>
        <w:widowControl/>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质疑联系人： </w:t>
      </w:r>
      <w:r>
        <w:rPr>
          <w:rFonts w:hint="eastAsia" w:ascii="宋体" w:hAnsi="宋体" w:cs="宋体"/>
          <w:color w:val="auto"/>
          <w:kern w:val="0"/>
          <w:szCs w:val="21"/>
          <w:highlight w:val="none"/>
          <w:lang w:val="en-US" w:eastAsia="zh-CN"/>
        </w:rPr>
        <w:t>章工</w:t>
      </w:r>
      <w:r>
        <w:rPr>
          <w:rFonts w:hint="eastAsia" w:ascii="宋体" w:hAnsi="宋体" w:eastAsia="宋体" w:cs="宋体"/>
          <w:color w:val="auto"/>
          <w:highlight w:val="none"/>
        </w:rPr>
        <w:t xml:space="preserve"> </w:t>
      </w:r>
    </w:p>
    <w:p w14:paraId="1473CDB0">
      <w:pPr>
        <w:widowControl/>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质疑联系方式：</w:t>
      </w:r>
      <w:r>
        <w:rPr>
          <w:rFonts w:hint="eastAsia" w:ascii="宋体" w:hAnsi="宋体" w:cs="宋体"/>
          <w:color w:val="auto"/>
          <w:highlight w:val="none"/>
          <w:lang w:eastAsia="zh-CN"/>
        </w:rPr>
        <w:t>0574-65553599</w:t>
      </w:r>
      <w:r>
        <w:rPr>
          <w:rFonts w:hint="eastAsia" w:ascii="宋体" w:hAnsi="宋体" w:eastAsia="宋体" w:cs="宋体"/>
          <w:color w:val="auto"/>
          <w:highlight w:val="none"/>
        </w:rPr>
        <w:t xml:space="preserve"> </w:t>
      </w:r>
    </w:p>
    <w:p w14:paraId="57938A4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3.同级政府采购监督管理部门：</w:t>
      </w:r>
    </w:p>
    <w:p w14:paraId="088B170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名    称：宁海县政府采购管理办公室             </w:t>
      </w:r>
    </w:p>
    <w:p w14:paraId="503CB13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地    址：宁海县跃龙街道桃源中路218号            </w:t>
      </w:r>
    </w:p>
    <w:p w14:paraId="5BD4A24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传    真：0574-65265612            </w:t>
      </w:r>
    </w:p>
    <w:p w14:paraId="18DD856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联系人 ：王老师             </w:t>
      </w:r>
    </w:p>
    <w:p w14:paraId="0497132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投诉电话：0574-65265668 </w:t>
      </w:r>
    </w:p>
    <w:p w14:paraId="6F576D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14:paraId="2E835F6E">
      <w:pPr>
        <w:snapToGrid w:val="0"/>
        <w:spacing w:line="360" w:lineRule="auto"/>
        <w:ind w:firstLine="420" w:firstLineChars="200"/>
        <w:rPr>
          <w:rFonts w:ascii="宋体" w:hAnsi="宋体" w:cs="宋体"/>
          <w:color w:val="auto"/>
          <w:sz w:val="24"/>
        </w:rPr>
        <w:sectPr>
          <w:footerReference r:id="rId5" w:type="default"/>
          <w:pgSz w:w="11906" w:h="16838"/>
          <w:pgMar w:top="1440" w:right="1080" w:bottom="1440" w:left="1080" w:header="851" w:footer="992" w:gutter="0"/>
          <w:pgNumType w:fmt="decimal" w:start="1"/>
          <w:cols w:space="720" w:num="1"/>
          <w:docGrid w:linePitch="312" w:charSpace="0"/>
        </w:sectPr>
      </w:pPr>
      <w:r>
        <w:rPr>
          <w:rFonts w:hint="eastAsia" w:ascii="宋体" w:hAnsi="宋体" w:eastAsia="宋体" w:cs="宋体"/>
          <w:color w:val="auto"/>
          <w:highlight w:val="none"/>
        </w:rPr>
        <w:t>CA问题联系电话（人工）：汇信CA 400-888-4636；天谷CA 400-087-8198</w:t>
      </w:r>
      <w:r>
        <w:rPr>
          <w:rFonts w:hint="eastAsia" w:ascii="宋体" w:hAnsi="宋体" w:cs="宋体"/>
          <w:color w:val="auto"/>
          <w:sz w:val="24"/>
        </w:rPr>
        <w:t>。</w:t>
      </w:r>
    </w:p>
    <w:p w14:paraId="55ED1050">
      <w:pPr>
        <w:pStyle w:val="34"/>
        <w:spacing w:line="360" w:lineRule="auto"/>
        <w:jc w:val="center"/>
        <w:rPr>
          <w:rFonts w:hAnsi="宋体" w:cs="宋体"/>
          <w:b/>
          <w:snapToGrid/>
          <w:color w:val="auto"/>
          <w:sz w:val="36"/>
          <w:szCs w:val="20"/>
        </w:rPr>
      </w:pPr>
      <w:r>
        <w:rPr>
          <w:rFonts w:hint="eastAsia" w:hAnsi="宋体" w:cs="宋体"/>
          <w:b/>
          <w:snapToGrid/>
          <w:color w:val="auto"/>
          <w:sz w:val="36"/>
          <w:szCs w:val="20"/>
        </w:rPr>
        <w:t>第二部分</w:t>
      </w:r>
      <w:bookmarkEnd w:id="6"/>
      <w:r>
        <w:rPr>
          <w:rFonts w:hint="eastAsia" w:hAnsi="宋体" w:cs="宋体"/>
          <w:b/>
          <w:snapToGrid/>
          <w:color w:val="auto"/>
          <w:sz w:val="36"/>
          <w:szCs w:val="20"/>
        </w:rPr>
        <w:t xml:space="preserve"> 供应商须知</w:t>
      </w:r>
      <w:bookmarkEnd w:id="7"/>
    </w:p>
    <w:p w14:paraId="10D0B282">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前附表</w:t>
      </w:r>
    </w:p>
    <w:tbl>
      <w:tblPr>
        <w:tblStyle w:val="6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480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35F6BDFF">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2093" w:type="dxa"/>
            <w:vAlign w:val="center"/>
          </w:tcPr>
          <w:p w14:paraId="227E8F6B">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927" w:type="dxa"/>
            <w:vAlign w:val="center"/>
          </w:tcPr>
          <w:p w14:paraId="72D0A544">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00E4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B43E845">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2093" w:type="dxa"/>
            <w:vAlign w:val="center"/>
          </w:tcPr>
          <w:p w14:paraId="09D5CA32">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927" w:type="dxa"/>
            <w:vAlign w:val="center"/>
          </w:tcPr>
          <w:p w14:paraId="6C715C99">
            <w:pPr>
              <w:spacing w:line="360" w:lineRule="auto"/>
              <w:rPr>
                <w:rFonts w:ascii="宋体" w:hAnsi="宋体" w:cs="宋体"/>
                <w:color w:val="auto"/>
                <w:sz w:val="24"/>
              </w:rPr>
            </w:pPr>
            <w:r>
              <w:rPr>
                <w:rFonts w:hint="eastAsia" w:ascii="宋体" w:hAnsi="宋体" w:cs="宋体"/>
                <w:color w:val="auto"/>
                <w:kern w:val="0"/>
                <w:sz w:val="24"/>
              </w:rPr>
              <w:t>工程</w:t>
            </w:r>
            <w:r>
              <w:rPr>
                <w:rFonts w:hint="eastAsia" w:ascii="宋体" w:hAnsi="宋体" w:cs="宋体"/>
                <w:color w:val="auto"/>
                <w:sz w:val="24"/>
              </w:rPr>
              <w:t>类</w:t>
            </w:r>
          </w:p>
        </w:tc>
      </w:tr>
      <w:tr w14:paraId="7ADD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0" w:hRule="atLeast"/>
        </w:trPr>
        <w:tc>
          <w:tcPr>
            <w:tcW w:w="714" w:type="dxa"/>
            <w:vAlign w:val="center"/>
          </w:tcPr>
          <w:p w14:paraId="4C7F8C47">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2093" w:type="dxa"/>
            <w:vAlign w:val="center"/>
          </w:tcPr>
          <w:p w14:paraId="64B1EEC0">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927" w:type="dxa"/>
            <w:vAlign w:val="center"/>
          </w:tcPr>
          <w:p w14:paraId="64BA2DB6">
            <w:pPr>
              <w:numPr>
                <w:ilvl w:val="0"/>
                <w:numId w:val="1"/>
              </w:numPr>
              <w:snapToGrid w:val="0"/>
              <w:spacing w:line="360" w:lineRule="auto"/>
              <w:rPr>
                <w:rFonts w:hint="eastAsia" w:ascii="宋体" w:hAnsi="宋体" w:cs="宋体"/>
                <w:color w:val="auto"/>
                <w:kern w:val="0"/>
                <w:sz w:val="24"/>
                <w:lang w:val="en-US"/>
              </w:rPr>
            </w:pPr>
            <w:r>
              <w:rPr>
                <w:rFonts w:hint="eastAsia" w:ascii="宋体" w:hAnsi="宋体" w:cs="宋体"/>
                <w:color w:val="auto"/>
                <w:kern w:val="0"/>
                <w:sz w:val="24"/>
              </w:rPr>
              <w:t>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大佳何“艺术谷”和美示范片区工程—宁海县大佳何镇南阳福园景区（二期） </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建筑业 </w:t>
            </w:r>
            <w:r>
              <w:rPr>
                <w:rFonts w:hint="eastAsia" w:ascii="宋体" w:hAnsi="宋体" w:cs="宋体"/>
                <w:color w:val="auto"/>
                <w:kern w:val="0"/>
                <w:sz w:val="24"/>
              </w:rPr>
              <w:t>行业；</w:t>
            </w:r>
          </w:p>
        </w:tc>
      </w:tr>
      <w:tr w14:paraId="02C2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1A214A2">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2093" w:type="dxa"/>
            <w:vAlign w:val="center"/>
          </w:tcPr>
          <w:p w14:paraId="467B5941">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927" w:type="dxa"/>
            <w:vAlign w:val="center"/>
          </w:tcPr>
          <w:p w14:paraId="632136B0">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本项目不允许采购进口产品。</w:t>
            </w:r>
          </w:p>
          <w:p w14:paraId="508A72B3">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2F1F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56C533">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2093" w:type="dxa"/>
            <w:vAlign w:val="center"/>
          </w:tcPr>
          <w:p w14:paraId="1CCBFE62">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927" w:type="dxa"/>
            <w:vAlign w:val="center"/>
          </w:tcPr>
          <w:p w14:paraId="782D7D3E">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p>
          <w:p w14:paraId="28FDCB26">
            <w:pPr>
              <w:spacing w:line="360" w:lineRule="auto"/>
              <w:rPr>
                <w:rFonts w:hint="eastAsia" w:ascii="宋体" w:hAnsi="宋体" w:eastAsia="宋体" w:cs="宋体"/>
                <w:sz w:val="21"/>
                <w:szCs w:val="21"/>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不同意分包，具体理由：</w:t>
            </w:r>
            <w:r>
              <w:rPr>
                <w:rFonts w:hint="eastAsia" w:ascii="宋体" w:hAnsi="宋体" w:eastAsia="宋体" w:cs="宋体"/>
                <w:sz w:val="21"/>
                <w:szCs w:val="21"/>
                <w:u w:val="single"/>
              </w:rPr>
              <w:t xml:space="preserve"> </w:t>
            </w:r>
            <w:r>
              <w:rPr>
                <w:rFonts w:hint="eastAsia" w:ascii="宋体" w:hAnsi="宋体" w:eastAsia="宋体" w:cs="宋体"/>
                <w:kern w:val="0"/>
                <w:sz w:val="24"/>
                <w:szCs w:val="24"/>
                <w:u w:val="single"/>
                <w:lang w:val="en-US" w:eastAsia="zh-CN"/>
              </w:rPr>
              <w:t>本项目为专门面向中小企业采购</w:t>
            </w:r>
            <w:r>
              <w:rPr>
                <w:rFonts w:hint="eastAsia" w:ascii="宋体" w:hAnsi="宋体" w:eastAsia="宋体" w:cs="宋体"/>
                <w:kern w:val="0"/>
                <w:sz w:val="24"/>
                <w:szCs w:val="24"/>
                <w:u w:val="single"/>
                <w:lang w:eastAsia="zh-CN"/>
              </w:rPr>
              <w:t xml:space="preserve"> </w:t>
            </w:r>
            <w:r>
              <w:rPr>
                <w:rFonts w:hint="eastAsia" w:ascii="宋体" w:hAnsi="宋体" w:eastAsia="宋体" w:cs="宋体"/>
                <w:kern w:val="0"/>
                <w:sz w:val="21"/>
                <w:szCs w:val="21"/>
                <w:u w:val="single"/>
                <w:lang w:eastAsia="zh-CN"/>
              </w:rPr>
              <w:t>。</w:t>
            </w:r>
          </w:p>
          <w:p w14:paraId="70DB7EB9">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3DC2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A3AC1FA">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2093" w:type="dxa"/>
            <w:vAlign w:val="center"/>
          </w:tcPr>
          <w:p w14:paraId="6395B7B9">
            <w:pPr>
              <w:snapToGrid w:val="0"/>
              <w:spacing w:line="360" w:lineRule="auto"/>
              <w:jc w:val="center"/>
              <w:rPr>
                <w:rFonts w:ascii="宋体" w:hAnsi="宋体" w:cs="宋体"/>
                <w:b/>
                <w:color w:val="auto"/>
                <w:sz w:val="24"/>
              </w:rPr>
            </w:pPr>
            <w:r>
              <w:rPr>
                <w:rFonts w:hint="eastAsia" w:ascii="宋体" w:hAnsi="宋体" w:cs="宋体"/>
                <w:b/>
                <w:color w:val="auto"/>
                <w:sz w:val="24"/>
              </w:rPr>
              <w:t>磋商前答疑会或现场考察</w:t>
            </w:r>
          </w:p>
        </w:tc>
        <w:tc>
          <w:tcPr>
            <w:tcW w:w="6927" w:type="dxa"/>
            <w:vAlign w:val="center"/>
          </w:tcPr>
          <w:p w14:paraId="19B60F40">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不组织。</w:t>
            </w:r>
          </w:p>
          <w:p w14:paraId="104D7FA1">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6A0B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CBA73EE">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2093" w:type="dxa"/>
            <w:vAlign w:val="center"/>
          </w:tcPr>
          <w:p w14:paraId="3AD22F2E">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927" w:type="dxa"/>
            <w:vAlign w:val="center"/>
          </w:tcPr>
          <w:p w14:paraId="4118FBE4">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14:paraId="20A80395">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B要求提供，</w:t>
            </w:r>
          </w:p>
          <w:p w14:paraId="71175983">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0C7FD6A5">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71368364">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评审办法</w:t>
            </w:r>
            <w:r>
              <w:rPr>
                <w:rFonts w:hint="eastAsia" w:ascii="宋体" w:hAnsi="宋体" w:cs="宋体"/>
                <w:color w:val="auto"/>
                <w:kern w:val="0"/>
                <w:sz w:val="24"/>
              </w:rPr>
              <w:t>；</w:t>
            </w:r>
          </w:p>
          <w:p w14:paraId="61947DA0">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5DA2D7C7">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。请供应商在上述时间内提供样品并按规定位置安装完毕。超过截止时间的，采购人或采购代理机构将不予接收，并将清场并封闭样品现场。</w:t>
            </w:r>
          </w:p>
          <w:p w14:paraId="3DF5856F">
            <w:pPr>
              <w:spacing w:line="360" w:lineRule="auto"/>
              <w:rPr>
                <w:rFonts w:ascii="宋体" w:hAnsi="宋体" w:cs="宋体"/>
                <w:color w:val="auto"/>
                <w:sz w:val="24"/>
              </w:rPr>
            </w:pPr>
            <w:r>
              <w:rPr>
                <w:rFonts w:hint="eastAsia" w:ascii="宋体" w:hAnsi="宋体" w:cs="宋体"/>
                <w:color w:val="auto"/>
                <w:sz w:val="24"/>
              </w:rPr>
              <w:t xml:space="preserve"> (6)采购活动结束后，对于未成交供应商提供的样品，采购人、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将通知未成交供应商在规定的时间内取回，逾期未取回的，采购人、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不负保管义务；对于成交供应商提供的样品，采购人将进行保管、封存，并作为履约验收的参考。</w:t>
            </w:r>
          </w:p>
          <w:p w14:paraId="51F3B130">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（7）制作、运输、安装和保管样品所发生的一切费用由供应商自理。</w:t>
            </w:r>
          </w:p>
        </w:tc>
      </w:tr>
      <w:tr w14:paraId="74EE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56C99FD">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2093" w:type="dxa"/>
            <w:vAlign w:val="center"/>
          </w:tcPr>
          <w:p w14:paraId="253E1A50">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927" w:type="dxa"/>
            <w:vAlign w:val="center"/>
          </w:tcPr>
          <w:p w14:paraId="0FD11DFD">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14:paraId="083EC9AE">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211D92FA">
            <w:pPr>
              <w:snapToGrid w:val="0"/>
              <w:spacing w:line="360" w:lineRule="auto"/>
              <w:rPr>
                <w:rFonts w:ascii="宋体" w:hAnsi="宋体" w:cs="宋体"/>
                <w:color w:val="auto"/>
                <w:kern w:val="0"/>
                <w:sz w:val="24"/>
              </w:rPr>
            </w:pPr>
            <w:r>
              <w:rPr>
                <w:rFonts w:hint="eastAsia" w:ascii="宋体" w:hAnsi="宋体" w:cs="宋体"/>
                <w:color w:val="auto"/>
                <w:kern w:val="0"/>
                <w:sz w:val="24"/>
              </w:rPr>
              <w:t>（1）在评审时安排每个供应商进行方案讲解演示。每个供应商时间不超过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分钟，讲解次序以响应文件解密时间先后次序为准，讲解演示人员不超过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人。讲解演示结束后按要求解答磋商小组提问。</w:t>
            </w:r>
          </w:p>
          <w:p w14:paraId="18CC29B0">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27F039AE">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方式一：政采云平台在线讲解演示。政采云平台在线讲解需供应商根据政采云平台操作要求做好准备工作，提前完善软硬件配置环境。</w:t>
            </w:r>
          </w:p>
          <w:p w14:paraId="2E6F7CBE">
            <w:pPr>
              <w:snapToGrid w:val="0"/>
              <w:spacing w:line="360" w:lineRule="auto"/>
              <w:rPr>
                <w:rFonts w:ascii="宋体" w:hAnsi="宋体" w:cs="宋体"/>
                <w:color w:val="auto"/>
                <w:kern w:val="0"/>
                <w:sz w:val="24"/>
              </w:rPr>
            </w:pPr>
            <w:r>
              <w:rPr>
                <w:rFonts w:hint="eastAsia" w:ascii="宋体" w:hAnsi="宋体" w:cs="宋体"/>
                <w:color w:val="auto"/>
                <w:kern w:val="0"/>
                <w:sz w:val="24"/>
              </w:rPr>
              <w:t>方式二：现场讲解演示。现场讲解地点为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，讲解演示所用电脑等设备由供应商自备。现场讲解演示人员进场时提供讲解人员名单（加盖公章或授权代表签名）及身份证明，否则不得讲解演示。</w:t>
            </w:r>
          </w:p>
          <w:p w14:paraId="33BA9726">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1A48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138311B">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2093" w:type="dxa"/>
            <w:vMerge w:val="restart"/>
            <w:vAlign w:val="center"/>
          </w:tcPr>
          <w:p w14:paraId="7FAFE7A6">
            <w:pPr>
              <w:snapToGrid w:val="0"/>
              <w:spacing w:line="360" w:lineRule="auto"/>
              <w:jc w:val="center"/>
              <w:rPr>
                <w:rFonts w:ascii="宋体" w:hAnsi="宋体" w:cs="宋体"/>
                <w:b/>
                <w:color w:val="auto"/>
                <w:sz w:val="24"/>
              </w:rPr>
            </w:pPr>
            <w:r>
              <w:rPr>
                <w:rFonts w:hint="eastAsia" w:ascii="宋体" w:hAnsi="宋体" w:cs="宋体"/>
                <w:b/>
                <w:color w:val="auto"/>
                <w:sz w:val="24"/>
              </w:rPr>
              <w:t>供应商应当提供的资格、资信证明文件</w:t>
            </w:r>
          </w:p>
        </w:tc>
        <w:tc>
          <w:tcPr>
            <w:tcW w:w="6927" w:type="dxa"/>
            <w:vAlign w:val="center"/>
          </w:tcPr>
          <w:p w14:paraId="65F23FFC">
            <w:pPr>
              <w:spacing w:line="360" w:lineRule="auto"/>
              <w:rPr>
                <w:rFonts w:ascii="宋体" w:hAnsi="宋体" w:cs="宋体"/>
                <w:color w:val="auto"/>
                <w:sz w:val="24"/>
              </w:rPr>
            </w:pPr>
            <w:r>
              <w:rPr>
                <w:rFonts w:hint="eastAsia" w:ascii="宋体" w:hAnsi="宋体" w:cs="宋体"/>
                <w:color w:val="auto"/>
                <w:sz w:val="24"/>
              </w:rPr>
              <w:t>（1）资格证明文件：见采购文件第二部分11.1。</w:t>
            </w:r>
          </w:p>
          <w:p w14:paraId="14BCFE43">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供应商未提供有效的资格证明文件的，视为供应商不具备采购文件中规定的资格要求，响应文件无效。</w:t>
            </w:r>
          </w:p>
        </w:tc>
      </w:tr>
      <w:tr w14:paraId="07A5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49AE0C7A">
            <w:pPr>
              <w:snapToGrid w:val="0"/>
              <w:spacing w:line="360" w:lineRule="auto"/>
              <w:jc w:val="center"/>
              <w:rPr>
                <w:rFonts w:ascii="宋体" w:hAnsi="宋体" w:cs="宋体"/>
                <w:color w:val="auto"/>
                <w:sz w:val="24"/>
              </w:rPr>
            </w:pPr>
          </w:p>
        </w:tc>
        <w:tc>
          <w:tcPr>
            <w:tcW w:w="2093" w:type="dxa"/>
            <w:vMerge w:val="continue"/>
            <w:vAlign w:val="center"/>
          </w:tcPr>
          <w:p w14:paraId="603000E7">
            <w:pPr>
              <w:snapToGrid w:val="0"/>
              <w:spacing w:line="360" w:lineRule="auto"/>
              <w:jc w:val="center"/>
              <w:rPr>
                <w:rFonts w:ascii="宋体" w:hAnsi="宋体" w:cs="宋体"/>
                <w:b/>
                <w:color w:val="auto"/>
                <w:sz w:val="24"/>
              </w:rPr>
            </w:pPr>
          </w:p>
        </w:tc>
        <w:tc>
          <w:tcPr>
            <w:tcW w:w="6927" w:type="dxa"/>
            <w:vAlign w:val="center"/>
          </w:tcPr>
          <w:p w14:paraId="3CF59DDE">
            <w:pPr>
              <w:spacing w:line="360" w:lineRule="auto"/>
              <w:rPr>
                <w:rFonts w:ascii="宋体" w:hAnsi="宋体" w:cs="宋体"/>
                <w:color w:val="auto"/>
                <w:sz w:val="24"/>
              </w:rPr>
            </w:pPr>
            <w:r>
              <w:rPr>
                <w:rFonts w:hint="eastAsia" w:ascii="宋体" w:hAnsi="宋体" w:cs="宋体"/>
                <w:color w:val="auto"/>
                <w:sz w:val="24"/>
              </w:rPr>
              <w:t>（2）资信证明文件：根据采购文件第四部分评审标准提供。</w:t>
            </w:r>
          </w:p>
        </w:tc>
      </w:tr>
      <w:tr w14:paraId="3AC9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F0158A0">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2093" w:type="dxa"/>
            <w:vAlign w:val="center"/>
          </w:tcPr>
          <w:p w14:paraId="7CE00181">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927" w:type="dxa"/>
            <w:vAlign w:val="center"/>
          </w:tcPr>
          <w:p w14:paraId="074120A4">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D00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9D48A62">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2093" w:type="dxa"/>
            <w:vAlign w:val="center"/>
          </w:tcPr>
          <w:p w14:paraId="4F2668F0">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927" w:type="dxa"/>
            <w:vAlign w:val="center"/>
          </w:tcPr>
          <w:p w14:paraId="0C853985">
            <w:pPr>
              <w:snapToGrid w:val="0"/>
              <w:spacing w:line="360" w:lineRule="auto"/>
              <w:jc w:val="left"/>
              <w:rPr>
                <w:rFonts w:hint="eastAsia" w:ascii="宋体" w:hAnsi="宋体" w:cs="宋体"/>
                <w:b w:val="0"/>
                <w:bCs/>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color w:val="auto"/>
                <w:sz w:val="24"/>
              </w:rPr>
              <w:t>报价单是报价的唯一载体</w:t>
            </w:r>
            <w:r>
              <w:rPr>
                <w:rFonts w:hint="eastAsia" w:ascii="宋体" w:hAnsi="宋体" w:cs="宋体"/>
                <w:color w:val="auto"/>
                <w:kern w:val="0"/>
                <w:sz w:val="24"/>
                <w:lang w:val="zh-CN"/>
              </w:rPr>
              <w:t>。响应文件中价格全部采用人民币报价。采购文件未列明，而供应商认为必需的费用也需列入报价。项目实施过程中合同价格不予调整，供应商自行承担报价风险。</w:t>
            </w:r>
            <w:r>
              <w:rPr>
                <w:rFonts w:hint="eastAsia" w:ascii="宋体" w:hAnsi="宋体" w:cs="宋体"/>
                <w:b w:val="0"/>
                <w:bCs/>
                <w:color w:val="auto"/>
                <w:kern w:val="0"/>
                <w:sz w:val="24"/>
                <w:lang w:val="zh-CN"/>
              </w:rPr>
              <w:t>提醒：验收时检测费用由采购人承担，不包含在总价中。</w:t>
            </w:r>
          </w:p>
          <w:p w14:paraId="0E635059">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最后报价出现下列情形的，响应文件无效：</w:t>
            </w:r>
          </w:p>
          <w:p w14:paraId="02CB35B4">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响应文件出现不是唯一的、有选择性最后报价的；</w:t>
            </w:r>
          </w:p>
          <w:p w14:paraId="728F1469">
            <w:pPr>
              <w:snapToGrid w:val="0"/>
              <w:spacing w:line="360" w:lineRule="auto"/>
              <w:ind w:firstLine="241" w:firstLineChars="100"/>
              <w:jc w:val="left"/>
              <w:rPr>
                <w:color w:val="auto"/>
              </w:rPr>
            </w:pPr>
            <w:r>
              <w:rPr>
                <w:rFonts w:hint="eastAsia" w:ascii="宋体" w:hAnsi="宋体" w:cs="宋体"/>
                <w:b/>
                <w:color w:val="auto"/>
                <w:kern w:val="0"/>
                <w:sz w:val="24"/>
                <w:lang w:val="zh-CN"/>
              </w:rPr>
              <w:t>最后报价超过采购文件中规定的预算金额或者最高限价的;</w:t>
            </w:r>
          </w:p>
          <w:p w14:paraId="5A63FD00">
            <w:pPr>
              <w:spacing w:line="360" w:lineRule="auto"/>
              <w:ind w:firstLine="241" w:firstLineChars="100"/>
              <w:rPr>
                <w:rFonts w:hint="eastAsia" w:ascii="宋体" w:hAnsi="宋体" w:eastAsia="宋体" w:cs="宋体"/>
                <w:b/>
                <w:color w:val="auto"/>
                <w:kern w:val="0"/>
                <w:sz w:val="24"/>
              </w:rPr>
            </w:pPr>
            <w:r>
              <w:rPr>
                <w:rFonts w:hint="eastAsia" w:ascii="宋体" w:hAnsi="宋体" w:cs="宋体"/>
                <w:b/>
                <w:color w:val="auto"/>
                <w:kern w:val="0"/>
                <w:sz w:val="24"/>
              </w:rPr>
              <w:t>报价明显低于其他通过符合性审查供应商的报价，有可能影响产</w:t>
            </w:r>
            <w:r>
              <w:rPr>
                <w:rFonts w:hint="eastAsia" w:ascii="宋体" w:hAnsi="宋体" w:eastAsia="宋体" w:cs="宋体"/>
                <w:b/>
                <w:color w:val="auto"/>
                <w:kern w:val="0"/>
                <w:sz w:val="24"/>
              </w:rPr>
              <w:t>品质量或者不能诚信履约的，未能按要求提供书面说明或者提交相关证明材料证明其报价合理性的;</w:t>
            </w:r>
          </w:p>
          <w:p w14:paraId="5FC4AC55">
            <w:pPr>
              <w:spacing w:line="360" w:lineRule="auto"/>
              <w:ind w:firstLine="241" w:firstLineChars="100"/>
              <w:rPr>
                <w:rFonts w:hint="eastAsia" w:ascii="宋体" w:hAnsi="宋体" w:eastAsia="宋体" w:cs="宋体"/>
                <w:b/>
                <w:color w:val="auto"/>
                <w:kern w:val="0"/>
                <w:sz w:val="24"/>
              </w:rPr>
            </w:pPr>
            <w:r>
              <w:rPr>
                <w:rFonts w:hint="eastAsia" w:ascii="宋体" w:hAnsi="宋体" w:eastAsia="宋体" w:cs="宋体"/>
                <w:b/>
                <w:color w:val="auto"/>
                <w:kern w:val="0"/>
                <w:sz w:val="24"/>
              </w:rPr>
              <w:t>供应商对根据修正原则修正后的报价不确认的。</w:t>
            </w:r>
          </w:p>
          <w:p w14:paraId="5CA78878">
            <w:pPr>
              <w:spacing w:line="360" w:lineRule="auto"/>
              <w:ind w:firstLine="241" w:firstLineChars="100"/>
            </w:pPr>
            <w:r>
              <w:rPr>
                <w:rFonts w:hint="eastAsia" w:asciiTheme="minorEastAsia" w:hAnsiTheme="minorEastAsia" w:eastAsiaTheme="minorEastAsia" w:cstheme="minorEastAsia"/>
                <w:b/>
                <w:snapToGrid/>
                <w:color w:val="auto"/>
                <w:kern w:val="0"/>
                <w:sz w:val="24"/>
                <w:szCs w:val="24"/>
                <w:highlight w:val="none"/>
                <w:lang w:val="en-US" w:eastAsia="zh-CN" w:bidi="ar-SA"/>
              </w:rPr>
              <w:t>不论投标结果如何，投标人均应自行全额承担所有与投标有关的全部费用。</w:t>
            </w:r>
          </w:p>
        </w:tc>
      </w:tr>
      <w:tr w14:paraId="071F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7DA1964D">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2093" w:type="dxa"/>
            <w:vAlign w:val="center"/>
          </w:tcPr>
          <w:p w14:paraId="7488D97B">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927" w:type="dxa"/>
            <w:vAlign w:val="center"/>
          </w:tcPr>
          <w:p w14:paraId="3DBF92C5">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59D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8" w:hRule="atLeast"/>
        </w:trPr>
        <w:tc>
          <w:tcPr>
            <w:tcW w:w="714" w:type="dxa"/>
            <w:vAlign w:val="center"/>
          </w:tcPr>
          <w:p w14:paraId="46A5AFB3">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2093" w:type="dxa"/>
            <w:vAlign w:val="center"/>
          </w:tcPr>
          <w:p w14:paraId="589986D8">
            <w:pPr>
              <w:snapToGrid w:val="0"/>
              <w:spacing w:line="360" w:lineRule="auto"/>
              <w:jc w:val="center"/>
              <w:rPr>
                <w:rFonts w:ascii="宋体" w:hAnsi="宋体" w:cs="宋体"/>
                <w:b/>
                <w:color w:val="auto"/>
                <w:sz w:val="24"/>
              </w:rPr>
            </w:pPr>
            <w:r>
              <w:rPr>
                <w:rFonts w:hint="eastAsia" w:ascii="宋体" w:hAnsi="宋体" w:cs="宋体"/>
                <w:b/>
                <w:color w:val="auto"/>
                <w:sz w:val="24"/>
              </w:rPr>
              <w:t>备份响应文件送达地点和签收人员</w:t>
            </w:r>
          </w:p>
        </w:tc>
        <w:tc>
          <w:tcPr>
            <w:tcW w:w="6927" w:type="dxa"/>
            <w:vAlign w:val="center"/>
          </w:tcPr>
          <w:p w14:paraId="2DAD1F22">
            <w:pPr>
              <w:pStyle w:val="34"/>
              <w:spacing w:line="360" w:lineRule="auto"/>
              <w:rPr>
                <w:rFonts w:hint="eastAsia" w:hAnsi="宋体" w:cs="宋体"/>
                <w:color w:val="auto"/>
                <w:kern w:val="28"/>
                <w:sz w:val="24"/>
                <w:szCs w:val="24"/>
              </w:rPr>
            </w:pPr>
            <w:r>
              <w:rPr>
                <w:rFonts w:hint="eastAsia" w:hAnsi="宋体" w:cs="宋体"/>
                <w:color w:val="auto"/>
                <w:kern w:val="28"/>
                <w:sz w:val="24"/>
                <w:szCs w:val="24"/>
              </w:rPr>
              <w:t>（1）直接提交备份投标文件的：</w:t>
            </w:r>
          </w:p>
          <w:p w14:paraId="338FA8B5">
            <w:pPr>
              <w:pStyle w:val="34"/>
              <w:spacing w:line="360" w:lineRule="auto"/>
              <w:rPr>
                <w:rFonts w:hint="eastAsia" w:hAnsi="宋体" w:cs="宋体"/>
                <w:color w:val="auto"/>
                <w:kern w:val="28"/>
                <w:sz w:val="24"/>
                <w:szCs w:val="24"/>
              </w:rPr>
            </w:pPr>
            <w:r>
              <w:rPr>
                <w:rFonts w:hint="eastAsia" w:hAnsi="宋体" w:cs="宋体"/>
                <w:color w:val="auto"/>
                <w:kern w:val="28"/>
                <w:sz w:val="24"/>
                <w:szCs w:val="24"/>
              </w:rPr>
              <w:t>备份投标文件送达地点：</w:t>
            </w:r>
            <w:r>
              <w:rPr>
                <w:rFonts w:hint="eastAsia" w:hAnsi="宋体" w:cs="宋体"/>
                <w:color w:val="auto"/>
                <w:kern w:val="28"/>
                <w:sz w:val="24"/>
                <w:szCs w:val="24"/>
                <w:u w:val="single"/>
              </w:rPr>
              <w:t>宁海县公共资源交易中心五楼</w:t>
            </w:r>
            <w:r>
              <w:rPr>
                <w:rFonts w:hint="eastAsia" w:hAnsi="宋体" w:cs="宋体"/>
                <w:color w:val="auto"/>
                <w:kern w:val="28"/>
                <w:sz w:val="24"/>
                <w:szCs w:val="24"/>
              </w:rPr>
              <w:t>【具体受理场所详见当日电子指示屏】。</w:t>
            </w:r>
          </w:p>
          <w:p w14:paraId="741CAA4D">
            <w:pPr>
              <w:pStyle w:val="34"/>
              <w:spacing w:line="360" w:lineRule="auto"/>
              <w:rPr>
                <w:rFonts w:hint="eastAsia" w:hAnsi="宋体" w:cs="宋体"/>
                <w:color w:val="auto"/>
                <w:kern w:val="28"/>
                <w:sz w:val="24"/>
                <w:szCs w:val="24"/>
              </w:rPr>
            </w:pPr>
            <w:r>
              <w:rPr>
                <w:rFonts w:hint="eastAsia" w:hAnsi="宋体" w:cs="宋体"/>
                <w:color w:val="auto"/>
                <w:kern w:val="28"/>
                <w:sz w:val="24"/>
                <w:szCs w:val="24"/>
              </w:rPr>
              <w:t>（2）以邮政快递方式递交备份投标文件的：</w:t>
            </w:r>
          </w:p>
          <w:p w14:paraId="2305F31A">
            <w:pPr>
              <w:pStyle w:val="34"/>
              <w:spacing w:line="360" w:lineRule="auto"/>
              <w:rPr>
                <w:rFonts w:hAnsi="宋体" w:cs="宋体"/>
                <w:color w:val="auto"/>
                <w:kern w:val="28"/>
                <w:sz w:val="24"/>
                <w:szCs w:val="24"/>
              </w:rPr>
            </w:pPr>
            <w:r>
              <w:rPr>
                <w:rFonts w:hint="eastAsia" w:hAnsi="宋体" w:cs="宋体"/>
                <w:color w:val="auto"/>
                <w:kern w:val="28"/>
                <w:sz w:val="24"/>
                <w:szCs w:val="24"/>
              </w:rPr>
              <w:t>备份响应文件送达地点：</w:t>
            </w:r>
            <w:r>
              <w:rPr>
                <w:rFonts w:hint="eastAsia" w:hAnsi="宋体" w:cs="宋体"/>
                <w:color w:val="auto"/>
                <w:sz w:val="24"/>
                <w:u w:val="single"/>
              </w:rPr>
              <w:t xml:space="preserve"> 宁海县桃源街道明湖银座2幢1号1301室 ，</w:t>
            </w:r>
            <w:r>
              <w:rPr>
                <w:rFonts w:hint="eastAsia" w:hAnsi="宋体" w:cs="宋体"/>
                <w:color w:val="auto"/>
                <w:sz w:val="24"/>
                <w:u w:val="single"/>
                <w:lang w:eastAsia="zh-CN"/>
              </w:rPr>
              <w:t>宁波禾正工程管理有限公司</w:t>
            </w:r>
            <w:r>
              <w:rPr>
                <w:rFonts w:hint="eastAsia" w:hAnsi="宋体" w:cs="宋体"/>
                <w:color w:val="auto"/>
                <w:sz w:val="24"/>
                <w:u w:val="single"/>
              </w:rPr>
              <w:t xml:space="preserve">  </w:t>
            </w:r>
            <w:r>
              <w:rPr>
                <w:rFonts w:hint="eastAsia" w:hAnsi="宋体" w:cs="宋体"/>
                <w:color w:val="auto"/>
                <w:kern w:val="28"/>
                <w:sz w:val="24"/>
                <w:szCs w:val="24"/>
              </w:rPr>
              <w:t>；</w:t>
            </w:r>
          </w:p>
          <w:p w14:paraId="68F19648">
            <w:pPr>
              <w:pStyle w:val="34"/>
              <w:spacing w:line="360" w:lineRule="auto"/>
              <w:rPr>
                <w:rFonts w:hAnsi="宋体" w:cs="宋体"/>
                <w:color w:val="auto"/>
                <w:sz w:val="24"/>
                <w:szCs w:val="24"/>
              </w:rPr>
            </w:pPr>
            <w:r>
              <w:rPr>
                <w:rFonts w:hint="eastAsia" w:hAnsi="宋体" w:cs="宋体"/>
                <w:color w:val="auto"/>
                <w:kern w:val="28"/>
                <w:sz w:val="24"/>
                <w:szCs w:val="24"/>
              </w:rPr>
              <w:t>备份响应文件签收人员联系电话：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章工</w:t>
            </w:r>
            <w:r>
              <w:rPr>
                <w:rFonts w:hint="eastAsia" w:hAnsi="宋体" w:cs="宋体"/>
                <w:color w:val="auto"/>
                <w:sz w:val="24"/>
                <w:u w:val="single"/>
              </w:rPr>
              <w:t xml:space="preserve"> </w:t>
            </w:r>
            <w:r>
              <w:rPr>
                <w:rFonts w:hint="eastAsia" w:hAnsi="宋体" w:cs="宋体"/>
                <w:color w:val="auto"/>
                <w:sz w:val="24"/>
                <w:u w:val="single"/>
                <w:lang w:eastAsia="zh-CN"/>
              </w:rPr>
              <w:t>0574-65553599</w:t>
            </w:r>
            <w:r>
              <w:rPr>
                <w:rFonts w:hint="eastAsia" w:hAnsi="宋体" w:cs="宋体"/>
                <w:color w:val="auto"/>
                <w:sz w:val="24"/>
                <w:u w:val="single"/>
              </w:rPr>
              <w:t xml:space="preserve"> </w:t>
            </w:r>
            <w:r>
              <w:rPr>
                <w:rFonts w:hint="eastAsia" w:hAnsi="宋体" w:cs="宋体"/>
                <w:color w:val="auto"/>
                <w:sz w:val="24"/>
                <w:szCs w:val="24"/>
              </w:rPr>
              <w:t>。</w:t>
            </w:r>
          </w:p>
          <w:p w14:paraId="7686A058">
            <w:pPr>
              <w:pStyle w:val="34"/>
              <w:spacing w:line="360" w:lineRule="auto"/>
              <w:rPr>
                <w:rFonts w:hAnsi="宋体" w:cs="宋体"/>
                <w:color w:val="auto"/>
                <w:kern w:val="28"/>
                <w:sz w:val="24"/>
              </w:rPr>
            </w:pPr>
            <w:r>
              <w:rPr>
                <w:rFonts w:hint="eastAsia" w:ascii="宋体" w:hAnsi="宋体" w:eastAsia="宋体" w:cs="宋体"/>
                <w:color w:val="auto"/>
                <w:kern w:val="28"/>
                <w:sz w:val="24"/>
                <w:szCs w:val="24"/>
              </w:rPr>
              <w:t>采购人、</w:t>
            </w:r>
            <w:r>
              <w:rPr>
                <w:rFonts w:hint="eastAsia" w:ascii="宋体" w:hAnsi="宋体" w:eastAsia="宋体" w:cs="宋体"/>
                <w:color w:val="auto"/>
                <w:kern w:val="28"/>
                <w:sz w:val="24"/>
                <w:szCs w:val="24"/>
                <w:lang w:eastAsia="zh-CN"/>
              </w:rPr>
              <w:t>采购代理机构</w:t>
            </w:r>
            <w:r>
              <w:rPr>
                <w:rFonts w:hint="eastAsia" w:ascii="宋体" w:hAnsi="宋体" w:eastAsia="宋体" w:cs="宋体"/>
                <w:color w:val="auto"/>
                <w:kern w:val="28"/>
                <w:sz w:val="24"/>
                <w:szCs w:val="24"/>
              </w:rPr>
              <w:t>不强制或变相强制供应商提交备份响应文件。</w:t>
            </w:r>
          </w:p>
        </w:tc>
      </w:tr>
      <w:tr w14:paraId="79B9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D45899F">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2093" w:type="dxa"/>
            <w:vAlign w:val="center"/>
          </w:tcPr>
          <w:p w14:paraId="45E92249">
            <w:pPr>
              <w:snapToGrid w:val="0"/>
              <w:spacing w:line="360" w:lineRule="auto"/>
              <w:jc w:val="center"/>
              <w:rPr>
                <w:rFonts w:ascii="宋体" w:hAnsi="宋体" w:cs="宋体"/>
                <w:b/>
                <w:color w:val="auto"/>
                <w:sz w:val="24"/>
              </w:rPr>
            </w:pPr>
            <w:r>
              <w:rPr>
                <w:rFonts w:hint="eastAsia" w:ascii="宋体" w:hAnsi="宋体" w:cs="宋体"/>
                <w:b/>
                <w:color w:val="auto"/>
                <w:sz w:val="24"/>
              </w:rPr>
              <w:t>其它说明</w:t>
            </w:r>
          </w:p>
        </w:tc>
        <w:tc>
          <w:tcPr>
            <w:tcW w:w="6927" w:type="dxa"/>
            <w:vAlign w:val="center"/>
          </w:tcPr>
          <w:p w14:paraId="04F3A5BC">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color w:val="auto"/>
                <w:kern w:val="28"/>
                <w:sz w:val="24"/>
                <w:highlight w:val="none"/>
              </w:rPr>
              <w:t>业绩数量以提供材料较少的一方为准</w:t>
            </w:r>
            <w:r>
              <w:rPr>
                <w:rFonts w:hint="eastAsia" w:ascii="宋体" w:hAnsi="宋体" w:cs="宋体"/>
                <w:b/>
                <w:color w:val="auto"/>
                <w:kern w:val="0"/>
                <w:sz w:val="24"/>
                <w:highlight w:val="none"/>
              </w:rPr>
              <w:t>。</w:t>
            </w:r>
          </w:p>
        </w:tc>
      </w:tr>
      <w:tr w14:paraId="6EC9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565E49A">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2093" w:type="dxa"/>
            <w:vAlign w:val="center"/>
          </w:tcPr>
          <w:p w14:paraId="0089D483">
            <w:pPr>
              <w:snapToGrid w:val="0"/>
              <w:spacing w:line="360" w:lineRule="auto"/>
              <w:jc w:val="center"/>
              <w:rPr>
                <w:rFonts w:ascii="宋体" w:hAnsi="宋体" w:cs="宋体"/>
                <w:b/>
                <w:color w:val="auto"/>
                <w:sz w:val="24"/>
              </w:rPr>
            </w:pPr>
            <w:r>
              <w:rPr>
                <w:rFonts w:hint="eastAsia" w:ascii="宋体" w:hAnsi="宋体" w:cs="宋体"/>
                <w:b/>
                <w:color w:val="auto"/>
                <w:sz w:val="24"/>
              </w:rPr>
              <w:t>采购代理服务费</w:t>
            </w:r>
          </w:p>
        </w:tc>
        <w:tc>
          <w:tcPr>
            <w:tcW w:w="6927" w:type="dxa"/>
            <w:vAlign w:val="center"/>
          </w:tcPr>
          <w:p w14:paraId="1C3634E2">
            <w:pPr>
              <w:jc w:val="left"/>
              <w:rPr>
                <w:rFonts w:hint="eastAsia" w:ascii="宋体" w:hAnsi="宋体" w:cs="宋体"/>
                <w:color w:val="auto"/>
                <w:sz w:val="21"/>
                <w:szCs w:val="21"/>
                <w:highlight w:val="none"/>
              </w:rPr>
            </w:pPr>
          </w:p>
          <w:p w14:paraId="16AE3287">
            <w:pPr>
              <w:spacing w:line="360" w:lineRule="auto"/>
              <w:rPr>
                <w:rFonts w:ascii="宋体" w:hAnsi="宋体" w:cs="宋体"/>
                <w:color w:val="auto"/>
                <w:kern w:val="0"/>
                <w:sz w:val="24"/>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kern w:val="0"/>
                <w:sz w:val="24"/>
                <w:highlight w:val="none"/>
              </w:rPr>
              <w:t>采购代理按下表中</w:t>
            </w:r>
            <w:r>
              <w:rPr>
                <w:rFonts w:hint="eastAsia" w:ascii="宋体" w:hAnsi="宋体" w:cs="宋体"/>
                <w:color w:val="auto"/>
                <w:kern w:val="0"/>
                <w:sz w:val="24"/>
                <w:highlight w:val="none"/>
                <w:lang w:val="en-US" w:eastAsia="zh-CN"/>
              </w:rPr>
              <w:t>工程</w:t>
            </w:r>
            <w:r>
              <w:rPr>
                <w:rFonts w:hint="eastAsia" w:ascii="宋体" w:hAnsi="宋体" w:cs="宋体"/>
                <w:color w:val="auto"/>
                <w:kern w:val="0"/>
                <w:sz w:val="24"/>
                <w:highlight w:val="none"/>
              </w:rPr>
              <w:t>招标标准（按差额定率累进法计算），根据</w:t>
            </w:r>
            <w:r>
              <w:rPr>
                <w:rFonts w:hint="eastAsia" w:ascii="宋体" w:hAnsi="宋体" w:cs="宋体"/>
                <w:color w:val="auto"/>
                <w:kern w:val="0"/>
                <w:sz w:val="24"/>
                <w:highlight w:val="none"/>
                <w:lang w:val="en-US" w:eastAsia="zh-CN"/>
              </w:rPr>
              <w:t>预算</w:t>
            </w:r>
            <w:r>
              <w:rPr>
                <w:rFonts w:hint="eastAsia" w:ascii="宋体" w:hAnsi="宋体" w:cs="宋体"/>
                <w:color w:val="auto"/>
                <w:kern w:val="0"/>
                <w:sz w:val="24"/>
                <w:highlight w:val="none"/>
              </w:rPr>
              <w:t>金额，向成交人收取招标代理服务费。</w:t>
            </w:r>
          </w:p>
          <w:tbl>
            <w:tblPr>
              <w:tblStyle w:val="64"/>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5F63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tcMar>
                    <w:top w:w="30" w:type="dxa"/>
                    <w:left w:w="150" w:type="dxa"/>
                    <w:bottom w:w="30" w:type="dxa"/>
                    <w:right w:w="150" w:type="dxa"/>
                  </w:tcMar>
                  <w:vAlign w:val="center"/>
                </w:tcPr>
                <w:p w14:paraId="73546841">
                  <w:pPr>
                    <w:spacing w:line="360" w:lineRule="auto"/>
                    <w:rPr>
                      <w:rFonts w:ascii="宋体" w:hAnsi="宋体" w:cs="宋体"/>
                      <w:color w:val="auto"/>
                      <w:kern w:val="0"/>
                      <w:szCs w:val="21"/>
                      <w:highlight w:val="none"/>
                    </w:rPr>
                  </w:pPr>
                </w:p>
                <w:p w14:paraId="36627A36">
                  <w:pPr>
                    <w:spacing w:line="360" w:lineRule="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金额（万）</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费率服务类型</w:t>
                  </w:r>
                </w:p>
                <w:p w14:paraId="6CE45EFB">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（万元）</w:t>
                  </w:r>
                </w:p>
                <w:p w14:paraId="25973B7C">
                  <w:pPr>
                    <w:spacing w:line="360" w:lineRule="auto"/>
                    <w:rPr>
                      <w:rFonts w:ascii="宋体" w:hAnsi="宋体" w:cs="宋体"/>
                      <w:color w:val="auto"/>
                      <w:kern w:val="0"/>
                      <w:szCs w:val="21"/>
                      <w:highlight w:val="none"/>
                    </w:rPr>
                  </w:pPr>
                </w:p>
              </w:tc>
              <w:tc>
                <w:tcPr>
                  <w:tcW w:w="832" w:type="dxa"/>
                  <w:tcMar>
                    <w:top w:w="30" w:type="dxa"/>
                    <w:left w:w="150" w:type="dxa"/>
                    <w:bottom w:w="30" w:type="dxa"/>
                    <w:right w:w="150" w:type="dxa"/>
                  </w:tcMar>
                  <w:vAlign w:val="center"/>
                </w:tcPr>
                <w:p w14:paraId="75C34A93">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货物</w:t>
                  </w:r>
                </w:p>
                <w:p w14:paraId="000729A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招标</w:t>
                  </w:r>
                </w:p>
              </w:tc>
              <w:tc>
                <w:tcPr>
                  <w:tcW w:w="859" w:type="dxa"/>
                  <w:tcMar>
                    <w:top w:w="30" w:type="dxa"/>
                    <w:left w:w="150" w:type="dxa"/>
                    <w:bottom w:w="30" w:type="dxa"/>
                    <w:right w:w="150" w:type="dxa"/>
                  </w:tcMar>
                  <w:vAlign w:val="center"/>
                </w:tcPr>
                <w:p w14:paraId="130B6D4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服务</w:t>
                  </w:r>
                </w:p>
                <w:p w14:paraId="066F457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招标</w:t>
                  </w:r>
                </w:p>
              </w:tc>
              <w:tc>
                <w:tcPr>
                  <w:tcW w:w="838" w:type="dxa"/>
                  <w:tcMar>
                    <w:top w:w="30" w:type="dxa"/>
                    <w:left w:w="150" w:type="dxa"/>
                    <w:bottom w:w="30" w:type="dxa"/>
                    <w:right w:w="150" w:type="dxa"/>
                  </w:tcMar>
                  <w:vAlign w:val="center"/>
                </w:tcPr>
                <w:p w14:paraId="3F77E44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工程</w:t>
                  </w:r>
                </w:p>
                <w:p w14:paraId="05358A97">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招标</w:t>
                  </w:r>
                </w:p>
              </w:tc>
            </w:tr>
            <w:tr w14:paraId="11EF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249C7AEB">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100以下</w:t>
                  </w:r>
                </w:p>
              </w:tc>
              <w:tc>
                <w:tcPr>
                  <w:tcW w:w="832" w:type="dxa"/>
                  <w:tcMar>
                    <w:top w:w="30" w:type="dxa"/>
                    <w:left w:w="150" w:type="dxa"/>
                    <w:bottom w:w="30" w:type="dxa"/>
                    <w:right w:w="150" w:type="dxa"/>
                  </w:tcMar>
                  <w:vAlign w:val="center"/>
                </w:tcPr>
                <w:p w14:paraId="53248B90">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1.5%</w:t>
                  </w:r>
                </w:p>
              </w:tc>
              <w:tc>
                <w:tcPr>
                  <w:tcW w:w="859" w:type="dxa"/>
                  <w:tcMar>
                    <w:top w:w="30" w:type="dxa"/>
                    <w:left w:w="150" w:type="dxa"/>
                    <w:bottom w:w="30" w:type="dxa"/>
                    <w:right w:w="150" w:type="dxa"/>
                  </w:tcMar>
                  <w:vAlign w:val="center"/>
                </w:tcPr>
                <w:p w14:paraId="0B0C6C57">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1.5%</w:t>
                  </w:r>
                </w:p>
              </w:tc>
              <w:tc>
                <w:tcPr>
                  <w:tcW w:w="838" w:type="dxa"/>
                  <w:tcMar>
                    <w:top w:w="30" w:type="dxa"/>
                    <w:left w:w="150" w:type="dxa"/>
                    <w:bottom w:w="30" w:type="dxa"/>
                    <w:right w:w="150" w:type="dxa"/>
                  </w:tcMar>
                  <w:vAlign w:val="center"/>
                </w:tcPr>
                <w:p w14:paraId="1699ECC5">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p>
              </w:tc>
            </w:tr>
            <w:tr w14:paraId="501F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429BB8C2">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100-500</w:t>
                  </w:r>
                </w:p>
              </w:tc>
              <w:tc>
                <w:tcPr>
                  <w:tcW w:w="832" w:type="dxa"/>
                  <w:tcMar>
                    <w:top w:w="30" w:type="dxa"/>
                    <w:left w:w="150" w:type="dxa"/>
                    <w:bottom w:w="30" w:type="dxa"/>
                    <w:right w:w="150" w:type="dxa"/>
                  </w:tcMar>
                  <w:vAlign w:val="center"/>
                </w:tcPr>
                <w:p w14:paraId="0612ED5D">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1.1%</w:t>
                  </w:r>
                </w:p>
              </w:tc>
              <w:tc>
                <w:tcPr>
                  <w:tcW w:w="859" w:type="dxa"/>
                  <w:tcMar>
                    <w:top w:w="30" w:type="dxa"/>
                    <w:left w:w="150" w:type="dxa"/>
                    <w:bottom w:w="30" w:type="dxa"/>
                    <w:right w:w="150" w:type="dxa"/>
                  </w:tcMar>
                  <w:vAlign w:val="center"/>
                </w:tcPr>
                <w:p w14:paraId="0F33C3C0">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0.8%</w:t>
                  </w:r>
                </w:p>
              </w:tc>
              <w:tc>
                <w:tcPr>
                  <w:tcW w:w="838" w:type="dxa"/>
                  <w:tcMar>
                    <w:top w:w="30" w:type="dxa"/>
                    <w:left w:w="150" w:type="dxa"/>
                    <w:bottom w:w="30" w:type="dxa"/>
                    <w:right w:w="150" w:type="dxa"/>
                  </w:tcMar>
                  <w:vAlign w:val="center"/>
                </w:tcPr>
                <w:p w14:paraId="165AB5D2">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0.7%</w:t>
                  </w:r>
                </w:p>
              </w:tc>
            </w:tr>
            <w:tr w14:paraId="713D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48B5C62C">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500-1000</w:t>
                  </w:r>
                </w:p>
              </w:tc>
              <w:tc>
                <w:tcPr>
                  <w:tcW w:w="832" w:type="dxa"/>
                  <w:tcMar>
                    <w:top w:w="30" w:type="dxa"/>
                    <w:left w:w="150" w:type="dxa"/>
                    <w:bottom w:w="30" w:type="dxa"/>
                    <w:right w:w="150" w:type="dxa"/>
                  </w:tcMar>
                  <w:vAlign w:val="center"/>
                </w:tcPr>
                <w:p w14:paraId="7CE48200">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0.8%</w:t>
                  </w:r>
                </w:p>
              </w:tc>
              <w:tc>
                <w:tcPr>
                  <w:tcW w:w="859" w:type="dxa"/>
                  <w:tcMar>
                    <w:top w:w="30" w:type="dxa"/>
                    <w:left w:w="150" w:type="dxa"/>
                    <w:bottom w:w="30" w:type="dxa"/>
                    <w:right w:w="150" w:type="dxa"/>
                  </w:tcMar>
                  <w:vAlign w:val="center"/>
                </w:tcPr>
                <w:p w14:paraId="3A196539">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0.45%</w:t>
                  </w:r>
                </w:p>
              </w:tc>
              <w:tc>
                <w:tcPr>
                  <w:tcW w:w="838" w:type="dxa"/>
                  <w:tcMar>
                    <w:top w:w="30" w:type="dxa"/>
                    <w:left w:w="150" w:type="dxa"/>
                    <w:bottom w:w="30" w:type="dxa"/>
                    <w:right w:w="150" w:type="dxa"/>
                  </w:tcMar>
                  <w:vAlign w:val="center"/>
                </w:tcPr>
                <w:p w14:paraId="70AF271E">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0.55%</w:t>
                  </w:r>
                </w:p>
              </w:tc>
            </w:tr>
            <w:tr w14:paraId="737A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50140B4A">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1000-5000</w:t>
                  </w:r>
                </w:p>
              </w:tc>
              <w:tc>
                <w:tcPr>
                  <w:tcW w:w="832" w:type="dxa"/>
                  <w:tcMar>
                    <w:top w:w="30" w:type="dxa"/>
                    <w:left w:w="150" w:type="dxa"/>
                    <w:bottom w:w="30" w:type="dxa"/>
                    <w:right w:w="150" w:type="dxa"/>
                  </w:tcMar>
                  <w:vAlign w:val="center"/>
                </w:tcPr>
                <w:p w14:paraId="088C45E0">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0.5%</w:t>
                  </w:r>
                </w:p>
              </w:tc>
              <w:tc>
                <w:tcPr>
                  <w:tcW w:w="859" w:type="dxa"/>
                  <w:tcMar>
                    <w:top w:w="30" w:type="dxa"/>
                    <w:left w:w="150" w:type="dxa"/>
                    <w:bottom w:w="30" w:type="dxa"/>
                    <w:right w:w="150" w:type="dxa"/>
                  </w:tcMar>
                  <w:vAlign w:val="center"/>
                </w:tcPr>
                <w:p w14:paraId="458D3E54">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0.25%</w:t>
                  </w:r>
                </w:p>
              </w:tc>
              <w:tc>
                <w:tcPr>
                  <w:tcW w:w="838" w:type="dxa"/>
                  <w:tcMar>
                    <w:top w:w="30" w:type="dxa"/>
                    <w:left w:w="150" w:type="dxa"/>
                    <w:bottom w:w="30" w:type="dxa"/>
                    <w:right w:w="150" w:type="dxa"/>
                  </w:tcMar>
                  <w:vAlign w:val="center"/>
                </w:tcPr>
                <w:p w14:paraId="30DCC077">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0.35%</w:t>
                  </w:r>
                </w:p>
              </w:tc>
            </w:tr>
            <w:tr w14:paraId="4322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443EF884">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5000-10000</w:t>
                  </w:r>
                </w:p>
              </w:tc>
              <w:tc>
                <w:tcPr>
                  <w:tcW w:w="832" w:type="dxa"/>
                  <w:tcMar>
                    <w:top w:w="30" w:type="dxa"/>
                    <w:left w:w="150" w:type="dxa"/>
                    <w:bottom w:w="30" w:type="dxa"/>
                    <w:right w:w="150" w:type="dxa"/>
                  </w:tcMar>
                  <w:vAlign w:val="center"/>
                </w:tcPr>
                <w:p w14:paraId="4DE2D527">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0.25%</w:t>
                  </w:r>
                </w:p>
              </w:tc>
              <w:tc>
                <w:tcPr>
                  <w:tcW w:w="859" w:type="dxa"/>
                  <w:tcMar>
                    <w:top w:w="30" w:type="dxa"/>
                    <w:left w:w="150" w:type="dxa"/>
                    <w:bottom w:w="30" w:type="dxa"/>
                    <w:right w:w="150" w:type="dxa"/>
                  </w:tcMar>
                  <w:vAlign w:val="center"/>
                </w:tcPr>
                <w:p w14:paraId="7128DC12">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0.1%</w:t>
                  </w:r>
                </w:p>
              </w:tc>
              <w:tc>
                <w:tcPr>
                  <w:tcW w:w="838" w:type="dxa"/>
                  <w:tcMar>
                    <w:top w:w="30" w:type="dxa"/>
                    <w:left w:w="150" w:type="dxa"/>
                    <w:bottom w:w="30" w:type="dxa"/>
                    <w:right w:w="150" w:type="dxa"/>
                  </w:tcMar>
                  <w:vAlign w:val="center"/>
                </w:tcPr>
                <w:p w14:paraId="6A084377">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0.2%</w:t>
                  </w:r>
                </w:p>
              </w:tc>
            </w:tr>
          </w:tbl>
          <w:p w14:paraId="6E8B1FC3">
            <w:pPr>
              <w:keepNext w:val="0"/>
              <w:keepLines w:val="0"/>
              <w:pageBreakBefore w:val="0"/>
              <w:kinsoku/>
              <w:wordWrap/>
              <w:overflowPunct/>
              <w:topLinePunct w:val="0"/>
              <w:bidi w:val="0"/>
              <w:spacing w:line="320" w:lineRule="exact"/>
              <w:ind w:firstLine="420" w:firstLineChars="200"/>
              <w:rPr>
                <w:rFonts w:ascii="宋体" w:hAnsi="宋体" w:cs="宋体"/>
                <w:snapToGrid w:val="0"/>
                <w:color w:val="auto"/>
                <w:kern w:val="28"/>
                <w:sz w:val="24"/>
              </w:rPr>
            </w:pPr>
            <w:r>
              <w:rPr>
                <w:rFonts w:hint="eastAsia" w:asciiTheme="minorEastAsia" w:hAnsiTheme="minorEastAsia" w:eastAsiaTheme="minorEastAsia" w:cstheme="minorEastAsia"/>
                <w:sz w:val="21"/>
                <w:szCs w:val="21"/>
                <w:lang w:bidi="ar"/>
              </w:rPr>
              <w:t>备注：（1）中标服务费按差额定率累进法计算；（2）中标服务费只收现金、银行票汇款、电汇款。汇入以</w:t>
            </w:r>
            <w:r>
              <w:rPr>
                <w:rFonts w:hint="eastAsia" w:asciiTheme="minorEastAsia" w:hAnsiTheme="minorEastAsia" w:eastAsiaTheme="minorEastAsia" w:cstheme="minorEastAsia"/>
                <w:color w:val="auto"/>
                <w:sz w:val="21"/>
                <w:szCs w:val="21"/>
                <w:lang w:bidi="ar"/>
              </w:rPr>
              <w:t>下账户：</w:t>
            </w:r>
            <w:r>
              <w:rPr>
                <w:rFonts w:hint="eastAsia" w:asciiTheme="minorEastAsia" w:hAnsiTheme="minorEastAsia" w:eastAsiaTheme="minorEastAsia" w:cstheme="minorEastAsia"/>
                <w:color w:val="auto"/>
                <w:sz w:val="21"/>
                <w:szCs w:val="21"/>
              </w:rPr>
              <w:t>开户银行：</w:t>
            </w:r>
            <w:r>
              <w:rPr>
                <w:rFonts w:hint="eastAsia" w:ascii="Times New Roman" w:hAnsi="Times New Roman" w:cs="Times New Roman"/>
                <w:color w:val="auto"/>
                <w:kern w:val="1"/>
                <w:sz w:val="21"/>
                <w:szCs w:val="21"/>
                <w:lang w:val="en-US" w:eastAsia="zh-CN"/>
              </w:rPr>
              <w:t>中国银行宁海桃源支行</w:t>
            </w:r>
            <w:r>
              <w:rPr>
                <w:rFonts w:hint="eastAsia" w:asciiTheme="minorEastAsia" w:hAnsiTheme="minorEastAsia" w:eastAsiaTheme="minorEastAsia" w:cstheme="minorEastAsia"/>
                <w:color w:val="auto"/>
                <w:sz w:val="21"/>
                <w:szCs w:val="21"/>
              </w:rPr>
              <w:t>，户名：宁波禾正工程管理有限公司，账号：</w:t>
            </w:r>
            <w:r>
              <w:rPr>
                <w:rFonts w:hint="eastAsia" w:ascii="Times New Roman" w:hAnsi="Times New Roman" w:cs="Times New Roman"/>
                <w:color w:val="auto"/>
                <w:kern w:val="1"/>
                <w:sz w:val="21"/>
                <w:szCs w:val="21"/>
                <w:lang w:val="en-US" w:eastAsia="zh-CN"/>
              </w:rPr>
              <w:t>381884093908</w:t>
            </w:r>
            <w:r>
              <w:rPr>
                <w:rFonts w:hint="eastAsia" w:asciiTheme="minorEastAsia" w:hAnsiTheme="minorEastAsia" w:eastAsiaTheme="minorEastAsia" w:cstheme="minorEastAsia"/>
                <w:color w:val="auto"/>
                <w:sz w:val="21"/>
                <w:szCs w:val="21"/>
              </w:rPr>
              <w:t>。</w:t>
            </w:r>
          </w:p>
        </w:tc>
      </w:tr>
      <w:tr w14:paraId="5564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3EE25A7">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2093" w:type="dxa"/>
            <w:vAlign w:val="center"/>
          </w:tcPr>
          <w:p w14:paraId="396C6683">
            <w:pPr>
              <w:snapToGrid w:val="0"/>
              <w:spacing w:line="360" w:lineRule="auto"/>
              <w:jc w:val="center"/>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其他</w:t>
            </w:r>
          </w:p>
        </w:tc>
        <w:tc>
          <w:tcPr>
            <w:tcW w:w="6927" w:type="dxa"/>
            <w:vAlign w:val="center"/>
          </w:tcPr>
          <w:p w14:paraId="7C0C89C4">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投标文件数量：</w:t>
            </w:r>
          </w:p>
          <w:p w14:paraId="7233CC16">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上传到政府采购云平台的电子投标文件（含资格文件、商务技术文件、报价文件）1份。</w:t>
            </w:r>
          </w:p>
          <w:p w14:paraId="4A578D4A">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以U盘存储的电子备份投标文件（含资格文件、商务技术文件、报价文件）1份。</w:t>
            </w:r>
          </w:p>
          <w:p w14:paraId="0CF951C8">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中标人需在中标公示结束后将正本一份，副本</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份的纸质竞包文件提交给招标代理人。</w:t>
            </w:r>
          </w:p>
        </w:tc>
      </w:tr>
    </w:tbl>
    <w:p w14:paraId="439273E6">
      <w:pPr>
        <w:snapToGrid w:val="0"/>
        <w:spacing w:line="360" w:lineRule="auto"/>
        <w:jc w:val="center"/>
        <w:rPr>
          <w:rFonts w:ascii="宋体" w:hAnsi="宋体" w:cs="宋体"/>
          <w:b/>
          <w:color w:val="auto"/>
          <w:sz w:val="32"/>
          <w:szCs w:val="20"/>
        </w:rPr>
      </w:pPr>
    </w:p>
    <w:bookmarkEnd w:id="8"/>
    <w:p w14:paraId="4395F3AB">
      <w:pPr>
        <w:widowControl/>
        <w:adjustRightInd/>
        <w:jc w:val="left"/>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br w:type="page"/>
      </w:r>
    </w:p>
    <w:p w14:paraId="4B38004E">
      <w:pPr>
        <w:snapToGrid w:val="0"/>
        <w:spacing w:line="360" w:lineRule="auto"/>
        <w:jc w:val="center"/>
        <w:outlineLvl w:val="0"/>
        <w:rPr>
          <w:rFonts w:hint="eastAsia" w:ascii="宋体" w:hAnsi="宋体" w:eastAsia="宋体" w:cs="宋体"/>
          <w:b/>
          <w:color w:val="auto"/>
          <w:sz w:val="32"/>
          <w:szCs w:val="20"/>
          <w:lang w:val="en-US" w:eastAsia="zh-CN"/>
        </w:rPr>
      </w:pPr>
      <w:r>
        <w:rPr>
          <w:rFonts w:hint="eastAsia" w:ascii="宋体" w:hAnsi="宋体" w:cs="宋体"/>
          <w:b/>
          <w:color w:val="auto"/>
          <w:sz w:val="32"/>
          <w:szCs w:val="20"/>
        </w:rPr>
        <w:t>一、总则</w:t>
      </w:r>
      <w:r>
        <w:rPr>
          <w:rFonts w:hint="eastAsia" w:ascii="宋体" w:hAnsi="宋体" w:cs="宋体"/>
          <w:b/>
          <w:color w:val="auto"/>
          <w:sz w:val="32"/>
          <w:szCs w:val="20"/>
          <w:lang w:val="en-US" w:eastAsia="zh-CN"/>
        </w:rPr>
        <w:t xml:space="preserve"> </w:t>
      </w:r>
    </w:p>
    <w:p w14:paraId="5EBFD8C9">
      <w:pPr>
        <w:snapToGrid w:val="0"/>
        <w:spacing w:line="360" w:lineRule="auto"/>
        <w:jc w:val="left"/>
        <w:outlineLvl w:val="1"/>
        <w:rPr>
          <w:rFonts w:ascii="宋体" w:hAnsi="宋体" w:cs="宋体"/>
          <w:b/>
          <w:color w:val="auto"/>
          <w:sz w:val="24"/>
        </w:rPr>
      </w:pPr>
      <w:r>
        <w:rPr>
          <w:rFonts w:hint="eastAsia" w:ascii="宋体" w:hAnsi="宋体" w:cs="宋体"/>
          <w:b/>
          <w:color w:val="auto"/>
          <w:sz w:val="24"/>
        </w:rPr>
        <w:t>1. 适用范围</w:t>
      </w:r>
    </w:p>
    <w:p w14:paraId="5BA7875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本采购文件适用于该项目的采购邀请、响应文件提交、响应文件开启、资格审查及信用信息查询、磋商、评审、成交供应商确定、合同、验收等行为（法律、法规另有规定的，从其规定）。</w:t>
      </w:r>
    </w:p>
    <w:p w14:paraId="35C385DA">
      <w:pPr>
        <w:snapToGrid w:val="0"/>
        <w:spacing w:line="360" w:lineRule="auto"/>
        <w:outlineLvl w:val="0"/>
        <w:rPr>
          <w:rFonts w:ascii="宋体" w:hAnsi="宋体" w:cs="宋体"/>
          <w:b/>
          <w:color w:val="auto"/>
          <w:sz w:val="24"/>
        </w:rPr>
      </w:pPr>
      <w:r>
        <w:rPr>
          <w:rFonts w:hint="eastAsia" w:ascii="宋体" w:hAnsi="宋体" w:cs="宋体"/>
          <w:b/>
          <w:color w:val="auto"/>
          <w:sz w:val="24"/>
        </w:rPr>
        <w:t>2.定义</w:t>
      </w:r>
    </w:p>
    <w:p w14:paraId="74C8AD3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2.1 “采购人”系指竞争性磋商公告中载明的本项目的采购人。</w:t>
      </w:r>
    </w:p>
    <w:p w14:paraId="7E4A5CF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”系指竞争性磋商公告中载明的本项目的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08AD76D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2.3 “供应商”系指是指提交响应文件和报价、参与竞争性磋商采购活动的法人、其他组织或者自然人。</w:t>
      </w:r>
    </w:p>
    <w:p w14:paraId="6DDD7B2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6A18B1C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w:t>
      </w:r>
      <w:r>
        <w:rPr>
          <w:rFonts w:hint="eastAsia" w:ascii="宋体" w:hAnsi="宋体" w:cs="宋体"/>
          <w:color w:val="auto"/>
          <w:sz w:val="24"/>
          <w:lang w:val="en-US" w:eastAsia="zh-CN"/>
        </w:rPr>
        <w:t>2</w:t>
      </w:r>
      <w:r>
        <w:rPr>
          <w:rFonts w:hint="eastAsia" w:ascii="宋体" w:hAnsi="宋体" w:cs="宋体"/>
          <w:color w:val="auto"/>
          <w:sz w:val="24"/>
        </w:rPr>
        <w:t>）。</w:t>
      </w:r>
    </w:p>
    <w:p w14:paraId="611D906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4D4DC61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系指不适用本项目的要求，“※”系指磋商过程中可能实质性变动的内容。</w:t>
      </w:r>
    </w:p>
    <w:p w14:paraId="208EFD53">
      <w:pPr>
        <w:snapToGrid w:val="0"/>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1642B01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1D50A92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3.2 支持绿色发展</w:t>
      </w:r>
    </w:p>
    <w:p w14:paraId="6BBB363C">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rPr>
        <w:t>采购人拟采购的产品属于政府强制采购的节能产品品目清单范围的，供应商未按采购文件要求提供国家确定的认证机构出具的、处于有效期之内的节能产品认证证书的，响应文件无效。</w:t>
      </w:r>
    </w:p>
    <w:p w14:paraId="5CC4979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3.2.2纳入政府采购管理的修缮、装修类项目采购建材的，鼓励采购单位将绿色建材性能、指标等作为实质性条件纳入采购文件和合同，具体性能指标要求参考相关绿色建材政府采购需求标准。</w:t>
      </w:r>
    </w:p>
    <w:p w14:paraId="249FF1AC">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4BA08C4">
      <w:pPr>
        <w:pStyle w:val="5"/>
        <w:tabs>
          <w:tab w:val="left" w:pos="0"/>
          <w:tab w:val="clear" w:pos="432"/>
        </w:tabs>
        <w:ind w:left="0" w:firstLine="480" w:firstLineChars="200"/>
        <w:rPr>
          <w:color w:val="auto"/>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34D000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3.3支持中小企业发展</w:t>
      </w:r>
    </w:p>
    <w:p w14:paraId="78FFBFF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B053B3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289B9167">
      <w:pPr>
        <w:widowControl/>
        <w:snapToGrid w:val="0"/>
        <w:spacing w:line="360" w:lineRule="auto"/>
        <w:ind w:firstLine="480" w:firstLineChars="200"/>
        <w:jc w:val="left"/>
        <w:rPr>
          <w:rFonts w:ascii="宋体" w:hAnsi="宋体" w:cs="宋体"/>
          <w:color w:val="auto"/>
          <w:kern w:val="0"/>
          <w:sz w:val="24"/>
        </w:rPr>
      </w:pPr>
      <w:r>
        <w:rPr>
          <w:rFonts w:hint="eastAsia" w:ascii="宋体" w:hAnsi="宋体" w:cs="宋体"/>
          <w:bCs/>
          <w:color w:val="auto"/>
          <w:sz w:val="24"/>
        </w:rPr>
        <w:t>3.3.2</w:t>
      </w:r>
      <w:r>
        <w:rPr>
          <w:rFonts w:hint="eastAsia" w:ascii="宋体" w:hAnsi="宋体" w:cs="宋体"/>
          <w:color w:val="auto"/>
          <w:kern w:val="0"/>
          <w:sz w:val="24"/>
        </w:rPr>
        <w:t>在政府采购活动中，供应商提供的工程符合下列情形的，享受中小企业扶持政策：</w:t>
      </w:r>
      <w:r>
        <w:rPr>
          <w:rFonts w:ascii="宋体" w:hAnsi="宋体" w:cs="宋体"/>
          <w:color w:val="auto"/>
          <w:sz w:val="24"/>
        </w:rPr>
        <w:t>在工程采购项目中，工程由中小企业承建，即工程施工单位为中小企业</w:t>
      </w:r>
      <w:r>
        <w:rPr>
          <w:rFonts w:hint="eastAsia" w:ascii="宋体" w:hAnsi="宋体" w:cs="宋体"/>
          <w:color w:val="auto"/>
          <w:kern w:val="0"/>
          <w:sz w:val="24"/>
        </w:rPr>
        <w:t>。</w:t>
      </w:r>
    </w:p>
    <w:p w14:paraId="75B3DF8D">
      <w:pPr>
        <w:widowControl/>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756BB1F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3" w:name="_Hlk101132181"/>
      <w:r>
        <w:rPr>
          <w:rFonts w:hint="eastAsia" w:ascii="宋体" w:hAnsi="宋体" w:cs="宋体"/>
          <w:color w:val="auto"/>
          <w:sz w:val="24"/>
        </w:rPr>
        <w:t>联合协议或者分包意向协议约定小微企业的合同份额占到合同总金额30%以上的</w:t>
      </w:r>
      <w:bookmarkEnd w:id="13"/>
      <w:r>
        <w:rPr>
          <w:rFonts w:hint="eastAsia" w:ascii="宋体" w:hAnsi="宋体" w:cs="宋体"/>
          <w:color w:val="auto"/>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3FF3EB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4A760BB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04E4EE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6EB9DF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7BA3D4A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15A16F6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1CD94BB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82CF7DD">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310BDCC3">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14:paraId="786EDBE4">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4.1在线询问、质疑、投诉</w:t>
      </w:r>
    </w:p>
    <w:p w14:paraId="2FFB0623">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14AD0A">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7FD190B5">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25E8B82">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6533223E">
      <w:pPr>
        <w:pStyle w:val="34"/>
        <w:snapToGrid w:val="0"/>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.1提出质疑的供应商应当是参与所质疑项目采购活动的供应商。潜在供应商已依法获取其可质疑的采购文件的，可以对该文件提出质疑。</w:t>
      </w:r>
    </w:p>
    <w:p w14:paraId="475B8DF4">
      <w:pPr>
        <w:pStyle w:val="34"/>
        <w:snapToGrid w:val="0"/>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15897392">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3B28001B">
      <w:pPr>
        <w:pStyle w:val="34"/>
        <w:snapToGrid w:val="0"/>
        <w:spacing w:line="360" w:lineRule="auto"/>
        <w:ind w:firstLine="480" w:firstLineChars="200"/>
        <w:rPr>
          <w:rFonts w:hAnsi="宋体" w:cs="宋体"/>
          <w:color w:val="auto"/>
          <w:sz w:val="24"/>
        </w:rPr>
      </w:pPr>
      <w:r>
        <w:rPr>
          <w:rFonts w:hint="eastAsia" w:hAnsi="宋体" w:cs="宋体"/>
          <w:color w:val="auto"/>
          <w:sz w:val="24"/>
        </w:rPr>
        <w:t>4.3.2.2对采购过程提出质疑的，质疑期限为各采购程序环节结束之日起计算。</w:t>
      </w:r>
    </w:p>
    <w:p w14:paraId="37D25AC4">
      <w:pPr>
        <w:pStyle w:val="34"/>
        <w:snapToGrid w:val="0"/>
        <w:spacing w:line="360" w:lineRule="auto"/>
        <w:ind w:firstLine="480" w:firstLineChars="200"/>
        <w:rPr>
          <w:rFonts w:hAnsi="宋体" w:cs="宋体"/>
          <w:color w:val="auto"/>
          <w:sz w:val="24"/>
        </w:rPr>
      </w:pPr>
      <w:r>
        <w:rPr>
          <w:rFonts w:hint="eastAsia" w:hAnsi="宋体" w:cs="宋体"/>
          <w:color w:val="auto"/>
          <w:sz w:val="24"/>
        </w:rPr>
        <w:t>4.3.2.3对采购结果提出质疑的，质疑期限自采购结果公告期限届满之日起计算。</w:t>
      </w:r>
    </w:p>
    <w:p w14:paraId="2E670829">
      <w:pPr>
        <w:pStyle w:val="34"/>
        <w:snapToGrid w:val="0"/>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51219A2A">
      <w:pPr>
        <w:pStyle w:val="34"/>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4.3.3.1供应商的姓名或者名称、地址、邮编、联系人及联系电话；</w:t>
      </w:r>
    </w:p>
    <w:p w14:paraId="5E7C6794">
      <w:pPr>
        <w:pStyle w:val="34"/>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4.3.3.2质疑项目的名称、编号；</w:t>
      </w:r>
    </w:p>
    <w:p w14:paraId="54ED27AA">
      <w:pPr>
        <w:pStyle w:val="34"/>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4.3.3.3具体、明确的质疑事项和与质疑事项相关的请求；</w:t>
      </w:r>
    </w:p>
    <w:p w14:paraId="731C8B32">
      <w:pPr>
        <w:pStyle w:val="34"/>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4.3.3.4事实依据；</w:t>
      </w:r>
    </w:p>
    <w:p w14:paraId="3E1FF9C1">
      <w:pPr>
        <w:pStyle w:val="34"/>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4.3.3.5必要的法律依据；</w:t>
      </w:r>
    </w:p>
    <w:p w14:paraId="4F867E14">
      <w:pPr>
        <w:pStyle w:val="34"/>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4.3.3.6提出质疑的日期。</w:t>
      </w:r>
    </w:p>
    <w:p w14:paraId="4EC11465">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02E93673">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质疑函范本及制作说明详见附件2。</w:t>
      </w:r>
    </w:p>
    <w:p w14:paraId="6C996777">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4.3.4对同一采购程序环节的质疑，供应商须在法定质疑期内一次性提出。</w:t>
      </w:r>
    </w:p>
    <w:p w14:paraId="4A28DEEB">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1E77FACE">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47DB315A">
      <w:pPr>
        <w:pStyle w:val="890"/>
        <w:shd w:val="clear" w:color="auto" w:fill="FFFFFF"/>
        <w:adjustRightInd w:val="0"/>
        <w:snapToGrid w:val="0"/>
        <w:spacing w:before="0" w:beforeAutospacing="0" w:after="0" w:afterAutospacing="0" w:line="360" w:lineRule="auto"/>
        <w:ind w:firstLine="480" w:firstLineChars="200"/>
        <w:contextualSpacing/>
        <w:rPr>
          <w:color w:val="auto"/>
          <w:lang w:val="zh-CN"/>
        </w:rPr>
      </w:pPr>
      <w:r>
        <w:rPr>
          <w:rFonts w:hint="eastAsia"/>
          <w:color w:val="auto"/>
          <w:lang w:val="zh-CN"/>
        </w:rPr>
        <w:t>4.4供应商投诉</w:t>
      </w:r>
    </w:p>
    <w:p w14:paraId="3D1CE8D5">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1C90731F">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402C907A">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4.4.3供应商投诉应当有明确的请求和必要的证明材料。</w:t>
      </w:r>
    </w:p>
    <w:p w14:paraId="489A6D9D">
      <w:pPr>
        <w:pStyle w:val="890"/>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4.4.4以联合体形式参加政府采购活动的，其投诉应当由组成联合体的所有供应商共同提出。</w:t>
      </w:r>
    </w:p>
    <w:p w14:paraId="39ED20A8">
      <w:pPr>
        <w:pStyle w:val="890"/>
        <w:shd w:val="clear" w:color="auto" w:fill="FFFFFF"/>
        <w:snapToGrid w:val="0"/>
        <w:spacing w:after="240" w:afterAutospacing="0" w:line="360" w:lineRule="auto"/>
        <w:ind w:firstLine="480" w:firstLineChars="200"/>
        <w:contextualSpacing/>
        <w:rPr>
          <w:color w:val="auto"/>
        </w:rPr>
      </w:pPr>
      <w:r>
        <w:rPr>
          <w:rFonts w:hint="eastAsia" w:asciiTheme="minorEastAsia" w:hAnsiTheme="minorEastAsia" w:eastAsiaTheme="minorEastAsia"/>
          <w:color w:val="auto"/>
        </w:rPr>
        <w:t>4.5.5</w:t>
      </w:r>
      <w:r>
        <w:rPr>
          <w:rFonts w:hint="eastAsia"/>
          <w:color w:val="auto"/>
        </w:rPr>
        <w:t>投诉书范本及制作说明详见附件3。</w:t>
      </w:r>
    </w:p>
    <w:p w14:paraId="5743F866">
      <w:pPr>
        <w:pStyle w:val="132"/>
        <w:snapToGrid w:val="0"/>
        <w:spacing w:before="0"/>
        <w:ind w:firstLine="360"/>
        <w:rPr>
          <w:rFonts w:ascii="宋体" w:hAnsi="宋体" w:cs="宋体"/>
          <w:color w:val="auto"/>
          <w:sz w:val="18"/>
          <w:szCs w:val="18"/>
        </w:rPr>
      </w:pPr>
    </w:p>
    <w:p w14:paraId="1CC98227">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二、采购文件的构成、澄清、修改</w:t>
      </w:r>
    </w:p>
    <w:p w14:paraId="5589AA48">
      <w:pPr>
        <w:pStyle w:val="34"/>
        <w:spacing w:line="360" w:lineRule="auto"/>
        <w:rPr>
          <w:rFonts w:hAnsi="宋体" w:cs="宋体"/>
          <w:b/>
          <w:color w:val="auto"/>
          <w:sz w:val="24"/>
          <w:szCs w:val="24"/>
        </w:rPr>
      </w:pPr>
      <w:r>
        <w:rPr>
          <w:rFonts w:hint="eastAsia" w:hAnsi="宋体" w:cs="宋体"/>
          <w:b/>
          <w:color w:val="auto"/>
          <w:sz w:val="24"/>
          <w:szCs w:val="24"/>
        </w:rPr>
        <w:t>5．采购文件的构成</w:t>
      </w:r>
    </w:p>
    <w:p w14:paraId="394072A2">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采购文件包括下列文件及附件：</w:t>
      </w:r>
    </w:p>
    <w:p w14:paraId="0510C231">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5.1.1竞争性磋商公告；</w:t>
      </w:r>
    </w:p>
    <w:p w14:paraId="79D4CF00">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5.1.2供应商须知；</w:t>
      </w:r>
    </w:p>
    <w:p w14:paraId="00F34C2D">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18280281">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5.1.4评审办法；</w:t>
      </w:r>
    </w:p>
    <w:p w14:paraId="0A5820E6">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1AB114FB">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2B060008">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澄清或者修改的内容为采购文件的组成部分</w:t>
      </w:r>
      <w:r>
        <w:rPr>
          <w:rFonts w:hint="eastAsia" w:ascii="宋体" w:hAnsi="宋体" w:cs="宋体"/>
          <w:color w:val="auto"/>
          <w:sz w:val="24"/>
        </w:rPr>
        <w:t>。</w:t>
      </w:r>
    </w:p>
    <w:p w14:paraId="0AD33C87">
      <w:pPr>
        <w:pStyle w:val="34"/>
        <w:spacing w:line="360" w:lineRule="auto"/>
        <w:rPr>
          <w:rFonts w:hAnsi="宋体" w:cs="宋体"/>
          <w:b/>
          <w:color w:val="auto"/>
          <w:sz w:val="24"/>
          <w:szCs w:val="24"/>
        </w:rPr>
      </w:pPr>
      <w:r>
        <w:rPr>
          <w:rFonts w:hint="eastAsia" w:hAnsi="宋体" w:cs="宋体"/>
          <w:b/>
          <w:color w:val="auto"/>
          <w:sz w:val="24"/>
          <w:szCs w:val="24"/>
        </w:rPr>
        <w:t>6. 采购文件的澄清、修改</w:t>
      </w:r>
    </w:p>
    <w:p w14:paraId="2F01BA50">
      <w:pPr>
        <w:pStyle w:val="132"/>
        <w:snapToGrid w:val="0"/>
        <w:spacing w:before="0"/>
        <w:ind w:firstLine="480"/>
        <w:rPr>
          <w:rFonts w:ascii="宋体" w:hAnsi="宋体" w:cs="宋体"/>
          <w:color w:val="auto"/>
        </w:rPr>
      </w:pPr>
      <w:r>
        <w:rPr>
          <w:rFonts w:hint="eastAsia" w:ascii="宋体" w:hAnsi="宋体" w:cs="宋体"/>
          <w:color w:val="auto"/>
        </w:rPr>
        <w:t>6.1已获取采购文件的潜在供应商，若有问题需要澄清，应于响应文件提交（上传）截止时间前，以书面形式向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384809EA">
      <w:pPr>
        <w:pStyle w:val="132"/>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A07578A">
      <w:pPr>
        <w:pStyle w:val="25"/>
        <w:rPr>
          <w:rFonts w:hAnsi="宋体" w:cs="宋体"/>
          <w:color w:val="auto"/>
          <w:sz w:val="18"/>
          <w:szCs w:val="18"/>
          <w:lang w:val="en-US"/>
        </w:rPr>
      </w:pPr>
    </w:p>
    <w:p w14:paraId="02A15BF5">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三、提交响应文件</w:t>
      </w:r>
    </w:p>
    <w:p w14:paraId="55240EB0">
      <w:pPr>
        <w:pStyle w:val="34"/>
        <w:spacing w:line="360" w:lineRule="auto"/>
        <w:rPr>
          <w:rFonts w:hAnsi="宋体" w:cs="宋体"/>
          <w:b/>
          <w:color w:val="auto"/>
          <w:sz w:val="24"/>
          <w:szCs w:val="24"/>
        </w:rPr>
      </w:pPr>
      <w:r>
        <w:rPr>
          <w:rFonts w:hint="eastAsia" w:hAnsi="宋体" w:cs="宋体"/>
          <w:b/>
          <w:color w:val="auto"/>
          <w:sz w:val="24"/>
          <w:szCs w:val="24"/>
        </w:rPr>
        <w:t>7. 采购文件的获取</w:t>
      </w:r>
    </w:p>
    <w:p w14:paraId="29D34EB7">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详见竞争性磋商公告中获取采购文件的时间期限、地点、方式及采购文件售价。</w:t>
      </w:r>
    </w:p>
    <w:p w14:paraId="4AEBCB19">
      <w:pPr>
        <w:pStyle w:val="34"/>
        <w:spacing w:line="360" w:lineRule="auto"/>
        <w:rPr>
          <w:rFonts w:hAnsi="宋体" w:cs="宋体"/>
          <w:b/>
          <w:color w:val="auto"/>
          <w:sz w:val="24"/>
          <w:szCs w:val="24"/>
        </w:rPr>
      </w:pPr>
      <w:r>
        <w:rPr>
          <w:rFonts w:hint="eastAsia" w:hAnsi="宋体" w:cs="宋体"/>
          <w:b/>
          <w:color w:val="auto"/>
          <w:sz w:val="24"/>
          <w:szCs w:val="24"/>
        </w:rPr>
        <w:t>8.磋商前答疑会或现场考察</w:t>
      </w:r>
    </w:p>
    <w:p w14:paraId="36ADC374">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采购人组织潜在供应商现场考察或者召开磋商前答疑会的，潜在供应商按第二部分供应商须知前附表的规定参加现场考察或者磋商前答疑会。</w:t>
      </w:r>
    </w:p>
    <w:p w14:paraId="015FA743">
      <w:pPr>
        <w:pStyle w:val="34"/>
        <w:spacing w:line="360" w:lineRule="auto"/>
        <w:rPr>
          <w:rFonts w:hAnsi="宋体" w:cs="宋体"/>
          <w:b/>
          <w:color w:val="auto"/>
          <w:szCs w:val="24"/>
        </w:rPr>
      </w:pPr>
      <w:r>
        <w:rPr>
          <w:rFonts w:hint="eastAsia" w:hAnsi="宋体" w:cs="宋体"/>
          <w:b/>
          <w:color w:val="auto"/>
          <w:kern w:val="28"/>
          <w:sz w:val="24"/>
          <w:szCs w:val="24"/>
        </w:rPr>
        <w:t>9.磋商保证金</w:t>
      </w:r>
    </w:p>
    <w:p w14:paraId="53D2F7AF">
      <w:pPr>
        <w:pStyle w:val="17"/>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1B9E0FD1">
      <w:pPr>
        <w:pStyle w:val="34"/>
        <w:spacing w:line="360" w:lineRule="auto"/>
        <w:rPr>
          <w:rFonts w:hAnsi="宋体" w:cs="宋体"/>
          <w:b/>
          <w:color w:val="auto"/>
          <w:sz w:val="24"/>
          <w:szCs w:val="24"/>
        </w:rPr>
      </w:pPr>
      <w:r>
        <w:rPr>
          <w:rFonts w:hint="eastAsia" w:hAnsi="宋体" w:cs="宋体"/>
          <w:b/>
          <w:color w:val="auto"/>
          <w:sz w:val="24"/>
          <w:szCs w:val="24"/>
        </w:rPr>
        <w:t>10. 响应文件的语言</w:t>
      </w:r>
    </w:p>
    <w:p w14:paraId="526EA600">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响应文件及供应商与采购有关的来往通知、函件和文件均应使用中文。</w:t>
      </w:r>
    </w:p>
    <w:p w14:paraId="075D1CF6">
      <w:pPr>
        <w:pStyle w:val="34"/>
        <w:spacing w:line="360" w:lineRule="auto"/>
        <w:rPr>
          <w:rFonts w:hAnsi="宋体" w:cs="宋体"/>
          <w:b/>
          <w:color w:val="auto"/>
          <w:sz w:val="24"/>
          <w:szCs w:val="24"/>
        </w:rPr>
      </w:pPr>
      <w:r>
        <w:rPr>
          <w:rFonts w:hint="eastAsia" w:hAnsi="宋体" w:cs="宋体"/>
          <w:b/>
          <w:color w:val="auto"/>
          <w:sz w:val="24"/>
          <w:szCs w:val="24"/>
        </w:rPr>
        <w:t>11. 响应文件的组成</w:t>
      </w:r>
    </w:p>
    <w:p w14:paraId="620266A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74C434D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0DFB359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4" w:name="_Hlk101259339"/>
      <w:r>
        <w:rPr>
          <w:rFonts w:hint="eastAsia" w:ascii="宋体" w:hAnsi="宋体" w:cs="宋体"/>
          <w:snapToGrid w:val="0"/>
          <w:color w:val="auto"/>
          <w:kern w:val="28"/>
          <w:sz w:val="24"/>
          <w:szCs w:val="20"/>
        </w:rPr>
        <w:t>联合协议</w:t>
      </w:r>
      <w:bookmarkStart w:id="15" w:name="_Hlk101257010"/>
      <w:r>
        <w:rPr>
          <w:rFonts w:hint="eastAsia" w:ascii="宋体" w:hAnsi="宋体" w:cs="宋体"/>
          <w:snapToGrid w:val="0"/>
          <w:color w:val="auto"/>
          <w:kern w:val="28"/>
          <w:sz w:val="24"/>
          <w:szCs w:val="20"/>
        </w:rPr>
        <w:t>（如果有)</w:t>
      </w:r>
      <w:bookmarkEnd w:id="14"/>
      <w:bookmarkEnd w:id="15"/>
      <w:r>
        <w:rPr>
          <w:rFonts w:hint="eastAsia" w:ascii="宋体" w:hAnsi="宋体" w:cs="宋体"/>
          <w:snapToGrid w:val="0"/>
          <w:color w:val="auto"/>
          <w:kern w:val="28"/>
          <w:sz w:val="24"/>
          <w:szCs w:val="20"/>
        </w:rPr>
        <w:t>；</w:t>
      </w:r>
    </w:p>
    <w:p w14:paraId="3C74EE9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eastAsia="宋体" w:cs="宋体"/>
          <w:color w:val="auto"/>
          <w:sz w:val="24"/>
          <w:lang w:eastAsia="zh-CN"/>
        </w:rPr>
        <w:t>，</w:t>
      </w:r>
      <w:r>
        <w:rPr>
          <w:rFonts w:hint="eastAsia" w:ascii="宋体" w:hAnsi="宋体" w:eastAsia="宋体" w:cs="宋体"/>
          <w:color w:val="auto"/>
          <w:sz w:val="24"/>
        </w:rPr>
        <w:t>中小企业声明函)；</w:t>
      </w:r>
    </w:p>
    <w:p w14:paraId="0837177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F56A563">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02FD4A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11.2.1响应函；</w:t>
      </w:r>
      <w:r>
        <w:rPr>
          <w:rFonts w:hint="eastAsia" w:ascii="宋体" w:hAnsi="宋体" w:cs="宋体"/>
          <w:color w:val="auto"/>
          <w:sz w:val="24"/>
          <w:lang w:val="zh-CN"/>
        </w:rPr>
        <w:t xml:space="preserve"> </w:t>
      </w:r>
    </w:p>
    <w:p w14:paraId="430F48E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11.2.2</w:t>
      </w:r>
      <w:r>
        <w:rPr>
          <w:rFonts w:hint="eastAsia" w:ascii="宋体" w:hAnsi="宋体" w:cs="宋体"/>
          <w:sz w:val="24"/>
        </w:rPr>
        <w:t>授权委托书或法定代表人（单位负责人、自然人本人）身份证明；</w:t>
      </w:r>
    </w:p>
    <w:p w14:paraId="27DE2B7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11.2.3分包意向协议（如果有)；</w:t>
      </w:r>
    </w:p>
    <w:p w14:paraId="3454F8C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11.2.4符合性审查资料；</w:t>
      </w:r>
    </w:p>
    <w:p w14:paraId="21B4BE0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11.2.5评审标准相应的商务技术资料；</w:t>
      </w:r>
    </w:p>
    <w:p w14:paraId="6286B34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11.2.6商务技术偏离表；</w:t>
      </w:r>
    </w:p>
    <w:p w14:paraId="4145758D">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14:paraId="1EEC3E24">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5712D6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11.3.1报价单；</w:t>
      </w:r>
    </w:p>
    <w:p w14:paraId="6C37DC4C">
      <w:pPr>
        <w:snapToGrid w:val="0"/>
        <w:spacing w:line="360" w:lineRule="auto"/>
        <w:ind w:firstLine="960" w:firstLineChars="400"/>
        <w:rPr>
          <w:rFonts w:hint="default" w:ascii="宋体" w:hAnsi="宋体" w:eastAsia="宋体" w:cs="宋体"/>
          <w:color w:val="auto"/>
          <w:sz w:val="24"/>
          <w:lang w:val="en-US" w:eastAsia="zh-CN"/>
        </w:rPr>
      </w:pPr>
      <w:r>
        <w:rPr>
          <w:rFonts w:hint="eastAsia" w:ascii="宋体" w:hAnsi="宋体" w:cs="宋体"/>
          <w:color w:val="auto"/>
          <w:sz w:val="24"/>
        </w:rPr>
        <w:t>11.3.2已标价工程量清单</w:t>
      </w:r>
      <w:r>
        <w:rPr>
          <w:rFonts w:hint="eastAsia" w:ascii="宋体" w:hAnsi="宋体" w:cs="宋体"/>
          <w:color w:val="auto"/>
          <w:sz w:val="24"/>
          <w:lang w:val="en-US" w:eastAsia="zh-CN"/>
        </w:rPr>
        <w:t>；</w:t>
      </w:r>
    </w:p>
    <w:p w14:paraId="0766CC4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11.3.3中小企业声明函</w:t>
      </w:r>
      <w:r>
        <w:rPr>
          <w:rFonts w:hint="eastAsia" w:ascii="宋体" w:hAnsi="宋体" w:cs="宋体"/>
          <w:sz w:val="24"/>
        </w:rPr>
        <w:t>（如果有）</w:t>
      </w:r>
      <w:r>
        <w:rPr>
          <w:rFonts w:hint="eastAsia" w:ascii="宋体" w:hAnsi="宋体" w:cs="宋体"/>
          <w:color w:val="auto"/>
          <w:sz w:val="24"/>
        </w:rPr>
        <w:t>。</w:t>
      </w:r>
    </w:p>
    <w:p w14:paraId="6823B56C">
      <w:pPr>
        <w:spacing w:line="360" w:lineRule="auto"/>
        <w:ind w:firstLine="723" w:firstLineChars="300"/>
        <w:rPr>
          <w:rFonts w:ascii="宋体" w:hAnsi="宋体" w:cs="宋体"/>
          <w:b/>
          <w:color w:val="auto"/>
          <w:sz w:val="24"/>
        </w:rPr>
      </w:pPr>
      <w:r>
        <w:rPr>
          <w:rFonts w:hint="eastAsia" w:ascii="宋体" w:hAnsi="宋体" w:cs="宋体"/>
          <w:b/>
          <w:color w:val="auto"/>
          <w:sz w:val="24"/>
        </w:rPr>
        <w:t>响应文件含有采购人不能接受的附加条件的，响应文件无效；</w:t>
      </w:r>
    </w:p>
    <w:p w14:paraId="3895E2B1">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供应商提供虚假材料的，响应文件无效。</w:t>
      </w:r>
    </w:p>
    <w:p w14:paraId="4ED65032">
      <w:pPr>
        <w:pStyle w:val="132"/>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响应文件的编制</w:t>
      </w:r>
    </w:p>
    <w:p w14:paraId="2AF494AB">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A8E5F1F">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6296CF2">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EFAE09B">
      <w:pPr>
        <w:snapToGrid w:val="0"/>
        <w:spacing w:line="360" w:lineRule="auto"/>
        <w:rPr>
          <w:rFonts w:ascii="宋体" w:hAnsi="宋体" w:cs="宋体"/>
          <w:b/>
          <w:color w:val="auto"/>
          <w:sz w:val="24"/>
        </w:rPr>
      </w:pPr>
      <w:r>
        <w:rPr>
          <w:rFonts w:hint="eastAsia" w:ascii="宋体" w:hAnsi="宋体" w:cs="宋体"/>
          <w:b/>
          <w:color w:val="auto"/>
          <w:sz w:val="24"/>
        </w:rPr>
        <w:t>13.响应文件的签署、盖章</w:t>
      </w:r>
    </w:p>
    <w:p w14:paraId="56824F15">
      <w:pPr>
        <w:pStyle w:val="132"/>
        <w:snapToGrid w:val="0"/>
        <w:spacing w:before="0"/>
        <w:ind w:firstLine="480"/>
        <w:rPr>
          <w:rFonts w:ascii="宋体" w:hAnsi="宋体" w:cs="宋体"/>
          <w:b/>
          <w:color w:val="auto"/>
        </w:rPr>
      </w:pPr>
      <w:r>
        <w:rPr>
          <w:rFonts w:hint="eastAsia" w:ascii="宋体" w:hAnsi="宋体" w:cs="宋体"/>
          <w:color w:val="auto"/>
          <w:szCs w:val="24"/>
        </w:rPr>
        <w:t>13.1响应文件按照采购文件第六部分格式要</w:t>
      </w:r>
      <w:r>
        <w:rPr>
          <w:rFonts w:hint="eastAsia" w:ascii="宋体" w:hAnsi="宋体" w:cs="宋体"/>
          <w:color w:val="auto"/>
        </w:rPr>
        <w:t>求进行签署、盖章。</w:t>
      </w:r>
      <w:r>
        <w:rPr>
          <w:rFonts w:hint="eastAsia" w:ascii="宋体" w:hAnsi="宋体" w:cs="宋体"/>
          <w:b/>
          <w:color w:val="auto"/>
        </w:rPr>
        <w:t>▲供应商的响应文件未按照采购文件要求签署、盖章的，其响应文件无效</w:t>
      </w:r>
      <w:r>
        <w:rPr>
          <w:rFonts w:hint="eastAsia" w:ascii="宋体" w:hAnsi="宋体" w:cs="宋体"/>
          <w:color w:val="auto"/>
          <w:szCs w:val="24"/>
        </w:rPr>
        <w:t>。</w:t>
      </w:r>
    </w:p>
    <w:p w14:paraId="132BA0CE">
      <w:pPr>
        <w:pStyle w:val="132"/>
        <w:snapToGrid w:val="0"/>
        <w:spacing w:before="0"/>
        <w:ind w:firstLine="480"/>
        <w:rPr>
          <w:rFonts w:ascii="宋体" w:hAnsi="宋体" w:cs="宋体"/>
          <w:color w:val="auto"/>
        </w:rPr>
      </w:pPr>
      <w:r>
        <w:rPr>
          <w:rFonts w:hint="eastAsia" w:ascii="宋体" w:hAnsi="宋体" w:cs="宋体"/>
          <w:color w:val="auto"/>
        </w:rPr>
        <w:t>13.2为确保网上操作合法、有效和安全，供应商应当在响应文件提交（上传）截止时间前完成在“政府采购云平台”的身份认证，确保在电子投标过程中能够对相关数据电文进行加密和使用电子签名。</w:t>
      </w:r>
    </w:p>
    <w:p w14:paraId="74AE4FCA">
      <w:pPr>
        <w:pStyle w:val="132"/>
        <w:snapToGrid w:val="0"/>
        <w:spacing w:before="0"/>
        <w:ind w:firstLine="480"/>
        <w:rPr>
          <w:rFonts w:ascii="宋体" w:hAnsi="宋体" w:cs="宋体"/>
          <w:color w:val="auto"/>
          <w:szCs w:val="24"/>
        </w:rPr>
      </w:pPr>
      <w:r>
        <w:rPr>
          <w:rFonts w:hint="eastAsia" w:ascii="宋体" w:hAnsi="宋体" w:cs="宋体"/>
          <w:color w:val="auto"/>
        </w:rPr>
        <w:t>13.3采购文件对响应文件签署、盖章的要求适用于电子签名。</w:t>
      </w:r>
    </w:p>
    <w:p w14:paraId="790069C1">
      <w:pPr>
        <w:pStyle w:val="132"/>
        <w:snapToGrid w:val="0"/>
        <w:spacing w:before="0"/>
        <w:ind w:firstLine="0" w:firstLineChars="0"/>
        <w:rPr>
          <w:rFonts w:ascii="宋体" w:hAnsi="宋体" w:cs="宋体"/>
          <w:b/>
          <w:color w:val="auto"/>
          <w:szCs w:val="24"/>
        </w:rPr>
      </w:pPr>
    </w:p>
    <w:p w14:paraId="5EBC6D80">
      <w:pPr>
        <w:pStyle w:val="132"/>
        <w:snapToGrid w:val="0"/>
        <w:spacing w:before="0"/>
        <w:ind w:firstLine="0" w:firstLineChars="0"/>
        <w:rPr>
          <w:rFonts w:ascii="宋体" w:hAnsi="宋体" w:cs="宋体"/>
          <w:b/>
          <w:color w:val="auto"/>
          <w:szCs w:val="24"/>
        </w:rPr>
      </w:pPr>
      <w:r>
        <w:rPr>
          <w:rFonts w:hint="eastAsia" w:ascii="宋体" w:hAnsi="宋体" w:cs="宋体"/>
          <w:b/>
          <w:color w:val="auto"/>
          <w:szCs w:val="24"/>
        </w:rPr>
        <w:t>14. 响应文件的提交、补充、修改、撤回</w:t>
      </w:r>
    </w:p>
    <w:p w14:paraId="4616F7FF">
      <w:pPr>
        <w:pStyle w:val="132"/>
        <w:snapToGrid w:val="0"/>
        <w:spacing w:before="0"/>
        <w:ind w:firstLine="480"/>
        <w:rPr>
          <w:rFonts w:ascii="宋体" w:hAnsi="宋体" w:cs="宋体"/>
          <w:color w:val="auto"/>
          <w:szCs w:val="24"/>
        </w:rPr>
      </w:pPr>
      <w:r>
        <w:rPr>
          <w:rFonts w:hint="eastAsia" w:ascii="宋体" w:hAnsi="宋体" w:cs="宋体"/>
          <w:color w:val="auto"/>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2D13505">
      <w:pPr>
        <w:pStyle w:val="132"/>
        <w:snapToGrid w:val="0"/>
        <w:spacing w:before="0"/>
        <w:ind w:firstLine="480"/>
        <w:rPr>
          <w:rFonts w:ascii="宋体" w:hAnsi="宋体" w:cs="宋体"/>
          <w:color w:val="auto"/>
          <w:szCs w:val="24"/>
        </w:rPr>
      </w:pPr>
      <w:r>
        <w:rPr>
          <w:rFonts w:hint="eastAsia" w:ascii="宋体" w:hAnsi="宋体" w:cs="宋体"/>
          <w:color w:val="auto"/>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6982DA6B">
      <w:pPr>
        <w:pStyle w:val="132"/>
        <w:snapToGrid w:val="0"/>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可以视情况延长响应文件提交的截止时间。在上述情况下，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与供应商以前在响应文件提交截止时间方面的全部权利、责任和义务，将适用于延长至新的响应文件提交截止时间。</w:t>
      </w:r>
    </w:p>
    <w:p w14:paraId="3082D2D6">
      <w:pPr>
        <w:pStyle w:val="34"/>
        <w:snapToGrid w:val="0"/>
        <w:spacing w:line="360" w:lineRule="auto"/>
        <w:rPr>
          <w:rFonts w:hAnsi="宋体" w:cs="宋体"/>
          <w:b/>
          <w:color w:val="auto"/>
          <w:sz w:val="24"/>
          <w:szCs w:val="24"/>
        </w:rPr>
      </w:pPr>
      <w:r>
        <w:rPr>
          <w:rFonts w:hint="eastAsia" w:hAnsi="宋体" w:cs="宋体"/>
          <w:b/>
          <w:color w:val="auto"/>
          <w:sz w:val="24"/>
          <w:szCs w:val="24"/>
        </w:rPr>
        <w:t>15.备份响应文件</w:t>
      </w:r>
    </w:p>
    <w:p w14:paraId="3436C0F4">
      <w:pPr>
        <w:pStyle w:val="34"/>
        <w:snapToGrid w:val="0"/>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不强制或变相强制供应商提交备份响应文件。</w:t>
      </w:r>
    </w:p>
    <w:p w14:paraId="7B6FE34A">
      <w:pPr>
        <w:pStyle w:val="34"/>
        <w:snapToGrid w:val="0"/>
        <w:spacing w:line="360" w:lineRule="auto"/>
        <w:ind w:firstLine="480" w:firstLineChars="200"/>
        <w:rPr>
          <w:rFonts w:hAnsi="宋体" w:cs="宋体"/>
          <w:b/>
          <w:color w:val="auto"/>
          <w:sz w:val="24"/>
          <w:szCs w:val="24"/>
        </w:rPr>
      </w:pPr>
      <w:r>
        <w:rPr>
          <w:rFonts w:hint="eastAsia" w:hAnsi="宋体" w:cs="宋体"/>
          <w:color w:val="auto"/>
          <w:sz w:val="24"/>
          <w:szCs w:val="24"/>
        </w:rPr>
        <w:t>15.2备份响应文件须在“政采云投标客户端”制作生成，并储存在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存储、密封规定的备份响应文件将被视为无效或者被拒绝接收。</w:t>
      </w:r>
    </w:p>
    <w:p w14:paraId="41DFC494">
      <w:pPr>
        <w:pStyle w:val="34"/>
        <w:snapToGrid w:val="0"/>
        <w:spacing w:line="360" w:lineRule="auto"/>
        <w:ind w:firstLine="480" w:firstLineChars="200"/>
        <w:rPr>
          <w:rFonts w:hAnsi="宋体" w:cs="宋体"/>
          <w:color w:val="auto"/>
          <w:sz w:val="24"/>
          <w:szCs w:val="24"/>
        </w:rPr>
      </w:pPr>
      <w:r>
        <w:rPr>
          <w:rFonts w:hint="eastAsia" w:hAnsi="宋体" w:cs="宋体"/>
          <w:color w:val="auto"/>
          <w:sz w:val="24"/>
          <w:szCs w:val="24"/>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将拒绝接受逾期送达的备份响应文件。</w:t>
      </w:r>
    </w:p>
    <w:p w14:paraId="07A8840D">
      <w:pPr>
        <w:pStyle w:val="34"/>
        <w:snapToGrid w:val="0"/>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rPr>
        <w:t>采购文件第二部分供应商须知前附表规定的备份响应文件送达地点；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将拒绝接受逾期送达的备份响应文件。邮寄过程中，电子备份响应文件发生泄露、遗失、损坏或延期送达等情况的，由供应商自行负责。</w:t>
      </w:r>
    </w:p>
    <w:p w14:paraId="5A278F71">
      <w:pPr>
        <w:pStyle w:val="34"/>
        <w:snapToGrid w:val="0"/>
        <w:spacing w:line="360" w:lineRule="auto"/>
        <w:ind w:firstLine="479" w:firstLineChars="199"/>
        <w:rPr>
          <w:rFonts w:hAnsi="宋体" w:cs="宋体"/>
          <w:b/>
          <w:color w:val="auto"/>
          <w:sz w:val="24"/>
          <w:szCs w:val="24"/>
        </w:rPr>
      </w:pPr>
      <w:r>
        <w:rPr>
          <w:rFonts w:hint="eastAsia" w:hAnsi="宋体" w:cs="宋体"/>
          <w:b/>
          <w:color w:val="auto"/>
          <w:sz w:val="24"/>
          <w:szCs w:val="24"/>
        </w:rPr>
        <w:t>15.5供应商仅提交备份响应文件，未在电子交易平台传输递交响应文件的，响应文件无效。</w:t>
      </w:r>
    </w:p>
    <w:p w14:paraId="6AB389EA">
      <w:pPr>
        <w:pStyle w:val="132"/>
        <w:spacing w:before="0"/>
        <w:ind w:firstLine="0" w:firstLineChars="0"/>
        <w:rPr>
          <w:rFonts w:ascii="宋体" w:hAnsi="宋体" w:cs="宋体"/>
          <w:b/>
          <w:color w:val="auto"/>
          <w:szCs w:val="24"/>
        </w:rPr>
      </w:pPr>
      <w:r>
        <w:rPr>
          <w:rFonts w:hint="eastAsia" w:ascii="宋体" w:hAnsi="宋体" w:cs="宋体"/>
          <w:b/>
          <w:color w:val="auto"/>
          <w:szCs w:val="24"/>
        </w:rPr>
        <w:t>16.响应文件的无效处理</w:t>
      </w:r>
    </w:p>
    <w:p w14:paraId="7FA01029">
      <w:pPr>
        <w:pStyle w:val="26"/>
        <w:spacing w:line="360" w:lineRule="auto"/>
        <w:ind w:firstLine="360" w:firstLineChars="150"/>
        <w:rPr>
          <w:rFonts w:cs="宋体"/>
          <w:color w:val="auto"/>
          <w:szCs w:val="21"/>
        </w:rPr>
      </w:pPr>
      <w:r>
        <w:rPr>
          <w:rFonts w:hint="eastAsia" w:cs="宋体"/>
          <w:color w:val="auto"/>
          <w:szCs w:val="21"/>
        </w:rPr>
        <w:t>有采购文件第四部分</w:t>
      </w:r>
      <w:r>
        <w:rPr>
          <w:rFonts w:hint="eastAsia" w:cs="宋体"/>
          <w:color w:val="auto"/>
        </w:rPr>
        <w:t>4.2规定</w:t>
      </w:r>
      <w:r>
        <w:rPr>
          <w:rFonts w:hint="eastAsia" w:cs="宋体"/>
          <w:color w:val="auto"/>
          <w:szCs w:val="21"/>
        </w:rPr>
        <w:t>的情形之一的，响应文件无效：</w:t>
      </w:r>
    </w:p>
    <w:p w14:paraId="383AC9EA">
      <w:pPr>
        <w:pStyle w:val="132"/>
        <w:spacing w:before="0"/>
        <w:ind w:firstLine="0" w:firstLineChars="0"/>
        <w:rPr>
          <w:rFonts w:ascii="宋体" w:hAnsi="宋体" w:cs="宋体"/>
          <w:b/>
          <w:color w:val="auto"/>
          <w:szCs w:val="24"/>
        </w:rPr>
      </w:pPr>
      <w:r>
        <w:rPr>
          <w:rFonts w:hint="eastAsia" w:ascii="宋体" w:hAnsi="宋体" w:cs="宋体"/>
          <w:b/>
          <w:color w:val="auto"/>
          <w:szCs w:val="24"/>
        </w:rPr>
        <w:t>17.响应文件有效期</w:t>
      </w:r>
    </w:p>
    <w:p w14:paraId="25B249DA">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17.1响应文件有效期为从提交响应文件的截止之日起90天。▲</w:t>
      </w:r>
      <w:r>
        <w:rPr>
          <w:rFonts w:hint="eastAsia" w:ascii="宋体" w:hAnsi="宋体" w:cs="宋体"/>
          <w:b/>
          <w:color w:val="auto"/>
          <w:sz w:val="24"/>
          <w:szCs w:val="20"/>
        </w:rPr>
        <w:t>供应商的响应文件中承</w:t>
      </w:r>
      <w:r>
        <w:rPr>
          <w:rFonts w:hint="eastAsia" w:ascii="宋体" w:hAnsi="宋体" w:cs="宋体"/>
          <w:b/>
          <w:color w:val="auto"/>
          <w:sz w:val="24"/>
          <w:szCs w:val="21"/>
        </w:rPr>
        <w:t>诺的响应文件有效期少于采购文件中载明的响应文件有效期的，响应文件无效。</w:t>
      </w:r>
    </w:p>
    <w:p w14:paraId="43AA026D">
      <w:pPr>
        <w:pStyle w:val="132"/>
        <w:spacing w:before="0"/>
        <w:ind w:firstLine="480"/>
        <w:rPr>
          <w:rFonts w:ascii="宋体" w:hAnsi="宋体" w:cs="宋体"/>
          <w:color w:val="auto"/>
        </w:rPr>
      </w:pPr>
      <w:r>
        <w:rPr>
          <w:rFonts w:hint="eastAsia" w:ascii="宋体" w:hAnsi="宋体" w:cs="宋体"/>
          <w:color w:val="auto"/>
        </w:rPr>
        <w:t>17.2响应文件合格投递后，自响应文件提交截止时间起，在响应文件有效期内有效。</w:t>
      </w:r>
    </w:p>
    <w:p w14:paraId="7C735DD1">
      <w:pPr>
        <w:pStyle w:val="132"/>
        <w:spacing w:before="0"/>
        <w:ind w:firstLine="480"/>
        <w:rPr>
          <w:rFonts w:ascii="宋体" w:hAnsi="宋体" w:cs="宋体"/>
          <w:b/>
          <w:color w:val="auto"/>
          <w:sz w:val="32"/>
        </w:rPr>
      </w:pPr>
      <w:r>
        <w:rPr>
          <w:rFonts w:hint="eastAsia" w:ascii="宋体" w:hAnsi="宋体" w:cs="宋体"/>
          <w:color w:val="auto"/>
        </w:rPr>
        <w:t>17.3在原定响应文件有效期满之前，如果出现特殊情况，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可以以书面形式通知供应商延长响应文件有效期。供应商同意延长的，不得要求或被允许修改其响应文件，供应商拒绝延长的，其响应文件无效。</w:t>
      </w:r>
    </w:p>
    <w:p w14:paraId="35BD796C">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四、响应文件开启、资格审查与信用信息查询</w:t>
      </w:r>
    </w:p>
    <w:p w14:paraId="343975F7">
      <w:pPr>
        <w:pStyle w:val="558"/>
        <w:spacing w:before="0" w:line="360" w:lineRule="auto"/>
        <w:ind w:left="0" w:firstLine="0"/>
        <w:contextualSpacing/>
        <w:rPr>
          <w:rFonts w:ascii="宋体" w:hAnsi="宋体" w:cs="宋体"/>
          <w:color w:val="auto"/>
          <w:sz w:val="24"/>
        </w:rPr>
      </w:pPr>
      <w:r>
        <w:rPr>
          <w:rFonts w:hint="eastAsia" w:ascii="宋体" w:hAnsi="宋体" w:cs="宋体"/>
          <w:b/>
          <w:color w:val="auto"/>
          <w:sz w:val="24"/>
          <w:szCs w:val="24"/>
        </w:rPr>
        <w:t>18.响应文件开启</w:t>
      </w:r>
      <w:r>
        <w:rPr>
          <w:rFonts w:hint="eastAsia" w:ascii="宋体" w:hAnsi="宋体" w:cs="宋体"/>
          <w:color w:val="auto"/>
          <w:sz w:val="24"/>
        </w:rPr>
        <w:t xml:space="preserve"> </w:t>
      </w:r>
    </w:p>
    <w:p w14:paraId="208E8F90">
      <w:pPr>
        <w:pStyle w:val="558"/>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按照采购文件规定的时间通过电子交易平台组织响应文件开启，所有供应商均应当准时在线参加。供应商不足3家的，不得开启。</w:t>
      </w:r>
    </w:p>
    <w:p w14:paraId="2C8E6AAB">
      <w:pPr>
        <w:pStyle w:val="558"/>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18.2响应文件开启时，电子交易平台按响应文件开启时间自动提取所有响应文件。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依托电子交易平台发起开始解密指令，供应商按照平台提示和采购文件的规定在半小时内完成在线解密。</w:t>
      </w:r>
    </w:p>
    <w:p w14:paraId="5BC42E9B">
      <w:pPr>
        <w:pStyle w:val="558"/>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18.3</w:t>
      </w:r>
      <w:r>
        <w:rPr>
          <w:rFonts w:hint="eastAsia" w:ascii="宋体" w:hAnsi="宋体" w:cs="宋体"/>
          <w:b/>
          <w:bCs/>
          <w:color w:val="auto"/>
          <w:sz w:val="24"/>
        </w:rPr>
        <w:t>响应文件未按时解密，供应商提供了备份响应文件的，以备份响应文件作为依据，否则视为响应文件撤回。响应文件已按时解密的，备份响应文件自动失效。</w:t>
      </w:r>
    </w:p>
    <w:p w14:paraId="2B7AC0FF">
      <w:pPr>
        <w:pStyle w:val="558"/>
        <w:spacing w:before="0" w:line="360" w:lineRule="auto"/>
        <w:ind w:left="0" w:firstLine="0"/>
        <w:contextualSpacing/>
        <w:rPr>
          <w:rFonts w:ascii="宋体" w:hAnsi="宋体" w:cs="宋体"/>
          <w:b/>
          <w:color w:val="auto"/>
          <w:sz w:val="24"/>
          <w:szCs w:val="24"/>
        </w:rPr>
      </w:pPr>
      <w:r>
        <w:rPr>
          <w:rFonts w:hint="eastAsia" w:ascii="宋体" w:hAnsi="宋体" w:cs="宋体"/>
          <w:b/>
          <w:color w:val="auto"/>
          <w:sz w:val="24"/>
          <w:szCs w:val="24"/>
        </w:rPr>
        <w:t>19、资格审查</w:t>
      </w:r>
    </w:p>
    <w:p w14:paraId="52204205">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w:t>
      </w:r>
      <w:r>
        <w:rPr>
          <w:rFonts w:hint="eastAsia" w:ascii="宋体" w:hAnsi="宋体" w:cs="宋体"/>
          <w:color w:val="auto"/>
          <w:sz w:val="24"/>
          <w:lang w:eastAsia="zh-CN"/>
        </w:rPr>
        <w:t>采购代理机构</w:t>
      </w:r>
      <w:r>
        <w:rPr>
          <w:rFonts w:hint="eastAsia" w:ascii="宋体" w:hAnsi="宋体" w:cs="宋体"/>
          <w:color w:val="auto"/>
          <w:sz w:val="24"/>
        </w:rPr>
        <w:t>或磋商小组依据法律法规和采购文件的规定，对供应商的资格进行审查。</w:t>
      </w:r>
    </w:p>
    <w:p w14:paraId="1186664E">
      <w:pPr>
        <w:pStyle w:val="132"/>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供应商未按照采购文件要求提供与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供应商不具备采购文件中规定的资格要求，其响应文件无效。</w:t>
      </w:r>
    </w:p>
    <w:p w14:paraId="6EF9D269">
      <w:pPr>
        <w:pStyle w:val="132"/>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对未通过资格审查的供应商，采购人或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74915207">
      <w:pPr>
        <w:pStyle w:val="132"/>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合格供应商不足3家的，不再评审。</w:t>
      </w:r>
    </w:p>
    <w:p w14:paraId="309F3544">
      <w:pPr>
        <w:pStyle w:val="132"/>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0AC4BCA9">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将在资格审查时通过“信用中国”网站(www.creditchina.gov.cn)、中国政府采购网(www.ccgp.gov.cn)渠道查询供应商接受资格审查时的信用记录。</w:t>
      </w:r>
    </w:p>
    <w:p w14:paraId="28CA5DD5">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20.2信用信息查询记录和证据留存的具体方式：现场查询的供应商的信用记录、查询结果经确认后将与采购文件一起存档。</w:t>
      </w:r>
    </w:p>
    <w:p w14:paraId="35550861">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20.3信用信息的使用规则：经查询列入失信被执行人名单、重大税收违法案件当事人名单、政府采购严重违法失信行为记录名单的供应商将被拒绝参与政府采购活动。</w:t>
      </w:r>
    </w:p>
    <w:p w14:paraId="2CF5DF3E">
      <w:pPr>
        <w:pStyle w:val="132"/>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6D5CD06C">
      <w:pPr>
        <w:pStyle w:val="132"/>
        <w:spacing w:before="0"/>
        <w:ind w:firstLine="0" w:firstLineChars="0"/>
        <w:rPr>
          <w:rFonts w:ascii="宋体" w:hAnsi="宋体" w:cs="宋体"/>
          <w:color w:val="auto"/>
          <w:kern w:val="0"/>
          <w:szCs w:val="24"/>
        </w:rPr>
      </w:pPr>
    </w:p>
    <w:p w14:paraId="0DF60167">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五、评审</w:t>
      </w:r>
    </w:p>
    <w:p w14:paraId="138AD384">
      <w:pPr>
        <w:spacing w:line="360" w:lineRule="auto"/>
        <w:rPr>
          <w:rFonts w:ascii="宋体" w:hAnsi="宋体" w:cs="宋体"/>
          <w:b/>
          <w:color w:val="auto"/>
          <w:sz w:val="24"/>
        </w:rPr>
      </w:pPr>
      <w:bookmarkStart w:id="16"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rPr>
        <w:t>详见采购文件第四部分评审办法。</w:t>
      </w:r>
    </w:p>
    <w:p w14:paraId="4EBB4FD8">
      <w:pPr>
        <w:spacing w:line="360" w:lineRule="auto"/>
        <w:rPr>
          <w:rFonts w:ascii="宋体" w:hAnsi="宋体" w:cs="宋体"/>
          <w:b/>
          <w:color w:val="auto"/>
          <w:sz w:val="24"/>
        </w:rPr>
      </w:pPr>
    </w:p>
    <w:p w14:paraId="41D5BB10">
      <w:pPr>
        <w:snapToGrid w:val="0"/>
        <w:spacing w:line="360" w:lineRule="auto"/>
        <w:jc w:val="center"/>
        <w:outlineLvl w:val="0"/>
        <w:rPr>
          <w:rFonts w:hint="eastAsia" w:ascii="宋体" w:hAnsi="宋体" w:cs="宋体"/>
          <w:b/>
          <w:color w:val="auto"/>
          <w:sz w:val="32"/>
          <w:szCs w:val="20"/>
        </w:rPr>
      </w:pPr>
    </w:p>
    <w:p w14:paraId="1629E0D5">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六、成交供应商确定</w:t>
      </w:r>
    </w:p>
    <w:p w14:paraId="5AF911D3">
      <w:pPr>
        <w:pStyle w:val="26"/>
        <w:spacing w:line="360" w:lineRule="auto"/>
        <w:ind w:left="479" w:hanging="479" w:hangingChars="199"/>
        <w:rPr>
          <w:rFonts w:cs="宋体"/>
          <w:b/>
          <w:color w:val="auto"/>
        </w:rPr>
      </w:pPr>
      <w:r>
        <w:rPr>
          <w:rFonts w:hint="eastAsia" w:cs="宋体"/>
          <w:b/>
          <w:color w:val="auto"/>
        </w:rPr>
        <w:t>22. 确定成交供应商</w:t>
      </w:r>
    </w:p>
    <w:p w14:paraId="0CC92E62">
      <w:pPr>
        <w:pStyle w:val="132"/>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9DF0FE9">
      <w:pPr>
        <w:pStyle w:val="132"/>
        <w:snapToGrid w:val="0"/>
        <w:spacing w:before="0"/>
        <w:ind w:firstLine="0" w:firstLineChars="0"/>
        <w:rPr>
          <w:rFonts w:ascii="宋体" w:hAnsi="宋体" w:cs="宋体"/>
          <w:b/>
          <w:color w:val="auto"/>
          <w:szCs w:val="24"/>
        </w:rPr>
      </w:pPr>
      <w:r>
        <w:rPr>
          <w:rFonts w:hint="eastAsia" w:ascii="宋体" w:hAnsi="宋体" w:cs="宋体"/>
          <w:b/>
          <w:color w:val="auto"/>
          <w:szCs w:val="24"/>
        </w:rPr>
        <w:t>23. 成交通知与成交结果公告</w:t>
      </w:r>
    </w:p>
    <w:p w14:paraId="1E7CCEF7">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23.1自成交供应商确定之日起1个工作日内，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通过电子交易平台向成交供应商发出成交通知书，同时编制发布采购结果公告。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也可以以纸质形式进行成交通知。</w:t>
      </w:r>
    </w:p>
    <w:p w14:paraId="7F1A3FA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23.2成交结果公告内容包括采购人及其委托的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6FBEB17">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237391C9">
      <w:pPr>
        <w:snapToGrid w:val="0"/>
        <w:spacing w:line="360" w:lineRule="auto"/>
        <w:ind w:left="120" w:leftChars="57" w:firstLine="482" w:firstLineChars="150"/>
        <w:jc w:val="center"/>
        <w:rPr>
          <w:rFonts w:ascii="宋体" w:hAnsi="宋体" w:cs="宋体"/>
          <w:b/>
          <w:color w:val="auto"/>
          <w:sz w:val="32"/>
        </w:rPr>
      </w:pPr>
    </w:p>
    <w:p w14:paraId="473D55A4">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七、合同授予</w:t>
      </w:r>
    </w:p>
    <w:p w14:paraId="2A6A7180">
      <w:pPr>
        <w:pStyle w:val="26"/>
        <w:snapToGrid w:val="0"/>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08FC6469">
      <w:pPr>
        <w:pStyle w:val="26"/>
        <w:snapToGrid w:val="0"/>
        <w:spacing w:line="360" w:lineRule="auto"/>
        <w:ind w:left="479" w:hanging="479" w:hangingChars="199"/>
        <w:rPr>
          <w:rFonts w:cs="宋体"/>
          <w:b/>
          <w:color w:val="auto"/>
        </w:rPr>
      </w:pPr>
      <w:r>
        <w:rPr>
          <w:rFonts w:hint="eastAsia" w:cs="宋体"/>
          <w:b/>
          <w:color w:val="auto"/>
        </w:rPr>
        <w:t>25. 合同的签订</w:t>
      </w:r>
    </w:p>
    <w:p w14:paraId="7AB26D87">
      <w:pPr>
        <w:widowControl/>
        <w:shd w:val="clear" w:color="auto" w:fill="FFFFFF"/>
        <w:snapToGrid w:val="0"/>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78A8FCF7">
      <w:pPr>
        <w:pStyle w:val="132"/>
        <w:snapToGrid w:val="0"/>
        <w:spacing w:before="0"/>
        <w:ind w:firstLine="480"/>
        <w:rPr>
          <w:rFonts w:ascii="宋体" w:hAnsi="宋体" w:cs="宋体"/>
          <w:color w:val="auto"/>
          <w:kern w:val="0"/>
        </w:rPr>
      </w:pPr>
      <w:r>
        <w:rPr>
          <w:rFonts w:hint="eastAsia" w:ascii="宋体" w:hAnsi="宋体" w:cs="宋体"/>
          <w:color w:val="auto"/>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1A6112CB">
      <w:pPr>
        <w:pStyle w:val="132"/>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5CD95879">
      <w:pPr>
        <w:pStyle w:val="132"/>
        <w:snapToGrid w:val="0"/>
        <w:spacing w:before="0"/>
        <w:ind w:firstLine="480"/>
        <w:rPr>
          <w:rFonts w:ascii="宋体" w:hAnsi="宋体" w:cs="宋体"/>
          <w:color w:val="auto"/>
        </w:rPr>
      </w:pPr>
      <w:r>
        <w:rPr>
          <w:rFonts w:hint="eastAsia" w:ascii="宋体" w:hAnsi="宋体" w:cs="宋体"/>
          <w:color w:val="auto"/>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4723E38">
      <w:pPr>
        <w:pStyle w:val="132"/>
        <w:snapToGrid w:val="0"/>
        <w:spacing w:before="0"/>
        <w:ind w:firstLine="480"/>
        <w:rPr>
          <w:rFonts w:ascii="宋体" w:hAnsi="宋体" w:cs="宋体"/>
          <w:color w:val="auto"/>
        </w:rPr>
      </w:pPr>
      <w:r>
        <w:rPr>
          <w:rFonts w:hint="eastAsia" w:ascii="宋体" w:hAnsi="宋体" w:cs="宋体"/>
          <w:color w:val="auto"/>
        </w:rPr>
        <w:t>25.5采购合同由采购人与成交供应商根据采购文件、响应文件等内容通过政府采购电子交易平台在线签订，自动备案。</w:t>
      </w:r>
    </w:p>
    <w:p w14:paraId="74D6A1F9">
      <w:pPr>
        <w:pStyle w:val="26"/>
        <w:snapToGrid w:val="0"/>
        <w:spacing w:line="360" w:lineRule="auto"/>
        <w:ind w:left="479" w:hanging="479" w:hangingChars="199"/>
        <w:rPr>
          <w:rFonts w:cs="宋体"/>
          <w:b/>
          <w:color w:val="auto"/>
        </w:rPr>
      </w:pPr>
      <w:r>
        <w:rPr>
          <w:rFonts w:hint="eastAsia" w:cs="宋体"/>
          <w:b/>
          <w:color w:val="auto"/>
        </w:rPr>
        <w:t>26. 履约保证金</w:t>
      </w:r>
    </w:p>
    <w:p w14:paraId="0B680D54">
      <w:pPr>
        <w:tabs>
          <w:tab w:val="left" w:pos="0"/>
        </w:tabs>
        <w:snapToGrid w:val="0"/>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rPr>
        <w:t>。</w:t>
      </w:r>
      <w:r>
        <w:rPr>
          <w:rFonts w:hint="eastAsia" w:ascii="宋体" w:hAnsi="宋体" w:cs="宋体"/>
          <w:color w:val="auto"/>
          <w:sz w:val="24"/>
          <w:lang w:val="en-US" w:eastAsia="zh-CN"/>
        </w:rPr>
        <w:t>浙江省</w:t>
      </w:r>
      <w:r>
        <w:rPr>
          <w:rFonts w:hint="eastAsia" w:ascii="宋体" w:hAnsi="宋体" w:cs="宋体"/>
          <w:color w:val="auto"/>
          <w:sz w:val="24"/>
        </w:rPr>
        <w:t>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rPr>
        <w:t>合同金额的</w:t>
      </w:r>
      <w:r>
        <w:rPr>
          <w:rFonts w:ascii="宋体" w:hAnsi="宋体" w:cs="宋体"/>
          <w:color w:val="auto"/>
          <w:kern w:val="2"/>
          <w:sz w:val="24"/>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采购单位鼓励供应商采取履约保函形式提供信用保证；供应商提供保函的，采购单位不得拒收。项目验收结束后应及时退还，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63408A8A">
      <w:pPr>
        <w:pStyle w:val="5"/>
        <w:snapToGrid w:val="0"/>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14361CE">
      <w:pPr>
        <w:pStyle w:val="5"/>
        <w:rPr>
          <w:color w:val="auto"/>
          <w:highlight w:val="none"/>
        </w:rPr>
      </w:pPr>
      <w:r>
        <w:rPr>
          <w:rFonts w:ascii="宋体" w:hAnsi="宋体" w:eastAsia="宋体" w:cs="Times New Roman"/>
          <w:b/>
          <w:bCs/>
          <w:color w:val="auto"/>
          <w:kern w:val="2"/>
          <w:sz w:val="24"/>
          <w:szCs w:val="32"/>
          <w:highlight w:val="none"/>
          <w:lang w:val="en-US"/>
        </w:rPr>
        <w:t>27.预付款</w:t>
      </w:r>
    </w:p>
    <w:p w14:paraId="026CED37">
      <w:pPr>
        <w:adjustRightInd/>
        <w:spacing w:line="360" w:lineRule="auto"/>
        <w:ind w:firstLine="480" w:firstLineChars="200"/>
        <w:rPr>
          <w:rFonts w:ascii="宋体" w:hAnsi="宋体" w:cs="宋体"/>
          <w:b/>
          <w:color w:val="auto"/>
          <w:sz w:val="32"/>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50C00270">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八、电子交易活动的中止</w:t>
      </w:r>
    </w:p>
    <w:p w14:paraId="640C686A">
      <w:pPr>
        <w:pStyle w:val="132"/>
        <w:snapToGrid w:val="0"/>
        <w:spacing w:before="0"/>
        <w:ind w:firstLine="0" w:firstLineChars="0"/>
        <w:rPr>
          <w:rFonts w:ascii="宋体" w:hAnsi="宋体" w:cs="宋体"/>
          <w:color w:val="auto"/>
        </w:rPr>
      </w:pPr>
      <w:r>
        <w:rPr>
          <w:rFonts w:ascii="宋体" w:hAnsi="宋体" w:cs="宋体"/>
          <w:b/>
          <w:bCs/>
          <w:color w:val="auto"/>
          <w:kern w:val="2"/>
          <w:szCs w:val="20"/>
        </w:rPr>
        <w:t>2</w:t>
      </w:r>
      <w:r>
        <w:rPr>
          <w:rFonts w:ascii="宋体" w:hAnsi="宋体" w:cs="宋体"/>
          <w:b/>
          <w:bCs/>
          <w:color w:val="auto"/>
          <w:kern w:val="2"/>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1753BB66">
      <w:pPr>
        <w:pStyle w:val="132"/>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24EB0E4C">
      <w:pPr>
        <w:pStyle w:val="132"/>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68B6B21D">
      <w:pPr>
        <w:pStyle w:val="132"/>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230E7DBE">
      <w:pPr>
        <w:pStyle w:val="132"/>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5CCBD2F0">
      <w:pPr>
        <w:pStyle w:val="132"/>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757B7DEB">
      <w:pPr>
        <w:pStyle w:val="132"/>
        <w:snapToGrid w:val="0"/>
        <w:spacing w:before="0"/>
        <w:ind w:firstLine="0" w:firstLineChars="0"/>
        <w:rPr>
          <w:rFonts w:ascii="宋体" w:hAnsi="宋体" w:cs="宋体"/>
          <w:color w:val="auto"/>
          <w:sz w:val="24"/>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08D7A7A">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九、验收</w:t>
      </w:r>
    </w:p>
    <w:p w14:paraId="6571B63F">
      <w:pPr>
        <w:pStyle w:val="26"/>
        <w:spacing w:line="360" w:lineRule="auto"/>
        <w:ind w:firstLine="0" w:firstLineChars="0"/>
        <w:rPr>
          <w:rFonts w:cs="宋体"/>
          <w:b/>
          <w:color w:val="auto"/>
        </w:rPr>
      </w:pPr>
      <w:r>
        <w:rPr>
          <w:rFonts w:hint="eastAsia" w:cs="宋体"/>
          <w:b/>
          <w:color w:val="auto"/>
        </w:rPr>
        <w:t>30.验收</w:t>
      </w:r>
    </w:p>
    <w:p w14:paraId="733CCB6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3F78E1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14:paraId="4281702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842A7CE">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14:paraId="73978C96">
      <w:pPr>
        <w:tabs>
          <w:tab w:val="left" w:pos="0"/>
        </w:tabs>
        <w:spacing w:line="360" w:lineRule="auto"/>
        <w:ind w:firstLine="480"/>
        <w:rPr>
          <w:rFonts w:ascii="宋体" w:hAnsi="宋体" w:cs="宋体"/>
          <w:color w:val="auto"/>
          <w:kern w:val="0"/>
          <w:sz w:val="24"/>
        </w:rPr>
        <w:sectPr>
          <w:pgSz w:w="11906" w:h="16838"/>
          <w:pgMar w:top="1440" w:right="1080" w:bottom="1440" w:left="1080" w:header="851" w:footer="992" w:gutter="0"/>
          <w:pgNumType w:fmt="decimal"/>
          <w:cols w:space="720" w:num="1"/>
          <w:titlePg/>
          <w:docGrid w:linePitch="312" w:charSpace="0"/>
        </w:sectPr>
      </w:pPr>
      <w:bookmarkStart w:id="17" w:name="_Hlt75236101"/>
      <w:bookmarkEnd w:id="17"/>
      <w:bookmarkStart w:id="18" w:name="_Hlt74730295"/>
      <w:bookmarkEnd w:id="18"/>
      <w:bookmarkStart w:id="19" w:name="_Hlt74729768"/>
      <w:bookmarkEnd w:id="19"/>
      <w:bookmarkStart w:id="20" w:name="_Hlt68057669"/>
      <w:bookmarkEnd w:id="20"/>
      <w:bookmarkStart w:id="21" w:name="_Hlt74707468"/>
      <w:bookmarkEnd w:id="21"/>
      <w:bookmarkStart w:id="22" w:name="_Hlt68072998"/>
      <w:bookmarkEnd w:id="22"/>
      <w:bookmarkStart w:id="23" w:name="_Hlt75236290"/>
      <w:bookmarkEnd w:id="23"/>
      <w:bookmarkStart w:id="24" w:name="_Hlt75236011"/>
      <w:bookmarkEnd w:id="24"/>
      <w:bookmarkStart w:id="25" w:name="_Hlt74714665"/>
      <w:bookmarkEnd w:id="25"/>
      <w:bookmarkStart w:id="26" w:name="_Hlt68073093"/>
      <w:bookmarkEnd w:id="26"/>
      <w:bookmarkStart w:id="27" w:name="_Hlt68072990"/>
      <w:bookmarkEnd w:id="27"/>
      <w:bookmarkStart w:id="28" w:name="_Hlt68403820"/>
      <w:bookmarkEnd w:id="28"/>
    </w:p>
    <w:bookmarkEnd w:id="11"/>
    <w:bookmarkEnd w:id="12"/>
    <w:p w14:paraId="687E9631">
      <w:pPr>
        <w:pStyle w:val="34"/>
        <w:spacing w:line="360" w:lineRule="auto"/>
        <w:jc w:val="center"/>
        <w:rPr>
          <w:rFonts w:hAnsi="宋体" w:cs="宋体"/>
          <w:b/>
          <w:snapToGrid/>
          <w:color w:val="auto"/>
          <w:sz w:val="36"/>
          <w:szCs w:val="20"/>
          <w:highlight w:val="none"/>
        </w:rPr>
      </w:pPr>
      <w:bookmarkStart w:id="29" w:name="第四部分"/>
      <w:r>
        <w:rPr>
          <w:rFonts w:hint="eastAsia" w:hAnsi="宋体" w:cs="宋体"/>
          <w:b/>
          <w:snapToGrid/>
          <w:color w:val="auto"/>
          <w:sz w:val="36"/>
          <w:szCs w:val="20"/>
          <w:highlight w:val="none"/>
        </w:rPr>
        <w:t>第三部分 采购需求</w:t>
      </w:r>
    </w:p>
    <w:p w14:paraId="6787280B">
      <w:pPr>
        <w:spacing w:line="360" w:lineRule="auto"/>
        <w:jc w:val="left"/>
        <w:rPr>
          <w:rFonts w:ascii="宋体" w:hAnsi="宋体" w:cs="仿宋_GB2312"/>
          <w:b/>
          <w:bCs/>
          <w:color w:val="auto"/>
          <w:sz w:val="24"/>
          <w:szCs w:val="24"/>
        </w:rPr>
      </w:pPr>
      <w:r>
        <w:rPr>
          <w:rFonts w:hint="eastAsia" w:ascii="宋体" w:hAnsi="宋体" w:cs="仿宋_GB2312"/>
          <w:b/>
          <w:bCs/>
          <w:color w:val="auto"/>
          <w:sz w:val="24"/>
          <w:szCs w:val="24"/>
        </w:rPr>
        <w:t>一、工程概况</w:t>
      </w:r>
    </w:p>
    <w:p w14:paraId="45F2C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概况：本项目地址为大佳何镇南阳福园景区。其中正学堂（含厨房、茶室）建筑面积272.26m2、艾灸馆建筑面积214.02m2、影视基地建筑面积152.18m2、阿婆饭店建筑面积141.86m2、仓库建筑面积54.14m2、耕读居建筑面积83.3m2、供香、菩萨间建筑面积158.81m2、四季小食建筑面积68.32m2、喜巷咖啡建筑面积55.76m2、餐厅厨房建筑面积105.27m2、庭院、广场、党建平台等。</w:t>
      </w:r>
    </w:p>
    <w:p w14:paraId="443889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2、采购内容：施工图范围内的门窗、地面、木作、屋面、油漆、室内装修、安装及拆除工程等（详见施工图纸和工程量清单）。</w:t>
      </w:r>
    </w:p>
    <w:p w14:paraId="33E2BA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3、工程量清单是根据采购文件中包括的、有合同约束力的图纸以及有关工程量清单的国家标准、行业标准、合同条款中约定的工程量计算规则编制。计量采用中华人民共和国法定计量单位。</w:t>
      </w:r>
    </w:p>
    <w:p w14:paraId="58649E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4、工程量清单应与采购文件中的竞争性磋商须知、合同条款、技术标准和要求及图纸（如有）等一起阅读和理解。</w:t>
      </w:r>
    </w:p>
    <w:p w14:paraId="29F92C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5、符合合同条款规定的全部费用应认为已被计入有标价的工程量清单所列各子目之中，未列子目不予计量的工作，其费用应视为已分摊在本合同工程的有关子目的单价或总价之中。 </w:t>
      </w:r>
    </w:p>
    <w:p w14:paraId="060D558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6、工程量清单、图纸，详见附件。</w:t>
      </w:r>
    </w:p>
    <w:p w14:paraId="463B44BA">
      <w:pPr>
        <w:spacing w:line="390" w:lineRule="exact"/>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由于图纸容量超出政采云系统要求，本项目图纸请与招标代理联系索取。</w:t>
      </w:r>
    </w:p>
    <w:p w14:paraId="4AB0CC0C">
      <w:pPr>
        <w:spacing w:line="390" w:lineRule="exact"/>
        <w:ind w:firstLine="420"/>
        <w:rPr>
          <w:rFonts w:hint="eastAsia"/>
          <w:lang w:val="en-US" w:eastAsia="zh-CN"/>
        </w:rPr>
      </w:pPr>
      <w:r>
        <w:rPr>
          <w:rFonts w:hint="eastAsia" w:asciiTheme="majorEastAsia" w:hAnsiTheme="majorEastAsia" w:eastAsiaTheme="majorEastAsia" w:cstheme="majorEastAsia"/>
          <w:szCs w:val="21"/>
        </w:rPr>
        <w:t>联系人及联系方式：</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u w:val="single"/>
          <w:lang w:val="en-US" w:eastAsia="zh-CN"/>
        </w:rPr>
        <w:t>章安娜</w:t>
      </w:r>
      <w:r>
        <w:rPr>
          <w:rFonts w:hint="eastAsia" w:asciiTheme="majorEastAsia" w:hAnsiTheme="majorEastAsia" w:eastAsiaTheme="majorEastAsia" w:cstheme="majorEastAsia"/>
          <w:szCs w:val="21"/>
          <w:u w:val="single"/>
        </w:rPr>
        <w:t>，</w:t>
      </w:r>
      <w:r>
        <w:rPr>
          <w:rFonts w:hint="eastAsia" w:asciiTheme="majorEastAsia" w:hAnsiTheme="majorEastAsia" w:eastAsiaTheme="majorEastAsia" w:cstheme="majorEastAsia"/>
          <w:szCs w:val="21"/>
          <w:u w:val="single"/>
          <w:lang w:val="en-US" w:eastAsia="zh-CN"/>
        </w:rPr>
        <w:t>13586673232</w:t>
      </w:r>
      <w:r>
        <w:rPr>
          <w:rFonts w:hint="eastAsia" w:asciiTheme="majorEastAsia" w:hAnsiTheme="majorEastAsia" w:eastAsiaTheme="majorEastAsia" w:cstheme="majorEastAsia"/>
          <w:szCs w:val="21"/>
          <w:u w:val="single"/>
        </w:rPr>
        <w:t xml:space="preserve"> </w:t>
      </w:r>
      <w:bookmarkStart w:id="914" w:name="_GoBack"/>
      <w:bookmarkEnd w:id="914"/>
    </w:p>
    <w:p w14:paraId="39BE14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bookmarkStart w:id="30" w:name="_Toc397325815"/>
      <w:r>
        <w:rPr>
          <w:rFonts w:hint="eastAsia" w:ascii="宋体" w:hAnsi="宋体" w:eastAsia="宋体" w:cs="宋体"/>
          <w:b/>
          <w:bCs/>
          <w:color w:val="auto"/>
          <w:sz w:val="24"/>
          <w:szCs w:val="24"/>
          <w:highlight w:val="none"/>
          <w:lang w:val="en-US" w:eastAsia="zh-CN"/>
        </w:rPr>
        <w:t>二、编制依据</w:t>
      </w:r>
    </w:p>
    <w:p w14:paraId="35CF8C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设工程工程量清单计价规范》（GB50500-2013）及相应的工程量计算规范；《建设工程工程量计算规范浙江省补充规定》（浙建站计﹝2013﹞63号）；《建设工程工程量计算规范浙江省补充规定(二）》（浙建站计﹝2014﹞31号）；《浙江省房屋建筑与装饰工程预算定额》(2018版)；《浙江省通用安装工程预算定额》(2018版)；《浙江省市政工程预算定额》(2018版)；《浙江省园林绿化及仿古建筑工程预算定额》(2018版)；《浙江省古建筑修缮工程预算定额》（2018版）；《浙江省建设工程计价规则》(2018版)；建设单位提供的由艺城设计有限公司设计的施工图纸及编制要求；</w:t>
      </w:r>
    </w:p>
    <w:p w14:paraId="196E9221">
      <w:pPr>
        <w:tabs>
          <w:tab w:val="left" w:pos="1080"/>
          <w:tab w:val="left" w:pos="9180"/>
          <w:tab w:val="left" w:pos="9360"/>
        </w:tabs>
        <w:spacing w:line="360" w:lineRule="auto"/>
        <w:outlineLvl w:val="0"/>
        <w:rPr>
          <w:rFonts w:hint="eastAsia" w:ascii="宋体" w:hAnsi="宋体" w:eastAsia="宋体" w:cs="宋体"/>
          <w:b/>
          <w:sz w:val="24"/>
          <w:szCs w:val="24"/>
        </w:rPr>
      </w:pPr>
      <w:r>
        <w:rPr>
          <w:rFonts w:hint="eastAsia" w:ascii="宋体" w:hAnsi="宋体" w:eastAsia="宋体" w:cs="宋体"/>
          <w:b/>
          <w:kern w:val="28"/>
          <w:sz w:val="24"/>
          <w:szCs w:val="24"/>
        </w:rPr>
        <w:t>三、编制原则及办法</w:t>
      </w:r>
    </w:p>
    <w:p w14:paraId="3105860E">
      <w:pPr>
        <w:tabs>
          <w:tab w:val="left" w:pos="3060"/>
          <w:tab w:val="left" w:pos="9180"/>
          <w:tab w:val="left" w:pos="9360"/>
        </w:tabs>
        <w:spacing w:line="360" w:lineRule="auto"/>
        <w:ind w:right="359" w:rightChars="171" w:firstLine="480" w:firstLineChars="200"/>
        <w:rPr>
          <w:rFonts w:ascii="宋体" w:hAnsi="宋体"/>
          <w:kern w:val="28"/>
          <w:sz w:val="24"/>
        </w:rPr>
      </w:pPr>
      <w:r>
        <w:rPr>
          <w:rFonts w:ascii="宋体" w:hAnsi="宋体"/>
          <w:kern w:val="28"/>
          <w:sz w:val="24"/>
        </w:rPr>
        <w:t>1</w:t>
      </w:r>
      <w:r>
        <w:rPr>
          <w:rFonts w:hint="eastAsia" w:ascii="宋体" w:hAnsi="宋体"/>
          <w:kern w:val="28"/>
          <w:sz w:val="24"/>
        </w:rPr>
        <w:t>、工程量：根据委托单位提供的施工图纸及</w:t>
      </w:r>
      <w:r>
        <w:rPr>
          <w:rFonts w:hint="eastAsia" w:ascii="宋体" w:hAnsi="宋体"/>
          <w:color w:val="auto"/>
          <w:kern w:val="28"/>
          <w:sz w:val="24"/>
        </w:rPr>
        <w:t>201</w:t>
      </w:r>
      <w:r>
        <w:rPr>
          <w:rFonts w:hint="eastAsia" w:ascii="宋体" w:hAnsi="宋体"/>
          <w:color w:val="auto"/>
          <w:kern w:val="28"/>
          <w:sz w:val="24"/>
          <w:lang w:val="en-US" w:eastAsia="zh-CN"/>
        </w:rPr>
        <w:t>8</w:t>
      </w:r>
      <w:r>
        <w:rPr>
          <w:rFonts w:hint="eastAsia" w:ascii="宋体" w:hAnsi="宋体"/>
          <w:kern w:val="28"/>
          <w:sz w:val="24"/>
        </w:rPr>
        <w:t>版浙江省预算定额计算规则计算；</w:t>
      </w:r>
    </w:p>
    <w:p w14:paraId="3B498BAE">
      <w:pPr>
        <w:spacing w:line="360" w:lineRule="auto"/>
        <w:ind w:firstLine="480" w:firstLineChars="200"/>
        <w:rPr>
          <w:rFonts w:hint="eastAsia" w:ascii="宋体" w:hAnsi="宋体"/>
          <w:sz w:val="24"/>
        </w:rPr>
      </w:pPr>
      <w:r>
        <w:rPr>
          <w:rFonts w:ascii="宋体" w:hAnsi="宋体"/>
          <w:kern w:val="28"/>
          <w:sz w:val="24"/>
        </w:rPr>
        <w:t>2</w:t>
      </w:r>
      <w:r>
        <w:rPr>
          <w:rFonts w:hint="eastAsia" w:ascii="宋体" w:hAnsi="宋体"/>
          <w:kern w:val="28"/>
          <w:sz w:val="24"/>
        </w:rPr>
        <w:t>、人工、材料信息价：</w:t>
      </w:r>
      <w:r>
        <w:rPr>
          <w:rFonts w:hint="eastAsia" w:ascii="宋体" w:hAnsi="宋体"/>
          <w:sz w:val="24"/>
        </w:rPr>
        <w:t xml:space="preserve">人工市场价格按《宁波造价》 </w:t>
      </w:r>
      <w:r>
        <w:rPr>
          <w:rFonts w:hint="eastAsia" w:ascii="宋体" w:hAnsi="宋体"/>
          <w:sz w:val="24"/>
          <w:lang w:val="en-US" w:eastAsia="zh-CN"/>
        </w:rPr>
        <w:t>2024</w:t>
      </w:r>
      <w:r>
        <w:rPr>
          <w:rFonts w:hint="eastAsia" w:ascii="宋体" w:hAnsi="宋体"/>
          <w:sz w:val="24"/>
        </w:rPr>
        <w:t>年第</w:t>
      </w:r>
      <w:r>
        <w:rPr>
          <w:rFonts w:hint="eastAsia" w:ascii="宋体" w:hAnsi="宋体"/>
          <w:sz w:val="24"/>
          <w:lang w:val="en-US" w:eastAsia="zh-CN"/>
        </w:rPr>
        <w:t>11</w:t>
      </w:r>
      <w:r>
        <w:rPr>
          <w:rFonts w:hint="eastAsia" w:ascii="宋体" w:hAnsi="宋体"/>
          <w:sz w:val="24"/>
        </w:rPr>
        <w:t>期人工市场信息价格计取，材料价格按《宁波造价》</w:t>
      </w:r>
      <w:r>
        <w:rPr>
          <w:rFonts w:hint="eastAsia" w:ascii="宋体" w:hAnsi="宋体"/>
          <w:sz w:val="24"/>
          <w:lang w:val="en-US" w:eastAsia="zh-CN"/>
        </w:rPr>
        <w:t>2024</w:t>
      </w:r>
      <w:r>
        <w:rPr>
          <w:rFonts w:hint="eastAsia" w:ascii="宋体" w:hAnsi="宋体"/>
          <w:sz w:val="24"/>
        </w:rPr>
        <w:t>年第</w:t>
      </w:r>
      <w:r>
        <w:rPr>
          <w:rFonts w:hint="eastAsia" w:ascii="宋体" w:hAnsi="宋体"/>
          <w:sz w:val="24"/>
          <w:lang w:val="en-US" w:eastAsia="zh-CN"/>
        </w:rPr>
        <w:t>11</w:t>
      </w:r>
      <w:r>
        <w:rPr>
          <w:rFonts w:hint="eastAsia" w:ascii="宋体" w:hAnsi="宋体"/>
          <w:sz w:val="24"/>
        </w:rPr>
        <w:t>期</w:t>
      </w:r>
      <w:r>
        <w:rPr>
          <w:rFonts w:hint="eastAsia" w:ascii="宋体" w:hAnsi="宋体"/>
          <w:sz w:val="24"/>
          <w:lang w:val="en-US" w:eastAsia="zh-CN"/>
        </w:rPr>
        <w:t>宁海县</w:t>
      </w:r>
      <w:r>
        <w:rPr>
          <w:rFonts w:hint="eastAsia" w:ascii="宋体" w:hAnsi="宋体"/>
          <w:sz w:val="24"/>
        </w:rPr>
        <w:t>市场信息价（</w:t>
      </w:r>
      <w:r>
        <w:rPr>
          <w:rFonts w:hint="eastAsia" w:ascii="宋体" w:hAnsi="宋体"/>
          <w:sz w:val="24"/>
          <w:lang w:val="en-US" w:eastAsia="zh-CN"/>
        </w:rPr>
        <w:t>宁海县</w:t>
      </w:r>
      <w:r>
        <w:rPr>
          <w:rFonts w:hint="eastAsia" w:ascii="宋体" w:hAnsi="宋体"/>
          <w:sz w:val="24"/>
        </w:rPr>
        <w:t>市场信息价未及材料按同期宁波市区材料市场信息价</w:t>
      </w:r>
      <w:r>
        <w:rPr>
          <w:rFonts w:ascii="宋体" w:hAnsi="宋体"/>
          <w:sz w:val="24"/>
        </w:rPr>
        <w:t>）</w:t>
      </w:r>
      <w:r>
        <w:rPr>
          <w:rFonts w:hint="eastAsia" w:ascii="宋体" w:hAnsi="宋体"/>
          <w:sz w:val="24"/>
        </w:rPr>
        <w:t>、《浙江造价信息》</w:t>
      </w:r>
      <w:r>
        <w:rPr>
          <w:rFonts w:hint="eastAsia" w:ascii="宋体" w:hAnsi="宋体"/>
          <w:sz w:val="24"/>
          <w:lang w:val="en-US" w:eastAsia="zh-CN"/>
        </w:rPr>
        <w:t>2024</w:t>
      </w:r>
      <w:r>
        <w:rPr>
          <w:rFonts w:hint="eastAsia" w:ascii="宋体" w:hAnsi="宋体"/>
          <w:sz w:val="24"/>
        </w:rPr>
        <w:t>年第</w:t>
      </w:r>
      <w:r>
        <w:rPr>
          <w:rFonts w:hint="eastAsia" w:ascii="宋体" w:hAnsi="宋体"/>
          <w:sz w:val="24"/>
          <w:lang w:val="en-US" w:eastAsia="zh-CN"/>
        </w:rPr>
        <w:t>11</w:t>
      </w:r>
      <w:r>
        <w:rPr>
          <w:rFonts w:hint="eastAsia" w:ascii="宋体" w:hAnsi="宋体"/>
          <w:sz w:val="24"/>
        </w:rPr>
        <w:t>期常用材料价格信息计取，无以上市场信息价材料按市场调研价计取</w:t>
      </w:r>
      <w:r>
        <w:rPr>
          <w:rFonts w:hint="eastAsia" w:ascii="宋体" w:hAnsi="宋体"/>
          <w:sz w:val="24"/>
          <w:lang w:eastAsia="zh-CN"/>
        </w:rPr>
        <w:t>（以上价格均为除税价）</w:t>
      </w:r>
      <w:r>
        <w:rPr>
          <w:rFonts w:hint="eastAsia" w:ascii="宋体" w:hAnsi="宋体"/>
          <w:sz w:val="24"/>
        </w:rPr>
        <w:t>；</w:t>
      </w:r>
    </w:p>
    <w:p w14:paraId="61EB79DB">
      <w:pPr>
        <w:tabs>
          <w:tab w:val="left" w:pos="3060"/>
          <w:tab w:val="left" w:pos="9180"/>
          <w:tab w:val="left" w:pos="9360"/>
        </w:tabs>
        <w:spacing w:line="360" w:lineRule="auto"/>
        <w:ind w:right="359" w:rightChars="171" w:firstLine="480" w:firstLineChars="200"/>
        <w:rPr>
          <w:rFonts w:hint="eastAsia" w:ascii="宋体" w:hAnsi="宋体"/>
          <w:color w:val="auto"/>
          <w:kern w:val="28"/>
          <w:sz w:val="24"/>
        </w:rPr>
      </w:pPr>
      <w:r>
        <w:rPr>
          <w:rFonts w:ascii="宋体" w:hAnsi="宋体"/>
          <w:color w:val="auto"/>
          <w:kern w:val="28"/>
          <w:sz w:val="24"/>
        </w:rPr>
        <w:t>3</w:t>
      </w:r>
      <w:r>
        <w:rPr>
          <w:rFonts w:hint="eastAsia" w:ascii="宋体" w:hAnsi="宋体"/>
          <w:color w:val="auto"/>
          <w:kern w:val="28"/>
          <w:sz w:val="24"/>
        </w:rPr>
        <w:t>、</w:t>
      </w:r>
      <w:r>
        <w:rPr>
          <w:rFonts w:hint="eastAsia" w:ascii="宋体" w:hAnsi="宋体"/>
          <w:color w:val="auto"/>
          <w:sz w:val="24"/>
        </w:rPr>
        <w:t>取费标准：</w:t>
      </w:r>
    </w:p>
    <w:p w14:paraId="025DD0CC">
      <w:pPr>
        <w:tabs>
          <w:tab w:val="left" w:pos="900"/>
        </w:tabs>
        <w:spacing w:line="360" w:lineRule="auto"/>
        <w:ind w:firstLine="360" w:firstLineChars="150"/>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建筑</w:t>
      </w:r>
      <w:r>
        <w:rPr>
          <w:rFonts w:hint="eastAsia" w:ascii="宋体" w:hAnsi="宋体"/>
          <w:color w:val="auto"/>
          <w:sz w:val="24"/>
        </w:rPr>
        <w:t>部分企业管理费费率：按</w:t>
      </w:r>
      <w:r>
        <w:rPr>
          <w:rFonts w:hint="eastAsia" w:ascii="宋体" w:cs="宋体"/>
          <w:sz w:val="24"/>
          <w:szCs w:val="24"/>
          <w:lang w:val="en-US" w:eastAsia="zh-CN"/>
        </w:rPr>
        <w:t>古建筑修缮</w:t>
      </w:r>
      <w:r>
        <w:rPr>
          <w:rFonts w:hint="eastAsia" w:ascii="宋体" w:hAnsi="宋体"/>
          <w:color w:val="auto"/>
          <w:sz w:val="24"/>
          <w:lang w:val="en-US" w:eastAsia="zh-CN"/>
        </w:rPr>
        <w:t>工程</w:t>
      </w:r>
      <w:r>
        <w:rPr>
          <w:rFonts w:hint="eastAsia" w:ascii="宋体" w:hAnsi="宋体"/>
          <w:color w:val="auto"/>
          <w:sz w:val="24"/>
          <w:lang w:eastAsia="zh-CN"/>
        </w:rPr>
        <w:t>一般计税</w:t>
      </w:r>
      <w:r>
        <w:rPr>
          <w:rFonts w:hint="eastAsia" w:ascii="宋体" w:hAnsi="宋体"/>
          <w:color w:val="auto"/>
          <w:sz w:val="24"/>
        </w:rPr>
        <w:t>费率中值计取；</w:t>
      </w:r>
      <w:r>
        <w:rPr>
          <w:rFonts w:hint="eastAsia" w:ascii="宋体" w:hAnsi="宋体" w:eastAsia="宋体" w:cs="Times New Roman"/>
          <w:color w:val="auto"/>
          <w:sz w:val="24"/>
          <w:highlight w:val="none"/>
          <w:lang w:val="en-US" w:eastAsia="zh-CN"/>
        </w:rPr>
        <w:t>安责险计入企业管理费(市建管[2024]12号)；</w:t>
      </w:r>
    </w:p>
    <w:p w14:paraId="51134387">
      <w:pPr>
        <w:tabs>
          <w:tab w:val="left" w:pos="720"/>
        </w:tabs>
        <w:spacing w:line="360" w:lineRule="auto"/>
        <w:ind w:firstLine="360" w:firstLineChars="150"/>
        <w:rPr>
          <w:rFonts w:hint="eastAsia"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安装</w:t>
      </w:r>
      <w:r>
        <w:rPr>
          <w:rFonts w:hint="eastAsia" w:ascii="宋体" w:hAnsi="宋体"/>
          <w:color w:val="auto"/>
          <w:sz w:val="24"/>
        </w:rPr>
        <w:t>部分企业管理费费率：</w:t>
      </w:r>
      <w:r>
        <w:rPr>
          <w:rFonts w:hint="eastAsia" w:ascii="宋体" w:hAnsi="宋体" w:eastAsia="宋体" w:cs="Times New Roman"/>
          <w:color w:val="auto"/>
          <w:sz w:val="24"/>
          <w:highlight w:val="none"/>
          <w:lang w:eastAsia="zh-CN"/>
        </w:rPr>
        <w:t>按水、电、暖通、消防、智能、自控及通信安装工程一般计税费率中值计取；</w:t>
      </w:r>
      <w:r>
        <w:rPr>
          <w:rFonts w:hint="eastAsia" w:ascii="宋体" w:hAnsi="宋体" w:eastAsia="宋体" w:cs="Times New Roman"/>
          <w:color w:val="auto"/>
          <w:sz w:val="24"/>
          <w:highlight w:val="none"/>
          <w:lang w:val="en-US" w:eastAsia="zh-CN"/>
        </w:rPr>
        <w:t>安责险计入企业管理费(市建管[2024]12号)</w:t>
      </w:r>
      <w:r>
        <w:rPr>
          <w:rFonts w:hint="eastAsia" w:ascii="宋体" w:hAnsi="宋体"/>
          <w:color w:val="auto"/>
          <w:sz w:val="24"/>
        </w:rPr>
        <w:t>；</w:t>
      </w:r>
    </w:p>
    <w:p w14:paraId="11D78AA8">
      <w:pPr>
        <w:spacing w:line="360" w:lineRule="auto"/>
        <w:ind w:firstLine="360" w:firstLineChars="150"/>
        <w:rPr>
          <w:rFonts w:hint="eastAsia" w:ascii="宋体" w:hAnsi="宋体"/>
          <w:color w:val="auto"/>
          <w:sz w:val="24"/>
        </w:rPr>
      </w:pPr>
      <w:r>
        <w:rPr>
          <w:rFonts w:hint="eastAsia" w:ascii="宋体" w:hAnsi="宋体"/>
          <w:color w:val="auto"/>
          <w:sz w:val="24"/>
        </w:rPr>
        <w:t>（3）</w:t>
      </w:r>
      <w:r>
        <w:rPr>
          <w:rFonts w:hint="eastAsia" w:ascii="宋体" w:hAnsi="宋体"/>
          <w:color w:val="auto"/>
          <w:sz w:val="24"/>
          <w:highlight w:val="none"/>
        </w:rPr>
        <w:t>市政部分企业管理费费率：按</w:t>
      </w:r>
      <w:r>
        <w:rPr>
          <w:rFonts w:hint="eastAsia" w:ascii="宋体" w:hAnsi="宋体"/>
          <w:color w:val="auto"/>
          <w:sz w:val="24"/>
          <w:highlight w:val="none"/>
          <w:lang w:eastAsia="zh-CN"/>
        </w:rPr>
        <w:t>道路、排水、河道护岸、水处理构筑物及城市综合管廊、生活垃圾处理</w:t>
      </w:r>
      <w:r>
        <w:rPr>
          <w:rFonts w:hint="eastAsia" w:ascii="宋体" w:hAnsi="宋体"/>
          <w:color w:val="auto"/>
          <w:sz w:val="24"/>
          <w:highlight w:val="none"/>
        </w:rPr>
        <w:t>工程</w:t>
      </w:r>
      <w:r>
        <w:rPr>
          <w:rFonts w:hint="eastAsia" w:ascii="宋体" w:hAnsi="宋体"/>
          <w:color w:val="auto"/>
          <w:sz w:val="24"/>
          <w:highlight w:val="none"/>
          <w:lang w:eastAsia="zh-CN"/>
        </w:rPr>
        <w:t>一般计税</w:t>
      </w:r>
      <w:r>
        <w:rPr>
          <w:rFonts w:hint="eastAsia" w:ascii="宋体" w:hAnsi="宋体"/>
          <w:color w:val="auto"/>
          <w:sz w:val="24"/>
          <w:highlight w:val="none"/>
        </w:rPr>
        <w:t>费率中值计取</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安责险计入企业管理费(市建管[2024]12号)；</w:t>
      </w:r>
    </w:p>
    <w:p w14:paraId="141A794A">
      <w:pPr>
        <w:spacing w:line="360" w:lineRule="auto"/>
        <w:ind w:firstLine="360" w:firstLineChars="150"/>
        <w:rPr>
          <w:rFonts w:hint="eastAsia" w:ascii="宋体" w:hAnsi="宋体"/>
          <w:color w:val="auto"/>
          <w:sz w:val="24"/>
        </w:rPr>
      </w:pPr>
      <w:r>
        <w:rPr>
          <w:rFonts w:hint="eastAsia" w:ascii="宋体" w:hAnsi="宋体"/>
          <w:color w:val="auto"/>
          <w:sz w:val="24"/>
        </w:rPr>
        <w:t>（4）</w:t>
      </w:r>
      <w:r>
        <w:rPr>
          <w:rFonts w:hint="eastAsia" w:ascii="宋体" w:hAnsi="宋体" w:eastAsia="宋体" w:cs="Times New Roman"/>
          <w:color w:val="auto"/>
          <w:sz w:val="24"/>
          <w:highlight w:val="none"/>
          <w:lang w:val="en-US" w:eastAsia="zh-CN"/>
        </w:rPr>
        <w:t>园林</w:t>
      </w:r>
      <w:r>
        <w:rPr>
          <w:rFonts w:hint="eastAsia" w:ascii="宋体" w:hAnsi="宋体" w:eastAsia="宋体" w:cs="Times New Roman"/>
          <w:color w:val="auto"/>
          <w:sz w:val="24"/>
          <w:highlight w:val="none"/>
          <w:lang w:eastAsia="zh-CN"/>
        </w:rPr>
        <w:t>部分企业管理费费率：按</w:t>
      </w:r>
      <w:r>
        <w:rPr>
          <w:rFonts w:hint="eastAsia" w:ascii="宋体" w:hAnsi="宋体" w:eastAsia="宋体" w:cs="Times New Roman"/>
          <w:color w:val="auto"/>
          <w:sz w:val="24"/>
          <w:highlight w:val="none"/>
          <w:lang w:val="en-US" w:eastAsia="zh-CN"/>
        </w:rPr>
        <w:t>园林绿化及景观</w:t>
      </w:r>
      <w:r>
        <w:rPr>
          <w:rFonts w:hint="eastAsia" w:ascii="宋体" w:hAnsi="宋体" w:eastAsia="宋体" w:cs="Times New Roman"/>
          <w:color w:val="auto"/>
          <w:sz w:val="24"/>
          <w:highlight w:val="none"/>
          <w:lang w:eastAsia="zh-CN"/>
        </w:rPr>
        <w:t>工程一般计税费率中值计取；</w:t>
      </w:r>
      <w:r>
        <w:rPr>
          <w:rFonts w:hint="eastAsia" w:ascii="宋体" w:hAnsi="宋体" w:eastAsia="宋体" w:cs="Times New Roman"/>
          <w:color w:val="auto"/>
          <w:sz w:val="24"/>
          <w:highlight w:val="none"/>
          <w:lang w:val="en-US" w:eastAsia="zh-CN"/>
        </w:rPr>
        <w:t>安责险计入企业管理费(市建管[2024]12号)；</w:t>
      </w:r>
    </w:p>
    <w:p w14:paraId="33136DAD">
      <w:pPr>
        <w:tabs>
          <w:tab w:val="left" w:pos="360"/>
          <w:tab w:val="left" w:pos="540"/>
          <w:tab w:val="left" w:pos="720"/>
        </w:tabs>
        <w:spacing w:line="360" w:lineRule="auto"/>
        <w:ind w:firstLine="360" w:firstLineChars="150"/>
        <w:rPr>
          <w:rFonts w:hint="eastAsia" w:ascii="宋体" w:hAnsi="宋体"/>
          <w:color w:val="auto"/>
          <w:sz w:val="24"/>
        </w:rPr>
      </w:pPr>
      <w:r>
        <w:rPr>
          <w:rFonts w:hint="eastAsia" w:ascii="宋体" w:hAnsi="宋体"/>
          <w:color w:val="auto"/>
          <w:sz w:val="24"/>
        </w:rPr>
        <w:t>（5）利润费率：按相应工程</w:t>
      </w:r>
      <w:r>
        <w:rPr>
          <w:rFonts w:hint="eastAsia" w:ascii="宋体" w:hAnsi="宋体"/>
          <w:color w:val="auto"/>
          <w:sz w:val="24"/>
          <w:lang w:eastAsia="zh-CN"/>
        </w:rPr>
        <w:t>一般计税</w:t>
      </w:r>
      <w:r>
        <w:rPr>
          <w:rFonts w:hint="eastAsia" w:ascii="宋体" w:hAnsi="宋体"/>
          <w:color w:val="auto"/>
          <w:sz w:val="24"/>
        </w:rPr>
        <w:t>费率中值计取；</w:t>
      </w:r>
    </w:p>
    <w:p w14:paraId="2715C93F">
      <w:pPr>
        <w:tabs>
          <w:tab w:val="left" w:pos="360"/>
          <w:tab w:val="left" w:pos="540"/>
          <w:tab w:val="left" w:pos="720"/>
        </w:tabs>
        <w:spacing w:line="360" w:lineRule="auto"/>
        <w:ind w:firstLine="360" w:firstLineChars="150"/>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6</w:t>
      </w:r>
      <w:r>
        <w:rPr>
          <w:rFonts w:hint="eastAsia" w:ascii="宋体" w:hAnsi="宋体"/>
          <w:color w:val="auto"/>
          <w:sz w:val="24"/>
          <w:lang w:eastAsia="zh-CN"/>
        </w:rPr>
        <w:t>）</w:t>
      </w:r>
      <w:r>
        <w:rPr>
          <w:rFonts w:hint="eastAsia" w:ascii="宋体" w:hAnsi="宋体"/>
          <w:color w:val="auto"/>
          <w:sz w:val="24"/>
        </w:rPr>
        <w:t>施工组织措施费计取了安全文明施工费（按</w:t>
      </w:r>
      <w:r>
        <w:rPr>
          <w:rFonts w:hint="eastAsia" w:ascii="宋体" w:hAnsi="宋体"/>
          <w:color w:val="auto"/>
          <w:sz w:val="24"/>
          <w:lang w:val="en-US" w:eastAsia="zh-CN"/>
        </w:rPr>
        <w:t>非</w:t>
      </w:r>
      <w:r>
        <w:rPr>
          <w:rFonts w:hint="eastAsia" w:ascii="宋体" w:hAnsi="宋体"/>
          <w:color w:val="auto"/>
          <w:sz w:val="24"/>
        </w:rPr>
        <w:t>市区工程计）、</w:t>
      </w:r>
      <w:r>
        <w:rPr>
          <w:rFonts w:hint="eastAsia" w:ascii="宋体" w:hAnsi="宋体"/>
          <w:color w:val="auto"/>
          <w:sz w:val="24"/>
          <w:lang w:val="en-US" w:eastAsia="zh-CN"/>
        </w:rPr>
        <w:t>二次搬运费、</w:t>
      </w:r>
      <w:r>
        <w:rPr>
          <w:rFonts w:hint="eastAsia" w:ascii="宋体" w:hAnsi="宋体"/>
          <w:color w:val="auto"/>
          <w:sz w:val="24"/>
        </w:rPr>
        <w:t>冬雨季施工增加费</w:t>
      </w:r>
      <w:r>
        <w:rPr>
          <w:rFonts w:hint="eastAsia" w:ascii="宋体" w:hAnsi="宋体"/>
          <w:color w:val="auto"/>
          <w:sz w:val="24"/>
          <w:lang w:eastAsia="zh-CN"/>
        </w:rPr>
        <w:t>、</w:t>
      </w:r>
      <w:r>
        <w:rPr>
          <w:rFonts w:hint="eastAsia" w:ascii="宋体" w:cs="宋体"/>
          <w:sz w:val="24"/>
          <w:szCs w:val="24"/>
          <w:lang w:val="en-US" w:eastAsia="zh-CN"/>
        </w:rPr>
        <w:t>行车、行人干扰增加费</w:t>
      </w:r>
      <w:r>
        <w:rPr>
          <w:rFonts w:hint="eastAsia" w:ascii="宋体" w:hAnsi="宋体"/>
          <w:color w:val="auto"/>
          <w:sz w:val="24"/>
          <w:lang w:eastAsia="zh-CN"/>
        </w:rPr>
        <w:t>，</w:t>
      </w:r>
      <w:r>
        <w:rPr>
          <w:rFonts w:hint="eastAsia" w:ascii="宋体" w:hAnsi="宋体"/>
          <w:color w:val="auto"/>
          <w:sz w:val="24"/>
        </w:rPr>
        <w:t>费率</w:t>
      </w:r>
      <w:r>
        <w:rPr>
          <w:rFonts w:hint="eastAsia" w:ascii="宋体" w:hAnsi="宋体"/>
          <w:color w:val="auto"/>
          <w:sz w:val="24"/>
          <w:lang w:eastAsia="zh-CN"/>
        </w:rPr>
        <w:t>按一般计税</w:t>
      </w:r>
      <w:r>
        <w:rPr>
          <w:rFonts w:hint="eastAsia" w:ascii="宋体" w:hAnsi="宋体"/>
          <w:color w:val="auto"/>
          <w:sz w:val="24"/>
        </w:rPr>
        <w:t>费率中值计取；</w:t>
      </w:r>
    </w:p>
    <w:p w14:paraId="2C19F833">
      <w:pPr>
        <w:tabs>
          <w:tab w:val="left" w:pos="360"/>
          <w:tab w:val="left" w:pos="540"/>
          <w:tab w:val="left" w:pos="720"/>
        </w:tabs>
        <w:spacing w:line="360" w:lineRule="auto"/>
        <w:ind w:firstLine="360" w:firstLineChars="150"/>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7</w:t>
      </w:r>
      <w:r>
        <w:rPr>
          <w:rFonts w:hint="eastAsia" w:ascii="宋体" w:hAnsi="宋体"/>
          <w:color w:val="auto"/>
          <w:sz w:val="24"/>
          <w:lang w:eastAsia="zh-CN"/>
        </w:rPr>
        <w:t>）规费</w:t>
      </w:r>
      <w:r>
        <w:rPr>
          <w:rFonts w:hint="eastAsia" w:ascii="宋体" w:hAnsi="宋体"/>
          <w:color w:val="auto"/>
          <w:sz w:val="24"/>
        </w:rPr>
        <w:t>费率：</w:t>
      </w:r>
      <w:r>
        <w:rPr>
          <w:rFonts w:hint="eastAsia" w:ascii="宋体" w:hAnsi="宋体"/>
          <w:color w:val="auto"/>
          <w:sz w:val="24"/>
          <w:lang w:eastAsia="zh-CN"/>
        </w:rPr>
        <w:t>经咨询委托方按</w:t>
      </w:r>
      <w:r>
        <w:rPr>
          <w:rFonts w:hint="eastAsia" w:ascii="宋体" w:hAnsi="宋体"/>
          <w:color w:val="auto"/>
          <w:sz w:val="24"/>
        </w:rPr>
        <w:t>相应工程</w:t>
      </w:r>
      <w:r>
        <w:rPr>
          <w:rFonts w:hint="eastAsia" w:ascii="宋体" w:hAnsi="宋体"/>
          <w:color w:val="auto"/>
          <w:sz w:val="24"/>
          <w:lang w:eastAsia="zh-CN"/>
        </w:rPr>
        <w:t>一般计税</w:t>
      </w:r>
      <w:r>
        <w:rPr>
          <w:rFonts w:hint="eastAsia" w:ascii="宋体" w:hAnsi="宋体"/>
          <w:color w:val="auto"/>
          <w:sz w:val="24"/>
        </w:rPr>
        <w:t>费率</w:t>
      </w:r>
      <w:r>
        <w:rPr>
          <w:rFonts w:hint="eastAsia" w:ascii="宋体" w:hAnsi="宋体"/>
          <w:color w:val="auto"/>
          <w:sz w:val="24"/>
          <w:lang w:eastAsia="zh-CN"/>
        </w:rPr>
        <w:t>乘</w:t>
      </w:r>
      <w:r>
        <w:rPr>
          <w:rFonts w:hint="eastAsia" w:ascii="宋体" w:hAnsi="宋体"/>
          <w:color w:val="auto"/>
          <w:sz w:val="24"/>
          <w:lang w:val="en-US" w:eastAsia="zh-CN"/>
        </w:rPr>
        <w:t>30%</w:t>
      </w:r>
      <w:r>
        <w:rPr>
          <w:rFonts w:hint="eastAsia" w:ascii="宋体" w:hAnsi="宋体"/>
          <w:color w:val="auto"/>
          <w:sz w:val="24"/>
        </w:rPr>
        <w:t>计取</w:t>
      </w:r>
      <w:r>
        <w:rPr>
          <w:rFonts w:hint="eastAsia" w:ascii="宋体" w:hAnsi="宋体"/>
          <w:color w:val="auto"/>
          <w:sz w:val="24"/>
          <w:lang w:eastAsia="zh-CN"/>
        </w:rPr>
        <w:t>；</w:t>
      </w:r>
    </w:p>
    <w:p w14:paraId="70607AB7">
      <w:pPr>
        <w:tabs>
          <w:tab w:val="left" w:pos="360"/>
          <w:tab w:val="left" w:pos="540"/>
          <w:tab w:val="left" w:pos="720"/>
        </w:tabs>
        <w:spacing w:line="360" w:lineRule="auto"/>
        <w:ind w:firstLine="360" w:firstLineChars="150"/>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8</w:t>
      </w:r>
      <w:r>
        <w:rPr>
          <w:rFonts w:hint="eastAsia" w:ascii="宋体" w:hAnsi="宋体"/>
          <w:color w:val="auto"/>
          <w:sz w:val="24"/>
          <w:lang w:eastAsia="zh-CN"/>
        </w:rPr>
        <w:t>）增值税税率：根据浙建建发</w:t>
      </w:r>
      <w:r>
        <w:rPr>
          <w:rFonts w:hint="eastAsia" w:ascii="宋体" w:hAnsi="宋体"/>
          <w:color w:val="auto"/>
          <w:sz w:val="24"/>
          <w:lang w:val="en-US" w:eastAsia="zh-CN"/>
        </w:rPr>
        <w:t>(</w:t>
      </w:r>
      <w:r>
        <w:rPr>
          <w:rFonts w:hint="eastAsia" w:ascii="宋体" w:hAnsi="宋体"/>
          <w:color w:val="auto"/>
          <w:sz w:val="24"/>
          <w:lang w:eastAsia="zh-CN"/>
        </w:rPr>
        <w:t>2019</w:t>
      </w:r>
      <w:r>
        <w:rPr>
          <w:rFonts w:hint="eastAsia" w:ascii="宋体" w:hAnsi="宋体"/>
          <w:color w:val="auto"/>
          <w:sz w:val="24"/>
          <w:lang w:val="en-US" w:eastAsia="zh-CN"/>
        </w:rPr>
        <w:t>)</w:t>
      </w:r>
      <w:r>
        <w:rPr>
          <w:rFonts w:hint="eastAsia" w:ascii="宋体" w:hAnsi="宋体"/>
          <w:color w:val="auto"/>
          <w:sz w:val="24"/>
          <w:lang w:eastAsia="zh-CN"/>
        </w:rPr>
        <w:t>92</w:t>
      </w:r>
      <w:r>
        <w:rPr>
          <w:rFonts w:hint="eastAsia" w:ascii="宋体" w:hAnsi="宋体"/>
          <w:color w:val="auto"/>
          <w:sz w:val="24"/>
          <w:lang w:val="en-US" w:eastAsia="zh-CN"/>
        </w:rPr>
        <w:t>号文件按</w:t>
      </w:r>
      <w:r>
        <w:rPr>
          <w:rFonts w:hint="eastAsia" w:ascii="宋体" w:hAnsi="宋体"/>
          <w:color w:val="auto"/>
          <w:sz w:val="24"/>
          <w:lang w:eastAsia="zh-CN"/>
        </w:rPr>
        <w:t>一般计税</w:t>
      </w:r>
      <w:r>
        <w:rPr>
          <w:rFonts w:hint="eastAsia" w:ascii="宋体" w:hAnsi="宋体"/>
          <w:color w:val="auto"/>
          <w:sz w:val="24"/>
        </w:rPr>
        <w:t>费率</w:t>
      </w:r>
      <w:r>
        <w:rPr>
          <w:rFonts w:hint="eastAsia" w:ascii="宋体" w:hAnsi="宋体"/>
          <w:color w:val="auto"/>
          <w:sz w:val="24"/>
          <w:lang w:val="en-US" w:eastAsia="zh-CN"/>
        </w:rPr>
        <w:t>9%计取</w:t>
      </w:r>
      <w:r>
        <w:rPr>
          <w:rFonts w:hint="eastAsia" w:ascii="宋体" w:hAnsi="宋体"/>
          <w:color w:val="auto"/>
          <w:sz w:val="24"/>
          <w:lang w:eastAsia="zh-CN"/>
        </w:rPr>
        <w:t>；</w:t>
      </w:r>
    </w:p>
    <w:p w14:paraId="413B9425">
      <w:pPr>
        <w:spacing w:line="360" w:lineRule="auto"/>
        <w:ind w:firstLine="480" w:firstLineChars="200"/>
        <w:rPr>
          <w:rFonts w:hint="eastAsia" w:ascii="宋体" w:hAnsi="宋体"/>
          <w:color w:val="auto"/>
          <w:sz w:val="24"/>
        </w:rPr>
      </w:pPr>
      <w:r>
        <w:rPr>
          <w:rFonts w:hint="eastAsia" w:ascii="宋体" w:hAnsi="宋体"/>
          <w:color w:val="auto"/>
          <w:sz w:val="24"/>
        </w:rPr>
        <w:t>4、预算编制方式：</w:t>
      </w:r>
      <w:r>
        <w:rPr>
          <w:rFonts w:hint="eastAsia" w:ascii="宋体" w:hAnsi="宋体"/>
          <w:color w:val="auto"/>
          <w:sz w:val="24"/>
          <w:lang w:val="en-US" w:eastAsia="zh-CN"/>
        </w:rPr>
        <w:t>清单计价</w:t>
      </w:r>
      <w:r>
        <w:rPr>
          <w:rFonts w:hint="eastAsia" w:ascii="宋体" w:hAnsi="宋体"/>
          <w:color w:val="auto"/>
          <w:sz w:val="24"/>
        </w:rPr>
        <w:t>法；</w:t>
      </w:r>
    </w:p>
    <w:p w14:paraId="4EB08F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rPr>
      </w:pPr>
      <w:r>
        <w:rPr>
          <w:rFonts w:hint="eastAsia" w:ascii="宋体" w:hAnsi="宋体"/>
          <w:sz w:val="24"/>
        </w:rPr>
        <w:t>5、预算编制软件：</w:t>
      </w:r>
      <w:r>
        <w:rPr>
          <w:rFonts w:hint="eastAsia" w:ascii="宋体" w:hAnsi="宋体"/>
          <w:color w:val="auto"/>
          <w:sz w:val="24"/>
          <w:lang w:val="en-US" w:eastAsia="zh-CN"/>
        </w:rPr>
        <w:t>品茗胜算造价计控软件</w:t>
      </w:r>
      <w:r>
        <w:rPr>
          <w:rFonts w:hint="eastAsia" w:ascii="宋体" w:hAnsi="宋体"/>
          <w:color w:val="auto"/>
          <w:sz w:val="24"/>
          <w:lang w:eastAsia="zh-CN"/>
        </w:rPr>
        <w:t>（</w:t>
      </w:r>
      <w:r>
        <w:rPr>
          <w:rFonts w:hint="eastAsia" w:ascii="宋体" w:hAnsi="宋体"/>
          <w:color w:val="auto"/>
          <w:sz w:val="24"/>
        </w:rPr>
        <w:t>201</w:t>
      </w:r>
      <w:r>
        <w:rPr>
          <w:rFonts w:hint="eastAsia" w:ascii="宋体" w:hAnsi="宋体"/>
          <w:color w:val="auto"/>
          <w:sz w:val="24"/>
          <w:lang w:val="en-US" w:eastAsia="zh-CN"/>
        </w:rPr>
        <w:t>8</w:t>
      </w:r>
      <w:r>
        <w:rPr>
          <w:rFonts w:hint="eastAsia" w:ascii="宋体" w:hAnsi="宋体"/>
          <w:color w:val="auto"/>
          <w:sz w:val="24"/>
        </w:rPr>
        <w:t>版</w:t>
      </w:r>
      <w:r>
        <w:rPr>
          <w:rFonts w:hint="eastAsia" w:ascii="宋体" w:hAnsi="宋体"/>
          <w:color w:val="auto"/>
          <w:sz w:val="24"/>
          <w:lang w:eastAsia="zh-CN"/>
        </w:rPr>
        <w:t>）</w:t>
      </w:r>
      <w:r>
        <w:rPr>
          <w:rFonts w:hint="eastAsia" w:ascii="宋体" w:hAnsi="宋体"/>
          <w:color w:val="auto"/>
          <w:sz w:val="24"/>
        </w:rPr>
        <w:t>。</w:t>
      </w:r>
    </w:p>
    <w:p w14:paraId="6C74939F">
      <w:pPr>
        <w:spacing w:line="360" w:lineRule="auto"/>
        <w:jc w:val="left"/>
        <w:rPr>
          <w:rFonts w:hint="default" w:ascii="宋体" w:hAnsi="宋体" w:eastAsia="宋体" w:cs="仿宋_GB2312"/>
          <w:b/>
          <w:bCs/>
          <w:sz w:val="24"/>
          <w:szCs w:val="24"/>
          <w:lang w:val="en-US" w:eastAsia="zh-CN"/>
        </w:rPr>
      </w:pPr>
      <w:r>
        <w:rPr>
          <w:rFonts w:hint="eastAsia" w:ascii="宋体" w:hAnsi="宋体" w:eastAsia="宋体" w:cs="仿宋_GB2312"/>
          <w:b/>
          <w:bCs/>
          <w:sz w:val="24"/>
          <w:szCs w:val="24"/>
          <w:lang w:val="en-US" w:eastAsia="zh-CN"/>
        </w:rPr>
        <w:t>四、其他要求</w:t>
      </w:r>
    </w:p>
    <w:p w14:paraId="5ADF7922">
      <w:pPr>
        <w:tabs>
          <w:tab w:val="left" w:pos="840"/>
          <w:tab w:val="left" w:pos="3060"/>
          <w:tab w:val="left" w:pos="9180"/>
          <w:tab w:val="left" w:pos="9360"/>
        </w:tabs>
        <w:spacing w:line="360" w:lineRule="auto"/>
        <w:ind w:right="359" w:rightChars="171"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本预算</w:t>
      </w:r>
      <w:r>
        <w:rPr>
          <w:rFonts w:hint="eastAsia"/>
          <w:color w:val="auto"/>
          <w:sz w:val="24"/>
          <w:szCs w:val="24"/>
          <w:lang w:val="en-US" w:eastAsia="zh-CN"/>
        </w:rPr>
        <w:t>定额优先按</w:t>
      </w:r>
      <w:r>
        <w:rPr>
          <w:rFonts w:hint="eastAsia" w:ascii="宋体" w:hAnsi="宋体"/>
          <w:color w:val="auto"/>
          <w:sz w:val="24"/>
          <w:szCs w:val="24"/>
        </w:rPr>
        <w:t>《浙江省</w:t>
      </w:r>
      <w:r>
        <w:rPr>
          <w:rFonts w:hint="eastAsia" w:ascii="宋体" w:hAnsi="宋体"/>
          <w:color w:val="auto"/>
          <w:sz w:val="24"/>
          <w:szCs w:val="24"/>
          <w:lang w:val="en-US" w:eastAsia="zh-CN"/>
        </w:rPr>
        <w:t>古建筑修缮</w:t>
      </w:r>
      <w:r>
        <w:rPr>
          <w:rFonts w:hint="eastAsia" w:ascii="宋体" w:hAnsi="宋体"/>
          <w:color w:val="auto"/>
          <w:sz w:val="24"/>
          <w:szCs w:val="24"/>
        </w:rPr>
        <w:t>工程预算定额》（2018版）</w:t>
      </w:r>
      <w:r>
        <w:rPr>
          <w:rFonts w:hint="eastAsia" w:ascii="宋体" w:hAnsi="宋体"/>
          <w:color w:val="auto"/>
          <w:sz w:val="24"/>
          <w:szCs w:val="24"/>
          <w:lang w:eastAsia="zh-CN"/>
        </w:rPr>
        <w:t>。</w:t>
      </w:r>
    </w:p>
    <w:p w14:paraId="05B8109B">
      <w:pPr>
        <w:tabs>
          <w:tab w:val="left" w:pos="840"/>
          <w:tab w:val="left" w:pos="3060"/>
          <w:tab w:val="left" w:pos="9180"/>
          <w:tab w:val="left" w:pos="9360"/>
        </w:tabs>
        <w:spacing w:line="360" w:lineRule="auto"/>
        <w:ind w:right="359" w:rightChars="171" w:firstLine="480" w:firstLineChars="200"/>
        <w:rPr>
          <w:rFonts w:hint="default"/>
          <w:color w:val="auto"/>
          <w:sz w:val="24"/>
          <w:szCs w:val="24"/>
          <w:lang w:val="en-US" w:eastAsia="zh-CN"/>
        </w:rPr>
      </w:pPr>
      <w:r>
        <w:rPr>
          <w:rFonts w:hint="eastAsia" w:ascii="宋体" w:hAnsi="宋体"/>
          <w:color w:val="auto"/>
          <w:sz w:val="24"/>
          <w:szCs w:val="24"/>
          <w:lang w:val="en-US" w:eastAsia="zh-CN"/>
        </w:rPr>
        <w:t>2、材料、土方、建筑垃圾等二次搬运按200</w:t>
      </w:r>
      <w:r>
        <w:rPr>
          <w:rFonts w:hint="eastAsia" w:ascii="宋体" w:hAnsi="宋体"/>
          <w:b w:val="0"/>
          <w:bCs w:val="0"/>
          <w:color w:val="auto"/>
          <w:sz w:val="24"/>
          <w:szCs w:val="24"/>
          <w:lang w:val="en-US" w:eastAsia="zh-CN"/>
        </w:rPr>
        <w:t>00元/项</w:t>
      </w:r>
      <w:r>
        <w:rPr>
          <w:rFonts w:hint="eastAsia" w:ascii="宋体" w:hAnsi="宋体"/>
          <w:b w:val="0"/>
          <w:bCs w:val="0"/>
          <w:color w:val="auto"/>
          <w:sz w:val="24"/>
          <w:lang w:val="en-US" w:eastAsia="zh-CN"/>
        </w:rPr>
        <w:t>（不含税）</w:t>
      </w:r>
      <w:r>
        <w:rPr>
          <w:rFonts w:hint="eastAsia" w:ascii="宋体" w:hAnsi="宋体"/>
          <w:b w:val="0"/>
          <w:bCs w:val="0"/>
          <w:color w:val="auto"/>
          <w:sz w:val="24"/>
          <w:szCs w:val="24"/>
          <w:lang w:val="en-US" w:eastAsia="zh-CN"/>
        </w:rPr>
        <w:t>考虑，生活垃圾清理、归堆、外运、处置按10000元/项</w:t>
      </w:r>
      <w:r>
        <w:rPr>
          <w:rFonts w:hint="eastAsia" w:ascii="宋体" w:hAnsi="宋体"/>
          <w:b w:val="0"/>
          <w:bCs w:val="0"/>
          <w:color w:val="auto"/>
          <w:sz w:val="24"/>
          <w:lang w:val="en-US" w:eastAsia="zh-CN"/>
        </w:rPr>
        <w:t>（不含税）</w:t>
      </w:r>
      <w:r>
        <w:rPr>
          <w:rFonts w:hint="eastAsia" w:ascii="宋体" w:hAnsi="宋体"/>
          <w:b w:val="0"/>
          <w:bCs w:val="0"/>
          <w:color w:val="auto"/>
          <w:sz w:val="24"/>
          <w:szCs w:val="24"/>
          <w:lang w:val="en-US" w:eastAsia="zh-CN"/>
        </w:rPr>
        <w:t>考虑，费用计入正学堂其它工程内</w:t>
      </w:r>
      <w:r>
        <w:rPr>
          <w:rFonts w:hint="eastAsia" w:ascii="宋体" w:hAnsi="宋体"/>
          <w:color w:val="auto"/>
          <w:sz w:val="24"/>
          <w:szCs w:val="24"/>
          <w:lang w:val="en-US" w:eastAsia="zh-CN"/>
        </w:rPr>
        <w:t>，结算不作调整。</w:t>
      </w:r>
    </w:p>
    <w:p w14:paraId="30C1D808">
      <w:pPr>
        <w:autoSpaceDE w:val="0"/>
        <w:autoSpaceDN w:val="0"/>
        <w:adjustRightInd w:val="0"/>
        <w:spacing w:line="360" w:lineRule="auto"/>
        <w:ind w:firstLine="552"/>
        <w:rPr>
          <w:rFonts w:hint="eastAsia" w:ascii="宋体" w:eastAsia="宋体" w:cs="宋体"/>
          <w:color w:val="auto"/>
          <w:sz w:val="24"/>
          <w:szCs w:val="24"/>
          <w:lang w:val="en-US" w:eastAsia="zh-CN"/>
        </w:rPr>
      </w:pPr>
      <w:r>
        <w:rPr>
          <w:rFonts w:hint="eastAsia"/>
          <w:color w:val="auto"/>
          <w:sz w:val="24"/>
          <w:szCs w:val="24"/>
          <w:lang w:val="en-US" w:eastAsia="zh-CN"/>
        </w:rPr>
        <w:t>3、</w:t>
      </w:r>
      <w:r>
        <w:rPr>
          <w:rFonts w:hint="eastAsia" w:ascii="宋体" w:hAnsi="宋体"/>
          <w:color w:val="auto"/>
          <w:sz w:val="24"/>
        </w:rPr>
        <w:t>本工程新替换、制安木构件均按杉木计算</w:t>
      </w:r>
      <w:r>
        <w:rPr>
          <w:rFonts w:hint="eastAsia" w:ascii="宋体" w:hAnsi="宋体"/>
          <w:color w:val="auto"/>
          <w:sz w:val="24"/>
          <w:lang w:eastAsia="zh-CN"/>
        </w:rPr>
        <w:t>。</w:t>
      </w:r>
    </w:p>
    <w:p w14:paraId="159DE4DB">
      <w:pPr>
        <w:autoSpaceDE w:val="0"/>
        <w:autoSpaceDN w:val="0"/>
        <w:adjustRightInd w:val="0"/>
        <w:spacing w:line="360" w:lineRule="auto"/>
        <w:ind w:firstLine="552"/>
        <w:rPr>
          <w:rFonts w:hint="eastAsia" w:ascii="宋体" w:hAnsi="宋体"/>
          <w:color w:val="auto"/>
          <w:sz w:val="24"/>
        </w:rPr>
      </w:pPr>
      <w:r>
        <w:rPr>
          <w:rFonts w:hint="eastAsia" w:ascii="宋体" w:cs="宋体"/>
          <w:color w:val="auto"/>
          <w:sz w:val="24"/>
          <w:szCs w:val="24"/>
          <w:lang w:val="en-US" w:eastAsia="zh-CN"/>
        </w:rPr>
        <w:t>4、</w:t>
      </w:r>
      <w:r>
        <w:rPr>
          <w:rFonts w:hint="eastAsia" w:ascii="宋体" w:hAnsi="宋体"/>
          <w:color w:val="auto"/>
          <w:sz w:val="24"/>
        </w:rPr>
        <w:t>本工程各种材料、设备均为到现场价格，转运、短驳费用由投标单位在投标报价中自行考虑，结算</w:t>
      </w:r>
      <w:r>
        <w:rPr>
          <w:rFonts w:hint="eastAsia" w:ascii="宋体" w:hAnsi="宋体"/>
          <w:b w:val="0"/>
          <w:bCs w:val="0"/>
          <w:color w:val="auto"/>
          <w:sz w:val="24"/>
        </w:rPr>
        <w:t>不</w:t>
      </w:r>
      <w:r>
        <w:rPr>
          <w:rFonts w:hint="eastAsia" w:ascii="宋体" w:hAnsi="宋体"/>
          <w:b w:val="0"/>
          <w:bCs w:val="0"/>
          <w:color w:val="auto"/>
          <w:sz w:val="24"/>
          <w:lang w:val="en-US" w:eastAsia="zh-CN"/>
        </w:rPr>
        <w:t>作</w:t>
      </w:r>
      <w:r>
        <w:rPr>
          <w:rFonts w:hint="eastAsia" w:ascii="宋体" w:hAnsi="宋体"/>
          <w:b w:val="0"/>
          <w:bCs w:val="0"/>
          <w:color w:val="auto"/>
          <w:sz w:val="24"/>
        </w:rPr>
        <w:t>调</w:t>
      </w:r>
      <w:r>
        <w:rPr>
          <w:rFonts w:hint="eastAsia" w:ascii="宋体" w:hAnsi="宋体"/>
          <w:color w:val="auto"/>
          <w:sz w:val="24"/>
        </w:rPr>
        <w:t>整。</w:t>
      </w:r>
    </w:p>
    <w:p w14:paraId="42F61E0D">
      <w:pPr>
        <w:autoSpaceDE w:val="0"/>
        <w:autoSpaceDN w:val="0"/>
        <w:adjustRightInd w:val="0"/>
        <w:spacing w:line="360" w:lineRule="auto"/>
        <w:ind w:firstLine="552"/>
        <w:rPr>
          <w:rFonts w:hint="eastAsia"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本工程各类拆卸、拆除工作均为保护性拆卸</w:t>
      </w:r>
      <w:r>
        <w:rPr>
          <w:rFonts w:hint="eastAsia" w:ascii="宋体" w:hAnsi="宋体"/>
          <w:color w:val="auto"/>
          <w:sz w:val="24"/>
          <w:lang w:eastAsia="zh-CN"/>
        </w:rPr>
        <w:t>、拆除</w:t>
      </w:r>
      <w:r>
        <w:rPr>
          <w:rFonts w:hint="eastAsia" w:ascii="宋体" w:hAnsi="宋体"/>
          <w:color w:val="auto"/>
          <w:sz w:val="24"/>
        </w:rPr>
        <w:t>，已综合考虑了对拆除物本体、周边建（构）筑物、相邻构件的保护及必要的加固支撑，费用由投标单位在投标报价中自行考虑，结算不</w:t>
      </w:r>
      <w:r>
        <w:rPr>
          <w:rFonts w:hint="eastAsia" w:ascii="宋体" w:hAnsi="宋体"/>
          <w:b w:val="0"/>
          <w:bCs w:val="0"/>
          <w:color w:val="auto"/>
          <w:sz w:val="24"/>
          <w:lang w:val="en-US" w:eastAsia="zh-CN"/>
        </w:rPr>
        <w:t>作</w:t>
      </w:r>
      <w:r>
        <w:rPr>
          <w:rFonts w:hint="eastAsia" w:ascii="宋体" w:hAnsi="宋体"/>
          <w:b w:val="0"/>
          <w:bCs w:val="0"/>
          <w:color w:val="auto"/>
          <w:sz w:val="24"/>
        </w:rPr>
        <w:t>调</w:t>
      </w:r>
      <w:r>
        <w:rPr>
          <w:rFonts w:hint="eastAsia" w:ascii="宋体" w:hAnsi="宋体"/>
          <w:color w:val="auto"/>
          <w:sz w:val="24"/>
        </w:rPr>
        <w:t>整。</w:t>
      </w:r>
    </w:p>
    <w:p w14:paraId="59275F36">
      <w:pPr>
        <w:autoSpaceDE w:val="0"/>
        <w:autoSpaceDN w:val="0"/>
        <w:adjustRightInd w:val="0"/>
        <w:spacing w:line="360" w:lineRule="auto"/>
        <w:ind w:firstLine="552"/>
        <w:rPr>
          <w:rFonts w:hint="eastAsia" w:ascii="宋体" w:hAnsi="宋体"/>
          <w:b w:val="0"/>
          <w:bCs w:val="0"/>
          <w:color w:val="auto"/>
          <w:sz w:val="24"/>
        </w:rPr>
      </w:pPr>
      <w:r>
        <w:rPr>
          <w:rFonts w:hint="eastAsia" w:ascii="宋体" w:hAnsi="宋体"/>
          <w:color w:val="auto"/>
          <w:sz w:val="24"/>
          <w:lang w:val="en-US" w:eastAsia="zh-CN"/>
        </w:rPr>
        <w:t>6、</w:t>
      </w:r>
      <w:r>
        <w:rPr>
          <w:rFonts w:hint="eastAsia" w:ascii="宋体" w:hAnsi="宋体"/>
          <w:color w:val="auto"/>
          <w:sz w:val="24"/>
        </w:rPr>
        <w:t>本</w:t>
      </w:r>
      <w:r>
        <w:rPr>
          <w:rFonts w:hint="eastAsia" w:ascii="宋体" w:hAnsi="宋体"/>
          <w:color w:val="auto"/>
          <w:sz w:val="24"/>
          <w:lang w:eastAsia="zh-CN"/>
        </w:rPr>
        <w:t>工程</w:t>
      </w:r>
      <w:r>
        <w:rPr>
          <w:rFonts w:hint="eastAsia" w:ascii="宋体" w:hAnsi="宋体"/>
          <w:color w:val="auto"/>
          <w:sz w:val="24"/>
        </w:rPr>
        <w:t>修缮建筑本体的拆除、拆卸相关工程量清单中均包含了以下工作内容：①现状构件的保护性拆卸；②拆卸后旧材料的清理、挑选、回收、</w:t>
      </w:r>
      <w:r>
        <w:rPr>
          <w:rFonts w:hint="eastAsia" w:ascii="宋体" w:hAnsi="宋体"/>
          <w:color w:val="auto"/>
          <w:sz w:val="24"/>
          <w:lang w:val="en-US" w:eastAsia="zh-CN"/>
        </w:rPr>
        <w:t>必要的编号、分类、</w:t>
      </w:r>
      <w:r>
        <w:rPr>
          <w:rFonts w:hint="eastAsia" w:ascii="宋体" w:hAnsi="宋体"/>
          <w:color w:val="auto"/>
          <w:sz w:val="24"/>
        </w:rPr>
        <w:t>堆放及看管保护；③拆除后垃圾运至指定地点统一堆放。以上费用均由投标单位在投标报价中自行考虑</w:t>
      </w:r>
      <w:r>
        <w:rPr>
          <w:rFonts w:hint="eastAsia" w:ascii="宋体" w:hAnsi="宋体"/>
          <w:b w:val="0"/>
          <w:bCs w:val="0"/>
          <w:color w:val="auto"/>
          <w:sz w:val="24"/>
          <w:lang w:val="en-US" w:eastAsia="zh-CN"/>
        </w:rPr>
        <w:t>，结算不作调整</w:t>
      </w:r>
      <w:r>
        <w:rPr>
          <w:rFonts w:hint="eastAsia" w:ascii="宋体" w:hAnsi="宋体"/>
          <w:b w:val="0"/>
          <w:bCs w:val="0"/>
          <w:color w:val="auto"/>
          <w:sz w:val="24"/>
        </w:rPr>
        <w:t>。</w:t>
      </w:r>
    </w:p>
    <w:p w14:paraId="1C6D330B">
      <w:pPr>
        <w:autoSpaceDE w:val="0"/>
        <w:autoSpaceDN w:val="0"/>
        <w:adjustRightInd w:val="0"/>
        <w:spacing w:line="360" w:lineRule="auto"/>
        <w:ind w:firstLine="552"/>
        <w:rPr>
          <w:rFonts w:hint="default" w:ascii="宋体" w:hAnsi="宋体"/>
          <w:color w:val="auto"/>
          <w:sz w:val="24"/>
          <w:highlight w:val="none"/>
          <w:lang w:val="en-US"/>
        </w:rPr>
      </w:pPr>
      <w:r>
        <w:rPr>
          <w:rFonts w:hint="eastAsia" w:ascii="宋体" w:hAnsi="宋体"/>
          <w:color w:val="auto"/>
          <w:sz w:val="24"/>
          <w:highlight w:val="none"/>
          <w:lang w:val="en-US" w:eastAsia="zh-CN"/>
        </w:rPr>
        <w:t>7、本预算按仿古建筑修缮项目计算执行。</w:t>
      </w:r>
    </w:p>
    <w:p w14:paraId="1DB4BE1C">
      <w:pPr>
        <w:autoSpaceDE w:val="0"/>
        <w:autoSpaceDN w:val="0"/>
        <w:adjustRightInd w:val="0"/>
        <w:spacing w:line="360" w:lineRule="auto"/>
        <w:ind w:firstLine="552"/>
        <w:rPr>
          <w:rFonts w:hint="eastAsia"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屋脊、屋面及瓦顶的所有砖、瓦、檐口附件均按现状各单体留存样式尺寸配补，</w:t>
      </w:r>
      <w:r>
        <w:rPr>
          <w:rFonts w:hint="eastAsia" w:ascii="宋体" w:hAnsi="宋体"/>
          <w:color w:val="auto"/>
          <w:sz w:val="24"/>
          <w:lang w:val="en-US" w:eastAsia="zh-CN"/>
        </w:rPr>
        <w:t>瓦垄间距和瓦片垒叠排布方式均</w:t>
      </w:r>
      <w:r>
        <w:rPr>
          <w:rFonts w:hint="eastAsia" w:ascii="宋体" w:hAnsi="宋体"/>
          <w:color w:val="auto"/>
          <w:sz w:val="24"/>
        </w:rPr>
        <w:t>需满足业主和设计的要求，费用由投标单位在投标报价中自行考虑，结算不作调整。</w:t>
      </w:r>
    </w:p>
    <w:p w14:paraId="326FA48D">
      <w:pPr>
        <w:autoSpaceDE w:val="0"/>
        <w:autoSpaceDN w:val="0"/>
        <w:adjustRightInd w:val="0"/>
        <w:spacing w:line="360" w:lineRule="auto"/>
        <w:ind w:firstLine="552"/>
        <w:rPr>
          <w:rFonts w:hint="eastAsia"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现状屋面瓦拆卸包含了瓦片、檐口瓦件、斜沟瓦件、泛水瓦件的保护性拆卸，可利</w:t>
      </w:r>
      <w:r>
        <w:rPr>
          <w:rFonts w:hint="eastAsia" w:ascii="宋体" w:hAnsi="宋体"/>
          <w:i w:val="0"/>
          <w:iCs w:val="0"/>
          <w:color w:val="auto"/>
          <w:sz w:val="24"/>
        </w:rPr>
        <w:t>用</w:t>
      </w:r>
      <w:r>
        <w:rPr>
          <w:rFonts w:hint="eastAsia" w:ascii="宋体" w:hAnsi="宋体"/>
          <w:color w:val="auto"/>
          <w:sz w:val="24"/>
        </w:rPr>
        <w:t>瓦件的清理、回收</w:t>
      </w:r>
      <w:r>
        <w:rPr>
          <w:rFonts w:hint="eastAsia" w:ascii="宋体" w:hAnsi="宋体"/>
          <w:color w:val="auto"/>
          <w:sz w:val="24"/>
          <w:lang w:eastAsia="zh-CN"/>
        </w:rPr>
        <w:t>、</w:t>
      </w:r>
      <w:r>
        <w:rPr>
          <w:rFonts w:hint="eastAsia" w:ascii="宋体" w:hAnsi="宋体"/>
          <w:color w:val="auto"/>
          <w:sz w:val="24"/>
          <w:lang w:val="en-US" w:eastAsia="zh-CN"/>
        </w:rPr>
        <w:t>必要的编号、分类、</w:t>
      </w:r>
      <w:r>
        <w:rPr>
          <w:rFonts w:hint="eastAsia" w:ascii="宋体" w:hAnsi="宋体"/>
          <w:color w:val="auto"/>
          <w:sz w:val="24"/>
        </w:rPr>
        <w:t>统一堆放保管、拆除后垃圾运至指定地点统一堆放等一切费用。</w:t>
      </w:r>
    </w:p>
    <w:p w14:paraId="65E2861C">
      <w:pPr>
        <w:autoSpaceDE w:val="0"/>
        <w:autoSpaceDN w:val="0"/>
        <w:adjustRightInd w:val="0"/>
        <w:spacing w:line="360" w:lineRule="auto"/>
        <w:ind w:firstLine="552"/>
        <w:rPr>
          <w:rFonts w:hint="default" w:ascii="宋体" w:hAnsi="宋体"/>
          <w:color w:val="auto"/>
          <w:sz w:val="24"/>
          <w:lang w:val="en-US" w:eastAsia="zh-CN"/>
        </w:rPr>
      </w:pPr>
      <w:r>
        <w:rPr>
          <w:rFonts w:hint="eastAsia" w:ascii="宋体" w:hAnsi="宋体"/>
          <w:color w:val="auto"/>
          <w:sz w:val="24"/>
          <w:lang w:val="en-US" w:eastAsia="zh-CN"/>
        </w:rPr>
        <w:t>10、本预算屋面瓦片利用率按80%计算，结算按</w:t>
      </w:r>
      <w:r>
        <w:rPr>
          <w:rFonts w:hint="eastAsia" w:ascii="宋体" w:hAnsi="宋体"/>
          <w:b w:val="0"/>
          <w:bCs w:val="0"/>
          <w:color w:val="auto"/>
          <w:sz w:val="24"/>
          <w:lang w:val="en-US" w:eastAsia="zh-CN"/>
        </w:rPr>
        <w:t>实调</w:t>
      </w:r>
      <w:r>
        <w:rPr>
          <w:rFonts w:hint="eastAsia" w:ascii="宋体" w:hAnsi="宋体"/>
          <w:color w:val="auto"/>
          <w:sz w:val="24"/>
          <w:lang w:val="en-US" w:eastAsia="zh-CN"/>
        </w:rPr>
        <w:t>整。</w:t>
      </w:r>
    </w:p>
    <w:p w14:paraId="35BF66A7">
      <w:pPr>
        <w:autoSpaceDE w:val="0"/>
        <w:autoSpaceDN w:val="0"/>
        <w:adjustRightInd w:val="0"/>
        <w:spacing w:line="360" w:lineRule="auto"/>
        <w:ind w:firstLine="552"/>
        <w:rPr>
          <w:rFonts w:hint="eastAsia" w:ascii="宋体" w:hAnsi="宋体"/>
          <w:color w:val="auto"/>
          <w:sz w:val="24"/>
        </w:rPr>
      </w:pPr>
      <w:r>
        <w:rPr>
          <w:rFonts w:hint="eastAsia" w:ascii="宋体" w:hAnsi="宋体"/>
          <w:color w:val="auto"/>
          <w:sz w:val="24"/>
          <w:lang w:val="en-US" w:eastAsia="zh-CN"/>
        </w:rPr>
        <w:t>11、</w:t>
      </w:r>
      <w:r>
        <w:rPr>
          <w:rFonts w:hint="eastAsia" w:ascii="宋体" w:hAnsi="宋体"/>
          <w:color w:val="auto"/>
          <w:sz w:val="24"/>
        </w:rPr>
        <w:t>椽子拆卸包含了椽子、封沿板的保护性拆卸，可利用椽子的清理、</w:t>
      </w:r>
      <w:r>
        <w:rPr>
          <w:rFonts w:hint="eastAsia" w:ascii="宋体" w:hAnsi="宋体"/>
          <w:color w:val="auto"/>
          <w:sz w:val="24"/>
          <w:lang w:val="en-US" w:eastAsia="zh-CN"/>
        </w:rPr>
        <w:t>必要的编号、分类</w:t>
      </w:r>
      <w:r>
        <w:rPr>
          <w:rFonts w:hint="eastAsia" w:ascii="宋体" w:hAnsi="宋体"/>
          <w:color w:val="auto"/>
          <w:sz w:val="24"/>
        </w:rPr>
        <w:t>、回收、可靠性检查、统一堆放保管、拆除后垃圾运至指定地点统一堆放等一切费用。</w:t>
      </w:r>
    </w:p>
    <w:p w14:paraId="7E9BAE8B">
      <w:pPr>
        <w:autoSpaceDE w:val="0"/>
        <w:autoSpaceDN w:val="0"/>
        <w:adjustRightInd w:val="0"/>
        <w:spacing w:line="360" w:lineRule="auto"/>
        <w:ind w:firstLine="552"/>
        <w:rPr>
          <w:rFonts w:hint="eastAsia" w:ascii="宋体" w:hAnsi="宋体"/>
          <w:color w:val="auto"/>
          <w:sz w:val="24"/>
        </w:rPr>
      </w:pPr>
      <w:r>
        <w:rPr>
          <w:rFonts w:hint="eastAsia" w:ascii="宋体" w:hAnsi="宋体"/>
          <w:color w:val="auto"/>
          <w:sz w:val="24"/>
          <w:lang w:val="en-US" w:eastAsia="zh-CN"/>
        </w:rPr>
        <w:t>12、</w:t>
      </w:r>
      <w:r>
        <w:rPr>
          <w:rFonts w:hint="eastAsia" w:ascii="宋体" w:hAnsi="宋体"/>
          <w:color w:val="auto"/>
          <w:sz w:val="24"/>
        </w:rPr>
        <w:t>石构件</w:t>
      </w:r>
      <w:r>
        <w:rPr>
          <w:rFonts w:hint="eastAsia" w:ascii="宋体" w:hAnsi="宋体"/>
          <w:color w:val="auto"/>
          <w:sz w:val="24"/>
          <w:lang w:eastAsia="zh-CN"/>
        </w:rPr>
        <w:t>起挖、</w:t>
      </w:r>
      <w:r>
        <w:rPr>
          <w:rFonts w:hint="eastAsia" w:ascii="宋体" w:hAnsi="宋体"/>
          <w:color w:val="auto"/>
          <w:sz w:val="24"/>
        </w:rPr>
        <w:t>拆</w:t>
      </w:r>
      <w:r>
        <w:rPr>
          <w:rFonts w:hint="eastAsia" w:ascii="宋体" w:hAnsi="宋体"/>
          <w:color w:val="auto"/>
          <w:sz w:val="24"/>
          <w:lang w:eastAsia="zh-CN"/>
        </w:rPr>
        <w:t>卸均</w:t>
      </w:r>
      <w:r>
        <w:rPr>
          <w:rFonts w:hint="eastAsia" w:ascii="宋体" w:hAnsi="宋体"/>
          <w:color w:val="auto"/>
          <w:sz w:val="24"/>
        </w:rPr>
        <w:t>包含了现状石构件的保护性起挖、拆卸，可利用石构件的清理、</w:t>
      </w:r>
      <w:r>
        <w:rPr>
          <w:rFonts w:hint="eastAsia" w:ascii="宋体" w:hAnsi="宋体"/>
          <w:color w:val="auto"/>
          <w:sz w:val="24"/>
          <w:lang w:val="en-US" w:eastAsia="zh-CN"/>
        </w:rPr>
        <w:t>必要的编号、分类、</w:t>
      </w:r>
      <w:r>
        <w:rPr>
          <w:rFonts w:hint="eastAsia" w:ascii="宋体" w:hAnsi="宋体"/>
          <w:color w:val="auto"/>
          <w:sz w:val="24"/>
        </w:rPr>
        <w:t>回收、统一堆放保管、拆除后垃圾运至指定地点统一堆放等一切费用。</w:t>
      </w:r>
    </w:p>
    <w:p w14:paraId="714024DA">
      <w:pPr>
        <w:autoSpaceDE w:val="0"/>
        <w:autoSpaceDN w:val="0"/>
        <w:adjustRightInd w:val="0"/>
        <w:spacing w:line="360" w:lineRule="auto"/>
        <w:ind w:firstLine="552"/>
        <w:rPr>
          <w:rFonts w:hint="eastAsia" w:ascii="宋体" w:hAnsi="宋体"/>
          <w:color w:val="auto"/>
          <w:sz w:val="24"/>
        </w:rPr>
      </w:pPr>
      <w:r>
        <w:rPr>
          <w:rFonts w:hint="eastAsia" w:ascii="宋体" w:hAnsi="宋体"/>
          <w:color w:val="auto"/>
          <w:sz w:val="24"/>
          <w:lang w:val="en-US" w:eastAsia="zh-CN"/>
        </w:rPr>
        <w:t>13、</w:t>
      </w:r>
      <w:r>
        <w:rPr>
          <w:rFonts w:hint="eastAsia" w:ascii="宋体" w:hAnsi="宋体"/>
          <w:color w:val="auto"/>
          <w:sz w:val="24"/>
        </w:rPr>
        <w:t>本</w:t>
      </w:r>
      <w:r>
        <w:rPr>
          <w:rFonts w:hint="eastAsia" w:ascii="宋体" w:hAnsi="宋体"/>
          <w:color w:val="auto"/>
          <w:sz w:val="24"/>
          <w:lang w:eastAsia="zh-CN"/>
        </w:rPr>
        <w:t>工程</w:t>
      </w:r>
      <w:r>
        <w:rPr>
          <w:rFonts w:hint="eastAsia" w:ascii="宋体" w:hAnsi="宋体"/>
          <w:color w:val="auto"/>
          <w:sz w:val="24"/>
        </w:rPr>
        <w:t>老石板均按</w:t>
      </w:r>
      <w:r>
        <w:rPr>
          <w:rFonts w:hint="eastAsia" w:ascii="宋体" w:hAnsi="宋体"/>
          <w:color w:val="auto"/>
          <w:sz w:val="24"/>
          <w:lang w:val="en-US" w:eastAsia="zh-CN"/>
        </w:rPr>
        <w:t>宁波本地老石板</w:t>
      </w:r>
      <w:r>
        <w:rPr>
          <w:rFonts w:hint="eastAsia" w:ascii="宋体" w:hAnsi="宋体"/>
          <w:color w:val="auto"/>
          <w:sz w:val="24"/>
          <w:lang w:eastAsia="zh-CN"/>
        </w:rPr>
        <w:t>考虑</w:t>
      </w:r>
      <w:r>
        <w:rPr>
          <w:rFonts w:hint="eastAsia" w:ascii="宋体" w:hAnsi="宋体"/>
          <w:color w:val="auto"/>
          <w:sz w:val="24"/>
        </w:rPr>
        <w:t>。</w:t>
      </w:r>
    </w:p>
    <w:p w14:paraId="50C83654">
      <w:pPr>
        <w:autoSpaceDE w:val="0"/>
        <w:autoSpaceDN w:val="0"/>
        <w:adjustRightInd w:val="0"/>
        <w:spacing w:line="360" w:lineRule="auto"/>
        <w:ind w:firstLine="552"/>
        <w:rPr>
          <w:rFonts w:hint="default" w:ascii="宋体" w:hAnsi="宋体" w:eastAsia="宋体"/>
          <w:b/>
          <w:bCs/>
          <w:color w:val="auto"/>
          <w:sz w:val="24"/>
          <w:lang w:val="en-US" w:eastAsia="zh-CN"/>
        </w:rPr>
      </w:pPr>
      <w:r>
        <w:rPr>
          <w:rFonts w:hint="eastAsia" w:ascii="宋体" w:hAnsi="宋体"/>
          <w:color w:val="auto"/>
          <w:sz w:val="24"/>
          <w:lang w:val="en-US" w:eastAsia="zh-CN"/>
        </w:rPr>
        <w:t>14、本预算包括</w:t>
      </w:r>
      <w:r>
        <w:rPr>
          <w:rFonts w:hint="eastAsia" w:ascii="宋体" w:hAnsi="宋体"/>
          <w:color w:val="auto"/>
          <w:sz w:val="24"/>
        </w:rPr>
        <w:t>可利用木材的清理、</w:t>
      </w:r>
      <w:r>
        <w:rPr>
          <w:rFonts w:hint="eastAsia" w:ascii="宋体" w:hAnsi="宋体"/>
          <w:color w:val="auto"/>
          <w:sz w:val="24"/>
          <w:lang w:val="en-US" w:eastAsia="zh-CN"/>
        </w:rPr>
        <w:t>必要的编号、分类、</w:t>
      </w:r>
      <w:r>
        <w:rPr>
          <w:rFonts w:hint="eastAsia" w:ascii="宋体" w:hAnsi="宋体"/>
          <w:color w:val="auto"/>
          <w:sz w:val="24"/>
        </w:rPr>
        <w:t>回收、统一堆放保管、拆除后垃圾运至指定地点统一堆放等一切费用。</w:t>
      </w:r>
    </w:p>
    <w:p w14:paraId="6AF81965">
      <w:pPr>
        <w:autoSpaceDE w:val="0"/>
        <w:autoSpaceDN w:val="0"/>
        <w:adjustRightInd w:val="0"/>
        <w:spacing w:line="360" w:lineRule="auto"/>
        <w:ind w:firstLine="552"/>
        <w:rPr>
          <w:rFonts w:hint="eastAsia" w:ascii="宋体" w:hAnsi="宋体"/>
          <w:color w:val="auto"/>
          <w:sz w:val="24"/>
        </w:rPr>
      </w:pPr>
      <w:r>
        <w:rPr>
          <w:rFonts w:hint="eastAsia" w:ascii="宋体" w:hAnsi="宋体"/>
          <w:color w:val="auto"/>
          <w:sz w:val="24"/>
          <w:lang w:val="en-US" w:eastAsia="zh-CN"/>
        </w:rPr>
        <w:t>15、</w:t>
      </w:r>
      <w:r>
        <w:rPr>
          <w:rFonts w:hint="eastAsia" w:ascii="宋体" w:hAnsi="宋体"/>
          <w:color w:val="auto"/>
          <w:sz w:val="24"/>
        </w:rPr>
        <w:t>本工程木材已综合考虑木材含水率要求，含水</w:t>
      </w:r>
      <w:r>
        <w:rPr>
          <w:rFonts w:hint="eastAsia" w:ascii="宋体" w:hAnsi="宋体"/>
          <w:color w:val="auto"/>
          <w:sz w:val="24"/>
          <w:lang w:eastAsia="zh-CN"/>
        </w:rPr>
        <w:t>率</w:t>
      </w:r>
      <w:r>
        <w:rPr>
          <w:rFonts w:hint="eastAsia" w:ascii="宋体" w:hAnsi="宋体"/>
          <w:color w:val="auto"/>
          <w:sz w:val="24"/>
        </w:rPr>
        <w:t>须符合设计要求及相关规范，费用由投标单位自行考虑，结算不</w:t>
      </w:r>
      <w:r>
        <w:rPr>
          <w:rFonts w:hint="eastAsia" w:ascii="宋体" w:hAnsi="宋体"/>
          <w:b w:val="0"/>
          <w:bCs w:val="0"/>
          <w:color w:val="auto"/>
          <w:sz w:val="24"/>
          <w:lang w:val="en-US" w:eastAsia="zh-CN"/>
        </w:rPr>
        <w:t>作</w:t>
      </w:r>
      <w:r>
        <w:rPr>
          <w:rFonts w:hint="eastAsia" w:ascii="宋体" w:hAnsi="宋体"/>
          <w:color w:val="auto"/>
          <w:sz w:val="24"/>
        </w:rPr>
        <w:t>调整。</w:t>
      </w:r>
    </w:p>
    <w:p w14:paraId="341A5BEC">
      <w:pPr>
        <w:autoSpaceDE w:val="0"/>
        <w:autoSpaceDN w:val="0"/>
        <w:adjustRightInd w:val="0"/>
        <w:spacing w:line="360" w:lineRule="auto"/>
        <w:ind w:firstLine="552"/>
        <w:rPr>
          <w:rFonts w:hint="eastAsia" w:ascii="宋体" w:hAnsi="宋体"/>
          <w:color w:val="auto"/>
          <w:sz w:val="24"/>
        </w:rPr>
      </w:pPr>
      <w:r>
        <w:rPr>
          <w:rFonts w:hint="eastAsia" w:ascii="宋体" w:hAnsi="宋体"/>
          <w:color w:val="auto"/>
          <w:sz w:val="24"/>
          <w:lang w:val="en-US" w:eastAsia="zh-CN"/>
        </w:rPr>
        <w:t>16、</w:t>
      </w:r>
      <w:r>
        <w:rPr>
          <w:rFonts w:hint="eastAsia" w:ascii="宋体" w:hAnsi="宋体"/>
          <w:color w:val="auto"/>
          <w:sz w:val="24"/>
        </w:rPr>
        <w:t>本工程木构架的装配连接按传统榫卯连接考虑（含各类木销、扒钉</w:t>
      </w:r>
      <w:r>
        <w:rPr>
          <w:rFonts w:hint="eastAsia" w:ascii="宋体" w:hAnsi="宋体"/>
          <w:color w:val="auto"/>
          <w:sz w:val="24"/>
          <w:lang w:val="en-US" w:eastAsia="zh-CN"/>
        </w:rPr>
        <w:t>等</w:t>
      </w:r>
      <w:r>
        <w:rPr>
          <w:rFonts w:hint="eastAsia" w:ascii="宋体" w:hAnsi="宋体"/>
          <w:color w:val="auto"/>
          <w:sz w:val="24"/>
        </w:rPr>
        <w:t>所有</w:t>
      </w:r>
      <w:r>
        <w:rPr>
          <w:rFonts w:hint="eastAsia" w:ascii="宋体" w:hAnsi="宋体"/>
          <w:color w:val="auto"/>
          <w:sz w:val="24"/>
          <w:lang w:val="en-US" w:eastAsia="zh-CN"/>
        </w:rPr>
        <w:t>连接加固件</w:t>
      </w:r>
      <w:r>
        <w:rPr>
          <w:rFonts w:hint="eastAsia" w:ascii="宋体" w:hAnsi="宋体"/>
          <w:color w:val="auto"/>
          <w:sz w:val="24"/>
        </w:rPr>
        <w:t>），投标单位应根据现场情况和相关规范的要求在投标报价中自行考虑，结算不做调整。</w:t>
      </w:r>
    </w:p>
    <w:p w14:paraId="4675B8A2">
      <w:pPr>
        <w:autoSpaceDE w:val="0"/>
        <w:autoSpaceDN w:val="0"/>
        <w:adjustRightInd w:val="0"/>
        <w:spacing w:line="360" w:lineRule="auto"/>
        <w:ind w:firstLine="552"/>
        <w:rPr>
          <w:rFonts w:hint="eastAsia" w:ascii="宋体" w:hAnsi="宋体"/>
          <w:color w:val="auto"/>
          <w:sz w:val="24"/>
        </w:rPr>
      </w:pPr>
      <w:r>
        <w:rPr>
          <w:rFonts w:hint="eastAsia" w:ascii="宋体" w:hAnsi="宋体"/>
          <w:color w:val="auto"/>
          <w:sz w:val="24"/>
          <w:lang w:val="en-US" w:eastAsia="zh-CN"/>
        </w:rPr>
        <w:t>17、</w:t>
      </w:r>
      <w:r>
        <w:rPr>
          <w:rFonts w:hint="eastAsia" w:ascii="宋体" w:hAnsi="宋体"/>
          <w:color w:val="auto"/>
          <w:sz w:val="24"/>
        </w:rPr>
        <w:t>木材面去霉烂</w:t>
      </w:r>
      <w:r>
        <w:rPr>
          <w:rFonts w:hint="eastAsia" w:ascii="宋体" w:hAnsi="宋体"/>
          <w:color w:val="auto"/>
          <w:sz w:val="24"/>
          <w:lang w:eastAsia="zh-CN"/>
        </w:rPr>
        <w:t>、</w:t>
      </w:r>
      <w:r>
        <w:rPr>
          <w:rFonts w:hint="eastAsia" w:ascii="宋体" w:hAnsi="宋体"/>
          <w:color w:val="auto"/>
          <w:sz w:val="24"/>
          <w:lang w:val="en-US" w:eastAsia="zh-CN"/>
        </w:rPr>
        <w:t>清理纸屑、</w:t>
      </w:r>
      <w:r>
        <w:rPr>
          <w:rFonts w:hint="eastAsia" w:ascii="宋体" w:hAnsi="宋体"/>
          <w:color w:val="auto"/>
          <w:sz w:val="24"/>
        </w:rPr>
        <w:t>拔钉均已综合考虑在</w:t>
      </w:r>
      <w:r>
        <w:rPr>
          <w:rFonts w:hint="eastAsia" w:ascii="宋体" w:hAnsi="宋体"/>
          <w:color w:val="auto"/>
          <w:sz w:val="24"/>
          <w:lang w:val="en-US" w:eastAsia="zh-CN"/>
        </w:rPr>
        <w:t>木材面无水清理的</w:t>
      </w:r>
      <w:r>
        <w:rPr>
          <w:rFonts w:hint="eastAsia" w:ascii="宋体" w:hAnsi="宋体"/>
          <w:color w:val="auto"/>
          <w:sz w:val="24"/>
        </w:rPr>
        <w:t>综合单价内，费用由投标单位在投标报价中自行考虑，结算不做调整。</w:t>
      </w:r>
    </w:p>
    <w:p w14:paraId="24E8E315">
      <w:pPr>
        <w:autoSpaceDE w:val="0"/>
        <w:autoSpaceDN w:val="0"/>
        <w:adjustRightInd w:val="0"/>
        <w:spacing w:line="360" w:lineRule="auto"/>
        <w:ind w:firstLine="552"/>
        <w:rPr>
          <w:rFonts w:hint="eastAsia" w:ascii="宋体" w:hAnsi="宋体"/>
          <w:color w:val="auto"/>
          <w:sz w:val="24"/>
        </w:rPr>
      </w:pPr>
      <w:r>
        <w:rPr>
          <w:rFonts w:hint="eastAsia" w:ascii="宋体" w:hAnsi="宋体"/>
          <w:color w:val="auto"/>
          <w:sz w:val="24"/>
          <w:lang w:val="en-US" w:eastAsia="zh-CN"/>
        </w:rPr>
        <w:t>18、</w:t>
      </w:r>
      <w:r>
        <w:rPr>
          <w:rFonts w:hint="eastAsia" w:ascii="宋体" w:hAnsi="宋体"/>
          <w:color w:val="auto"/>
          <w:sz w:val="24"/>
        </w:rPr>
        <w:t>本工程木材面油漆及墙面粉刷的颜色需满足建设单位及设计的要求，费用由投标单位自行考虑（费用包含大面积施工前的打样费），结算不做调整。</w:t>
      </w:r>
    </w:p>
    <w:p w14:paraId="77BD396B">
      <w:pPr>
        <w:autoSpaceDE w:val="0"/>
        <w:autoSpaceDN w:val="0"/>
        <w:adjustRightInd w:val="0"/>
        <w:spacing w:line="360" w:lineRule="auto"/>
        <w:ind w:firstLine="552"/>
        <w:rPr>
          <w:rFonts w:hint="eastAsia" w:ascii="宋体" w:hAnsi="宋体"/>
          <w:color w:val="auto"/>
          <w:sz w:val="24"/>
          <w:lang w:val="en-US" w:eastAsia="zh-CN"/>
        </w:rPr>
      </w:pPr>
      <w:r>
        <w:rPr>
          <w:rFonts w:hint="eastAsia" w:ascii="宋体" w:hAnsi="宋体"/>
          <w:color w:val="auto"/>
          <w:sz w:val="24"/>
          <w:lang w:val="en-US" w:eastAsia="zh-CN"/>
        </w:rPr>
        <w:t>19、老石板地坪和阶沿石的长宽规格参照现场留存老石板规格考虑，且需满足设计和建设单位要求，投标人结合现场实际情况自行报价，结算不做调整。</w:t>
      </w:r>
    </w:p>
    <w:p w14:paraId="2E207D53">
      <w:pPr>
        <w:autoSpaceDE w:val="0"/>
        <w:autoSpaceDN w:val="0"/>
        <w:adjustRightInd w:val="0"/>
        <w:spacing w:line="360" w:lineRule="auto"/>
        <w:ind w:firstLine="552"/>
        <w:rPr>
          <w:rFonts w:hint="default" w:ascii="宋体" w:hAnsi="宋体"/>
          <w:color w:val="auto"/>
          <w:sz w:val="24"/>
          <w:lang w:val="en-US" w:eastAsia="zh-CN"/>
        </w:rPr>
      </w:pPr>
      <w:r>
        <w:rPr>
          <w:rFonts w:hint="eastAsia" w:ascii="宋体" w:hAnsi="宋体"/>
          <w:color w:val="auto"/>
          <w:sz w:val="24"/>
          <w:lang w:val="en-US" w:eastAsia="zh-CN"/>
        </w:rPr>
        <w:t>20、施工图纸中所有木门窗未明确玻璃种类的，均暂按6mm厚钢化玻璃，大面积玻璃暂按10mm厚钢化玻璃，结算</w:t>
      </w:r>
      <w:r>
        <w:rPr>
          <w:rFonts w:hint="eastAsia" w:ascii="宋体" w:hAnsi="宋体"/>
          <w:b w:val="0"/>
          <w:bCs w:val="0"/>
          <w:color w:val="auto"/>
          <w:sz w:val="24"/>
          <w:lang w:val="en-US" w:eastAsia="zh-CN"/>
        </w:rPr>
        <w:t>按实调</w:t>
      </w:r>
      <w:r>
        <w:rPr>
          <w:rFonts w:hint="eastAsia" w:ascii="宋体" w:hAnsi="宋体"/>
          <w:color w:val="auto"/>
          <w:sz w:val="24"/>
          <w:lang w:val="en-US" w:eastAsia="zh-CN"/>
        </w:rPr>
        <w:t>整。</w:t>
      </w:r>
    </w:p>
    <w:p w14:paraId="52FD8276">
      <w:pPr>
        <w:autoSpaceDE w:val="0"/>
        <w:autoSpaceDN w:val="0"/>
        <w:adjustRightInd w:val="0"/>
        <w:spacing w:line="360" w:lineRule="auto"/>
        <w:ind w:firstLine="552"/>
        <w:rPr>
          <w:rFonts w:hint="default" w:ascii="宋体" w:hAnsi="宋体"/>
          <w:color w:val="auto"/>
          <w:sz w:val="24"/>
          <w:lang w:val="en-US" w:eastAsia="zh-CN"/>
        </w:rPr>
      </w:pPr>
      <w:r>
        <w:rPr>
          <w:rFonts w:hint="eastAsia" w:ascii="宋体" w:hAnsi="宋体"/>
          <w:color w:val="auto"/>
          <w:sz w:val="24"/>
          <w:lang w:val="en-US" w:eastAsia="zh-CN"/>
        </w:rPr>
        <w:t>21、本工程防水卷材铺贴均为坡屋面，坡度大小已综合考虑在卷材综合单价中，由投标单位自行报价，</w:t>
      </w:r>
      <w:r>
        <w:rPr>
          <w:rFonts w:hint="eastAsia" w:ascii="宋体" w:hAnsi="宋体"/>
          <w:b w:val="0"/>
          <w:bCs w:val="0"/>
          <w:color w:val="auto"/>
          <w:sz w:val="24"/>
          <w:lang w:val="en-US" w:eastAsia="zh-CN"/>
        </w:rPr>
        <w:t>结算不作调整。</w:t>
      </w:r>
    </w:p>
    <w:p w14:paraId="03875D5C">
      <w:pPr>
        <w:autoSpaceDE w:val="0"/>
        <w:autoSpaceDN w:val="0"/>
        <w:adjustRightInd w:val="0"/>
        <w:spacing w:line="360" w:lineRule="auto"/>
        <w:ind w:firstLine="552"/>
        <w:rPr>
          <w:rFonts w:hint="eastAsia" w:ascii="宋体" w:hAnsi="宋体"/>
          <w:color w:val="auto"/>
          <w:sz w:val="24"/>
          <w:lang w:val="en-US" w:eastAsia="zh-CN"/>
        </w:rPr>
      </w:pPr>
      <w:r>
        <w:rPr>
          <w:rFonts w:hint="eastAsia" w:ascii="宋体" w:hAnsi="宋体"/>
          <w:color w:val="auto"/>
          <w:sz w:val="24"/>
          <w:lang w:val="en-US" w:eastAsia="zh-CN"/>
        </w:rPr>
        <w:t>22、防虫、防腐、防火按所有木构件表面积计算清单工程量。</w:t>
      </w:r>
    </w:p>
    <w:p w14:paraId="61A6145A">
      <w:pPr>
        <w:autoSpaceDE w:val="0"/>
        <w:autoSpaceDN w:val="0"/>
        <w:adjustRightInd w:val="0"/>
        <w:spacing w:line="360" w:lineRule="auto"/>
        <w:ind w:firstLine="552"/>
        <w:rPr>
          <w:rFonts w:hint="eastAsia" w:ascii="宋体" w:hAnsi="宋体"/>
          <w:color w:val="auto"/>
          <w:sz w:val="24"/>
          <w:lang w:val="en-US" w:eastAsia="zh-CN"/>
        </w:rPr>
      </w:pPr>
      <w:r>
        <w:rPr>
          <w:rFonts w:hint="eastAsia" w:ascii="宋体" w:hAnsi="宋体"/>
          <w:color w:val="auto"/>
          <w:sz w:val="24"/>
          <w:lang w:val="en-US" w:eastAsia="zh-CN"/>
        </w:rPr>
        <w:t>23、本预算正学堂、艾灸馆、影视基地木材面油漆按清漆三遍、防火漆三遍、ACQ防腐三遍、防虫处理，其余单体油漆按一遍底漆做旧、一遍水性木蜡油、防火漆三遍、ACQ防腐三遍、防虫处理。</w:t>
      </w:r>
    </w:p>
    <w:p w14:paraId="6FEFED1E">
      <w:pPr>
        <w:autoSpaceDE w:val="0"/>
        <w:autoSpaceDN w:val="0"/>
        <w:adjustRightInd w:val="0"/>
        <w:spacing w:line="360" w:lineRule="auto"/>
        <w:ind w:firstLine="552"/>
        <w:rPr>
          <w:rFonts w:hint="default" w:ascii="宋体" w:hAnsi="宋体"/>
          <w:color w:val="auto"/>
          <w:sz w:val="24"/>
          <w:lang w:val="en-US" w:eastAsia="zh-CN"/>
        </w:rPr>
      </w:pPr>
      <w:r>
        <w:rPr>
          <w:rFonts w:hint="eastAsia" w:ascii="宋体" w:hAnsi="宋体"/>
          <w:color w:val="auto"/>
          <w:sz w:val="24"/>
          <w:lang w:val="en-US" w:eastAsia="zh-CN"/>
        </w:rPr>
        <w:t>24、本工程由于场地问题，按混凝土现浇现拌考虑。</w:t>
      </w:r>
    </w:p>
    <w:p w14:paraId="7D898A5B">
      <w:pPr>
        <w:autoSpaceDE w:val="0"/>
        <w:autoSpaceDN w:val="0"/>
        <w:adjustRightInd w:val="0"/>
        <w:spacing w:line="360" w:lineRule="auto"/>
        <w:ind w:firstLine="552"/>
        <w:rPr>
          <w:rFonts w:hint="eastAsia" w:ascii="宋体" w:hAnsi="宋体"/>
          <w:b w:val="0"/>
          <w:bCs w:val="0"/>
          <w:color w:val="auto"/>
          <w:sz w:val="24"/>
          <w:lang w:val="en-US" w:eastAsia="zh-CN"/>
        </w:rPr>
      </w:pPr>
      <w:r>
        <w:rPr>
          <w:rFonts w:hint="eastAsia" w:ascii="宋体" w:hAnsi="宋体"/>
          <w:color w:val="auto"/>
          <w:sz w:val="24"/>
          <w:lang w:val="en-US" w:eastAsia="zh-CN"/>
        </w:rPr>
        <w:t>24、影视基地成品院门暂按15000元</w:t>
      </w:r>
      <w:r>
        <w:rPr>
          <w:rFonts w:hint="eastAsia" w:ascii="宋体" w:hAnsi="宋体"/>
          <w:b w:val="0"/>
          <w:bCs w:val="0"/>
          <w:color w:val="auto"/>
          <w:sz w:val="24"/>
          <w:lang w:val="en-US" w:eastAsia="zh-CN"/>
        </w:rPr>
        <w:t>/项（不含税），结算按实调整。</w:t>
      </w:r>
    </w:p>
    <w:p w14:paraId="18E99612">
      <w:pPr>
        <w:autoSpaceDE w:val="0"/>
        <w:autoSpaceDN w:val="0"/>
        <w:adjustRightInd w:val="0"/>
        <w:spacing w:line="360" w:lineRule="auto"/>
        <w:ind w:firstLine="552"/>
        <w:rPr>
          <w:rFonts w:hint="eastAsia" w:ascii="宋体" w:hAnsi="宋体"/>
          <w:b w:val="0"/>
          <w:bCs w:val="0"/>
          <w:color w:val="auto"/>
          <w:sz w:val="24"/>
          <w:lang w:val="en-US" w:eastAsia="zh-CN"/>
        </w:rPr>
      </w:pPr>
      <w:r>
        <w:rPr>
          <w:rFonts w:hint="eastAsia" w:ascii="宋体" w:hAnsi="宋体"/>
          <w:b w:val="0"/>
          <w:bCs w:val="0"/>
          <w:color w:val="auto"/>
          <w:sz w:val="24"/>
          <w:lang w:val="en-US" w:eastAsia="zh-CN"/>
        </w:rPr>
        <w:t>25、不可预见费暂估100000元（不含税）。</w:t>
      </w:r>
    </w:p>
    <w:tbl>
      <w:tblPr>
        <w:tblStyle w:val="64"/>
        <w:tblW w:w="94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709"/>
        <w:gridCol w:w="1380"/>
        <w:gridCol w:w="1410"/>
        <w:gridCol w:w="1470"/>
        <w:gridCol w:w="930"/>
        <w:gridCol w:w="1050"/>
        <w:gridCol w:w="1005"/>
      </w:tblGrid>
      <w:tr w14:paraId="7DE12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9479" w:type="dxa"/>
            <w:gridSpan w:val="8"/>
            <w:tcBorders>
              <w:top w:val="nil"/>
              <w:left w:val="nil"/>
              <w:bottom w:val="nil"/>
              <w:right w:val="nil"/>
            </w:tcBorders>
            <w:shd w:val="clear" w:color="auto" w:fill="FFFFFF"/>
            <w:vAlign w:val="center"/>
          </w:tcPr>
          <w:p w14:paraId="7EE2658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招标控制价费用表</w:t>
            </w:r>
          </w:p>
        </w:tc>
      </w:tr>
      <w:tr w14:paraId="4A95B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614" w:type="dxa"/>
            <w:gridSpan w:val="3"/>
            <w:tcBorders>
              <w:top w:val="nil"/>
              <w:left w:val="nil"/>
              <w:bottom w:val="nil"/>
              <w:right w:val="nil"/>
            </w:tcBorders>
            <w:shd w:val="clear" w:color="auto" w:fill="FFFFFF"/>
            <w:vAlign w:val="bottom"/>
          </w:tcPr>
          <w:p w14:paraId="78BDC76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工程名称:大佳何“艺术谷”和美示范片区工程—宁海县大佳何镇南阳福园景区（二期）</w:t>
            </w:r>
          </w:p>
        </w:tc>
        <w:tc>
          <w:tcPr>
            <w:tcW w:w="1410" w:type="dxa"/>
            <w:tcBorders>
              <w:top w:val="nil"/>
              <w:left w:val="nil"/>
              <w:bottom w:val="nil"/>
              <w:right w:val="nil"/>
            </w:tcBorders>
            <w:shd w:val="clear" w:color="auto" w:fill="FFFFFF"/>
            <w:vAlign w:val="bottom"/>
          </w:tcPr>
          <w:p w14:paraId="6935B8FB">
            <w:pPr>
              <w:jc w:val="left"/>
              <w:rPr>
                <w:rFonts w:hint="eastAsia" w:ascii="宋体" w:hAnsi="宋体" w:eastAsia="宋体" w:cs="宋体"/>
                <w:i w:val="0"/>
                <w:iCs w:val="0"/>
                <w:color w:val="000000"/>
                <w:sz w:val="18"/>
                <w:szCs w:val="18"/>
                <w:u w:val="none"/>
              </w:rPr>
            </w:pPr>
          </w:p>
        </w:tc>
        <w:tc>
          <w:tcPr>
            <w:tcW w:w="1470" w:type="dxa"/>
            <w:tcBorders>
              <w:top w:val="nil"/>
              <w:left w:val="nil"/>
              <w:bottom w:val="nil"/>
              <w:right w:val="nil"/>
            </w:tcBorders>
            <w:shd w:val="clear" w:color="auto" w:fill="FFFFFF"/>
            <w:vAlign w:val="bottom"/>
          </w:tcPr>
          <w:p w14:paraId="1030F64F">
            <w:pPr>
              <w:jc w:val="left"/>
              <w:rPr>
                <w:rFonts w:hint="eastAsia" w:ascii="宋体" w:hAnsi="宋体" w:eastAsia="宋体" w:cs="宋体"/>
                <w:i w:val="0"/>
                <w:iCs w:val="0"/>
                <w:color w:val="000000"/>
                <w:sz w:val="18"/>
                <w:szCs w:val="18"/>
                <w:u w:val="none"/>
              </w:rPr>
            </w:pPr>
          </w:p>
        </w:tc>
        <w:tc>
          <w:tcPr>
            <w:tcW w:w="2985" w:type="dxa"/>
            <w:gridSpan w:val="3"/>
            <w:tcBorders>
              <w:top w:val="nil"/>
              <w:left w:val="nil"/>
              <w:bottom w:val="nil"/>
              <w:right w:val="nil"/>
            </w:tcBorders>
            <w:shd w:val="clear" w:color="auto" w:fill="FFFFFF"/>
            <w:vAlign w:val="bottom"/>
          </w:tcPr>
          <w:p w14:paraId="060B8C2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共3页</w:t>
            </w:r>
          </w:p>
        </w:tc>
      </w:tr>
      <w:tr w14:paraId="10ACC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25" w:type="dxa"/>
            <w:vMerge w:val="restart"/>
            <w:tcBorders>
              <w:top w:val="single" w:color="000000" w:sz="4" w:space="0"/>
              <w:left w:val="single" w:color="000000" w:sz="4" w:space="0"/>
              <w:bottom w:val="nil"/>
              <w:right w:val="nil"/>
            </w:tcBorders>
            <w:shd w:val="clear" w:color="auto" w:fill="FFFFFF"/>
            <w:vAlign w:val="center"/>
          </w:tcPr>
          <w:p w14:paraId="38622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09" w:type="dxa"/>
            <w:vMerge w:val="restart"/>
            <w:tcBorders>
              <w:top w:val="single" w:color="000000" w:sz="4" w:space="0"/>
              <w:left w:val="single" w:color="000000" w:sz="4" w:space="0"/>
              <w:bottom w:val="nil"/>
              <w:right w:val="nil"/>
            </w:tcBorders>
            <w:shd w:val="clear" w:color="auto" w:fill="FFFFFF"/>
            <w:vAlign w:val="center"/>
          </w:tcPr>
          <w:p w14:paraId="192AA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1380" w:type="dxa"/>
            <w:vMerge w:val="restart"/>
            <w:tcBorders>
              <w:top w:val="single" w:color="000000" w:sz="4" w:space="0"/>
              <w:left w:val="single" w:color="000000" w:sz="4" w:space="0"/>
              <w:bottom w:val="nil"/>
              <w:right w:val="nil"/>
            </w:tcBorders>
            <w:shd w:val="clear" w:color="auto" w:fill="FFFFFF"/>
            <w:vAlign w:val="center"/>
          </w:tcPr>
          <w:p w14:paraId="34430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4860" w:type="dxa"/>
            <w:gridSpan w:val="4"/>
            <w:tcBorders>
              <w:top w:val="single" w:color="000000" w:sz="4" w:space="0"/>
              <w:left w:val="single" w:color="000000" w:sz="4" w:space="0"/>
              <w:bottom w:val="nil"/>
              <w:right w:val="nil"/>
            </w:tcBorders>
            <w:shd w:val="clear" w:color="auto" w:fill="FFFFFF"/>
            <w:vAlign w:val="center"/>
          </w:tcPr>
          <w:p w14:paraId="10912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其中：（元）</w:t>
            </w:r>
          </w:p>
        </w:tc>
        <w:tc>
          <w:tcPr>
            <w:tcW w:w="1005" w:type="dxa"/>
            <w:vMerge w:val="restart"/>
            <w:tcBorders>
              <w:top w:val="single" w:color="000000" w:sz="4" w:space="0"/>
              <w:left w:val="single" w:color="000000" w:sz="4" w:space="0"/>
              <w:bottom w:val="nil"/>
              <w:right w:val="single" w:color="000000" w:sz="4" w:space="0"/>
            </w:tcBorders>
            <w:shd w:val="clear" w:color="auto" w:fill="FFFFFF"/>
            <w:vAlign w:val="center"/>
          </w:tcPr>
          <w:p w14:paraId="239C1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EB2F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5" w:type="dxa"/>
            <w:vMerge w:val="continue"/>
            <w:tcBorders>
              <w:top w:val="single" w:color="000000" w:sz="4" w:space="0"/>
              <w:left w:val="single" w:color="000000" w:sz="4" w:space="0"/>
              <w:bottom w:val="nil"/>
              <w:right w:val="nil"/>
            </w:tcBorders>
            <w:shd w:val="clear" w:color="auto" w:fill="FFFFFF"/>
            <w:vAlign w:val="center"/>
          </w:tcPr>
          <w:p w14:paraId="2A48CADF">
            <w:pPr>
              <w:jc w:val="center"/>
              <w:rPr>
                <w:rFonts w:hint="eastAsia" w:ascii="宋体" w:hAnsi="宋体" w:eastAsia="宋体" w:cs="宋体"/>
                <w:i w:val="0"/>
                <w:iCs w:val="0"/>
                <w:color w:val="000000"/>
                <w:sz w:val="18"/>
                <w:szCs w:val="18"/>
                <w:u w:val="none"/>
              </w:rPr>
            </w:pPr>
          </w:p>
        </w:tc>
        <w:tc>
          <w:tcPr>
            <w:tcW w:w="1709" w:type="dxa"/>
            <w:vMerge w:val="continue"/>
            <w:tcBorders>
              <w:top w:val="single" w:color="000000" w:sz="4" w:space="0"/>
              <w:left w:val="single" w:color="000000" w:sz="4" w:space="0"/>
              <w:bottom w:val="nil"/>
              <w:right w:val="nil"/>
            </w:tcBorders>
            <w:shd w:val="clear" w:color="auto" w:fill="FFFFFF"/>
            <w:vAlign w:val="center"/>
          </w:tcPr>
          <w:p w14:paraId="00CCFE5F">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nil"/>
              <w:right w:val="nil"/>
            </w:tcBorders>
            <w:shd w:val="clear" w:color="auto" w:fill="FFFFFF"/>
            <w:vAlign w:val="center"/>
          </w:tcPr>
          <w:p w14:paraId="0C42F33A">
            <w:pPr>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52025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1470" w:type="dxa"/>
            <w:tcBorders>
              <w:top w:val="single" w:color="000000" w:sz="4" w:space="0"/>
              <w:left w:val="single" w:color="000000" w:sz="4" w:space="0"/>
              <w:bottom w:val="nil"/>
              <w:right w:val="nil"/>
            </w:tcBorders>
            <w:shd w:val="clear" w:color="auto" w:fill="FFFFFF"/>
            <w:vAlign w:val="center"/>
          </w:tcPr>
          <w:p w14:paraId="593B9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施工基本费</w:t>
            </w:r>
          </w:p>
        </w:tc>
        <w:tc>
          <w:tcPr>
            <w:tcW w:w="930" w:type="dxa"/>
            <w:tcBorders>
              <w:top w:val="single" w:color="000000" w:sz="4" w:space="0"/>
              <w:left w:val="single" w:color="000000" w:sz="4" w:space="0"/>
              <w:bottom w:val="nil"/>
              <w:right w:val="nil"/>
            </w:tcBorders>
            <w:shd w:val="clear" w:color="auto" w:fill="FFFFFF"/>
            <w:vAlign w:val="center"/>
          </w:tcPr>
          <w:p w14:paraId="77C88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1050" w:type="dxa"/>
            <w:tcBorders>
              <w:top w:val="single" w:color="000000" w:sz="4" w:space="0"/>
              <w:left w:val="single" w:color="000000" w:sz="4" w:space="0"/>
              <w:bottom w:val="nil"/>
              <w:right w:val="single" w:color="000000" w:sz="4" w:space="0"/>
            </w:tcBorders>
            <w:shd w:val="clear" w:color="auto" w:fill="FFFFFF"/>
            <w:vAlign w:val="center"/>
          </w:tcPr>
          <w:p w14:paraId="422B0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1005" w:type="dxa"/>
            <w:vMerge w:val="continue"/>
            <w:tcBorders>
              <w:top w:val="single" w:color="000000" w:sz="4" w:space="0"/>
              <w:left w:val="single" w:color="000000" w:sz="4" w:space="0"/>
              <w:bottom w:val="nil"/>
              <w:right w:val="single" w:color="000000" w:sz="4" w:space="0"/>
            </w:tcBorders>
            <w:shd w:val="clear" w:color="auto" w:fill="FFFFFF"/>
            <w:vAlign w:val="center"/>
          </w:tcPr>
          <w:p w14:paraId="50480DED">
            <w:pPr>
              <w:jc w:val="center"/>
              <w:rPr>
                <w:rFonts w:hint="eastAsia" w:ascii="宋体" w:hAnsi="宋体" w:eastAsia="宋体" w:cs="宋体"/>
                <w:i w:val="0"/>
                <w:iCs w:val="0"/>
                <w:color w:val="000000"/>
                <w:sz w:val="18"/>
                <w:szCs w:val="18"/>
                <w:u w:val="none"/>
              </w:rPr>
            </w:pPr>
          </w:p>
        </w:tc>
      </w:tr>
      <w:tr w14:paraId="6815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25" w:type="dxa"/>
            <w:tcBorders>
              <w:top w:val="single" w:color="000000" w:sz="4" w:space="0"/>
              <w:left w:val="single" w:color="000000" w:sz="4" w:space="0"/>
              <w:bottom w:val="nil"/>
              <w:right w:val="nil"/>
            </w:tcBorders>
            <w:shd w:val="clear" w:color="auto" w:fill="FFFFFF"/>
            <w:vAlign w:val="center"/>
          </w:tcPr>
          <w:p w14:paraId="05163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09" w:type="dxa"/>
            <w:tcBorders>
              <w:top w:val="single" w:color="000000" w:sz="4" w:space="0"/>
              <w:left w:val="single" w:color="000000" w:sz="4" w:space="0"/>
              <w:bottom w:val="nil"/>
              <w:right w:val="nil"/>
            </w:tcBorders>
            <w:shd w:val="clear" w:color="auto" w:fill="FFFFFF"/>
            <w:vAlign w:val="center"/>
          </w:tcPr>
          <w:p w14:paraId="62B2F3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正学堂</w:t>
            </w:r>
          </w:p>
        </w:tc>
        <w:tc>
          <w:tcPr>
            <w:tcW w:w="1380" w:type="dxa"/>
            <w:tcBorders>
              <w:top w:val="single" w:color="000000" w:sz="4" w:space="0"/>
              <w:left w:val="single" w:color="000000" w:sz="4" w:space="0"/>
              <w:bottom w:val="nil"/>
              <w:right w:val="nil"/>
            </w:tcBorders>
            <w:shd w:val="clear" w:color="auto" w:fill="FFFFFF"/>
            <w:vAlign w:val="center"/>
          </w:tcPr>
          <w:p w14:paraId="01BD6D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109000.00</w:t>
            </w:r>
          </w:p>
        </w:tc>
        <w:tc>
          <w:tcPr>
            <w:tcW w:w="1410" w:type="dxa"/>
            <w:tcBorders>
              <w:top w:val="single" w:color="000000" w:sz="4" w:space="0"/>
              <w:left w:val="single" w:color="000000" w:sz="4" w:space="0"/>
              <w:bottom w:val="nil"/>
              <w:right w:val="nil"/>
            </w:tcBorders>
            <w:shd w:val="clear" w:color="auto" w:fill="FFFFFF"/>
            <w:vAlign w:val="center"/>
          </w:tcPr>
          <w:p w14:paraId="7CA091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w:t>
            </w:r>
          </w:p>
        </w:tc>
        <w:tc>
          <w:tcPr>
            <w:tcW w:w="1470" w:type="dxa"/>
            <w:tcBorders>
              <w:top w:val="single" w:color="000000" w:sz="4" w:space="0"/>
              <w:left w:val="single" w:color="000000" w:sz="4" w:space="0"/>
              <w:bottom w:val="nil"/>
              <w:right w:val="nil"/>
            </w:tcBorders>
            <w:shd w:val="clear" w:color="auto" w:fill="FFFFFF"/>
            <w:vAlign w:val="center"/>
          </w:tcPr>
          <w:p w14:paraId="5362D88D">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49BB4561">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4664AA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9000.00</w:t>
            </w: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38B1D511">
            <w:pPr>
              <w:jc w:val="left"/>
              <w:rPr>
                <w:rFonts w:hint="eastAsia" w:ascii="宋体" w:hAnsi="宋体" w:eastAsia="宋体" w:cs="宋体"/>
                <w:i w:val="0"/>
                <w:iCs w:val="0"/>
                <w:color w:val="000000"/>
                <w:sz w:val="18"/>
                <w:szCs w:val="18"/>
                <w:u w:val="none"/>
              </w:rPr>
            </w:pPr>
          </w:p>
        </w:tc>
      </w:tr>
      <w:tr w14:paraId="020B0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nil"/>
              <w:right w:val="nil"/>
            </w:tcBorders>
            <w:shd w:val="clear" w:color="auto" w:fill="FFFFFF"/>
            <w:vAlign w:val="center"/>
          </w:tcPr>
          <w:p w14:paraId="52E44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09" w:type="dxa"/>
            <w:tcBorders>
              <w:top w:val="single" w:color="000000" w:sz="4" w:space="0"/>
              <w:left w:val="single" w:color="000000" w:sz="4" w:space="0"/>
              <w:bottom w:val="nil"/>
              <w:right w:val="nil"/>
            </w:tcBorders>
            <w:shd w:val="clear" w:color="auto" w:fill="FFFFFF"/>
            <w:vAlign w:val="center"/>
          </w:tcPr>
          <w:p w14:paraId="5FD391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仿古建筑</w:t>
            </w:r>
          </w:p>
        </w:tc>
        <w:tc>
          <w:tcPr>
            <w:tcW w:w="1380" w:type="dxa"/>
            <w:tcBorders>
              <w:top w:val="single" w:color="000000" w:sz="4" w:space="0"/>
              <w:left w:val="single" w:color="000000" w:sz="4" w:space="0"/>
              <w:bottom w:val="nil"/>
              <w:right w:val="nil"/>
            </w:tcBorders>
            <w:shd w:val="clear" w:color="auto" w:fill="FFFFFF"/>
            <w:vAlign w:val="center"/>
          </w:tcPr>
          <w:p w14:paraId="27D99F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109000.00</w:t>
            </w:r>
          </w:p>
        </w:tc>
        <w:tc>
          <w:tcPr>
            <w:tcW w:w="1410" w:type="dxa"/>
            <w:tcBorders>
              <w:top w:val="single" w:color="000000" w:sz="4" w:space="0"/>
              <w:left w:val="single" w:color="000000" w:sz="4" w:space="0"/>
              <w:bottom w:val="nil"/>
              <w:right w:val="nil"/>
            </w:tcBorders>
            <w:shd w:val="clear" w:color="auto" w:fill="FFFFFF"/>
            <w:vAlign w:val="center"/>
          </w:tcPr>
          <w:p w14:paraId="50B3B4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w:t>
            </w:r>
          </w:p>
        </w:tc>
        <w:tc>
          <w:tcPr>
            <w:tcW w:w="1470" w:type="dxa"/>
            <w:tcBorders>
              <w:top w:val="single" w:color="000000" w:sz="4" w:space="0"/>
              <w:left w:val="single" w:color="000000" w:sz="4" w:space="0"/>
              <w:bottom w:val="nil"/>
              <w:right w:val="nil"/>
            </w:tcBorders>
            <w:shd w:val="clear" w:color="auto" w:fill="FFFFFF"/>
            <w:vAlign w:val="center"/>
          </w:tcPr>
          <w:p w14:paraId="7F5910D3">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751DD4DB">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02E9B1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9000.00</w:t>
            </w: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7FB4AA70">
            <w:pPr>
              <w:jc w:val="left"/>
              <w:rPr>
                <w:rFonts w:hint="eastAsia" w:ascii="宋体" w:hAnsi="宋体" w:eastAsia="宋体" w:cs="宋体"/>
                <w:i w:val="0"/>
                <w:iCs w:val="0"/>
                <w:color w:val="000000"/>
                <w:sz w:val="18"/>
                <w:szCs w:val="18"/>
                <w:u w:val="none"/>
              </w:rPr>
            </w:pPr>
          </w:p>
        </w:tc>
      </w:tr>
      <w:tr w14:paraId="211B3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nil"/>
              <w:right w:val="nil"/>
            </w:tcBorders>
            <w:shd w:val="clear" w:color="auto" w:fill="FFFFFF"/>
            <w:vAlign w:val="center"/>
          </w:tcPr>
          <w:p w14:paraId="3636E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09" w:type="dxa"/>
            <w:tcBorders>
              <w:top w:val="single" w:color="000000" w:sz="4" w:space="0"/>
              <w:left w:val="single" w:color="000000" w:sz="4" w:space="0"/>
              <w:bottom w:val="nil"/>
              <w:right w:val="nil"/>
            </w:tcBorders>
            <w:shd w:val="clear" w:color="auto" w:fill="FFFFFF"/>
            <w:vAlign w:val="center"/>
          </w:tcPr>
          <w:p w14:paraId="1246A7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室内装修</w:t>
            </w:r>
          </w:p>
        </w:tc>
        <w:tc>
          <w:tcPr>
            <w:tcW w:w="1380" w:type="dxa"/>
            <w:tcBorders>
              <w:top w:val="single" w:color="000000" w:sz="4" w:space="0"/>
              <w:left w:val="single" w:color="000000" w:sz="4" w:space="0"/>
              <w:bottom w:val="nil"/>
              <w:right w:val="nil"/>
            </w:tcBorders>
            <w:shd w:val="clear" w:color="auto" w:fill="FFFFFF"/>
            <w:vAlign w:val="center"/>
          </w:tcPr>
          <w:p w14:paraId="58D866A5">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140EC4D3">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3BE8167F">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35BCED34">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42B71B19">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2EA1A707">
            <w:pPr>
              <w:jc w:val="left"/>
              <w:rPr>
                <w:rFonts w:hint="eastAsia" w:ascii="宋体" w:hAnsi="宋体" w:eastAsia="宋体" w:cs="宋体"/>
                <w:i w:val="0"/>
                <w:iCs w:val="0"/>
                <w:color w:val="000000"/>
                <w:sz w:val="18"/>
                <w:szCs w:val="18"/>
                <w:u w:val="none"/>
              </w:rPr>
            </w:pPr>
          </w:p>
        </w:tc>
      </w:tr>
      <w:tr w14:paraId="51BA3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nil"/>
              <w:right w:val="nil"/>
            </w:tcBorders>
            <w:shd w:val="clear" w:color="auto" w:fill="FFFFFF"/>
            <w:vAlign w:val="center"/>
          </w:tcPr>
          <w:p w14:paraId="7DFDF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09" w:type="dxa"/>
            <w:tcBorders>
              <w:top w:val="single" w:color="000000" w:sz="4" w:space="0"/>
              <w:left w:val="single" w:color="000000" w:sz="4" w:space="0"/>
              <w:bottom w:val="nil"/>
              <w:right w:val="nil"/>
            </w:tcBorders>
            <w:shd w:val="clear" w:color="auto" w:fill="FFFFFF"/>
            <w:vAlign w:val="center"/>
          </w:tcPr>
          <w:p w14:paraId="60774B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庭院</w:t>
            </w:r>
          </w:p>
        </w:tc>
        <w:tc>
          <w:tcPr>
            <w:tcW w:w="1380" w:type="dxa"/>
            <w:tcBorders>
              <w:top w:val="single" w:color="000000" w:sz="4" w:space="0"/>
              <w:left w:val="single" w:color="000000" w:sz="4" w:space="0"/>
              <w:bottom w:val="nil"/>
              <w:right w:val="nil"/>
            </w:tcBorders>
            <w:shd w:val="clear" w:color="auto" w:fill="FFFFFF"/>
            <w:vAlign w:val="center"/>
          </w:tcPr>
          <w:p w14:paraId="475E21A1">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62DDCCA1">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59423383">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2CF94B16">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0AF56C72">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73BA2D74">
            <w:pPr>
              <w:jc w:val="left"/>
              <w:rPr>
                <w:rFonts w:hint="eastAsia" w:ascii="宋体" w:hAnsi="宋体" w:eastAsia="宋体" w:cs="宋体"/>
                <w:i w:val="0"/>
                <w:iCs w:val="0"/>
                <w:color w:val="000000"/>
                <w:sz w:val="18"/>
                <w:szCs w:val="18"/>
                <w:u w:val="none"/>
              </w:rPr>
            </w:pPr>
          </w:p>
        </w:tc>
      </w:tr>
      <w:tr w14:paraId="110CB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nil"/>
              <w:right w:val="nil"/>
            </w:tcBorders>
            <w:shd w:val="clear" w:color="auto" w:fill="FFFFFF"/>
            <w:vAlign w:val="center"/>
          </w:tcPr>
          <w:p w14:paraId="7CC87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09" w:type="dxa"/>
            <w:tcBorders>
              <w:top w:val="single" w:color="000000" w:sz="4" w:space="0"/>
              <w:left w:val="single" w:color="000000" w:sz="4" w:space="0"/>
              <w:bottom w:val="nil"/>
              <w:right w:val="nil"/>
            </w:tcBorders>
            <w:shd w:val="clear" w:color="auto" w:fill="FFFFFF"/>
            <w:vAlign w:val="center"/>
          </w:tcPr>
          <w:p w14:paraId="35F4E3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w:t>
            </w:r>
          </w:p>
        </w:tc>
        <w:tc>
          <w:tcPr>
            <w:tcW w:w="1380" w:type="dxa"/>
            <w:tcBorders>
              <w:top w:val="single" w:color="000000" w:sz="4" w:space="0"/>
              <w:left w:val="single" w:color="000000" w:sz="4" w:space="0"/>
              <w:bottom w:val="nil"/>
              <w:right w:val="nil"/>
            </w:tcBorders>
            <w:shd w:val="clear" w:color="auto" w:fill="FFFFFF"/>
            <w:vAlign w:val="center"/>
          </w:tcPr>
          <w:p w14:paraId="4B78D01C">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4112F62A">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005AA52D">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1856647A">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5F16E907">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715B854C">
            <w:pPr>
              <w:jc w:val="left"/>
              <w:rPr>
                <w:rFonts w:hint="eastAsia" w:ascii="宋体" w:hAnsi="宋体" w:eastAsia="宋体" w:cs="宋体"/>
                <w:i w:val="0"/>
                <w:iCs w:val="0"/>
                <w:color w:val="000000"/>
                <w:sz w:val="18"/>
                <w:szCs w:val="18"/>
                <w:u w:val="none"/>
              </w:rPr>
            </w:pPr>
          </w:p>
        </w:tc>
      </w:tr>
      <w:tr w14:paraId="2F82A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nil"/>
              <w:right w:val="nil"/>
            </w:tcBorders>
            <w:shd w:val="clear" w:color="auto" w:fill="FFFFFF"/>
            <w:vAlign w:val="center"/>
          </w:tcPr>
          <w:p w14:paraId="400E9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09" w:type="dxa"/>
            <w:tcBorders>
              <w:top w:val="single" w:color="000000" w:sz="4" w:space="0"/>
              <w:left w:val="single" w:color="000000" w:sz="4" w:space="0"/>
              <w:bottom w:val="nil"/>
              <w:right w:val="nil"/>
            </w:tcBorders>
            <w:shd w:val="clear" w:color="auto" w:fill="FFFFFF"/>
            <w:vAlign w:val="center"/>
          </w:tcPr>
          <w:p w14:paraId="154CD0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w:t>
            </w:r>
          </w:p>
        </w:tc>
        <w:tc>
          <w:tcPr>
            <w:tcW w:w="1380" w:type="dxa"/>
            <w:tcBorders>
              <w:top w:val="single" w:color="000000" w:sz="4" w:space="0"/>
              <w:left w:val="single" w:color="000000" w:sz="4" w:space="0"/>
              <w:bottom w:val="nil"/>
              <w:right w:val="nil"/>
            </w:tcBorders>
            <w:shd w:val="clear" w:color="auto" w:fill="FFFFFF"/>
            <w:vAlign w:val="center"/>
          </w:tcPr>
          <w:p w14:paraId="50D21A29">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729C9A91">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4444FAFA">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4B41770A">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22CA1DF2">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1F4EAB06">
            <w:pPr>
              <w:jc w:val="left"/>
              <w:rPr>
                <w:rFonts w:hint="eastAsia" w:ascii="宋体" w:hAnsi="宋体" w:eastAsia="宋体" w:cs="宋体"/>
                <w:i w:val="0"/>
                <w:iCs w:val="0"/>
                <w:color w:val="000000"/>
                <w:sz w:val="18"/>
                <w:szCs w:val="18"/>
                <w:u w:val="none"/>
              </w:rPr>
            </w:pPr>
          </w:p>
        </w:tc>
      </w:tr>
      <w:tr w14:paraId="6B5FA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nil"/>
              <w:right w:val="nil"/>
            </w:tcBorders>
            <w:shd w:val="clear" w:color="auto" w:fill="FFFFFF"/>
            <w:vAlign w:val="center"/>
          </w:tcPr>
          <w:p w14:paraId="77D71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09" w:type="dxa"/>
            <w:tcBorders>
              <w:top w:val="single" w:color="000000" w:sz="4" w:space="0"/>
              <w:left w:val="single" w:color="000000" w:sz="4" w:space="0"/>
              <w:bottom w:val="nil"/>
              <w:right w:val="nil"/>
            </w:tcBorders>
            <w:shd w:val="clear" w:color="auto" w:fill="FFFFFF"/>
            <w:vAlign w:val="center"/>
          </w:tcPr>
          <w:p w14:paraId="7661E7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w:t>
            </w:r>
          </w:p>
        </w:tc>
        <w:tc>
          <w:tcPr>
            <w:tcW w:w="1380" w:type="dxa"/>
            <w:tcBorders>
              <w:top w:val="single" w:color="000000" w:sz="4" w:space="0"/>
              <w:left w:val="single" w:color="000000" w:sz="4" w:space="0"/>
              <w:bottom w:val="nil"/>
              <w:right w:val="nil"/>
            </w:tcBorders>
            <w:shd w:val="clear" w:color="auto" w:fill="FFFFFF"/>
            <w:vAlign w:val="center"/>
          </w:tcPr>
          <w:p w14:paraId="46F4E4A5">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1F4503D0">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049F655D">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63EAFE1D">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4C781007">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71CB9D19">
            <w:pPr>
              <w:jc w:val="left"/>
              <w:rPr>
                <w:rFonts w:hint="eastAsia" w:ascii="宋体" w:hAnsi="宋体" w:eastAsia="宋体" w:cs="宋体"/>
                <w:i w:val="0"/>
                <w:iCs w:val="0"/>
                <w:color w:val="000000"/>
                <w:sz w:val="18"/>
                <w:szCs w:val="18"/>
                <w:u w:val="none"/>
              </w:rPr>
            </w:pPr>
          </w:p>
        </w:tc>
      </w:tr>
      <w:tr w14:paraId="28B99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25" w:type="dxa"/>
            <w:tcBorders>
              <w:top w:val="single" w:color="000000" w:sz="4" w:space="0"/>
              <w:left w:val="single" w:color="000000" w:sz="4" w:space="0"/>
              <w:bottom w:val="nil"/>
              <w:right w:val="nil"/>
            </w:tcBorders>
            <w:shd w:val="clear" w:color="auto" w:fill="FFFFFF"/>
            <w:vAlign w:val="center"/>
          </w:tcPr>
          <w:p w14:paraId="2E044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09" w:type="dxa"/>
            <w:tcBorders>
              <w:top w:val="single" w:color="000000" w:sz="4" w:space="0"/>
              <w:left w:val="single" w:color="000000" w:sz="4" w:space="0"/>
              <w:bottom w:val="nil"/>
              <w:right w:val="nil"/>
            </w:tcBorders>
            <w:shd w:val="clear" w:color="auto" w:fill="FFFFFF"/>
            <w:vAlign w:val="center"/>
          </w:tcPr>
          <w:p w14:paraId="1E17A0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艾灸馆</w:t>
            </w:r>
          </w:p>
        </w:tc>
        <w:tc>
          <w:tcPr>
            <w:tcW w:w="1380" w:type="dxa"/>
            <w:tcBorders>
              <w:top w:val="single" w:color="000000" w:sz="4" w:space="0"/>
              <w:left w:val="single" w:color="000000" w:sz="4" w:space="0"/>
              <w:bottom w:val="nil"/>
              <w:right w:val="nil"/>
            </w:tcBorders>
            <w:shd w:val="clear" w:color="auto" w:fill="FFFFFF"/>
            <w:vAlign w:val="center"/>
          </w:tcPr>
          <w:p w14:paraId="74792C8A">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6255D772">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658F5C9C">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1BBC6FB4">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4DCF34E3">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7B28DAEE">
            <w:pPr>
              <w:jc w:val="left"/>
              <w:rPr>
                <w:rFonts w:hint="eastAsia" w:ascii="宋体" w:hAnsi="宋体" w:eastAsia="宋体" w:cs="宋体"/>
                <w:i w:val="0"/>
                <w:iCs w:val="0"/>
                <w:color w:val="000000"/>
                <w:sz w:val="18"/>
                <w:szCs w:val="18"/>
                <w:u w:val="none"/>
              </w:rPr>
            </w:pPr>
          </w:p>
        </w:tc>
      </w:tr>
      <w:tr w14:paraId="5E503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nil"/>
              <w:right w:val="nil"/>
            </w:tcBorders>
            <w:shd w:val="clear" w:color="auto" w:fill="FFFFFF"/>
            <w:vAlign w:val="center"/>
          </w:tcPr>
          <w:p w14:paraId="33D03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09" w:type="dxa"/>
            <w:tcBorders>
              <w:top w:val="single" w:color="000000" w:sz="4" w:space="0"/>
              <w:left w:val="single" w:color="000000" w:sz="4" w:space="0"/>
              <w:bottom w:val="nil"/>
              <w:right w:val="nil"/>
            </w:tcBorders>
            <w:shd w:val="clear" w:color="auto" w:fill="FFFFFF"/>
            <w:vAlign w:val="center"/>
          </w:tcPr>
          <w:p w14:paraId="68B621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仿古建筑</w:t>
            </w:r>
          </w:p>
        </w:tc>
        <w:tc>
          <w:tcPr>
            <w:tcW w:w="1380" w:type="dxa"/>
            <w:tcBorders>
              <w:top w:val="single" w:color="000000" w:sz="4" w:space="0"/>
              <w:left w:val="single" w:color="000000" w:sz="4" w:space="0"/>
              <w:bottom w:val="nil"/>
              <w:right w:val="nil"/>
            </w:tcBorders>
            <w:shd w:val="clear" w:color="auto" w:fill="FFFFFF"/>
            <w:vAlign w:val="center"/>
          </w:tcPr>
          <w:p w14:paraId="6E40851E">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26C83CC7">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7A678199">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6474C50D">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5BD6D576">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0C224674">
            <w:pPr>
              <w:jc w:val="left"/>
              <w:rPr>
                <w:rFonts w:hint="eastAsia" w:ascii="宋体" w:hAnsi="宋体" w:eastAsia="宋体" w:cs="宋体"/>
                <w:i w:val="0"/>
                <w:iCs w:val="0"/>
                <w:color w:val="000000"/>
                <w:sz w:val="18"/>
                <w:szCs w:val="18"/>
                <w:u w:val="none"/>
              </w:rPr>
            </w:pPr>
          </w:p>
        </w:tc>
      </w:tr>
      <w:tr w14:paraId="1D486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nil"/>
              <w:right w:val="nil"/>
            </w:tcBorders>
            <w:shd w:val="clear" w:color="auto" w:fill="FFFFFF"/>
            <w:vAlign w:val="center"/>
          </w:tcPr>
          <w:p w14:paraId="6DE7A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09" w:type="dxa"/>
            <w:tcBorders>
              <w:top w:val="single" w:color="000000" w:sz="4" w:space="0"/>
              <w:left w:val="single" w:color="000000" w:sz="4" w:space="0"/>
              <w:bottom w:val="nil"/>
              <w:right w:val="nil"/>
            </w:tcBorders>
            <w:shd w:val="clear" w:color="auto" w:fill="FFFFFF"/>
            <w:vAlign w:val="center"/>
          </w:tcPr>
          <w:p w14:paraId="721244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室内装修</w:t>
            </w:r>
          </w:p>
        </w:tc>
        <w:tc>
          <w:tcPr>
            <w:tcW w:w="1380" w:type="dxa"/>
            <w:tcBorders>
              <w:top w:val="single" w:color="000000" w:sz="4" w:space="0"/>
              <w:left w:val="single" w:color="000000" w:sz="4" w:space="0"/>
              <w:bottom w:val="nil"/>
              <w:right w:val="nil"/>
            </w:tcBorders>
            <w:shd w:val="clear" w:color="auto" w:fill="FFFFFF"/>
            <w:vAlign w:val="center"/>
          </w:tcPr>
          <w:p w14:paraId="3AAD48FF">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52020E2E">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29D9B765">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38FA801C">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2A88EDAB">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3F1FC7A3">
            <w:pPr>
              <w:jc w:val="left"/>
              <w:rPr>
                <w:rFonts w:hint="eastAsia" w:ascii="宋体" w:hAnsi="宋体" w:eastAsia="宋体" w:cs="宋体"/>
                <w:i w:val="0"/>
                <w:iCs w:val="0"/>
                <w:color w:val="000000"/>
                <w:sz w:val="18"/>
                <w:szCs w:val="18"/>
                <w:u w:val="none"/>
              </w:rPr>
            </w:pPr>
          </w:p>
        </w:tc>
      </w:tr>
      <w:tr w14:paraId="6ED7B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nil"/>
              <w:right w:val="nil"/>
            </w:tcBorders>
            <w:shd w:val="clear" w:color="auto" w:fill="FFFFFF"/>
            <w:vAlign w:val="center"/>
          </w:tcPr>
          <w:p w14:paraId="3136F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09" w:type="dxa"/>
            <w:tcBorders>
              <w:top w:val="single" w:color="000000" w:sz="4" w:space="0"/>
              <w:left w:val="single" w:color="000000" w:sz="4" w:space="0"/>
              <w:bottom w:val="nil"/>
              <w:right w:val="nil"/>
            </w:tcBorders>
            <w:shd w:val="clear" w:color="auto" w:fill="FFFFFF"/>
            <w:vAlign w:val="center"/>
          </w:tcPr>
          <w:p w14:paraId="70B717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庭院</w:t>
            </w:r>
          </w:p>
        </w:tc>
        <w:tc>
          <w:tcPr>
            <w:tcW w:w="1380" w:type="dxa"/>
            <w:tcBorders>
              <w:top w:val="single" w:color="000000" w:sz="4" w:space="0"/>
              <w:left w:val="single" w:color="000000" w:sz="4" w:space="0"/>
              <w:bottom w:val="nil"/>
              <w:right w:val="nil"/>
            </w:tcBorders>
            <w:shd w:val="clear" w:color="auto" w:fill="FFFFFF"/>
            <w:vAlign w:val="center"/>
          </w:tcPr>
          <w:p w14:paraId="05980D5A">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0E0A5C0E">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051138CB">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475A5CB3">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41623C3D">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6D58C19B">
            <w:pPr>
              <w:jc w:val="left"/>
              <w:rPr>
                <w:rFonts w:hint="eastAsia" w:ascii="宋体" w:hAnsi="宋体" w:eastAsia="宋体" w:cs="宋体"/>
                <w:i w:val="0"/>
                <w:iCs w:val="0"/>
                <w:color w:val="000000"/>
                <w:sz w:val="18"/>
                <w:szCs w:val="18"/>
                <w:u w:val="none"/>
              </w:rPr>
            </w:pPr>
          </w:p>
        </w:tc>
      </w:tr>
      <w:tr w14:paraId="06A8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nil"/>
              <w:right w:val="nil"/>
            </w:tcBorders>
            <w:shd w:val="clear" w:color="auto" w:fill="FFFFFF"/>
            <w:vAlign w:val="center"/>
          </w:tcPr>
          <w:p w14:paraId="1B671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09" w:type="dxa"/>
            <w:tcBorders>
              <w:top w:val="single" w:color="000000" w:sz="4" w:space="0"/>
              <w:left w:val="single" w:color="000000" w:sz="4" w:space="0"/>
              <w:bottom w:val="nil"/>
              <w:right w:val="nil"/>
            </w:tcBorders>
            <w:shd w:val="clear" w:color="auto" w:fill="FFFFFF"/>
            <w:vAlign w:val="center"/>
          </w:tcPr>
          <w:p w14:paraId="7FC81A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w:t>
            </w:r>
          </w:p>
        </w:tc>
        <w:tc>
          <w:tcPr>
            <w:tcW w:w="1380" w:type="dxa"/>
            <w:tcBorders>
              <w:top w:val="single" w:color="000000" w:sz="4" w:space="0"/>
              <w:left w:val="single" w:color="000000" w:sz="4" w:space="0"/>
              <w:bottom w:val="nil"/>
              <w:right w:val="nil"/>
            </w:tcBorders>
            <w:shd w:val="clear" w:color="auto" w:fill="FFFFFF"/>
            <w:vAlign w:val="center"/>
          </w:tcPr>
          <w:p w14:paraId="4B7DF48C">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085D9BEF">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67613E4E">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22CB69DD">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3783BB66">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4455BBB5">
            <w:pPr>
              <w:jc w:val="left"/>
              <w:rPr>
                <w:rFonts w:hint="eastAsia" w:ascii="宋体" w:hAnsi="宋体" w:eastAsia="宋体" w:cs="宋体"/>
                <w:i w:val="0"/>
                <w:iCs w:val="0"/>
                <w:color w:val="000000"/>
                <w:sz w:val="18"/>
                <w:szCs w:val="18"/>
                <w:u w:val="none"/>
              </w:rPr>
            </w:pPr>
          </w:p>
        </w:tc>
      </w:tr>
      <w:tr w14:paraId="08C5B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nil"/>
              <w:right w:val="nil"/>
            </w:tcBorders>
            <w:shd w:val="clear" w:color="auto" w:fill="FFFFFF"/>
            <w:vAlign w:val="center"/>
          </w:tcPr>
          <w:p w14:paraId="0CEBC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709" w:type="dxa"/>
            <w:tcBorders>
              <w:top w:val="single" w:color="000000" w:sz="4" w:space="0"/>
              <w:left w:val="single" w:color="000000" w:sz="4" w:space="0"/>
              <w:bottom w:val="nil"/>
              <w:right w:val="nil"/>
            </w:tcBorders>
            <w:shd w:val="clear" w:color="auto" w:fill="FFFFFF"/>
            <w:vAlign w:val="center"/>
          </w:tcPr>
          <w:p w14:paraId="53B0F1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w:t>
            </w:r>
          </w:p>
        </w:tc>
        <w:tc>
          <w:tcPr>
            <w:tcW w:w="1380" w:type="dxa"/>
            <w:tcBorders>
              <w:top w:val="single" w:color="000000" w:sz="4" w:space="0"/>
              <w:left w:val="single" w:color="000000" w:sz="4" w:space="0"/>
              <w:bottom w:val="nil"/>
              <w:right w:val="nil"/>
            </w:tcBorders>
            <w:shd w:val="clear" w:color="auto" w:fill="FFFFFF"/>
            <w:vAlign w:val="center"/>
          </w:tcPr>
          <w:p w14:paraId="4B2E7B82">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0A84F6FA">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7C07A41A">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476D50FB">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233A4451">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4491CDA5">
            <w:pPr>
              <w:jc w:val="left"/>
              <w:rPr>
                <w:rFonts w:hint="eastAsia" w:ascii="宋体" w:hAnsi="宋体" w:eastAsia="宋体" w:cs="宋体"/>
                <w:i w:val="0"/>
                <w:iCs w:val="0"/>
                <w:color w:val="000000"/>
                <w:sz w:val="18"/>
                <w:szCs w:val="18"/>
                <w:u w:val="none"/>
              </w:rPr>
            </w:pPr>
          </w:p>
        </w:tc>
      </w:tr>
      <w:tr w14:paraId="65600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nil"/>
              <w:right w:val="nil"/>
            </w:tcBorders>
            <w:shd w:val="clear" w:color="auto" w:fill="FFFFFF"/>
            <w:vAlign w:val="center"/>
          </w:tcPr>
          <w:p w14:paraId="1DD54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709" w:type="dxa"/>
            <w:tcBorders>
              <w:top w:val="single" w:color="000000" w:sz="4" w:space="0"/>
              <w:left w:val="single" w:color="000000" w:sz="4" w:space="0"/>
              <w:bottom w:val="nil"/>
              <w:right w:val="nil"/>
            </w:tcBorders>
            <w:shd w:val="clear" w:color="auto" w:fill="FFFFFF"/>
            <w:vAlign w:val="center"/>
          </w:tcPr>
          <w:p w14:paraId="4D6CAF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w:t>
            </w:r>
          </w:p>
        </w:tc>
        <w:tc>
          <w:tcPr>
            <w:tcW w:w="1380" w:type="dxa"/>
            <w:tcBorders>
              <w:top w:val="single" w:color="000000" w:sz="4" w:space="0"/>
              <w:left w:val="single" w:color="000000" w:sz="4" w:space="0"/>
              <w:bottom w:val="nil"/>
              <w:right w:val="nil"/>
            </w:tcBorders>
            <w:shd w:val="clear" w:color="auto" w:fill="FFFFFF"/>
            <w:vAlign w:val="center"/>
          </w:tcPr>
          <w:p w14:paraId="02B774AA">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6B29D481">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0962BDAB">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0ACC3A83">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36BF3939">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143CA302">
            <w:pPr>
              <w:jc w:val="left"/>
              <w:rPr>
                <w:rFonts w:hint="eastAsia" w:ascii="宋体" w:hAnsi="宋体" w:eastAsia="宋体" w:cs="宋体"/>
                <w:i w:val="0"/>
                <w:iCs w:val="0"/>
                <w:color w:val="000000"/>
                <w:sz w:val="18"/>
                <w:szCs w:val="18"/>
                <w:u w:val="none"/>
              </w:rPr>
            </w:pPr>
          </w:p>
        </w:tc>
      </w:tr>
      <w:tr w14:paraId="7E4C4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nil"/>
              <w:right w:val="nil"/>
            </w:tcBorders>
            <w:shd w:val="clear" w:color="auto" w:fill="FFFFFF"/>
            <w:vAlign w:val="center"/>
          </w:tcPr>
          <w:p w14:paraId="7C0DC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09" w:type="dxa"/>
            <w:tcBorders>
              <w:top w:val="single" w:color="000000" w:sz="4" w:space="0"/>
              <w:left w:val="single" w:color="000000" w:sz="4" w:space="0"/>
              <w:bottom w:val="nil"/>
              <w:right w:val="nil"/>
            </w:tcBorders>
            <w:shd w:val="clear" w:color="auto" w:fill="FFFFFF"/>
            <w:vAlign w:val="center"/>
          </w:tcPr>
          <w:p w14:paraId="1EBCB4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w:t>
            </w:r>
          </w:p>
        </w:tc>
        <w:tc>
          <w:tcPr>
            <w:tcW w:w="1380" w:type="dxa"/>
            <w:tcBorders>
              <w:top w:val="single" w:color="000000" w:sz="4" w:space="0"/>
              <w:left w:val="single" w:color="000000" w:sz="4" w:space="0"/>
              <w:bottom w:val="nil"/>
              <w:right w:val="nil"/>
            </w:tcBorders>
            <w:shd w:val="clear" w:color="auto" w:fill="FFFFFF"/>
            <w:vAlign w:val="center"/>
          </w:tcPr>
          <w:p w14:paraId="6C49A4B0">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0A8DDF38">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51374122">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15721E64">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09D53696">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710935E4">
            <w:pPr>
              <w:jc w:val="left"/>
              <w:rPr>
                <w:rFonts w:hint="eastAsia" w:ascii="宋体" w:hAnsi="宋体" w:eastAsia="宋体" w:cs="宋体"/>
                <w:i w:val="0"/>
                <w:iCs w:val="0"/>
                <w:color w:val="000000"/>
                <w:sz w:val="18"/>
                <w:szCs w:val="18"/>
                <w:u w:val="none"/>
              </w:rPr>
            </w:pPr>
          </w:p>
        </w:tc>
      </w:tr>
      <w:tr w14:paraId="49ABC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25" w:type="dxa"/>
            <w:tcBorders>
              <w:top w:val="single" w:color="000000" w:sz="4" w:space="0"/>
              <w:left w:val="single" w:color="000000" w:sz="4" w:space="0"/>
              <w:bottom w:val="nil"/>
              <w:right w:val="nil"/>
            </w:tcBorders>
            <w:shd w:val="clear" w:color="auto" w:fill="FFFFFF"/>
            <w:vAlign w:val="center"/>
          </w:tcPr>
          <w:p w14:paraId="416C7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09" w:type="dxa"/>
            <w:tcBorders>
              <w:top w:val="single" w:color="000000" w:sz="4" w:space="0"/>
              <w:left w:val="single" w:color="000000" w:sz="4" w:space="0"/>
              <w:bottom w:val="nil"/>
              <w:right w:val="nil"/>
            </w:tcBorders>
            <w:shd w:val="clear" w:color="auto" w:fill="FFFFFF"/>
            <w:vAlign w:val="center"/>
          </w:tcPr>
          <w:p w14:paraId="5596FD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影视基地</w:t>
            </w:r>
          </w:p>
        </w:tc>
        <w:tc>
          <w:tcPr>
            <w:tcW w:w="1380" w:type="dxa"/>
            <w:tcBorders>
              <w:top w:val="single" w:color="000000" w:sz="4" w:space="0"/>
              <w:left w:val="single" w:color="000000" w:sz="4" w:space="0"/>
              <w:bottom w:val="nil"/>
              <w:right w:val="nil"/>
            </w:tcBorders>
            <w:shd w:val="clear" w:color="auto" w:fill="FFFFFF"/>
            <w:vAlign w:val="center"/>
          </w:tcPr>
          <w:p w14:paraId="633B1B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16350.00</w:t>
            </w:r>
          </w:p>
        </w:tc>
        <w:tc>
          <w:tcPr>
            <w:tcW w:w="1410" w:type="dxa"/>
            <w:tcBorders>
              <w:top w:val="single" w:color="000000" w:sz="4" w:space="0"/>
              <w:left w:val="single" w:color="000000" w:sz="4" w:space="0"/>
              <w:bottom w:val="nil"/>
              <w:right w:val="nil"/>
            </w:tcBorders>
            <w:shd w:val="clear" w:color="auto" w:fill="FFFFFF"/>
            <w:vAlign w:val="center"/>
          </w:tcPr>
          <w:p w14:paraId="347142B3">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3A6A0004">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4C586DA9">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11E192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1350.00</w:t>
            </w: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46B22635">
            <w:pPr>
              <w:jc w:val="left"/>
              <w:rPr>
                <w:rFonts w:hint="eastAsia" w:ascii="宋体" w:hAnsi="宋体" w:eastAsia="宋体" w:cs="宋体"/>
                <w:i w:val="0"/>
                <w:iCs w:val="0"/>
                <w:color w:val="000000"/>
                <w:sz w:val="18"/>
                <w:szCs w:val="18"/>
                <w:u w:val="none"/>
              </w:rPr>
            </w:pPr>
          </w:p>
        </w:tc>
      </w:tr>
      <w:tr w14:paraId="28AE7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nil"/>
              <w:right w:val="nil"/>
            </w:tcBorders>
            <w:shd w:val="clear" w:color="auto" w:fill="FFFFFF"/>
            <w:vAlign w:val="center"/>
          </w:tcPr>
          <w:p w14:paraId="6C503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09" w:type="dxa"/>
            <w:tcBorders>
              <w:top w:val="single" w:color="000000" w:sz="4" w:space="0"/>
              <w:left w:val="single" w:color="000000" w:sz="4" w:space="0"/>
              <w:bottom w:val="nil"/>
              <w:right w:val="nil"/>
            </w:tcBorders>
            <w:shd w:val="clear" w:color="auto" w:fill="FFFFFF"/>
            <w:vAlign w:val="center"/>
          </w:tcPr>
          <w:p w14:paraId="311464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仿古建筑</w:t>
            </w:r>
          </w:p>
        </w:tc>
        <w:tc>
          <w:tcPr>
            <w:tcW w:w="1380" w:type="dxa"/>
            <w:tcBorders>
              <w:top w:val="single" w:color="000000" w:sz="4" w:space="0"/>
              <w:left w:val="single" w:color="000000" w:sz="4" w:space="0"/>
              <w:bottom w:val="nil"/>
              <w:right w:val="nil"/>
            </w:tcBorders>
            <w:shd w:val="clear" w:color="auto" w:fill="FFFFFF"/>
            <w:vAlign w:val="center"/>
          </w:tcPr>
          <w:p w14:paraId="79F85EEA">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371DE84D">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121266CC">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605E8061">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1D9F6572">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6F97B771">
            <w:pPr>
              <w:jc w:val="left"/>
              <w:rPr>
                <w:rFonts w:hint="eastAsia" w:ascii="宋体" w:hAnsi="宋体" w:eastAsia="宋体" w:cs="宋体"/>
                <w:i w:val="0"/>
                <w:iCs w:val="0"/>
                <w:color w:val="000000"/>
                <w:sz w:val="18"/>
                <w:szCs w:val="18"/>
                <w:u w:val="none"/>
              </w:rPr>
            </w:pPr>
          </w:p>
        </w:tc>
      </w:tr>
      <w:tr w14:paraId="45D44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nil"/>
              <w:right w:val="nil"/>
            </w:tcBorders>
            <w:shd w:val="clear" w:color="auto" w:fill="FFFFFF"/>
            <w:vAlign w:val="center"/>
          </w:tcPr>
          <w:p w14:paraId="51441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709" w:type="dxa"/>
            <w:tcBorders>
              <w:top w:val="single" w:color="000000" w:sz="4" w:space="0"/>
              <w:left w:val="single" w:color="000000" w:sz="4" w:space="0"/>
              <w:bottom w:val="nil"/>
              <w:right w:val="nil"/>
            </w:tcBorders>
            <w:shd w:val="clear" w:color="auto" w:fill="FFFFFF"/>
            <w:vAlign w:val="center"/>
          </w:tcPr>
          <w:p w14:paraId="359305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室内装修</w:t>
            </w:r>
          </w:p>
        </w:tc>
        <w:tc>
          <w:tcPr>
            <w:tcW w:w="1380" w:type="dxa"/>
            <w:tcBorders>
              <w:top w:val="single" w:color="000000" w:sz="4" w:space="0"/>
              <w:left w:val="single" w:color="000000" w:sz="4" w:space="0"/>
              <w:bottom w:val="nil"/>
              <w:right w:val="nil"/>
            </w:tcBorders>
            <w:shd w:val="clear" w:color="auto" w:fill="FFFFFF"/>
            <w:vAlign w:val="center"/>
          </w:tcPr>
          <w:p w14:paraId="1F735E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16350.00</w:t>
            </w:r>
          </w:p>
        </w:tc>
        <w:tc>
          <w:tcPr>
            <w:tcW w:w="1410" w:type="dxa"/>
            <w:tcBorders>
              <w:top w:val="single" w:color="000000" w:sz="4" w:space="0"/>
              <w:left w:val="single" w:color="000000" w:sz="4" w:space="0"/>
              <w:bottom w:val="nil"/>
              <w:right w:val="nil"/>
            </w:tcBorders>
            <w:shd w:val="clear" w:color="auto" w:fill="FFFFFF"/>
            <w:vAlign w:val="center"/>
          </w:tcPr>
          <w:p w14:paraId="61F660F6">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35CD5D9A">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49F25707">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7E8ABA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1350.00</w:t>
            </w: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516DECEB">
            <w:pPr>
              <w:jc w:val="left"/>
              <w:rPr>
                <w:rFonts w:hint="eastAsia" w:ascii="宋体" w:hAnsi="宋体" w:eastAsia="宋体" w:cs="宋体"/>
                <w:i w:val="0"/>
                <w:iCs w:val="0"/>
                <w:color w:val="000000"/>
                <w:sz w:val="18"/>
                <w:szCs w:val="18"/>
                <w:u w:val="none"/>
              </w:rPr>
            </w:pPr>
          </w:p>
        </w:tc>
      </w:tr>
      <w:tr w14:paraId="6A84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nil"/>
              <w:right w:val="nil"/>
            </w:tcBorders>
            <w:shd w:val="clear" w:color="auto" w:fill="FFFFFF"/>
            <w:vAlign w:val="center"/>
          </w:tcPr>
          <w:p w14:paraId="73C09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709" w:type="dxa"/>
            <w:tcBorders>
              <w:top w:val="single" w:color="000000" w:sz="4" w:space="0"/>
              <w:left w:val="single" w:color="000000" w:sz="4" w:space="0"/>
              <w:bottom w:val="nil"/>
              <w:right w:val="nil"/>
            </w:tcBorders>
            <w:shd w:val="clear" w:color="auto" w:fill="FFFFFF"/>
            <w:vAlign w:val="center"/>
          </w:tcPr>
          <w:p w14:paraId="2A1E52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w:t>
            </w:r>
          </w:p>
        </w:tc>
        <w:tc>
          <w:tcPr>
            <w:tcW w:w="1380" w:type="dxa"/>
            <w:tcBorders>
              <w:top w:val="single" w:color="000000" w:sz="4" w:space="0"/>
              <w:left w:val="single" w:color="000000" w:sz="4" w:space="0"/>
              <w:bottom w:val="nil"/>
              <w:right w:val="nil"/>
            </w:tcBorders>
            <w:shd w:val="clear" w:color="auto" w:fill="FFFFFF"/>
            <w:vAlign w:val="center"/>
          </w:tcPr>
          <w:p w14:paraId="6130AB70">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3EFDCFEE">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745051DB">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33736344">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3848C2C3">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50D6BD3B">
            <w:pPr>
              <w:jc w:val="left"/>
              <w:rPr>
                <w:rFonts w:hint="eastAsia" w:ascii="宋体" w:hAnsi="宋体" w:eastAsia="宋体" w:cs="宋体"/>
                <w:i w:val="0"/>
                <w:iCs w:val="0"/>
                <w:color w:val="000000"/>
                <w:sz w:val="18"/>
                <w:szCs w:val="18"/>
                <w:u w:val="none"/>
              </w:rPr>
            </w:pPr>
          </w:p>
        </w:tc>
      </w:tr>
      <w:tr w14:paraId="5F6C3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nil"/>
              <w:right w:val="nil"/>
            </w:tcBorders>
            <w:shd w:val="clear" w:color="auto" w:fill="FFFFFF"/>
            <w:vAlign w:val="center"/>
          </w:tcPr>
          <w:p w14:paraId="14A6E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709" w:type="dxa"/>
            <w:tcBorders>
              <w:top w:val="single" w:color="000000" w:sz="4" w:space="0"/>
              <w:left w:val="single" w:color="000000" w:sz="4" w:space="0"/>
              <w:bottom w:val="nil"/>
              <w:right w:val="nil"/>
            </w:tcBorders>
            <w:shd w:val="clear" w:color="auto" w:fill="FFFFFF"/>
            <w:vAlign w:val="center"/>
          </w:tcPr>
          <w:p w14:paraId="531DF0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w:t>
            </w:r>
          </w:p>
        </w:tc>
        <w:tc>
          <w:tcPr>
            <w:tcW w:w="1380" w:type="dxa"/>
            <w:tcBorders>
              <w:top w:val="single" w:color="000000" w:sz="4" w:space="0"/>
              <w:left w:val="single" w:color="000000" w:sz="4" w:space="0"/>
              <w:bottom w:val="nil"/>
              <w:right w:val="nil"/>
            </w:tcBorders>
            <w:shd w:val="clear" w:color="auto" w:fill="FFFFFF"/>
            <w:vAlign w:val="center"/>
          </w:tcPr>
          <w:p w14:paraId="21180514">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1C84554D">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378EB919">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7FEA6E1D">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3986EA27">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7ACCB1ED">
            <w:pPr>
              <w:jc w:val="left"/>
              <w:rPr>
                <w:rFonts w:hint="eastAsia" w:ascii="宋体" w:hAnsi="宋体" w:eastAsia="宋体" w:cs="宋体"/>
                <w:i w:val="0"/>
                <w:iCs w:val="0"/>
                <w:color w:val="000000"/>
                <w:sz w:val="18"/>
                <w:szCs w:val="18"/>
                <w:u w:val="none"/>
              </w:rPr>
            </w:pPr>
          </w:p>
        </w:tc>
      </w:tr>
      <w:tr w14:paraId="3604D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25" w:type="dxa"/>
            <w:tcBorders>
              <w:top w:val="single" w:color="000000" w:sz="4" w:space="0"/>
              <w:left w:val="single" w:color="000000" w:sz="4" w:space="0"/>
              <w:bottom w:val="nil"/>
              <w:right w:val="nil"/>
            </w:tcBorders>
            <w:shd w:val="clear" w:color="auto" w:fill="FFFFFF"/>
            <w:vAlign w:val="center"/>
          </w:tcPr>
          <w:p w14:paraId="40098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09" w:type="dxa"/>
            <w:tcBorders>
              <w:top w:val="single" w:color="000000" w:sz="4" w:space="0"/>
              <w:left w:val="single" w:color="000000" w:sz="4" w:space="0"/>
              <w:bottom w:val="nil"/>
              <w:right w:val="nil"/>
            </w:tcBorders>
            <w:shd w:val="clear" w:color="auto" w:fill="FFFFFF"/>
            <w:vAlign w:val="center"/>
          </w:tcPr>
          <w:p w14:paraId="65A6D9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阿婆面馆</w:t>
            </w:r>
          </w:p>
        </w:tc>
        <w:tc>
          <w:tcPr>
            <w:tcW w:w="1380" w:type="dxa"/>
            <w:tcBorders>
              <w:top w:val="single" w:color="000000" w:sz="4" w:space="0"/>
              <w:left w:val="single" w:color="000000" w:sz="4" w:space="0"/>
              <w:bottom w:val="nil"/>
              <w:right w:val="nil"/>
            </w:tcBorders>
            <w:shd w:val="clear" w:color="auto" w:fill="FFFFFF"/>
            <w:vAlign w:val="center"/>
          </w:tcPr>
          <w:p w14:paraId="1B74F8E6">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773B95E0">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4C196AB4">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23399CF9">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2923A4D6">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389F1880">
            <w:pPr>
              <w:jc w:val="left"/>
              <w:rPr>
                <w:rFonts w:hint="eastAsia" w:ascii="宋体" w:hAnsi="宋体" w:eastAsia="宋体" w:cs="宋体"/>
                <w:i w:val="0"/>
                <w:iCs w:val="0"/>
                <w:color w:val="000000"/>
                <w:sz w:val="18"/>
                <w:szCs w:val="18"/>
                <w:u w:val="none"/>
              </w:rPr>
            </w:pPr>
          </w:p>
        </w:tc>
      </w:tr>
      <w:tr w14:paraId="7981A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nil"/>
              <w:right w:val="nil"/>
            </w:tcBorders>
            <w:shd w:val="clear" w:color="auto" w:fill="FFFFFF"/>
            <w:vAlign w:val="center"/>
          </w:tcPr>
          <w:p w14:paraId="4ED0A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709" w:type="dxa"/>
            <w:tcBorders>
              <w:top w:val="single" w:color="000000" w:sz="4" w:space="0"/>
              <w:left w:val="single" w:color="000000" w:sz="4" w:space="0"/>
              <w:bottom w:val="nil"/>
              <w:right w:val="nil"/>
            </w:tcBorders>
            <w:shd w:val="clear" w:color="auto" w:fill="FFFFFF"/>
            <w:vAlign w:val="center"/>
          </w:tcPr>
          <w:p w14:paraId="044C60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仿古建筑</w:t>
            </w:r>
          </w:p>
        </w:tc>
        <w:tc>
          <w:tcPr>
            <w:tcW w:w="1380" w:type="dxa"/>
            <w:tcBorders>
              <w:top w:val="single" w:color="000000" w:sz="4" w:space="0"/>
              <w:left w:val="single" w:color="000000" w:sz="4" w:space="0"/>
              <w:bottom w:val="nil"/>
              <w:right w:val="nil"/>
            </w:tcBorders>
            <w:shd w:val="clear" w:color="auto" w:fill="FFFFFF"/>
            <w:vAlign w:val="center"/>
          </w:tcPr>
          <w:p w14:paraId="13AC0758">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35DC9C0A">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6F31A183">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42ED58CD">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24C78DB3">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7450856B">
            <w:pPr>
              <w:jc w:val="left"/>
              <w:rPr>
                <w:rFonts w:hint="eastAsia" w:ascii="宋体" w:hAnsi="宋体" w:eastAsia="宋体" w:cs="宋体"/>
                <w:i w:val="0"/>
                <w:iCs w:val="0"/>
                <w:color w:val="000000"/>
                <w:sz w:val="18"/>
                <w:szCs w:val="18"/>
                <w:u w:val="none"/>
              </w:rPr>
            </w:pPr>
          </w:p>
        </w:tc>
      </w:tr>
      <w:tr w14:paraId="22003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nil"/>
              <w:right w:val="nil"/>
            </w:tcBorders>
            <w:shd w:val="clear" w:color="auto" w:fill="FFFFFF"/>
            <w:vAlign w:val="center"/>
          </w:tcPr>
          <w:p w14:paraId="4EAE1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709" w:type="dxa"/>
            <w:tcBorders>
              <w:top w:val="single" w:color="000000" w:sz="4" w:space="0"/>
              <w:left w:val="single" w:color="000000" w:sz="4" w:space="0"/>
              <w:bottom w:val="nil"/>
              <w:right w:val="nil"/>
            </w:tcBorders>
            <w:shd w:val="clear" w:color="auto" w:fill="FFFFFF"/>
            <w:vAlign w:val="center"/>
          </w:tcPr>
          <w:p w14:paraId="70E395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w:t>
            </w:r>
          </w:p>
        </w:tc>
        <w:tc>
          <w:tcPr>
            <w:tcW w:w="1380" w:type="dxa"/>
            <w:tcBorders>
              <w:top w:val="single" w:color="000000" w:sz="4" w:space="0"/>
              <w:left w:val="single" w:color="000000" w:sz="4" w:space="0"/>
              <w:bottom w:val="nil"/>
              <w:right w:val="nil"/>
            </w:tcBorders>
            <w:shd w:val="clear" w:color="auto" w:fill="FFFFFF"/>
            <w:vAlign w:val="center"/>
          </w:tcPr>
          <w:p w14:paraId="6EAA6E59">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733ABE8C">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4BB77FA2">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303F45E7">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1732C658">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3D01A6E0">
            <w:pPr>
              <w:jc w:val="left"/>
              <w:rPr>
                <w:rFonts w:hint="eastAsia" w:ascii="宋体" w:hAnsi="宋体" w:eastAsia="宋体" w:cs="宋体"/>
                <w:i w:val="0"/>
                <w:iCs w:val="0"/>
                <w:color w:val="000000"/>
                <w:sz w:val="18"/>
                <w:szCs w:val="18"/>
                <w:u w:val="none"/>
              </w:rPr>
            </w:pPr>
          </w:p>
        </w:tc>
      </w:tr>
      <w:tr w14:paraId="0388F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25" w:type="dxa"/>
            <w:tcBorders>
              <w:top w:val="single" w:color="000000" w:sz="4" w:space="0"/>
              <w:left w:val="single" w:color="000000" w:sz="4" w:space="0"/>
              <w:bottom w:val="nil"/>
              <w:right w:val="nil"/>
            </w:tcBorders>
            <w:shd w:val="clear" w:color="auto" w:fill="FFFFFF"/>
            <w:vAlign w:val="center"/>
          </w:tcPr>
          <w:p w14:paraId="48EF4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09" w:type="dxa"/>
            <w:tcBorders>
              <w:top w:val="single" w:color="000000" w:sz="4" w:space="0"/>
              <w:left w:val="single" w:color="000000" w:sz="4" w:space="0"/>
              <w:bottom w:val="nil"/>
              <w:right w:val="nil"/>
            </w:tcBorders>
            <w:shd w:val="clear" w:color="auto" w:fill="FFFFFF"/>
            <w:vAlign w:val="center"/>
          </w:tcPr>
          <w:p w14:paraId="1CC716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包子庭院</w:t>
            </w:r>
          </w:p>
        </w:tc>
        <w:tc>
          <w:tcPr>
            <w:tcW w:w="1380" w:type="dxa"/>
            <w:tcBorders>
              <w:top w:val="single" w:color="000000" w:sz="4" w:space="0"/>
              <w:left w:val="single" w:color="000000" w:sz="4" w:space="0"/>
              <w:bottom w:val="nil"/>
              <w:right w:val="nil"/>
            </w:tcBorders>
            <w:shd w:val="clear" w:color="auto" w:fill="FFFFFF"/>
            <w:vAlign w:val="center"/>
          </w:tcPr>
          <w:p w14:paraId="62D0CFF8">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0B71511F">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4D11D920">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44F1054B">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64503CC6">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795F6C26">
            <w:pPr>
              <w:jc w:val="left"/>
              <w:rPr>
                <w:rFonts w:hint="eastAsia" w:ascii="宋体" w:hAnsi="宋体" w:eastAsia="宋体" w:cs="宋体"/>
                <w:i w:val="0"/>
                <w:iCs w:val="0"/>
                <w:color w:val="000000"/>
                <w:sz w:val="18"/>
                <w:szCs w:val="18"/>
                <w:u w:val="none"/>
              </w:rPr>
            </w:pPr>
          </w:p>
        </w:tc>
      </w:tr>
      <w:tr w14:paraId="7291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nil"/>
              <w:right w:val="nil"/>
            </w:tcBorders>
            <w:shd w:val="clear" w:color="auto" w:fill="FFFFFF"/>
            <w:vAlign w:val="center"/>
          </w:tcPr>
          <w:p w14:paraId="2F3A6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709" w:type="dxa"/>
            <w:tcBorders>
              <w:top w:val="single" w:color="000000" w:sz="4" w:space="0"/>
              <w:left w:val="single" w:color="000000" w:sz="4" w:space="0"/>
              <w:bottom w:val="nil"/>
              <w:right w:val="nil"/>
            </w:tcBorders>
            <w:shd w:val="clear" w:color="auto" w:fill="FFFFFF"/>
            <w:vAlign w:val="center"/>
          </w:tcPr>
          <w:p w14:paraId="61C452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庭院</w:t>
            </w:r>
          </w:p>
        </w:tc>
        <w:tc>
          <w:tcPr>
            <w:tcW w:w="1380" w:type="dxa"/>
            <w:tcBorders>
              <w:top w:val="single" w:color="000000" w:sz="4" w:space="0"/>
              <w:left w:val="single" w:color="000000" w:sz="4" w:space="0"/>
              <w:bottom w:val="nil"/>
              <w:right w:val="nil"/>
            </w:tcBorders>
            <w:shd w:val="clear" w:color="auto" w:fill="FFFFFF"/>
            <w:vAlign w:val="center"/>
          </w:tcPr>
          <w:p w14:paraId="00C423E5">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6ABA3B5E">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1B3375C7">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5146ACD3">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0BFC018A">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40293806">
            <w:pPr>
              <w:jc w:val="left"/>
              <w:rPr>
                <w:rFonts w:hint="eastAsia" w:ascii="宋体" w:hAnsi="宋体" w:eastAsia="宋体" w:cs="宋体"/>
                <w:i w:val="0"/>
                <w:iCs w:val="0"/>
                <w:color w:val="000000"/>
                <w:sz w:val="18"/>
                <w:szCs w:val="18"/>
                <w:u w:val="none"/>
              </w:rPr>
            </w:pPr>
          </w:p>
        </w:tc>
      </w:tr>
      <w:tr w14:paraId="483C2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25" w:type="dxa"/>
            <w:tcBorders>
              <w:top w:val="single" w:color="000000" w:sz="4" w:space="0"/>
              <w:left w:val="single" w:color="000000" w:sz="4" w:space="0"/>
              <w:bottom w:val="nil"/>
              <w:right w:val="nil"/>
            </w:tcBorders>
            <w:shd w:val="clear" w:color="auto" w:fill="FFFFFF"/>
            <w:vAlign w:val="center"/>
          </w:tcPr>
          <w:p w14:paraId="1C908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09" w:type="dxa"/>
            <w:tcBorders>
              <w:top w:val="single" w:color="000000" w:sz="4" w:space="0"/>
              <w:left w:val="single" w:color="000000" w:sz="4" w:space="0"/>
              <w:bottom w:val="nil"/>
              <w:right w:val="nil"/>
            </w:tcBorders>
            <w:shd w:val="clear" w:color="auto" w:fill="FFFFFF"/>
            <w:vAlign w:val="center"/>
          </w:tcPr>
          <w:p w14:paraId="004427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仓库</w:t>
            </w:r>
          </w:p>
        </w:tc>
        <w:tc>
          <w:tcPr>
            <w:tcW w:w="1380" w:type="dxa"/>
            <w:tcBorders>
              <w:top w:val="single" w:color="000000" w:sz="4" w:space="0"/>
              <w:left w:val="single" w:color="000000" w:sz="4" w:space="0"/>
              <w:bottom w:val="nil"/>
              <w:right w:val="nil"/>
            </w:tcBorders>
            <w:shd w:val="clear" w:color="auto" w:fill="FFFFFF"/>
            <w:vAlign w:val="center"/>
          </w:tcPr>
          <w:p w14:paraId="2A2F87AC">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1B6DB87F">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5084EB34">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160C8ADD">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555877C2">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6D394F77">
            <w:pPr>
              <w:jc w:val="left"/>
              <w:rPr>
                <w:rFonts w:hint="eastAsia" w:ascii="宋体" w:hAnsi="宋体" w:eastAsia="宋体" w:cs="宋体"/>
                <w:i w:val="0"/>
                <w:iCs w:val="0"/>
                <w:color w:val="000000"/>
                <w:sz w:val="18"/>
                <w:szCs w:val="18"/>
                <w:u w:val="none"/>
              </w:rPr>
            </w:pPr>
          </w:p>
        </w:tc>
      </w:tr>
      <w:tr w14:paraId="01EE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nil"/>
              <w:right w:val="nil"/>
            </w:tcBorders>
            <w:shd w:val="clear" w:color="auto" w:fill="FFFFFF"/>
            <w:vAlign w:val="center"/>
          </w:tcPr>
          <w:p w14:paraId="5E53A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709" w:type="dxa"/>
            <w:tcBorders>
              <w:top w:val="single" w:color="000000" w:sz="4" w:space="0"/>
              <w:left w:val="single" w:color="000000" w:sz="4" w:space="0"/>
              <w:bottom w:val="nil"/>
              <w:right w:val="nil"/>
            </w:tcBorders>
            <w:shd w:val="clear" w:color="auto" w:fill="FFFFFF"/>
            <w:vAlign w:val="center"/>
          </w:tcPr>
          <w:p w14:paraId="6DA361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仿古建筑</w:t>
            </w:r>
          </w:p>
        </w:tc>
        <w:tc>
          <w:tcPr>
            <w:tcW w:w="1380" w:type="dxa"/>
            <w:tcBorders>
              <w:top w:val="single" w:color="000000" w:sz="4" w:space="0"/>
              <w:left w:val="single" w:color="000000" w:sz="4" w:space="0"/>
              <w:bottom w:val="nil"/>
              <w:right w:val="nil"/>
            </w:tcBorders>
            <w:shd w:val="clear" w:color="auto" w:fill="FFFFFF"/>
            <w:vAlign w:val="center"/>
          </w:tcPr>
          <w:p w14:paraId="00C48E56">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nil"/>
              <w:right w:val="nil"/>
            </w:tcBorders>
            <w:shd w:val="clear" w:color="auto" w:fill="FFFFFF"/>
            <w:vAlign w:val="center"/>
          </w:tcPr>
          <w:p w14:paraId="3651A4E5">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nil"/>
              <w:right w:val="nil"/>
            </w:tcBorders>
            <w:shd w:val="clear" w:color="auto" w:fill="FFFFFF"/>
            <w:vAlign w:val="center"/>
          </w:tcPr>
          <w:p w14:paraId="7CB2039E">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nil"/>
              <w:right w:val="nil"/>
            </w:tcBorders>
            <w:shd w:val="clear" w:color="auto" w:fill="FFFFFF"/>
            <w:vAlign w:val="center"/>
          </w:tcPr>
          <w:p w14:paraId="384AF27A">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nil"/>
              <w:right w:val="nil"/>
            </w:tcBorders>
            <w:shd w:val="clear" w:color="auto" w:fill="FFFFFF"/>
            <w:vAlign w:val="center"/>
          </w:tcPr>
          <w:p w14:paraId="7C79EC5F">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nil"/>
              <w:right w:val="single" w:color="000000" w:sz="4" w:space="0"/>
            </w:tcBorders>
            <w:shd w:val="clear" w:color="auto" w:fill="FFFFFF"/>
            <w:vAlign w:val="center"/>
          </w:tcPr>
          <w:p w14:paraId="78FE0365">
            <w:pPr>
              <w:jc w:val="left"/>
              <w:rPr>
                <w:rFonts w:hint="eastAsia" w:ascii="宋体" w:hAnsi="宋体" w:eastAsia="宋体" w:cs="宋体"/>
                <w:i w:val="0"/>
                <w:iCs w:val="0"/>
                <w:color w:val="000000"/>
                <w:sz w:val="18"/>
                <w:szCs w:val="18"/>
                <w:u w:val="none"/>
              </w:rPr>
            </w:pPr>
          </w:p>
        </w:tc>
      </w:tr>
      <w:tr w14:paraId="65E72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dxa"/>
            <w:tcBorders>
              <w:top w:val="single" w:color="000000" w:sz="4" w:space="0"/>
              <w:left w:val="single" w:color="000000" w:sz="4" w:space="0"/>
              <w:bottom w:val="single" w:color="000000" w:sz="4" w:space="0"/>
              <w:right w:val="nil"/>
            </w:tcBorders>
            <w:shd w:val="clear" w:color="auto" w:fill="FFFFFF"/>
            <w:vAlign w:val="center"/>
          </w:tcPr>
          <w:p w14:paraId="6AC25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709" w:type="dxa"/>
            <w:tcBorders>
              <w:top w:val="single" w:color="000000" w:sz="4" w:space="0"/>
              <w:left w:val="single" w:color="000000" w:sz="4" w:space="0"/>
              <w:bottom w:val="single" w:color="000000" w:sz="4" w:space="0"/>
              <w:right w:val="nil"/>
            </w:tcBorders>
            <w:shd w:val="clear" w:color="auto" w:fill="FFFFFF"/>
            <w:vAlign w:val="center"/>
          </w:tcPr>
          <w:p w14:paraId="1D5CF8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w:t>
            </w:r>
          </w:p>
        </w:tc>
        <w:tc>
          <w:tcPr>
            <w:tcW w:w="1380" w:type="dxa"/>
            <w:tcBorders>
              <w:top w:val="single" w:color="000000" w:sz="4" w:space="0"/>
              <w:left w:val="single" w:color="000000" w:sz="4" w:space="0"/>
              <w:bottom w:val="single" w:color="000000" w:sz="4" w:space="0"/>
              <w:right w:val="nil"/>
            </w:tcBorders>
            <w:shd w:val="clear" w:color="auto" w:fill="FFFFFF"/>
            <w:vAlign w:val="center"/>
          </w:tcPr>
          <w:p w14:paraId="06F36AC7">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nil"/>
            </w:tcBorders>
            <w:shd w:val="clear" w:color="auto" w:fill="FFFFFF"/>
            <w:vAlign w:val="center"/>
          </w:tcPr>
          <w:p w14:paraId="07413AC3">
            <w:pPr>
              <w:jc w:val="right"/>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nil"/>
            </w:tcBorders>
            <w:shd w:val="clear" w:color="auto" w:fill="FFFFFF"/>
            <w:vAlign w:val="center"/>
          </w:tcPr>
          <w:p w14:paraId="65026899">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nil"/>
            </w:tcBorders>
            <w:shd w:val="clear" w:color="auto" w:fill="FFFFFF"/>
            <w:vAlign w:val="center"/>
          </w:tcPr>
          <w:p w14:paraId="2B64F908">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nil"/>
            </w:tcBorders>
            <w:shd w:val="clear" w:color="auto" w:fill="FFFFFF"/>
            <w:vAlign w:val="center"/>
          </w:tcPr>
          <w:p w14:paraId="55A0BB6F">
            <w:pPr>
              <w:jc w:val="righ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85249">
            <w:pPr>
              <w:jc w:val="left"/>
              <w:rPr>
                <w:rFonts w:hint="eastAsia" w:ascii="宋体" w:hAnsi="宋体" w:eastAsia="宋体" w:cs="宋体"/>
                <w:i w:val="0"/>
                <w:iCs w:val="0"/>
                <w:color w:val="000000"/>
                <w:sz w:val="18"/>
                <w:szCs w:val="18"/>
                <w:u w:val="none"/>
              </w:rPr>
            </w:pPr>
          </w:p>
        </w:tc>
      </w:tr>
    </w:tbl>
    <w:p w14:paraId="779D1D1E">
      <w:pPr>
        <w:pStyle w:val="2"/>
        <w:ind w:left="0" w:leftChars="0" w:firstLine="0" w:firstLineChars="0"/>
        <w:rPr>
          <w:rFonts w:hint="default"/>
          <w:lang w:val="en-US" w:eastAsia="zh-CN"/>
        </w:rPr>
      </w:pPr>
      <w:r>
        <w:rPr>
          <w:rFonts w:hint="eastAsia"/>
          <w:lang w:val="en-US" w:eastAsia="zh-CN"/>
        </w:rPr>
        <w:t>注：具体详见附件工程量清单</w:t>
      </w:r>
    </w:p>
    <w:p w14:paraId="4A202CA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rPr>
        <w:t>、商务条款要求</w:t>
      </w:r>
    </w:p>
    <w:bookmarkEnd w:id="30"/>
    <w:tbl>
      <w:tblPr>
        <w:tblStyle w:val="64"/>
        <w:tblW w:w="9497" w:type="dxa"/>
        <w:tblInd w:w="0" w:type="dxa"/>
        <w:tblLayout w:type="fixed"/>
        <w:tblCellMar>
          <w:top w:w="0" w:type="dxa"/>
          <w:left w:w="108" w:type="dxa"/>
          <w:bottom w:w="0" w:type="dxa"/>
          <w:right w:w="108" w:type="dxa"/>
        </w:tblCellMar>
      </w:tblPr>
      <w:tblGrid>
        <w:gridCol w:w="1922"/>
        <w:gridCol w:w="7575"/>
      </w:tblGrid>
      <w:tr w14:paraId="07FFEC93">
        <w:tblPrEx>
          <w:tblCellMar>
            <w:top w:w="0" w:type="dxa"/>
            <w:left w:w="108" w:type="dxa"/>
            <w:bottom w:w="0" w:type="dxa"/>
            <w:right w:w="108" w:type="dxa"/>
          </w:tblCellMar>
        </w:tblPrEx>
        <w:trPr>
          <w:trHeight w:val="338"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383307B8">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项目</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2B905798">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要 求</w:t>
            </w:r>
          </w:p>
        </w:tc>
      </w:tr>
      <w:tr w14:paraId="5547298F">
        <w:tblPrEx>
          <w:tblCellMar>
            <w:top w:w="0" w:type="dxa"/>
            <w:left w:w="108" w:type="dxa"/>
            <w:bottom w:w="0" w:type="dxa"/>
            <w:right w:w="108" w:type="dxa"/>
          </w:tblCellMar>
        </w:tblPrEx>
        <w:trPr>
          <w:trHeight w:val="421"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1FCC68DC">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质量要求</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16C497F7">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达到国家和行业施工验收规范，验收合格</w:t>
            </w:r>
          </w:p>
        </w:tc>
      </w:tr>
      <w:tr w14:paraId="61430200">
        <w:tblPrEx>
          <w:tblCellMar>
            <w:top w:w="0" w:type="dxa"/>
            <w:left w:w="108" w:type="dxa"/>
            <w:bottom w:w="0" w:type="dxa"/>
            <w:right w:w="108" w:type="dxa"/>
          </w:tblCellMar>
        </w:tblPrEx>
        <w:trPr>
          <w:trHeight w:val="352"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44767A1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安全要求</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2B48064A">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合格</w:t>
            </w:r>
          </w:p>
        </w:tc>
      </w:tr>
      <w:tr w14:paraId="5D5B044E">
        <w:tblPrEx>
          <w:tblCellMar>
            <w:top w:w="0" w:type="dxa"/>
            <w:left w:w="108" w:type="dxa"/>
            <w:bottom w:w="0" w:type="dxa"/>
            <w:right w:w="108" w:type="dxa"/>
          </w:tblCellMar>
        </w:tblPrEx>
        <w:trPr>
          <w:trHeight w:val="485"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1AC8A7EF">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计划工期</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4AE8836F">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合同签订后</w:t>
            </w:r>
            <w:r>
              <w:rPr>
                <w:rFonts w:hint="eastAsia" w:ascii="宋体" w:hAnsi="宋体" w:cs="宋体"/>
                <w:color w:val="auto"/>
                <w:kern w:val="0"/>
                <w:sz w:val="21"/>
                <w:szCs w:val="21"/>
                <w:highlight w:val="none"/>
                <w:lang w:val="en-US" w:eastAsia="zh-CN"/>
              </w:rPr>
              <w:t>150</w:t>
            </w:r>
            <w:r>
              <w:rPr>
                <w:rFonts w:hint="eastAsia" w:ascii="宋体" w:hAnsi="宋体" w:eastAsia="宋体" w:cs="宋体"/>
                <w:color w:val="auto"/>
                <w:kern w:val="0"/>
                <w:sz w:val="21"/>
                <w:szCs w:val="21"/>
                <w:highlight w:val="none"/>
                <w:lang w:eastAsia="zh-CN"/>
              </w:rPr>
              <w:t>天内完工并通过竣工验收。</w:t>
            </w:r>
          </w:p>
        </w:tc>
      </w:tr>
      <w:tr w14:paraId="5A9BAE9B">
        <w:tblPrEx>
          <w:tblCellMar>
            <w:top w:w="0" w:type="dxa"/>
            <w:left w:w="108" w:type="dxa"/>
            <w:bottom w:w="0" w:type="dxa"/>
            <w:right w:w="108" w:type="dxa"/>
          </w:tblCellMar>
        </w:tblPrEx>
        <w:trPr>
          <w:trHeight w:val="90"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4F99EFDF">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right="-193" w:rightChars="-92" w:firstLine="0"/>
              <w:jc w:val="center"/>
              <w:textAlignment w:val="auto"/>
              <w:rPr>
                <w:rFonts w:hint="eastAsia" w:ascii="宋体" w:hAnsi="宋体" w:eastAsia="宋体" w:cs="宋体"/>
                <w:color w:val="auto"/>
                <w:sz w:val="21"/>
                <w:szCs w:val="21"/>
                <w:highlight w:val="none"/>
                <w:lang w:val="en-US"/>
              </w:rPr>
            </w:pPr>
            <w:r>
              <w:rPr>
                <w:rFonts w:hint="eastAsia" w:ascii="宋体" w:hAnsi="宋体" w:cs="宋体"/>
                <w:color w:val="000000"/>
                <w:sz w:val="21"/>
                <w:szCs w:val="21"/>
                <w:highlight w:val="none"/>
                <w:lang w:val="en-US" w:eastAsia="zh-CN"/>
              </w:rPr>
              <w:t>▲</w:t>
            </w:r>
            <w:r>
              <w:rPr>
                <w:rFonts w:hint="eastAsia" w:ascii="宋体" w:hAnsi="宋体" w:eastAsia="宋体" w:cs="宋体"/>
                <w:color w:val="auto"/>
                <w:kern w:val="0"/>
                <w:sz w:val="21"/>
                <w:szCs w:val="21"/>
                <w:highlight w:val="none"/>
                <w:lang w:val="en-US" w:eastAsia="zh-CN"/>
              </w:rPr>
              <w:t>人员配备</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61B18664">
            <w:pPr>
              <w:numPr>
                <w:ilvl w:val="0"/>
                <w:numId w:val="0"/>
              </w:numPr>
              <w:autoSpaceDE w:val="0"/>
              <w:autoSpaceDN w:val="0"/>
              <w:adjustRightInd w:val="0"/>
              <w:spacing w:line="360" w:lineRule="auto"/>
              <w:jc w:val="left"/>
              <w:rPr>
                <w:rFonts w:hint="eastAsia" w:ascii="宋体" w:hAnsi="宋体" w:eastAsia="宋体" w:cs="宋体"/>
                <w:b/>
                <w:bCs/>
                <w:color w:val="000000"/>
                <w:sz w:val="21"/>
                <w:szCs w:val="21"/>
                <w:highlight w:val="none"/>
                <w:lang w:val="en-US" w:eastAsia="zh-CN"/>
              </w:rPr>
            </w:pP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val="en-US" w:eastAsia="zh-CN"/>
              </w:rPr>
              <w:t>拟派本项目的项目经理要求：</w:t>
            </w:r>
            <w:r>
              <w:rPr>
                <w:rFonts w:hint="eastAsia" w:ascii="宋体" w:hAnsi="宋体" w:eastAsia="宋体" w:cs="宋体"/>
                <w:b/>
                <w:bCs/>
                <w:color w:val="000000"/>
                <w:sz w:val="21"/>
                <w:szCs w:val="21"/>
                <w:highlight w:val="none"/>
                <w:lang w:val="en-US" w:eastAsia="zh-CN"/>
              </w:rPr>
              <w:t>须具备</w:t>
            </w:r>
            <w:r>
              <w:rPr>
                <w:rFonts w:hint="eastAsia" w:ascii="宋体" w:hAnsi="宋体" w:eastAsia="宋体" w:cs="宋体"/>
                <w:b/>
                <w:bCs/>
                <w:color w:val="000000"/>
                <w:sz w:val="21"/>
                <w:szCs w:val="21"/>
                <w:highlight w:val="none"/>
                <w:u w:val="single"/>
                <w:lang w:val="en-US" w:eastAsia="zh-CN"/>
              </w:rPr>
              <w:t>注册建造师贰级及以上执业资格，（注册）专业建筑工程，具有有效的安全生产考核合格证（B证）</w:t>
            </w:r>
            <w:r>
              <w:rPr>
                <w:rFonts w:hint="eastAsia" w:ascii="宋体" w:hAnsi="宋体" w:eastAsia="宋体" w:cs="宋体"/>
                <w:b/>
                <w:bCs/>
                <w:color w:val="000000"/>
                <w:sz w:val="21"/>
                <w:szCs w:val="21"/>
                <w:highlight w:val="none"/>
                <w:lang w:val="en-US" w:eastAsia="zh-CN"/>
              </w:rPr>
              <w:t xml:space="preserve">， </w:t>
            </w:r>
            <w:r>
              <w:rPr>
                <w:rFonts w:hint="eastAsia" w:ascii="宋体" w:hAnsi="宋体" w:cs="宋体"/>
                <w:b/>
                <w:bCs/>
                <w:color w:val="000000"/>
                <w:sz w:val="21"/>
                <w:szCs w:val="21"/>
                <w:highlight w:val="none"/>
                <w:lang w:val="en-US" w:eastAsia="zh-CN"/>
              </w:rPr>
              <w:t>并</w:t>
            </w:r>
            <w:r>
              <w:rPr>
                <w:rFonts w:hint="eastAsia" w:ascii="宋体" w:hAnsi="宋体" w:eastAsia="宋体" w:cs="宋体"/>
                <w:b/>
                <w:bCs/>
                <w:color w:val="000000"/>
                <w:sz w:val="21"/>
                <w:szCs w:val="21"/>
                <w:highlight w:val="none"/>
                <w:lang w:val="en-US" w:eastAsia="zh-CN"/>
              </w:rPr>
              <w:t>在投标截止日未在其他在建合同工程中担任项目经理（包括工程总承包项目中的施工负责人）。</w:t>
            </w:r>
          </w:p>
          <w:p w14:paraId="26D7A005">
            <w:pPr>
              <w:spacing w:line="390" w:lineRule="exact"/>
              <w:rPr>
                <w:rFonts w:ascii="宋体" w:hAnsi="宋体" w:cs="宋体"/>
                <w:kern w:val="58"/>
                <w:sz w:val="21"/>
                <w:szCs w:val="21"/>
              </w:rPr>
            </w:pPr>
            <w:r>
              <w:rPr>
                <w:rFonts w:hint="eastAsia"/>
                <w:sz w:val="21"/>
                <w:szCs w:val="21"/>
              </w:rPr>
              <w:t>注</w:t>
            </w:r>
            <w:r>
              <w:rPr>
                <w:rFonts w:hint="eastAsia" w:ascii="宋体" w:hAnsi="宋体" w:cs="宋体"/>
                <w:kern w:val="58"/>
                <w:sz w:val="21"/>
                <w:szCs w:val="21"/>
              </w:rPr>
              <w:t>：</w:t>
            </w:r>
            <w:r>
              <w:rPr>
                <w:rFonts w:hint="eastAsia" w:ascii="宋体" w:hAnsi="宋体" w:cs="宋体"/>
                <w:kern w:val="58"/>
                <w:sz w:val="21"/>
                <w:szCs w:val="21"/>
                <w:lang w:val="en-US" w:eastAsia="zh-CN"/>
              </w:rPr>
              <w:t>1</w:t>
            </w:r>
            <w:r>
              <w:rPr>
                <w:rFonts w:hint="eastAsia" w:ascii="宋体" w:hAnsi="宋体" w:cs="宋体"/>
                <w:kern w:val="58"/>
                <w:sz w:val="21"/>
                <w:szCs w:val="21"/>
              </w:rPr>
              <w:t>.响应文件中提供相关证书的扫描件或复印件</w:t>
            </w:r>
            <w:r>
              <w:rPr>
                <w:rFonts w:hint="eastAsia" w:ascii="宋体" w:hAnsi="宋体" w:cs="宋体"/>
                <w:kern w:val="58"/>
                <w:sz w:val="21"/>
                <w:szCs w:val="21"/>
                <w:lang w:val="en-US" w:eastAsia="zh-CN"/>
              </w:rPr>
              <w:t>盖公章</w:t>
            </w:r>
            <w:r>
              <w:rPr>
                <w:rFonts w:hint="eastAsia" w:ascii="宋体" w:hAnsi="宋体" w:cs="宋体"/>
                <w:kern w:val="58"/>
                <w:sz w:val="21"/>
                <w:szCs w:val="21"/>
              </w:rPr>
              <w:t>。</w:t>
            </w:r>
          </w:p>
          <w:p w14:paraId="651479CA">
            <w:pPr>
              <w:spacing w:line="390" w:lineRule="exact"/>
              <w:ind w:firstLine="420"/>
              <w:rPr>
                <w:rFonts w:hint="eastAsia" w:ascii="宋体" w:hAnsi="宋体" w:cs="宋体"/>
                <w:kern w:val="58"/>
                <w:sz w:val="21"/>
                <w:szCs w:val="21"/>
              </w:rPr>
            </w:pPr>
            <w:r>
              <w:rPr>
                <w:rFonts w:hint="eastAsia" w:ascii="宋体" w:hAnsi="宋体" w:cs="宋体"/>
                <w:kern w:val="58"/>
                <w:sz w:val="21"/>
                <w:szCs w:val="21"/>
                <w:lang w:val="en-US" w:eastAsia="zh-CN"/>
              </w:rPr>
              <w:t>2</w:t>
            </w:r>
            <w:r>
              <w:rPr>
                <w:rFonts w:hint="eastAsia" w:ascii="宋体" w:hAnsi="宋体" w:cs="宋体"/>
                <w:kern w:val="58"/>
                <w:sz w:val="21"/>
                <w:szCs w:val="21"/>
              </w:rPr>
              <w:t>．拟委任的项目经理是否有“在建合同工程”按以下原则认定：（1）若该合同工程协议书尚未签订，则其中标通知书中明确的项目经理和备选项目经理均视为有“在建合同工程”；（2）若该合同工程协议书已签订的，则仅合同协议书中明确的项目经理视为有“在建合同工程”；（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14:paraId="6FDD5A24">
            <w:pPr>
              <w:spacing w:line="390" w:lineRule="exact"/>
              <w:ind w:firstLine="420"/>
              <w:rPr>
                <w:rFonts w:hint="default" w:ascii="宋体" w:hAnsi="宋体" w:cs="宋体"/>
                <w:kern w:val="58"/>
                <w:sz w:val="21"/>
                <w:szCs w:val="21"/>
                <w:lang w:val="en-US" w:eastAsia="zh-CN"/>
              </w:rPr>
            </w:pPr>
            <w:r>
              <w:rPr>
                <w:rFonts w:hint="eastAsia" w:ascii="宋体" w:hAnsi="宋体" w:cs="宋体"/>
                <w:kern w:val="58"/>
                <w:sz w:val="21"/>
                <w:szCs w:val="21"/>
                <w:lang w:val="en-US" w:eastAsia="zh-CN"/>
              </w:rPr>
              <w:t>3.“在建合同工程”范围：包括在中华人民共和国境内所有建设工程，不受地域、行业和投资性质的限制。</w:t>
            </w:r>
          </w:p>
          <w:p w14:paraId="51BEE05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其他岗位人员要求：</w:t>
            </w:r>
          </w:p>
          <w:p w14:paraId="5DB7B25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项目技术负责人：具备建筑类专业工程师及以上职称证书；</w:t>
            </w:r>
          </w:p>
          <w:p w14:paraId="75DC57F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施工员：具备建筑类施工员《浙江省建设专业管理岗位资格证书》（《住房和城乡建设领域施工现场专业人员职业培训合格证》），且施工员不少于 1 人。</w:t>
            </w:r>
          </w:p>
          <w:p w14:paraId="7D5D632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质量员：具备建筑类质量员《浙江省建设专业管理岗位资格证书》（《住房和城乡建设领域施工现场专业人员职业培训合格证》），且质量员不少于 1 人。</w:t>
            </w:r>
          </w:p>
          <w:p w14:paraId="64C7BEF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安全员：具备建设行政主管部门核发的《专职安全生产管理人员安全生产考核合格证书》且安全员不少于1人。</w:t>
            </w:r>
          </w:p>
          <w:p w14:paraId="3770204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highlight w:val="none"/>
                <w:lang w:val="en-US" w:eastAsia="zh-CN"/>
              </w:rPr>
              <w:t>磋商响应文件中须提供上述人员的</w:t>
            </w:r>
            <w:r>
              <w:rPr>
                <w:rFonts w:hint="eastAsia" w:ascii="宋体" w:hAnsi="宋体" w:cs="宋体"/>
                <w:color w:val="auto"/>
                <w:kern w:val="0"/>
                <w:sz w:val="21"/>
                <w:szCs w:val="21"/>
                <w:highlight w:val="none"/>
                <w:lang w:val="en-US" w:eastAsia="zh-CN"/>
              </w:rPr>
              <w:t>近6个月社保及</w:t>
            </w:r>
            <w:r>
              <w:rPr>
                <w:rFonts w:hint="eastAsia" w:ascii="宋体" w:hAnsi="宋体" w:eastAsia="宋体" w:cs="宋体"/>
                <w:color w:val="auto"/>
                <w:kern w:val="0"/>
                <w:sz w:val="21"/>
                <w:szCs w:val="21"/>
                <w:highlight w:val="none"/>
                <w:lang w:val="en-US" w:eastAsia="zh-CN"/>
              </w:rPr>
              <w:t>证书复印件加盖供应商公章，否则符合性审查不予通过。</w:t>
            </w:r>
          </w:p>
        </w:tc>
      </w:tr>
      <w:tr w14:paraId="4933DF44">
        <w:tblPrEx>
          <w:tblCellMar>
            <w:top w:w="0" w:type="dxa"/>
            <w:left w:w="108" w:type="dxa"/>
            <w:bottom w:w="0" w:type="dxa"/>
            <w:right w:w="108" w:type="dxa"/>
          </w:tblCellMar>
        </w:tblPrEx>
        <w:trPr>
          <w:trHeight w:val="3681"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715CAC0E">
            <w:pPr>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作业要求</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56595EEC">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40D504BF">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（2）文明施工要求：在施工过程中，必须做到文明施工。工序衔接交叉合理，交接责任明确，施工场地整洁、卫生、道路畅通，有必要的围护和遮挡措施等。</w:t>
            </w:r>
          </w:p>
          <w:p w14:paraId="6DE5B826">
            <w:pPr>
              <w:spacing w:line="360" w:lineRule="exact"/>
              <w:jc w:val="left"/>
              <w:rPr>
                <w:rFonts w:hint="eastAsia" w:ascii="宋体" w:hAnsi="宋体" w:eastAsia="宋体" w:cs="宋体"/>
                <w:color w:val="auto"/>
                <w:kern w:val="0"/>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6F642DA4">
        <w:tblPrEx>
          <w:tblCellMar>
            <w:top w:w="0" w:type="dxa"/>
            <w:left w:w="108" w:type="dxa"/>
            <w:bottom w:w="0" w:type="dxa"/>
            <w:right w:w="108" w:type="dxa"/>
          </w:tblCellMar>
        </w:tblPrEx>
        <w:trPr>
          <w:trHeight w:val="433"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749B89CC">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其他</w:t>
            </w:r>
          </w:p>
        </w:tc>
        <w:tc>
          <w:tcPr>
            <w:tcW w:w="7575" w:type="dxa"/>
            <w:tcBorders>
              <w:top w:val="single" w:color="000000" w:sz="4" w:space="0"/>
              <w:left w:val="single" w:color="000000" w:sz="4" w:space="0"/>
              <w:bottom w:val="single" w:color="000000" w:sz="4" w:space="0"/>
              <w:right w:val="single" w:color="000000" w:sz="4" w:space="0"/>
            </w:tcBorders>
            <w:noWrap w:val="0"/>
            <w:vAlign w:val="top"/>
          </w:tcPr>
          <w:p w14:paraId="02E4467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20343EA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本工程为固定单价合同，工程量按实际工程量结算。</w:t>
            </w:r>
          </w:p>
          <w:p w14:paraId="7A18CE5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谈判时以采购人提供的工程量清单为准，结算时按实际工程量调整。</w:t>
            </w:r>
          </w:p>
          <w:p w14:paraId="797172F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施工单位须落实安全生产措施，在施工中发生的一切生产安全事故及其它事故由施工单位负责，同采购人无涉。</w:t>
            </w:r>
          </w:p>
        </w:tc>
      </w:tr>
      <w:tr w14:paraId="06AFAA5A">
        <w:tblPrEx>
          <w:tblCellMar>
            <w:top w:w="0" w:type="dxa"/>
            <w:left w:w="108" w:type="dxa"/>
            <w:bottom w:w="0" w:type="dxa"/>
            <w:right w:w="108" w:type="dxa"/>
          </w:tblCellMar>
        </w:tblPrEx>
        <w:trPr>
          <w:trHeight w:val="565"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12943B0E">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签约合同价</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3642FA41">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zh-CN" w:eastAsia="zh-CN"/>
              </w:rPr>
              <w:t>签约合同价</w:t>
            </w:r>
            <w:r>
              <w:rPr>
                <w:rFonts w:hint="eastAsia" w:ascii="宋体" w:hAnsi="宋体" w:eastAsia="宋体" w:cs="宋体"/>
                <w:color w:val="auto"/>
                <w:sz w:val="21"/>
                <w:szCs w:val="21"/>
                <w:highlight w:val="none"/>
                <w:lang w:val="en-US" w:eastAsia="zh-CN"/>
              </w:rPr>
              <w:t>=中标价</w:t>
            </w:r>
          </w:p>
        </w:tc>
      </w:tr>
      <w:tr w14:paraId="529A4B55">
        <w:tblPrEx>
          <w:tblCellMar>
            <w:top w:w="0" w:type="dxa"/>
            <w:left w:w="108" w:type="dxa"/>
            <w:bottom w:w="0" w:type="dxa"/>
            <w:right w:w="108" w:type="dxa"/>
          </w:tblCellMar>
        </w:tblPrEx>
        <w:trPr>
          <w:trHeight w:val="895"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5125078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lang w:val="zh-CN" w:eastAsia="zh-CN"/>
              </w:rPr>
              <w:t>质量保修期</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244E32CF">
            <w:pPr>
              <w:spacing w:line="360" w:lineRule="exact"/>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1、质量保修期2年。质量保修期从</w:t>
            </w:r>
            <w:r>
              <w:rPr>
                <w:rFonts w:hint="eastAsia" w:ascii="宋体" w:hAnsi="宋体" w:eastAsia="宋体"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zh-CN" w:eastAsia="zh-CN" w:bidi="ar-SA"/>
              </w:rPr>
              <w:t>人批准的竣工验收通过之日起计算。</w:t>
            </w:r>
          </w:p>
          <w:p w14:paraId="6E60CC80">
            <w:pPr>
              <w:pStyle w:val="81"/>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2"/>
                <w:sz w:val="21"/>
                <w:szCs w:val="21"/>
                <w:highlight w:val="none"/>
                <w:lang w:val="zh-CN" w:eastAsia="zh-CN" w:bidi="ar-SA"/>
              </w:rPr>
              <w:t>2、质量保修期内供应商须免费负责修理和替换任何由于</w:t>
            </w:r>
            <w:r>
              <w:rPr>
                <w:rFonts w:hint="eastAsia" w:ascii="宋体" w:hAnsi="宋体" w:eastAsia="宋体" w:cs="宋体"/>
                <w:color w:val="auto"/>
                <w:kern w:val="2"/>
                <w:sz w:val="21"/>
                <w:szCs w:val="21"/>
                <w:highlight w:val="none"/>
                <w:lang w:val="en-US" w:eastAsia="zh-CN" w:bidi="ar-SA"/>
              </w:rPr>
              <w:t>改造、</w:t>
            </w:r>
            <w:r>
              <w:rPr>
                <w:rFonts w:hint="eastAsia" w:ascii="宋体" w:hAnsi="宋体" w:eastAsia="宋体" w:cs="宋体"/>
                <w:color w:val="auto"/>
                <w:kern w:val="2"/>
                <w:sz w:val="21"/>
                <w:szCs w:val="21"/>
                <w:highlight w:val="none"/>
                <w:lang w:val="zh-CN" w:eastAsia="zh-CN" w:bidi="ar-SA"/>
              </w:rPr>
              <w:t>配件自身的质量问题造成的损坏。</w:t>
            </w:r>
          </w:p>
        </w:tc>
      </w:tr>
      <w:tr w14:paraId="269AB91A">
        <w:tblPrEx>
          <w:tblCellMar>
            <w:top w:w="0" w:type="dxa"/>
            <w:left w:w="108" w:type="dxa"/>
            <w:bottom w:w="0" w:type="dxa"/>
            <w:right w:w="108" w:type="dxa"/>
          </w:tblCellMar>
        </w:tblPrEx>
        <w:trPr>
          <w:trHeight w:val="494"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3DFDBD67">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付款方式</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246D44AD">
            <w:pPr>
              <w:pStyle w:val="81"/>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付款方式：合同签订及具备实施条件后7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在签订合同时，供应商明确表示无需预付款或者主动要求降低预付款比例的，采购单位可不适用前述规定。）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p w14:paraId="2C1DDB4D">
            <w:pPr>
              <w:pStyle w:val="81"/>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Theme="majorEastAsia" w:hAnsiTheme="majorEastAsia" w:eastAsiaTheme="majorEastAsia" w:cstheme="majorEastAsia"/>
                <w:sz w:val="21"/>
                <w:szCs w:val="21"/>
              </w:rPr>
            </w:pPr>
            <w:r>
              <w:rPr>
                <w:rFonts w:hint="eastAsia" w:ascii="宋体" w:hAnsi="宋体" w:eastAsia="宋体" w:cs="宋体"/>
                <w:color w:val="auto"/>
                <w:kern w:val="2"/>
                <w:sz w:val="24"/>
                <w:szCs w:val="24"/>
                <w:highlight w:val="none"/>
                <w:lang w:val="en-US" w:eastAsia="zh-CN" w:bidi="ar-SA"/>
              </w:rPr>
              <w:t>注：具体条款以双方签订的合同约定为准。</w:t>
            </w:r>
          </w:p>
        </w:tc>
      </w:tr>
      <w:tr w14:paraId="74E4452F">
        <w:tblPrEx>
          <w:tblCellMar>
            <w:top w:w="0" w:type="dxa"/>
            <w:left w:w="108" w:type="dxa"/>
            <w:bottom w:w="0" w:type="dxa"/>
            <w:right w:w="108" w:type="dxa"/>
          </w:tblCellMar>
        </w:tblPrEx>
        <w:trPr>
          <w:trHeight w:val="945"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7F031A52">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baseline"/>
              <w:outlineLvl w:val="9"/>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334DFD8A">
            <w:pPr>
              <w:autoSpaceDE w:val="0"/>
              <w:autoSpaceDN w:val="0"/>
              <w:spacing w:line="320" w:lineRule="exact"/>
              <w:rPr>
                <w:rFonts w:ascii="宋体" w:hAnsi="宋体"/>
                <w:kern w:val="0"/>
                <w:sz w:val="21"/>
                <w:szCs w:val="21"/>
              </w:rPr>
            </w:pPr>
            <w:r>
              <w:rPr>
                <w:rFonts w:hint="eastAsia" w:asciiTheme="majorEastAsia" w:hAnsiTheme="majorEastAsia" w:eastAsiaTheme="majorEastAsia" w:cstheme="majorEastAsia"/>
                <w:sz w:val="21"/>
                <w:szCs w:val="21"/>
              </w:rPr>
              <w:t>履约保证金：</w:t>
            </w:r>
            <w:r>
              <w:rPr>
                <w:rFonts w:hint="eastAsia" w:ascii="宋体" w:hAnsi="宋体"/>
                <w:kern w:val="0"/>
                <w:sz w:val="21"/>
                <w:szCs w:val="21"/>
              </w:rPr>
              <w:t>履约担保金额为签约合同价的</w:t>
            </w:r>
            <w:r>
              <w:rPr>
                <w:rFonts w:hint="eastAsia" w:ascii="宋体" w:hAnsi="宋体"/>
                <w:kern w:val="0"/>
                <w:sz w:val="21"/>
                <w:szCs w:val="21"/>
                <w:u w:val="single"/>
              </w:rPr>
              <w:t xml:space="preserve">  1</w:t>
            </w:r>
            <w:r>
              <w:rPr>
                <w:rFonts w:hint="eastAsia" w:hAnsi="宋体"/>
                <w:kern w:val="0"/>
                <w:sz w:val="21"/>
                <w:szCs w:val="21"/>
                <w:u w:val="single"/>
              </w:rPr>
              <w:t xml:space="preserve"> </w:t>
            </w:r>
            <w:r>
              <w:rPr>
                <w:rFonts w:hint="eastAsia" w:ascii="宋体" w:hAnsi="宋体"/>
                <w:kern w:val="0"/>
                <w:sz w:val="21"/>
                <w:szCs w:val="21"/>
                <w:u w:val="single"/>
              </w:rPr>
              <w:t xml:space="preserve">% </w:t>
            </w:r>
            <w:r>
              <w:rPr>
                <w:rFonts w:hint="eastAsia" w:ascii="宋体" w:hAnsi="宋体"/>
                <w:kern w:val="0"/>
                <w:sz w:val="21"/>
                <w:szCs w:val="21"/>
              </w:rPr>
              <w:t>。</w:t>
            </w:r>
          </w:p>
          <w:p w14:paraId="70CB1C6F">
            <w:pPr>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kern w:val="0"/>
                <w:sz w:val="21"/>
                <w:szCs w:val="21"/>
              </w:rPr>
              <w:t>履约担保返还期限：在工程竣工验收合格后10日内全额返还。</w:t>
            </w:r>
          </w:p>
        </w:tc>
      </w:tr>
      <w:tr w14:paraId="4CA0136C">
        <w:tblPrEx>
          <w:tblCellMar>
            <w:top w:w="0" w:type="dxa"/>
            <w:left w:w="108" w:type="dxa"/>
            <w:bottom w:w="0" w:type="dxa"/>
            <w:right w:w="108" w:type="dxa"/>
          </w:tblCellMar>
        </w:tblPrEx>
        <w:trPr>
          <w:trHeight w:val="895" w:hRule="atLeast"/>
        </w:trPr>
        <w:tc>
          <w:tcPr>
            <w:tcW w:w="1922" w:type="dxa"/>
            <w:tcBorders>
              <w:top w:val="single" w:color="000000" w:sz="4" w:space="0"/>
              <w:left w:val="single" w:color="000000" w:sz="4" w:space="0"/>
              <w:bottom w:val="single" w:color="000000" w:sz="4" w:space="0"/>
              <w:right w:val="single" w:color="000000" w:sz="4" w:space="0"/>
            </w:tcBorders>
            <w:noWrap w:val="0"/>
            <w:vAlign w:val="center"/>
          </w:tcPr>
          <w:p w14:paraId="67C927CF">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报价方式</w:t>
            </w:r>
          </w:p>
        </w:tc>
        <w:tc>
          <w:tcPr>
            <w:tcW w:w="7575" w:type="dxa"/>
            <w:tcBorders>
              <w:top w:val="single" w:color="000000" w:sz="4" w:space="0"/>
              <w:left w:val="single" w:color="000000" w:sz="4" w:space="0"/>
              <w:bottom w:val="single" w:color="000000" w:sz="4" w:space="0"/>
              <w:right w:val="single" w:color="000000" w:sz="4" w:space="0"/>
            </w:tcBorders>
            <w:noWrap w:val="0"/>
            <w:vAlign w:val="center"/>
          </w:tcPr>
          <w:p w14:paraId="706DA834">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1、最报价方式：按竞争性磋商文件附件“工程量清单”报价。</w:t>
            </w:r>
          </w:p>
          <w:p w14:paraId="139FAB7A">
            <w:pPr>
              <w:spacing w:line="360" w:lineRule="exact"/>
              <w:jc w:val="left"/>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2、本工程采用单价合同形式，工程量按实调整。</w:t>
            </w:r>
          </w:p>
        </w:tc>
      </w:tr>
    </w:tbl>
    <w:p w14:paraId="0B84582F">
      <w:pPr>
        <w:rPr>
          <w:rFonts w:hint="eastAsia" w:ascii="黑体" w:hAnsi="黑体" w:eastAsia="黑体" w:cs="黑体"/>
          <w:color w:val="auto"/>
          <w:sz w:val="32"/>
          <w:highlight w:val="yellow"/>
          <w:lang w:val="en-US" w:eastAsia="zh-CN"/>
        </w:rPr>
      </w:pPr>
      <w:r>
        <w:rPr>
          <w:rFonts w:hint="eastAsia" w:ascii="黑体" w:hAnsi="黑体" w:eastAsia="黑体" w:cs="黑体"/>
          <w:color w:val="auto"/>
          <w:sz w:val="32"/>
          <w:highlight w:val="yellow"/>
          <w:lang w:val="en-US" w:eastAsia="zh-CN"/>
        </w:rPr>
        <w:br w:type="page"/>
      </w:r>
    </w:p>
    <w:p w14:paraId="065E7F2F">
      <w:pPr>
        <w:rPr>
          <w:rFonts w:hint="eastAsia" w:ascii="宋体" w:hAnsi="宋体" w:cs="宋体"/>
          <w:b/>
          <w:sz w:val="36"/>
          <w:szCs w:val="36"/>
        </w:rPr>
        <w:sectPr>
          <w:footerReference r:id="rId6" w:type="default"/>
          <w:pgSz w:w="11907" w:h="16840"/>
          <w:pgMar w:top="1440" w:right="1080" w:bottom="1440" w:left="1080" w:header="851" w:footer="851" w:gutter="0"/>
          <w:pgNumType w:fmt="decimal"/>
          <w:cols w:space="720" w:num="1"/>
        </w:sectPr>
      </w:pPr>
    </w:p>
    <w:p w14:paraId="47B647E0">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1" w:name="_Toc184308083"/>
      <w:bookmarkEnd w:id="31"/>
      <w:bookmarkStart w:id="32" w:name="_Toc184308041"/>
      <w:bookmarkEnd w:id="32"/>
      <w:bookmarkStart w:id="33" w:name="_Toc184308059"/>
      <w:bookmarkEnd w:id="33"/>
      <w:bookmarkStart w:id="34" w:name="_Toc184313291"/>
      <w:bookmarkEnd w:id="34"/>
      <w:bookmarkStart w:id="35" w:name="_Toc184312126"/>
      <w:bookmarkEnd w:id="35"/>
      <w:bookmarkStart w:id="36" w:name="_Toc184310299"/>
      <w:bookmarkEnd w:id="36"/>
      <w:bookmarkStart w:id="37" w:name="_Toc184310295"/>
      <w:bookmarkEnd w:id="37"/>
      <w:bookmarkStart w:id="38" w:name="_Toc184313267"/>
      <w:bookmarkEnd w:id="38"/>
      <w:bookmarkStart w:id="39" w:name="_Toc184314475"/>
      <w:bookmarkEnd w:id="39"/>
      <w:bookmarkStart w:id="40" w:name="_Toc184308058"/>
      <w:bookmarkEnd w:id="40"/>
      <w:bookmarkStart w:id="41" w:name="_Toc184313310"/>
      <w:bookmarkEnd w:id="41"/>
      <w:bookmarkStart w:id="42" w:name="_Toc184313281"/>
      <w:bookmarkEnd w:id="42"/>
      <w:bookmarkStart w:id="43" w:name="_Toc184312124"/>
      <w:bookmarkEnd w:id="43"/>
      <w:bookmarkStart w:id="44" w:name="_Toc184308090"/>
      <w:bookmarkEnd w:id="44"/>
      <w:bookmarkStart w:id="45" w:name="_Toc184308070"/>
      <w:bookmarkEnd w:id="45"/>
      <w:bookmarkStart w:id="46" w:name="_Toc184312122"/>
      <w:bookmarkEnd w:id="46"/>
      <w:bookmarkStart w:id="47" w:name="_Toc184312132"/>
      <w:bookmarkEnd w:id="47"/>
      <w:bookmarkStart w:id="48" w:name="_Toc184310278"/>
      <w:bookmarkEnd w:id="48"/>
      <w:bookmarkStart w:id="49" w:name="_Toc184313309"/>
      <w:bookmarkEnd w:id="49"/>
      <w:bookmarkStart w:id="50" w:name="_Toc184313250"/>
      <w:bookmarkEnd w:id="50"/>
      <w:bookmarkStart w:id="51" w:name="_Toc184313285"/>
      <w:bookmarkEnd w:id="51"/>
      <w:bookmarkStart w:id="52" w:name="_Toc184313265"/>
      <w:bookmarkEnd w:id="52"/>
      <w:bookmarkStart w:id="53" w:name="_Toc184312085"/>
      <w:bookmarkEnd w:id="53"/>
      <w:bookmarkStart w:id="54" w:name="_Toc184312075"/>
      <w:bookmarkEnd w:id="54"/>
      <w:bookmarkStart w:id="55" w:name="_Toc184314438"/>
      <w:bookmarkEnd w:id="55"/>
      <w:bookmarkStart w:id="56" w:name="_Toc184314449"/>
      <w:bookmarkEnd w:id="56"/>
      <w:bookmarkStart w:id="57" w:name="_Toc184314439"/>
      <w:bookmarkEnd w:id="57"/>
      <w:bookmarkStart w:id="58" w:name="_Toc184313301"/>
      <w:bookmarkEnd w:id="58"/>
      <w:bookmarkStart w:id="59" w:name="_Toc184312107"/>
      <w:bookmarkEnd w:id="59"/>
      <w:bookmarkStart w:id="60" w:name="_Toc184310291"/>
      <w:bookmarkEnd w:id="60"/>
      <w:bookmarkStart w:id="61" w:name="_Toc184313282"/>
      <w:bookmarkEnd w:id="61"/>
      <w:bookmarkStart w:id="62" w:name="_Toc184313239"/>
      <w:bookmarkEnd w:id="62"/>
      <w:bookmarkStart w:id="63" w:name="_Toc184313308"/>
      <w:bookmarkEnd w:id="63"/>
      <w:bookmarkStart w:id="64" w:name="_Toc184312137"/>
      <w:bookmarkEnd w:id="64"/>
      <w:bookmarkStart w:id="65" w:name="_Toc184314463"/>
      <w:bookmarkEnd w:id="65"/>
      <w:bookmarkStart w:id="66" w:name="_Toc184314471"/>
      <w:bookmarkEnd w:id="66"/>
      <w:bookmarkStart w:id="67" w:name="_Toc184314467"/>
      <w:bookmarkEnd w:id="67"/>
      <w:bookmarkStart w:id="68" w:name="_Toc184310327"/>
      <w:bookmarkEnd w:id="68"/>
      <w:bookmarkStart w:id="69" w:name="_Toc184308093"/>
      <w:bookmarkEnd w:id="69"/>
      <w:bookmarkStart w:id="70" w:name="_Toc184310281"/>
      <w:bookmarkEnd w:id="70"/>
      <w:bookmarkStart w:id="71" w:name="_Toc184313271"/>
      <w:bookmarkEnd w:id="71"/>
      <w:bookmarkStart w:id="72" w:name="_Toc184308037"/>
      <w:bookmarkEnd w:id="72"/>
      <w:bookmarkStart w:id="73" w:name="_Toc184313294"/>
      <w:bookmarkEnd w:id="73"/>
      <w:bookmarkStart w:id="74" w:name="_Toc184312082"/>
      <w:bookmarkEnd w:id="74"/>
      <w:bookmarkStart w:id="75" w:name="_Toc184312106"/>
      <w:bookmarkEnd w:id="75"/>
      <w:bookmarkStart w:id="76" w:name="_Toc184313260"/>
      <w:bookmarkEnd w:id="76"/>
      <w:bookmarkStart w:id="77" w:name="_Toc184313262"/>
      <w:bookmarkEnd w:id="77"/>
      <w:bookmarkStart w:id="78" w:name="_Toc184312115"/>
      <w:bookmarkEnd w:id="78"/>
      <w:bookmarkStart w:id="79" w:name="_Toc184312118"/>
      <w:bookmarkEnd w:id="79"/>
      <w:bookmarkStart w:id="80" w:name="_Toc184308075"/>
      <w:bookmarkEnd w:id="80"/>
      <w:bookmarkStart w:id="81" w:name="_Toc184308071"/>
      <w:bookmarkEnd w:id="81"/>
      <w:bookmarkStart w:id="82" w:name="_Toc184313304"/>
      <w:bookmarkEnd w:id="82"/>
      <w:bookmarkStart w:id="83" w:name="_Toc184308055"/>
      <w:bookmarkEnd w:id="83"/>
      <w:bookmarkStart w:id="84" w:name="_Toc184314431"/>
      <w:bookmarkEnd w:id="84"/>
      <w:bookmarkStart w:id="85" w:name="_Toc184308097"/>
      <w:bookmarkEnd w:id="85"/>
      <w:bookmarkStart w:id="86" w:name="_Toc184314416"/>
      <w:bookmarkEnd w:id="86"/>
      <w:bookmarkStart w:id="87" w:name="_Toc184310340"/>
      <w:bookmarkEnd w:id="87"/>
      <w:bookmarkStart w:id="88" w:name="_Toc184308092"/>
      <w:bookmarkEnd w:id="88"/>
      <w:bookmarkStart w:id="89" w:name="_Toc184314418"/>
      <w:bookmarkEnd w:id="89"/>
      <w:bookmarkStart w:id="90" w:name="_Toc184314417"/>
      <w:bookmarkEnd w:id="90"/>
      <w:bookmarkStart w:id="91" w:name="_Toc184310292"/>
      <w:bookmarkEnd w:id="91"/>
      <w:bookmarkStart w:id="92" w:name="_Toc184314446"/>
      <w:bookmarkEnd w:id="92"/>
      <w:bookmarkStart w:id="93" w:name="_Toc184308088"/>
      <w:bookmarkEnd w:id="93"/>
      <w:bookmarkStart w:id="94" w:name="_Toc184313276"/>
      <w:bookmarkEnd w:id="94"/>
      <w:bookmarkStart w:id="95" w:name="_Toc184314452"/>
      <w:bookmarkEnd w:id="95"/>
      <w:bookmarkStart w:id="96" w:name="_Toc184312086"/>
      <w:bookmarkEnd w:id="96"/>
      <w:bookmarkStart w:id="97" w:name="_Toc184310305"/>
      <w:bookmarkEnd w:id="97"/>
      <w:bookmarkStart w:id="98" w:name="_Toc184312083"/>
      <w:bookmarkEnd w:id="98"/>
      <w:bookmarkStart w:id="99" w:name="_Toc184314421"/>
      <w:bookmarkEnd w:id="99"/>
      <w:bookmarkStart w:id="100" w:name="_Toc184308044"/>
      <w:bookmarkEnd w:id="100"/>
      <w:bookmarkStart w:id="101" w:name="_Toc184310297"/>
      <w:bookmarkEnd w:id="101"/>
      <w:bookmarkStart w:id="102" w:name="_Toc184308052"/>
      <w:bookmarkEnd w:id="102"/>
      <w:bookmarkStart w:id="103" w:name="_Toc184313244"/>
      <w:bookmarkEnd w:id="103"/>
      <w:bookmarkStart w:id="104" w:name="_Toc184313278"/>
      <w:bookmarkEnd w:id="104"/>
      <w:bookmarkStart w:id="105" w:name="_Toc184313254"/>
      <w:bookmarkEnd w:id="105"/>
      <w:bookmarkStart w:id="106" w:name="_Toc184310326"/>
      <w:bookmarkEnd w:id="106"/>
      <w:bookmarkStart w:id="107" w:name="_Toc184308072"/>
      <w:bookmarkEnd w:id="107"/>
      <w:bookmarkStart w:id="108" w:name="_Toc184314430"/>
      <w:bookmarkEnd w:id="108"/>
      <w:bookmarkStart w:id="109" w:name="_Toc184314426"/>
      <w:bookmarkEnd w:id="109"/>
      <w:bookmarkStart w:id="110" w:name="_Toc184314470"/>
      <w:bookmarkEnd w:id="110"/>
      <w:bookmarkStart w:id="111" w:name="_Toc184314456"/>
      <w:bookmarkEnd w:id="111"/>
      <w:bookmarkStart w:id="112" w:name="_Toc184313290"/>
      <w:bookmarkEnd w:id="112"/>
      <w:bookmarkStart w:id="113" w:name="_Toc184313238"/>
      <w:bookmarkEnd w:id="113"/>
      <w:bookmarkStart w:id="114" w:name="_Toc184310312"/>
      <w:bookmarkEnd w:id="114"/>
      <w:bookmarkStart w:id="115" w:name="_Toc184314464"/>
      <w:bookmarkEnd w:id="115"/>
      <w:bookmarkStart w:id="116" w:name="_Toc184308048"/>
      <w:bookmarkEnd w:id="116"/>
      <w:bookmarkStart w:id="117" w:name="_Toc184308091"/>
      <w:bookmarkEnd w:id="117"/>
      <w:bookmarkStart w:id="118" w:name="_Toc184313305"/>
      <w:bookmarkEnd w:id="118"/>
      <w:bookmarkStart w:id="119" w:name="_Toc184308039"/>
      <w:bookmarkEnd w:id="119"/>
      <w:bookmarkStart w:id="120" w:name="_Toc184314414"/>
      <w:bookmarkEnd w:id="120"/>
      <w:bookmarkStart w:id="121" w:name="_Toc184314433"/>
      <w:bookmarkEnd w:id="121"/>
      <w:bookmarkStart w:id="122" w:name="_Toc184313284"/>
      <w:bookmarkEnd w:id="122"/>
      <w:bookmarkStart w:id="123" w:name="_Toc184308053"/>
      <w:bookmarkEnd w:id="123"/>
      <w:bookmarkStart w:id="124" w:name="_Toc184312072"/>
      <w:bookmarkEnd w:id="124"/>
      <w:bookmarkStart w:id="125" w:name="_Toc184312070"/>
      <w:bookmarkEnd w:id="125"/>
      <w:bookmarkStart w:id="126" w:name="_Toc184312133"/>
      <w:bookmarkEnd w:id="126"/>
      <w:bookmarkStart w:id="127" w:name="_Toc184312129"/>
      <w:bookmarkEnd w:id="127"/>
      <w:bookmarkStart w:id="128" w:name="_Toc184310333"/>
      <w:bookmarkEnd w:id="128"/>
      <w:bookmarkStart w:id="129" w:name="_Toc184308098"/>
      <w:bookmarkEnd w:id="129"/>
      <w:bookmarkStart w:id="130" w:name="_Toc184313253"/>
      <w:bookmarkEnd w:id="130"/>
      <w:bookmarkStart w:id="131" w:name="_Toc184308095"/>
      <w:bookmarkEnd w:id="131"/>
      <w:bookmarkStart w:id="132" w:name="_Toc184313240"/>
      <w:bookmarkEnd w:id="132"/>
      <w:bookmarkStart w:id="133" w:name="_Toc184310328"/>
      <w:bookmarkEnd w:id="133"/>
      <w:bookmarkStart w:id="134" w:name="_Toc184312097"/>
      <w:bookmarkEnd w:id="134"/>
      <w:bookmarkStart w:id="135" w:name="_Toc184314477"/>
      <w:bookmarkEnd w:id="135"/>
      <w:bookmarkStart w:id="136" w:name="_Toc184312127"/>
      <w:bookmarkEnd w:id="136"/>
      <w:bookmarkStart w:id="137" w:name="_Toc184310319"/>
      <w:bookmarkEnd w:id="137"/>
      <w:bookmarkStart w:id="138" w:name="_Toc184313277"/>
      <w:bookmarkEnd w:id="138"/>
      <w:bookmarkStart w:id="139" w:name="_Toc184308062"/>
      <w:bookmarkEnd w:id="139"/>
      <w:bookmarkStart w:id="140" w:name="_Toc184310302"/>
      <w:bookmarkEnd w:id="140"/>
      <w:bookmarkStart w:id="141" w:name="_Toc184308077"/>
      <w:bookmarkEnd w:id="141"/>
      <w:bookmarkStart w:id="142" w:name="_Toc184310275"/>
      <w:bookmarkEnd w:id="142"/>
      <w:bookmarkStart w:id="143" w:name="_Toc184310322"/>
      <w:bookmarkEnd w:id="143"/>
      <w:bookmarkStart w:id="144" w:name="_Toc184314465"/>
      <w:bookmarkEnd w:id="144"/>
      <w:bookmarkStart w:id="145" w:name="_Toc184313306"/>
      <w:bookmarkEnd w:id="145"/>
      <w:bookmarkStart w:id="146" w:name="_Toc184312069"/>
      <w:bookmarkEnd w:id="146"/>
      <w:bookmarkStart w:id="147" w:name="_Toc184313292"/>
      <w:bookmarkEnd w:id="147"/>
      <w:bookmarkStart w:id="148" w:name="_Toc184310298"/>
      <w:bookmarkEnd w:id="148"/>
      <w:bookmarkStart w:id="149" w:name="_Toc184308047"/>
      <w:bookmarkEnd w:id="149"/>
      <w:bookmarkStart w:id="150" w:name="_Toc184308080"/>
      <w:bookmarkEnd w:id="150"/>
      <w:bookmarkStart w:id="151" w:name="_Toc184313270"/>
      <w:bookmarkEnd w:id="151"/>
      <w:bookmarkStart w:id="152" w:name="_Toc184308078"/>
      <w:bookmarkEnd w:id="152"/>
      <w:bookmarkStart w:id="153" w:name="_Toc184312081"/>
      <w:bookmarkEnd w:id="153"/>
      <w:bookmarkStart w:id="154" w:name="_Toc184314461"/>
      <w:bookmarkEnd w:id="154"/>
      <w:bookmarkStart w:id="155" w:name="_Toc184308074"/>
      <w:bookmarkEnd w:id="155"/>
      <w:bookmarkStart w:id="156" w:name="_Toc184308043"/>
      <w:bookmarkEnd w:id="156"/>
      <w:bookmarkStart w:id="157" w:name="_Toc184310273"/>
      <w:bookmarkEnd w:id="157"/>
      <w:bookmarkStart w:id="158" w:name="_Toc184308084"/>
      <w:bookmarkEnd w:id="158"/>
      <w:bookmarkStart w:id="159" w:name="_Toc184314440"/>
      <w:bookmarkEnd w:id="159"/>
      <w:bookmarkStart w:id="160" w:name="_Toc184313286"/>
      <w:bookmarkEnd w:id="160"/>
      <w:bookmarkStart w:id="161" w:name="_Toc184308105"/>
      <w:bookmarkEnd w:id="161"/>
      <w:bookmarkStart w:id="162" w:name="_Toc184310274"/>
      <w:bookmarkEnd w:id="162"/>
      <w:bookmarkStart w:id="163" w:name="_Toc184308061"/>
      <w:bookmarkEnd w:id="163"/>
      <w:bookmarkStart w:id="164" w:name="_Toc184310315"/>
      <w:bookmarkEnd w:id="164"/>
      <w:bookmarkStart w:id="165" w:name="_Toc184308076"/>
      <w:bookmarkEnd w:id="165"/>
      <w:bookmarkStart w:id="166" w:name="_Toc184314478"/>
      <w:bookmarkEnd w:id="166"/>
      <w:bookmarkStart w:id="167" w:name="_Toc184314462"/>
      <w:bookmarkEnd w:id="167"/>
      <w:bookmarkStart w:id="168" w:name="_Toc184314474"/>
      <w:bookmarkEnd w:id="168"/>
      <w:bookmarkStart w:id="169" w:name="_Toc184312131"/>
      <w:bookmarkEnd w:id="169"/>
      <w:bookmarkStart w:id="170" w:name="_Toc184312113"/>
      <w:bookmarkEnd w:id="170"/>
      <w:bookmarkStart w:id="171" w:name="_Toc184310324"/>
      <w:bookmarkEnd w:id="171"/>
      <w:bookmarkStart w:id="172" w:name="_Toc184308050"/>
      <w:bookmarkEnd w:id="172"/>
      <w:bookmarkStart w:id="173" w:name="_Toc184308102"/>
      <w:bookmarkEnd w:id="173"/>
      <w:bookmarkStart w:id="174" w:name="_Toc184310337"/>
      <w:bookmarkEnd w:id="174"/>
      <w:bookmarkStart w:id="175" w:name="_Toc184313280"/>
      <w:bookmarkEnd w:id="175"/>
      <w:bookmarkStart w:id="176" w:name="_Toc184313251"/>
      <w:bookmarkEnd w:id="176"/>
      <w:bookmarkStart w:id="177" w:name="_Toc184312078"/>
      <w:bookmarkEnd w:id="177"/>
      <w:bookmarkStart w:id="178" w:name="_Toc184310320"/>
      <w:bookmarkEnd w:id="178"/>
      <w:bookmarkStart w:id="179" w:name="_Toc184314472"/>
      <w:bookmarkEnd w:id="179"/>
      <w:bookmarkStart w:id="180" w:name="_Toc184313289"/>
      <w:bookmarkEnd w:id="180"/>
      <w:bookmarkStart w:id="181" w:name="_Toc184312125"/>
      <w:bookmarkEnd w:id="181"/>
      <w:bookmarkStart w:id="182" w:name="_Toc184312093"/>
      <w:bookmarkEnd w:id="182"/>
      <w:bookmarkStart w:id="183" w:name="_Toc184310334"/>
      <w:bookmarkEnd w:id="183"/>
      <w:bookmarkStart w:id="184" w:name="_Toc184314432"/>
      <w:bookmarkEnd w:id="184"/>
      <w:bookmarkStart w:id="185" w:name="_Toc184312090"/>
      <w:bookmarkEnd w:id="185"/>
      <w:bookmarkStart w:id="186" w:name="_Toc184314450"/>
      <w:bookmarkEnd w:id="186"/>
      <w:bookmarkStart w:id="187" w:name="_Toc184312102"/>
      <w:bookmarkEnd w:id="187"/>
      <w:bookmarkStart w:id="188" w:name="_Toc184310314"/>
      <w:bookmarkEnd w:id="188"/>
      <w:bookmarkStart w:id="189" w:name="_Toc184313269"/>
      <w:bookmarkEnd w:id="189"/>
      <w:bookmarkStart w:id="190" w:name="_Toc184308069"/>
      <w:bookmarkEnd w:id="190"/>
      <w:bookmarkStart w:id="191" w:name="_Toc184310294"/>
      <w:bookmarkEnd w:id="191"/>
      <w:bookmarkStart w:id="192" w:name="_Toc184308054"/>
      <w:bookmarkEnd w:id="192"/>
      <w:bookmarkStart w:id="193" w:name="_Toc184308107"/>
      <w:bookmarkEnd w:id="193"/>
      <w:bookmarkStart w:id="194" w:name="_Toc184313243"/>
      <w:bookmarkEnd w:id="194"/>
      <w:bookmarkStart w:id="195" w:name="_Toc184314437"/>
      <w:bookmarkEnd w:id="195"/>
      <w:bookmarkStart w:id="196" w:name="_Toc184314458"/>
      <w:bookmarkEnd w:id="196"/>
      <w:bookmarkStart w:id="197" w:name="_Toc184312134"/>
      <w:bookmarkEnd w:id="197"/>
      <w:bookmarkStart w:id="198" w:name="_Toc184312088"/>
      <w:bookmarkEnd w:id="198"/>
      <w:bookmarkStart w:id="199" w:name="_Toc184312100"/>
      <w:bookmarkEnd w:id="199"/>
      <w:bookmarkStart w:id="200" w:name="_Toc184312068"/>
      <w:bookmarkEnd w:id="200"/>
      <w:bookmarkStart w:id="201" w:name="_Toc184312094"/>
      <w:bookmarkEnd w:id="201"/>
      <w:bookmarkStart w:id="202" w:name="_Toc184312080"/>
      <w:bookmarkEnd w:id="202"/>
      <w:bookmarkStart w:id="203" w:name="_Toc184313272"/>
      <w:bookmarkEnd w:id="203"/>
      <w:bookmarkStart w:id="204" w:name="_Toc184314466"/>
      <w:bookmarkEnd w:id="204"/>
      <w:bookmarkStart w:id="205" w:name="_Toc184313302"/>
      <w:bookmarkEnd w:id="205"/>
      <w:bookmarkStart w:id="206" w:name="_Toc184308066"/>
      <w:bookmarkEnd w:id="206"/>
      <w:bookmarkStart w:id="207" w:name="_Toc184314435"/>
      <w:bookmarkEnd w:id="207"/>
      <w:bookmarkStart w:id="208" w:name="_Toc184313296"/>
      <w:bookmarkEnd w:id="208"/>
      <w:bookmarkStart w:id="209" w:name="_Toc184310342"/>
      <w:bookmarkEnd w:id="209"/>
      <w:bookmarkStart w:id="210" w:name="_Toc184310272"/>
      <w:bookmarkEnd w:id="210"/>
      <w:bookmarkStart w:id="211" w:name="_Toc184308057"/>
      <w:bookmarkEnd w:id="211"/>
      <w:bookmarkStart w:id="212" w:name="_Toc184308079"/>
      <w:bookmarkEnd w:id="212"/>
      <w:bookmarkStart w:id="213" w:name="_Toc184314429"/>
      <w:bookmarkEnd w:id="213"/>
      <w:bookmarkStart w:id="214" w:name="_Toc184310307"/>
      <w:bookmarkEnd w:id="214"/>
      <w:bookmarkStart w:id="215" w:name="_Toc184308085"/>
      <w:bookmarkEnd w:id="215"/>
      <w:bookmarkStart w:id="216" w:name="_Toc184310285"/>
      <w:bookmarkEnd w:id="216"/>
      <w:bookmarkStart w:id="217" w:name="_Toc184312067"/>
      <w:bookmarkEnd w:id="217"/>
      <w:bookmarkStart w:id="218" w:name="_Toc184312071"/>
      <w:bookmarkEnd w:id="218"/>
      <w:bookmarkStart w:id="219" w:name="_Toc184313248"/>
      <w:bookmarkEnd w:id="219"/>
      <w:bookmarkStart w:id="220" w:name="_Toc184310341"/>
      <w:bookmarkEnd w:id="220"/>
      <w:bookmarkStart w:id="221" w:name="_Toc184312074"/>
      <w:bookmarkEnd w:id="221"/>
      <w:bookmarkStart w:id="222" w:name="_Toc184313255"/>
      <w:bookmarkEnd w:id="222"/>
      <w:bookmarkStart w:id="223" w:name="_Toc184308063"/>
      <w:bookmarkEnd w:id="223"/>
      <w:bookmarkStart w:id="224" w:name="_Toc184310287"/>
      <w:bookmarkEnd w:id="224"/>
      <w:bookmarkStart w:id="225" w:name="_Toc184314481"/>
      <w:bookmarkEnd w:id="225"/>
      <w:bookmarkStart w:id="226" w:name="_Toc184314469"/>
      <w:bookmarkEnd w:id="226"/>
      <w:bookmarkStart w:id="227" w:name="_Toc184312077"/>
      <w:bookmarkEnd w:id="227"/>
      <w:bookmarkStart w:id="228" w:name="_Toc184312101"/>
      <w:bookmarkEnd w:id="228"/>
      <w:bookmarkStart w:id="229" w:name="_Toc184308082"/>
      <w:bookmarkEnd w:id="229"/>
      <w:bookmarkStart w:id="230" w:name="_Toc184314448"/>
      <w:bookmarkEnd w:id="230"/>
      <w:bookmarkStart w:id="231" w:name="_Toc184312119"/>
      <w:bookmarkEnd w:id="231"/>
      <w:bookmarkStart w:id="232" w:name="_Toc184310321"/>
      <w:bookmarkEnd w:id="232"/>
      <w:bookmarkStart w:id="233" w:name="_Toc184314480"/>
      <w:bookmarkEnd w:id="233"/>
      <w:bookmarkStart w:id="234" w:name="_Toc184312130"/>
      <w:bookmarkEnd w:id="234"/>
      <w:bookmarkStart w:id="235" w:name="_Toc184313279"/>
      <w:bookmarkEnd w:id="235"/>
      <w:bookmarkStart w:id="236" w:name="_Toc184310317"/>
      <w:bookmarkEnd w:id="236"/>
      <w:bookmarkStart w:id="237" w:name="_Toc184308101"/>
      <w:bookmarkEnd w:id="237"/>
      <w:bookmarkStart w:id="238" w:name="_Toc184314425"/>
      <w:bookmarkEnd w:id="238"/>
      <w:bookmarkStart w:id="239" w:name="_Toc184312076"/>
      <w:bookmarkEnd w:id="239"/>
      <w:bookmarkStart w:id="240" w:name="_Toc184313293"/>
      <w:bookmarkEnd w:id="240"/>
      <w:bookmarkStart w:id="241" w:name="_Toc184312111"/>
      <w:bookmarkEnd w:id="241"/>
      <w:bookmarkStart w:id="242" w:name="_Toc184310303"/>
      <w:bookmarkEnd w:id="242"/>
      <w:bookmarkStart w:id="243" w:name="_Toc184314411"/>
      <w:bookmarkEnd w:id="243"/>
      <w:bookmarkStart w:id="244" w:name="_Toc184312114"/>
      <w:bookmarkEnd w:id="244"/>
      <w:bookmarkStart w:id="245" w:name="_Toc184310323"/>
      <w:bookmarkEnd w:id="245"/>
      <w:bookmarkStart w:id="246" w:name="_Toc184312105"/>
      <w:bookmarkEnd w:id="246"/>
      <w:bookmarkStart w:id="247" w:name="_Toc184312123"/>
      <w:bookmarkEnd w:id="247"/>
      <w:bookmarkStart w:id="248" w:name="_Toc184308108"/>
      <w:bookmarkEnd w:id="248"/>
      <w:bookmarkStart w:id="249" w:name="_Toc184312135"/>
      <w:bookmarkEnd w:id="249"/>
      <w:bookmarkStart w:id="250" w:name="_Toc184314454"/>
      <w:bookmarkEnd w:id="250"/>
      <w:bookmarkStart w:id="251" w:name="_Toc184313247"/>
      <w:bookmarkEnd w:id="251"/>
      <w:bookmarkStart w:id="252" w:name="_Toc184313287"/>
      <w:bookmarkEnd w:id="252"/>
      <w:bookmarkStart w:id="253" w:name="_Toc184312116"/>
      <w:bookmarkEnd w:id="253"/>
      <w:bookmarkStart w:id="254" w:name="_Toc184313299"/>
      <w:bookmarkEnd w:id="254"/>
      <w:bookmarkStart w:id="255" w:name="_Toc184310300"/>
      <w:bookmarkEnd w:id="255"/>
      <w:bookmarkStart w:id="256" w:name="_Toc184312104"/>
      <w:bookmarkEnd w:id="256"/>
      <w:bookmarkStart w:id="257" w:name="_Toc184314482"/>
      <w:bookmarkEnd w:id="257"/>
      <w:bookmarkStart w:id="258" w:name="_Toc184312121"/>
      <w:bookmarkEnd w:id="258"/>
      <w:bookmarkStart w:id="259" w:name="_Toc184313273"/>
      <w:bookmarkEnd w:id="259"/>
      <w:bookmarkStart w:id="260" w:name="_Toc184312103"/>
      <w:bookmarkEnd w:id="260"/>
      <w:bookmarkStart w:id="261" w:name="_Toc184308089"/>
      <w:bookmarkEnd w:id="261"/>
      <w:bookmarkStart w:id="262" w:name="_Toc184310276"/>
      <w:bookmarkEnd w:id="262"/>
      <w:bookmarkStart w:id="263" w:name="_Toc184313266"/>
      <w:bookmarkEnd w:id="263"/>
      <w:bookmarkStart w:id="264" w:name="_Toc184314455"/>
      <w:bookmarkEnd w:id="264"/>
      <w:bookmarkStart w:id="265" w:name="_Toc184308100"/>
      <w:bookmarkEnd w:id="265"/>
      <w:bookmarkStart w:id="266" w:name="_Toc184308087"/>
      <w:bookmarkEnd w:id="266"/>
      <w:bookmarkStart w:id="267" w:name="_Toc184314451"/>
      <w:bookmarkEnd w:id="267"/>
      <w:bookmarkStart w:id="268" w:name="_Toc184314445"/>
      <w:bookmarkEnd w:id="268"/>
      <w:bookmarkStart w:id="269" w:name="_Toc184314476"/>
      <w:bookmarkEnd w:id="269"/>
      <w:bookmarkStart w:id="270" w:name="_Toc184310293"/>
      <w:bookmarkEnd w:id="270"/>
      <w:bookmarkStart w:id="271" w:name="_Toc184310290"/>
      <w:bookmarkEnd w:id="271"/>
      <w:bookmarkStart w:id="272" w:name="_Toc184308104"/>
      <w:bookmarkEnd w:id="272"/>
      <w:bookmarkStart w:id="273" w:name="_Toc184314457"/>
      <w:bookmarkEnd w:id="273"/>
      <w:bookmarkStart w:id="274" w:name="_Toc184310313"/>
      <w:bookmarkEnd w:id="274"/>
      <w:bookmarkStart w:id="275" w:name="_Toc184314442"/>
      <w:bookmarkEnd w:id="275"/>
      <w:bookmarkStart w:id="276" w:name="_Toc184310316"/>
      <w:bookmarkEnd w:id="276"/>
      <w:bookmarkStart w:id="277" w:name="_Toc184310310"/>
      <w:bookmarkEnd w:id="277"/>
      <w:bookmarkStart w:id="278" w:name="_Toc184314443"/>
      <w:bookmarkEnd w:id="278"/>
      <w:bookmarkStart w:id="279" w:name="_Toc184308065"/>
      <w:bookmarkEnd w:id="279"/>
      <w:bookmarkStart w:id="280" w:name="_Toc184308040"/>
      <w:bookmarkEnd w:id="280"/>
      <w:bookmarkStart w:id="281" w:name="_Toc184312120"/>
      <w:bookmarkEnd w:id="281"/>
      <w:bookmarkStart w:id="282" w:name="_Toc184314422"/>
      <w:bookmarkEnd w:id="282"/>
      <w:bookmarkStart w:id="283" w:name="_Toc184314460"/>
      <w:bookmarkEnd w:id="283"/>
      <w:bookmarkStart w:id="284" w:name="_Toc184310330"/>
      <w:bookmarkEnd w:id="284"/>
      <w:bookmarkStart w:id="285" w:name="_Toc184313298"/>
      <w:bookmarkEnd w:id="285"/>
      <w:bookmarkStart w:id="286" w:name="_Toc184313288"/>
      <w:bookmarkEnd w:id="286"/>
      <w:bookmarkStart w:id="287" w:name="_Toc184308086"/>
      <w:bookmarkEnd w:id="287"/>
      <w:bookmarkStart w:id="288" w:name="_Toc184314419"/>
      <w:bookmarkEnd w:id="288"/>
      <w:bookmarkStart w:id="289" w:name="_Toc184314424"/>
      <w:bookmarkEnd w:id="289"/>
      <w:bookmarkStart w:id="290" w:name="_Toc184313300"/>
      <w:bookmarkEnd w:id="290"/>
      <w:bookmarkStart w:id="291" w:name="_Toc184312079"/>
      <w:bookmarkEnd w:id="291"/>
      <w:bookmarkStart w:id="292" w:name="_Toc184314447"/>
      <w:bookmarkEnd w:id="292"/>
      <w:bookmarkStart w:id="293" w:name="_Toc184314413"/>
      <w:bookmarkEnd w:id="293"/>
      <w:bookmarkStart w:id="294" w:name="_Toc184312110"/>
      <w:bookmarkEnd w:id="294"/>
      <w:bookmarkStart w:id="295" w:name="_Toc184313256"/>
      <w:bookmarkEnd w:id="295"/>
      <w:bookmarkStart w:id="296" w:name="_Toc184310309"/>
      <w:bookmarkEnd w:id="296"/>
      <w:bookmarkStart w:id="297" w:name="_Toc184310277"/>
      <w:bookmarkEnd w:id="297"/>
      <w:bookmarkStart w:id="298" w:name="_Toc184308045"/>
      <w:bookmarkEnd w:id="298"/>
      <w:bookmarkStart w:id="299" w:name="_Toc184310279"/>
      <w:bookmarkEnd w:id="299"/>
      <w:bookmarkStart w:id="300" w:name="_Toc184312117"/>
      <w:bookmarkEnd w:id="300"/>
      <w:bookmarkStart w:id="301" w:name="_Toc184313297"/>
      <w:bookmarkEnd w:id="301"/>
      <w:bookmarkStart w:id="302" w:name="_Toc184312095"/>
      <w:bookmarkEnd w:id="302"/>
      <w:bookmarkStart w:id="303" w:name="_Toc184310280"/>
      <w:bookmarkEnd w:id="303"/>
      <w:bookmarkStart w:id="304" w:name="_Toc184312091"/>
      <w:bookmarkEnd w:id="304"/>
      <w:bookmarkStart w:id="305" w:name="_Toc184310304"/>
      <w:bookmarkEnd w:id="305"/>
      <w:bookmarkStart w:id="306" w:name="_Toc184313258"/>
      <w:bookmarkEnd w:id="306"/>
      <w:bookmarkStart w:id="307" w:name="_Toc184310286"/>
      <w:bookmarkEnd w:id="307"/>
      <w:bookmarkStart w:id="308" w:name="_Toc184313307"/>
      <w:bookmarkEnd w:id="308"/>
      <w:bookmarkStart w:id="309" w:name="_Toc184312096"/>
      <w:bookmarkEnd w:id="309"/>
      <w:bookmarkStart w:id="310" w:name="_Toc184308073"/>
      <w:bookmarkEnd w:id="310"/>
      <w:bookmarkStart w:id="311" w:name="_Toc184312128"/>
      <w:bookmarkEnd w:id="311"/>
      <w:bookmarkStart w:id="312" w:name="_Toc184310344"/>
      <w:bookmarkEnd w:id="312"/>
      <w:bookmarkStart w:id="313" w:name="_Toc184308094"/>
      <w:bookmarkEnd w:id="313"/>
      <w:bookmarkStart w:id="314" w:name="_Toc184310288"/>
      <w:bookmarkEnd w:id="314"/>
      <w:bookmarkStart w:id="315" w:name="_Toc184313246"/>
      <w:bookmarkEnd w:id="315"/>
      <w:bookmarkStart w:id="316" w:name="_Toc184310332"/>
      <w:bookmarkEnd w:id="316"/>
      <w:bookmarkStart w:id="317" w:name="_Toc184312092"/>
      <w:bookmarkEnd w:id="317"/>
      <w:bookmarkStart w:id="318" w:name="_Toc184312112"/>
      <w:bookmarkEnd w:id="318"/>
      <w:bookmarkStart w:id="319" w:name="_Toc184308067"/>
      <w:bookmarkEnd w:id="319"/>
      <w:bookmarkStart w:id="320" w:name="_Toc184314434"/>
      <w:bookmarkEnd w:id="320"/>
      <w:bookmarkStart w:id="321" w:name="_Toc184310335"/>
      <w:bookmarkEnd w:id="321"/>
      <w:bookmarkStart w:id="322" w:name="_Toc184313264"/>
      <w:bookmarkEnd w:id="322"/>
      <w:bookmarkStart w:id="323" w:name="_Toc184308096"/>
      <w:bookmarkEnd w:id="323"/>
      <w:bookmarkStart w:id="324" w:name="_Toc184310289"/>
      <w:bookmarkEnd w:id="324"/>
      <w:bookmarkStart w:id="325" w:name="_Toc184312099"/>
      <w:bookmarkEnd w:id="325"/>
      <w:bookmarkStart w:id="326" w:name="_Toc184308051"/>
      <w:bookmarkEnd w:id="326"/>
      <w:bookmarkStart w:id="327" w:name="_Toc184308049"/>
      <w:bookmarkEnd w:id="327"/>
      <w:bookmarkStart w:id="328" w:name="_Toc184313274"/>
      <w:bookmarkEnd w:id="328"/>
      <w:bookmarkStart w:id="329" w:name="_Toc184312084"/>
      <w:bookmarkEnd w:id="329"/>
      <w:bookmarkStart w:id="330" w:name="_Toc184313268"/>
      <w:bookmarkEnd w:id="330"/>
      <w:bookmarkStart w:id="331" w:name="_Toc184314412"/>
      <w:bookmarkEnd w:id="331"/>
      <w:bookmarkStart w:id="332" w:name="_Toc184313259"/>
      <w:bookmarkEnd w:id="332"/>
      <w:bookmarkStart w:id="333" w:name="_Toc184313261"/>
      <w:bookmarkEnd w:id="333"/>
      <w:bookmarkStart w:id="334" w:name="_Toc184310325"/>
      <w:bookmarkEnd w:id="334"/>
      <w:bookmarkStart w:id="335" w:name="_Toc184312089"/>
      <w:bookmarkEnd w:id="335"/>
      <w:bookmarkStart w:id="336" w:name="_Toc184308036"/>
      <w:bookmarkEnd w:id="336"/>
      <w:bookmarkStart w:id="337" w:name="_Toc184312109"/>
      <w:bookmarkEnd w:id="337"/>
      <w:bookmarkStart w:id="338" w:name="_Toc184310283"/>
      <w:bookmarkEnd w:id="338"/>
      <w:bookmarkStart w:id="339" w:name="_Toc184312073"/>
      <w:bookmarkEnd w:id="339"/>
      <w:bookmarkStart w:id="340" w:name="_Toc184313252"/>
      <w:bookmarkEnd w:id="340"/>
      <w:bookmarkStart w:id="341" w:name="_Toc184313303"/>
      <w:bookmarkEnd w:id="341"/>
      <w:bookmarkStart w:id="342" w:name="_Toc184313295"/>
      <w:bookmarkEnd w:id="342"/>
      <w:bookmarkStart w:id="343" w:name="_Toc184310338"/>
      <w:bookmarkEnd w:id="343"/>
      <w:bookmarkStart w:id="344" w:name="_Toc184314428"/>
      <w:bookmarkEnd w:id="344"/>
      <w:bookmarkStart w:id="345" w:name="_Toc184310284"/>
      <w:bookmarkEnd w:id="345"/>
      <w:bookmarkStart w:id="346" w:name="_Toc184310331"/>
      <w:bookmarkEnd w:id="346"/>
      <w:bookmarkStart w:id="347" w:name="_Toc184308064"/>
      <w:bookmarkEnd w:id="347"/>
      <w:bookmarkStart w:id="348" w:name="_Toc184310336"/>
      <w:bookmarkEnd w:id="348"/>
      <w:bookmarkStart w:id="349" w:name="_Toc184314410"/>
      <w:bookmarkEnd w:id="349"/>
      <w:bookmarkStart w:id="350" w:name="_Toc184308038"/>
      <w:bookmarkEnd w:id="350"/>
      <w:bookmarkStart w:id="351" w:name="_Toc184313263"/>
      <w:bookmarkEnd w:id="351"/>
      <w:bookmarkStart w:id="352" w:name="_Toc184308068"/>
      <w:bookmarkEnd w:id="352"/>
      <w:bookmarkStart w:id="353" w:name="_Toc184310296"/>
      <w:bookmarkEnd w:id="353"/>
      <w:bookmarkStart w:id="354" w:name="_Toc184314423"/>
      <w:bookmarkEnd w:id="354"/>
      <w:bookmarkStart w:id="355" w:name="_Toc184310306"/>
      <w:bookmarkEnd w:id="355"/>
      <w:bookmarkStart w:id="356" w:name="_Toc184312098"/>
      <w:bookmarkEnd w:id="356"/>
      <w:bookmarkStart w:id="357" w:name="_Toc184313275"/>
      <w:bookmarkEnd w:id="357"/>
      <w:bookmarkStart w:id="358" w:name="_Toc184308046"/>
      <w:bookmarkEnd w:id="358"/>
      <w:bookmarkStart w:id="359" w:name="_Toc184314444"/>
      <w:bookmarkEnd w:id="359"/>
      <w:bookmarkStart w:id="360" w:name="_Toc184312108"/>
      <w:bookmarkEnd w:id="360"/>
      <w:bookmarkStart w:id="361" w:name="_Toc184310311"/>
      <w:bookmarkEnd w:id="361"/>
      <w:bookmarkStart w:id="362" w:name="_Toc184312138"/>
      <w:bookmarkEnd w:id="362"/>
      <w:bookmarkStart w:id="363" w:name="_Toc184308042"/>
      <w:bookmarkEnd w:id="363"/>
      <w:bookmarkStart w:id="364" w:name="_Toc184313257"/>
      <w:bookmarkEnd w:id="364"/>
      <w:bookmarkStart w:id="365" w:name="_Toc184313245"/>
      <w:bookmarkEnd w:id="365"/>
      <w:bookmarkStart w:id="366" w:name="_Toc184308099"/>
      <w:bookmarkEnd w:id="366"/>
      <w:bookmarkStart w:id="367" w:name="_Toc184313241"/>
      <w:bookmarkEnd w:id="367"/>
      <w:bookmarkStart w:id="368" w:name="_Toc184310329"/>
      <w:bookmarkEnd w:id="368"/>
      <w:bookmarkStart w:id="369" w:name="_Toc184314420"/>
      <w:bookmarkEnd w:id="369"/>
      <w:bookmarkStart w:id="370" w:name="_Toc184312136"/>
      <w:bookmarkEnd w:id="370"/>
      <w:bookmarkStart w:id="371" w:name="_Toc184314441"/>
      <w:bookmarkEnd w:id="371"/>
      <w:bookmarkStart w:id="372" w:name="_Toc184310282"/>
      <w:bookmarkEnd w:id="372"/>
      <w:bookmarkStart w:id="373" w:name="_Toc184308056"/>
      <w:bookmarkEnd w:id="373"/>
      <w:bookmarkStart w:id="374" w:name="_Toc184314415"/>
      <w:bookmarkEnd w:id="374"/>
      <w:bookmarkStart w:id="375" w:name="_Toc184313283"/>
      <w:bookmarkEnd w:id="375"/>
      <w:bookmarkStart w:id="376" w:name="_Toc184313242"/>
      <w:bookmarkEnd w:id="376"/>
      <w:bookmarkStart w:id="377" w:name="_Toc184310308"/>
      <w:bookmarkEnd w:id="377"/>
      <w:bookmarkStart w:id="378" w:name="_Toc184312139"/>
      <w:bookmarkEnd w:id="378"/>
      <w:bookmarkStart w:id="379" w:name="_Toc184314479"/>
      <w:bookmarkEnd w:id="379"/>
      <w:bookmarkStart w:id="380" w:name="_Toc184310339"/>
      <w:bookmarkEnd w:id="380"/>
      <w:bookmarkStart w:id="381" w:name="_Toc184314427"/>
      <w:bookmarkEnd w:id="381"/>
      <w:bookmarkStart w:id="382" w:name="_Toc184308106"/>
      <w:bookmarkEnd w:id="382"/>
      <w:bookmarkStart w:id="383" w:name="_Toc184310318"/>
      <w:bookmarkEnd w:id="383"/>
      <w:bookmarkStart w:id="384" w:name="_Toc184314468"/>
      <w:bookmarkEnd w:id="384"/>
      <w:bookmarkStart w:id="385" w:name="_Toc184310343"/>
      <w:bookmarkEnd w:id="385"/>
      <w:bookmarkStart w:id="386" w:name="_Toc184313249"/>
      <w:bookmarkEnd w:id="386"/>
      <w:bookmarkStart w:id="387" w:name="_Toc184308081"/>
      <w:bookmarkEnd w:id="387"/>
      <w:bookmarkStart w:id="388" w:name="_Toc184310301"/>
      <w:bookmarkEnd w:id="388"/>
      <w:bookmarkStart w:id="389" w:name="_Toc184314459"/>
      <w:bookmarkEnd w:id="389"/>
      <w:bookmarkStart w:id="390" w:name="_Toc184308103"/>
      <w:bookmarkEnd w:id="390"/>
      <w:bookmarkStart w:id="391" w:name="_Toc184308060"/>
      <w:bookmarkEnd w:id="391"/>
      <w:bookmarkStart w:id="392" w:name="_Toc184314473"/>
      <w:bookmarkEnd w:id="392"/>
      <w:bookmarkStart w:id="393" w:name="_Toc184312087"/>
      <w:bookmarkEnd w:id="393"/>
      <w:bookmarkStart w:id="394" w:name="_Toc184314436"/>
      <w:bookmarkEnd w:id="394"/>
      <w:bookmarkStart w:id="395" w:name="_Toc184314453"/>
      <w:bookmarkEnd w:id="395"/>
      <w:r>
        <w:rPr>
          <w:rFonts w:hint="eastAsia" w:ascii="宋体" w:hAnsi="宋体" w:cs="宋体"/>
          <w:b/>
          <w:sz w:val="36"/>
          <w:szCs w:val="36"/>
        </w:rPr>
        <w:t>评标办法</w:t>
      </w:r>
    </w:p>
    <w:p w14:paraId="1804B15B">
      <w:pPr>
        <w:adjustRightInd/>
        <w:spacing w:line="360" w:lineRule="auto"/>
        <w:ind w:firstLine="643" w:firstLineChars="200"/>
        <w:jc w:val="center"/>
        <w:rPr>
          <w:rFonts w:hint="eastAsia" w:ascii="仿宋" w:hAnsi="仿宋" w:eastAsia="仿宋" w:cs="仿宋"/>
          <w:b/>
          <w:sz w:val="32"/>
          <w:szCs w:val="20"/>
        </w:rPr>
      </w:pPr>
      <w:r>
        <w:rPr>
          <w:rFonts w:hint="eastAsia" w:ascii="仿宋" w:hAnsi="仿宋" w:eastAsia="仿宋" w:cs="仿宋"/>
          <w:b/>
          <w:sz w:val="32"/>
          <w:szCs w:val="20"/>
        </w:rPr>
        <w:t>评审办法前附表</w:t>
      </w:r>
    </w:p>
    <w:tbl>
      <w:tblPr>
        <w:tblStyle w:val="64"/>
        <w:tblW w:w="498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070"/>
        <w:gridCol w:w="8112"/>
      </w:tblGrid>
      <w:tr w14:paraId="0DFEB8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noWrap w:val="0"/>
            <w:vAlign w:val="center"/>
          </w:tcPr>
          <w:p w14:paraId="6CF92F0B">
            <w:pPr>
              <w:spacing w:line="340" w:lineRule="exact"/>
              <w:rPr>
                <w:color w:val="000000"/>
                <w:szCs w:val="21"/>
                <w:highlight w:val="none"/>
              </w:rPr>
            </w:pPr>
          </w:p>
        </w:tc>
        <w:tc>
          <w:tcPr>
            <w:tcW w:w="539" w:type="pct"/>
            <w:noWrap w:val="0"/>
            <w:vAlign w:val="center"/>
          </w:tcPr>
          <w:p w14:paraId="3B36AC01">
            <w:pPr>
              <w:spacing w:line="340" w:lineRule="exact"/>
              <w:jc w:val="center"/>
              <w:rPr>
                <w:color w:val="000000"/>
                <w:szCs w:val="21"/>
                <w:highlight w:val="none"/>
              </w:rPr>
            </w:pPr>
            <w:r>
              <w:rPr>
                <w:rFonts w:hint="eastAsia"/>
                <w:color w:val="000000"/>
                <w:highlight w:val="none"/>
              </w:rPr>
              <w:t>项目</w:t>
            </w:r>
          </w:p>
        </w:tc>
        <w:tc>
          <w:tcPr>
            <w:tcW w:w="4085" w:type="pct"/>
            <w:noWrap w:val="0"/>
            <w:vAlign w:val="center"/>
          </w:tcPr>
          <w:p w14:paraId="4F60F5EC">
            <w:pPr>
              <w:tabs>
                <w:tab w:val="left" w:pos="4915"/>
              </w:tabs>
              <w:spacing w:line="340" w:lineRule="exact"/>
              <w:jc w:val="center"/>
              <w:rPr>
                <w:color w:val="000000"/>
                <w:szCs w:val="21"/>
                <w:highlight w:val="none"/>
              </w:rPr>
            </w:pPr>
            <w:r>
              <w:rPr>
                <w:rFonts w:hint="eastAsia"/>
                <w:color w:val="000000"/>
                <w:highlight w:val="none"/>
              </w:rPr>
              <w:t>评分细则</w:t>
            </w:r>
          </w:p>
        </w:tc>
      </w:tr>
      <w:tr w14:paraId="024FDE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restart"/>
            <w:noWrap w:val="0"/>
            <w:vAlign w:val="center"/>
          </w:tcPr>
          <w:p w14:paraId="15870BEC">
            <w:pPr>
              <w:spacing w:line="340" w:lineRule="exact"/>
              <w:rPr>
                <w:color w:val="000000"/>
                <w:szCs w:val="21"/>
                <w:highlight w:val="none"/>
              </w:rPr>
            </w:pPr>
            <w:r>
              <w:rPr>
                <w:color w:val="000000"/>
                <w:szCs w:val="21"/>
                <w:highlight w:val="none"/>
              </w:rPr>
              <w:t>技术资信</w:t>
            </w:r>
            <w:r>
              <w:rPr>
                <w:rFonts w:hint="eastAsia"/>
                <w:color w:val="000000"/>
                <w:szCs w:val="21"/>
                <w:highlight w:val="none"/>
              </w:rPr>
              <w:t>部分</w:t>
            </w:r>
            <w:r>
              <w:rPr>
                <w:rFonts w:hint="eastAsia"/>
                <w:color w:val="000000"/>
                <w:szCs w:val="21"/>
                <w:highlight w:val="none"/>
                <w:lang w:val="en-US" w:eastAsia="zh-CN"/>
              </w:rPr>
              <w:t>70</w:t>
            </w:r>
            <w:r>
              <w:rPr>
                <w:color w:val="000000"/>
                <w:szCs w:val="21"/>
                <w:highlight w:val="none"/>
              </w:rPr>
              <w:t>分</w:t>
            </w:r>
          </w:p>
          <w:p w14:paraId="3EBB5328">
            <w:pPr>
              <w:widowControl/>
              <w:spacing w:line="340" w:lineRule="exact"/>
              <w:jc w:val="left"/>
              <w:rPr>
                <w:color w:val="000000"/>
                <w:szCs w:val="21"/>
                <w:highlight w:val="none"/>
              </w:rPr>
            </w:pPr>
          </w:p>
        </w:tc>
        <w:tc>
          <w:tcPr>
            <w:tcW w:w="539" w:type="pct"/>
            <w:vMerge w:val="restart"/>
            <w:noWrap w:val="0"/>
            <w:vAlign w:val="center"/>
          </w:tcPr>
          <w:p w14:paraId="294BD0A0">
            <w:pPr>
              <w:spacing w:line="340" w:lineRule="exact"/>
              <w:jc w:val="center"/>
              <w:rPr>
                <w:rFonts w:hint="eastAsia"/>
                <w:color w:val="000000"/>
                <w:szCs w:val="21"/>
                <w:highlight w:val="none"/>
              </w:rPr>
            </w:pPr>
            <w:r>
              <w:rPr>
                <w:rFonts w:hint="eastAsia"/>
                <w:color w:val="000000"/>
                <w:szCs w:val="21"/>
                <w:highlight w:val="none"/>
              </w:rPr>
              <w:t>施工组织方案</w:t>
            </w:r>
          </w:p>
          <w:p w14:paraId="2DB91FB0">
            <w:pPr>
              <w:spacing w:line="340" w:lineRule="exact"/>
              <w:jc w:val="center"/>
              <w:rPr>
                <w:color w:val="000000"/>
                <w:szCs w:val="21"/>
                <w:highlight w:val="none"/>
              </w:rPr>
            </w:pPr>
            <w:r>
              <w:rPr>
                <w:color w:val="000000"/>
                <w:szCs w:val="21"/>
                <w:highlight w:val="none"/>
              </w:rPr>
              <w:t>（</w:t>
            </w:r>
            <w:r>
              <w:rPr>
                <w:rFonts w:hint="eastAsia"/>
                <w:color w:val="000000"/>
                <w:szCs w:val="21"/>
                <w:highlight w:val="none"/>
                <w:lang w:val="en-US" w:eastAsia="zh-CN"/>
              </w:rPr>
              <w:t>39</w:t>
            </w:r>
            <w:r>
              <w:rPr>
                <w:color w:val="000000"/>
                <w:szCs w:val="21"/>
                <w:highlight w:val="none"/>
              </w:rPr>
              <w:t>分）</w:t>
            </w:r>
          </w:p>
        </w:tc>
        <w:tc>
          <w:tcPr>
            <w:tcW w:w="4085" w:type="pct"/>
            <w:noWrap w:val="0"/>
            <w:vAlign w:val="center"/>
          </w:tcPr>
          <w:p w14:paraId="7F3913B3">
            <w:pPr>
              <w:keepNext w:val="0"/>
              <w:keepLines w:val="0"/>
              <w:pageBreakBefore w:val="0"/>
              <w:widowControl w:val="0"/>
              <w:kinsoku/>
              <w:overflowPunct/>
              <w:topLinePunct w:val="0"/>
              <w:autoSpaceDE/>
              <w:autoSpaceDN/>
              <w:bidi w:val="0"/>
              <w:spacing w:line="400" w:lineRule="exact"/>
              <w:ind w:left="0" w:leftChars="0" w:right="0" w:rightChars="0"/>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根据供应商提供的</w:t>
            </w:r>
            <w:r>
              <w:rPr>
                <w:rFonts w:hint="eastAsia" w:ascii="宋体" w:hAnsi="宋体" w:cs="宋体"/>
                <w:color w:val="auto"/>
                <w:sz w:val="18"/>
                <w:szCs w:val="18"/>
                <w:highlight w:val="none"/>
                <w:lang w:eastAsia="zh-CN"/>
              </w:rPr>
              <w:t>施工</w:t>
            </w:r>
            <w:r>
              <w:rPr>
                <w:rFonts w:hint="eastAsia" w:ascii="宋体" w:hAnsi="宋体" w:cs="宋体"/>
                <w:color w:val="auto"/>
                <w:sz w:val="18"/>
                <w:szCs w:val="18"/>
                <w:highlight w:val="none"/>
              </w:rPr>
              <w:t>现场平面布置情况</w:t>
            </w:r>
            <w:r>
              <w:rPr>
                <w:rFonts w:hint="eastAsia" w:ascii="宋体" w:hAnsi="宋体" w:cs="宋体"/>
                <w:color w:val="auto"/>
                <w:sz w:val="18"/>
                <w:szCs w:val="18"/>
                <w:highlight w:val="none"/>
                <w:lang w:eastAsia="zh-CN"/>
              </w:rPr>
              <w:t>（包含但不仅限于方案详实情况；施工现场临时设置布置情况；</w:t>
            </w:r>
            <w:r>
              <w:rPr>
                <w:rFonts w:hint="eastAsia" w:ascii="宋体" w:hAnsi="宋体" w:cs="宋体"/>
                <w:color w:val="auto"/>
                <w:sz w:val="18"/>
                <w:szCs w:val="18"/>
                <w:highlight w:val="none"/>
                <w:lang w:val="en-US" w:eastAsia="zh-CN"/>
              </w:rPr>
              <w:t>施工现场堪踏情况；</w:t>
            </w:r>
            <w:r>
              <w:rPr>
                <w:rFonts w:hint="eastAsia" w:ascii="宋体" w:hAnsi="宋体" w:cs="宋体"/>
                <w:color w:val="auto"/>
                <w:sz w:val="18"/>
                <w:szCs w:val="18"/>
                <w:highlight w:val="none"/>
                <w:lang w:eastAsia="zh-CN"/>
              </w:rPr>
              <w:t>施工设备、原材料堆放情况；安全警示情况；施工现场安全通道、消防设施配备情况等）（</w:t>
            </w:r>
            <w:r>
              <w:rPr>
                <w:rFonts w:hint="eastAsia" w:ascii="宋体" w:hAnsi="宋体" w:cs="宋体"/>
                <w:color w:val="auto"/>
                <w:sz w:val="18"/>
                <w:szCs w:val="18"/>
                <w:highlight w:val="none"/>
                <w:lang w:val="en-US" w:eastAsia="zh-CN"/>
              </w:rPr>
              <w:t>5分</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w:t>
            </w:r>
          </w:p>
          <w:p w14:paraId="6A5E78A7">
            <w:pPr>
              <w:keepNext w:val="0"/>
              <w:keepLines w:val="0"/>
              <w:pageBreakBefore w:val="0"/>
              <w:widowControl w:val="0"/>
              <w:kinsoku/>
              <w:overflowPunct/>
              <w:topLinePunct w:val="0"/>
              <w:autoSpaceDE/>
              <w:autoSpaceDN/>
              <w:bidi w:val="0"/>
              <w:spacing w:line="400" w:lineRule="exact"/>
              <w:ind w:left="0" w:leftChars="0" w:right="0" w:rightChars="0"/>
              <w:textAlignment w:val="auto"/>
              <w:rPr>
                <w:rFonts w:hint="eastAsia" w:ascii="宋体" w:hAnsi="宋体" w:cs="宋体"/>
                <w:color w:val="auto"/>
                <w:sz w:val="18"/>
                <w:szCs w:val="18"/>
                <w:highlight w:val="none"/>
              </w:rPr>
            </w:pPr>
            <w:r>
              <w:rPr>
                <w:rFonts w:hint="eastAsia" w:cs="宋体"/>
                <w:color w:val="000000"/>
                <w:sz w:val="18"/>
                <w:szCs w:val="18"/>
                <w:highlight w:val="none"/>
                <w:lang w:val="en-US" w:eastAsia="zh-CN"/>
              </w:rPr>
              <w:t>①</w:t>
            </w:r>
            <w:r>
              <w:rPr>
                <w:rFonts w:hint="eastAsia" w:ascii="宋体" w:hAnsi="宋体" w:cs="宋体"/>
                <w:color w:val="auto"/>
                <w:sz w:val="18"/>
                <w:szCs w:val="18"/>
                <w:highlight w:val="none"/>
              </w:rPr>
              <w:t>平面布置方案详实完整，</w:t>
            </w:r>
            <w:r>
              <w:rPr>
                <w:rFonts w:hint="eastAsia" w:ascii="宋体" w:hAnsi="宋体" w:cs="宋体"/>
                <w:color w:val="auto"/>
                <w:sz w:val="18"/>
                <w:szCs w:val="18"/>
                <w:highlight w:val="none"/>
                <w:lang w:eastAsia="zh-CN"/>
              </w:rPr>
              <w:t>施工现场临时设施布置齐全，</w:t>
            </w:r>
            <w:r>
              <w:rPr>
                <w:rFonts w:hint="eastAsia" w:ascii="宋体" w:hAnsi="宋体" w:cs="宋体"/>
                <w:color w:val="auto"/>
                <w:sz w:val="18"/>
                <w:szCs w:val="18"/>
                <w:highlight w:val="none"/>
                <w:lang w:val="en-US" w:eastAsia="zh-CN"/>
              </w:rPr>
              <w:t>施工现场堪踏情况详细，</w:t>
            </w:r>
            <w:r>
              <w:rPr>
                <w:rFonts w:hint="eastAsia" w:ascii="宋体" w:hAnsi="宋体" w:cs="宋体"/>
                <w:color w:val="auto"/>
                <w:sz w:val="18"/>
                <w:szCs w:val="18"/>
                <w:highlight w:val="none"/>
                <w:lang w:eastAsia="zh-CN"/>
              </w:rPr>
              <w:t>施工设备、原材料堆放有序，安全警示醒目，施工现场安全通道、消防设施配备充足，可执行力高</w:t>
            </w:r>
            <w:r>
              <w:rPr>
                <w:rFonts w:hint="eastAsia" w:ascii="宋体" w:hAnsi="宋体" w:cs="宋体"/>
                <w:color w:val="auto"/>
                <w:sz w:val="18"/>
                <w:szCs w:val="18"/>
                <w:highlight w:val="none"/>
              </w:rPr>
              <w:t>的得</w:t>
            </w: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分；</w:t>
            </w:r>
          </w:p>
          <w:p w14:paraId="6CF49697">
            <w:pPr>
              <w:keepNext w:val="0"/>
              <w:keepLines w:val="0"/>
              <w:pageBreakBefore w:val="0"/>
              <w:widowControl w:val="0"/>
              <w:kinsoku/>
              <w:overflowPunct/>
              <w:topLinePunct w:val="0"/>
              <w:autoSpaceDE/>
              <w:autoSpaceDN/>
              <w:bidi w:val="0"/>
              <w:spacing w:line="400" w:lineRule="exact"/>
              <w:ind w:left="0" w:leftChars="0" w:right="0" w:rightChars="0"/>
              <w:textAlignment w:val="auto"/>
              <w:rPr>
                <w:rFonts w:hint="eastAsia" w:ascii="宋体" w:hAnsi="宋体" w:cs="宋体"/>
                <w:color w:val="auto"/>
                <w:sz w:val="18"/>
                <w:szCs w:val="18"/>
                <w:highlight w:val="none"/>
              </w:rPr>
            </w:pPr>
            <w:r>
              <w:rPr>
                <w:rFonts w:hint="eastAsia" w:ascii="Times New Roman" w:hAnsi="Times New Roman" w:eastAsia="宋体" w:cs="宋体"/>
                <w:color w:val="000000"/>
                <w:sz w:val="18"/>
                <w:szCs w:val="18"/>
                <w:highlight w:val="none"/>
                <w:lang w:val="en-US" w:eastAsia="zh-CN"/>
              </w:rPr>
              <w:t>②</w:t>
            </w:r>
            <w:r>
              <w:rPr>
                <w:rFonts w:hint="eastAsia" w:ascii="宋体" w:hAnsi="宋体" w:cs="宋体"/>
                <w:color w:val="auto"/>
                <w:sz w:val="18"/>
                <w:szCs w:val="18"/>
                <w:highlight w:val="none"/>
              </w:rPr>
              <w:t>平面布置方案内容充分，较详细，</w:t>
            </w:r>
            <w:r>
              <w:rPr>
                <w:rFonts w:hint="eastAsia" w:ascii="宋体" w:hAnsi="宋体" w:cs="宋体"/>
                <w:color w:val="auto"/>
                <w:sz w:val="18"/>
                <w:szCs w:val="18"/>
                <w:highlight w:val="none"/>
                <w:lang w:eastAsia="zh-CN"/>
              </w:rPr>
              <w:t>施工现场临时设施布置较齐全，</w:t>
            </w:r>
            <w:r>
              <w:rPr>
                <w:rFonts w:hint="eastAsia" w:ascii="宋体" w:hAnsi="宋体" w:cs="宋体"/>
                <w:color w:val="auto"/>
                <w:sz w:val="18"/>
                <w:szCs w:val="18"/>
                <w:highlight w:val="none"/>
                <w:lang w:val="en-US" w:eastAsia="zh-CN"/>
              </w:rPr>
              <w:t>施工现场堪踏情况较详细，</w:t>
            </w:r>
            <w:r>
              <w:rPr>
                <w:rFonts w:hint="eastAsia" w:ascii="宋体" w:hAnsi="宋体" w:cs="宋体"/>
                <w:color w:val="auto"/>
                <w:sz w:val="18"/>
                <w:szCs w:val="18"/>
                <w:highlight w:val="none"/>
                <w:lang w:eastAsia="zh-CN"/>
              </w:rPr>
              <w:t>施工设备、原材料堆放较有序，安全警示较醒目，施工现场安全通道、消防设施配备较充足，</w:t>
            </w:r>
            <w:r>
              <w:rPr>
                <w:rFonts w:hint="eastAsia" w:ascii="宋体" w:hAnsi="宋体" w:cs="宋体"/>
                <w:color w:val="auto"/>
                <w:sz w:val="18"/>
                <w:szCs w:val="18"/>
                <w:highlight w:val="none"/>
              </w:rPr>
              <w:t>可执行力度较高的得</w:t>
            </w: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分；</w:t>
            </w:r>
          </w:p>
          <w:p w14:paraId="71BAD9E0">
            <w:pPr>
              <w:keepNext w:val="0"/>
              <w:keepLines w:val="0"/>
              <w:pageBreakBefore w:val="0"/>
              <w:widowControl w:val="0"/>
              <w:kinsoku/>
              <w:overflowPunct/>
              <w:topLinePunct w:val="0"/>
              <w:autoSpaceDE/>
              <w:autoSpaceDN/>
              <w:bidi w:val="0"/>
              <w:spacing w:line="400" w:lineRule="exact"/>
              <w:ind w:left="0" w:leftChars="0" w:right="0" w:righ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b w:val="0"/>
                <w:bCs w:val="0"/>
                <w:strike w:val="0"/>
                <w:dstrike w:val="0"/>
                <w:color w:val="auto"/>
                <w:sz w:val="18"/>
                <w:szCs w:val="18"/>
                <w:highlight w:val="none"/>
                <w:lang w:val="en-US" w:eastAsia="zh-CN"/>
              </w:rPr>
              <w:t>③</w:t>
            </w:r>
            <w:r>
              <w:rPr>
                <w:rFonts w:hint="eastAsia" w:ascii="宋体" w:hAnsi="宋体" w:eastAsia="宋体" w:cs="宋体"/>
                <w:color w:val="auto"/>
                <w:sz w:val="18"/>
                <w:szCs w:val="18"/>
                <w:highlight w:val="none"/>
                <w:lang w:eastAsia="zh-CN"/>
              </w:rPr>
              <w:t>平面布置方案内容</w:t>
            </w:r>
            <w:r>
              <w:rPr>
                <w:rFonts w:hint="eastAsia" w:ascii="宋体" w:hAnsi="宋体" w:eastAsia="宋体" w:cs="宋体"/>
                <w:color w:val="auto"/>
                <w:sz w:val="18"/>
                <w:szCs w:val="18"/>
                <w:highlight w:val="none"/>
                <w:lang w:val="en-US" w:eastAsia="zh-CN"/>
              </w:rPr>
              <w:t>一般</w:t>
            </w:r>
            <w:r>
              <w:rPr>
                <w:rFonts w:hint="eastAsia" w:ascii="宋体" w:hAnsi="宋体" w:eastAsia="宋体" w:cs="宋体"/>
                <w:color w:val="auto"/>
                <w:sz w:val="18"/>
                <w:szCs w:val="18"/>
                <w:highlight w:val="none"/>
                <w:lang w:eastAsia="zh-CN"/>
              </w:rPr>
              <w:t>，施工现场临时设施布置</w:t>
            </w:r>
            <w:r>
              <w:rPr>
                <w:rFonts w:hint="eastAsia" w:ascii="宋体" w:hAnsi="宋体" w:eastAsia="宋体" w:cs="宋体"/>
                <w:color w:val="auto"/>
                <w:sz w:val="18"/>
                <w:szCs w:val="18"/>
                <w:highlight w:val="none"/>
                <w:lang w:val="en-US" w:eastAsia="zh-CN"/>
              </w:rPr>
              <w:t>一般</w:t>
            </w:r>
            <w:r>
              <w:rPr>
                <w:rFonts w:hint="eastAsia" w:ascii="宋体" w:hAnsi="宋体" w:eastAsia="宋体" w:cs="宋体"/>
                <w:color w:val="auto"/>
                <w:sz w:val="18"/>
                <w:szCs w:val="18"/>
                <w:highlight w:val="none"/>
                <w:lang w:eastAsia="zh-CN"/>
              </w:rPr>
              <w:t>，</w:t>
            </w:r>
            <w:r>
              <w:rPr>
                <w:rFonts w:hint="eastAsia" w:ascii="宋体" w:hAnsi="宋体" w:cs="宋体"/>
                <w:color w:val="auto"/>
                <w:sz w:val="18"/>
                <w:szCs w:val="18"/>
                <w:highlight w:val="none"/>
                <w:lang w:val="en-US" w:eastAsia="zh-CN"/>
              </w:rPr>
              <w:t>施工现场堪踏情况一般，</w:t>
            </w:r>
            <w:r>
              <w:rPr>
                <w:rFonts w:hint="eastAsia" w:ascii="宋体" w:hAnsi="宋体" w:eastAsia="宋体" w:cs="宋体"/>
                <w:color w:val="auto"/>
                <w:sz w:val="18"/>
                <w:szCs w:val="18"/>
                <w:highlight w:val="none"/>
                <w:lang w:eastAsia="zh-CN"/>
              </w:rPr>
              <w:t>施工设备、原材料堆放</w:t>
            </w:r>
            <w:r>
              <w:rPr>
                <w:rFonts w:hint="eastAsia" w:ascii="宋体" w:hAnsi="宋体" w:cs="宋体"/>
                <w:color w:val="auto"/>
                <w:sz w:val="18"/>
                <w:szCs w:val="18"/>
                <w:highlight w:val="none"/>
                <w:lang w:eastAsia="zh-CN"/>
              </w:rPr>
              <w:t>较有序</w:t>
            </w:r>
            <w:r>
              <w:rPr>
                <w:rFonts w:hint="eastAsia" w:ascii="宋体" w:hAnsi="宋体" w:eastAsia="宋体" w:cs="宋体"/>
                <w:color w:val="auto"/>
                <w:sz w:val="18"/>
                <w:szCs w:val="18"/>
                <w:highlight w:val="none"/>
                <w:lang w:eastAsia="zh-CN"/>
              </w:rPr>
              <w:t>，安全警示</w:t>
            </w:r>
            <w:r>
              <w:rPr>
                <w:rFonts w:hint="eastAsia" w:ascii="宋体" w:hAnsi="宋体" w:cs="宋体"/>
                <w:color w:val="auto"/>
                <w:sz w:val="18"/>
                <w:szCs w:val="18"/>
                <w:highlight w:val="none"/>
                <w:lang w:eastAsia="zh-CN"/>
              </w:rPr>
              <w:t>较醒目</w:t>
            </w:r>
            <w:r>
              <w:rPr>
                <w:rFonts w:hint="eastAsia" w:ascii="宋体" w:hAnsi="宋体" w:eastAsia="宋体" w:cs="宋体"/>
                <w:color w:val="auto"/>
                <w:sz w:val="18"/>
                <w:szCs w:val="18"/>
                <w:highlight w:val="none"/>
                <w:lang w:eastAsia="zh-CN"/>
              </w:rPr>
              <w:t>，施工现场安全通道、消防设施配备</w:t>
            </w:r>
            <w:r>
              <w:rPr>
                <w:rFonts w:hint="eastAsia" w:ascii="宋体" w:hAnsi="宋体" w:cs="宋体"/>
                <w:color w:val="auto"/>
                <w:sz w:val="18"/>
                <w:szCs w:val="18"/>
                <w:highlight w:val="none"/>
                <w:lang w:eastAsia="zh-CN"/>
              </w:rPr>
              <w:t>较充足</w:t>
            </w:r>
            <w:r>
              <w:rPr>
                <w:rFonts w:hint="eastAsia" w:ascii="宋体" w:hAnsi="宋体" w:eastAsia="宋体" w:cs="宋体"/>
                <w:color w:val="auto"/>
                <w:sz w:val="18"/>
                <w:szCs w:val="18"/>
                <w:highlight w:val="none"/>
                <w:lang w:eastAsia="zh-CN"/>
              </w:rPr>
              <w:t>，可执行力</w:t>
            </w:r>
            <w:r>
              <w:rPr>
                <w:rFonts w:hint="eastAsia" w:ascii="宋体" w:hAnsi="宋体" w:eastAsia="宋体" w:cs="宋体"/>
                <w:color w:val="auto"/>
                <w:sz w:val="18"/>
                <w:szCs w:val="18"/>
                <w:highlight w:val="none"/>
                <w:lang w:val="en-US" w:eastAsia="zh-CN"/>
              </w:rPr>
              <w:t>一般的</w:t>
            </w:r>
            <w:r>
              <w:rPr>
                <w:rFonts w:hint="eastAsia" w:ascii="宋体" w:hAnsi="宋体" w:eastAsia="宋体" w:cs="宋体"/>
                <w:color w:val="auto"/>
                <w:sz w:val="18"/>
                <w:szCs w:val="18"/>
                <w:highlight w:val="none"/>
                <w:lang w:eastAsia="zh-CN"/>
              </w:rPr>
              <w:t>得</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lang w:eastAsia="zh-CN"/>
              </w:rPr>
              <w:t>分</w:t>
            </w:r>
          </w:p>
          <w:p w14:paraId="215C9329">
            <w:pPr>
              <w:keepNext w:val="0"/>
              <w:keepLines w:val="0"/>
              <w:pageBreakBefore w:val="0"/>
              <w:widowControl w:val="0"/>
              <w:kinsoku/>
              <w:overflowPunct/>
              <w:topLinePunct w:val="0"/>
              <w:autoSpaceDE/>
              <w:autoSpaceDN/>
              <w:bidi w:val="0"/>
              <w:spacing w:line="400" w:lineRule="exact"/>
              <w:ind w:left="0" w:leftChars="0" w:right="0" w:rightChars="0"/>
              <w:textAlignment w:val="auto"/>
              <w:rPr>
                <w:rFonts w:hint="eastAsia" w:ascii="宋体" w:hAnsi="宋体" w:eastAsia="宋体" w:cs="宋体"/>
                <w:color w:val="auto"/>
                <w:sz w:val="18"/>
                <w:szCs w:val="18"/>
                <w:highlight w:val="none"/>
                <w:lang w:eastAsia="zh-CN"/>
              </w:rPr>
            </w:pPr>
            <w:r>
              <w:rPr>
                <w:rFonts w:hint="eastAsia" w:ascii="Times New Roman" w:hAnsi="Times New Roman" w:eastAsia="宋体" w:cs="宋体"/>
                <w:color w:val="000000"/>
                <w:sz w:val="18"/>
                <w:szCs w:val="18"/>
                <w:highlight w:val="none"/>
                <w:lang w:val="en-US" w:eastAsia="zh-CN"/>
              </w:rPr>
              <w:t>④</w:t>
            </w:r>
            <w:r>
              <w:rPr>
                <w:rFonts w:hint="eastAsia" w:ascii="宋体" w:hAnsi="宋体" w:eastAsia="宋体" w:cs="宋体"/>
                <w:color w:val="auto"/>
                <w:sz w:val="18"/>
                <w:szCs w:val="18"/>
                <w:highlight w:val="none"/>
                <w:lang w:eastAsia="zh-CN"/>
              </w:rPr>
              <w:t>平面布置方案内容不够完整，施工现场临时设施布置不够齐全，</w:t>
            </w:r>
            <w:r>
              <w:rPr>
                <w:rFonts w:hint="eastAsia" w:ascii="宋体" w:hAnsi="宋体" w:cs="宋体"/>
                <w:color w:val="auto"/>
                <w:sz w:val="18"/>
                <w:szCs w:val="18"/>
                <w:highlight w:val="none"/>
                <w:lang w:val="en-US" w:eastAsia="zh-CN"/>
              </w:rPr>
              <w:t>施工现场堪踏情况不够详细，</w:t>
            </w:r>
            <w:r>
              <w:rPr>
                <w:rFonts w:hint="eastAsia" w:ascii="宋体" w:hAnsi="宋体" w:eastAsia="宋体" w:cs="宋体"/>
                <w:color w:val="auto"/>
                <w:sz w:val="18"/>
                <w:szCs w:val="18"/>
                <w:highlight w:val="none"/>
                <w:lang w:eastAsia="zh-CN"/>
              </w:rPr>
              <w:t>施工设备、原材料堆放较混乱，安全警示不够醒目，施工现场安全通道、消防设施配备不够充足，可执行力较低的得</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分；</w:t>
            </w:r>
          </w:p>
          <w:p w14:paraId="0A6196EC">
            <w:pPr>
              <w:keepNext w:val="0"/>
              <w:keepLines w:val="0"/>
              <w:pageBreakBefore w:val="0"/>
              <w:widowControl w:val="0"/>
              <w:kinsoku/>
              <w:overflowPunct/>
              <w:topLinePunct w:val="0"/>
              <w:autoSpaceDE/>
              <w:autoSpaceDN/>
              <w:bidi w:val="0"/>
              <w:spacing w:line="400" w:lineRule="exact"/>
              <w:ind w:left="0" w:leftChars="0" w:right="0" w:rightChars="0"/>
              <w:textAlignment w:val="auto"/>
              <w:rPr>
                <w:rFonts w:hint="eastAsia" w:ascii="宋体" w:hAnsi="宋体" w:cs="宋体"/>
                <w:color w:val="auto"/>
                <w:sz w:val="18"/>
                <w:szCs w:val="18"/>
                <w:highlight w:val="none"/>
              </w:rPr>
            </w:pPr>
            <w:r>
              <w:rPr>
                <w:rFonts w:hint="eastAsia" w:ascii="宋体" w:hAnsi="宋体" w:eastAsia="宋体" w:cs="宋体"/>
                <w:strike w:val="0"/>
                <w:dstrike w:val="0"/>
                <w:color w:val="auto"/>
                <w:sz w:val="18"/>
                <w:szCs w:val="18"/>
                <w:highlight w:val="none"/>
                <w:lang w:val="en-US" w:eastAsia="zh-CN"/>
              </w:rPr>
              <w:t>⑤</w:t>
            </w:r>
            <w:r>
              <w:rPr>
                <w:rFonts w:hint="eastAsia" w:ascii="宋体" w:hAnsi="宋体" w:cs="宋体"/>
                <w:color w:val="auto"/>
                <w:sz w:val="18"/>
                <w:szCs w:val="18"/>
                <w:highlight w:val="none"/>
              </w:rPr>
              <w:t>平面布置方案内容简单，</w:t>
            </w:r>
            <w:r>
              <w:rPr>
                <w:rFonts w:hint="eastAsia" w:ascii="宋体" w:hAnsi="宋体" w:cs="宋体"/>
                <w:color w:val="auto"/>
                <w:sz w:val="18"/>
                <w:szCs w:val="18"/>
                <w:highlight w:val="none"/>
                <w:lang w:eastAsia="zh-CN"/>
              </w:rPr>
              <w:t>施工现场临时设施布置缺失，</w:t>
            </w:r>
            <w:r>
              <w:rPr>
                <w:rFonts w:hint="eastAsia" w:ascii="宋体" w:hAnsi="宋体" w:cs="宋体"/>
                <w:color w:val="auto"/>
                <w:sz w:val="18"/>
                <w:szCs w:val="18"/>
                <w:highlight w:val="none"/>
                <w:lang w:val="en-US" w:eastAsia="zh-CN"/>
              </w:rPr>
              <w:t>施工现场无堪踏，</w:t>
            </w:r>
            <w:r>
              <w:rPr>
                <w:rFonts w:hint="eastAsia" w:ascii="宋体" w:hAnsi="宋体" w:cs="宋体"/>
                <w:color w:val="auto"/>
                <w:sz w:val="18"/>
                <w:szCs w:val="18"/>
                <w:highlight w:val="none"/>
                <w:lang w:eastAsia="zh-CN"/>
              </w:rPr>
              <w:t>施工设备、原材料堆放混乱，安全警示不醒目，施工现场安全通道、消防设施配备不充足，</w:t>
            </w:r>
            <w:r>
              <w:rPr>
                <w:rFonts w:hint="eastAsia" w:ascii="宋体" w:hAnsi="宋体" w:cs="宋体"/>
                <w:color w:val="auto"/>
                <w:sz w:val="18"/>
                <w:szCs w:val="18"/>
                <w:highlight w:val="none"/>
              </w:rPr>
              <w:t>可执行力低的得</w:t>
            </w:r>
            <w:r>
              <w:rPr>
                <w:rFonts w:hint="eastAsia" w:ascii="宋体" w:hAnsi="宋体" w:cs="宋体"/>
                <w:color w:val="auto"/>
                <w:sz w:val="18"/>
                <w:szCs w:val="18"/>
                <w:highlight w:val="none"/>
                <w:lang w:val="en-US" w:eastAsia="zh-CN"/>
              </w:rPr>
              <w:t>1</w:t>
            </w:r>
            <w:r>
              <w:rPr>
                <w:rFonts w:hint="eastAsia" w:ascii="宋体" w:hAnsi="宋体" w:cs="宋体"/>
                <w:color w:val="auto"/>
                <w:sz w:val="18"/>
                <w:szCs w:val="18"/>
                <w:highlight w:val="none"/>
              </w:rPr>
              <w:t>分；</w:t>
            </w:r>
          </w:p>
          <w:p w14:paraId="03379F5B">
            <w:pPr>
              <w:tabs>
                <w:tab w:val="left" w:pos="4915"/>
              </w:tabs>
              <w:spacing w:line="340" w:lineRule="exact"/>
              <w:rPr>
                <w:rFonts w:hint="eastAsia" w:eastAsia="宋体" w:cs="宋体"/>
                <w:color w:val="000000"/>
                <w:kern w:val="2"/>
                <w:sz w:val="18"/>
                <w:szCs w:val="18"/>
                <w:highlight w:val="none"/>
                <w:lang w:val="en-US" w:eastAsia="zh-CN" w:bidi="ar-SA"/>
              </w:rPr>
            </w:pPr>
            <w:r>
              <w:rPr>
                <w:rFonts w:hint="eastAsia" w:ascii="宋体" w:hAnsi="宋体" w:cs="宋体"/>
                <w:color w:val="auto"/>
                <w:sz w:val="18"/>
                <w:szCs w:val="18"/>
                <w:highlight w:val="none"/>
              </w:rPr>
              <w:t>未提供施工现场平面布置情况的本项不得分。</w:t>
            </w:r>
          </w:p>
        </w:tc>
      </w:tr>
      <w:tr w14:paraId="65792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43425E86">
            <w:pPr>
              <w:widowControl/>
              <w:spacing w:line="340" w:lineRule="exact"/>
              <w:jc w:val="left"/>
              <w:rPr>
                <w:color w:val="000000"/>
                <w:szCs w:val="21"/>
                <w:highlight w:val="none"/>
              </w:rPr>
            </w:pPr>
          </w:p>
        </w:tc>
        <w:tc>
          <w:tcPr>
            <w:tcW w:w="539" w:type="pct"/>
            <w:vMerge w:val="continue"/>
            <w:noWrap w:val="0"/>
            <w:vAlign w:val="center"/>
          </w:tcPr>
          <w:p w14:paraId="6AD676A3">
            <w:pPr>
              <w:spacing w:line="340" w:lineRule="exact"/>
              <w:jc w:val="center"/>
              <w:rPr>
                <w:color w:val="000000"/>
                <w:szCs w:val="21"/>
                <w:highlight w:val="none"/>
              </w:rPr>
            </w:pPr>
          </w:p>
        </w:tc>
        <w:tc>
          <w:tcPr>
            <w:tcW w:w="4085" w:type="pct"/>
            <w:noWrap w:val="0"/>
            <w:vAlign w:val="center"/>
          </w:tcPr>
          <w:p w14:paraId="57BF0C9A">
            <w:pPr>
              <w:autoSpaceDE w:val="0"/>
              <w:autoSpaceDN w:val="0"/>
              <w:spacing w:line="380" w:lineRule="atLeast"/>
              <w:jc w:val="left"/>
              <w:rPr>
                <w:rFonts w:hint="eastAsia" w:ascii="Times New Roman" w:hAnsi="宋体" w:eastAsia="宋体" w:cs="宋体"/>
                <w:color w:val="auto"/>
                <w:sz w:val="18"/>
                <w:szCs w:val="18"/>
                <w:highlight w:val="none"/>
                <w:lang w:val="en-US" w:eastAsia="zh-CN"/>
              </w:rPr>
            </w:pPr>
            <w:r>
              <w:rPr>
                <w:rFonts w:hint="eastAsia" w:ascii="Times New Roman" w:hAnsi="宋体" w:eastAsia="宋体" w:cs="宋体"/>
                <w:color w:val="auto"/>
                <w:sz w:val="18"/>
                <w:szCs w:val="18"/>
                <w:highlight w:val="none"/>
                <w:lang w:val="en-US" w:eastAsia="zh-CN"/>
              </w:rPr>
              <w:t>关于</w:t>
            </w:r>
            <w:r>
              <w:rPr>
                <w:rFonts w:hint="eastAsia" w:ascii="Times New Roman" w:hAnsi="宋体" w:eastAsia="宋体" w:cs="宋体"/>
                <w:color w:val="auto"/>
                <w:sz w:val="18"/>
                <w:szCs w:val="18"/>
                <w:highlight w:val="none"/>
              </w:rPr>
              <w:t>施工组织设计内容全面性、合理性，针对性及可操作性</w:t>
            </w:r>
            <w:r>
              <w:rPr>
                <w:rFonts w:hint="eastAsia" w:ascii="Times New Roman" w:hAnsi="宋体" w:eastAsia="宋体" w:cs="宋体"/>
                <w:color w:val="auto"/>
                <w:sz w:val="18"/>
                <w:szCs w:val="18"/>
                <w:highlight w:val="none"/>
                <w:lang w:val="en-US" w:eastAsia="zh-CN"/>
              </w:rPr>
              <w:t>进行综合评议（5分）：</w:t>
            </w:r>
          </w:p>
          <w:p w14:paraId="3AD5F539">
            <w:pPr>
              <w:autoSpaceDE w:val="0"/>
              <w:autoSpaceDN w:val="0"/>
              <w:spacing w:line="380" w:lineRule="atLeast"/>
              <w:jc w:val="left"/>
              <w:rPr>
                <w:rFonts w:hint="eastAsia" w:ascii="Times New Roman" w:hAnsi="宋体" w:eastAsia="宋体" w:cs="宋体"/>
                <w:color w:val="auto"/>
                <w:sz w:val="18"/>
                <w:szCs w:val="18"/>
                <w:highlight w:val="none"/>
              </w:rPr>
            </w:pPr>
            <w:r>
              <w:rPr>
                <w:rFonts w:hint="eastAsia" w:cs="宋体"/>
                <w:color w:val="000000"/>
                <w:sz w:val="18"/>
                <w:szCs w:val="18"/>
                <w:highlight w:val="none"/>
                <w:lang w:val="en-US" w:eastAsia="zh-CN"/>
              </w:rPr>
              <w:t>①</w:t>
            </w:r>
            <w:r>
              <w:rPr>
                <w:rFonts w:hint="eastAsia" w:ascii="Times New Roman" w:hAnsi="宋体" w:eastAsia="宋体" w:cs="宋体"/>
                <w:color w:val="auto"/>
                <w:sz w:val="18"/>
                <w:szCs w:val="18"/>
                <w:highlight w:val="none"/>
                <w:lang w:val="en-US" w:eastAsia="zh-CN"/>
              </w:rPr>
              <w:t>对</w:t>
            </w:r>
            <w:r>
              <w:rPr>
                <w:rFonts w:hint="eastAsia" w:ascii="Times New Roman" w:hAnsi="宋体" w:eastAsia="宋体" w:cs="宋体"/>
                <w:color w:val="auto"/>
                <w:sz w:val="18"/>
                <w:szCs w:val="18"/>
                <w:highlight w:val="none"/>
              </w:rPr>
              <w:t>本工程施工组织设计内容全面、</w:t>
            </w:r>
            <w:r>
              <w:rPr>
                <w:rFonts w:hint="eastAsia" w:ascii="Times New Roman" w:hAnsi="宋体" w:eastAsia="宋体" w:cs="宋体"/>
                <w:color w:val="auto"/>
                <w:sz w:val="18"/>
                <w:szCs w:val="18"/>
                <w:highlight w:val="none"/>
                <w:lang w:val="en-US" w:eastAsia="zh-CN"/>
              </w:rPr>
              <w:t>具有</w:t>
            </w:r>
            <w:r>
              <w:rPr>
                <w:rFonts w:hint="eastAsia" w:ascii="Times New Roman" w:hAnsi="宋体" w:eastAsia="宋体" w:cs="宋体"/>
                <w:color w:val="auto"/>
                <w:sz w:val="18"/>
                <w:szCs w:val="18"/>
                <w:highlight w:val="none"/>
              </w:rPr>
              <w:t>合理性，针对性</w:t>
            </w:r>
            <w:r>
              <w:rPr>
                <w:rFonts w:hint="eastAsia" w:ascii="Times New Roman" w:hAnsi="宋体" w:eastAsia="宋体" w:cs="宋体"/>
                <w:color w:val="auto"/>
                <w:sz w:val="18"/>
                <w:szCs w:val="18"/>
                <w:highlight w:val="none"/>
                <w:lang w:val="en-US" w:eastAsia="zh-CN"/>
              </w:rPr>
              <w:t>强、</w:t>
            </w:r>
            <w:r>
              <w:rPr>
                <w:rFonts w:hint="eastAsia" w:ascii="Times New Roman" w:hAnsi="宋体" w:eastAsia="宋体" w:cs="宋体"/>
                <w:color w:val="auto"/>
                <w:sz w:val="18"/>
                <w:szCs w:val="18"/>
                <w:highlight w:val="none"/>
              </w:rPr>
              <w:t>可操作性</w:t>
            </w:r>
            <w:r>
              <w:rPr>
                <w:rFonts w:hint="eastAsia" w:ascii="Times New Roman" w:hAnsi="宋体" w:eastAsia="宋体" w:cs="宋体"/>
                <w:color w:val="auto"/>
                <w:sz w:val="18"/>
                <w:szCs w:val="18"/>
                <w:highlight w:val="none"/>
                <w:lang w:val="en-US" w:eastAsia="zh-CN"/>
              </w:rPr>
              <w:t>高的</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得</w:t>
            </w:r>
            <w:r>
              <w:rPr>
                <w:rFonts w:hint="eastAsia" w:ascii="Times New Roman" w:hAnsi="宋体" w:eastAsia="宋体" w:cs="宋体"/>
                <w:color w:val="auto"/>
                <w:sz w:val="18"/>
                <w:szCs w:val="18"/>
                <w:highlight w:val="none"/>
                <w:lang w:val="en-US" w:eastAsia="zh-CN"/>
              </w:rPr>
              <w:t>5</w:t>
            </w:r>
            <w:r>
              <w:rPr>
                <w:rFonts w:hint="eastAsia" w:ascii="Times New Roman" w:hAnsi="宋体" w:eastAsia="宋体" w:cs="宋体"/>
                <w:color w:val="auto"/>
                <w:sz w:val="18"/>
                <w:szCs w:val="18"/>
                <w:highlight w:val="none"/>
              </w:rPr>
              <w:t>分；</w:t>
            </w:r>
          </w:p>
          <w:p w14:paraId="0D59D208">
            <w:pPr>
              <w:autoSpaceDE w:val="0"/>
              <w:autoSpaceDN w:val="0"/>
              <w:spacing w:line="380" w:lineRule="atLeast"/>
              <w:jc w:val="left"/>
              <w:rPr>
                <w:rFonts w:hint="eastAsia" w:ascii="Times New Roman" w:hAnsi="宋体" w:eastAsia="宋体" w:cs="宋体"/>
                <w:color w:val="auto"/>
                <w:sz w:val="18"/>
                <w:szCs w:val="18"/>
                <w:highlight w:val="none"/>
              </w:rPr>
            </w:pPr>
            <w:r>
              <w:rPr>
                <w:rFonts w:hint="eastAsia" w:ascii="Times New Roman" w:hAnsi="Times New Roman" w:eastAsia="宋体" w:cs="宋体"/>
                <w:color w:val="000000"/>
                <w:sz w:val="18"/>
                <w:szCs w:val="18"/>
                <w:highlight w:val="none"/>
                <w:lang w:val="en-US" w:eastAsia="zh-CN"/>
              </w:rPr>
              <w:t>②</w:t>
            </w:r>
            <w:r>
              <w:rPr>
                <w:rFonts w:hint="eastAsia" w:ascii="Times New Roman" w:hAnsi="宋体" w:eastAsia="宋体" w:cs="宋体"/>
                <w:color w:val="auto"/>
                <w:sz w:val="18"/>
                <w:szCs w:val="18"/>
                <w:highlight w:val="none"/>
                <w:lang w:val="en-US" w:eastAsia="zh-CN"/>
              </w:rPr>
              <w:t>对</w:t>
            </w:r>
            <w:r>
              <w:rPr>
                <w:rFonts w:hint="eastAsia" w:ascii="Times New Roman" w:hAnsi="宋体" w:eastAsia="宋体" w:cs="宋体"/>
                <w:color w:val="auto"/>
                <w:sz w:val="18"/>
                <w:szCs w:val="18"/>
                <w:highlight w:val="none"/>
              </w:rPr>
              <w:t>本工程施工组织设计内容</w:t>
            </w:r>
            <w:r>
              <w:rPr>
                <w:rFonts w:hint="eastAsia" w:ascii="Times New Roman" w:hAnsi="宋体" w:eastAsia="宋体" w:cs="宋体"/>
                <w:color w:val="auto"/>
                <w:sz w:val="18"/>
                <w:szCs w:val="18"/>
                <w:highlight w:val="none"/>
                <w:lang w:val="en-US" w:eastAsia="zh-CN"/>
              </w:rPr>
              <w:t>较</w:t>
            </w:r>
            <w:r>
              <w:rPr>
                <w:rFonts w:hint="eastAsia" w:ascii="Times New Roman" w:hAnsi="宋体" w:eastAsia="宋体" w:cs="宋体"/>
                <w:color w:val="auto"/>
                <w:sz w:val="18"/>
                <w:szCs w:val="18"/>
                <w:highlight w:val="none"/>
              </w:rPr>
              <w:t>全面、合理性</w:t>
            </w:r>
            <w:r>
              <w:rPr>
                <w:rFonts w:hint="eastAsia" w:ascii="Times New Roman" w:hAnsi="宋体" w:eastAsia="宋体" w:cs="宋体"/>
                <w:color w:val="auto"/>
                <w:sz w:val="18"/>
                <w:szCs w:val="18"/>
                <w:highlight w:val="none"/>
                <w:lang w:val="en-US" w:eastAsia="zh-CN"/>
              </w:rPr>
              <w:t>较好</w:t>
            </w:r>
            <w:r>
              <w:rPr>
                <w:rFonts w:hint="eastAsia" w:ascii="Times New Roman" w:hAnsi="宋体" w:eastAsia="宋体" w:cs="宋体"/>
                <w:color w:val="auto"/>
                <w:sz w:val="18"/>
                <w:szCs w:val="18"/>
                <w:highlight w:val="none"/>
              </w:rPr>
              <w:t>，针对性</w:t>
            </w:r>
            <w:r>
              <w:rPr>
                <w:rFonts w:hint="eastAsia" w:ascii="Times New Roman" w:hAnsi="宋体" w:eastAsia="宋体" w:cs="宋体"/>
                <w:color w:val="auto"/>
                <w:sz w:val="18"/>
                <w:szCs w:val="18"/>
                <w:highlight w:val="none"/>
                <w:lang w:val="en-US" w:eastAsia="zh-CN"/>
              </w:rPr>
              <w:t>较强、</w:t>
            </w:r>
            <w:r>
              <w:rPr>
                <w:rFonts w:hint="eastAsia" w:ascii="Times New Roman" w:hAnsi="宋体" w:eastAsia="宋体" w:cs="宋体"/>
                <w:color w:val="auto"/>
                <w:sz w:val="18"/>
                <w:szCs w:val="18"/>
                <w:highlight w:val="none"/>
              </w:rPr>
              <w:t>可操作性</w:t>
            </w:r>
            <w:r>
              <w:rPr>
                <w:rFonts w:hint="eastAsia" w:ascii="Times New Roman" w:hAnsi="宋体" w:eastAsia="宋体" w:cs="宋体"/>
                <w:color w:val="auto"/>
                <w:sz w:val="18"/>
                <w:szCs w:val="18"/>
                <w:highlight w:val="none"/>
                <w:lang w:val="en-US" w:eastAsia="zh-CN"/>
              </w:rPr>
              <w:t>较高的</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得</w:t>
            </w:r>
            <w:r>
              <w:rPr>
                <w:rFonts w:hint="eastAsia" w:ascii="Times New Roman" w:hAnsi="宋体" w:eastAsia="宋体" w:cs="宋体"/>
                <w:color w:val="auto"/>
                <w:sz w:val="18"/>
                <w:szCs w:val="18"/>
                <w:highlight w:val="none"/>
                <w:lang w:val="en-US" w:eastAsia="zh-CN"/>
              </w:rPr>
              <w:t>4</w:t>
            </w:r>
            <w:r>
              <w:rPr>
                <w:rFonts w:hint="eastAsia" w:ascii="Times New Roman" w:hAnsi="宋体" w:eastAsia="宋体" w:cs="宋体"/>
                <w:color w:val="auto"/>
                <w:sz w:val="18"/>
                <w:szCs w:val="18"/>
                <w:highlight w:val="none"/>
              </w:rPr>
              <w:t>分；</w:t>
            </w:r>
          </w:p>
          <w:p w14:paraId="722F5DF1">
            <w:pPr>
              <w:autoSpaceDE w:val="0"/>
              <w:autoSpaceDN w:val="0"/>
              <w:spacing w:line="380" w:lineRule="atLeast"/>
              <w:jc w:val="left"/>
              <w:rPr>
                <w:rFonts w:hint="eastAsia" w:ascii="Times New Roman" w:hAnsi="宋体" w:eastAsia="宋体" w:cs="宋体"/>
                <w:color w:val="auto"/>
                <w:sz w:val="18"/>
                <w:szCs w:val="18"/>
                <w:highlight w:val="none"/>
              </w:rPr>
            </w:pPr>
            <w:r>
              <w:rPr>
                <w:rFonts w:hint="eastAsia" w:ascii="宋体" w:hAnsi="宋体" w:eastAsia="宋体" w:cs="宋体"/>
                <w:b w:val="0"/>
                <w:bCs w:val="0"/>
                <w:strike w:val="0"/>
                <w:dstrike w:val="0"/>
                <w:color w:val="auto"/>
                <w:sz w:val="18"/>
                <w:szCs w:val="18"/>
                <w:highlight w:val="none"/>
                <w:lang w:val="en-US" w:eastAsia="zh-CN"/>
              </w:rPr>
              <w:t>③</w:t>
            </w:r>
            <w:r>
              <w:rPr>
                <w:rFonts w:hint="eastAsia" w:ascii="Times New Roman" w:hAnsi="宋体" w:eastAsia="宋体" w:cs="宋体"/>
                <w:color w:val="auto"/>
                <w:sz w:val="18"/>
                <w:szCs w:val="18"/>
                <w:highlight w:val="none"/>
                <w:lang w:val="en-US" w:eastAsia="zh-CN"/>
              </w:rPr>
              <w:t>对</w:t>
            </w:r>
            <w:r>
              <w:rPr>
                <w:rFonts w:hint="eastAsia" w:ascii="Times New Roman" w:hAnsi="宋体" w:eastAsia="宋体" w:cs="宋体"/>
                <w:color w:val="auto"/>
                <w:sz w:val="18"/>
                <w:szCs w:val="18"/>
                <w:highlight w:val="none"/>
              </w:rPr>
              <w:t>本工程施工组织设计内容全面</w:t>
            </w:r>
            <w:r>
              <w:rPr>
                <w:rFonts w:hint="eastAsia" w:ascii="Times New Roman" w:hAnsi="宋体" w:eastAsia="宋体" w:cs="宋体"/>
                <w:color w:val="auto"/>
                <w:sz w:val="18"/>
                <w:szCs w:val="18"/>
                <w:highlight w:val="none"/>
                <w:lang w:val="en-US" w:eastAsia="zh-CN"/>
              </w:rPr>
              <w:t>性一般</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lang w:val="en-US" w:eastAsia="zh-CN"/>
              </w:rPr>
              <w:t>具有一定</w:t>
            </w:r>
            <w:r>
              <w:rPr>
                <w:rFonts w:hint="eastAsia" w:ascii="Times New Roman" w:hAnsi="宋体" w:eastAsia="宋体" w:cs="宋体"/>
                <w:color w:val="auto"/>
                <w:sz w:val="18"/>
                <w:szCs w:val="18"/>
                <w:highlight w:val="none"/>
              </w:rPr>
              <w:t>合理性</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针对性</w:t>
            </w:r>
            <w:r>
              <w:rPr>
                <w:rFonts w:hint="eastAsia" w:ascii="Times New Roman" w:hAnsi="宋体" w:eastAsia="宋体" w:cs="宋体"/>
                <w:color w:val="auto"/>
                <w:sz w:val="18"/>
                <w:szCs w:val="18"/>
                <w:highlight w:val="none"/>
                <w:lang w:val="en-US" w:eastAsia="zh-CN"/>
              </w:rPr>
              <w:t>、</w:t>
            </w:r>
            <w:r>
              <w:rPr>
                <w:rFonts w:hint="eastAsia" w:ascii="Times New Roman" w:hAnsi="宋体" w:eastAsia="宋体" w:cs="宋体"/>
                <w:color w:val="auto"/>
                <w:sz w:val="18"/>
                <w:szCs w:val="18"/>
                <w:highlight w:val="none"/>
              </w:rPr>
              <w:t>可操作性</w:t>
            </w:r>
            <w:r>
              <w:rPr>
                <w:rFonts w:hint="eastAsia" w:ascii="Times New Roman" w:hAnsi="宋体" w:eastAsia="宋体" w:cs="宋体"/>
                <w:color w:val="auto"/>
                <w:sz w:val="18"/>
                <w:szCs w:val="18"/>
                <w:highlight w:val="none"/>
                <w:lang w:val="en-US" w:eastAsia="zh-CN"/>
              </w:rPr>
              <w:t>的</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得</w:t>
            </w:r>
            <w:r>
              <w:rPr>
                <w:rFonts w:hint="eastAsia" w:ascii="Times New Roman" w:hAnsi="宋体" w:eastAsia="宋体" w:cs="宋体"/>
                <w:color w:val="auto"/>
                <w:sz w:val="18"/>
                <w:szCs w:val="18"/>
                <w:highlight w:val="none"/>
                <w:lang w:val="en-US" w:eastAsia="zh-CN"/>
              </w:rPr>
              <w:t>3</w:t>
            </w:r>
            <w:r>
              <w:rPr>
                <w:rFonts w:hint="eastAsia" w:ascii="Times New Roman" w:hAnsi="宋体" w:eastAsia="宋体" w:cs="宋体"/>
                <w:color w:val="auto"/>
                <w:sz w:val="18"/>
                <w:szCs w:val="18"/>
                <w:highlight w:val="none"/>
              </w:rPr>
              <w:t>分；</w:t>
            </w:r>
          </w:p>
          <w:p w14:paraId="27FA5E54">
            <w:pPr>
              <w:autoSpaceDE w:val="0"/>
              <w:autoSpaceDN w:val="0"/>
              <w:spacing w:line="380" w:lineRule="atLeast"/>
              <w:jc w:val="left"/>
              <w:rPr>
                <w:rFonts w:hint="eastAsia" w:ascii="Times New Roman" w:hAnsi="宋体" w:eastAsia="宋体" w:cs="宋体"/>
                <w:color w:val="auto"/>
                <w:sz w:val="18"/>
                <w:szCs w:val="18"/>
                <w:highlight w:val="none"/>
              </w:rPr>
            </w:pPr>
            <w:r>
              <w:rPr>
                <w:rFonts w:hint="eastAsia" w:ascii="Times New Roman" w:hAnsi="Times New Roman" w:eastAsia="宋体" w:cs="宋体"/>
                <w:color w:val="000000"/>
                <w:sz w:val="18"/>
                <w:szCs w:val="18"/>
                <w:highlight w:val="none"/>
                <w:lang w:val="en-US" w:eastAsia="zh-CN"/>
              </w:rPr>
              <w:t>④</w:t>
            </w:r>
            <w:r>
              <w:rPr>
                <w:rFonts w:hint="eastAsia" w:ascii="Times New Roman" w:hAnsi="宋体" w:eastAsia="宋体" w:cs="宋体"/>
                <w:color w:val="auto"/>
                <w:sz w:val="18"/>
                <w:szCs w:val="18"/>
                <w:highlight w:val="none"/>
                <w:lang w:val="en-US" w:eastAsia="zh-CN"/>
              </w:rPr>
              <w:t>对</w:t>
            </w:r>
            <w:r>
              <w:rPr>
                <w:rFonts w:hint="eastAsia" w:ascii="Times New Roman" w:hAnsi="宋体" w:eastAsia="宋体" w:cs="宋体"/>
                <w:color w:val="auto"/>
                <w:sz w:val="18"/>
                <w:szCs w:val="18"/>
                <w:highlight w:val="none"/>
              </w:rPr>
              <w:t>本工程施工组织设计内容</w:t>
            </w:r>
            <w:r>
              <w:rPr>
                <w:rFonts w:hint="eastAsia" w:ascii="Times New Roman" w:hAnsi="宋体" w:eastAsia="宋体" w:cs="宋体"/>
                <w:color w:val="auto"/>
                <w:sz w:val="18"/>
                <w:szCs w:val="18"/>
                <w:highlight w:val="none"/>
                <w:lang w:val="en-US" w:eastAsia="zh-CN"/>
              </w:rPr>
              <w:t>缺少</w:t>
            </w:r>
            <w:r>
              <w:rPr>
                <w:rFonts w:hint="eastAsia" w:ascii="Times New Roman" w:hAnsi="宋体" w:eastAsia="宋体" w:cs="宋体"/>
                <w:color w:val="auto"/>
                <w:sz w:val="18"/>
                <w:szCs w:val="18"/>
                <w:highlight w:val="none"/>
              </w:rPr>
              <w:t>全面</w:t>
            </w:r>
            <w:r>
              <w:rPr>
                <w:rFonts w:hint="eastAsia" w:ascii="Times New Roman" w:hAnsi="宋体" w:eastAsia="宋体" w:cs="宋体"/>
                <w:color w:val="auto"/>
                <w:sz w:val="18"/>
                <w:szCs w:val="18"/>
                <w:highlight w:val="none"/>
                <w:lang w:val="en-US" w:eastAsia="zh-CN"/>
              </w:rPr>
              <w:t>性</w:t>
            </w:r>
            <w:r>
              <w:rPr>
                <w:rFonts w:hint="eastAsia" w:ascii="Times New Roman" w:hAnsi="宋体" w:eastAsia="宋体" w:cs="宋体"/>
                <w:color w:val="auto"/>
                <w:sz w:val="18"/>
                <w:szCs w:val="18"/>
                <w:highlight w:val="none"/>
              </w:rPr>
              <w:t>、合理性</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针对性</w:t>
            </w:r>
            <w:r>
              <w:rPr>
                <w:rFonts w:hint="eastAsia" w:ascii="Times New Roman" w:hAnsi="宋体" w:eastAsia="宋体" w:cs="宋体"/>
                <w:color w:val="auto"/>
                <w:sz w:val="18"/>
                <w:szCs w:val="18"/>
                <w:highlight w:val="none"/>
                <w:lang w:val="en-US" w:eastAsia="zh-CN"/>
              </w:rPr>
              <w:t>、</w:t>
            </w:r>
            <w:r>
              <w:rPr>
                <w:rFonts w:hint="eastAsia" w:ascii="Times New Roman" w:hAnsi="宋体" w:eastAsia="宋体" w:cs="宋体"/>
                <w:color w:val="auto"/>
                <w:sz w:val="18"/>
                <w:szCs w:val="18"/>
                <w:highlight w:val="none"/>
              </w:rPr>
              <w:t>可操作性</w:t>
            </w:r>
            <w:r>
              <w:rPr>
                <w:rFonts w:hint="eastAsia" w:ascii="Times New Roman" w:hAnsi="宋体" w:eastAsia="宋体" w:cs="宋体"/>
                <w:color w:val="auto"/>
                <w:sz w:val="18"/>
                <w:szCs w:val="18"/>
                <w:highlight w:val="none"/>
                <w:lang w:val="en-US" w:eastAsia="zh-CN"/>
              </w:rPr>
              <w:t>的</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得</w:t>
            </w:r>
            <w:r>
              <w:rPr>
                <w:rFonts w:hint="eastAsia" w:ascii="Times New Roman" w:hAnsi="宋体" w:eastAsia="宋体" w:cs="宋体"/>
                <w:color w:val="auto"/>
                <w:sz w:val="18"/>
                <w:szCs w:val="18"/>
                <w:highlight w:val="none"/>
                <w:lang w:val="en-US" w:eastAsia="zh-CN"/>
              </w:rPr>
              <w:t>2</w:t>
            </w:r>
            <w:r>
              <w:rPr>
                <w:rFonts w:hint="eastAsia" w:ascii="Times New Roman" w:hAnsi="宋体" w:eastAsia="宋体" w:cs="宋体"/>
                <w:color w:val="auto"/>
                <w:sz w:val="18"/>
                <w:szCs w:val="18"/>
                <w:highlight w:val="none"/>
              </w:rPr>
              <w:t>分；</w:t>
            </w:r>
          </w:p>
          <w:p w14:paraId="56049E75">
            <w:pPr>
              <w:autoSpaceDE w:val="0"/>
              <w:autoSpaceDN w:val="0"/>
              <w:spacing w:line="380" w:lineRule="atLeast"/>
              <w:jc w:val="left"/>
              <w:rPr>
                <w:rFonts w:hint="eastAsia" w:ascii="Times New Roman" w:hAnsi="宋体" w:eastAsia="宋体" w:cs="宋体"/>
                <w:color w:val="auto"/>
                <w:sz w:val="18"/>
                <w:szCs w:val="18"/>
                <w:highlight w:val="none"/>
              </w:rPr>
            </w:pPr>
            <w:r>
              <w:rPr>
                <w:rFonts w:hint="eastAsia" w:ascii="宋体" w:hAnsi="宋体" w:eastAsia="宋体" w:cs="宋体"/>
                <w:strike w:val="0"/>
                <w:dstrike w:val="0"/>
                <w:color w:val="auto"/>
                <w:sz w:val="18"/>
                <w:szCs w:val="18"/>
                <w:highlight w:val="none"/>
                <w:lang w:val="en-US" w:eastAsia="zh-CN"/>
              </w:rPr>
              <w:t>⑤</w:t>
            </w:r>
            <w:r>
              <w:rPr>
                <w:rFonts w:hint="eastAsia" w:ascii="Times New Roman" w:hAnsi="宋体" w:eastAsia="宋体" w:cs="宋体"/>
                <w:color w:val="auto"/>
                <w:sz w:val="18"/>
                <w:szCs w:val="18"/>
                <w:highlight w:val="none"/>
                <w:lang w:val="en-US" w:eastAsia="zh-CN"/>
              </w:rPr>
              <w:t>对</w:t>
            </w:r>
            <w:r>
              <w:rPr>
                <w:rFonts w:hint="eastAsia" w:ascii="Times New Roman" w:hAnsi="宋体" w:eastAsia="宋体" w:cs="宋体"/>
                <w:color w:val="auto"/>
                <w:sz w:val="18"/>
                <w:szCs w:val="18"/>
                <w:highlight w:val="none"/>
              </w:rPr>
              <w:t>本工程施工组织设计内容</w:t>
            </w:r>
            <w:r>
              <w:rPr>
                <w:rFonts w:hint="eastAsia" w:ascii="Times New Roman" w:hAnsi="宋体" w:eastAsia="宋体" w:cs="宋体"/>
                <w:color w:val="auto"/>
                <w:sz w:val="18"/>
                <w:szCs w:val="18"/>
                <w:highlight w:val="none"/>
                <w:lang w:val="en-US" w:eastAsia="zh-CN"/>
              </w:rPr>
              <w:t>不</w:t>
            </w:r>
            <w:r>
              <w:rPr>
                <w:rFonts w:hint="eastAsia" w:ascii="Times New Roman" w:hAnsi="宋体" w:eastAsia="宋体" w:cs="宋体"/>
                <w:color w:val="auto"/>
                <w:sz w:val="18"/>
                <w:szCs w:val="18"/>
                <w:highlight w:val="none"/>
              </w:rPr>
              <w:t>全面</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lang w:val="en-US" w:eastAsia="zh-CN"/>
              </w:rPr>
              <w:t>不具有</w:t>
            </w:r>
            <w:r>
              <w:rPr>
                <w:rFonts w:hint="eastAsia" w:ascii="Times New Roman" w:hAnsi="宋体" w:eastAsia="宋体" w:cs="宋体"/>
                <w:color w:val="auto"/>
                <w:sz w:val="18"/>
                <w:szCs w:val="18"/>
                <w:highlight w:val="none"/>
              </w:rPr>
              <w:t>合理性</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针对性</w:t>
            </w:r>
            <w:r>
              <w:rPr>
                <w:rFonts w:hint="eastAsia" w:ascii="Times New Roman" w:hAnsi="宋体" w:eastAsia="宋体" w:cs="宋体"/>
                <w:color w:val="auto"/>
                <w:sz w:val="18"/>
                <w:szCs w:val="18"/>
                <w:highlight w:val="none"/>
                <w:lang w:val="en-US" w:eastAsia="zh-CN"/>
              </w:rPr>
              <w:t>、</w:t>
            </w:r>
            <w:r>
              <w:rPr>
                <w:rFonts w:hint="eastAsia" w:ascii="Times New Roman" w:hAnsi="宋体" w:eastAsia="宋体" w:cs="宋体"/>
                <w:color w:val="auto"/>
                <w:sz w:val="18"/>
                <w:szCs w:val="18"/>
                <w:highlight w:val="none"/>
              </w:rPr>
              <w:t>可操作性</w:t>
            </w:r>
            <w:r>
              <w:rPr>
                <w:rFonts w:hint="eastAsia" w:ascii="Times New Roman" w:hAnsi="宋体" w:eastAsia="宋体" w:cs="宋体"/>
                <w:color w:val="auto"/>
                <w:sz w:val="18"/>
                <w:szCs w:val="18"/>
                <w:highlight w:val="none"/>
                <w:lang w:val="en-US" w:eastAsia="zh-CN"/>
              </w:rPr>
              <w:t>的</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得</w:t>
            </w:r>
            <w:r>
              <w:rPr>
                <w:rFonts w:hint="eastAsia" w:ascii="Times New Roman" w:hAnsi="宋体" w:eastAsia="宋体" w:cs="宋体"/>
                <w:color w:val="auto"/>
                <w:sz w:val="18"/>
                <w:szCs w:val="18"/>
                <w:highlight w:val="none"/>
                <w:lang w:val="en-US" w:eastAsia="zh-CN"/>
              </w:rPr>
              <w:t>1</w:t>
            </w:r>
            <w:r>
              <w:rPr>
                <w:rFonts w:hint="eastAsia" w:ascii="Times New Roman" w:hAnsi="宋体" w:eastAsia="宋体" w:cs="宋体"/>
                <w:color w:val="auto"/>
                <w:sz w:val="18"/>
                <w:szCs w:val="18"/>
                <w:highlight w:val="none"/>
              </w:rPr>
              <w:t>分；</w:t>
            </w:r>
          </w:p>
          <w:p w14:paraId="2E1FB93D">
            <w:pPr>
              <w:tabs>
                <w:tab w:val="left" w:pos="4915"/>
              </w:tabs>
              <w:spacing w:line="340" w:lineRule="exact"/>
              <w:rPr>
                <w:rFonts w:hint="default" w:ascii="Times New Roman" w:hAnsi="Times New Roman" w:eastAsia="宋体" w:cs="宋体"/>
                <w:color w:val="000000"/>
                <w:kern w:val="2"/>
                <w:sz w:val="18"/>
                <w:szCs w:val="18"/>
                <w:highlight w:val="none"/>
                <w:lang w:val="en-US" w:eastAsia="zh-CN" w:bidi="ar-SA"/>
              </w:rPr>
            </w:pPr>
            <w:r>
              <w:rPr>
                <w:rFonts w:hint="eastAsia" w:ascii="Times New Roman" w:hAnsi="宋体" w:eastAsia="宋体" w:cs="宋体"/>
                <w:color w:val="auto"/>
                <w:sz w:val="18"/>
                <w:szCs w:val="18"/>
                <w:highlight w:val="none"/>
              </w:rPr>
              <w:t>未提供内容本项不得分。</w:t>
            </w:r>
          </w:p>
        </w:tc>
      </w:tr>
      <w:tr w14:paraId="2E1BC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7933A1DB">
            <w:pPr>
              <w:widowControl/>
              <w:spacing w:line="340" w:lineRule="exact"/>
              <w:jc w:val="left"/>
              <w:rPr>
                <w:color w:val="000000"/>
                <w:szCs w:val="21"/>
                <w:highlight w:val="none"/>
              </w:rPr>
            </w:pPr>
          </w:p>
        </w:tc>
        <w:tc>
          <w:tcPr>
            <w:tcW w:w="539" w:type="pct"/>
            <w:vMerge w:val="continue"/>
            <w:noWrap w:val="0"/>
            <w:vAlign w:val="center"/>
          </w:tcPr>
          <w:p w14:paraId="35ABFB3E">
            <w:pPr>
              <w:widowControl/>
              <w:spacing w:line="340" w:lineRule="exact"/>
              <w:jc w:val="left"/>
              <w:rPr>
                <w:color w:val="000000"/>
                <w:szCs w:val="21"/>
                <w:highlight w:val="none"/>
              </w:rPr>
            </w:pPr>
          </w:p>
        </w:tc>
        <w:tc>
          <w:tcPr>
            <w:tcW w:w="4085" w:type="pct"/>
            <w:noWrap w:val="0"/>
            <w:vAlign w:val="center"/>
          </w:tcPr>
          <w:p w14:paraId="7D3E3234">
            <w:pPr>
              <w:autoSpaceDE w:val="0"/>
              <w:autoSpaceDN w:val="0"/>
              <w:spacing w:line="380" w:lineRule="atLeast"/>
              <w:jc w:val="left"/>
              <w:rPr>
                <w:rFonts w:hint="eastAsia" w:ascii="Times New Roman" w:hAnsi="宋体" w:eastAsia="宋体" w:cs="宋体"/>
                <w:color w:val="auto"/>
                <w:sz w:val="18"/>
                <w:szCs w:val="18"/>
                <w:highlight w:val="none"/>
              </w:rPr>
            </w:pPr>
            <w:r>
              <w:rPr>
                <w:rFonts w:hint="eastAsia" w:ascii="Times New Roman" w:hAnsi="宋体" w:eastAsia="宋体" w:cs="宋体"/>
                <w:color w:val="auto"/>
                <w:sz w:val="18"/>
                <w:szCs w:val="18"/>
                <w:highlight w:val="none"/>
              </w:rPr>
              <w:t>根据供应商提供的混凝土、场面装饰板、成品门</w:t>
            </w:r>
            <w:r>
              <w:rPr>
                <w:rFonts w:hint="eastAsia" w:hAnsi="宋体" w:cs="宋体"/>
                <w:color w:val="auto"/>
                <w:sz w:val="18"/>
                <w:szCs w:val="18"/>
                <w:highlight w:val="none"/>
                <w:lang w:val="en-US" w:eastAsia="zh-CN"/>
              </w:rPr>
              <w:t>窗</w:t>
            </w:r>
            <w:r>
              <w:rPr>
                <w:rFonts w:hint="eastAsia" w:ascii="Times New Roman" w:hAnsi="宋体" w:eastAsia="宋体" w:cs="宋体"/>
                <w:color w:val="auto"/>
                <w:sz w:val="18"/>
                <w:szCs w:val="18"/>
                <w:highlight w:val="none"/>
              </w:rPr>
              <w:t>、油漆涂料、板材和管线等施工材料的质量控制措施进行综合评议</w:t>
            </w:r>
            <w:r>
              <w:rPr>
                <w:rFonts w:hint="eastAsia" w:ascii="Times New Roman" w:hAnsi="宋体" w:eastAsia="宋体" w:cs="宋体"/>
                <w:color w:val="auto"/>
                <w:sz w:val="18"/>
                <w:szCs w:val="18"/>
                <w:highlight w:val="none"/>
                <w:lang w:val="en-US" w:eastAsia="zh-CN"/>
              </w:rPr>
              <w:t>（5分）：</w:t>
            </w:r>
          </w:p>
          <w:p w14:paraId="0C1576A3">
            <w:pPr>
              <w:autoSpaceDE w:val="0"/>
              <w:autoSpaceDN w:val="0"/>
              <w:spacing w:line="380" w:lineRule="atLeast"/>
              <w:jc w:val="left"/>
              <w:rPr>
                <w:rFonts w:hint="eastAsia" w:ascii="Times New Roman" w:hAnsi="宋体" w:eastAsia="宋体" w:cs="宋体"/>
                <w:color w:val="auto"/>
                <w:sz w:val="18"/>
                <w:szCs w:val="18"/>
                <w:highlight w:val="none"/>
              </w:rPr>
            </w:pPr>
            <w:r>
              <w:rPr>
                <w:rFonts w:hint="eastAsia" w:ascii="Times New Roman" w:hAnsi="宋体" w:eastAsia="宋体" w:cs="宋体"/>
                <w:color w:val="auto"/>
                <w:sz w:val="18"/>
                <w:szCs w:val="18"/>
                <w:highlight w:val="none"/>
              </w:rPr>
              <w:t>①控制措施内容齐全完整、条理清晰，控制措施严谨的，针对性强的得</w:t>
            </w:r>
            <w:r>
              <w:rPr>
                <w:rFonts w:hint="eastAsia" w:hAnsi="宋体" w:cs="宋体"/>
                <w:color w:val="auto"/>
                <w:sz w:val="18"/>
                <w:szCs w:val="18"/>
                <w:highlight w:val="none"/>
                <w:lang w:val="en-US" w:eastAsia="zh-CN"/>
              </w:rPr>
              <w:t>5</w:t>
            </w:r>
            <w:r>
              <w:rPr>
                <w:rFonts w:hint="eastAsia" w:ascii="Times New Roman" w:hAnsi="宋体" w:eastAsia="宋体" w:cs="宋体"/>
                <w:color w:val="auto"/>
                <w:sz w:val="18"/>
                <w:szCs w:val="18"/>
                <w:highlight w:val="none"/>
              </w:rPr>
              <w:t>分；</w:t>
            </w:r>
          </w:p>
          <w:p w14:paraId="064ED47B">
            <w:pPr>
              <w:autoSpaceDE w:val="0"/>
              <w:autoSpaceDN w:val="0"/>
              <w:spacing w:line="380" w:lineRule="atLeast"/>
              <w:jc w:val="left"/>
              <w:rPr>
                <w:rFonts w:hint="eastAsia" w:ascii="Times New Roman" w:hAnsi="宋体" w:eastAsia="宋体" w:cs="宋体"/>
                <w:color w:val="auto"/>
                <w:sz w:val="18"/>
                <w:szCs w:val="18"/>
                <w:highlight w:val="none"/>
              </w:rPr>
            </w:pPr>
            <w:r>
              <w:rPr>
                <w:rFonts w:hint="eastAsia" w:ascii="Times New Roman" w:hAnsi="宋体" w:eastAsia="宋体" w:cs="宋体"/>
                <w:color w:val="auto"/>
                <w:sz w:val="18"/>
                <w:szCs w:val="18"/>
                <w:highlight w:val="none"/>
              </w:rPr>
              <w:t>②控制措施内容较齐全、条理较清晰，控制措施较严谨，针对性一般的得</w:t>
            </w:r>
            <w:r>
              <w:rPr>
                <w:rFonts w:hint="eastAsia" w:hAnsi="宋体" w:cs="宋体"/>
                <w:color w:val="auto"/>
                <w:sz w:val="18"/>
                <w:szCs w:val="18"/>
                <w:highlight w:val="none"/>
                <w:lang w:val="en-US" w:eastAsia="zh-CN"/>
              </w:rPr>
              <w:t>4</w:t>
            </w:r>
            <w:r>
              <w:rPr>
                <w:rFonts w:hint="eastAsia" w:ascii="Times New Roman" w:hAnsi="宋体" w:eastAsia="宋体" w:cs="宋体"/>
                <w:color w:val="auto"/>
                <w:sz w:val="18"/>
                <w:szCs w:val="18"/>
                <w:highlight w:val="none"/>
              </w:rPr>
              <w:t>分；</w:t>
            </w:r>
          </w:p>
          <w:p w14:paraId="2BBDF468">
            <w:pPr>
              <w:autoSpaceDE w:val="0"/>
              <w:autoSpaceDN w:val="0"/>
              <w:spacing w:line="380" w:lineRule="atLeast"/>
              <w:jc w:val="left"/>
              <w:rPr>
                <w:rFonts w:hint="eastAsia" w:ascii="Times New Roman" w:hAnsi="宋体" w:eastAsia="宋体" w:cs="宋体"/>
                <w:color w:val="auto"/>
                <w:sz w:val="18"/>
                <w:szCs w:val="18"/>
                <w:highlight w:val="none"/>
              </w:rPr>
            </w:pPr>
            <w:r>
              <w:rPr>
                <w:rFonts w:hint="eastAsia" w:ascii="Times New Roman" w:hAnsi="宋体" w:eastAsia="宋体" w:cs="宋体"/>
                <w:color w:val="auto"/>
                <w:sz w:val="18"/>
                <w:szCs w:val="18"/>
                <w:highlight w:val="none"/>
              </w:rPr>
              <w:t>③控制措施内容简单、条理性一般，控制措施不够严谨，针对性不足的，得</w:t>
            </w:r>
            <w:r>
              <w:rPr>
                <w:rFonts w:hint="eastAsia" w:hAnsi="宋体" w:cs="宋体"/>
                <w:color w:val="auto"/>
                <w:sz w:val="18"/>
                <w:szCs w:val="18"/>
                <w:highlight w:val="none"/>
                <w:lang w:val="en-US" w:eastAsia="zh-CN"/>
              </w:rPr>
              <w:t>3</w:t>
            </w:r>
            <w:r>
              <w:rPr>
                <w:rFonts w:hint="eastAsia" w:ascii="Times New Roman" w:hAnsi="宋体" w:eastAsia="宋体" w:cs="宋体"/>
                <w:color w:val="auto"/>
                <w:sz w:val="18"/>
                <w:szCs w:val="18"/>
                <w:highlight w:val="none"/>
              </w:rPr>
              <w:t>分</w:t>
            </w:r>
          </w:p>
          <w:p w14:paraId="270CB661">
            <w:pPr>
              <w:autoSpaceDE w:val="0"/>
              <w:autoSpaceDN w:val="0"/>
              <w:spacing w:line="380" w:lineRule="atLeast"/>
              <w:jc w:val="left"/>
              <w:rPr>
                <w:rFonts w:hint="eastAsia" w:ascii="Times New Roman" w:hAnsi="宋体" w:eastAsia="宋体" w:cs="宋体"/>
                <w:color w:val="auto"/>
                <w:sz w:val="18"/>
                <w:szCs w:val="18"/>
                <w:highlight w:val="none"/>
                <w:lang w:eastAsia="zh-CN"/>
              </w:rPr>
            </w:pPr>
            <w:r>
              <w:rPr>
                <w:rFonts w:hint="eastAsia" w:ascii="Times New Roman" w:hAnsi="宋体" w:eastAsia="宋体" w:cs="宋体"/>
                <w:color w:val="auto"/>
                <w:sz w:val="18"/>
                <w:szCs w:val="18"/>
                <w:highlight w:val="none"/>
                <w:lang w:val="en-US" w:eastAsia="zh-CN"/>
              </w:rPr>
              <w:t>④</w:t>
            </w:r>
            <w:r>
              <w:rPr>
                <w:rFonts w:hint="eastAsia" w:ascii="Times New Roman" w:hAnsi="宋体" w:eastAsia="宋体" w:cs="宋体"/>
                <w:color w:val="auto"/>
                <w:sz w:val="18"/>
                <w:szCs w:val="18"/>
                <w:highlight w:val="none"/>
              </w:rPr>
              <w:t>控制措施内容简单，缺乏针对性</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条理性，可执行力较低的得得</w:t>
            </w:r>
            <w:r>
              <w:rPr>
                <w:rFonts w:hint="eastAsia" w:ascii="Times New Roman" w:hAnsi="宋体" w:eastAsia="宋体" w:cs="宋体"/>
                <w:color w:val="auto"/>
                <w:sz w:val="18"/>
                <w:szCs w:val="18"/>
                <w:highlight w:val="none"/>
                <w:lang w:val="en-US" w:eastAsia="zh-CN"/>
              </w:rPr>
              <w:t>2</w:t>
            </w:r>
            <w:r>
              <w:rPr>
                <w:rFonts w:hint="eastAsia" w:ascii="Times New Roman" w:hAnsi="宋体" w:eastAsia="宋体" w:cs="宋体"/>
                <w:color w:val="auto"/>
                <w:sz w:val="18"/>
                <w:szCs w:val="18"/>
                <w:highlight w:val="none"/>
              </w:rPr>
              <w:t>分</w:t>
            </w:r>
            <w:r>
              <w:rPr>
                <w:rFonts w:hint="eastAsia" w:ascii="Times New Roman" w:hAnsi="宋体" w:eastAsia="宋体" w:cs="宋体"/>
                <w:color w:val="auto"/>
                <w:sz w:val="18"/>
                <w:szCs w:val="18"/>
                <w:highlight w:val="none"/>
                <w:lang w:eastAsia="zh-CN"/>
              </w:rPr>
              <w:t>；</w:t>
            </w:r>
          </w:p>
          <w:p w14:paraId="31421E3A">
            <w:pPr>
              <w:autoSpaceDE w:val="0"/>
              <w:autoSpaceDN w:val="0"/>
              <w:spacing w:line="380" w:lineRule="atLeast"/>
              <w:jc w:val="left"/>
              <w:rPr>
                <w:rFonts w:hint="eastAsia" w:ascii="Times New Roman" w:hAnsi="宋体" w:eastAsia="宋体" w:cs="宋体"/>
                <w:color w:val="auto"/>
                <w:sz w:val="18"/>
                <w:szCs w:val="18"/>
                <w:highlight w:val="none"/>
              </w:rPr>
            </w:pPr>
            <w:r>
              <w:rPr>
                <w:rFonts w:hint="eastAsia" w:ascii="Times New Roman" w:hAnsi="宋体" w:eastAsia="宋体" w:cs="宋体"/>
                <w:color w:val="auto"/>
                <w:sz w:val="18"/>
                <w:szCs w:val="18"/>
                <w:highlight w:val="none"/>
                <w:lang w:val="en-US" w:eastAsia="zh-CN"/>
              </w:rPr>
              <w:t>⑤</w:t>
            </w:r>
            <w:r>
              <w:rPr>
                <w:rFonts w:hint="eastAsia" w:ascii="Times New Roman" w:hAnsi="宋体" w:eastAsia="宋体" w:cs="宋体"/>
                <w:color w:val="auto"/>
                <w:sz w:val="18"/>
                <w:szCs w:val="18"/>
                <w:highlight w:val="none"/>
              </w:rPr>
              <w:t>控制措施内容</w:t>
            </w:r>
            <w:r>
              <w:rPr>
                <w:rFonts w:hint="eastAsia" w:ascii="Times New Roman" w:hAnsi="宋体" w:eastAsia="宋体" w:cs="宋体"/>
                <w:color w:val="auto"/>
                <w:sz w:val="18"/>
                <w:szCs w:val="18"/>
                <w:highlight w:val="none"/>
                <w:lang w:val="en-US" w:eastAsia="zh-CN"/>
              </w:rPr>
              <w:t>缺漏</w:t>
            </w:r>
            <w:r>
              <w:rPr>
                <w:rFonts w:hint="eastAsia" w:ascii="Times New Roman" w:hAnsi="宋体" w:eastAsia="宋体" w:cs="宋体"/>
                <w:color w:val="auto"/>
                <w:sz w:val="18"/>
                <w:szCs w:val="18"/>
                <w:highlight w:val="none"/>
              </w:rPr>
              <w:t>或缺少具体</w:t>
            </w:r>
            <w:r>
              <w:rPr>
                <w:rFonts w:hint="eastAsia" w:ascii="Times New Roman" w:hAnsi="宋体" w:eastAsia="宋体" w:cs="宋体"/>
                <w:color w:val="auto"/>
                <w:sz w:val="18"/>
                <w:szCs w:val="18"/>
                <w:highlight w:val="none"/>
                <w:lang w:val="en-US" w:eastAsia="zh-CN"/>
              </w:rPr>
              <w:t>有效的保证措施</w:t>
            </w:r>
            <w:r>
              <w:rPr>
                <w:rFonts w:hint="eastAsia" w:ascii="Times New Roman" w:hAnsi="宋体" w:eastAsia="宋体" w:cs="宋体"/>
                <w:color w:val="auto"/>
                <w:sz w:val="18"/>
                <w:szCs w:val="18"/>
                <w:highlight w:val="none"/>
              </w:rPr>
              <w:t>，</w:t>
            </w:r>
            <w:r>
              <w:rPr>
                <w:rFonts w:hint="eastAsia" w:ascii="Times New Roman" w:hAnsi="宋体" w:eastAsia="宋体" w:cs="宋体"/>
                <w:color w:val="auto"/>
                <w:sz w:val="18"/>
                <w:szCs w:val="18"/>
                <w:highlight w:val="none"/>
                <w:lang w:val="en-US" w:eastAsia="zh-CN"/>
              </w:rPr>
              <w:t>难以</w:t>
            </w:r>
            <w:r>
              <w:rPr>
                <w:rFonts w:hint="eastAsia" w:ascii="Times New Roman" w:hAnsi="宋体" w:eastAsia="宋体" w:cs="宋体"/>
                <w:color w:val="auto"/>
                <w:sz w:val="18"/>
                <w:szCs w:val="18"/>
                <w:highlight w:val="none"/>
              </w:rPr>
              <w:t>保证项目</w:t>
            </w:r>
            <w:r>
              <w:rPr>
                <w:rFonts w:hint="eastAsia" w:ascii="Times New Roman" w:hAnsi="宋体" w:eastAsia="宋体" w:cs="宋体"/>
                <w:color w:val="auto"/>
                <w:sz w:val="18"/>
                <w:szCs w:val="18"/>
                <w:highlight w:val="none"/>
                <w:lang w:val="en-US" w:eastAsia="zh-CN"/>
              </w:rPr>
              <w:t>顺利实施</w:t>
            </w:r>
            <w:r>
              <w:rPr>
                <w:rFonts w:hint="eastAsia" w:ascii="Times New Roman" w:hAnsi="宋体" w:eastAsia="宋体" w:cs="宋体"/>
                <w:color w:val="auto"/>
                <w:sz w:val="18"/>
                <w:szCs w:val="18"/>
                <w:highlight w:val="none"/>
              </w:rPr>
              <w:t>的得</w:t>
            </w:r>
            <w:r>
              <w:rPr>
                <w:rFonts w:hint="eastAsia" w:ascii="Times New Roman" w:hAnsi="宋体" w:eastAsia="宋体" w:cs="宋体"/>
                <w:color w:val="auto"/>
                <w:sz w:val="18"/>
                <w:szCs w:val="18"/>
                <w:highlight w:val="none"/>
                <w:lang w:val="en-US" w:eastAsia="zh-CN"/>
              </w:rPr>
              <w:t>1</w:t>
            </w:r>
            <w:r>
              <w:rPr>
                <w:rFonts w:hint="eastAsia" w:ascii="Times New Roman" w:hAnsi="宋体" w:eastAsia="宋体" w:cs="宋体"/>
                <w:color w:val="auto"/>
                <w:sz w:val="18"/>
                <w:szCs w:val="18"/>
                <w:highlight w:val="none"/>
              </w:rPr>
              <w:t>分。</w:t>
            </w:r>
          </w:p>
          <w:p w14:paraId="77D58FF5">
            <w:pPr>
              <w:autoSpaceDE w:val="0"/>
              <w:autoSpaceDN w:val="0"/>
              <w:spacing w:line="380" w:lineRule="atLeast"/>
              <w:jc w:val="left"/>
              <w:rPr>
                <w:rFonts w:hint="eastAsia" w:cs="宋体"/>
                <w:color w:val="000000"/>
                <w:sz w:val="18"/>
                <w:szCs w:val="18"/>
                <w:highlight w:val="none"/>
              </w:rPr>
            </w:pPr>
            <w:r>
              <w:rPr>
                <w:rFonts w:hint="eastAsia" w:ascii="Times New Roman" w:hAnsi="宋体" w:eastAsia="宋体" w:cs="宋体"/>
                <w:color w:val="auto"/>
                <w:sz w:val="18"/>
                <w:szCs w:val="18"/>
                <w:highlight w:val="none"/>
              </w:rPr>
              <w:t>未提供施工材料质量控制措施的本项不得分。</w:t>
            </w:r>
          </w:p>
        </w:tc>
      </w:tr>
      <w:tr w14:paraId="1AE3A4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15DB4AE8">
            <w:pPr>
              <w:widowControl/>
              <w:spacing w:line="340" w:lineRule="exact"/>
              <w:jc w:val="left"/>
              <w:rPr>
                <w:color w:val="000000"/>
                <w:szCs w:val="21"/>
                <w:highlight w:val="none"/>
              </w:rPr>
            </w:pPr>
          </w:p>
        </w:tc>
        <w:tc>
          <w:tcPr>
            <w:tcW w:w="539" w:type="pct"/>
            <w:vMerge w:val="continue"/>
            <w:noWrap w:val="0"/>
            <w:vAlign w:val="center"/>
          </w:tcPr>
          <w:p w14:paraId="0C9183D9">
            <w:pPr>
              <w:widowControl/>
              <w:spacing w:line="340" w:lineRule="exact"/>
              <w:jc w:val="left"/>
              <w:rPr>
                <w:color w:val="000000"/>
                <w:szCs w:val="21"/>
                <w:highlight w:val="none"/>
              </w:rPr>
            </w:pPr>
          </w:p>
        </w:tc>
        <w:tc>
          <w:tcPr>
            <w:tcW w:w="4085" w:type="pct"/>
            <w:noWrap w:val="0"/>
            <w:vAlign w:val="center"/>
          </w:tcPr>
          <w:p w14:paraId="5D89EF2D">
            <w:pPr>
              <w:tabs>
                <w:tab w:val="left" w:pos="4915"/>
              </w:tabs>
              <w:spacing w:line="34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根据本项目改造涉及施工范围较广，改造工程内容多的施工节点进度计划安排进行综合评议（</w:t>
            </w: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分）：</w:t>
            </w:r>
          </w:p>
          <w:p w14:paraId="01FA4AF1">
            <w:pPr>
              <w:tabs>
                <w:tab w:val="left" w:pos="4915"/>
              </w:tabs>
              <w:spacing w:line="34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①施工进度计划安排得当、各时间节点明确、</w:t>
            </w:r>
            <w:r>
              <w:rPr>
                <w:rFonts w:hint="eastAsia" w:ascii="宋体" w:hAnsi="宋体" w:cs="宋体"/>
                <w:color w:val="auto"/>
                <w:sz w:val="18"/>
                <w:szCs w:val="18"/>
                <w:highlight w:val="none"/>
              </w:rPr>
              <w:t>具有充分可靠计划</w:t>
            </w:r>
            <w:r>
              <w:rPr>
                <w:rFonts w:hint="eastAsia" w:ascii="宋体" w:hAnsi="宋体" w:cs="宋体"/>
                <w:color w:val="auto"/>
                <w:sz w:val="18"/>
                <w:szCs w:val="18"/>
                <w:highlight w:val="none"/>
                <w:lang w:val="en-US" w:eastAsia="zh-CN"/>
              </w:rPr>
              <w:t>的得5分；</w:t>
            </w:r>
          </w:p>
          <w:p w14:paraId="586F3C30">
            <w:pPr>
              <w:tabs>
                <w:tab w:val="left" w:pos="4915"/>
              </w:tabs>
              <w:spacing w:line="34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②施工进度计划安排较为得当、各时间节点及项目工期能有基本保障的得4分</w:t>
            </w:r>
          </w:p>
          <w:p w14:paraId="5E77E736">
            <w:pPr>
              <w:tabs>
                <w:tab w:val="left" w:pos="4915"/>
              </w:tabs>
              <w:spacing w:line="34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③施工进度计划安排一般、各时间节点及项目工期保障一般的得3分</w:t>
            </w:r>
          </w:p>
          <w:p w14:paraId="67109F2A">
            <w:pPr>
              <w:tabs>
                <w:tab w:val="left" w:pos="4915"/>
              </w:tabs>
              <w:spacing w:line="34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④进度安排尚能满足工期需求、部分时间节点不够明确或存在前松后紧的得2分；</w:t>
            </w:r>
          </w:p>
          <w:p w14:paraId="5538AF33">
            <w:pPr>
              <w:tabs>
                <w:tab w:val="left" w:pos="4915"/>
              </w:tabs>
              <w:spacing w:line="340" w:lineRule="exac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⑤进度安排基本合理、时间节点及工期内容的欠缺的得1分；</w:t>
            </w:r>
          </w:p>
          <w:p w14:paraId="08C6309F">
            <w:pPr>
              <w:tabs>
                <w:tab w:val="left" w:pos="4915"/>
              </w:tabs>
              <w:spacing w:line="340" w:lineRule="exact"/>
              <w:rPr>
                <w:rFonts w:hint="eastAsia" w:cs="宋体"/>
                <w:color w:val="000000"/>
                <w:sz w:val="18"/>
                <w:szCs w:val="18"/>
                <w:highlight w:val="none"/>
              </w:rPr>
            </w:pPr>
            <w:r>
              <w:rPr>
                <w:rFonts w:hint="eastAsia" w:ascii="宋体" w:hAnsi="宋体" w:cs="宋体"/>
                <w:color w:val="auto"/>
                <w:sz w:val="18"/>
                <w:szCs w:val="18"/>
                <w:highlight w:val="none"/>
                <w:lang w:val="en-US" w:eastAsia="zh-CN"/>
              </w:rPr>
              <w:t>未提供相关内容不得分。</w:t>
            </w:r>
          </w:p>
        </w:tc>
      </w:tr>
      <w:tr w14:paraId="2517F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374" w:type="pct"/>
            <w:vMerge w:val="continue"/>
            <w:noWrap w:val="0"/>
            <w:vAlign w:val="center"/>
          </w:tcPr>
          <w:p w14:paraId="0733CF95">
            <w:pPr>
              <w:widowControl/>
              <w:spacing w:line="340" w:lineRule="exact"/>
              <w:jc w:val="left"/>
              <w:rPr>
                <w:color w:val="000000"/>
                <w:szCs w:val="21"/>
                <w:highlight w:val="none"/>
              </w:rPr>
            </w:pPr>
          </w:p>
        </w:tc>
        <w:tc>
          <w:tcPr>
            <w:tcW w:w="539" w:type="pct"/>
            <w:vMerge w:val="continue"/>
            <w:noWrap w:val="0"/>
            <w:vAlign w:val="center"/>
          </w:tcPr>
          <w:p w14:paraId="174576E7">
            <w:pPr>
              <w:widowControl/>
              <w:spacing w:line="340" w:lineRule="exact"/>
              <w:jc w:val="left"/>
              <w:rPr>
                <w:color w:val="000000"/>
                <w:szCs w:val="21"/>
                <w:highlight w:val="none"/>
              </w:rPr>
            </w:pPr>
          </w:p>
        </w:tc>
        <w:tc>
          <w:tcPr>
            <w:tcW w:w="4085" w:type="pct"/>
            <w:noWrap w:val="0"/>
            <w:vAlign w:val="center"/>
          </w:tcPr>
          <w:p w14:paraId="27D84E50">
            <w:pPr>
              <w:tabs>
                <w:tab w:val="left" w:pos="4915"/>
              </w:tabs>
              <w:spacing w:line="340" w:lineRule="exact"/>
              <w:rPr>
                <w:rFonts w:hint="eastAsia" w:cs="宋体"/>
                <w:color w:val="000000"/>
                <w:sz w:val="18"/>
                <w:szCs w:val="18"/>
                <w:highlight w:val="none"/>
              </w:rPr>
            </w:pPr>
            <w:r>
              <w:rPr>
                <w:rFonts w:hint="eastAsia" w:cs="宋体"/>
                <w:color w:val="000000"/>
                <w:sz w:val="18"/>
                <w:szCs w:val="18"/>
                <w:highlight w:val="none"/>
              </w:rPr>
              <w:t>环保管理体系和措施</w:t>
            </w:r>
            <w:r>
              <w:rPr>
                <w:rFonts w:hint="eastAsia" w:ascii="宋体" w:hAnsi="宋体" w:cs="宋体"/>
                <w:color w:val="auto"/>
                <w:sz w:val="18"/>
                <w:szCs w:val="18"/>
                <w:highlight w:val="none"/>
                <w:lang w:eastAsia="zh-CN"/>
              </w:rPr>
              <w:t>（包含但不仅限于防噪音、防扬尘、防刺鼻气味，空气检测、空气治理等施工环境维护保障措施等）</w:t>
            </w:r>
            <w:r>
              <w:rPr>
                <w:rFonts w:hint="eastAsia" w:cs="宋体"/>
                <w:color w:val="000000"/>
                <w:sz w:val="18"/>
                <w:szCs w:val="18"/>
                <w:highlight w:val="none"/>
              </w:rPr>
              <w:t>（</w:t>
            </w:r>
            <w:r>
              <w:rPr>
                <w:rFonts w:hint="eastAsia" w:cs="宋体"/>
                <w:color w:val="000000"/>
                <w:sz w:val="18"/>
                <w:szCs w:val="18"/>
                <w:highlight w:val="none"/>
                <w:lang w:val="en-US" w:eastAsia="zh-CN"/>
              </w:rPr>
              <w:t xml:space="preserve"> 5</w:t>
            </w:r>
            <w:r>
              <w:rPr>
                <w:rFonts w:hint="eastAsia" w:cs="宋体"/>
                <w:color w:val="000000"/>
                <w:sz w:val="18"/>
                <w:szCs w:val="18"/>
                <w:highlight w:val="none"/>
              </w:rPr>
              <w:t>分）：</w:t>
            </w:r>
          </w:p>
          <w:p w14:paraId="3DFBD084">
            <w:pPr>
              <w:tabs>
                <w:tab w:val="left" w:pos="4915"/>
              </w:tabs>
              <w:spacing w:line="340" w:lineRule="exact"/>
              <w:rPr>
                <w:rFonts w:hint="eastAsia" w:ascii="宋体" w:hAnsi="宋体" w:cs="宋体"/>
                <w:color w:val="auto"/>
                <w:sz w:val="18"/>
                <w:szCs w:val="18"/>
                <w:highlight w:val="none"/>
                <w:lang w:eastAsia="zh-CN"/>
              </w:rPr>
            </w:pPr>
            <w:r>
              <w:rPr>
                <w:rFonts w:hint="eastAsia" w:cs="宋体"/>
                <w:color w:val="000000"/>
                <w:sz w:val="18"/>
                <w:szCs w:val="18"/>
                <w:highlight w:val="none"/>
                <w:lang w:val="en-US" w:eastAsia="zh-CN"/>
              </w:rPr>
              <w:t>①</w:t>
            </w:r>
            <w:r>
              <w:rPr>
                <w:rFonts w:hint="eastAsia" w:ascii="宋体" w:hAnsi="宋体" w:cs="宋体"/>
                <w:color w:val="auto"/>
                <w:sz w:val="18"/>
                <w:szCs w:val="18"/>
                <w:highlight w:val="none"/>
              </w:rPr>
              <w:t>施工环保管理完善，防噪音、防扬尘、防刺鼻气味等施工环境维护保障措施可行，空气检测及时到位，空气治理方案完善的得</w:t>
            </w: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分</w:t>
            </w:r>
            <w:r>
              <w:rPr>
                <w:rFonts w:hint="eastAsia" w:ascii="宋体" w:hAnsi="宋体" w:cs="宋体"/>
                <w:color w:val="auto"/>
                <w:sz w:val="18"/>
                <w:szCs w:val="18"/>
                <w:highlight w:val="none"/>
                <w:lang w:eastAsia="zh-CN"/>
              </w:rPr>
              <w:t>；</w:t>
            </w:r>
          </w:p>
          <w:p w14:paraId="1450074F">
            <w:pPr>
              <w:tabs>
                <w:tab w:val="left" w:pos="4915"/>
              </w:tabs>
              <w:spacing w:line="340" w:lineRule="exact"/>
              <w:rPr>
                <w:rFonts w:hint="eastAsia" w:ascii="宋体" w:hAnsi="宋体" w:cs="宋体"/>
                <w:color w:val="auto"/>
                <w:sz w:val="18"/>
                <w:szCs w:val="18"/>
                <w:highlight w:val="none"/>
                <w:lang w:eastAsia="zh-CN"/>
              </w:rPr>
            </w:pPr>
            <w:r>
              <w:rPr>
                <w:rFonts w:hint="eastAsia" w:ascii="Times New Roman" w:hAnsi="Times New Roman" w:eastAsia="宋体" w:cs="宋体"/>
                <w:color w:val="000000"/>
                <w:sz w:val="18"/>
                <w:szCs w:val="18"/>
                <w:highlight w:val="none"/>
                <w:lang w:val="en-US" w:eastAsia="zh-CN"/>
              </w:rPr>
              <w:t>②</w:t>
            </w:r>
            <w:r>
              <w:rPr>
                <w:rFonts w:hint="eastAsia" w:ascii="宋体" w:hAnsi="宋体" w:cs="宋体"/>
                <w:color w:val="auto"/>
                <w:sz w:val="18"/>
                <w:szCs w:val="18"/>
                <w:highlight w:val="none"/>
                <w:lang w:eastAsia="zh-CN"/>
              </w:rPr>
              <w:t>施工环保管理</w:t>
            </w:r>
            <w:r>
              <w:rPr>
                <w:rFonts w:hint="eastAsia" w:ascii="宋体" w:hAnsi="宋体" w:cs="宋体"/>
                <w:color w:val="auto"/>
                <w:sz w:val="18"/>
                <w:szCs w:val="18"/>
                <w:highlight w:val="none"/>
                <w:lang w:val="en-US" w:eastAsia="zh-CN"/>
              </w:rPr>
              <w:t>较</w:t>
            </w:r>
            <w:r>
              <w:rPr>
                <w:rFonts w:hint="eastAsia" w:ascii="宋体" w:hAnsi="宋体" w:cs="宋体"/>
                <w:color w:val="auto"/>
                <w:sz w:val="18"/>
                <w:szCs w:val="18"/>
                <w:highlight w:val="none"/>
                <w:lang w:eastAsia="zh-CN"/>
              </w:rPr>
              <w:t>完善，防噪音、防扬尘、防刺鼻气味等施工环境维护保障措施</w:t>
            </w:r>
            <w:r>
              <w:rPr>
                <w:rFonts w:hint="eastAsia" w:ascii="宋体" w:hAnsi="宋体" w:cs="宋体"/>
                <w:color w:val="auto"/>
                <w:sz w:val="18"/>
                <w:szCs w:val="18"/>
                <w:highlight w:val="none"/>
                <w:lang w:val="en-US" w:eastAsia="zh-CN"/>
              </w:rPr>
              <w:t>较完善</w:t>
            </w:r>
            <w:r>
              <w:rPr>
                <w:rFonts w:hint="eastAsia" w:ascii="宋体" w:hAnsi="宋体" w:cs="宋体"/>
                <w:color w:val="auto"/>
                <w:sz w:val="18"/>
                <w:szCs w:val="18"/>
                <w:highlight w:val="none"/>
                <w:lang w:eastAsia="zh-CN"/>
              </w:rPr>
              <w:t>，空气检测及时到位，空气治理方案</w:t>
            </w:r>
            <w:r>
              <w:rPr>
                <w:rFonts w:hint="eastAsia" w:ascii="宋体" w:hAnsi="宋体" w:cs="宋体"/>
                <w:color w:val="auto"/>
                <w:sz w:val="18"/>
                <w:szCs w:val="18"/>
                <w:highlight w:val="none"/>
                <w:lang w:val="en-US" w:eastAsia="zh-CN"/>
              </w:rPr>
              <w:t>较</w:t>
            </w:r>
            <w:r>
              <w:rPr>
                <w:rFonts w:hint="eastAsia" w:ascii="宋体" w:hAnsi="宋体" w:cs="宋体"/>
                <w:color w:val="auto"/>
                <w:sz w:val="18"/>
                <w:szCs w:val="18"/>
                <w:highlight w:val="none"/>
                <w:lang w:eastAsia="zh-CN"/>
              </w:rPr>
              <w:t>完善的得</w:t>
            </w: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lang w:eastAsia="zh-CN"/>
              </w:rPr>
              <w:t>分；</w:t>
            </w:r>
          </w:p>
          <w:p w14:paraId="4CD5B1E8">
            <w:pPr>
              <w:tabs>
                <w:tab w:val="left" w:pos="4915"/>
              </w:tabs>
              <w:spacing w:line="340" w:lineRule="exact"/>
              <w:rPr>
                <w:rFonts w:hint="eastAsia" w:ascii="宋体" w:hAnsi="宋体" w:cs="宋体"/>
                <w:color w:val="auto"/>
                <w:sz w:val="18"/>
                <w:szCs w:val="18"/>
                <w:highlight w:val="none"/>
                <w:lang w:eastAsia="zh-CN"/>
              </w:rPr>
            </w:pPr>
            <w:r>
              <w:rPr>
                <w:rFonts w:hint="eastAsia" w:ascii="宋体" w:hAnsi="宋体" w:eastAsia="宋体" w:cs="宋体"/>
                <w:b w:val="0"/>
                <w:bCs w:val="0"/>
                <w:strike w:val="0"/>
                <w:dstrike w:val="0"/>
                <w:color w:val="auto"/>
                <w:sz w:val="18"/>
                <w:szCs w:val="18"/>
                <w:highlight w:val="none"/>
                <w:lang w:val="en-US" w:eastAsia="zh-CN"/>
              </w:rPr>
              <w:t>③</w:t>
            </w:r>
            <w:r>
              <w:rPr>
                <w:rFonts w:hint="eastAsia" w:ascii="宋体" w:hAnsi="宋体" w:cs="宋体"/>
                <w:color w:val="auto"/>
                <w:sz w:val="18"/>
                <w:szCs w:val="18"/>
                <w:highlight w:val="none"/>
              </w:rPr>
              <w:t>施工环保管理</w:t>
            </w:r>
            <w:r>
              <w:rPr>
                <w:rFonts w:hint="eastAsia" w:ascii="宋体" w:hAnsi="宋体" w:cs="宋体"/>
                <w:color w:val="auto"/>
                <w:sz w:val="18"/>
                <w:szCs w:val="18"/>
                <w:highlight w:val="none"/>
                <w:lang w:val="en-US" w:eastAsia="zh-CN"/>
              </w:rPr>
              <w:t>一般</w:t>
            </w:r>
            <w:r>
              <w:rPr>
                <w:rFonts w:hint="eastAsia" w:ascii="宋体" w:hAnsi="宋体" w:cs="宋体"/>
                <w:color w:val="auto"/>
                <w:sz w:val="18"/>
                <w:szCs w:val="18"/>
                <w:highlight w:val="none"/>
              </w:rPr>
              <w:t>，防噪音、防扬尘、防刺鼻气味等施工环境维护保障措施基本可行，空气检测较及时到位，空气治理方案较完善</w:t>
            </w:r>
            <w:r>
              <w:rPr>
                <w:rFonts w:hint="eastAsia" w:ascii="宋体" w:hAnsi="宋体" w:cs="宋体"/>
                <w:color w:val="auto"/>
                <w:sz w:val="18"/>
                <w:szCs w:val="18"/>
                <w:highlight w:val="none"/>
                <w:lang w:eastAsia="zh-CN"/>
              </w:rPr>
              <w:t>的</w:t>
            </w:r>
            <w:r>
              <w:rPr>
                <w:rFonts w:hint="eastAsia" w:ascii="宋体" w:hAnsi="宋体" w:cs="宋体"/>
                <w:color w:val="auto"/>
                <w:sz w:val="18"/>
                <w:szCs w:val="18"/>
                <w:highlight w:val="none"/>
              </w:rPr>
              <w:t>得</w:t>
            </w: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分</w:t>
            </w:r>
            <w:r>
              <w:rPr>
                <w:rFonts w:hint="eastAsia" w:ascii="宋体" w:hAnsi="宋体" w:cs="宋体"/>
                <w:color w:val="auto"/>
                <w:sz w:val="18"/>
                <w:szCs w:val="18"/>
                <w:highlight w:val="none"/>
                <w:lang w:eastAsia="zh-CN"/>
              </w:rPr>
              <w:t>；</w:t>
            </w:r>
          </w:p>
          <w:p w14:paraId="37D0980F">
            <w:pPr>
              <w:tabs>
                <w:tab w:val="left" w:pos="4915"/>
              </w:tabs>
              <w:spacing w:line="340" w:lineRule="exact"/>
              <w:rPr>
                <w:rFonts w:hint="eastAsia" w:ascii="宋体" w:hAnsi="宋体" w:cs="宋体"/>
                <w:color w:val="auto"/>
                <w:sz w:val="18"/>
                <w:szCs w:val="18"/>
                <w:highlight w:val="none"/>
                <w:lang w:eastAsia="zh-CN"/>
              </w:rPr>
            </w:pPr>
            <w:r>
              <w:rPr>
                <w:rFonts w:hint="eastAsia" w:ascii="Times New Roman" w:hAnsi="Times New Roman" w:eastAsia="宋体" w:cs="宋体"/>
                <w:color w:val="000000"/>
                <w:sz w:val="18"/>
                <w:szCs w:val="18"/>
                <w:highlight w:val="none"/>
                <w:lang w:val="en-US" w:eastAsia="zh-CN"/>
              </w:rPr>
              <w:t>④</w:t>
            </w:r>
            <w:r>
              <w:rPr>
                <w:rFonts w:hint="eastAsia" w:ascii="宋体" w:hAnsi="宋体" w:cs="宋体"/>
                <w:color w:val="auto"/>
                <w:sz w:val="18"/>
                <w:szCs w:val="18"/>
                <w:highlight w:val="none"/>
              </w:rPr>
              <w:t>施工环保管理完善，防噪音、防扬尘、防刺鼻气味等施工环境维护保障措施基本可行，空气检测较及时到位，空气治理方案上有部分欠缺，</w:t>
            </w:r>
            <w:r>
              <w:rPr>
                <w:rFonts w:hint="eastAsia" w:ascii="宋体" w:hAnsi="宋体" w:cs="宋体"/>
                <w:color w:val="auto"/>
                <w:sz w:val="18"/>
                <w:szCs w:val="18"/>
                <w:highlight w:val="none"/>
                <w:lang w:val="en-US" w:eastAsia="zh-CN"/>
              </w:rPr>
              <w:t>但尚不影响履约</w:t>
            </w:r>
            <w:r>
              <w:rPr>
                <w:rFonts w:hint="eastAsia" w:ascii="宋体" w:hAnsi="宋体" w:cs="宋体"/>
                <w:color w:val="auto"/>
                <w:sz w:val="18"/>
                <w:szCs w:val="18"/>
                <w:highlight w:val="none"/>
              </w:rPr>
              <w:t>的得</w:t>
            </w:r>
            <w:r>
              <w:rPr>
                <w:rFonts w:hint="eastAsia" w:ascii="宋体" w:hAnsi="宋体" w:cs="宋体"/>
                <w:color w:val="auto"/>
                <w:sz w:val="18"/>
                <w:szCs w:val="18"/>
                <w:highlight w:val="none"/>
                <w:lang w:val="en-US" w:eastAsia="zh-CN"/>
              </w:rPr>
              <w:t>2</w:t>
            </w:r>
            <w:r>
              <w:rPr>
                <w:rFonts w:hint="eastAsia" w:ascii="宋体" w:hAnsi="宋体" w:cs="宋体"/>
                <w:color w:val="auto"/>
                <w:sz w:val="18"/>
                <w:szCs w:val="18"/>
                <w:highlight w:val="none"/>
              </w:rPr>
              <w:t>分</w:t>
            </w:r>
            <w:r>
              <w:rPr>
                <w:rFonts w:hint="eastAsia" w:ascii="宋体" w:hAnsi="宋体" w:cs="宋体"/>
                <w:color w:val="auto"/>
                <w:sz w:val="18"/>
                <w:szCs w:val="18"/>
                <w:highlight w:val="none"/>
                <w:lang w:eastAsia="zh-CN"/>
              </w:rPr>
              <w:t>；</w:t>
            </w:r>
          </w:p>
          <w:p w14:paraId="56BA1F69">
            <w:pPr>
              <w:tabs>
                <w:tab w:val="left" w:pos="4915"/>
              </w:tabs>
              <w:spacing w:line="340" w:lineRule="exact"/>
              <w:rPr>
                <w:rFonts w:hint="eastAsia"/>
                <w:lang w:eastAsia="zh-CN"/>
              </w:rPr>
            </w:pPr>
            <w:r>
              <w:rPr>
                <w:rFonts w:hint="eastAsia" w:ascii="宋体" w:hAnsi="宋体" w:cs="宋体"/>
                <w:color w:val="auto"/>
                <w:sz w:val="18"/>
                <w:szCs w:val="18"/>
                <w:highlight w:val="none"/>
                <w:lang w:val="en-US" w:eastAsia="zh-CN"/>
              </w:rPr>
              <w:t>⑤</w:t>
            </w:r>
            <w:r>
              <w:rPr>
                <w:rFonts w:hint="eastAsia" w:ascii="宋体" w:hAnsi="宋体" w:cs="宋体"/>
                <w:color w:val="auto"/>
                <w:sz w:val="18"/>
                <w:szCs w:val="18"/>
                <w:highlight w:val="none"/>
              </w:rPr>
              <w:t>施工环保管理</w:t>
            </w:r>
            <w:r>
              <w:rPr>
                <w:rFonts w:hint="eastAsia" w:ascii="宋体" w:hAnsi="宋体" w:cs="宋体"/>
                <w:color w:val="auto"/>
                <w:sz w:val="18"/>
                <w:szCs w:val="18"/>
                <w:highlight w:val="none"/>
                <w:lang w:val="en-US" w:eastAsia="zh-CN"/>
              </w:rPr>
              <w:t>内容简单</w:t>
            </w:r>
            <w:r>
              <w:rPr>
                <w:rFonts w:hint="eastAsia" w:ascii="宋体" w:hAnsi="宋体" w:cs="宋体"/>
                <w:color w:val="auto"/>
                <w:sz w:val="18"/>
                <w:szCs w:val="18"/>
                <w:highlight w:val="none"/>
              </w:rPr>
              <w:t>，防噪音、防扬尘、防刺鼻气味等施工环境维护保障措施</w:t>
            </w:r>
            <w:r>
              <w:rPr>
                <w:rFonts w:hint="eastAsia" w:ascii="宋体" w:hAnsi="宋体" w:cs="宋体"/>
                <w:color w:val="auto"/>
                <w:sz w:val="18"/>
                <w:szCs w:val="18"/>
                <w:highlight w:val="none"/>
                <w:lang w:val="en-US" w:eastAsia="zh-CN"/>
              </w:rPr>
              <w:t>欠缺</w:t>
            </w:r>
            <w:r>
              <w:rPr>
                <w:rFonts w:hint="eastAsia" w:ascii="宋体" w:hAnsi="宋体" w:cs="宋体"/>
                <w:color w:val="auto"/>
                <w:sz w:val="18"/>
                <w:szCs w:val="18"/>
                <w:highlight w:val="none"/>
              </w:rPr>
              <w:t>，空气检测</w:t>
            </w:r>
            <w:r>
              <w:rPr>
                <w:rFonts w:hint="eastAsia" w:ascii="宋体" w:hAnsi="宋体" w:cs="宋体"/>
                <w:color w:val="auto"/>
                <w:sz w:val="18"/>
                <w:szCs w:val="18"/>
                <w:highlight w:val="none"/>
                <w:lang w:val="en-US" w:eastAsia="zh-CN"/>
              </w:rPr>
              <w:t>未</w:t>
            </w:r>
            <w:r>
              <w:rPr>
                <w:rFonts w:hint="eastAsia" w:ascii="宋体" w:hAnsi="宋体" w:cs="宋体"/>
                <w:color w:val="auto"/>
                <w:sz w:val="18"/>
                <w:szCs w:val="18"/>
                <w:highlight w:val="none"/>
              </w:rPr>
              <w:t>及时到位，空气治理方案上有部分欠缺，</w:t>
            </w:r>
            <w:r>
              <w:rPr>
                <w:rFonts w:hint="eastAsia" w:ascii="宋体" w:hAnsi="宋体" w:cs="宋体"/>
                <w:color w:val="auto"/>
                <w:sz w:val="18"/>
                <w:szCs w:val="18"/>
                <w:highlight w:val="none"/>
                <w:lang w:val="en-US" w:eastAsia="zh-CN"/>
              </w:rPr>
              <w:t>但尚不影响履约</w:t>
            </w:r>
            <w:r>
              <w:rPr>
                <w:rFonts w:hint="eastAsia" w:ascii="宋体" w:hAnsi="宋体" w:cs="宋体"/>
                <w:color w:val="auto"/>
                <w:sz w:val="18"/>
                <w:szCs w:val="18"/>
                <w:highlight w:val="none"/>
              </w:rPr>
              <w:t>的得</w:t>
            </w:r>
            <w:r>
              <w:rPr>
                <w:rFonts w:hint="eastAsia" w:ascii="宋体" w:hAnsi="宋体" w:cs="宋体"/>
                <w:color w:val="auto"/>
                <w:sz w:val="18"/>
                <w:szCs w:val="18"/>
                <w:highlight w:val="none"/>
                <w:lang w:val="en-US" w:eastAsia="zh-CN"/>
              </w:rPr>
              <w:t>1</w:t>
            </w:r>
            <w:r>
              <w:rPr>
                <w:rFonts w:hint="eastAsia" w:ascii="宋体" w:hAnsi="宋体" w:cs="宋体"/>
                <w:color w:val="auto"/>
                <w:sz w:val="18"/>
                <w:szCs w:val="18"/>
                <w:highlight w:val="none"/>
              </w:rPr>
              <w:t>分</w:t>
            </w:r>
            <w:r>
              <w:rPr>
                <w:rFonts w:hint="eastAsia" w:ascii="宋体" w:hAnsi="宋体" w:cs="宋体"/>
                <w:color w:val="auto"/>
                <w:sz w:val="18"/>
                <w:szCs w:val="18"/>
                <w:highlight w:val="none"/>
                <w:lang w:eastAsia="zh-CN"/>
              </w:rPr>
              <w:t>；</w:t>
            </w:r>
          </w:p>
          <w:p w14:paraId="0F1F67FC">
            <w:pPr>
              <w:tabs>
                <w:tab w:val="left" w:pos="4915"/>
              </w:tabs>
              <w:spacing w:line="340" w:lineRule="exact"/>
              <w:rPr>
                <w:rFonts w:hint="eastAsia" w:cs="宋体"/>
                <w:color w:val="000000"/>
                <w:sz w:val="18"/>
                <w:szCs w:val="18"/>
                <w:highlight w:val="none"/>
              </w:rPr>
            </w:pPr>
            <w:r>
              <w:rPr>
                <w:rFonts w:hint="eastAsia" w:ascii="宋体" w:hAnsi="宋体" w:cs="宋体"/>
                <w:color w:val="auto"/>
                <w:sz w:val="18"/>
                <w:szCs w:val="18"/>
                <w:highlight w:val="none"/>
                <w:lang w:val="en-US" w:eastAsia="zh-CN"/>
              </w:rPr>
              <w:t>未提供相关内容不得分。</w:t>
            </w:r>
          </w:p>
        </w:tc>
      </w:tr>
      <w:tr w14:paraId="16A08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374" w:type="pct"/>
            <w:vMerge w:val="continue"/>
            <w:noWrap w:val="0"/>
            <w:vAlign w:val="center"/>
          </w:tcPr>
          <w:p w14:paraId="3B9E6352">
            <w:pPr>
              <w:widowControl/>
              <w:spacing w:line="340" w:lineRule="exact"/>
              <w:jc w:val="left"/>
              <w:rPr>
                <w:color w:val="000000"/>
                <w:szCs w:val="21"/>
                <w:highlight w:val="none"/>
              </w:rPr>
            </w:pPr>
          </w:p>
        </w:tc>
        <w:tc>
          <w:tcPr>
            <w:tcW w:w="539" w:type="pct"/>
            <w:vMerge w:val="continue"/>
            <w:noWrap w:val="0"/>
            <w:vAlign w:val="center"/>
          </w:tcPr>
          <w:p w14:paraId="6028061E">
            <w:pPr>
              <w:widowControl/>
              <w:spacing w:line="340" w:lineRule="exact"/>
              <w:jc w:val="left"/>
              <w:rPr>
                <w:color w:val="000000"/>
                <w:szCs w:val="21"/>
                <w:highlight w:val="none"/>
              </w:rPr>
            </w:pPr>
          </w:p>
        </w:tc>
        <w:tc>
          <w:tcPr>
            <w:tcW w:w="4085" w:type="pct"/>
            <w:noWrap w:val="0"/>
            <w:vAlign w:val="center"/>
          </w:tcPr>
          <w:p w14:paraId="0D910E45">
            <w:pPr>
              <w:tabs>
                <w:tab w:val="left" w:pos="4915"/>
              </w:tabs>
              <w:spacing w:line="340" w:lineRule="exact"/>
              <w:rPr>
                <w:rFonts w:hint="eastAsia" w:ascii="Times New Roman" w:hAnsi="宋体" w:eastAsia="宋体" w:cs="宋体"/>
                <w:color w:val="auto"/>
                <w:sz w:val="18"/>
                <w:szCs w:val="18"/>
                <w:highlight w:val="none"/>
                <w:lang w:val="en-US" w:eastAsia="zh-CN"/>
              </w:rPr>
            </w:pPr>
            <w:r>
              <w:rPr>
                <w:rFonts w:hint="eastAsia" w:ascii="Times New Roman" w:hAnsi="宋体" w:eastAsia="宋体" w:cs="宋体"/>
                <w:color w:val="auto"/>
                <w:sz w:val="18"/>
                <w:szCs w:val="18"/>
                <w:highlight w:val="none"/>
                <w:lang w:val="en-US" w:eastAsia="zh-CN"/>
              </w:rPr>
              <w:t>专项安全实施方案、文明施工措施、（</w:t>
            </w:r>
            <w:r>
              <w:rPr>
                <w:rFonts w:hint="eastAsia" w:hAnsi="宋体" w:cs="宋体"/>
                <w:color w:val="auto"/>
                <w:sz w:val="18"/>
                <w:szCs w:val="18"/>
                <w:highlight w:val="none"/>
                <w:lang w:val="en-US" w:eastAsia="zh-CN"/>
              </w:rPr>
              <w:t>5</w:t>
            </w:r>
            <w:r>
              <w:rPr>
                <w:rFonts w:hint="eastAsia" w:ascii="Times New Roman" w:hAnsi="宋体" w:eastAsia="宋体" w:cs="宋体"/>
                <w:color w:val="auto"/>
                <w:sz w:val="18"/>
                <w:szCs w:val="18"/>
                <w:highlight w:val="none"/>
                <w:lang w:val="en-US" w:eastAsia="zh-CN"/>
              </w:rPr>
              <w:t>分）：</w:t>
            </w:r>
          </w:p>
          <w:p w14:paraId="0E0504E8">
            <w:pPr>
              <w:tabs>
                <w:tab w:val="left" w:pos="4915"/>
              </w:tabs>
              <w:spacing w:line="340" w:lineRule="exact"/>
              <w:rPr>
                <w:rFonts w:hint="eastAsia" w:ascii="Times New Roman" w:hAnsi="宋体" w:eastAsia="宋体" w:cs="宋体"/>
                <w:color w:val="auto"/>
                <w:sz w:val="18"/>
                <w:szCs w:val="18"/>
                <w:highlight w:val="none"/>
                <w:lang w:val="en-US" w:eastAsia="zh-CN"/>
              </w:rPr>
            </w:pPr>
            <w:r>
              <w:rPr>
                <w:rFonts w:hint="eastAsia" w:cs="宋体"/>
                <w:color w:val="000000"/>
                <w:sz w:val="18"/>
                <w:szCs w:val="18"/>
                <w:highlight w:val="none"/>
                <w:lang w:val="en-US" w:eastAsia="zh-CN"/>
              </w:rPr>
              <w:t>①</w:t>
            </w:r>
            <w:r>
              <w:rPr>
                <w:rFonts w:hint="eastAsia" w:ascii="Times New Roman" w:hAnsi="宋体" w:eastAsia="宋体" w:cs="宋体"/>
                <w:color w:val="auto"/>
                <w:sz w:val="18"/>
                <w:szCs w:val="18"/>
                <w:highlight w:val="none"/>
                <w:lang w:val="en-US" w:eastAsia="zh-CN"/>
              </w:rPr>
              <w:t>专项安全实施方案详细、明确，施工作业防护、噪音、震动、扬尘各项保障措施具体有效、能保证项目顺利实施的得</w:t>
            </w:r>
            <w:r>
              <w:rPr>
                <w:rFonts w:hint="eastAsia" w:hAnsi="宋体" w:cs="宋体"/>
                <w:color w:val="auto"/>
                <w:sz w:val="18"/>
                <w:szCs w:val="18"/>
                <w:highlight w:val="none"/>
                <w:lang w:val="en-US" w:eastAsia="zh-CN"/>
              </w:rPr>
              <w:t>5</w:t>
            </w:r>
            <w:r>
              <w:rPr>
                <w:rFonts w:hint="eastAsia" w:ascii="Times New Roman" w:hAnsi="宋体" w:eastAsia="宋体" w:cs="宋体"/>
                <w:color w:val="auto"/>
                <w:sz w:val="18"/>
                <w:szCs w:val="18"/>
                <w:highlight w:val="none"/>
                <w:lang w:val="en-US" w:eastAsia="zh-CN"/>
              </w:rPr>
              <w:t>分；</w:t>
            </w:r>
          </w:p>
          <w:p w14:paraId="61B820AD">
            <w:pPr>
              <w:tabs>
                <w:tab w:val="left" w:pos="4915"/>
              </w:tabs>
              <w:spacing w:line="340" w:lineRule="exact"/>
              <w:rPr>
                <w:rFonts w:hint="eastAsia" w:ascii="Times New Roman" w:hAnsi="宋体" w:eastAsia="宋体" w:cs="宋体"/>
                <w:color w:val="auto"/>
                <w:sz w:val="18"/>
                <w:szCs w:val="18"/>
                <w:highlight w:val="none"/>
                <w:lang w:val="en-US" w:eastAsia="zh-CN"/>
              </w:rPr>
            </w:pPr>
            <w:r>
              <w:rPr>
                <w:rFonts w:hint="eastAsia" w:ascii="Times New Roman" w:hAnsi="Times New Roman" w:eastAsia="宋体" w:cs="宋体"/>
                <w:color w:val="000000"/>
                <w:sz w:val="18"/>
                <w:szCs w:val="18"/>
                <w:highlight w:val="none"/>
                <w:lang w:val="en-US" w:eastAsia="zh-CN"/>
              </w:rPr>
              <w:t>②</w:t>
            </w:r>
            <w:r>
              <w:rPr>
                <w:rFonts w:hint="eastAsia" w:hAnsi="宋体" w:cs="宋体"/>
                <w:color w:val="auto"/>
                <w:sz w:val="18"/>
                <w:szCs w:val="18"/>
                <w:highlight w:val="none"/>
                <w:lang w:val="en-US" w:eastAsia="zh-CN"/>
              </w:rPr>
              <w:t>专</w:t>
            </w:r>
            <w:r>
              <w:rPr>
                <w:rFonts w:hint="eastAsia" w:ascii="Times New Roman" w:hAnsi="宋体" w:eastAsia="宋体" w:cs="宋体"/>
                <w:color w:val="auto"/>
                <w:sz w:val="18"/>
                <w:szCs w:val="18"/>
                <w:highlight w:val="none"/>
                <w:lang w:val="en-US" w:eastAsia="zh-CN"/>
              </w:rPr>
              <w:t>项安全实施方案较详细、明确，施工作业防护、噪音、震动、扬尘各项保障措施</w:t>
            </w:r>
            <w:r>
              <w:rPr>
                <w:rFonts w:hint="eastAsia" w:hAnsi="宋体" w:cs="宋体"/>
                <w:color w:val="auto"/>
                <w:sz w:val="18"/>
                <w:szCs w:val="18"/>
                <w:highlight w:val="none"/>
                <w:lang w:val="en-US" w:eastAsia="zh-CN"/>
              </w:rPr>
              <w:t>基本</w:t>
            </w:r>
            <w:r>
              <w:rPr>
                <w:rFonts w:hint="eastAsia" w:ascii="Times New Roman" w:hAnsi="宋体" w:eastAsia="宋体" w:cs="宋体"/>
                <w:color w:val="auto"/>
                <w:sz w:val="18"/>
                <w:szCs w:val="18"/>
                <w:highlight w:val="none"/>
                <w:lang w:val="en-US" w:eastAsia="zh-CN"/>
              </w:rPr>
              <w:t>有效、能保证项目顺利实施的得</w:t>
            </w:r>
            <w:r>
              <w:rPr>
                <w:rFonts w:hint="eastAsia" w:hAnsi="宋体" w:cs="宋体"/>
                <w:color w:val="auto"/>
                <w:sz w:val="18"/>
                <w:szCs w:val="18"/>
                <w:highlight w:val="none"/>
                <w:lang w:val="en-US" w:eastAsia="zh-CN"/>
              </w:rPr>
              <w:t>4</w:t>
            </w:r>
            <w:r>
              <w:rPr>
                <w:rFonts w:hint="eastAsia" w:ascii="Times New Roman" w:hAnsi="宋体" w:eastAsia="宋体" w:cs="宋体"/>
                <w:color w:val="auto"/>
                <w:sz w:val="18"/>
                <w:szCs w:val="18"/>
                <w:highlight w:val="none"/>
                <w:lang w:val="en-US" w:eastAsia="zh-CN"/>
              </w:rPr>
              <w:t>分；</w:t>
            </w:r>
          </w:p>
          <w:p w14:paraId="32BDA739">
            <w:pPr>
              <w:tabs>
                <w:tab w:val="left" w:pos="4915"/>
              </w:tabs>
              <w:spacing w:line="340" w:lineRule="exact"/>
              <w:rPr>
                <w:rFonts w:hint="eastAsia" w:ascii="Times New Roman" w:hAnsi="宋体" w:eastAsia="宋体" w:cs="宋体"/>
                <w:color w:val="auto"/>
                <w:sz w:val="18"/>
                <w:szCs w:val="18"/>
                <w:highlight w:val="none"/>
                <w:lang w:val="en-US" w:eastAsia="zh-CN"/>
              </w:rPr>
            </w:pPr>
            <w:r>
              <w:rPr>
                <w:rFonts w:hint="eastAsia" w:ascii="宋体" w:hAnsi="宋体" w:eastAsia="宋体" w:cs="宋体"/>
                <w:b w:val="0"/>
                <w:bCs w:val="0"/>
                <w:strike w:val="0"/>
                <w:dstrike w:val="0"/>
                <w:color w:val="auto"/>
                <w:sz w:val="18"/>
                <w:szCs w:val="18"/>
                <w:highlight w:val="none"/>
                <w:lang w:val="en-US" w:eastAsia="zh-CN"/>
              </w:rPr>
              <w:t>③</w:t>
            </w:r>
            <w:r>
              <w:rPr>
                <w:rFonts w:hint="eastAsia" w:ascii="Times New Roman" w:hAnsi="宋体" w:eastAsia="宋体" w:cs="宋体"/>
                <w:color w:val="auto"/>
                <w:sz w:val="18"/>
                <w:szCs w:val="18"/>
                <w:highlight w:val="none"/>
                <w:lang w:val="en-US" w:eastAsia="zh-CN"/>
              </w:rPr>
              <w:t>专项安全实施方案</w:t>
            </w:r>
            <w:r>
              <w:rPr>
                <w:rFonts w:hint="eastAsia" w:hAnsi="宋体" w:cs="宋体"/>
                <w:color w:val="auto"/>
                <w:sz w:val="18"/>
                <w:szCs w:val="18"/>
                <w:highlight w:val="none"/>
                <w:lang w:val="en-US" w:eastAsia="zh-CN"/>
              </w:rPr>
              <w:t>一般</w:t>
            </w:r>
            <w:r>
              <w:rPr>
                <w:rFonts w:hint="eastAsia" w:ascii="Times New Roman" w:hAnsi="宋体" w:eastAsia="宋体" w:cs="宋体"/>
                <w:color w:val="auto"/>
                <w:sz w:val="18"/>
                <w:szCs w:val="18"/>
                <w:highlight w:val="none"/>
                <w:lang w:val="en-US" w:eastAsia="zh-CN"/>
              </w:rPr>
              <w:t>，施工作业防护、噪音、震动、扬尘各项保障措施</w:t>
            </w:r>
            <w:r>
              <w:rPr>
                <w:rFonts w:hint="eastAsia" w:hAnsi="宋体" w:cs="宋体"/>
                <w:color w:val="auto"/>
                <w:sz w:val="18"/>
                <w:szCs w:val="18"/>
                <w:highlight w:val="none"/>
                <w:lang w:val="en-US" w:eastAsia="zh-CN"/>
              </w:rPr>
              <w:t>一般</w:t>
            </w:r>
            <w:r>
              <w:rPr>
                <w:rFonts w:hint="eastAsia" w:ascii="Times New Roman" w:hAnsi="宋体" w:eastAsia="宋体" w:cs="宋体"/>
                <w:color w:val="auto"/>
                <w:sz w:val="18"/>
                <w:szCs w:val="18"/>
                <w:highlight w:val="none"/>
                <w:lang w:val="en-US" w:eastAsia="zh-CN"/>
              </w:rPr>
              <w:t>，能保证项目顺利实施的得</w:t>
            </w:r>
            <w:r>
              <w:rPr>
                <w:rFonts w:hint="eastAsia" w:hAnsi="宋体" w:cs="宋体"/>
                <w:color w:val="auto"/>
                <w:sz w:val="18"/>
                <w:szCs w:val="18"/>
                <w:highlight w:val="none"/>
                <w:lang w:val="en-US" w:eastAsia="zh-CN"/>
              </w:rPr>
              <w:t>3</w:t>
            </w:r>
            <w:r>
              <w:rPr>
                <w:rFonts w:hint="eastAsia" w:ascii="Times New Roman" w:hAnsi="宋体" w:eastAsia="宋体" w:cs="宋体"/>
                <w:color w:val="auto"/>
                <w:sz w:val="18"/>
                <w:szCs w:val="18"/>
                <w:highlight w:val="none"/>
                <w:lang w:val="en-US" w:eastAsia="zh-CN"/>
              </w:rPr>
              <w:t>分；</w:t>
            </w:r>
          </w:p>
          <w:p w14:paraId="3EE1687B">
            <w:pPr>
              <w:tabs>
                <w:tab w:val="left" w:pos="4915"/>
              </w:tabs>
              <w:spacing w:line="340" w:lineRule="exact"/>
              <w:rPr>
                <w:rFonts w:hint="eastAsia" w:ascii="Times New Roman" w:hAnsi="宋体" w:eastAsia="宋体" w:cs="宋体"/>
                <w:color w:val="auto"/>
                <w:sz w:val="18"/>
                <w:szCs w:val="18"/>
                <w:highlight w:val="none"/>
                <w:lang w:val="en-US" w:eastAsia="zh-CN"/>
              </w:rPr>
            </w:pPr>
            <w:r>
              <w:rPr>
                <w:rFonts w:hint="eastAsia" w:ascii="Times New Roman" w:hAnsi="宋体" w:eastAsia="宋体" w:cs="宋体"/>
                <w:color w:val="auto"/>
                <w:sz w:val="18"/>
                <w:szCs w:val="18"/>
                <w:highlight w:val="none"/>
                <w:lang w:val="en-US" w:eastAsia="zh-CN"/>
              </w:rPr>
              <w:t>④专项安全实施方案详细度一般、明确度一般，施工作业防护、噪音、震动、扬尘保障措施上存在细节部分欠缺，尚不影响履约的得</w:t>
            </w:r>
            <w:r>
              <w:rPr>
                <w:rFonts w:hint="eastAsia" w:hAnsi="宋体" w:cs="宋体"/>
                <w:color w:val="auto"/>
                <w:sz w:val="18"/>
                <w:szCs w:val="18"/>
                <w:highlight w:val="none"/>
                <w:lang w:val="en-US" w:eastAsia="zh-CN"/>
              </w:rPr>
              <w:t>2</w:t>
            </w:r>
            <w:r>
              <w:rPr>
                <w:rFonts w:hint="eastAsia" w:ascii="Times New Roman" w:hAnsi="宋体" w:eastAsia="宋体" w:cs="宋体"/>
                <w:color w:val="auto"/>
                <w:sz w:val="18"/>
                <w:szCs w:val="18"/>
                <w:highlight w:val="none"/>
                <w:lang w:val="en-US" w:eastAsia="zh-CN"/>
              </w:rPr>
              <w:t>分；</w:t>
            </w:r>
          </w:p>
          <w:p w14:paraId="0ADD9332">
            <w:pPr>
              <w:tabs>
                <w:tab w:val="left" w:pos="4915"/>
              </w:tabs>
              <w:spacing w:line="340" w:lineRule="exact"/>
              <w:rPr>
                <w:rFonts w:hint="eastAsia"/>
              </w:rPr>
            </w:pPr>
            <w:r>
              <w:rPr>
                <w:rFonts w:hint="eastAsia" w:ascii="宋体" w:hAnsi="宋体" w:cs="宋体"/>
                <w:color w:val="auto"/>
                <w:sz w:val="18"/>
                <w:szCs w:val="18"/>
                <w:highlight w:val="none"/>
                <w:lang w:val="en-US" w:eastAsia="zh-CN"/>
              </w:rPr>
              <w:t>⑤</w:t>
            </w:r>
            <w:r>
              <w:rPr>
                <w:rFonts w:hint="eastAsia" w:ascii="Times New Roman" w:hAnsi="宋体" w:eastAsia="宋体" w:cs="宋体"/>
                <w:color w:val="auto"/>
                <w:sz w:val="18"/>
                <w:szCs w:val="18"/>
                <w:highlight w:val="none"/>
                <w:lang w:val="en-US" w:eastAsia="zh-CN"/>
              </w:rPr>
              <w:t>专项安全实施方案</w:t>
            </w:r>
            <w:r>
              <w:rPr>
                <w:rFonts w:hint="eastAsia" w:hAnsi="宋体" w:cs="宋体"/>
                <w:color w:val="auto"/>
                <w:sz w:val="18"/>
                <w:szCs w:val="18"/>
                <w:highlight w:val="none"/>
                <w:lang w:val="en-US" w:eastAsia="zh-CN"/>
              </w:rPr>
              <w:t>内容简单</w:t>
            </w:r>
            <w:r>
              <w:rPr>
                <w:rFonts w:hint="eastAsia" w:ascii="Times New Roman" w:hAnsi="宋体" w:eastAsia="宋体" w:cs="宋体"/>
                <w:color w:val="auto"/>
                <w:sz w:val="18"/>
                <w:szCs w:val="18"/>
                <w:highlight w:val="none"/>
                <w:lang w:val="en-US" w:eastAsia="zh-CN"/>
              </w:rPr>
              <w:t>，施工作业防护、噪音、震动、扬尘保障措施上存在</w:t>
            </w:r>
            <w:r>
              <w:rPr>
                <w:rFonts w:hint="eastAsia" w:hAnsi="宋体" w:cs="宋体"/>
                <w:color w:val="auto"/>
                <w:sz w:val="18"/>
                <w:szCs w:val="18"/>
                <w:highlight w:val="none"/>
                <w:lang w:val="en-US" w:eastAsia="zh-CN"/>
              </w:rPr>
              <w:t>很多</w:t>
            </w:r>
            <w:r>
              <w:rPr>
                <w:rFonts w:hint="eastAsia" w:ascii="Times New Roman" w:hAnsi="宋体" w:eastAsia="宋体" w:cs="宋体"/>
                <w:color w:val="auto"/>
                <w:sz w:val="18"/>
                <w:szCs w:val="18"/>
                <w:highlight w:val="none"/>
                <w:lang w:val="en-US" w:eastAsia="zh-CN"/>
              </w:rPr>
              <w:t>欠缺，尚不影响履约的得1分；</w:t>
            </w:r>
          </w:p>
        </w:tc>
      </w:tr>
      <w:tr w14:paraId="3427E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374" w:type="pct"/>
            <w:vMerge w:val="continue"/>
            <w:noWrap w:val="0"/>
            <w:vAlign w:val="center"/>
          </w:tcPr>
          <w:p w14:paraId="1AED74C1">
            <w:pPr>
              <w:widowControl/>
              <w:spacing w:line="340" w:lineRule="exact"/>
              <w:jc w:val="left"/>
              <w:rPr>
                <w:color w:val="000000"/>
                <w:szCs w:val="21"/>
                <w:highlight w:val="none"/>
              </w:rPr>
            </w:pPr>
          </w:p>
        </w:tc>
        <w:tc>
          <w:tcPr>
            <w:tcW w:w="539" w:type="pct"/>
            <w:vMerge w:val="continue"/>
            <w:noWrap w:val="0"/>
            <w:vAlign w:val="center"/>
          </w:tcPr>
          <w:p w14:paraId="59D7547C">
            <w:pPr>
              <w:widowControl/>
              <w:spacing w:line="340" w:lineRule="exact"/>
              <w:jc w:val="left"/>
              <w:rPr>
                <w:color w:val="000000"/>
                <w:szCs w:val="21"/>
                <w:highlight w:val="none"/>
              </w:rPr>
            </w:pPr>
          </w:p>
        </w:tc>
        <w:tc>
          <w:tcPr>
            <w:tcW w:w="4085" w:type="pct"/>
            <w:noWrap w:val="0"/>
            <w:vAlign w:val="center"/>
          </w:tcPr>
          <w:p w14:paraId="6A2795A4">
            <w:pPr>
              <w:tabs>
                <w:tab w:val="left" w:pos="4915"/>
              </w:tabs>
              <w:spacing w:line="340" w:lineRule="exact"/>
              <w:rPr>
                <w:rFonts w:hint="eastAsia" w:ascii="Times New Roman" w:hAnsi="宋体" w:eastAsia="宋体" w:cs="宋体"/>
                <w:color w:val="auto"/>
                <w:sz w:val="18"/>
                <w:szCs w:val="18"/>
                <w:highlight w:val="none"/>
                <w:lang w:val="en-US" w:eastAsia="zh-CN"/>
              </w:rPr>
            </w:pPr>
            <w:r>
              <w:rPr>
                <w:rFonts w:hint="eastAsia" w:ascii="Times New Roman" w:hAnsi="宋体" w:eastAsia="宋体" w:cs="宋体"/>
                <w:color w:val="auto"/>
                <w:sz w:val="18"/>
                <w:szCs w:val="18"/>
                <w:highlight w:val="none"/>
                <w:lang w:val="en-US" w:eastAsia="zh-CN"/>
              </w:rPr>
              <w:t>根据供应商针对本项目拟投入的主要施工机械设备的选用和布置等内容进行评议（5分）：</w:t>
            </w:r>
          </w:p>
          <w:p w14:paraId="312A794E">
            <w:pPr>
              <w:tabs>
                <w:tab w:val="left" w:pos="4915"/>
              </w:tabs>
              <w:spacing w:line="340" w:lineRule="exact"/>
              <w:rPr>
                <w:rFonts w:hint="eastAsia" w:ascii="Times New Roman" w:hAnsi="宋体" w:eastAsia="宋体" w:cs="宋体"/>
                <w:color w:val="auto"/>
                <w:sz w:val="18"/>
                <w:szCs w:val="18"/>
                <w:highlight w:val="none"/>
                <w:lang w:val="en-US" w:eastAsia="zh-CN"/>
              </w:rPr>
            </w:pPr>
            <w:r>
              <w:rPr>
                <w:rFonts w:hint="eastAsia" w:cs="宋体"/>
                <w:color w:val="000000"/>
                <w:sz w:val="18"/>
                <w:szCs w:val="18"/>
                <w:highlight w:val="none"/>
                <w:lang w:val="en-US" w:eastAsia="zh-CN"/>
              </w:rPr>
              <w:t>①</w:t>
            </w:r>
            <w:r>
              <w:rPr>
                <w:rFonts w:hint="eastAsia" w:ascii="Times New Roman" w:hAnsi="宋体" w:eastAsia="宋体" w:cs="宋体"/>
                <w:color w:val="auto"/>
                <w:sz w:val="18"/>
                <w:szCs w:val="18"/>
                <w:highlight w:val="none"/>
                <w:lang w:val="en-US" w:eastAsia="zh-CN"/>
              </w:rPr>
              <w:t>施工机械设备种类齐全、设备管理制度完善、完全满足本项目需求的得5分，</w:t>
            </w:r>
          </w:p>
          <w:p w14:paraId="03B5270C">
            <w:pPr>
              <w:tabs>
                <w:tab w:val="left" w:pos="4915"/>
              </w:tabs>
              <w:spacing w:line="340" w:lineRule="exact"/>
              <w:rPr>
                <w:rFonts w:hint="eastAsia" w:ascii="Times New Roman" w:hAnsi="宋体" w:eastAsia="宋体" w:cs="宋体"/>
                <w:color w:val="auto"/>
                <w:sz w:val="18"/>
                <w:szCs w:val="18"/>
                <w:highlight w:val="none"/>
                <w:lang w:val="en-US" w:eastAsia="zh-CN"/>
              </w:rPr>
            </w:pPr>
            <w:r>
              <w:rPr>
                <w:rFonts w:hint="eastAsia" w:ascii="Times New Roman" w:hAnsi="宋体" w:eastAsia="宋体" w:cs="宋体"/>
                <w:color w:val="auto"/>
                <w:sz w:val="18"/>
                <w:szCs w:val="18"/>
                <w:highlight w:val="none"/>
                <w:lang w:val="en-US" w:eastAsia="zh-CN"/>
              </w:rPr>
              <w:t>②施工机械设备种类齐全、设备管理制度较完善、但部分主体设备略为陈旧的得4分；</w:t>
            </w:r>
          </w:p>
          <w:p w14:paraId="3C37EA28">
            <w:pPr>
              <w:tabs>
                <w:tab w:val="left" w:pos="4915"/>
              </w:tabs>
              <w:spacing w:line="340" w:lineRule="exact"/>
              <w:rPr>
                <w:rFonts w:hint="eastAsia" w:ascii="Times New Roman" w:hAnsi="宋体" w:eastAsia="宋体" w:cs="宋体"/>
                <w:color w:val="auto"/>
                <w:sz w:val="18"/>
                <w:szCs w:val="18"/>
                <w:highlight w:val="none"/>
                <w:lang w:val="en-US" w:eastAsia="zh-CN"/>
              </w:rPr>
            </w:pPr>
            <w:r>
              <w:rPr>
                <w:rFonts w:hint="eastAsia" w:ascii="宋体" w:hAnsi="宋体" w:eastAsia="宋体" w:cs="宋体"/>
                <w:b w:val="0"/>
                <w:bCs w:val="0"/>
                <w:strike w:val="0"/>
                <w:dstrike w:val="0"/>
                <w:color w:val="auto"/>
                <w:sz w:val="18"/>
                <w:szCs w:val="18"/>
                <w:highlight w:val="none"/>
                <w:lang w:val="en-US" w:eastAsia="zh-CN"/>
              </w:rPr>
              <w:t>③</w:t>
            </w:r>
            <w:r>
              <w:rPr>
                <w:rFonts w:hint="eastAsia" w:ascii="Times New Roman" w:hAnsi="宋体" w:eastAsia="宋体" w:cs="宋体"/>
                <w:color w:val="auto"/>
                <w:sz w:val="18"/>
                <w:szCs w:val="18"/>
                <w:highlight w:val="none"/>
                <w:lang w:val="en-US" w:eastAsia="zh-CN"/>
              </w:rPr>
              <w:t>施工机械设备种类</w:t>
            </w:r>
            <w:r>
              <w:rPr>
                <w:rFonts w:hint="eastAsia" w:hAnsi="宋体" w:cs="宋体"/>
                <w:color w:val="auto"/>
                <w:sz w:val="18"/>
                <w:szCs w:val="18"/>
                <w:highlight w:val="none"/>
                <w:lang w:val="en-US" w:eastAsia="zh-CN"/>
              </w:rPr>
              <w:t>较</w:t>
            </w:r>
            <w:r>
              <w:rPr>
                <w:rFonts w:hint="eastAsia" w:ascii="Times New Roman" w:hAnsi="宋体" w:eastAsia="宋体" w:cs="宋体"/>
                <w:color w:val="auto"/>
                <w:sz w:val="18"/>
                <w:szCs w:val="18"/>
                <w:highlight w:val="none"/>
                <w:lang w:val="en-US" w:eastAsia="zh-CN"/>
              </w:rPr>
              <w:t>齐全、但部分非主体设备略为陈旧的得3分；</w:t>
            </w:r>
          </w:p>
          <w:p w14:paraId="74CA262D">
            <w:pPr>
              <w:tabs>
                <w:tab w:val="left" w:pos="4915"/>
              </w:tabs>
              <w:spacing w:line="340" w:lineRule="exact"/>
              <w:rPr>
                <w:rFonts w:hint="eastAsia" w:ascii="Times New Roman" w:hAnsi="宋体" w:eastAsia="宋体" w:cs="宋体"/>
                <w:color w:val="auto"/>
                <w:sz w:val="18"/>
                <w:szCs w:val="18"/>
                <w:highlight w:val="none"/>
                <w:lang w:val="en-US" w:eastAsia="zh-CN"/>
              </w:rPr>
            </w:pPr>
            <w:r>
              <w:rPr>
                <w:rFonts w:hint="eastAsia" w:ascii="Times New Roman" w:hAnsi="Times New Roman" w:eastAsia="宋体" w:cs="宋体"/>
                <w:color w:val="000000"/>
                <w:sz w:val="18"/>
                <w:szCs w:val="18"/>
                <w:highlight w:val="none"/>
                <w:lang w:val="en-US" w:eastAsia="zh-CN"/>
              </w:rPr>
              <w:t>④</w:t>
            </w:r>
            <w:r>
              <w:rPr>
                <w:rFonts w:hint="eastAsia" w:ascii="Times New Roman" w:hAnsi="宋体" w:eastAsia="宋体" w:cs="宋体"/>
                <w:color w:val="auto"/>
                <w:sz w:val="18"/>
                <w:szCs w:val="18"/>
                <w:highlight w:val="none"/>
                <w:lang w:val="en-US" w:eastAsia="zh-CN"/>
              </w:rPr>
              <w:t>施工机械设备种类非主体部分</w:t>
            </w:r>
            <w:r>
              <w:rPr>
                <w:rFonts w:hint="eastAsia" w:hAnsi="宋体" w:cs="宋体"/>
                <w:color w:val="auto"/>
                <w:sz w:val="18"/>
                <w:szCs w:val="18"/>
                <w:highlight w:val="none"/>
                <w:lang w:val="en-US" w:eastAsia="zh-CN"/>
              </w:rPr>
              <w:t>不</w:t>
            </w:r>
            <w:r>
              <w:rPr>
                <w:rFonts w:hint="eastAsia" w:ascii="Times New Roman" w:hAnsi="宋体" w:eastAsia="宋体" w:cs="宋体"/>
                <w:color w:val="auto"/>
                <w:sz w:val="18"/>
                <w:szCs w:val="18"/>
                <w:highlight w:val="none"/>
                <w:lang w:val="en-US" w:eastAsia="zh-CN"/>
              </w:rPr>
              <w:t>齐全、且部分设备略为陈旧的得2分；</w:t>
            </w:r>
          </w:p>
          <w:p w14:paraId="3B7A3F1E">
            <w:pPr>
              <w:tabs>
                <w:tab w:val="left" w:pos="4915"/>
              </w:tabs>
              <w:spacing w:line="340" w:lineRule="exact"/>
              <w:rPr>
                <w:rFonts w:hint="eastAsia" w:ascii="Times New Roman" w:hAnsi="宋体" w:eastAsia="宋体" w:cs="宋体"/>
                <w:color w:val="auto"/>
                <w:sz w:val="18"/>
                <w:szCs w:val="18"/>
                <w:highlight w:val="none"/>
                <w:lang w:val="en-US" w:eastAsia="zh-CN"/>
              </w:rPr>
            </w:pPr>
            <w:r>
              <w:rPr>
                <w:rFonts w:hint="eastAsia" w:ascii="宋体" w:hAnsi="宋体" w:eastAsia="宋体" w:cs="宋体"/>
                <w:strike w:val="0"/>
                <w:dstrike w:val="0"/>
                <w:color w:val="auto"/>
                <w:sz w:val="18"/>
                <w:szCs w:val="18"/>
                <w:highlight w:val="none"/>
                <w:lang w:val="en-US" w:eastAsia="zh-CN"/>
              </w:rPr>
              <w:t>⑤</w:t>
            </w:r>
            <w:r>
              <w:rPr>
                <w:rFonts w:hint="eastAsia" w:ascii="Times New Roman" w:hAnsi="宋体" w:eastAsia="宋体" w:cs="宋体"/>
                <w:color w:val="auto"/>
                <w:sz w:val="18"/>
                <w:szCs w:val="18"/>
                <w:highlight w:val="none"/>
                <w:lang w:val="en-US" w:eastAsia="zh-CN"/>
              </w:rPr>
              <w:t>施工机械设备种类</w:t>
            </w:r>
            <w:r>
              <w:rPr>
                <w:rFonts w:hint="eastAsia" w:hAnsi="宋体" w:cs="宋体"/>
                <w:color w:val="auto"/>
                <w:sz w:val="18"/>
                <w:szCs w:val="18"/>
                <w:highlight w:val="none"/>
                <w:lang w:val="en-US" w:eastAsia="zh-CN"/>
              </w:rPr>
              <w:t>只有</w:t>
            </w:r>
            <w:r>
              <w:rPr>
                <w:rFonts w:hint="eastAsia" w:ascii="Times New Roman" w:hAnsi="宋体" w:eastAsia="宋体" w:cs="宋体"/>
                <w:color w:val="auto"/>
                <w:sz w:val="18"/>
                <w:szCs w:val="18"/>
                <w:highlight w:val="none"/>
                <w:lang w:val="en-US" w:eastAsia="zh-CN"/>
              </w:rPr>
              <w:t>主体部分齐全、且部分设备略为陈旧的得1分；</w:t>
            </w:r>
          </w:p>
          <w:p w14:paraId="44DB0E16">
            <w:pPr>
              <w:tabs>
                <w:tab w:val="left" w:pos="4915"/>
              </w:tabs>
              <w:spacing w:line="340" w:lineRule="exact"/>
              <w:rPr>
                <w:rFonts w:hint="eastAsia" w:cs="宋体"/>
                <w:b/>
                <w:bCs/>
                <w:color w:val="000000"/>
                <w:sz w:val="18"/>
                <w:szCs w:val="18"/>
                <w:highlight w:val="none"/>
              </w:rPr>
            </w:pPr>
            <w:r>
              <w:rPr>
                <w:rFonts w:hint="eastAsia" w:ascii="Times New Roman" w:hAnsi="宋体" w:eastAsia="宋体" w:cs="宋体"/>
                <w:color w:val="auto"/>
                <w:sz w:val="18"/>
                <w:szCs w:val="18"/>
                <w:highlight w:val="none"/>
                <w:lang w:val="en-US" w:eastAsia="zh-CN"/>
              </w:rPr>
              <w:t>施工机械设备不全、或陈旧落后难以满足项目需求的得0分。</w:t>
            </w:r>
          </w:p>
        </w:tc>
      </w:tr>
      <w:tr w14:paraId="414DAD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509BA6BC">
            <w:pPr>
              <w:widowControl/>
              <w:spacing w:line="340" w:lineRule="exact"/>
              <w:jc w:val="left"/>
              <w:rPr>
                <w:color w:val="000000"/>
                <w:szCs w:val="21"/>
                <w:highlight w:val="none"/>
              </w:rPr>
            </w:pPr>
          </w:p>
        </w:tc>
        <w:tc>
          <w:tcPr>
            <w:tcW w:w="539" w:type="pct"/>
            <w:vMerge w:val="continue"/>
            <w:noWrap w:val="0"/>
            <w:vAlign w:val="center"/>
          </w:tcPr>
          <w:p w14:paraId="47F0664A">
            <w:pPr>
              <w:widowControl/>
              <w:spacing w:line="340" w:lineRule="exact"/>
              <w:jc w:val="left"/>
              <w:rPr>
                <w:color w:val="000000"/>
                <w:szCs w:val="21"/>
                <w:highlight w:val="none"/>
              </w:rPr>
            </w:pPr>
          </w:p>
        </w:tc>
        <w:tc>
          <w:tcPr>
            <w:tcW w:w="4085" w:type="pct"/>
            <w:noWrap w:val="0"/>
            <w:vAlign w:val="center"/>
          </w:tcPr>
          <w:p w14:paraId="79743D4F">
            <w:pPr>
              <w:autoSpaceDE w:val="0"/>
              <w:autoSpaceDN w:val="0"/>
              <w:spacing w:line="380" w:lineRule="atLeast"/>
              <w:jc w:val="left"/>
              <w:rPr>
                <w:rFonts w:hint="eastAsia" w:ascii="Times New Roman" w:hAnsi="宋体" w:eastAsia="宋体" w:cs="宋体"/>
                <w:color w:val="auto"/>
                <w:sz w:val="18"/>
                <w:szCs w:val="18"/>
                <w:highlight w:val="none"/>
                <w:lang w:val="en-US" w:eastAsia="zh-CN"/>
              </w:rPr>
            </w:pPr>
            <w:r>
              <w:rPr>
                <w:rFonts w:hint="eastAsia" w:ascii="Times New Roman" w:hAnsi="宋体" w:eastAsia="宋体" w:cs="宋体"/>
                <w:color w:val="auto"/>
                <w:sz w:val="18"/>
                <w:szCs w:val="18"/>
                <w:highlight w:val="none"/>
              </w:rPr>
              <w:t>对</w:t>
            </w:r>
            <w:r>
              <w:rPr>
                <w:rFonts w:hint="eastAsia" w:ascii="Times New Roman" w:hAnsi="宋体" w:eastAsia="宋体" w:cs="宋体"/>
                <w:color w:val="auto"/>
                <w:sz w:val="18"/>
                <w:szCs w:val="18"/>
                <w:highlight w:val="none"/>
                <w:lang w:val="en-US" w:eastAsia="zh-CN"/>
              </w:rPr>
              <w:t>供应商关于</w:t>
            </w:r>
            <w:r>
              <w:rPr>
                <w:rFonts w:hint="eastAsia" w:ascii="Times New Roman" w:hAnsi="宋体" w:eastAsia="宋体" w:cs="宋体"/>
                <w:color w:val="auto"/>
                <w:sz w:val="18"/>
                <w:szCs w:val="18"/>
                <w:highlight w:val="none"/>
              </w:rPr>
              <w:t>各专业工种的配置和劳动力的投入满足工程需要程度</w:t>
            </w:r>
            <w:r>
              <w:rPr>
                <w:rFonts w:hint="eastAsia" w:ascii="Times New Roman" w:hAnsi="宋体" w:eastAsia="宋体" w:cs="宋体"/>
                <w:color w:val="auto"/>
                <w:sz w:val="18"/>
                <w:szCs w:val="18"/>
                <w:highlight w:val="none"/>
                <w:lang w:val="en-US" w:eastAsia="zh-CN"/>
              </w:rPr>
              <w:t>的</w:t>
            </w:r>
            <w:r>
              <w:rPr>
                <w:rFonts w:hint="eastAsia" w:ascii="Times New Roman" w:hAnsi="宋体" w:eastAsia="宋体" w:cs="宋体"/>
                <w:color w:val="auto"/>
                <w:sz w:val="18"/>
                <w:szCs w:val="18"/>
                <w:highlight w:val="none"/>
              </w:rPr>
              <w:t>配置情况科学、合理性</w:t>
            </w:r>
            <w:r>
              <w:rPr>
                <w:rFonts w:hint="eastAsia" w:ascii="Times New Roman" w:hAnsi="宋体" w:eastAsia="宋体" w:cs="宋体"/>
                <w:color w:val="auto"/>
                <w:sz w:val="18"/>
                <w:szCs w:val="18"/>
                <w:highlight w:val="none"/>
                <w:lang w:val="en-US" w:eastAsia="zh-CN"/>
              </w:rPr>
              <w:t>进行综合评议</w:t>
            </w:r>
            <w:r>
              <w:rPr>
                <w:rFonts w:hint="eastAsia" w:ascii="Times New Roman" w:hAnsi="Times New Roman" w:eastAsia="宋体" w:cs="宋体"/>
                <w:color w:val="000000"/>
                <w:kern w:val="2"/>
                <w:sz w:val="18"/>
                <w:szCs w:val="18"/>
                <w:highlight w:val="none"/>
                <w:lang w:val="en-US" w:eastAsia="zh-CN" w:bidi="ar-SA"/>
              </w:rPr>
              <w:t>（</w:t>
            </w:r>
            <w:r>
              <w:rPr>
                <w:rFonts w:hint="eastAsia" w:cs="宋体"/>
                <w:color w:val="000000"/>
                <w:kern w:val="2"/>
                <w:sz w:val="18"/>
                <w:szCs w:val="18"/>
                <w:highlight w:val="none"/>
                <w:lang w:val="en-US" w:eastAsia="zh-CN" w:bidi="ar-SA"/>
              </w:rPr>
              <w:t>4</w:t>
            </w:r>
            <w:r>
              <w:rPr>
                <w:rFonts w:hint="eastAsia" w:ascii="Times New Roman" w:hAnsi="Times New Roman" w:eastAsia="宋体" w:cs="宋体"/>
                <w:color w:val="000000"/>
                <w:kern w:val="2"/>
                <w:sz w:val="18"/>
                <w:szCs w:val="18"/>
                <w:highlight w:val="none"/>
                <w:lang w:val="en-US" w:eastAsia="zh-CN" w:bidi="ar-SA"/>
              </w:rPr>
              <w:t>分）</w:t>
            </w:r>
            <w:r>
              <w:rPr>
                <w:rFonts w:hint="eastAsia" w:ascii="Times New Roman" w:hAnsi="宋体" w:eastAsia="宋体" w:cs="宋体"/>
                <w:color w:val="auto"/>
                <w:sz w:val="18"/>
                <w:szCs w:val="18"/>
                <w:highlight w:val="none"/>
                <w:lang w:val="en-US" w:eastAsia="zh-CN"/>
              </w:rPr>
              <w:t>：</w:t>
            </w:r>
          </w:p>
          <w:p w14:paraId="1A6F2E36">
            <w:pPr>
              <w:autoSpaceDE w:val="0"/>
              <w:autoSpaceDN w:val="0"/>
              <w:spacing w:line="380" w:lineRule="atLeast"/>
              <w:jc w:val="left"/>
              <w:rPr>
                <w:rFonts w:hint="eastAsia" w:ascii="Times New Roman" w:hAnsi="宋体" w:eastAsia="宋体" w:cs="宋体"/>
                <w:color w:val="auto"/>
                <w:sz w:val="18"/>
                <w:szCs w:val="18"/>
                <w:highlight w:val="none"/>
                <w:lang w:val="en-US" w:eastAsia="zh-CN"/>
              </w:rPr>
            </w:pPr>
            <w:r>
              <w:rPr>
                <w:rFonts w:hint="eastAsia" w:cs="宋体"/>
                <w:color w:val="000000"/>
                <w:sz w:val="18"/>
                <w:szCs w:val="18"/>
                <w:highlight w:val="none"/>
                <w:lang w:val="en-US" w:eastAsia="zh-CN"/>
              </w:rPr>
              <w:t>①</w:t>
            </w:r>
            <w:r>
              <w:rPr>
                <w:rFonts w:hint="eastAsia" w:ascii="Times New Roman" w:hAnsi="宋体" w:eastAsia="宋体" w:cs="宋体"/>
                <w:color w:val="auto"/>
                <w:sz w:val="18"/>
                <w:szCs w:val="18"/>
                <w:highlight w:val="none"/>
              </w:rPr>
              <w:t>各专业工种的配置</w:t>
            </w:r>
            <w:r>
              <w:rPr>
                <w:rFonts w:hint="eastAsia" w:ascii="Times New Roman" w:hAnsi="宋体" w:eastAsia="宋体" w:cs="宋体"/>
                <w:color w:val="auto"/>
                <w:sz w:val="18"/>
                <w:szCs w:val="18"/>
                <w:highlight w:val="none"/>
                <w:lang w:val="en-US" w:eastAsia="zh-CN"/>
              </w:rPr>
              <w:t>充足</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劳动力的投入满足工程需要</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lang w:val="en-US" w:eastAsia="zh-CN"/>
              </w:rPr>
              <w:t>方案</w:t>
            </w:r>
            <w:r>
              <w:rPr>
                <w:rFonts w:hint="eastAsia" w:ascii="Times New Roman" w:hAnsi="宋体" w:eastAsia="宋体" w:cs="宋体"/>
                <w:color w:val="auto"/>
                <w:sz w:val="18"/>
                <w:szCs w:val="18"/>
                <w:highlight w:val="none"/>
              </w:rPr>
              <w:t>科学</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合理</w:t>
            </w:r>
            <w:r>
              <w:rPr>
                <w:rFonts w:hint="eastAsia" w:ascii="Times New Roman" w:hAnsi="宋体" w:eastAsia="宋体" w:cs="宋体"/>
                <w:color w:val="auto"/>
                <w:sz w:val="18"/>
                <w:szCs w:val="18"/>
                <w:highlight w:val="none"/>
                <w:lang w:val="en-US" w:eastAsia="zh-CN"/>
              </w:rPr>
              <w:t>的，得</w:t>
            </w:r>
            <w:r>
              <w:rPr>
                <w:rFonts w:hint="eastAsia" w:hAnsi="宋体" w:cs="宋体"/>
                <w:color w:val="auto"/>
                <w:sz w:val="18"/>
                <w:szCs w:val="18"/>
                <w:highlight w:val="none"/>
                <w:lang w:val="en-US" w:eastAsia="zh-CN"/>
              </w:rPr>
              <w:t>4</w:t>
            </w:r>
            <w:r>
              <w:rPr>
                <w:rFonts w:hint="eastAsia" w:ascii="Times New Roman" w:hAnsi="宋体" w:eastAsia="宋体" w:cs="宋体"/>
                <w:color w:val="auto"/>
                <w:sz w:val="18"/>
                <w:szCs w:val="18"/>
                <w:highlight w:val="none"/>
                <w:lang w:val="en-US" w:eastAsia="zh-CN"/>
              </w:rPr>
              <w:t>分；</w:t>
            </w:r>
          </w:p>
          <w:p w14:paraId="1B716447">
            <w:pPr>
              <w:autoSpaceDE w:val="0"/>
              <w:autoSpaceDN w:val="0"/>
              <w:spacing w:line="380" w:lineRule="atLeast"/>
              <w:jc w:val="left"/>
              <w:rPr>
                <w:rFonts w:hint="default"/>
                <w:lang w:val="en-US" w:eastAsia="zh-CN"/>
              </w:rPr>
            </w:pPr>
            <w:r>
              <w:rPr>
                <w:rFonts w:hint="eastAsia" w:ascii="Times New Roman" w:hAnsi="Times New Roman" w:eastAsia="宋体" w:cs="宋体"/>
                <w:color w:val="000000"/>
                <w:sz w:val="18"/>
                <w:szCs w:val="18"/>
                <w:highlight w:val="none"/>
                <w:lang w:val="en-US" w:eastAsia="zh-CN"/>
              </w:rPr>
              <w:t>②</w:t>
            </w:r>
            <w:r>
              <w:rPr>
                <w:rFonts w:hint="eastAsia" w:ascii="Times New Roman" w:hAnsi="宋体" w:eastAsia="宋体" w:cs="宋体"/>
                <w:color w:val="auto"/>
                <w:sz w:val="18"/>
                <w:szCs w:val="18"/>
                <w:highlight w:val="none"/>
              </w:rPr>
              <w:t>各专业工种的配置</w:t>
            </w:r>
            <w:r>
              <w:rPr>
                <w:rFonts w:hint="eastAsia" w:hAnsi="宋体" w:cs="宋体"/>
                <w:color w:val="auto"/>
                <w:sz w:val="18"/>
                <w:szCs w:val="18"/>
                <w:highlight w:val="none"/>
                <w:lang w:val="en-US" w:eastAsia="zh-CN"/>
              </w:rPr>
              <w:t>一般</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劳动力的投入</w:t>
            </w:r>
            <w:r>
              <w:rPr>
                <w:rFonts w:hint="eastAsia" w:hAnsi="宋体" w:cs="宋体"/>
                <w:color w:val="auto"/>
                <w:sz w:val="18"/>
                <w:szCs w:val="18"/>
                <w:highlight w:val="none"/>
                <w:lang w:val="en-US" w:eastAsia="zh-CN"/>
              </w:rPr>
              <w:t>尚可</w:t>
            </w:r>
            <w:r>
              <w:rPr>
                <w:rFonts w:hint="eastAsia" w:ascii="Times New Roman" w:hAnsi="宋体" w:eastAsia="宋体" w:cs="宋体"/>
                <w:color w:val="auto"/>
                <w:sz w:val="18"/>
                <w:szCs w:val="18"/>
                <w:highlight w:val="none"/>
              </w:rPr>
              <w:t>满足工程需要</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lang w:val="en-US" w:eastAsia="zh-CN"/>
              </w:rPr>
              <w:t>方案</w:t>
            </w:r>
            <w:r>
              <w:rPr>
                <w:rFonts w:hint="eastAsia" w:ascii="Times New Roman" w:hAnsi="宋体" w:eastAsia="宋体" w:cs="宋体"/>
                <w:color w:val="auto"/>
                <w:sz w:val="18"/>
                <w:szCs w:val="18"/>
                <w:highlight w:val="none"/>
              </w:rPr>
              <w:t>科学</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合理</w:t>
            </w:r>
            <w:r>
              <w:rPr>
                <w:rFonts w:hint="eastAsia" w:ascii="Times New Roman" w:hAnsi="宋体" w:eastAsia="宋体" w:cs="宋体"/>
                <w:color w:val="auto"/>
                <w:sz w:val="18"/>
                <w:szCs w:val="18"/>
                <w:highlight w:val="none"/>
                <w:lang w:val="en-US" w:eastAsia="zh-CN"/>
              </w:rPr>
              <w:t>的，得</w:t>
            </w:r>
            <w:r>
              <w:rPr>
                <w:rFonts w:hint="eastAsia" w:hAnsi="宋体" w:cs="宋体"/>
                <w:color w:val="auto"/>
                <w:sz w:val="18"/>
                <w:szCs w:val="18"/>
                <w:highlight w:val="none"/>
                <w:lang w:val="en-US" w:eastAsia="zh-CN"/>
              </w:rPr>
              <w:t>3</w:t>
            </w:r>
            <w:r>
              <w:rPr>
                <w:rFonts w:hint="eastAsia" w:ascii="Times New Roman" w:hAnsi="宋体" w:eastAsia="宋体" w:cs="宋体"/>
                <w:color w:val="auto"/>
                <w:sz w:val="18"/>
                <w:szCs w:val="18"/>
                <w:highlight w:val="none"/>
                <w:lang w:val="en-US" w:eastAsia="zh-CN"/>
              </w:rPr>
              <w:t>分；</w:t>
            </w:r>
          </w:p>
          <w:p w14:paraId="67D859EE">
            <w:pPr>
              <w:autoSpaceDE w:val="0"/>
              <w:autoSpaceDN w:val="0"/>
              <w:spacing w:line="380" w:lineRule="atLeast"/>
              <w:jc w:val="left"/>
              <w:rPr>
                <w:rFonts w:hint="eastAsia" w:ascii="Times New Roman" w:hAnsi="宋体" w:eastAsia="宋体" w:cs="宋体"/>
                <w:color w:val="auto"/>
                <w:sz w:val="18"/>
                <w:szCs w:val="18"/>
                <w:highlight w:val="none"/>
              </w:rPr>
            </w:pPr>
            <w:r>
              <w:rPr>
                <w:rFonts w:hint="eastAsia" w:ascii="宋体" w:hAnsi="宋体" w:eastAsia="宋体" w:cs="宋体"/>
                <w:b w:val="0"/>
                <w:bCs w:val="0"/>
                <w:strike w:val="0"/>
                <w:dstrike w:val="0"/>
                <w:color w:val="auto"/>
                <w:sz w:val="18"/>
                <w:szCs w:val="18"/>
                <w:highlight w:val="none"/>
                <w:lang w:val="en-US" w:eastAsia="zh-CN"/>
              </w:rPr>
              <w:t>③</w:t>
            </w:r>
            <w:r>
              <w:rPr>
                <w:rFonts w:hint="eastAsia" w:ascii="Times New Roman" w:hAnsi="宋体" w:eastAsia="宋体" w:cs="宋体"/>
                <w:color w:val="auto"/>
                <w:sz w:val="18"/>
                <w:szCs w:val="18"/>
                <w:highlight w:val="none"/>
              </w:rPr>
              <w:t>各专业工种的配置</w:t>
            </w:r>
            <w:r>
              <w:rPr>
                <w:rFonts w:hint="eastAsia" w:ascii="Times New Roman" w:hAnsi="宋体" w:eastAsia="宋体" w:cs="宋体"/>
                <w:color w:val="auto"/>
                <w:sz w:val="18"/>
                <w:szCs w:val="18"/>
                <w:highlight w:val="none"/>
                <w:lang w:val="en-US" w:eastAsia="zh-CN"/>
              </w:rPr>
              <w:t>和</w:t>
            </w:r>
            <w:r>
              <w:rPr>
                <w:rFonts w:hint="eastAsia" w:ascii="Times New Roman" w:hAnsi="宋体" w:eastAsia="宋体" w:cs="宋体"/>
                <w:color w:val="auto"/>
                <w:sz w:val="18"/>
                <w:szCs w:val="18"/>
                <w:highlight w:val="none"/>
              </w:rPr>
              <w:t>劳动力的投入</w:t>
            </w:r>
            <w:r>
              <w:rPr>
                <w:rFonts w:hint="eastAsia" w:ascii="Times New Roman" w:hAnsi="宋体" w:eastAsia="宋体" w:cs="宋体"/>
                <w:color w:val="auto"/>
                <w:sz w:val="18"/>
                <w:szCs w:val="18"/>
                <w:highlight w:val="none"/>
                <w:lang w:val="en-US" w:eastAsia="zh-CN"/>
              </w:rPr>
              <w:t>可基本满足施工需要，方案</w:t>
            </w:r>
            <w:r>
              <w:rPr>
                <w:rFonts w:hint="eastAsia" w:ascii="Times New Roman" w:hAnsi="宋体" w:eastAsia="宋体" w:cs="宋体"/>
                <w:color w:val="auto"/>
                <w:sz w:val="18"/>
                <w:szCs w:val="18"/>
                <w:highlight w:val="none"/>
              </w:rPr>
              <w:t>科学</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合理</w:t>
            </w:r>
            <w:r>
              <w:rPr>
                <w:rFonts w:hint="eastAsia" w:ascii="Times New Roman" w:hAnsi="宋体" w:eastAsia="宋体" w:cs="宋体"/>
                <w:color w:val="auto"/>
                <w:sz w:val="18"/>
                <w:szCs w:val="18"/>
                <w:highlight w:val="none"/>
                <w:lang w:val="en-US" w:eastAsia="zh-CN"/>
              </w:rPr>
              <w:t>性一般的</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得</w:t>
            </w:r>
            <w:r>
              <w:rPr>
                <w:rFonts w:hint="eastAsia" w:hAnsi="宋体" w:cs="宋体"/>
                <w:color w:val="auto"/>
                <w:sz w:val="18"/>
                <w:szCs w:val="18"/>
                <w:highlight w:val="none"/>
                <w:lang w:val="en-US" w:eastAsia="zh-CN"/>
              </w:rPr>
              <w:t>2</w:t>
            </w:r>
            <w:r>
              <w:rPr>
                <w:rFonts w:hint="eastAsia" w:ascii="Times New Roman" w:hAnsi="宋体" w:eastAsia="宋体" w:cs="宋体"/>
                <w:color w:val="auto"/>
                <w:sz w:val="18"/>
                <w:szCs w:val="18"/>
                <w:highlight w:val="none"/>
              </w:rPr>
              <w:t>分；</w:t>
            </w:r>
          </w:p>
          <w:p w14:paraId="36E64CBA">
            <w:pPr>
              <w:autoSpaceDE w:val="0"/>
              <w:autoSpaceDN w:val="0"/>
              <w:spacing w:line="380" w:lineRule="atLeast"/>
              <w:jc w:val="left"/>
              <w:rPr>
                <w:rFonts w:hint="eastAsia" w:ascii="Times New Roman" w:hAnsi="宋体" w:eastAsia="宋体" w:cs="宋体"/>
                <w:color w:val="auto"/>
                <w:sz w:val="18"/>
                <w:szCs w:val="18"/>
                <w:highlight w:val="none"/>
              </w:rPr>
            </w:pPr>
            <w:r>
              <w:rPr>
                <w:rFonts w:hint="eastAsia" w:ascii="Times New Roman" w:hAnsi="Times New Roman" w:eastAsia="宋体" w:cs="宋体"/>
                <w:color w:val="000000"/>
                <w:sz w:val="18"/>
                <w:szCs w:val="18"/>
                <w:highlight w:val="none"/>
                <w:lang w:val="en-US" w:eastAsia="zh-CN"/>
              </w:rPr>
              <w:t>④</w:t>
            </w:r>
            <w:r>
              <w:rPr>
                <w:rFonts w:hint="eastAsia" w:ascii="Times New Roman" w:hAnsi="宋体" w:eastAsia="宋体" w:cs="宋体"/>
                <w:color w:val="auto"/>
                <w:sz w:val="18"/>
                <w:szCs w:val="18"/>
                <w:highlight w:val="none"/>
              </w:rPr>
              <w:t>各专业工种的配置</w:t>
            </w:r>
            <w:r>
              <w:rPr>
                <w:rFonts w:hint="eastAsia" w:ascii="Times New Roman" w:hAnsi="宋体" w:eastAsia="宋体" w:cs="宋体"/>
                <w:color w:val="auto"/>
                <w:sz w:val="18"/>
                <w:szCs w:val="18"/>
                <w:highlight w:val="none"/>
                <w:lang w:val="en-US" w:eastAsia="zh-CN"/>
              </w:rPr>
              <w:t>和</w:t>
            </w:r>
            <w:r>
              <w:rPr>
                <w:rFonts w:hint="eastAsia" w:ascii="Times New Roman" w:hAnsi="宋体" w:eastAsia="宋体" w:cs="宋体"/>
                <w:color w:val="auto"/>
                <w:sz w:val="18"/>
                <w:szCs w:val="18"/>
                <w:highlight w:val="none"/>
              </w:rPr>
              <w:t>劳动力的投入</w:t>
            </w:r>
            <w:r>
              <w:rPr>
                <w:rFonts w:hint="eastAsia" w:ascii="Times New Roman" w:hAnsi="宋体" w:eastAsia="宋体" w:cs="宋体"/>
                <w:color w:val="auto"/>
                <w:sz w:val="18"/>
                <w:szCs w:val="18"/>
                <w:highlight w:val="none"/>
                <w:lang w:val="en-US" w:eastAsia="zh-CN"/>
              </w:rPr>
              <w:t>存在缺陷或瑕疵的</w:t>
            </w:r>
            <w:r>
              <w:rPr>
                <w:rFonts w:hint="eastAsia" w:ascii="Times New Roman" w:hAnsi="宋体" w:eastAsia="宋体" w:cs="宋体"/>
                <w:color w:val="auto"/>
                <w:sz w:val="18"/>
                <w:szCs w:val="18"/>
                <w:highlight w:val="none"/>
                <w:lang w:eastAsia="zh-CN"/>
              </w:rPr>
              <w:t>，</w:t>
            </w:r>
            <w:r>
              <w:rPr>
                <w:rFonts w:hint="eastAsia" w:ascii="Times New Roman" w:hAnsi="宋体" w:eastAsia="宋体" w:cs="宋体"/>
                <w:color w:val="auto"/>
                <w:sz w:val="18"/>
                <w:szCs w:val="18"/>
                <w:highlight w:val="none"/>
              </w:rPr>
              <w:t>得</w:t>
            </w:r>
            <w:r>
              <w:rPr>
                <w:rFonts w:hint="eastAsia" w:hAnsi="宋体" w:cs="宋体"/>
                <w:color w:val="auto"/>
                <w:sz w:val="18"/>
                <w:szCs w:val="18"/>
                <w:highlight w:val="none"/>
                <w:lang w:val="en-US" w:eastAsia="zh-CN"/>
              </w:rPr>
              <w:t>1</w:t>
            </w:r>
            <w:r>
              <w:rPr>
                <w:rFonts w:hint="eastAsia" w:ascii="Times New Roman" w:hAnsi="宋体" w:eastAsia="宋体" w:cs="宋体"/>
                <w:color w:val="auto"/>
                <w:sz w:val="18"/>
                <w:szCs w:val="18"/>
                <w:highlight w:val="none"/>
              </w:rPr>
              <w:t>分；</w:t>
            </w:r>
          </w:p>
          <w:p w14:paraId="2736F76B">
            <w:pPr>
              <w:tabs>
                <w:tab w:val="left" w:pos="4915"/>
              </w:tabs>
              <w:spacing w:line="340" w:lineRule="exact"/>
              <w:rPr>
                <w:rFonts w:hint="eastAsia" w:ascii="Times New Roman" w:hAnsi="Times New Roman" w:eastAsia="宋体" w:cs="宋体"/>
                <w:color w:val="000000"/>
                <w:kern w:val="2"/>
                <w:sz w:val="18"/>
                <w:szCs w:val="18"/>
                <w:highlight w:val="none"/>
                <w:lang w:val="en-US" w:eastAsia="zh-CN" w:bidi="ar-SA"/>
              </w:rPr>
            </w:pPr>
            <w:r>
              <w:rPr>
                <w:rFonts w:hint="eastAsia" w:ascii="Times New Roman" w:hAnsi="宋体" w:eastAsia="宋体" w:cs="宋体"/>
                <w:color w:val="auto"/>
                <w:sz w:val="18"/>
                <w:szCs w:val="18"/>
                <w:highlight w:val="none"/>
              </w:rPr>
              <w:t>未提供内容本项不得分。</w:t>
            </w:r>
          </w:p>
        </w:tc>
      </w:tr>
      <w:tr w14:paraId="0A062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69A62904">
            <w:pPr>
              <w:widowControl/>
              <w:spacing w:line="340" w:lineRule="exact"/>
              <w:jc w:val="left"/>
              <w:rPr>
                <w:color w:val="000000"/>
                <w:szCs w:val="21"/>
                <w:highlight w:val="none"/>
              </w:rPr>
            </w:pPr>
          </w:p>
        </w:tc>
        <w:tc>
          <w:tcPr>
            <w:tcW w:w="539" w:type="pct"/>
            <w:noWrap w:val="0"/>
            <w:vAlign w:val="center"/>
          </w:tcPr>
          <w:p w14:paraId="7DF290E7">
            <w:pPr>
              <w:spacing w:line="340" w:lineRule="exact"/>
              <w:jc w:val="center"/>
              <w:rPr>
                <w:rFonts w:hint="default"/>
                <w:color w:val="000000"/>
                <w:szCs w:val="21"/>
                <w:highlight w:val="none"/>
                <w:lang w:val="en-US" w:eastAsia="zh-CN"/>
              </w:rPr>
            </w:pPr>
            <w:r>
              <w:rPr>
                <w:rFonts w:hint="eastAsia"/>
                <w:color w:val="000000"/>
                <w:szCs w:val="21"/>
                <w:highlight w:val="none"/>
                <w:lang w:val="en-US" w:eastAsia="zh-CN"/>
              </w:rPr>
              <w:t>材料设备（4分）</w:t>
            </w:r>
          </w:p>
        </w:tc>
        <w:tc>
          <w:tcPr>
            <w:tcW w:w="4085" w:type="pct"/>
            <w:noWrap w:val="0"/>
            <w:vAlign w:val="center"/>
          </w:tcPr>
          <w:p w14:paraId="424BA8BF">
            <w:pPr>
              <w:keepNext w:val="0"/>
              <w:keepLines w:val="0"/>
              <w:pageBreakBefore w:val="0"/>
              <w:widowControl w:val="0"/>
              <w:kinsoku/>
              <w:overflowPunct/>
              <w:topLinePunct w:val="0"/>
              <w:autoSpaceDE/>
              <w:autoSpaceDN/>
              <w:bidi w:val="0"/>
              <w:spacing w:line="400" w:lineRule="exact"/>
              <w:ind w:left="0" w:leftChars="0" w:right="0" w:rightChars="0"/>
              <w:jc w:val="lef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对</w:t>
            </w:r>
            <w:r>
              <w:rPr>
                <w:rFonts w:hint="eastAsia" w:ascii="宋体" w:hAnsi="宋体" w:eastAsia="宋体" w:cs="宋体"/>
                <w:color w:val="auto"/>
                <w:sz w:val="18"/>
                <w:szCs w:val="18"/>
                <w:highlight w:val="none"/>
                <w:lang w:val="en-US" w:eastAsia="zh-CN"/>
              </w:rPr>
              <w:t>供应商关于</w:t>
            </w:r>
            <w:r>
              <w:rPr>
                <w:rFonts w:hint="eastAsia" w:ascii="宋体" w:hAnsi="宋体" w:eastAsia="宋体" w:cs="宋体"/>
                <w:color w:val="auto"/>
                <w:sz w:val="18"/>
                <w:szCs w:val="18"/>
                <w:highlight w:val="none"/>
              </w:rPr>
              <w:t>原材料、半成品、外购件等设备材料的质量保证措施科学可靠性</w:t>
            </w:r>
            <w:r>
              <w:rPr>
                <w:rFonts w:hint="eastAsia" w:ascii="宋体" w:hAnsi="宋体" w:eastAsia="宋体" w:cs="宋体"/>
                <w:color w:val="auto"/>
                <w:sz w:val="18"/>
                <w:szCs w:val="18"/>
                <w:highlight w:val="none"/>
                <w:lang w:val="en-US" w:eastAsia="zh-CN"/>
              </w:rPr>
              <w:t>进行综合评议（4）：</w:t>
            </w:r>
          </w:p>
          <w:p w14:paraId="7247AEBB">
            <w:pPr>
              <w:keepNext w:val="0"/>
              <w:keepLines w:val="0"/>
              <w:pageBreakBefore w:val="0"/>
              <w:widowControl w:val="0"/>
              <w:kinsoku/>
              <w:overflowPunct/>
              <w:topLinePunct w:val="0"/>
              <w:autoSpaceDE/>
              <w:autoSpaceDN/>
              <w:bidi w:val="0"/>
              <w:spacing w:line="400" w:lineRule="exact"/>
              <w:ind w:left="0" w:leftChars="0" w:right="0" w:rightChars="0"/>
              <w:jc w:val="left"/>
              <w:textAlignment w:val="auto"/>
              <w:rPr>
                <w:rFonts w:hint="eastAsia" w:ascii="宋体" w:hAnsi="宋体" w:eastAsia="宋体" w:cs="宋体"/>
                <w:color w:val="auto"/>
                <w:sz w:val="18"/>
                <w:szCs w:val="18"/>
                <w:highlight w:val="none"/>
                <w:lang w:val="en-US" w:eastAsia="zh-CN"/>
              </w:rPr>
            </w:pPr>
            <w:r>
              <w:rPr>
                <w:rFonts w:hint="eastAsia" w:ascii="Times New Roman" w:hAnsi="Times New Roman" w:eastAsia="宋体" w:cs="宋体"/>
                <w:color w:val="000000"/>
                <w:sz w:val="18"/>
                <w:szCs w:val="18"/>
                <w:highlight w:val="none"/>
                <w:lang w:val="en-US" w:eastAsia="zh-CN"/>
              </w:rPr>
              <w:t>①</w:t>
            </w:r>
            <w:r>
              <w:rPr>
                <w:rFonts w:hint="eastAsia" w:ascii="宋体" w:hAnsi="宋体" w:eastAsia="宋体" w:cs="宋体"/>
                <w:color w:val="auto"/>
                <w:sz w:val="18"/>
                <w:szCs w:val="18"/>
                <w:highlight w:val="none"/>
              </w:rPr>
              <w:t>原材料、半成品、外购件等设备材料的质量保证措施科学可靠</w:t>
            </w:r>
            <w:r>
              <w:rPr>
                <w:rFonts w:hint="eastAsia" w:ascii="宋体" w:hAnsi="宋体" w:eastAsia="宋体" w:cs="宋体"/>
                <w:color w:val="auto"/>
                <w:sz w:val="18"/>
                <w:szCs w:val="18"/>
                <w:highlight w:val="none"/>
                <w:lang w:val="en-US" w:eastAsia="zh-CN"/>
              </w:rPr>
              <w:t>的，得4分；</w:t>
            </w:r>
          </w:p>
          <w:p w14:paraId="5DB2DDFC">
            <w:pPr>
              <w:keepNext w:val="0"/>
              <w:keepLines w:val="0"/>
              <w:pageBreakBefore w:val="0"/>
              <w:widowControl w:val="0"/>
              <w:kinsoku/>
              <w:overflowPunct/>
              <w:topLinePunct w:val="0"/>
              <w:autoSpaceDE/>
              <w:autoSpaceDN/>
              <w:bidi w:val="0"/>
              <w:spacing w:line="400" w:lineRule="exact"/>
              <w:ind w:left="0" w:leftChars="0" w:right="0" w:rightChars="0"/>
              <w:jc w:val="left"/>
              <w:textAlignment w:val="auto"/>
              <w:rPr>
                <w:rFonts w:hint="default" w:ascii="宋体" w:hAnsi="宋体" w:eastAsia="宋体" w:cs="宋体"/>
                <w:color w:val="auto"/>
                <w:sz w:val="18"/>
                <w:szCs w:val="18"/>
                <w:highlight w:val="none"/>
                <w:lang w:val="en-US" w:eastAsia="zh-CN"/>
              </w:rPr>
            </w:pPr>
            <w:r>
              <w:rPr>
                <w:rFonts w:hint="eastAsia" w:ascii="Times New Roman" w:hAnsi="Times New Roman" w:eastAsia="宋体" w:cs="宋体"/>
                <w:color w:val="000000"/>
                <w:sz w:val="18"/>
                <w:szCs w:val="18"/>
                <w:highlight w:val="none"/>
                <w:lang w:val="en-US" w:eastAsia="zh-CN"/>
              </w:rPr>
              <w:t>②</w:t>
            </w:r>
            <w:r>
              <w:rPr>
                <w:rFonts w:hint="eastAsia" w:ascii="宋体" w:hAnsi="宋体" w:eastAsia="宋体" w:cs="宋体"/>
                <w:color w:val="auto"/>
                <w:sz w:val="18"/>
                <w:szCs w:val="18"/>
                <w:highlight w:val="none"/>
              </w:rPr>
              <w:t>原材料、半成品、外购件等设备材料的质量保证措施</w:t>
            </w:r>
            <w:r>
              <w:rPr>
                <w:rFonts w:hint="eastAsia" w:ascii="宋体" w:hAnsi="宋体" w:eastAsia="宋体" w:cs="宋体"/>
                <w:color w:val="auto"/>
                <w:sz w:val="18"/>
                <w:szCs w:val="18"/>
                <w:highlight w:val="none"/>
                <w:lang w:val="en-US" w:eastAsia="zh-CN"/>
              </w:rPr>
              <w:t>较</w:t>
            </w:r>
            <w:r>
              <w:rPr>
                <w:rFonts w:hint="eastAsia" w:ascii="宋体" w:hAnsi="宋体" w:eastAsia="宋体" w:cs="宋体"/>
                <w:color w:val="auto"/>
                <w:sz w:val="18"/>
                <w:szCs w:val="18"/>
                <w:highlight w:val="none"/>
              </w:rPr>
              <w:t>科学可靠</w:t>
            </w:r>
            <w:r>
              <w:rPr>
                <w:rFonts w:hint="eastAsia" w:ascii="宋体" w:hAnsi="宋体" w:eastAsia="宋体" w:cs="宋体"/>
                <w:color w:val="auto"/>
                <w:sz w:val="18"/>
                <w:szCs w:val="18"/>
                <w:highlight w:val="none"/>
                <w:lang w:val="en-US" w:eastAsia="zh-CN"/>
              </w:rPr>
              <w:t>的，得3分；</w:t>
            </w:r>
          </w:p>
          <w:p w14:paraId="0C99E55E">
            <w:pPr>
              <w:keepNext w:val="0"/>
              <w:keepLines w:val="0"/>
              <w:pageBreakBefore w:val="0"/>
              <w:widowControl w:val="0"/>
              <w:kinsoku/>
              <w:overflowPunct/>
              <w:topLinePunct w:val="0"/>
              <w:autoSpaceDE/>
              <w:autoSpaceDN/>
              <w:bidi w:val="0"/>
              <w:spacing w:line="400" w:lineRule="exact"/>
              <w:ind w:left="0" w:leftChars="0" w:right="0" w:rightChars="0"/>
              <w:jc w:val="left"/>
              <w:textAlignment w:val="auto"/>
              <w:rPr>
                <w:rFonts w:hint="eastAsia" w:ascii="宋体" w:hAnsi="宋体" w:eastAsia="宋体" w:cs="宋体"/>
                <w:color w:val="auto"/>
                <w:sz w:val="18"/>
                <w:szCs w:val="18"/>
                <w:highlight w:val="none"/>
              </w:rPr>
            </w:pPr>
            <w:r>
              <w:rPr>
                <w:rFonts w:hint="eastAsia" w:ascii="Times New Roman" w:hAnsi="Times New Roman" w:eastAsia="宋体" w:cs="宋体"/>
                <w:color w:val="000000"/>
                <w:sz w:val="18"/>
                <w:szCs w:val="18"/>
                <w:highlight w:val="none"/>
                <w:lang w:val="en-US" w:eastAsia="zh-CN"/>
              </w:rPr>
              <w:t>③</w:t>
            </w:r>
            <w:r>
              <w:rPr>
                <w:rFonts w:hint="eastAsia" w:ascii="宋体" w:hAnsi="宋体" w:eastAsia="宋体" w:cs="宋体"/>
                <w:color w:val="auto"/>
                <w:sz w:val="18"/>
                <w:szCs w:val="18"/>
                <w:highlight w:val="none"/>
              </w:rPr>
              <w:t>原材料、半成品、外购件等设备材料的质量保证措施科学可靠</w:t>
            </w:r>
            <w:r>
              <w:rPr>
                <w:rFonts w:hint="eastAsia" w:ascii="宋体" w:hAnsi="宋体" w:eastAsia="宋体" w:cs="宋体"/>
                <w:color w:val="auto"/>
                <w:sz w:val="18"/>
                <w:szCs w:val="18"/>
                <w:highlight w:val="none"/>
                <w:lang w:val="en-US" w:eastAsia="zh-CN"/>
              </w:rPr>
              <w:t>性一般的</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得</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w:t>
            </w:r>
          </w:p>
          <w:p w14:paraId="17D66695">
            <w:pPr>
              <w:keepNext w:val="0"/>
              <w:keepLines w:val="0"/>
              <w:pageBreakBefore w:val="0"/>
              <w:widowControl w:val="0"/>
              <w:kinsoku/>
              <w:overflowPunct/>
              <w:topLinePunct w:val="0"/>
              <w:autoSpaceDE/>
              <w:autoSpaceDN/>
              <w:bidi w:val="0"/>
              <w:spacing w:line="400" w:lineRule="exact"/>
              <w:ind w:left="0" w:leftChars="0" w:right="0" w:rightChars="0"/>
              <w:jc w:val="left"/>
              <w:textAlignment w:val="auto"/>
              <w:rPr>
                <w:rFonts w:hint="eastAsia" w:ascii="宋体" w:hAnsi="宋体" w:eastAsia="宋体" w:cs="宋体"/>
                <w:color w:val="auto"/>
                <w:sz w:val="18"/>
                <w:szCs w:val="18"/>
                <w:highlight w:val="none"/>
              </w:rPr>
            </w:pPr>
            <w:r>
              <w:rPr>
                <w:rFonts w:hint="eastAsia" w:ascii="Times New Roman" w:hAnsi="Times New Roman" w:eastAsia="宋体" w:cs="宋体"/>
                <w:color w:val="000000"/>
                <w:sz w:val="18"/>
                <w:szCs w:val="18"/>
                <w:highlight w:val="none"/>
                <w:lang w:val="en-US" w:eastAsia="zh-CN"/>
              </w:rPr>
              <w:t>④</w:t>
            </w:r>
            <w:r>
              <w:rPr>
                <w:rFonts w:hint="eastAsia" w:ascii="宋体" w:hAnsi="宋体" w:eastAsia="宋体" w:cs="宋体"/>
                <w:color w:val="auto"/>
                <w:sz w:val="18"/>
                <w:szCs w:val="18"/>
                <w:highlight w:val="none"/>
              </w:rPr>
              <w:t>原材料、半成品、外购件等设备材料的质量保证措施</w:t>
            </w:r>
            <w:r>
              <w:rPr>
                <w:rFonts w:hint="eastAsia" w:ascii="宋体" w:hAnsi="宋体" w:eastAsia="宋体" w:cs="宋体"/>
                <w:color w:val="auto"/>
                <w:sz w:val="18"/>
                <w:szCs w:val="18"/>
                <w:highlight w:val="none"/>
                <w:lang w:val="en-US" w:eastAsia="zh-CN"/>
              </w:rPr>
              <w:t>不完整或存在瑕疵的</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得</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分；</w:t>
            </w:r>
          </w:p>
          <w:p w14:paraId="357ECD43">
            <w:pPr>
              <w:keepNext w:val="0"/>
              <w:keepLines w:val="0"/>
              <w:pageBreakBefore w:val="0"/>
              <w:widowControl w:val="0"/>
              <w:kinsoku/>
              <w:overflowPunct/>
              <w:topLinePunct w:val="0"/>
              <w:autoSpaceDE/>
              <w:autoSpaceDN/>
              <w:bidi w:val="0"/>
              <w:spacing w:line="400" w:lineRule="exact"/>
              <w:ind w:left="0" w:leftChars="0" w:right="0" w:rightChars="0"/>
              <w:jc w:val="left"/>
              <w:textAlignment w:val="auto"/>
              <w:rPr>
                <w:rFonts w:hint="eastAsia" w:ascii="宋体" w:hAnsi="宋体" w:cs="宋体"/>
                <w:color w:val="auto"/>
                <w:sz w:val="18"/>
                <w:szCs w:val="18"/>
                <w:highlight w:val="none"/>
                <w:lang w:val="en-US" w:eastAsia="zh-CN"/>
              </w:rPr>
            </w:pPr>
            <w:r>
              <w:rPr>
                <w:rFonts w:hint="eastAsia" w:ascii="宋体" w:hAnsi="宋体" w:eastAsia="宋体" w:cs="宋体"/>
                <w:color w:val="auto"/>
                <w:sz w:val="18"/>
                <w:szCs w:val="18"/>
                <w:highlight w:val="none"/>
              </w:rPr>
              <w:t>未提供内容本项不得分。</w:t>
            </w:r>
          </w:p>
        </w:tc>
      </w:tr>
      <w:tr w14:paraId="745C7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7B10678F">
            <w:pPr>
              <w:widowControl/>
              <w:spacing w:line="340" w:lineRule="exact"/>
              <w:jc w:val="left"/>
              <w:rPr>
                <w:color w:val="000000"/>
                <w:szCs w:val="21"/>
                <w:highlight w:val="none"/>
              </w:rPr>
            </w:pPr>
          </w:p>
        </w:tc>
        <w:tc>
          <w:tcPr>
            <w:tcW w:w="539" w:type="pct"/>
            <w:noWrap w:val="0"/>
            <w:vAlign w:val="center"/>
          </w:tcPr>
          <w:p w14:paraId="262EA33B">
            <w:pPr>
              <w:spacing w:line="340" w:lineRule="exact"/>
              <w:jc w:val="center"/>
              <w:rPr>
                <w:rFonts w:hint="eastAsia"/>
                <w:color w:val="000000"/>
                <w:szCs w:val="21"/>
                <w:highlight w:val="none"/>
              </w:rPr>
            </w:pPr>
            <w:r>
              <w:rPr>
                <w:rFonts w:hint="eastAsia"/>
                <w:color w:val="000000"/>
                <w:szCs w:val="21"/>
                <w:highlight w:val="none"/>
                <w:lang w:val="en-US" w:eastAsia="zh-CN"/>
              </w:rPr>
              <w:t>项目团队</w:t>
            </w:r>
            <w:r>
              <w:rPr>
                <w:rFonts w:hint="eastAsia"/>
                <w:color w:val="000000"/>
                <w:szCs w:val="21"/>
                <w:highlight w:val="none"/>
              </w:rPr>
              <w:t>（</w:t>
            </w:r>
            <w:r>
              <w:rPr>
                <w:rFonts w:hint="eastAsia"/>
                <w:color w:val="000000"/>
                <w:szCs w:val="21"/>
                <w:highlight w:val="none"/>
                <w:lang w:val="en-US" w:eastAsia="zh-CN"/>
              </w:rPr>
              <w:t>4</w:t>
            </w:r>
            <w:r>
              <w:rPr>
                <w:rFonts w:hint="eastAsia"/>
                <w:color w:val="000000"/>
                <w:szCs w:val="21"/>
                <w:highlight w:val="none"/>
              </w:rPr>
              <w:t>分）</w:t>
            </w:r>
          </w:p>
        </w:tc>
        <w:tc>
          <w:tcPr>
            <w:tcW w:w="4085" w:type="pct"/>
            <w:noWrap w:val="0"/>
            <w:vAlign w:val="center"/>
          </w:tcPr>
          <w:p w14:paraId="760AF228">
            <w:pPr>
              <w:keepNext w:val="0"/>
              <w:keepLines w:val="0"/>
              <w:pageBreakBefore w:val="0"/>
              <w:widowControl w:val="0"/>
              <w:kinsoku/>
              <w:overflowPunct/>
              <w:topLinePunct w:val="0"/>
              <w:autoSpaceDE/>
              <w:autoSpaceDN/>
              <w:bidi w:val="0"/>
              <w:spacing w:line="400" w:lineRule="exact"/>
              <w:ind w:left="0" w:leftChars="0" w:right="0" w:rightChars="0"/>
              <w:jc w:val="left"/>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rPr>
              <w:t>供应商具备建筑工程</w:t>
            </w:r>
            <w:r>
              <w:rPr>
                <w:rFonts w:hint="eastAsia" w:ascii="宋体" w:hAnsi="宋体" w:cs="宋体"/>
                <w:color w:val="auto"/>
                <w:sz w:val="18"/>
                <w:szCs w:val="18"/>
                <w:highlight w:val="none"/>
                <w:lang w:val="en-US" w:eastAsia="zh-CN"/>
              </w:rPr>
              <w:t>专业</w:t>
            </w:r>
            <w:r>
              <w:rPr>
                <w:rFonts w:hint="eastAsia" w:ascii="宋体" w:hAnsi="宋体" w:cs="宋体"/>
                <w:color w:val="auto"/>
                <w:sz w:val="18"/>
                <w:szCs w:val="18"/>
                <w:highlight w:val="none"/>
              </w:rPr>
              <w:t>承包</w:t>
            </w:r>
            <w:r>
              <w:rPr>
                <w:rFonts w:hint="eastAsia" w:ascii="宋体" w:hAnsi="宋体" w:cs="宋体"/>
                <w:color w:val="auto"/>
                <w:sz w:val="18"/>
                <w:szCs w:val="18"/>
                <w:highlight w:val="none"/>
                <w:lang w:val="en-US" w:eastAsia="zh-CN"/>
              </w:rPr>
              <w:t>二</w:t>
            </w:r>
            <w:r>
              <w:rPr>
                <w:rFonts w:hint="eastAsia" w:ascii="宋体" w:hAnsi="宋体" w:cs="宋体"/>
                <w:color w:val="auto"/>
                <w:sz w:val="18"/>
                <w:szCs w:val="18"/>
                <w:highlight w:val="none"/>
              </w:rPr>
              <w:t>级及以上资质</w:t>
            </w:r>
            <w:r>
              <w:rPr>
                <w:rFonts w:hint="eastAsia" w:ascii="宋体" w:hAnsi="宋体" w:cs="宋体"/>
                <w:color w:val="auto"/>
                <w:sz w:val="18"/>
                <w:szCs w:val="18"/>
                <w:highlight w:val="none"/>
                <w:lang w:eastAsia="zh-CN"/>
              </w:rPr>
              <w:t>的</w:t>
            </w:r>
            <w:r>
              <w:rPr>
                <w:rFonts w:hint="eastAsia" w:ascii="宋体" w:hAnsi="宋体" w:cs="宋体"/>
                <w:color w:val="auto"/>
                <w:sz w:val="18"/>
                <w:szCs w:val="18"/>
                <w:highlight w:val="none"/>
                <w:lang w:val="en-US" w:eastAsia="zh-CN"/>
              </w:rPr>
              <w:t>得2分，</w:t>
            </w:r>
          </w:p>
          <w:p w14:paraId="49165C19">
            <w:pPr>
              <w:keepNext w:val="0"/>
              <w:keepLines w:val="0"/>
              <w:pageBreakBefore w:val="0"/>
              <w:widowControl w:val="0"/>
              <w:kinsoku/>
              <w:overflowPunct/>
              <w:topLinePunct w:val="0"/>
              <w:autoSpaceDE/>
              <w:autoSpaceDN/>
              <w:bidi w:val="0"/>
              <w:spacing w:line="400" w:lineRule="exact"/>
              <w:ind w:left="0" w:leftChars="0" w:right="0" w:rightChars="0"/>
              <w:jc w:val="left"/>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供应商拟派本项目项目</w:t>
            </w:r>
            <w:r>
              <w:rPr>
                <w:rFonts w:hint="eastAsia" w:ascii="宋体" w:hAnsi="宋体" w:cs="宋体"/>
                <w:color w:val="auto"/>
                <w:sz w:val="18"/>
                <w:szCs w:val="18"/>
                <w:highlight w:val="none"/>
                <w:lang w:val="en-US" w:eastAsia="zh-CN"/>
              </w:rPr>
              <w:t>经理</w:t>
            </w:r>
            <w:r>
              <w:rPr>
                <w:rFonts w:hint="eastAsia" w:ascii="宋体" w:hAnsi="宋体" w:cs="宋体"/>
                <w:color w:val="auto"/>
                <w:sz w:val="18"/>
                <w:szCs w:val="18"/>
                <w:highlight w:val="none"/>
              </w:rPr>
              <w:t>具备</w:t>
            </w:r>
            <w:r>
              <w:rPr>
                <w:rFonts w:hint="eastAsia" w:ascii="宋体" w:hAnsi="宋体" w:cs="宋体"/>
                <w:color w:val="auto"/>
                <w:sz w:val="18"/>
                <w:szCs w:val="18"/>
                <w:highlight w:val="none"/>
                <w:lang w:eastAsia="zh-CN"/>
              </w:rPr>
              <w:t>建筑工程</w:t>
            </w:r>
            <w:r>
              <w:rPr>
                <w:rFonts w:hint="eastAsia" w:ascii="宋体" w:hAnsi="宋体" w:cs="宋体"/>
                <w:color w:val="auto"/>
                <w:sz w:val="18"/>
                <w:szCs w:val="18"/>
                <w:highlight w:val="none"/>
              </w:rPr>
              <w:t>一级建造师资格的得</w:t>
            </w:r>
            <w:r>
              <w:rPr>
                <w:rFonts w:hint="eastAsia" w:ascii="宋体" w:hAnsi="宋体" w:cs="宋体"/>
                <w:color w:val="auto"/>
                <w:sz w:val="18"/>
                <w:szCs w:val="18"/>
                <w:highlight w:val="none"/>
                <w:lang w:val="en-US" w:eastAsia="zh-CN"/>
              </w:rPr>
              <w:t>2</w:t>
            </w:r>
            <w:r>
              <w:rPr>
                <w:rFonts w:hint="eastAsia" w:ascii="宋体" w:hAnsi="宋体" w:cs="宋体"/>
                <w:color w:val="auto"/>
                <w:sz w:val="18"/>
                <w:szCs w:val="18"/>
                <w:highlight w:val="none"/>
              </w:rPr>
              <w:t>分</w:t>
            </w:r>
            <w:r>
              <w:rPr>
                <w:rFonts w:hint="eastAsia" w:ascii="宋体" w:hAnsi="宋体" w:cs="宋体"/>
                <w:color w:val="auto"/>
                <w:sz w:val="18"/>
                <w:szCs w:val="18"/>
                <w:highlight w:val="none"/>
                <w:lang w:val="en-US" w:eastAsia="zh-CN"/>
              </w:rPr>
              <w:t>。</w:t>
            </w:r>
          </w:p>
          <w:p w14:paraId="6B8552C8">
            <w:pPr>
              <w:keepNext w:val="0"/>
              <w:keepLines w:val="0"/>
              <w:pageBreakBefore w:val="0"/>
              <w:widowControl w:val="0"/>
              <w:kinsoku/>
              <w:overflowPunct/>
              <w:topLinePunct w:val="0"/>
              <w:autoSpaceDE/>
              <w:autoSpaceDN/>
              <w:bidi w:val="0"/>
              <w:spacing w:line="400" w:lineRule="exact"/>
              <w:ind w:left="0" w:leftChars="0" w:right="0" w:rightChars="0"/>
              <w:jc w:val="left"/>
              <w:textAlignment w:val="auto"/>
              <w:rPr>
                <w:rFonts w:hint="eastAsia" w:cs="宋体"/>
                <w:color w:val="000000"/>
                <w:sz w:val="18"/>
                <w:szCs w:val="18"/>
                <w:highlight w:val="none"/>
              </w:rPr>
            </w:pPr>
            <w:r>
              <w:rPr>
                <w:rFonts w:hint="eastAsia" w:ascii="宋体" w:hAnsi="宋体" w:cs="宋体"/>
                <w:color w:val="auto"/>
                <w:sz w:val="18"/>
                <w:szCs w:val="18"/>
                <w:highlight w:val="none"/>
                <w:lang w:val="en-US" w:eastAsia="zh-CN"/>
              </w:rPr>
              <w:t>注：</w:t>
            </w:r>
            <w:r>
              <w:rPr>
                <w:rFonts w:hint="eastAsia" w:ascii="宋体" w:hAnsi="宋体" w:cs="宋体"/>
                <w:color w:val="auto"/>
                <w:sz w:val="18"/>
                <w:szCs w:val="18"/>
                <w:highlight w:val="none"/>
              </w:rPr>
              <w:t>磋商响应文件中提供建造师</w:t>
            </w:r>
            <w:r>
              <w:rPr>
                <w:rFonts w:hint="eastAsia" w:ascii="宋体" w:hAnsi="宋体" w:cs="宋体"/>
                <w:color w:val="auto"/>
                <w:sz w:val="18"/>
                <w:szCs w:val="18"/>
                <w:highlight w:val="none"/>
                <w:lang w:eastAsia="zh-CN"/>
              </w:rPr>
              <w:t>执业</w:t>
            </w:r>
            <w:r>
              <w:rPr>
                <w:rFonts w:hint="eastAsia" w:ascii="宋体" w:hAnsi="宋体" w:cs="宋体"/>
                <w:color w:val="auto"/>
                <w:sz w:val="18"/>
                <w:szCs w:val="18"/>
                <w:highlight w:val="none"/>
              </w:rPr>
              <w:t>资格证书、</w:t>
            </w:r>
            <w:r>
              <w:rPr>
                <w:rFonts w:hint="eastAsia" w:ascii="宋体" w:hAnsi="宋体" w:cs="宋体"/>
                <w:color w:val="auto"/>
                <w:sz w:val="18"/>
                <w:szCs w:val="18"/>
                <w:highlight w:val="none"/>
                <w:lang w:val="en-US" w:eastAsia="zh-CN"/>
              </w:rPr>
              <w:t>职称证书、</w:t>
            </w:r>
            <w:r>
              <w:rPr>
                <w:rFonts w:hint="eastAsia" w:ascii="宋体" w:hAnsi="宋体" w:cs="宋体"/>
                <w:color w:val="auto"/>
                <w:sz w:val="18"/>
                <w:szCs w:val="18"/>
                <w:highlight w:val="none"/>
              </w:rPr>
              <w:t>有效的安全生产考核合格证书（B类）</w:t>
            </w:r>
            <w:r>
              <w:rPr>
                <w:rFonts w:hint="eastAsia" w:ascii="宋体" w:hAnsi="宋体" w:cs="宋体"/>
                <w:color w:val="auto"/>
                <w:sz w:val="18"/>
                <w:szCs w:val="18"/>
                <w:highlight w:val="none"/>
                <w:lang w:val="en-US" w:eastAsia="zh-CN"/>
              </w:rPr>
              <w:t>及近</w:t>
            </w:r>
            <w:r>
              <w:rPr>
                <w:rFonts w:hint="eastAsia" w:ascii="宋体" w:hAnsi="宋体" w:cs="宋体"/>
                <w:color w:val="auto"/>
                <w:sz w:val="18"/>
                <w:szCs w:val="18"/>
                <w:highlight w:val="none"/>
                <w:lang w:eastAsia="zh-CN"/>
              </w:rPr>
              <w:t>连续</w:t>
            </w:r>
            <w:r>
              <w:rPr>
                <w:rFonts w:hint="eastAsia" w:ascii="宋体" w:hAnsi="宋体" w:cs="宋体"/>
                <w:color w:val="auto"/>
                <w:sz w:val="18"/>
                <w:szCs w:val="18"/>
                <w:highlight w:val="none"/>
                <w:lang w:val="en-US" w:eastAsia="zh-CN"/>
              </w:rPr>
              <w:t>6</w:t>
            </w:r>
            <w:r>
              <w:rPr>
                <w:rFonts w:hint="eastAsia" w:ascii="宋体" w:hAnsi="宋体" w:cs="宋体"/>
                <w:color w:val="auto"/>
                <w:sz w:val="18"/>
                <w:szCs w:val="18"/>
                <w:highlight w:val="none"/>
              </w:rPr>
              <w:t>个月</w:t>
            </w:r>
            <w:r>
              <w:rPr>
                <w:rFonts w:hint="eastAsia" w:ascii="宋体" w:hAnsi="宋体" w:cs="宋体"/>
                <w:color w:val="auto"/>
                <w:sz w:val="18"/>
                <w:szCs w:val="18"/>
                <w:highlight w:val="none"/>
                <w:lang w:eastAsia="zh-CN"/>
              </w:rPr>
              <w:t>的</w:t>
            </w:r>
            <w:r>
              <w:rPr>
                <w:rFonts w:hint="eastAsia" w:ascii="宋体" w:hAnsi="宋体" w:cs="宋体"/>
                <w:color w:val="auto"/>
                <w:sz w:val="18"/>
                <w:szCs w:val="18"/>
                <w:highlight w:val="none"/>
              </w:rPr>
              <w:t>社保证明资料复印件并加盖供应商公章，未按要求提供的不得分</w:t>
            </w:r>
            <w:r>
              <w:rPr>
                <w:rFonts w:hint="eastAsia" w:ascii="宋体" w:hAnsi="宋体" w:cs="宋体"/>
                <w:color w:val="auto"/>
                <w:sz w:val="18"/>
                <w:szCs w:val="18"/>
                <w:highlight w:val="none"/>
                <w:lang w:eastAsia="zh-CN"/>
              </w:rPr>
              <w:t>。</w:t>
            </w:r>
          </w:p>
        </w:tc>
      </w:tr>
      <w:tr w14:paraId="4BC7F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7F159D85">
            <w:pPr>
              <w:widowControl/>
              <w:spacing w:line="340" w:lineRule="exact"/>
              <w:jc w:val="left"/>
              <w:rPr>
                <w:color w:val="000000"/>
                <w:szCs w:val="21"/>
                <w:highlight w:val="none"/>
              </w:rPr>
            </w:pPr>
          </w:p>
        </w:tc>
        <w:tc>
          <w:tcPr>
            <w:tcW w:w="539" w:type="pct"/>
            <w:noWrap w:val="0"/>
            <w:vAlign w:val="center"/>
          </w:tcPr>
          <w:p w14:paraId="72050047">
            <w:pPr>
              <w:spacing w:line="320" w:lineRule="exact"/>
              <w:rPr>
                <w:rFonts w:ascii="Calibri" w:hAnsi="Calibri" w:cs="Calibri"/>
                <w:color w:val="000000"/>
                <w:szCs w:val="21"/>
                <w:highlight w:val="none"/>
              </w:rPr>
            </w:pPr>
            <w:r>
              <w:rPr>
                <w:rFonts w:hint="eastAsia" w:ascii="Calibri" w:hAnsi="Calibri" w:cs="Calibri"/>
                <w:color w:val="000000"/>
                <w:szCs w:val="21"/>
                <w:highlight w:val="none"/>
              </w:rPr>
              <w:t>售后服务</w:t>
            </w:r>
            <w:r>
              <w:rPr>
                <w:rFonts w:hint="eastAsia" w:ascii="Calibri" w:hAnsi="Calibri" w:cs="Calibri"/>
                <w:color w:val="000000"/>
                <w:szCs w:val="21"/>
                <w:highlight w:val="none"/>
                <w:lang w:val="en-US" w:eastAsia="zh-CN"/>
              </w:rPr>
              <w:t>与质保期</w:t>
            </w:r>
            <w:r>
              <w:rPr>
                <w:rFonts w:hint="eastAsia" w:ascii="Calibri" w:hAnsi="Calibri" w:cs="Calibri"/>
                <w:color w:val="000000"/>
                <w:szCs w:val="21"/>
                <w:highlight w:val="none"/>
              </w:rPr>
              <w:t>（</w:t>
            </w:r>
            <w:r>
              <w:rPr>
                <w:rFonts w:hint="eastAsia" w:ascii="Calibri" w:hAnsi="Calibri" w:cs="Calibri"/>
                <w:color w:val="000000"/>
                <w:szCs w:val="21"/>
                <w:highlight w:val="none"/>
                <w:lang w:val="en-US" w:eastAsia="zh-CN"/>
              </w:rPr>
              <w:t>6</w:t>
            </w:r>
            <w:r>
              <w:rPr>
                <w:rFonts w:hint="eastAsia" w:ascii="Calibri" w:hAnsi="Calibri" w:cs="Calibri"/>
                <w:color w:val="000000"/>
                <w:szCs w:val="21"/>
                <w:highlight w:val="none"/>
              </w:rPr>
              <w:t>分）</w:t>
            </w:r>
          </w:p>
        </w:tc>
        <w:tc>
          <w:tcPr>
            <w:tcW w:w="4085" w:type="pct"/>
            <w:noWrap w:val="0"/>
            <w:vAlign w:val="center"/>
          </w:tcPr>
          <w:p w14:paraId="09F90D7C">
            <w:pPr>
              <w:widowControl w:val="0"/>
              <w:wordWrap w:val="0"/>
              <w:snapToGrid w:val="0"/>
              <w:spacing w:line="320" w:lineRule="exact"/>
              <w:jc w:val="left"/>
              <w:rPr>
                <w:rFonts w:hint="eastAsia" w:ascii="Times New Roman" w:hAnsi="Times New Roman" w:eastAsia="宋体" w:cs="宋体"/>
                <w:color w:val="000000"/>
                <w:sz w:val="18"/>
                <w:szCs w:val="18"/>
                <w:highlight w:val="none"/>
                <w:lang w:val="en-US" w:eastAsia="zh-CN"/>
              </w:rPr>
            </w:pPr>
            <w:r>
              <w:rPr>
                <w:rFonts w:hint="eastAsia" w:cs="宋体"/>
                <w:color w:val="000000"/>
                <w:sz w:val="18"/>
                <w:szCs w:val="18"/>
                <w:highlight w:val="none"/>
                <w:lang w:val="en-US" w:eastAsia="zh-CN"/>
              </w:rPr>
              <w:t>1.</w:t>
            </w:r>
            <w:r>
              <w:rPr>
                <w:rFonts w:hint="eastAsia" w:ascii="Times New Roman" w:hAnsi="Times New Roman" w:eastAsia="宋体" w:cs="宋体"/>
                <w:color w:val="000000"/>
                <w:sz w:val="18"/>
                <w:szCs w:val="18"/>
                <w:highlight w:val="none"/>
                <w:lang w:val="en-US" w:eastAsia="zh-CN"/>
              </w:rPr>
              <w:t>售后服务方案包括接到采购人通知后到达时间、处理及时的承诺响应（包括但不限于一般事故、紧急抢修事故、质量问题等）（5分）：</w:t>
            </w:r>
          </w:p>
          <w:p w14:paraId="5734A13F">
            <w:pPr>
              <w:widowControl w:val="0"/>
              <w:wordWrap w:val="0"/>
              <w:snapToGrid w:val="0"/>
              <w:spacing w:line="320" w:lineRule="exact"/>
              <w:jc w:val="left"/>
              <w:rPr>
                <w:rFonts w:hint="eastAsia" w:ascii="Times New Roman" w:hAnsi="Times New Roman" w:eastAsia="宋体" w:cs="宋体"/>
                <w:color w:val="000000"/>
                <w:sz w:val="18"/>
                <w:szCs w:val="18"/>
                <w:highlight w:val="none"/>
                <w:lang w:val="en-US" w:eastAsia="zh-CN"/>
              </w:rPr>
            </w:pPr>
            <w:r>
              <w:rPr>
                <w:rFonts w:hint="eastAsia" w:ascii="Times New Roman" w:hAnsi="Times New Roman" w:eastAsia="宋体" w:cs="宋体"/>
                <w:color w:val="000000"/>
                <w:sz w:val="18"/>
                <w:szCs w:val="18"/>
                <w:highlight w:val="none"/>
                <w:lang w:val="en-US" w:eastAsia="zh-CN"/>
              </w:rPr>
              <w:t>①售后服务方案详尽、全面合理且可行性强的得5分；</w:t>
            </w:r>
          </w:p>
          <w:p w14:paraId="0C028A8F">
            <w:pPr>
              <w:widowControl w:val="0"/>
              <w:wordWrap w:val="0"/>
              <w:snapToGrid w:val="0"/>
              <w:spacing w:line="320" w:lineRule="exact"/>
              <w:jc w:val="left"/>
              <w:rPr>
                <w:rFonts w:hint="eastAsia" w:ascii="Times New Roman" w:hAnsi="Times New Roman" w:eastAsia="宋体" w:cs="宋体"/>
                <w:color w:val="000000"/>
                <w:sz w:val="18"/>
                <w:szCs w:val="18"/>
                <w:highlight w:val="none"/>
                <w:lang w:val="en-US" w:eastAsia="zh-CN"/>
              </w:rPr>
            </w:pPr>
            <w:r>
              <w:rPr>
                <w:rFonts w:hint="eastAsia" w:ascii="Times New Roman" w:hAnsi="Times New Roman" w:eastAsia="宋体" w:cs="宋体"/>
                <w:color w:val="000000"/>
                <w:sz w:val="18"/>
                <w:szCs w:val="18"/>
                <w:highlight w:val="none"/>
                <w:lang w:val="en-US" w:eastAsia="zh-CN"/>
              </w:rPr>
              <w:t>②售后服务方案较详尽、合理且可行性较强的的得4分；</w:t>
            </w:r>
          </w:p>
          <w:p w14:paraId="1CBC8B06">
            <w:pPr>
              <w:widowControl w:val="0"/>
              <w:wordWrap w:val="0"/>
              <w:snapToGrid w:val="0"/>
              <w:spacing w:line="320" w:lineRule="exact"/>
              <w:jc w:val="left"/>
              <w:rPr>
                <w:rFonts w:hint="eastAsia" w:ascii="Times New Roman" w:hAnsi="Times New Roman" w:eastAsia="宋体" w:cs="宋体"/>
                <w:color w:val="000000"/>
                <w:sz w:val="18"/>
                <w:szCs w:val="18"/>
                <w:highlight w:val="none"/>
                <w:lang w:val="en-US" w:eastAsia="zh-CN"/>
              </w:rPr>
            </w:pPr>
            <w:r>
              <w:rPr>
                <w:rFonts w:hint="eastAsia" w:ascii="Times New Roman" w:hAnsi="Times New Roman" w:eastAsia="宋体" w:cs="宋体"/>
                <w:color w:val="000000"/>
                <w:sz w:val="18"/>
                <w:szCs w:val="18"/>
                <w:highlight w:val="none"/>
                <w:lang w:val="en-US" w:eastAsia="zh-CN"/>
              </w:rPr>
              <w:t>③售后服务方案基本详尽，合理且可行性一般的得3分；</w:t>
            </w:r>
          </w:p>
          <w:p w14:paraId="2505FBFE">
            <w:pPr>
              <w:widowControl w:val="0"/>
              <w:wordWrap w:val="0"/>
              <w:snapToGrid w:val="0"/>
              <w:spacing w:line="320" w:lineRule="exact"/>
              <w:jc w:val="left"/>
              <w:rPr>
                <w:rFonts w:hint="eastAsia" w:ascii="Times New Roman" w:hAnsi="Times New Roman" w:eastAsia="宋体" w:cs="宋体"/>
                <w:color w:val="000000"/>
                <w:sz w:val="18"/>
                <w:szCs w:val="18"/>
                <w:highlight w:val="none"/>
                <w:lang w:val="en-US" w:eastAsia="zh-CN"/>
              </w:rPr>
            </w:pPr>
            <w:r>
              <w:rPr>
                <w:rFonts w:hint="eastAsia" w:ascii="Times New Roman" w:hAnsi="Times New Roman" w:eastAsia="宋体" w:cs="宋体"/>
                <w:color w:val="000000"/>
                <w:sz w:val="18"/>
                <w:szCs w:val="18"/>
                <w:highlight w:val="none"/>
                <w:lang w:val="en-US" w:eastAsia="zh-CN"/>
              </w:rPr>
              <w:t>④售后服务方案基本详尽，合理且内容部分有部分缺失的得2分；</w:t>
            </w:r>
          </w:p>
          <w:p w14:paraId="3ECC8EFA">
            <w:pPr>
              <w:widowControl w:val="0"/>
              <w:wordWrap w:val="0"/>
              <w:snapToGrid w:val="0"/>
              <w:spacing w:line="320" w:lineRule="exact"/>
              <w:jc w:val="left"/>
              <w:rPr>
                <w:rFonts w:hint="eastAsia" w:ascii="Times New Roman" w:hAnsi="Times New Roman" w:eastAsia="宋体" w:cs="宋体"/>
                <w:color w:val="000000"/>
                <w:sz w:val="18"/>
                <w:szCs w:val="18"/>
                <w:highlight w:val="none"/>
                <w:lang w:val="en-US" w:eastAsia="zh-CN"/>
              </w:rPr>
            </w:pPr>
            <w:r>
              <w:rPr>
                <w:rFonts w:hint="eastAsia" w:ascii="Times New Roman" w:hAnsi="Times New Roman" w:eastAsia="宋体" w:cs="宋体"/>
                <w:color w:val="000000"/>
                <w:sz w:val="18"/>
                <w:szCs w:val="18"/>
                <w:highlight w:val="none"/>
                <w:lang w:val="en-US" w:eastAsia="zh-CN"/>
              </w:rPr>
              <w:t>⑤售后服务方案不够合理且内容部分缺失但尚不影响履约的得1分；</w:t>
            </w:r>
          </w:p>
          <w:p w14:paraId="7C04E2E2">
            <w:pPr>
              <w:widowControl w:val="0"/>
              <w:wordWrap w:val="0"/>
              <w:snapToGrid w:val="0"/>
              <w:spacing w:line="320" w:lineRule="exact"/>
              <w:jc w:val="left"/>
              <w:rPr>
                <w:rFonts w:hint="default" w:cs="宋体"/>
                <w:color w:val="000000"/>
                <w:sz w:val="18"/>
                <w:szCs w:val="18"/>
                <w:highlight w:val="none"/>
                <w:lang w:val="en-US" w:eastAsia="zh-CN"/>
              </w:rPr>
            </w:pPr>
            <w:r>
              <w:rPr>
                <w:rFonts w:hint="eastAsia" w:ascii="Times New Roman" w:hAnsi="Times New Roman" w:eastAsia="宋体" w:cs="宋体"/>
                <w:color w:val="000000"/>
                <w:sz w:val="18"/>
                <w:szCs w:val="18"/>
                <w:highlight w:val="none"/>
                <w:lang w:val="en-US" w:eastAsia="zh-CN"/>
              </w:rPr>
              <w:t>2.对本项目的优惠承诺（</w:t>
            </w:r>
            <w:r>
              <w:rPr>
                <w:rFonts w:hint="eastAsia" w:cs="宋体"/>
                <w:color w:val="000000"/>
                <w:sz w:val="18"/>
                <w:szCs w:val="18"/>
                <w:highlight w:val="none"/>
                <w:lang w:val="en-US" w:eastAsia="zh-CN"/>
              </w:rPr>
              <w:t>1</w:t>
            </w:r>
            <w:r>
              <w:rPr>
                <w:rFonts w:hint="eastAsia" w:ascii="Times New Roman" w:hAnsi="Times New Roman" w:eastAsia="宋体" w:cs="宋体"/>
                <w:color w:val="000000"/>
                <w:sz w:val="18"/>
                <w:szCs w:val="18"/>
                <w:highlight w:val="none"/>
                <w:lang w:val="en-US" w:eastAsia="zh-CN"/>
              </w:rPr>
              <w:t>分）：质保期响应磋商文件要求的不得分，每超过1年得</w:t>
            </w:r>
            <w:r>
              <w:rPr>
                <w:rFonts w:hint="eastAsia" w:cs="宋体"/>
                <w:color w:val="000000"/>
                <w:sz w:val="18"/>
                <w:szCs w:val="18"/>
                <w:highlight w:val="none"/>
                <w:lang w:val="en-US" w:eastAsia="zh-CN"/>
              </w:rPr>
              <w:t>0.5</w:t>
            </w:r>
            <w:r>
              <w:rPr>
                <w:rFonts w:hint="eastAsia" w:ascii="Times New Roman" w:hAnsi="Times New Roman" w:eastAsia="宋体" w:cs="宋体"/>
                <w:color w:val="000000"/>
                <w:sz w:val="18"/>
                <w:szCs w:val="18"/>
                <w:highlight w:val="none"/>
                <w:lang w:val="en-US" w:eastAsia="zh-CN"/>
              </w:rPr>
              <w:t>分，最高得</w:t>
            </w:r>
            <w:r>
              <w:rPr>
                <w:rFonts w:hint="eastAsia" w:cs="宋体"/>
                <w:color w:val="000000"/>
                <w:sz w:val="18"/>
                <w:szCs w:val="18"/>
                <w:highlight w:val="none"/>
                <w:lang w:val="en-US" w:eastAsia="zh-CN"/>
              </w:rPr>
              <w:t>1</w:t>
            </w:r>
            <w:r>
              <w:rPr>
                <w:rFonts w:hint="eastAsia" w:ascii="Times New Roman" w:hAnsi="Times New Roman" w:eastAsia="宋体" w:cs="宋体"/>
                <w:color w:val="000000"/>
                <w:sz w:val="18"/>
                <w:szCs w:val="18"/>
                <w:highlight w:val="none"/>
                <w:lang w:val="en-US" w:eastAsia="zh-CN"/>
              </w:rPr>
              <w:t>分。</w:t>
            </w:r>
          </w:p>
        </w:tc>
      </w:tr>
      <w:tr w14:paraId="79A5F8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1C423A98">
            <w:pPr>
              <w:widowControl/>
              <w:spacing w:line="340" w:lineRule="exact"/>
              <w:jc w:val="left"/>
              <w:rPr>
                <w:color w:val="000000"/>
                <w:szCs w:val="21"/>
                <w:highlight w:val="none"/>
              </w:rPr>
            </w:pPr>
          </w:p>
        </w:tc>
        <w:tc>
          <w:tcPr>
            <w:tcW w:w="539" w:type="pct"/>
            <w:noWrap w:val="0"/>
            <w:vAlign w:val="center"/>
          </w:tcPr>
          <w:p w14:paraId="298D1F26">
            <w:pPr>
              <w:spacing w:line="320" w:lineRule="exact"/>
              <w:rPr>
                <w:rFonts w:hint="eastAsia" w:ascii="Calibri" w:hAnsi="Calibri" w:eastAsia="宋体" w:cs="Calibri"/>
                <w:color w:val="000000"/>
                <w:szCs w:val="21"/>
                <w:highlight w:val="none"/>
                <w:lang w:val="en-US" w:eastAsia="zh-CN"/>
              </w:rPr>
            </w:pPr>
            <w:r>
              <w:rPr>
                <w:rFonts w:hint="eastAsia" w:ascii="Calibri" w:hAnsi="Calibri" w:eastAsia="宋体" w:cs="Calibri"/>
                <w:color w:val="000000"/>
                <w:szCs w:val="21"/>
                <w:highlight w:val="none"/>
                <w:lang w:val="en-US" w:eastAsia="zh-CN"/>
              </w:rPr>
              <w:t xml:space="preserve">突发事件 应急预案 </w:t>
            </w:r>
          </w:p>
          <w:p w14:paraId="207F98FF">
            <w:pPr>
              <w:spacing w:line="320" w:lineRule="exact"/>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w:t>
            </w:r>
            <w:r>
              <w:rPr>
                <w:rFonts w:hint="eastAsia" w:ascii="Calibri" w:hAnsi="Calibri" w:cs="Calibri"/>
                <w:color w:val="000000"/>
                <w:szCs w:val="21"/>
                <w:highlight w:val="none"/>
                <w:lang w:val="en-US" w:eastAsia="zh-CN"/>
              </w:rPr>
              <w:t>4</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tc>
        <w:tc>
          <w:tcPr>
            <w:tcW w:w="4085" w:type="pct"/>
            <w:noWrap w:val="0"/>
            <w:vAlign w:val="center"/>
          </w:tcPr>
          <w:p w14:paraId="3900179F">
            <w:pPr>
              <w:spacing w:line="320" w:lineRule="exact"/>
              <w:rPr>
                <w:rFonts w:hint="eastAsia" w:ascii="Calibri" w:hAnsi="Calibri" w:eastAsia="宋体" w:cs="Calibri"/>
                <w:color w:val="000000"/>
                <w:sz w:val="18"/>
                <w:szCs w:val="18"/>
                <w:highlight w:val="none"/>
              </w:rPr>
            </w:pPr>
            <w:r>
              <w:rPr>
                <w:rFonts w:hint="eastAsia" w:ascii="Calibri" w:hAnsi="Calibri" w:eastAsia="宋体" w:cs="Calibri"/>
                <w:color w:val="000000"/>
                <w:sz w:val="18"/>
                <w:szCs w:val="18"/>
                <w:highlight w:val="none"/>
                <w:lang w:val="en-US" w:eastAsia="zh-CN"/>
              </w:rPr>
              <w:t>对本项目实施期间的突发事件应急预案进行评议</w:t>
            </w:r>
            <w:r>
              <w:rPr>
                <w:rFonts w:hint="eastAsia" w:ascii="Calibri" w:hAnsi="Calibri" w:cs="Calibri"/>
                <w:color w:val="000000"/>
                <w:sz w:val="18"/>
                <w:szCs w:val="18"/>
                <w:highlight w:val="none"/>
                <w:lang w:val="en-US" w:eastAsia="zh-CN"/>
              </w:rPr>
              <w:t>（4分）</w:t>
            </w:r>
          </w:p>
          <w:p w14:paraId="7DE98737">
            <w:pPr>
              <w:spacing w:line="320" w:lineRule="exact"/>
              <w:rPr>
                <w:rFonts w:hint="eastAsia" w:ascii="Calibri" w:hAnsi="Calibri" w:eastAsia="宋体" w:cs="Calibri"/>
                <w:color w:val="000000"/>
                <w:sz w:val="18"/>
                <w:szCs w:val="18"/>
                <w:highlight w:val="none"/>
                <w:lang w:val="en-US" w:eastAsia="zh-CN"/>
              </w:rPr>
            </w:pPr>
            <w:r>
              <w:rPr>
                <w:rFonts w:hint="eastAsia" w:cs="宋体"/>
                <w:color w:val="000000"/>
                <w:sz w:val="18"/>
                <w:szCs w:val="18"/>
                <w:highlight w:val="none"/>
                <w:lang w:val="en-US" w:eastAsia="zh-CN"/>
              </w:rPr>
              <w:t>①</w:t>
            </w:r>
            <w:r>
              <w:rPr>
                <w:rFonts w:hint="eastAsia" w:ascii="Calibri" w:hAnsi="Calibri" w:eastAsia="宋体" w:cs="Calibri"/>
                <w:color w:val="000000"/>
                <w:sz w:val="18"/>
                <w:szCs w:val="18"/>
                <w:highlight w:val="none"/>
                <w:lang w:val="en-US" w:eastAsia="zh-CN"/>
              </w:rPr>
              <w:t>应急预案条款完整、措施得力、能有效降低突发事件的不利影响的得</w:t>
            </w:r>
            <w:r>
              <w:rPr>
                <w:rFonts w:hint="eastAsia" w:ascii="Calibri" w:hAnsi="Calibri" w:cs="Calibri"/>
                <w:color w:val="000000"/>
                <w:sz w:val="18"/>
                <w:szCs w:val="18"/>
                <w:highlight w:val="none"/>
                <w:lang w:val="en-US" w:eastAsia="zh-CN"/>
              </w:rPr>
              <w:t>4</w:t>
            </w:r>
            <w:r>
              <w:rPr>
                <w:rFonts w:hint="default" w:ascii="Calibri" w:hAnsi="Calibri" w:eastAsia="宋体" w:cs="Calibri"/>
                <w:color w:val="000000"/>
                <w:sz w:val="18"/>
                <w:szCs w:val="18"/>
                <w:highlight w:val="none"/>
                <w:lang w:val="en-US" w:eastAsia="zh-CN"/>
              </w:rPr>
              <w:t xml:space="preserve"> </w:t>
            </w:r>
            <w:r>
              <w:rPr>
                <w:rFonts w:hint="eastAsia" w:ascii="Calibri" w:hAnsi="Calibri" w:eastAsia="宋体" w:cs="Calibri"/>
                <w:color w:val="000000"/>
                <w:sz w:val="18"/>
                <w:szCs w:val="18"/>
                <w:highlight w:val="none"/>
                <w:lang w:val="en-US" w:eastAsia="zh-CN"/>
              </w:rPr>
              <w:t>分；</w:t>
            </w:r>
          </w:p>
          <w:p w14:paraId="2195B0B0">
            <w:pPr>
              <w:pStyle w:val="82"/>
              <w:ind w:left="0" w:leftChars="0" w:firstLine="0" w:firstLineChars="0"/>
              <w:rPr>
                <w:rFonts w:hint="eastAsia"/>
                <w:sz w:val="18"/>
                <w:szCs w:val="18"/>
                <w:lang w:val="en-US" w:eastAsia="zh-CN"/>
              </w:rPr>
            </w:pPr>
            <w:r>
              <w:rPr>
                <w:rFonts w:hint="eastAsia" w:ascii="宋体" w:hAnsi="宋体" w:eastAsia="宋体" w:cs="宋体"/>
                <w:b w:val="0"/>
                <w:bCs w:val="0"/>
                <w:strike w:val="0"/>
                <w:dstrike w:val="0"/>
                <w:color w:val="auto"/>
                <w:sz w:val="18"/>
                <w:szCs w:val="18"/>
                <w:highlight w:val="none"/>
                <w:lang w:val="en-US" w:eastAsia="zh-CN"/>
              </w:rPr>
              <w:t>②</w:t>
            </w:r>
            <w:r>
              <w:rPr>
                <w:rFonts w:hint="eastAsia" w:ascii="Calibri" w:hAnsi="Calibri" w:eastAsia="宋体" w:cs="Calibri"/>
                <w:color w:val="000000"/>
                <w:sz w:val="18"/>
                <w:szCs w:val="18"/>
                <w:highlight w:val="none"/>
                <w:lang w:val="en-US" w:eastAsia="zh-CN"/>
              </w:rPr>
              <w:t>应急预案条款内容完整</w:t>
            </w:r>
            <w:r>
              <w:rPr>
                <w:rFonts w:hint="eastAsia" w:ascii="Calibri" w:hAnsi="Calibri" w:cs="Calibri"/>
                <w:color w:val="000000"/>
                <w:sz w:val="18"/>
                <w:szCs w:val="18"/>
                <w:highlight w:val="none"/>
                <w:lang w:val="en-US" w:eastAsia="zh-CN"/>
              </w:rPr>
              <w:t>，</w:t>
            </w:r>
            <w:r>
              <w:rPr>
                <w:rFonts w:hint="eastAsia" w:ascii="Calibri" w:hAnsi="Calibri" w:eastAsia="宋体" w:cs="Calibri"/>
                <w:color w:val="000000"/>
                <w:sz w:val="18"/>
                <w:szCs w:val="18"/>
                <w:highlight w:val="none"/>
                <w:lang w:val="en-US" w:eastAsia="zh-CN"/>
              </w:rPr>
              <w:t>措施</w:t>
            </w:r>
            <w:r>
              <w:rPr>
                <w:rFonts w:hint="eastAsia" w:ascii="Calibri" w:hAnsi="Calibri" w:cs="Calibri"/>
                <w:color w:val="000000"/>
                <w:sz w:val="18"/>
                <w:szCs w:val="18"/>
                <w:highlight w:val="none"/>
                <w:lang w:val="en-US" w:eastAsia="zh-CN"/>
              </w:rPr>
              <w:t>基本得力，</w:t>
            </w:r>
            <w:r>
              <w:rPr>
                <w:rFonts w:hint="eastAsia" w:ascii="Calibri" w:hAnsi="Calibri" w:eastAsia="宋体" w:cs="Calibri"/>
                <w:color w:val="000000"/>
                <w:sz w:val="18"/>
                <w:szCs w:val="18"/>
                <w:highlight w:val="none"/>
                <w:lang w:val="en-US" w:eastAsia="zh-CN"/>
              </w:rPr>
              <w:t>能降低突发事件的不利影响的得</w:t>
            </w:r>
            <w:r>
              <w:rPr>
                <w:rFonts w:hint="eastAsia" w:ascii="Calibri" w:hAnsi="Calibri" w:cs="Calibri"/>
                <w:color w:val="000000"/>
                <w:sz w:val="18"/>
                <w:szCs w:val="18"/>
                <w:highlight w:val="none"/>
                <w:lang w:val="en-US" w:eastAsia="zh-CN"/>
              </w:rPr>
              <w:t>3</w:t>
            </w:r>
            <w:r>
              <w:rPr>
                <w:rFonts w:hint="default" w:ascii="Calibri" w:hAnsi="Calibri" w:eastAsia="宋体" w:cs="Calibri"/>
                <w:color w:val="000000"/>
                <w:sz w:val="18"/>
                <w:szCs w:val="18"/>
                <w:highlight w:val="none"/>
                <w:lang w:val="en-US" w:eastAsia="zh-CN"/>
              </w:rPr>
              <w:t xml:space="preserve"> </w:t>
            </w:r>
            <w:r>
              <w:rPr>
                <w:rFonts w:hint="eastAsia" w:ascii="Calibri" w:hAnsi="Calibri" w:eastAsia="宋体" w:cs="Calibri"/>
                <w:color w:val="000000"/>
                <w:sz w:val="18"/>
                <w:szCs w:val="18"/>
                <w:highlight w:val="none"/>
                <w:lang w:val="en-US" w:eastAsia="zh-CN"/>
              </w:rPr>
              <w:t>分</w:t>
            </w:r>
          </w:p>
          <w:p w14:paraId="3AF404AD">
            <w:pPr>
              <w:spacing w:line="320" w:lineRule="exact"/>
              <w:rPr>
                <w:rFonts w:hint="eastAsia" w:ascii="Calibri" w:hAnsi="Calibri" w:eastAsia="宋体" w:cs="Calibri"/>
                <w:color w:val="000000"/>
                <w:sz w:val="18"/>
                <w:szCs w:val="18"/>
                <w:highlight w:val="none"/>
                <w:lang w:val="en-US" w:eastAsia="zh-CN"/>
              </w:rPr>
            </w:pPr>
            <w:r>
              <w:rPr>
                <w:rFonts w:hint="eastAsia" w:ascii="宋体" w:hAnsi="宋体" w:eastAsia="宋体" w:cs="宋体"/>
                <w:b w:val="0"/>
                <w:bCs w:val="0"/>
                <w:strike w:val="0"/>
                <w:dstrike w:val="0"/>
                <w:color w:val="auto"/>
                <w:sz w:val="18"/>
                <w:szCs w:val="18"/>
                <w:highlight w:val="none"/>
                <w:lang w:val="en-US" w:eastAsia="zh-CN"/>
              </w:rPr>
              <w:t>③</w:t>
            </w:r>
            <w:r>
              <w:rPr>
                <w:rFonts w:hint="eastAsia" w:ascii="Calibri" w:hAnsi="Calibri" w:eastAsia="宋体" w:cs="Calibri"/>
                <w:color w:val="000000"/>
                <w:sz w:val="18"/>
                <w:szCs w:val="18"/>
                <w:highlight w:val="none"/>
                <w:lang w:val="en-US" w:eastAsia="zh-CN"/>
              </w:rPr>
              <w:t>应急预案条款内容完整、但具体措施与工程实际情况略有偏差、预计尚不影响履约得</w:t>
            </w:r>
            <w:r>
              <w:rPr>
                <w:rFonts w:hint="eastAsia" w:ascii="Calibri" w:hAnsi="Calibri" w:cs="Calibri"/>
                <w:color w:val="000000"/>
                <w:sz w:val="18"/>
                <w:szCs w:val="18"/>
                <w:highlight w:val="none"/>
                <w:lang w:val="en-US" w:eastAsia="zh-CN"/>
              </w:rPr>
              <w:t>2</w:t>
            </w:r>
            <w:r>
              <w:rPr>
                <w:rFonts w:hint="eastAsia" w:ascii="Calibri" w:hAnsi="Calibri" w:eastAsia="宋体" w:cs="Calibri"/>
                <w:color w:val="000000"/>
                <w:sz w:val="18"/>
                <w:szCs w:val="18"/>
                <w:highlight w:val="none"/>
                <w:lang w:val="en-US" w:eastAsia="zh-CN"/>
              </w:rPr>
              <w:t>分；</w:t>
            </w:r>
          </w:p>
          <w:p w14:paraId="4B8B901C">
            <w:pPr>
              <w:pStyle w:val="82"/>
              <w:ind w:left="0" w:leftChars="0" w:firstLine="0" w:firstLineChars="0"/>
              <w:rPr>
                <w:rFonts w:hint="eastAsia"/>
                <w:sz w:val="18"/>
                <w:szCs w:val="18"/>
                <w:lang w:val="en-US" w:eastAsia="zh-CN"/>
              </w:rPr>
            </w:pPr>
            <w:r>
              <w:rPr>
                <w:rFonts w:hint="eastAsia" w:ascii="宋体" w:hAnsi="宋体" w:eastAsia="宋体" w:cs="宋体"/>
                <w:b w:val="0"/>
                <w:bCs w:val="0"/>
                <w:strike w:val="0"/>
                <w:dstrike w:val="0"/>
                <w:color w:val="auto"/>
                <w:sz w:val="18"/>
                <w:szCs w:val="18"/>
                <w:highlight w:val="none"/>
                <w:lang w:val="en-US" w:eastAsia="zh-CN"/>
              </w:rPr>
              <w:t>④</w:t>
            </w:r>
            <w:r>
              <w:rPr>
                <w:rFonts w:hint="eastAsia" w:ascii="Calibri" w:hAnsi="Calibri" w:eastAsia="宋体" w:cs="Calibri"/>
                <w:color w:val="000000"/>
                <w:sz w:val="18"/>
                <w:szCs w:val="18"/>
                <w:highlight w:val="none"/>
                <w:lang w:val="en-US" w:eastAsia="zh-CN"/>
              </w:rPr>
              <w:t>应急预案条款内容具体措施</w:t>
            </w:r>
            <w:r>
              <w:rPr>
                <w:rFonts w:hint="eastAsia" w:cs="宋体"/>
                <w:color w:val="000000"/>
                <w:sz w:val="18"/>
                <w:szCs w:val="18"/>
                <w:highlight w:val="none"/>
                <w:lang w:val="en-US" w:eastAsia="zh-CN"/>
              </w:rPr>
              <w:t>有明显缺漏项</w:t>
            </w:r>
            <w:r>
              <w:rPr>
                <w:rFonts w:hint="eastAsia" w:cs="宋体"/>
                <w:color w:val="000000"/>
                <w:sz w:val="18"/>
                <w:szCs w:val="18"/>
                <w:highlight w:val="none"/>
              </w:rPr>
              <w:t>，</w:t>
            </w:r>
            <w:r>
              <w:rPr>
                <w:rFonts w:hint="eastAsia" w:cs="宋体"/>
                <w:color w:val="000000"/>
                <w:sz w:val="18"/>
                <w:szCs w:val="18"/>
                <w:highlight w:val="none"/>
                <w:lang w:val="en-US" w:eastAsia="zh-CN"/>
              </w:rPr>
              <w:t>或过于笼统</w:t>
            </w:r>
            <w:r>
              <w:rPr>
                <w:rFonts w:hint="eastAsia" w:cs="宋体"/>
                <w:color w:val="000000"/>
                <w:sz w:val="18"/>
                <w:szCs w:val="18"/>
                <w:highlight w:val="none"/>
                <w:lang w:eastAsia="zh-CN"/>
              </w:rPr>
              <w:t>但能</w:t>
            </w:r>
            <w:r>
              <w:rPr>
                <w:rFonts w:hint="eastAsia" w:cs="宋体"/>
                <w:color w:val="000000"/>
                <w:sz w:val="18"/>
                <w:szCs w:val="18"/>
                <w:highlight w:val="none"/>
              </w:rPr>
              <w:t>保证项目</w:t>
            </w:r>
            <w:r>
              <w:rPr>
                <w:rFonts w:hint="eastAsia" w:cs="宋体"/>
                <w:color w:val="000000"/>
                <w:sz w:val="18"/>
                <w:szCs w:val="18"/>
                <w:highlight w:val="none"/>
                <w:lang w:val="en-US" w:eastAsia="zh-CN"/>
              </w:rPr>
              <w:t>顺利实施</w:t>
            </w:r>
            <w:r>
              <w:rPr>
                <w:rFonts w:hint="eastAsia" w:cs="宋体"/>
                <w:color w:val="000000"/>
                <w:sz w:val="18"/>
                <w:szCs w:val="18"/>
                <w:highlight w:val="none"/>
              </w:rPr>
              <w:t>的得</w:t>
            </w:r>
            <w:r>
              <w:rPr>
                <w:rFonts w:hint="eastAsia" w:cs="宋体"/>
                <w:color w:val="000000"/>
                <w:sz w:val="18"/>
                <w:szCs w:val="18"/>
                <w:highlight w:val="none"/>
                <w:lang w:val="en-US" w:eastAsia="zh-CN"/>
              </w:rPr>
              <w:t>1</w:t>
            </w:r>
            <w:r>
              <w:rPr>
                <w:rFonts w:hint="eastAsia" w:cs="宋体"/>
                <w:color w:val="000000"/>
                <w:sz w:val="18"/>
                <w:szCs w:val="18"/>
                <w:highlight w:val="none"/>
              </w:rPr>
              <w:t>分</w:t>
            </w:r>
          </w:p>
          <w:p w14:paraId="705DC9D4">
            <w:pPr>
              <w:spacing w:line="320" w:lineRule="exact"/>
              <w:rPr>
                <w:rFonts w:hint="eastAsia" w:ascii="Calibri" w:hAnsi="Calibri" w:eastAsia="宋体" w:cs="Calibri"/>
                <w:color w:val="000000"/>
                <w:sz w:val="18"/>
                <w:szCs w:val="18"/>
                <w:highlight w:val="none"/>
              </w:rPr>
            </w:pPr>
            <w:r>
              <w:rPr>
                <w:rFonts w:hint="eastAsia" w:ascii="Calibri" w:hAnsi="Calibri" w:eastAsia="宋体" w:cs="Calibri"/>
                <w:color w:val="000000"/>
                <w:sz w:val="18"/>
                <w:szCs w:val="18"/>
                <w:highlight w:val="none"/>
                <w:lang w:val="en-US" w:eastAsia="zh-CN"/>
              </w:rPr>
              <w:t>未提供相关内容的不得分。</w:t>
            </w:r>
          </w:p>
        </w:tc>
      </w:tr>
      <w:tr w14:paraId="63FD47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3CB0DC19">
            <w:pPr>
              <w:widowControl/>
              <w:spacing w:line="340" w:lineRule="exact"/>
              <w:jc w:val="left"/>
              <w:rPr>
                <w:color w:val="000000"/>
                <w:szCs w:val="21"/>
                <w:highlight w:val="none"/>
              </w:rPr>
            </w:pPr>
          </w:p>
        </w:tc>
        <w:tc>
          <w:tcPr>
            <w:tcW w:w="539" w:type="pct"/>
            <w:noWrap w:val="0"/>
            <w:vAlign w:val="center"/>
          </w:tcPr>
          <w:p w14:paraId="7EAD6AD8">
            <w:pPr>
              <w:spacing w:line="320" w:lineRule="exact"/>
              <w:rPr>
                <w:rFonts w:hint="eastAsia" w:ascii="Calibri" w:hAnsi="Calibri" w:eastAsia="宋体" w:cs="Calibri"/>
                <w:color w:val="000000"/>
                <w:szCs w:val="21"/>
                <w:highlight w:val="none"/>
                <w:lang w:val="en-US" w:eastAsia="zh-CN"/>
              </w:rPr>
            </w:pPr>
            <w:r>
              <w:rPr>
                <w:rFonts w:hint="eastAsia"/>
                <w:color w:val="auto"/>
                <w:sz w:val="21"/>
                <w:szCs w:val="21"/>
                <w:highlight w:val="none"/>
                <w:lang w:val="en-US" w:eastAsia="zh-CN"/>
              </w:rPr>
              <w:t>竣工资料整理方案（4分）</w:t>
            </w:r>
          </w:p>
        </w:tc>
        <w:tc>
          <w:tcPr>
            <w:tcW w:w="4085" w:type="pct"/>
            <w:noWrap w:val="0"/>
            <w:vAlign w:val="center"/>
          </w:tcPr>
          <w:p w14:paraId="3D0E1A55">
            <w:pPr>
              <w:spacing w:line="320" w:lineRule="exact"/>
              <w:rPr>
                <w:rFonts w:hint="eastAsia" w:ascii="宋体" w:hAnsi="宋体" w:eastAsia="宋体"/>
                <w:color w:val="auto"/>
                <w:sz w:val="18"/>
                <w:szCs w:val="18"/>
                <w:highlight w:val="none"/>
                <w:lang w:eastAsia="zh-CN"/>
              </w:rPr>
            </w:pPr>
            <w:r>
              <w:rPr>
                <w:rFonts w:hint="eastAsia" w:ascii="宋体" w:hAnsi="宋体" w:cs="宋体"/>
                <w:color w:val="auto"/>
                <w:sz w:val="18"/>
                <w:szCs w:val="18"/>
                <w:highlight w:val="none"/>
              </w:rPr>
              <w:t>根据</w:t>
            </w:r>
            <w:r>
              <w:rPr>
                <w:rFonts w:hint="eastAsia" w:ascii="宋体" w:hAnsi="宋体"/>
                <w:color w:val="auto"/>
                <w:sz w:val="18"/>
                <w:szCs w:val="18"/>
                <w:highlight w:val="none"/>
              </w:rPr>
              <w:t>投标人针对本项目拟定的竣工资料整理方案</w:t>
            </w:r>
            <w:r>
              <w:rPr>
                <w:rFonts w:hint="eastAsia" w:ascii="宋体" w:hAnsi="宋体"/>
                <w:color w:val="auto"/>
                <w:sz w:val="18"/>
                <w:szCs w:val="18"/>
                <w:highlight w:val="none"/>
                <w:lang w:val="en-US" w:eastAsia="zh-CN"/>
              </w:rPr>
              <w:t>完善性、合理性等情况</w:t>
            </w:r>
            <w:r>
              <w:rPr>
                <w:rFonts w:hint="eastAsia" w:ascii="宋体" w:hAnsi="宋体" w:cs="仿宋"/>
                <w:color w:val="auto"/>
                <w:kern w:val="0"/>
                <w:sz w:val="18"/>
                <w:szCs w:val="18"/>
                <w:highlight w:val="none"/>
              </w:rPr>
              <w:t>，</w:t>
            </w:r>
            <w:r>
              <w:rPr>
                <w:rFonts w:hint="eastAsia" w:ascii="宋体" w:hAnsi="宋体"/>
                <w:color w:val="auto"/>
                <w:sz w:val="18"/>
                <w:szCs w:val="18"/>
                <w:highlight w:val="none"/>
              </w:rPr>
              <w:t>进行综合评议</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4分</w:t>
            </w:r>
            <w:r>
              <w:rPr>
                <w:rFonts w:hint="eastAsia" w:ascii="宋体" w:hAnsi="宋体"/>
                <w:color w:val="auto"/>
                <w:sz w:val="18"/>
                <w:szCs w:val="18"/>
                <w:highlight w:val="none"/>
                <w:lang w:eastAsia="zh-CN"/>
              </w:rPr>
              <w:t>）</w:t>
            </w:r>
          </w:p>
          <w:p w14:paraId="73A7CC5F">
            <w:pPr>
              <w:spacing w:line="32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①竣工资料整理方案详实、内容完整，便于留档和结算，可执行力度高，得4分；</w:t>
            </w:r>
          </w:p>
          <w:p w14:paraId="4919E579">
            <w:pPr>
              <w:spacing w:line="32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②竣工资料整理方案较详细、内容充分，能较好的完成留档和结算，可执行力度较高，得3分；</w:t>
            </w:r>
          </w:p>
          <w:p w14:paraId="2A8BCC87">
            <w:pPr>
              <w:spacing w:line="32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③竣工资料整理方案较详细、内容较多，在留档和结算过程中不会造成返工，可执行力较低，得2分；</w:t>
            </w:r>
          </w:p>
          <w:p w14:paraId="11598D23">
            <w:pPr>
              <w:spacing w:line="32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④竣工资料整理方案较简单、内容较少，会在留档和结算过程中造成返工，可执行力低，得1分；</w:t>
            </w:r>
          </w:p>
          <w:p w14:paraId="3A5D71F6">
            <w:pPr>
              <w:spacing w:line="320" w:lineRule="exact"/>
              <w:rPr>
                <w:rFonts w:hint="eastAsia" w:ascii="Calibri" w:hAnsi="Calibri" w:eastAsia="宋体" w:cs="Calibri"/>
                <w:color w:val="000000"/>
                <w:sz w:val="18"/>
                <w:szCs w:val="18"/>
                <w:highlight w:val="none"/>
                <w:lang w:val="en-US" w:eastAsia="zh-CN"/>
              </w:rPr>
            </w:pPr>
            <w:r>
              <w:rPr>
                <w:rFonts w:hint="eastAsia" w:ascii="宋体" w:hAnsi="宋体"/>
                <w:color w:val="auto"/>
                <w:sz w:val="18"/>
                <w:szCs w:val="18"/>
                <w:highlight w:val="none"/>
                <w:lang w:val="en-US" w:eastAsia="zh-CN"/>
              </w:rPr>
              <w:t>注：无相关内容的不得分。</w:t>
            </w:r>
          </w:p>
        </w:tc>
      </w:tr>
      <w:tr w14:paraId="1CA79D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5A2579B3">
            <w:pPr>
              <w:widowControl/>
              <w:spacing w:line="340" w:lineRule="exact"/>
              <w:jc w:val="left"/>
              <w:rPr>
                <w:color w:val="000000"/>
                <w:szCs w:val="21"/>
                <w:highlight w:val="none"/>
              </w:rPr>
            </w:pPr>
          </w:p>
        </w:tc>
        <w:tc>
          <w:tcPr>
            <w:tcW w:w="539" w:type="pct"/>
            <w:noWrap w:val="0"/>
            <w:vAlign w:val="center"/>
          </w:tcPr>
          <w:p w14:paraId="2493DD3C">
            <w:pPr>
              <w:spacing w:line="340" w:lineRule="exact"/>
              <w:jc w:val="center"/>
              <w:rPr>
                <w:rFonts w:hint="eastAsia"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重难点分析及解决方案（4分）</w:t>
            </w:r>
          </w:p>
        </w:tc>
        <w:tc>
          <w:tcPr>
            <w:tcW w:w="4085" w:type="pct"/>
            <w:noWrap w:val="0"/>
            <w:vAlign w:val="center"/>
          </w:tcPr>
          <w:p w14:paraId="4B9933C1">
            <w:pPr>
              <w:spacing w:line="320" w:lineRule="exact"/>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根据供应商提供的项目关键点、重难点分析及合理化建议进行综合评议</w:t>
            </w:r>
            <w:r>
              <w:rPr>
                <w:rFonts w:hint="eastAsia" w:cs="Times New Roman"/>
                <w:color w:val="auto"/>
                <w:sz w:val="18"/>
                <w:szCs w:val="18"/>
                <w:highlight w:val="none"/>
                <w:lang w:val="en-US" w:eastAsia="zh-CN"/>
              </w:rPr>
              <w:t>（4分）</w:t>
            </w:r>
          </w:p>
          <w:p w14:paraId="5816B28B">
            <w:pPr>
              <w:spacing w:line="320" w:lineRule="exact"/>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①项目关键点、重难点分析到位，针对性强，具有可行的解决方案的，得</w:t>
            </w:r>
            <w:r>
              <w:rPr>
                <w:rFonts w:hint="eastAsia" w:cs="Times New Roman"/>
                <w:color w:val="auto"/>
                <w:sz w:val="18"/>
                <w:szCs w:val="18"/>
                <w:highlight w:val="none"/>
                <w:lang w:val="en-US" w:eastAsia="zh-CN"/>
              </w:rPr>
              <w:t>4</w:t>
            </w:r>
            <w:r>
              <w:rPr>
                <w:rFonts w:hint="eastAsia" w:ascii="Times New Roman" w:hAnsi="Times New Roman" w:eastAsia="宋体" w:cs="Times New Roman"/>
                <w:color w:val="auto"/>
                <w:sz w:val="18"/>
                <w:szCs w:val="18"/>
                <w:highlight w:val="none"/>
                <w:lang w:val="en-US" w:eastAsia="zh-CN"/>
              </w:rPr>
              <w:t>分；</w:t>
            </w:r>
          </w:p>
          <w:p w14:paraId="275D2F34">
            <w:pPr>
              <w:spacing w:line="320" w:lineRule="exact"/>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②项目关键点、重难点分析及针对性较好，有效可行的解决方案的，得</w:t>
            </w:r>
            <w:r>
              <w:rPr>
                <w:rFonts w:hint="eastAsia" w:cs="Times New Roman"/>
                <w:color w:val="auto"/>
                <w:sz w:val="18"/>
                <w:szCs w:val="18"/>
                <w:highlight w:val="none"/>
                <w:lang w:val="en-US" w:eastAsia="zh-CN"/>
              </w:rPr>
              <w:t>3</w:t>
            </w:r>
            <w:r>
              <w:rPr>
                <w:rFonts w:hint="eastAsia" w:ascii="Times New Roman" w:hAnsi="Times New Roman" w:eastAsia="宋体" w:cs="Times New Roman"/>
                <w:color w:val="auto"/>
                <w:sz w:val="18"/>
                <w:szCs w:val="18"/>
                <w:highlight w:val="none"/>
                <w:lang w:val="en-US" w:eastAsia="zh-CN"/>
              </w:rPr>
              <w:t>分；</w:t>
            </w:r>
          </w:p>
          <w:p w14:paraId="16953914">
            <w:pPr>
              <w:spacing w:line="320" w:lineRule="exact"/>
              <w:rPr>
                <w:rFonts w:hint="eastAsia" w:ascii="Times New Roman" w:hAnsi="Times New Roman" w:eastAsia="宋体" w:cs="Times New Roman"/>
                <w:color w:val="auto"/>
                <w:sz w:val="18"/>
                <w:szCs w:val="18"/>
                <w:highlight w:val="none"/>
                <w:lang w:val="en-US" w:eastAsia="zh-CN"/>
              </w:rPr>
            </w:pPr>
            <w:r>
              <w:rPr>
                <w:rFonts w:hint="eastAsia" w:ascii="宋体" w:hAnsi="宋体" w:eastAsia="宋体" w:cs="宋体"/>
                <w:b w:val="0"/>
                <w:bCs w:val="0"/>
                <w:strike w:val="0"/>
                <w:dstrike w:val="0"/>
                <w:color w:val="auto"/>
                <w:sz w:val="18"/>
                <w:szCs w:val="18"/>
                <w:highlight w:val="none"/>
                <w:lang w:val="en-US" w:eastAsia="zh-CN"/>
              </w:rPr>
              <w:t>③</w:t>
            </w:r>
            <w:r>
              <w:rPr>
                <w:rFonts w:hint="eastAsia" w:ascii="Times New Roman" w:hAnsi="Times New Roman" w:eastAsia="宋体" w:cs="Times New Roman"/>
                <w:color w:val="auto"/>
                <w:sz w:val="18"/>
                <w:szCs w:val="18"/>
                <w:highlight w:val="none"/>
                <w:lang w:val="en-US" w:eastAsia="zh-CN"/>
              </w:rPr>
              <w:t>项目关键点、重难点分析普通，针对性一般，有效可行的解决方案，得</w:t>
            </w:r>
            <w:r>
              <w:rPr>
                <w:rFonts w:hint="eastAsia" w:cs="Times New Roman"/>
                <w:color w:val="auto"/>
                <w:sz w:val="18"/>
                <w:szCs w:val="18"/>
                <w:highlight w:val="none"/>
                <w:lang w:val="en-US" w:eastAsia="zh-CN"/>
              </w:rPr>
              <w:t>2</w:t>
            </w:r>
            <w:r>
              <w:rPr>
                <w:rFonts w:hint="eastAsia" w:ascii="Times New Roman" w:hAnsi="Times New Roman" w:eastAsia="宋体" w:cs="Times New Roman"/>
                <w:color w:val="auto"/>
                <w:sz w:val="18"/>
                <w:szCs w:val="18"/>
                <w:highlight w:val="none"/>
                <w:lang w:val="en-US" w:eastAsia="zh-CN"/>
              </w:rPr>
              <w:t>分；</w:t>
            </w:r>
          </w:p>
          <w:p w14:paraId="1AAE0DAA">
            <w:pPr>
              <w:pStyle w:val="82"/>
              <w:ind w:left="0" w:leftChars="0" w:firstLine="0" w:firstLineChars="0"/>
              <w:rPr>
                <w:rFonts w:hint="eastAsia" w:ascii="Times New Roman" w:hAnsi="Times New Roman" w:eastAsia="宋体" w:cs="Times New Roman"/>
                <w:color w:val="auto"/>
                <w:sz w:val="18"/>
                <w:szCs w:val="18"/>
                <w:highlight w:val="none"/>
                <w:lang w:val="en-US" w:eastAsia="zh-CN"/>
              </w:rPr>
            </w:pPr>
            <w:r>
              <w:rPr>
                <w:rFonts w:hint="eastAsia" w:ascii="宋体" w:hAnsi="宋体"/>
                <w:color w:val="auto"/>
                <w:sz w:val="18"/>
                <w:szCs w:val="18"/>
                <w:highlight w:val="none"/>
                <w:lang w:val="en-US" w:eastAsia="zh-CN"/>
              </w:rPr>
              <w:t>④</w:t>
            </w:r>
            <w:r>
              <w:rPr>
                <w:rFonts w:hint="eastAsia" w:ascii="Times New Roman" w:hAnsi="Times New Roman" w:eastAsia="宋体" w:cs="Times New Roman"/>
                <w:color w:val="auto"/>
                <w:sz w:val="18"/>
                <w:szCs w:val="18"/>
                <w:highlight w:val="none"/>
                <w:lang w:val="en-US" w:eastAsia="zh-CN"/>
              </w:rPr>
              <w:t>项目关键点、重难点分析及针对性</w:t>
            </w:r>
            <w:r>
              <w:rPr>
                <w:rFonts w:hint="eastAsia" w:cs="宋体"/>
                <w:color w:val="000000"/>
                <w:sz w:val="18"/>
                <w:szCs w:val="18"/>
                <w:highlight w:val="none"/>
                <w:lang w:val="en-US" w:eastAsia="zh-CN"/>
              </w:rPr>
              <w:t>过于笼统，</w:t>
            </w:r>
            <w:r>
              <w:rPr>
                <w:rFonts w:hint="eastAsia" w:ascii="Times New Roman" w:hAnsi="Times New Roman" w:eastAsia="宋体" w:cs="Times New Roman"/>
                <w:color w:val="auto"/>
                <w:sz w:val="18"/>
                <w:szCs w:val="18"/>
                <w:highlight w:val="none"/>
                <w:lang w:val="en-US" w:eastAsia="zh-CN"/>
              </w:rPr>
              <w:t>解决方案</w:t>
            </w:r>
            <w:r>
              <w:rPr>
                <w:rFonts w:hint="eastAsia" w:cs="宋体"/>
                <w:color w:val="000000"/>
                <w:sz w:val="18"/>
                <w:szCs w:val="18"/>
                <w:highlight w:val="none"/>
              </w:rPr>
              <w:t>内容有欠缺</w:t>
            </w:r>
            <w:r>
              <w:rPr>
                <w:rFonts w:hint="eastAsia" w:cs="宋体"/>
                <w:color w:val="000000"/>
                <w:sz w:val="18"/>
                <w:szCs w:val="18"/>
                <w:highlight w:val="none"/>
                <w:lang w:eastAsia="zh-CN"/>
              </w:rPr>
              <w:t>的，</w:t>
            </w:r>
            <w:r>
              <w:rPr>
                <w:rFonts w:hint="eastAsia" w:cs="宋体"/>
                <w:color w:val="000000"/>
                <w:sz w:val="18"/>
                <w:szCs w:val="18"/>
                <w:highlight w:val="none"/>
              </w:rPr>
              <w:t>得</w:t>
            </w:r>
            <w:r>
              <w:rPr>
                <w:rFonts w:hint="eastAsia" w:cs="宋体"/>
                <w:color w:val="000000"/>
                <w:sz w:val="18"/>
                <w:szCs w:val="18"/>
                <w:highlight w:val="none"/>
                <w:lang w:val="en-US" w:eastAsia="zh-CN"/>
              </w:rPr>
              <w:t>1</w:t>
            </w:r>
            <w:r>
              <w:rPr>
                <w:rFonts w:hint="eastAsia" w:cs="宋体"/>
                <w:color w:val="000000"/>
                <w:sz w:val="18"/>
                <w:szCs w:val="18"/>
                <w:highlight w:val="none"/>
              </w:rPr>
              <w:t>分</w:t>
            </w:r>
          </w:p>
          <w:p w14:paraId="3BFCBD73">
            <w:pPr>
              <w:spacing w:line="320" w:lineRule="exact"/>
              <w:rPr>
                <w:rFonts w:hint="eastAsia" w:ascii="宋体" w:hAnsi="宋体"/>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注：无相关内容的不得分。</w:t>
            </w:r>
          </w:p>
        </w:tc>
      </w:tr>
      <w:tr w14:paraId="4B2EF3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374" w:type="pct"/>
            <w:noWrap w:val="0"/>
            <w:vAlign w:val="center"/>
          </w:tcPr>
          <w:p w14:paraId="01EAA726">
            <w:pPr>
              <w:widowControl/>
              <w:spacing w:line="340" w:lineRule="exact"/>
              <w:jc w:val="left"/>
              <w:rPr>
                <w:color w:val="000000"/>
                <w:szCs w:val="21"/>
                <w:highlight w:val="none"/>
              </w:rPr>
            </w:pPr>
          </w:p>
        </w:tc>
        <w:tc>
          <w:tcPr>
            <w:tcW w:w="539" w:type="pct"/>
            <w:noWrap w:val="0"/>
            <w:vAlign w:val="center"/>
          </w:tcPr>
          <w:p w14:paraId="0BDC110F">
            <w:pPr>
              <w:spacing w:line="340" w:lineRule="exact"/>
              <w:jc w:val="center"/>
              <w:rPr>
                <w:rFonts w:hint="eastAsia" w:ascii="Times New Roman" w:hAnsi="Times New Roman" w:eastAsia="宋体" w:cs="Times New Roman"/>
                <w:color w:val="FF0000"/>
                <w:szCs w:val="21"/>
                <w:highlight w:val="none"/>
                <w:lang w:eastAsia="zh-CN"/>
              </w:rPr>
            </w:pPr>
            <w:r>
              <w:rPr>
                <w:rFonts w:hint="eastAsia" w:ascii="宋体" w:hAnsi="宋体" w:eastAsia="宋体" w:cs="宋体"/>
                <w:szCs w:val="21"/>
              </w:rPr>
              <w:t>合理化建议（</w:t>
            </w:r>
            <w:r>
              <w:rPr>
                <w:rFonts w:hint="eastAsia" w:ascii="宋体" w:hAnsi="宋体" w:cs="宋体"/>
                <w:szCs w:val="21"/>
                <w:lang w:val="en-US" w:eastAsia="zh-CN"/>
              </w:rPr>
              <w:t>2</w:t>
            </w:r>
            <w:r>
              <w:rPr>
                <w:rFonts w:hint="eastAsia" w:ascii="宋体" w:hAnsi="宋体" w:eastAsia="宋体" w:cs="宋体"/>
                <w:szCs w:val="21"/>
              </w:rPr>
              <w:t>分）</w:t>
            </w:r>
          </w:p>
        </w:tc>
        <w:tc>
          <w:tcPr>
            <w:tcW w:w="4085" w:type="pct"/>
            <w:noWrap w:val="0"/>
            <w:vAlign w:val="center"/>
          </w:tcPr>
          <w:p w14:paraId="1B5BDE11">
            <w:pPr>
              <w:spacing w:line="32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根据供应商提出的针对本项目的合理化建议与承诺进行评议（</w:t>
            </w: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分）</w:t>
            </w:r>
          </w:p>
          <w:p w14:paraId="7642F3BF">
            <w:pPr>
              <w:spacing w:line="320" w:lineRule="exact"/>
              <w:rPr>
                <w:rFonts w:hint="eastAsia" w:ascii="宋体" w:hAnsi="宋体" w:cs="宋体"/>
                <w:color w:val="auto"/>
                <w:sz w:val="18"/>
                <w:szCs w:val="18"/>
                <w:highlight w:val="none"/>
              </w:rPr>
            </w:pPr>
            <w:r>
              <w:rPr>
                <w:rFonts w:hint="eastAsia" w:ascii="宋体" w:hAnsi="宋体" w:eastAsia="宋体" w:cs="宋体"/>
                <w:color w:val="auto"/>
                <w:sz w:val="18"/>
                <w:szCs w:val="18"/>
                <w:highlight w:val="none"/>
              </w:rPr>
              <w:t>提出的建议与承诺具有实际意义并得到采纳，每项得</w:t>
            </w:r>
            <w:r>
              <w:rPr>
                <w:rFonts w:hint="eastAsia" w:ascii="宋体" w:hAnsi="宋体" w:cs="宋体"/>
                <w:color w:val="auto"/>
                <w:sz w:val="18"/>
                <w:szCs w:val="18"/>
                <w:highlight w:val="none"/>
                <w:lang w:val="en-US" w:eastAsia="zh-CN"/>
              </w:rPr>
              <w:t>0.5</w:t>
            </w:r>
            <w:r>
              <w:rPr>
                <w:rFonts w:hint="eastAsia" w:ascii="宋体" w:hAnsi="宋体" w:eastAsia="宋体" w:cs="宋体"/>
                <w:color w:val="auto"/>
                <w:sz w:val="18"/>
                <w:szCs w:val="18"/>
                <w:highlight w:val="none"/>
              </w:rPr>
              <w:t>分，最高得</w:t>
            </w: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分。与本项目履约无关的建议与承诺不予认可。</w:t>
            </w:r>
          </w:p>
        </w:tc>
      </w:tr>
      <w:tr w14:paraId="0457FC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noWrap w:val="0"/>
            <w:vAlign w:val="center"/>
          </w:tcPr>
          <w:p w14:paraId="73D3C0A5">
            <w:pPr>
              <w:widowControl/>
              <w:spacing w:line="340" w:lineRule="exact"/>
              <w:jc w:val="left"/>
              <w:rPr>
                <w:color w:val="000000"/>
                <w:szCs w:val="21"/>
                <w:highlight w:val="none"/>
              </w:rPr>
            </w:pPr>
          </w:p>
        </w:tc>
        <w:tc>
          <w:tcPr>
            <w:tcW w:w="539" w:type="pct"/>
            <w:noWrap w:val="0"/>
            <w:vAlign w:val="center"/>
          </w:tcPr>
          <w:p w14:paraId="050B380A">
            <w:pPr>
              <w:spacing w:line="340" w:lineRule="exact"/>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业绩</w:t>
            </w:r>
          </w:p>
          <w:p w14:paraId="15C75033">
            <w:pPr>
              <w:spacing w:line="340" w:lineRule="exact"/>
              <w:jc w:val="center"/>
              <w:rPr>
                <w:rFonts w:hint="eastAsia" w:ascii="Times New Roman" w:hAnsi="Times New Roman" w:eastAsia="宋体" w:cs="Times New Roman"/>
                <w:color w:val="FF0000"/>
                <w:szCs w:val="21"/>
                <w:highlight w:val="none"/>
                <w:lang w:val="en-US" w:eastAsia="zh-CN"/>
              </w:rPr>
            </w:pPr>
            <w:r>
              <w:rPr>
                <w:rFonts w:hint="eastAsia" w:ascii="Times New Roman" w:hAnsi="Times New Roman" w:eastAsia="宋体" w:cs="Times New Roman"/>
                <w:color w:val="auto"/>
                <w:szCs w:val="21"/>
                <w:highlight w:val="none"/>
                <w:lang w:eastAsia="zh-CN"/>
              </w:rPr>
              <w:t>（</w:t>
            </w:r>
            <w:r>
              <w:rPr>
                <w:rFonts w:hint="eastAsia" w:cs="Times New Roman"/>
                <w:color w:val="auto"/>
                <w:szCs w:val="21"/>
                <w:highlight w:val="none"/>
                <w:lang w:val="en-US" w:eastAsia="zh-CN"/>
              </w:rPr>
              <w:t>1.5</w:t>
            </w:r>
            <w:r>
              <w:rPr>
                <w:rFonts w:hint="eastAsia" w:ascii="Times New Roman" w:hAnsi="Times New Roman" w:eastAsia="宋体" w:cs="Times New Roman"/>
                <w:color w:val="auto"/>
                <w:szCs w:val="21"/>
                <w:highlight w:val="none"/>
                <w:lang w:val="en-US" w:eastAsia="zh-CN"/>
              </w:rPr>
              <w:t>分</w:t>
            </w:r>
            <w:r>
              <w:rPr>
                <w:rFonts w:hint="eastAsia" w:ascii="Times New Roman" w:hAnsi="Times New Roman" w:eastAsia="宋体" w:cs="Times New Roman"/>
                <w:color w:val="auto"/>
                <w:szCs w:val="21"/>
                <w:highlight w:val="none"/>
                <w:lang w:eastAsia="zh-CN"/>
              </w:rPr>
              <w:t>）</w:t>
            </w:r>
          </w:p>
        </w:tc>
        <w:tc>
          <w:tcPr>
            <w:tcW w:w="4085" w:type="pct"/>
            <w:noWrap w:val="0"/>
            <w:vAlign w:val="center"/>
          </w:tcPr>
          <w:p w14:paraId="17D48FBC">
            <w:pPr>
              <w:spacing w:line="320" w:lineRule="exact"/>
              <w:rPr>
                <w:rFonts w:hint="eastAsia" w:ascii="Times New Roman" w:hAnsi="Times New Roman" w:eastAsia="宋体" w:cs="Times New Roman"/>
                <w:color w:val="auto"/>
                <w:sz w:val="18"/>
                <w:szCs w:val="18"/>
                <w:highlight w:val="none"/>
                <w:lang w:val="en-US" w:eastAsia="zh-CN"/>
              </w:rPr>
            </w:pPr>
            <w:r>
              <w:rPr>
                <w:rFonts w:hint="eastAsia" w:ascii="宋体" w:hAnsi="宋体" w:cs="宋体"/>
                <w:color w:val="auto"/>
                <w:sz w:val="18"/>
                <w:szCs w:val="18"/>
                <w:highlight w:val="none"/>
              </w:rPr>
              <w:t>自202</w:t>
            </w:r>
            <w:r>
              <w:rPr>
                <w:rFonts w:hint="eastAsia" w:ascii="宋体" w:hAnsi="宋体" w:cs="宋体"/>
                <w:color w:val="auto"/>
                <w:sz w:val="18"/>
                <w:szCs w:val="18"/>
                <w:highlight w:val="none"/>
                <w:lang w:val="en-US" w:eastAsia="zh-CN"/>
              </w:rPr>
              <w:t>1</w:t>
            </w:r>
            <w:r>
              <w:rPr>
                <w:rFonts w:hint="eastAsia" w:ascii="宋体" w:hAnsi="宋体" w:cs="宋体"/>
                <w:color w:val="auto"/>
                <w:sz w:val="18"/>
                <w:szCs w:val="18"/>
                <w:highlight w:val="none"/>
              </w:rPr>
              <w:t>年1月1日以来</w:t>
            </w:r>
            <w:r>
              <w:rPr>
                <w:rFonts w:hint="eastAsia" w:ascii="宋体" w:hAnsi="宋体" w:cs="宋体"/>
                <w:color w:val="auto"/>
                <w:sz w:val="18"/>
                <w:szCs w:val="18"/>
                <w:highlight w:val="none"/>
                <w:lang w:eastAsia="zh-CN"/>
              </w:rPr>
              <w:t>（以合同签订时间为准）</w:t>
            </w:r>
            <w:r>
              <w:rPr>
                <w:rFonts w:hint="eastAsia" w:ascii="宋体" w:hAnsi="宋体" w:cs="宋体"/>
                <w:color w:val="auto"/>
                <w:sz w:val="18"/>
                <w:szCs w:val="18"/>
                <w:highlight w:val="none"/>
              </w:rPr>
              <w:t>供应商承接过类似项目的</w:t>
            </w:r>
            <w:r>
              <w:rPr>
                <w:rFonts w:hint="eastAsia" w:ascii="宋体" w:hAnsi="宋体" w:cs="宋体"/>
                <w:color w:val="auto"/>
                <w:sz w:val="18"/>
                <w:szCs w:val="18"/>
                <w:highlight w:val="none"/>
                <w:lang w:val="en-US" w:eastAsia="zh-CN"/>
              </w:rPr>
              <w:t>每提供一个</w:t>
            </w:r>
            <w:r>
              <w:rPr>
                <w:rFonts w:hint="eastAsia" w:ascii="宋体" w:hAnsi="宋体" w:cs="宋体"/>
                <w:color w:val="auto"/>
                <w:sz w:val="18"/>
                <w:szCs w:val="18"/>
                <w:highlight w:val="none"/>
                <w:lang w:eastAsia="zh-CN"/>
              </w:rPr>
              <w:t>得</w:t>
            </w:r>
            <w:r>
              <w:rPr>
                <w:rFonts w:hint="eastAsia" w:ascii="宋体" w:hAnsi="宋体" w:cs="宋体"/>
                <w:color w:val="auto"/>
                <w:sz w:val="18"/>
                <w:szCs w:val="18"/>
                <w:highlight w:val="none"/>
                <w:lang w:val="en-US" w:eastAsia="zh-CN"/>
              </w:rPr>
              <w:t>0.5</w:t>
            </w:r>
            <w:r>
              <w:rPr>
                <w:rFonts w:hint="eastAsia" w:ascii="宋体" w:hAnsi="宋体" w:cs="宋体"/>
                <w:color w:val="auto"/>
                <w:sz w:val="18"/>
                <w:szCs w:val="18"/>
                <w:highlight w:val="none"/>
              </w:rPr>
              <w:t>分</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最高1.5分</w:t>
            </w:r>
            <w:r>
              <w:rPr>
                <w:rFonts w:hint="eastAsia" w:ascii="宋体" w:hAnsi="宋体" w:cs="宋体"/>
                <w:color w:val="auto"/>
                <w:sz w:val="18"/>
                <w:szCs w:val="18"/>
                <w:highlight w:val="none"/>
              </w:rPr>
              <w:t>。有效业绩证明材料：磋商响应文件中提供中标通知书（如有，法定招标时需提供）</w:t>
            </w:r>
            <w:r>
              <w:rPr>
                <w:rFonts w:hint="eastAsia" w:ascii="宋体" w:hAnsi="宋体" w:cs="宋体"/>
                <w:color w:val="auto"/>
                <w:sz w:val="18"/>
                <w:szCs w:val="18"/>
                <w:highlight w:val="none"/>
                <w:lang w:val="en-US" w:eastAsia="zh-CN"/>
              </w:rPr>
              <w:t>以及</w:t>
            </w:r>
            <w:r>
              <w:rPr>
                <w:rFonts w:hint="eastAsia" w:ascii="宋体" w:hAnsi="宋体" w:cs="宋体"/>
                <w:color w:val="auto"/>
                <w:sz w:val="18"/>
                <w:szCs w:val="18"/>
                <w:highlight w:val="none"/>
              </w:rPr>
              <w:t>合同关键页、竣工验收报告复印件并加盖供应商公章，缺一不得分。</w:t>
            </w:r>
          </w:p>
        </w:tc>
      </w:tr>
      <w:tr w14:paraId="6D20A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74" w:type="pct"/>
            <w:noWrap w:val="0"/>
            <w:vAlign w:val="center"/>
          </w:tcPr>
          <w:p w14:paraId="2D71344A">
            <w:pPr>
              <w:widowControl/>
              <w:spacing w:line="340" w:lineRule="exact"/>
              <w:jc w:val="left"/>
              <w:rPr>
                <w:color w:val="000000"/>
                <w:szCs w:val="21"/>
                <w:highlight w:val="none"/>
              </w:rPr>
            </w:pPr>
          </w:p>
        </w:tc>
        <w:tc>
          <w:tcPr>
            <w:tcW w:w="539" w:type="pct"/>
            <w:noWrap w:val="0"/>
            <w:vAlign w:val="center"/>
          </w:tcPr>
          <w:p w14:paraId="27E6827E">
            <w:pPr>
              <w:spacing w:line="320" w:lineRule="exact"/>
              <w:rPr>
                <w:rFonts w:hint="eastAsia" w:ascii="宋体" w:hAnsi="宋体" w:eastAsia="宋体" w:cs="宋体"/>
                <w:color w:val="auto"/>
                <w:sz w:val="18"/>
                <w:szCs w:val="18"/>
                <w:highlight w:val="none"/>
                <w:lang w:eastAsia="zh-CN"/>
              </w:rPr>
            </w:pPr>
            <w:r>
              <w:rPr>
                <w:rFonts w:hint="eastAsia" w:ascii="Times New Roman" w:hAnsi="Times New Roman" w:eastAsia="宋体" w:cs="Times New Roman"/>
                <w:color w:val="auto"/>
                <w:szCs w:val="21"/>
                <w:highlight w:val="none"/>
              </w:rPr>
              <w:t>政策性加分</w:t>
            </w:r>
            <w:r>
              <w:rPr>
                <w:rFonts w:hint="eastAsia" w:cs="Times New Roman"/>
                <w:color w:val="auto"/>
                <w:szCs w:val="21"/>
                <w:highlight w:val="none"/>
                <w:lang w:eastAsia="zh-CN"/>
              </w:rPr>
              <w:t>（</w:t>
            </w:r>
            <w:r>
              <w:rPr>
                <w:rFonts w:hint="eastAsia" w:cs="Times New Roman"/>
                <w:color w:val="auto"/>
                <w:szCs w:val="21"/>
                <w:highlight w:val="none"/>
                <w:lang w:val="en-US" w:eastAsia="zh-CN"/>
              </w:rPr>
              <w:t>1.5分</w:t>
            </w:r>
            <w:r>
              <w:rPr>
                <w:rFonts w:hint="eastAsia" w:cs="Times New Roman"/>
                <w:color w:val="auto"/>
                <w:szCs w:val="21"/>
                <w:highlight w:val="none"/>
                <w:lang w:eastAsia="zh-CN"/>
              </w:rPr>
              <w:t>）</w:t>
            </w:r>
          </w:p>
        </w:tc>
        <w:tc>
          <w:tcPr>
            <w:tcW w:w="4085" w:type="pct"/>
            <w:noWrap w:val="0"/>
            <w:vAlign w:val="center"/>
          </w:tcPr>
          <w:p w14:paraId="67963DEF">
            <w:pPr>
              <w:spacing w:line="32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供应商是国家认定的少数民族地区企业的加</w:t>
            </w:r>
            <w:r>
              <w:rPr>
                <w:rFonts w:hint="eastAsia" w:ascii="宋体" w:hAnsi="宋体" w:cs="宋体"/>
                <w:color w:val="auto"/>
                <w:sz w:val="18"/>
                <w:szCs w:val="18"/>
                <w:highlight w:val="none"/>
                <w:lang w:val="en-US" w:eastAsia="zh-CN"/>
              </w:rPr>
              <w:t>1.5</w:t>
            </w:r>
            <w:r>
              <w:rPr>
                <w:rFonts w:hint="eastAsia" w:ascii="宋体" w:hAnsi="宋体" w:eastAsia="宋体" w:cs="宋体"/>
                <w:color w:val="auto"/>
                <w:sz w:val="18"/>
                <w:szCs w:val="18"/>
                <w:highlight w:val="none"/>
              </w:rPr>
              <w:t>分。提供证明文件复印件并加盖公章。</w:t>
            </w:r>
          </w:p>
        </w:tc>
      </w:tr>
      <w:tr w14:paraId="101A4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noWrap w:val="0"/>
            <w:vAlign w:val="center"/>
          </w:tcPr>
          <w:p w14:paraId="2FB3D115">
            <w:pPr>
              <w:widowControl/>
              <w:spacing w:line="340" w:lineRule="exact"/>
              <w:jc w:val="left"/>
              <w:rPr>
                <w:color w:val="000000"/>
                <w:szCs w:val="21"/>
                <w:highlight w:val="none"/>
              </w:rPr>
            </w:pPr>
            <w:r>
              <w:rPr>
                <w:color w:val="000000"/>
                <w:szCs w:val="21"/>
                <w:highlight w:val="none"/>
              </w:rPr>
              <w:t>价格</w:t>
            </w:r>
            <w:r>
              <w:rPr>
                <w:rFonts w:hint="eastAsia"/>
                <w:color w:val="000000"/>
                <w:szCs w:val="21"/>
                <w:highlight w:val="none"/>
              </w:rPr>
              <w:t>部分</w:t>
            </w:r>
            <w:r>
              <w:rPr>
                <w:rFonts w:hint="eastAsia"/>
                <w:color w:val="000000"/>
                <w:szCs w:val="21"/>
                <w:highlight w:val="none"/>
                <w:lang w:val="en-US" w:eastAsia="zh-CN"/>
              </w:rPr>
              <w:t>30</w:t>
            </w:r>
            <w:r>
              <w:rPr>
                <w:color w:val="000000"/>
                <w:szCs w:val="21"/>
                <w:highlight w:val="none"/>
              </w:rPr>
              <w:t>分</w:t>
            </w:r>
          </w:p>
        </w:tc>
        <w:tc>
          <w:tcPr>
            <w:tcW w:w="539" w:type="pct"/>
            <w:noWrap w:val="0"/>
            <w:vAlign w:val="center"/>
          </w:tcPr>
          <w:p w14:paraId="46A679AB">
            <w:pPr>
              <w:spacing w:line="340" w:lineRule="exact"/>
              <w:jc w:val="center"/>
              <w:rPr>
                <w:color w:val="000000"/>
                <w:szCs w:val="21"/>
                <w:highlight w:val="none"/>
              </w:rPr>
            </w:pPr>
            <w:r>
              <w:rPr>
                <w:color w:val="000000"/>
                <w:szCs w:val="21"/>
                <w:highlight w:val="none"/>
              </w:rPr>
              <w:t>投标报价（</w:t>
            </w:r>
            <w:r>
              <w:rPr>
                <w:rFonts w:hint="eastAsia"/>
                <w:color w:val="000000"/>
                <w:szCs w:val="21"/>
                <w:highlight w:val="none"/>
                <w:lang w:val="en-US" w:eastAsia="zh-CN"/>
              </w:rPr>
              <w:t>30</w:t>
            </w:r>
            <w:r>
              <w:rPr>
                <w:color w:val="000000"/>
                <w:szCs w:val="21"/>
                <w:highlight w:val="none"/>
              </w:rPr>
              <w:t>分）</w:t>
            </w:r>
          </w:p>
        </w:tc>
        <w:tc>
          <w:tcPr>
            <w:tcW w:w="4085" w:type="pct"/>
            <w:noWrap w:val="0"/>
            <w:vAlign w:val="center"/>
          </w:tcPr>
          <w:p w14:paraId="7F0C53D9">
            <w:pPr>
              <w:spacing w:line="300" w:lineRule="exact"/>
              <w:rPr>
                <w:rFonts w:hint="eastAsia" w:ascii="Calibri" w:hAnsi="Calibri" w:cs="Calibri"/>
                <w:color w:val="000000"/>
                <w:sz w:val="18"/>
                <w:szCs w:val="18"/>
                <w:highlight w:val="none"/>
              </w:rPr>
            </w:pPr>
            <w:r>
              <w:rPr>
                <w:rFonts w:ascii="Calibri" w:hAnsi="Calibri" w:cs="Calibri"/>
                <w:color w:val="000000"/>
                <w:sz w:val="18"/>
                <w:szCs w:val="18"/>
                <w:highlight w:val="none"/>
              </w:rPr>
              <w:t>满足</w:t>
            </w:r>
            <w:r>
              <w:rPr>
                <w:rFonts w:hint="eastAsia" w:ascii="Calibri" w:hAnsi="Calibri" w:cs="Calibri"/>
                <w:color w:val="000000"/>
                <w:sz w:val="18"/>
                <w:szCs w:val="18"/>
                <w:highlight w:val="none"/>
              </w:rPr>
              <w:t>采购文件</w:t>
            </w:r>
            <w:r>
              <w:rPr>
                <w:rFonts w:ascii="Calibri" w:hAnsi="Calibri" w:cs="Calibri"/>
                <w:color w:val="000000"/>
                <w:sz w:val="18"/>
                <w:szCs w:val="18"/>
                <w:highlight w:val="none"/>
              </w:rPr>
              <w:t>要求且最低的参与评审价格为评标基准价，其价格分为满分</w:t>
            </w:r>
            <w:r>
              <w:rPr>
                <w:rFonts w:hint="eastAsia" w:ascii="Calibri" w:hAnsi="Calibri" w:cs="Calibri"/>
                <w:color w:val="000000"/>
                <w:sz w:val="18"/>
                <w:szCs w:val="18"/>
                <w:highlight w:val="none"/>
                <w:lang w:val="en-US" w:eastAsia="zh-CN"/>
              </w:rPr>
              <w:t>30</w:t>
            </w:r>
            <w:r>
              <w:rPr>
                <w:rFonts w:ascii="Calibri" w:hAnsi="Calibri" w:cs="Calibri"/>
                <w:color w:val="000000"/>
                <w:sz w:val="18"/>
                <w:szCs w:val="18"/>
                <w:highlight w:val="none"/>
              </w:rPr>
              <w:t>分</w:t>
            </w:r>
            <w:r>
              <w:rPr>
                <w:rFonts w:hint="eastAsia" w:ascii="Calibri" w:hAnsi="Calibri" w:cs="Calibri"/>
                <w:color w:val="000000"/>
                <w:sz w:val="18"/>
                <w:szCs w:val="18"/>
                <w:highlight w:val="none"/>
              </w:rPr>
              <w:t>。</w:t>
            </w:r>
          </w:p>
          <w:p w14:paraId="6D28FB7C">
            <w:pPr>
              <w:spacing w:line="300" w:lineRule="exact"/>
              <w:rPr>
                <w:rFonts w:ascii="Calibri" w:hAnsi="Calibri" w:cs="Calibri"/>
                <w:color w:val="000000"/>
                <w:sz w:val="18"/>
                <w:szCs w:val="18"/>
                <w:highlight w:val="none"/>
              </w:rPr>
            </w:pPr>
            <w:r>
              <w:rPr>
                <w:rFonts w:ascii="Calibri" w:hAnsi="Calibri" w:cs="Calibri"/>
                <w:color w:val="000000"/>
                <w:sz w:val="18"/>
                <w:szCs w:val="18"/>
                <w:highlight w:val="none"/>
              </w:rPr>
              <w:t>其余供应商的价格分以下列公式计算：</w:t>
            </w:r>
          </w:p>
          <w:p w14:paraId="77FBA36D">
            <w:pPr>
              <w:spacing w:line="300" w:lineRule="exact"/>
              <w:rPr>
                <w:rFonts w:hint="default" w:ascii="Calibri" w:hAnsi="Calibri" w:cs="Calibri"/>
                <w:color w:val="000000"/>
                <w:sz w:val="18"/>
                <w:szCs w:val="18"/>
                <w:highlight w:val="none"/>
                <w:lang w:val="en-US"/>
              </w:rPr>
            </w:pPr>
            <w:r>
              <w:rPr>
                <w:rFonts w:ascii="Calibri" w:hAnsi="Calibri" w:cs="Calibri"/>
                <w:color w:val="000000"/>
                <w:sz w:val="18"/>
                <w:szCs w:val="18"/>
                <w:highlight w:val="none"/>
              </w:rPr>
              <w:t>价格分得分＝</w:t>
            </w:r>
            <w:r>
              <w:rPr>
                <w:rFonts w:hint="eastAsia" w:ascii="Calibri" w:hAnsi="Calibri" w:cs="Calibri"/>
                <w:color w:val="000000"/>
                <w:sz w:val="18"/>
                <w:szCs w:val="18"/>
                <w:highlight w:val="none"/>
              </w:rPr>
              <w:t>[</w:t>
            </w:r>
            <w:r>
              <w:rPr>
                <w:rFonts w:ascii="Calibri" w:hAnsi="Calibri" w:cs="Calibri"/>
                <w:color w:val="000000"/>
                <w:sz w:val="18"/>
                <w:szCs w:val="18"/>
                <w:highlight w:val="none"/>
              </w:rPr>
              <w:t>评标基准价/</w:t>
            </w:r>
            <w:r>
              <w:rPr>
                <w:rFonts w:hint="eastAsia" w:ascii="Calibri" w:hAnsi="Calibri" w:cs="Calibri"/>
                <w:color w:val="000000"/>
                <w:sz w:val="18"/>
                <w:szCs w:val="18"/>
                <w:highlight w:val="none"/>
                <w:lang w:eastAsia="zh-CN"/>
              </w:rPr>
              <w:t>参与评审的价格</w:t>
            </w:r>
            <w:r>
              <w:rPr>
                <w:rFonts w:hint="eastAsia" w:ascii="Calibri" w:hAnsi="Calibri" w:cs="Calibri"/>
                <w:color w:val="000000"/>
                <w:sz w:val="18"/>
                <w:szCs w:val="18"/>
                <w:highlight w:val="none"/>
              </w:rPr>
              <w:t xml:space="preserve">] </w:t>
            </w:r>
            <w:r>
              <w:rPr>
                <w:rFonts w:ascii="Calibri" w:hAnsi="Calibri" w:cs="Calibri"/>
                <w:color w:val="000000"/>
                <w:sz w:val="18"/>
                <w:szCs w:val="18"/>
                <w:highlight w:val="none"/>
              </w:rPr>
              <w:t>×</w:t>
            </w:r>
            <w:r>
              <w:rPr>
                <w:rFonts w:hint="eastAsia" w:ascii="Calibri" w:hAnsi="Calibri" w:cs="Calibri"/>
                <w:color w:val="000000"/>
                <w:sz w:val="18"/>
                <w:szCs w:val="18"/>
                <w:highlight w:val="none"/>
                <w:lang w:val="en-US" w:eastAsia="zh-CN"/>
              </w:rPr>
              <w:t>30%×100</w:t>
            </w:r>
          </w:p>
          <w:p w14:paraId="28448AFC">
            <w:pPr>
              <w:pStyle w:val="17"/>
              <w:spacing w:line="340" w:lineRule="exact"/>
              <w:ind w:firstLine="0" w:firstLineChars="0"/>
              <w:rPr>
                <w:color w:val="000000"/>
                <w:sz w:val="18"/>
                <w:szCs w:val="18"/>
                <w:highlight w:val="none"/>
              </w:rPr>
            </w:pPr>
            <w:r>
              <w:rPr>
                <w:rFonts w:hint="eastAsia" w:ascii="Calibri" w:hAnsi="Calibri" w:eastAsia="宋体" w:cs="Calibri"/>
                <w:snapToGrid/>
                <w:color w:val="000000"/>
                <w:kern w:val="2"/>
                <w:sz w:val="18"/>
                <w:szCs w:val="18"/>
                <w:highlight w:val="none"/>
                <w:lang w:val="zh-CN" w:eastAsia="zh-CN" w:bidi="ar-SA"/>
              </w:rPr>
              <w:t>以最终报价为评审依据。</w:t>
            </w:r>
          </w:p>
        </w:tc>
      </w:tr>
    </w:tbl>
    <w:p w14:paraId="034A5182">
      <w:pPr>
        <w:snapToGrid w:val="0"/>
        <w:spacing w:line="360" w:lineRule="auto"/>
        <w:rPr>
          <w:rFonts w:hint="eastAsia" w:ascii="宋体" w:hAnsi="宋体" w:cs="宋体"/>
          <w:color w:val="auto"/>
          <w:sz w:val="20"/>
          <w:szCs w:val="20"/>
          <w:shd w:val="clear" w:color="auto" w:fill="FFFFFF"/>
        </w:rPr>
      </w:pPr>
    </w:p>
    <w:p w14:paraId="1E8007B7">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w:t>
      </w:r>
      <w:r>
        <w:rPr>
          <w:rFonts w:hint="eastAsia" w:ascii="宋体" w:hAnsi="宋体" w:cs="宋体"/>
          <w:b/>
          <w:color w:val="auto"/>
          <w:sz w:val="24"/>
        </w:rPr>
        <w:t>备注：</w:t>
      </w:r>
      <w:r>
        <w:rPr>
          <w:rFonts w:hint="eastAsia" w:ascii="宋体" w:hAnsi="宋体" w:cs="宋体"/>
          <w:color w:val="auto"/>
          <w:sz w:val="24"/>
        </w:rPr>
        <w:t>供应商编制响应文件（商务技术文件部分）时，建议按此目录（序号和内容）提供评审标准相应的商务技术资料。 </w:t>
      </w:r>
    </w:p>
    <w:p w14:paraId="42DC1F82">
      <w:pPr>
        <w:jc w:val="left"/>
        <w:rPr>
          <w:rFonts w:hint="default" w:ascii="宋体" w:hAnsi="宋体" w:eastAsia="宋体" w:cs="宋体"/>
          <w:b/>
          <w:color w:val="auto"/>
          <w:sz w:val="32"/>
          <w:lang w:val="en-US" w:eastAsia="zh-CN"/>
        </w:rPr>
      </w:pPr>
      <w:r>
        <w:rPr>
          <w:rFonts w:hint="eastAsia" w:ascii="宋体" w:hAnsi="宋体" w:cs="宋体"/>
          <w:b/>
          <w:color w:val="auto"/>
          <w:sz w:val="32"/>
        </w:rPr>
        <w:br w:type="page"/>
      </w:r>
      <w:r>
        <w:rPr>
          <w:rFonts w:hint="eastAsia" w:ascii="宋体" w:hAnsi="宋体" w:cs="宋体"/>
          <w:b/>
          <w:color w:val="auto"/>
          <w:sz w:val="32"/>
          <w:lang w:val="en-US" w:eastAsia="zh-CN"/>
        </w:rPr>
        <w:t xml:space="preserve">    </w:t>
      </w:r>
    </w:p>
    <w:p w14:paraId="37A447F9">
      <w:pPr>
        <w:snapToGrid w:val="0"/>
        <w:spacing w:line="360" w:lineRule="auto"/>
        <w:jc w:val="center"/>
        <w:rPr>
          <w:rFonts w:ascii="宋体" w:hAnsi="宋体" w:cs="宋体"/>
          <w:b/>
          <w:color w:val="auto"/>
          <w:sz w:val="28"/>
          <w:szCs w:val="28"/>
        </w:rPr>
      </w:pPr>
      <w:r>
        <w:rPr>
          <w:rFonts w:hint="eastAsia" w:ascii="宋体" w:hAnsi="宋体" w:cs="宋体"/>
          <w:b/>
          <w:color w:val="auto"/>
          <w:sz w:val="32"/>
        </w:rPr>
        <w:t>一、评审方法</w:t>
      </w:r>
    </w:p>
    <w:p w14:paraId="78B94A2D">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综合评分法，是指响应文件满足磋商文件全部实质性要求且按评审因素的量化指标评审得分最高的供应商为成交候选供应商的评审方法。</w:t>
      </w:r>
    </w:p>
    <w:p w14:paraId="157404DA">
      <w:pPr>
        <w:snapToGrid w:val="0"/>
        <w:spacing w:line="360" w:lineRule="auto"/>
        <w:jc w:val="center"/>
        <w:rPr>
          <w:rFonts w:ascii="宋体" w:hAnsi="宋体" w:cs="宋体"/>
          <w:b/>
          <w:color w:val="auto"/>
          <w:sz w:val="32"/>
        </w:rPr>
      </w:pPr>
      <w:r>
        <w:rPr>
          <w:rFonts w:hint="eastAsia" w:ascii="宋体" w:hAnsi="宋体" w:cs="宋体"/>
          <w:b/>
          <w:color w:val="auto"/>
          <w:sz w:val="32"/>
        </w:rPr>
        <w:t>二、评审标准</w:t>
      </w:r>
    </w:p>
    <w:p w14:paraId="5AC50A4D">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评审标准：</w:t>
      </w:r>
      <w:r>
        <w:rPr>
          <w:rFonts w:hint="eastAsia" w:ascii="宋体" w:hAnsi="宋体" w:cs="宋体"/>
          <w:color w:val="auto"/>
          <w:kern w:val="0"/>
          <w:sz w:val="24"/>
        </w:rPr>
        <w:t>见评审办法前附表。</w:t>
      </w:r>
    </w:p>
    <w:p w14:paraId="55F6A414">
      <w:pPr>
        <w:snapToGrid w:val="0"/>
        <w:spacing w:line="360" w:lineRule="auto"/>
        <w:jc w:val="center"/>
        <w:rPr>
          <w:rFonts w:ascii="宋体" w:hAnsi="宋体" w:cs="宋体"/>
          <w:b/>
          <w:color w:val="auto"/>
          <w:sz w:val="32"/>
        </w:rPr>
      </w:pPr>
      <w:r>
        <w:rPr>
          <w:rFonts w:hint="eastAsia" w:ascii="宋体" w:hAnsi="宋体" w:cs="宋体"/>
          <w:b/>
          <w:color w:val="auto"/>
          <w:sz w:val="32"/>
        </w:rPr>
        <w:t>三、评审程序</w:t>
      </w:r>
    </w:p>
    <w:p w14:paraId="1131B65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磋商小组应当对符合资格的供应商的响应文件进行符合性审查，以确定其是否满足采购文件的实质性要求。不满足采购文件的实质性要求的，响应文件无效。</w:t>
      </w:r>
    </w:p>
    <w:p w14:paraId="4B6A444D">
      <w:pPr>
        <w:spacing w:line="360" w:lineRule="auto"/>
        <w:ind w:firstLine="472" w:firstLineChars="196"/>
        <w:rPr>
          <w:rFonts w:ascii="宋体" w:hAnsi="宋体" w:cs="宋体"/>
          <w:color w:val="auto"/>
          <w:sz w:val="24"/>
        </w:rPr>
      </w:pPr>
      <w:r>
        <w:rPr>
          <w:rFonts w:hint="eastAsia" w:ascii="宋体" w:hAnsi="宋体" w:cs="宋体"/>
          <w:b/>
          <w:color w:val="auto"/>
          <w:kern w:val="0"/>
          <w:sz w:val="24"/>
        </w:rPr>
        <w:t>3.2 磋商。</w:t>
      </w:r>
      <w:r>
        <w:rPr>
          <w:rFonts w:hint="eastAsia" w:ascii="宋体" w:hAnsi="宋体" w:cs="宋体"/>
          <w:color w:val="auto"/>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rPr>
        <w:t>符合性审查合格的</w:t>
      </w:r>
      <w:r>
        <w:rPr>
          <w:rFonts w:hint="eastAsia" w:ascii="宋体" w:hAnsi="宋体" w:cs="宋体"/>
          <w:color w:val="auto"/>
          <w:sz w:val="24"/>
        </w:rPr>
        <w:t>供应商逐一进行磋商。</w:t>
      </w:r>
    </w:p>
    <w:p w14:paraId="55543B74">
      <w:pPr>
        <w:spacing w:line="360" w:lineRule="auto"/>
        <w:ind w:firstLine="470" w:firstLineChars="196"/>
        <w:rPr>
          <w:rFonts w:ascii="宋体" w:hAnsi="宋体" w:cs="宋体"/>
          <w:b/>
          <w:color w:val="auto"/>
          <w:sz w:val="24"/>
        </w:rPr>
      </w:pPr>
      <w:r>
        <w:rPr>
          <w:rFonts w:hint="eastAsia" w:ascii="宋体" w:hAnsi="宋体" w:cs="宋体"/>
          <w:bCs/>
          <w:color w:val="auto"/>
          <w:sz w:val="24"/>
        </w:rPr>
        <w:t xml:space="preserve">3.2.1 </w:t>
      </w:r>
      <w:r>
        <w:rPr>
          <w:rFonts w:hint="eastAsia" w:ascii="宋体" w:hAnsi="宋体" w:cs="宋体"/>
          <w:color w:val="auto"/>
          <w:sz w:val="24"/>
        </w:rPr>
        <w:t>供应商逐家回答磋商小组的提问；</w:t>
      </w:r>
      <w:r>
        <w:rPr>
          <w:rFonts w:hint="eastAsia" w:ascii="宋体" w:hAnsi="宋体" w:cs="宋体"/>
          <w:b/>
          <w:color w:val="auto"/>
          <w:sz w:val="24"/>
        </w:rPr>
        <w:t>逐家磋商一次为一个轮次，磋商轮次根据实际情况进行。</w:t>
      </w:r>
    </w:p>
    <w:p w14:paraId="5BDDF0B6">
      <w:pPr>
        <w:spacing w:line="360" w:lineRule="auto"/>
        <w:ind w:firstLine="470" w:firstLineChars="196"/>
        <w:rPr>
          <w:rFonts w:ascii="宋体" w:hAnsi="宋体" w:cs="宋体"/>
          <w:color w:val="auto"/>
          <w:sz w:val="24"/>
        </w:rPr>
      </w:pPr>
      <w:r>
        <w:rPr>
          <w:rFonts w:hint="eastAsia" w:ascii="宋体" w:hAnsi="宋体" w:cs="宋体"/>
          <w:bCs/>
          <w:color w:val="auto"/>
          <w:sz w:val="24"/>
        </w:rPr>
        <w:t xml:space="preserve">3.2.2 </w:t>
      </w:r>
      <w:r>
        <w:rPr>
          <w:rFonts w:hint="eastAsia" w:ascii="宋体" w:hAnsi="宋体" w:cs="宋体"/>
          <w:color w:val="auto"/>
          <w:sz w:val="24"/>
        </w:rPr>
        <w:t>供应商应按磋商小组通知的时间在线或以邮件回复做出承诺或回复，承诺或回复的内容须由供应商法定代表人或授权代表签署，并作为响应文件的补充部分。</w:t>
      </w:r>
    </w:p>
    <w:p w14:paraId="1020D27A">
      <w:pPr>
        <w:spacing w:line="360" w:lineRule="auto"/>
        <w:ind w:firstLine="470" w:firstLineChars="196"/>
        <w:rPr>
          <w:rFonts w:ascii="宋体" w:hAnsi="宋体" w:cs="宋体"/>
          <w:bCs/>
          <w:color w:val="auto"/>
          <w:kern w:val="0"/>
          <w:sz w:val="24"/>
        </w:rPr>
      </w:pPr>
      <w:r>
        <w:rPr>
          <w:rFonts w:hint="eastAsia" w:ascii="宋体" w:hAnsi="宋体" w:cs="宋体"/>
          <w:color w:val="auto"/>
          <w:sz w:val="24"/>
        </w:rPr>
        <w:t xml:space="preserve">3.2.3 </w:t>
      </w:r>
      <w:r>
        <w:rPr>
          <w:rFonts w:hint="eastAsia" w:ascii="宋体" w:hAnsi="宋体" w:cs="宋体"/>
          <w:b/>
          <w:bCs/>
          <w:color w:val="auto"/>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rPr>
        <w:t>实质性变动的内容，须经采购人代表确认。磋商文件有实质性变动的，磋商小组将以书面形式通知所有</w:t>
      </w:r>
      <w:r>
        <w:rPr>
          <w:rFonts w:hint="eastAsia" w:ascii="宋体" w:hAnsi="宋体" w:cs="宋体"/>
          <w:color w:val="auto"/>
          <w:kern w:val="0"/>
          <w:sz w:val="24"/>
        </w:rPr>
        <w:t>符合性审查合格的</w:t>
      </w:r>
      <w:r>
        <w:rPr>
          <w:rFonts w:hint="eastAsia" w:ascii="宋体" w:hAnsi="宋体" w:cs="宋体"/>
          <w:color w:val="auto"/>
          <w:sz w:val="24"/>
        </w:rPr>
        <w:t xml:space="preserve">供应商。 </w:t>
      </w:r>
    </w:p>
    <w:p w14:paraId="08EF0EC7">
      <w:pPr>
        <w:spacing w:line="360" w:lineRule="auto"/>
        <w:ind w:firstLine="472" w:firstLineChars="196"/>
        <w:rPr>
          <w:rFonts w:ascii="宋体" w:hAnsi="宋体" w:cs="宋体"/>
          <w:b/>
          <w:bCs/>
          <w:color w:val="auto"/>
          <w:kern w:val="0"/>
          <w:sz w:val="24"/>
        </w:rPr>
      </w:pPr>
      <w:r>
        <w:rPr>
          <w:rFonts w:hint="eastAsia" w:ascii="宋体" w:hAnsi="宋体" w:cs="宋体"/>
          <w:b/>
          <w:bCs/>
          <w:color w:val="auto"/>
          <w:kern w:val="0"/>
          <w:sz w:val="24"/>
        </w:rPr>
        <w:t>3.3最后报价</w:t>
      </w:r>
    </w:p>
    <w:p w14:paraId="43DBF7D6">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6D63B5B6">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45A0D69">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3.3.3 已提交响应文件的供应商，在提交最后报价之前，可以根据磋商情况退出磋商</w:t>
      </w:r>
    </w:p>
    <w:p w14:paraId="29D3BE8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3.4 综合评分。</w:t>
      </w:r>
      <w:r>
        <w:rPr>
          <w:rFonts w:hint="eastAsia" w:ascii="宋体" w:hAnsi="宋体" w:cs="宋体"/>
          <w:bCs/>
          <w:color w:val="auto"/>
          <w:kern w:val="0"/>
          <w:sz w:val="24"/>
        </w:rPr>
        <w:t>经磋商确定最终采购需求和提交最后报价的供应商后，</w:t>
      </w:r>
      <w:r>
        <w:rPr>
          <w:rFonts w:hint="eastAsia" w:ascii="宋体" w:hAnsi="宋体" w:cs="宋体"/>
          <w:color w:val="auto"/>
          <w:kern w:val="0"/>
          <w:sz w:val="24"/>
        </w:rPr>
        <w:t>磋商小组应当按照采购文件中规定的评审标准，对符合性审查合格的响应文件进行综合评分。磋商文件中没有规定的评审标准不得作为评审依据。</w:t>
      </w:r>
    </w:p>
    <w:p w14:paraId="163B0ECF">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3.5汇总商务技术得分。</w:t>
      </w:r>
      <w:r>
        <w:rPr>
          <w:rFonts w:hint="eastAsia" w:ascii="宋体" w:hAnsi="宋体" w:cs="宋体"/>
          <w:color w:val="auto"/>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rPr>
        <w:t>30%以上的，由</w:t>
      </w:r>
      <w:r>
        <w:rPr>
          <w:rFonts w:hint="eastAsia" w:ascii="宋体" w:hAnsi="宋体" w:cs="宋体"/>
          <w:color w:val="auto"/>
          <w:kern w:val="0"/>
          <w:sz w:val="24"/>
        </w:rPr>
        <w:t>磋商小组</w:t>
      </w:r>
      <w:r>
        <w:rPr>
          <w:rFonts w:ascii="宋体" w:hAnsi="宋体" w:cs="宋体"/>
          <w:color w:val="auto"/>
          <w:kern w:val="0"/>
          <w:sz w:val="24"/>
        </w:rPr>
        <w:t>启动评分畸高、畸低行为认定程序</w:t>
      </w:r>
      <w:r>
        <w:rPr>
          <w:rFonts w:hint="eastAsia" w:ascii="宋体" w:hAnsi="宋体" w:cs="宋体"/>
          <w:color w:val="auto"/>
          <w:kern w:val="0"/>
          <w:sz w:val="24"/>
        </w:rPr>
        <w:t>，磋商小组组长应提醒相关评审人员进行复核或书面说明理由，评审人员拒绝说明的，由现场监督员据实记录；评审人员的评审、修改记录应保留原件，随项目其他资料一并存档。</w:t>
      </w:r>
    </w:p>
    <w:p w14:paraId="799F6455">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3.6报价评审。</w:t>
      </w:r>
    </w:p>
    <w:p w14:paraId="1B6DBF0C">
      <w:pPr>
        <w:pStyle w:val="132"/>
        <w:spacing w:before="0"/>
        <w:ind w:firstLine="508" w:firstLineChars="212"/>
        <w:rPr>
          <w:rFonts w:ascii="宋体" w:hAnsi="宋体" w:cs="宋体"/>
          <w:color w:val="auto"/>
          <w:kern w:val="0"/>
        </w:rPr>
      </w:pPr>
      <w:r>
        <w:rPr>
          <w:rFonts w:hint="eastAsia" w:ascii="宋体" w:hAnsi="宋体" w:cs="宋体"/>
          <w:color w:val="auto"/>
          <w:kern w:val="0"/>
        </w:rPr>
        <w:t>3.6.1响应文件报价出现前后不一致的，按照下列规定修正：</w:t>
      </w:r>
    </w:p>
    <w:p w14:paraId="25A0325E">
      <w:pPr>
        <w:pStyle w:val="132"/>
        <w:spacing w:before="0"/>
        <w:ind w:firstLine="480"/>
        <w:rPr>
          <w:rFonts w:ascii="宋体" w:hAnsi="宋体" w:cs="宋体"/>
          <w:color w:val="auto"/>
          <w:kern w:val="0"/>
          <w:szCs w:val="24"/>
        </w:rPr>
      </w:pPr>
      <w:r>
        <w:rPr>
          <w:rFonts w:hint="eastAsia" w:ascii="宋体" w:hAnsi="宋体" w:cs="宋体"/>
          <w:color w:val="auto"/>
          <w:kern w:val="0"/>
          <w:szCs w:val="24"/>
        </w:rPr>
        <w:t>3.6.1.1响应文件中已标价工程量清单内容与响应文件中相应内容不一致的，以已标价工程量清单为准;</w:t>
      </w:r>
    </w:p>
    <w:p w14:paraId="196154A0">
      <w:pPr>
        <w:pStyle w:val="132"/>
        <w:spacing w:before="0"/>
        <w:ind w:firstLine="480"/>
        <w:rPr>
          <w:rFonts w:ascii="宋体" w:hAnsi="宋体" w:cs="宋体"/>
          <w:color w:val="auto"/>
          <w:kern w:val="0"/>
          <w:szCs w:val="24"/>
        </w:rPr>
      </w:pPr>
      <w:r>
        <w:rPr>
          <w:rFonts w:hint="eastAsia" w:ascii="宋体" w:hAnsi="宋体" w:cs="宋体"/>
          <w:color w:val="auto"/>
          <w:kern w:val="0"/>
          <w:szCs w:val="24"/>
        </w:rPr>
        <w:t>3.6.1.2大写金额和小写金额不一致的，以大写金额为准;</w:t>
      </w:r>
    </w:p>
    <w:p w14:paraId="46E66999">
      <w:pPr>
        <w:pStyle w:val="132"/>
        <w:spacing w:before="0"/>
        <w:ind w:firstLine="480"/>
        <w:rPr>
          <w:rFonts w:ascii="宋体" w:hAnsi="宋体" w:cs="宋体"/>
          <w:color w:val="auto"/>
          <w:kern w:val="0"/>
          <w:szCs w:val="24"/>
        </w:rPr>
      </w:pPr>
      <w:r>
        <w:rPr>
          <w:rFonts w:hint="eastAsia" w:ascii="宋体" w:hAnsi="宋体" w:cs="宋体"/>
          <w:color w:val="auto"/>
          <w:kern w:val="0"/>
          <w:szCs w:val="24"/>
        </w:rPr>
        <w:t>3.6.1.3单价金额小数点或者百分比有明显错位的，以已标价工程量清单的总价为准，并修改单价;</w:t>
      </w:r>
    </w:p>
    <w:p w14:paraId="2F119B43">
      <w:pPr>
        <w:pStyle w:val="132"/>
        <w:spacing w:before="0"/>
        <w:ind w:firstLine="480"/>
        <w:rPr>
          <w:rFonts w:ascii="宋体" w:hAnsi="宋体" w:cs="宋体"/>
          <w:color w:val="auto"/>
          <w:kern w:val="0"/>
          <w:szCs w:val="24"/>
        </w:rPr>
      </w:pPr>
      <w:r>
        <w:rPr>
          <w:rFonts w:hint="eastAsia" w:ascii="宋体" w:hAnsi="宋体" w:cs="宋体"/>
          <w:color w:val="auto"/>
          <w:kern w:val="0"/>
          <w:szCs w:val="24"/>
        </w:rPr>
        <w:t>3.6.1.4总价金额与按单价汇总金额不一致的，以单价金额计算结果为准。</w:t>
      </w:r>
    </w:p>
    <w:p w14:paraId="03F041E0">
      <w:pPr>
        <w:pStyle w:val="132"/>
        <w:spacing w:before="0"/>
        <w:ind w:firstLine="480"/>
        <w:rPr>
          <w:rFonts w:ascii="宋体" w:hAnsi="宋体" w:cs="宋体"/>
          <w:color w:val="auto"/>
          <w:kern w:val="0"/>
          <w:szCs w:val="24"/>
        </w:rPr>
      </w:pPr>
      <w:r>
        <w:rPr>
          <w:rFonts w:hint="eastAsia" w:ascii="宋体" w:hAnsi="宋体" w:cs="宋体"/>
          <w:color w:val="auto"/>
          <w:kern w:val="0"/>
          <w:szCs w:val="24"/>
        </w:rPr>
        <w:t>3.6.1.5同时出现两种以上不一致的，按照3.6.1规定的顺序修正。修正后的报价经供应商确认后产生约束力。</w:t>
      </w:r>
    </w:p>
    <w:p w14:paraId="6EC84203">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3.6.2响应文件出现不是唯一的、有选择性最后报价的，响应文件无效。</w:t>
      </w:r>
    </w:p>
    <w:p w14:paraId="73CE5FE4">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3.6.3最后报价超过采购文件中规定的预算金额或者最高限价的，响应文件无效。</w:t>
      </w:r>
    </w:p>
    <w:p w14:paraId="6BF5AF38">
      <w:pPr>
        <w:pStyle w:val="132"/>
        <w:spacing w:before="0"/>
        <w:ind w:firstLine="480"/>
        <w:rPr>
          <w:rFonts w:ascii="宋体" w:hAnsi="宋体" w:cs="宋体"/>
          <w:color w:val="FF0000"/>
          <w:kern w:val="0"/>
          <w:szCs w:val="24"/>
        </w:rPr>
      </w:pPr>
      <w:r>
        <w:rPr>
          <w:rFonts w:hint="eastAsia" w:ascii="宋体" w:hAnsi="宋体" w:cs="宋体"/>
          <w:color w:val="auto"/>
          <w:kern w:val="0"/>
          <w:szCs w:val="24"/>
        </w:rPr>
        <w:t>3.6.4</w:t>
      </w:r>
      <w:r>
        <w:rPr>
          <w:b/>
          <w:szCs w:val="21"/>
          <w:highlight w:val="none"/>
        </w:rPr>
        <w:t>本次采购为专门面向中小企业</w:t>
      </w:r>
      <w:r>
        <w:rPr>
          <w:rFonts w:hint="eastAsia"/>
          <w:b/>
          <w:szCs w:val="21"/>
          <w:highlight w:val="none"/>
        </w:rPr>
        <w:t>采购，</w:t>
      </w:r>
      <w:r>
        <w:rPr>
          <w:rFonts w:hint="eastAsia"/>
          <w:b/>
          <w:bCs/>
          <w:szCs w:val="21"/>
          <w:highlight w:val="none"/>
        </w:rPr>
        <w:t>满足要求的供应商不再享受价格扣除优惠</w:t>
      </w:r>
      <w:r>
        <w:rPr>
          <w:rFonts w:hint="eastAsia" w:ascii="宋体" w:hAnsi="宋体" w:cs="宋体"/>
          <w:kern w:val="0"/>
          <w:sz w:val="21"/>
          <w:szCs w:val="21"/>
        </w:rPr>
        <w:t>。</w:t>
      </w:r>
    </w:p>
    <w:p w14:paraId="77C74C31">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3.7排序与推荐。</w:t>
      </w:r>
      <w:r>
        <w:rPr>
          <w:rFonts w:hint="eastAsia" w:ascii="宋体" w:hAnsi="宋体" w:cs="宋体"/>
          <w:color w:val="auto"/>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4C943D90">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3.8编写评审报告。</w:t>
      </w:r>
      <w:r>
        <w:rPr>
          <w:rFonts w:hint="eastAsia" w:ascii="宋体" w:hAnsi="宋体" w:cs="宋体"/>
          <w:color w:val="auto"/>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EE29D20">
      <w:pPr>
        <w:snapToGrid w:val="0"/>
        <w:spacing w:line="360" w:lineRule="auto"/>
        <w:jc w:val="center"/>
        <w:rPr>
          <w:rFonts w:ascii="宋体" w:hAnsi="宋体" w:cs="宋体"/>
          <w:b/>
          <w:color w:val="auto"/>
          <w:sz w:val="32"/>
        </w:rPr>
      </w:pPr>
      <w:r>
        <w:rPr>
          <w:rFonts w:hint="eastAsia" w:ascii="宋体" w:hAnsi="宋体" w:cs="宋体"/>
          <w:b/>
          <w:color w:val="auto"/>
          <w:sz w:val="32"/>
        </w:rPr>
        <w:t>四、评审中的其他事项</w:t>
      </w:r>
    </w:p>
    <w:p w14:paraId="24163F08">
      <w:pPr>
        <w:pStyle w:val="132"/>
        <w:spacing w:before="0"/>
        <w:ind w:firstLine="472" w:firstLineChars="196"/>
        <w:rPr>
          <w:rFonts w:ascii="宋体" w:hAnsi="宋体" w:cs="宋体"/>
          <w:color w:val="auto"/>
          <w:kern w:val="0"/>
          <w:szCs w:val="24"/>
        </w:rPr>
      </w:pPr>
      <w:r>
        <w:rPr>
          <w:rFonts w:hint="eastAsia" w:ascii="宋体" w:hAnsi="宋体" w:cs="宋体"/>
          <w:b/>
          <w:color w:val="auto"/>
          <w:kern w:val="0"/>
          <w:szCs w:val="24"/>
        </w:rPr>
        <w:t>4.1供应商澄清、说明或者补正。</w:t>
      </w:r>
      <w:r>
        <w:rPr>
          <w:rFonts w:hint="eastAsia" w:ascii="宋体" w:hAnsi="宋体" w:cs="宋体"/>
          <w:color w:val="auto"/>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D92E25A">
      <w:pPr>
        <w:pStyle w:val="26"/>
        <w:spacing w:line="360" w:lineRule="auto"/>
        <w:ind w:left="954" w:leftChars="226" w:hanging="479" w:firstLineChars="0"/>
        <w:rPr>
          <w:rFonts w:cs="宋体"/>
          <w:color w:val="auto"/>
          <w:szCs w:val="21"/>
        </w:rPr>
      </w:pPr>
      <w:r>
        <w:rPr>
          <w:rFonts w:hint="eastAsia" w:cs="宋体"/>
          <w:b/>
          <w:color w:val="auto"/>
          <w:kern w:val="0"/>
        </w:rPr>
        <w:t>4.2响应文件无效。</w:t>
      </w:r>
      <w:r>
        <w:rPr>
          <w:rFonts w:hint="eastAsia" w:cs="宋体"/>
          <w:color w:val="auto"/>
          <w:szCs w:val="21"/>
        </w:rPr>
        <w:t>有下列情形之一的，响应文件无效：</w:t>
      </w:r>
    </w:p>
    <w:p w14:paraId="6E8EED4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4.2.1供应商不具备采购文件中规定的资格要求的（供应商未提供有效的资格文件的，视为供应商不具备采购文件中规定的资格要求）；</w:t>
      </w:r>
    </w:p>
    <w:p w14:paraId="6EE80CB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4.2.2响应文件未按照采购文件要求签署、盖章的；</w:t>
      </w:r>
    </w:p>
    <w:p w14:paraId="576BED9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4.2.3采购人拟采购的产品属于政府强制采购的节能产品品目清单范围的，供应商未按采购文件要求提供国家确定的认证机构出具的、处于有效期之内的节能产品认证证书的；</w:t>
      </w:r>
    </w:p>
    <w:p w14:paraId="4A87EB4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4.2.4响应文件含有采购人不能接受的附加条件的；</w:t>
      </w:r>
    </w:p>
    <w:p w14:paraId="2A1399E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4.2.5响应文件中承诺的响应文件有效期少于采购文件中载明的响应文件有效期的；</w:t>
      </w:r>
    </w:p>
    <w:p w14:paraId="6A6B8D1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4.2.6响应文件出现不是唯一的、有选择性最后报价的;</w:t>
      </w:r>
    </w:p>
    <w:p w14:paraId="76FAFC4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4.2.7最后报价超过采购文件中规定的预算金额或者最高限价的;</w:t>
      </w:r>
    </w:p>
    <w:p w14:paraId="7B00F51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4.2.8报价明显低于其他通过符合性审查供应商的报价，有可能影响产品质量或者不能诚信履约的，未能按要求提供书面说明或者提交相关证明材料，不能证明其报价合理性的;</w:t>
      </w:r>
    </w:p>
    <w:p w14:paraId="27340A9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4.2.9供应商对根据修正原则修正后的报价不确认的；</w:t>
      </w:r>
    </w:p>
    <w:p w14:paraId="65F8269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4.2.10供应商提供虚假材料响应的；</w:t>
      </w:r>
    </w:p>
    <w:p w14:paraId="0A38F25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4.2.11供应商有恶意串通、妨碍其他供应商的竞争行为、损害采购人或者其他供应商的合法权益情形的；</w:t>
      </w:r>
    </w:p>
    <w:p w14:paraId="494CA5C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4.2.12供应商仅提交备份响应文件，未在电子交易平台传输递交响应文件的，响应文件无效；</w:t>
      </w:r>
    </w:p>
    <w:p w14:paraId="2C3197BD">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4.2.13 响应文件不满足采购文件的其它实质性要求的；</w:t>
      </w:r>
    </w:p>
    <w:p w14:paraId="12D0A5BA">
      <w:pPr>
        <w:pStyle w:val="25"/>
        <w:ind w:firstLine="480" w:firstLineChars="200"/>
      </w:pPr>
      <w:r>
        <w:rPr>
          <w:rFonts w:hint="eastAsia"/>
        </w:rPr>
        <w:t>4.2.14投标人的电子投标文件唯一标识符相同（①网卡MAC地址或②硬盘（含U盘、移动硬盘等移动存储介质）序列号或③互联网接入IP地址）的；</w:t>
      </w:r>
    </w:p>
    <w:p w14:paraId="7002D85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5</w:t>
      </w:r>
      <w:r>
        <w:rPr>
          <w:rFonts w:hint="eastAsia" w:ascii="宋体" w:hAnsi="宋体" w:cs="宋体"/>
          <w:color w:val="auto"/>
          <w:kern w:val="0"/>
          <w:sz w:val="24"/>
        </w:rPr>
        <w:t>法律、法规、规章（适用本市的）及省级以上规范性文件（适用本市的）规定的其他无效情形。</w:t>
      </w:r>
    </w:p>
    <w:p w14:paraId="330999C2">
      <w:pPr>
        <w:pStyle w:val="26"/>
        <w:snapToGrid w:val="0"/>
        <w:spacing w:line="360" w:lineRule="auto"/>
        <w:ind w:firstLine="472" w:firstLineChars="196"/>
        <w:rPr>
          <w:rFonts w:cs="宋体"/>
          <w:color w:val="auto"/>
        </w:rPr>
      </w:pPr>
      <w:r>
        <w:rPr>
          <w:rFonts w:hint="eastAsia" w:cs="宋体"/>
          <w:b/>
          <w:color w:val="auto"/>
        </w:rPr>
        <w:t>5.终止竞争性磋商采购活动。</w:t>
      </w:r>
      <w:r>
        <w:rPr>
          <w:rFonts w:hint="eastAsia" w:cs="宋体"/>
          <w:color w:val="auto"/>
        </w:rPr>
        <w:t>出现下列情形之一的，采购人或者采购代理机构应当终止竞争性磋商采购活动，发布项目终止公告并说明原因，重新开展采购活动：</w:t>
      </w:r>
    </w:p>
    <w:p w14:paraId="75380CE9">
      <w:pPr>
        <w:pStyle w:val="26"/>
        <w:snapToGrid w:val="0"/>
        <w:spacing w:line="360" w:lineRule="auto"/>
        <w:rPr>
          <w:rFonts w:cs="宋体"/>
          <w:color w:val="auto"/>
        </w:rPr>
      </w:pPr>
      <w:r>
        <w:rPr>
          <w:rFonts w:hint="eastAsia" w:cs="宋体"/>
          <w:color w:val="auto"/>
        </w:rPr>
        <w:t>5.1因情况变化，不再符合规定的竞争性磋商采购方式适用情形的；</w:t>
      </w:r>
    </w:p>
    <w:p w14:paraId="217F6E36">
      <w:pPr>
        <w:pStyle w:val="26"/>
        <w:snapToGrid w:val="0"/>
        <w:spacing w:line="360" w:lineRule="auto"/>
        <w:rPr>
          <w:rFonts w:cs="宋体"/>
          <w:color w:val="auto"/>
        </w:rPr>
      </w:pPr>
      <w:r>
        <w:rPr>
          <w:rFonts w:hint="eastAsia" w:cs="宋体"/>
          <w:color w:val="auto"/>
        </w:rPr>
        <w:t>5.2出现影响采购公正的违法、违规行为的；</w:t>
      </w:r>
    </w:p>
    <w:p w14:paraId="07D3F944">
      <w:pPr>
        <w:pStyle w:val="26"/>
        <w:snapToGrid w:val="0"/>
        <w:spacing w:line="360" w:lineRule="auto"/>
        <w:rPr>
          <w:rFonts w:cs="宋体"/>
          <w:color w:val="auto"/>
        </w:rPr>
      </w:pPr>
      <w:r>
        <w:rPr>
          <w:rFonts w:hint="eastAsia" w:cs="宋体"/>
          <w:color w:val="auto"/>
        </w:rPr>
        <w:t>5.3除本办法第二十一条第三款规定的情形外，在采购过程中符合要求的供应商或者报价未超过采购预算的供应商不足3家的。</w:t>
      </w:r>
    </w:p>
    <w:p w14:paraId="25FFFBD9">
      <w:pPr>
        <w:pStyle w:val="26"/>
        <w:snapToGrid w:val="0"/>
        <w:spacing w:line="360" w:lineRule="auto"/>
        <w:rPr>
          <w:rFonts w:cs="宋体"/>
          <w:color w:val="auto"/>
        </w:rPr>
      </w:pPr>
      <w:r>
        <w:rPr>
          <w:rFonts w:hint="eastAsia" w:cs="宋体"/>
          <w:color w:val="auto"/>
        </w:rPr>
        <w:t>5.4在采购活动中因重大变故，采购任务取消的，采购人或者采购代理机构应当终止采购活动，通知所有参加采购活动的供应商，并将项目实施情况和采购任务取消原因报送本级财政部门。</w:t>
      </w:r>
    </w:p>
    <w:p w14:paraId="1D2CD232">
      <w:pPr>
        <w:pStyle w:val="26"/>
        <w:snapToGrid w:val="0"/>
        <w:spacing w:line="360" w:lineRule="auto"/>
        <w:ind w:firstLine="482"/>
        <w:rPr>
          <w:rFonts w:cs="宋体"/>
          <w:color w:val="auto"/>
        </w:rPr>
      </w:pPr>
      <w:r>
        <w:rPr>
          <w:rFonts w:hint="eastAsia" w:cs="宋体"/>
          <w:b/>
          <w:color w:val="auto"/>
          <w:kern w:val="0"/>
        </w:rPr>
        <w:t>6.重新开展采购。</w:t>
      </w:r>
      <w:r>
        <w:rPr>
          <w:rFonts w:hint="eastAsia" w:cs="宋体"/>
          <w:color w:val="auto"/>
        </w:rPr>
        <w:t>有政府采购法第七十一条、第七十二条规定的违法行为之一，影响或者可能影响成交结果的，依照下列规定处理：</w:t>
      </w:r>
    </w:p>
    <w:p w14:paraId="4BC9CDFC">
      <w:pPr>
        <w:pStyle w:val="26"/>
        <w:snapToGrid w:val="0"/>
        <w:spacing w:line="360" w:lineRule="auto"/>
        <w:rPr>
          <w:rFonts w:cs="宋体"/>
          <w:color w:val="auto"/>
        </w:rPr>
      </w:pPr>
      <w:r>
        <w:rPr>
          <w:rFonts w:hint="eastAsia" w:cs="宋体"/>
          <w:color w:val="auto"/>
        </w:rPr>
        <w:t>6.1未确定成交供应商的，终止本次政府采购活动，重新开展政府采购活动。</w:t>
      </w:r>
    </w:p>
    <w:p w14:paraId="24ED5D6B">
      <w:pPr>
        <w:pStyle w:val="26"/>
        <w:snapToGrid w:val="0"/>
        <w:spacing w:line="360" w:lineRule="auto"/>
        <w:rPr>
          <w:rFonts w:cs="宋体"/>
          <w:color w:val="auto"/>
        </w:rPr>
      </w:pPr>
      <w:r>
        <w:rPr>
          <w:rFonts w:hint="eastAsia" w:cs="宋体"/>
          <w:color w:val="auto"/>
        </w:rPr>
        <w:t>6.2已确定成交供应商但尚未签订政府采购合同的，成交结果无效，从合格的成交候选供应商中另行确定成交供应商；没有合格的成交候选供应商的，重新开展政府采购活动。</w:t>
      </w:r>
    </w:p>
    <w:p w14:paraId="5BDD57E1">
      <w:pPr>
        <w:pStyle w:val="26"/>
        <w:snapToGrid w:val="0"/>
        <w:spacing w:line="360" w:lineRule="auto"/>
        <w:rPr>
          <w:rFonts w:cs="宋体"/>
          <w:color w:val="auto"/>
        </w:rPr>
      </w:pPr>
      <w:r>
        <w:rPr>
          <w:rFonts w:hint="eastAsia" w:cs="宋体"/>
          <w:color w:val="auto"/>
        </w:rPr>
        <w:t>6.3政府采购合同已签订但尚未履行的，撤销合同，从合格的成交候选供应商中另行确定成交供应商；没有合格的成交候选供应商的，重新开展政府采购活动。</w:t>
      </w:r>
    </w:p>
    <w:p w14:paraId="25E5C806">
      <w:pPr>
        <w:pStyle w:val="26"/>
        <w:snapToGrid w:val="0"/>
        <w:spacing w:line="360" w:lineRule="auto"/>
        <w:rPr>
          <w:rFonts w:cs="宋体"/>
          <w:color w:val="auto"/>
        </w:rPr>
      </w:pPr>
      <w:r>
        <w:rPr>
          <w:rFonts w:hint="eastAsia" w:cs="宋体"/>
          <w:color w:val="auto"/>
        </w:rPr>
        <w:t>6.4政府采购合同已经履行，给采购人、供应商造成损失的，由责任人承担赔偿责任。</w:t>
      </w:r>
    </w:p>
    <w:p w14:paraId="01D4B1A9">
      <w:pPr>
        <w:pStyle w:val="26"/>
        <w:snapToGrid w:val="0"/>
        <w:spacing w:line="360" w:lineRule="auto"/>
        <w:rPr>
          <w:rFonts w:cs="宋体"/>
          <w:color w:val="auto"/>
        </w:rPr>
      </w:pPr>
      <w:r>
        <w:rPr>
          <w:rFonts w:hint="eastAsia" w:cs="宋体"/>
          <w:color w:val="auto"/>
        </w:rPr>
        <w:t>6.5政府采购当事人有其他违反政府采购法或者政府采购法实施条例等法律法规规定的行为，经改正后仍然影响或者可能影响成交结果或者依法被认定为成交无效的，依照6.1-6.4规定处理。</w:t>
      </w:r>
    </w:p>
    <w:p w14:paraId="439D30C9">
      <w:pPr>
        <w:pStyle w:val="26"/>
        <w:snapToGrid w:val="0"/>
        <w:spacing w:line="360" w:lineRule="auto"/>
        <w:ind w:firstLine="0" w:firstLineChars="0"/>
        <w:rPr>
          <w:rFonts w:cs="宋体"/>
          <w:color w:val="auto"/>
        </w:rPr>
        <w:sectPr>
          <w:pgSz w:w="11907" w:h="16840"/>
          <w:pgMar w:top="1440" w:right="1080" w:bottom="1440" w:left="1080" w:header="851" w:footer="851" w:gutter="0"/>
          <w:pgNumType w:fmt="decimal"/>
          <w:cols w:space="720" w:num="1"/>
        </w:sectPr>
      </w:pPr>
    </w:p>
    <w:bookmarkEnd w:id="29"/>
    <w:p w14:paraId="60E78E6F">
      <w:pPr>
        <w:spacing w:line="360" w:lineRule="auto"/>
        <w:jc w:val="center"/>
        <w:outlineLvl w:val="0"/>
        <w:rPr>
          <w:rFonts w:ascii="宋体" w:hAnsi="宋体" w:cs="宋体"/>
          <w:b/>
          <w:color w:val="auto"/>
          <w:sz w:val="36"/>
          <w:szCs w:val="36"/>
        </w:rPr>
      </w:pPr>
      <w:bookmarkStart w:id="396" w:name="_Toc86217003"/>
      <w:bookmarkStart w:id="397" w:name="第五部分"/>
      <w:r>
        <w:rPr>
          <w:rFonts w:hint="eastAsia" w:ascii="宋体" w:hAnsi="宋体" w:cs="宋体"/>
          <w:b/>
          <w:color w:val="auto"/>
          <w:sz w:val="36"/>
          <w:szCs w:val="36"/>
        </w:rPr>
        <w:t>第五部分 拟签订的合同文本</w:t>
      </w:r>
    </w:p>
    <w:p w14:paraId="4ACA3973">
      <w:pPr>
        <w:snapToGrid w:val="0"/>
        <w:spacing w:line="360" w:lineRule="auto"/>
        <w:ind w:firstLine="422" w:firstLineChars="200"/>
        <w:jc w:val="left"/>
        <w:rPr>
          <w:b/>
          <w:szCs w:val="21"/>
          <w:highlight w:val="none"/>
        </w:rPr>
      </w:pPr>
      <w:bookmarkStart w:id="398" w:name="_Toc40964240"/>
      <w:r>
        <w:rPr>
          <w:rFonts w:hint="eastAsia"/>
          <w:b/>
          <w:szCs w:val="21"/>
          <w:highlight w:val="none"/>
        </w:rPr>
        <w:t>（本合同为合同样稿</w:t>
      </w:r>
      <w:r>
        <w:rPr>
          <w:rFonts w:hint="eastAsia" w:ascii="Times New Roman" w:hAnsi="Times New Roman" w:eastAsia="宋体" w:cs="Times New Roman"/>
          <w:b/>
          <w:szCs w:val="21"/>
          <w:highlight w:val="none"/>
        </w:rPr>
        <w:t>，参考住房城乡建设部、原国家工商行政管理总局制定的《建设工程施工合同（示范文本）》（GF-2017-0201）</w:t>
      </w:r>
      <w:r>
        <w:rPr>
          <w:rFonts w:hint="eastAsia" w:ascii="Times New Roman" w:hAnsi="Times New Roman" w:eastAsia="宋体" w:cs="Times New Roman"/>
          <w:b/>
          <w:szCs w:val="21"/>
          <w:highlight w:val="none"/>
          <w:lang w:eastAsia="zh-CN"/>
        </w:rPr>
        <w:t>，</w:t>
      </w:r>
      <w:r>
        <w:rPr>
          <w:rFonts w:hint="eastAsia"/>
          <w:b/>
          <w:szCs w:val="21"/>
          <w:highlight w:val="none"/>
        </w:rPr>
        <w:t>最终稿由买卖双方协商后确定）</w:t>
      </w:r>
      <w:bookmarkEnd w:id="398"/>
    </w:p>
    <w:p w14:paraId="4F9EC3D0">
      <w:pPr>
        <w:spacing w:line="360" w:lineRule="auto"/>
        <w:rPr>
          <w:rFonts w:hint="eastAsia"/>
          <w:b/>
          <w:sz w:val="32"/>
          <w:szCs w:val="32"/>
          <w:highlight w:val="none"/>
        </w:rPr>
      </w:pPr>
    </w:p>
    <w:p w14:paraId="0DB35AA7">
      <w:pPr>
        <w:spacing w:line="360" w:lineRule="auto"/>
        <w:jc w:val="center"/>
        <w:rPr>
          <w:rFonts w:hint="eastAsia"/>
          <w:b/>
          <w:sz w:val="36"/>
          <w:highlight w:val="none"/>
        </w:rPr>
      </w:pPr>
    </w:p>
    <w:p w14:paraId="2E667E62">
      <w:pPr>
        <w:spacing w:line="360" w:lineRule="auto"/>
        <w:jc w:val="both"/>
        <w:rPr>
          <w:rFonts w:hint="eastAsia"/>
          <w:b/>
          <w:sz w:val="48"/>
          <w:highlight w:val="none"/>
        </w:rPr>
      </w:pPr>
    </w:p>
    <w:p w14:paraId="35E59D31">
      <w:pPr>
        <w:spacing w:line="360" w:lineRule="auto"/>
        <w:jc w:val="center"/>
        <w:rPr>
          <w:rFonts w:hint="eastAsia"/>
          <w:b/>
          <w:sz w:val="48"/>
          <w:highlight w:val="none"/>
        </w:rPr>
      </w:pPr>
    </w:p>
    <w:p w14:paraId="4970EDCD">
      <w:pPr>
        <w:spacing w:line="360" w:lineRule="auto"/>
        <w:jc w:val="center"/>
        <w:rPr>
          <w:rFonts w:hint="eastAsia"/>
          <w:b/>
          <w:sz w:val="48"/>
          <w:highlight w:val="none"/>
        </w:rPr>
      </w:pPr>
    </w:p>
    <w:p w14:paraId="4E4CF7F4">
      <w:pPr>
        <w:spacing w:line="360" w:lineRule="auto"/>
        <w:jc w:val="center"/>
        <w:rPr>
          <w:rFonts w:hint="eastAsia" w:ascii="宋体" w:hAnsi="宋体"/>
          <w:b/>
          <w:spacing w:val="-100"/>
          <w:sz w:val="84"/>
          <w:szCs w:val="84"/>
          <w:highlight w:val="none"/>
        </w:rPr>
      </w:pPr>
      <w:r>
        <w:rPr>
          <w:rFonts w:hint="eastAsia" w:ascii="宋体" w:hAnsi="宋体"/>
          <w:b/>
          <w:spacing w:val="-100"/>
          <w:sz w:val="84"/>
          <w:szCs w:val="84"/>
          <w:highlight w:val="none"/>
        </w:rPr>
        <w:t>建 设 工 程 施 工 合 同</w:t>
      </w:r>
    </w:p>
    <w:p w14:paraId="5DC5747C">
      <w:pPr>
        <w:spacing w:line="360" w:lineRule="auto"/>
        <w:jc w:val="both"/>
        <w:rPr>
          <w:rFonts w:hint="eastAsia" w:ascii="宋体" w:hAnsi="宋体"/>
          <w:b/>
          <w:sz w:val="32"/>
          <w:szCs w:val="32"/>
          <w:highlight w:val="none"/>
        </w:rPr>
      </w:pPr>
    </w:p>
    <w:p w14:paraId="737803D5">
      <w:pPr>
        <w:spacing w:line="360" w:lineRule="auto"/>
        <w:jc w:val="center"/>
        <w:rPr>
          <w:rFonts w:hint="eastAsia" w:ascii="宋体" w:hAnsi="宋体"/>
          <w:b/>
          <w:sz w:val="32"/>
          <w:szCs w:val="32"/>
          <w:highlight w:val="none"/>
        </w:rPr>
      </w:pPr>
    </w:p>
    <w:p w14:paraId="06E32BF9">
      <w:pPr>
        <w:spacing w:line="360" w:lineRule="auto"/>
        <w:jc w:val="center"/>
        <w:rPr>
          <w:rFonts w:hint="eastAsia" w:ascii="宋体" w:hAnsi="宋体"/>
          <w:b/>
          <w:sz w:val="32"/>
          <w:szCs w:val="32"/>
          <w:highlight w:val="none"/>
        </w:rPr>
      </w:pPr>
    </w:p>
    <w:p w14:paraId="684B6F8D">
      <w:pPr>
        <w:spacing w:line="360" w:lineRule="auto"/>
        <w:jc w:val="center"/>
        <w:rPr>
          <w:rFonts w:hint="eastAsia" w:ascii="宋体" w:hAnsi="宋体"/>
          <w:b/>
          <w:sz w:val="32"/>
          <w:szCs w:val="32"/>
          <w:highlight w:val="none"/>
        </w:rPr>
      </w:pPr>
    </w:p>
    <w:p w14:paraId="512948D6">
      <w:pPr>
        <w:spacing w:line="360" w:lineRule="auto"/>
        <w:ind w:left="1928" w:hanging="1928" w:hangingChars="600"/>
        <w:rPr>
          <w:rFonts w:hint="default" w:ascii="黑体" w:hAnsi="宋体"/>
          <w:b/>
          <w:sz w:val="32"/>
          <w:szCs w:val="32"/>
          <w:highlight w:val="none"/>
          <w:u w:val="single"/>
          <w:lang w:val="en-US"/>
        </w:rPr>
      </w:pPr>
      <w:r>
        <w:rPr>
          <w:rFonts w:hint="eastAsia" w:ascii="宋体" w:hAnsi="宋体"/>
          <w:b/>
          <w:sz w:val="32"/>
          <w:szCs w:val="32"/>
          <w:highlight w:val="none"/>
        </w:rPr>
        <w:t xml:space="preserve">  工程名称</w:t>
      </w:r>
      <w:r>
        <w:rPr>
          <w:rFonts w:hint="eastAsia" w:ascii="宋体" w:hAnsi="宋体"/>
          <w:b/>
          <w:sz w:val="28"/>
          <w:szCs w:val="28"/>
          <w:highlight w:val="none"/>
        </w:rPr>
        <w:t>：</w:t>
      </w:r>
      <w:r>
        <w:rPr>
          <w:rFonts w:hint="eastAsia" w:ascii="黑体" w:hAnsi="宋体" w:eastAsia="黑体"/>
          <w:b/>
          <w:sz w:val="32"/>
          <w:szCs w:val="32"/>
          <w:highlight w:val="none"/>
          <w:u w:val="single"/>
          <w:lang w:eastAsia="zh-CN"/>
        </w:rPr>
        <w:t xml:space="preserve">大佳何“艺术谷”和美示范片区工程—宁海县大佳何镇南阳福园景区（二期） </w:t>
      </w:r>
      <w:r>
        <w:rPr>
          <w:rFonts w:hint="eastAsia" w:ascii="黑体" w:hAnsi="宋体" w:eastAsia="黑体"/>
          <w:b/>
          <w:sz w:val="32"/>
          <w:szCs w:val="32"/>
          <w:highlight w:val="none"/>
          <w:u w:val="single"/>
          <w:lang w:val="en-US" w:eastAsia="zh-CN"/>
        </w:rPr>
        <w:t xml:space="preserve">                                  </w:t>
      </w:r>
    </w:p>
    <w:p w14:paraId="0FED82CE">
      <w:pPr>
        <w:spacing w:line="360" w:lineRule="auto"/>
        <w:rPr>
          <w:rFonts w:hint="default" w:ascii="宋体" w:hAnsi="宋体"/>
          <w:b/>
          <w:sz w:val="32"/>
          <w:szCs w:val="32"/>
          <w:highlight w:val="none"/>
          <w:lang w:val="en-US"/>
        </w:rPr>
      </w:pPr>
      <w:r>
        <w:rPr>
          <w:rFonts w:hint="eastAsia" w:ascii="宋体" w:hAnsi="宋体"/>
          <w:b/>
          <w:sz w:val="32"/>
          <w:szCs w:val="32"/>
          <w:highlight w:val="none"/>
        </w:rPr>
        <w:t xml:space="preserve">  </w:t>
      </w:r>
      <w:r>
        <w:rPr>
          <w:rFonts w:ascii="宋体" w:hAnsi="宋体"/>
          <w:b/>
          <w:sz w:val="32"/>
          <w:szCs w:val="32"/>
          <w:highlight w:val="none"/>
        </w:rPr>
        <w:t>发</w:t>
      </w:r>
      <w:r>
        <w:rPr>
          <w:rFonts w:hint="eastAsia" w:ascii="宋体" w:hAnsi="宋体"/>
          <w:b/>
          <w:sz w:val="32"/>
          <w:szCs w:val="32"/>
          <w:highlight w:val="none"/>
        </w:rPr>
        <w:t xml:space="preserve"> </w:t>
      </w:r>
      <w:r>
        <w:rPr>
          <w:rFonts w:ascii="宋体" w:hAnsi="宋体"/>
          <w:b/>
          <w:sz w:val="32"/>
          <w:szCs w:val="32"/>
          <w:highlight w:val="none"/>
        </w:rPr>
        <w:t>包</w:t>
      </w:r>
      <w:r>
        <w:rPr>
          <w:rFonts w:hint="eastAsia" w:ascii="宋体" w:hAnsi="宋体"/>
          <w:b/>
          <w:sz w:val="32"/>
          <w:szCs w:val="32"/>
          <w:highlight w:val="none"/>
        </w:rPr>
        <w:t xml:space="preserve"> </w:t>
      </w:r>
      <w:r>
        <w:rPr>
          <w:rFonts w:ascii="宋体" w:hAnsi="宋体"/>
          <w:b/>
          <w:sz w:val="32"/>
          <w:szCs w:val="32"/>
          <w:highlight w:val="none"/>
        </w:rPr>
        <w:t>人：</w:t>
      </w:r>
      <w:r>
        <w:rPr>
          <w:rFonts w:hint="eastAsia" w:ascii="黑体" w:hAnsi="宋体" w:eastAsia="黑体"/>
          <w:b/>
          <w:sz w:val="32"/>
          <w:szCs w:val="32"/>
          <w:highlight w:val="none"/>
          <w:u w:val="single"/>
          <w:lang w:eastAsia="zh-CN"/>
        </w:rPr>
        <w:t xml:space="preserve">宁海县大佳何镇人民政府     </w:t>
      </w:r>
      <w:r>
        <w:rPr>
          <w:rFonts w:hint="eastAsia" w:ascii="黑体" w:hAnsi="宋体" w:eastAsia="黑体"/>
          <w:b/>
          <w:sz w:val="32"/>
          <w:szCs w:val="32"/>
          <w:highlight w:val="none"/>
          <w:u w:val="single"/>
          <w:lang w:val="en-US" w:eastAsia="zh-CN"/>
        </w:rPr>
        <w:t xml:space="preserve">                         </w:t>
      </w:r>
    </w:p>
    <w:p w14:paraId="41AFE0FD">
      <w:pPr>
        <w:spacing w:line="360" w:lineRule="auto"/>
        <w:rPr>
          <w:rFonts w:hint="default" w:ascii="宋体" w:hAnsi="宋体" w:eastAsia="黑体"/>
          <w:b/>
          <w:sz w:val="32"/>
          <w:szCs w:val="32"/>
          <w:highlight w:val="none"/>
          <w:lang w:val="en-US" w:eastAsia="zh-CN"/>
        </w:rPr>
      </w:pPr>
      <w:r>
        <w:rPr>
          <w:rFonts w:hint="eastAsia" w:ascii="宋体" w:hAnsi="宋体"/>
          <w:b/>
          <w:sz w:val="32"/>
          <w:szCs w:val="32"/>
          <w:highlight w:val="none"/>
        </w:rPr>
        <w:t xml:space="preserve">  </w:t>
      </w:r>
      <w:r>
        <w:rPr>
          <w:rFonts w:ascii="宋体" w:hAnsi="宋体"/>
          <w:b/>
          <w:sz w:val="32"/>
          <w:szCs w:val="32"/>
          <w:highlight w:val="none"/>
        </w:rPr>
        <w:t>承</w:t>
      </w:r>
      <w:r>
        <w:rPr>
          <w:rFonts w:hint="eastAsia" w:ascii="宋体" w:hAnsi="宋体"/>
          <w:b/>
          <w:sz w:val="32"/>
          <w:szCs w:val="32"/>
          <w:highlight w:val="none"/>
        </w:rPr>
        <w:t xml:space="preserve"> </w:t>
      </w:r>
      <w:r>
        <w:rPr>
          <w:rFonts w:ascii="宋体" w:hAnsi="宋体"/>
          <w:b/>
          <w:sz w:val="32"/>
          <w:szCs w:val="32"/>
          <w:highlight w:val="none"/>
        </w:rPr>
        <w:t>包</w:t>
      </w:r>
      <w:r>
        <w:rPr>
          <w:rFonts w:hint="eastAsia" w:ascii="宋体" w:hAnsi="宋体"/>
          <w:b/>
          <w:sz w:val="32"/>
          <w:szCs w:val="32"/>
          <w:highlight w:val="none"/>
        </w:rPr>
        <w:t xml:space="preserve"> </w:t>
      </w:r>
      <w:r>
        <w:rPr>
          <w:rFonts w:ascii="宋体" w:hAnsi="宋体"/>
          <w:b/>
          <w:sz w:val="32"/>
          <w:szCs w:val="32"/>
          <w:highlight w:val="none"/>
        </w:rPr>
        <w:t>人：</w:t>
      </w:r>
      <w:r>
        <w:rPr>
          <w:rFonts w:hint="eastAsia" w:ascii="黑体" w:hAnsi="宋体" w:eastAsia="黑体"/>
          <w:b/>
          <w:sz w:val="32"/>
          <w:szCs w:val="32"/>
          <w:highlight w:val="none"/>
          <w:u w:val="single"/>
        </w:rPr>
        <w:t xml:space="preserve">                               </w:t>
      </w:r>
      <w:r>
        <w:rPr>
          <w:rFonts w:hint="eastAsia" w:ascii="黑体" w:hAnsi="宋体" w:eastAsia="黑体"/>
          <w:b/>
          <w:sz w:val="32"/>
          <w:szCs w:val="32"/>
          <w:highlight w:val="none"/>
          <w:u w:val="single"/>
          <w:lang w:val="en-US" w:eastAsia="zh-CN"/>
        </w:rPr>
        <w:t xml:space="preserve">             </w:t>
      </w:r>
    </w:p>
    <w:p w14:paraId="7BDAE1AA">
      <w:pPr>
        <w:pStyle w:val="5"/>
        <w:tabs>
          <w:tab w:val="left" w:pos="578"/>
          <w:tab w:val="clear" w:pos="432"/>
        </w:tabs>
        <w:jc w:val="center"/>
        <w:rPr>
          <w:rFonts w:ascii="黑体" w:hAnsi="华文中宋"/>
          <w:highlight w:val="none"/>
        </w:rPr>
        <w:sectPr>
          <w:headerReference r:id="rId7" w:type="default"/>
          <w:footerReference r:id="rId8" w:type="default"/>
          <w:pgSz w:w="11906" w:h="16838"/>
          <w:pgMar w:top="1440" w:right="1440" w:bottom="1440" w:left="1440" w:header="851" w:footer="992" w:gutter="0"/>
          <w:cols w:space="720" w:num="1"/>
          <w:titlePg/>
          <w:docGrid w:linePitch="312" w:charSpace="0"/>
        </w:sectPr>
      </w:pPr>
      <w:bookmarkStart w:id="399" w:name="_Toc386638592"/>
      <w:bookmarkEnd w:id="399"/>
    </w:p>
    <w:p w14:paraId="6D2756CF">
      <w:pPr>
        <w:pStyle w:val="6"/>
        <w:tabs>
          <w:tab w:val="left" w:pos="1620"/>
          <w:tab w:val="clear" w:pos="900"/>
        </w:tabs>
        <w:spacing w:line="264" w:lineRule="auto"/>
        <w:ind w:left="0" w:leftChars="0" w:firstLine="0" w:firstLineChars="0"/>
        <w:jc w:val="center"/>
        <w:rPr>
          <w:rFonts w:hint="eastAsia" w:ascii="宋体" w:hAnsi="宋体"/>
          <w:sz w:val="32"/>
          <w:szCs w:val="32"/>
          <w:highlight w:val="none"/>
        </w:rPr>
      </w:pPr>
      <w:bookmarkStart w:id="400" w:name="_Toc296890982"/>
      <w:bookmarkStart w:id="401" w:name="_Toc296503025"/>
      <w:r>
        <w:rPr>
          <w:rFonts w:ascii="宋体" w:hAnsi="宋体"/>
          <w:sz w:val="32"/>
          <w:szCs w:val="32"/>
          <w:highlight w:val="none"/>
        </w:rPr>
        <w:t>第一部分 合同协议书</w:t>
      </w:r>
      <w:bookmarkEnd w:id="400"/>
      <w:bookmarkEnd w:id="401"/>
    </w:p>
    <w:p w14:paraId="19F50462">
      <w:pPr>
        <w:rPr>
          <w:rFonts w:hint="eastAsia" w:ascii="宋体" w:hAnsi="宋体"/>
          <w:szCs w:val="21"/>
          <w:highlight w:val="none"/>
        </w:rPr>
      </w:pPr>
    </w:p>
    <w:p w14:paraId="22F4FD47">
      <w:pPr>
        <w:spacing w:line="460" w:lineRule="exact"/>
        <w:rPr>
          <w:rFonts w:hint="default" w:ascii="宋体" w:hAnsi="宋体"/>
          <w:b/>
          <w:sz w:val="24"/>
          <w:szCs w:val="24"/>
          <w:highlight w:val="none"/>
          <w:u w:val="single"/>
          <w:lang w:val="en-US"/>
        </w:rPr>
      </w:pPr>
      <w:r>
        <w:rPr>
          <w:rFonts w:ascii="宋体" w:hAnsi="宋体"/>
          <w:b/>
          <w:sz w:val="24"/>
          <w:szCs w:val="24"/>
          <w:highlight w:val="none"/>
        </w:rPr>
        <w:t>发包人（全称）：</w:t>
      </w:r>
      <w:r>
        <w:rPr>
          <w:rFonts w:hint="eastAsia" w:ascii="宋体" w:hAnsi="宋体" w:cs="Times New Roman"/>
          <w:bCs/>
          <w:kern w:val="2"/>
          <w:sz w:val="24"/>
          <w:szCs w:val="24"/>
          <w:highlight w:val="none"/>
          <w:u w:val="single"/>
          <w:lang w:val="en-US" w:eastAsia="zh-CN" w:bidi="ar-SA"/>
        </w:rPr>
        <w:t xml:space="preserve">宁海县大佳何镇人民政府         </w:t>
      </w:r>
    </w:p>
    <w:p w14:paraId="2B703CD7">
      <w:pPr>
        <w:spacing w:line="460" w:lineRule="exact"/>
        <w:rPr>
          <w:rFonts w:hint="default" w:ascii="宋体" w:hAnsi="宋体" w:eastAsia="宋体"/>
          <w:b/>
          <w:sz w:val="24"/>
          <w:szCs w:val="24"/>
          <w:highlight w:val="none"/>
          <w:u w:val="single"/>
          <w:lang w:val="en-US" w:eastAsia="zh-CN"/>
        </w:rPr>
      </w:pPr>
      <w:r>
        <w:rPr>
          <w:rFonts w:ascii="宋体" w:hAnsi="宋体"/>
          <w:b/>
          <w:sz w:val="24"/>
          <w:szCs w:val="24"/>
          <w:highlight w:val="none"/>
        </w:rPr>
        <w:t>承包人（全称）：</w:t>
      </w:r>
      <w:r>
        <w:rPr>
          <w:rFonts w:ascii="宋体" w:hAnsi="宋体"/>
          <w:bCs/>
          <w:sz w:val="24"/>
          <w:szCs w:val="24"/>
          <w:highlight w:val="none"/>
          <w:u w:val="single"/>
        </w:rPr>
        <w:t xml:space="preserve"> </w:t>
      </w:r>
      <w:r>
        <w:rPr>
          <w:rFonts w:ascii="宋体" w:hAnsi="宋体"/>
          <w:b/>
          <w:sz w:val="24"/>
          <w:szCs w:val="24"/>
          <w:highlight w:val="none"/>
          <w:u w:val="single"/>
        </w:rPr>
        <w:t xml:space="preserve">  </w:t>
      </w:r>
      <w:r>
        <w:rPr>
          <w:rFonts w:hint="eastAsia" w:ascii="宋体" w:hAnsi="宋体"/>
          <w:b/>
          <w:sz w:val="24"/>
          <w:szCs w:val="24"/>
          <w:highlight w:val="none"/>
          <w:u w:val="single"/>
        </w:rPr>
        <w:t xml:space="preserve">          </w:t>
      </w:r>
      <w:r>
        <w:rPr>
          <w:rFonts w:hint="eastAsia" w:ascii="宋体" w:hAnsi="宋体"/>
          <w:b/>
          <w:sz w:val="24"/>
          <w:szCs w:val="24"/>
          <w:highlight w:val="none"/>
          <w:u w:val="single"/>
          <w:lang w:val="en-US" w:eastAsia="zh-CN"/>
        </w:rPr>
        <w:t xml:space="preserve">        </w:t>
      </w:r>
      <w:r>
        <w:rPr>
          <w:rFonts w:hint="eastAsia" w:ascii="宋体" w:hAnsi="宋体"/>
          <w:b/>
          <w:sz w:val="24"/>
          <w:szCs w:val="24"/>
          <w:highlight w:val="none"/>
          <w:u w:val="single"/>
        </w:rPr>
        <w:t xml:space="preserve">  </w:t>
      </w:r>
      <w:r>
        <w:rPr>
          <w:rFonts w:ascii="宋体" w:hAnsi="宋体"/>
          <w:b/>
          <w:sz w:val="24"/>
          <w:szCs w:val="24"/>
          <w:highlight w:val="none"/>
          <w:u w:val="single"/>
        </w:rPr>
        <w:t xml:space="preserve"> </w:t>
      </w:r>
      <w:r>
        <w:rPr>
          <w:rFonts w:hint="eastAsia" w:ascii="宋体" w:hAnsi="宋体"/>
          <w:b/>
          <w:sz w:val="24"/>
          <w:szCs w:val="24"/>
          <w:highlight w:val="none"/>
          <w:u w:val="single"/>
        </w:rPr>
        <w:t xml:space="preserve">  </w:t>
      </w:r>
      <w:r>
        <w:rPr>
          <w:rFonts w:hint="eastAsia" w:ascii="宋体" w:hAnsi="宋体"/>
          <w:b/>
          <w:sz w:val="24"/>
          <w:szCs w:val="24"/>
          <w:highlight w:val="none"/>
          <w:u w:val="single"/>
          <w:lang w:val="en-US" w:eastAsia="zh-CN"/>
        </w:rPr>
        <w:t xml:space="preserve">     </w:t>
      </w:r>
    </w:p>
    <w:p w14:paraId="45CD0C78">
      <w:pPr>
        <w:pStyle w:val="969"/>
        <w:snapToGrid w:val="0"/>
        <w:spacing w:line="360" w:lineRule="auto"/>
        <w:ind w:firstLine="420" w:firstLineChars="200"/>
        <w:contextualSpacing/>
        <w:jc w:val="both"/>
        <w:rPr>
          <w:rFonts w:eastAsia="宋体"/>
          <w:sz w:val="21"/>
          <w:szCs w:val="21"/>
          <w:highlight w:val="none"/>
          <w:lang w:eastAsia="zh-CN"/>
        </w:rPr>
      </w:pPr>
    </w:p>
    <w:p w14:paraId="0048696C">
      <w:pPr>
        <w:pStyle w:val="969"/>
        <w:snapToGrid w:val="0"/>
        <w:spacing w:line="360" w:lineRule="auto"/>
        <w:ind w:firstLine="420" w:firstLineChars="200"/>
        <w:contextualSpacing/>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根据</w:t>
      </w:r>
      <w:r>
        <w:rPr>
          <w:rFonts w:hint="eastAsia" w:ascii="宋体" w:hAnsi="宋体" w:eastAsia="宋体" w:cs="宋体"/>
          <w:sz w:val="21"/>
          <w:szCs w:val="21"/>
          <w:highlight w:val="none"/>
          <w:lang w:val="en-US" w:eastAsia="zh-CN"/>
        </w:rPr>
        <w:t xml:space="preserve"> </w:t>
      </w:r>
      <w:r>
        <w:rPr>
          <w:rFonts w:hint="eastAsia" w:ascii="宋体" w:hAnsi="宋体" w:eastAsia="宋体" w:cs="宋体"/>
          <w:bCs/>
          <w:kern w:val="2"/>
          <w:sz w:val="21"/>
          <w:szCs w:val="21"/>
          <w:highlight w:val="none"/>
          <w:u w:val="single"/>
          <w:lang w:val="en-US" w:eastAsia="zh-CN" w:bidi="ar-SA"/>
        </w:rPr>
        <w:t xml:space="preserve">大佳何“艺术谷”和美示范片区工程—宁海县大佳何镇南阳福园景区（二期）  </w:t>
      </w:r>
      <w:r>
        <w:rPr>
          <w:rFonts w:hint="eastAsia" w:ascii="宋体" w:hAnsi="宋体" w:eastAsia="宋体" w:cs="宋体"/>
          <w:sz w:val="21"/>
          <w:szCs w:val="21"/>
          <w:highlight w:val="none"/>
          <w:lang w:eastAsia="zh-CN"/>
        </w:rPr>
        <w:t>竞争性磋商的结果，</w:t>
      </w:r>
      <w:r>
        <w:rPr>
          <w:rFonts w:hint="eastAsia" w:ascii="宋体" w:hAnsi="宋体" w:eastAsia="宋体" w:cs="宋体"/>
          <w:color w:val="auto"/>
          <w:sz w:val="21"/>
          <w:szCs w:val="21"/>
          <w:highlight w:val="none"/>
        </w:rPr>
        <w:t>依照《中华人民共和国民</w:t>
      </w:r>
      <w:r>
        <w:rPr>
          <w:rFonts w:hint="eastAsia" w:ascii="宋体" w:hAnsi="宋体" w:eastAsia="宋体" w:cs="宋体"/>
          <w:color w:val="auto"/>
          <w:sz w:val="21"/>
          <w:szCs w:val="21"/>
          <w:highlight w:val="none"/>
          <w:lang w:val="en-US" w:eastAsia="zh-CN"/>
        </w:rPr>
        <w:t>政府采购法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《中华人民共和国民法典》﹑《中华人民共和国建筑法》及其他有关法律﹑行政法规，遵循平等﹑自愿﹑公平和诚实信用的原则，双方就本工程施工事项协商一致，订立本合同</w:t>
      </w:r>
      <w:r>
        <w:rPr>
          <w:rFonts w:hint="eastAsia" w:ascii="宋体" w:hAnsi="宋体" w:eastAsia="宋体" w:cs="宋体"/>
          <w:sz w:val="21"/>
          <w:szCs w:val="21"/>
          <w:highlight w:val="none"/>
          <w:lang w:eastAsia="zh-CN"/>
        </w:rPr>
        <w:t>。</w:t>
      </w:r>
    </w:p>
    <w:p w14:paraId="3A74632D">
      <w:pPr>
        <w:spacing w:line="360" w:lineRule="auto"/>
        <w:rPr>
          <w:rFonts w:hint="eastAsia" w:ascii="宋体" w:hAnsi="宋体" w:eastAsia="宋体" w:cs="宋体"/>
          <w:bCs/>
          <w:sz w:val="21"/>
          <w:szCs w:val="21"/>
          <w:highlight w:val="none"/>
        </w:rPr>
      </w:pPr>
      <w:bookmarkStart w:id="402" w:name="_Toc386638593"/>
      <w:r>
        <w:rPr>
          <w:rFonts w:hint="eastAsia" w:ascii="宋体" w:hAnsi="宋体" w:eastAsia="宋体" w:cs="宋体"/>
          <w:b/>
          <w:sz w:val="21"/>
          <w:szCs w:val="21"/>
          <w:highlight w:val="none"/>
        </w:rPr>
        <w:t>一、工程概况</w:t>
      </w:r>
      <w:bookmarkEnd w:id="402"/>
    </w:p>
    <w:p w14:paraId="01401382">
      <w:pPr>
        <w:spacing w:line="360" w:lineRule="auto"/>
        <w:ind w:firstLine="411" w:firstLineChars="196"/>
        <w:rPr>
          <w:rFonts w:hint="eastAsia" w:ascii="宋体" w:hAnsi="宋体" w:eastAsia="宋体" w:cs="宋体"/>
          <w:sz w:val="21"/>
          <w:szCs w:val="21"/>
          <w:highlight w:val="none"/>
          <w:u w:val="single"/>
        </w:rPr>
      </w:pPr>
      <w:r>
        <w:rPr>
          <w:rFonts w:hint="eastAsia" w:ascii="宋体" w:hAnsi="宋体" w:eastAsia="宋体" w:cs="宋体"/>
          <w:bCs/>
          <w:sz w:val="21"/>
          <w:szCs w:val="21"/>
          <w:highlight w:val="none"/>
        </w:rPr>
        <w:t>1.工程名称</w:t>
      </w:r>
      <w:r>
        <w:rPr>
          <w:rFonts w:hint="eastAsia" w:ascii="宋体" w:hAnsi="宋体" w:eastAsia="宋体" w:cs="宋体"/>
          <w:sz w:val="21"/>
          <w:szCs w:val="21"/>
          <w:highlight w:val="none"/>
        </w:rPr>
        <w:t>：</w:t>
      </w:r>
      <w:r>
        <w:rPr>
          <w:rFonts w:hint="eastAsia" w:ascii="宋体" w:hAnsi="宋体" w:cs="宋体"/>
          <w:bCs/>
          <w:kern w:val="2"/>
          <w:sz w:val="21"/>
          <w:szCs w:val="21"/>
          <w:highlight w:val="none"/>
          <w:u w:val="single"/>
          <w:lang w:val="en-US" w:eastAsia="zh-CN" w:bidi="ar-SA"/>
        </w:rPr>
        <w:t xml:space="preserve">大佳何“艺术谷”和美示范片区工程—宁海县大佳何镇南阳福园景区（二期） </w:t>
      </w:r>
      <w:r>
        <w:rPr>
          <w:rFonts w:hint="eastAsia" w:ascii="宋体" w:hAnsi="宋体" w:eastAsia="宋体" w:cs="宋体"/>
          <w:sz w:val="21"/>
          <w:szCs w:val="21"/>
          <w:highlight w:val="none"/>
        </w:rPr>
        <w:t>。</w:t>
      </w:r>
    </w:p>
    <w:p w14:paraId="6AB81F32">
      <w:pPr>
        <w:spacing w:line="360" w:lineRule="auto"/>
        <w:ind w:firstLine="411" w:firstLineChars="196"/>
        <w:rPr>
          <w:rFonts w:hint="eastAsia" w:ascii="宋体" w:hAnsi="宋体" w:eastAsia="宋体" w:cs="宋体"/>
          <w:sz w:val="21"/>
          <w:szCs w:val="21"/>
          <w:highlight w:val="none"/>
          <w:u w:val="single"/>
        </w:rPr>
      </w:pPr>
      <w:r>
        <w:rPr>
          <w:rFonts w:hint="eastAsia" w:ascii="宋体" w:hAnsi="宋体" w:eastAsia="宋体" w:cs="宋体"/>
          <w:bCs/>
          <w:sz w:val="21"/>
          <w:szCs w:val="21"/>
          <w:highlight w:val="none"/>
        </w:rPr>
        <w:t>2.工程地点：</w:t>
      </w:r>
      <w:r>
        <w:rPr>
          <w:rFonts w:hint="eastAsia" w:ascii="宋体" w:hAnsi="宋体" w:eastAsia="宋体" w:cs="宋体"/>
          <w:sz w:val="21"/>
          <w:szCs w:val="21"/>
          <w:highlight w:val="none"/>
          <w:u w:val="single"/>
        </w:rPr>
        <w:t>本项</w:t>
      </w:r>
      <w:r>
        <w:rPr>
          <w:rFonts w:hint="eastAsia" w:ascii="宋体" w:hAnsi="宋体" w:eastAsia="宋体" w:cs="宋体"/>
          <w:bCs/>
          <w:kern w:val="2"/>
          <w:sz w:val="21"/>
          <w:szCs w:val="21"/>
          <w:highlight w:val="none"/>
          <w:u w:val="single"/>
          <w:lang w:val="en-US" w:eastAsia="zh-CN" w:bidi="ar-SA"/>
        </w:rPr>
        <w:t>目位于宁海县大佳何镇。</w:t>
      </w:r>
    </w:p>
    <w:p w14:paraId="56A00971">
      <w:pPr>
        <w:spacing w:line="360" w:lineRule="auto"/>
        <w:ind w:firstLine="411" w:firstLineChars="196"/>
        <w:rPr>
          <w:rFonts w:hint="default" w:ascii="宋体" w:hAnsi="宋体" w:eastAsia="宋体" w:cs="宋体"/>
          <w:sz w:val="21"/>
          <w:szCs w:val="21"/>
          <w:highlight w:val="none"/>
          <w:u w:val="single"/>
          <w:lang w:val="en-US" w:eastAsia="zh-CN"/>
        </w:rPr>
      </w:pPr>
      <w:r>
        <w:rPr>
          <w:rFonts w:hint="eastAsia" w:ascii="宋体" w:hAnsi="宋体" w:eastAsia="宋体" w:cs="宋体"/>
          <w:bCs/>
          <w:sz w:val="21"/>
          <w:szCs w:val="21"/>
          <w:highlight w:val="none"/>
        </w:rPr>
        <w:t>3.工程立项批准文号：</w:t>
      </w:r>
      <w:r>
        <w:rPr>
          <w:rFonts w:hint="eastAsia" w:ascii="宋体" w:hAnsi="宋体" w:eastAsia="宋体" w:cs="宋体"/>
          <w:sz w:val="21"/>
          <w:szCs w:val="21"/>
          <w:highlight w:val="none"/>
          <w:u w:val="single"/>
          <w:lang w:val="en-US" w:eastAsia="zh-CN"/>
        </w:rPr>
        <w:t xml:space="preserve">  /  </w:t>
      </w:r>
      <w:r>
        <w:rPr>
          <w:rFonts w:hint="eastAsia" w:ascii="宋体" w:hAnsi="宋体" w:cs="宋体"/>
          <w:sz w:val="21"/>
          <w:szCs w:val="21"/>
          <w:highlight w:val="none"/>
          <w:u w:val="single"/>
          <w:lang w:val="en-US" w:eastAsia="zh-CN"/>
        </w:rPr>
        <w:t xml:space="preserve"> </w:t>
      </w:r>
    </w:p>
    <w:p w14:paraId="131AECA7">
      <w:pPr>
        <w:spacing w:line="360" w:lineRule="auto"/>
        <w:ind w:firstLine="411" w:firstLineChars="196"/>
        <w:rPr>
          <w:rFonts w:hint="eastAsia" w:ascii="宋体" w:hAnsi="宋体" w:eastAsia="宋体" w:cs="宋体"/>
          <w:bCs/>
          <w:color w:val="auto"/>
          <w:sz w:val="21"/>
          <w:szCs w:val="21"/>
          <w:highlight w:val="none"/>
          <w:u w:val="single"/>
        </w:rPr>
      </w:pPr>
      <w:r>
        <w:rPr>
          <w:rFonts w:hint="eastAsia" w:ascii="宋体" w:hAnsi="宋体" w:eastAsia="宋体" w:cs="宋体"/>
          <w:bCs/>
          <w:sz w:val="21"/>
          <w:szCs w:val="21"/>
          <w:highlight w:val="none"/>
        </w:rPr>
        <w:t>4.资金来源：</w:t>
      </w:r>
      <w:r>
        <w:rPr>
          <w:rFonts w:hint="eastAsia" w:ascii="宋体" w:hAnsi="宋体" w:cs="宋体"/>
          <w:bCs/>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w:t>
      </w:r>
    </w:p>
    <w:p w14:paraId="65487CBC">
      <w:pPr>
        <w:spacing w:line="360" w:lineRule="auto"/>
        <w:ind w:firstLine="420" w:firstLineChars="200"/>
        <w:contextualSpacing/>
        <w:jc w:val="left"/>
        <w:rPr>
          <w:rFonts w:hint="eastAsia" w:ascii="宋体" w:hAnsi="宋体" w:eastAsia="宋体" w:cs="宋体"/>
          <w:kern w:val="0"/>
          <w:sz w:val="21"/>
          <w:szCs w:val="21"/>
          <w:highlight w:val="none"/>
          <w:u w:val="single"/>
        </w:rPr>
      </w:pPr>
      <w:r>
        <w:rPr>
          <w:rFonts w:hint="eastAsia" w:ascii="宋体" w:hAnsi="宋体" w:eastAsia="宋体" w:cs="宋体"/>
          <w:bCs/>
          <w:sz w:val="21"/>
          <w:szCs w:val="21"/>
          <w:highlight w:val="none"/>
        </w:rPr>
        <w:t>5.建设规模：</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w:t>
      </w:r>
    </w:p>
    <w:p w14:paraId="549A5CBF">
      <w:pPr>
        <w:spacing w:line="360" w:lineRule="auto"/>
        <w:ind w:firstLine="411" w:firstLineChars="196"/>
        <w:rPr>
          <w:rFonts w:hint="eastAsia" w:ascii="宋体" w:hAnsi="宋体" w:eastAsia="宋体" w:cs="宋体"/>
          <w:sz w:val="21"/>
          <w:szCs w:val="21"/>
          <w:highlight w:val="yellow"/>
        </w:rPr>
      </w:pPr>
      <w:r>
        <w:rPr>
          <w:rFonts w:hint="eastAsia" w:ascii="宋体" w:hAnsi="宋体" w:eastAsia="宋体" w:cs="宋体"/>
          <w:bCs/>
          <w:sz w:val="21"/>
          <w:szCs w:val="21"/>
          <w:highlight w:val="none"/>
        </w:rPr>
        <w:t>6.工程承包范围：</w:t>
      </w:r>
      <w:r>
        <w:rPr>
          <w:rFonts w:hint="eastAsia" w:ascii="宋体" w:hAnsi="宋体" w:eastAsia="宋体" w:cs="宋体"/>
          <w:sz w:val="21"/>
          <w:szCs w:val="21"/>
          <w:highlight w:val="none"/>
          <w:u w:val="single"/>
        </w:rPr>
        <w:t>施工图范围内门窗工程、地面工程、木作工程、屋面工程、油漆工程、室内装修、安装工程、拆除工程等。(</w:t>
      </w:r>
      <w:r>
        <w:rPr>
          <w:rFonts w:hint="eastAsia" w:ascii="宋体" w:hAnsi="宋体" w:eastAsia="宋体" w:cs="宋体"/>
          <w:sz w:val="21"/>
          <w:szCs w:val="21"/>
          <w:highlight w:val="none"/>
          <w:u w:val="single"/>
          <w:lang w:val="en-US" w:eastAsia="zh-CN"/>
        </w:rPr>
        <w:t>详见预算以及采购文件要求)</w:t>
      </w:r>
      <w:r>
        <w:rPr>
          <w:rFonts w:hint="eastAsia" w:ascii="宋体" w:hAnsi="宋体" w:eastAsia="宋体" w:cs="宋体"/>
          <w:sz w:val="21"/>
          <w:szCs w:val="21"/>
          <w:highlight w:val="none"/>
        </w:rPr>
        <w:t>。</w:t>
      </w:r>
    </w:p>
    <w:p w14:paraId="6761A697">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w:t>
      </w:r>
      <w:bookmarkStart w:id="403" w:name="_Toc386638594"/>
      <w:r>
        <w:rPr>
          <w:rFonts w:hint="eastAsia" w:ascii="宋体" w:hAnsi="宋体" w:eastAsia="宋体" w:cs="宋体"/>
          <w:b/>
          <w:sz w:val="21"/>
          <w:szCs w:val="21"/>
          <w:highlight w:val="none"/>
        </w:rPr>
        <w:t>二、合同工期</w:t>
      </w:r>
      <w:bookmarkEnd w:id="403"/>
    </w:p>
    <w:p w14:paraId="001FAE95">
      <w:pPr>
        <w:spacing w:line="360" w:lineRule="auto"/>
        <w:ind w:firstLine="459"/>
        <w:rPr>
          <w:rFonts w:hint="eastAsia" w:ascii="宋体" w:hAnsi="宋体" w:eastAsia="宋体" w:cs="宋体"/>
          <w:sz w:val="21"/>
          <w:szCs w:val="21"/>
          <w:highlight w:val="none"/>
        </w:rPr>
      </w:pPr>
      <w:r>
        <w:rPr>
          <w:rFonts w:hint="eastAsia" w:ascii="宋体" w:hAnsi="宋体" w:eastAsia="宋体" w:cs="宋体"/>
          <w:sz w:val="21"/>
          <w:szCs w:val="21"/>
          <w:highlight w:val="none"/>
        </w:rPr>
        <w:t>计划开工日期：</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76361594">
      <w:pPr>
        <w:spacing w:line="360" w:lineRule="auto"/>
        <w:ind w:firstLine="459"/>
        <w:rPr>
          <w:rFonts w:hint="eastAsia" w:ascii="宋体" w:hAnsi="宋体" w:eastAsia="宋体" w:cs="宋体"/>
          <w:sz w:val="21"/>
          <w:szCs w:val="21"/>
          <w:highlight w:val="none"/>
        </w:rPr>
      </w:pPr>
      <w:r>
        <w:rPr>
          <w:rFonts w:hint="eastAsia" w:ascii="宋体" w:hAnsi="宋体" w:eastAsia="宋体" w:cs="宋体"/>
          <w:sz w:val="21"/>
          <w:szCs w:val="21"/>
          <w:highlight w:val="none"/>
        </w:rPr>
        <w:t>计划竣工日期：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55FE0F14">
      <w:pPr>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工期总日历天</w:t>
      </w:r>
      <w:r>
        <w:rPr>
          <w:rFonts w:hint="eastAsia" w:ascii="宋体" w:hAnsi="宋体" w:eastAsia="宋体" w:cs="宋体"/>
          <w:color w:val="auto"/>
          <w:sz w:val="21"/>
          <w:szCs w:val="21"/>
          <w:highlight w:val="none"/>
        </w:rPr>
        <w:t>数：</w:t>
      </w:r>
      <w:r>
        <w:rPr>
          <w:rFonts w:hint="eastAsia" w:ascii="宋体" w:hAnsi="宋体" w:cs="宋体"/>
          <w:color w:val="auto"/>
          <w:sz w:val="21"/>
          <w:szCs w:val="21"/>
          <w:highlight w:val="none"/>
          <w:u w:val="single"/>
          <w:lang w:val="en-US" w:eastAsia="zh-CN"/>
        </w:rPr>
        <w:t>150日历天</w:t>
      </w:r>
      <w:r>
        <w:rPr>
          <w:rFonts w:hint="eastAsia" w:ascii="宋体" w:hAnsi="宋体" w:eastAsia="宋体" w:cs="宋体"/>
          <w:color w:val="auto"/>
          <w:sz w:val="21"/>
          <w:szCs w:val="21"/>
          <w:highlight w:val="none"/>
        </w:rPr>
        <w:t>，工期总日历天数与根据前述计划开竣工日期计算的工期天数不一致的，以工期总日历天数为准。</w:t>
      </w:r>
    </w:p>
    <w:p w14:paraId="7D753C7E">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bookmarkStart w:id="404" w:name="_Toc386638595"/>
      <w:r>
        <w:rPr>
          <w:rFonts w:hint="eastAsia" w:ascii="宋体" w:hAnsi="宋体" w:eastAsia="宋体" w:cs="宋体"/>
          <w:b/>
          <w:sz w:val="21"/>
          <w:szCs w:val="21"/>
          <w:highlight w:val="none"/>
        </w:rPr>
        <w:t>三、质量标准</w:t>
      </w:r>
      <w:bookmarkEnd w:id="404"/>
    </w:p>
    <w:p w14:paraId="46C4BF81">
      <w:pPr>
        <w:widowControl/>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工程质量</w:t>
      </w:r>
      <w:r>
        <w:rPr>
          <w:rFonts w:hint="eastAsia" w:ascii="宋体" w:hAnsi="宋体" w:eastAsia="宋体" w:cs="宋体"/>
          <w:sz w:val="21"/>
          <w:szCs w:val="21"/>
          <w:highlight w:val="none"/>
          <w:u w:val="single"/>
        </w:rPr>
        <w:t>符合现行国家有关工程质量验收规范和标准要求，验收合格</w:t>
      </w:r>
      <w:r>
        <w:rPr>
          <w:rFonts w:hint="eastAsia" w:ascii="宋体" w:hAnsi="宋体" w:eastAsia="宋体" w:cs="宋体"/>
          <w:sz w:val="21"/>
          <w:szCs w:val="21"/>
          <w:highlight w:val="none"/>
        </w:rPr>
        <w:t>标准。</w:t>
      </w:r>
    </w:p>
    <w:p w14:paraId="64316B57">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r>
        <w:rPr>
          <w:rFonts w:hint="eastAsia" w:ascii="宋体" w:hAnsi="宋体" w:eastAsia="宋体" w:cs="宋体"/>
          <w:b/>
          <w:sz w:val="21"/>
          <w:szCs w:val="21"/>
          <w:highlight w:val="none"/>
        </w:rPr>
        <w:t xml:space="preserve"> </w:t>
      </w:r>
      <w:bookmarkStart w:id="405" w:name="_Toc386638596"/>
      <w:r>
        <w:rPr>
          <w:rFonts w:hint="eastAsia" w:ascii="宋体" w:hAnsi="宋体" w:eastAsia="宋体" w:cs="宋体"/>
          <w:b/>
          <w:sz w:val="21"/>
          <w:szCs w:val="21"/>
          <w:highlight w:val="none"/>
        </w:rPr>
        <w:t>四、签约合同价与合同价格形式</w:t>
      </w:r>
      <w:bookmarkEnd w:id="405"/>
      <w:r>
        <w:rPr>
          <w:rFonts w:hint="eastAsia" w:ascii="宋体" w:hAnsi="宋体" w:eastAsia="宋体" w:cs="宋体"/>
          <w:b/>
          <w:sz w:val="21"/>
          <w:szCs w:val="21"/>
          <w:highlight w:val="none"/>
        </w:rPr>
        <w:tab/>
      </w:r>
    </w:p>
    <w:p w14:paraId="5432A21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1.签约合同价为：</w:t>
      </w:r>
    </w:p>
    <w:p w14:paraId="679FCBCA">
      <w:pPr>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元整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r>
        <w:rPr>
          <w:rFonts w:hint="eastAsia" w:ascii="宋体" w:hAnsi="宋体" w:eastAsia="宋体" w:cs="宋体"/>
          <w:sz w:val="21"/>
          <w:szCs w:val="21"/>
          <w:highlight w:val="none"/>
          <w:lang w:eastAsia="zh-CN"/>
        </w:rPr>
        <w:t>，</w:t>
      </w:r>
      <w:r>
        <w:rPr>
          <w:rFonts w:hint="eastAsia" w:hAnsi="宋体" w:eastAsia="宋体" w:cs="宋体"/>
          <w:color w:val="auto"/>
          <w:sz w:val="21"/>
          <w:highlight w:val="none"/>
          <w:u w:val="single"/>
        </w:rPr>
        <w:t>成交浮动率      %</w:t>
      </w:r>
      <w:r>
        <w:rPr>
          <w:rFonts w:hint="eastAsia" w:ascii="宋体" w:hAnsi="宋体" w:eastAsia="宋体" w:cs="宋体"/>
          <w:sz w:val="21"/>
          <w:szCs w:val="21"/>
          <w:highlight w:val="none"/>
        </w:rPr>
        <w:t>；</w:t>
      </w:r>
    </w:p>
    <w:p w14:paraId="1F014EF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其中：</w:t>
      </w:r>
    </w:p>
    <w:p w14:paraId="1056AC3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（1）安全文明施工费：</w:t>
      </w:r>
    </w:p>
    <w:p w14:paraId="7C4DA978">
      <w:pPr>
        <w:spacing w:line="360" w:lineRule="auto"/>
        <w:ind w:firstLine="945" w:firstLineChars="45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元整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3E871A7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（2）材料和工程设备暂估价金额：</w:t>
      </w:r>
    </w:p>
    <w:p w14:paraId="68CD7CAB">
      <w:pPr>
        <w:spacing w:line="360" w:lineRule="auto"/>
        <w:ind w:firstLine="945" w:firstLineChars="45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623F5D4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（3）专业工程暂估价金额：</w:t>
      </w:r>
    </w:p>
    <w:p w14:paraId="3610D91D">
      <w:pPr>
        <w:spacing w:line="360" w:lineRule="auto"/>
        <w:ind w:firstLine="945" w:firstLineChars="45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5149039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（4）暂列金额：</w:t>
      </w:r>
    </w:p>
    <w:p w14:paraId="307813E1">
      <w:pPr>
        <w:spacing w:line="360" w:lineRule="auto"/>
        <w:ind w:firstLine="945" w:firstLineChars="45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元整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33B84717">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2.合同价格形式：</w:t>
      </w:r>
      <w:r>
        <w:rPr>
          <w:rFonts w:hint="eastAsia" w:ascii="宋体" w:hAnsi="宋体" w:eastAsia="宋体" w:cs="宋体"/>
          <w:sz w:val="21"/>
          <w:szCs w:val="21"/>
          <w:highlight w:val="none"/>
          <w:u w:val="single"/>
        </w:rPr>
        <w:t xml:space="preserve">  单价合同  </w:t>
      </w:r>
      <w:r>
        <w:rPr>
          <w:rFonts w:hint="eastAsia" w:hAnsi="宋体" w:eastAsia="宋体" w:cs="宋体"/>
          <w:color w:val="auto"/>
          <w:sz w:val="21"/>
          <w:highlight w:val="none"/>
          <w:u w:val="single"/>
          <w:lang w:eastAsia="zh-CN"/>
        </w:rPr>
        <w:t>。</w:t>
      </w:r>
    </w:p>
    <w:p w14:paraId="2D9DA08B">
      <w:pPr>
        <w:spacing w:line="360" w:lineRule="auto"/>
        <w:rPr>
          <w:rFonts w:hint="eastAsia" w:ascii="宋体" w:hAnsi="宋体" w:eastAsia="宋体" w:cs="宋体"/>
          <w:b/>
          <w:sz w:val="21"/>
          <w:szCs w:val="21"/>
          <w:highlight w:val="none"/>
        </w:rPr>
      </w:pPr>
      <w:r>
        <w:rPr>
          <w:rFonts w:hint="eastAsia" w:ascii="宋体" w:hAnsi="宋体" w:eastAsia="宋体" w:cs="宋体"/>
          <w:bCs/>
          <w:sz w:val="21"/>
          <w:szCs w:val="21"/>
          <w:highlight w:val="none"/>
        </w:rPr>
        <w:t xml:space="preserve">   </w:t>
      </w:r>
      <w:r>
        <w:rPr>
          <w:rFonts w:hint="eastAsia" w:ascii="宋体" w:hAnsi="宋体" w:eastAsia="宋体" w:cs="宋体"/>
          <w:b/>
          <w:sz w:val="21"/>
          <w:szCs w:val="21"/>
          <w:highlight w:val="none"/>
        </w:rPr>
        <w:t xml:space="preserve"> </w:t>
      </w:r>
      <w:bookmarkStart w:id="406" w:name="_Toc386638597"/>
      <w:r>
        <w:rPr>
          <w:rFonts w:hint="eastAsia" w:ascii="宋体" w:hAnsi="宋体" w:eastAsia="宋体" w:cs="宋体"/>
          <w:b/>
          <w:sz w:val="21"/>
          <w:szCs w:val="21"/>
          <w:highlight w:val="none"/>
        </w:rPr>
        <w:t>五、项目经理</w:t>
      </w:r>
      <w:bookmarkEnd w:id="406"/>
    </w:p>
    <w:p w14:paraId="766937D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承包人项目经理：</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53EFA905">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r>
        <w:rPr>
          <w:rFonts w:hint="eastAsia" w:ascii="宋体" w:hAnsi="宋体" w:eastAsia="宋体" w:cs="宋体"/>
          <w:b/>
          <w:sz w:val="21"/>
          <w:szCs w:val="21"/>
          <w:highlight w:val="none"/>
        </w:rPr>
        <w:t xml:space="preserve"> </w:t>
      </w:r>
      <w:bookmarkStart w:id="407" w:name="_Toc386638598"/>
      <w:r>
        <w:rPr>
          <w:rFonts w:hint="eastAsia" w:ascii="宋体" w:hAnsi="宋体" w:eastAsia="宋体" w:cs="宋体"/>
          <w:b/>
          <w:sz w:val="21"/>
          <w:szCs w:val="21"/>
          <w:highlight w:val="none"/>
        </w:rPr>
        <w:t>六、合同文件构成</w:t>
      </w:r>
      <w:bookmarkEnd w:id="407"/>
    </w:p>
    <w:p w14:paraId="203A1AB9">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本协议书与下列文件一起构成合同文件：</w:t>
      </w:r>
    </w:p>
    <w:p w14:paraId="0E5F2387">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（1）中标通知书；</w:t>
      </w:r>
    </w:p>
    <w:p w14:paraId="77BE9EBE">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（2）投标函及其附录； </w:t>
      </w:r>
    </w:p>
    <w:p w14:paraId="6840DBE9">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（3）专用合同条款及其附件；</w:t>
      </w:r>
    </w:p>
    <w:p w14:paraId="4B7C63FF">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（4）通用合同条款；</w:t>
      </w:r>
    </w:p>
    <w:p w14:paraId="4375690B">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（5）技术标准和要求；</w:t>
      </w:r>
    </w:p>
    <w:p w14:paraId="27F39B8C">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（6）图纸；</w:t>
      </w:r>
    </w:p>
    <w:p w14:paraId="2E06F4DA">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（7）已标价工程量清单或预算书；</w:t>
      </w:r>
    </w:p>
    <w:p w14:paraId="6D8336F5">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（8）其他合同文件。</w:t>
      </w:r>
    </w:p>
    <w:p w14:paraId="10798B9D">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在合同订立及履行过程中形成的与合同有关的文件均构成合同文件组成部分。</w:t>
      </w:r>
    </w:p>
    <w:p w14:paraId="598E678E">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1238E2BE">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w:t>
      </w:r>
      <w:r>
        <w:rPr>
          <w:rFonts w:hint="eastAsia" w:ascii="宋体" w:hAnsi="宋体" w:eastAsia="宋体" w:cs="宋体"/>
          <w:b/>
          <w:sz w:val="21"/>
          <w:szCs w:val="21"/>
          <w:highlight w:val="none"/>
        </w:rPr>
        <w:t xml:space="preserve"> </w:t>
      </w:r>
      <w:bookmarkStart w:id="408" w:name="_Toc386638599"/>
      <w:r>
        <w:rPr>
          <w:rFonts w:hint="eastAsia" w:ascii="宋体" w:hAnsi="宋体" w:eastAsia="宋体" w:cs="宋体"/>
          <w:b/>
          <w:sz w:val="21"/>
          <w:szCs w:val="21"/>
          <w:highlight w:val="none"/>
        </w:rPr>
        <w:t>七、承诺</w:t>
      </w:r>
      <w:bookmarkEnd w:id="408"/>
    </w:p>
    <w:p w14:paraId="1845708B">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1.发包人承诺按照法律规定履行项目审批手续、筹集工程建设资金并按照合同约定的期限和方式支付合同价款。</w:t>
      </w:r>
    </w:p>
    <w:p w14:paraId="5660A516">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2.承包人承诺按照法律规定及合同约定组织完成工程施工，确保工程质量和安全，不进行转包及违法分包，并在缺陷责任期及保修期内承担相应的工程维修责任。</w:t>
      </w:r>
    </w:p>
    <w:p w14:paraId="60FC111E">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3.发包人和承包人通过招投标形式签订合同的，双方理解并承诺不再就同一工程另行签订与合同实质性内容相背离的协议。</w:t>
      </w:r>
    </w:p>
    <w:p w14:paraId="57A4A8CE">
      <w:pPr>
        <w:spacing w:line="360" w:lineRule="auto"/>
        <w:rPr>
          <w:rFonts w:hint="eastAsia" w:ascii="宋体" w:hAnsi="宋体" w:eastAsia="宋体" w:cs="宋体"/>
          <w:bCs/>
          <w:sz w:val="21"/>
          <w:szCs w:val="21"/>
          <w:highlight w:val="none"/>
        </w:rPr>
      </w:pPr>
      <w:r>
        <w:rPr>
          <w:rFonts w:hint="eastAsia" w:ascii="宋体" w:hAnsi="宋体" w:eastAsia="宋体" w:cs="宋体"/>
          <w:b/>
          <w:sz w:val="21"/>
          <w:szCs w:val="21"/>
          <w:highlight w:val="none"/>
        </w:rPr>
        <w:t xml:space="preserve">  </w:t>
      </w:r>
      <w:r>
        <w:rPr>
          <w:rFonts w:hint="eastAsia" w:ascii="宋体" w:hAnsi="宋体" w:eastAsia="宋体" w:cs="宋体"/>
          <w:b/>
          <w:bCs/>
          <w:sz w:val="21"/>
          <w:szCs w:val="21"/>
          <w:highlight w:val="none"/>
        </w:rPr>
        <w:t xml:space="preserve">  八、词语含义</w:t>
      </w:r>
    </w:p>
    <w:p w14:paraId="14FBCB57">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本协议书中词语含义与第二部分通用合同条款中赋予的含义相同。</w:t>
      </w:r>
    </w:p>
    <w:p w14:paraId="2B8D9C36">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r>
        <w:rPr>
          <w:rFonts w:hint="eastAsia" w:ascii="宋体" w:hAnsi="宋体" w:eastAsia="宋体" w:cs="宋体"/>
          <w:b/>
          <w:sz w:val="21"/>
          <w:szCs w:val="21"/>
          <w:highlight w:val="none"/>
        </w:rPr>
        <w:t xml:space="preserve">  </w:t>
      </w:r>
      <w:bookmarkStart w:id="409" w:name="_Toc386638600"/>
      <w:r>
        <w:rPr>
          <w:rFonts w:hint="eastAsia" w:ascii="宋体" w:hAnsi="宋体" w:eastAsia="宋体" w:cs="宋体"/>
          <w:b/>
          <w:sz w:val="21"/>
          <w:szCs w:val="21"/>
          <w:highlight w:val="none"/>
        </w:rPr>
        <w:t>九、签订时间</w:t>
      </w:r>
      <w:bookmarkEnd w:id="409"/>
    </w:p>
    <w:p w14:paraId="625E08F1">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本合同于</w:t>
      </w: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日签订。</w:t>
      </w:r>
    </w:p>
    <w:p w14:paraId="2A635D90">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bookmarkStart w:id="410" w:name="_Toc386638601"/>
      <w:r>
        <w:rPr>
          <w:rFonts w:hint="eastAsia" w:ascii="宋体" w:hAnsi="宋体" w:eastAsia="宋体" w:cs="宋体"/>
          <w:b/>
          <w:sz w:val="21"/>
          <w:szCs w:val="21"/>
          <w:highlight w:val="none"/>
        </w:rPr>
        <w:t>十、签订地点</w:t>
      </w:r>
      <w:bookmarkEnd w:id="410"/>
    </w:p>
    <w:p w14:paraId="7019BF4E">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本合同在</w:t>
      </w: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single"/>
          <w:lang w:eastAsia="zh-CN"/>
        </w:rPr>
        <w:t xml:space="preserve">宁海县大佳何镇人民政府     </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签订。</w:t>
      </w:r>
    </w:p>
    <w:p w14:paraId="71357BEA">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bookmarkStart w:id="411" w:name="_Toc386638602"/>
      <w:r>
        <w:rPr>
          <w:rFonts w:hint="eastAsia" w:ascii="宋体" w:hAnsi="宋体" w:eastAsia="宋体" w:cs="宋体"/>
          <w:b/>
          <w:sz w:val="21"/>
          <w:szCs w:val="21"/>
          <w:highlight w:val="none"/>
        </w:rPr>
        <w:t>十一、补充协议</w:t>
      </w:r>
      <w:bookmarkEnd w:id="411"/>
    </w:p>
    <w:p w14:paraId="2B8B8ED9">
      <w:pPr>
        <w:spacing w:line="360" w:lineRule="auto"/>
        <w:ind w:firstLine="420" w:firstLineChars="200"/>
        <w:rPr>
          <w:rFonts w:hint="eastAsia" w:ascii="宋体" w:hAnsi="宋体" w:eastAsia="宋体" w:cs="宋体"/>
          <w:b/>
          <w:bCs/>
          <w:sz w:val="21"/>
          <w:szCs w:val="21"/>
          <w:highlight w:val="none"/>
        </w:rPr>
      </w:pPr>
      <w:r>
        <w:rPr>
          <w:rFonts w:hint="eastAsia" w:ascii="宋体" w:hAnsi="宋体" w:eastAsia="宋体" w:cs="宋体"/>
          <w:bCs/>
          <w:sz w:val="21"/>
          <w:szCs w:val="21"/>
          <w:highlight w:val="none"/>
        </w:rPr>
        <w:t>合同未尽事宜，合同当事人另行签订补充协议，补充协议是合同的组成部分。</w:t>
      </w:r>
    </w:p>
    <w:p w14:paraId="341BFB6B">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bookmarkStart w:id="412" w:name="_Toc386638603"/>
      <w:r>
        <w:rPr>
          <w:rFonts w:hint="eastAsia" w:ascii="宋体" w:hAnsi="宋体" w:eastAsia="宋体" w:cs="宋体"/>
          <w:b/>
          <w:sz w:val="21"/>
          <w:szCs w:val="21"/>
          <w:highlight w:val="none"/>
        </w:rPr>
        <w:t>十二、合同生效</w:t>
      </w:r>
      <w:bookmarkEnd w:id="412"/>
    </w:p>
    <w:p w14:paraId="4E0CB257">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本合同自</w:t>
      </w:r>
      <w:r>
        <w:rPr>
          <w:rFonts w:hint="eastAsia" w:ascii="宋体" w:hAnsi="宋体" w:eastAsia="宋体" w:cs="宋体"/>
          <w:bCs/>
          <w:sz w:val="21"/>
          <w:szCs w:val="21"/>
          <w:highlight w:val="none"/>
          <w:u w:val="single"/>
        </w:rPr>
        <w:t xml:space="preserve"> 双方加盖单位印章并经法定代表人或其委托代理人签字后 </w:t>
      </w:r>
      <w:r>
        <w:rPr>
          <w:rFonts w:hint="eastAsia" w:ascii="宋体" w:hAnsi="宋体" w:eastAsia="宋体" w:cs="宋体"/>
          <w:bCs/>
          <w:sz w:val="21"/>
          <w:szCs w:val="21"/>
          <w:highlight w:val="none"/>
        </w:rPr>
        <w:t>生效。</w:t>
      </w:r>
    </w:p>
    <w:p w14:paraId="06B37970">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    </w:t>
      </w:r>
      <w:bookmarkStart w:id="413" w:name="_Toc386638604"/>
      <w:r>
        <w:rPr>
          <w:rFonts w:hint="eastAsia" w:ascii="宋体" w:hAnsi="宋体" w:eastAsia="宋体" w:cs="宋体"/>
          <w:b/>
          <w:sz w:val="21"/>
          <w:szCs w:val="21"/>
          <w:highlight w:val="none"/>
        </w:rPr>
        <w:t>十三、合同份数</w:t>
      </w:r>
      <w:bookmarkEnd w:id="413"/>
    </w:p>
    <w:p w14:paraId="1E1D188F">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本合同一式</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捌</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份，均具有同等法律效力，发包人执</w:t>
      </w:r>
      <w:r>
        <w:rPr>
          <w:rFonts w:hint="eastAsia" w:ascii="宋体" w:hAnsi="宋体" w:eastAsia="宋体" w:cs="宋体"/>
          <w:bCs/>
          <w:sz w:val="21"/>
          <w:szCs w:val="21"/>
          <w:highlight w:val="none"/>
          <w:u w:val="single"/>
        </w:rPr>
        <w:t xml:space="preserve"> 叁 </w:t>
      </w:r>
      <w:r>
        <w:rPr>
          <w:rFonts w:hint="eastAsia" w:ascii="宋体" w:hAnsi="宋体" w:eastAsia="宋体" w:cs="宋体"/>
          <w:bCs/>
          <w:sz w:val="21"/>
          <w:szCs w:val="21"/>
          <w:highlight w:val="none"/>
        </w:rPr>
        <w:t>份，承包人执</w:t>
      </w:r>
      <w:r>
        <w:rPr>
          <w:rFonts w:hint="eastAsia" w:ascii="宋体" w:hAnsi="宋体" w:eastAsia="宋体" w:cs="宋体"/>
          <w:bCs/>
          <w:sz w:val="21"/>
          <w:szCs w:val="21"/>
          <w:highlight w:val="none"/>
          <w:u w:val="single"/>
        </w:rPr>
        <w:t xml:space="preserve"> 叁 </w:t>
      </w:r>
      <w:r>
        <w:rPr>
          <w:rFonts w:hint="eastAsia" w:ascii="宋体" w:hAnsi="宋体" w:eastAsia="宋体" w:cs="宋体"/>
          <w:bCs/>
          <w:sz w:val="21"/>
          <w:szCs w:val="21"/>
          <w:highlight w:val="none"/>
        </w:rPr>
        <w:t>份，送甲、乙双方的监督单位各一份。</w:t>
      </w:r>
    </w:p>
    <w:p w14:paraId="721011C1">
      <w:pPr>
        <w:pStyle w:val="82"/>
        <w:ind w:left="0" w:leftChars="0" w:firstLine="0" w:firstLineChars="0"/>
        <w:rPr>
          <w:rFonts w:hint="eastAsia" w:ascii="宋体" w:hAnsi="宋体" w:eastAsia="宋体" w:cs="宋体"/>
          <w:sz w:val="21"/>
          <w:szCs w:val="21"/>
          <w:highlight w:val="none"/>
        </w:rPr>
      </w:pPr>
    </w:p>
    <w:p w14:paraId="01FCF1B5">
      <w:pPr>
        <w:pStyle w:val="82"/>
        <w:ind w:firstLine="480"/>
        <w:rPr>
          <w:rFonts w:hint="eastAsia" w:ascii="宋体" w:hAnsi="宋体" w:eastAsia="宋体" w:cs="宋体"/>
          <w:sz w:val="21"/>
          <w:szCs w:val="21"/>
          <w:highlight w:val="none"/>
        </w:rPr>
      </w:pPr>
    </w:p>
    <w:p w14:paraId="0C335A00">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发包人：  (公章)                         承包人：  (公章)</w:t>
      </w:r>
    </w:p>
    <w:p w14:paraId="611568C1">
      <w:pPr>
        <w:spacing w:line="460" w:lineRule="exact"/>
        <w:rPr>
          <w:rFonts w:hint="eastAsia" w:ascii="宋体" w:hAnsi="宋体" w:eastAsia="宋体" w:cs="宋体"/>
          <w:sz w:val="21"/>
          <w:szCs w:val="21"/>
          <w:highlight w:val="none"/>
        </w:rPr>
      </w:pPr>
    </w:p>
    <w:p w14:paraId="3D6CA1AF">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法定代表人或其委托代理人：               法定代表人或其委托代理人：</w:t>
      </w:r>
    </w:p>
    <w:p w14:paraId="41E57CED">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（签字）                                 （签字）</w:t>
      </w:r>
    </w:p>
    <w:p w14:paraId="72E5DA90">
      <w:pPr>
        <w:tabs>
          <w:tab w:val="left" w:pos="4410"/>
        </w:tabs>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组织机构代码：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组织机构代码：</w:t>
      </w:r>
      <w:r>
        <w:rPr>
          <w:rFonts w:hint="eastAsia" w:ascii="宋体" w:hAnsi="宋体" w:eastAsia="宋体" w:cs="宋体"/>
          <w:sz w:val="21"/>
          <w:szCs w:val="21"/>
          <w:highlight w:val="none"/>
          <w:u w:val="single"/>
        </w:rPr>
        <w:t xml:space="preserve">                 </w:t>
      </w:r>
    </w:p>
    <w:p w14:paraId="73C4D8D7">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地  址：</w:t>
      </w:r>
      <w:r>
        <w:rPr>
          <w:rFonts w:hint="eastAsia" w:ascii="宋体" w:hAnsi="宋体" w:eastAsia="宋体" w:cs="宋体"/>
          <w:sz w:val="21"/>
          <w:szCs w:val="21"/>
          <w:highlight w:val="none"/>
          <w:u w:val="single"/>
        </w:rPr>
        <w:t xml:space="preserve">                          </w:t>
      </w:r>
    </w:p>
    <w:p w14:paraId="0B18FD0B">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邮政编码：</w:t>
      </w:r>
      <w:r>
        <w:rPr>
          <w:rFonts w:hint="eastAsia" w:ascii="宋体" w:hAnsi="宋体" w:eastAsia="宋体" w:cs="宋体"/>
          <w:sz w:val="21"/>
          <w:szCs w:val="21"/>
          <w:highlight w:val="none"/>
          <w:u w:val="single"/>
        </w:rPr>
        <w:t xml:space="preserve">                       </w:t>
      </w:r>
    </w:p>
    <w:p w14:paraId="459C5E80">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法定代表人：</w:t>
      </w:r>
      <w:r>
        <w:rPr>
          <w:rFonts w:hint="eastAsia" w:ascii="宋体" w:hAnsi="宋体" w:eastAsia="宋体" w:cs="宋体"/>
          <w:sz w:val="21"/>
          <w:szCs w:val="21"/>
          <w:highlight w:val="none"/>
          <w:u w:val="single"/>
        </w:rPr>
        <w:t xml:space="preserve">                 </w:t>
      </w:r>
    </w:p>
    <w:p w14:paraId="2292B419">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委托代理人：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委托代理人：</w:t>
      </w:r>
      <w:r>
        <w:rPr>
          <w:rFonts w:hint="eastAsia" w:ascii="宋体" w:hAnsi="宋体" w:eastAsia="宋体" w:cs="宋体"/>
          <w:sz w:val="21"/>
          <w:szCs w:val="21"/>
          <w:highlight w:val="none"/>
          <w:u w:val="single"/>
        </w:rPr>
        <w:t xml:space="preserve">                 </w:t>
      </w:r>
    </w:p>
    <w:p w14:paraId="0D0B9A97">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电  话：</w:t>
      </w:r>
      <w:r>
        <w:rPr>
          <w:rFonts w:hint="eastAsia" w:ascii="宋体" w:hAnsi="宋体" w:eastAsia="宋体" w:cs="宋体"/>
          <w:sz w:val="21"/>
          <w:szCs w:val="21"/>
          <w:highlight w:val="none"/>
          <w:u w:val="single"/>
        </w:rPr>
        <w:t xml:space="preserve">                         </w:t>
      </w:r>
    </w:p>
    <w:p w14:paraId="7ABB707C">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传  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传  真：</w:t>
      </w:r>
      <w:r>
        <w:rPr>
          <w:rFonts w:hint="eastAsia" w:ascii="宋体" w:hAnsi="宋体" w:eastAsia="宋体" w:cs="宋体"/>
          <w:sz w:val="21"/>
          <w:szCs w:val="21"/>
          <w:highlight w:val="none"/>
          <w:u w:val="single"/>
        </w:rPr>
        <w:t xml:space="preserve">                         </w:t>
      </w:r>
    </w:p>
    <w:p w14:paraId="25C8A5E6">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电子信箱：</w:t>
      </w:r>
      <w:r>
        <w:rPr>
          <w:rFonts w:hint="eastAsia" w:ascii="宋体" w:hAnsi="宋体" w:eastAsia="宋体" w:cs="宋体"/>
          <w:sz w:val="21"/>
          <w:szCs w:val="21"/>
          <w:highlight w:val="none"/>
          <w:u w:val="single"/>
        </w:rPr>
        <w:t xml:space="preserve">                       </w:t>
      </w:r>
    </w:p>
    <w:p w14:paraId="73E72825">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开户银行：</w:t>
      </w:r>
      <w:r>
        <w:rPr>
          <w:rFonts w:hint="eastAsia" w:ascii="宋体" w:hAnsi="宋体" w:eastAsia="宋体" w:cs="宋体"/>
          <w:sz w:val="21"/>
          <w:szCs w:val="21"/>
          <w:highlight w:val="none"/>
          <w:u w:val="single"/>
        </w:rPr>
        <w:t xml:space="preserve">                       </w:t>
      </w:r>
    </w:p>
    <w:p w14:paraId="41F9D220">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账  号：</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账  号：</w:t>
      </w:r>
      <w:r>
        <w:rPr>
          <w:rFonts w:hint="eastAsia" w:ascii="宋体" w:hAnsi="宋体" w:eastAsia="宋体" w:cs="宋体"/>
          <w:sz w:val="21"/>
          <w:szCs w:val="21"/>
          <w:highlight w:val="none"/>
          <w:u w:val="single"/>
        </w:rPr>
        <w:t xml:space="preserve">                         </w:t>
      </w:r>
    </w:p>
    <w:p w14:paraId="53107E17">
      <w:pPr>
        <w:pStyle w:val="6"/>
        <w:tabs>
          <w:tab w:val="left" w:pos="1620"/>
          <w:tab w:val="clear" w:pos="900"/>
        </w:tabs>
        <w:spacing w:line="440" w:lineRule="exact"/>
        <w:jc w:val="center"/>
        <w:rPr>
          <w:rFonts w:hint="eastAsia" w:ascii="宋体" w:hAnsi="宋体" w:eastAsia="宋体" w:cs="宋体"/>
          <w:sz w:val="21"/>
          <w:szCs w:val="21"/>
          <w:highlight w:val="none"/>
        </w:rPr>
      </w:pPr>
      <w:r>
        <w:rPr>
          <w:rFonts w:hint="eastAsia" w:ascii="宋体" w:hAnsi="宋体" w:eastAsia="宋体" w:cs="宋体"/>
          <w:spacing w:val="14"/>
          <w:sz w:val="21"/>
          <w:szCs w:val="21"/>
          <w:highlight w:val="none"/>
        </w:rPr>
        <w:br w:type="page"/>
      </w:r>
      <w:bookmarkStart w:id="414" w:name="_Toc386638605"/>
      <w:r>
        <w:rPr>
          <w:rFonts w:hint="eastAsia" w:ascii="宋体" w:hAnsi="宋体" w:eastAsia="宋体" w:cs="宋体"/>
          <w:sz w:val="21"/>
          <w:szCs w:val="21"/>
          <w:highlight w:val="none"/>
        </w:rPr>
        <w:t>第二部分 通用合同条款</w:t>
      </w:r>
      <w:bookmarkEnd w:id="414"/>
      <w:bookmarkStart w:id="415" w:name="_Toc337558727"/>
    </w:p>
    <w:p w14:paraId="6E4F5BB3">
      <w:pPr>
        <w:autoSpaceDE w:val="0"/>
        <w:autoSpaceDN w:val="0"/>
        <w:adjustRightInd w:val="0"/>
        <w:spacing w:line="460" w:lineRule="exact"/>
        <w:ind w:firstLine="420" w:firstLineChars="200"/>
        <w:rPr>
          <w:rFonts w:hint="eastAsia" w:ascii="宋体" w:hAnsi="宋体" w:eastAsia="宋体" w:cs="宋体"/>
          <w:sz w:val="21"/>
          <w:szCs w:val="21"/>
          <w:highlight w:val="none"/>
        </w:rPr>
      </w:pPr>
    </w:p>
    <w:p w14:paraId="2E7D31AC">
      <w:pPr>
        <w:autoSpaceDE w:val="0"/>
        <w:autoSpaceDN w:val="0"/>
        <w:adjustRightInd w:val="0"/>
        <w:spacing w:line="4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通用合同条款直接引用中国建筑工业出版社出版的《建设工程施工合同（示范文本）（GF-2017-0201）第二部分“通用合同条款”内容。</w:t>
      </w:r>
    </w:p>
    <w:p w14:paraId="66CBFCC0">
      <w:pPr>
        <w:ind w:firstLine="480" w:firstLineChars="229"/>
        <w:rPr>
          <w:rFonts w:hint="eastAsia" w:ascii="宋体" w:hAnsi="宋体" w:eastAsia="宋体" w:cs="宋体"/>
          <w:sz w:val="21"/>
          <w:szCs w:val="21"/>
          <w:highlight w:val="none"/>
        </w:rPr>
      </w:pPr>
    </w:p>
    <w:bookmarkEnd w:id="415"/>
    <w:p w14:paraId="2030AA07">
      <w:pPr>
        <w:pStyle w:val="6"/>
        <w:widowControl/>
        <w:numPr>
          <w:ilvl w:val="0"/>
          <w:numId w:val="0"/>
        </w:numPr>
        <w:tabs>
          <w:tab w:val="left" w:pos="1620"/>
          <w:tab w:val="clear" w:pos="900"/>
        </w:tabs>
        <w:spacing w:before="120" w:after="120" w:line="240" w:lineRule="exact"/>
        <w:jc w:val="center"/>
        <w:rPr>
          <w:rFonts w:hint="eastAsia" w:ascii="宋体" w:hAnsi="宋体" w:eastAsia="宋体" w:cs="宋体"/>
          <w:sz w:val="21"/>
          <w:szCs w:val="21"/>
          <w:highlight w:val="none"/>
        </w:rPr>
      </w:pPr>
      <w:bookmarkStart w:id="416" w:name="_Toc386638606"/>
      <w:bookmarkStart w:id="417" w:name="_Toc351203632"/>
      <w:r>
        <w:rPr>
          <w:rFonts w:hint="eastAsia" w:ascii="宋体" w:hAnsi="宋体" w:eastAsia="宋体" w:cs="宋体"/>
          <w:sz w:val="21"/>
          <w:szCs w:val="21"/>
          <w:highlight w:val="none"/>
        </w:rPr>
        <w:t>第三部分 专用合同条款</w:t>
      </w:r>
      <w:bookmarkEnd w:id="416"/>
      <w:bookmarkEnd w:id="417"/>
    </w:p>
    <w:p w14:paraId="46F271A5">
      <w:pPr>
        <w:pStyle w:val="7"/>
        <w:rPr>
          <w:rFonts w:hint="eastAsia" w:ascii="宋体" w:hAnsi="宋体" w:eastAsia="宋体" w:cs="宋体"/>
          <w:bCs/>
          <w:sz w:val="21"/>
          <w:szCs w:val="21"/>
          <w:highlight w:val="none"/>
        </w:rPr>
      </w:pPr>
      <w:bookmarkStart w:id="418" w:name="_Toc386638607"/>
      <w:bookmarkStart w:id="419" w:name="_Toc351203633"/>
      <w:r>
        <w:rPr>
          <w:rFonts w:hint="eastAsia" w:ascii="宋体" w:hAnsi="宋体" w:eastAsia="宋体" w:cs="宋体"/>
          <w:bCs/>
          <w:sz w:val="21"/>
          <w:szCs w:val="21"/>
          <w:highlight w:val="none"/>
        </w:rPr>
        <w:t>1</w:t>
      </w:r>
      <w:bookmarkStart w:id="420" w:name="_Toc296890984"/>
      <w:bookmarkStart w:id="421" w:name="_Toc296503156"/>
      <w:bookmarkStart w:id="422" w:name="_Toc296346657"/>
      <w:bookmarkStart w:id="423" w:name="_Toc296891196"/>
      <w:bookmarkStart w:id="424" w:name="_Toc292559866"/>
      <w:bookmarkStart w:id="425" w:name="_Toc297120456"/>
      <w:bookmarkStart w:id="426" w:name="_Toc292559361"/>
      <w:bookmarkStart w:id="427" w:name="_Toc296347155"/>
      <w:bookmarkStart w:id="428" w:name="_Toc296944495"/>
      <w:bookmarkStart w:id="429" w:name="_Toc297048342"/>
      <w:r>
        <w:rPr>
          <w:rFonts w:hint="eastAsia" w:ascii="宋体" w:hAnsi="宋体" w:eastAsia="宋体" w:cs="宋体"/>
          <w:bCs/>
          <w:sz w:val="21"/>
          <w:szCs w:val="21"/>
          <w:highlight w:val="none"/>
        </w:rPr>
        <w:t>. 一般约定</w:t>
      </w:r>
      <w:bookmarkEnd w:id="418"/>
      <w:bookmarkEnd w:id="419"/>
    </w:p>
    <w:bookmarkEnd w:id="420"/>
    <w:bookmarkEnd w:id="421"/>
    <w:bookmarkEnd w:id="422"/>
    <w:bookmarkEnd w:id="423"/>
    <w:bookmarkEnd w:id="424"/>
    <w:bookmarkEnd w:id="425"/>
    <w:bookmarkEnd w:id="426"/>
    <w:bookmarkEnd w:id="427"/>
    <w:bookmarkEnd w:id="428"/>
    <w:bookmarkEnd w:id="429"/>
    <w:p w14:paraId="0F2DDFB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 词语定义</w:t>
      </w:r>
    </w:p>
    <w:p w14:paraId="4B5730C1">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1.1.1合同</w:t>
      </w:r>
    </w:p>
    <w:p w14:paraId="58477141">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1.1.1.10其他合同文件包括：</w:t>
      </w:r>
      <w:r>
        <w:rPr>
          <w:rFonts w:hint="eastAsia" w:ascii="宋体" w:hAnsi="宋体" w:eastAsia="宋体" w:cs="宋体"/>
          <w:sz w:val="21"/>
          <w:szCs w:val="21"/>
          <w:highlight w:val="none"/>
          <w:u w:val="single"/>
        </w:rPr>
        <w:t>招标文件以及双方与合同有关的工程设计变更联系单、洽商、签证等书面协议或文件</w:t>
      </w:r>
      <w:r>
        <w:rPr>
          <w:rFonts w:hint="eastAsia" w:ascii="宋体" w:hAnsi="宋体" w:eastAsia="宋体" w:cs="宋体"/>
          <w:sz w:val="21"/>
          <w:szCs w:val="21"/>
          <w:highlight w:val="none"/>
        </w:rPr>
        <w:t>。</w:t>
      </w:r>
    </w:p>
    <w:p w14:paraId="335D4E6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1.1.2 合同当事人及其他相关方</w:t>
      </w:r>
    </w:p>
    <w:p w14:paraId="3AF6ED0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1.1.2.4监理人：</w:t>
      </w:r>
    </w:p>
    <w:p w14:paraId="1005FC5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名    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268D70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资质类别和等级：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087234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7F53E5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6DD28C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6E35FA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1.1.2.5 设计人：</w:t>
      </w:r>
    </w:p>
    <w:p w14:paraId="12B08A8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名    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971FCD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资质类别和等级：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E7EB6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ACFCF0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B55667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607C7F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1.1.3 工程和设备</w:t>
      </w:r>
    </w:p>
    <w:p w14:paraId="6E05443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1.1.3.7 作为施工现场组成部分的其他场所包括：</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0A48E258">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1.1.3.9 永久占地包括：</w:t>
      </w:r>
      <w:r>
        <w:rPr>
          <w:rFonts w:hint="eastAsia" w:ascii="宋体" w:hAnsi="宋体" w:eastAsia="宋体" w:cs="宋体"/>
          <w:sz w:val="21"/>
          <w:szCs w:val="21"/>
          <w:highlight w:val="none"/>
          <w:u w:val="single"/>
        </w:rPr>
        <w:t xml:space="preserve">             /              </w:t>
      </w:r>
      <w:r>
        <w:rPr>
          <w:rFonts w:hint="eastAsia" w:ascii="宋体" w:hAnsi="宋体" w:eastAsia="宋体" w:cs="宋体"/>
          <w:kern w:val="0"/>
          <w:sz w:val="21"/>
          <w:szCs w:val="21"/>
          <w:highlight w:val="none"/>
        </w:rPr>
        <w:t>。</w:t>
      </w:r>
    </w:p>
    <w:p w14:paraId="18A8DFC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1.1.3.10 临时占地包括：</w:t>
      </w:r>
      <w:r>
        <w:rPr>
          <w:rFonts w:hint="eastAsia" w:ascii="宋体" w:hAnsi="宋体" w:eastAsia="宋体" w:cs="宋体"/>
          <w:sz w:val="21"/>
          <w:szCs w:val="21"/>
          <w:highlight w:val="none"/>
          <w:u w:val="single"/>
        </w:rPr>
        <w:t xml:space="preserve">            /              </w:t>
      </w:r>
      <w:r>
        <w:rPr>
          <w:rFonts w:hint="eastAsia" w:ascii="宋体" w:hAnsi="宋体" w:eastAsia="宋体" w:cs="宋体"/>
          <w:kern w:val="0"/>
          <w:sz w:val="21"/>
          <w:szCs w:val="21"/>
          <w:highlight w:val="none"/>
        </w:rPr>
        <w:t>。</w:t>
      </w:r>
    </w:p>
    <w:p w14:paraId="18A442A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1.3法律 </w:t>
      </w:r>
    </w:p>
    <w:p w14:paraId="2689E409">
      <w:pPr>
        <w:autoSpaceDE w:val="0"/>
        <w:autoSpaceDN w:val="0"/>
        <w:adjustRightInd w:val="0"/>
        <w:spacing w:line="360" w:lineRule="auto"/>
        <w:ind w:firstLine="315" w:firstLineChars="1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适用于合同的其他规范性文件：</w:t>
      </w:r>
      <w:r>
        <w:rPr>
          <w:rFonts w:hint="eastAsia" w:ascii="宋体" w:hAnsi="宋体" w:eastAsia="宋体" w:cs="宋体"/>
          <w:sz w:val="21"/>
          <w:szCs w:val="21"/>
          <w:highlight w:val="none"/>
          <w:u w:val="single"/>
        </w:rPr>
        <w:t>国家、浙江省、宁波市、宁海县有关工程建设的法规、规章及规范性文件</w:t>
      </w:r>
      <w:r>
        <w:rPr>
          <w:rFonts w:hint="eastAsia" w:ascii="宋体" w:hAnsi="宋体" w:eastAsia="宋体" w:cs="宋体"/>
          <w:sz w:val="21"/>
          <w:szCs w:val="21"/>
          <w:highlight w:val="none"/>
        </w:rPr>
        <w:t>。</w:t>
      </w:r>
    </w:p>
    <w:p w14:paraId="29886C3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1.4 标准和规范</w:t>
      </w:r>
    </w:p>
    <w:p w14:paraId="51964CF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1.4.1适用于工程的标准规范包括：</w:t>
      </w:r>
      <w:r>
        <w:rPr>
          <w:rFonts w:hint="eastAsia" w:ascii="宋体" w:hAnsi="宋体" w:eastAsia="宋体" w:cs="宋体"/>
          <w:sz w:val="21"/>
          <w:szCs w:val="21"/>
          <w:highlight w:val="none"/>
          <w:u w:val="single"/>
        </w:rPr>
        <w:t>国家、浙江省、宁波市有关工程建设相关的施工及验收规范和标准</w:t>
      </w:r>
      <w:r>
        <w:rPr>
          <w:rFonts w:hint="eastAsia" w:ascii="宋体" w:hAnsi="宋体" w:eastAsia="宋体" w:cs="宋体"/>
          <w:sz w:val="21"/>
          <w:szCs w:val="21"/>
          <w:highlight w:val="none"/>
        </w:rPr>
        <w:t>。</w:t>
      </w:r>
    </w:p>
    <w:p w14:paraId="6BB97BD6">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1.4.2 发包人提供国外标准、规范的名称：</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p w14:paraId="606FB766">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发包人提供国外标准、规范的份数：</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p w14:paraId="3A70B7B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发包人提供国外标准、规范的名称：</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p w14:paraId="2F1922E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1.4.3发包人对工程的技术标准和功能要求的特殊要求：</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0B974D8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1.5 合同文件的优先顺序</w:t>
      </w:r>
    </w:p>
    <w:p w14:paraId="1C3FD7A1">
      <w:pPr>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合同文件组成及优先顺序为：</w:t>
      </w:r>
      <w:r>
        <w:rPr>
          <w:rFonts w:hint="eastAsia" w:ascii="宋体" w:hAnsi="宋体" w:eastAsia="宋体" w:cs="宋体"/>
          <w:sz w:val="21"/>
          <w:szCs w:val="21"/>
          <w:highlight w:val="none"/>
          <w:u w:val="single"/>
        </w:rPr>
        <w:t>1、施工合同协议书； 2、中标通知书；3、投标书及其附件；4、施工合同专用条款；5、施工合同通过条款；6、标准、规范及有关技术文件；7、图纸；8、已标价工程量清单或预算书；9、双方有关工程的洽商、变更等书面协议或文件视为施工合同的组成部分。</w:t>
      </w:r>
    </w:p>
    <w:p w14:paraId="68283C7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1.6 图纸和承包人文件</w:t>
      </w:r>
      <w:r>
        <w:rPr>
          <w:rFonts w:hint="eastAsia" w:ascii="宋体" w:hAnsi="宋体" w:eastAsia="宋体" w:cs="宋体"/>
          <w:sz w:val="21"/>
          <w:szCs w:val="21"/>
          <w:highlight w:val="none"/>
        </w:rPr>
        <w:tab/>
      </w:r>
    </w:p>
    <w:p w14:paraId="072A16D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1.6.1 图纸的提供</w:t>
      </w:r>
    </w:p>
    <w:p w14:paraId="21BE7DC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发包人向承包人提供图纸的期限：</w:t>
      </w:r>
      <w:r>
        <w:rPr>
          <w:rFonts w:hint="eastAsia" w:ascii="宋体" w:hAnsi="宋体" w:eastAsia="宋体" w:cs="宋体"/>
          <w:sz w:val="21"/>
          <w:szCs w:val="21"/>
          <w:highlight w:val="none"/>
          <w:u w:val="single"/>
        </w:rPr>
        <w:t>向承包人发出中标通知书后3天内</w:t>
      </w:r>
      <w:r>
        <w:rPr>
          <w:rFonts w:hint="eastAsia" w:ascii="宋体" w:hAnsi="宋体" w:eastAsia="宋体" w:cs="宋体"/>
          <w:sz w:val="21"/>
          <w:szCs w:val="21"/>
          <w:highlight w:val="none"/>
        </w:rPr>
        <w:t>；</w:t>
      </w:r>
    </w:p>
    <w:p w14:paraId="59E6591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发包人向承包人提供图纸的数量：</w:t>
      </w:r>
      <w:r>
        <w:rPr>
          <w:rFonts w:hint="eastAsia" w:ascii="宋体" w:hAnsi="宋体" w:eastAsia="宋体" w:cs="宋体"/>
          <w:sz w:val="21"/>
          <w:szCs w:val="21"/>
          <w:highlight w:val="none"/>
          <w:u w:val="single"/>
        </w:rPr>
        <w:t xml:space="preserve">一式六套              </w:t>
      </w:r>
      <w:r>
        <w:rPr>
          <w:rFonts w:hint="eastAsia" w:ascii="宋体" w:hAnsi="宋体" w:eastAsia="宋体" w:cs="宋体"/>
          <w:sz w:val="21"/>
          <w:szCs w:val="21"/>
          <w:highlight w:val="none"/>
        </w:rPr>
        <w:t>；</w:t>
      </w:r>
    </w:p>
    <w:p w14:paraId="63E418A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发包人向承包人提供图纸的内容：</w:t>
      </w:r>
      <w:r>
        <w:rPr>
          <w:rFonts w:hint="eastAsia" w:ascii="宋体" w:hAnsi="宋体" w:eastAsia="宋体" w:cs="宋体"/>
          <w:sz w:val="21"/>
          <w:szCs w:val="21"/>
          <w:highlight w:val="none"/>
          <w:u w:val="single"/>
        </w:rPr>
        <w:t>工程承包范围内的各专业工程</w:t>
      </w:r>
      <w:r>
        <w:rPr>
          <w:rFonts w:hint="eastAsia" w:ascii="宋体" w:hAnsi="宋体" w:eastAsia="宋体" w:cs="宋体"/>
          <w:sz w:val="21"/>
          <w:szCs w:val="21"/>
          <w:highlight w:val="none"/>
        </w:rPr>
        <w:t>。</w:t>
      </w:r>
    </w:p>
    <w:p w14:paraId="1B0DE5B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1.6.4 承包人文件</w:t>
      </w:r>
    </w:p>
    <w:p w14:paraId="6C2DEDAB">
      <w:pPr>
        <w:spacing w:line="360" w:lineRule="auto"/>
        <w:ind w:firstLine="441" w:firstLineChars="2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需要由承包人提供的文件，包括：</w:t>
      </w:r>
      <w:r>
        <w:rPr>
          <w:rFonts w:hint="eastAsia" w:ascii="宋体" w:hAnsi="宋体" w:eastAsia="宋体" w:cs="宋体"/>
          <w:sz w:val="21"/>
          <w:szCs w:val="21"/>
          <w:highlight w:val="none"/>
          <w:u w:val="single"/>
        </w:rPr>
        <w:t xml:space="preserve"> 施工组织设计、工程进度计划、专项施工方案、加工图、大样图、协调配合图等  </w:t>
      </w:r>
      <w:r>
        <w:rPr>
          <w:rFonts w:hint="eastAsia" w:ascii="宋体" w:hAnsi="宋体" w:eastAsia="宋体" w:cs="宋体"/>
          <w:sz w:val="21"/>
          <w:szCs w:val="21"/>
          <w:highlight w:val="none"/>
        </w:rPr>
        <w:t>；</w:t>
      </w:r>
    </w:p>
    <w:p w14:paraId="0334E87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承包人提供的文件的期限为：</w:t>
      </w:r>
      <w:r>
        <w:rPr>
          <w:rFonts w:hint="eastAsia" w:ascii="宋体" w:hAnsi="宋体" w:eastAsia="宋体" w:cs="宋体"/>
          <w:sz w:val="21"/>
          <w:szCs w:val="21"/>
          <w:highlight w:val="none"/>
          <w:u w:val="single"/>
        </w:rPr>
        <w:t xml:space="preserve"> 施工组织设计、工程进度计划在工程开工前   天，其他文件在相应专项工程或部位施工前5天</w:t>
      </w:r>
      <w:r>
        <w:rPr>
          <w:rFonts w:hint="eastAsia" w:ascii="宋体" w:hAnsi="宋体" w:eastAsia="宋体" w:cs="宋体"/>
          <w:sz w:val="21"/>
          <w:szCs w:val="21"/>
          <w:highlight w:val="none"/>
        </w:rPr>
        <w:t>；</w:t>
      </w:r>
    </w:p>
    <w:p w14:paraId="663B4E7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承包人提供的文件的数量为：</w:t>
      </w:r>
      <w:r>
        <w:rPr>
          <w:rFonts w:hint="eastAsia" w:ascii="宋体" w:hAnsi="宋体" w:eastAsia="宋体" w:cs="宋体"/>
          <w:sz w:val="21"/>
          <w:szCs w:val="21"/>
          <w:highlight w:val="none"/>
          <w:u w:val="single"/>
        </w:rPr>
        <w:t xml:space="preserve">      一式八套、电子版一套  </w:t>
      </w:r>
      <w:r>
        <w:rPr>
          <w:rFonts w:hint="eastAsia" w:ascii="宋体" w:hAnsi="宋体" w:eastAsia="宋体" w:cs="宋体"/>
          <w:sz w:val="21"/>
          <w:szCs w:val="21"/>
          <w:highlight w:val="none"/>
        </w:rPr>
        <w:t>；</w:t>
      </w:r>
    </w:p>
    <w:p w14:paraId="19ADBB2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承包人提供的文件的形式为：</w:t>
      </w:r>
      <w:r>
        <w:rPr>
          <w:rFonts w:hint="eastAsia" w:ascii="宋体" w:hAnsi="宋体" w:eastAsia="宋体" w:cs="宋体"/>
          <w:sz w:val="21"/>
          <w:szCs w:val="21"/>
          <w:highlight w:val="none"/>
          <w:u w:val="single"/>
        </w:rPr>
        <w:t xml:space="preserve">      纸质版本及电子版本    </w:t>
      </w:r>
      <w:r>
        <w:rPr>
          <w:rFonts w:hint="eastAsia" w:ascii="宋体" w:hAnsi="宋体" w:eastAsia="宋体" w:cs="宋体"/>
          <w:sz w:val="21"/>
          <w:szCs w:val="21"/>
          <w:highlight w:val="none"/>
        </w:rPr>
        <w:t>；</w:t>
      </w:r>
    </w:p>
    <w:p w14:paraId="24CA06F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发包人审批承包人文件的期限：</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4AA921C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1.6.5 现场图纸准备</w:t>
      </w:r>
    </w:p>
    <w:p w14:paraId="5E8B1FD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关于现场图纸准备的约定：</w:t>
      </w:r>
      <w:r>
        <w:rPr>
          <w:rFonts w:hint="eastAsia" w:ascii="宋体" w:hAnsi="宋体" w:eastAsia="宋体" w:cs="宋体"/>
          <w:sz w:val="21"/>
          <w:szCs w:val="21"/>
          <w:highlight w:val="none"/>
          <w:u w:val="single"/>
        </w:rPr>
        <w:t xml:space="preserve"> 承包人在施工现场保存至少一套完整的图纸和承包人文件 </w:t>
      </w:r>
      <w:r>
        <w:rPr>
          <w:rFonts w:hint="eastAsia" w:ascii="宋体" w:hAnsi="宋体" w:eastAsia="宋体" w:cs="宋体"/>
          <w:sz w:val="21"/>
          <w:szCs w:val="21"/>
          <w:highlight w:val="none"/>
        </w:rPr>
        <w:t>。</w:t>
      </w:r>
    </w:p>
    <w:p w14:paraId="7CAF9A7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1.7 联络</w:t>
      </w:r>
    </w:p>
    <w:p w14:paraId="23F373FB">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1.7.1发包人和承包人应当在</w:t>
      </w:r>
      <w:r>
        <w:rPr>
          <w:rFonts w:hint="eastAsia" w:ascii="宋体" w:hAnsi="宋体" w:eastAsia="宋体" w:cs="宋体"/>
          <w:sz w:val="21"/>
          <w:szCs w:val="21"/>
          <w:highlight w:val="none"/>
          <w:u w:val="single"/>
        </w:rPr>
        <w:t xml:space="preserve"> 通用条款规定的时间</w:t>
      </w:r>
      <w:r>
        <w:rPr>
          <w:rFonts w:hint="eastAsia" w:ascii="宋体" w:hAnsi="宋体" w:eastAsia="宋体" w:cs="宋体"/>
          <w:kern w:val="0"/>
          <w:sz w:val="21"/>
          <w:szCs w:val="21"/>
          <w:highlight w:val="none"/>
        </w:rPr>
        <w:t>内将与合同有关的通知、批准、证明、证书、指示、指令、要求、请求、同意、意见、确定和决定等书面函件送达对方当事人。</w:t>
      </w:r>
    </w:p>
    <w:p w14:paraId="2E27E35A">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1.7.2 发包人接收文件的地点：</w:t>
      </w:r>
      <w:r>
        <w:rPr>
          <w:rFonts w:hint="eastAsia" w:ascii="宋体" w:hAnsi="宋体" w:eastAsia="宋体" w:cs="宋体"/>
          <w:sz w:val="21"/>
          <w:szCs w:val="21"/>
          <w:highlight w:val="none"/>
          <w:u w:val="single"/>
        </w:rPr>
        <w:t xml:space="preserve"> 发包人驻办公所在地 </w:t>
      </w:r>
      <w:r>
        <w:rPr>
          <w:rFonts w:hint="eastAsia" w:ascii="宋体" w:hAnsi="宋体" w:eastAsia="宋体" w:cs="宋体"/>
          <w:kern w:val="0"/>
          <w:sz w:val="21"/>
          <w:szCs w:val="21"/>
          <w:highlight w:val="none"/>
        </w:rPr>
        <w:t>；</w:t>
      </w:r>
    </w:p>
    <w:p w14:paraId="3F434D12">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发包人指定的接收人为：</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rPr>
        <w:t>。</w:t>
      </w:r>
    </w:p>
    <w:p w14:paraId="0ED49885">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承包人接收文件的地点：</w:t>
      </w:r>
      <w:r>
        <w:rPr>
          <w:rFonts w:hint="eastAsia" w:ascii="宋体" w:hAnsi="宋体" w:eastAsia="宋体" w:cs="宋体"/>
          <w:sz w:val="21"/>
          <w:szCs w:val="21"/>
          <w:highlight w:val="none"/>
          <w:u w:val="single"/>
        </w:rPr>
        <w:t xml:space="preserve"> 承包人驻办公所在地    </w:t>
      </w:r>
      <w:r>
        <w:rPr>
          <w:rFonts w:hint="eastAsia" w:ascii="宋体" w:hAnsi="宋体" w:eastAsia="宋体" w:cs="宋体"/>
          <w:kern w:val="0"/>
          <w:sz w:val="21"/>
          <w:szCs w:val="21"/>
          <w:highlight w:val="none"/>
        </w:rPr>
        <w:t>；</w:t>
      </w:r>
    </w:p>
    <w:p w14:paraId="0C01C9F1">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承包人指定的接收人为：</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rPr>
        <w:t>。</w:t>
      </w:r>
    </w:p>
    <w:p w14:paraId="599B5DED">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监理人接收文件的地点：</w:t>
      </w:r>
      <w:r>
        <w:rPr>
          <w:rFonts w:hint="eastAsia" w:ascii="宋体" w:hAnsi="宋体" w:eastAsia="宋体" w:cs="宋体"/>
          <w:sz w:val="21"/>
          <w:szCs w:val="21"/>
          <w:highlight w:val="none"/>
          <w:u w:val="single"/>
        </w:rPr>
        <w:t xml:space="preserve"> 监理人驻办公所在地      </w:t>
      </w:r>
      <w:r>
        <w:rPr>
          <w:rFonts w:hint="eastAsia" w:ascii="宋体" w:hAnsi="宋体" w:eastAsia="宋体" w:cs="宋体"/>
          <w:kern w:val="0"/>
          <w:sz w:val="21"/>
          <w:szCs w:val="21"/>
          <w:highlight w:val="none"/>
        </w:rPr>
        <w:t>；</w:t>
      </w:r>
    </w:p>
    <w:p w14:paraId="5C6DFE59">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监理人指定的接收人为：</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rPr>
        <w:t>。</w:t>
      </w:r>
    </w:p>
    <w:p w14:paraId="5F96ADA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1.10 交通运输</w:t>
      </w:r>
    </w:p>
    <w:p w14:paraId="702513D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bookmarkStart w:id="430" w:name="_Toc312677986"/>
      <w:bookmarkStart w:id="431" w:name="_Toc300934943"/>
      <w:bookmarkStart w:id="432" w:name="_Toc303539100"/>
      <w:bookmarkStart w:id="433" w:name="_Toc318581155"/>
      <w:bookmarkStart w:id="434" w:name="_Toc304295521"/>
      <w:r>
        <w:rPr>
          <w:rFonts w:hint="eastAsia" w:ascii="宋体" w:hAnsi="宋体" w:eastAsia="宋体" w:cs="宋体"/>
          <w:sz w:val="21"/>
          <w:szCs w:val="21"/>
          <w:highlight w:val="none"/>
        </w:rPr>
        <w:t>.10.1 出入现场的权利</w:t>
      </w:r>
    </w:p>
    <w:p w14:paraId="19DD4EE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关于出入现场的权利的约定：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bookmarkEnd w:id="430"/>
    <w:bookmarkEnd w:id="431"/>
    <w:bookmarkEnd w:id="432"/>
    <w:bookmarkEnd w:id="433"/>
    <w:bookmarkEnd w:id="434"/>
    <w:p w14:paraId="430DC1F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bookmarkStart w:id="435" w:name="_Toc318581156"/>
      <w:bookmarkStart w:id="436" w:name="_Toc300934944"/>
      <w:bookmarkStart w:id="437" w:name="_Toc312677987"/>
      <w:bookmarkStart w:id="438" w:name="_Toc303539101"/>
      <w:bookmarkStart w:id="439" w:name="_Toc304295522"/>
      <w:r>
        <w:rPr>
          <w:rFonts w:hint="eastAsia" w:ascii="宋体" w:hAnsi="宋体" w:eastAsia="宋体" w:cs="宋体"/>
          <w:sz w:val="21"/>
          <w:szCs w:val="21"/>
          <w:highlight w:val="none"/>
        </w:rPr>
        <w:t>.10.3 场内交通</w:t>
      </w:r>
    </w:p>
    <w:p w14:paraId="76CEA17C">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关于场外交通和场内交通的边界的约定：</w:t>
      </w:r>
      <w:r>
        <w:rPr>
          <w:rFonts w:hint="eastAsia" w:ascii="宋体" w:hAnsi="宋体" w:eastAsia="宋体" w:cs="宋体"/>
          <w:sz w:val="21"/>
          <w:szCs w:val="21"/>
          <w:highlight w:val="none"/>
          <w:u w:val="single"/>
        </w:rPr>
        <w:t xml:space="preserve"> 按本工程用地红线范围界定   </w:t>
      </w:r>
      <w:r>
        <w:rPr>
          <w:rFonts w:hint="eastAsia" w:ascii="宋体" w:hAnsi="宋体" w:eastAsia="宋体" w:cs="宋体"/>
          <w:sz w:val="21"/>
          <w:szCs w:val="21"/>
          <w:highlight w:val="none"/>
        </w:rPr>
        <w:t>。</w:t>
      </w:r>
    </w:p>
    <w:p w14:paraId="60E735F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关于发包人向承包人免费提供满足工程施工需要的场内道路和交通设施的约定：</w:t>
      </w:r>
      <w:r>
        <w:rPr>
          <w:rFonts w:hint="eastAsia" w:ascii="宋体" w:hAnsi="宋体" w:eastAsia="宋体" w:cs="宋体"/>
          <w:sz w:val="21"/>
          <w:szCs w:val="21"/>
          <w:highlight w:val="none"/>
          <w:u w:val="single"/>
        </w:rPr>
        <w:t>承包人负责修建、维修、养护和管理施工所需的场内临时道路和交通设施，费用由承包人自行负责</w:t>
      </w:r>
      <w:r>
        <w:rPr>
          <w:rFonts w:hint="eastAsia" w:ascii="宋体" w:hAnsi="宋体" w:eastAsia="宋体" w:cs="宋体"/>
          <w:sz w:val="21"/>
          <w:szCs w:val="21"/>
          <w:highlight w:val="none"/>
        </w:rPr>
        <w:t>。</w:t>
      </w:r>
      <w:bookmarkEnd w:id="435"/>
      <w:bookmarkEnd w:id="436"/>
      <w:bookmarkEnd w:id="437"/>
      <w:bookmarkEnd w:id="438"/>
      <w:bookmarkEnd w:id="439"/>
      <w:r>
        <w:rPr>
          <w:rFonts w:hint="eastAsia" w:ascii="宋体" w:hAnsi="宋体" w:eastAsia="宋体" w:cs="宋体"/>
          <w:sz w:val="21"/>
          <w:szCs w:val="21"/>
          <w:highlight w:val="none"/>
        </w:rPr>
        <w:t xml:space="preserve">  </w:t>
      </w:r>
      <w:bookmarkStart w:id="440" w:name="_Toc318581157"/>
    </w:p>
    <w:p w14:paraId="0CD7681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1.10.4超大件和超重件的运输</w:t>
      </w:r>
    </w:p>
    <w:p w14:paraId="035849A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运输超大件或超重件所需的道路和桥梁临时加固改造费用和其他有关费用由</w:t>
      </w:r>
      <w:r>
        <w:rPr>
          <w:rFonts w:hint="eastAsia" w:ascii="宋体" w:hAnsi="宋体" w:eastAsia="宋体" w:cs="宋体"/>
          <w:sz w:val="21"/>
          <w:szCs w:val="21"/>
          <w:highlight w:val="none"/>
          <w:u w:val="single"/>
        </w:rPr>
        <w:t>承包人</w:t>
      </w:r>
      <w:r>
        <w:rPr>
          <w:rFonts w:hint="eastAsia" w:ascii="宋体" w:hAnsi="宋体" w:eastAsia="宋体" w:cs="宋体"/>
          <w:sz w:val="21"/>
          <w:szCs w:val="21"/>
          <w:highlight w:val="none"/>
        </w:rPr>
        <w:t>承担。</w:t>
      </w:r>
    </w:p>
    <w:bookmarkEnd w:id="440"/>
    <w:p w14:paraId="52C9B94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1.11 知识产权</w:t>
      </w:r>
    </w:p>
    <w:p w14:paraId="21489A3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13D9C11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关于发包人提供的上述文件的使用限制的要求：</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28E0BCB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1.11.2 关于承包人为实施工程所编制文件的著作权的归属：</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23C992E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关于承包人提供的上述文件的使用限制的要求：</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777B911D">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1.11.4 承包人在施工过程中所采用的专利、专有技术、技术秘密的使用费的承担方式：</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rPr>
        <w:t>。</w:t>
      </w:r>
    </w:p>
    <w:p w14:paraId="2795384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1.13工程量清单错误的修正</w:t>
      </w:r>
    </w:p>
    <w:p w14:paraId="1526684F">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出现工程量清单错误时，是否调整合同价格：</w:t>
      </w:r>
      <w:r>
        <w:rPr>
          <w:rFonts w:hint="eastAsia" w:ascii="宋体" w:hAnsi="宋体" w:eastAsia="宋体" w:cs="宋体"/>
          <w:sz w:val="21"/>
          <w:szCs w:val="21"/>
          <w:highlight w:val="none"/>
          <w:u w:val="single"/>
        </w:rPr>
        <w:t xml:space="preserve">  调整  </w:t>
      </w:r>
      <w:r>
        <w:rPr>
          <w:rFonts w:hint="eastAsia" w:ascii="宋体" w:hAnsi="宋体" w:eastAsia="宋体" w:cs="宋体"/>
          <w:kern w:val="0"/>
          <w:sz w:val="21"/>
          <w:szCs w:val="21"/>
          <w:highlight w:val="none"/>
        </w:rPr>
        <w:t>。</w:t>
      </w:r>
    </w:p>
    <w:p w14:paraId="60EB9E9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允许调整合同价格的工程量偏差范围：</w:t>
      </w:r>
      <w:r>
        <w:rPr>
          <w:rFonts w:hint="eastAsia" w:ascii="宋体" w:hAnsi="宋体" w:eastAsia="宋体" w:cs="宋体"/>
          <w:sz w:val="21"/>
          <w:szCs w:val="21"/>
          <w:highlight w:val="none"/>
          <w:u w:val="single"/>
        </w:rPr>
        <w:t>(1)工程量清单项目缺项、项目多列或重复列项；(2)工程量清单项目数量有误；(3)未按照国家现行计量规范中强制性规定计量的</w:t>
      </w:r>
      <w:r>
        <w:rPr>
          <w:rFonts w:hint="eastAsia" w:ascii="宋体" w:hAnsi="宋体" w:eastAsia="宋体" w:cs="宋体"/>
          <w:kern w:val="0"/>
          <w:sz w:val="21"/>
          <w:szCs w:val="21"/>
          <w:highlight w:val="none"/>
        </w:rPr>
        <w:t>。</w:t>
      </w:r>
    </w:p>
    <w:p w14:paraId="73E5847F">
      <w:pPr>
        <w:pStyle w:val="7"/>
        <w:rPr>
          <w:rFonts w:hint="eastAsia" w:ascii="宋体" w:hAnsi="宋体" w:eastAsia="宋体" w:cs="宋体"/>
          <w:bCs/>
          <w:sz w:val="21"/>
          <w:szCs w:val="21"/>
          <w:highlight w:val="none"/>
        </w:rPr>
      </w:pPr>
      <w:bookmarkStart w:id="441" w:name="_Toc351203634"/>
      <w:bookmarkStart w:id="442" w:name="_Toc386638608"/>
      <w:r>
        <w:rPr>
          <w:rFonts w:hint="eastAsia" w:ascii="宋体" w:hAnsi="宋体" w:eastAsia="宋体" w:cs="宋体"/>
          <w:bCs/>
          <w:sz w:val="21"/>
          <w:szCs w:val="21"/>
          <w:highlight w:val="none"/>
        </w:rPr>
        <w:t>2</w:t>
      </w:r>
      <w:bookmarkStart w:id="443" w:name="_Toc297120457"/>
      <w:bookmarkStart w:id="444" w:name="_Toc296346658"/>
      <w:bookmarkStart w:id="445" w:name="_Toc296347156"/>
      <w:bookmarkStart w:id="446" w:name="_Toc296503157"/>
      <w:bookmarkStart w:id="447" w:name="_Toc296891197"/>
      <w:bookmarkStart w:id="448" w:name="_Toc296944496"/>
      <w:bookmarkStart w:id="449" w:name="_Toc296890985"/>
      <w:bookmarkStart w:id="450" w:name="_Toc292559867"/>
      <w:bookmarkStart w:id="451" w:name="_Toc297048343"/>
      <w:bookmarkStart w:id="452" w:name="_Toc292559362"/>
      <w:r>
        <w:rPr>
          <w:rFonts w:hint="eastAsia" w:ascii="宋体" w:hAnsi="宋体" w:eastAsia="宋体" w:cs="宋体"/>
          <w:bCs/>
          <w:sz w:val="21"/>
          <w:szCs w:val="21"/>
          <w:highlight w:val="none"/>
        </w:rPr>
        <w:t>. 发包人</w:t>
      </w:r>
      <w:bookmarkEnd w:id="441"/>
      <w:bookmarkEnd w:id="442"/>
    </w:p>
    <w:bookmarkEnd w:id="443"/>
    <w:bookmarkEnd w:id="444"/>
    <w:bookmarkEnd w:id="445"/>
    <w:bookmarkEnd w:id="446"/>
    <w:bookmarkEnd w:id="447"/>
    <w:bookmarkEnd w:id="448"/>
    <w:bookmarkEnd w:id="449"/>
    <w:bookmarkEnd w:id="450"/>
    <w:bookmarkEnd w:id="451"/>
    <w:bookmarkEnd w:id="452"/>
    <w:p w14:paraId="6D6B009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 发包人代表</w:t>
      </w:r>
    </w:p>
    <w:p w14:paraId="74F8375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发包人代表：</w:t>
      </w:r>
    </w:p>
    <w:p w14:paraId="63F1002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C31F2A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身份证号：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8C0DCF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职    务：</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8BF247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2541DE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4BBEC1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D3299C2">
      <w:pPr>
        <w:spacing w:line="360" w:lineRule="auto"/>
        <w:ind w:firstLine="420" w:firstLineChars="200"/>
        <w:rPr>
          <w:rFonts w:hint="eastAsia" w:ascii="宋体" w:hAnsi="宋体" w:eastAsia="宋体" w:cs="宋体"/>
          <w:b/>
          <w:sz w:val="21"/>
          <w:szCs w:val="21"/>
          <w:highlight w:val="none"/>
        </w:rPr>
      </w:pPr>
      <w:r>
        <w:rPr>
          <w:rFonts w:hint="eastAsia" w:ascii="宋体" w:hAnsi="宋体" w:eastAsia="宋体" w:cs="宋体"/>
          <w:sz w:val="21"/>
          <w:szCs w:val="21"/>
          <w:highlight w:val="none"/>
        </w:rPr>
        <w:t>发包人对发包人代表的授权范围如下：</w:t>
      </w:r>
      <w:r>
        <w:rPr>
          <w:rFonts w:hint="eastAsia" w:ascii="宋体" w:hAnsi="宋体" w:eastAsia="宋体" w:cs="宋体"/>
          <w:sz w:val="21"/>
          <w:szCs w:val="21"/>
          <w:highlight w:val="none"/>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eastAsia="宋体" w:cs="宋体"/>
          <w:sz w:val="21"/>
          <w:szCs w:val="21"/>
          <w:highlight w:val="none"/>
        </w:rPr>
        <w:t>。</w:t>
      </w:r>
    </w:p>
    <w:p w14:paraId="1D5D42F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2.4 施工现场、施工条件和基础资料的提供</w:t>
      </w:r>
    </w:p>
    <w:p w14:paraId="33F55802">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2.4.1 提供施工现场</w:t>
      </w:r>
    </w:p>
    <w:p w14:paraId="726B943A">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关于发包人移交施工现场的期限要求：</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bookmarkStart w:id="453" w:name="_Toc386638609"/>
      <w:bookmarkStart w:id="454" w:name="_Toc351203635"/>
    </w:p>
    <w:p w14:paraId="7E81F3D7">
      <w:pPr>
        <w:snapToGrid w:val="0"/>
        <w:spacing w:line="360" w:lineRule="auto"/>
        <w:ind w:firstLine="420" w:firstLineChars="20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2.4.2 提供施工条件关于发包人应负责提供施工所需要的条件，包括：</w:t>
      </w:r>
      <w:r>
        <w:rPr>
          <w:rFonts w:hint="eastAsia" w:ascii="宋体" w:hAnsi="宋体" w:eastAsia="宋体" w:cs="宋体"/>
          <w:sz w:val="21"/>
          <w:szCs w:val="21"/>
          <w:highlight w:val="none"/>
          <w:u w:val="single"/>
        </w:rPr>
        <w:t>施工所需水、电接至施工现场；施工场地与公共道路的通道开通；工程地质和地下管线资料；发包人办理的施工所需证件等</w:t>
      </w:r>
      <w:r>
        <w:rPr>
          <w:rFonts w:hint="eastAsia" w:ascii="宋体" w:hAnsi="宋体" w:eastAsia="宋体" w:cs="宋体"/>
          <w:sz w:val="21"/>
          <w:szCs w:val="21"/>
          <w:highlight w:val="none"/>
        </w:rPr>
        <w:t>。</w:t>
      </w:r>
      <w:r>
        <w:rPr>
          <w:rFonts w:hint="eastAsia" w:ascii="宋体" w:hAnsi="宋体" w:eastAsia="宋体" w:cs="宋体"/>
          <w:b w:val="0"/>
          <w:bCs/>
          <w:sz w:val="21"/>
          <w:szCs w:val="21"/>
          <w:highlight w:val="none"/>
        </w:rPr>
        <w:t xml:space="preserve"> </w:t>
      </w:r>
    </w:p>
    <w:p w14:paraId="011D4EB3">
      <w:pPr>
        <w:snapToGrid w:val="0"/>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2.5 资金来源证明及支付担保：</w:t>
      </w:r>
    </w:p>
    <w:p w14:paraId="19FB4754">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发包人提供资金来源证明的期限要求：</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25F1AAB5">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按《关于印发宁海县房屋建筑和市政基础设施工程担保管理办法（试行）的通知》（宁建[2014]67号）规定不需提供。</w:t>
      </w:r>
    </w:p>
    <w:p w14:paraId="299E79A5">
      <w:pPr>
        <w:pStyle w:val="7"/>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w:t>
      </w:r>
      <w:bookmarkStart w:id="455" w:name="_Toc296346659"/>
      <w:bookmarkStart w:id="456" w:name="_Toc296503158"/>
      <w:bookmarkStart w:id="457" w:name="_Toc296891198"/>
      <w:bookmarkStart w:id="458" w:name="_Toc297048344"/>
      <w:bookmarkStart w:id="459" w:name="_Toc292559868"/>
      <w:bookmarkStart w:id="460" w:name="_Toc296890986"/>
      <w:bookmarkStart w:id="461" w:name="_Toc292559363"/>
      <w:bookmarkStart w:id="462" w:name="_Toc296944497"/>
      <w:bookmarkStart w:id="463" w:name="_Toc297120458"/>
      <w:bookmarkStart w:id="464" w:name="_Toc296347157"/>
      <w:r>
        <w:rPr>
          <w:rFonts w:hint="eastAsia" w:ascii="宋体" w:hAnsi="宋体" w:eastAsia="宋体" w:cs="宋体"/>
          <w:sz w:val="21"/>
          <w:szCs w:val="21"/>
          <w:highlight w:val="none"/>
        </w:rPr>
        <w:t>. 承包人</w:t>
      </w:r>
      <w:bookmarkEnd w:id="453"/>
      <w:bookmarkEnd w:id="454"/>
    </w:p>
    <w:bookmarkEnd w:id="455"/>
    <w:bookmarkEnd w:id="456"/>
    <w:bookmarkEnd w:id="457"/>
    <w:bookmarkEnd w:id="458"/>
    <w:bookmarkEnd w:id="459"/>
    <w:bookmarkEnd w:id="460"/>
    <w:bookmarkEnd w:id="461"/>
    <w:bookmarkEnd w:id="462"/>
    <w:bookmarkEnd w:id="463"/>
    <w:bookmarkEnd w:id="464"/>
    <w:p w14:paraId="66169C1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 承包人的一般义务</w:t>
      </w:r>
    </w:p>
    <w:p w14:paraId="42DD9AC6">
      <w:pPr>
        <w:spacing w:line="360" w:lineRule="auto"/>
        <w:ind w:firstLine="441" w:firstLineChars="21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（5）</w:t>
      </w:r>
      <w:r>
        <w:rPr>
          <w:rFonts w:hint="eastAsia" w:ascii="宋体" w:hAnsi="宋体" w:eastAsia="宋体" w:cs="宋体"/>
          <w:sz w:val="21"/>
          <w:szCs w:val="21"/>
          <w:highlight w:val="none"/>
        </w:rPr>
        <w:t>承包人提交的竣工资料的内容：</w:t>
      </w:r>
      <w:r>
        <w:rPr>
          <w:rFonts w:hint="eastAsia" w:ascii="宋体" w:hAnsi="宋体" w:eastAsia="宋体" w:cs="宋体"/>
          <w:sz w:val="21"/>
          <w:szCs w:val="21"/>
          <w:highlight w:val="none"/>
          <w:u w:val="single"/>
        </w:rPr>
        <w:t xml:space="preserve"> 按宁海县城建档案馆及发包人的归档要求提交竣工资料</w:t>
      </w:r>
      <w:r>
        <w:rPr>
          <w:rFonts w:hint="eastAsia" w:ascii="宋体" w:hAnsi="宋体" w:eastAsia="宋体" w:cs="宋体"/>
          <w:sz w:val="21"/>
          <w:szCs w:val="21"/>
          <w:highlight w:val="none"/>
        </w:rPr>
        <w:t>。</w:t>
      </w:r>
    </w:p>
    <w:p w14:paraId="6E3201F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承包人需要提交的竣工资料套数：</w:t>
      </w:r>
      <w:r>
        <w:rPr>
          <w:rFonts w:hint="eastAsia" w:ascii="宋体" w:hAnsi="宋体" w:eastAsia="宋体" w:cs="宋体"/>
          <w:sz w:val="21"/>
          <w:szCs w:val="21"/>
          <w:highlight w:val="none"/>
          <w:u w:val="single"/>
        </w:rPr>
        <w:t xml:space="preserve">  肆套     </w:t>
      </w:r>
      <w:r>
        <w:rPr>
          <w:rFonts w:hint="eastAsia" w:ascii="宋体" w:hAnsi="宋体" w:eastAsia="宋体" w:cs="宋体"/>
          <w:sz w:val="21"/>
          <w:szCs w:val="21"/>
          <w:highlight w:val="none"/>
        </w:rPr>
        <w:t>。</w:t>
      </w:r>
    </w:p>
    <w:p w14:paraId="569F799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承包人提交的竣工资料的费用承担：</w:t>
      </w:r>
      <w:r>
        <w:rPr>
          <w:rFonts w:hint="eastAsia" w:ascii="宋体" w:hAnsi="宋体" w:eastAsia="宋体" w:cs="宋体"/>
          <w:sz w:val="21"/>
          <w:szCs w:val="21"/>
          <w:highlight w:val="none"/>
          <w:u w:val="single"/>
        </w:rPr>
        <w:t xml:space="preserve">  由承包人自行承担   </w:t>
      </w:r>
      <w:r>
        <w:rPr>
          <w:rFonts w:hint="eastAsia" w:ascii="宋体" w:hAnsi="宋体" w:eastAsia="宋体" w:cs="宋体"/>
          <w:sz w:val="21"/>
          <w:szCs w:val="21"/>
          <w:highlight w:val="none"/>
        </w:rPr>
        <w:t>。</w:t>
      </w:r>
    </w:p>
    <w:p w14:paraId="542E71EC">
      <w:pPr>
        <w:spacing w:line="360" w:lineRule="auto"/>
        <w:ind w:firstLine="441" w:firstLineChars="21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承包人提交的竣工资料移交时间：</w:t>
      </w:r>
      <w:r>
        <w:rPr>
          <w:rFonts w:hint="eastAsia" w:ascii="宋体" w:hAnsi="宋体" w:eastAsia="宋体" w:cs="宋体"/>
          <w:sz w:val="21"/>
          <w:szCs w:val="21"/>
          <w:highlight w:val="none"/>
          <w:u w:val="single"/>
        </w:rPr>
        <w:t xml:space="preserve"> 在具备竣工验收合格条件后2个月内</w:t>
      </w:r>
      <w:r>
        <w:rPr>
          <w:rFonts w:hint="eastAsia" w:ascii="宋体" w:hAnsi="宋体" w:eastAsia="宋体" w:cs="宋体"/>
          <w:sz w:val="21"/>
          <w:szCs w:val="21"/>
          <w:highlight w:val="none"/>
        </w:rPr>
        <w:t>。</w:t>
      </w:r>
    </w:p>
    <w:p w14:paraId="64B0228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承包人提交的竣工资料形式要求：</w:t>
      </w:r>
      <w:r>
        <w:rPr>
          <w:rFonts w:hint="eastAsia" w:ascii="宋体" w:hAnsi="宋体" w:eastAsia="宋体" w:cs="宋体"/>
          <w:sz w:val="21"/>
          <w:szCs w:val="21"/>
          <w:highlight w:val="none"/>
          <w:u w:val="single"/>
        </w:rPr>
        <w:t xml:space="preserve">  纸质和电子资料       </w:t>
      </w:r>
      <w:r>
        <w:rPr>
          <w:rFonts w:hint="eastAsia" w:ascii="宋体" w:hAnsi="宋体" w:eastAsia="宋体" w:cs="宋体"/>
          <w:sz w:val="21"/>
          <w:szCs w:val="21"/>
          <w:highlight w:val="none"/>
        </w:rPr>
        <w:t>。</w:t>
      </w:r>
    </w:p>
    <w:p w14:paraId="2D8411C6">
      <w:pPr>
        <w:spacing w:line="360" w:lineRule="auto"/>
        <w:ind w:firstLine="430" w:firstLineChars="205"/>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（6）承包人应履行的其他义务：</w:t>
      </w:r>
    </w:p>
    <w:p w14:paraId="36354A0D">
      <w:pPr>
        <w:spacing w:line="360" w:lineRule="auto"/>
        <w:ind w:firstLine="430" w:firstLineChars="205"/>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承包人不得擅自更换和撤离项目负责人及其项目部关键岗位人员，发生下列情形之一需更换或撤离的，应至少提前7天以书面形式通知发包人，并征得发包人同意。后任继续行使合同文件约定的前任的职权，履行前任的义务。</w:t>
      </w:r>
    </w:p>
    <w:p w14:paraId="416AA3EA">
      <w:pPr>
        <w:spacing w:line="360" w:lineRule="auto"/>
        <w:ind w:firstLine="57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(1)因患病等身体原因无法坚持施工现场管理工作的；</w:t>
      </w:r>
    </w:p>
    <w:p w14:paraId="73E00457">
      <w:pPr>
        <w:spacing w:line="360" w:lineRule="auto"/>
        <w:ind w:firstLine="57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(2)退休或离开本单位的；</w:t>
      </w:r>
    </w:p>
    <w:p w14:paraId="757FA121">
      <w:pPr>
        <w:spacing w:line="360" w:lineRule="auto"/>
        <w:ind w:firstLine="57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(3)工程因故停止(或暂停3个月以上)建设或领取中标通知书后未开工达3个月以上的；</w:t>
      </w:r>
    </w:p>
    <w:p w14:paraId="07204B97">
      <w:pPr>
        <w:spacing w:line="360" w:lineRule="auto"/>
        <w:ind w:firstLine="57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(4)被建设主管部门责令停止(暂停)上岗资格、建议吊销或吊销相关证书，或被有关部门依法追究刑事责任的。</w:t>
      </w:r>
    </w:p>
    <w:p w14:paraId="4D3D219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 项目经理</w:t>
      </w:r>
    </w:p>
    <w:p w14:paraId="51A41E3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3.2.1 </w:t>
      </w:r>
      <w:r>
        <w:rPr>
          <w:rFonts w:hint="eastAsia" w:ascii="宋体" w:hAnsi="宋体" w:eastAsia="宋体" w:cs="宋体"/>
          <w:sz w:val="21"/>
          <w:szCs w:val="21"/>
          <w:highlight w:val="none"/>
        </w:rPr>
        <w:t>项目经理：</w:t>
      </w:r>
    </w:p>
    <w:p w14:paraId="67A792D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BD4B7D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身份证号：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870D24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建造师执业资格等级：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CDE7BA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建造师注册证书号：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1DE61B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建造师执业印章号：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0556A9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安全生产考核合格证书号：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F8D29E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501457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0603D0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5AEE255">
      <w:pPr>
        <w:spacing w:line="480" w:lineRule="exact"/>
        <w:ind w:firstLine="420" w:firstLineChars="200"/>
        <w:rPr>
          <w:rFonts w:hint="eastAsia" w:ascii="宋体" w:hAnsi="宋体" w:eastAsia="宋体" w:cs="宋体"/>
          <w:sz w:val="21"/>
          <w:szCs w:val="21"/>
          <w:highlight w:val="none"/>
        </w:rPr>
      </w:pPr>
      <w:bookmarkStart w:id="465" w:name="_Toc351203636"/>
      <w:bookmarkStart w:id="466" w:name="_Toc386638610"/>
      <w:r>
        <w:rPr>
          <w:rFonts w:hint="eastAsia" w:ascii="宋体" w:hAnsi="宋体" w:eastAsia="宋体" w:cs="宋体"/>
          <w:sz w:val="21"/>
          <w:szCs w:val="21"/>
          <w:highlight w:val="none"/>
        </w:rPr>
        <w:t>承包人对项目负责人的授权范围如下：</w:t>
      </w:r>
      <w:r>
        <w:rPr>
          <w:rFonts w:hint="eastAsia" w:ascii="宋体" w:hAnsi="宋体" w:eastAsia="宋体" w:cs="宋体"/>
          <w:sz w:val="21"/>
          <w:szCs w:val="21"/>
          <w:highlight w:val="none"/>
          <w:u w:val="single"/>
        </w:rPr>
        <w:t>在承包人授权范围内履行承包人的职权，对工程建设的质量、安全、工期以及工程造价控制负责，所有上报给发包人的文件均需项目负责人签字</w:t>
      </w:r>
      <w:r>
        <w:rPr>
          <w:rFonts w:hint="eastAsia" w:ascii="宋体" w:hAnsi="宋体" w:eastAsia="宋体" w:cs="宋体"/>
          <w:sz w:val="21"/>
          <w:szCs w:val="21"/>
          <w:highlight w:val="none"/>
        </w:rPr>
        <w:t>。</w:t>
      </w:r>
    </w:p>
    <w:p w14:paraId="71D6521D">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关于项目经理每月在施工现场的时间要求：</w:t>
      </w:r>
      <w:r>
        <w:rPr>
          <w:rFonts w:hint="eastAsia" w:ascii="宋体" w:hAnsi="宋体" w:eastAsia="宋体" w:cs="宋体"/>
          <w:sz w:val="21"/>
          <w:szCs w:val="21"/>
          <w:highlight w:val="none"/>
          <w:u w:val="single"/>
        </w:rPr>
        <w:t>月到位率不少于每月20日历天（特殊情况除外），且重要工程例会及验收环节等必须由项目经理参加，否则处违约金2000元/人/天</w:t>
      </w:r>
      <w:r>
        <w:rPr>
          <w:rFonts w:hint="eastAsia" w:ascii="宋体" w:hAnsi="宋体" w:eastAsia="宋体" w:cs="宋体"/>
          <w:sz w:val="21"/>
          <w:szCs w:val="21"/>
          <w:highlight w:val="none"/>
        </w:rPr>
        <w:t>。</w:t>
      </w:r>
    </w:p>
    <w:p w14:paraId="01A54739">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承包人未提交劳动合同，以及没有为项目经理缴纳社会保险证明的违约责任：</w:t>
      </w:r>
      <w:r>
        <w:rPr>
          <w:rFonts w:hint="eastAsia" w:ascii="宋体" w:hAnsi="宋体" w:eastAsia="宋体" w:cs="宋体"/>
          <w:sz w:val="21"/>
          <w:szCs w:val="21"/>
          <w:highlight w:val="none"/>
          <w:u w:val="single"/>
        </w:rPr>
        <w:t>发包人有权解除合同，由此造成的费用增加和工期延误损失均由承包人承担</w:t>
      </w:r>
      <w:r>
        <w:rPr>
          <w:rFonts w:hint="eastAsia" w:ascii="宋体" w:hAnsi="宋体" w:eastAsia="宋体" w:cs="宋体"/>
          <w:sz w:val="21"/>
          <w:szCs w:val="21"/>
          <w:highlight w:val="none"/>
        </w:rPr>
        <w:t>。</w:t>
      </w:r>
    </w:p>
    <w:p w14:paraId="348BDEEB">
      <w:pPr>
        <w:spacing w:line="360" w:lineRule="auto"/>
        <w:ind w:firstLine="315" w:firstLineChars="15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3.2.3 承包人擅自更换项目经理的违约责任：</w:t>
      </w:r>
      <w:r>
        <w:rPr>
          <w:rFonts w:hint="eastAsia" w:ascii="宋体" w:hAnsi="宋体" w:eastAsia="宋体" w:cs="宋体"/>
          <w:sz w:val="21"/>
          <w:szCs w:val="21"/>
          <w:highlight w:val="none"/>
          <w:u w:val="single"/>
        </w:rPr>
        <w:t>处违约金20000 元/次，违约金从监理和发包人发现违约情况的当月工程款中扣除。</w:t>
      </w:r>
    </w:p>
    <w:p w14:paraId="472AEF6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3.2.4 承包人无正当理由拒绝更换项目经理的违约责任：</w:t>
      </w:r>
      <w:r>
        <w:rPr>
          <w:rFonts w:hint="eastAsia" w:ascii="宋体" w:hAnsi="宋体" w:eastAsia="宋体" w:cs="宋体"/>
          <w:sz w:val="21"/>
          <w:szCs w:val="21"/>
          <w:highlight w:val="none"/>
          <w:u w:val="single"/>
        </w:rPr>
        <w:t>发包人认为项目负责人无法履行职责的，应提供相关证明材料，并签发《整改通知书》，承包人在收到《整改通知书》后仍无改善的，发包人有权要求承包人更换项目负责人。承包人无正当理由拒绝更换的，处违约金20000 元/次，违约金从监理和发包人发现违约情况的当月工程款中扣除。情节严重的，发包人有权解除合同，由此造成的一切损失由承包人承担。</w:t>
      </w:r>
    </w:p>
    <w:p w14:paraId="40DDE5F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 承包人人员</w:t>
      </w:r>
    </w:p>
    <w:p w14:paraId="1A9EC862">
      <w:pPr>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3.3.1 承包人提交项目管理机构及施工现场管理人员安排报告的期限：</w:t>
      </w:r>
      <w:r>
        <w:rPr>
          <w:rFonts w:hint="eastAsia" w:ascii="宋体" w:hAnsi="宋体" w:eastAsia="宋体" w:cs="宋体"/>
          <w:sz w:val="21"/>
          <w:szCs w:val="21"/>
          <w:highlight w:val="none"/>
          <w:u w:val="single"/>
        </w:rPr>
        <w:t xml:space="preserve"> 承包人</w:t>
      </w:r>
      <w:r>
        <w:rPr>
          <w:rFonts w:hint="eastAsia" w:ascii="宋体" w:hAnsi="宋体" w:eastAsia="宋体" w:cs="宋体"/>
          <w:sz w:val="21"/>
          <w:szCs w:val="21"/>
          <w:highlight w:val="none"/>
          <w:u w:val="single"/>
          <w:lang w:val="en-US" w:eastAsia="zh-CN"/>
        </w:rPr>
        <w:t>为本项目配备的人员需与投标时相同，</w:t>
      </w:r>
      <w:r>
        <w:rPr>
          <w:rFonts w:hint="eastAsia" w:ascii="宋体" w:hAnsi="宋体" w:eastAsia="宋体" w:cs="宋体"/>
          <w:sz w:val="21"/>
          <w:szCs w:val="21"/>
          <w:highlight w:val="none"/>
          <w:u w:val="single"/>
        </w:rPr>
        <w:t>应在合同</w:t>
      </w:r>
      <w:r>
        <w:rPr>
          <w:rFonts w:hint="eastAsia" w:ascii="宋体" w:hAnsi="宋体" w:eastAsia="宋体" w:cs="宋体"/>
          <w:sz w:val="21"/>
          <w:szCs w:val="21"/>
          <w:highlight w:val="none"/>
          <w:u w:val="single"/>
          <w:lang w:val="en-US" w:eastAsia="zh-CN"/>
        </w:rPr>
        <w:t>签订</w:t>
      </w:r>
      <w:r>
        <w:rPr>
          <w:rFonts w:hint="eastAsia" w:ascii="宋体" w:hAnsi="宋体" w:eastAsia="宋体" w:cs="宋体"/>
          <w:sz w:val="21"/>
          <w:szCs w:val="21"/>
          <w:highlight w:val="none"/>
          <w:u w:val="single"/>
        </w:rPr>
        <w:t>将项目管理机构及施工现场管理人员报发包人</w:t>
      </w:r>
      <w:r>
        <w:rPr>
          <w:rFonts w:hint="eastAsia" w:ascii="宋体" w:hAnsi="宋体" w:eastAsia="宋体" w:cs="宋体"/>
          <w:sz w:val="21"/>
          <w:szCs w:val="21"/>
          <w:highlight w:val="none"/>
          <w:u w:val="single"/>
          <w:lang w:val="en-US" w:eastAsia="zh-CN"/>
        </w:rPr>
        <w:t>审查</w:t>
      </w:r>
      <w:r>
        <w:rPr>
          <w:rFonts w:hint="eastAsia" w:ascii="宋体" w:hAnsi="宋体" w:eastAsia="宋体" w:cs="宋体"/>
          <w:sz w:val="21"/>
          <w:szCs w:val="21"/>
          <w:highlight w:val="none"/>
          <w:u w:val="single"/>
        </w:rPr>
        <w:t>。</w:t>
      </w:r>
    </w:p>
    <w:p w14:paraId="21335379">
      <w:pPr>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关于项目部关键岗位人员每月在施工现场的时间要求：不少于20天。发包人将按《关于印发〈宁海县政府投资工程施工现场关键岗位人员考勤管理暂行办法〉的通知》文件对承包人配备的项目部关键岗位人员实行人脸特征识别考勤。</w:t>
      </w:r>
    </w:p>
    <w:p w14:paraId="68861DA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3.3.3承包人无正当理由拒绝撤换项目部关键岗位人员的违约责任：</w:t>
      </w:r>
      <w:r>
        <w:rPr>
          <w:rFonts w:hint="eastAsia" w:ascii="宋体" w:hAnsi="宋体" w:eastAsia="宋体" w:cs="宋体"/>
          <w:kern w:val="0"/>
          <w:sz w:val="21"/>
          <w:szCs w:val="21"/>
          <w:highlight w:val="none"/>
          <w:u w:val="single"/>
        </w:rPr>
        <w:t>发包人认为项目部关键岗位人员（指技术负责人、安全员、施工员、质量员）无法履行职责的，应提供相关证明材料，并签发《整改通知书》</w:t>
      </w:r>
      <w:r>
        <w:rPr>
          <w:rFonts w:hint="eastAsia" w:ascii="宋体" w:hAnsi="宋体" w:eastAsia="宋体" w:cs="宋体"/>
          <w:sz w:val="21"/>
          <w:szCs w:val="21"/>
          <w:highlight w:val="none"/>
          <w:u w:val="single"/>
        </w:rPr>
        <w:t>。承包人在收到《整改通知书》后仍无改善的，发包人有权要求承包人更换关键岗位人员。承包人无正当理由拒绝更换的，处违约金10000元/人/次，违约金从监理和发包人发现违约情况的当月工程款中扣除。</w:t>
      </w:r>
    </w:p>
    <w:p w14:paraId="27C21360">
      <w:pPr>
        <w:spacing w:line="360" w:lineRule="auto"/>
        <w:ind w:firstLine="420" w:firstLineChars="200"/>
        <w:rPr>
          <w:rFonts w:hint="eastAsia" w:ascii="宋体" w:hAnsi="宋体" w:eastAsia="宋体" w:cs="宋体"/>
          <w:kern w:val="0"/>
          <w:sz w:val="21"/>
          <w:szCs w:val="21"/>
          <w:highlight w:val="none"/>
          <w:u w:val="single"/>
        </w:rPr>
      </w:pPr>
      <w:r>
        <w:rPr>
          <w:rFonts w:hint="eastAsia" w:ascii="宋体" w:hAnsi="宋体" w:eastAsia="宋体" w:cs="宋体"/>
          <w:sz w:val="21"/>
          <w:szCs w:val="21"/>
          <w:highlight w:val="none"/>
        </w:rPr>
        <w:t>3.3.4承包人项目部关键岗位人员离开施工现场的批准要求：</w:t>
      </w:r>
      <w:r>
        <w:rPr>
          <w:rFonts w:hint="eastAsia" w:ascii="宋体" w:hAnsi="宋体" w:eastAsia="宋体" w:cs="宋体"/>
          <w:kern w:val="0"/>
          <w:sz w:val="21"/>
          <w:szCs w:val="21"/>
          <w:highlight w:val="none"/>
          <w:u w:val="single"/>
        </w:rPr>
        <w:t xml:space="preserve">书面形式，并由发包人及总监工程师签字确认 </w:t>
      </w:r>
    </w:p>
    <w:p w14:paraId="4FEF3197">
      <w:pPr>
        <w:spacing w:line="480" w:lineRule="exact"/>
        <w:ind w:firstLine="420" w:firstLineChars="200"/>
        <w:rPr>
          <w:rFonts w:hint="eastAsia" w:ascii="宋体" w:hAnsi="宋体" w:eastAsia="宋体" w:cs="宋体"/>
          <w:kern w:val="0"/>
          <w:sz w:val="21"/>
          <w:szCs w:val="21"/>
          <w:highlight w:val="none"/>
          <w:u w:val="single"/>
        </w:rPr>
      </w:pPr>
      <w:r>
        <w:rPr>
          <w:rFonts w:hint="eastAsia" w:ascii="宋体" w:hAnsi="宋体" w:eastAsia="宋体" w:cs="宋体"/>
          <w:sz w:val="21"/>
          <w:szCs w:val="21"/>
          <w:highlight w:val="none"/>
        </w:rPr>
        <w:t>3.3.5承包人擅自更换项目部关键岗位人员的违约责任：</w:t>
      </w:r>
      <w:r>
        <w:rPr>
          <w:rFonts w:hint="eastAsia" w:ascii="宋体" w:hAnsi="宋体" w:eastAsia="宋体" w:cs="宋体"/>
          <w:kern w:val="0"/>
          <w:sz w:val="21"/>
          <w:szCs w:val="21"/>
          <w:highlight w:val="none"/>
          <w:u w:val="single"/>
        </w:rPr>
        <w:t>处违约金10000元/人/次，违约金从监理和发包人发现违约情况的当月工程款中扣除。</w:t>
      </w:r>
    </w:p>
    <w:p w14:paraId="34D178C8">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bookmarkStart w:id="467" w:name="_Toc297216151"/>
      <w:bookmarkStart w:id="468" w:name="_Toc296890987"/>
      <w:bookmarkStart w:id="469" w:name="_Toc300934945"/>
      <w:bookmarkStart w:id="470" w:name="_Toc312677988"/>
      <w:bookmarkStart w:id="471" w:name="_Toc296346660"/>
      <w:bookmarkStart w:id="472" w:name="_Toc296347158"/>
      <w:bookmarkStart w:id="473" w:name="_Toc297048345"/>
      <w:bookmarkStart w:id="474" w:name="_Toc304295523"/>
      <w:bookmarkStart w:id="475" w:name="_Toc297120459"/>
      <w:bookmarkStart w:id="476" w:name="_Toc296944498"/>
      <w:bookmarkStart w:id="477" w:name="_Toc296503159"/>
      <w:bookmarkStart w:id="478" w:name="_Toc303539102"/>
      <w:bookmarkStart w:id="479" w:name="_Toc297123492"/>
      <w:bookmarkStart w:id="480" w:name="_Toc292559364"/>
      <w:bookmarkStart w:id="481" w:name="_Toc296891199"/>
      <w:bookmarkStart w:id="482" w:name="_Toc292559869"/>
      <w:r>
        <w:rPr>
          <w:rFonts w:hint="eastAsia" w:ascii="宋体" w:hAnsi="宋体" w:eastAsia="宋体" w:cs="宋体"/>
          <w:sz w:val="21"/>
          <w:szCs w:val="21"/>
          <w:highlight w:val="none"/>
        </w:rPr>
        <w:t>.5 分包</w:t>
      </w:r>
    </w:p>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14:paraId="58CB1D2E">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bookmarkStart w:id="483" w:name="_Toc297048346"/>
      <w:bookmarkStart w:id="484" w:name="_Toc297123493"/>
      <w:bookmarkStart w:id="485" w:name="_Toc297216152"/>
      <w:bookmarkStart w:id="486" w:name="_Toc296503160"/>
      <w:bookmarkStart w:id="487" w:name="_Toc296891200"/>
      <w:bookmarkStart w:id="488" w:name="_Toc312677989"/>
      <w:bookmarkStart w:id="489" w:name="_Toc300934946"/>
      <w:bookmarkStart w:id="490" w:name="_Toc297120460"/>
      <w:bookmarkStart w:id="491" w:name="_Toc296346661"/>
      <w:bookmarkStart w:id="492" w:name="_Toc296944499"/>
      <w:bookmarkStart w:id="493" w:name="_Toc296347159"/>
      <w:bookmarkStart w:id="494" w:name="_Toc304295524"/>
      <w:bookmarkStart w:id="495" w:name="_Toc318581158"/>
      <w:bookmarkStart w:id="496" w:name="_Toc303539103"/>
      <w:bookmarkStart w:id="497" w:name="_Toc296890988"/>
      <w:bookmarkStart w:id="498" w:name="_Toc292559365"/>
      <w:bookmarkStart w:id="499" w:name="_Toc292559870"/>
      <w:r>
        <w:rPr>
          <w:rFonts w:hint="eastAsia" w:ascii="宋体" w:hAnsi="宋体" w:eastAsia="宋体" w:cs="宋体"/>
          <w:sz w:val="21"/>
          <w:szCs w:val="21"/>
          <w:highlight w:val="none"/>
        </w:rPr>
        <w:t>.5.1 分包的一般约定</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14:paraId="105D8976">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禁止分包的工程包括：</w:t>
      </w:r>
      <w:r>
        <w:rPr>
          <w:rFonts w:hint="eastAsia" w:ascii="宋体" w:hAnsi="宋体" w:eastAsia="宋体" w:cs="宋体"/>
          <w:sz w:val="21"/>
          <w:szCs w:val="21"/>
          <w:highlight w:val="none"/>
          <w:u w:val="single"/>
        </w:rPr>
        <w:t xml:space="preserve">  主体结构、关键性工作、其他禁止分包的专业工程等</w:t>
      </w:r>
      <w:r>
        <w:rPr>
          <w:rFonts w:hint="eastAsia" w:ascii="宋体" w:hAnsi="宋体" w:eastAsia="宋体" w:cs="宋体"/>
          <w:sz w:val="21"/>
          <w:szCs w:val="21"/>
          <w:highlight w:val="none"/>
        </w:rPr>
        <w:t>。</w:t>
      </w:r>
    </w:p>
    <w:p w14:paraId="18A41963">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bookmarkStart w:id="500" w:name="_Toc318581159"/>
      <w:bookmarkStart w:id="501" w:name="_Toc312677990"/>
      <w:r>
        <w:rPr>
          <w:rFonts w:hint="eastAsia" w:ascii="宋体" w:hAnsi="宋体" w:eastAsia="宋体" w:cs="宋体"/>
          <w:sz w:val="21"/>
          <w:szCs w:val="21"/>
          <w:highlight w:val="none"/>
        </w:rPr>
        <w:t>.5.2分包的确定</w:t>
      </w:r>
    </w:p>
    <w:p w14:paraId="7EDEBC96">
      <w:pPr>
        <w:spacing w:line="480" w:lineRule="exact"/>
        <w:ind w:firstLine="420" w:firstLineChars="200"/>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其他关于分包的约定：</w:t>
      </w:r>
      <w:r>
        <w:rPr>
          <w:rFonts w:hint="eastAsia" w:ascii="宋体" w:hAnsi="宋体" w:eastAsia="宋体" w:cs="宋体"/>
          <w:sz w:val="21"/>
          <w:szCs w:val="21"/>
          <w:highlight w:val="none"/>
          <w:u w:val="single"/>
          <w:lang w:val="en-US" w:eastAsia="zh-CN"/>
        </w:rPr>
        <w:t xml:space="preserve">  /  </w:t>
      </w:r>
      <w:r>
        <w:rPr>
          <w:rFonts w:hint="eastAsia" w:ascii="宋体" w:hAnsi="宋体" w:eastAsia="宋体" w:cs="宋体"/>
          <w:sz w:val="21"/>
          <w:szCs w:val="21"/>
          <w:highlight w:val="none"/>
          <w:u w:val="none"/>
          <w:lang w:val="en-US" w:eastAsia="zh-CN"/>
        </w:rPr>
        <w:t>。</w:t>
      </w:r>
    </w:p>
    <w:p w14:paraId="115AE30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3.5.3 分包的管理</w:t>
      </w:r>
    </w:p>
    <w:p w14:paraId="0F6A6B82">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除执行专用条款外，</w:t>
      </w:r>
      <w:r>
        <w:rPr>
          <w:rFonts w:hint="eastAsia" w:ascii="宋体" w:hAnsi="宋体" w:eastAsia="宋体" w:cs="宋体"/>
          <w:kern w:val="0"/>
          <w:sz w:val="21"/>
          <w:szCs w:val="21"/>
          <w:highlight w:val="none"/>
        </w:rPr>
        <w:t>承包人还应对分包人应当履行下列义务：</w:t>
      </w:r>
    </w:p>
    <w:p w14:paraId="0E9B5FDC">
      <w:pPr>
        <w:spacing w:line="360" w:lineRule="auto"/>
        <w:ind w:firstLine="441" w:firstLineChars="21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①承包人须为分包人提供现场的施工用水、用电接口 ；</w:t>
      </w:r>
    </w:p>
    <w:p w14:paraId="7DE90236">
      <w:pPr>
        <w:spacing w:line="360" w:lineRule="auto"/>
        <w:ind w:firstLine="441" w:firstLineChars="21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②承包人须协调并提供分包人必要的材料堆场和临时用房 ；</w:t>
      </w:r>
    </w:p>
    <w:p w14:paraId="318E6E9A">
      <w:pPr>
        <w:spacing w:line="360" w:lineRule="auto"/>
        <w:ind w:firstLine="441" w:firstLineChars="21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③承包人须为分包人提供现有机械垂直运输和工程脚手架的使用 ；</w:t>
      </w:r>
    </w:p>
    <w:p w14:paraId="2FB32E97">
      <w:pPr>
        <w:spacing w:line="360" w:lineRule="auto"/>
        <w:ind w:firstLine="441" w:firstLineChars="21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④承包人须向分包人说明现场的规章制度，安全生产制度并进行监督，同时承担连带责任 ；</w:t>
      </w:r>
    </w:p>
    <w:p w14:paraId="388C8BBF">
      <w:pPr>
        <w:spacing w:line="360" w:lineRule="auto"/>
        <w:ind w:firstLine="441" w:firstLineChars="21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⑤承包人负责分包人的质量、进度、安全等检查及管理，同时承担连带责任 ；</w:t>
      </w:r>
    </w:p>
    <w:p w14:paraId="19E398A2">
      <w:pPr>
        <w:spacing w:line="360" w:lineRule="auto"/>
        <w:ind w:firstLine="441" w:firstLineChars="21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fldChar w:fldCharType="begin"/>
      </w:r>
      <w:r>
        <w:rPr>
          <w:rFonts w:hint="eastAsia" w:ascii="宋体" w:hAnsi="宋体" w:eastAsia="宋体" w:cs="宋体"/>
          <w:kern w:val="0"/>
          <w:sz w:val="21"/>
          <w:szCs w:val="21"/>
          <w:highlight w:val="none"/>
        </w:rPr>
        <w:instrText xml:space="preserve"> = 6 \* GB3 </w:instrText>
      </w:r>
      <w:r>
        <w:rPr>
          <w:rFonts w:hint="eastAsia" w:ascii="宋体" w:hAnsi="宋体" w:eastAsia="宋体" w:cs="宋体"/>
          <w:kern w:val="0"/>
          <w:sz w:val="21"/>
          <w:szCs w:val="21"/>
          <w:highlight w:val="none"/>
        </w:rPr>
        <w:fldChar w:fldCharType="separate"/>
      </w:r>
      <w:r>
        <w:rPr>
          <w:rFonts w:hint="eastAsia" w:ascii="宋体" w:hAnsi="宋体" w:eastAsia="宋体" w:cs="宋体"/>
          <w:kern w:val="0"/>
          <w:sz w:val="21"/>
          <w:szCs w:val="21"/>
          <w:highlight w:val="none"/>
        </w:rPr>
        <w:t>⑥</w:t>
      </w:r>
      <w:r>
        <w:rPr>
          <w:rFonts w:hint="eastAsia" w:ascii="宋体" w:hAnsi="宋体" w:eastAsia="宋体" w:cs="宋体"/>
          <w:kern w:val="0"/>
          <w:sz w:val="21"/>
          <w:szCs w:val="21"/>
          <w:highlight w:val="none"/>
        </w:rPr>
        <w:fldChar w:fldCharType="end"/>
      </w:r>
      <w:r>
        <w:rPr>
          <w:rFonts w:hint="eastAsia" w:ascii="宋体" w:hAnsi="宋体" w:eastAsia="宋体" w:cs="宋体"/>
          <w:kern w:val="0"/>
          <w:sz w:val="21"/>
          <w:szCs w:val="21"/>
          <w:highlight w:val="none"/>
        </w:rPr>
        <w:t>承包人应对分包人的资料进行汇总、整理等 ；</w:t>
      </w:r>
    </w:p>
    <w:p w14:paraId="51BF6EF0">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fldChar w:fldCharType="begin"/>
      </w:r>
      <w:r>
        <w:rPr>
          <w:rFonts w:hint="eastAsia" w:ascii="宋体" w:hAnsi="宋体" w:eastAsia="宋体" w:cs="宋体"/>
          <w:kern w:val="0"/>
          <w:sz w:val="21"/>
          <w:szCs w:val="21"/>
          <w:highlight w:val="none"/>
        </w:rPr>
        <w:instrText xml:space="preserve"> = 7 \* GB3 </w:instrText>
      </w:r>
      <w:r>
        <w:rPr>
          <w:rFonts w:hint="eastAsia" w:ascii="宋体" w:hAnsi="宋体" w:eastAsia="宋体" w:cs="宋体"/>
          <w:kern w:val="0"/>
          <w:sz w:val="21"/>
          <w:szCs w:val="21"/>
          <w:highlight w:val="none"/>
        </w:rPr>
        <w:fldChar w:fldCharType="separate"/>
      </w:r>
      <w:r>
        <w:rPr>
          <w:rFonts w:hint="eastAsia" w:ascii="宋体" w:hAnsi="宋体" w:eastAsia="宋体" w:cs="宋体"/>
          <w:kern w:val="0"/>
          <w:sz w:val="21"/>
          <w:szCs w:val="21"/>
          <w:highlight w:val="none"/>
        </w:rPr>
        <w:t>⑦</w:t>
      </w:r>
      <w:r>
        <w:rPr>
          <w:rFonts w:hint="eastAsia" w:ascii="宋体" w:hAnsi="宋体" w:eastAsia="宋体" w:cs="宋体"/>
          <w:kern w:val="0"/>
          <w:sz w:val="21"/>
          <w:szCs w:val="21"/>
          <w:highlight w:val="none"/>
        </w:rPr>
        <w:fldChar w:fldCharType="end"/>
      </w:r>
      <w:r>
        <w:rPr>
          <w:rFonts w:hint="eastAsia" w:ascii="宋体" w:hAnsi="宋体" w:eastAsia="宋体" w:cs="宋体"/>
          <w:kern w:val="0"/>
          <w:sz w:val="21"/>
          <w:szCs w:val="21"/>
          <w:highlight w:val="none"/>
        </w:rPr>
        <w:t>承包人应积极做好配套、配合工作，协调分包人的施工，为分包人提供合理的工作面及验收，因承包人原因造成分包人施工项目延期或施工不便的，由承包人承担相应损失。</w:t>
      </w:r>
    </w:p>
    <w:bookmarkEnd w:id="500"/>
    <w:bookmarkEnd w:id="501"/>
    <w:p w14:paraId="47BCF294">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3.6 工程照管与成品、半成品保护</w:t>
      </w:r>
    </w:p>
    <w:p w14:paraId="5C83847E">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承包人负责照管工程及工程相关的材料、工程设备的起始时间：</w:t>
      </w:r>
      <w:r>
        <w:rPr>
          <w:rFonts w:hint="eastAsia" w:ascii="宋体" w:hAnsi="宋体" w:eastAsia="宋体" w:cs="宋体"/>
          <w:kern w:val="0"/>
          <w:sz w:val="21"/>
          <w:szCs w:val="21"/>
          <w:highlight w:val="none"/>
          <w:u w:val="single"/>
        </w:rPr>
        <w:t xml:space="preserve">工程开工令发布之日 </w:t>
      </w:r>
      <w:r>
        <w:rPr>
          <w:rFonts w:hint="eastAsia" w:ascii="宋体" w:hAnsi="宋体" w:eastAsia="宋体" w:cs="宋体"/>
          <w:kern w:val="0"/>
          <w:sz w:val="21"/>
          <w:szCs w:val="21"/>
          <w:highlight w:val="none"/>
        </w:rPr>
        <w:t>。</w:t>
      </w:r>
    </w:p>
    <w:p w14:paraId="3BBB8B16">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3.7 履约担保</w:t>
      </w:r>
    </w:p>
    <w:p w14:paraId="24E4D01F">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承包人是否提供履约担保：</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否</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D912558">
      <w:pPr>
        <w:pStyle w:val="7"/>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bookmarkStart w:id="502" w:name="_Toc296347161"/>
      <w:bookmarkStart w:id="503" w:name="_Toc296944501"/>
      <w:bookmarkStart w:id="504" w:name="_Toc296891202"/>
      <w:bookmarkStart w:id="505" w:name="_Toc297048348"/>
      <w:bookmarkStart w:id="506" w:name="_Toc296346663"/>
      <w:bookmarkStart w:id="507" w:name="_Toc292559366"/>
      <w:bookmarkStart w:id="508" w:name="_Toc267251413"/>
      <w:bookmarkStart w:id="509" w:name="_Toc297120462"/>
      <w:bookmarkStart w:id="510" w:name="_Toc296890990"/>
      <w:bookmarkStart w:id="511" w:name="_Toc296503162"/>
      <w:bookmarkStart w:id="512" w:name="_Toc292559871"/>
      <w:r>
        <w:rPr>
          <w:rFonts w:hint="eastAsia" w:ascii="宋体" w:hAnsi="宋体" w:eastAsia="宋体" w:cs="宋体"/>
          <w:bCs/>
          <w:sz w:val="21"/>
          <w:szCs w:val="21"/>
          <w:highlight w:val="none"/>
        </w:rPr>
        <w:t>. 监</w:t>
      </w:r>
      <w:bookmarkEnd w:id="502"/>
      <w:bookmarkEnd w:id="503"/>
      <w:bookmarkEnd w:id="504"/>
      <w:bookmarkEnd w:id="505"/>
      <w:bookmarkEnd w:id="506"/>
      <w:bookmarkEnd w:id="507"/>
      <w:bookmarkEnd w:id="508"/>
      <w:bookmarkEnd w:id="509"/>
      <w:bookmarkEnd w:id="510"/>
      <w:bookmarkEnd w:id="511"/>
      <w:bookmarkEnd w:id="512"/>
      <w:r>
        <w:rPr>
          <w:rFonts w:hint="eastAsia" w:ascii="宋体" w:hAnsi="宋体" w:eastAsia="宋体" w:cs="宋体"/>
          <w:bCs/>
          <w:sz w:val="21"/>
          <w:szCs w:val="21"/>
          <w:highlight w:val="none"/>
        </w:rPr>
        <w:t>理人</w:t>
      </w:r>
      <w:bookmarkEnd w:id="465"/>
      <w:bookmarkEnd w:id="466"/>
    </w:p>
    <w:p w14:paraId="59033D2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4.1监理人的一般规定</w:t>
      </w:r>
    </w:p>
    <w:p w14:paraId="1763257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关于监理人的监理内容：</w:t>
      </w:r>
      <w:r>
        <w:rPr>
          <w:rFonts w:hint="eastAsia" w:ascii="宋体" w:hAnsi="宋体" w:eastAsia="宋体" w:cs="宋体"/>
          <w:sz w:val="21"/>
          <w:szCs w:val="21"/>
          <w:highlight w:val="none"/>
          <w:u w:val="single"/>
        </w:rPr>
        <w:t>工程建设监理合同授予监理人的权利</w:t>
      </w:r>
      <w:r>
        <w:rPr>
          <w:rFonts w:hint="eastAsia" w:ascii="宋体" w:hAnsi="宋体" w:eastAsia="宋体" w:cs="宋体"/>
          <w:sz w:val="21"/>
          <w:szCs w:val="21"/>
          <w:highlight w:val="none"/>
        </w:rPr>
        <w:t>。</w:t>
      </w:r>
    </w:p>
    <w:p w14:paraId="161741F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关于监理人的监理权限：</w:t>
      </w:r>
      <w:r>
        <w:rPr>
          <w:rFonts w:hint="eastAsia" w:ascii="宋体" w:hAnsi="宋体" w:eastAsia="宋体" w:cs="宋体"/>
          <w:sz w:val="21"/>
          <w:szCs w:val="21"/>
          <w:highlight w:val="none"/>
          <w:u w:val="single"/>
        </w:rPr>
        <w:t>涉及费用、工期、图纸更改等工程变更指令和付款、暂停工程施工指令的下达权需取得发包人书面批准后方可执行</w:t>
      </w:r>
      <w:r>
        <w:rPr>
          <w:rFonts w:hint="eastAsia" w:ascii="宋体" w:hAnsi="宋体" w:eastAsia="宋体" w:cs="宋体"/>
          <w:sz w:val="21"/>
          <w:szCs w:val="21"/>
          <w:highlight w:val="none"/>
        </w:rPr>
        <w:t xml:space="preserve">。 </w:t>
      </w:r>
    </w:p>
    <w:p w14:paraId="3A9D9E3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关于监理人在施工现场的办公场所、生活场所的提供和费用承担的约定：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756B13E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4.2 监理人员</w:t>
      </w:r>
    </w:p>
    <w:p w14:paraId="0BDE66C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总监理工程师：</w:t>
      </w:r>
    </w:p>
    <w:p w14:paraId="1D36593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AA4F71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职    务：</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A773F6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监理工程师执业资格证书号：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C6AE7F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CC8DC8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28978C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850FC4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关于监理人的其他约定：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C6F9B4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4.4 商定或确定</w:t>
      </w:r>
    </w:p>
    <w:p w14:paraId="32E9E107">
      <w:pPr>
        <w:autoSpaceDE w:val="0"/>
        <w:autoSpaceDN w:val="0"/>
        <w:adjustRightInd w:val="0"/>
        <w:spacing w:line="360" w:lineRule="auto"/>
        <w:ind w:firstLine="420" w:firstLineChars="200"/>
        <w:jc w:val="left"/>
        <w:rPr>
          <w:rFonts w:hint="eastAsia" w:ascii="宋体" w:hAnsi="宋体" w:eastAsia="宋体" w:cs="宋体"/>
          <w:kern w:val="0"/>
          <w:sz w:val="21"/>
          <w:szCs w:val="21"/>
          <w:highlight w:val="none"/>
        </w:rPr>
      </w:pPr>
      <w:bookmarkStart w:id="513" w:name="_Toc267251418"/>
      <w:r>
        <w:rPr>
          <w:rFonts w:hint="eastAsia" w:ascii="宋体" w:hAnsi="宋体" w:eastAsia="宋体" w:cs="宋体"/>
          <w:sz w:val="21"/>
          <w:szCs w:val="21"/>
          <w:highlight w:val="none"/>
        </w:rPr>
        <w:t>在发包人和承包人不能通过协商达成一致意见时，总监理工程师应按照合同约定作出公正确定，应在合同发包人会商之日起7天内提供书面确定意见。</w:t>
      </w:r>
    </w:p>
    <w:p w14:paraId="643B626A">
      <w:pPr>
        <w:pStyle w:val="7"/>
        <w:rPr>
          <w:rFonts w:hint="eastAsia" w:ascii="宋体" w:hAnsi="宋体" w:eastAsia="宋体" w:cs="宋体"/>
          <w:bCs/>
          <w:sz w:val="21"/>
          <w:szCs w:val="21"/>
          <w:highlight w:val="none"/>
        </w:rPr>
      </w:pPr>
      <w:bookmarkStart w:id="514" w:name="_Toc386638611"/>
      <w:bookmarkStart w:id="515" w:name="_Toc351203637"/>
      <w:r>
        <w:rPr>
          <w:rFonts w:hint="eastAsia" w:ascii="宋体" w:hAnsi="宋体" w:eastAsia="宋体" w:cs="宋体"/>
          <w:bCs/>
          <w:sz w:val="21"/>
          <w:szCs w:val="21"/>
          <w:highlight w:val="none"/>
        </w:rPr>
        <w:t>5</w:t>
      </w:r>
      <w:bookmarkEnd w:id="513"/>
      <w:bookmarkStart w:id="516" w:name="_Toc296891203"/>
      <w:bookmarkStart w:id="517" w:name="_Toc292559872"/>
      <w:bookmarkStart w:id="518" w:name="_Toc292559367"/>
      <w:bookmarkStart w:id="519" w:name="_Toc296347162"/>
      <w:bookmarkStart w:id="520" w:name="_Toc296503163"/>
      <w:bookmarkStart w:id="521" w:name="_Toc296890991"/>
      <w:bookmarkStart w:id="522" w:name="_Toc296346664"/>
      <w:bookmarkStart w:id="523" w:name="_Toc297048349"/>
      <w:bookmarkStart w:id="524" w:name="_Toc296944502"/>
      <w:bookmarkStart w:id="525" w:name="_Toc297120463"/>
      <w:r>
        <w:rPr>
          <w:rFonts w:hint="eastAsia" w:ascii="宋体" w:hAnsi="宋体" w:eastAsia="宋体" w:cs="宋体"/>
          <w:bCs/>
          <w:sz w:val="21"/>
          <w:szCs w:val="21"/>
          <w:highlight w:val="none"/>
        </w:rPr>
        <w:t>. 工程质量</w:t>
      </w:r>
      <w:bookmarkEnd w:id="514"/>
      <w:bookmarkEnd w:id="515"/>
    </w:p>
    <w:p w14:paraId="0DD7C0D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5.1 质量要求</w:t>
      </w:r>
    </w:p>
    <w:p w14:paraId="2174244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w:t>
      </w:r>
      <w:bookmarkStart w:id="526" w:name="_Toc304295527"/>
      <w:bookmarkStart w:id="527" w:name="_Toc303539106"/>
      <w:bookmarkStart w:id="528" w:name="_Toc318581164"/>
      <w:bookmarkStart w:id="529" w:name="_Toc297123496"/>
      <w:bookmarkStart w:id="530" w:name="_Toc312677997"/>
      <w:bookmarkStart w:id="531" w:name="_Toc297216155"/>
      <w:bookmarkStart w:id="532" w:name="_Toc300934949"/>
      <w:r>
        <w:rPr>
          <w:rFonts w:hint="eastAsia" w:ascii="宋体" w:hAnsi="宋体" w:eastAsia="宋体" w:cs="宋体"/>
          <w:sz w:val="21"/>
          <w:szCs w:val="21"/>
          <w:highlight w:val="none"/>
        </w:rPr>
        <w:t>.1.1 特殊质量标准和要求：</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691B47D2">
      <w:pPr>
        <w:spacing w:line="360" w:lineRule="auto"/>
        <w:ind w:firstLine="525" w:firstLineChars="25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质量要求：符合现行国家有关工程施工质量验收规范和标准要求，验收合格</w:t>
      </w:r>
      <w:r>
        <w:rPr>
          <w:rFonts w:hint="eastAsia" w:ascii="宋体" w:hAnsi="宋体" w:eastAsia="宋体" w:cs="宋体"/>
          <w:kern w:val="0"/>
          <w:sz w:val="21"/>
          <w:szCs w:val="21"/>
          <w:highlight w:val="none"/>
        </w:rPr>
        <w:t>。</w:t>
      </w:r>
    </w:p>
    <w:p w14:paraId="2CE1EE02">
      <w:pPr>
        <w:spacing w:line="360" w:lineRule="auto"/>
        <w:ind w:firstLine="525" w:firstLineChars="2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关于工程奖项的约定：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5A1CD0C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5.3 隐蔽工程检查</w:t>
      </w:r>
    </w:p>
    <w:p w14:paraId="36494EA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5.3.2承包人提前通知监理人隐蔽工程检查的期限的约定：</w:t>
      </w:r>
      <w:r>
        <w:rPr>
          <w:rFonts w:hint="eastAsia" w:ascii="宋体" w:hAnsi="宋体" w:eastAsia="宋体" w:cs="宋体"/>
          <w:sz w:val="21"/>
          <w:szCs w:val="21"/>
          <w:highlight w:val="none"/>
          <w:u w:val="single"/>
        </w:rPr>
        <w:t xml:space="preserve">承包人应在共同检查前24小时书面通知监理人检查 </w:t>
      </w:r>
      <w:r>
        <w:rPr>
          <w:rFonts w:hint="eastAsia" w:ascii="宋体" w:hAnsi="宋体" w:eastAsia="宋体" w:cs="宋体"/>
          <w:sz w:val="21"/>
          <w:szCs w:val="21"/>
          <w:highlight w:val="none"/>
        </w:rPr>
        <w:t>。</w:t>
      </w:r>
    </w:p>
    <w:p w14:paraId="19DCBA2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监理人不能按时进行检查时，应提前</w:t>
      </w:r>
      <w:r>
        <w:rPr>
          <w:rFonts w:hint="eastAsia" w:ascii="宋体" w:hAnsi="宋体" w:eastAsia="宋体" w:cs="宋体"/>
          <w:sz w:val="21"/>
          <w:szCs w:val="21"/>
          <w:highlight w:val="none"/>
          <w:u w:val="single"/>
        </w:rPr>
        <w:t>24</w:t>
      </w:r>
      <w:r>
        <w:rPr>
          <w:rFonts w:hint="eastAsia" w:ascii="宋体" w:hAnsi="宋体" w:eastAsia="宋体" w:cs="宋体"/>
          <w:sz w:val="21"/>
          <w:szCs w:val="21"/>
          <w:highlight w:val="none"/>
        </w:rPr>
        <w:t>小时提交书面延期要求。</w:t>
      </w:r>
    </w:p>
    <w:p w14:paraId="6E8302A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关于延期最长不得超过：</w:t>
      </w:r>
      <w:r>
        <w:rPr>
          <w:rFonts w:hint="eastAsia" w:ascii="宋体" w:hAnsi="宋体" w:eastAsia="宋体" w:cs="宋体"/>
          <w:sz w:val="21"/>
          <w:szCs w:val="21"/>
          <w:highlight w:val="none"/>
          <w:u w:val="single"/>
        </w:rPr>
        <w:t xml:space="preserve"> 48</w:t>
      </w:r>
      <w:r>
        <w:rPr>
          <w:rFonts w:hint="eastAsia" w:ascii="宋体" w:hAnsi="宋体" w:eastAsia="宋体" w:cs="宋体"/>
          <w:sz w:val="21"/>
          <w:szCs w:val="21"/>
          <w:highlight w:val="none"/>
        </w:rPr>
        <w:t>小时。</w:t>
      </w:r>
    </w:p>
    <w:p w14:paraId="606617A0">
      <w:pPr>
        <w:pStyle w:val="7"/>
        <w:rPr>
          <w:rFonts w:hint="eastAsia" w:ascii="宋体" w:hAnsi="宋体" w:eastAsia="宋体" w:cs="宋体"/>
          <w:bCs/>
          <w:sz w:val="21"/>
          <w:szCs w:val="21"/>
          <w:highlight w:val="none"/>
        </w:rPr>
      </w:pPr>
      <w:bookmarkStart w:id="533" w:name="_Toc386638612"/>
      <w:bookmarkStart w:id="534" w:name="_Toc351203638"/>
      <w:r>
        <w:rPr>
          <w:rFonts w:hint="eastAsia" w:ascii="宋体" w:hAnsi="宋体" w:eastAsia="宋体" w:cs="宋体"/>
          <w:bCs/>
          <w:sz w:val="21"/>
          <w:szCs w:val="21"/>
          <w:highlight w:val="none"/>
        </w:rPr>
        <w:t>6. 安全文明施工与环境保护</w:t>
      </w:r>
      <w:bookmarkEnd w:id="533"/>
      <w:bookmarkEnd w:id="534"/>
    </w:p>
    <w:p w14:paraId="37272FF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6.1安全文明施工</w:t>
      </w:r>
    </w:p>
    <w:p w14:paraId="5A6B094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6.1.1 项目安全生产的达标目标及相应事项的约定：</w:t>
      </w:r>
      <w:r>
        <w:rPr>
          <w:rFonts w:hint="eastAsia" w:ascii="宋体" w:hAnsi="宋体" w:eastAsia="宋体" w:cs="宋体"/>
          <w:sz w:val="21"/>
          <w:szCs w:val="21"/>
          <w:highlight w:val="none"/>
          <w:u w:val="single"/>
        </w:rPr>
        <w:t xml:space="preserve"> 合格。</w:t>
      </w:r>
    </w:p>
    <w:p w14:paraId="73F1C6F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6.1.4 关于治安保卫的特别约定：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3B70D76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关于编制施工场地治安管理计划的约定：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291DBA4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6.1.5 文明施工</w:t>
      </w:r>
    </w:p>
    <w:p w14:paraId="337DE02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合同当事人对文明施工的要求：</w:t>
      </w:r>
      <w:r>
        <w:rPr>
          <w:rFonts w:hint="eastAsia" w:ascii="宋体" w:hAnsi="宋体" w:eastAsia="宋体" w:cs="宋体"/>
          <w:sz w:val="21"/>
          <w:szCs w:val="21"/>
          <w:highlight w:val="none"/>
          <w:u w:val="single"/>
        </w:rPr>
        <w:t>按《宁波市建设工程文明施工管理规定》(宁波市政府令第195号)、《关于印发宁海县建筑工地扬尘综合整治专项实施方案的通知</w:t>
      </w:r>
      <w:r>
        <w:rPr>
          <w:rFonts w:hint="eastAsia" w:ascii="宋体" w:hAnsi="宋体" w:eastAsia="宋体" w:cs="宋体"/>
          <w:color w:val="auto"/>
          <w:sz w:val="21"/>
          <w:szCs w:val="21"/>
          <w:highlight w:val="none"/>
          <w:u w:val="single"/>
        </w:rPr>
        <w:t xml:space="preserve">》(宁建［2013］62号)文件要求执行  </w:t>
      </w:r>
      <w:r>
        <w:rPr>
          <w:rFonts w:hint="eastAsia" w:ascii="宋体" w:hAnsi="宋体" w:eastAsia="宋体" w:cs="宋体"/>
          <w:color w:val="auto"/>
          <w:sz w:val="21"/>
          <w:szCs w:val="21"/>
          <w:highlight w:val="none"/>
        </w:rPr>
        <w:t>。</w:t>
      </w:r>
    </w:p>
    <w:p w14:paraId="3FAA141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bookmarkEnd w:id="526"/>
    <w:bookmarkEnd w:id="527"/>
    <w:bookmarkEnd w:id="528"/>
    <w:bookmarkEnd w:id="529"/>
    <w:bookmarkEnd w:id="530"/>
    <w:bookmarkEnd w:id="531"/>
    <w:bookmarkEnd w:id="532"/>
    <w:p w14:paraId="3A73E4A0">
      <w:pPr>
        <w:pStyle w:val="7"/>
        <w:rPr>
          <w:rFonts w:hint="eastAsia" w:ascii="宋体" w:hAnsi="宋体" w:eastAsia="宋体" w:cs="宋体"/>
          <w:bCs/>
          <w:color w:val="auto"/>
          <w:sz w:val="21"/>
          <w:szCs w:val="21"/>
          <w:highlight w:val="none"/>
        </w:rPr>
      </w:pPr>
      <w:bookmarkStart w:id="535" w:name="_Toc351203639"/>
      <w:bookmarkStart w:id="536" w:name="_Toc386638613"/>
      <w:r>
        <w:rPr>
          <w:rFonts w:hint="eastAsia" w:ascii="宋体" w:hAnsi="宋体" w:eastAsia="宋体" w:cs="宋体"/>
          <w:bCs/>
          <w:color w:val="auto"/>
          <w:sz w:val="21"/>
          <w:szCs w:val="21"/>
          <w:highlight w:val="none"/>
        </w:rPr>
        <w:t>7. 工期和进度</w:t>
      </w:r>
      <w:bookmarkEnd w:id="535"/>
      <w:bookmarkEnd w:id="536"/>
    </w:p>
    <w:p w14:paraId="4A843CE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7.1 施工组织设计</w:t>
      </w:r>
    </w:p>
    <w:p w14:paraId="7BD2166F">
      <w:pPr>
        <w:autoSpaceDE w:val="0"/>
        <w:autoSpaceDN w:val="0"/>
        <w:adjustRightInd w:val="0"/>
        <w:spacing w:line="360" w:lineRule="auto"/>
        <w:ind w:firstLine="441" w:firstLineChars="21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7.1.1 合</w:t>
      </w:r>
      <w:r>
        <w:rPr>
          <w:rFonts w:hint="eastAsia" w:ascii="宋体" w:hAnsi="宋体" w:eastAsia="宋体" w:cs="宋体"/>
          <w:kern w:val="0"/>
          <w:sz w:val="21"/>
          <w:szCs w:val="21"/>
          <w:highlight w:val="none"/>
        </w:rPr>
        <w:t>同当事人约定的施工组织设计应包括的其他内容：</w:t>
      </w:r>
      <w:r>
        <w:rPr>
          <w:rFonts w:hint="eastAsia" w:ascii="宋体" w:hAnsi="宋体" w:eastAsia="宋体" w:cs="宋体"/>
          <w:kern w:val="0"/>
          <w:sz w:val="21"/>
          <w:szCs w:val="21"/>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eastAsia="宋体" w:cs="宋体"/>
          <w:sz w:val="21"/>
          <w:szCs w:val="21"/>
          <w:highlight w:val="none"/>
        </w:rPr>
        <w:t>。</w:t>
      </w:r>
    </w:p>
    <w:p w14:paraId="3CC4AD2D">
      <w:pPr>
        <w:autoSpaceDE w:val="0"/>
        <w:autoSpaceDN w:val="0"/>
        <w:adjustRightIn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 xml:space="preserve">7.1.2 </w:t>
      </w:r>
      <w:r>
        <w:rPr>
          <w:rFonts w:hint="eastAsia" w:ascii="宋体" w:hAnsi="宋体" w:eastAsia="宋体" w:cs="宋体"/>
          <w:kern w:val="0"/>
          <w:sz w:val="21"/>
          <w:szCs w:val="21"/>
          <w:highlight w:val="none"/>
        </w:rPr>
        <w:t>施工组织设计的提交和修改</w:t>
      </w:r>
    </w:p>
    <w:p w14:paraId="7E2946F8">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承包人提交详细施工组织设计的期限的约定：</w:t>
      </w:r>
      <w:r>
        <w:rPr>
          <w:rFonts w:hint="eastAsia" w:ascii="宋体" w:hAnsi="宋体" w:eastAsia="宋体" w:cs="宋体"/>
          <w:sz w:val="21"/>
          <w:szCs w:val="21"/>
          <w:highlight w:val="none"/>
          <w:u w:val="single"/>
        </w:rPr>
        <w:t>合同签订后14天内，但最迟不得晚于开工前7天</w:t>
      </w:r>
      <w:r>
        <w:rPr>
          <w:rFonts w:hint="eastAsia" w:ascii="宋体" w:hAnsi="宋体" w:eastAsia="宋体" w:cs="宋体"/>
          <w:sz w:val="21"/>
          <w:szCs w:val="21"/>
          <w:highlight w:val="none"/>
        </w:rPr>
        <w:t>。</w:t>
      </w:r>
    </w:p>
    <w:p w14:paraId="6D42990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发包人和监理人在收到详细的施工组织设计后确认或提出修改意见的期限：</w:t>
      </w:r>
      <w:r>
        <w:rPr>
          <w:rFonts w:hint="eastAsia" w:ascii="宋体" w:hAnsi="宋体" w:eastAsia="宋体" w:cs="宋体"/>
          <w:sz w:val="21"/>
          <w:szCs w:val="21"/>
          <w:highlight w:val="none"/>
          <w:u w:val="single"/>
        </w:rPr>
        <w:t>收到7天内</w:t>
      </w:r>
      <w:r>
        <w:rPr>
          <w:rFonts w:hint="eastAsia" w:ascii="宋体" w:hAnsi="宋体" w:eastAsia="宋体" w:cs="宋体"/>
          <w:sz w:val="21"/>
          <w:szCs w:val="21"/>
          <w:highlight w:val="none"/>
        </w:rPr>
        <w:t>。</w:t>
      </w:r>
    </w:p>
    <w:p w14:paraId="6A60AEF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w:t>
      </w:r>
      <w:bookmarkStart w:id="537" w:name="_Toc304295541"/>
      <w:bookmarkStart w:id="538" w:name="_Toc297216173"/>
      <w:bookmarkStart w:id="539" w:name="_Toc303539123"/>
      <w:bookmarkStart w:id="540" w:name="_Toc300934966"/>
      <w:bookmarkStart w:id="541" w:name="_Toc297123514"/>
      <w:bookmarkStart w:id="542" w:name="_Toc312677479"/>
      <w:bookmarkStart w:id="543" w:name="_Toc312678005"/>
      <w:r>
        <w:rPr>
          <w:rFonts w:hint="eastAsia" w:ascii="宋体" w:hAnsi="宋体" w:eastAsia="宋体" w:cs="宋体"/>
          <w:sz w:val="21"/>
          <w:szCs w:val="21"/>
          <w:highlight w:val="none"/>
        </w:rPr>
        <w:t>.2 施工进度计划</w:t>
      </w:r>
    </w:p>
    <w:p w14:paraId="7217517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7.2.2 施工进度计划的修订</w:t>
      </w:r>
    </w:p>
    <w:p w14:paraId="1C0A3B8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发包人和监理人在收到修订的施工进度计划后确认或提出修改意见的期限：</w:t>
      </w:r>
      <w:r>
        <w:rPr>
          <w:rFonts w:hint="eastAsia" w:ascii="宋体" w:hAnsi="宋体" w:eastAsia="宋体" w:cs="宋体"/>
          <w:sz w:val="21"/>
          <w:szCs w:val="21"/>
          <w:highlight w:val="none"/>
          <w:u w:val="single"/>
        </w:rPr>
        <w:t>收到7天内</w:t>
      </w:r>
      <w:r>
        <w:rPr>
          <w:rFonts w:hint="eastAsia" w:ascii="宋体" w:hAnsi="宋体" w:eastAsia="宋体" w:cs="宋体"/>
          <w:sz w:val="21"/>
          <w:szCs w:val="21"/>
          <w:highlight w:val="none"/>
        </w:rPr>
        <w:t>。</w:t>
      </w:r>
    </w:p>
    <w:p w14:paraId="6A5B06C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7.3 开工</w:t>
      </w:r>
    </w:p>
    <w:p w14:paraId="273917E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7.3.1 开工准备</w:t>
      </w:r>
    </w:p>
    <w:p w14:paraId="5BDBC31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发包人应按约定完成开工准备工作。</w:t>
      </w:r>
    </w:p>
    <w:p w14:paraId="7F309B5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7.3.2开工通知</w:t>
      </w:r>
    </w:p>
    <w:p w14:paraId="6A271E7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因发包人原因造成监理人未能在计划开工日期之日起/天内发出开工通知的，承包人有权提出价格调整要求，或者解除合同。</w:t>
      </w:r>
    </w:p>
    <w:bookmarkEnd w:id="537"/>
    <w:bookmarkEnd w:id="538"/>
    <w:bookmarkEnd w:id="539"/>
    <w:bookmarkEnd w:id="540"/>
    <w:bookmarkEnd w:id="541"/>
    <w:bookmarkEnd w:id="542"/>
    <w:bookmarkEnd w:id="543"/>
    <w:p w14:paraId="4259B7D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7.4 测量放线</w:t>
      </w:r>
    </w:p>
    <w:p w14:paraId="2E3C9E9B">
      <w:pPr>
        <w:spacing w:line="360" w:lineRule="auto"/>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7.4.1发包人通过监理人向承包人提供测量基准点、基准线和水准点及其书面资料的期限：</w:t>
      </w:r>
      <w:r>
        <w:rPr>
          <w:rFonts w:hint="eastAsia" w:ascii="宋体" w:hAnsi="宋体" w:eastAsia="宋体" w:cs="宋体"/>
          <w:sz w:val="21"/>
          <w:szCs w:val="21"/>
          <w:highlight w:val="none"/>
          <w:u w:val="single"/>
        </w:rPr>
        <w:t xml:space="preserve">不得晚于开工通知中载明的开工日期前7天 </w:t>
      </w:r>
      <w:r>
        <w:rPr>
          <w:rFonts w:hint="eastAsia" w:ascii="宋体" w:hAnsi="宋体" w:eastAsia="宋体" w:cs="宋体"/>
          <w:sz w:val="21"/>
          <w:szCs w:val="21"/>
          <w:highlight w:val="none"/>
        </w:rPr>
        <w:t>。</w:t>
      </w:r>
    </w:p>
    <w:p w14:paraId="101686C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w:t>
      </w:r>
      <w:bookmarkStart w:id="544" w:name="_Toc303539125"/>
      <w:bookmarkStart w:id="545" w:name="_Toc297216175"/>
      <w:bookmarkStart w:id="546" w:name="_Toc312678010"/>
      <w:bookmarkStart w:id="547" w:name="_Toc304295546"/>
      <w:bookmarkStart w:id="548" w:name="_Toc312677484"/>
      <w:bookmarkStart w:id="549" w:name="_Toc300934968"/>
      <w:bookmarkStart w:id="550" w:name="_Toc297123516"/>
      <w:r>
        <w:rPr>
          <w:rFonts w:hint="eastAsia" w:ascii="宋体" w:hAnsi="宋体" w:eastAsia="宋体" w:cs="宋体"/>
          <w:sz w:val="21"/>
          <w:szCs w:val="21"/>
          <w:highlight w:val="none"/>
        </w:rPr>
        <w:t>.5 工期延误</w:t>
      </w:r>
    </w:p>
    <w:bookmarkEnd w:id="544"/>
    <w:bookmarkEnd w:id="545"/>
    <w:bookmarkEnd w:id="546"/>
    <w:bookmarkEnd w:id="547"/>
    <w:bookmarkEnd w:id="548"/>
    <w:bookmarkEnd w:id="549"/>
    <w:bookmarkEnd w:id="550"/>
    <w:p w14:paraId="345577F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7.5.1 因发包人原因导致工期延误</w:t>
      </w:r>
    </w:p>
    <w:p w14:paraId="6CED46AF">
      <w:pPr>
        <w:spacing w:line="360" w:lineRule="auto"/>
        <w:ind w:firstLine="315" w:firstLineChars="1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（7）因发包人原因导致工期延误的其他情形：</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68704D3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7</w:t>
      </w:r>
      <w:bookmarkStart w:id="551" w:name="_Toc312678012"/>
      <w:bookmarkStart w:id="552" w:name="_Toc300934970"/>
      <w:bookmarkStart w:id="553" w:name="_Toc318581169"/>
      <w:bookmarkStart w:id="554" w:name="_Toc303539127"/>
      <w:bookmarkStart w:id="555" w:name="_Toc297216177"/>
      <w:bookmarkStart w:id="556" w:name="_Toc304295548"/>
      <w:bookmarkStart w:id="557" w:name="_Toc312677486"/>
      <w:bookmarkStart w:id="558" w:name="_Toc297123518"/>
      <w:r>
        <w:rPr>
          <w:rFonts w:hint="eastAsia" w:ascii="宋体" w:hAnsi="宋体" w:eastAsia="宋体" w:cs="宋体"/>
          <w:sz w:val="21"/>
          <w:szCs w:val="21"/>
          <w:highlight w:val="none"/>
        </w:rPr>
        <w:t>.5.2 因承包人原因导致工期延误</w:t>
      </w:r>
    </w:p>
    <w:bookmarkEnd w:id="551"/>
    <w:bookmarkEnd w:id="552"/>
    <w:bookmarkEnd w:id="553"/>
    <w:bookmarkEnd w:id="554"/>
    <w:bookmarkEnd w:id="555"/>
    <w:bookmarkEnd w:id="556"/>
    <w:bookmarkEnd w:id="557"/>
    <w:bookmarkEnd w:id="558"/>
    <w:p w14:paraId="2BF1B27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w:t>
      </w:r>
      <w:bookmarkStart w:id="559" w:name="_Toc312677487"/>
      <w:bookmarkStart w:id="560" w:name="_Toc312678013"/>
      <w:bookmarkStart w:id="561" w:name="_Toc318581170"/>
      <w:r>
        <w:rPr>
          <w:rFonts w:hint="eastAsia" w:ascii="宋体" w:hAnsi="宋体" w:eastAsia="宋体" w:cs="宋体"/>
          <w:color w:val="auto"/>
          <w:sz w:val="21"/>
          <w:szCs w:val="21"/>
          <w:highlight w:val="none"/>
        </w:rPr>
        <w:t>承包人原因造成工期延误，逾期竣工违约金的计算方法为：</w:t>
      </w:r>
      <w:bookmarkEnd w:id="559"/>
      <w:bookmarkEnd w:id="560"/>
      <w:r>
        <w:rPr>
          <w:rFonts w:hint="eastAsia" w:ascii="宋体" w:hAnsi="宋体" w:eastAsia="宋体" w:cs="宋体"/>
          <w:color w:val="auto"/>
          <w:sz w:val="21"/>
          <w:szCs w:val="21"/>
          <w:highlight w:val="none"/>
          <w:u w:val="single"/>
        </w:rPr>
        <w:t xml:space="preserve"> 10000元/天</w:t>
      </w:r>
      <w:r>
        <w:rPr>
          <w:rFonts w:hint="eastAsia" w:ascii="宋体" w:hAnsi="宋体" w:eastAsia="宋体" w:cs="宋体"/>
          <w:color w:val="auto"/>
          <w:sz w:val="21"/>
          <w:szCs w:val="21"/>
          <w:highlight w:val="none"/>
        </w:rPr>
        <w:t>。</w:t>
      </w:r>
    </w:p>
    <w:bookmarkEnd w:id="561"/>
    <w:p w14:paraId="6FA085C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w:t>
      </w:r>
      <w:bookmarkStart w:id="562" w:name="_Toc318581171"/>
      <w:bookmarkStart w:id="563" w:name="_Toc312678014"/>
      <w:r>
        <w:rPr>
          <w:rFonts w:hint="eastAsia" w:ascii="宋体" w:hAnsi="宋体" w:eastAsia="宋体" w:cs="宋体"/>
          <w:color w:val="auto"/>
          <w:sz w:val="21"/>
          <w:szCs w:val="21"/>
          <w:highlight w:val="none"/>
        </w:rPr>
        <w:t>期竣工违约金的上限：</w:t>
      </w:r>
      <w:r>
        <w:rPr>
          <w:rFonts w:hint="eastAsia" w:ascii="宋体" w:hAnsi="宋体" w:eastAsia="宋体" w:cs="宋体"/>
          <w:color w:val="auto"/>
          <w:sz w:val="21"/>
          <w:szCs w:val="21"/>
          <w:highlight w:val="none"/>
          <w:u w:val="single"/>
        </w:rPr>
        <w:t>合同价款的3%</w:t>
      </w:r>
      <w:r>
        <w:rPr>
          <w:rFonts w:hint="eastAsia" w:ascii="宋体" w:hAnsi="宋体" w:eastAsia="宋体" w:cs="宋体"/>
          <w:color w:val="auto"/>
          <w:sz w:val="21"/>
          <w:szCs w:val="21"/>
          <w:highlight w:val="none"/>
        </w:rPr>
        <w:t>。</w:t>
      </w:r>
    </w:p>
    <w:bookmarkEnd w:id="562"/>
    <w:bookmarkEnd w:id="563"/>
    <w:p w14:paraId="0CDD0E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564" w:name="_Toc300934971"/>
      <w:bookmarkStart w:id="565" w:name="_Toc297216178"/>
      <w:bookmarkStart w:id="566" w:name="_Toc297123519"/>
      <w:bookmarkStart w:id="567" w:name="_Toc303539128"/>
      <w:bookmarkStart w:id="568" w:name="_Toc312678015"/>
      <w:bookmarkStart w:id="569" w:name="_Toc304295549"/>
      <w:r>
        <w:rPr>
          <w:rFonts w:hint="eastAsia" w:ascii="宋体" w:hAnsi="宋体" w:eastAsia="宋体" w:cs="宋体"/>
          <w:color w:val="auto"/>
          <w:sz w:val="21"/>
          <w:szCs w:val="21"/>
          <w:highlight w:val="none"/>
        </w:rPr>
        <w:t>.6 不</w:t>
      </w:r>
      <w:bookmarkEnd w:id="564"/>
      <w:bookmarkEnd w:id="565"/>
      <w:bookmarkEnd w:id="566"/>
      <w:bookmarkEnd w:id="567"/>
      <w:bookmarkEnd w:id="568"/>
      <w:bookmarkEnd w:id="569"/>
      <w:r>
        <w:rPr>
          <w:rFonts w:hint="eastAsia" w:ascii="宋体" w:hAnsi="宋体" w:eastAsia="宋体" w:cs="宋体"/>
          <w:color w:val="auto"/>
          <w:sz w:val="21"/>
          <w:szCs w:val="21"/>
          <w:highlight w:val="none"/>
        </w:rPr>
        <w:t>利物质条件</w:t>
      </w:r>
    </w:p>
    <w:p w14:paraId="4579BE10">
      <w:pPr>
        <w:spacing w:line="360" w:lineRule="auto"/>
        <w:ind w:firstLine="315" w:firstLineChars="150"/>
        <w:jc w:val="left"/>
        <w:rPr>
          <w:rFonts w:hint="eastAsia" w:ascii="宋体" w:hAnsi="宋体" w:eastAsia="宋体" w:cs="宋体"/>
          <w:sz w:val="21"/>
          <w:szCs w:val="21"/>
          <w:highlight w:val="none"/>
        </w:rPr>
      </w:pPr>
      <w:bookmarkStart w:id="570" w:name="_Toc318581172"/>
      <w:bookmarkStart w:id="571" w:name="_Toc300934972"/>
      <w:bookmarkStart w:id="572" w:name="_Toc297123520"/>
      <w:bookmarkStart w:id="573" w:name="_Toc303539129"/>
      <w:bookmarkStart w:id="574" w:name="_Toc304295550"/>
      <w:bookmarkStart w:id="575" w:name="_Toc297216179"/>
      <w:bookmarkStart w:id="576" w:name="_Toc312678016"/>
      <w:r>
        <w:rPr>
          <w:rFonts w:hint="eastAsia" w:ascii="宋体" w:hAnsi="宋体" w:eastAsia="宋体" w:cs="宋体"/>
          <w:sz w:val="21"/>
          <w:szCs w:val="21"/>
          <w:highlight w:val="none"/>
        </w:rPr>
        <w:t>不利物质条件的其他情形和有关约定：</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w:t>
      </w:r>
    </w:p>
    <w:bookmarkEnd w:id="570"/>
    <w:bookmarkEnd w:id="571"/>
    <w:bookmarkEnd w:id="572"/>
    <w:bookmarkEnd w:id="573"/>
    <w:bookmarkEnd w:id="574"/>
    <w:bookmarkEnd w:id="575"/>
    <w:bookmarkEnd w:id="576"/>
    <w:p w14:paraId="6721307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w:t>
      </w:r>
      <w:bookmarkStart w:id="577" w:name="_Toc312678017"/>
      <w:bookmarkStart w:id="578" w:name="_Toc297123521"/>
      <w:bookmarkStart w:id="579" w:name="_Toc300934973"/>
      <w:bookmarkStart w:id="580" w:name="_Toc304295551"/>
      <w:bookmarkStart w:id="581" w:name="_Toc303539130"/>
      <w:bookmarkStart w:id="582" w:name="_Toc297216180"/>
      <w:r>
        <w:rPr>
          <w:rFonts w:hint="eastAsia" w:ascii="宋体" w:hAnsi="宋体" w:eastAsia="宋体" w:cs="宋体"/>
          <w:sz w:val="21"/>
          <w:szCs w:val="21"/>
          <w:highlight w:val="none"/>
        </w:rPr>
        <w:t>.7异常恶劣的气候条件</w:t>
      </w:r>
    </w:p>
    <w:bookmarkEnd w:id="577"/>
    <w:bookmarkEnd w:id="578"/>
    <w:bookmarkEnd w:id="579"/>
    <w:bookmarkEnd w:id="580"/>
    <w:bookmarkEnd w:id="581"/>
    <w:bookmarkEnd w:id="582"/>
    <w:p w14:paraId="5E3704E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发包人和承包人同意以下情形视为异常恶劣的气候条件：</w:t>
      </w:r>
    </w:p>
    <w:p w14:paraId="006DEB19">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u w:val="single"/>
        </w:rPr>
        <w:t xml:space="preserve"> 24小时内降雨量达到50mm以上 </w:t>
      </w:r>
      <w:r>
        <w:rPr>
          <w:rFonts w:hint="eastAsia" w:ascii="宋体" w:hAnsi="宋体" w:eastAsia="宋体" w:cs="宋体"/>
          <w:sz w:val="21"/>
          <w:szCs w:val="21"/>
          <w:highlight w:val="none"/>
        </w:rPr>
        <w:t>；</w:t>
      </w:r>
    </w:p>
    <w:p w14:paraId="3DAA27D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u w:val="single"/>
        </w:rPr>
        <w:t xml:space="preserve"> 风速达到8级及以上的热带风暴(或台风)</w:t>
      </w:r>
      <w:r>
        <w:rPr>
          <w:rFonts w:hint="eastAsia" w:ascii="宋体" w:hAnsi="宋体" w:eastAsia="宋体" w:cs="宋体"/>
          <w:sz w:val="21"/>
          <w:szCs w:val="21"/>
          <w:highlight w:val="none"/>
        </w:rPr>
        <w:t>；</w:t>
      </w:r>
    </w:p>
    <w:p w14:paraId="7F1F1190">
      <w:pPr>
        <w:spacing w:line="360" w:lineRule="auto"/>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w:t>
      </w:r>
      <w:r>
        <w:rPr>
          <w:rFonts w:hint="eastAsia" w:ascii="宋体" w:hAnsi="宋体" w:eastAsia="宋体" w:cs="宋体"/>
          <w:sz w:val="21"/>
          <w:szCs w:val="21"/>
          <w:highlight w:val="none"/>
          <w:u w:val="single"/>
        </w:rPr>
        <w:t xml:space="preserve"> 日气温超过38度或低于零下10度；</w:t>
      </w:r>
    </w:p>
    <w:p w14:paraId="682C4BC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u w:val="single"/>
        </w:rPr>
        <w:t xml:space="preserve"> 造成工程损坏的冰雹或12小时内降雪量达到4mm及以上的大雪灾害</w:t>
      </w:r>
      <w:r>
        <w:rPr>
          <w:rFonts w:hint="eastAsia" w:ascii="宋体" w:hAnsi="宋体" w:eastAsia="宋体" w:cs="宋体"/>
          <w:sz w:val="21"/>
          <w:szCs w:val="21"/>
          <w:highlight w:val="none"/>
        </w:rPr>
        <w:t>；</w:t>
      </w:r>
    </w:p>
    <w:p w14:paraId="7597066E">
      <w:pPr>
        <w:spacing w:line="360" w:lineRule="auto"/>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（5）</w:t>
      </w:r>
      <w:r>
        <w:rPr>
          <w:rFonts w:hint="eastAsia" w:ascii="宋体" w:hAnsi="宋体" w:eastAsia="宋体" w:cs="宋体"/>
          <w:sz w:val="21"/>
          <w:szCs w:val="21"/>
          <w:highlight w:val="none"/>
          <w:u w:val="single"/>
        </w:rPr>
        <w:t xml:space="preserve"> 政府有关部门通知停工的其他恶劣气候条件。</w:t>
      </w:r>
    </w:p>
    <w:p w14:paraId="39E369B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7.9 提前竣工的奖励</w:t>
      </w:r>
    </w:p>
    <w:p w14:paraId="03D22E4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7.9.2提前竣工的奖励：</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017C9BC4">
      <w:pPr>
        <w:pStyle w:val="7"/>
        <w:rPr>
          <w:rFonts w:hint="eastAsia" w:ascii="宋体" w:hAnsi="宋体" w:eastAsia="宋体" w:cs="宋体"/>
          <w:bCs/>
          <w:sz w:val="21"/>
          <w:szCs w:val="21"/>
          <w:highlight w:val="none"/>
        </w:rPr>
      </w:pPr>
      <w:bookmarkStart w:id="583" w:name="_Toc351203640"/>
      <w:bookmarkStart w:id="584" w:name="_Toc386638614"/>
      <w:r>
        <w:rPr>
          <w:rFonts w:hint="eastAsia" w:ascii="宋体" w:hAnsi="宋体" w:eastAsia="宋体" w:cs="宋体"/>
          <w:bCs/>
          <w:sz w:val="21"/>
          <w:szCs w:val="21"/>
          <w:highlight w:val="none"/>
        </w:rPr>
        <w:t>8. 材料与设备</w:t>
      </w:r>
      <w:bookmarkEnd w:id="583"/>
      <w:bookmarkEnd w:id="584"/>
    </w:p>
    <w:bookmarkEnd w:id="516"/>
    <w:bookmarkEnd w:id="517"/>
    <w:bookmarkEnd w:id="518"/>
    <w:bookmarkEnd w:id="519"/>
    <w:bookmarkEnd w:id="520"/>
    <w:bookmarkEnd w:id="521"/>
    <w:bookmarkEnd w:id="522"/>
    <w:bookmarkEnd w:id="523"/>
    <w:bookmarkEnd w:id="524"/>
    <w:bookmarkEnd w:id="525"/>
    <w:p w14:paraId="32E96E00">
      <w:pPr>
        <w:spacing w:line="480" w:lineRule="exact"/>
        <w:ind w:firstLine="420" w:firstLineChars="200"/>
        <w:rPr>
          <w:rFonts w:hint="eastAsia" w:ascii="宋体" w:hAnsi="宋体" w:eastAsia="宋体" w:cs="宋体"/>
          <w:sz w:val="21"/>
          <w:szCs w:val="21"/>
          <w:highlight w:val="none"/>
        </w:rPr>
      </w:pPr>
      <w:bookmarkStart w:id="585" w:name="_Toc303539137"/>
      <w:bookmarkStart w:id="586" w:name="_Toc304295557"/>
      <w:bookmarkStart w:id="587" w:name="_Toc297216187"/>
      <w:bookmarkStart w:id="588" w:name="_Toc318581173"/>
      <w:bookmarkStart w:id="589" w:name="_Toc300934980"/>
      <w:bookmarkStart w:id="590" w:name="_Toc296944507"/>
      <w:bookmarkStart w:id="591" w:name="_Toc296347167"/>
      <w:bookmarkStart w:id="592" w:name="_Toc297123528"/>
      <w:bookmarkStart w:id="593" w:name="_Toc312677494"/>
      <w:bookmarkStart w:id="594" w:name="_Toc312678020"/>
      <w:bookmarkStart w:id="595" w:name="_Toc296346669"/>
      <w:bookmarkStart w:id="596" w:name="_Toc297120468"/>
      <w:bookmarkStart w:id="597" w:name="_Toc296890996"/>
      <w:bookmarkStart w:id="598" w:name="_Toc296503168"/>
      <w:bookmarkStart w:id="599" w:name="_Toc296891208"/>
      <w:bookmarkStart w:id="600" w:name="_Toc297048354"/>
      <w:bookmarkStart w:id="601" w:name="_Toc280868655"/>
      <w:bookmarkStart w:id="602" w:name="_Toc267251424"/>
      <w:bookmarkStart w:id="603" w:name="_Toc280868656"/>
      <w:r>
        <w:rPr>
          <w:rFonts w:hint="eastAsia" w:ascii="宋体" w:hAnsi="宋体" w:eastAsia="宋体" w:cs="宋体"/>
          <w:sz w:val="21"/>
          <w:szCs w:val="21"/>
          <w:highlight w:val="none"/>
        </w:rPr>
        <w:t>8.2承包人采购材料与工程设备：</w:t>
      </w:r>
    </w:p>
    <w:p w14:paraId="133A72E9">
      <w:pPr>
        <w:spacing w:line="48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⑴同类材料的品牌应一致，质量、规格、型号均应符合国家标准并须提供合格证、质保单和检验报告，经监理认证、甲方验收审核合格后方可使用，否则由此造成的损失由承包人承担。</w:t>
      </w:r>
    </w:p>
    <w:p w14:paraId="0D7BA2CA">
      <w:pPr>
        <w:spacing w:line="48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⑵在材料、设备采购前15天将采购清单提交监理和发包人审核。采购清单中应明确采购材料的品种、数量、品牌、生产厂商及技术规格，如未经审核，发包人有权不予支付对应工程款。</w:t>
      </w:r>
    </w:p>
    <w:p w14:paraId="66364910">
      <w:pPr>
        <w:spacing w:line="48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fldChar w:fldCharType="begin"/>
      </w:r>
      <w:r>
        <w:rPr>
          <w:rFonts w:hint="eastAsia" w:ascii="宋体" w:hAnsi="宋体" w:eastAsia="宋体" w:cs="宋体"/>
          <w:sz w:val="21"/>
          <w:szCs w:val="21"/>
          <w:highlight w:val="none"/>
          <w:u w:val="single"/>
        </w:rPr>
        <w:instrText xml:space="preserve"> = 3 \* GB2 \* MERGEFORMAT </w:instrText>
      </w:r>
      <w:r>
        <w:rPr>
          <w:rFonts w:hint="eastAsia" w:ascii="宋体" w:hAnsi="宋体" w:eastAsia="宋体" w:cs="宋体"/>
          <w:sz w:val="21"/>
          <w:szCs w:val="21"/>
          <w:highlight w:val="none"/>
          <w:u w:val="single"/>
        </w:rPr>
        <w:fldChar w:fldCharType="separate"/>
      </w:r>
      <w:r>
        <w:rPr>
          <w:rFonts w:hint="eastAsia" w:ascii="宋体" w:hAnsi="宋体" w:eastAsia="宋体" w:cs="宋体"/>
          <w:sz w:val="21"/>
          <w:szCs w:val="21"/>
          <w:highlight w:val="none"/>
          <w:u w:val="single"/>
        </w:rPr>
        <w:t>⑶</w:t>
      </w:r>
      <w:r>
        <w:rPr>
          <w:rFonts w:hint="eastAsia" w:ascii="宋体" w:hAnsi="宋体" w:eastAsia="宋体" w:cs="宋体"/>
          <w:sz w:val="21"/>
          <w:szCs w:val="21"/>
          <w:highlight w:val="none"/>
          <w:u w:val="single"/>
        </w:rPr>
        <w:fldChar w:fldCharType="end"/>
      </w:r>
      <w:r>
        <w:rPr>
          <w:rFonts w:hint="eastAsia" w:ascii="宋体" w:hAnsi="宋体" w:eastAsia="宋体" w:cs="宋体"/>
          <w:sz w:val="21"/>
          <w:szCs w:val="21"/>
          <w:highlight w:val="none"/>
          <w:u w:val="single"/>
        </w:rPr>
        <w:t>承包人在实际施工过程中必须采用投标时响应的备选品牌，选用的品牌必须由承包人、发包人和监理单位</w:t>
      </w:r>
      <w:r>
        <w:rPr>
          <w:rFonts w:hint="eastAsia" w:ascii="宋体" w:hAnsi="宋体" w:eastAsia="宋体" w:cs="宋体"/>
          <w:sz w:val="21"/>
          <w:szCs w:val="21"/>
          <w:highlight w:val="none"/>
          <w:u w:val="single"/>
          <w:lang w:val="en-US" w:eastAsia="zh-CN"/>
        </w:rPr>
        <w:t>三</w:t>
      </w:r>
      <w:r>
        <w:rPr>
          <w:rFonts w:hint="eastAsia" w:ascii="宋体" w:hAnsi="宋体" w:eastAsia="宋体" w:cs="宋体"/>
          <w:sz w:val="21"/>
          <w:szCs w:val="21"/>
          <w:highlight w:val="none"/>
          <w:u w:val="single"/>
        </w:rPr>
        <w:t>方共同确认后方可使用。如承包人未选用投标时响应的备选品牌或擅自更换品牌或选用品牌时未经发包人、监理单位共同确认的，发包人有权不支付对应工程款，并按违约处置。</w:t>
      </w:r>
    </w:p>
    <w:p w14:paraId="5D1442DC">
      <w:pPr>
        <w:spacing w:line="48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fldChar w:fldCharType="begin"/>
      </w:r>
      <w:r>
        <w:rPr>
          <w:rFonts w:hint="eastAsia" w:ascii="宋体" w:hAnsi="宋体" w:eastAsia="宋体" w:cs="宋体"/>
          <w:sz w:val="21"/>
          <w:szCs w:val="21"/>
          <w:highlight w:val="none"/>
          <w:u w:val="single"/>
        </w:rPr>
        <w:instrText xml:space="preserve"> = 4 \* GB2 \* MERGEFORMAT </w:instrText>
      </w:r>
      <w:r>
        <w:rPr>
          <w:rFonts w:hint="eastAsia" w:ascii="宋体" w:hAnsi="宋体" w:eastAsia="宋体" w:cs="宋体"/>
          <w:sz w:val="21"/>
          <w:szCs w:val="21"/>
          <w:highlight w:val="none"/>
          <w:u w:val="single"/>
        </w:rPr>
        <w:fldChar w:fldCharType="separate"/>
      </w:r>
      <w:r>
        <w:rPr>
          <w:rFonts w:hint="eastAsia" w:ascii="宋体" w:hAnsi="宋体" w:eastAsia="宋体" w:cs="宋体"/>
          <w:sz w:val="21"/>
          <w:szCs w:val="21"/>
          <w:highlight w:val="none"/>
          <w:u w:val="single"/>
        </w:rPr>
        <w:t>⑷</w:t>
      </w:r>
      <w:r>
        <w:rPr>
          <w:rFonts w:hint="eastAsia" w:ascii="宋体" w:hAnsi="宋体" w:eastAsia="宋体" w:cs="宋体"/>
          <w:sz w:val="21"/>
          <w:szCs w:val="21"/>
          <w:highlight w:val="none"/>
          <w:u w:val="single"/>
        </w:rPr>
        <w:fldChar w:fldCharType="end"/>
      </w:r>
      <w:r>
        <w:rPr>
          <w:rFonts w:hint="eastAsia" w:ascii="宋体" w:hAnsi="宋体" w:eastAsia="宋体" w:cs="宋体"/>
          <w:sz w:val="21"/>
          <w:szCs w:val="21"/>
          <w:highlight w:val="none"/>
          <w:u w:val="single"/>
        </w:rPr>
        <w:t>由于市场原因采购不到投标时响应的备选品牌，需由承包人出具相关证明并经监理和发包人同意后选择其他同档次品牌的，单价按投标报价不变。</w:t>
      </w:r>
    </w:p>
    <w:p w14:paraId="1759530E">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w:t>
      </w:r>
      <w:bookmarkStart w:id="604" w:name="_Toc297120467"/>
      <w:bookmarkStart w:id="605" w:name="_Toc297123527"/>
      <w:bookmarkStart w:id="606" w:name="_Toc296346668"/>
      <w:bookmarkStart w:id="607" w:name="_Toc292559877"/>
      <w:bookmarkStart w:id="608" w:name="_Toc296891207"/>
      <w:bookmarkStart w:id="609" w:name="_Toc296944506"/>
      <w:bookmarkStart w:id="610" w:name="_Toc292559372"/>
      <w:bookmarkStart w:id="611" w:name="_Toc312678019"/>
      <w:bookmarkStart w:id="612" w:name="_Toc303539136"/>
      <w:bookmarkStart w:id="613" w:name="_Toc296890995"/>
      <w:bookmarkStart w:id="614" w:name="_Toc280868654"/>
      <w:bookmarkStart w:id="615" w:name="_Toc300934979"/>
      <w:bookmarkStart w:id="616" w:name="_Toc312677493"/>
      <w:bookmarkStart w:id="617" w:name="_Toc297048353"/>
      <w:bookmarkStart w:id="618" w:name="_Toc296503167"/>
      <w:bookmarkStart w:id="619" w:name="_Toc304295556"/>
      <w:bookmarkStart w:id="620" w:name="_Toc296347166"/>
      <w:bookmarkStart w:id="621" w:name="_Toc297216186"/>
      <w:r>
        <w:rPr>
          <w:rFonts w:hint="eastAsia" w:ascii="宋体" w:hAnsi="宋体" w:eastAsia="宋体" w:cs="宋体"/>
          <w:sz w:val="21"/>
          <w:szCs w:val="21"/>
          <w:highlight w:val="none"/>
        </w:rPr>
        <w:t>.4材料与工程设备的保管与使用</w:t>
      </w:r>
    </w:p>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14:paraId="23092E30">
      <w:pPr>
        <w:spacing w:line="480" w:lineRule="exact"/>
        <w:ind w:firstLine="420" w:firstLineChars="200"/>
        <w:rPr>
          <w:rFonts w:hint="eastAsia" w:ascii="宋体" w:hAnsi="宋体" w:eastAsia="宋体" w:cs="宋体"/>
          <w:kern w:val="0"/>
          <w:sz w:val="21"/>
          <w:szCs w:val="21"/>
          <w:highlight w:val="none"/>
          <w:u w:val="single"/>
        </w:rPr>
      </w:pPr>
      <w:r>
        <w:rPr>
          <w:rFonts w:hint="eastAsia" w:ascii="宋体" w:hAnsi="宋体" w:eastAsia="宋体" w:cs="宋体"/>
          <w:sz w:val="21"/>
          <w:szCs w:val="21"/>
          <w:highlight w:val="none"/>
        </w:rPr>
        <w:t>8</w:t>
      </w:r>
      <w:bookmarkStart w:id="622" w:name="_Toc292559373"/>
      <w:bookmarkStart w:id="623" w:name="_Toc292559878"/>
      <w:r>
        <w:rPr>
          <w:rFonts w:hint="eastAsia" w:ascii="宋体" w:hAnsi="宋体" w:eastAsia="宋体" w:cs="宋体"/>
          <w:sz w:val="21"/>
          <w:szCs w:val="21"/>
          <w:highlight w:val="none"/>
        </w:rPr>
        <w:t>.4.1发包人供应的材料设备的保管费用的承担：</w:t>
      </w:r>
      <w:r>
        <w:rPr>
          <w:rFonts w:hint="eastAsia" w:ascii="宋体" w:hAnsi="宋体" w:eastAsia="宋体" w:cs="宋体"/>
          <w:kern w:val="0"/>
          <w:sz w:val="21"/>
          <w:szCs w:val="21"/>
          <w:highlight w:val="none"/>
          <w:u w:val="single"/>
        </w:rPr>
        <w:t xml:space="preserve">     /      </w:t>
      </w:r>
      <w:bookmarkEnd w:id="622"/>
      <w:bookmarkEnd w:id="623"/>
    </w:p>
    <w:p w14:paraId="729FDDCE">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8.6 样品</w:t>
      </w:r>
    </w:p>
    <w:p w14:paraId="10302471">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8.6.1样品的报送与封存</w:t>
      </w:r>
    </w:p>
    <w:p w14:paraId="2255C3D5">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需要承包人报送样品的材料或工程设备，样品的种类、名称、规格、数量要求：</w:t>
      </w:r>
    </w:p>
    <w:p w14:paraId="0E38CDEC">
      <w:pPr>
        <w:spacing w:line="48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u w:val="single"/>
        </w:rPr>
        <w:t xml:space="preserve">                     /                                </w:t>
      </w:r>
    </w:p>
    <w:p w14:paraId="650102A0">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8.8 施工设备和临时设施</w:t>
      </w:r>
    </w:p>
    <w:p w14:paraId="7189F3FB">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8.8.1 承包人提供的施工设备和临时设施</w:t>
      </w:r>
    </w:p>
    <w:p w14:paraId="33EE7E1E">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关于修建临时设施费用承担的约定：</w:t>
      </w:r>
      <w:r>
        <w:rPr>
          <w:rFonts w:hint="eastAsia" w:ascii="宋体" w:hAnsi="宋体" w:eastAsia="宋体" w:cs="宋体"/>
          <w:sz w:val="21"/>
          <w:szCs w:val="21"/>
          <w:highlight w:val="none"/>
          <w:u w:val="single"/>
        </w:rPr>
        <w:t xml:space="preserve"> 由承包人自行承担  </w:t>
      </w:r>
      <w:r>
        <w:rPr>
          <w:rFonts w:hint="eastAsia" w:ascii="宋体" w:hAnsi="宋体" w:eastAsia="宋体" w:cs="宋体"/>
          <w:sz w:val="21"/>
          <w:szCs w:val="21"/>
          <w:highlight w:val="none"/>
        </w:rPr>
        <w:t>。</w:t>
      </w:r>
    </w:p>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14:paraId="36420B1F">
      <w:pPr>
        <w:pStyle w:val="7"/>
        <w:rPr>
          <w:rFonts w:hint="eastAsia" w:ascii="宋体" w:hAnsi="宋体" w:eastAsia="宋体" w:cs="宋体"/>
          <w:bCs/>
          <w:sz w:val="21"/>
          <w:szCs w:val="21"/>
          <w:highlight w:val="none"/>
        </w:rPr>
      </w:pPr>
      <w:bookmarkStart w:id="624" w:name="_Toc351203641"/>
      <w:bookmarkStart w:id="625" w:name="_Toc386638615"/>
      <w:r>
        <w:rPr>
          <w:rFonts w:hint="eastAsia" w:ascii="宋体" w:hAnsi="宋体" w:eastAsia="宋体" w:cs="宋体"/>
          <w:bCs/>
          <w:sz w:val="21"/>
          <w:szCs w:val="21"/>
          <w:highlight w:val="none"/>
        </w:rPr>
        <w:t>9</w:t>
      </w:r>
      <w:bookmarkEnd w:id="601"/>
      <w:bookmarkEnd w:id="602"/>
      <w:bookmarkEnd w:id="603"/>
      <w:bookmarkStart w:id="626" w:name="_Toc312677495"/>
      <w:bookmarkStart w:id="627" w:name="_Toc303539139"/>
      <w:bookmarkStart w:id="628" w:name="_Toc297216192"/>
      <w:bookmarkStart w:id="629" w:name="_Toc312678021"/>
      <w:bookmarkStart w:id="630" w:name="_Toc297123533"/>
      <w:bookmarkStart w:id="631" w:name="_Toc300934982"/>
      <w:bookmarkStart w:id="632" w:name="_Toc304295559"/>
      <w:bookmarkStart w:id="633" w:name="_Toc296944512"/>
      <w:bookmarkStart w:id="634" w:name="_Toc296891213"/>
      <w:bookmarkStart w:id="635" w:name="_Toc296891001"/>
      <w:bookmarkStart w:id="636" w:name="_Toc292559883"/>
      <w:bookmarkStart w:id="637" w:name="_Toc297120473"/>
      <w:bookmarkStart w:id="638" w:name="_Toc292559378"/>
      <w:bookmarkStart w:id="639" w:name="_Toc296347172"/>
      <w:bookmarkStart w:id="640" w:name="_Toc267251428"/>
      <w:bookmarkStart w:id="641" w:name="_Toc297048359"/>
      <w:bookmarkStart w:id="642" w:name="_Toc296503173"/>
      <w:bookmarkStart w:id="643" w:name="_Toc296346674"/>
      <w:bookmarkStart w:id="644" w:name="_Toc267251427"/>
      <w:r>
        <w:rPr>
          <w:rFonts w:hint="eastAsia" w:ascii="宋体" w:hAnsi="宋体" w:eastAsia="宋体" w:cs="宋体"/>
          <w:bCs/>
          <w:sz w:val="21"/>
          <w:szCs w:val="21"/>
          <w:highlight w:val="none"/>
        </w:rPr>
        <w:t>. 试验与检验</w:t>
      </w:r>
      <w:bookmarkEnd w:id="624"/>
      <w:bookmarkEnd w:id="625"/>
    </w:p>
    <w:bookmarkEnd w:id="626"/>
    <w:bookmarkEnd w:id="627"/>
    <w:bookmarkEnd w:id="628"/>
    <w:bookmarkEnd w:id="629"/>
    <w:bookmarkEnd w:id="630"/>
    <w:bookmarkEnd w:id="631"/>
    <w:bookmarkEnd w:id="632"/>
    <w:p w14:paraId="065CE08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w:t>
      </w:r>
      <w:bookmarkStart w:id="645" w:name="_Toc312677496"/>
      <w:bookmarkStart w:id="646" w:name="_Toc303539140"/>
      <w:bookmarkStart w:id="647" w:name="_Toc297216193"/>
      <w:bookmarkStart w:id="648" w:name="_Toc297123534"/>
      <w:bookmarkStart w:id="649" w:name="_Toc304295560"/>
      <w:bookmarkStart w:id="650" w:name="_Toc300934983"/>
      <w:bookmarkStart w:id="651" w:name="_Toc312678022"/>
      <w:r>
        <w:rPr>
          <w:rFonts w:hint="eastAsia" w:ascii="宋体" w:hAnsi="宋体" w:eastAsia="宋体" w:cs="宋体"/>
          <w:sz w:val="21"/>
          <w:szCs w:val="21"/>
          <w:highlight w:val="none"/>
        </w:rPr>
        <w:t>.1试验设备与试验人员</w:t>
      </w:r>
    </w:p>
    <w:bookmarkEnd w:id="645"/>
    <w:bookmarkEnd w:id="646"/>
    <w:bookmarkEnd w:id="647"/>
    <w:bookmarkEnd w:id="648"/>
    <w:bookmarkEnd w:id="649"/>
    <w:bookmarkEnd w:id="650"/>
    <w:bookmarkEnd w:id="651"/>
    <w:p w14:paraId="0BDCDF0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w:t>
      </w:r>
      <w:bookmarkStart w:id="652" w:name="_Toc312677497"/>
      <w:bookmarkStart w:id="653" w:name="_Toc303539141"/>
      <w:bookmarkStart w:id="654" w:name="_Toc297123535"/>
      <w:bookmarkStart w:id="655" w:name="_Toc312678023"/>
      <w:bookmarkStart w:id="656" w:name="_Toc300934984"/>
      <w:bookmarkStart w:id="657" w:name="_Toc304295561"/>
      <w:bookmarkStart w:id="658" w:name="_Toc297216194"/>
      <w:bookmarkStart w:id="659" w:name="_Toc318581174"/>
      <w:r>
        <w:rPr>
          <w:rFonts w:hint="eastAsia" w:ascii="宋体" w:hAnsi="宋体" w:eastAsia="宋体" w:cs="宋体"/>
          <w:sz w:val="21"/>
          <w:szCs w:val="21"/>
          <w:highlight w:val="none"/>
        </w:rPr>
        <w:t>.1.2 试验设备</w:t>
      </w:r>
    </w:p>
    <w:p w14:paraId="62D99281">
      <w:pPr>
        <w:spacing w:line="360" w:lineRule="auto"/>
        <w:ind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施工现场需要配置的试验场所：</w:t>
      </w:r>
      <w:bookmarkEnd w:id="652"/>
      <w:bookmarkEnd w:id="653"/>
      <w:bookmarkEnd w:id="654"/>
      <w:bookmarkEnd w:id="655"/>
      <w:bookmarkEnd w:id="656"/>
      <w:bookmarkEnd w:id="657"/>
      <w:bookmarkEnd w:id="658"/>
      <w:bookmarkStart w:id="660" w:name="_Toc312678024"/>
      <w:bookmarkStart w:id="661" w:name="_Toc297123536"/>
      <w:bookmarkStart w:id="662" w:name="_Toc300934985"/>
      <w:bookmarkStart w:id="663" w:name="_Toc312677498"/>
      <w:bookmarkStart w:id="664" w:name="_Toc297216195"/>
      <w:bookmarkStart w:id="665" w:name="_Toc303539142"/>
      <w:bookmarkStart w:id="666" w:name="_Toc304295562"/>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w:t>
      </w:r>
    </w:p>
    <w:p w14:paraId="0F5ACAD1">
      <w:pPr>
        <w:spacing w:line="360" w:lineRule="auto"/>
        <w:ind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施工现场需要配备的试验设备：</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489FFF50">
      <w:pPr>
        <w:spacing w:line="360" w:lineRule="auto"/>
        <w:ind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施工现场需要具备的其他试验条件：</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1FF0751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9.4 现场工艺试验 </w:t>
      </w:r>
    </w:p>
    <w:p w14:paraId="04609EC5">
      <w:pPr>
        <w:spacing w:line="360" w:lineRule="auto"/>
        <w:ind w:firstLine="367" w:firstLineChars="17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现场工艺试验的有关约定：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bookmarkEnd w:id="659"/>
    <w:bookmarkEnd w:id="660"/>
    <w:bookmarkEnd w:id="661"/>
    <w:bookmarkEnd w:id="662"/>
    <w:bookmarkEnd w:id="663"/>
    <w:bookmarkEnd w:id="664"/>
    <w:bookmarkEnd w:id="665"/>
    <w:bookmarkEnd w:id="666"/>
    <w:p w14:paraId="3F601641">
      <w:pPr>
        <w:pStyle w:val="7"/>
        <w:rPr>
          <w:rFonts w:hint="eastAsia" w:ascii="宋体" w:hAnsi="宋体" w:eastAsia="宋体" w:cs="宋体"/>
          <w:bCs/>
          <w:sz w:val="21"/>
          <w:szCs w:val="21"/>
          <w:highlight w:val="none"/>
        </w:rPr>
      </w:pPr>
      <w:bookmarkStart w:id="667" w:name="_Toc386638616"/>
      <w:bookmarkStart w:id="668" w:name="_Toc351203642"/>
      <w:r>
        <w:rPr>
          <w:rFonts w:hint="eastAsia" w:ascii="宋体" w:hAnsi="宋体" w:eastAsia="宋体" w:cs="宋体"/>
          <w:bCs/>
          <w:sz w:val="21"/>
          <w:szCs w:val="21"/>
          <w:highlight w:val="none"/>
        </w:rPr>
        <w:t>1</w:t>
      </w:r>
      <w:bookmarkEnd w:id="633"/>
      <w:bookmarkEnd w:id="634"/>
      <w:bookmarkEnd w:id="635"/>
      <w:bookmarkEnd w:id="636"/>
      <w:bookmarkEnd w:id="637"/>
      <w:bookmarkEnd w:id="638"/>
      <w:bookmarkEnd w:id="639"/>
      <w:bookmarkEnd w:id="640"/>
      <w:bookmarkEnd w:id="641"/>
      <w:bookmarkEnd w:id="642"/>
      <w:bookmarkEnd w:id="643"/>
      <w:bookmarkEnd w:id="644"/>
      <w:bookmarkStart w:id="669" w:name="_Toc297216199"/>
      <w:bookmarkStart w:id="670" w:name="_Toc296503193"/>
      <w:bookmarkStart w:id="671" w:name="_Toc296891233"/>
      <w:bookmarkStart w:id="672" w:name="_Toc292559903"/>
      <w:bookmarkStart w:id="673" w:name="_Toc303539146"/>
      <w:bookmarkStart w:id="674" w:name="_Toc296944532"/>
      <w:bookmarkStart w:id="675" w:name="_Toc304295566"/>
      <w:bookmarkStart w:id="676" w:name="_Toc296346694"/>
      <w:bookmarkStart w:id="677" w:name="_Toc297120493"/>
      <w:bookmarkStart w:id="678" w:name="_Toc297123540"/>
      <w:bookmarkStart w:id="679" w:name="_Toc296891021"/>
      <w:bookmarkStart w:id="680" w:name="_Toc297048379"/>
      <w:bookmarkStart w:id="681" w:name="_Toc300934989"/>
      <w:bookmarkStart w:id="682" w:name="_Toc296347192"/>
      <w:bookmarkStart w:id="683" w:name="_Toc292559398"/>
      <w:bookmarkStart w:id="684" w:name="_Toc312678025"/>
      <w:bookmarkStart w:id="685" w:name="_Toc312677499"/>
      <w:bookmarkStart w:id="686" w:name="_Toc267251440"/>
      <w:bookmarkStart w:id="687" w:name="_Toc267251441"/>
      <w:bookmarkStart w:id="688" w:name="_Toc267251437"/>
      <w:bookmarkStart w:id="689" w:name="_Toc267251439"/>
      <w:bookmarkStart w:id="690" w:name="_Toc267251433"/>
      <w:bookmarkStart w:id="691" w:name="_Toc267251435"/>
      <w:bookmarkStart w:id="692" w:name="_Toc267251442"/>
      <w:r>
        <w:rPr>
          <w:rFonts w:hint="eastAsia" w:ascii="宋体" w:hAnsi="宋体" w:eastAsia="宋体" w:cs="宋体"/>
          <w:bCs/>
          <w:sz w:val="21"/>
          <w:szCs w:val="21"/>
          <w:highlight w:val="none"/>
        </w:rPr>
        <w:t>0. 变更</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bookmarkEnd w:id="684"/>
    <w:bookmarkEnd w:id="685"/>
    <w:p w14:paraId="23776C9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bookmarkStart w:id="693" w:name="_Toc297123541"/>
      <w:bookmarkStart w:id="694" w:name="_Toc296346695"/>
      <w:bookmarkStart w:id="695" w:name="_Toc296503194"/>
      <w:bookmarkStart w:id="696" w:name="_Toc312677500"/>
      <w:bookmarkStart w:id="697" w:name="_Toc292559904"/>
      <w:bookmarkStart w:id="698" w:name="_Toc297048380"/>
      <w:bookmarkStart w:id="699" w:name="_Toc296944533"/>
      <w:bookmarkStart w:id="700" w:name="_Toc297216200"/>
      <w:bookmarkStart w:id="701" w:name="_Toc304295567"/>
      <w:bookmarkStart w:id="702" w:name="_Toc312678026"/>
      <w:bookmarkStart w:id="703" w:name="_Toc296891022"/>
      <w:bookmarkStart w:id="704" w:name="_Toc303539147"/>
      <w:bookmarkStart w:id="705" w:name="_Toc297120494"/>
      <w:bookmarkStart w:id="706" w:name="_Toc296891234"/>
      <w:bookmarkStart w:id="707" w:name="_Toc292559399"/>
      <w:bookmarkStart w:id="708" w:name="_Toc296347193"/>
      <w:bookmarkStart w:id="709" w:name="_Toc300934990"/>
      <w:r>
        <w:rPr>
          <w:rFonts w:hint="eastAsia" w:ascii="宋体" w:hAnsi="宋体" w:eastAsia="宋体" w:cs="宋体"/>
          <w:sz w:val="21"/>
          <w:szCs w:val="21"/>
          <w:highlight w:val="none"/>
        </w:rPr>
        <w:t>0.1变更的范围</w:t>
      </w:r>
    </w:p>
    <w:p w14:paraId="11DD4E9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关于变更的范围的约定：</w:t>
      </w:r>
      <w:r>
        <w:rPr>
          <w:rFonts w:hint="eastAsia" w:ascii="宋体" w:hAnsi="宋体" w:eastAsia="宋体" w:cs="宋体"/>
          <w:kern w:val="0"/>
          <w:sz w:val="21"/>
          <w:szCs w:val="21"/>
          <w:highlight w:val="none"/>
          <w:u w:val="single"/>
        </w:rPr>
        <w:t>除了通用合同条款明确的以外还包括：</w:t>
      </w:r>
      <w:r>
        <w:rPr>
          <w:rFonts w:hint="eastAsia" w:ascii="宋体" w:hAnsi="宋体" w:eastAsia="宋体" w:cs="宋体"/>
          <w:sz w:val="21"/>
          <w:szCs w:val="21"/>
          <w:highlight w:val="none"/>
          <w:u w:val="single"/>
        </w:rPr>
        <w:t>工程质量、规模标准（等级）的改变调整；工程施工内容增、减、取消或工程量的增减变化；设计图纸的修改（包括</w:t>
      </w:r>
      <w:r>
        <w:rPr>
          <w:rFonts w:hint="eastAsia" w:ascii="宋体" w:hAnsi="宋体" w:eastAsia="宋体" w:cs="宋体"/>
          <w:sz w:val="21"/>
          <w:szCs w:val="21"/>
          <w:highlight w:val="none"/>
          <w:u w:val="single"/>
          <w:shd w:val="clear" w:color="auto" w:fill="FFFFFF"/>
        </w:rPr>
        <w:t>功能或构造、</w:t>
      </w:r>
      <w:r>
        <w:rPr>
          <w:rFonts w:hint="eastAsia" w:ascii="宋体" w:hAnsi="宋体" w:eastAsia="宋体" w:cs="宋体"/>
          <w:sz w:val="21"/>
          <w:szCs w:val="21"/>
          <w:highlight w:val="none"/>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eastAsia="宋体" w:cs="宋体"/>
          <w:sz w:val="21"/>
          <w:szCs w:val="21"/>
          <w:highlight w:val="none"/>
        </w:rPr>
        <w:t>。</w:t>
      </w:r>
    </w:p>
    <w:p w14:paraId="4420D4F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10.2变更权</w:t>
      </w:r>
    </w:p>
    <w:p w14:paraId="4C051655">
      <w:pPr>
        <w:spacing w:line="360" w:lineRule="auto"/>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合同履行过程中发生工程变更的，工程变更权限按以下文件执行：《</w:t>
      </w:r>
      <w:r>
        <w:rPr>
          <w:rFonts w:hint="eastAsia" w:ascii="宋体" w:hAnsi="宋体" w:eastAsia="宋体" w:cs="宋体"/>
          <w:sz w:val="21"/>
          <w:szCs w:val="21"/>
          <w:highlight w:val="none"/>
          <w:u w:val="single"/>
          <w:lang w:eastAsia="zh-CN"/>
        </w:rPr>
        <w:t>宁海县政府投资项目工程造价管控办法</w:t>
      </w:r>
      <w:r>
        <w:rPr>
          <w:rFonts w:hint="eastAsia" w:ascii="宋体" w:hAnsi="宋体" w:eastAsia="宋体" w:cs="宋体"/>
          <w:sz w:val="21"/>
          <w:szCs w:val="21"/>
          <w:highlight w:val="none"/>
          <w:u w:val="single"/>
        </w:rPr>
        <w:t>》（宁发改（202</w:t>
      </w:r>
      <w:r>
        <w:rPr>
          <w:rFonts w:hint="eastAsia" w:ascii="宋体" w:hAnsi="宋体" w:eastAsia="宋体" w:cs="宋体"/>
          <w:sz w:val="21"/>
          <w:szCs w:val="21"/>
          <w:highlight w:val="none"/>
          <w:u w:val="single"/>
          <w:lang w:val="en-US" w:eastAsia="zh-CN"/>
        </w:rPr>
        <w:t>3</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val="en-US" w:eastAsia="zh-CN"/>
        </w:rPr>
        <w:t>51</w:t>
      </w:r>
      <w:r>
        <w:rPr>
          <w:rFonts w:hint="eastAsia" w:ascii="宋体" w:hAnsi="宋体" w:eastAsia="宋体" w:cs="宋体"/>
          <w:sz w:val="21"/>
          <w:szCs w:val="21"/>
          <w:highlight w:val="none"/>
          <w:u w:val="single"/>
        </w:rPr>
        <w:t>号）和建设单位工程变更管理办法。</w:t>
      </w:r>
    </w:p>
    <w:p w14:paraId="0E1B12A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10.3变更程序</w:t>
      </w:r>
    </w:p>
    <w:p w14:paraId="5C12E8C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合同履行过程中发生工程变更的，工程变更按</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eastAsia="zh-CN"/>
        </w:rPr>
        <w:t>宁海县政府投资项目工程造价管控办法</w:t>
      </w:r>
      <w:r>
        <w:rPr>
          <w:rFonts w:hint="eastAsia" w:ascii="宋体" w:hAnsi="宋体" w:eastAsia="宋体" w:cs="宋体"/>
          <w:sz w:val="21"/>
          <w:szCs w:val="21"/>
          <w:highlight w:val="none"/>
          <w:u w:val="single"/>
        </w:rPr>
        <w:t>》（宁发改（202</w:t>
      </w:r>
      <w:r>
        <w:rPr>
          <w:rFonts w:hint="eastAsia" w:ascii="宋体" w:hAnsi="宋体" w:eastAsia="宋体" w:cs="宋体"/>
          <w:sz w:val="21"/>
          <w:szCs w:val="21"/>
          <w:highlight w:val="none"/>
          <w:u w:val="single"/>
          <w:lang w:val="en-US" w:eastAsia="zh-CN"/>
        </w:rPr>
        <w:t>3</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val="en-US" w:eastAsia="zh-CN"/>
        </w:rPr>
        <w:t>51</w:t>
      </w:r>
      <w:r>
        <w:rPr>
          <w:rFonts w:hint="eastAsia" w:ascii="宋体" w:hAnsi="宋体" w:eastAsia="宋体" w:cs="宋体"/>
          <w:sz w:val="21"/>
          <w:szCs w:val="21"/>
          <w:highlight w:val="none"/>
          <w:u w:val="single"/>
        </w:rPr>
        <w:t>号）规定的程序和建设单位工程变更程序办理。</w:t>
      </w:r>
    </w:p>
    <w:p w14:paraId="14C7561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10.4 变更估价</w:t>
      </w:r>
    </w:p>
    <w:p w14:paraId="2D34F03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10.4.1 变更估价原则</w:t>
      </w:r>
    </w:p>
    <w:p w14:paraId="769B10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关于变更估价的约定: </w:t>
      </w:r>
    </w:p>
    <w:p w14:paraId="371A3DAF">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合同履行过程中，发生下列情况之一的，工程量清单项目及其工程量均应按实调整： </w:t>
      </w:r>
    </w:p>
    <w:p w14:paraId="29EC3A43">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（1）设计变更引起新增清单项目或取消原有项目；</w:t>
      </w:r>
    </w:p>
    <w:p w14:paraId="5A2FFBF7">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（2）设计变更引起的工程量清单项目数量的增减。</w:t>
      </w:r>
    </w:p>
    <w:p w14:paraId="0D4A6131">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19DF5172">
      <w:pPr>
        <w:spacing w:line="360" w:lineRule="auto"/>
        <w:ind w:firstLine="443" w:firstLineChars="210"/>
        <w:rPr>
          <w:rFonts w:hint="eastAsia" w:ascii="宋体" w:hAnsi="宋体" w:eastAsia="宋体" w:cs="宋体"/>
          <w:b/>
          <w:sz w:val="21"/>
          <w:szCs w:val="21"/>
          <w:highlight w:val="none"/>
        </w:rPr>
      </w:pPr>
      <w:r>
        <w:rPr>
          <w:rFonts w:hint="eastAsia" w:ascii="宋体" w:hAnsi="宋体" w:eastAsia="宋体" w:cs="宋体"/>
          <w:b/>
          <w:sz w:val="21"/>
          <w:szCs w:val="21"/>
          <w:highlight w:val="none"/>
        </w:rPr>
        <w:t>10.4.1.1</w:t>
      </w:r>
    </w:p>
    <w:p w14:paraId="62AA6325">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（1）非承包人原因引起的工程量偏差，该项工程量变化幅度在规定范围以内的，应执行合同原有的综合单价；  </w:t>
      </w:r>
    </w:p>
    <w:p w14:paraId="2A00C20F">
      <w:pPr>
        <w:spacing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进一步加强建设工程要素价格动态管理工作的通知》（甬建价【2021】9号）文件按</w:t>
      </w:r>
      <w:r>
        <w:rPr>
          <w:rFonts w:hint="eastAsia" w:ascii="宋体" w:hAnsi="宋体" w:eastAsia="宋体" w:cs="宋体"/>
          <w:color w:val="auto"/>
          <w:sz w:val="21"/>
          <w:szCs w:val="21"/>
          <w:highlight w:val="none"/>
          <w:lang w:val="en-US" w:eastAsia="zh-CN"/>
        </w:rPr>
        <w:t>承包人的中标</w:t>
      </w:r>
      <w:r>
        <w:rPr>
          <w:rFonts w:hint="eastAsia" w:ascii="宋体" w:hAnsi="宋体" w:eastAsia="宋体" w:cs="宋体"/>
          <w:color w:val="auto"/>
          <w:sz w:val="21"/>
          <w:szCs w:val="21"/>
          <w:highlight w:val="none"/>
        </w:rPr>
        <w:t>下浮率（下浮</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组价后提出，经发包人确认后调整。[工程类别：建筑部分企业管理费费率：按古建筑修缮工程一般计税费率中值计取；安责险计入企业管理费(市建管[2024]12号)；安装部分企业管理费费率：按水、电、暖通、消防、智能、自控及通信安装工程一般计税费率中值计取；安责险计入企业管理费(市建管[2024]12号)；市政部分企业管理费费率：按道路、排水、河道护岸、水处理构筑物及城市综合管廊、生活垃圾处理工程一般计税费率中值计取；安责险计入企业管理费(市建管[2024]12号)；园林部分企业管理费费率：按园林绿化及景观工程一般计税费率中值计取；安责险计入企业管理费(市建管[2024]12号)；利润费率：按相应工程一般计税费率中值计取；施工组织措施费计取了安全文明施工费（按非市区工程计）、二次搬运费、冬雨季施工增加费、行车、行人干扰增加费，费率按一般计税费率中值计取；规费按标准费率的30%计算；税金按建建发【2019】92号文件营改增税率9%计取。]</w:t>
      </w:r>
    </w:p>
    <w:p w14:paraId="5D93B5D2">
      <w:pPr>
        <w:spacing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［减少后剩余部分工程量是指工程量减少超过15%以上部分。例：原清单某项工程量为100m3，①实际结算工程量为65m3，即减少超过15%以上部份工程量20m3；②实际结算工程量零，即减少超过15%工程量为85m3］</w:t>
      </w:r>
    </w:p>
    <w:p w14:paraId="0ADD66A7">
      <w:pPr>
        <w:spacing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（2）因施工中出现施工图纸与工程量清单项目特征描述不符、分部分项工程量清单项目缺项(或漏项)、非承包人原因的工程变更等，引起新的工程项目，其相应的综合单价按以下方法确定：</w:t>
      </w:r>
    </w:p>
    <w:p w14:paraId="326DFAEE">
      <w:pPr>
        <w:spacing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①已标价工程量清单中存在适用于变更工程项目的，采用该项目的单价；</w:t>
      </w:r>
    </w:p>
    <w:p w14:paraId="4A701B14">
      <w:pPr>
        <w:spacing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②已标价工程量清单中不存在适用单价但存在与变更工程类似项目价格的，可以参照类似项目的单价；如</w:t>
      </w:r>
      <w:r>
        <w:rPr>
          <w:rFonts w:hint="eastAsia" w:ascii="宋体" w:hAnsi="宋体" w:eastAsia="宋体" w:cs="宋体"/>
          <w:color w:val="auto"/>
          <w:kern w:val="0"/>
          <w:sz w:val="21"/>
          <w:szCs w:val="21"/>
          <w:highlight w:val="none"/>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eastAsia="宋体" w:cs="宋体"/>
          <w:color w:val="auto"/>
          <w:sz w:val="21"/>
          <w:szCs w:val="21"/>
          <w:highlight w:val="none"/>
        </w:rPr>
        <w:t>；</w:t>
      </w:r>
    </w:p>
    <w:p w14:paraId="1ACD2B37">
      <w:pPr>
        <w:spacing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③已标价工程量清单中不存在适用的价格也没有类似的变更工程项目价格的(一般指新增项目)，则由承包人按照变更工程资料、合同约定或者招标文件采用的计价依据、取费结合</w:t>
      </w:r>
      <w:r>
        <w:rPr>
          <w:rFonts w:hint="eastAsia" w:ascii="宋体" w:hAnsi="宋体" w:cs="宋体"/>
          <w:color w:val="auto"/>
          <w:sz w:val="21"/>
          <w:szCs w:val="21"/>
          <w:highlight w:val="none"/>
          <w:lang w:eastAsia="zh-CN"/>
        </w:rPr>
        <w:t>《关于进一步加强建设工程要素价格动态管理工作的通知》（甬建价【2021】9号）文件</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承包人的中标</w:t>
      </w:r>
      <w:r>
        <w:rPr>
          <w:rFonts w:hint="eastAsia" w:ascii="宋体" w:hAnsi="宋体" w:eastAsia="宋体" w:cs="宋体"/>
          <w:color w:val="auto"/>
          <w:sz w:val="21"/>
          <w:szCs w:val="21"/>
          <w:highlight w:val="none"/>
        </w:rPr>
        <w:t>下浮率（下浮</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组价后提出，经发包人确认后调整。[工程类别：建筑部分企业管理费费率：按古建筑修缮工程一般计税费率中值计取；安责险计入企业管理费(市建管[2024]12号)；安装部分企业管理费费率：按水、电、暖通、消防、智能、自控及通信安装工程一般计税费率中值计取；安责险计入企业管理费(市建管[2024]12号)；市政部分企业管理费费率：按道路、排水、河道护岸、水处理构筑物及城市综合管廊、生活垃圾处理工程一般计税费率中值计取；安责险计入企业管理费(市建管[2024]12号)；园林部分企业管理费费率：按园林绿化及景观工程一般计税费率中值计取；安责险计入企业管理费(市建管[2024]12号)；利润费率：按相应工程一般计税费率中值计取；施工组织措施费计取了安全文明施工费（按非市区工程计）、二次搬运费、冬雨季施工增加费、行车、行人干扰增加费，费率按一般计税费率中值计取；</w:t>
      </w:r>
      <w:r>
        <w:rPr>
          <w:rFonts w:hint="eastAsia" w:ascii="宋体" w:hAnsi="宋体" w:eastAsia="宋体" w:cs="宋体"/>
          <w:color w:val="auto"/>
          <w:sz w:val="21"/>
          <w:szCs w:val="21"/>
          <w:highlight w:val="none"/>
          <w:lang w:eastAsia="zh-CN"/>
        </w:rPr>
        <w:t>规费按标准费率的30%计算；</w:t>
      </w:r>
      <w:r>
        <w:rPr>
          <w:rFonts w:hint="eastAsia" w:ascii="宋体" w:hAnsi="宋体" w:eastAsia="宋体" w:cs="宋体"/>
          <w:color w:val="auto"/>
          <w:sz w:val="21"/>
          <w:szCs w:val="21"/>
          <w:highlight w:val="none"/>
          <w:lang w:val="en-US" w:eastAsia="zh-CN"/>
        </w:rPr>
        <w:t>税金按建建发【2019】92号文件营改增税率9%计取</w:t>
      </w:r>
      <w:r>
        <w:rPr>
          <w:rFonts w:hint="eastAsia" w:ascii="宋体" w:hAnsi="宋体" w:eastAsia="宋体" w:cs="宋体"/>
          <w:color w:val="auto"/>
          <w:sz w:val="21"/>
          <w:szCs w:val="21"/>
          <w:highlight w:val="none"/>
        </w:rPr>
        <w:t>。]</w:t>
      </w:r>
    </w:p>
    <w:p w14:paraId="2C27457D">
      <w:pPr>
        <w:spacing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（3）投标综合单价异常的处理</w:t>
      </w:r>
    </w:p>
    <w:p w14:paraId="2ACCDA87">
      <w:pPr>
        <w:spacing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综合单价异常的判定，投标报价的综合单价与合同规定计价依据（即招标控制价编制的计价依据）计算出来的综合单价相比较偏差+-30%以上；虽然综合单价正常，但组成综合单价的人、材、机消耗量或单价与按合同规定计价依据计算的人、材、机消耗量或单价相比偏差+-30%以上；其他异常情况。</w:t>
      </w:r>
    </w:p>
    <w:p w14:paraId="3B285F53">
      <w:pPr>
        <w:spacing w:line="360" w:lineRule="auto"/>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在工程竣工结算阶段，如发现已标价综合单价异常，则工程量增、减在本项工程量15%以内的，均按原综合单价执行；综合单价异常的清单子目、工程量增加超过本项目工程量15%以上部分工程量的综合单价按以上约定原则重新确定综合单价；工程量减少超过15%以上部分工程量，按以上约定原则重新确定综合单价，计算合价后，在该项目合价中扣除。</w:t>
      </w:r>
    </w:p>
    <w:p w14:paraId="1E72B944">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10.4.1.3 关于变更措施项目费的约定：</w:t>
      </w:r>
    </w:p>
    <w:p w14:paraId="28BE1EA5">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分部分项工程量清单非承包人原因的工程变更，造成施工组织设计或施工方案变更，以及分部分项工程量变化，引起措施项目数量、内容发生变化，措施项目费按以下原则调整：</w:t>
      </w:r>
    </w:p>
    <w:p w14:paraId="0A5F9DCD">
      <w:pPr>
        <w:spacing w:line="360" w:lineRule="auto"/>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（1）施工组织措施费（按取费定额计取部分）按</w:t>
      </w:r>
      <w:r>
        <w:rPr>
          <w:rFonts w:hint="eastAsia" w:ascii="宋体" w:hAnsi="宋体" w:eastAsia="宋体" w:cs="宋体"/>
          <w:color w:val="auto"/>
          <w:sz w:val="21"/>
          <w:szCs w:val="21"/>
          <w:highlight w:val="none"/>
        </w:rPr>
        <w:t>已标价工程量清单中的所列</w:t>
      </w:r>
      <w:r>
        <w:rPr>
          <w:rFonts w:hint="eastAsia" w:ascii="宋体" w:hAnsi="宋体" w:eastAsia="宋体" w:cs="宋体"/>
          <w:color w:val="auto"/>
          <w:kern w:val="0"/>
          <w:sz w:val="21"/>
          <w:szCs w:val="21"/>
          <w:highlight w:val="none"/>
        </w:rPr>
        <w:t>费用包干使用，结算时无论工程量增减是否超过15%或新增项目均不作调整；新增的单项或单位工程施工组织措施费按相应工程计取。</w:t>
      </w:r>
    </w:p>
    <w:p w14:paraId="2ED83FF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（2）大型机械设备进退场费及安拆费按</w:t>
      </w:r>
      <w:r>
        <w:rPr>
          <w:rFonts w:hint="eastAsia" w:ascii="宋体" w:hAnsi="宋体" w:eastAsia="宋体" w:cs="宋体"/>
          <w:color w:val="auto"/>
          <w:sz w:val="21"/>
          <w:szCs w:val="21"/>
          <w:highlight w:val="none"/>
        </w:rPr>
        <w:t>已标价工程量清单中</w:t>
      </w:r>
      <w:r>
        <w:rPr>
          <w:rFonts w:hint="eastAsia" w:ascii="宋体" w:hAnsi="宋体" w:eastAsia="宋体" w:cs="宋体"/>
          <w:color w:val="auto"/>
          <w:kern w:val="0"/>
          <w:sz w:val="21"/>
          <w:szCs w:val="21"/>
          <w:highlight w:val="none"/>
        </w:rPr>
        <w:t>施工技术措施清单所列数量包干使用，结算时不作调整；</w:t>
      </w:r>
    </w:p>
    <w:p w14:paraId="28B43E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（3）施工技术措施项目（按现行定额部分）</w:t>
      </w:r>
      <w:r>
        <w:rPr>
          <w:rFonts w:hint="eastAsia" w:ascii="宋体" w:hAnsi="宋体" w:eastAsia="宋体" w:cs="宋体"/>
          <w:color w:val="auto"/>
          <w:sz w:val="21"/>
          <w:szCs w:val="21"/>
          <w:highlight w:val="none"/>
          <w:u w:val="single"/>
        </w:rPr>
        <w:t>按工程量清单项目结算办法结算</w:t>
      </w:r>
      <w:r>
        <w:rPr>
          <w:rFonts w:hint="eastAsia" w:ascii="宋体" w:hAnsi="宋体" w:eastAsia="宋体" w:cs="宋体"/>
          <w:color w:val="auto"/>
          <w:sz w:val="21"/>
          <w:szCs w:val="21"/>
          <w:highlight w:val="none"/>
        </w:rPr>
        <w:t>。</w:t>
      </w:r>
    </w:p>
    <w:p w14:paraId="5339B1B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Start w:id="710" w:name="_Toc303539150"/>
      <w:bookmarkStart w:id="711" w:name="_Toc296346698"/>
      <w:bookmarkStart w:id="712" w:name="_Toc296944536"/>
      <w:bookmarkStart w:id="713" w:name="_Toc296503197"/>
      <w:bookmarkStart w:id="714" w:name="_Toc292559907"/>
      <w:bookmarkStart w:id="715" w:name="_Toc297048383"/>
      <w:bookmarkStart w:id="716" w:name="_Toc297216203"/>
      <w:bookmarkStart w:id="717" w:name="_Toc297120497"/>
      <w:bookmarkStart w:id="718" w:name="_Toc296891025"/>
      <w:bookmarkStart w:id="719" w:name="_Toc292559402"/>
      <w:bookmarkStart w:id="720" w:name="_Toc296891237"/>
      <w:bookmarkStart w:id="721" w:name="_Toc297123544"/>
      <w:bookmarkStart w:id="722" w:name="_Toc296347196"/>
      <w:bookmarkStart w:id="723" w:name="_Toc300934993"/>
      <w:bookmarkStart w:id="724" w:name="_Toc304295570"/>
      <w:bookmarkStart w:id="725" w:name="_Toc312677503"/>
      <w:bookmarkStart w:id="726" w:name="_Toc312678029"/>
      <w:r>
        <w:rPr>
          <w:rFonts w:hint="eastAsia" w:ascii="宋体" w:hAnsi="宋体" w:eastAsia="宋体" w:cs="宋体"/>
          <w:sz w:val="21"/>
          <w:szCs w:val="21"/>
          <w:highlight w:val="none"/>
        </w:rPr>
        <w:t>0.5承</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Start w:id="727" w:name="_Toc296891243"/>
      <w:bookmarkStart w:id="728" w:name="_Toc296944542"/>
      <w:bookmarkStart w:id="729" w:name="_Toc296346704"/>
      <w:bookmarkStart w:id="730" w:name="_Toc297123545"/>
      <w:bookmarkStart w:id="731" w:name="_Toc296503203"/>
      <w:bookmarkStart w:id="732" w:name="_Toc296347202"/>
      <w:bookmarkStart w:id="733" w:name="_Toc303539151"/>
      <w:bookmarkStart w:id="734" w:name="_Toc297120503"/>
      <w:bookmarkStart w:id="735" w:name="_Toc292559913"/>
      <w:bookmarkStart w:id="736" w:name="_Toc296891031"/>
      <w:bookmarkStart w:id="737" w:name="_Toc297216204"/>
      <w:bookmarkStart w:id="738" w:name="_Toc292559408"/>
      <w:bookmarkStart w:id="739" w:name="_Toc297048389"/>
      <w:bookmarkStart w:id="740" w:name="_Toc300934994"/>
      <w:r>
        <w:rPr>
          <w:rFonts w:hint="eastAsia" w:ascii="宋体" w:hAnsi="宋体" w:eastAsia="宋体" w:cs="宋体"/>
          <w:sz w:val="21"/>
          <w:szCs w:val="21"/>
          <w:highlight w:val="none"/>
        </w:rPr>
        <w:t>包人的合理化建议</w:t>
      </w:r>
    </w:p>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14:paraId="7E3D470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监理人审查承包人合理化建议的期限：</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59C7A27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发包人审批承包人合理化建议的期限：</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7EA20B43">
      <w:pPr>
        <w:spacing w:line="360" w:lineRule="auto"/>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承</w:t>
      </w:r>
      <w:bookmarkStart w:id="741" w:name="_Toc296346705"/>
      <w:bookmarkStart w:id="742" w:name="_Toc292559914"/>
      <w:bookmarkStart w:id="743" w:name="_Toc292559409"/>
      <w:bookmarkStart w:id="744" w:name="_Toc296944543"/>
      <w:bookmarkStart w:id="745" w:name="_Toc318581175"/>
      <w:bookmarkStart w:id="746" w:name="_Toc296891032"/>
      <w:bookmarkStart w:id="747" w:name="_Toc297216205"/>
      <w:bookmarkStart w:id="748" w:name="_Toc296347203"/>
      <w:bookmarkStart w:id="749" w:name="_Toc296891244"/>
      <w:bookmarkStart w:id="750" w:name="_Toc300934995"/>
      <w:bookmarkStart w:id="751" w:name="_Toc297123546"/>
      <w:bookmarkStart w:id="752" w:name="_Toc312678030"/>
      <w:bookmarkStart w:id="753" w:name="_Toc297048390"/>
      <w:bookmarkStart w:id="754" w:name="_Toc296503204"/>
      <w:bookmarkStart w:id="755" w:name="_Toc297120504"/>
      <w:bookmarkStart w:id="756" w:name="_Toc304295571"/>
      <w:bookmarkStart w:id="757" w:name="_Toc312677504"/>
      <w:bookmarkStart w:id="758" w:name="_Toc303539152"/>
      <w:r>
        <w:rPr>
          <w:rFonts w:hint="eastAsia" w:ascii="宋体" w:hAnsi="宋体" w:eastAsia="宋体" w:cs="宋体"/>
          <w:sz w:val="21"/>
          <w:szCs w:val="21"/>
          <w:highlight w:val="none"/>
        </w:rPr>
        <w:t>包人提出的合理化建议降低了合同价格或者提高了工程经济效益的奖励的方法和金额为：</w:t>
      </w:r>
      <w:r>
        <w:rPr>
          <w:rFonts w:hint="eastAsia" w:ascii="宋体" w:hAnsi="宋体" w:eastAsia="宋体" w:cs="宋体"/>
          <w:kern w:val="0"/>
          <w:sz w:val="21"/>
          <w:szCs w:val="21"/>
          <w:highlight w:val="none"/>
        </w:rPr>
        <w:t>奖励由承包人的合理化建议带给发包人利益的</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14:paraId="01550572">
      <w:pPr>
        <w:pStyle w:val="7"/>
        <w:rPr>
          <w:rFonts w:hint="eastAsia" w:ascii="宋体" w:hAnsi="宋体" w:eastAsia="宋体" w:cs="宋体"/>
          <w:bCs/>
          <w:sz w:val="21"/>
          <w:szCs w:val="21"/>
          <w:highlight w:val="none"/>
        </w:rPr>
      </w:pPr>
      <w:bookmarkStart w:id="759" w:name="_Toc386638617"/>
      <w:bookmarkStart w:id="760" w:name="_Toc351203643"/>
      <w:r>
        <w:rPr>
          <w:rFonts w:hint="eastAsia" w:ascii="宋体" w:hAnsi="宋体" w:eastAsia="宋体" w:cs="宋体"/>
          <w:bCs/>
          <w:sz w:val="21"/>
          <w:szCs w:val="21"/>
          <w:highlight w:val="none"/>
        </w:rPr>
        <w:t>11. 价格调整</w:t>
      </w:r>
      <w:bookmarkEnd w:id="759"/>
      <w:bookmarkEnd w:id="760"/>
    </w:p>
    <w:p w14:paraId="50837F58">
      <w:pPr>
        <w:spacing w:line="360" w:lineRule="auto"/>
        <w:ind w:firstLine="422" w:firstLineChars="200"/>
        <w:rPr>
          <w:rFonts w:hint="eastAsia" w:ascii="宋体" w:hAnsi="宋体" w:eastAsia="宋体" w:cs="宋体"/>
          <w:b/>
          <w:bCs/>
          <w:color w:val="auto"/>
          <w:sz w:val="21"/>
          <w:szCs w:val="21"/>
          <w:highlight w:val="none"/>
        </w:rPr>
      </w:pPr>
      <w:bookmarkStart w:id="761" w:name="_Toc304295577"/>
      <w:bookmarkStart w:id="762" w:name="_Toc296347200"/>
      <w:bookmarkStart w:id="763" w:name="_Toc303539157"/>
      <w:bookmarkStart w:id="764" w:name="_Toc296346702"/>
      <w:bookmarkStart w:id="765" w:name="_Toc296503201"/>
      <w:bookmarkStart w:id="766" w:name="_Toc296891029"/>
      <w:bookmarkStart w:id="767" w:name="_Toc297123550"/>
      <w:bookmarkStart w:id="768" w:name="_Toc292559911"/>
      <w:bookmarkStart w:id="769" w:name="_Toc297048387"/>
      <w:bookmarkStart w:id="770" w:name="_Toc297120501"/>
      <w:bookmarkStart w:id="771" w:name="_Toc292559406"/>
      <w:bookmarkStart w:id="772" w:name="_Toc300935000"/>
      <w:bookmarkStart w:id="773" w:name="_Toc296891241"/>
      <w:bookmarkStart w:id="774" w:name="_Toc296944540"/>
      <w:bookmarkStart w:id="775" w:name="_Toc297216209"/>
      <w:bookmarkStart w:id="776" w:name="_Toc312678039"/>
      <w:r>
        <w:rPr>
          <w:rFonts w:hint="eastAsia" w:ascii="宋体" w:hAnsi="宋体" w:eastAsia="宋体" w:cs="宋体"/>
          <w:b/>
          <w:bCs/>
          <w:color w:val="auto"/>
          <w:sz w:val="21"/>
          <w:szCs w:val="21"/>
          <w:highlight w:val="none"/>
        </w:rPr>
        <w:t>11.1 市场价格波动引起的调整</w:t>
      </w:r>
    </w:p>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14:paraId="4D5246AB">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kern w:val="0"/>
          <w:sz w:val="21"/>
          <w:szCs w:val="21"/>
          <w:highlight w:val="none"/>
          <w:u w:val="single"/>
          <w:lang w:val="en-US" w:eastAsia="zh-CN"/>
        </w:rPr>
        <w:t>不调整</w:t>
      </w:r>
      <w:r>
        <w:rPr>
          <w:rFonts w:hint="eastAsia" w:ascii="宋体" w:hAnsi="宋体" w:eastAsia="宋体" w:cs="宋体"/>
          <w:color w:val="auto"/>
          <w:sz w:val="21"/>
          <w:szCs w:val="21"/>
          <w:highlight w:val="none"/>
          <w:u w:val="single"/>
        </w:rPr>
        <w:t>。</w:t>
      </w:r>
    </w:p>
    <w:p w14:paraId="433142A2">
      <w:pPr>
        <w:spacing w:line="360" w:lineRule="auto"/>
        <w:ind w:firstLine="41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u w:val="single"/>
        </w:rPr>
        <w:t>如国家的法律、法规、规章和政策发生变化影响工程造价的，应按其规定调整合同价款。</w:t>
      </w:r>
    </w:p>
    <w:p w14:paraId="663983A5">
      <w:pPr>
        <w:pStyle w:val="970"/>
        <w:spacing w:line="360" w:lineRule="auto"/>
        <w:ind w:firstLine="401"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法律变化引起的调整</w:t>
      </w:r>
    </w:p>
    <w:p w14:paraId="6F59D6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合同当事人关于本条的补充约定：</w:t>
      </w:r>
    </w:p>
    <w:p w14:paraId="72D857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（1）本条所称的法律包括法律、法规、规章及规范性文件。</w:t>
      </w:r>
    </w:p>
    <w:p w14:paraId="405819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基准日期后，法律变化引起工程造价增减变化的，发包人和承包人双方应按照省级或行业建设主管部门或其授权的工程造价管理机构据此发布的规定调整合同价款。</w:t>
      </w:r>
    </w:p>
    <w:bookmarkEnd w:id="686"/>
    <w:bookmarkEnd w:id="687"/>
    <w:bookmarkEnd w:id="688"/>
    <w:bookmarkEnd w:id="689"/>
    <w:bookmarkEnd w:id="690"/>
    <w:bookmarkEnd w:id="691"/>
    <w:p w14:paraId="17ED7C61">
      <w:pPr>
        <w:pStyle w:val="7"/>
        <w:rPr>
          <w:rFonts w:hint="eastAsia" w:ascii="宋体" w:hAnsi="宋体" w:eastAsia="宋体" w:cs="宋体"/>
          <w:b/>
          <w:bCs/>
          <w:color w:val="auto"/>
          <w:sz w:val="21"/>
          <w:szCs w:val="21"/>
          <w:highlight w:val="none"/>
        </w:rPr>
      </w:pPr>
      <w:bookmarkStart w:id="777" w:name="_Toc296347204"/>
      <w:bookmarkStart w:id="778" w:name="_Toc296891033"/>
      <w:bookmarkStart w:id="779" w:name="_Toc297048391"/>
      <w:bookmarkStart w:id="780" w:name="_Toc296346706"/>
      <w:bookmarkStart w:id="781" w:name="_Toc296944544"/>
      <w:bookmarkStart w:id="782" w:name="_Toc292559915"/>
      <w:bookmarkStart w:id="783" w:name="_Toc296503205"/>
      <w:bookmarkStart w:id="784" w:name="_Toc292559410"/>
      <w:bookmarkStart w:id="785" w:name="_Toc297120505"/>
      <w:bookmarkStart w:id="786" w:name="_Toc296891245"/>
      <w:bookmarkStart w:id="787" w:name="_Toc386638618"/>
      <w:bookmarkStart w:id="788" w:name="_Toc351203644"/>
      <w:bookmarkStart w:id="789" w:name="_Toc304295579"/>
      <w:bookmarkStart w:id="790" w:name="_Toc303539159"/>
      <w:bookmarkStart w:id="791" w:name="_Toc300935002"/>
      <w:bookmarkStart w:id="792" w:name="_Toc297123552"/>
      <w:bookmarkStart w:id="793" w:name="_Toc312678040"/>
      <w:bookmarkStart w:id="794" w:name="_Toc297216211"/>
      <w:r>
        <w:rPr>
          <w:rFonts w:hint="eastAsia" w:ascii="宋体" w:hAnsi="宋体" w:eastAsia="宋体" w:cs="宋体"/>
          <w:b/>
          <w:bCs/>
          <w:color w:val="auto"/>
          <w:sz w:val="21"/>
          <w:szCs w:val="21"/>
          <w:highlight w:val="none"/>
        </w:rPr>
        <w:t xml:space="preserve">12. </w:t>
      </w:r>
      <w:bookmarkEnd w:id="777"/>
      <w:bookmarkEnd w:id="778"/>
      <w:bookmarkEnd w:id="779"/>
      <w:bookmarkEnd w:id="780"/>
      <w:bookmarkEnd w:id="781"/>
      <w:bookmarkEnd w:id="782"/>
      <w:bookmarkEnd w:id="783"/>
      <w:bookmarkEnd w:id="784"/>
      <w:bookmarkEnd w:id="785"/>
      <w:bookmarkEnd w:id="786"/>
      <w:r>
        <w:rPr>
          <w:rFonts w:hint="eastAsia" w:ascii="宋体" w:hAnsi="宋体" w:eastAsia="宋体" w:cs="宋体"/>
          <w:b/>
          <w:bCs/>
          <w:color w:val="auto"/>
          <w:sz w:val="21"/>
          <w:szCs w:val="21"/>
          <w:highlight w:val="none"/>
        </w:rPr>
        <w:t>合同价格、计量与支付</w:t>
      </w:r>
      <w:bookmarkEnd w:id="787"/>
      <w:bookmarkEnd w:id="788"/>
    </w:p>
    <w:bookmarkEnd w:id="789"/>
    <w:bookmarkEnd w:id="790"/>
    <w:bookmarkEnd w:id="791"/>
    <w:bookmarkEnd w:id="792"/>
    <w:bookmarkEnd w:id="793"/>
    <w:bookmarkEnd w:id="794"/>
    <w:p w14:paraId="6A4567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合同价格形式</w:t>
      </w:r>
    </w:p>
    <w:p w14:paraId="2EEE7A5D">
      <w:pPr>
        <w:spacing w:line="46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1、本合同采用合同当事人签订的合同协议书中约定的价格形式，即：</w:t>
      </w:r>
      <w:r>
        <w:rPr>
          <w:rFonts w:hint="eastAsia" w:ascii="宋体" w:hAnsi="宋体" w:eastAsia="宋体" w:cs="宋体"/>
          <w:color w:val="auto"/>
          <w:kern w:val="0"/>
          <w:sz w:val="21"/>
          <w:szCs w:val="21"/>
          <w:highlight w:val="none"/>
          <w:u w:val="single"/>
        </w:rPr>
        <w:t>单价合同</w:t>
      </w:r>
      <w:r>
        <w:rPr>
          <w:rFonts w:hint="eastAsia" w:ascii="宋体" w:hAnsi="宋体" w:eastAsia="宋体" w:cs="宋体"/>
          <w:color w:val="auto"/>
          <w:kern w:val="0"/>
          <w:sz w:val="21"/>
          <w:szCs w:val="21"/>
          <w:highlight w:val="none"/>
        </w:rPr>
        <w:t>。</w:t>
      </w:r>
    </w:p>
    <w:p w14:paraId="6C8973D9">
      <w:pPr>
        <w:spacing w:line="46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（1）综合单价包含的风险范围：</w:t>
      </w:r>
      <w:r>
        <w:rPr>
          <w:rFonts w:hint="eastAsia" w:ascii="宋体" w:hAnsi="宋体" w:eastAsia="宋体" w:cs="宋体"/>
          <w:color w:val="auto"/>
          <w:sz w:val="21"/>
          <w:szCs w:val="21"/>
          <w:highlight w:val="none"/>
          <w:u w:val="single"/>
          <w:lang w:val="en-US" w:eastAsia="zh-CN"/>
        </w:rPr>
        <w:t>综合单价不做调整</w:t>
      </w:r>
      <w:r>
        <w:rPr>
          <w:rFonts w:hint="eastAsia" w:ascii="宋体" w:hAnsi="宋体" w:eastAsia="宋体" w:cs="宋体"/>
          <w:color w:val="auto"/>
          <w:sz w:val="21"/>
          <w:szCs w:val="21"/>
          <w:highlight w:val="none"/>
          <w:lang w:val="en-US" w:eastAsia="zh-CN"/>
        </w:rPr>
        <w:t>。</w:t>
      </w:r>
    </w:p>
    <w:p w14:paraId="207B6BB2">
      <w:pPr>
        <w:spacing w:line="4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（2）人工价差调整的结算期及方法：</w:t>
      </w:r>
      <w:r>
        <w:rPr>
          <w:rFonts w:hint="eastAsia" w:ascii="宋体" w:hAnsi="宋体" w:eastAsia="宋体" w:cs="宋体"/>
          <w:color w:val="auto"/>
          <w:sz w:val="21"/>
          <w:szCs w:val="21"/>
          <w:highlight w:val="none"/>
          <w:u w:val="single"/>
        </w:rPr>
        <w:t>人工价差</w:t>
      </w:r>
      <w:r>
        <w:rPr>
          <w:rFonts w:hint="eastAsia" w:ascii="宋体" w:hAnsi="宋体" w:eastAsia="宋体" w:cs="宋体"/>
          <w:color w:val="auto"/>
          <w:sz w:val="21"/>
          <w:szCs w:val="21"/>
          <w:highlight w:val="none"/>
          <w:u w:val="single"/>
          <w:lang w:val="en-US" w:eastAsia="zh-CN"/>
        </w:rPr>
        <w:t>不做调整</w:t>
      </w:r>
      <w:r>
        <w:rPr>
          <w:rFonts w:hint="eastAsia" w:ascii="宋体" w:hAnsi="宋体" w:eastAsia="宋体" w:cs="宋体"/>
          <w:color w:val="auto"/>
          <w:sz w:val="21"/>
          <w:szCs w:val="21"/>
          <w:highlight w:val="none"/>
          <w:u w:val="none"/>
        </w:rPr>
        <w:t>。</w:t>
      </w:r>
    </w:p>
    <w:p w14:paraId="66BAA4EC">
      <w:pPr>
        <w:spacing w:line="460" w:lineRule="exact"/>
        <w:ind w:firstLine="420" w:firstLineChars="200"/>
        <w:rPr>
          <w:rFonts w:hint="eastAsia" w:ascii="宋体" w:hAnsi="宋体" w:eastAsia="宋体" w:cs="宋体"/>
          <w:color w:val="auto"/>
          <w:sz w:val="21"/>
          <w:szCs w:val="21"/>
          <w:highlight w:val="red"/>
          <w:u w:val="single"/>
        </w:rPr>
      </w:pPr>
      <w:r>
        <w:rPr>
          <w:rFonts w:hint="eastAsia" w:ascii="宋体" w:hAnsi="宋体" w:eastAsia="宋体" w:cs="宋体"/>
          <w:color w:val="auto"/>
          <w:sz w:val="21"/>
          <w:szCs w:val="21"/>
          <w:highlight w:val="none"/>
        </w:rPr>
        <w:t>（3）材料价差调整的结算期及方法：</w:t>
      </w:r>
      <w:r>
        <w:rPr>
          <w:rFonts w:hint="eastAsia" w:ascii="宋体" w:hAnsi="宋体" w:eastAsia="宋体" w:cs="宋体"/>
          <w:color w:val="auto"/>
          <w:sz w:val="21"/>
          <w:szCs w:val="21"/>
          <w:highlight w:val="none"/>
          <w:u w:val="single"/>
          <w:lang w:val="en-US" w:eastAsia="zh-CN"/>
        </w:rPr>
        <w:t>材料</w:t>
      </w:r>
      <w:r>
        <w:rPr>
          <w:rFonts w:hint="eastAsia" w:ascii="宋体" w:hAnsi="宋体" w:eastAsia="宋体" w:cs="宋体"/>
          <w:color w:val="auto"/>
          <w:sz w:val="21"/>
          <w:szCs w:val="21"/>
          <w:highlight w:val="none"/>
          <w:u w:val="single"/>
        </w:rPr>
        <w:t>价差</w:t>
      </w:r>
      <w:r>
        <w:rPr>
          <w:rFonts w:hint="eastAsia" w:ascii="宋体" w:hAnsi="宋体" w:eastAsia="宋体" w:cs="宋体"/>
          <w:color w:val="auto"/>
          <w:sz w:val="21"/>
          <w:szCs w:val="21"/>
          <w:highlight w:val="none"/>
          <w:u w:val="single"/>
          <w:lang w:val="en-US" w:eastAsia="zh-CN"/>
        </w:rPr>
        <w:t>不做调整</w:t>
      </w:r>
      <w:r>
        <w:rPr>
          <w:rFonts w:hint="eastAsia" w:ascii="宋体" w:hAnsi="宋体" w:eastAsia="宋体" w:cs="宋体"/>
          <w:color w:val="auto"/>
          <w:sz w:val="21"/>
          <w:szCs w:val="21"/>
          <w:highlight w:val="none"/>
          <w:u w:val="none"/>
        </w:rPr>
        <w:t>。</w:t>
      </w:r>
    </w:p>
    <w:p w14:paraId="4FE910B5">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不论工程量变更多少，工程量变更部分以建设单位签证为准，其单价不变。</w:t>
      </w:r>
    </w:p>
    <w:p w14:paraId="54726901">
      <w:pPr>
        <w:numPr>
          <w:ilvl w:val="0"/>
          <w:numId w:val="2"/>
        </w:numPr>
        <w:spacing w:line="360" w:lineRule="auto"/>
        <w:ind w:firstLine="420" w:firstLineChars="200"/>
        <w:rPr>
          <w:rFonts w:hint="eastAsia" w:ascii="宋体" w:hAnsi="宋体" w:eastAsia="宋体" w:cs="宋体"/>
          <w:sz w:val="22"/>
          <w:szCs w:val="22"/>
          <w:highlight w:val="none"/>
        </w:rPr>
      </w:pPr>
      <w:bookmarkStart w:id="795" w:name="_Toc304295581"/>
      <w:bookmarkStart w:id="796" w:name="_Toc297123554"/>
      <w:bookmarkStart w:id="797" w:name="_Toc297216213"/>
      <w:bookmarkStart w:id="798" w:name="_Toc303539161"/>
      <w:bookmarkStart w:id="799" w:name="_Toc300935004"/>
      <w:bookmarkStart w:id="800" w:name="_Toc312678042"/>
      <w:bookmarkStart w:id="801" w:name="_Toc292559412"/>
      <w:bookmarkStart w:id="802" w:name="_Toc296891247"/>
      <w:bookmarkStart w:id="803" w:name="_Toc297048393"/>
      <w:bookmarkStart w:id="804" w:name="_Toc296347206"/>
      <w:bookmarkStart w:id="805" w:name="_Toc297120507"/>
      <w:bookmarkStart w:id="806" w:name="_Toc296944546"/>
      <w:bookmarkStart w:id="807" w:name="_Toc292559917"/>
      <w:bookmarkStart w:id="808" w:name="_Toc296346708"/>
      <w:bookmarkStart w:id="809" w:name="_Toc296503207"/>
      <w:bookmarkStart w:id="810" w:name="_Toc296891035"/>
      <w:r>
        <w:rPr>
          <w:rFonts w:hint="eastAsia" w:ascii="宋体" w:hAnsi="宋体" w:eastAsia="宋体" w:cs="宋体"/>
          <w:color w:val="auto"/>
          <w:kern w:val="0"/>
          <w:sz w:val="21"/>
          <w:szCs w:val="21"/>
          <w:highlight w:val="none"/>
        </w:rPr>
        <w:t>本合同采用的计价依据：《建设工程工程量清单计价规范》（GB50500-2013）及相应的工程量计算规范；《建设工程工程量计算规范浙江省补充规定》（浙建站计﹝2013﹞63号）；《建设工程工程量计算规范浙江省补充规定(二）》（浙建站计﹝2014﹞31号）；《浙江省房屋建筑与装饰工程预算定额》(2018版)；《浙江省通用安装工程预算定额》(2018版)；《浙江省市政工程预算定额》(2018版)；《浙江省园林绿化及仿古建筑工程预算定额》(2018版)；《浙江省古建筑修缮工程预算定额》（2018版）；《浙江省建设工程计价规则》(2018版)；</w:t>
      </w:r>
      <w:r>
        <w:rPr>
          <w:rFonts w:hint="eastAsia" w:ascii="宋体" w:hAnsi="宋体" w:eastAsia="宋体" w:cs="宋体"/>
          <w:sz w:val="22"/>
          <w:szCs w:val="22"/>
          <w:highlight w:val="none"/>
          <w:lang w:eastAsia="zh-CN"/>
        </w:rPr>
        <w:t>和</w:t>
      </w:r>
      <w:r>
        <w:rPr>
          <w:rFonts w:hint="eastAsia" w:ascii="宋体" w:hAnsi="宋体" w:eastAsia="宋体" w:cs="宋体"/>
          <w:sz w:val="22"/>
          <w:szCs w:val="22"/>
          <w:highlight w:val="none"/>
        </w:rPr>
        <w:t>其他现行、合法的相关规定、政策性文件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相关补充文件。</w:t>
      </w:r>
    </w:p>
    <w:p w14:paraId="69AE281F">
      <w:pPr>
        <w:numPr>
          <w:ilvl w:val="0"/>
          <w:numId w:val="0"/>
        </w:numPr>
        <w:spacing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预付款</w:t>
      </w:r>
    </w:p>
    <w:bookmarkEnd w:id="795"/>
    <w:bookmarkEnd w:id="796"/>
    <w:bookmarkEnd w:id="797"/>
    <w:bookmarkEnd w:id="798"/>
    <w:bookmarkEnd w:id="799"/>
    <w:bookmarkEnd w:id="800"/>
    <w:p w14:paraId="18235CE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12.2.1 预付款的支付</w:t>
      </w:r>
      <w:r>
        <w:rPr>
          <w:rFonts w:hint="eastAsia" w:ascii="宋体" w:hAnsi="宋体" w:eastAsia="宋体" w:cs="宋体"/>
          <w:color w:val="auto"/>
          <w:kern w:val="0"/>
          <w:sz w:val="21"/>
          <w:szCs w:val="21"/>
          <w:highlight w:val="none"/>
        </w:rPr>
        <w:t xml:space="preserve"> </w:t>
      </w:r>
    </w:p>
    <w:p w14:paraId="3904A302">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预付款支付比例或期限：</w:t>
      </w:r>
    </w:p>
    <w:p w14:paraId="44E49D7C">
      <w:pPr>
        <w:spacing w:line="4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在签订施工合同后，</w:t>
      </w:r>
      <w:r>
        <w:rPr>
          <w:rFonts w:hint="eastAsia" w:ascii="宋体" w:hAnsi="宋体" w:eastAsia="宋体" w:cs="宋体"/>
          <w:color w:val="auto"/>
          <w:sz w:val="21"/>
          <w:szCs w:val="21"/>
        </w:rPr>
        <w:t>具备实施条件</w:t>
      </w:r>
      <w:r>
        <w:rPr>
          <w:rFonts w:hint="eastAsia" w:ascii="宋体" w:hAnsi="宋体" w:cs="宋体"/>
          <w:color w:val="auto"/>
          <w:sz w:val="21"/>
          <w:szCs w:val="21"/>
          <w:lang w:val="en-US" w:eastAsia="zh-CN"/>
        </w:rPr>
        <w:t>及</w:t>
      </w:r>
      <w:r>
        <w:rPr>
          <w:rFonts w:hint="eastAsia" w:ascii="宋体" w:hAnsi="宋体" w:eastAsia="宋体" w:cs="宋体"/>
          <w:color w:val="auto"/>
          <w:kern w:val="0"/>
          <w:sz w:val="21"/>
          <w:szCs w:val="21"/>
          <w:highlight w:val="none"/>
        </w:rPr>
        <w:t>开工报告批准后</w:t>
      </w:r>
      <w:r>
        <w:rPr>
          <w:rFonts w:hint="eastAsia" w:ascii="宋体" w:hAnsi="宋体" w:eastAsia="宋体" w:cs="宋体"/>
          <w:color w:val="auto"/>
          <w:kern w:val="0"/>
          <w:sz w:val="21"/>
          <w:szCs w:val="21"/>
          <w:highlight w:val="none"/>
          <w:u w:val="single"/>
        </w:rPr>
        <w:t xml:space="preserve"> 7 </w:t>
      </w:r>
      <w:r>
        <w:rPr>
          <w:rFonts w:hint="eastAsia" w:ascii="宋体" w:hAnsi="宋体" w:eastAsia="宋体" w:cs="宋体"/>
          <w:color w:val="auto"/>
          <w:kern w:val="0"/>
          <w:sz w:val="21"/>
          <w:szCs w:val="21"/>
          <w:highlight w:val="none"/>
        </w:rPr>
        <w:t>日内，发包人支付给承包人合同价的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4</w:t>
      </w:r>
      <w:r>
        <w:rPr>
          <w:rFonts w:hint="eastAsia" w:ascii="宋体" w:hAnsi="宋体" w:eastAsia="宋体" w:cs="宋体"/>
          <w:color w:val="auto"/>
          <w:kern w:val="0"/>
          <w:sz w:val="21"/>
          <w:szCs w:val="21"/>
          <w:highlight w:val="none"/>
          <w:u w:val="single"/>
        </w:rPr>
        <w:t>0 %</w:t>
      </w:r>
      <w:r>
        <w:rPr>
          <w:rFonts w:hint="eastAsia" w:ascii="宋体" w:hAnsi="宋体" w:eastAsia="宋体" w:cs="宋体"/>
          <w:color w:val="auto"/>
          <w:kern w:val="0"/>
          <w:sz w:val="21"/>
          <w:szCs w:val="21"/>
          <w:highlight w:val="none"/>
        </w:rPr>
        <w:t>作为工程预付款。</w:t>
      </w:r>
    </w:p>
    <w:p w14:paraId="0C70DB9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预付款扣回的方式(时间、金额)：</w:t>
      </w:r>
      <w:r>
        <w:rPr>
          <w:rFonts w:hint="eastAsia" w:ascii="宋体" w:hAnsi="宋体" w:eastAsia="宋体" w:cs="宋体"/>
          <w:color w:val="auto"/>
          <w:sz w:val="21"/>
          <w:szCs w:val="21"/>
          <w:highlight w:val="none"/>
          <w:u w:val="single"/>
          <w:lang w:val="en-US" w:eastAsia="zh-CN"/>
        </w:rPr>
        <w:t>不扣回</w:t>
      </w:r>
      <w:r>
        <w:rPr>
          <w:rFonts w:hint="eastAsia" w:ascii="宋体" w:hAnsi="宋体" w:eastAsia="宋体" w:cs="宋体"/>
          <w:sz w:val="21"/>
          <w:szCs w:val="21"/>
          <w:highlight w:val="none"/>
        </w:rPr>
        <w:t>。</w:t>
      </w:r>
    </w:p>
    <w:p w14:paraId="5216CE4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12.2.2 预付款担保</w:t>
      </w:r>
    </w:p>
    <w:p w14:paraId="38C2F60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承包人提交预付款担保的期限：</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5E7AB2B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预付款担保的形式为：</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bookmarkEnd w:id="801"/>
    <w:bookmarkEnd w:id="802"/>
    <w:bookmarkEnd w:id="803"/>
    <w:bookmarkEnd w:id="804"/>
    <w:bookmarkEnd w:id="805"/>
    <w:bookmarkEnd w:id="806"/>
    <w:bookmarkEnd w:id="807"/>
    <w:bookmarkEnd w:id="808"/>
    <w:bookmarkEnd w:id="809"/>
    <w:bookmarkEnd w:id="810"/>
    <w:p w14:paraId="3502CE9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12.3 计量</w:t>
      </w:r>
    </w:p>
    <w:p w14:paraId="690FADB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12.3.1 计量原则</w:t>
      </w:r>
    </w:p>
    <w:p w14:paraId="4CBE34C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工程量计算规则：</w:t>
      </w:r>
      <w:r>
        <w:rPr>
          <w:rFonts w:hint="eastAsia" w:ascii="宋体" w:hAnsi="宋体" w:eastAsia="宋体" w:cs="宋体"/>
          <w:sz w:val="21"/>
          <w:szCs w:val="21"/>
          <w:highlight w:val="none"/>
          <w:u w:val="single"/>
        </w:rPr>
        <w:t xml:space="preserve"> 按现行的工程量计算规则执行 </w:t>
      </w:r>
      <w:r>
        <w:rPr>
          <w:rFonts w:hint="eastAsia" w:ascii="宋体" w:hAnsi="宋体" w:eastAsia="宋体" w:cs="宋体"/>
          <w:sz w:val="21"/>
          <w:szCs w:val="21"/>
          <w:highlight w:val="none"/>
        </w:rPr>
        <w:t>。</w:t>
      </w:r>
    </w:p>
    <w:p w14:paraId="1C6FB01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12.3.2 计量周期</w:t>
      </w:r>
    </w:p>
    <w:p w14:paraId="4E75451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 xml:space="preserve">  </w:t>
      </w:r>
      <w:r>
        <w:rPr>
          <w:rFonts w:hint="eastAsia" w:ascii="宋体" w:hAnsi="宋体"/>
          <w:color w:val="000000"/>
          <w:sz w:val="21"/>
          <w:szCs w:val="21"/>
          <w:u w:val="single"/>
        </w:rPr>
        <w:t xml:space="preserve">按进度进行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397E7C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12.3.3 单价合同的计量</w:t>
      </w:r>
    </w:p>
    <w:p w14:paraId="46E7FC9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关于单价合同计量的约定：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6F57441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12.3.4 总价合同的计量</w:t>
      </w:r>
    </w:p>
    <w:p w14:paraId="3BAD6D8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关于总价合同计量的约定：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476BB8D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12.3.5总价合同采用支付分解表计量支付的，是否适用第</w:t>
      </w:r>
      <w:r>
        <w:rPr>
          <w:rFonts w:hint="eastAsia" w:ascii="宋体" w:hAnsi="宋体" w:eastAsia="宋体" w:cs="宋体"/>
          <w:kern w:val="0"/>
          <w:sz w:val="21"/>
          <w:szCs w:val="21"/>
          <w:highlight w:val="none"/>
        </w:rPr>
        <w:t xml:space="preserve">12.3.4 </w:t>
      </w:r>
      <w:r>
        <w:rPr>
          <w:rFonts w:hint="eastAsia" w:ascii="宋体" w:hAnsi="宋体" w:eastAsia="宋体" w:cs="宋体"/>
          <w:sz w:val="21"/>
          <w:szCs w:val="21"/>
          <w:highlight w:val="none"/>
        </w:rPr>
        <w:t>项</w:t>
      </w:r>
      <w:r>
        <w:rPr>
          <w:rFonts w:hint="eastAsia" w:ascii="宋体" w:hAnsi="宋体" w:eastAsia="宋体" w:cs="宋体"/>
          <w:kern w:val="0"/>
          <w:sz w:val="21"/>
          <w:szCs w:val="21"/>
          <w:highlight w:val="none"/>
        </w:rPr>
        <w:t>〔总价合同的计量〕</w:t>
      </w:r>
      <w:r>
        <w:rPr>
          <w:rFonts w:hint="eastAsia" w:ascii="宋体" w:hAnsi="宋体" w:eastAsia="宋体" w:cs="宋体"/>
          <w:sz w:val="21"/>
          <w:szCs w:val="21"/>
          <w:highlight w:val="none"/>
        </w:rPr>
        <w:t>约定进行计量：</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5104A20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12.3.6 其他价格形式合同的计量</w:t>
      </w:r>
    </w:p>
    <w:p w14:paraId="6BFCC91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其他价格形式的计量方式和程序：</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bookmarkEnd w:id="692"/>
    <w:p w14:paraId="4649A921">
      <w:pPr>
        <w:spacing w:line="360" w:lineRule="auto"/>
        <w:ind w:firstLine="420" w:firstLineChars="200"/>
        <w:rPr>
          <w:rFonts w:hint="eastAsia" w:ascii="宋体" w:hAnsi="宋体" w:eastAsia="宋体" w:cs="宋体"/>
          <w:color w:val="auto"/>
          <w:sz w:val="21"/>
          <w:szCs w:val="21"/>
          <w:highlight w:val="none"/>
        </w:rPr>
      </w:pPr>
      <w:bookmarkStart w:id="811" w:name="_Toc351203645"/>
      <w:bookmarkStart w:id="812" w:name="_Toc386638619"/>
      <w:bookmarkStart w:id="813" w:name="_Toc296347218"/>
      <w:bookmarkStart w:id="814" w:name="_Toc312678053"/>
      <w:bookmarkStart w:id="815" w:name="_Toc297120519"/>
      <w:bookmarkStart w:id="816" w:name="_Toc296891259"/>
      <w:bookmarkStart w:id="817" w:name="_Toc296503219"/>
      <w:bookmarkStart w:id="818" w:name="_Toc292559424"/>
      <w:bookmarkStart w:id="819" w:name="_Toc297123564"/>
      <w:bookmarkStart w:id="820" w:name="_Toc304295593"/>
      <w:bookmarkStart w:id="821" w:name="_Toc303539172"/>
      <w:bookmarkStart w:id="822" w:name="_Toc296944558"/>
      <w:bookmarkStart w:id="823" w:name="_Toc296346720"/>
      <w:bookmarkStart w:id="824" w:name="_Toc296891047"/>
      <w:bookmarkStart w:id="825" w:name="_Toc297048405"/>
      <w:bookmarkStart w:id="826" w:name="_Toc300935015"/>
      <w:bookmarkStart w:id="827" w:name="_Toc292559929"/>
      <w:bookmarkStart w:id="828" w:name="_Toc297216223"/>
      <w:r>
        <w:rPr>
          <w:rFonts w:hint="eastAsia" w:ascii="宋体" w:hAnsi="宋体" w:eastAsia="宋体" w:cs="宋体"/>
          <w:color w:val="auto"/>
          <w:sz w:val="21"/>
          <w:szCs w:val="21"/>
          <w:highlight w:val="none"/>
        </w:rPr>
        <w:t>12.4 工程进度款支付</w:t>
      </w:r>
    </w:p>
    <w:p w14:paraId="3CACB2D3">
      <w:pPr>
        <w:widowControl/>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关于进度款支付程序、支付比例和期限的约定：</w:t>
      </w:r>
    </w:p>
    <w:p w14:paraId="1D90459B">
      <w:pPr>
        <w:pStyle w:val="25"/>
        <w:ind w:firstLine="720" w:firstLineChars="300"/>
        <w:rPr>
          <w:rFonts w:hint="eastAsia"/>
        </w:rPr>
      </w:pPr>
      <w:r>
        <w:rPr>
          <w:rFonts w:hint="eastAsia"/>
        </w:rPr>
        <w:t>合同签订及具备实施条件后7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在签订合同时，供应商明确表示无需预付款或者主动要求降低预付款比例的，采购单位可不适用前述规定。）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p w14:paraId="4AF66673">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Arial" w:eastAsia="宋体" w:cs="Arial"/>
          <w:snapToGrid w:val="0"/>
          <w:kern w:val="2"/>
          <w:sz w:val="24"/>
          <w:szCs w:val="21"/>
          <w:lang w:val="zh-CN" w:eastAsia="zh-CN" w:bidi="ar-SA"/>
        </w:rPr>
      </w:pPr>
      <w:r>
        <w:rPr>
          <w:rFonts w:hint="eastAsia" w:ascii="宋体" w:hAnsi="Arial" w:eastAsia="宋体" w:cs="Arial"/>
          <w:snapToGrid w:val="0"/>
          <w:kern w:val="2"/>
          <w:sz w:val="24"/>
          <w:szCs w:val="21"/>
          <w:lang w:val="zh-CN" w:eastAsia="zh-CN" w:bidi="ar-SA"/>
        </w:rPr>
        <w:t>注：具体条款以双方签订的合同约定为准。</w:t>
      </w:r>
    </w:p>
    <w:p w14:paraId="462FE95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Arial" w:eastAsia="宋体" w:cs="Arial"/>
          <w:snapToGrid w:val="0"/>
          <w:kern w:val="2"/>
          <w:sz w:val="24"/>
          <w:szCs w:val="21"/>
          <w:lang w:val="zh-CN" w:eastAsia="zh-CN" w:bidi="ar-SA"/>
        </w:rPr>
      </w:pPr>
      <w:bookmarkStart w:id="829" w:name="_Hlk89721287"/>
      <w:r>
        <w:rPr>
          <w:rFonts w:hint="eastAsia" w:ascii="宋体" w:hAnsi="Arial" w:eastAsia="宋体" w:cs="Arial"/>
          <w:snapToGrid w:val="0"/>
          <w:kern w:val="2"/>
          <w:sz w:val="24"/>
          <w:szCs w:val="21"/>
          <w:lang w:val="zh-CN" w:eastAsia="zh-CN" w:bidi="ar-SA"/>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829"/>
    <w:p w14:paraId="4BC05C18">
      <w:pPr>
        <w:widowControl/>
        <w:spacing w:line="360" w:lineRule="auto"/>
        <w:ind w:firstLine="470" w:firstLineChars="196"/>
        <w:rPr>
          <w:rFonts w:hint="eastAsia" w:ascii="宋体" w:hAnsi="Arial" w:eastAsia="宋体" w:cs="Arial"/>
          <w:snapToGrid w:val="0"/>
          <w:kern w:val="2"/>
          <w:sz w:val="24"/>
          <w:szCs w:val="21"/>
          <w:lang w:val="zh-CN" w:eastAsia="zh-CN" w:bidi="ar-SA"/>
        </w:rPr>
      </w:pPr>
      <w:r>
        <w:rPr>
          <w:rFonts w:hint="eastAsia" w:ascii="宋体" w:hAnsi="Arial" w:eastAsia="宋体" w:cs="Arial"/>
          <w:snapToGrid w:val="0"/>
          <w:kern w:val="2"/>
          <w:sz w:val="24"/>
          <w:szCs w:val="21"/>
          <w:lang w:val="zh-CN" w:eastAsia="zh-CN" w:bidi="ar-SA"/>
        </w:rPr>
        <w:t>未按规定程序批准调整的工程变更价款，不列入工程进度款的支付范围。规定程序指《宁海县政府投资项目工程造价管控办法》（宁发改（2023）51号）及发包人相应工程变更管理办法。</w:t>
      </w:r>
    </w:p>
    <w:p w14:paraId="569861A8">
      <w:pPr>
        <w:spacing w:line="336" w:lineRule="auto"/>
        <w:rPr>
          <w:rFonts w:hint="eastAsia" w:ascii="宋体" w:hAnsi="Arial" w:eastAsia="宋体" w:cs="Arial"/>
          <w:snapToGrid w:val="0"/>
          <w:kern w:val="2"/>
          <w:sz w:val="24"/>
          <w:szCs w:val="21"/>
          <w:lang w:val="en-US" w:eastAsia="zh-CN" w:bidi="ar-SA"/>
        </w:rPr>
      </w:pPr>
      <w:r>
        <w:rPr>
          <w:rFonts w:hint="eastAsia" w:ascii="宋体" w:hAnsi="Arial" w:eastAsia="宋体" w:cs="Arial"/>
          <w:snapToGrid w:val="0"/>
          <w:kern w:val="2"/>
          <w:sz w:val="24"/>
          <w:szCs w:val="21"/>
          <w:lang w:val="en-US" w:eastAsia="zh-CN" w:bidi="ar-SA"/>
        </w:rPr>
        <w:t>13. 验收和工程试车</w:t>
      </w:r>
      <w:bookmarkEnd w:id="811"/>
      <w:bookmarkEnd w:id="812"/>
    </w:p>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14:paraId="7A0E7DC2">
      <w:pPr>
        <w:spacing w:line="360" w:lineRule="auto"/>
        <w:ind w:firstLine="480" w:firstLineChars="200"/>
        <w:rPr>
          <w:rFonts w:hint="eastAsia" w:ascii="宋体" w:hAnsi="Arial" w:eastAsia="宋体" w:cs="Arial"/>
          <w:snapToGrid w:val="0"/>
          <w:kern w:val="2"/>
          <w:sz w:val="24"/>
          <w:szCs w:val="21"/>
          <w:lang w:val="zh-CN" w:eastAsia="zh-CN" w:bidi="ar-SA"/>
        </w:rPr>
      </w:pPr>
      <w:r>
        <w:rPr>
          <w:rFonts w:hint="eastAsia" w:ascii="宋体" w:hAnsi="Arial" w:eastAsia="宋体" w:cs="Arial"/>
          <w:snapToGrid w:val="0"/>
          <w:kern w:val="2"/>
          <w:sz w:val="24"/>
          <w:szCs w:val="21"/>
          <w:lang w:val="zh-CN" w:eastAsia="zh-CN" w:bidi="ar-SA"/>
        </w:rPr>
        <w:t>13.1 分部分项工程验收</w:t>
      </w:r>
    </w:p>
    <w:p w14:paraId="5E348F52">
      <w:pPr>
        <w:spacing w:line="360" w:lineRule="auto"/>
        <w:ind w:firstLine="480" w:firstLineChars="200"/>
        <w:jc w:val="left"/>
        <w:rPr>
          <w:rFonts w:hint="eastAsia" w:ascii="宋体" w:hAnsi="Arial" w:eastAsia="宋体" w:cs="Arial"/>
          <w:snapToGrid w:val="0"/>
          <w:kern w:val="2"/>
          <w:sz w:val="24"/>
          <w:szCs w:val="21"/>
          <w:lang w:val="zh-CN" w:eastAsia="zh-CN" w:bidi="ar-SA"/>
        </w:rPr>
      </w:pPr>
      <w:r>
        <w:rPr>
          <w:rFonts w:hint="eastAsia" w:ascii="宋体" w:hAnsi="Arial" w:eastAsia="宋体" w:cs="Arial"/>
          <w:snapToGrid w:val="0"/>
          <w:kern w:val="2"/>
          <w:sz w:val="24"/>
          <w:szCs w:val="21"/>
          <w:lang w:val="zh-CN" w:eastAsia="zh-CN" w:bidi="ar-SA"/>
        </w:rPr>
        <w:t>13.1.2监理人不能按时进行验收时，应提前24小时提交书面延期要求。</w:t>
      </w:r>
    </w:p>
    <w:p w14:paraId="5E6D72AE">
      <w:pPr>
        <w:spacing w:line="360" w:lineRule="auto"/>
        <w:ind w:firstLine="480" w:firstLineChars="200"/>
        <w:jc w:val="left"/>
        <w:rPr>
          <w:rFonts w:hint="eastAsia" w:ascii="宋体" w:hAnsi="Arial" w:eastAsia="宋体" w:cs="Arial"/>
          <w:snapToGrid w:val="0"/>
          <w:kern w:val="2"/>
          <w:sz w:val="24"/>
          <w:szCs w:val="21"/>
          <w:lang w:val="zh-CN" w:eastAsia="zh-CN" w:bidi="ar-SA"/>
        </w:rPr>
      </w:pPr>
      <w:r>
        <w:rPr>
          <w:rFonts w:hint="eastAsia" w:ascii="宋体" w:hAnsi="Arial" w:eastAsia="宋体" w:cs="Arial"/>
          <w:snapToGrid w:val="0"/>
          <w:kern w:val="2"/>
          <w:sz w:val="24"/>
          <w:szCs w:val="21"/>
          <w:lang w:val="zh-CN" w:eastAsia="zh-CN" w:bidi="ar-SA"/>
        </w:rPr>
        <w:t>关于延期最长不得超过：48小时。</w:t>
      </w:r>
    </w:p>
    <w:p w14:paraId="4E79069D">
      <w:pPr>
        <w:spacing w:line="360" w:lineRule="auto"/>
        <w:ind w:firstLine="480" w:firstLineChars="200"/>
        <w:rPr>
          <w:rFonts w:hint="eastAsia" w:ascii="宋体" w:hAnsi="Arial" w:eastAsia="宋体" w:cs="Arial"/>
          <w:snapToGrid w:val="0"/>
          <w:kern w:val="2"/>
          <w:sz w:val="24"/>
          <w:szCs w:val="21"/>
          <w:lang w:val="zh-CN" w:eastAsia="zh-CN" w:bidi="ar-SA"/>
        </w:rPr>
      </w:pPr>
      <w:bookmarkStart w:id="830" w:name="_Toc300935016"/>
      <w:bookmarkStart w:id="831" w:name="_Toc304295596"/>
      <w:bookmarkStart w:id="832" w:name="_Toc303539173"/>
      <w:bookmarkStart w:id="833" w:name="_Toc296891051"/>
      <w:bookmarkStart w:id="834" w:name="_Toc296503223"/>
      <w:bookmarkStart w:id="835" w:name="_Toc292559428"/>
      <w:bookmarkStart w:id="836" w:name="_Toc297048409"/>
      <w:bookmarkStart w:id="837" w:name="_Toc312678056"/>
      <w:bookmarkStart w:id="838" w:name="_Toc296347222"/>
      <w:bookmarkStart w:id="839" w:name="_Toc296346724"/>
      <w:bookmarkStart w:id="840" w:name="_Toc292559933"/>
      <w:bookmarkStart w:id="841" w:name="_Toc296944562"/>
      <w:bookmarkStart w:id="842" w:name="_Toc297120523"/>
      <w:bookmarkStart w:id="843" w:name="_Toc296891263"/>
      <w:bookmarkStart w:id="844" w:name="_Toc297216224"/>
      <w:bookmarkStart w:id="845" w:name="_Toc297123565"/>
      <w:bookmarkStart w:id="846" w:name="_Toc267251476"/>
      <w:bookmarkStart w:id="847" w:name="_Toc267251470"/>
      <w:bookmarkStart w:id="848" w:name="_Toc267251474"/>
      <w:bookmarkStart w:id="849" w:name="_Toc267251472"/>
      <w:bookmarkStart w:id="850" w:name="_Toc267251473"/>
      <w:bookmarkStart w:id="851" w:name="_Toc267251475"/>
      <w:bookmarkStart w:id="852" w:name="_Toc267251471"/>
      <w:r>
        <w:rPr>
          <w:rFonts w:hint="eastAsia" w:ascii="宋体" w:hAnsi="Arial" w:eastAsia="宋体" w:cs="Arial"/>
          <w:snapToGrid w:val="0"/>
          <w:kern w:val="2"/>
          <w:sz w:val="24"/>
          <w:szCs w:val="21"/>
          <w:lang w:val="zh-CN" w:eastAsia="zh-CN" w:bidi="ar-SA"/>
        </w:rPr>
        <w:t>13.2 竣工验收</w:t>
      </w:r>
    </w:p>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14:paraId="34E9057E">
      <w:pPr>
        <w:spacing w:line="360" w:lineRule="auto"/>
        <w:ind w:firstLine="480" w:firstLineChars="200"/>
        <w:jc w:val="left"/>
        <w:rPr>
          <w:rFonts w:hint="eastAsia" w:ascii="宋体" w:hAnsi="Arial" w:eastAsia="宋体" w:cs="Arial"/>
          <w:snapToGrid w:val="0"/>
          <w:kern w:val="2"/>
          <w:sz w:val="24"/>
          <w:szCs w:val="21"/>
          <w:lang w:val="zh-CN" w:eastAsia="zh-CN" w:bidi="ar-SA"/>
        </w:rPr>
      </w:pPr>
      <w:bookmarkStart w:id="853" w:name="_Toc280868704"/>
      <w:bookmarkStart w:id="854" w:name="_Toc280868705"/>
      <w:bookmarkStart w:id="855" w:name="_Toc280868706"/>
      <w:bookmarkStart w:id="856" w:name="_Toc280868707"/>
      <w:bookmarkStart w:id="857" w:name="_Toc280868708"/>
      <w:bookmarkStart w:id="858" w:name="_Toc280868709"/>
      <w:r>
        <w:rPr>
          <w:rFonts w:hint="eastAsia" w:ascii="宋体" w:hAnsi="Arial" w:eastAsia="宋体" w:cs="Arial"/>
          <w:snapToGrid w:val="0"/>
          <w:kern w:val="2"/>
          <w:sz w:val="24"/>
          <w:szCs w:val="21"/>
          <w:lang w:val="zh-CN" w:eastAsia="zh-CN" w:bidi="ar-SA"/>
        </w:rPr>
        <w:t>13.2.2竣工验收程序</w:t>
      </w:r>
    </w:p>
    <w:bookmarkEnd w:id="853"/>
    <w:p w14:paraId="0B71715B">
      <w:pPr>
        <w:spacing w:line="360" w:lineRule="auto"/>
        <w:ind w:left="4376" w:leftChars="284" w:hanging="3780" w:hangingChars="18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关于竣工验收程序的约定：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1160C9E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发包人不按照本项约定组织竣工验收、颁发工程接收证书的违约金的计算方：</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w:t>
      </w:r>
    </w:p>
    <w:bookmarkEnd w:id="854"/>
    <w:p w14:paraId="24731D15">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13.2.5移交、接收全部与部分工程</w:t>
      </w:r>
    </w:p>
    <w:bookmarkEnd w:id="855"/>
    <w:p w14:paraId="208FA8D7">
      <w:pPr>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承包人向发包人移交工程的期限：</w:t>
      </w:r>
      <w:r>
        <w:rPr>
          <w:rFonts w:hint="eastAsia" w:ascii="宋体" w:hAnsi="宋体" w:eastAsia="宋体" w:cs="宋体"/>
          <w:sz w:val="21"/>
          <w:szCs w:val="21"/>
          <w:highlight w:val="none"/>
        </w:rPr>
        <w:t>在颁发工程接收证书后</w:t>
      </w:r>
      <w:r>
        <w:rPr>
          <w:rFonts w:hint="eastAsia" w:ascii="宋体" w:hAnsi="宋体" w:eastAsia="宋体" w:cs="宋体"/>
          <w:sz w:val="21"/>
          <w:szCs w:val="21"/>
          <w:highlight w:val="none"/>
          <w:u w:val="single"/>
        </w:rPr>
        <w:t xml:space="preserve"> 7</w:t>
      </w:r>
      <w:r>
        <w:rPr>
          <w:rFonts w:hint="eastAsia" w:ascii="宋体" w:hAnsi="宋体" w:eastAsia="宋体" w:cs="宋体"/>
          <w:sz w:val="21"/>
          <w:szCs w:val="21"/>
          <w:highlight w:val="none"/>
        </w:rPr>
        <w:t>天内完成工程的移交。</w:t>
      </w:r>
    </w:p>
    <w:p w14:paraId="7969F2D1">
      <w:pPr>
        <w:spacing w:line="360" w:lineRule="auto"/>
        <w:ind w:firstLine="420" w:firstLineChars="200"/>
        <w:jc w:val="left"/>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发包人未按本合同约定接收全部或部分工程的，违约金的计算方法为：除承担自应接收工程</w:t>
      </w:r>
      <w:r>
        <w:rPr>
          <w:rFonts w:hint="eastAsia" w:ascii="宋体" w:hAnsi="宋体" w:eastAsia="宋体" w:cs="宋体"/>
          <w:sz w:val="21"/>
          <w:szCs w:val="21"/>
          <w:highlight w:val="none"/>
        </w:rPr>
        <w:t>之日起的工程照管、成本保护、保管等与工程有关的各项费用外，应当按本专用条款约定的</w:t>
      </w:r>
      <w:r>
        <w:rPr>
          <w:rFonts w:hint="eastAsia" w:ascii="宋体" w:hAnsi="宋体" w:eastAsia="宋体" w:cs="宋体"/>
          <w:kern w:val="0"/>
          <w:sz w:val="21"/>
          <w:szCs w:val="21"/>
          <w:highlight w:val="none"/>
        </w:rPr>
        <w:t>提前竣工奖励的</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倍标准</w:t>
      </w:r>
      <w:r>
        <w:rPr>
          <w:rFonts w:hint="eastAsia" w:ascii="宋体" w:hAnsi="宋体" w:eastAsia="宋体" w:cs="宋体"/>
          <w:sz w:val="21"/>
          <w:szCs w:val="21"/>
          <w:highlight w:val="none"/>
        </w:rPr>
        <w:t>向承包人支付逾期接收工程的违约金。</w:t>
      </w:r>
    </w:p>
    <w:bookmarkEnd w:id="856"/>
    <w:p w14:paraId="7466D08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承包人未按时移交工程的，违约金的计算方法为：</w:t>
      </w:r>
      <w:r>
        <w:rPr>
          <w:rFonts w:hint="eastAsia" w:ascii="宋体" w:hAnsi="宋体" w:eastAsia="宋体" w:cs="宋体"/>
          <w:kern w:val="0"/>
          <w:sz w:val="21"/>
          <w:szCs w:val="21"/>
          <w:highlight w:val="none"/>
        </w:rPr>
        <w:t>除承担自应接收工程之日起的工程照管、成本保护、保管等与工程有关的各项费用外，应当按本合同约定的工期延误赔偿标准的</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倍向发</w:t>
      </w:r>
      <w:r>
        <w:rPr>
          <w:rFonts w:hint="eastAsia" w:ascii="宋体" w:hAnsi="宋体" w:eastAsia="宋体" w:cs="宋体"/>
          <w:sz w:val="21"/>
          <w:szCs w:val="21"/>
          <w:highlight w:val="none"/>
        </w:rPr>
        <w:t>包人支付逾期移交工程的违约金。</w:t>
      </w:r>
    </w:p>
    <w:p w14:paraId="3DCC846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13.3 工程试车</w:t>
      </w:r>
    </w:p>
    <w:bookmarkEnd w:id="857"/>
    <w:p w14:paraId="55AAF8E9">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13.3.1 试车程序</w:t>
      </w:r>
    </w:p>
    <w:p w14:paraId="777C448E">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工程试车内容：</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263C604F">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（1）单机无负荷试车费用由</w:t>
      </w:r>
      <w:r>
        <w:rPr>
          <w:rFonts w:hint="eastAsia" w:ascii="宋体" w:hAnsi="宋体" w:eastAsia="宋体" w:cs="宋体"/>
          <w:sz w:val="21"/>
          <w:szCs w:val="21"/>
          <w:highlight w:val="none"/>
          <w:u w:val="single"/>
        </w:rPr>
        <w:t xml:space="preserve">         /           </w:t>
      </w:r>
      <w:r>
        <w:rPr>
          <w:rFonts w:hint="eastAsia" w:ascii="宋体" w:hAnsi="宋体" w:eastAsia="宋体" w:cs="宋体"/>
          <w:kern w:val="0"/>
          <w:sz w:val="21"/>
          <w:szCs w:val="21"/>
          <w:highlight w:val="none"/>
        </w:rPr>
        <w:t>承担；</w:t>
      </w:r>
    </w:p>
    <w:p w14:paraId="335BDA45">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（2）无负荷联动试车费用由</w:t>
      </w:r>
      <w:r>
        <w:rPr>
          <w:rFonts w:hint="eastAsia" w:ascii="宋体" w:hAnsi="宋体" w:eastAsia="宋体" w:cs="宋体"/>
          <w:sz w:val="21"/>
          <w:szCs w:val="21"/>
          <w:highlight w:val="none"/>
          <w:u w:val="single"/>
        </w:rPr>
        <w:t xml:space="preserve">          /          </w:t>
      </w:r>
      <w:r>
        <w:rPr>
          <w:rFonts w:hint="eastAsia" w:ascii="宋体" w:hAnsi="宋体" w:eastAsia="宋体" w:cs="宋体"/>
          <w:kern w:val="0"/>
          <w:sz w:val="21"/>
          <w:szCs w:val="21"/>
          <w:highlight w:val="none"/>
        </w:rPr>
        <w:t>承担。</w:t>
      </w:r>
    </w:p>
    <w:p w14:paraId="0E8D0751">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13.3.3 投料试车</w:t>
      </w:r>
    </w:p>
    <w:p w14:paraId="02BB359A">
      <w:pPr>
        <w:spacing w:line="336"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关于投料试车相关事项的约定：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41F242E5">
      <w:pPr>
        <w:spacing w:line="336"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13.6 竣工退场</w:t>
      </w:r>
    </w:p>
    <w:p w14:paraId="2BA969D3">
      <w:pPr>
        <w:spacing w:line="336"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13.6.1 竣工退场</w:t>
      </w:r>
    </w:p>
    <w:p w14:paraId="2C5500E4">
      <w:pPr>
        <w:spacing w:line="336"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承包人完成竣工退场的期限：</w:t>
      </w:r>
      <w:r>
        <w:rPr>
          <w:rFonts w:hint="eastAsia" w:ascii="宋体" w:hAnsi="宋体" w:eastAsia="宋体" w:cs="宋体"/>
          <w:sz w:val="21"/>
          <w:szCs w:val="21"/>
          <w:highlight w:val="none"/>
        </w:rPr>
        <w:t>承包人应当在发包人颁发工程接收证书后</w:t>
      </w:r>
      <w:r>
        <w:rPr>
          <w:rFonts w:hint="eastAsia" w:ascii="宋体" w:hAnsi="宋体" w:eastAsia="宋体" w:cs="宋体"/>
          <w:sz w:val="21"/>
          <w:szCs w:val="21"/>
          <w:highlight w:val="none"/>
          <w:u w:val="single"/>
        </w:rPr>
        <w:t xml:space="preserve"> 7 </w:t>
      </w:r>
      <w:r>
        <w:rPr>
          <w:rFonts w:hint="eastAsia" w:ascii="宋体" w:hAnsi="宋体" w:eastAsia="宋体" w:cs="宋体"/>
          <w:sz w:val="21"/>
          <w:szCs w:val="21"/>
          <w:highlight w:val="none"/>
        </w:rPr>
        <w:t>天内完成竣工退场，逾期未完成的，按通用条款执行</w:t>
      </w:r>
      <w:r>
        <w:rPr>
          <w:rFonts w:hint="eastAsia" w:ascii="宋体" w:hAnsi="宋体" w:eastAsia="宋体" w:cs="宋体"/>
          <w:kern w:val="0"/>
          <w:sz w:val="21"/>
          <w:szCs w:val="21"/>
          <w:highlight w:val="none"/>
        </w:rPr>
        <w:t>。</w:t>
      </w:r>
    </w:p>
    <w:bookmarkEnd w:id="846"/>
    <w:bookmarkEnd w:id="847"/>
    <w:bookmarkEnd w:id="848"/>
    <w:bookmarkEnd w:id="849"/>
    <w:bookmarkEnd w:id="850"/>
    <w:bookmarkEnd w:id="851"/>
    <w:bookmarkEnd w:id="852"/>
    <w:bookmarkEnd w:id="858"/>
    <w:p w14:paraId="57C00BCC">
      <w:pPr>
        <w:spacing w:line="336" w:lineRule="auto"/>
        <w:rPr>
          <w:rFonts w:hint="eastAsia" w:ascii="宋体" w:hAnsi="宋体" w:eastAsia="宋体" w:cs="宋体"/>
          <w:b/>
          <w:sz w:val="21"/>
          <w:szCs w:val="21"/>
          <w:highlight w:val="none"/>
        </w:rPr>
      </w:pPr>
      <w:bookmarkStart w:id="859" w:name="_Toc386638620"/>
      <w:bookmarkStart w:id="860" w:name="_Toc351203646"/>
      <w:bookmarkStart w:id="861" w:name="_Toc351203647"/>
      <w:bookmarkStart w:id="862" w:name="_Toc386638621"/>
      <w:bookmarkStart w:id="863" w:name="_Toc267251483"/>
      <w:bookmarkStart w:id="864" w:name="_Toc267251482"/>
      <w:bookmarkStart w:id="865" w:name="_Toc267251484"/>
      <w:bookmarkStart w:id="866" w:name="_Toc267251485"/>
      <w:bookmarkStart w:id="867" w:name="_Toc267251489"/>
      <w:bookmarkStart w:id="868" w:name="_Toc267251490"/>
      <w:bookmarkStart w:id="869" w:name="_Toc267251488"/>
      <w:bookmarkStart w:id="870" w:name="_Toc267251486"/>
      <w:bookmarkStart w:id="871" w:name="_Toc267251492"/>
      <w:bookmarkStart w:id="872" w:name="_Toc267251496"/>
      <w:bookmarkStart w:id="873" w:name="_Toc267251495"/>
      <w:bookmarkStart w:id="874" w:name="_Toc267251494"/>
      <w:bookmarkStart w:id="875" w:name="_Toc267251497"/>
      <w:bookmarkStart w:id="876" w:name="_Toc267251493"/>
      <w:bookmarkStart w:id="877" w:name="_Toc267251502"/>
      <w:bookmarkStart w:id="878" w:name="_Toc267251499"/>
      <w:bookmarkStart w:id="879" w:name="_Toc267251498"/>
      <w:bookmarkStart w:id="880" w:name="_Toc267251491"/>
      <w:bookmarkStart w:id="881" w:name="_Toc267251503"/>
      <w:bookmarkStart w:id="882" w:name="_Toc267251501"/>
      <w:bookmarkStart w:id="883" w:name="_Toc267251508"/>
      <w:bookmarkStart w:id="884" w:name="_Toc267251515"/>
      <w:bookmarkStart w:id="885" w:name="_Toc267251507"/>
      <w:bookmarkStart w:id="886" w:name="_Toc267251510"/>
      <w:bookmarkStart w:id="887" w:name="_Toc267251506"/>
      <w:bookmarkStart w:id="888" w:name="_Toc267251504"/>
      <w:bookmarkStart w:id="889" w:name="_Toc267251509"/>
      <w:bookmarkStart w:id="890" w:name="_Toc267251513"/>
      <w:bookmarkStart w:id="891" w:name="_Toc267251514"/>
      <w:bookmarkStart w:id="892" w:name="_Toc267251511"/>
      <w:r>
        <w:rPr>
          <w:rFonts w:hint="eastAsia" w:ascii="宋体" w:hAnsi="宋体" w:eastAsia="宋体" w:cs="宋体"/>
          <w:b/>
          <w:sz w:val="21"/>
          <w:szCs w:val="21"/>
          <w:highlight w:val="none"/>
        </w:rPr>
        <w:t>14. 竣工结算</w:t>
      </w:r>
      <w:bookmarkEnd w:id="859"/>
      <w:bookmarkEnd w:id="860"/>
    </w:p>
    <w:p w14:paraId="5661525D">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14.5竣工结算款的申请</w:t>
      </w:r>
    </w:p>
    <w:p w14:paraId="42702AEA">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承包人应在工程竣工结算审核完成、竣工验收并取得</w:t>
      </w:r>
      <w:r>
        <w:rPr>
          <w:rFonts w:hint="eastAsia" w:hAnsi="宋体" w:eastAsia="宋体" w:cs="宋体"/>
          <w:b w:val="0"/>
          <w:color w:val="auto"/>
          <w:sz w:val="21"/>
          <w:szCs w:val="21"/>
          <w:highlight w:val="none"/>
          <w:lang w:val="en-US" w:eastAsia="zh-CN"/>
        </w:rPr>
        <w:t>相关证明文件</w:t>
      </w:r>
      <w:r>
        <w:rPr>
          <w:rFonts w:hint="eastAsia" w:ascii="宋体" w:hAnsi="宋体" w:eastAsia="宋体" w:cs="宋体"/>
          <w:b w:val="0"/>
          <w:color w:val="auto"/>
          <w:sz w:val="21"/>
          <w:szCs w:val="21"/>
          <w:highlight w:val="none"/>
        </w:rPr>
        <w:t>、竣工结算审核结论及相关资料备案后</w:t>
      </w:r>
      <w:r>
        <w:rPr>
          <w:rFonts w:hint="eastAsia" w:ascii="宋体" w:hAnsi="宋体" w:eastAsia="宋体" w:cs="宋体"/>
          <w:b w:val="0"/>
          <w:color w:val="auto"/>
          <w:sz w:val="21"/>
          <w:szCs w:val="21"/>
          <w:highlight w:val="none"/>
          <w:u w:val="single"/>
        </w:rPr>
        <w:t xml:space="preserve"> 20 </w:t>
      </w:r>
      <w:r>
        <w:rPr>
          <w:rFonts w:hint="eastAsia" w:ascii="宋体" w:hAnsi="宋体" w:eastAsia="宋体" w:cs="宋体"/>
          <w:b w:val="0"/>
          <w:color w:val="auto"/>
          <w:sz w:val="21"/>
          <w:szCs w:val="21"/>
          <w:highlight w:val="none"/>
        </w:rPr>
        <w:t>天内向发包人提交竣工结算申请单（附相关结算资料）。</w:t>
      </w:r>
    </w:p>
    <w:p w14:paraId="67E64C1F">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14.6最终竣工结算书的提交和核对</w:t>
      </w:r>
    </w:p>
    <w:p w14:paraId="5CC818FF">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承包人应当在工程竣工验收合格后</w:t>
      </w:r>
      <w:r>
        <w:rPr>
          <w:rFonts w:hint="eastAsia" w:ascii="宋体" w:hAnsi="宋体" w:eastAsia="宋体" w:cs="宋体"/>
          <w:b w:val="0"/>
          <w:color w:val="auto"/>
          <w:sz w:val="21"/>
          <w:szCs w:val="21"/>
          <w:highlight w:val="none"/>
          <w:u w:val="single"/>
        </w:rPr>
        <w:t xml:space="preserve"> 60 </w:t>
      </w:r>
      <w:r>
        <w:rPr>
          <w:rFonts w:hint="eastAsia" w:ascii="宋体" w:hAnsi="宋体" w:eastAsia="宋体" w:cs="宋体"/>
          <w:b w:val="0"/>
          <w:color w:val="auto"/>
          <w:sz w:val="21"/>
          <w:szCs w:val="21"/>
          <w:highlight w:val="none"/>
        </w:rPr>
        <w:t>天内对分段结算成果进行汇总编制并向发包人提交工程最终竣工结算书及其完整的结算资料</w:t>
      </w:r>
      <w:r>
        <w:rPr>
          <w:rFonts w:hint="eastAsia" w:ascii="宋体" w:hAnsi="宋体" w:eastAsia="宋体" w:cs="宋体"/>
          <w:b w:val="0"/>
          <w:color w:val="auto"/>
          <w:sz w:val="21"/>
          <w:szCs w:val="21"/>
          <w:highlight w:val="none"/>
          <w:u w:val="single"/>
        </w:rPr>
        <w:t xml:space="preserve"> 叁 </w:t>
      </w:r>
      <w:r>
        <w:rPr>
          <w:rFonts w:hint="eastAsia" w:ascii="宋体" w:hAnsi="宋体" w:eastAsia="宋体" w:cs="宋体"/>
          <w:b w:val="0"/>
          <w:color w:val="auto"/>
          <w:sz w:val="21"/>
          <w:szCs w:val="21"/>
          <w:highlight w:val="none"/>
        </w:rPr>
        <w:t>份；超过60天未提交最终竣工结算书及其完整的结算资料，支付违约金按10000元/天累计计算，累计上限为中标价的2%。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最终竣工结算书之日起的</w:t>
      </w:r>
      <w:r>
        <w:rPr>
          <w:rFonts w:hint="eastAsia" w:ascii="宋体" w:hAnsi="宋体" w:eastAsia="宋体" w:cs="宋体"/>
          <w:b w:val="0"/>
          <w:color w:val="auto"/>
          <w:sz w:val="21"/>
          <w:szCs w:val="21"/>
          <w:highlight w:val="none"/>
          <w:u w:val="single"/>
        </w:rPr>
        <w:t xml:space="preserve"> 10 </w:t>
      </w:r>
      <w:r>
        <w:rPr>
          <w:rFonts w:hint="eastAsia" w:ascii="宋体" w:hAnsi="宋体" w:eastAsia="宋体" w:cs="宋体"/>
          <w:b w:val="0"/>
          <w:color w:val="auto"/>
          <w:sz w:val="21"/>
          <w:szCs w:val="21"/>
          <w:highlight w:val="none"/>
        </w:rPr>
        <w:t>日内完成对竣工结算书的核对。</w:t>
      </w:r>
    </w:p>
    <w:p w14:paraId="3D5657C2">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14.7竣工结算审定</w:t>
      </w:r>
    </w:p>
    <w:p w14:paraId="7CFF0C14">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本工程的竣工结算由发包人核对后</w:t>
      </w:r>
      <w:r>
        <w:rPr>
          <w:rFonts w:hint="eastAsia" w:hAnsi="宋体" w:eastAsia="宋体" w:cs="宋体"/>
          <w:b w:val="0"/>
          <w:color w:val="auto"/>
          <w:sz w:val="21"/>
          <w:szCs w:val="21"/>
          <w:highlight w:val="none"/>
          <w:lang w:val="en-US" w:eastAsia="zh-CN"/>
        </w:rPr>
        <w:t>按相关程序执行</w:t>
      </w:r>
      <w:r>
        <w:rPr>
          <w:rFonts w:hint="eastAsia"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经县财政局审核后</w:t>
      </w:r>
      <w:r>
        <w:rPr>
          <w:rFonts w:hint="eastAsia" w:hAnsi="宋体" w:eastAsia="宋体" w:cs="宋体"/>
          <w:b w:val="0"/>
          <w:color w:val="auto"/>
          <w:sz w:val="21"/>
          <w:szCs w:val="21"/>
          <w:highlight w:val="none"/>
          <w:lang w:val="en-US" w:eastAsia="zh-CN"/>
        </w:rPr>
        <w:t>或发包人委托第三方咨询单位审核后</w:t>
      </w:r>
      <w:r>
        <w:rPr>
          <w:rFonts w:hint="eastAsia" w:ascii="宋体" w:hAnsi="宋体" w:eastAsia="宋体" w:cs="宋体"/>
          <w:b w:val="0"/>
          <w:color w:val="auto"/>
          <w:sz w:val="21"/>
          <w:szCs w:val="21"/>
          <w:highlight w:val="none"/>
        </w:rPr>
        <w:t>方可办理工程竣工</w:t>
      </w:r>
      <w:r>
        <w:rPr>
          <w:rFonts w:hint="eastAsia" w:hAnsi="宋体" w:cs="宋体"/>
          <w:b w:val="0"/>
          <w:color w:val="auto"/>
          <w:sz w:val="21"/>
          <w:szCs w:val="21"/>
          <w:highlight w:val="none"/>
          <w:lang w:val="en-US" w:eastAsia="zh-CN"/>
        </w:rPr>
        <w:t>审计报告</w:t>
      </w:r>
      <w:r>
        <w:rPr>
          <w:rFonts w:hint="eastAsia"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，作为支付工程价款最终结算支付的依据。</w:t>
      </w:r>
    </w:p>
    <w:p w14:paraId="573FFF30">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14.8最终结清</w:t>
      </w:r>
    </w:p>
    <w:p w14:paraId="1FB65080">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14.8.1 最终结清申请单</w:t>
      </w:r>
    </w:p>
    <w:p w14:paraId="59CFF3B5">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承包人提交最终结清申请单的份数：</w:t>
      </w:r>
      <w:r>
        <w:rPr>
          <w:rFonts w:hint="eastAsia" w:ascii="宋体" w:hAnsi="宋体" w:eastAsia="宋体" w:cs="宋体"/>
          <w:b w:val="0"/>
          <w:color w:val="auto"/>
          <w:sz w:val="21"/>
          <w:szCs w:val="21"/>
          <w:highlight w:val="none"/>
          <w:u w:val="single"/>
        </w:rPr>
        <w:t>3</w:t>
      </w:r>
      <w:r>
        <w:rPr>
          <w:rFonts w:hint="eastAsia" w:ascii="宋体" w:hAnsi="宋体" w:eastAsia="宋体" w:cs="宋体"/>
          <w:b w:val="0"/>
          <w:color w:val="auto"/>
          <w:sz w:val="21"/>
          <w:szCs w:val="21"/>
          <w:highlight w:val="none"/>
        </w:rPr>
        <w:t>份。</w:t>
      </w:r>
    </w:p>
    <w:p w14:paraId="4C7E7EC8">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承包人提交最终结算申请单的期限：承包人应在缺陷责任期终止证书颁发后7天内提交。 </w:t>
      </w:r>
    </w:p>
    <w:p w14:paraId="6B24AA56">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发包人对最终结结算申请单内容有异议的，有权要求承包人进行修正和提供补充资料，但应当出具书面意见。承包人应当按照发包人的书面意见提交修正后的最终结算申请单。</w:t>
      </w:r>
    </w:p>
    <w:p w14:paraId="67456339">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14.8.2 最终结清证书和支付</w:t>
      </w:r>
    </w:p>
    <w:p w14:paraId="57A8BE79">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（1）发包人完成最终结清申请单的审批并颁发最终结清证书的期限：发包人应在收到承包人提交的最终结清申请单后</w:t>
      </w:r>
      <w:r>
        <w:rPr>
          <w:rFonts w:hint="eastAsia" w:ascii="宋体" w:hAnsi="宋体" w:eastAsia="宋体" w:cs="宋体"/>
          <w:b w:val="0"/>
          <w:color w:val="auto"/>
          <w:sz w:val="21"/>
          <w:szCs w:val="21"/>
          <w:highlight w:val="none"/>
          <w:u w:val="single"/>
        </w:rPr>
        <w:t xml:space="preserve">　14 </w:t>
      </w:r>
      <w:r>
        <w:rPr>
          <w:rFonts w:hint="eastAsia" w:ascii="宋体" w:hAnsi="宋体" w:eastAsia="宋体" w:cs="宋体"/>
          <w:b w:val="0"/>
          <w:color w:val="auto"/>
          <w:sz w:val="21"/>
          <w:szCs w:val="21"/>
          <w:highlight w:val="none"/>
        </w:rPr>
        <w:t>天内完成审批并向承包人颁发最终结清证书。发包人逾期未完成审批，又未提出修改意见的，视为发包人同意承包人提交的最终结清申请单并已颁发最终结清证书。</w:t>
      </w:r>
    </w:p>
    <w:p w14:paraId="34A6879E">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（2）发包人完成支付的期限：</w:t>
      </w:r>
    </w:p>
    <w:p w14:paraId="14D8189E">
      <w:pPr>
        <w:pStyle w:val="970"/>
        <w:spacing w:line="360" w:lineRule="auto"/>
        <w:ind w:firstLine="399" w:firstLineChars="19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发包人应在颁发最终结清证书后</w:t>
      </w:r>
      <w:r>
        <w:rPr>
          <w:rFonts w:hint="eastAsia" w:ascii="宋体" w:hAnsi="宋体" w:eastAsia="宋体" w:cs="宋体"/>
          <w:b w:val="0"/>
          <w:color w:val="auto"/>
          <w:sz w:val="21"/>
          <w:szCs w:val="21"/>
          <w:highlight w:val="none"/>
          <w:u w:val="single"/>
        </w:rPr>
        <w:t>　14　</w:t>
      </w:r>
      <w:r>
        <w:rPr>
          <w:rFonts w:hint="eastAsia" w:ascii="宋体" w:hAnsi="宋体" w:eastAsia="宋体" w:cs="宋体"/>
          <w:b w:val="0"/>
          <w:color w:val="auto"/>
          <w:sz w:val="21"/>
          <w:szCs w:val="21"/>
          <w:highlight w:val="none"/>
        </w:rPr>
        <w:t>天内完成支付，除质量保修金外。发包人逾期支付的违约责任按通用条款执行。</w:t>
      </w:r>
    </w:p>
    <w:p w14:paraId="273C21EA">
      <w:pPr>
        <w:pStyle w:val="970"/>
        <w:spacing w:line="360" w:lineRule="auto"/>
        <w:ind w:firstLine="399" w:firstLineChars="190"/>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14.8.3其他约定</w:t>
      </w:r>
    </w:p>
    <w:p w14:paraId="41A8E024">
      <w:pPr>
        <w:pStyle w:val="970"/>
        <w:spacing w:line="360" w:lineRule="auto"/>
        <w:ind w:firstLine="399" w:firstLineChars="19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发包人或审计机关委托社会中介机构参与审计的，工程结算审核追加费用由承包人承担，计费基数为核增额及超过送审造价5%部分的核减额，费率为5%。承包人在付清应承担的审查费后，方可进行工程价款的结算。</w:t>
      </w:r>
    </w:p>
    <w:p w14:paraId="7F0BE05B">
      <w:pPr>
        <w:spacing w:line="336" w:lineRule="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15. 缺陷责任期与保修</w:t>
      </w:r>
      <w:bookmarkEnd w:id="861"/>
      <w:bookmarkEnd w:id="862"/>
    </w:p>
    <w:p w14:paraId="24ECF9A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15.2缺陷责任期</w:t>
      </w:r>
      <w:bookmarkEnd w:id="863"/>
    </w:p>
    <w:p w14:paraId="0F40A3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15.2.1 本合同缺陷责任期为</w:t>
      </w:r>
      <w:r>
        <w:rPr>
          <w:rFonts w:hint="eastAsia" w:ascii="宋体" w:hAnsi="宋体" w:eastAsia="宋体" w:cs="宋体"/>
          <w:color w:val="auto"/>
          <w:sz w:val="21"/>
          <w:szCs w:val="21"/>
          <w:highlight w:val="none"/>
          <w:u w:val="single"/>
        </w:rPr>
        <w:t>24</w:t>
      </w:r>
      <w:r>
        <w:rPr>
          <w:rFonts w:hint="eastAsia" w:ascii="宋体" w:hAnsi="宋体" w:eastAsia="宋体" w:cs="宋体"/>
          <w:color w:val="auto"/>
          <w:sz w:val="21"/>
          <w:szCs w:val="21"/>
          <w:highlight w:val="none"/>
        </w:rPr>
        <w:t>个月。</w:t>
      </w:r>
    </w:p>
    <w:p w14:paraId="10776D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工程竣工验收合格后，因承包人原因导致的缺陷使工程或某项主要设备不能按原定目的使用的，发包人有权在原缺陷责任期届满前要求施工承包人延长缺陷责任期，延长的缺陷责任期为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rPr>
        <w:t>个月。</w:t>
      </w:r>
    </w:p>
    <w:bookmarkEnd w:id="864"/>
    <w:bookmarkEnd w:id="865"/>
    <w:p w14:paraId="220CACBA">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质量保证金</w:t>
      </w:r>
    </w:p>
    <w:p w14:paraId="53FF4E3A">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rPr>
        <w:t>工程结算造价的1.5%。</w:t>
      </w:r>
    </w:p>
    <w:p w14:paraId="5AB6289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15.4保修</w:t>
      </w:r>
    </w:p>
    <w:bookmarkEnd w:id="866"/>
    <w:p w14:paraId="05C3F419">
      <w:pPr>
        <w:autoSpaceDE w:val="0"/>
        <w:autoSpaceDN w:val="0"/>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15.4.1 保修责任</w:t>
      </w:r>
    </w:p>
    <w:p w14:paraId="68FCB2F0">
      <w:pPr>
        <w:autoSpaceDE w:val="0"/>
        <w:autoSpaceDN w:val="0"/>
        <w:adjustRightIn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工程保修期为：</w:t>
      </w:r>
    </w:p>
    <w:p w14:paraId="3D0C6532">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1、地基基础工程和主体结构工程为设计文件规定的该工程合理使用年限；</w:t>
      </w:r>
    </w:p>
    <w:p w14:paraId="25D6CFDF">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2、屋面防水工程、有防水要求的卫生间、房间和外墙面的防渗漏为</w:t>
      </w:r>
      <w:r>
        <w:rPr>
          <w:rFonts w:hint="eastAsia" w:ascii="宋体" w:hAnsi="宋体" w:eastAsia="宋体" w:cs="宋体"/>
          <w:color w:val="000000"/>
          <w:sz w:val="21"/>
          <w:szCs w:val="21"/>
          <w:highlight w:val="none"/>
          <w:u w:val="single"/>
        </w:rPr>
        <w:t xml:space="preserve"> 5 </w:t>
      </w:r>
      <w:r>
        <w:rPr>
          <w:rFonts w:hint="eastAsia" w:ascii="宋体" w:hAnsi="宋体" w:eastAsia="宋体" w:cs="宋体"/>
          <w:color w:val="000000"/>
          <w:sz w:val="21"/>
          <w:szCs w:val="21"/>
          <w:highlight w:val="none"/>
        </w:rPr>
        <w:t>年；</w:t>
      </w:r>
    </w:p>
    <w:p w14:paraId="259BD2E2">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3、节能工程、太阳能系统工程，为</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年；</w:t>
      </w:r>
    </w:p>
    <w:p w14:paraId="39D2C27B">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4、装修工程、附属工程、电气管线、给排水管道、设备安装工程为</w:t>
      </w:r>
      <w:r>
        <w:rPr>
          <w:rFonts w:hint="eastAsia" w:ascii="宋体" w:hAnsi="宋体" w:eastAsia="宋体" w:cs="宋体"/>
          <w:color w:val="000000"/>
          <w:sz w:val="21"/>
          <w:szCs w:val="21"/>
          <w:highlight w:val="none"/>
          <w:u w:val="single"/>
        </w:rPr>
        <w:t>2</w:t>
      </w:r>
      <w:r>
        <w:rPr>
          <w:rFonts w:hint="eastAsia" w:ascii="宋体" w:hAnsi="宋体" w:eastAsia="宋体" w:cs="宋体"/>
          <w:color w:val="000000"/>
          <w:sz w:val="21"/>
          <w:szCs w:val="21"/>
          <w:highlight w:val="none"/>
        </w:rPr>
        <w:t>年；</w:t>
      </w:r>
    </w:p>
    <w:p w14:paraId="74602FC5">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5、供热与供冷系统为</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个采暖期、供冷期；</w:t>
      </w:r>
    </w:p>
    <w:p w14:paraId="17876C14">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6、住宅小区内的给排水设施、道路等配套工程为</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年；</w:t>
      </w:r>
    </w:p>
    <w:p w14:paraId="15B9AE7C">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7、其他项目保修期限约定如下：</w:t>
      </w:r>
      <w:r>
        <w:rPr>
          <w:rFonts w:hint="eastAsia" w:ascii="宋体" w:hAnsi="宋体" w:eastAsia="宋体" w:cs="宋体"/>
          <w:color w:val="000000"/>
          <w:sz w:val="21"/>
          <w:szCs w:val="21"/>
          <w:highlight w:val="none"/>
          <w:u w:val="single"/>
        </w:rPr>
        <w:t>除上述约定外，本工程其余部分保修期为</w:t>
      </w:r>
      <w:r>
        <w:rPr>
          <w:rFonts w:hint="default" w:ascii="宋体" w:hAnsi="宋体" w:cs="宋体"/>
          <w:color w:val="000000"/>
          <w:sz w:val="21"/>
          <w:szCs w:val="21"/>
          <w:highlight w:val="none"/>
          <w:u w:val="single"/>
          <w:lang w:val="en-US"/>
        </w:rPr>
        <w:t>2</w:t>
      </w:r>
      <w:r>
        <w:rPr>
          <w:rFonts w:hint="eastAsia" w:ascii="宋体" w:hAnsi="宋体" w:eastAsia="宋体" w:cs="宋体"/>
          <w:color w:val="000000"/>
          <w:sz w:val="21"/>
          <w:szCs w:val="21"/>
          <w:highlight w:val="none"/>
          <w:u w:val="single"/>
        </w:rPr>
        <w:t>年</w:t>
      </w:r>
      <w:r>
        <w:rPr>
          <w:rFonts w:hint="eastAsia" w:ascii="宋体" w:hAnsi="宋体" w:eastAsia="宋体" w:cs="宋体"/>
          <w:color w:val="000000"/>
          <w:sz w:val="21"/>
          <w:szCs w:val="21"/>
          <w:highlight w:val="none"/>
        </w:rPr>
        <w:t>。</w:t>
      </w:r>
    </w:p>
    <w:p w14:paraId="16E2DFE8">
      <w:pPr>
        <w:spacing w:line="360" w:lineRule="auto"/>
        <w:ind w:firstLine="409" w:firstLineChars="195"/>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15.4.3 修复通知</w:t>
      </w:r>
    </w:p>
    <w:p w14:paraId="7250962E">
      <w:pPr>
        <w:spacing w:line="360" w:lineRule="auto"/>
        <w:ind w:firstLine="315" w:firstLineChars="15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承包人收到保修通知并到达工程现场的合理时间：</w:t>
      </w:r>
      <w:r>
        <w:rPr>
          <w:rFonts w:hint="eastAsia" w:ascii="宋体" w:hAnsi="宋体" w:eastAsia="宋体" w:cs="宋体"/>
          <w:kern w:val="0"/>
          <w:sz w:val="21"/>
          <w:szCs w:val="21"/>
          <w:highlight w:val="none"/>
          <w:u w:val="single"/>
        </w:rPr>
        <w:t xml:space="preserve"> 48小时内(含48小时) </w:t>
      </w:r>
      <w:r>
        <w:rPr>
          <w:rFonts w:hint="eastAsia" w:ascii="宋体" w:hAnsi="宋体" w:eastAsia="宋体" w:cs="宋体"/>
          <w:kern w:val="0"/>
          <w:sz w:val="21"/>
          <w:szCs w:val="21"/>
          <w:highlight w:val="none"/>
        </w:rPr>
        <w:t>。</w:t>
      </w:r>
    </w:p>
    <w:bookmarkEnd w:id="867"/>
    <w:bookmarkEnd w:id="868"/>
    <w:bookmarkEnd w:id="869"/>
    <w:bookmarkEnd w:id="870"/>
    <w:p w14:paraId="154DCEB5">
      <w:pPr>
        <w:spacing w:line="336" w:lineRule="auto"/>
        <w:rPr>
          <w:rFonts w:hint="eastAsia" w:ascii="宋体" w:hAnsi="宋体" w:eastAsia="宋体" w:cs="宋体"/>
          <w:b/>
          <w:sz w:val="21"/>
          <w:szCs w:val="21"/>
          <w:highlight w:val="none"/>
          <w:lang w:val="en-US" w:eastAsia="zh-CN"/>
        </w:rPr>
      </w:pPr>
      <w:bookmarkStart w:id="893" w:name="_Toc351203649"/>
      <w:bookmarkStart w:id="894" w:name="_Toc280868717"/>
      <w:bookmarkStart w:id="895" w:name="_Toc386638623"/>
      <w:bookmarkStart w:id="896" w:name="_Toc280868718"/>
      <w:r>
        <w:rPr>
          <w:rFonts w:hint="eastAsia" w:ascii="宋体" w:hAnsi="宋体" w:eastAsia="宋体" w:cs="宋体"/>
          <w:b/>
          <w:sz w:val="21"/>
          <w:szCs w:val="21"/>
          <w:highlight w:val="none"/>
          <w:lang w:val="en-US" w:eastAsia="zh-CN"/>
        </w:rPr>
        <w:t>16. 违约</w:t>
      </w:r>
    </w:p>
    <w:p w14:paraId="6A1E989F">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16.1 发包人违约</w:t>
      </w:r>
    </w:p>
    <w:p w14:paraId="602AAF97">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16.1.1发包人违约的情形</w:t>
      </w:r>
    </w:p>
    <w:p w14:paraId="0B6914DB">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发包人违约的其他情形：</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p w14:paraId="26750099">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16.1.2 发包人违约的责任</w:t>
      </w:r>
    </w:p>
    <w:p w14:paraId="46677305">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发包人违约责任的承担方式和计算方法：</w:t>
      </w:r>
    </w:p>
    <w:p w14:paraId="0F7C09C5">
      <w:pPr>
        <w:spacing w:line="480" w:lineRule="exact"/>
        <w:ind w:firstLine="420" w:firstLineChars="200"/>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（1）因发包人原因未能在计划开工日期前7天内下达开工通知的违约责任：</w:t>
      </w:r>
      <w:r>
        <w:rPr>
          <w:rFonts w:hint="eastAsia" w:ascii="宋体" w:hAnsi="宋体" w:eastAsia="宋体" w:cs="宋体"/>
          <w:sz w:val="21"/>
          <w:szCs w:val="21"/>
          <w:highlight w:val="none"/>
          <w:u w:val="single"/>
        </w:rPr>
        <w:t>/</w:t>
      </w:r>
      <w:r>
        <w:rPr>
          <w:rFonts w:hint="eastAsia" w:ascii="宋体" w:hAnsi="宋体" w:eastAsia="宋体" w:cs="宋体"/>
          <w:kern w:val="0"/>
          <w:sz w:val="21"/>
          <w:szCs w:val="21"/>
          <w:highlight w:val="none"/>
        </w:rPr>
        <w:t>。</w:t>
      </w:r>
    </w:p>
    <w:p w14:paraId="399E09CB">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（2）因发包人原因未能按合同约定支付合同价款的违约责任：</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66295B26">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（3）发包人违反第10.1款〔变更的范围〕第（2）项约定，自行实施被取消的工作或转由他人实施的违约责任：</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p w14:paraId="78AEADE0">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p w14:paraId="28C86410">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（5）因发包人违反合同约定造成暂停施工的违约责任：</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p w14:paraId="5BBBD594">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（6）发包人无正当理由没有在约定期限内发出复工指示，导致承包人无法复工的违约责任：</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p w14:paraId="08018B51">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（7）其他：</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p w14:paraId="54DF65DA">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16.1.3 因发包人违约解除合同</w:t>
      </w:r>
    </w:p>
    <w:p w14:paraId="4550F4FD">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承包人按16.1.1项〔发包人违约的情形〕约定暂停施工满</w:t>
      </w:r>
      <w:r>
        <w:rPr>
          <w:rFonts w:hint="eastAsia" w:ascii="宋体" w:hAnsi="宋体" w:eastAsia="宋体" w:cs="宋体"/>
          <w:kern w:val="0"/>
          <w:sz w:val="21"/>
          <w:szCs w:val="21"/>
          <w:highlight w:val="none"/>
          <w:u w:val="single"/>
        </w:rPr>
        <w:t xml:space="preserve"> 28 </w:t>
      </w:r>
      <w:r>
        <w:rPr>
          <w:rFonts w:hint="eastAsia" w:ascii="宋体" w:hAnsi="宋体" w:eastAsia="宋体" w:cs="宋体"/>
          <w:kern w:val="0"/>
          <w:sz w:val="21"/>
          <w:szCs w:val="21"/>
          <w:highlight w:val="none"/>
        </w:rPr>
        <w:t>天后发包人仍不纠正其违约行为并致使合同目的不能实现的，承包人有权解除合同。</w:t>
      </w:r>
    </w:p>
    <w:p w14:paraId="2F9C3232">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16.2 承包人违约</w:t>
      </w:r>
    </w:p>
    <w:p w14:paraId="5461547B">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16.2.1承包人违约的情形、承担方式和计算方法</w:t>
      </w:r>
    </w:p>
    <w:p w14:paraId="77FF48EF">
      <w:pPr>
        <w:spacing w:line="480" w:lineRule="exact"/>
        <w:ind w:firstLine="315" w:firstLineChars="1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（1）发生下列情况之一，视作承包人违约，并承担相应金额违约金，违约金从工程款中扣除。</w:t>
      </w:r>
    </w:p>
    <w:p w14:paraId="2A3FFB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①质量: 未达到验收合格的，承担违约金为中标价6%；</w:t>
      </w:r>
    </w:p>
    <w:p w14:paraId="17036E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②安全：未履行安全等级施工承诺的，承担违约金为中标价6%；</w:t>
      </w:r>
    </w:p>
    <w:p w14:paraId="73EC9E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③主要机械设备：未履行按投标文件配备施工所需的主要机械设备到场承诺的，承担违约金为中标价2%；</w:t>
      </w:r>
    </w:p>
    <w:p w14:paraId="338CE1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④延误工期按每天支付违约金10000元累计计算，最高限额为中标价3%。</w:t>
      </w:r>
    </w:p>
    <w:p w14:paraId="32EA177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⑤延误开工时间按每天支付违约金10000元累计计算，最高限额为中标价3%。</w:t>
      </w:r>
    </w:p>
    <w:p w14:paraId="6AC75EA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⑥招标人或监理单位每发现一次未按施工图施工的扣违约金100000 元，并须无条件按施工图返工，所有损失由投标人自行承担。</w:t>
      </w:r>
    </w:p>
    <w:p w14:paraId="49F016AD">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发包人将按《关于印发＜宁海县政府投资工程施工现场关键岗位人员考勤管理暂行办法＞的通知》文件对承包人配备的项目部关键岗位人员实行考勤。承包人应当为本施工标段内所有关键岗位人员考勤提供条件。发生下列情况之一，视作承包人违约:每月实际施工期到岗天数以监理和招标人当月统计情况为准，违约金从月报工程款中扣除；擅自更换人员的违约金从监理或招标人发现违约情况的当月工程款中扣</w:t>
      </w:r>
      <w:r>
        <w:rPr>
          <w:rFonts w:hint="eastAsia" w:ascii="宋体" w:hAnsi="宋体" w:eastAsia="宋体" w:cs="宋体"/>
          <w:color w:val="auto"/>
          <w:kern w:val="0"/>
          <w:sz w:val="21"/>
          <w:szCs w:val="21"/>
          <w:highlight w:val="none"/>
        </w:rPr>
        <w:t xml:space="preserve">除。 </w:t>
      </w:r>
    </w:p>
    <w:p w14:paraId="7051138C">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①未履行项目负责人及项目部关键岗位人员月实际施工期到场承诺违约金</w:t>
      </w:r>
      <w:r>
        <w:rPr>
          <w:rFonts w:hint="eastAsia" w:ascii="宋体" w:hAnsi="宋体" w:eastAsia="宋体" w:cs="宋体"/>
          <w:color w:val="auto"/>
          <w:kern w:val="0"/>
          <w:sz w:val="21"/>
          <w:szCs w:val="21"/>
          <w:highlight w:val="none"/>
          <w:u w:val="single"/>
        </w:rPr>
        <w:t>2000</w:t>
      </w:r>
      <w:r>
        <w:rPr>
          <w:rFonts w:hint="eastAsia" w:ascii="宋体" w:hAnsi="宋体" w:eastAsia="宋体" w:cs="宋体"/>
          <w:color w:val="auto"/>
          <w:kern w:val="0"/>
          <w:sz w:val="21"/>
          <w:szCs w:val="21"/>
          <w:highlight w:val="none"/>
        </w:rPr>
        <w:t>元/人/天。</w:t>
      </w:r>
    </w:p>
    <w:p w14:paraId="69F0E3C1">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②承包人擅自更换项目负责人违约金</w:t>
      </w:r>
      <w:r>
        <w:rPr>
          <w:rFonts w:hint="eastAsia" w:ascii="宋体" w:hAnsi="宋体" w:eastAsia="宋体" w:cs="宋体"/>
          <w:color w:val="auto"/>
          <w:kern w:val="0"/>
          <w:sz w:val="21"/>
          <w:szCs w:val="21"/>
          <w:highlight w:val="none"/>
          <w:u w:val="single"/>
        </w:rPr>
        <w:t>20000</w:t>
      </w:r>
      <w:r>
        <w:rPr>
          <w:rFonts w:hint="eastAsia" w:ascii="宋体" w:hAnsi="宋体" w:eastAsia="宋体" w:cs="宋体"/>
          <w:color w:val="auto"/>
          <w:kern w:val="0"/>
          <w:sz w:val="21"/>
          <w:szCs w:val="21"/>
          <w:highlight w:val="none"/>
        </w:rPr>
        <w:t>元/次。</w:t>
      </w:r>
    </w:p>
    <w:p w14:paraId="4FB58726">
      <w:pPr>
        <w:spacing w:line="480" w:lineRule="exact"/>
        <w:ind w:firstLine="315" w:firstLineChars="150"/>
        <w:jc w:val="left"/>
        <w:rPr>
          <w:rFonts w:hint="eastAsia" w:ascii="宋体" w:hAnsi="宋体" w:eastAsia="宋体" w:cs="宋体"/>
          <w:color w:val="FF0000"/>
          <w:kern w:val="0"/>
          <w:sz w:val="21"/>
          <w:szCs w:val="21"/>
          <w:highlight w:val="none"/>
        </w:rPr>
      </w:pPr>
      <w:r>
        <w:rPr>
          <w:rFonts w:hint="eastAsia" w:ascii="宋体" w:hAnsi="宋体" w:eastAsia="宋体" w:cs="宋体"/>
          <w:color w:val="auto"/>
          <w:kern w:val="0"/>
          <w:sz w:val="21"/>
          <w:szCs w:val="21"/>
          <w:highlight w:val="none"/>
        </w:rPr>
        <w:t xml:space="preserve"> ③承包人擅自更换项目部其余关键岗位人员违约金</w:t>
      </w:r>
      <w:r>
        <w:rPr>
          <w:rFonts w:hint="eastAsia" w:ascii="宋体" w:hAnsi="宋体" w:eastAsia="宋体" w:cs="宋体"/>
          <w:color w:val="auto"/>
          <w:kern w:val="0"/>
          <w:sz w:val="21"/>
          <w:szCs w:val="21"/>
          <w:highlight w:val="none"/>
          <w:u w:val="single"/>
        </w:rPr>
        <w:t>10000</w:t>
      </w:r>
      <w:r>
        <w:rPr>
          <w:rFonts w:hint="eastAsia" w:ascii="宋体" w:hAnsi="宋体" w:eastAsia="宋体" w:cs="宋体"/>
          <w:color w:val="auto"/>
          <w:kern w:val="0"/>
          <w:sz w:val="21"/>
          <w:szCs w:val="21"/>
          <w:highlight w:val="none"/>
        </w:rPr>
        <w:t>元/人/次</w:t>
      </w:r>
      <w:r>
        <w:rPr>
          <w:rFonts w:hint="eastAsia" w:ascii="宋体" w:hAnsi="宋体" w:eastAsia="宋体" w:cs="宋体"/>
          <w:color w:val="FF0000"/>
          <w:kern w:val="0"/>
          <w:sz w:val="21"/>
          <w:szCs w:val="21"/>
          <w:highlight w:val="none"/>
        </w:rPr>
        <w:t>。</w:t>
      </w:r>
    </w:p>
    <w:bookmarkEnd w:id="893"/>
    <w:bookmarkEnd w:id="894"/>
    <w:bookmarkEnd w:id="895"/>
    <w:p w14:paraId="53745C60">
      <w:pPr>
        <w:spacing w:line="360" w:lineRule="auto"/>
        <w:ind w:firstLine="420" w:firstLineChars="200"/>
        <w:jc w:val="left"/>
        <w:rPr>
          <w:rFonts w:hint="eastAsia" w:ascii="宋体" w:hAnsi="宋体" w:eastAsia="宋体" w:cs="宋体"/>
          <w:sz w:val="21"/>
          <w:szCs w:val="21"/>
          <w:highlight w:val="none"/>
        </w:rPr>
      </w:pPr>
      <w:bookmarkStart w:id="897" w:name="_Toc351203650"/>
      <w:bookmarkStart w:id="898" w:name="_Toc386638624"/>
      <w:r>
        <w:rPr>
          <w:rFonts w:hint="eastAsia" w:ascii="宋体" w:hAnsi="宋体" w:eastAsia="宋体" w:cs="宋体"/>
          <w:sz w:val="21"/>
          <w:szCs w:val="21"/>
          <w:highlight w:val="none"/>
        </w:rPr>
        <w:t>16.2.3 因承包人违约解除合同</w:t>
      </w:r>
    </w:p>
    <w:p w14:paraId="4CB3BE54">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关于承包人违约解除合同的特别约定：</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p w14:paraId="6E9017FE">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sz w:val="21"/>
          <w:szCs w:val="21"/>
          <w:highlight w:val="none"/>
          <w:u w:val="single"/>
        </w:rPr>
        <w:t>产生的费用未超过承包人应承担的违约赔偿限额的，由承包人承担；产生的费用超出承包人应承担的违约赔偿限额部分，由发包人承担</w:t>
      </w:r>
      <w:r>
        <w:rPr>
          <w:rFonts w:hint="eastAsia" w:ascii="宋体" w:hAnsi="宋体" w:eastAsia="宋体" w:cs="宋体"/>
          <w:kern w:val="0"/>
          <w:sz w:val="21"/>
          <w:szCs w:val="21"/>
          <w:highlight w:val="none"/>
        </w:rPr>
        <w:t>。</w:t>
      </w:r>
    </w:p>
    <w:p w14:paraId="1A2CC587">
      <w:pPr>
        <w:pStyle w:val="7"/>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 xml:space="preserve">17. 不可抗力 </w:t>
      </w:r>
    </w:p>
    <w:p w14:paraId="722A18A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17.1 不可抗力的确认</w:t>
      </w:r>
    </w:p>
    <w:p w14:paraId="4CCBF704">
      <w:pPr>
        <w:spacing w:line="360" w:lineRule="auto"/>
        <w:ind w:firstLine="420" w:firstLineChars="200"/>
        <w:rPr>
          <w:rFonts w:hint="eastAsia" w:ascii="宋体" w:hAnsi="宋体" w:eastAsia="宋体" w:cs="宋体"/>
          <w:kern w:val="0"/>
          <w:sz w:val="21"/>
          <w:szCs w:val="21"/>
          <w:highlight w:val="none"/>
          <w:u w:val="single"/>
        </w:rPr>
      </w:pPr>
      <w:r>
        <w:rPr>
          <w:rFonts w:hint="eastAsia" w:ascii="宋体" w:hAnsi="宋体" w:eastAsia="宋体" w:cs="宋体"/>
          <w:sz w:val="21"/>
          <w:szCs w:val="21"/>
          <w:highlight w:val="none"/>
        </w:rPr>
        <w:t xml:space="preserve">除通用合同条款约定的不可抗力事件之外，视为不可抗力的其他情形： </w:t>
      </w:r>
      <w:r>
        <w:rPr>
          <w:rFonts w:hint="eastAsia" w:ascii="宋体" w:hAnsi="宋体" w:eastAsia="宋体" w:cs="宋体"/>
          <w:kern w:val="0"/>
          <w:sz w:val="21"/>
          <w:szCs w:val="21"/>
          <w:highlight w:val="none"/>
          <w:u w:val="single"/>
        </w:rPr>
        <w:t xml:space="preserve"> /  </w:t>
      </w:r>
    </w:p>
    <w:p w14:paraId="42587CF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17.4 因不可抗力解除合同</w:t>
      </w:r>
    </w:p>
    <w:p w14:paraId="6F4BECD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合同解除后，发包人应在商定或确定发包人应支付款项后</w:t>
      </w:r>
      <w:r>
        <w:rPr>
          <w:rFonts w:hint="eastAsia" w:ascii="宋体" w:hAnsi="宋体" w:eastAsia="宋体" w:cs="宋体"/>
          <w:sz w:val="21"/>
          <w:szCs w:val="21"/>
          <w:highlight w:val="none"/>
          <w:u w:val="single"/>
        </w:rPr>
        <w:t>28</w:t>
      </w:r>
      <w:r>
        <w:rPr>
          <w:rFonts w:hint="eastAsia" w:ascii="宋体" w:hAnsi="宋体" w:eastAsia="宋体" w:cs="宋体"/>
          <w:sz w:val="21"/>
          <w:szCs w:val="21"/>
          <w:highlight w:val="none"/>
        </w:rPr>
        <w:t>天内完成款项的支付。</w:t>
      </w:r>
    </w:p>
    <w:p w14:paraId="2562A6C5">
      <w:pPr>
        <w:pStyle w:val="7"/>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18. 保险</w:t>
      </w:r>
      <w:bookmarkEnd w:id="897"/>
      <w:bookmarkEnd w:id="898"/>
    </w:p>
    <w:bookmarkEnd w:id="896"/>
    <w:p w14:paraId="09B48DC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18.1 工程保险</w:t>
      </w:r>
    </w:p>
    <w:p w14:paraId="1F2A36D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关于工程保险的特别约定：</w:t>
      </w:r>
      <w:r>
        <w:rPr>
          <w:rFonts w:hint="eastAsia" w:ascii="宋体" w:hAnsi="宋体" w:eastAsia="宋体" w:cs="宋体"/>
          <w:sz w:val="21"/>
          <w:szCs w:val="21"/>
          <w:highlight w:val="none"/>
          <w:u w:val="single"/>
        </w:rPr>
        <w:t>/</w:t>
      </w:r>
      <w:r>
        <w:rPr>
          <w:rFonts w:hint="eastAsia" w:ascii="宋体" w:hAnsi="宋体" w:eastAsia="宋体" w:cs="宋体"/>
          <w:kern w:val="0"/>
          <w:sz w:val="21"/>
          <w:szCs w:val="21"/>
          <w:highlight w:val="none"/>
        </w:rPr>
        <w:t>。</w:t>
      </w:r>
    </w:p>
    <w:p w14:paraId="129EB7E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18.3 其他保险</w:t>
      </w:r>
    </w:p>
    <w:p w14:paraId="644C81FF">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关于其他保险的约定：</w:t>
      </w:r>
      <w:r>
        <w:rPr>
          <w:rFonts w:hint="eastAsia" w:ascii="宋体" w:hAnsi="宋体" w:eastAsia="宋体" w:cs="宋体"/>
          <w:kern w:val="0"/>
          <w:sz w:val="21"/>
          <w:szCs w:val="21"/>
          <w:highlight w:val="none"/>
          <w:u w:val="single"/>
        </w:rPr>
        <w:t xml:space="preserve">  民工工伤保险   </w:t>
      </w:r>
      <w:r>
        <w:rPr>
          <w:rFonts w:hint="eastAsia" w:ascii="宋体" w:hAnsi="宋体" w:eastAsia="宋体" w:cs="宋体"/>
          <w:kern w:val="0"/>
          <w:sz w:val="21"/>
          <w:szCs w:val="21"/>
          <w:highlight w:val="none"/>
        </w:rPr>
        <w:t>。</w:t>
      </w:r>
    </w:p>
    <w:p w14:paraId="08CAF54F">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承包人是否应为其施工设备等办理财产保险：承包人</w:t>
      </w:r>
      <w:r>
        <w:rPr>
          <w:rFonts w:hint="eastAsia" w:ascii="宋体" w:hAnsi="宋体" w:eastAsia="宋体" w:cs="宋体"/>
          <w:sz w:val="21"/>
          <w:szCs w:val="21"/>
          <w:highlight w:val="none"/>
          <w:u w:val="single"/>
        </w:rPr>
        <w:t xml:space="preserve">  应当  </w:t>
      </w:r>
      <w:r>
        <w:rPr>
          <w:rFonts w:hint="eastAsia" w:ascii="宋体" w:hAnsi="宋体" w:eastAsia="宋体" w:cs="宋体"/>
          <w:sz w:val="21"/>
          <w:szCs w:val="21"/>
          <w:highlight w:val="none"/>
        </w:rPr>
        <w:t>为其施工设备等办理财产保险</w:t>
      </w:r>
    </w:p>
    <w:bookmarkEnd w:id="871"/>
    <w:bookmarkEnd w:id="872"/>
    <w:bookmarkEnd w:id="873"/>
    <w:bookmarkEnd w:id="874"/>
    <w:bookmarkEnd w:id="875"/>
    <w:bookmarkEnd w:id="876"/>
    <w:bookmarkEnd w:id="877"/>
    <w:bookmarkEnd w:id="878"/>
    <w:bookmarkEnd w:id="879"/>
    <w:bookmarkEnd w:id="880"/>
    <w:bookmarkEnd w:id="881"/>
    <w:bookmarkEnd w:id="882"/>
    <w:p w14:paraId="75683EEE">
      <w:pPr>
        <w:spacing w:line="360" w:lineRule="auto"/>
        <w:ind w:firstLine="420" w:firstLineChars="200"/>
        <w:rPr>
          <w:rFonts w:hint="eastAsia" w:ascii="宋体" w:hAnsi="宋体" w:eastAsia="宋体" w:cs="宋体"/>
          <w:sz w:val="21"/>
          <w:szCs w:val="21"/>
          <w:highlight w:val="none"/>
        </w:rPr>
      </w:pPr>
      <w:bookmarkStart w:id="899" w:name="_Toc386638625"/>
      <w:bookmarkStart w:id="900" w:name="_Toc351203651"/>
      <w:r>
        <w:rPr>
          <w:rFonts w:hint="eastAsia" w:ascii="宋体" w:hAnsi="宋体" w:eastAsia="宋体" w:cs="宋体"/>
          <w:sz w:val="21"/>
          <w:szCs w:val="21"/>
          <w:highlight w:val="none"/>
        </w:rPr>
        <w:t>18.7 通知义务</w:t>
      </w:r>
    </w:p>
    <w:p w14:paraId="72D584BF">
      <w:pPr>
        <w:spacing w:line="360" w:lineRule="auto"/>
        <w:ind w:firstLine="315" w:firstLineChars="15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关于变更保险合同时的通知义务的约定：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3475403C">
      <w:pPr>
        <w:spacing w:line="360" w:lineRule="auto"/>
        <w:ind w:firstLine="316" w:firstLineChars="15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本工程的民工工伤保险和建筑施工人员团体意外伤害保险由承包人一次性支付。</w:t>
      </w:r>
    </w:p>
    <w:p w14:paraId="15B5EDFE">
      <w:pPr>
        <w:spacing w:line="360" w:lineRule="auto"/>
        <w:ind w:firstLine="315" w:firstLineChars="1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720CF085">
      <w:pPr>
        <w:spacing w:line="360" w:lineRule="auto"/>
        <w:ind w:firstLine="315" w:firstLineChars="1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承包人为建设项目缴纳工伤保险费后，应当将《建设项目工伤保险参保登记表》和《建设项目从业人员工伤保险费代缴协议》发送给本建设项目中各分包单位。</w:t>
      </w:r>
    </w:p>
    <w:p w14:paraId="168FF87B">
      <w:pPr>
        <w:spacing w:line="360" w:lineRule="auto"/>
        <w:ind w:firstLine="316" w:firstLineChars="15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承包人缴纳建筑施工人员团体意外伤害保险时应按照《团体建筑工人意外伤害保险条款（2012 版）》规定采用按总造价计算保险费用的方法缴纳。</w:t>
      </w:r>
    </w:p>
    <w:p w14:paraId="25237924">
      <w:pPr>
        <w:spacing w:line="360" w:lineRule="auto"/>
        <w:ind w:firstLine="315" w:firstLineChars="1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为其施工设备等办理财产保险：承包人</w:t>
      </w:r>
      <w:r>
        <w:rPr>
          <w:rFonts w:hint="eastAsia" w:ascii="宋体" w:hAnsi="宋体" w:eastAsia="宋体" w:cs="宋体"/>
          <w:sz w:val="21"/>
          <w:szCs w:val="21"/>
          <w:highlight w:val="none"/>
          <w:u w:val="single"/>
        </w:rPr>
        <w:t xml:space="preserve"> 应当 </w:t>
      </w:r>
      <w:r>
        <w:rPr>
          <w:rFonts w:hint="eastAsia" w:ascii="宋体" w:hAnsi="宋体" w:eastAsia="宋体" w:cs="宋体"/>
          <w:sz w:val="21"/>
          <w:szCs w:val="21"/>
          <w:highlight w:val="none"/>
        </w:rPr>
        <w:t>为其施工设备等办理财产保险</w:t>
      </w:r>
    </w:p>
    <w:p w14:paraId="79ED6B37">
      <w:pPr>
        <w:pStyle w:val="7"/>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20．争议解决</w:t>
      </w:r>
      <w:bookmarkEnd w:id="899"/>
      <w:bookmarkEnd w:id="900"/>
    </w:p>
    <w:bookmarkEnd w:id="883"/>
    <w:bookmarkEnd w:id="884"/>
    <w:bookmarkEnd w:id="885"/>
    <w:bookmarkEnd w:id="886"/>
    <w:bookmarkEnd w:id="887"/>
    <w:bookmarkEnd w:id="888"/>
    <w:bookmarkEnd w:id="889"/>
    <w:bookmarkEnd w:id="890"/>
    <w:bookmarkEnd w:id="891"/>
    <w:bookmarkEnd w:id="892"/>
    <w:p w14:paraId="4E3F8316">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20.3 争议评审</w:t>
      </w:r>
    </w:p>
    <w:p w14:paraId="785AF031">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合同当事人是否同意将工程争议提交争议评审小组决定：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w:t>
      </w:r>
    </w:p>
    <w:p w14:paraId="1443C316">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20.3.1 争议评审小组的确定</w:t>
      </w:r>
    </w:p>
    <w:p w14:paraId="3AFCA3D4">
      <w:pPr>
        <w:spacing w:line="48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争议评审小组成员的确定：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3BA291B6">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选定争议评审员的期限：</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64BAD930">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争议评审小组成员的报酬承担方式：</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4E48C036">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其他事项的约定：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6E8AA354">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20.3.2 争议评审小组的决定</w:t>
      </w:r>
    </w:p>
    <w:p w14:paraId="6B4875B7">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合同当事人关于本项的约定：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4CE104A0">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20.4仲裁或诉讼</w:t>
      </w:r>
    </w:p>
    <w:p w14:paraId="6F85DEC3">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发包人同承包人发生合同价款、工程结算和其他造价事项争议，一般采用下列程序解决：</w:t>
      </w:r>
    </w:p>
    <w:p w14:paraId="46EC4ABB">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（1）由合同双方本着合法、客观、平等、合理的原则进行协商；</w:t>
      </w:r>
    </w:p>
    <w:p w14:paraId="0966B155">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（2）提请建设工程造价管理机构进行调解；</w:t>
      </w:r>
    </w:p>
    <w:p w14:paraId="05F4870D">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（3）不愿协商、调解，或者协商、调解不成的</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可以选择采用第</w:t>
      </w:r>
      <w:r>
        <w:rPr>
          <w:rFonts w:hint="eastAsia" w:ascii="宋体" w:hAnsi="宋体" w:eastAsia="宋体" w:cs="宋体"/>
          <w:sz w:val="21"/>
          <w:szCs w:val="21"/>
          <w:highlight w:val="none"/>
          <w:u w:val="single"/>
        </w:rPr>
        <w:t xml:space="preserve"> 2 </w:t>
      </w:r>
      <w:r>
        <w:rPr>
          <w:rFonts w:hint="eastAsia" w:ascii="宋体" w:hAnsi="宋体" w:eastAsia="宋体" w:cs="宋体"/>
          <w:sz w:val="21"/>
          <w:szCs w:val="21"/>
          <w:highlight w:val="none"/>
        </w:rPr>
        <w:t>种下列方式解决：</w:t>
      </w:r>
      <w:r>
        <w:rPr>
          <w:rFonts w:hint="eastAsia" w:ascii="宋体" w:hAnsi="宋体" w:eastAsia="宋体" w:cs="宋体"/>
          <w:kern w:val="0"/>
          <w:sz w:val="21"/>
          <w:szCs w:val="21"/>
          <w:highlight w:val="none"/>
        </w:rPr>
        <w:t xml:space="preserve"> </w:t>
      </w:r>
    </w:p>
    <w:p w14:paraId="15866F21">
      <w:pPr>
        <w:spacing w:line="48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w:t>
      </w:r>
      <w:r>
        <w:rPr>
          <w:rFonts w:hint="eastAsia" w:ascii="宋体" w:hAnsi="宋体" w:eastAsia="宋体" w:cs="宋体"/>
          <w:kern w:val="0"/>
          <w:sz w:val="21"/>
          <w:szCs w:val="21"/>
          <w:highlight w:val="none"/>
        </w:rPr>
        <w:t>向</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u w:val="single"/>
        </w:rPr>
        <w:t>/</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仲裁委员会申请仲裁；</w:t>
      </w:r>
    </w:p>
    <w:p w14:paraId="7A9C26A6">
      <w:pPr>
        <w:spacing w:line="52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2、向</w:t>
      </w:r>
      <w:r>
        <w:rPr>
          <w:rFonts w:hint="eastAsia" w:ascii="宋体" w:hAnsi="宋体" w:eastAsia="宋体" w:cs="宋体"/>
          <w:kern w:val="0"/>
          <w:sz w:val="21"/>
          <w:szCs w:val="21"/>
          <w:highlight w:val="none"/>
          <w:u w:val="single"/>
        </w:rPr>
        <w:t xml:space="preserve">  宁海县 </w:t>
      </w:r>
      <w:r>
        <w:rPr>
          <w:rFonts w:hint="eastAsia" w:ascii="宋体" w:hAnsi="宋体" w:eastAsia="宋体" w:cs="宋体"/>
          <w:kern w:val="0"/>
          <w:sz w:val="21"/>
          <w:szCs w:val="21"/>
          <w:highlight w:val="none"/>
        </w:rPr>
        <w:t>人民法院提起诉讼。</w:t>
      </w:r>
    </w:p>
    <w:p w14:paraId="2D048F7F">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21.补充条款</w:t>
      </w:r>
    </w:p>
    <w:p w14:paraId="157B6D7F">
      <w:pPr>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21.1 在工程开工后直至完工退场，工地现场发生的卫生费、治安费等均由承包人承担。</w:t>
      </w:r>
    </w:p>
    <w:p w14:paraId="57D74361">
      <w:pPr>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21.2 承包人应做好施工场地周围文物保护建筑、古树名木的保护工作。发生保护措施费用根据实际情况由发包人、监理人签证。施工场地周围邻近建筑物、地下管线、构筑物由中标单位负责保护及承担措施费用。保护期间若发生损坏，由承包人承担。</w:t>
      </w:r>
    </w:p>
    <w:p w14:paraId="1DF55BE3">
      <w:pPr>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21.3 实际施工时，无论工程量增减多少，承包人均应无条件服从。增减工程量或工程项目按价款结算的有关条款结算，施工单位不得提出额外索赔。</w:t>
      </w:r>
    </w:p>
    <w:p w14:paraId="037F9D2D">
      <w:pPr>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21.4</w:t>
      </w:r>
      <w:r>
        <w:rPr>
          <w:rFonts w:hint="eastAsia" w:ascii="宋体" w:hAnsi="宋体" w:eastAsia="宋体" w:cs="宋体"/>
          <w:color w:val="000000"/>
          <w:sz w:val="21"/>
          <w:szCs w:val="21"/>
          <w:highlight w:val="none"/>
        </w:rPr>
        <w:t>根据《宁海县人民政府办公室关于印发宁海县扬尘污染防治暂行管理办法的通知》(宁政办发［2020］32号)文件规定，中标人应做好防止扬尘污染环境等相关工作，该费用已包括在合同价中。</w:t>
      </w:r>
    </w:p>
    <w:p w14:paraId="00164DB1">
      <w:pPr>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21.5民工工伤保险费按甬发改投资［2014］540号，该费用已包括在合同价中，中标人应办理相关险种。</w:t>
      </w:r>
    </w:p>
    <w:p w14:paraId="7EC73969">
      <w:pPr>
        <w:spacing w:line="5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21.6 承包人须自备发电机，保证在停电时能连续施工，费用由承包人自理。</w:t>
      </w:r>
    </w:p>
    <w:p w14:paraId="315F1C4F">
      <w:pPr>
        <w:spacing w:line="52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21.7施工过程中临时围护费用由承包人根据实地情况在投标时综合考虑，包含在合同价中。</w:t>
      </w:r>
    </w:p>
    <w:p w14:paraId="156B47C2">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21.8 施工场地周围邻近建筑物、地下管线、构筑物由中标单位负责保护及承担措施费用。保护期间若发生损坏，由承包人承担。</w:t>
      </w:r>
    </w:p>
    <w:p w14:paraId="448B4AC2">
      <w:pPr>
        <w:spacing w:line="4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21.9 承包人需配合发包人做好上级领导的检查工作。</w:t>
      </w:r>
    </w:p>
    <w:p w14:paraId="0D30AF32">
      <w:pPr>
        <w:spacing w:line="480" w:lineRule="exact"/>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21.10安全文明施工：施工期间需遵守宁波市有关建筑施工现场管理条例、规章等要求，因承包方原因造成的人员伤亡、公共财产损失等，所需赔偿费用均由承包方承担。</w:t>
      </w:r>
    </w:p>
    <w:p w14:paraId="6645F1AC">
      <w:pPr>
        <w:spacing w:line="48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21.1</w:t>
      </w:r>
      <w:r>
        <w:rPr>
          <w:rFonts w:hint="eastAsia" w:ascii="宋体" w:hAnsi="宋体" w:eastAsia="宋体" w:cs="宋体"/>
          <w:b/>
          <w:color w:val="000000"/>
          <w:sz w:val="21"/>
          <w:szCs w:val="21"/>
          <w:highlight w:val="none"/>
          <w:lang w:val="en-US" w:eastAsia="zh-CN"/>
        </w:rPr>
        <w:t>1</w:t>
      </w:r>
      <w:r>
        <w:rPr>
          <w:rFonts w:hint="eastAsia" w:ascii="宋体" w:hAnsi="宋体" w:eastAsia="宋体" w:cs="宋体"/>
          <w:b/>
          <w:color w:val="000000"/>
          <w:sz w:val="21"/>
          <w:szCs w:val="21"/>
          <w:highlight w:val="none"/>
        </w:rPr>
        <w:t>工程务工工资专用账户管理：发包人、承包人必须按照宁海县住房和城乡于建设局转发市住建委关于《宁波市房屋建筑和市政基础设施工程工资专用账户管理实施细则（试行）》的通知（宁建发【 2018 】77号）及《关于在全省工程领域改革保证金制度的通知》（浙建【2020】7号）的文件规定执行。</w:t>
      </w:r>
    </w:p>
    <w:p w14:paraId="1BF19689">
      <w:pPr>
        <w:spacing w:line="480" w:lineRule="exact"/>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21.1</w:t>
      </w:r>
      <w:r>
        <w:rPr>
          <w:rFonts w:hint="eastAsia" w:ascii="宋体" w:hAnsi="宋体" w:eastAsia="宋体" w:cs="宋体"/>
          <w:b/>
          <w:color w:val="000000"/>
          <w:sz w:val="21"/>
          <w:szCs w:val="21"/>
          <w:highlight w:val="none"/>
          <w:lang w:val="en-US" w:eastAsia="zh-CN"/>
        </w:rPr>
        <w:t>2</w:t>
      </w:r>
      <w:r>
        <w:rPr>
          <w:rFonts w:hint="eastAsia" w:ascii="宋体" w:hAnsi="宋体" w:eastAsia="宋体" w:cs="宋体"/>
          <w:b/>
          <w:color w:val="000000"/>
          <w:sz w:val="21"/>
          <w:szCs w:val="21"/>
          <w:highlight w:val="none"/>
        </w:rPr>
        <w:t>承包人应充分考虑施工过程中的各种不利因素，合理安排施工人员，在合同工期内保质保量完成施工任务。</w:t>
      </w:r>
    </w:p>
    <w:p w14:paraId="41A21227">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管理、协调、配合和服务内容：</w:t>
      </w:r>
    </w:p>
    <w:p w14:paraId="59F83019">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（1）承包人应在开工一周内按照投标文件内容提出总包管理规定，以便“其他承建单位”单位遵守；</w:t>
      </w:r>
    </w:p>
    <w:p w14:paraId="148C3915">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（2）负责控制工程总进度并按总包管理规定管理“其他承建单位”；</w:t>
      </w:r>
    </w:p>
    <w:p w14:paraId="35677DC1">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（3）提供“其他承建单位”能与其共同使用现场的通道及材料设备堆放场地，按要求向“其他承建单位”移交施工作业面；</w:t>
      </w:r>
    </w:p>
    <w:p w14:paraId="34B77EC9">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提供“其他承建单位”所需的标高、定位基准等技术资料，并对提供的技术资料真实性负责，留出合理的工期，将分包工程的质量、进度、安全、资料等纳入承包人管理，并做好技术上预留、交叉施工管理协调和服务工作；</w:t>
      </w:r>
    </w:p>
    <w:p w14:paraId="47DFCE10">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（5）提供楼层用电接入点（分层设置配电箱）和用水接入点，同时协助“其他承建单位”做好水源电源接口等工作，并供应其所需的负荷； </w:t>
      </w:r>
    </w:p>
    <w:p w14:paraId="053231D4">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（6）负责交付前工地的所有安保工作和成品保护工作，并对发生偷盗、破坏的损失承担相应责任；</w:t>
      </w:r>
    </w:p>
    <w:p w14:paraId="3DA01664">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（7）按文明安全施工有关规定提供和维护所有灯光、警告牌、栅栏和警卫工作；</w:t>
      </w:r>
    </w:p>
    <w:p w14:paraId="435E9C4B">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为“其他承建单位”提供表面砂浆修补和孔洞土建封堵服务，第一次补槽费、补洞费和相应的垃圾清理等协助费用由承包人承担，如再次出现补槽、补洞现象，费用在发包人的协调下按实向责任单位计取，同时在协调过程中承包人必须服从发包人核定的金额；</w:t>
      </w:r>
    </w:p>
    <w:p w14:paraId="6ED3C29C">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提供工地内其他满足要求的辅助设施（如：办公室、食堂、仓库、宿舍、卫生间）及现有的塔吊、施工电梯、井架、垂直运输机械、脚手架、配电设施等，相关费用包含在施工总承包服务费中；向“其他承建单位”提供本工程施工水电；</w:t>
      </w:r>
    </w:p>
    <w:p w14:paraId="6ED12BEF">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（10）负责与工地相接的城市道路、排水井道的维护和保洁工作，因承包人管理不力导致政府部门处罚或整改均由承包人承担；</w:t>
      </w:r>
    </w:p>
    <w:p w14:paraId="38E2A794">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（11）负责汇总“其他承建单位”的竣工资料，并按要求装订；</w:t>
      </w:r>
    </w:p>
    <w:p w14:paraId="0C29E036">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（12）《浙江省建设工程计价规则》（2018版）规定的施工总承包服务费中包含的其他工作；</w:t>
      </w:r>
    </w:p>
    <w:p w14:paraId="12B47ADE">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（13）施工总承包服务费内包含的费用如承包人另立名目再向“其他承建单位”收取，发包人有权在承包人的工程款中双倍扣除；</w:t>
      </w:r>
    </w:p>
    <w:p w14:paraId="4103657C">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（14）发包人保留对各专业工程界面划分的最终解释权和调整权，承包人必须无条件服从；</w:t>
      </w:r>
    </w:p>
    <w:p w14:paraId="09ACC974">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（15）安全文明施工：施工期间需遵守宁波市有关建筑施工现场管理条例、规章等要求，因承包方原因造成的人员伤亡、公共财产损失等，所需赔偿费用均由承包方承担；</w:t>
      </w:r>
    </w:p>
    <w:p w14:paraId="0CF1BCFA">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16）承包人须积极配合发包人的发包工作，为承建单位按时进场施工提供必要的条件。承包人在实施承建合同工程及缺陷修复过程中的一切作业应保证发包人另行招标的其他工程的施工，并有义务提供与其他工程施工配合与协调，不得因其他承包人合理地进入本合同承包人的施工场地或工作面造成影响而提出费用和工期索赔。承包人进场后须与发包人另行招标的工程承建单位签订分包管理合同，并做好资料归档工作。 </w:t>
      </w:r>
    </w:p>
    <w:p w14:paraId="370E3384">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21.1</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按规定计取的安全文明施工费不得挪作它用，应能保障工程现场的安全文明施工，并按相关文件执行。</w:t>
      </w:r>
    </w:p>
    <w:p w14:paraId="7C35D9BE">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21.1</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外墙涂料颜色中标后由业主指定，投标人需无条件接受。</w:t>
      </w:r>
    </w:p>
    <w:p w14:paraId="53A2DC87">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21.1</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中标单位施工时，有噪音产生的工序，应尽量避免中午休息时段施工，如收到相关投诉，应立即制止。</w:t>
      </w:r>
    </w:p>
    <w:p w14:paraId="6D59D8B2">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21.1</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工程预算</w:t>
      </w:r>
      <w:r>
        <w:rPr>
          <w:rFonts w:hint="eastAsia" w:ascii="宋体" w:hAnsi="宋体" w:cs="宋体"/>
          <w:color w:val="000000"/>
          <w:sz w:val="21"/>
          <w:szCs w:val="21"/>
          <w:highlight w:val="none"/>
          <w:lang w:val="en-US" w:eastAsia="zh-CN"/>
        </w:rPr>
        <w:t>清单</w:t>
      </w:r>
      <w:r>
        <w:rPr>
          <w:rFonts w:hint="eastAsia" w:ascii="宋体" w:hAnsi="宋体" w:eastAsia="宋体" w:cs="宋体"/>
          <w:color w:val="000000"/>
          <w:sz w:val="21"/>
          <w:szCs w:val="21"/>
          <w:highlight w:val="none"/>
        </w:rPr>
        <w:t>中</w:t>
      </w:r>
      <w:r>
        <w:rPr>
          <w:rFonts w:hint="eastAsia" w:ascii="宋体" w:hAnsi="宋体" w:cs="宋体"/>
          <w:color w:val="000000"/>
          <w:sz w:val="21"/>
          <w:szCs w:val="21"/>
          <w:highlight w:val="none"/>
          <w:lang w:val="en-US" w:eastAsia="zh-CN"/>
        </w:rPr>
        <w:t>如有</w:t>
      </w:r>
      <w:r>
        <w:rPr>
          <w:rFonts w:hint="eastAsia" w:ascii="宋体" w:hAnsi="宋体" w:eastAsia="宋体" w:cs="宋体"/>
          <w:color w:val="000000"/>
          <w:sz w:val="21"/>
          <w:szCs w:val="21"/>
          <w:highlight w:val="none"/>
        </w:rPr>
        <w:t>提供三个品牌</w:t>
      </w:r>
      <w:r>
        <w:rPr>
          <w:rFonts w:hint="eastAsia" w:ascii="宋体" w:hAnsi="宋体" w:cs="宋体"/>
          <w:color w:val="000000"/>
          <w:sz w:val="21"/>
          <w:szCs w:val="21"/>
          <w:highlight w:val="none"/>
          <w:lang w:val="en-US" w:eastAsia="zh-CN"/>
        </w:rPr>
        <w:t>的</w:t>
      </w:r>
      <w:r>
        <w:rPr>
          <w:rFonts w:hint="eastAsia" w:ascii="宋体" w:hAnsi="宋体" w:eastAsia="宋体" w:cs="宋体"/>
          <w:color w:val="000000"/>
          <w:sz w:val="21"/>
          <w:szCs w:val="21"/>
          <w:highlight w:val="none"/>
        </w:rPr>
        <w:t>各投标人自行选择；实际施工过程中如因品牌缺货或有其他特殊情况，经招标人和监理同意后，可以更换同档次或优于提供品牌的产品，其价格不作调整。</w:t>
      </w:r>
    </w:p>
    <w:p w14:paraId="56CF3E45">
      <w:pPr>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21.1</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本合同未尽事宜，由双方协商解决。</w:t>
      </w:r>
    </w:p>
    <w:p w14:paraId="20E92896">
      <w:pPr>
        <w:spacing w:line="520" w:lineRule="exact"/>
        <w:rPr>
          <w:rFonts w:hint="eastAsia" w:ascii="宋体" w:hAnsi="宋体" w:eastAsia="宋体" w:cs="宋体"/>
          <w:b/>
          <w:color w:val="000000"/>
          <w:sz w:val="21"/>
          <w:szCs w:val="21"/>
          <w:highlight w:val="none"/>
        </w:rPr>
      </w:pPr>
    </w:p>
    <w:p w14:paraId="52F809C0">
      <w:pPr>
        <w:spacing w:line="520" w:lineRule="exact"/>
        <w:rPr>
          <w:rFonts w:hint="eastAsia" w:ascii="宋体" w:hAnsi="宋体" w:eastAsia="宋体" w:cs="宋体"/>
          <w:b/>
          <w:color w:val="000000"/>
          <w:sz w:val="21"/>
          <w:szCs w:val="21"/>
          <w:highlight w:val="none"/>
        </w:rPr>
      </w:pPr>
    </w:p>
    <w:p w14:paraId="3F15DA51">
      <w:pPr>
        <w:spacing w:line="520" w:lineRule="exact"/>
        <w:rPr>
          <w:rFonts w:hint="eastAsia" w:ascii="宋体" w:hAnsi="宋体" w:eastAsia="宋体" w:cs="宋体"/>
          <w:b/>
          <w:color w:val="000000"/>
          <w:sz w:val="21"/>
          <w:szCs w:val="21"/>
          <w:highlight w:val="none"/>
        </w:rPr>
      </w:pPr>
    </w:p>
    <w:p w14:paraId="10D53D3A">
      <w:pPr>
        <w:spacing w:line="52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附件</w:t>
      </w:r>
    </w:p>
    <w:p w14:paraId="7AC069E1">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协议书附件：</w:t>
      </w:r>
    </w:p>
    <w:p w14:paraId="7735DD4B">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附件1：承包人承揽工程项目一览表</w:t>
      </w:r>
    </w:p>
    <w:p w14:paraId="39189631">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专用合同条款附件：</w:t>
      </w:r>
    </w:p>
    <w:p w14:paraId="71D8188A">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附件3：工程质量保修书</w:t>
      </w:r>
    </w:p>
    <w:p w14:paraId="02C5DA8C">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附件5：承包人用于本工程施工的机械设备表</w:t>
      </w:r>
    </w:p>
    <w:p w14:paraId="11FF803A">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附件13：暂定价表</w:t>
      </w:r>
    </w:p>
    <w:p w14:paraId="5D5DD0B0">
      <w:pPr>
        <w:spacing w:line="480" w:lineRule="exact"/>
        <w:jc w:val="left"/>
        <w:rPr>
          <w:rFonts w:hint="eastAsia" w:ascii="宋体" w:hAnsi="宋体" w:eastAsia="宋体" w:cs="宋体"/>
          <w:color w:val="000000"/>
          <w:sz w:val="21"/>
          <w:szCs w:val="21"/>
          <w:highlight w:val="none"/>
        </w:rPr>
        <w:sectPr>
          <w:footerReference r:id="rId9" w:type="default"/>
          <w:pgSz w:w="11906" w:h="16838"/>
          <w:pgMar w:top="1418" w:right="1555" w:bottom="1418" w:left="1531" w:header="851" w:footer="992" w:gutter="0"/>
          <w:cols w:space="720" w:num="1"/>
          <w:titlePg/>
          <w:docGrid w:type="lines" w:linePitch="312" w:charSpace="0"/>
        </w:sectPr>
      </w:pPr>
      <w:r>
        <w:rPr>
          <w:rFonts w:hint="eastAsia" w:ascii="宋体" w:hAnsi="宋体" w:eastAsia="宋体" w:cs="宋体"/>
          <w:color w:val="000000"/>
          <w:sz w:val="21"/>
          <w:szCs w:val="21"/>
          <w:highlight w:val="none"/>
        </w:rPr>
        <w:t>附件14：工程廉政合同</w:t>
      </w:r>
    </w:p>
    <w:p w14:paraId="3F27AF8A">
      <w:pPr>
        <w:spacing w:before="156" w:beforeLines="50" w:after="156" w:afterLines="50" w:line="44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附件1：</w:t>
      </w:r>
    </w:p>
    <w:p w14:paraId="6482199F">
      <w:pPr>
        <w:spacing w:before="156" w:beforeLines="50" w:after="156" w:afterLines="5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承包人承揽工程项目一览表</w:t>
      </w:r>
    </w:p>
    <w:tbl>
      <w:tblPr>
        <w:tblStyle w:val="64"/>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5367A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1277" w:type="dxa"/>
            <w:tcBorders>
              <w:top w:val="single" w:color="auto" w:sz="12" w:space="0"/>
              <w:left w:val="single" w:color="auto" w:sz="12" w:space="0"/>
              <w:bottom w:val="double" w:color="auto" w:sz="6" w:space="0"/>
              <w:right w:val="single" w:color="auto" w:sz="6" w:space="0"/>
            </w:tcBorders>
            <w:noWrap w:val="0"/>
            <w:vAlign w:val="center"/>
          </w:tcPr>
          <w:p w14:paraId="1DA4AE30">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单位工程名称</w:t>
            </w:r>
          </w:p>
        </w:tc>
        <w:tc>
          <w:tcPr>
            <w:tcW w:w="1843" w:type="dxa"/>
            <w:tcBorders>
              <w:top w:val="single" w:color="auto" w:sz="12" w:space="0"/>
              <w:left w:val="single" w:color="auto" w:sz="6" w:space="0"/>
              <w:bottom w:val="double" w:color="auto" w:sz="6" w:space="0"/>
              <w:right w:val="single" w:color="auto" w:sz="6" w:space="0"/>
            </w:tcBorders>
            <w:noWrap w:val="0"/>
            <w:vAlign w:val="center"/>
          </w:tcPr>
          <w:p w14:paraId="6AE7358E">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建设规模</w:t>
            </w:r>
          </w:p>
        </w:tc>
        <w:tc>
          <w:tcPr>
            <w:tcW w:w="1417" w:type="dxa"/>
            <w:tcBorders>
              <w:top w:val="single" w:color="auto" w:sz="12" w:space="0"/>
              <w:left w:val="single" w:color="auto" w:sz="6" w:space="0"/>
              <w:bottom w:val="double" w:color="auto" w:sz="6" w:space="0"/>
              <w:right w:val="single" w:color="auto" w:sz="6" w:space="0"/>
            </w:tcBorders>
            <w:noWrap w:val="0"/>
            <w:vAlign w:val="center"/>
          </w:tcPr>
          <w:p w14:paraId="316636D2">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建筑面积(平方米)</w:t>
            </w:r>
          </w:p>
        </w:tc>
        <w:tc>
          <w:tcPr>
            <w:tcW w:w="2410" w:type="dxa"/>
            <w:tcBorders>
              <w:top w:val="single" w:color="auto" w:sz="12" w:space="0"/>
              <w:left w:val="single" w:color="auto" w:sz="6" w:space="0"/>
              <w:bottom w:val="double" w:color="auto" w:sz="6" w:space="0"/>
              <w:right w:val="single" w:color="auto" w:sz="6" w:space="0"/>
            </w:tcBorders>
            <w:noWrap w:val="0"/>
            <w:vAlign w:val="center"/>
          </w:tcPr>
          <w:p w14:paraId="66000551">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结构形式</w:t>
            </w:r>
          </w:p>
        </w:tc>
        <w:tc>
          <w:tcPr>
            <w:tcW w:w="850" w:type="dxa"/>
            <w:tcBorders>
              <w:top w:val="single" w:color="auto" w:sz="12" w:space="0"/>
              <w:left w:val="single" w:color="auto" w:sz="6" w:space="0"/>
              <w:bottom w:val="double" w:color="auto" w:sz="6" w:space="0"/>
              <w:right w:val="single" w:color="auto" w:sz="6" w:space="0"/>
            </w:tcBorders>
            <w:noWrap w:val="0"/>
            <w:vAlign w:val="center"/>
          </w:tcPr>
          <w:p w14:paraId="4A7A3AAE">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层数</w:t>
            </w:r>
          </w:p>
        </w:tc>
        <w:tc>
          <w:tcPr>
            <w:tcW w:w="1560" w:type="dxa"/>
            <w:tcBorders>
              <w:top w:val="single" w:color="auto" w:sz="12" w:space="0"/>
              <w:left w:val="single" w:color="auto" w:sz="6" w:space="0"/>
              <w:bottom w:val="double" w:color="auto" w:sz="6" w:space="0"/>
              <w:right w:val="single" w:color="auto" w:sz="6" w:space="0"/>
            </w:tcBorders>
            <w:noWrap w:val="0"/>
            <w:vAlign w:val="center"/>
          </w:tcPr>
          <w:p w14:paraId="7DDD8F3C">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生产能力</w:t>
            </w:r>
          </w:p>
        </w:tc>
        <w:tc>
          <w:tcPr>
            <w:tcW w:w="2126" w:type="dxa"/>
            <w:tcBorders>
              <w:top w:val="single" w:color="auto" w:sz="12" w:space="0"/>
              <w:left w:val="single" w:color="auto" w:sz="6" w:space="0"/>
              <w:bottom w:val="double" w:color="auto" w:sz="6" w:space="0"/>
              <w:right w:val="single" w:color="auto" w:sz="6" w:space="0"/>
            </w:tcBorders>
            <w:noWrap w:val="0"/>
            <w:vAlign w:val="center"/>
          </w:tcPr>
          <w:p w14:paraId="50E405D5">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设备安装内容</w:t>
            </w:r>
          </w:p>
        </w:tc>
        <w:tc>
          <w:tcPr>
            <w:tcW w:w="1417" w:type="dxa"/>
            <w:tcBorders>
              <w:top w:val="single" w:color="auto" w:sz="12" w:space="0"/>
              <w:left w:val="single" w:color="auto" w:sz="6" w:space="0"/>
              <w:bottom w:val="double" w:color="auto" w:sz="6" w:space="0"/>
              <w:right w:val="single" w:color="auto" w:sz="6" w:space="0"/>
            </w:tcBorders>
            <w:noWrap w:val="0"/>
            <w:vAlign w:val="center"/>
          </w:tcPr>
          <w:p w14:paraId="5009C605">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合同价格（元）</w:t>
            </w:r>
          </w:p>
        </w:tc>
        <w:tc>
          <w:tcPr>
            <w:tcW w:w="851" w:type="dxa"/>
            <w:tcBorders>
              <w:top w:val="single" w:color="auto" w:sz="12" w:space="0"/>
              <w:left w:val="single" w:color="auto" w:sz="6" w:space="0"/>
              <w:bottom w:val="double" w:color="auto" w:sz="6" w:space="0"/>
              <w:right w:val="single" w:color="auto" w:sz="6" w:space="0"/>
            </w:tcBorders>
            <w:noWrap w:val="0"/>
            <w:vAlign w:val="center"/>
          </w:tcPr>
          <w:p w14:paraId="2821A99C">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开工日期</w:t>
            </w:r>
          </w:p>
        </w:tc>
        <w:tc>
          <w:tcPr>
            <w:tcW w:w="850" w:type="dxa"/>
            <w:tcBorders>
              <w:top w:val="single" w:color="auto" w:sz="12" w:space="0"/>
              <w:left w:val="single" w:color="auto" w:sz="6" w:space="0"/>
              <w:bottom w:val="double" w:color="auto" w:sz="6" w:space="0"/>
              <w:right w:val="single" w:color="auto" w:sz="12" w:space="0"/>
            </w:tcBorders>
            <w:noWrap w:val="0"/>
            <w:vAlign w:val="center"/>
          </w:tcPr>
          <w:p w14:paraId="5C41F8B5">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竣工日期</w:t>
            </w:r>
          </w:p>
        </w:tc>
      </w:tr>
      <w:tr w14:paraId="20988C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noWrap w:val="0"/>
            <w:vAlign w:val="center"/>
          </w:tcPr>
          <w:p w14:paraId="4AB710E7">
            <w:pPr>
              <w:pStyle w:val="25"/>
              <w:keepNext/>
              <w:ind w:left="63" w:right="63"/>
              <w:rPr>
                <w:rFonts w:hint="eastAsia" w:ascii="宋体" w:hAnsi="宋体" w:eastAsia="宋体" w:cs="宋体"/>
                <w:color w:val="000000"/>
                <w:sz w:val="21"/>
                <w:szCs w:val="21"/>
                <w:highlight w:val="none"/>
                <w:lang w:val="en-US" w:eastAsia="zh-CN"/>
              </w:rPr>
            </w:pPr>
          </w:p>
        </w:tc>
        <w:tc>
          <w:tcPr>
            <w:tcW w:w="1843" w:type="dxa"/>
            <w:tcBorders>
              <w:top w:val="double" w:color="auto" w:sz="6" w:space="0"/>
              <w:left w:val="single" w:color="auto" w:sz="6" w:space="0"/>
              <w:bottom w:val="single" w:color="auto" w:sz="6" w:space="0"/>
              <w:right w:val="single" w:color="auto" w:sz="6" w:space="0"/>
            </w:tcBorders>
            <w:noWrap w:val="0"/>
            <w:vAlign w:val="center"/>
          </w:tcPr>
          <w:p w14:paraId="7C970A53">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14:paraId="4B5C61D2">
            <w:pPr>
              <w:pStyle w:val="25"/>
              <w:keepNext/>
              <w:ind w:left="63" w:right="63"/>
              <w:rPr>
                <w:rFonts w:hint="eastAsia" w:ascii="宋体" w:hAnsi="宋体" w:eastAsia="宋体" w:cs="宋体"/>
                <w:color w:val="000000"/>
                <w:sz w:val="21"/>
                <w:szCs w:val="21"/>
                <w:highlight w:val="none"/>
                <w:lang w:val="en-US" w:eastAsia="zh-CN"/>
              </w:rPr>
            </w:pPr>
          </w:p>
        </w:tc>
        <w:tc>
          <w:tcPr>
            <w:tcW w:w="2410" w:type="dxa"/>
            <w:tcBorders>
              <w:top w:val="double" w:color="auto" w:sz="6" w:space="0"/>
              <w:left w:val="single" w:color="auto" w:sz="6" w:space="0"/>
              <w:bottom w:val="single" w:color="auto" w:sz="6" w:space="0"/>
              <w:right w:val="single" w:color="auto" w:sz="6" w:space="0"/>
            </w:tcBorders>
            <w:noWrap w:val="0"/>
            <w:vAlign w:val="center"/>
          </w:tcPr>
          <w:p w14:paraId="06C66270">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double" w:color="auto" w:sz="6" w:space="0"/>
              <w:left w:val="single" w:color="auto" w:sz="6" w:space="0"/>
              <w:bottom w:val="single" w:color="auto" w:sz="6" w:space="0"/>
              <w:right w:val="single" w:color="auto" w:sz="6" w:space="0"/>
            </w:tcBorders>
            <w:noWrap w:val="0"/>
            <w:vAlign w:val="center"/>
          </w:tcPr>
          <w:p w14:paraId="5F06BEE7">
            <w:pPr>
              <w:pStyle w:val="25"/>
              <w:keepNext/>
              <w:ind w:left="63" w:right="63"/>
              <w:rPr>
                <w:rFonts w:hint="eastAsia" w:ascii="宋体" w:hAnsi="宋体" w:eastAsia="宋体" w:cs="宋体"/>
                <w:color w:val="000000"/>
                <w:sz w:val="21"/>
                <w:szCs w:val="21"/>
                <w:highlight w:val="none"/>
                <w:lang w:val="en-US" w:eastAsia="zh-CN"/>
              </w:rPr>
            </w:pPr>
          </w:p>
        </w:tc>
        <w:tc>
          <w:tcPr>
            <w:tcW w:w="1560" w:type="dxa"/>
            <w:tcBorders>
              <w:top w:val="double" w:color="auto" w:sz="6" w:space="0"/>
              <w:left w:val="single" w:color="auto" w:sz="6" w:space="0"/>
              <w:bottom w:val="single" w:color="auto" w:sz="6" w:space="0"/>
              <w:right w:val="single" w:color="auto" w:sz="6" w:space="0"/>
            </w:tcBorders>
            <w:noWrap w:val="0"/>
            <w:vAlign w:val="center"/>
          </w:tcPr>
          <w:p w14:paraId="1DF4B952">
            <w:pPr>
              <w:pStyle w:val="25"/>
              <w:keepNext/>
              <w:ind w:left="63" w:right="63"/>
              <w:rPr>
                <w:rFonts w:hint="eastAsia" w:ascii="宋体" w:hAnsi="宋体" w:eastAsia="宋体" w:cs="宋体"/>
                <w:color w:val="000000"/>
                <w:sz w:val="21"/>
                <w:szCs w:val="21"/>
                <w:highlight w:val="none"/>
                <w:lang w:val="en-US" w:eastAsia="zh-CN"/>
              </w:rPr>
            </w:pPr>
          </w:p>
        </w:tc>
        <w:tc>
          <w:tcPr>
            <w:tcW w:w="2126" w:type="dxa"/>
            <w:tcBorders>
              <w:top w:val="double" w:color="auto" w:sz="6" w:space="0"/>
              <w:left w:val="single" w:color="auto" w:sz="6" w:space="0"/>
              <w:bottom w:val="single" w:color="auto" w:sz="6" w:space="0"/>
              <w:right w:val="single" w:color="auto" w:sz="6" w:space="0"/>
            </w:tcBorders>
            <w:noWrap w:val="0"/>
            <w:vAlign w:val="center"/>
          </w:tcPr>
          <w:p w14:paraId="28ADB7CC">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14:paraId="7601755B">
            <w:pPr>
              <w:pStyle w:val="25"/>
              <w:keepNext/>
              <w:ind w:left="63" w:right="63"/>
              <w:rPr>
                <w:rFonts w:hint="eastAsia" w:ascii="宋体" w:hAnsi="宋体" w:eastAsia="宋体" w:cs="宋体"/>
                <w:color w:val="000000"/>
                <w:sz w:val="21"/>
                <w:szCs w:val="21"/>
                <w:highlight w:val="none"/>
                <w:lang w:val="en-US" w:eastAsia="zh-CN"/>
              </w:rPr>
            </w:pPr>
          </w:p>
        </w:tc>
        <w:tc>
          <w:tcPr>
            <w:tcW w:w="851" w:type="dxa"/>
            <w:tcBorders>
              <w:top w:val="double" w:color="auto" w:sz="6" w:space="0"/>
              <w:left w:val="single" w:color="auto" w:sz="6" w:space="0"/>
              <w:bottom w:val="single" w:color="auto" w:sz="6" w:space="0"/>
              <w:right w:val="single" w:color="auto" w:sz="6" w:space="0"/>
            </w:tcBorders>
            <w:noWrap w:val="0"/>
            <w:vAlign w:val="center"/>
          </w:tcPr>
          <w:p w14:paraId="3604BFE9">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double" w:color="auto" w:sz="6" w:space="0"/>
              <w:left w:val="single" w:color="auto" w:sz="6" w:space="0"/>
              <w:bottom w:val="single" w:color="auto" w:sz="6" w:space="0"/>
              <w:right w:val="single" w:color="auto" w:sz="12" w:space="0"/>
            </w:tcBorders>
            <w:noWrap w:val="0"/>
            <w:vAlign w:val="center"/>
          </w:tcPr>
          <w:p w14:paraId="5803B231">
            <w:pPr>
              <w:pStyle w:val="25"/>
              <w:keepNext/>
              <w:ind w:left="63" w:right="63"/>
              <w:rPr>
                <w:rFonts w:hint="eastAsia" w:ascii="宋体" w:hAnsi="宋体" w:eastAsia="宋体" w:cs="宋体"/>
                <w:color w:val="000000"/>
                <w:sz w:val="21"/>
                <w:szCs w:val="21"/>
                <w:highlight w:val="none"/>
                <w:lang w:val="en-US" w:eastAsia="zh-CN"/>
              </w:rPr>
            </w:pPr>
          </w:p>
        </w:tc>
      </w:tr>
      <w:tr w14:paraId="6FF01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16AB6516">
            <w:pPr>
              <w:pStyle w:val="25"/>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4063AF53">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6A69F9C4">
            <w:pPr>
              <w:pStyle w:val="25"/>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12000753">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3CC16885">
            <w:pPr>
              <w:pStyle w:val="25"/>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35AB78F3">
            <w:pPr>
              <w:pStyle w:val="25"/>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1467B7F2">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2A29986B">
            <w:pPr>
              <w:pStyle w:val="25"/>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1880F83C">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64A0907B">
            <w:pPr>
              <w:pStyle w:val="25"/>
              <w:keepNext/>
              <w:ind w:left="63" w:right="63"/>
              <w:rPr>
                <w:rFonts w:hint="eastAsia" w:ascii="宋体" w:hAnsi="宋体" w:eastAsia="宋体" w:cs="宋体"/>
                <w:color w:val="000000"/>
                <w:sz w:val="21"/>
                <w:szCs w:val="21"/>
                <w:highlight w:val="none"/>
                <w:lang w:val="en-US" w:eastAsia="zh-CN"/>
              </w:rPr>
            </w:pPr>
          </w:p>
        </w:tc>
      </w:tr>
      <w:tr w14:paraId="57A1A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333529A">
            <w:pPr>
              <w:pStyle w:val="25"/>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7BFFFA37">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152DAB7C">
            <w:pPr>
              <w:pStyle w:val="25"/>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57847AA5">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0C890C74">
            <w:pPr>
              <w:pStyle w:val="25"/>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3D8901FA">
            <w:pPr>
              <w:pStyle w:val="25"/>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2B5CA338">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393174F0">
            <w:pPr>
              <w:pStyle w:val="25"/>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23647717">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1904B31C">
            <w:pPr>
              <w:pStyle w:val="25"/>
              <w:keepNext/>
              <w:ind w:left="63" w:right="63"/>
              <w:rPr>
                <w:rFonts w:hint="eastAsia" w:ascii="宋体" w:hAnsi="宋体" w:eastAsia="宋体" w:cs="宋体"/>
                <w:color w:val="000000"/>
                <w:sz w:val="21"/>
                <w:szCs w:val="21"/>
                <w:highlight w:val="none"/>
                <w:lang w:val="en-US" w:eastAsia="zh-CN"/>
              </w:rPr>
            </w:pPr>
          </w:p>
        </w:tc>
      </w:tr>
      <w:tr w14:paraId="63CEB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429C3B30">
            <w:pPr>
              <w:pStyle w:val="25"/>
              <w:keepNext/>
              <w:ind w:left="63" w:right="63"/>
              <w:rPr>
                <w:rFonts w:hint="eastAsia" w:ascii="宋体" w:hAnsi="宋体" w:eastAsia="宋体" w:cs="宋体"/>
                <w:color w:val="000000"/>
                <w:sz w:val="21"/>
                <w:szCs w:val="21"/>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1A7B9A7">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AB63225">
            <w:pPr>
              <w:pStyle w:val="25"/>
              <w:keepNext/>
              <w:ind w:left="63" w:right="63"/>
              <w:rPr>
                <w:rFonts w:hint="eastAsia" w:ascii="宋体" w:hAnsi="宋体" w:eastAsia="宋体" w:cs="宋体"/>
                <w:color w:val="000000"/>
                <w:sz w:val="21"/>
                <w:szCs w:val="21"/>
                <w:highlight w:val="none"/>
                <w:lang w:val="en-US" w:eastAsia="zh-CN"/>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64969F35">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54279DB">
            <w:pPr>
              <w:pStyle w:val="25"/>
              <w:keepNext/>
              <w:ind w:left="63" w:right="63"/>
              <w:rPr>
                <w:rFonts w:hint="eastAsia" w:ascii="宋体" w:hAnsi="宋体" w:eastAsia="宋体" w:cs="宋体"/>
                <w:color w:val="000000"/>
                <w:sz w:val="21"/>
                <w:szCs w:val="21"/>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B8454E4">
            <w:pPr>
              <w:pStyle w:val="25"/>
              <w:keepNext/>
              <w:ind w:left="63" w:right="63"/>
              <w:rPr>
                <w:rFonts w:hint="eastAsia" w:ascii="宋体" w:hAnsi="宋体" w:eastAsia="宋体" w:cs="宋体"/>
                <w:color w:val="000000"/>
                <w:sz w:val="21"/>
                <w:szCs w:val="21"/>
                <w:highlight w:val="none"/>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019B44F2">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9A80B1F">
            <w:pPr>
              <w:pStyle w:val="25"/>
              <w:keepNext/>
              <w:ind w:left="63" w:right="63"/>
              <w:rPr>
                <w:rFonts w:hint="eastAsia" w:ascii="宋体" w:hAnsi="宋体" w:eastAsia="宋体" w:cs="宋体"/>
                <w:color w:val="000000"/>
                <w:sz w:val="21"/>
                <w:szCs w:val="21"/>
                <w:highlight w:val="none"/>
                <w:lang w:val="en-US" w:eastAsia="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1C8B071C">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4C904615">
            <w:pPr>
              <w:pStyle w:val="25"/>
              <w:keepNext/>
              <w:ind w:left="63" w:right="63"/>
              <w:rPr>
                <w:rFonts w:hint="eastAsia" w:ascii="宋体" w:hAnsi="宋体" w:eastAsia="宋体" w:cs="宋体"/>
                <w:color w:val="000000"/>
                <w:sz w:val="21"/>
                <w:szCs w:val="21"/>
                <w:highlight w:val="none"/>
                <w:lang w:val="en-US" w:eastAsia="zh-CN"/>
              </w:rPr>
            </w:pPr>
          </w:p>
        </w:tc>
      </w:tr>
      <w:tr w14:paraId="77AF25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63F09FC">
            <w:pPr>
              <w:pStyle w:val="25"/>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4857690C">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14E85EB9">
            <w:pPr>
              <w:pStyle w:val="25"/>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361E258A">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61BF13FA">
            <w:pPr>
              <w:pStyle w:val="25"/>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6BEBF3D6">
            <w:pPr>
              <w:pStyle w:val="25"/>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4C638962">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48B64610">
            <w:pPr>
              <w:pStyle w:val="25"/>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4BD4B393">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5179E39A">
            <w:pPr>
              <w:pStyle w:val="25"/>
              <w:keepNext/>
              <w:ind w:left="63" w:right="63"/>
              <w:rPr>
                <w:rFonts w:hint="eastAsia" w:ascii="宋体" w:hAnsi="宋体" w:eastAsia="宋体" w:cs="宋体"/>
                <w:color w:val="000000"/>
                <w:sz w:val="21"/>
                <w:szCs w:val="21"/>
                <w:highlight w:val="none"/>
                <w:lang w:val="en-US" w:eastAsia="zh-CN"/>
              </w:rPr>
            </w:pPr>
          </w:p>
        </w:tc>
      </w:tr>
      <w:tr w14:paraId="0D287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0F6A6E27">
            <w:pPr>
              <w:pStyle w:val="25"/>
              <w:keepNext/>
              <w:ind w:left="63" w:right="63"/>
              <w:rPr>
                <w:rFonts w:hint="eastAsia" w:ascii="宋体" w:hAnsi="宋体" w:eastAsia="宋体" w:cs="宋体"/>
                <w:color w:val="000000"/>
                <w:sz w:val="21"/>
                <w:szCs w:val="21"/>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0895E168">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6DD6711">
            <w:pPr>
              <w:pStyle w:val="25"/>
              <w:keepNext/>
              <w:ind w:left="63" w:right="63"/>
              <w:rPr>
                <w:rFonts w:hint="eastAsia" w:ascii="宋体" w:hAnsi="宋体" w:eastAsia="宋体" w:cs="宋体"/>
                <w:color w:val="000000"/>
                <w:sz w:val="21"/>
                <w:szCs w:val="21"/>
                <w:highlight w:val="none"/>
                <w:lang w:val="en-US" w:eastAsia="zh-CN"/>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36A33499">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3CFD12A">
            <w:pPr>
              <w:pStyle w:val="25"/>
              <w:keepNext/>
              <w:ind w:left="63" w:right="63"/>
              <w:rPr>
                <w:rFonts w:hint="eastAsia" w:ascii="宋体" w:hAnsi="宋体" w:eastAsia="宋体" w:cs="宋体"/>
                <w:color w:val="000000"/>
                <w:sz w:val="21"/>
                <w:szCs w:val="21"/>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39A12BCD">
            <w:pPr>
              <w:pStyle w:val="25"/>
              <w:keepNext/>
              <w:ind w:left="63" w:right="63"/>
              <w:rPr>
                <w:rFonts w:hint="eastAsia" w:ascii="宋体" w:hAnsi="宋体" w:eastAsia="宋体" w:cs="宋体"/>
                <w:color w:val="000000"/>
                <w:sz w:val="21"/>
                <w:szCs w:val="21"/>
                <w:highlight w:val="none"/>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33904F75">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775AFF86">
            <w:pPr>
              <w:pStyle w:val="25"/>
              <w:keepNext/>
              <w:ind w:left="63" w:right="63"/>
              <w:rPr>
                <w:rFonts w:hint="eastAsia" w:ascii="宋体" w:hAnsi="宋体" w:eastAsia="宋体" w:cs="宋体"/>
                <w:color w:val="000000"/>
                <w:sz w:val="21"/>
                <w:szCs w:val="21"/>
                <w:highlight w:val="none"/>
                <w:lang w:val="en-US" w:eastAsia="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0633000">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4F7D40D9">
            <w:pPr>
              <w:pStyle w:val="25"/>
              <w:keepNext/>
              <w:ind w:left="63" w:right="63"/>
              <w:rPr>
                <w:rFonts w:hint="eastAsia" w:ascii="宋体" w:hAnsi="宋体" w:eastAsia="宋体" w:cs="宋体"/>
                <w:color w:val="000000"/>
                <w:sz w:val="21"/>
                <w:szCs w:val="21"/>
                <w:highlight w:val="none"/>
                <w:lang w:val="en-US" w:eastAsia="zh-CN"/>
              </w:rPr>
            </w:pPr>
          </w:p>
        </w:tc>
      </w:tr>
      <w:tr w14:paraId="4298E3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5B93A39">
            <w:pPr>
              <w:pStyle w:val="25"/>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5EC2B01B">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1F7FCA26">
            <w:pPr>
              <w:pStyle w:val="25"/>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679D81EA">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3B356048">
            <w:pPr>
              <w:pStyle w:val="25"/>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7CCDE3B5">
            <w:pPr>
              <w:pStyle w:val="25"/>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2A4ADBE0">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3DF1A7E1">
            <w:pPr>
              <w:pStyle w:val="25"/>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1C65DBB6">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042113FC">
            <w:pPr>
              <w:pStyle w:val="25"/>
              <w:keepNext/>
              <w:ind w:left="63" w:right="63"/>
              <w:rPr>
                <w:rFonts w:hint="eastAsia" w:ascii="宋体" w:hAnsi="宋体" w:eastAsia="宋体" w:cs="宋体"/>
                <w:color w:val="000000"/>
                <w:sz w:val="21"/>
                <w:szCs w:val="21"/>
                <w:highlight w:val="none"/>
                <w:lang w:val="en-US" w:eastAsia="zh-CN"/>
              </w:rPr>
            </w:pPr>
          </w:p>
        </w:tc>
      </w:tr>
      <w:tr w14:paraId="4968B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BC74DCD">
            <w:pPr>
              <w:pStyle w:val="25"/>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41C164BE">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640B9F0F">
            <w:pPr>
              <w:pStyle w:val="25"/>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1E843A3B">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10215761">
            <w:pPr>
              <w:pStyle w:val="25"/>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0D122F39">
            <w:pPr>
              <w:pStyle w:val="25"/>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1981A1FE">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0C344A8E">
            <w:pPr>
              <w:pStyle w:val="25"/>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6063F3AA">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5B1D5A4C">
            <w:pPr>
              <w:pStyle w:val="25"/>
              <w:keepNext/>
              <w:ind w:left="63" w:right="63"/>
              <w:rPr>
                <w:rFonts w:hint="eastAsia" w:ascii="宋体" w:hAnsi="宋体" w:eastAsia="宋体" w:cs="宋体"/>
                <w:color w:val="000000"/>
                <w:sz w:val="21"/>
                <w:szCs w:val="21"/>
                <w:highlight w:val="none"/>
                <w:lang w:val="en-US" w:eastAsia="zh-CN"/>
              </w:rPr>
            </w:pPr>
          </w:p>
        </w:tc>
      </w:tr>
      <w:tr w14:paraId="2124C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4D329840">
            <w:pPr>
              <w:pStyle w:val="25"/>
              <w:keepNext/>
              <w:ind w:left="63" w:right="63"/>
              <w:rPr>
                <w:rFonts w:hint="eastAsia" w:ascii="宋体" w:hAnsi="宋体" w:eastAsia="宋体" w:cs="宋体"/>
                <w:color w:val="000000"/>
                <w:sz w:val="21"/>
                <w:szCs w:val="21"/>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A05DCCB">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743D7593">
            <w:pPr>
              <w:pStyle w:val="25"/>
              <w:keepNext/>
              <w:ind w:left="63" w:right="63"/>
              <w:rPr>
                <w:rFonts w:hint="eastAsia" w:ascii="宋体" w:hAnsi="宋体" w:eastAsia="宋体" w:cs="宋体"/>
                <w:color w:val="000000"/>
                <w:sz w:val="21"/>
                <w:szCs w:val="21"/>
                <w:highlight w:val="none"/>
                <w:lang w:val="en-US" w:eastAsia="zh-CN"/>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ED37F7E">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69216A8">
            <w:pPr>
              <w:pStyle w:val="25"/>
              <w:keepNext/>
              <w:ind w:left="63" w:right="63"/>
              <w:rPr>
                <w:rFonts w:hint="eastAsia" w:ascii="宋体" w:hAnsi="宋体" w:eastAsia="宋体" w:cs="宋体"/>
                <w:color w:val="000000"/>
                <w:sz w:val="21"/>
                <w:szCs w:val="21"/>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17FD4EF1">
            <w:pPr>
              <w:pStyle w:val="25"/>
              <w:keepNext/>
              <w:ind w:left="63" w:right="63"/>
              <w:rPr>
                <w:rFonts w:hint="eastAsia" w:ascii="宋体" w:hAnsi="宋体" w:eastAsia="宋体" w:cs="宋体"/>
                <w:color w:val="000000"/>
                <w:sz w:val="21"/>
                <w:szCs w:val="21"/>
                <w:highlight w:val="none"/>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3D7FAC9A">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37C9E1EA">
            <w:pPr>
              <w:pStyle w:val="25"/>
              <w:keepNext/>
              <w:ind w:left="63" w:right="63"/>
              <w:rPr>
                <w:rFonts w:hint="eastAsia" w:ascii="宋体" w:hAnsi="宋体" w:eastAsia="宋体" w:cs="宋体"/>
                <w:color w:val="000000"/>
                <w:sz w:val="21"/>
                <w:szCs w:val="21"/>
                <w:highlight w:val="none"/>
                <w:lang w:val="en-US" w:eastAsia="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67AB8FF">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610655B0">
            <w:pPr>
              <w:pStyle w:val="25"/>
              <w:keepNext/>
              <w:ind w:left="63" w:right="63"/>
              <w:rPr>
                <w:rFonts w:hint="eastAsia" w:ascii="宋体" w:hAnsi="宋体" w:eastAsia="宋体" w:cs="宋体"/>
                <w:color w:val="000000"/>
                <w:sz w:val="21"/>
                <w:szCs w:val="21"/>
                <w:highlight w:val="none"/>
                <w:lang w:val="en-US" w:eastAsia="zh-CN"/>
              </w:rPr>
            </w:pPr>
          </w:p>
        </w:tc>
      </w:tr>
      <w:tr w14:paraId="6BDE6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343CEE3">
            <w:pPr>
              <w:pStyle w:val="25"/>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67733068">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6613FD2D">
            <w:pPr>
              <w:pStyle w:val="25"/>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3C190D75">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6B2AAEF3">
            <w:pPr>
              <w:pStyle w:val="25"/>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107975DF">
            <w:pPr>
              <w:pStyle w:val="25"/>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6438A032">
            <w:pPr>
              <w:pStyle w:val="25"/>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70F8C3CD">
            <w:pPr>
              <w:pStyle w:val="25"/>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1C95125C">
            <w:pPr>
              <w:pStyle w:val="25"/>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4828D7D6">
            <w:pPr>
              <w:pStyle w:val="25"/>
              <w:keepNext/>
              <w:ind w:left="63" w:right="63"/>
              <w:rPr>
                <w:rFonts w:hint="eastAsia" w:ascii="宋体" w:hAnsi="宋体" w:eastAsia="宋体" w:cs="宋体"/>
                <w:color w:val="000000"/>
                <w:sz w:val="21"/>
                <w:szCs w:val="21"/>
                <w:highlight w:val="none"/>
                <w:lang w:val="en-US" w:eastAsia="zh-CN"/>
              </w:rPr>
            </w:pPr>
          </w:p>
        </w:tc>
      </w:tr>
    </w:tbl>
    <w:p w14:paraId="0463A487">
      <w:pPr>
        <w:widowControl/>
        <w:jc w:val="left"/>
        <w:rPr>
          <w:rFonts w:hint="eastAsia" w:ascii="宋体" w:hAnsi="宋体" w:eastAsia="宋体" w:cs="宋体"/>
          <w:b/>
          <w:color w:val="000000"/>
          <w:sz w:val="21"/>
          <w:szCs w:val="21"/>
          <w:highlight w:val="none"/>
        </w:rPr>
        <w:sectPr>
          <w:pgSz w:w="16838" w:h="11906" w:orient="landscape"/>
          <w:pgMar w:top="1554" w:right="1418" w:bottom="1531" w:left="1418" w:header="851" w:footer="992" w:gutter="0"/>
          <w:cols w:space="720" w:num="1"/>
          <w:titlePg/>
          <w:docGrid w:type="linesAndChars" w:linePitch="312" w:charSpace="0"/>
        </w:sectPr>
      </w:pPr>
    </w:p>
    <w:p w14:paraId="51CFF2A4">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附件3：    </w:t>
      </w:r>
    </w:p>
    <w:p w14:paraId="702B3130">
      <w:pPr>
        <w:spacing w:line="480" w:lineRule="auto"/>
        <w:ind w:firstLine="422" w:firstLineChars="200"/>
        <w:jc w:val="center"/>
        <w:outlineLvl w:val="1"/>
        <w:rPr>
          <w:rFonts w:hint="eastAsia" w:ascii="宋体" w:hAnsi="宋体" w:eastAsia="宋体" w:cs="宋体"/>
          <w:b/>
          <w:color w:val="000000"/>
          <w:sz w:val="21"/>
          <w:szCs w:val="21"/>
          <w:highlight w:val="none"/>
        </w:rPr>
      </w:pPr>
      <w:bookmarkStart w:id="901" w:name="_Toc411083385"/>
      <w:r>
        <w:rPr>
          <w:rFonts w:hint="eastAsia" w:ascii="宋体" w:hAnsi="宋体" w:eastAsia="宋体" w:cs="宋体"/>
          <w:b/>
          <w:color w:val="000000"/>
          <w:sz w:val="21"/>
          <w:szCs w:val="21"/>
          <w:highlight w:val="none"/>
        </w:rPr>
        <w:t>工程质量保修书</w:t>
      </w:r>
      <w:bookmarkEnd w:id="901"/>
    </w:p>
    <w:p w14:paraId="009D712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w:t>
      </w:r>
      <w:r>
        <w:rPr>
          <w:rFonts w:hint="eastAsia" w:ascii="宋体" w:hAnsi="宋体" w:eastAsia="宋体" w:cs="宋体"/>
          <w:color w:val="000000"/>
          <w:sz w:val="21"/>
          <w:szCs w:val="21"/>
          <w:highlight w:val="none"/>
          <w:u w:val="single"/>
        </w:rPr>
        <w:t xml:space="preserve">                                               </w:t>
      </w:r>
    </w:p>
    <w:p w14:paraId="06504A22">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承包商：</w:t>
      </w:r>
      <w:r>
        <w:rPr>
          <w:rFonts w:hint="eastAsia" w:ascii="宋体" w:hAnsi="宋体" w:eastAsia="宋体" w:cs="宋体"/>
          <w:color w:val="000000"/>
          <w:sz w:val="21"/>
          <w:szCs w:val="21"/>
          <w:highlight w:val="none"/>
          <w:u w:val="single"/>
        </w:rPr>
        <w:t xml:space="preserve">                                               </w:t>
      </w:r>
    </w:p>
    <w:p w14:paraId="57C32B9E">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发包人、承包商根据《中华人民共和国建筑法》、《建设工程质量管理条例》和《房屋建筑工程质量保修办法》，经协商一致，对</w:t>
      </w:r>
      <w:r>
        <w:rPr>
          <w:rFonts w:hint="eastAsia" w:ascii="宋体" w:hAnsi="宋体" w:cs="宋体"/>
          <w:color w:val="000000"/>
          <w:sz w:val="21"/>
          <w:szCs w:val="21"/>
          <w:highlight w:val="none"/>
          <w:u w:val="single"/>
          <w:lang w:eastAsia="zh-CN"/>
        </w:rPr>
        <w:t xml:space="preserve">大佳何“艺术谷”和美示范片区工程—宁海县大佳何镇南阳福园景区（二期） </w:t>
      </w:r>
      <w:r>
        <w:rPr>
          <w:rFonts w:hint="eastAsia" w:ascii="宋体" w:hAnsi="宋体" w:eastAsia="宋体" w:cs="宋体"/>
          <w:color w:val="000000"/>
          <w:sz w:val="21"/>
          <w:szCs w:val="21"/>
          <w:highlight w:val="none"/>
        </w:rPr>
        <w:t>（工程名称）签订保修书。</w:t>
      </w:r>
    </w:p>
    <w:p w14:paraId="192F8E35">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一、工程保修范围和内容</w:t>
      </w:r>
    </w:p>
    <w:p w14:paraId="43C8D695">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承包商在保修期内，按照有关法律、法规、规章的管理规定和双方约定，承担本工程保修责任。</w:t>
      </w:r>
    </w:p>
    <w:p w14:paraId="599914C8">
      <w:pPr>
        <w:spacing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具体保修内容双方约定如下：</w:t>
      </w:r>
      <w:r>
        <w:rPr>
          <w:rFonts w:hint="eastAsia" w:ascii="宋体" w:hAnsi="宋体" w:eastAsia="宋体" w:cs="宋体"/>
          <w:color w:val="000000"/>
          <w:sz w:val="21"/>
          <w:szCs w:val="21"/>
          <w:highlight w:val="none"/>
          <w:u w:val="single"/>
        </w:rPr>
        <w:t xml:space="preserve">   施工合同约定的工程均为保修项目    </w:t>
      </w:r>
    </w:p>
    <w:p w14:paraId="31076EF6">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二、保修期</w:t>
      </w:r>
    </w:p>
    <w:p w14:paraId="125B4111">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双方根据《建设工程质量管理条例》及有关规定，约定本工程的保修期如下：</w:t>
      </w:r>
    </w:p>
    <w:p w14:paraId="55536E74">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1、地基基础工程和主体结构工程为设计文件规定的该工程合理使用年限；</w:t>
      </w:r>
    </w:p>
    <w:p w14:paraId="090DDF23">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2、屋面防水工程、有防水要求的卫生间、房间和外墙面的防渗漏为</w:t>
      </w:r>
      <w:r>
        <w:rPr>
          <w:rFonts w:hint="eastAsia" w:ascii="宋体" w:hAnsi="宋体" w:eastAsia="宋体" w:cs="宋体"/>
          <w:color w:val="000000"/>
          <w:sz w:val="21"/>
          <w:szCs w:val="21"/>
          <w:highlight w:val="none"/>
          <w:u w:val="single"/>
        </w:rPr>
        <w:t xml:space="preserve"> 5 </w:t>
      </w:r>
      <w:r>
        <w:rPr>
          <w:rFonts w:hint="eastAsia" w:ascii="宋体" w:hAnsi="宋体" w:eastAsia="宋体" w:cs="宋体"/>
          <w:color w:val="000000"/>
          <w:sz w:val="21"/>
          <w:szCs w:val="21"/>
          <w:highlight w:val="none"/>
        </w:rPr>
        <w:t>年；</w:t>
      </w:r>
    </w:p>
    <w:p w14:paraId="1090EB73">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3、节能工程、太阳能系统工程，为</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年；</w:t>
      </w:r>
    </w:p>
    <w:p w14:paraId="5D5B5941">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4、装修工程、附属工程、电气管线、给排水管道、设备安装工程为</w:t>
      </w:r>
      <w:r>
        <w:rPr>
          <w:rFonts w:hint="eastAsia" w:ascii="宋体" w:hAnsi="宋体" w:eastAsia="宋体" w:cs="宋体"/>
          <w:color w:val="000000"/>
          <w:sz w:val="21"/>
          <w:szCs w:val="21"/>
          <w:highlight w:val="none"/>
          <w:u w:val="single"/>
        </w:rPr>
        <w:t>2</w:t>
      </w:r>
      <w:r>
        <w:rPr>
          <w:rFonts w:hint="eastAsia" w:ascii="宋体" w:hAnsi="宋体" w:eastAsia="宋体" w:cs="宋体"/>
          <w:color w:val="000000"/>
          <w:sz w:val="21"/>
          <w:szCs w:val="21"/>
          <w:highlight w:val="none"/>
        </w:rPr>
        <w:t>年；</w:t>
      </w:r>
    </w:p>
    <w:p w14:paraId="48E8F953">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5、供热与供冷系统为</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个采暖期、供冷期；</w:t>
      </w:r>
    </w:p>
    <w:p w14:paraId="1451D6C0">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6、住宅小区内的给排水设施、道路等配套工程为</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年；</w:t>
      </w:r>
    </w:p>
    <w:p w14:paraId="57A39F43">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7、其他项目保修期限约定如下：</w:t>
      </w:r>
      <w:r>
        <w:rPr>
          <w:rFonts w:hint="eastAsia" w:ascii="宋体" w:hAnsi="宋体" w:eastAsia="宋体" w:cs="宋体"/>
          <w:color w:val="000000"/>
          <w:sz w:val="21"/>
          <w:szCs w:val="21"/>
          <w:highlight w:val="none"/>
          <w:u w:val="single"/>
        </w:rPr>
        <w:t>除上述约定外，本工程其余部分保修期为</w:t>
      </w:r>
      <w:r>
        <w:rPr>
          <w:rFonts w:hint="default" w:ascii="宋体" w:hAnsi="宋体" w:cs="宋体"/>
          <w:color w:val="000000"/>
          <w:sz w:val="21"/>
          <w:szCs w:val="21"/>
          <w:highlight w:val="none"/>
          <w:u w:val="single"/>
          <w:lang w:val="en-US"/>
        </w:rPr>
        <w:t>2</w:t>
      </w:r>
      <w:r>
        <w:rPr>
          <w:rFonts w:hint="eastAsia" w:ascii="宋体" w:hAnsi="宋体" w:eastAsia="宋体" w:cs="宋体"/>
          <w:color w:val="000000"/>
          <w:sz w:val="21"/>
          <w:szCs w:val="21"/>
          <w:highlight w:val="none"/>
          <w:u w:val="single"/>
        </w:rPr>
        <w:t>年</w:t>
      </w:r>
      <w:r>
        <w:rPr>
          <w:rFonts w:hint="eastAsia" w:ascii="宋体" w:hAnsi="宋体" w:eastAsia="宋体" w:cs="宋体"/>
          <w:color w:val="000000"/>
          <w:sz w:val="21"/>
          <w:szCs w:val="21"/>
          <w:highlight w:val="none"/>
        </w:rPr>
        <w:t>。</w:t>
      </w:r>
    </w:p>
    <w:p w14:paraId="7CFBC84A">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三、缺陷责任期</w:t>
      </w:r>
    </w:p>
    <w:p w14:paraId="664BB02F">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工程缺陷责任期为</w:t>
      </w:r>
      <w:r>
        <w:rPr>
          <w:rFonts w:hint="eastAsia" w:ascii="宋体" w:hAnsi="宋体" w:eastAsia="宋体" w:cs="宋体"/>
          <w:color w:val="000000"/>
          <w:sz w:val="21"/>
          <w:szCs w:val="21"/>
          <w:highlight w:val="none"/>
          <w:u w:val="single"/>
        </w:rPr>
        <w:t>24</w:t>
      </w:r>
      <w:r>
        <w:rPr>
          <w:rFonts w:hint="eastAsia" w:ascii="宋体" w:hAnsi="宋体" w:eastAsia="宋体" w:cs="宋体"/>
          <w:color w:val="000000"/>
          <w:sz w:val="21"/>
          <w:szCs w:val="21"/>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default" w:ascii="宋体" w:hAnsi="宋体" w:cs="宋体"/>
          <w:color w:val="000000"/>
          <w:sz w:val="21"/>
          <w:szCs w:val="21"/>
          <w:highlight w:val="none"/>
          <w:u w:val="single"/>
          <w:lang w:val="en-US"/>
        </w:rPr>
        <w:t>12</w:t>
      </w:r>
      <w:r>
        <w:rPr>
          <w:rFonts w:hint="eastAsia" w:ascii="宋体" w:hAnsi="宋体" w:eastAsia="宋体" w:cs="宋体"/>
          <w:color w:val="000000"/>
          <w:sz w:val="21"/>
          <w:szCs w:val="21"/>
          <w:highlight w:val="none"/>
        </w:rPr>
        <w:t>个月。</w:t>
      </w:r>
    </w:p>
    <w:p w14:paraId="58792E3B">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四、保修责任</w:t>
      </w:r>
    </w:p>
    <w:p w14:paraId="2D323028">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1、属于责任范围、内容的项目，承包商应当在接到保修通知之日起7天内派人保修。承包商不在约定期限内派人保修的，发包人可以委托他人修理。</w:t>
      </w:r>
    </w:p>
    <w:p w14:paraId="0F8DBB65">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2、发生紧急抢修事故的，承包商在接到事故通知后，应当立即到达事故现场抢修。</w:t>
      </w:r>
    </w:p>
    <w:p w14:paraId="134AF4D1">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73E775D9">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4、质量保修完成后，由发包人组织验收。</w:t>
      </w:r>
    </w:p>
    <w:p w14:paraId="3EF2FD62">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五、保修费用</w:t>
      </w:r>
    </w:p>
    <w:p w14:paraId="63D011E6">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保修费用由造成质量缺陷的责任方承担。</w:t>
      </w:r>
    </w:p>
    <w:p w14:paraId="1499610D">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六、其他</w:t>
      </w:r>
    </w:p>
    <w:p w14:paraId="14974E3E">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双方约定的其他工程保修责任事项：</w:t>
      </w:r>
    </w:p>
    <w:p w14:paraId="3FFF65EE">
      <w:pPr>
        <w:spacing w:line="360" w:lineRule="auto"/>
        <w:ind w:firstLine="420" w:firstLineChars="200"/>
        <w:rPr>
          <w:rFonts w:hint="default"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14:paraId="46EE5A40">
      <w:pPr>
        <w:spacing w:line="360" w:lineRule="auto"/>
        <w:ind w:firstLine="522" w:firstLineChars="24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本工程保修书，由施工合同发包人、承包商双方在竣工验收前共同签署，作为施工合同附件，其有效期限至保修期满。</w:t>
      </w:r>
    </w:p>
    <w:p w14:paraId="30591C12">
      <w:pPr>
        <w:spacing w:line="360" w:lineRule="auto"/>
        <w:rPr>
          <w:rFonts w:hint="eastAsia" w:ascii="宋体" w:hAnsi="宋体" w:eastAsia="宋体" w:cs="宋体"/>
          <w:color w:val="000000"/>
          <w:sz w:val="21"/>
          <w:szCs w:val="21"/>
          <w:highlight w:val="none"/>
        </w:rPr>
      </w:pPr>
    </w:p>
    <w:p w14:paraId="30CB5BCC">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（公章）    承包商：</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（公章）</w:t>
      </w:r>
    </w:p>
    <w:p w14:paraId="36387CC8">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法定地址：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法定地址：</w:t>
      </w:r>
      <w:r>
        <w:rPr>
          <w:rFonts w:hint="eastAsia" w:ascii="宋体" w:hAnsi="宋体" w:eastAsia="宋体" w:cs="宋体"/>
          <w:color w:val="000000"/>
          <w:sz w:val="21"/>
          <w:szCs w:val="21"/>
          <w:highlight w:val="none"/>
          <w:u w:val="single"/>
        </w:rPr>
        <w:t xml:space="preserve">                      </w:t>
      </w:r>
    </w:p>
    <w:p w14:paraId="39897E17">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法定代表人或其                           法定代表人或其</w:t>
      </w:r>
    </w:p>
    <w:p w14:paraId="370A5CF7">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     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w:t>
      </w:r>
    </w:p>
    <w:p w14:paraId="480BC0D0">
      <w:pPr>
        <w:spacing w:line="440" w:lineRule="exact"/>
        <w:rPr>
          <w:rFonts w:hint="eastAsia" w:ascii="宋体" w:hAnsi="宋体" w:eastAsia="宋体" w:cs="宋体"/>
          <w:color w:val="000000"/>
          <w:sz w:val="21"/>
          <w:szCs w:val="21"/>
          <w:highlight w:val="none"/>
        </w:rPr>
      </w:pPr>
    </w:p>
    <w:p w14:paraId="0EF1F294">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br w:type="page"/>
      </w:r>
      <w:r>
        <w:rPr>
          <w:rFonts w:hint="eastAsia" w:ascii="宋体" w:hAnsi="宋体" w:eastAsia="宋体" w:cs="宋体"/>
          <w:color w:val="000000"/>
          <w:sz w:val="21"/>
          <w:szCs w:val="21"/>
          <w:highlight w:val="none"/>
        </w:rPr>
        <w:t>附</w:t>
      </w:r>
      <w:bookmarkStart w:id="902" w:name="_Toc296346728"/>
      <w:bookmarkStart w:id="903" w:name="_Toc296891055"/>
      <w:bookmarkStart w:id="904" w:name="_Toc296891267"/>
      <w:bookmarkStart w:id="905" w:name="_Toc296503227"/>
      <w:bookmarkStart w:id="906" w:name="_Toc296347226"/>
      <w:bookmarkStart w:id="907" w:name="_Toc267261698"/>
      <w:bookmarkStart w:id="908" w:name="_Toc296944566"/>
      <w:r>
        <w:rPr>
          <w:rFonts w:hint="eastAsia" w:ascii="宋体" w:hAnsi="宋体" w:eastAsia="宋体" w:cs="宋体"/>
          <w:color w:val="000000"/>
          <w:sz w:val="21"/>
          <w:szCs w:val="21"/>
          <w:highlight w:val="none"/>
        </w:rPr>
        <w:t>件5：</w:t>
      </w:r>
    </w:p>
    <w:bookmarkEnd w:id="902"/>
    <w:bookmarkEnd w:id="903"/>
    <w:bookmarkEnd w:id="904"/>
    <w:bookmarkEnd w:id="905"/>
    <w:bookmarkEnd w:id="906"/>
    <w:bookmarkEnd w:id="907"/>
    <w:bookmarkEnd w:id="908"/>
    <w:p w14:paraId="61BA1D69">
      <w:pPr>
        <w:spacing w:before="120" w:beforeLines="50" w:after="120" w:afterLines="5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承包人用于本工程施工的机械设备表</w:t>
      </w:r>
    </w:p>
    <w:tbl>
      <w:tblPr>
        <w:tblStyle w:val="6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1233"/>
        <w:gridCol w:w="675"/>
        <w:gridCol w:w="880"/>
        <w:gridCol w:w="1020"/>
        <w:gridCol w:w="1480"/>
        <w:gridCol w:w="1020"/>
        <w:gridCol w:w="921"/>
      </w:tblGrid>
      <w:tr w14:paraId="03D6F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6" w:space="0"/>
              <w:right w:val="single" w:color="auto" w:sz="6" w:space="0"/>
            </w:tcBorders>
            <w:noWrap w:val="0"/>
            <w:vAlign w:val="center"/>
          </w:tcPr>
          <w:p w14:paraId="0199F47F">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序号</w:t>
            </w:r>
          </w:p>
        </w:tc>
        <w:tc>
          <w:tcPr>
            <w:tcW w:w="1418" w:type="dxa"/>
            <w:tcBorders>
              <w:top w:val="single" w:color="auto" w:sz="12" w:space="0"/>
              <w:left w:val="single" w:color="auto" w:sz="6" w:space="0"/>
              <w:bottom w:val="double" w:color="auto" w:sz="6" w:space="0"/>
              <w:right w:val="single" w:color="auto" w:sz="6" w:space="0"/>
            </w:tcBorders>
            <w:noWrap w:val="0"/>
            <w:vAlign w:val="center"/>
          </w:tcPr>
          <w:p w14:paraId="22CF0921">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机械或设备名称</w:t>
            </w:r>
          </w:p>
        </w:tc>
        <w:tc>
          <w:tcPr>
            <w:tcW w:w="1233" w:type="dxa"/>
            <w:tcBorders>
              <w:top w:val="single" w:color="auto" w:sz="12" w:space="0"/>
              <w:left w:val="single" w:color="auto" w:sz="6" w:space="0"/>
              <w:bottom w:val="double" w:color="auto" w:sz="6" w:space="0"/>
              <w:right w:val="single" w:color="auto" w:sz="6" w:space="0"/>
            </w:tcBorders>
            <w:noWrap w:val="0"/>
            <w:vAlign w:val="center"/>
          </w:tcPr>
          <w:p w14:paraId="2A65DE0D">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规格型号</w:t>
            </w:r>
          </w:p>
        </w:tc>
        <w:tc>
          <w:tcPr>
            <w:tcW w:w="675" w:type="dxa"/>
            <w:tcBorders>
              <w:top w:val="single" w:color="auto" w:sz="12" w:space="0"/>
              <w:left w:val="single" w:color="auto" w:sz="6" w:space="0"/>
              <w:bottom w:val="double" w:color="auto" w:sz="6" w:space="0"/>
              <w:right w:val="single" w:color="auto" w:sz="6" w:space="0"/>
            </w:tcBorders>
            <w:noWrap w:val="0"/>
            <w:vAlign w:val="center"/>
          </w:tcPr>
          <w:p w14:paraId="4F54CC84">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14:paraId="01DF7053">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59524085">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制造年份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14:paraId="03844C11">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72D886A1">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生产能力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14:paraId="1E992843">
            <w:pPr>
              <w:pStyle w:val="25"/>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备注</w:t>
            </w:r>
          </w:p>
        </w:tc>
      </w:tr>
      <w:tr w14:paraId="17FF6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noWrap w:val="0"/>
            <w:vAlign w:val="center"/>
          </w:tcPr>
          <w:p w14:paraId="7FFCDCEB">
            <w:pPr>
              <w:pStyle w:val="25"/>
              <w:keepNext/>
              <w:ind w:left="63" w:right="63"/>
              <w:rPr>
                <w:rFonts w:hint="eastAsia" w:ascii="宋体" w:hAnsi="宋体" w:eastAsia="宋体" w:cs="宋体"/>
                <w:color w:val="000000"/>
                <w:sz w:val="21"/>
                <w:szCs w:val="21"/>
                <w:highlight w:val="none"/>
                <w:lang w:val="en-US" w:eastAsia="zh-CN"/>
              </w:rPr>
            </w:pPr>
          </w:p>
        </w:tc>
        <w:tc>
          <w:tcPr>
            <w:tcW w:w="1418" w:type="dxa"/>
            <w:tcBorders>
              <w:top w:val="double" w:color="auto" w:sz="6" w:space="0"/>
              <w:left w:val="single" w:color="auto" w:sz="6" w:space="0"/>
              <w:bottom w:val="single" w:color="auto" w:sz="6" w:space="0"/>
              <w:right w:val="single" w:color="auto" w:sz="6" w:space="0"/>
            </w:tcBorders>
            <w:noWrap w:val="0"/>
            <w:vAlign w:val="center"/>
          </w:tcPr>
          <w:p w14:paraId="724663F3">
            <w:pPr>
              <w:pStyle w:val="25"/>
              <w:keepNext/>
              <w:ind w:left="63" w:right="63"/>
              <w:rPr>
                <w:rFonts w:hint="eastAsia" w:ascii="宋体" w:hAnsi="宋体" w:eastAsia="宋体" w:cs="宋体"/>
                <w:color w:val="000000"/>
                <w:sz w:val="21"/>
                <w:szCs w:val="21"/>
                <w:highlight w:val="none"/>
                <w:lang w:val="en-US" w:eastAsia="zh-CN"/>
              </w:rPr>
            </w:pPr>
          </w:p>
        </w:tc>
        <w:tc>
          <w:tcPr>
            <w:tcW w:w="1233" w:type="dxa"/>
            <w:tcBorders>
              <w:top w:val="double" w:color="auto" w:sz="6" w:space="0"/>
              <w:left w:val="single" w:color="auto" w:sz="6" w:space="0"/>
              <w:bottom w:val="single" w:color="auto" w:sz="6" w:space="0"/>
              <w:right w:val="single" w:color="auto" w:sz="6" w:space="0"/>
            </w:tcBorders>
            <w:noWrap w:val="0"/>
            <w:vAlign w:val="center"/>
          </w:tcPr>
          <w:p w14:paraId="28EF48A8">
            <w:pPr>
              <w:pStyle w:val="25"/>
              <w:keepNext/>
              <w:ind w:left="63" w:right="63"/>
              <w:rPr>
                <w:rFonts w:hint="eastAsia" w:ascii="宋体" w:hAnsi="宋体" w:eastAsia="宋体" w:cs="宋体"/>
                <w:color w:val="000000"/>
                <w:sz w:val="21"/>
                <w:szCs w:val="21"/>
                <w:highlight w:val="none"/>
                <w:lang w:val="en-US" w:eastAsia="zh-CN"/>
              </w:rPr>
            </w:pPr>
          </w:p>
        </w:tc>
        <w:tc>
          <w:tcPr>
            <w:tcW w:w="675" w:type="dxa"/>
            <w:tcBorders>
              <w:top w:val="double" w:color="auto" w:sz="6" w:space="0"/>
              <w:left w:val="single" w:color="auto" w:sz="6" w:space="0"/>
              <w:bottom w:val="single" w:color="auto" w:sz="6" w:space="0"/>
              <w:right w:val="single" w:color="auto" w:sz="6" w:space="0"/>
            </w:tcBorders>
            <w:noWrap w:val="0"/>
            <w:vAlign w:val="center"/>
          </w:tcPr>
          <w:p w14:paraId="358DA1AF">
            <w:pPr>
              <w:pStyle w:val="25"/>
              <w:keepNext/>
              <w:ind w:left="63" w:right="63"/>
              <w:rPr>
                <w:rFonts w:hint="eastAsia" w:ascii="宋体" w:hAnsi="宋体" w:eastAsia="宋体" w:cs="宋体"/>
                <w:color w:val="000000"/>
                <w:sz w:val="21"/>
                <w:szCs w:val="21"/>
                <w:highlight w:val="none"/>
                <w:lang w:val="en-US" w:eastAsia="zh-CN"/>
              </w:rPr>
            </w:pPr>
          </w:p>
        </w:tc>
        <w:tc>
          <w:tcPr>
            <w:tcW w:w="880" w:type="dxa"/>
            <w:tcBorders>
              <w:top w:val="double" w:color="auto" w:sz="6" w:space="0"/>
              <w:left w:val="single" w:color="auto" w:sz="6" w:space="0"/>
              <w:bottom w:val="single" w:color="auto" w:sz="6" w:space="0"/>
              <w:right w:val="single" w:color="auto" w:sz="6" w:space="0"/>
            </w:tcBorders>
            <w:noWrap w:val="0"/>
            <w:vAlign w:val="center"/>
          </w:tcPr>
          <w:p w14:paraId="7A27B1BF">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74CF04C9">
            <w:pPr>
              <w:pStyle w:val="25"/>
              <w:keepNext/>
              <w:ind w:left="63" w:right="63"/>
              <w:rPr>
                <w:rFonts w:hint="eastAsia" w:ascii="宋体" w:hAnsi="宋体" w:eastAsia="宋体" w:cs="宋体"/>
                <w:color w:val="000000"/>
                <w:sz w:val="21"/>
                <w:szCs w:val="21"/>
                <w:highlight w:val="none"/>
                <w:lang w:val="en-US" w:eastAsia="zh-CN"/>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14:paraId="40AC9BE5">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29A4591A">
            <w:pPr>
              <w:pStyle w:val="25"/>
              <w:keepNext/>
              <w:ind w:left="63" w:right="63"/>
              <w:rPr>
                <w:rFonts w:hint="eastAsia" w:ascii="宋体" w:hAnsi="宋体" w:eastAsia="宋体" w:cs="宋体"/>
                <w:color w:val="000000"/>
                <w:sz w:val="21"/>
                <w:szCs w:val="21"/>
                <w:highlight w:val="none"/>
                <w:lang w:val="en-US" w:eastAsia="zh-CN"/>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14:paraId="5295A764">
            <w:pPr>
              <w:pStyle w:val="25"/>
              <w:keepNext/>
              <w:ind w:left="63" w:right="63"/>
              <w:rPr>
                <w:rFonts w:hint="eastAsia" w:ascii="宋体" w:hAnsi="宋体" w:eastAsia="宋体" w:cs="宋体"/>
                <w:color w:val="000000"/>
                <w:sz w:val="21"/>
                <w:szCs w:val="21"/>
                <w:highlight w:val="none"/>
                <w:lang w:val="en-US" w:eastAsia="zh-CN"/>
              </w:rPr>
            </w:pPr>
          </w:p>
        </w:tc>
      </w:tr>
      <w:tr w14:paraId="79FC7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6DFCE559">
            <w:pPr>
              <w:pStyle w:val="25"/>
              <w:keepNext/>
              <w:ind w:left="63" w:right="63"/>
              <w:rPr>
                <w:rFonts w:hint="eastAsia" w:ascii="宋体" w:hAnsi="宋体" w:eastAsia="宋体" w:cs="宋体"/>
                <w:color w:val="000000"/>
                <w:sz w:val="21"/>
                <w:szCs w:val="21"/>
                <w:highlight w:val="none"/>
                <w:lang w:val="en-US" w:eastAsia="zh-CN"/>
              </w:rPr>
            </w:pPr>
          </w:p>
        </w:tc>
        <w:tc>
          <w:tcPr>
            <w:tcW w:w="1418" w:type="dxa"/>
            <w:tcBorders>
              <w:top w:val="nil"/>
              <w:left w:val="single" w:color="auto" w:sz="6" w:space="0"/>
              <w:bottom w:val="single" w:color="auto" w:sz="6" w:space="0"/>
              <w:right w:val="single" w:color="auto" w:sz="6" w:space="0"/>
            </w:tcBorders>
            <w:noWrap w:val="0"/>
            <w:vAlign w:val="center"/>
          </w:tcPr>
          <w:p w14:paraId="64AFA20B">
            <w:pPr>
              <w:pStyle w:val="25"/>
              <w:keepNext/>
              <w:ind w:left="63" w:right="63"/>
              <w:rPr>
                <w:rFonts w:hint="eastAsia" w:ascii="宋体" w:hAnsi="宋体" w:eastAsia="宋体" w:cs="宋体"/>
                <w:color w:val="000000"/>
                <w:sz w:val="21"/>
                <w:szCs w:val="21"/>
                <w:highlight w:val="none"/>
                <w:lang w:val="en-US" w:eastAsia="zh-CN"/>
              </w:rPr>
            </w:pPr>
          </w:p>
        </w:tc>
        <w:tc>
          <w:tcPr>
            <w:tcW w:w="1233" w:type="dxa"/>
            <w:tcBorders>
              <w:top w:val="nil"/>
              <w:left w:val="single" w:color="auto" w:sz="6" w:space="0"/>
              <w:bottom w:val="single" w:color="auto" w:sz="6" w:space="0"/>
              <w:right w:val="single" w:color="auto" w:sz="6" w:space="0"/>
            </w:tcBorders>
            <w:noWrap w:val="0"/>
            <w:vAlign w:val="center"/>
          </w:tcPr>
          <w:p w14:paraId="3D98CA53">
            <w:pPr>
              <w:pStyle w:val="25"/>
              <w:keepNext/>
              <w:ind w:left="63" w:right="63"/>
              <w:rPr>
                <w:rFonts w:hint="eastAsia" w:ascii="宋体" w:hAnsi="宋体" w:eastAsia="宋体" w:cs="宋体"/>
                <w:color w:val="000000"/>
                <w:sz w:val="21"/>
                <w:szCs w:val="21"/>
                <w:highlight w:val="none"/>
                <w:lang w:val="en-US" w:eastAsia="zh-CN"/>
              </w:rPr>
            </w:pPr>
          </w:p>
        </w:tc>
        <w:tc>
          <w:tcPr>
            <w:tcW w:w="675" w:type="dxa"/>
            <w:tcBorders>
              <w:top w:val="nil"/>
              <w:left w:val="single" w:color="auto" w:sz="6" w:space="0"/>
              <w:bottom w:val="single" w:color="auto" w:sz="6" w:space="0"/>
              <w:right w:val="single" w:color="auto" w:sz="6" w:space="0"/>
            </w:tcBorders>
            <w:noWrap w:val="0"/>
            <w:vAlign w:val="center"/>
          </w:tcPr>
          <w:p w14:paraId="0D2069FA">
            <w:pPr>
              <w:pStyle w:val="25"/>
              <w:keepNext/>
              <w:ind w:left="63" w:right="63"/>
              <w:rPr>
                <w:rFonts w:hint="eastAsia" w:ascii="宋体" w:hAnsi="宋体" w:eastAsia="宋体" w:cs="宋体"/>
                <w:color w:val="000000"/>
                <w:sz w:val="21"/>
                <w:szCs w:val="21"/>
                <w:highlight w:val="none"/>
                <w:lang w:val="en-US" w:eastAsia="zh-CN"/>
              </w:rPr>
            </w:pPr>
          </w:p>
        </w:tc>
        <w:tc>
          <w:tcPr>
            <w:tcW w:w="880" w:type="dxa"/>
            <w:tcBorders>
              <w:top w:val="nil"/>
              <w:left w:val="single" w:color="auto" w:sz="6" w:space="0"/>
              <w:bottom w:val="single" w:color="auto" w:sz="6" w:space="0"/>
              <w:right w:val="single" w:color="auto" w:sz="6" w:space="0"/>
            </w:tcBorders>
            <w:noWrap w:val="0"/>
            <w:vAlign w:val="center"/>
          </w:tcPr>
          <w:p w14:paraId="5387B448">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nil"/>
              <w:left w:val="single" w:color="auto" w:sz="6" w:space="0"/>
              <w:bottom w:val="single" w:color="auto" w:sz="6" w:space="0"/>
              <w:right w:val="single" w:color="auto" w:sz="6" w:space="0"/>
            </w:tcBorders>
            <w:noWrap w:val="0"/>
            <w:vAlign w:val="center"/>
          </w:tcPr>
          <w:p w14:paraId="7E245264">
            <w:pPr>
              <w:pStyle w:val="25"/>
              <w:keepNext/>
              <w:ind w:left="63" w:right="63"/>
              <w:rPr>
                <w:rFonts w:hint="eastAsia" w:ascii="宋体" w:hAnsi="宋体" w:eastAsia="宋体" w:cs="宋体"/>
                <w:color w:val="000000"/>
                <w:sz w:val="21"/>
                <w:szCs w:val="21"/>
                <w:highlight w:val="none"/>
                <w:lang w:val="en-US" w:eastAsia="zh-CN"/>
              </w:rPr>
            </w:pPr>
          </w:p>
        </w:tc>
        <w:tc>
          <w:tcPr>
            <w:tcW w:w="1480" w:type="dxa"/>
            <w:tcBorders>
              <w:top w:val="nil"/>
              <w:left w:val="single" w:color="auto" w:sz="6" w:space="0"/>
              <w:bottom w:val="single" w:color="auto" w:sz="6" w:space="0"/>
              <w:right w:val="single" w:color="auto" w:sz="6" w:space="0"/>
            </w:tcBorders>
            <w:noWrap w:val="0"/>
            <w:vAlign w:val="center"/>
          </w:tcPr>
          <w:p w14:paraId="1ED86604">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nil"/>
              <w:left w:val="single" w:color="auto" w:sz="6" w:space="0"/>
              <w:bottom w:val="single" w:color="auto" w:sz="6" w:space="0"/>
              <w:right w:val="single" w:color="auto" w:sz="6" w:space="0"/>
            </w:tcBorders>
            <w:noWrap w:val="0"/>
            <w:vAlign w:val="center"/>
          </w:tcPr>
          <w:p w14:paraId="4D74D441">
            <w:pPr>
              <w:pStyle w:val="25"/>
              <w:keepNext/>
              <w:ind w:left="63" w:right="63"/>
              <w:rPr>
                <w:rFonts w:hint="eastAsia" w:ascii="宋体" w:hAnsi="宋体" w:eastAsia="宋体" w:cs="宋体"/>
                <w:color w:val="000000"/>
                <w:sz w:val="21"/>
                <w:szCs w:val="21"/>
                <w:highlight w:val="none"/>
                <w:lang w:val="en-US" w:eastAsia="zh-CN"/>
              </w:rPr>
            </w:pPr>
          </w:p>
        </w:tc>
        <w:tc>
          <w:tcPr>
            <w:tcW w:w="921" w:type="dxa"/>
            <w:tcBorders>
              <w:top w:val="nil"/>
              <w:left w:val="single" w:color="auto" w:sz="6" w:space="0"/>
              <w:bottom w:val="single" w:color="auto" w:sz="6" w:space="0"/>
              <w:right w:val="single" w:color="auto" w:sz="12" w:space="0"/>
            </w:tcBorders>
            <w:noWrap w:val="0"/>
            <w:vAlign w:val="center"/>
          </w:tcPr>
          <w:p w14:paraId="05615774">
            <w:pPr>
              <w:pStyle w:val="25"/>
              <w:keepNext/>
              <w:ind w:left="63" w:right="63"/>
              <w:rPr>
                <w:rFonts w:hint="eastAsia" w:ascii="宋体" w:hAnsi="宋体" w:eastAsia="宋体" w:cs="宋体"/>
                <w:color w:val="000000"/>
                <w:sz w:val="21"/>
                <w:szCs w:val="21"/>
                <w:highlight w:val="none"/>
                <w:lang w:val="en-US" w:eastAsia="zh-CN"/>
              </w:rPr>
            </w:pPr>
          </w:p>
        </w:tc>
      </w:tr>
      <w:tr w14:paraId="313C7D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3576F636">
            <w:pPr>
              <w:pStyle w:val="25"/>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86B976B">
            <w:pPr>
              <w:pStyle w:val="25"/>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41E8A0B2">
            <w:pPr>
              <w:pStyle w:val="25"/>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6E00EA30">
            <w:pPr>
              <w:pStyle w:val="25"/>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6CF0D42">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0A76CA4">
            <w:pPr>
              <w:pStyle w:val="25"/>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4A3C05C4">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1DA8B9E">
            <w:pPr>
              <w:pStyle w:val="25"/>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335BCB">
            <w:pPr>
              <w:pStyle w:val="25"/>
              <w:keepNext/>
              <w:ind w:left="63" w:right="63"/>
              <w:rPr>
                <w:rFonts w:hint="eastAsia" w:ascii="宋体" w:hAnsi="宋体" w:eastAsia="宋体" w:cs="宋体"/>
                <w:color w:val="000000"/>
                <w:sz w:val="21"/>
                <w:szCs w:val="21"/>
                <w:highlight w:val="none"/>
                <w:lang w:val="en-US" w:eastAsia="zh-CN"/>
              </w:rPr>
            </w:pPr>
          </w:p>
        </w:tc>
      </w:tr>
      <w:tr w14:paraId="43078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FA7D8EA">
            <w:pPr>
              <w:pStyle w:val="25"/>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37CD768">
            <w:pPr>
              <w:pStyle w:val="25"/>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55DDED18">
            <w:pPr>
              <w:pStyle w:val="25"/>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54B9F2DE">
            <w:pPr>
              <w:pStyle w:val="25"/>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914A66A">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EF41374">
            <w:pPr>
              <w:pStyle w:val="25"/>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BF61FB4">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4DFD9E7">
            <w:pPr>
              <w:pStyle w:val="25"/>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0A0DCF7">
            <w:pPr>
              <w:pStyle w:val="25"/>
              <w:keepNext/>
              <w:ind w:left="63" w:right="63"/>
              <w:rPr>
                <w:rFonts w:hint="eastAsia" w:ascii="宋体" w:hAnsi="宋体" w:eastAsia="宋体" w:cs="宋体"/>
                <w:color w:val="000000"/>
                <w:sz w:val="21"/>
                <w:szCs w:val="21"/>
                <w:highlight w:val="none"/>
                <w:lang w:val="en-US" w:eastAsia="zh-CN"/>
              </w:rPr>
            </w:pPr>
          </w:p>
        </w:tc>
      </w:tr>
      <w:tr w14:paraId="20775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07F261AA">
            <w:pPr>
              <w:pStyle w:val="25"/>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222130E">
            <w:pPr>
              <w:pStyle w:val="25"/>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1E7780E5">
            <w:pPr>
              <w:pStyle w:val="25"/>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01B0574A">
            <w:pPr>
              <w:pStyle w:val="25"/>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B344EDF">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5766C38">
            <w:pPr>
              <w:pStyle w:val="25"/>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09E8FDC0">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45FEFCD">
            <w:pPr>
              <w:pStyle w:val="25"/>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5BE39B8B">
            <w:pPr>
              <w:pStyle w:val="25"/>
              <w:keepNext/>
              <w:ind w:left="63" w:right="63"/>
              <w:rPr>
                <w:rFonts w:hint="eastAsia" w:ascii="宋体" w:hAnsi="宋体" w:eastAsia="宋体" w:cs="宋体"/>
                <w:color w:val="000000"/>
                <w:sz w:val="21"/>
                <w:szCs w:val="21"/>
                <w:highlight w:val="none"/>
                <w:lang w:val="en-US" w:eastAsia="zh-CN"/>
              </w:rPr>
            </w:pPr>
          </w:p>
        </w:tc>
      </w:tr>
      <w:tr w14:paraId="44E81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6740F7D">
            <w:pPr>
              <w:pStyle w:val="25"/>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AD9973C">
            <w:pPr>
              <w:pStyle w:val="25"/>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4B16599B">
            <w:pPr>
              <w:pStyle w:val="25"/>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4790A68B">
            <w:pPr>
              <w:pStyle w:val="25"/>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F4A03EF">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15A560D">
            <w:pPr>
              <w:pStyle w:val="25"/>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02E9026A">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56F1FB1">
            <w:pPr>
              <w:pStyle w:val="25"/>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B3DA020">
            <w:pPr>
              <w:pStyle w:val="25"/>
              <w:keepNext/>
              <w:ind w:left="63" w:right="63"/>
              <w:rPr>
                <w:rFonts w:hint="eastAsia" w:ascii="宋体" w:hAnsi="宋体" w:eastAsia="宋体" w:cs="宋体"/>
                <w:color w:val="000000"/>
                <w:sz w:val="21"/>
                <w:szCs w:val="21"/>
                <w:highlight w:val="none"/>
                <w:lang w:val="en-US" w:eastAsia="zh-CN"/>
              </w:rPr>
            </w:pPr>
          </w:p>
        </w:tc>
      </w:tr>
      <w:tr w14:paraId="7BA73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67CE582">
            <w:pPr>
              <w:pStyle w:val="25"/>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EA69530">
            <w:pPr>
              <w:pStyle w:val="25"/>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6BF46AE6">
            <w:pPr>
              <w:pStyle w:val="25"/>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05227B63">
            <w:pPr>
              <w:pStyle w:val="25"/>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42AD98B">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AA2BF66">
            <w:pPr>
              <w:pStyle w:val="25"/>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090EB8B">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D1672BF">
            <w:pPr>
              <w:pStyle w:val="25"/>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38BA7139">
            <w:pPr>
              <w:pStyle w:val="25"/>
              <w:keepNext/>
              <w:ind w:left="63" w:right="63"/>
              <w:rPr>
                <w:rFonts w:hint="eastAsia" w:ascii="宋体" w:hAnsi="宋体" w:eastAsia="宋体" w:cs="宋体"/>
                <w:color w:val="000000"/>
                <w:sz w:val="21"/>
                <w:szCs w:val="21"/>
                <w:highlight w:val="none"/>
                <w:lang w:val="en-US" w:eastAsia="zh-CN"/>
              </w:rPr>
            </w:pPr>
          </w:p>
        </w:tc>
      </w:tr>
      <w:tr w14:paraId="40641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36A66934">
            <w:pPr>
              <w:pStyle w:val="25"/>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CC3CAA5">
            <w:pPr>
              <w:pStyle w:val="25"/>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6F323B38">
            <w:pPr>
              <w:pStyle w:val="25"/>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5D7EC100">
            <w:pPr>
              <w:pStyle w:val="25"/>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C41935C">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1058A36">
            <w:pPr>
              <w:pStyle w:val="25"/>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686013C9">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82D2245">
            <w:pPr>
              <w:pStyle w:val="25"/>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3C4B9D51">
            <w:pPr>
              <w:pStyle w:val="25"/>
              <w:keepNext/>
              <w:ind w:left="63" w:right="63"/>
              <w:rPr>
                <w:rFonts w:hint="eastAsia" w:ascii="宋体" w:hAnsi="宋体" w:eastAsia="宋体" w:cs="宋体"/>
                <w:color w:val="000000"/>
                <w:sz w:val="21"/>
                <w:szCs w:val="21"/>
                <w:highlight w:val="none"/>
                <w:lang w:val="en-US" w:eastAsia="zh-CN"/>
              </w:rPr>
            </w:pPr>
          </w:p>
        </w:tc>
      </w:tr>
      <w:tr w14:paraId="02300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148FCF6">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7EA3D4F">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09A41648">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3C8D90C8">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9549655">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811E119">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73A212EF">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7833841">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B699FC4">
            <w:pPr>
              <w:rPr>
                <w:rFonts w:hint="eastAsia" w:ascii="宋体" w:hAnsi="宋体" w:eastAsia="宋体" w:cs="宋体"/>
                <w:color w:val="000000"/>
                <w:sz w:val="21"/>
                <w:szCs w:val="21"/>
                <w:highlight w:val="none"/>
              </w:rPr>
            </w:pPr>
          </w:p>
        </w:tc>
      </w:tr>
      <w:tr w14:paraId="2794A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25BC1807">
            <w:pPr>
              <w:pStyle w:val="25"/>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7A63A99">
            <w:pPr>
              <w:pStyle w:val="25"/>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65C370BD">
            <w:pPr>
              <w:pStyle w:val="25"/>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6ED2E15D">
            <w:pPr>
              <w:pStyle w:val="25"/>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CD579FC">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F8BD263">
            <w:pPr>
              <w:pStyle w:val="25"/>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43F2A74">
            <w:pPr>
              <w:pStyle w:val="25"/>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5C1EFF2">
            <w:pPr>
              <w:pStyle w:val="25"/>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0DA2CDD">
            <w:pPr>
              <w:pStyle w:val="25"/>
              <w:keepNext/>
              <w:ind w:left="63" w:right="63"/>
              <w:rPr>
                <w:rFonts w:hint="eastAsia" w:ascii="宋体" w:hAnsi="宋体" w:eastAsia="宋体" w:cs="宋体"/>
                <w:color w:val="000000"/>
                <w:sz w:val="21"/>
                <w:szCs w:val="21"/>
                <w:highlight w:val="none"/>
                <w:lang w:val="en-US" w:eastAsia="zh-CN"/>
              </w:rPr>
            </w:pPr>
          </w:p>
        </w:tc>
      </w:tr>
      <w:tr w14:paraId="61ACED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DDB8817">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20E22B">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08853B38">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043C5C9D">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85A0804">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91D45FD">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7998396">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8C23F98">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E61C11D">
            <w:pPr>
              <w:rPr>
                <w:rFonts w:hint="eastAsia" w:ascii="宋体" w:hAnsi="宋体" w:eastAsia="宋体" w:cs="宋体"/>
                <w:color w:val="000000"/>
                <w:sz w:val="21"/>
                <w:szCs w:val="21"/>
                <w:highlight w:val="none"/>
              </w:rPr>
            </w:pPr>
          </w:p>
        </w:tc>
      </w:tr>
      <w:tr w14:paraId="4AF0A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172306F">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7D9398C">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4F76441C">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34EF8264">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E7BE2E3">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3C1806B">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4BA89CB6">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5911180">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25DE76A">
            <w:pPr>
              <w:rPr>
                <w:rFonts w:hint="eastAsia" w:ascii="宋体" w:hAnsi="宋体" w:eastAsia="宋体" w:cs="宋体"/>
                <w:color w:val="000000"/>
                <w:sz w:val="21"/>
                <w:szCs w:val="21"/>
                <w:highlight w:val="none"/>
              </w:rPr>
            </w:pPr>
          </w:p>
        </w:tc>
      </w:tr>
      <w:tr w14:paraId="11517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353B7907">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A10A920">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6F5A8C61">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7589ED9E">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1327CF8">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3F35870">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723DB8C">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8B09EDC">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0F53AC7">
            <w:pPr>
              <w:rPr>
                <w:rFonts w:hint="eastAsia" w:ascii="宋体" w:hAnsi="宋体" w:eastAsia="宋体" w:cs="宋体"/>
                <w:color w:val="000000"/>
                <w:sz w:val="21"/>
                <w:szCs w:val="21"/>
                <w:highlight w:val="none"/>
              </w:rPr>
            </w:pPr>
          </w:p>
        </w:tc>
      </w:tr>
      <w:tr w14:paraId="7CFC1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D5136D5">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8D3E36E">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4BA5ABAE">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714D55E2">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4B5FE35D">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59EE910">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77C306CD">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C4EF43C">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EA78B5F">
            <w:pPr>
              <w:rPr>
                <w:rFonts w:hint="eastAsia" w:ascii="宋体" w:hAnsi="宋体" w:eastAsia="宋体" w:cs="宋体"/>
                <w:color w:val="000000"/>
                <w:sz w:val="21"/>
                <w:szCs w:val="21"/>
                <w:highlight w:val="none"/>
              </w:rPr>
            </w:pPr>
          </w:p>
        </w:tc>
      </w:tr>
      <w:tr w14:paraId="4AD20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8873379">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6BB7344">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5043CFC6">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0EFACC02">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C9D64E9">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C49A6DD">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3C3ABB8">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CD579A9">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458D62B">
            <w:pPr>
              <w:rPr>
                <w:rFonts w:hint="eastAsia" w:ascii="宋体" w:hAnsi="宋体" w:eastAsia="宋体" w:cs="宋体"/>
                <w:color w:val="000000"/>
                <w:sz w:val="21"/>
                <w:szCs w:val="21"/>
                <w:highlight w:val="none"/>
              </w:rPr>
            </w:pPr>
          </w:p>
        </w:tc>
      </w:tr>
      <w:tr w14:paraId="741A0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5919B69">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C3BE023">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3EC33F6D">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1381AFF1">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4C008670">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E6EA0FB">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B9849A5">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25F749E">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B4B8B0B">
            <w:pPr>
              <w:rPr>
                <w:rFonts w:hint="eastAsia" w:ascii="宋体" w:hAnsi="宋体" w:eastAsia="宋体" w:cs="宋体"/>
                <w:color w:val="000000"/>
                <w:sz w:val="21"/>
                <w:szCs w:val="21"/>
                <w:highlight w:val="none"/>
              </w:rPr>
            </w:pPr>
          </w:p>
        </w:tc>
      </w:tr>
      <w:tr w14:paraId="7FF8A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3C1B3A95">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19D2427">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5C2C7FC2">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0524FCB0">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C590DB8">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52B938B">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41E37DD4">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9A0DB37">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4F97B6A1">
            <w:pPr>
              <w:rPr>
                <w:rFonts w:hint="eastAsia" w:ascii="宋体" w:hAnsi="宋体" w:eastAsia="宋体" w:cs="宋体"/>
                <w:color w:val="000000"/>
                <w:sz w:val="21"/>
                <w:szCs w:val="21"/>
                <w:highlight w:val="none"/>
              </w:rPr>
            </w:pPr>
          </w:p>
        </w:tc>
      </w:tr>
      <w:tr w14:paraId="31D6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489C513">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22DCE0">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27170438">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4CFE4510">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E68B19D">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290B5DF">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4E161985">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C8A0B58">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976117C">
            <w:pPr>
              <w:rPr>
                <w:rFonts w:hint="eastAsia" w:ascii="宋体" w:hAnsi="宋体" w:eastAsia="宋体" w:cs="宋体"/>
                <w:color w:val="000000"/>
                <w:sz w:val="21"/>
                <w:szCs w:val="21"/>
                <w:highlight w:val="none"/>
              </w:rPr>
            </w:pPr>
          </w:p>
        </w:tc>
      </w:tr>
      <w:tr w14:paraId="634BB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4721008C">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7F4A188B">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12" w:space="0"/>
              <w:right w:val="single" w:color="auto" w:sz="6" w:space="0"/>
            </w:tcBorders>
            <w:noWrap w:val="0"/>
            <w:vAlign w:val="top"/>
          </w:tcPr>
          <w:p w14:paraId="76EC7207">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12" w:space="0"/>
              <w:right w:val="single" w:color="auto" w:sz="6" w:space="0"/>
            </w:tcBorders>
            <w:noWrap w:val="0"/>
            <w:vAlign w:val="top"/>
          </w:tcPr>
          <w:p w14:paraId="3733E798">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1B0B2E28">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32D20E1F">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11738274">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5F9BFB32">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399C9F0C">
            <w:pPr>
              <w:rPr>
                <w:rFonts w:hint="eastAsia" w:ascii="宋体" w:hAnsi="宋体" w:eastAsia="宋体" w:cs="宋体"/>
                <w:color w:val="000000"/>
                <w:sz w:val="21"/>
                <w:szCs w:val="21"/>
                <w:highlight w:val="none"/>
              </w:rPr>
            </w:pPr>
          </w:p>
        </w:tc>
      </w:tr>
    </w:tbl>
    <w:p w14:paraId="4D1013B7">
      <w:pPr>
        <w:pStyle w:val="25"/>
        <w:rPr>
          <w:rFonts w:hint="eastAsia" w:ascii="宋体" w:hAnsi="宋体" w:eastAsia="宋体" w:cs="宋体"/>
          <w:color w:val="000000"/>
          <w:sz w:val="21"/>
          <w:szCs w:val="21"/>
          <w:highlight w:val="none"/>
        </w:rPr>
      </w:pPr>
    </w:p>
    <w:p w14:paraId="4A4AFF58">
      <w:pPr>
        <w:pStyle w:val="25"/>
        <w:rPr>
          <w:rFonts w:hint="eastAsia" w:ascii="宋体" w:hAnsi="宋体" w:eastAsia="宋体" w:cs="宋体"/>
          <w:color w:val="000000"/>
          <w:sz w:val="21"/>
          <w:szCs w:val="21"/>
          <w:highlight w:val="none"/>
        </w:rPr>
      </w:pPr>
    </w:p>
    <w:p w14:paraId="3C4D01D7">
      <w:pPr>
        <w:spacing w:line="440" w:lineRule="exact"/>
        <w:rPr>
          <w:rFonts w:hint="eastAsia" w:ascii="宋体" w:hAnsi="宋体" w:eastAsia="宋体" w:cs="宋体"/>
          <w:color w:val="000000"/>
          <w:sz w:val="21"/>
          <w:szCs w:val="21"/>
          <w:highlight w:val="none"/>
        </w:rPr>
      </w:pPr>
      <w:bookmarkStart w:id="909" w:name="_Toc267261701"/>
      <w:r>
        <w:rPr>
          <w:rFonts w:hint="eastAsia" w:ascii="宋体" w:hAnsi="宋体" w:eastAsia="宋体" w:cs="宋体"/>
          <w:color w:val="000000"/>
          <w:sz w:val="21"/>
          <w:szCs w:val="21"/>
          <w:highlight w:val="none"/>
        </w:rPr>
        <w:br w:type="page"/>
      </w:r>
      <w:bookmarkEnd w:id="909"/>
      <w:r>
        <w:rPr>
          <w:rFonts w:hint="eastAsia" w:ascii="宋体" w:hAnsi="宋体" w:eastAsia="宋体" w:cs="宋体"/>
          <w:color w:val="000000"/>
          <w:sz w:val="21"/>
          <w:szCs w:val="21"/>
          <w:highlight w:val="none"/>
        </w:rPr>
        <w:t>附件14：</w:t>
      </w:r>
    </w:p>
    <w:p w14:paraId="42FB9572">
      <w:pPr>
        <w:spacing w:line="410" w:lineRule="exact"/>
        <w:ind w:left="120" w:leftChars="57" w:firstLine="420" w:firstLineChars="20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工程项目廉政合同</w:t>
      </w:r>
    </w:p>
    <w:p w14:paraId="5EF77785">
      <w:pPr>
        <w:autoSpaceDE w:val="0"/>
        <w:autoSpaceDN w:val="0"/>
        <w:adjustRightInd w:val="0"/>
        <w:spacing w:line="480" w:lineRule="exact"/>
        <w:jc w:val="center"/>
        <w:outlineLvl w:val="1"/>
        <w:rPr>
          <w:rFonts w:hint="eastAsia" w:ascii="宋体" w:hAnsi="宋体" w:eastAsia="宋体" w:cs="宋体"/>
          <w:color w:val="000000"/>
          <w:sz w:val="21"/>
          <w:szCs w:val="21"/>
          <w:highlight w:val="none"/>
          <w:lang w:val="zh-CN"/>
        </w:rPr>
      </w:pPr>
    </w:p>
    <w:p w14:paraId="71E2A8F9">
      <w:pPr>
        <w:autoSpaceDE w:val="0"/>
        <w:autoSpaceDN w:val="0"/>
        <w:adjustRightInd w:val="0"/>
        <w:spacing w:line="360" w:lineRule="auto"/>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lang w:val="zh-CN"/>
        </w:rPr>
        <w:t>工程项目名称：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zh-CN"/>
        </w:rPr>
        <w:t xml:space="preserve"> </w:t>
      </w:r>
    </w:p>
    <w:p w14:paraId="4D974771">
      <w:pPr>
        <w:autoSpaceDE w:val="0"/>
        <w:autoSpaceDN w:val="0"/>
        <w:adjustRightInd w:val="0"/>
        <w:spacing w:line="360" w:lineRule="auto"/>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发包人名称(以下称甲方)：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zh-CN"/>
        </w:rPr>
        <w:t xml:space="preserve"> </w:t>
      </w:r>
    </w:p>
    <w:p w14:paraId="7C0F7360">
      <w:pPr>
        <w:spacing w:line="360" w:lineRule="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承包人名称(以下称承包人)：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lang w:val="zh-CN"/>
        </w:rPr>
        <w:t xml:space="preserve">  </w:t>
      </w:r>
    </w:p>
    <w:p w14:paraId="400C68EB">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59FC5464">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第一条  甲乙双方的权利和义务    </w:t>
      </w:r>
    </w:p>
    <w:p w14:paraId="15C8CEAB">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(一)严格遵守国家关于市场准入、勘测设计、施工监理、招标询价、工程施工、设备安装和市场经营活动等有关法律法规和相关政策，以及廉政建设的各项规定。    </w:t>
      </w:r>
    </w:p>
    <w:p w14:paraId="7B3D5CA2">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(二)严格执行本项目发包承包双方签订的 (施工合同、监理合同、勘测设计合同、采购合同、代理合同等)合同，自觉按合同办事。    </w:t>
      </w:r>
    </w:p>
    <w:p w14:paraId="26DC9192">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3ED2BC75">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55E6DB6C">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第二条  甲方的责任    </w:t>
      </w:r>
    </w:p>
    <w:p w14:paraId="09692BB2">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甲方的负责人和从事该工程项目的工作人员，在工程项目的事前、事中、事后应遵守以下规定：    </w:t>
      </w:r>
    </w:p>
    <w:p w14:paraId="0B92D179">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(一)不以任何理由向承包人索要或接受回扣、礼金、有价证券、贵重物品和好处费、感谢费等；不在承包人报销应由甲方或个人支付的费用。    </w:t>
      </w:r>
    </w:p>
    <w:p w14:paraId="77BFE0B9">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(二)不参加承包人安排的宴请及其他消费活动；不接受承包人提供的通讯工具、交通工具、高档办公用品等。    </w:t>
      </w:r>
    </w:p>
    <w:p w14:paraId="7E5DA8D3">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(三)不要求、暗示和接受承包人为个人装修住房、为配偶子女的工作安排以及本人或亲属旅游、出国(境)等提供方便。    </w:t>
      </w:r>
    </w:p>
    <w:p w14:paraId="3A4AF8C0">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(四)配偶、子女不得从事与承包人承包工程有关的设备材料供应、工程分包、劳务等经济活动。    </w:t>
      </w:r>
    </w:p>
    <w:p w14:paraId="46177E70">
      <w:pPr>
        <w:autoSpaceDE w:val="0"/>
        <w:autoSpaceDN w:val="0"/>
        <w:adjustRightInd w:val="0"/>
        <w:spacing w:line="360" w:lineRule="auto"/>
        <w:ind w:firstLine="315" w:firstLineChars="15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（五)不以任何理由向承包人推荐分包人或要求承包人购买项目合同规定以外的材料、设备和服务等。</w:t>
      </w:r>
    </w:p>
    <w:p w14:paraId="3B0DE6B2">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第三条  承包人的责任</w:t>
      </w:r>
    </w:p>
    <w:p w14:paraId="6C1CB146">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承包人应与甲方保持正常的业务交往，按照有关法律法规和程序丌展业务活动，严格执行工程建设的有关方针、政策，尤其是有关强制性标准和规范，并遵守以下规定：    </w:t>
      </w:r>
    </w:p>
    <w:p w14:paraId="77298D6E">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(一)不以任何理由向甲方及其工作人员行贿或赠送礼金、有价证券、贵重物品。    </w:t>
      </w:r>
    </w:p>
    <w:p w14:paraId="521C24A9">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(二)不以任何名义为甲方及其工作人员报销应由对方支付的费用。    </w:t>
      </w:r>
    </w:p>
    <w:p w14:paraId="7E5B0ADA">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(三)不以任何理由宴请甲方工作人员或安排其他消费活动。    </w:t>
      </w:r>
    </w:p>
    <w:p w14:paraId="59AFF2DD">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(四)不为甲方和工作人员购置或提供通讯工具、交通工具、高档办公用品和装修住房等。 </w:t>
      </w:r>
    </w:p>
    <w:p w14:paraId="5348B38D">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第四条  违约责任 </w:t>
      </w:r>
    </w:p>
    <w:p w14:paraId="442D21D9">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一)甲方工作人员有违反本合同第一、二条责任行为的，按照管理权限，依据有关规定予以处理；涉嫌犯罪的，移交司法机关追究刑事责任；给承包人造成经济损失的，应予赔偿。符合不良行为记录、公示规定的，进行不良行为记录、公示。    </w:t>
      </w:r>
    </w:p>
    <w:p w14:paraId="045EBA7C">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二)承包人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0B6B00EB">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(三)承包人如将部分辅助项目分包的，承包人有责任向分包人交待本合同的具体内容，并严格执行本合同之规定，分包人如有违反上述责任行为的，承包人将承担连带责任。    </w:t>
      </w:r>
    </w:p>
    <w:p w14:paraId="53979909">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第五条  双方约定：在自觉履行合同的同时，由甲、乙双方的监督单位负责对本合同履行情况进行监督检查。</w:t>
      </w:r>
    </w:p>
    <w:p w14:paraId="577FF3C8">
      <w:pPr>
        <w:spacing w:line="360" w:lineRule="auto"/>
        <w:ind w:firstLine="403" w:firstLineChars="192"/>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第六条  本合同作为</w:t>
      </w:r>
      <w:r>
        <w:rPr>
          <w:rFonts w:hint="eastAsia" w:ascii="宋体" w:hAnsi="宋体" w:cs="宋体"/>
          <w:color w:val="000000"/>
          <w:sz w:val="21"/>
          <w:szCs w:val="21"/>
          <w:highlight w:val="none"/>
          <w:u w:val="single"/>
          <w:lang w:eastAsia="zh-CN"/>
        </w:rPr>
        <w:t xml:space="preserve">大佳何“艺术谷”和美示范片区工程—宁海县大佳何镇南阳福园景区（二期）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施工合同的附件，与主合同具有</w:t>
      </w:r>
      <w:r>
        <w:rPr>
          <w:rFonts w:hint="eastAsia" w:ascii="宋体" w:hAnsi="宋体" w:eastAsia="宋体" w:cs="宋体"/>
          <w:color w:val="000000"/>
          <w:sz w:val="21"/>
          <w:szCs w:val="21"/>
          <w:highlight w:val="none"/>
          <w:lang w:val="zh-CN"/>
        </w:rPr>
        <w:t>同等法律效力。甲乙双方签署后立即生效。</w:t>
      </w:r>
    </w:p>
    <w:p w14:paraId="616FE33B">
      <w:pPr>
        <w:autoSpaceDE w:val="0"/>
        <w:autoSpaceDN w:val="0"/>
        <w:adjustRightInd w:val="0"/>
        <w:spacing w:line="360" w:lineRule="auto"/>
        <w:ind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第七条  本合同的有效期为双方签署之日起至该工程项目竣工验收合格时止。    </w:t>
      </w:r>
    </w:p>
    <w:p w14:paraId="5FA5E647">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第八条  本合同一式五份，由甲、乙双方各执一份，送交甲、乙双方的监督单位各一份，送宁海县公共资源交管办一份备案。</w:t>
      </w:r>
    </w:p>
    <w:p w14:paraId="7F81DF89">
      <w:pPr>
        <w:spacing w:line="360" w:lineRule="auto"/>
        <w:ind w:firstLine="420" w:firstLineChars="200"/>
        <w:rPr>
          <w:rFonts w:hint="eastAsia" w:ascii="宋体" w:hAnsi="宋体" w:eastAsia="宋体" w:cs="宋体"/>
          <w:color w:val="000000"/>
          <w:sz w:val="21"/>
          <w:szCs w:val="21"/>
          <w:highlight w:val="none"/>
        </w:rPr>
      </w:pPr>
    </w:p>
    <w:p w14:paraId="255D52CE">
      <w:pPr>
        <w:tabs>
          <w:tab w:val="left" w:pos="4962"/>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甲方（盖章）：</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承包人（盖章）：</w:t>
      </w:r>
    </w:p>
    <w:p w14:paraId="46EE0D7C">
      <w:pPr>
        <w:tabs>
          <w:tab w:val="left" w:pos="4962"/>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法定代表人：</w:t>
      </w:r>
    </w:p>
    <w:p w14:paraId="01E5069A">
      <w:pPr>
        <w:tabs>
          <w:tab w:val="left" w:pos="4962"/>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地址：</w:t>
      </w:r>
    </w:p>
    <w:p w14:paraId="1914410D">
      <w:pPr>
        <w:tabs>
          <w:tab w:val="left" w:pos="4962"/>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电话：</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电话：</w:t>
      </w:r>
    </w:p>
    <w:p w14:paraId="66D03167">
      <w:pPr>
        <w:tabs>
          <w:tab w:val="left" w:pos="4962"/>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   月   日</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年   月   日</w:t>
      </w:r>
    </w:p>
    <w:p w14:paraId="4EA49D90">
      <w:pPr>
        <w:tabs>
          <w:tab w:val="left" w:pos="4962"/>
        </w:tabs>
        <w:spacing w:line="360" w:lineRule="auto"/>
        <w:ind w:firstLine="420" w:firstLineChars="200"/>
        <w:rPr>
          <w:rFonts w:hint="eastAsia" w:ascii="宋体" w:hAnsi="宋体" w:eastAsia="宋体" w:cs="宋体"/>
          <w:color w:val="000000"/>
          <w:sz w:val="21"/>
          <w:szCs w:val="21"/>
          <w:highlight w:val="none"/>
        </w:rPr>
      </w:pPr>
    </w:p>
    <w:p w14:paraId="29297CA0">
      <w:pPr>
        <w:tabs>
          <w:tab w:val="left" w:pos="4962"/>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甲方监督单位（盖章）</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承包人监督单位（盖章）</w:t>
      </w:r>
    </w:p>
    <w:p w14:paraId="46A9D40E">
      <w:pPr>
        <w:spacing w:line="396"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 xml:space="preserve">年   月   日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年   月  日</w:t>
      </w:r>
    </w:p>
    <w:p w14:paraId="608C1189">
      <w:pPr>
        <w:spacing w:line="396" w:lineRule="auto"/>
        <w:ind w:firstLine="570"/>
        <w:rPr>
          <w:rFonts w:hint="eastAsia" w:ascii="宋体" w:hAnsi="宋体" w:eastAsia="宋体" w:cs="宋体"/>
          <w:sz w:val="21"/>
          <w:szCs w:val="21"/>
          <w:highlight w:val="none"/>
        </w:rPr>
      </w:pPr>
    </w:p>
    <w:p w14:paraId="421DF699">
      <w:pPr>
        <w:snapToGrid w:val="0"/>
        <w:spacing w:line="360" w:lineRule="auto"/>
        <w:jc w:val="center"/>
        <w:outlineLvl w:val="0"/>
        <w:rPr>
          <w:rFonts w:hint="eastAsia" w:ascii="宋体" w:hAnsi="宋体" w:cs="宋体"/>
          <w:b/>
          <w:color w:val="auto"/>
          <w:sz w:val="36"/>
          <w:szCs w:val="20"/>
        </w:rPr>
        <w:sectPr>
          <w:headerReference r:id="rId10" w:type="first"/>
          <w:footerReference r:id="rId12" w:type="first"/>
          <w:footerReference r:id="rId11" w:type="default"/>
          <w:pgSz w:w="11906" w:h="16838"/>
          <w:pgMar w:top="1440" w:right="1080" w:bottom="1440" w:left="1080" w:header="851" w:footer="992" w:gutter="0"/>
          <w:pgNumType w:fmt="decimal"/>
          <w:cols w:space="720" w:num="1"/>
          <w:titlePg/>
          <w:docGrid w:linePitch="312" w:charSpace="0"/>
        </w:sectPr>
      </w:pPr>
    </w:p>
    <w:bookmarkEnd w:id="396"/>
    <w:bookmarkEnd w:id="397"/>
    <w:p w14:paraId="526952ED">
      <w:pPr>
        <w:snapToGrid w:val="0"/>
        <w:spacing w:line="360" w:lineRule="auto"/>
        <w:jc w:val="center"/>
        <w:outlineLvl w:val="0"/>
        <w:rPr>
          <w:rFonts w:ascii="宋体" w:hAnsi="宋体" w:cs="宋体"/>
          <w:b/>
          <w:sz w:val="36"/>
          <w:szCs w:val="20"/>
        </w:rPr>
      </w:pPr>
      <w:r>
        <w:rPr>
          <w:rFonts w:hint="eastAsia" w:ascii="宋体" w:hAnsi="宋体" w:cs="宋体"/>
          <w:b/>
          <w:sz w:val="36"/>
          <w:szCs w:val="20"/>
        </w:rPr>
        <w:t>第</w:t>
      </w:r>
      <w:r>
        <w:rPr>
          <w:rFonts w:hint="eastAsia" w:ascii="宋体" w:hAnsi="宋体" w:cs="宋体"/>
          <w:b/>
          <w:sz w:val="36"/>
          <w:szCs w:val="20"/>
          <w:lang w:eastAsia="zh-CN"/>
        </w:rPr>
        <w:t>六</w:t>
      </w:r>
      <w:r>
        <w:rPr>
          <w:rFonts w:hint="eastAsia" w:ascii="宋体" w:hAnsi="宋体" w:cs="宋体"/>
          <w:b/>
          <w:sz w:val="36"/>
          <w:szCs w:val="20"/>
        </w:rPr>
        <w:t>部分  应提交的有关格式范例</w:t>
      </w:r>
    </w:p>
    <w:p w14:paraId="79F62EB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DA12EC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78DBED2">
      <w:pPr>
        <w:spacing w:line="360" w:lineRule="auto"/>
        <w:jc w:val="center"/>
        <w:outlineLvl w:val="0"/>
        <w:rPr>
          <w:rFonts w:ascii="宋体" w:hAnsi="宋体" w:cs="宋体"/>
          <w:b/>
          <w:kern w:val="0"/>
          <w:sz w:val="36"/>
          <w:szCs w:val="36"/>
        </w:rPr>
      </w:pPr>
    </w:p>
    <w:p w14:paraId="67C82E6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857D04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EB3EAB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D29386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365A7CD">
      <w:pPr>
        <w:snapToGrid w:val="0"/>
        <w:spacing w:line="360" w:lineRule="auto"/>
        <w:ind w:firstLine="480" w:firstLineChars="200"/>
        <w:rPr>
          <w:rFonts w:ascii="宋体" w:hAnsi="宋体" w:cs="宋体"/>
          <w:sz w:val="24"/>
        </w:rPr>
      </w:pPr>
    </w:p>
    <w:p w14:paraId="6898BD07">
      <w:pPr>
        <w:spacing w:line="360" w:lineRule="auto"/>
        <w:ind w:firstLine="480" w:firstLineChars="200"/>
        <w:rPr>
          <w:rFonts w:ascii="宋体" w:hAnsi="宋体" w:cs="宋体"/>
          <w:sz w:val="24"/>
        </w:rPr>
      </w:pPr>
    </w:p>
    <w:p w14:paraId="62C4EF6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6C1E11E">
      <w:pPr>
        <w:snapToGrid w:val="0"/>
        <w:spacing w:line="360" w:lineRule="auto"/>
        <w:rPr>
          <w:rFonts w:ascii="宋体" w:hAnsi="宋体" w:cs="宋体"/>
          <w:sz w:val="24"/>
        </w:rPr>
      </w:pPr>
      <w:r>
        <w:rPr>
          <w:rFonts w:hint="eastAsia" w:ascii="宋体" w:hAnsi="宋体" w:cs="宋体"/>
          <w:sz w:val="24"/>
          <w:u w:val="single"/>
        </w:rPr>
        <w:t>宁海县大佳何镇人民政府</w:t>
      </w:r>
      <w:r>
        <w:rPr>
          <w:rFonts w:hint="eastAsia" w:ascii="宋体" w:hAnsi="宋体" w:cs="宋体"/>
          <w:sz w:val="24"/>
          <w:u w:val="single"/>
          <w:lang w:eastAsia="zh-CN"/>
        </w:rPr>
        <w:t>、</w:t>
      </w:r>
      <w:r>
        <w:rPr>
          <w:rFonts w:hint="eastAsia" w:ascii="宋体" w:hAnsi="宋体" w:cs="宋体"/>
          <w:sz w:val="24"/>
          <w:u w:val="single"/>
        </w:rPr>
        <w:t>宁波禾正工程管理有限公司</w:t>
      </w:r>
      <w:r>
        <w:rPr>
          <w:rFonts w:hint="eastAsia" w:ascii="宋体" w:hAnsi="宋体" w:cs="宋体"/>
          <w:sz w:val="24"/>
        </w:rPr>
        <w:t>：</w:t>
      </w:r>
    </w:p>
    <w:p w14:paraId="5E772EB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大佳何“艺术谷”和美示范片区工程—宁海县大佳何镇南阳福园景区（二期）</w:t>
      </w:r>
      <w:r>
        <w:rPr>
          <w:rFonts w:hint="eastAsia" w:ascii="宋体" w:hAnsi="宋体" w:cs="宋体"/>
          <w:sz w:val="24"/>
        </w:rPr>
        <w:t>【项目编号：</w:t>
      </w:r>
      <w:r>
        <w:rPr>
          <w:rFonts w:hint="eastAsia" w:ascii="宋体" w:hAnsi="宋体" w:cs="宋体"/>
          <w:sz w:val="24"/>
          <w:lang w:eastAsia="zh-CN"/>
        </w:rPr>
        <w:t>NBHZCG-2025-002</w:t>
      </w:r>
      <w:r>
        <w:rPr>
          <w:rFonts w:hint="eastAsia" w:ascii="宋体" w:hAnsi="宋体" w:cs="宋体"/>
          <w:sz w:val="24"/>
        </w:rPr>
        <w:t>】政府采购活动，郑重承诺：</w:t>
      </w:r>
    </w:p>
    <w:p w14:paraId="283209A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B30B84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F7BF9C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48F047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A01C50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BF447F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F197FD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4F8ED3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w:t>
      </w:r>
      <w:r>
        <w:rPr>
          <w:rFonts w:hint="eastAsia" w:ascii="宋体" w:hAnsi="宋体" w:cs="宋体"/>
          <w:sz w:val="24"/>
          <w:lang w:eastAsia="zh-CN"/>
        </w:rPr>
        <w:t>重大税收违法失信主体</w:t>
      </w:r>
      <w:r>
        <w:rPr>
          <w:rFonts w:hint="eastAsia" w:ascii="宋体" w:hAnsi="宋体" w:cs="宋体"/>
          <w:sz w:val="24"/>
        </w:rPr>
        <w:t>、政府采购严重违法失信行为记录名单。</w:t>
      </w:r>
    </w:p>
    <w:p w14:paraId="783F78C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D664FE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979DB6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160D66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876AFE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5DFD5BF">
      <w:pPr>
        <w:snapToGrid w:val="0"/>
        <w:spacing w:line="360" w:lineRule="auto"/>
        <w:ind w:right="480"/>
        <w:jc w:val="center"/>
        <w:rPr>
          <w:rFonts w:ascii="宋体" w:hAnsi="宋体" w:cs="宋体"/>
          <w:b/>
          <w:kern w:val="0"/>
          <w:sz w:val="32"/>
          <w:szCs w:val="32"/>
        </w:rPr>
        <w:sectPr>
          <w:footerReference r:id="rId13" w:type="default"/>
          <w:pgSz w:w="11906" w:h="16838"/>
          <w:pgMar w:top="1440" w:right="1080" w:bottom="1440" w:left="1080" w:header="851" w:footer="992" w:gutter="0"/>
          <w:pgNumType w:fmt="decimal"/>
          <w:cols w:space="720" w:num="1"/>
          <w:titlePg/>
          <w:docGrid w:linePitch="312" w:charSpace="0"/>
        </w:sectPr>
      </w:pPr>
    </w:p>
    <w:p w14:paraId="6799026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97DE9B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2A966438">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02D50EF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2F2F928">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5E11F657">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3D0F0EC2">
      <w:pPr>
        <w:widowControl/>
        <w:spacing w:line="360" w:lineRule="auto"/>
        <w:ind w:firstLine="480"/>
        <w:jc w:val="left"/>
        <w:rPr>
          <w:rFonts w:ascii="宋体" w:hAnsi="宋体" w:cs="宋体"/>
          <w:sz w:val="24"/>
        </w:rPr>
      </w:pPr>
    </w:p>
    <w:p w14:paraId="7A370790">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BCC731B">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5661BE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F6E2461">
      <w:pPr>
        <w:widowControl/>
        <w:spacing w:line="360" w:lineRule="auto"/>
        <w:ind w:left="150"/>
        <w:jc w:val="center"/>
        <w:rPr>
          <w:rFonts w:ascii="宋体" w:hAnsi="宋体" w:cs="宋体"/>
          <w:b/>
          <w:kern w:val="0"/>
          <w:sz w:val="32"/>
          <w:szCs w:val="32"/>
        </w:rPr>
      </w:pPr>
    </w:p>
    <w:p w14:paraId="6E17E03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283D6E9">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0CFC94AE">
      <w:pPr>
        <w:spacing w:line="360" w:lineRule="auto"/>
        <w:ind w:firstLine="480" w:firstLineChars="200"/>
        <w:rPr>
          <w:rFonts w:ascii="宋体" w:hAnsi="宋体" w:cs="宋体"/>
          <w:sz w:val="24"/>
        </w:rPr>
      </w:pPr>
    </w:p>
    <w:p w14:paraId="6332BF2A">
      <w:pPr>
        <w:rPr>
          <w:rFonts w:hint="eastAsia" w:ascii="宋体" w:hAnsi="宋体" w:cs="宋体"/>
          <w:b/>
          <w:kern w:val="0"/>
          <w:sz w:val="36"/>
          <w:szCs w:val="36"/>
        </w:rPr>
      </w:pPr>
      <w:r>
        <w:rPr>
          <w:rFonts w:hint="eastAsia" w:ascii="宋体" w:hAnsi="宋体" w:cs="宋体"/>
          <w:b/>
          <w:kern w:val="0"/>
          <w:sz w:val="36"/>
          <w:szCs w:val="36"/>
        </w:rPr>
        <w:br w:type="page"/>
      </w:r>
    </w:p>
    <w:p w14:paraId="1AFD0A5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EA3614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751C6A1">
      <w:pPr>
        <w:numPr>
          <w:ilvl w:val="255"/>
          <w:numId w:val="0"/>
        </w:numPr>
        <w:snapToGrid w:val="0"/>
        <w:spacing w:line="360" w:lineRule="auto"/>
        <w:ind w:firstLine="480" w:firstLineChars="200"/>
        <w:rPr>
          <w:rFonts w:hint="eastAsia" w:ascii="宋体" w:hAnsi="宋体" w:cs="宋体"/>
          <w:sz w:val="24"/>
        </w:rPr>
      </w:pPr>
    </w:p>
    <w:p w14:paraId="308485D0">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589C661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51FC936">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72A4A87A">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387A08E1">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73004C33">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3A04624F">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pgNumType w:fmt="decimal"/>
          <w:cols w:space="720" w:num="1"/>
          <w:titlePg/>
          <w:docGrid w:linePitch="312" w:charSpace="0"/>
        </w:sectPr>
      </w:pPr>
    </w:p>
    <w:p w14:paraId="6A62A5BA">
      <w:pPr>
        <w:snapToGrid w:val="0"/>
        <w:jc w:val="center"/>
        <w:rPr>
          <w:rFonts w:hint="eastAsia" w:ascii="宋体" w:hAnsi="宋体" w:cs="宋体"/>
          <w:b/>
          <w:bCs/>
          <w:sz w:val="32"/>
          <w:szCs w:val="32"/>
          <w:lang w:val="zh-CN"/>
        </w:rPr>
      </w:pPr>
      <w:r>
        <w:rPr>
          <w:rFonts w:hint="eastAsia" w:ascii="宋体" w:hAnsi="宋体" w:cs="宋体"/>
          <w:b/>
          <w:bCs/>
          <w:sz w:val="32"/>
          <w:szCs w:val="32"/>
          <w:lang w:val="zh-CN"/>
        </w:rPr>
        <w:t>一、响应函</w:t>
      </w:r>
    </w:p>
    <w:p w14:paraId="27EEBF00">
      <w:pPr>
        <w:pStyle w:val="971"/>
        <w:rPr>
          <w:lang w:val="zh-CN"/>
        </w:rPr>
      </w:pPr>
    </w:p>
    <w:p w14:paraId="59A55512">
      <w:pPr>
        <w:snapToGrid w:val="0"/>
        <w:spacing w:line="360" w:lineRule="auto"/>
        <w:rPr>
          <w:rFonts w:ascii="宋体" w:hAnsi="宋体" w:cs="宋体"/>
          <w:sz w:val="24"/>
        </w:rPr>
      </w:pPr>
      <w:r>
        <w:rPr>
          <w:rFonts w:hint="eastAsia" w:ascii="宋体" w:hAnsi="宋体" w:cs="宋体"/>
          <w:sz w:val="24"/>
          <w:u w:val="single"/>
        </w:rPr>
        <w:t>宁海县大佳何镇人民政府</w:t>
      </w:r>
      <w:r>
        <w:rPr>
          <w:rFonts w:hint="eastAsia" w:ascii="宋体" w:hAnsi="宋体" w:cs="宋体"/>
          <w:sz w:val="24"/>
          <w:u w:val="single"/>
          <w:lang w:eastAsia="zh-CN"/>
        </w:rPr>
        <w:t>、</w:t>
      </w:r>
      <w:r>
        <w:rPr>
          <w:rFonts w:hint="eastAsia" w:ascii="宋体" w:hAnsi="宋体" w:cs="宋体"/>
          <w:sz w:val="24"/>
          <w:u w:val="single"/>
        </w:rPr>
        <w:t>宁波禾正工程管理有限公司</w:t>
      </w:r>
      <w:r>
        <w:rPr>
          <w:rFonts w:hint="eastAsia" w:ascii="宋体" w:hAnsi="宋体" w:cs="宋体"/>
          <w:sz w:val="24"/>
        </w:rPr>
        <w:t>：</w:t>
      </w:r>
    </w:p>
    <w:p w14:paraId="2B15806A">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大佳何“艺术谷”和美示范片区工程—宁海县大佳何镇南阳福园景区（二期）</w:t>
      </w:r>
      <w:r>
        <w:rPr>
          <w:rFonts w:hint="eastAsia" w:ascii="宋体" w:hAnsi="宋体" w:cs="宋体"/>
          <w:sz w:val="24"/>
        </w:rPr>
        <w:t>【项目编号：</w:t>
      </w:r>
      <w:r>
        <w:rPr>
          <w:rFonts w:hint="eastAsia" w:ascii="宋体" w:hAnsi="宋体" w:cs="宋体"/>
          <w:sz w:val="24"/>
          <w:lang w:eastAsia="zh-CN"/>
        </w:rPr>
        <w:t>NBHZCG-2025-002</w:t>
      </w:r>
      <w:r>
        <w:rPr>
          <w:rFonts w:hint="eastAsia" w:ascii="宋体" w:hAnsi="宋体" w:cs="宋体"/>
          <w:sz w:val="24"/>
        </w:rPr>
        <w:t>】采购的有关活动，并对此项目提交响应文件及报价。为此：</w:t>
      </w:r>
    </w:p>
    <w:p w14:paraId="1E481B50">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3E087661">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7C911E7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34E4CC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A2D86E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37075545">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F990F18">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2C6B385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9ECDA14">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0B547A3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FAF314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6C9E6CB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53315D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37EC10C4">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11EE914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38DA58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66E9DA1">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155B2E71">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331CFBF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2.3.3中小企业声明函（如果有）。</w:t>
      </w:r>
    </w:p>
    <w:p w14:paraId="5E90FDDA">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sz w:val="24"/>
        </w:rPr>
        <w:t>3、我方承诺除商务技术偏离表列出的偏离外，我方响应采购文件的全部要求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p>
    <w:p w14:paraId="701C701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4、如我方成交，我方承诺：</w:t>
      </w:r>
    </w:p>
    <w:p w14:paraId="21EFAF9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4.1在收到成交通知书后，在成交通知书规定的期限内与你方签订合同；</w:t>
      </w:r>
    </w:p>
    <w:p w14:paraId="723DED7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26C848E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 xml:space="preserve">4.3按照采购文件要求提交履约保证金； </w:t>
      </w:r>
    </w:p>
    <w:p w14:paraId="6A01A345">
      <w:pPr>
        <w:snapToGrid w:val="0"/>
        <w:spacing w:line="360" w:lineRule="auto"/>
        <w:ind w:left="420" w:leftChars="2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0EDED9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6C724C1">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F809ED3">
      <w:pPr>
        <w:spacing w:line="360" w:lineRule="auto"/>
        <w:jc w:val="center"/>
        <w:rPr>
          <w:rFonts w:ascii="宋体" w:hAnsi="宋体" w:cs="宋体"/>
          <w:sz w:val="24"/>
        </w:rPr>
      </w:pPr>
      <w:r>
        <w:rPr>
          <w:rFonts w:hint="eastAsia" w:ascii="宋体" w:hAnsi="宋体" w:cs="宋体"/>
          <w:sz w:val="24"/>
        </w:rPr>
        <w:t xml:space="preserve">     日期：  年   月   日</w:t>
      </w:r>
    </w:p>
    <w:p w14:paraId="53289CE0">
      <w:pPr>
        <w:snapToGrid w:val="0"/>
        <w:spacing w:line="360" w:lineRule="auto"/>
        <w:ind w:left="420" w:leftChars="200" w:firstLine="4200" w:firstLineChars="1750"/>
        <w:rPr>
          <w:rFonts w:ascii="宋体" w:hAnsi="宋体" w:cs="宋体"/>
          <w:kern w:val="0"/>
          <w:sz w:val="24"/>
          <w:u w:val="single"/>
        </w:rPr>
      </w:pPr>
    </w:p>
    <w:p w14:paraId="5E876A5A">
      <w:pPr>
        <w:spacing w:line="360" w:lineRule="auto"/>
        <w:ind w:right="420"/>
        <w:rPr>
          <w:rFonts w:ascii="宋体" w:hAnsi="宋体" w:cs="宋体"/>
          <w:sz w:val="24"/>
        </w:rPr>
      </w:pPr>
      <w:r>
        <w:rPr>
          <w:rFonts w:hint="eastAsia" w:ascii="宋体" w:hAnsi="宋体" w:cs="宋体"/>
          <w:sz w:val="24"/>
        </w:rPr>
        <w:t>注：按本格式和要求提供。</w:t>
      </w:r>
    </w:p>
    <w:p w14:paraId="0D104790">
      <w:pPr>
        <w:autoSpaceDE w:val="0"/>
        <w:autoSpaceDN w:val="0"/>
        <w:spacing w:line="360" w:lineRule="auto"/>
        <w:rPr>
          <w:rFonts w:ascii="宋体" w:hAnsi="宋体" w:cs="宋体"/>
          <w:kern w:val="0"/>
          <w:sz w:val="24"/>
        </w:rPr>
      </w:pPr>
    </w:p>
    <w:p w14:paraId="797411BB">
      <w:pPr>
        <w:spacing w:line="360" w:lineRule="auto"/>
        <w:rPr>
          <w:rFonts w:ascii="宋体" w:hAnsi="宋体" w:cs="宋体"/>
          <w:sz w:val="24"/>
        </w:rPr>
      </w:pPr>
    </w:p>
    <w:p w14:paraId="1CD7D105">
      <w:pPr>
        <w:spacing w:line="360" w:lineRule="auto"/>
        <w:rPr>
          <w:rFonts w:ascii="宋体" w:hAnsi="宋体" w:cs="宋体"/>
          <w:sz w:val="18"/>
          <w:szCs w:val="18"/>
        </w:rPr>
      </w:pPr>
    </w:p>
    <w:p w14:paraId="43AA39F8">
      <w:pPr>
        <w:spacing w:line="360" w:lineRule="auto"/>
        <w:rPr>
          <w:rFonts w:ascii="宋体" w:hAnsi="宋体" w:cs="宋体"/>
          <w:sz w:val="18"/>
          <w:szCs w:val="18"/>
        </w:rPr>
      </w:pPr>
    </w:p>
    <w:p w14:paraId="3B0A6DD0">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730BE778">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617B2B0D">
      <w:pPr>
        <w:snapToGrid w:val="0"/>
        <w:spacing w:line="360" w:lineRule="auto"/>
        <w:rPr>
          <w:rFonts w:ascii="宋体" w:hAnsi="宋体" w:cs="宋体"/>
          <w:sz w:val="24"/>
        </w:rPr>
      </w:pPr>
      <w:r>
        <w:rPr>
          <w:rFonts w:hint="eastAsia" w:ascii="宋体" w:hAnsi="宋体" w:cs="宋体"/>
          <w:sz w:val="24"/>
        </w:rPr>
        <w:t xml:space="preserve">                                </w:t>
      </w:r>
    </w:p>
    <w:p w14:paraId="5E408CB1">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4C90DEF3">
      <w:pPr>
        <w:snapToGrid w:val="0"/>
        <w:spacing w:line="360" w:lineRule="auto"/>
        <w:rPr>
          <w:rFonts w:hint="eastAsia" w:ascii="宋体" w:hAnsi="宋体" w:cs="宋体"/>
          <w:sz w:val="24"/>
        </w:rPr>
      </w:pPr>
    </w:p>
    <w:p w14:paraId="5EDEBB9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5E7510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4602808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37DA0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ED7179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41BE614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E476F49">
      <w:pPr>
        <w:snapToGrid w:val="0"/>
        <w:spacing w:line="360" w:lineRule="auto"/>
        <w:rPr>
          <w:rFonts w:ascii="宋体" w:hAnsi="宋体" w:cs="宋体"/>
          <w:sz w:val="24"/>
        </w:rPr>
      </w:pPr>
    </w:p>
    <w:p w14:paraId="0ADC52F5">
      <w:pPr>
        <w:snapToGrid w:val="0"/>
        <w:spacing w:line="360" w:lineRule="auto"/>
        <w:rPr>
          <w:rFonts w:ascii="宋体" w:hAnsi="宋体" w:cs="宋体"/>
          <w:sz w:val="24"/>
        </w:rPr>
      </w:pPr>
    </w:p>
    <w:p w14:paraId="52AC72A7">
      <w:pPr>
        <w:snapToGrid w:val="0"/>
        <w:spacing w:line="360" w:lineRule="auto"/>
        <w:rPr>
          <w:rFonts w:ascii="宋体" w:hAnsi="宋体" w:cs="宋体"/>
          <w:sz w:val="24"/>
        </w:rPr>
      </w:pPr>
    </w:p>
    <w:p w14:paraId="4B24243F">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0085DCB7">
      <w:pPr>
        <w:snapToGrid w:val="0"/>
        <w:spacing w:line="360" w:lineRule="auto"/>
        <w:rPr>
          <w:rFonts w:hint="eastAsia" w:ascii="宋体" w:hAnsi="宋体" w:cs="宋体"/>
          <w:sz w:val="24"/>
        </w:rPr>
      </w:pPr>
    </w:p>
    <w:p w14:paraId="7349D70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797406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09F2882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8995CB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D9D2036">
      <w:pPr>
        <w:jc w:val="center"/>
        <w:rPr>
          <w:rFonts w:ascii="宋体" w:hAnsi="宋体" w:cs="宋体"/>
          <w:b/>
          <w:kern w:val="0"/>
          <w:sz w:val="32"/>
          <w:szCs w:val="32"/>
        </w:rPr>
      </w:pPr>
    </w:p>
    <w:p w14:paraId="3D175341">
      <w:pPr>
        <w:jc w:val="center"/>
        <w:rPr>
          <w:rFonts w:ascii="宋体" w:hAnsi="宋体" w:cs="宋体"/>
          <w:b/>
          <w:kern w:val="0"/>
          <w:sz w:val="32"/>
          <w:szCs w:val="32"/>
        </w:rPr>
      </w:pPr>
    </w:p>
    <w:p w14:paraId="7ED3B717">
      <w:pPr>
        <w:jc w:val="center"/>
        <w:rPr>
          <w:rFonts w:ascii="宋体" w:hAnsi="宋体" w:cs="宋体"/>
          <w:b/>
          <w:kern w:val="0"/>
          <w:sz w:val="32"/>
          <w:szCs w:val="32"/>
        </w:rPr>
      </w:pPr>
    </w:p>
    <w:p w14:paraId="06645DBF">
      <w:pPr>
        <w:rPr>
          <w:rFonts w:ascii="宋体" w:hAnsi="宋体" w:cs="宋体"/>
        </w:rPr>
      </w:pPr>
    </w:p>
    <w:p w14:paraId="3B120B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1E7A6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B1441D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11EDF9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F6FA0C1">
      <w:pPr>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262903F">
      <w:pPr>
        <w:pStyle w:val="150"/>
        <w:spacing w:line="360" w:lineRule="auto"/>
        <w:rPr>
          <w:rFonts w:hint="eastAsia" w:hAnsi="宋体" w:cs="宋体"/>
          <w:bCs/>
          <w:sz w:val="24"/>
        </w:rPr>
      </w:pPr>
    </w:p>
    <w:p w14:paraId="3F161723">
      <w:pPr>
        <w:pStyle w:val="150"/>
        <w:spacing w:line="360" w:lineRule="auto"/>
        <w:ind w:firstLine="240" w:firstLineChars="100"/>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17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C47A809">
            <w:pPr>
              <w:pStyle w:val="150"/>
              <w:adjustRightInd w:val="0"/>
              <w:spacing w:line="360" w:lineRule="auto"/>
              <w:rPr>
                <w:rFonts w:hAnsi="宋体" w:cs="宋体"/>
                <w:bCs/>
                <w:sz w:val="24"/>
              </w:rPr>
            </w:pPr>
            <w:r>
              <w:rPr>
                <w:rFonts w:hint="eastAsia" w:hAnsi="宋体" w:cs="宋体"/>
                <w:bCs/>
                <w:sz w:val="24"/>
              </w:rPr>
              <w:t>正面：                                 反面：</w:t>
            </w:r>
          </w:p>
          <w:p w14:paraId="4ACA4BA2">
            <w:pPr>
              <w:pStyle w:val="150"/>
              <w:adjustRightInd w:val="0"/>
              <w:spacing w:line="360" w:lineRule="auto"/>
              <w:rPr>
                <w:rFonts w:hAnsi="宋体" w:cs="宋体"/>
                <w:bCs/>
                <w:sz w:val="24"/>
              </w:rPr>
            </w:pPr>
          </w:p>
        </w:tc>
      </w:tr>
    </w:tbl>
    <w:p w14:paraId="639BB94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D2F0E2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F44524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84F3438">
      <w:pPr>
        <w:jc w:val="center"/>
        <w:rPr>
          <w:rFonts w:ascii="宋体" w:hAnsi="宋体" w:cs="宋体"/>
          <w:b/>
          <w:kern w:val="0"/>
          <w:sz w:val="32"/>
          <w:szCs w:val="32"/>
        </w:rPr>
      </w:pPr>
    </w:p>
    <w:p w14:paraId="564DDDEB">
      <w:pPr>
        <w:jc w:val="center"/>
        <w:rPr>
          <w:rFonts w:ascii="宋体" w:hAnsi="宋体" w:cs="宋体"/>
          <w:b/>
          <w:kern w:val="0"/>
          <w:sz w:val="32"/>
          <w:szCs w:val="32"/>
        </w:rPr>
      </w:pPr>
    </w:p>
    <w:p w14:paraId="1A3A09E0">
      <w:pPr>
        <w:jc w:val="center"/>
        <w:rPr>
          <w:rFonts w:ascii="宋体" w:hAnsi="宋体" w:cs="宋体"/>
          <w:b/>
          <w:kern w:val="0"/>
          <w:sz w:val="32"/>
          <w:szCs w:val="32"/>
        </w:rPr>
      </w:pPr>
    </w:p>
    <w:p w14:paraId="3A80F3C8">
      <w:pPr>
        <w:jc w:val="center"/>
        <w:rPr>
          <w:rFonts w:ascii="宋体" w:hAnsi="宋体" w:cs="宋体"/>
          <w:b/>
          <w:kern w:val="0"/>
          <w:sz w:val="32"/>
          <w:szCs w:val="32"/>
        </w:rPr>
      </w:pPr>
    </w:p>
    <w:p w14:paraId="5EFC15DB">
      <w:pPr>
        <w:jc w:val="center"/>
        <w:rPr>
          <w:rFonts w:ascii="宋体" w:hAnsi="宋体" w:cs="宋体"/>
          <w:b/>
          <w:kern w:val="0"/>
          <w:sz w:val="32"/>
          <w:szCs w:val="32"/>
        </w:rPr>
      </w:pPr>
    </w:p>
    <w:p w14:paraId="6A229B23">
      <w:pPr>
        <w:jc w:val="center"/>
        <w:rPr>
          <w:rFonts w:ascii="宋体" w:hAnsi="宋体" w:cs="宋体"/>
          <w:b/>
          <w:kern w:val="0"/>
          <w:sz w:val="32"/>
          <w:szCs w:val="32"/>
        </w:rPr>
      </w:pPr>
    </w:p>
    <w:p w14:paraId="66D65A47">
      <w:pPr>
        <w:jc w:val="center"/>
        <w:rPr>
          <w:rFonts w:ascii="宋体" w:hAnsi="宋体" w:cs="宋体"/>
          <w:b/>
          <w:kern w:val="0"/>
          <w:sz w:val="32"/>
          <w:szCs w:val="32"/>
        </w:rPr>
      </w:pPr>
    </w:p>
    <w:p w14:paraId="0A251400">
      <w:pPr>
        <w:jc w:val="center"/>
        <w:rPr>
          <w:rFonts w:ascii="宋体" w:hAnsi="宋体" w:cs="宋体"/>
          <w:b/>
          <w:kern w:val="0"/>
          <w:sz w:val="32"/>
          <w:szCs w:val="32"/>
        </w:rPr>
      </w:pPr>
    </w:p>
    <w:p w14:paraId="3787FEE0">
      <w:pPr>
        <w:jc w:val="center"/>
        <w:rPr>
          <w:rFonts w:ascii="宋体" w:hAnsi="宋体" w:cs="宋体"/>
          <w:b/>
          <w:kern w:val="0"/>
          <w:sz w:val="32"/>
          <w:szCs w:val="32"/>
        </w:rPr>
      </w:pPr>
    </w:p>
    <w:p w14:paraId="3F6B9DB0">
      <w:pPr>
        <w:jc w:val="center"/>
        <w:rPr>
          <w:rFonts w:ascii="宋体" w:hAnsi="宋体" w:cs="宋体"/>
          <w:b/>
          <w:kern w:val="0"/>
          <w:sz w:val="32"/>
          <w:szCs w:val="32"/>
        </w:rPr>
      </w:pPr>
    </w:p>
    <w:p w14:paraId="728EEBF8">
      <w:pPr>
        <w:snapToGrid w:val="0"/>
        <w:spacing w:line="360" w:lineRule="auto"/>
        <w:ind w:right="480"/>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446CC26E">
      <w:pPr>
        <w:snapToGrid w:val="0"/>
        <w:jc w:val="center"/>
        <w:rPr>
          <w:rFonts w:ascii="宋体" w:hAnsi="宋体" w:cs="宋体"/>
          <w:b/>
          <w:bCs/>
          <w:sz w:val="32"/>
          <w:szCs w:val="32"/>
        </w:rPr>
      </w:pPr>
      <w:r>
        <w:rPr>
          <w:rFonts w:hint="eastAsia" w:ascii="宋体" w:hAnsi="宋体" w:cs="宋体"/>
          <w:b/>
          <w:bCs/>
          <w:sz w:val="32"/>
          <w:szCs w:val="32"/>
        </w:rPr>
        <w:t>三、分包意向协议</w:t>
      </w:r>
    </w:p>
    <w:p w14:paraId="5F7DE584">
      <w:pPr>
        <w:widowControl/>
        <w:spacing w:line="360" w:lineRule="auto"/>
        <w:ind w:firstLine="120" w:firstLineChars="50"/>
        <w:jc w:val="left"/>
        <w:rPr>
          <w:rFonts w:ascii="宋体" w:hAnsi="宋体" w:cs="宋体"/>
          <w:sz w:val="24"/>
        </w:rPr>
      </w:pPr>
      <w:bookmarkStart w:id="910"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910"/>
    <w:p w14:paraId="53C5D091">
      <w:pPr>
        <w:snapToGrid w:val="0"/>
        <w:spacing w:line="360" w:lineRule="auto"/>
        <w:rPr>
          <w:rFonts w:ascii="宋体" w:hAnsi="宋体" w:cs="宋体"/>
          <w:kern w:val="0"/>
          <w:sz w:val="24"/>
        </w:rPr>
      </w:pPr>
    </w:p>
    <w:p w14:paraId="71F840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47EC19E3">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079"/>
        <w:gridCol w:w="2463"/>
        <w:gridCol w:w="1418"/>
      </w:tblGrid>
      <w:tr w14:paraId="0BC7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159CBB">
            <w:pPr>
              <w:snapToGrid w:val="0"/>
              <w:spacing w:line="240" w:lineRule="atLeast"/>
              <w:jc w:val="center"/>
              <w:rPr>
                <w:rFonts w:ascii="宋体" w:hAnsi="宋体" w:cs="宋体"/>
                <w:b/>
                <w:sz w:val="24"/>
              </w:rPr>
            </w:pPr>
            <w:r>
              <w:rPr>
                <w:rFonts w:hint="eastAsia" w:ascii="宋体" w:hAnsi="宋体" w:cs="宋体"/>
                <w:b/>
                <w:sz w:val="24"/>
              </w:rPr>
              <w:t>序号</w:t>
            </w:r>
          </w:p>
        </w:tc>
        <w:tc>
          <w:tcPr>
            <w:tcW w:w="5079" w:type="dxa"/>
            <w:vAlign w:val="center"/>
          </w:tcPr>
          <w:p w14:paraId="326A3A2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463" w:type="dxa"/>
            <w:vAlign w:val="center"/>
          </w:tcPr>
          <w:p w14:paraId="3476C71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77956EA">
            <w:pPr>
              <w:snapToGrid w:val="0"/>
              <w:spacing w:line="240" w:lineRule="atLeast"/>
              <w:jc w:val="center"/>
              <w:rPr>
                <w:rFonts w:ascii="宋体" w:hAnsi="宋体" w:cs="宋体"/>
                <w:b/>
                <w:sz w:val="24"/>
              </w:rPr>
            </w:pPr>
            <w:r>
              <w:rPr>
                <w:rFonts w:hint="eastAsia" w:ascii="宋体" w:hAnsi="宋体" w:cs="宋体"/>
                <w:b/>
                <w:sz w:val="24"/>
              </w:rPr>
              <w:t>响应文件中的</w:t>
            </w:r>
          </w:p>
          <w:p w14:paraId="7F773503">
            <w:pPr>
              <w:snapToGrid w:val="0"/>
              <w:spacing w:line="240" w:lineRule="atLeast"/>
              <w:jc w:val="center"/>
              <w:rPr>
                <w:rFonts w:ascii="宋体" w:hAnsi="宋体" w:cs="宋体"/>
                <w:b/>
                <w:sz w:val="24"/>
              </w:rPr>
            </w:pPr>
            <w:r>
              <w:rPr>
                <w:rFonts w:hint="eastAsia" w:ascii="宋体" w:hAnsi="宋体" w:cs="宋体"/>
                <w:b/>
                <w:sz w:val="24"/>
              </w:rPr>
              <w:t>页码位置</w:t>
            </w:r>
          </w:p>
        </w:tc>
      </w:tr>
      <w:tr w14:paraId="063E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915A94">
            <w:pPr>
              <w:rPr>
                <w:rFonts w:ascii="宋体" w:hAnsi="宋体" w:cs="宋体"/>
                <w:sz w:val="24"/>
              </w:rPr>
            </w:pPr>
            <w:r>
              <w:rPr>
                <w:rFonts w:hint="eastAsia" w:ascii="宋体" w:hAnsi="宋体" w:cs="宋体"/>
                <w:sz w:val="24"/>
              </w:rPr>
              <w:t>1</w:t>
            </w:r>
          </w:p>
        </w:tc>
        <w:tc>
          <w:tcPr>
            <w:tcW w:w="5079" w:type="dxa"/>
            <w:vAlign w:val="center"/>
          </w:tcPr>
          <w:p w14:paraId="719A2436">
            <w:pPr>
              <w:spacing w:line="360" w:lineRule="auto"/>
              <w:rPr>
                <w:rFonts w:ascii="宋体" w:hAnsi="宋体" w:cs="宋体"/>
                <w:sz w:val="24"/>
              </w:rPr>
            </w:pPr>
            <w:r>
              <w:rPr>
                <w:rFonts w:hint="eastAsia" w:ascii="宋体" w:hAnsi="宋体" w:cs="宋体"/>
                <w:sz w:val="24"/>
              </w:rPr>
              <w:t>响应文件按照采购文件要求签署、盖章。</w:t>
            </w:r>
          </w:p>
        </w:tc>
        <w:tc>
          <w:tcPr>
            <w:tcW w:w="2463" w:type="dxa"/>
            <w:vAlign w:val="center"/>
          </w:tcPr>
          <w:p w14:paraId="21C25E8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732DC061">
            <w:pPr>
              <w:rPr>
                <w:rFonts w:ascii="宋体" w:hAnsi="宋体" w:cs="宋体"/>
                <w:sz w:val="24"/>
              </w:rPr>
            </w:pPr>
            <w:r>
              <w:rPr>
                <w:rFonts w:hint="eastAsia" w:ascii="宋体" w:hAnsi="宋体" w:cs="宋体"/>
                <w:sz w:val="24"/>
              </w:rPr>
              <w:t>见响应文件</w:t>
            </w:r>
          </w:p>
          <w:p w14:paraId="12F368AE">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7A6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6011E3">
            <w:pPr>
              <w:rPr>
                <w:rFonts w:hint="eastAsia" w:ascii="宋体" w:hAnsi="宋体" w:eastAsia="宋体" w:cs="宋体"/>
                <w:sz w:val="24"/>
                <w:lang w:eastAsia="zh-CN"/>
              </w:rPr>
            </w:pPr>
            <w:r>
              <w:rPr>
                <w:rFonts w:hint="eastAsia" w:ascii="宋体" w:hAnsi="宋体" w:cs="宋体"/>
                <w:sz w:val="24"/>
                <w:lang w:val="en-US" w:eastAsia="zh-CN"/>
              </w:rPr>
              <w:t>2</w:t>
            </w:r>
          </w:p>
        </w:tc>
        <w:tc>
          <w:tcPr>
            <w:tcW w:w="5079" w:type="dxa"/>
            <w:vAlign w:val="center"/>
          </w:tcPr>
          <w:p w14:paraId="421D17DD">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463" w:type="dxa"/>
            <w:vAlign w:val="center"/>
          </w:tcPr>
          <w:p w14:paraId="7A585732">
            <w:pPr>
              <w:rPr>
                <w:rFonts w:ascii="宋体" w:hAnsi="宋体" w:cs="宋体"/>
                <w:sz w:val="24"/>
              </w:rPr>
            </w:pPr>
            <w:r>
              <w:rPr>
                <w:rFonts w:hint="eastAsia" w:ascii="宋体" w:hAnsi="宋体" w:cs="宋体"/>
                <w:sz w:val="24"/>
              </w:rPr>
              <w:t>响应函</w:t>
            </w:r>
          </w:p>
        </w:tc>
        <w:tc>
          <w:tcPr>
            <w:tcW w:w="1418" w:type="dxa"/>
            <w:vAlign w:val="center"/>
          </w:tcPr>
          <w:p w14:paraId="4C12963C">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54B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7147DB">
            <w:pPr>
              <w:rPr>
                <w:rFonts w:hint="eastAsia" w:ascii="宋体" w:hAnsi="宋体" w:eastAsia="宋体" w:cs="宋体"/>
                <w:sz w:val="24"/>
                <w:lang w:eastAsia="zh-CN"/>
              </w:rPr>
            </w:pPr>
            <w:r>
              <w:rPr>
                <w:rFonts w:hint="eastAsia" w:ascii="宋体" w:hAnsi="宋体" w:cs="宋体"/>
                <w:sz w:val="24"/>
                <w:lang w:val="en-US" w:eastAsia="zh-CN"/>
              </w:rPr>
              <w:t>3</w:t>
            </w:r>
          </w:p>
        </w:tc>
        <w:tc>
          <w:tcPr>
            <w:tcW w:w="5079" w:type="dxa"/>
            <w:vAlign w:val="center"/>
          </w:tcPr>
          <w:p w14:paraId="49161196">
            <w:pPr>
              <w:spacing w:line="360" w:lineRule="auto"/>
              <w:rPr>
                <w:rFonts w:ascii="宋体" w:hAnsi="宋体" w:cs="宋体"/>
                <w:sz w:val="24"/>
              </w:rPr>
            </w:pPr>
            <w:r>
              <w:rPr>
                <w:rFonts w:hint="eastAsia" w:ascii="宋体" w:hAnsi="宋体" w:cs="宋体"/>
                <w:sz w:val="24"/>
              </w:rPr>
              <w:t>响应文件满足采购文件的其它实质性要求。</w:t>
            </w:r>
          </w:p>
        </w:tc>
        <w:tc>
          <w:tcPr>
            <w:tcW w:w="2463" w:type="dxa"/>
            <w:vAlign w:val="center"/>
          </w:tcPr>
          <w:p w14:paraId="37B07371">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32C785DD">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452A4FA9">
      <w:pPr>
        <w:spacing w:line="360" w:lineRule="auto"/>
        <w:ind w:right="420"/>
        <w:rPr>
          <w:rFonts w:ascii="宋体" w:hAnsi="宋体" w:cs="宋体"/>
          <w:sz w:val="24"/>
        </w:rPr>
      </w:pPr>
      <w:r>
        <w:rPr>
          <w:rFonts w:hint="eastAsia" w:ascii="宋体" w:hAnsi="宋体" w:cs="宋体"/>
          <w:sz w:val="24"/>
        </w:rPr>
        <w:t>注：按本格式和要求提供。</w:t>
      </w:r>
    </w:p>
    <w:p w14:paraId="04A66DFC">
      <w:pPr>
        <w:jc w:val="center"/>
        <w:rPr>
          <w:rFonts w:ascii="宋体" w:hAnsi="宋体" w:cs="宋体"/>
          <w:b/>
          <w:kern w:val="0"/>
          <w:sz w:val="32"/>
          <w:szCs w:val="32"/>
        </w:rPr>
      </w:pPr>
    </w:p>
    <w:p w14:paraId="7B705B92">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5AB86E1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6C286FB8">
      <w:pPr>
        <w:spacing w:line="360" w:lineRule="auto"/>
        <w:jc w:val="center"/>
        <w:rPr>
          <w:rFonts w:ascii="宋体" w:hAnsi="宋体" w:cs="宋体"/>
          <w:b/>
          <w:sz w:val="30"/>
          <w:szCs w:val="30"/>
        </w:rPr>
      </w:pPr>
    </w:p>
    <w:p w14:paraId="202A6CC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12F3E45E">
      <w:pPr>
        <w:snapToGrid w:val="0"/>
        <w:spacing w:line="360" w:lineRule="auto"/>
        <w:ind w:firstLine="5160" w:firstLineChars="2150"/>
        <w:rPr>
          <w:rFonts w:ascii="宋体" w:hAnsi="宋体" w:cs="宋体"/>
          <w:b/>
          <w:kern w:val="0"/>
          <w:sz w:val="32"/>
          <w:szCs w:val="32"/>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18ED241">
      <w:pPr>
        <w:spacing w:line="360" w:lineRule="auto"/>
        <w:jc w:val="center"/>
        <w:rPr>
          <w:rFonts w:ascii="宋体" w:hAnsi="宋体" w:cs="宋体"/>
          <w:b/>
          <w:bCs/>
          <w:sz w:val="32"/>
          <w:szCs w:val="32"/>
        </w:rPr>
      </w:pPr>
    </w:p>
    <w:p w14:paraId="09298609">
      <w:pPr>
        <w:pStyle w:val="81"/>
        <w:rPr>
          <w:rFonts w:ascii="宋体" w:hAnsi="宋体" w:cs="宋体"/>
          <w:b/>
          <w:bCs/>
          <w:sz w:val="32"/>
          <w:szCs w:val="32"/>
        </w:rPr>
      </w:pPr>
    </w:p>
    <w:p w14:paraId="1FF54A70">
      <w:pPr>
        <w:pStyle w:val="81"/>
        <w:rPr>
          <w:rFonts w:ascii="宋体" w:hAnsi="宋体" w:cs="宋体"/>
          <w:b/>
          <w:bCs/>
          <w:sz w:val="32"/>
          <w:szCs w:val="32"/>
        </w:rPr>
      </w:pPr>
    </w:p>
    <w:p w14:paraId="0FB0FF2A">
      <w:pPr>
        <w:pStyle w:val="81"/>
        <w:rPr>
          <w:rFonts w:ascii="宋体" w:hAnsi="宋体" w:cs="宋体"/>
          <w:b/>
          <w:bCs/>
          <w:sz w:val="32"/>
          <w:szCs w:val="32"/>
        </w:rPr>
      </w:pPr>
    </w:p>
    <w:p w14:paraId="5D9C5DDD">
      <w:pPr>
        <w:pStyle w:val="81"/>
        <w:rPr>
          <w:rFonts w:ascii="宋体" w:hAnsi="宋体" w:cs="宋体"/>
          <w:b/>
          <w:bCs/>
          <w:sz w:val="32"/>
          <w:szCs w:val="32"/>
        </w:rPr>
      </w:pPr>
    </w:p>
    <w:p w14:paraId="34E9C74E">
      <w:pPr>
        <w:pStyle w:val="81"/>
        <w:rPr>
          <w:rFonts w:ascii="宋体" w:hAnsi="宋体" w:cs="宋体"/>
          <w:b/>
          <w:bCs/>
          <w:sz w:val="32"/>
          <w:szCs w:val="32"/>
        </w:rPr>
      </w:pPr>
    </w:p>
    <w:p w14:paraId="132857BD">
      <w:pPr>
        <w:pStyle w:val="81"/>
        <w:rPr>
          <w:rFonts w:ascii="宋体" w:hAnsi="宋体" w:cs="宋体"/>
          <w:b/>
          <w:bCs/>
          <w:sz w:val="32"/>
          <w:szCs w:val="32"/>
        </w:rPr>
        <w:sectPr>
          <w:footerReference r:id="rId15" w:type="first"/>
          <w:footerReference r:id="rId14" w:type="default"/>
          <w:pgSz w:w="11906" w:h="16838"/>
          <w:pgMar w:top="1440" w:right="1080" w:bottom="1440" w:left="1080" w:header="851" w:footer="992" w:gutter="0"/>
          <w:pgNumType w:fmt="decimal"/>
          <w:cols w:space="720" w:num="1"/>
          <w:titlePg/>
          <w:docGrid w:linePitch="312" w:charSpace="0"/>
        </w:sectPr>
      </w:pPr>
    </w:p>
    <w:p w14:paraId="13B25A9E">
      <w:pPr>
        <w:pStyle w:val="81"/>
        <w:rPr>
          <w:rFonts w:ascii="宋体" w:hAnsi="宋体" w:cs="宋体"/>
          <w:b/>
          <w:bCs/>
          <w:sz w:val="32"/>
          <w:szCs w:val="32"/>
        </w:rPr>
      </w:pPr>
    </w:p>
    <w:p w14:paraId="31033F3C">
      <w:pPr>
        <w:pStyle w:val="81"/>
        <w:rPr>
          <w:rFonts w:ascii="宋体" w:hAnsi="宋体" w:cs="宋体"/>
          <w:b/>
          <w:bCs/>
          <w:sz w:val="32"/>
          <w:szCs w:val="32"/>
        </w:rPr>
      </w:pPr>
    </w:p>
    <w:p w14:paraId="3E23670E">
      <w:pPr>
        <w:pStyle w:val="81"/>
        <w:rPr>
          <w:rFonts w:ascii="宋体" w:hAnsi="宋体" w:cs="宋体"/>
          <w:b/>
          <w:bCs/>
          <w:sz w:val="32"/>
          <w:szCs w:val="32"/>
        </w:rPr>
      </w:pPr>
    </w:p>
    <w:p w14:paraId="771E902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F8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95FBDD">
            <w:pPr>
              <w:jc w:val="center"/>
              <w:rPr>
                <w:rFonts w:ascii="宋体" w:hAnsi="宋体" w:cs="宋体"/>
                <w:b/>
                <w:bCs/>
                <w:sz w:val="24"/>
              </w:rPr>
            </w:pPr>
            <w:r>
              <w:rPr>
                <w:rFonts w:hint="eastAsia" w:ascii="宋体" w:hAnsi="宋体" w:cs="宋体"/>
                <w:b/>
                <w:bCs/>
                <w:sz w:val="24"/>
              </w:rPr>
              <w:t>序号</w:t>
            </w:r>
          </w:p>
        </w:tc>
        <w:tc>
          <w:tcPr>
            <w:tcW w:w="3683" w:type="dxa"/>
          </w:tcPr>
          <w:p w14:paraId="5FDC6FCE">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6B0BE9C4">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31C560D">
            <w:pPr>
              <w:jc w:val="center"/>
              <w:rPr>
                <w:rFonts w:ascii="宋体" w:hAnsi="宋体" w:cs="宋体"/>
                <w:b/>
                <w:bCs/>
                <w:sz w:val="24"/>
              </w:rPr>
            </w:pPr>
            <w:r>
              <w:rPr>
                <w:rFonts w:hint="eastAsia" w:ascii="宋体" w:hAnsi="宋体" w:cs="宋体"/>
                <w:b/>
                <w:bCs/>
                <w:sz w:val="24"/>
              </w:rPr>
              <w:t>偏离说明</w:t>
            </w:r>
          </w:p>
        </w:tc>
      </w:tr>
      <w:tr w14:paraId="4162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06FC2C">
            <w:pPr>
              <w:jc w:val="center"/>
              <w:rPr>
                <w:rFonts w:ascii="宋体" w:hAnsi="宋体" w:cs="宋体"/>
                <w:kern w:val="0"/>
                <w:sz w:val="24"/>
              </w:rPr>
            </w:pPr>
            <w:r>
              <w:rPr>
                <w:rFonts w:hint="eastAsia" w:ascii="宋体" w:hAnsi="宋体" w:cs="宋体"/>
                <w:kern w:val="0"/>
                <w:sz w:val="24"/>
              </w:rPr>
              <w:t>1</w:t>
            </w:r>
          </w:p>
        </w:tc>
        <w:tc>
          <w:tcPr>
            <w:tcW w:w="3683" w:type="dxa"/>
          </w:tcPr>
          <w:p w14:paraId="47D4125D">
            <w:pPr>
              <w:jc w:val="center"/>
              <w:rPr>
                <w:rFonts w:ascii="宋体" w:hAnsi="宋体" w:cs="宋体"/>
                <w:b/>
                <w:kern w:val="0"/>
                <w:sz w:val="32"/>
                <w:szCs w:val="32"/>
              </w:rPr>
            </w:pPr>
          </w:p>
        </w:tc>
        <w:tc>
          <w:tcPr>
            <w:tcW w:w="3546" w:type="dxa"/>
          </w:tcPr>
          <w:p w14:paraId="6CD60577">
            <w:pPr>
              <w:jc w:val="center"/>
              <w:rPr>
                <w:rFonts w:ascii="宋体" w:hAnsi="宋体" w:cs="宋体"/>
                <w:b/>
                <w:kern w:val="0"/>
                <w:sz w:val="32"/>
                <w:szCs w:val="32"/>
              </w:rPr>
            </w:pPr>
          </w:p>
        </w:tc>
        <w:tc>
          <w:tcPr>
            <w:tcW w:w="1276" w:type="dxa"/>
          </w:tcPr>
          <w:p w14:paraId="49EDA626">
            <w:pPr>
              <w:jc w:val="center"/>
              <w:rPr>
                <w:rFonts w:ascii="宋体" w:hAnsi="宋体" w:cs="宋体"/>
                <w:b/>
                <w:kern w:val="0"/>
                <w:sz w:val="32"/>
                <w:szCs w:val="32"/>
              </w:rPr>
            </w:pPr>
          </w:p>
        </w:tc>
      </w:tr>
      <w:tr w14:paraId="3D31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9F018F">
            <w:pPr>
              <w:jc w:val="center"/>
              <w:rPr>
                <w:rFonts w:ascii="宋体" w:hAnsi="宋体" w:cs="宋体"/>
                <w:kern w:val="0"/>
                <w:sz w:val="24"/>
              </w:rPr>
            </w:pPr>
            <w:r>
              <w:rPr>
                <w:rFonts w:hint="eastAsia" w:ascii="宋体" w:hAnsi="宋体" w:cs="宋体"/>
                <w:kern w:val="0"/>
                <w:sz w:val="24"/>
              </w:rPr>
              <w:t>2</w:t>
            </w:r>
          </w:p>
        </w:tc>
        <w:tc>
          <w:tcPr>
            <w:tcW w:w="3683" w:type="dxa"/>
          </w:tcPr>
          <w:p w14:paraId="142B9C2B">
            <w:pPr>
              <w:jc w:val="center"/>
              <w:rPr>
                <w:rFonts w:ascii="宋体" w:hAnsi="宋体" w:cs="宋体"/>
                <w:b/>
                <w:kern w:val="0"/>
                <w:sz w:val="32"/>
                <w:szCs w:val="32"/>
              </w:rPr>
            </w:pPr>
          </w:p>
        </w:tc>
        <w:tc>
          <w:tcPr>
            <w:tcW w:w="3546" w:type="dxa"/>
          </w:tcPr>
          <w:p w14:paraId="440A0FAD">
            <w:pPr>
              <w:jc w:val="center"/>
              <w:rPr>
                <w:rFonts w:ascii="宋体" w:hAnsi="宋体" w:cs="宋体"/>
                <w:b/>
                <w:kern w:val="0"/>
                <w:sz w:val="32"/>
                <w:szCs w:val="32"/>
              </w:rPr>
            </w:pPr>
          </w:p>
        </w:tc>
        <w:tc>
          <w:tcPr>
            <w:tcW w:w="1276" w:type="dxa"/>
          </w:tcPr>
          <w:p w14:paraId="355246C8">
            <w:pPr>
              <w:jc w:val="center"/>
              <w:rPr>
                <w:rFonts w:ascii="宋体" w:hAnsi="宋体" w:cs="宋体"/>
                <w:b/>
                <w:kern w:val="0"/>
                <w:sz w:val="32"/>
                <w:szCs w:val="32"/>
              </w:rPr>
            </w:pPr>
          </w:p>
        </w:tc>
      </w:tr>
      <w:tr w14:paraId="02CC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DF38E9">
            <w:pPr>
              <w:jc w:val="center"/>
              <w:rPr>
                <w:rFonts w:ascii="宋体" w:hAnsi="宋体" w:cs="宋体"/>
                <w:kern w:val="0"/>
                <w:sz w:val="24"/>
              </w:rPr>
            </w:pPr>
            <w:r>
              <w:rPr>
                <w:rFonts w:hint="eastAsia" w:ascii="宋体" w:hAnsi="宋体" w:cs="宋体"/>
                <w:kern w:val="0"/>
                <w:sz w:val="24"/>
              </w:rPr>
              <w:t>……</w:t>
            </w:r>
          </w:p>
        </w:tc>
        <w:tc>
          <w:tcPr>
            <w:tcW w:w="3683" w:type="dxa"/>
          </w:tcPr>
          <w:p w14:paraId="4A08EFF3">
            <w:pPr>
              <w:jc w:val="center"/>
              <w:rPr>
                <w:rFonts w:ascii="宋体" w:hAnsi="宋体" w:cs="宋体"/>
                <w:b/>
                <w:kern w:val="0"/>
                <w:sz w:val="32"/>
                <w:szCs w:val="32"/>
              </w:rPr>
            </w:pPr>
          </w:p>
        </w:tc>
        <w:tc>
          <w:tcPr>
            <w:tcW w:w="3546" w:type="dxa"/>
          </w:tcPr>
          <w:p w14:paraId="77736AAF">
            <w:pPr>
              <w:jc w:val="center"/>
              <w:rPr>
                <w:rFonts w:ascii="宋体" w:hAnsi="宋体" w:cs="宋体"/>
                <w:b/>
                <w:kern w:val="0"/>
                <w:sz w:val="32"/>
                <w:szCs w:val="32"/>
              </w:rPr>
            </w:pPr>
          </w:p>
        </w:tc>
        <w:tc>
          <w:tcPr>
            <w:tcW w:w="1276" w:type="dxa"/>
          </w:tcPr>
          <w:p w14:paraId="1B4CF021">
            <w:pPr>
              <w:jc w:val="center"/>
              <w:rPr>
                <w:rFonts w:ascii="宋体" w:hAnsi="宋体" w:cs="宋体"/>
                <w:b/>
                <w:kern w:val="0"/>
                <w:sz w:val="32"/>
                <w:szCs w:val="32"/>
              </w:rPr>
            </w:pPr>
          </w:p>
        </w:tc>
      </w:tr>
    </w:tbl>
    <w:p w14:paraId="1787FCB9">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70E4B69E">
      <w:pPr>
        <w:jc w:val="center"/>
        <w:rPr>
          <w:rFonts w:ascii="宋体" w:hAnsi="宋体" w:cs="宋体"/>
          <w:b/>
          <w:kern w:val="0"/>
          <w:sz w:val="32"/>
          <w:szCs w:val="32"/>
        </w:rPr>
      </w:pPr>
    </w:p>
    <w:p w14:paraId="46BBA7B3">
      <w:pPr>
        <w:spacing w:line="360" w:lineRule="auto"/>
        <w:ind w:right="420"/>
        <w:rPr>
          <w:rFonts w:ascii="宋体" w:hAnsi="宋体" w:cs="宋体"/>
          <w:sz w:val="24"/>
        </w:rPr>
      </w:pPr>
      <w:r>
        <w:rPr>
          <w:rFonts w:hint="eastAsia" w:ascii="宋体" w:hAnsi="宋体" w:cs="宋体"/>
          <w:sz w:val="24"/>
        </w:rPr>
        <w:t>注：按本格式和要求提供。</w:t>
      </w:r>
    </w:p>
    <w:p w14:paraId="4E760730">
      <w:pPr>
        <w:ind w:firstLine="1911" w:firstLineChars="595"/>
        <w:rPr>
          <w:rFonts w:ascii="宋体" w:hAnsi="宋体" w:cs="宋体"/>
          <w:b/>
          <w:bCs/>
          <w:sz w:val="32"/>
          <w:szCs w:val="32"/>
        </w:rPr>
        <w:sectPr>
          <w:footerReference r:id="rId17" w:type="first"/>
          <w:footerReference r:id="rId16" w:type="default"/>
          <w:pgSz w:w="11906" w:h="16838"/>
          <w:pgMar w:top="1440" w:right="1080" w:bottom="1440" w:left="1080" w:header="851" w:footer="992" w:gutter="0"/>
          <w:pgNumType w:fmt="decimal"/>
          <w:cols w:space="720" w:num="1"/>
          <w:docGrid w:linePitch="312" w:charSpace="0"/>
        </w:sectPr>
      </w:pPr>
    </w:p>
    <w:p w14:paraId="7F26E87C">
      <w:pPr>
        <w:pStyle w:val="971"/>
      </w:pPr>
    </w:p>
    <w:p w14:paraId="6AC3A9DE">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8377F1F">
      <w:pPr>
        <w:snapToGrid w:val="0"/>
        <w:spacing w:line="360" w:lineRule="auto"/>
        <w:rPr>
          <w:rFonts w:ascii="宋体" w:hAnsi="宋体" w:cs="宋体"/>
          <w:sz w:val="24"/>
        </w:rPr>
      </w:pPr>
    </w:p>
    <w:p w14:paraId="7AAFABAE">
      <w:pPr>
        <w:snapToGrid w:val="0"/>
        <w:spacing w:line="360" w:lineRule="auto"/>
        <w:rPr>
          <w:rFonts w:ascii="宋体" w:hAnsi="宋体" w:cs="宋体"/>
          <w:kern w:val="0"/>
          <w:sz w:val="24"/>
        </w:rPr>
      </w:pPr>
      <w:r>
        <w:rPr>
          <w:rFonts w:hint="eastAsia" w:ascii="宋体" w:hAnsi="宋体" w:cs="宋体"/>
          <w:sz w:val="24"/>
          <w:lang w:eastAsia="zh-CN"/>
        </w:rPr>
        <w:t>宁海县气象局</w:t>
      </w:r>
      <w:r>
        <w:rPr>
          <w:rFonts w:hint="eastAsia" w:ascii="宋体" w:hAnsi="宋体" w:cs="宋体"/>
          <w:sz w:val="24"/>
        </w:rPr>
        <w:t>、</w:t>
      </w:r>
      <w:r>
        <w:rPr>
          <w:rFonts w:hint="eastAsia" w:ascii="宋体" w:hAnsi="宋体" w:cs="宋体"/>
          <w:sz w:val="24"/>
          <w:lang w:eastAsia="zh-CN"/>
        </w:rPr>
        <w:t>宁波工建工程造价咨询有限公司</w:t>
      </w:r>
      <w:r>
        <w:rPr>
          <w:rFonts w:hint="eastAsia" w:ascii="宋体" w:hAnsi="宋体" w:cs="宋体"/>
          <w:kern w:val="0"/>
          <w:sz w:val="24"/>
          <w:lang w:val="zh-CN"/>
        </w:rPr>
        <w:t>：</w:t>
      </w:r>
    </w:p>
    <w:p w14:paraId="6219F1D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BA6A96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AC6414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FD951C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98F770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93CD6E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2E915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09037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7305C3B">
      <w:pPr>
        <w:autoSpaceDE w:val="0"/>
        <w:autoSpaceDN w:val="0"/>
        <w:spacing w:line="360" w:lineRule="auto"/>
        <w:ind w:left="2"/>
        <w:jc w:val="left"/>
        <w:rPr>
          <w:rFonts w:ascii="宋体" w:hAnsi="宋体" w:cs="宋体"/>
          <w:kern w:val="0"/>
          <w:sz w:val="24"/>
          <w:lang w:val="zh-CN"/>
        </w:rPr>
      </w:pPr>
    </w:p>
    <w:p w14:paraId="6394969E">
      <w:pPr>
        <w:autoSpaceDE w:val="0"/>
        <w:autoSpaceDN w:val="0"/>
        <w:spacing w:line="360" w:lineRule="auto"/>
        <w:ind w:left="2"/>
        <w:jc w:val="left"/>
        <w:rPr>
          <w:rFonts w:ascii="宋体" w:hAnsi="宋体" w:cs="宋体"/>
          <w:kern w:val="0"/>
          <w:sz w:val="24"/>
          <w:lang w:val="zh-CN"/>
        </w:rPr>
      </w:pPr>
    </w:p>
    <w:p w14:paraId="38919083">
      <w:pPr>
        <w:autoSpaceDE w:val="0"/>
        <w:autoSpaceDN w:val="0"/>
        <w:spacing w:line="360" w:lineRule="auto"/>
        <w:ind w:left="2"/>
        <w:jc w:val="left"/>
        <w:rPr>
          <w:rFonts w:ascii="宋体" w:hAnsi="宋体" w:cs="宋体"/>
          <w:kern w:val="0"/>
          <w:sz w:val="24"/>
          <w:lang w:val="zh-CN"/>
        </w:rPr>
      </w:pPr>
    </w:p>
    <w:p w14:paraId="07022DE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705483C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01DE93A">
      <w:pPr>
        <w:spacing w:line="360" w:lineRule="auto"/>
        <w:jc w:val="center"/>
        <w:rPr>
          <w:rFonts w:ascii="宋体" w:hAnsi="宋体" w:cs="宋体"/>
          <w:b/>
          <w:bCs/>
          <w:sz w:val="24"/>
        </w:rPr>
      </w:pPr>
    </w:p>
    <w:p w14:paraId="67F47F20">
      <w:pPr>
        <w:spacing w:line="360" w:lineRule="auto"/>
        <w:ind w:right="420"/>
        <w:rPr>
          <w:rFonts w:ascii="宋体" w:hAnsi="宋体" w:cs="宋体"/>
          <w:sz w:val="24"/>
        </w:rPr>
      </w:pPr>
      <w:r>
        <w:rPr>
          <w:rFonts w:hint="eastAsia" w:ascii="宋体" w:hAnsi="宋体" w:cs="宋体"/>
          <w:sz w:val="24"/>
        </w:rPr>
        <w:t>注：按本格式和要求提供。</w:t>
      </w:r>
    </w:p>
    <w:p w14:paraId="0B39903F">
      <w:pPr>
        <w:spacing w:line="360" w:lineRule="auto"/>
        <w:jc w:val="center"/>
        <w:rPr>
          <w:rFonts w:ascii="宋体" w:hAnsi="宋体" w:cs="宋体"/>
          <w:b/>
          <w:bCs/>
          <w:sz w:val="24"/>
        </w:rPr>
        <w:sectPr>
          <w:footerReference r:id="rId19" w:type="first"/>
          <w:footerReference r:id="rId18" w:type="default"/>
          <w:pgSz w:w="11906" w:h="16838"/>
          <w:pgMar w:top="1440" w:right="1080" w:bottom="1440" w:left="1080" w:header="851" w:footer="992" w:gutter="0"/>
          <w:pgNumType w:fmt="decimal"/>
          <w:cols w:space="720" w:num="1"/>
          <w:titlePg/>
          <w:docGrid w:linePitch="312" w:charSpace="0"/>
        </w:sectPr>
      </w:pPr>
    </w:p>
    <w:p w14:paraId="47C1A8A2">
      <w:pPr>
        <w:spacing w:line="360" w:lineRule="auto"/>
        <w:jc w:val="center"/>
        <w:outlineLvl w:val="0"/>
        <w:rPr>
          <w:rFonts w:hint="eastAsia" w:ascii="宋体" w:hAnsi="宋体" w:cs="宋体"/>
          <w:b/>
          <w:bCs/>
          <w:sz w:val="30"/>
          <w:szCs w:val="30"/>
        </w:rPr>
      </w:pPr>
    </w:p>
    <w:p w14:paraId="5614EE9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87DBBE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D9E1465">
      <w:pPr>
        <w:spacing w:line="360" w:lineRule="auto"/>
        <w:jc w:val="center"/>
        <w:outlineLvl w:val="0"/>
        <w:rPr>
          <w:rFonts w:ascii="宋体" w:hAnsi="宋体" w:cs="宋体"/>
          <w:b/>
          <w:kern w:val="0"/>
          <w:sz w:val="36"/>
          <w:szCs w:val="36"/>
        </w:rPr>
      </w:pPr>
    </w:p>
    <w:p w14:paraId="3D6824AB">
      <w:pPr>
        <w:numPr>
          <w:ilvl w:val="0"/>
          <w:numId w:val="3"/>
        </w:numPr>
        <w:snapToGrid w:val="0"/>
        <w:spacing w:line="360" w:lineRule="auto"/>
        <w:rPr>
          <w:rFonts w:hint="eastAsia" w:ascii="宋体" w:hAnsi="宋体" w:cs="宋体"/>
          <w:sz w:val="24"/>
        </w:rPr>
      </w:pPr>
      <w:r>
        <w:rPr>
          <w:rFonts w:hint="eastAsia" w:ascii="宋体" w:hAnsi="宋体" w:cs="宋体"/>
          <w:sz w:val="24"/>
        </w:rPr>
        <w:t>报价单…………………………………………………………………………（页码）</w:t>
      </w:r>
    </w:p>
    <w:p w14:paraId="06004C00">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）已标价工程量清单……………………………………………………………（页码）</w:t>
      </w:r>
    </w:p>
    <w:p w14:paraId="565AB6C7">
      <w:pPr>
        <w:snapToGrid w:val="0"/>
        <w:spacing w:line="360" w:lineRule="auto"/>
        <w:ind w:right="480"/>
        <w:jc w:val="center"/>
        <w:rPr>
          <w:rFonts w:ascii="宋体" w:hAnsi="宋体" w:cs="宋体"/>
          <w:b/>
          <w:color w:val="auto"/>
          <w:kern w:val="0"/>
          <w:sz w:val="32"/>
          <w:szCs w:val="32"/>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473B6CA">
      <w:pPr>
        <w:snapToGrid w:val="0"/>
        <w:spacing w:line="360" w:lineRule="auto"/>
        <w:ind w:right="480"/>
        <w:jc w:val="center"/>
        <w:rPr>
          <w:rFonts w:ascii="宋体" w:hAnsi="宋体" w:cs="宋体"/>
          <w:b/>
          <w:color w:val="auto"/>
          <w:kern w:val="0"/>
          <w:sz w:val="32"/>
          <w:szCs w:val="32"/>
        </w:rPr>
      </w:pPr>
    </w:p>
    <w:p w14:paraId="64917196">
      <w:pPr>
        <w:snapToGrid w:val="0"/>
        <w:spacing w:line="360" w:lineRule="auto"/>
        <w:ind w:right="480"/>
        <w:jc w:val="center"/>
        <w:rPr>
          <w:rFonts w:ascii="宋体" w:hAnsi="宋体" w:cs="宋体"/>
          <w:b/>
          <w:color w:val="auto"/>
          <w:kern w:val="0"/>
          <w:sz w:val="32"/>
          <w:szCs w:val="32"/>
        </w:rPr>
      </w:pPr>
    </w:p>
    <w:p w14:paraId="7E0E62A9">
      <w:pPr>
        <w:snapToGrid w:val="0"/>
        <w:spacing w:line="360" w:lineRule="auto"/>
        <w:ind w:right="480"/>
        <w:jc w:val="center"/>
        <w:rPr>
          <w:rFonts w:ascii="宋体" w:hAnsi="宋体" w:cs="宋体"/>
          <w:b/>
          <w:color w:val="auto"/>
          <w:kern w:val="0"/>
          <w:sz w:val="32"/>
          <w:szCs w:val="32"/>
        </w:rPr>
      </w:pPr>
    </w:p>
    <w:p w14:paraId="4F76F164">
      <w:pPr>
        <w:snapToGrid w:val="0"/>
        <w:spacing w:line="360" w:lineRule="auto"/>
        <w:ind w:right="480"/>
        <w:jc w:val="center"/>
        <w:rPr>
          <w:rFonts w:ascii="宋体" w:hAnsi="宋体" w:cs="宋体"/>
          <w:b/>
          <w:color w:val="auto"/>
          <w:kern w:val="0"/>
          <w:sz w:val="32"/>
          <w:szCs w:val="32"/>
        </w:rPr>
      </w:pPr>
    </w:p>
    <w:p w14:paraId="2195F3C4">
      <w:pPr>
        <w:snapToGrid w:val="0"/>
        <w:spacing w:line="360" w:lineRule="auto"/>
        <w:ind w:right="480"/>
        <w:jc w:val="center"/>
        <w:rPr>
          <w:rFonts w:ascii="宋体" w:hAnsi="宋体" w:cs="宋体"/>
          <w:b/>
          <w:color w:val="auto"/>
          <w:kern w:val="0"/>
          <w:sz w:val="32"/>
          <w:szCs w:val="32"/>
        </w:rPr>
      </w:pPr>
    </w:p>
    <w:p w14:paraId="1B0CB73D">
      <w:pPr>
        <w:snapToGrid w:val="0"/>
        <w:spacing w:line="360" w:lineRule="auto"/>
        <w:ind w:right="480"/>
        <w:jc w:val="center"/>
        <w:rPr>
          <w:rFonts w:ascii="宋体" w:hAnsi="宋体" w:cs="宋体"/>
          <w:b/>
          <w:color w:val="auto"/>
          <w:kern w:val="0"/>
          <w:sz w:val="32"/>
          <w:szCs w:val="32"/>
        </w:rPr>
      </w:pPr>
    </w:p>
    <w:p w14:paraId="77BF2CF1">
      <w:pPr>
        <w:snapToGrid w:val="0"/>
        <w:spacing w:line="360" w:lineRule="auto"/>
        <w:ind w:right="480"/>
        <w:jc w:val="center"/>
        <w:rPr>
          <w:rFonts w:ascii="宋体" w:hAnsi="宋体" w:cs="宋体"/>
          <w:b/>
          <w:color w:val="auto"/>
          <w:kern w:val="0"/>
          <w:sz w:val="32"/>
          <w:szCs w:val="32"/>
        </w:rPr>
      </w:pPr>
    </w:p>
    <w:p w14:paraId="16357705">
      <w:pPr>
        <w:snapToGrid w:val="0"/>
        <w:spacing w:line="360" w:lineRule="auto"/>
        <w:ind w:right="480"/>
        <w:jc w:val="center"/>
        <w:rPr>
          <w:rFonts w:ascii="宋体" w:hAnsi="宋体" w:cs="宋体"/>
          <w:b/>
          <w:color w:val="auto"/>
          <w:kern w:val="0"/>
          <w:sz w:val="32"/>
          <w:szCs w:val="32"/>
        </w:rPr>
      </w:pPr>
    </w:p>
    <w:p w14:paraId="76AAEF38">
      <w:pPr>
        <w:snapToGrid w:val="0"/>
        <w:spacing w:line="360" w:lineRule="auto"/>
        <w:ind w:right="480"/>
        <w:jc w:val="center"/>
        <w:rPr>
          <w:rFonts w:ascii="宋体" w:hAnsi="宋体" w:cs="宋体"/>
          <w:b/>
          <w:color w:val="auto"/>
          <w:kern w:val="0"/>
          <w:sz w:val="32"/>
          <w:szCs w:val="32"/>
        </w:rPr>
      </w:pPr>
    </w:p>
    <w:p w14:paraId="7950B3F2">
      <w:pPr>
        <w:snapToGrid w:val="0"/>
        <w:spacing w:line="360" w:lineRule="auto"/>
        <w:ind w:right="480"/>
        <w:jc w:val="center"/>
        <w:rPr>
          <w:rFonts w:ascii="宋体" w:hAnsi="宋体" w:cs="宋体"/>
          <w:b/>
          <w:color w:val="auto"/>
          <w:kern w:val="0"/>
          <w:sz w:val="32"/>
          <w:szCs w:val="32"/>
        </w:rPr>
      </w:pPr>
    </w:p>
    <w:p w14:paraId="38678DEF">
      <w:pPr>
        <w:snapToGrid w:val="0"/>
        <w:spacing w:line="360" w:lineRule="auto"/>
        <w:ind w:right="480"/>
        <w:jc w:val="center"/>
        <w:rPr>
          <w:rFonts w:ascii="宋体" w:hAnsi="宋体" w:cs="宋体"/>
          <w:b/>
          <w:color w:val="auto"/>
          <w:kern w:val="0"/>
          <w:sz w:val="32"/>
          <w:szCs w:val="32"/>
        </w:rPr>
      </w:pPr>
    </w:p>
    <w:p w14:paraId="6CA364E8">
      <w:pPr>
        <w:snapToGrid w:val="0"/>
        <w:spacing w:line="360" w:lineRule="auto"/>
        <w:ind w:right="480"/>
        <w:jc w:val="center"/>
        <w:rPr>
          <w:rFonts w:ascii="宋体" w:hAnsi="宋体" w:cs="宋体"/>
          <w:b/>
          <w:color w:val="auto"/>
          <w:kern w:val="0"/>
          <w:sz w:val="32"/>
          <w:szCs w:val="32"/>
        </w:rPr>
      </w:pPr>
    </w:p>
    <w:p w14:paraId="364FF483">
      <w:pPr>
        <w:snapToGrid w:val="0"/>
        <w:spacing w:line="360" w:lineRule="auto"/>
        <w:ind w:right="480"/>
        <w:jc w:val="center"/>
        <w:rPr>
          <w:rFonts w:ascii="宋体" w:hAnsi="宋体" w:cs="宋体"/>
          <w:b/>
          <w:color w:val="auto"/>
          <w:kern w:val="0"/>
          <w:sz w:val="32"/>
          <w:szCs w:val="32"/>
        </w:rPr>
      </w:pPr>
    </w:p>
    <w:p w14:paraId="7E9FDFEC">
      <w:pPr>
        <w:snapToGrid w:val="0"/>
        <w:spacing w:line="360" w:lineRule="auto"/>
        <w:ind w:right="480"/>
        <w:jc w:val="center"/>
        <w:rPr>
          <w:rFonts w:ascii="宋体" w:hAnsi="宋体" w:cs="宋体"/>
          <w:b/>
          <w:color w:val="auto"/>
          <w:kern w:val="0"/>
          <w:sz w:val="32"/>
          <w:szCs w:val="32"/>
        </w:rPr>
      </w:pPr>
    </w:p>
    <w:p w14:paraId="1661784E">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footerReference r:id="rId22" w:type="first"/>
          <w:headerReference r:id="rId20" w:type="default"/>
          <w:footerReference r:id="rId21" w:type="default"/>
          <w:pgSz w:w="11906" w:h="16838"/>
          <w:pgMar w:top="1440" w:right="1080" w:bottom="1440" w:left="1080" w:header="851" w:footer="992" w:gutter="0"/>
          <w:pgNumType w:fmt="decimal"/>
          <w:cols w:space="720" w:num="1"/>
          <w:titlePg/>
          <w:docGrid w:linePitch="312" w:charSpace="0"/>
        </w:sectPr>
      </w:pPr>
    </w:p>
    <w:p w14:paraId="3DAA853A">
      <w:pPr>
        <w:pStyle w:val="694"/>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cs="宋体" w:asciiTheme="minorEastAsia" w:hAnsiTheme="minorEastAsia" w:eastAsiaTheme="minorEastAsia"/>
          <w:b/>
          <w:bCs/>
          <w:kern w:val="0"/>
          <w:sz w:val="28"/>
          <w:szCs w:val="28"/>
          <w:highlight w:val="none"/>
          <w:lang w:eastAsia="zh-CN"/>
        </w:rPr>
        <w:t>（一）</w:t>
      </w:r>
      <w:r>
        <w:rPr>
          <w:rFonts w:hint="eastAsia" w:ascii="仿宋" w:hAnsi="仿宋" w:eastAsia="仿宋" w:cs="仿宋"/>
          <w:color w:val="auto"/>
          <w:kern w:val="2"/>
          <w:sz w:val="32"/>
          <w:szCs w:val="32"/>
          <w:highlight w:val="none"/>
        </w:rPr>
        <w:t>报价一览表（初次报价）</w:t>
      </w:r>
    </w:p>
    <w:p w14:paraId="6553DC0F">
      <w:pPr>
        <w:tabs>
          <w:tab w:val="left" w:pos="1494"/>
        </w:tabs>
        <w:spacing w:line="400" w:lineRule="exact"/>
        <w:jc w:val="center"/>
        <w:rPr>
          <w:rFonts w:eastAsia="宋体"/>
          <w:b/>
          <w:color w:val="000000"/>
          <w:sz w:val="32"/>
          <w:szCs w:val="32"/>
          <w:highlight w:val="none"/>
        </w:rPr>
      </w:pPr>
      <w:r>
        <w:rPr>
          <w:rFonts w:hint="eastAsia" w:eastAsia="宋体"/>
          <w:b/>
          <w:color w:val="000000"/>
          <w:sz w:val="32"/>
          <w:szCs w:val="32"/>
          <w:highlight w:val="none"/>
        </w:rPr>
        <w:t>初次报价表</w:t>
      </w:r>
    </w:p>
    <w:p w14:paraId="72544A04">
      <w:pPr>
        <w:tabs>
          <w:tab w:val="left" w:pos="1494"/>
        </w:tabs>
        <w:spacing w:line="400" w:lineRule="exact"/>
        <w:rPr>
          <w:rFonts w:eastAsia="宋体"/>
          <w:color w:val="000000"/>
          <w:highlight w:val="yellow"/>
        </w:rPr>
      </w:pPr>
    </w:p>
    <w:p w14:paraId="2E1AB1E3">
      <w:pPr>
        <w:tabs>
          <w:tab w:val="left" w:pos="1494"/>
        </w:tabs>
        <w:spacing w:line="400" w:lineRule="exact"/>
        <w:rPr>
          <w:rFonts w:hint="eastAsia" w:eastAsia="宋体"/>
          <w:color w:val="000000"/>
          <w:szCs w:val="22"/>
          <w:lang w:val="en-US" w:eastAsia="zh-CN"/>
        </w:rPr>
      </w:pPr>
      <w:r>
        <w:rPr>
          <w:rFonts w:hint="eastAsia" w:eastAsia="宋体"/>
          <w:color w:val="000000"/>
          <w:szCs w:val="22"/>
        </w:rPr>
        <w:t>项目编号：</w:t>
      </w:r>
      <w:r>
        <w:rPr>
          <w:rFonts w:hint="eastAsia" w:eastAsia="宋体"/>
          <w:color w:val="000000"/>
          <w:szCs w:val="22"/>
          <w:u w:val="single"/>
          <w:lang w:val="en-US" w:eastAsia="zh-CN"/>
        </w:rPr>
        <w:t xml:space="preserve">              </w:t>
      </w:r>
      <w:r>
        <w:rPr>
          <w:rFonts w:hint="eastAsia" w:eastAsia="宋体"/>
          <w:color w:val="000000"/>
          <w:szCs w:val="22"/>
          <w:lang w:val="en-US" w:eastAsia="zh-CN"/>
        </w:rPr>
        <w:t xml:space="preserve">         </w:t>
      </w:r>
    </w:p>
    <w:p w14:paraId="4E0296C0">
      <w:pPr>
        <w:tabs>
          <w:tab w:val="left" w:pos="1494"/>
        </w:tabs>
        <w:spacing w:line="400" w:lineRule="exact"/>
        <w:rPr>
          <w:rFonts w:hint="eastAsia" w:eastAsia="宋体"/>
          <w:color w:val="000000"/>
          <w:szCs w:val="22"/>
        </w:rPr>
      </w:pPr>
      <w:r>
        <w:rPr>
          <w:rFonts w:hint="eastAsia" w:eastAsia="宋体"/>
          <w:color w:val="000000"/>
          <w:szCs w:val="22"/>
        </w:rPr>
        <w:t>项目名称：</w:t>
      </w:r>
      <w:r>
        <w:rPr>
          <w:rFonts w:hint="eastAsia" w:eastAsia="宋体"/>
          <w:color w:val="000000"/>
          <w:szCs w:val="22"/>
          <w:u w:val="single"/>
          <w:lang w:val="en-US" w:eastAsia="zh-CN"/>
        </w:rPr>
        <w:t xml:space="preserve">              </w:t>
      </w:r>
      <w:r>
        <w:rPr>
          <w:rFonts w:hint="eastAsia" w:eastAsia="宋体"/>
          <w:color w:val="000000"/>
          <w:szCs w:val="22"/>
          <w:lang w:val="en-US" w:eastAsia="zh-CN"/>
        </w:rPr>
        <w:t xml:space="preserve">                                                 </w:t>
      </w:r>
      <w:r>
        <w:rPr>
          <w:rFonts w:hint="eastAsia" w:eastAsia="宋体"/>
          <w:color w:val="000000"/>
          <w:szCs w:val="22"/>
        </w:rPr>
        <w:t>单位：人民币元</w:t>
      </w:r>
    </w:p>
    <w:tbl>
      <w:tblPr>
        <w:tblStyle w:val="64"/>
        <w:tblpPr w:leftFromText="180" w:rightFromText="180" w:vertAnchor="text" w:horzAnchor="page" w:tblpX="1226" w:tblpY="159"/>
        <w:tblOverlap w:val="never"/>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3"/>
        <w:gridCol w:w="2877"/>
        <w:gridCol w:w="2009"/>
        <w:gridCol w:w="2273"/>
      </w:tblGrid>
      <w:tr w14:paraId="6C30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6" w:type="pct"/>
            <w:noWrap w:val="0"/>
            <w:vAlign w:val="center"/>
          </w:tcPr>
          <w:p w14:paraId="3C8DE6D2">
            <w:pPr>
              <w:spacing w:line="400" w:lineRule="exact"/>
              <w:jc w:val="center"/>
              <w:rPr>
                <w:rFonts w:hint="eastAsia" w:ascii="宋体" w:hAnsi="宋体" w:cs="宋体"/>
                <w:szCs w:val="21"/>
                <w:highlight w:val="none"/>
              </w:rPr>
            </w:pPr>
            <w:r>
              <w:rPr>
                <w:rFonts w:hint="eastAsia" w:ascii="宋体" w:hAnsi="宋体" w:cs="宋体"/>
                <w:szCs w:val="21"/>
                <w:highlight w:val="none"/>
              </w:rPr>
              <w:t>工程名称</w:t>
            </w:r>
          </w:p>
        </w:tc>
        <w:tc>
          <w:tcPr>
            <w:tcW w:w="3603" w:type="pct"/>
            <w:gridSpan w:val="3"/>
            <w:noWrap w:val="0"/>
            <w:vAlign w:val="center"/>
          </w:tcPr>
          <w:p w14:paraId="57C2EA32">
            <w:pPr>
              <w:spacing w:line="400" w:lineRule="exact"/>
              <w:jc w:val="center"/>
              <w:rPr>
                <w:rFonts w:hint="eastAsia" w:ascii="宋体" w:hAnsi="宋体" w:cs="宋体"/>
                <w:bCs/>
                <w:szCs w:val="21"/>
                <w:highlight w:val="none"/>
              </w:rPr>
            </w:pPr>
            <w:r>
              <w:rPr>
                <w:rFonts w:hint="eastAsia" w:ascii="宋体" w:hAnsi="宋体" w:cs="宋体"/>
                <w:bCs/>
                <w:szCs w:val="21"/>
                <w:highlight w:val="none"/>
              </w:rPr>
              <w:t xml:space="preserve"> </w:t>
            </w:r>
          </w:p>
        </w:tc>
      </w:tr>
      <w:tr w14:paraId="35A5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6" w:type="pct"/>
            <w:noWrap w:val="0"/>
            <w:vAlign w:val="center"/>
          </w:tcPr>
          <w:p w14:paraId="2E65F874">
            <w:pPr>
              <w:spacing w:line="400" w:lineRule="exact"/>
              <w:jc w:val="center"/>
              <w:rPr>
                <w:rFonts w:hint="eastAsia" w:ascii="宋体" w:hAnsi="宋体" w:cs="宋体"/>
                <w:szCs w:val="21"/>
                <w:highlight w:val="none"/>
              </w:rPr>
            </w:pPr>
            <w:r>
              <w:rPr>
                <w:rFonts w:hint="eastAsia" w:ascii="宋体" w:hAnsi="宋体" w:cs="宋体"/>
                <w:szCs w:val="21"/>
                <w:highlight w:val="none"/>
              </w:rPr>
              <w:t>供应商</w:t>
            </w:r>
          </w:p>
        </w:tc>
        <w:tc>
          <w:tcPr>
            <w:tcW w:w="3603" w:type="pct"/>
            <w:gridSpan w:val="3"/>
            <w:noWrap w:val="0"/>
            <w:vAlign w:val="center"/>
          </w:tcPr>
          <w:p w14:paraId="6771B4CF">
            <w:pPr>
              <w:spacing w:line="400" w:lineRule="exact"/>
              <w:jc w:val="center"/>
              <w:rPr>
                <w:rFonts w:hint="eastAsia" w:ascii="宋体" w:hAnsi="宋体" w:cs="宋体"/>
                <w:szCs w:val="21"/>
                <w:highlight w:val="none"/>
              </w:rPr>
            </w:pPr>
          </w:p>
        </w:tc>
      </w:tr>
      <w:tr w14:paraId="7AA0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6" w:type="pct"/>
            <w:noWrap w:val="0"/>
            <w:vAlign w:val="center"/>
          </w:tcPr>
          <w:p w14:paraId="1433C368">
            <w:pPr>
              <w:spacing w:line="400" w:lineRule="exact"/>
              <w:jc w:val="center"/>
              <w:rPr>
                <w:rFonts w:hint="eastAsia" w:ascii="宋体" w:hAnsi="宋体" w:cs="宋体"/>
                <w:szCs w:val="21"/>
                <w:highlight w:val="none"/>
              </w:rPr>
            </w:pPr>
            <w:r>
              <w:rPr>
                <w:rFonts w:hint="eastAsia" w:ascii="宋体" w:hAnsi="宋体" w:cs="宋体"/>
                <w:szCs w:val="21"/>
                <w:highlight w:val="none"/>
              </w:rPr>
              <w:t>项目内容</w:t>
            </w:r>
          </w:p>
        </w:tc>
        <w:tc>
          <w:tcPr>
            <w:tcW w:w="1448" w:type="pct"/>
            <w:noWrap w:val="0"/>
            <w:vAlign w:val="center"/>
          </w:tcPr>
          <w:p w14:paraId="6730E688">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工期</w:t>
            </w:r>
          </w:p>
        </w:tc>
        <w:tc>
          <w:tcPr>
            <w:tcW w:w="1011" w:type="pct"/>
            <w:noWrap w:val="0"/>
            <w:vAlign w:val="center"/>
          </w:tcPr>
          <w:p w14:paraId="79A88FB6">
            <w:pPr>
              <w:spacing w:line="400" w:lineRule="exact"/>
              <w:jc w:val="center"/>
              <w:rPr>
                <w:rFonts w:hint="eastAsia" w:ascii="宋体" w:hAnsi="宋体" w:cs="宋体"/>
                <w:szCs w:val="21"/>
                <w:highlight w:val="none"/>
              </w:rPr>
            </w:pPr>
            <w:r>
              <w:rPr>
                <w:rFonts w:hint="eastAsia" w:ascii="宋体" w:hAnsi="宋体" w:cs="宋体"/>
                <w:szCs w:val="21"/>
                <w:highlight w:val="none"/>
                <w:lang w:eastAsia="zh-CN"/>
              </w:rPr>
              <w:t>总</w:t>
            </w:r>
            <w:r>
              <w:rPr>
                <w:rFonts w:hint="eastAsia" w:ascii="宋体" w:hAnsi="宋体" w:cs="宋体"/>
                <w:szCs w:val="21"/>
                <w:highlight w:val="none"/>
              </w:rPr>
              <w:t>价（元）</w:t>
            </w:r>
          </w:p>
        </w:tc>
        <w:tc>
          <w:tcPr>
            <w:tcW w:w="1144" w:type="pct"/>
            <w:noWrap w:val="0"/>
            <w:vAlign w:val="center"/>
          </w:tcPr>
          <w:p w14:paraId="3E91508C">
            <w:pPr>
              <w:spacing w:line="400" w:lineRule="exact"/>
              <w:jc w:val="center"/>
              <w:rPr>
                <w:rFonts w:hint="eastAsia" w:ascii="宋体" w:hAnsi="宋体" w:cs="宋体"/>
                <w:szCs w:val="21"/>
                <w:highlight w:val="none"/>
              </w:rPr>
            </w:pPr>
            <w:r>
              <w:rPr>
                <w:rFonts w:hint="eastAsia" w:ascii="宋体" w:hAnsi="宋体" w:cs="宋体"/>
                <w:szCs w:val="21"/>
                <w:highlight w:val="none"/>
              </w:rPr>
              <w:t>备注</w:t>
            </w:r>
          </w:p>
        </w:tc>
      </w:tr>
      <w:tr w14:paraId="35E4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6" w:type="pct"/>
            <w:noWrap w:val="0"/>
            <w:vAlign w:val="center"/>
          </w:tcPr>
          <w:p w14:paraId="390C8F1B">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 xml:space="preserve">大佳何“艺术谷”和美示范片区工程—宁海县大佳何镇南阳福园景区（二期） </w:t>
            </w:r>
            <w:r>
              <w:rPr>
                <w:rFonts w:hint="eastAsia" w:ascii="宋体" w:hAnsi="宋体" w:cs="宋体"/>
                <w:color w:val="auto"/>
                <w:szCs w:val="21"/>
                <w:highlight w:val="none"/>
              </w:rPr>
              <w:t>（除非竞争项目费用）</w:t>
            </w:r>
          </w:p>
        </w:tc>
        <w:tc>
          <w:tcPr>
            <w:tcW w:w="1448" w:type="pct"/>
            <w:noWrap w:val="0"/>
            <w:vAlign w:val="center"/>
          </w:tcPr>
          <w:p w14:paraId="321729E5">
            <w:pPr>
              <w:spacing w:line="400" w:lineRule="exact"/>
              <w:jc w:val="center"/>
              <w:rPr>
                <w:rFonts w:hint="eastAsia" w:ascii="宋体" w:hAnsi="宋体" w:eastAsia="宋体" w:cs="宋体"/>
                <w:color w:val="auto"/>
                <w:szCs w:val="21"/>
                <w:highlight w:val="none"/>
                <w:lang w:eastAsia="zh-CN"/>
              </w:rPr>
            </w:pPr>
          </w:p>
        </w:tc>
        <w:tc>
          <w:tcPr>
            <w:tcW w:w="1011" w:type="pct"/>
            <w:noWrap w:val="0"/>
            <w:vAlign w:val="center"/>
          </w:tcPr>
          <w:p w14:paraId="1A8BC928">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tc>
        <w:tc>
          <w:tcPr>
            <w:tcW w:w="1144" w:type="pct"/>
            <w:noWrap w:val="0"/>
            <w:vAlign w:val="center"/>
          </w:tcPr>
          <w:p w14:paraId="1F6E149F">
            <w:pPr>
              <w:spacing w:line="400" w:lineRule="exact"/>
              <w:jc w:val="center"/>
              <w:rPr>
                <w:rFonts w:hint="eastAsia" w:ascii="宋体" w:hAnsi="宋体" w:cs="宋体"/>
                <w:color w:val="auto"/>
                <w:szCs w:val="21"/>
                <w:highlight w:val="none"/>
              </w:rPr>
            </w:pPr>
            <w:r>
              <w:rPr>
                <w:rFonts w:hint="eastAsia" w:ascii="宋体" w:hAnsi="宋体" w:eastAsia="宋体" w:cs="宋体"/>
                <w:kern w:val="0"/>
                <w:sz w:val="24"/>
                <w:szCs w:val="24"/>
                <w:lang w:val="en-US" w:eastAsia="zh-CN"/>
              </w:rPr>
              <w:t>最高限价3598231元，超过最高限价的报价为无效报价</w:t>
            </w:r>
          </w:p>
        </w:tc>
      </w:tr>
      <w:tr w14:paraId="4481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396" w:type="pct"/>
            <w:noWrap w:val="0"/>
            <w:vAlign w:val="center"/>
          </w:tcPr>
          <w:p w14:paraId="0915009E">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总价（大写）</w:t>
            </w:r>
          </w:p>
        </w:tc>
        <w:tc>
          <w:tcPr>
            <w:tcW w:w="2459" w:type="pct"/>
            <w:gridSpan w:val="2"/>
            <w:noWrap w:val="0"/>
            <w:vAlign w:val="center"/>
          </w:tcPr>
          <w:p w14:paraId="7A65EA43">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w:t>
            </w:r>
          </w:p>
        </w:tc>
        <w:tc>
          <w:tcPr>
            <w:tcW w:w="1144" w:type="pct"/>
            <w:noWrap w:val="0"/>
            <w:vAlign w:val="center"/>
          </w:tcPr>
          <w:p w14:paraId="2C584C19">
            <w:pPr>
              <w:spacing w:line="400" w:lineRule="exact"/>
              <w:jc w:val="center"/>
              <w:rPr>
                <w:rFonts w:hint="eastAsia" w:ascii="宋体" w:hAnsi="宋体" w:cs="宋体"/>
                <w:color w:val="auto"/>
                <w:szCs w:val="21"/>
                <w:highlight w:val="none"/>
              </w:rPr>
            </w:pPr>
            <w:r>
              <w:rPr>
                <w:rFonts w:hint="eastAsia" w:ascii="Times New Roman" w:hAnsi="Times New Roman" w:eastAsia="宋体" w:cs="Times New Roman"/>
                <w:kern w:val="2"/>
                <w:szCs w:val="22"/>
              </w:rPr>
              <w:t>总报价保留至整数位</w:t>
            </w:r>
          </w:p>
        </w:tc>
      </w:tr>
    </w:tbl>
    <w:p w14:paraId="1AE175D3">
      <w:pPr>
        <w:widowControl w:val="0"/>
        <w:tabs>
          <w:tab w:val="left" w:pos="1494"/>
        </w:tabs>
        <w:jc w:val="both"/>
        <w:rPr>
          <w:rFonts w:hint="eastAsia" w:eastAsia="宋体"/>
          <w:kern w:val="2"/>
          <w:szCs w:val="22"/>
        </w:rPr>
      </w:pPr>
    </w:p>
    <w:p w14:paraId="2AD7BD11">
      <w:pPr>
        <w:tabs>
          <w:tab w:val="left" w:pos="1494"/>
        </w:tabs>
        <w:jc w:val="both"/>
        <w:rPr>
          <w:rFonts w:hint="eastAsia" w:ascii="Times New Roman" w:hAnsi="Times New Roman" w:eastAsia="宋体" w:cs="Times New Roman"/>
          <w:kern w:val="2"/>
          <w:szCs w:val="22"/>
        </w:rPr>
      </w:pPr>
      <w:r>
        <w:rPr>
          <w:rFonts w:hint="eastAsia" w:ascii="Times New Roman" w:hAnsi="Times New Roman" w:eastAsia="宋体" w:cs="Times New Roman"/>
          <w:kern w:val="2"/>
          <w:szCs w:val="22"/>
        </w:rPr>
        <w:t>注：1、供应商需按本表格式填写，否则视为响应文件含有采购人不能接受的附加条件，响应无效。</w:t>
      </w:r>
    </w:p>
    <w:p w14:paraId="15361CC7">
      <w:pPr>
        <w:tabs>
          <w:tab w:val="left" w:pos="1494"/>
        </w:tabs>
        <w:jc w:val="both"/>
        <w:rPr>
          <w:rFonts w:hint="eastAsia" w:ascii="Times New Roman" w:hAnsi="Times New Roman" w:eastAsia="宋体" w:cs="Times New Roman"/>
          <w:kern w:val="2"/>
          <w:szCs w:val="22"/>
        </w:rPr>
      </w:pPr>
      <w:r>
        <w:rPr>
          <w:rFonts w:hint="eastAsia" w:ascii="Times New Roman" w:hAnsi="Times New Roman" w:eastAsia="宋体" w:cs="Times New Roman"/>
          <w:kern w:val="2"/>
          <w:szCs w:val="22"/>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报价单》名称栏中，供应商不能作出合理解释的，视为响应文件含有采购人不能接受的附加条件的，响应文件无效。</w:t>
      </w:r>
    </w:p>
    <w:p w14:paraId="5892CC24">
      <w:pPr>
        <w:tabs>
          <w:tab w:val="left" w:pos="1494"/>
        </w:tabs>
        <w:jc w:val="both"/>
        <w:rPr>
          <w:rFonts w:hint="eastAsia" w:ascii="Times New Roman" w:hAnsi="Times New Roman" w:eastAsia="宋体" w:cs="Times New Roman"/>
          <w:kern w:val="2"/>
          <w:szCs w:val="22"/>
        </w:rPr>
      </w:pPr>
      <w:r>
        <w:rPr>
          <w:rFonts w:hint="eastAsia" w:ascii="Times New Roman" w:hAnsi="Times New Roman" w:eastAsia="宋体" w:cs="Times New Roman"/>
          <w:kern w:val="2"/>
          <w:szCs w:val="22"/>
        </w:rPr>
        <w:t>3、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9A318F9">
      <w:pPr>
        <w:tabs>
          <w:tab w:val="left" w:pos="1494"/>
        </w:tabs>
        <w:spacing w:line="720" w:lineRule="auto"/>
        <w:ind w:firstLine="105" w:firstLineChars="50"/>
        <w:jc w:val="center"/>
        <w:rPr>
          <w:rFonts w:hint="eastAsia" w:eastAsia="宋体"/>
          <w:color w:val="000000"/>
          <w:lang w:val="en-US" w:eastAsia="zh-CN"/>
        </w:rPr>
      </w:pPr>
      <w:r>
        <w:rPr>
          <w:rFonts w:hint="eastAsia" w:eastAsia="宋体"/>
          <w:color w:val="000000"/>
          <w:lang w:val="en-US" w:eastAsia="zh-CN"/>
        </w:rPr>
        <w:t xml:space="preserve">      </w:t>
      </w:r>
    </w:p>
    <w:p w14:paraId="15CCC4F2">
      <w:pPr>
        <w:tabs>
          <w:tab w:val="left" w:pos="1494"/>
        </w:tabs>
        <w:spacing w:line="720" w:lineRule="auto"/>
        <w:ind w:firstLine="105" w:firstLineChars="50"/>
        <w:jc w:val="center"/>
        <w:rPr>
          <w:rFonts w:hint="eastAsia" w:eastAsia="宋体"/>
          <w:u w:val="single"/>
          <w:lang w:val="en-US" w:eastAsia="zh-CN"/>
        </w:rPr>
      </w:pPr>
      <w:r>
        <w:rPr>
          <w:rFonts w:hint="eastAsia" w:eastAsia="宋体"/>
          <w:color w:val="000000"/>
          <w:lang w:val="en-US" w:eastAsia="zh-CN"/>
        </w:rPr>
        <w:t xml:space="preserve">     </w:t>
      </w:r>
      <w:r>
        <w:rPr>
          <w:rFonts w:hint="eastAsia"/>
          <w:color w:val="000000"/>
          <w:lang w:val="en-US" w:eastAsia="zh-CN"/>
        </w:rPr>
        <w:t xml:space="preserve">      </w:t>
      </w:r>
      <w:r>
        <w:rPr>
          <w:rFonts w:hint="eastAsia" w:eastAsia="宋体"/>
          <w:color w:val="000000"/>
        </w:rPr>
        <w:t xml:space="preserve"> </w:t>
      </w:r>
      <w:r>
        <w:rPr>
          <w:rFonts w:hint="eastAsia"/>
        </w:rPr>
        <w:t>供应商盖章（盖单位公章）：</w:t>
      </w:r>
      <w:r>
        <w:rPr>
          <w:rFonts w:hint="eastAsia"/>
          <w:lang w:val="en-US" w:eastAsia="zh-CN"/>
        </w:rPr>
        <w:t xml:space="preserve"> </w:t>
      </w:r>
    </w:p>
    <w:p w14:paraId="4E609931">
      <w:pPr>
        <w:tabs>
          <w:tab w:val="left" w:pos="1494"/>
        </w:tabs>
        <w:spacing w:line="720" w:lineRule="auto"/>
        <w:rPr>
          <w:rFonts w:hint="eastAsia"/>
        </w:rPr>
      </w:pPr>
      <w:r>
        <w:rPr>
          <w:rFonts w:hint="eastAsia"/>
        </w:rPr>
        <w:t xml:space="preserve">                                         日  期：    年   月   日</w:t>
      </w:r>
    </w:p>
    <w:p w14:paraId="6BF507E9">
      <w:pPr>
        <w:pStyle w:val="81"/>
        <w:rPr>
          <w:rFonts w:hint="eastAsia"/>
        </w:rPr>
      </w:pPr>
    </w:p>
    <w:p w14:paraId="77249271">
      <w:pPr>
        <w:pStyle w:val="81"/>
        <w:rPr>
          <w:rFonts w:hint="eastAsia"/>
        </w:rPr>
      </w:pPr>
    </w:p>
    <w:p w14:paraId="5ECDC377">
      <w:pPr>
        <w:pStyle w:val="81"/>
        <w:rPr>
          <w:rFonts w:hint="eastAsia"/>
        </w:rPr>
      </w:pPr>
    </w:p>
    <w:p w14:paraId="7F17571E">
      <w:pPr>
        <w:tabs>
          <w:tab w:val="left" w:pos="1494"/>
        </w:tabs>
        <w:jc w:val="both"/>
        <w:rPr>
          <w:rFonts w:eastAsia="宋体"/>
          <w:b/>
          <w:sz w:val="36"/>
        </w:rPr>
      </w:pPr>
    </w:p>
    <w:p w14:paraId="72CDC944">
      <w:pPr>
        <w:pStyle w:val="81"/>
        <w:rPr>
          <w:rFonts w:eastAsia="宋体"/>
          <w:b/>
          <w:sz w:val="36"/>
        </w:rPr>
      </w:pPr>
    </w:p>
    <w:p w14:paraId="58895C19">
      <w:pPr>
        <w:pStyle w:val="81"/>
        <w:rPr>
          <w:rFonts w:eastAsia="宋体"/>
          <w:b/>
          <w:sz w:val="36"/>
        </w:rPr>
      </w:pPr>
    </w:p>
    <w:p w14:paraId="16D593C1">
      <w:pPr>
        <w:pStyle w:val="81"/>
        <w:rPr>
          <w:rFonts w:eastAsia="宋体"/>
          <w:b/>
          <w:sz w:val="36"/>
        </w:rPr>
      </w:pPr>
    </w:p>
    <w:p w14:paraId="181B23F0">
      <w:pPr>
        <w:pStyle w:val="81"/>
        <w:rPr>
          <w:rFonts w:eastAsia="宋体"/>
          <w:b/>
          <w:sz w:val="36"/>
        </w:rPr>
      </w:pPr>
    </w:p>
    <w:p w14:paraId="5EA9D847">
      <w:pPr>
        <w:tabs>
          <w:tab w:val="left" w:pos="0"/>
        </w:tabs>
        <w:autoSpaceDE w:val="0"/>
        <w:autoSpaceDN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kern w:val="2"/>
          <w:sz w:val="32"/>
          <w:szCs w:val="32"/>
          <w:lang w:val="en-US" w:eastAsia="zh-CN"/>
        </w:rPr>
        <w:t>二、</w:t>
      </w:r>
      <w:r>
        <w:rPr>
          <w:rFonts w:hint="eastAsia" w:ascii="宋体" w:hAnsi="宋体" w:eastAsia="宋体" w:cs="宋体"/>
          <w:b/>
          <w:kern w:val="2"/>
          <w:sz w:val="32"/>
          <w:szCs w:val="32"/>
          <w:lang w:val="en-US" w:eastAsia="zh-CN" w:bidi="ar-SA"/>
        </w:rPr>
        <w:t>已标价工程量清单</w:t>
      </w:r>
    </w:p>
    <w:p w14:paraId="3958824B">
      <w:pPr>
        <w:tabs>
          <w:tab w:val="left" w:pos="0"/>
        </w:tabs>
        <w:autoSpaceDE w:val="0"/>
        <w:autoSpaceDN w:val="0"/>
        <w:spacing w:line="360" w:lineRule="auto"/>
        <w:jc w:val="left"/>
        <w:rPr>
          <w:rFonts w:hint="eastAsia" w:ascii="宋体" w:hAnsi="宋体" w:eastAsia="宋体" w:cs="宋体"/>
          <w:b/>
          <w:bCs/>
          <w:sz w:val="30"/>
          <w:szCs w:val="30"/>
        </w:rPr>
      </w:pPr>
      <w:r>
        <w:rPr>
          <w:rFonts w:hint="eastAsia" w:ascii="宋体" w:hAnsi="宋体" w:cs="宋体"/>
          <w:sz w:val="24"/>
        </w:rPr>
        <w:t>注：按采购文件工程量清单编制</w:t>
      </w:r>
    </w:p>
    <w:p w14:paraId="021A4EC9">
      <w:pPr>
        <w:pStyle w:val="81"/>
        <w:rPr>
          <w:rFonts w:eastAsia="宋体"/>
          <w:b/>
          <w:sz w:val="36"/>
        </w:rPr>
      </w:pPr>
    </w:p>
    <w:p w14:paraId="4A06F925">
      <w:pPr>
        <w:pStyle w:val="81"/>
        <w:rPr>
          <w:rFonts w:eastAsia="宋体"/>
          <w:b/>
          <w:sz w:val="36"/>
        </w:rPr>
      </w:pPr>
    </w:p>
    <w:p w14:paraId="13757471">
      <w:pPr>
        <w:pStyle w:val="81"/>
        <w:rPr>
          <w:rFonts w:eastAsia="宋体"/>
          <w:b/>
          <w:sz w:val="36"/>
        </w:rPr>
      </w:pPr>
    </w:p>
    <w:p w14:paraId="1BAB21A2">
      <w:pPr>
        <w:pStyle w:val="81"/>
        <w:rPr>
          <w:rFonts w:eastAsia="宋体"/>
          <w:b/>
          <w:sz w:val="36"/>
        </w:rPr>
      </w:pPr>
    </w:p>
    <w:p w14:paraId="5CE00ACC">
      <w:pPr>
        <w:pStyle w:val="81"/>
        <w:rPr>
          <w:rFonts w:eastAsia="宋体"/>
          <w:b/>
          <w:sz w:val="36"/>
        </w:rPr>
      </w:pPr>
    </w:p>
    <w:p w14:paraId="591F1474">
      <w:pPr>
        <w:pStyle w:val="81"/>
        <w:rPr>
          <w:rFonts w:eastAsia="宋体"/>
          <w:b/>
          <w:sz w:val="36"/>
        </w:rPr>
      </w:pPr>
    </w:p>
    <w:p w14:paraId="7AA99A79">
      <w:pPr>
        <w:pStyle w:val="81"/>
        <w:rPr>
          <w:rFonts w:eastAsia="宋体"/>
          <w:b/>
          <w:sz w:val="36"/>
        </w:rPr>
      </w:pPr>
    </w:p>
    <w:p w14:paraId="341E9369">
      <w:pPr>
        <w:pStyle w:val="81"/>
        <w:rPr>
          <w:rFonts w:eastAsia="宋体"/>
          <w:b/>
          <w:sz w:val="36"/>
        </w:rPr>
      </w:pPr>
    </w:p>
    <w:p w14:paraId="1D55071A">
      <w:pPr>
        <w:pStyle w:val="81"/>
        <w:rPr>
          <w:rFonts w:eastAsia="宋体"/>
          <w:b/>
          <w:sz w:val="36"/>
        </w:rPr>
      </w:pPr>
    </w:p>
    <w:p w14:paraId="76108AA0">
      <w:pPr>
        <w:pStyle w:val="81"/>
        <w:rPr>
          <w:rFonts w:eastAsia="宋体"/>
          <w:b/>
          <w:sz w:val="36"/>
        </w:rPr>
      </w:pPr>
    </w:p>
    <w:p w14:paraId="5C8A729E">
      <w:pPr>
        <w:pStyle w:val="81"/>
        <w:rPr>
          <w:rFonts w:eastAsia="宋体"/>
          <w:b/>
          <w:sz w:val="36"/>
        </w:rPr>
      </w:pPr>
    </w:p>
    <w:p w14:paraId="1D162A7B">
      <w:pPr>
        <w:pStyle w:val="81"/>
        <w:rPr>
          <w:rFonts w:eastAsia="宋体"/>
          <w:b/>
          <w:sz w:val="36"/>
        </w:rPr>
      </w:pPr>
    </w:p>
    <w:p w14:paraId="47107803">
      <w:pPr>
        <w:pStyle w:val="81"/>
        <w:rPr>
          <w:rFonts w:eastAsia="宋体"/>
          <w:b/>
          <w:sz w:val="36"/>
        </w:rPr>
      </w:pPr>
    </w:p>
    <w:p w14:paraId="1033B4D7">
      <w:pPr>
        <w:pStyle w:val="81"/>
        <w:rPr>
          <w:rFonts w:eastAsia="宋体"/>
          <w:b/>
          <w:sz w:val="36"/>
        </w:rPr>
      </w:pPr>
    </w:p>
    <w:p w14:paraId="2CC97849">
      <w:pPr>
        <w:pStyle w:val="81"/>
        <w:rPr>
          <w:rFonts w:eastAsia="宋体"/>
          <w:b/>
          <w:sz w:val="36"/>
        </w:rPr>
      </w:pPr>
    </w:p>
    <w:p w14:paraId="5D9E65F8">
      <w:pPr>
        <w:pStyle w:val="81"/>
        <w:rPr>
          <w:rFonts w:eastAsia="宋体"/>
          <w:b/>
          <w:sz w:val="36"/>
        </w:rPr>
      </w:pPr>
    </w:p>
    <w:p w14:paraId="27B09BBA">
      <w:pPr>
        <w:pStyle w:val="81"/>
        <w:rPr>
          <w:rFonts w:eastAsia="宋体"/>
          <w:b/>
          <w:sz w:val="36"/>
        </w:rPr>
      </w:pPr>
    </w:p>
    <w:p w14:paraId="712533F0">
      <w:pPr>
        <w:pStyle w:val="81"/>
        <w:rPr>
          <w:rFonts w:eastAsia="宋体"/>
          <w:b/>
          <w:sz w:val="36"/>
        </w:rPr>
      </w:pPr>
    </w:p>
    <w:p w14:paraId="467AE191">
      <w:pPr>
        <w:pStyle w:val="81"/>
        <w:rPr>
          <w:rFonts w:eastAsia="宋体"/>
          <w:b/>
          <w:sz w:val="36"/>
        </w:rPr>
      </w:pPr>
    </w:p>
    <w:p w14:paraId="5C2D8AB5">
      <w:pPr>
        <w:pStyle w:val="81"/>
        <w:rPr>
          <w:rFonts w:eastAsia="宋体"/>
          <w:b/>
          <w:sz w:val="36"/>
        </w:rPr>
      </w:pPr>
    </w:p>
    <w:p w14:paraId="62459B0D">
      <w:pPr>
        <w:pStyle w:val="81"/>
        <w:rPr>
          <w:rFonts w:eastAsia="宋体"/>
          <w:b/>
          <w:sz w:val="36"/>
        </w:rPr>
      </w:pPr>
    </w:p>
    <w:p w14:paraId="0C3A77A9">
      <w:pPr>
        <w:pStyle w:val="81"/>
        <w:rPr>
          <w:rFonts w:eastAsia="宋体"/>
          <w:b/>
          <w:sz w:val="36"/>
        </w:rPr>
      </w:pPr>
    </w:p>
    <w:p w14:paraId="7A700F7F">
      <w:pPr>
        <w:pStyle w:val="81"/>
        <w:rPr>
          <w:rFonts w:eastAsia="宋体"/>
          <w:b/>
          <w:sz w:val="36"/>
        </w:rPr>
      </w:pPr>
    </w:p>
    <w:p w14:paraId="7D78FD8B">
      <w:pPr>
        <w:pStyle w:val="81"/>
        <w:rPr>
          <w:rFonts w:eastAsia="宋体"/>
          <w:b/>
          <w:sz w:val="36"/>
        </w:rPr>
      </w:pPr>
    </w:p>
    <w:p w14:paraId="6007E178">
      <w:pPr>
        <w:pStyle w:val="81"/>
        <w:rPr>
          <w:rFonts w:eastAsia="宋体"/>
          <w:b/>
          <w:sz w:val="36"/>
        </w:rPr>
      </w:pPr>
    </w:p>
    <w:p w14:paraId="685BBD94">
      <w:pPr>
        <w:pStyle w:val="81"/>
        <w:rPr>
          <w:rFonts w:eastAsia="宋体"/>
          <w:b/>
          <w:sz w:val="36"/>
        </w:rPr>
      </w:pPr>
    </w:p>
    <w:p w14:paraId="3A938A2E">
      <w:pPr>
        <w:pStyle w:val="81"/>
        <w:rPr>
          <w:rFonts w:eastAsia="宋体"/>
          <w:b/>
          <w:sz w:val="36"/>
        </w:rPr>
      </w:pPr>
    </w:p>
    <w:p w14:paraId="3E284595">
      <w:pPr>
        <w:pStyle w:val="694"/>
        <w:keepNext w:val="0"/>
        <w:pageBreakBefore w:val="0"/>
        <w:tabs>
          <w:tab w:val="clear" w:pos="720"/>
        </w:tabs>
        <w:snapToGrid w:val="0"/>
        <w:spacing w:before="120" w:after="120"/>
        <w:ind w:firstLine="2249" w:firstLineChars="700"/>
        <w:jc w:val="both"/>
        <w:outlineLvl w:val="9"/>
        <w:rPr>
          <w:rFonts w:ascii="宋体" w:hAnsi="宋体" w:eastAsia="宋体" w:cs="宋体"/>
          <w:color w:val="auto"/>
          <w:sz w:val="32"/>
          <w:szCs w:val="32"/>
        </w:rPr>
      </w:pPr>
      <w:r>
        <w:rPr>
          <w:rFonts w:hint="eastAsia" w:ascii="宋体" w:hAnsi="宋体" w:eastAsia="宋体" w:cs="宋体"/>
          <w:color w:val="auto"/>
          <w:kern w:val="2"/>
          <w:sz w:val="32"/>
          <w:szCs w:val="32"/>
        </w:rPr>
        <w:t>三、</w:t>
      </w:r>
      <w:r>
        <w:rPr>
          <w:rFonts w:hint="eastAsia" w:ascii="宋体" w:hAnsi="宋体" w:eastAsia="宋体" w:cs="宋体"/>
          <w:color w:val="auto"/>
          <w:sz w:val="32"/>
          <w:szCs w:val="32"/>
        </w:rPr>
        <w:t>中小企业声明函（如果有）</w:t>
      </w:r>
    </w:p>
    <w:p w14:paraId="7A95FB43">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lang w:val="en-US" w:eastAsia="zh-CN"/>
        </w:rPr>
        <w:t>3</w:t>
      </w:r>
      <w:r>
        <w:rPr>
          <w:rFonts w:hint="eastAsia" w:ascii="宋体" w:hAnsi="宋体" w:cs="宋体"/>
          <w:b/>
          <w:color w:val="auto"/>
          <w:sz w:val="24"/>
        </w:rPr>
        <w:t>）。]</w:t>
      </w:r>
    </w:p>
    <w:p w14:paraId="4C820CF1">
      <w:pPr>
        <w:tabs>
          <w:tab w:val="left" w:pos="1494"/>
        </w:tabs>
        <w:jc w:val="center"/>
        <w:rPr>
          <w:rFonts w:eastAsia="宋体"/>
          <w:b/>
          <w:sz w:val="36"/>
        </w:rPr>
      </w:pPr>
    </w:p>
    <w:p w14:paraId="298A3B49">
      <w:pPr>
        <w:pStyle w:val="63"/>
        <w:ind w:firstLine="480"/>
        <w:rPr>
          <w:rFonts w:cs="宋体"/>
          <w:color w:val="auto"/>
          <w:sz w:val="24"/>
        </w:rPr>
        <w:sectPr>
          <w:footerReference r:id="rId26" w:type="first"/>
          <w:headerReference r:id="rId23" w:type="default"/>
          <w:footerReference r:id="rId24" w:type="default"/>
          <w:footerReference r:id="rId25" w:type="even"/>
          <w:pgSz w:w="11906" w:h="16838"/>
          <w:pgMar w:top="1440" w:right="1080" w:bottom="1440" w:left="1080" w:header="851" w:footer="992" w:gutter="0"/>
          <w:pgNumType w:fmt="decimal"/>
          <w:cols w:space="720" w:num="1"/>
          <w:titlePg/>
          <w:docGrid w:linePitch="312" w:charSpace="0"/>
        </w:sectPr>
      </w:pPr>
    </w:p>
    <w:p w14:paraId="4B967CEA">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911" w:name="_Toc465665161"/>
      <w:r>
        <w:rPr>
          <w:rFonts w:hint="eastAsia" w:ascii="宋体" w:hAnsi="宋体" w:cs="宋体"/>
          <w:color w:val="auto"/>
        </w:rPr>
        <w:t>附件</w:t>
      </w:r>
      <w:bookmarkEnd w:id="911"/>
    </w:p>
    <w:p w14:paraId="4890733D">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69E3DFDB">
      <w:pPr>
        <w:spacing w:line="360" w:lineRule="auto"/>
        <w:jc w:val="center"/>
        <w:rPr>
          <w:rFonts w:ascii="宋体" w:hAnsi="宋体" w:cs="宋体"/>
          <w:b/>
          <w:color w:val="auto"/>
          <w:spacing w:val="6"/>
          <w:sz w:val="32"/>
          <w:szCs w:val="32"/>
        </w:rPr>
      </w:pPr>
      <w:bookmarkStart w:id="912" w:name="OLE_LINK14"/>
      <w:bookmarkStart w:id="913" w:name="OLE_LINK13"/>
      <w:r>
        <w:rPr>
          <w:rFonts w:hint="eastAsia" w:ascii="宋体" w:hAnsi="宋体" w:cs="宋体"/>
          <w:b/>
          <w:color w:val="auto"/>
          <w:spacing w:val="6"/>
          <w:sz w:val="32"/>
          <w:szCs w:val="32"/>
        </w:rPr>
        <w:t>残疾人福利性单位声明函</w:t>
      </w:r>
    </w:p>
    <w:bookmarkEnd w:id="912"/>
    <w:bookmarkEnd w:id="913"/>
    <w:p w14:paraId="2B9AEB85">
      <w:pPr>
        <w:spacing w:line="360" w:lineRule="auto"/>
        <w:rPr>
          <w:rFonts w:ascii="宋体" w:hAnsi="宋体" w:cs="宋体"/>
          <w:b/>
          <w:color w:val="auto"/>
          <w:spacing w:val="6"/>
          <w:sz w:val="30"/>
          <w:szCs w:val="30"/>
        </w:rPr>
      </w:pPr>
    </w:p>
    <w:p w14:paraId="693880CD">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C9F35F">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E7283FC">
      <w:pPr>
        <w:spacing w:line="360" w:lineRule="auto"/>
        <w:ind w:firstLine="480" w:firstLineChars="200"/>
        <w:rPr>
          <w:rFonts w:ascii="宋体" w:hAnsi="宋体" w:cs="宋体"/>
          <w:color w:val="auto"/>
          <w:sz w:val="24"/>
        </w:rPr>
      </w:pPr>
    </w:p>
    <w:p w14:paraId="4E0ED16C">
      <w:pPr>
        <w:spacing w:line="360" w:lineRule="auto"/>
        <w:ind w:firstLine="480" w:firstLineChars="200"/>
        <w:rPr>
          <w:rFonts w:ascii="宋体" w:hAnsi="宋体" w:cs="宋体"/>
          <w:color w:val="auto"/>
          <w:sz w:val="24"/>
        </w:rPr>
      </w:pPr>
    </w:p>
    <w:p w14:paraId="4BC06AA6">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供应商名称（电子签名）</w:t>
      </w:r>
      <w:r>
        <w:rPr>
          <w:rFonts w:hint="eastAsia" w:ascii="宋体" w:hAnsi="宋体" w:cs="宋体"/>
          <w:color w:val="auto"/>
          <w:sz w:val="24"/>
        </w:rPr>
        <w:t>：</w:t>
      </w:r>
    </w:p>
    <w:p w14:paraId="4D3C6FED">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3D60C96A">
      <w:pPr>
        <w:spacing w:line="360" w:lineRule="auto"/>
        <w:ind w:firstLine="480" w:firstLineChars="200"/>
        <w:rPr>
          <w:rFonts w:ascii="宋体" w:hAnsi="宋体" w:cs="宋体"/>
          <w:color w:val="auto"/>
          <w:sz w:val="24"/>
        </w:rPr>
      </w:pPr>
    </w:p>
    <w:p w14:paraId="5BD7406C">
      <w:pPr>
        <w:spacing w:line="360" w:lineRule="auto"/>
        <w:ind w:firstLine="420" w:firstLineChars="200"/>
        <w:rPr>
          <w:rFonts w:ascii="宋体" w:hAnsi="宋体" w:cs="宋体"/>
          <w:color w:val="auto"/>
        </w:rPr>
      </w:pPr>
    </w:p>
    <w:p w14:paraId="100969EB">
      <w:pPr>
        <w:spacing w:line="360" w:lineRule="auto"/>
        <w:ind w:firstLine="420" w:firstLineChars="200"/>
        <w:rPr>
          <w:rFonts w:ascii="宋体" w:hAnsi="宋体" w:cs="宋体"/>
          <w:color w:val="auto"/>
        </w:rPr>
      </w:pPr>
    </w:p>
    <w:p w14:paraId="3CC1FCAE">
      <w:pPr>
        <w:spacing w:line="360" w:lineRule="auto"/>
        <w:ind w:firstLine="420" w:firstLineChars="200"/>
        <w:rPr>
          <w:rFonts w:ascii="宋体" w:hAnsi="宋体" w:cs="宋体"/>
          <w:color w:val="auto"/>
        </w:rPr>
      </w:pPr>
    </w:p>
    <w:p w14:paraId="2B452555">
      <w:pPr>
        <w:spacing w:line="360" w:lineRule="auto"/>
        <w:ind w:firstLine="420" w:firstLineChars="200"/>
        <w:rPr>
          <w:rFonts w:ascii="宋体" w:hAnsi="宋体" w:cs="宋体"/>
          <w:color w:val="auto"/>
        </w:rPr>
      </w:pPr>
    </w:p>
    <w:p w14:paraId="3357CEF8">
      <w:pPr>
        <w:spacing w:line="360" w:lineRule="auto"/>
        <w:rPr>
          <w:rFonts w:ascii="宋体" w:hAnsi="宋体" w:cs="宋体"/>
          <w:b/>
          <w:color w:val="auto"/>
          <w:sz w:val="24"/>
        </w:rPr>
      </w:pPr>
    </w:p>
    <w:p w14:paraId="0C51762E">
      <w:pPr>
        <w:spacing w:line="360" w:lineRule="auto"/>
        <w:rPr>
          <w:rFonts w:ascii="宋体" w:hAnsi="宋体" w:cs="宋体"/>
          <w:b/>
          <w:color w:val="auto"/>
          <w:sz w:val="24"/>
        </w:rPr>
      </w:pPr>
    </w:p>
    <w:p w14:paraId="24C69A6F">
      <w:pPr>
        <w:spacing w:line="360" w:lineRule="auto"/>
        <w:rPr>
          <w:rFonts w:ascii="宋体" w:hAnsi="宋体" w:cs="宋体"/>
          <w:b/>
          <w:color w:val="auto"/>
          <w:sz w:val="24"/>
        </w:rPr>
      </w:pPr>
    </w:p>
    <w:p w14:paraId="6690DCCB">
      <w:pPr>
        <w:spacing w:line="360" w:lineRule="auto"/>
        <w:rPr>
          <w:rFonts w:ascii="宋体" w:hAnsi="宋体" w:cs="宋体"/>
          <w:b/>
          <w:color w:val="auto"/>
          <w:sz w:val="24"/>
        </w:rPr>
      </w:pPr>
    </w:p>
    <w:p w14:paraId="14DD9DA4">
      <w:pPr>
        <w:spacing w:line="360" w:lineRule="auto"/>
        <w:rPr>
          <w:rFonts w:ascii="宋体" w:hAnsi="宋体" w:cs="宋体"/>
          <w:b/>
          <w:color w:val="auto"/>
          <w:sz w:val="24"/>
        </w:rPr>
      </w:pPr>
    </w:p>
    <w:p w14:paraId="241B40AC">
      <w:pPr>
        <w:spacing w:line="360" w:lineRule="auto"/>
        <w:rPr>
          <w:rFonts w:ascii="宋体" w:hAnsi="宋体" w:cs="宋体"/>
          <w:b/>
          <w:color w:val="auto"/>
          <w:sz w:val="24"/>
        </w:rPr>
      </w:pPr>
    </w:p>
    <w:p w14:paraId="76BD55ED">
      <w:pPr>
        <w:spacing w:line="360" w:lineRule="auto"/>
        <w:rPr>
          <w:rFonts w:ascii="宋体" w:hAnsi="宋体" w:cs="宋体"/>
          <w:b/>
          <w:color w:val="auto"/>
          <w:sz w:val="24"/>
        </w:rPr>
      </w:pPr>
    </w:p>
    <w:p w14:paraId="5B296CC4">
      <w:pPr>
        <w:spacing w:line="360" w:lineRule="auto"/>
        <w:rPr>
          <w:rFonts w:ascii="宋体" w:hAnsi="宋体" w:cs="宋体"/>
          <w:b/>
          <w:color w:val="auto"/>
          <w:sz w:val="24"/>
        </w:rPr>
      </w:pPr>
    </w:p>
    <w:p w14:paraId="0D5B9275">
      <w:pPr>
        <w:autoSpaceDE w:val="0"/>
        <w:autoSpaceDN w:val="0"/>
        <w:jc w:val="center"/>
        <w:rPr>
          <w:rFonts w:ascii="宋体" w:hAnsi="宋体" w:cs="宋体"/>
          <w:b/>
          <w:color w:val="auto"/>
          <w:spacing w:val="6"/>
          <w:sz w:val="32"/>
          <w:szCs w:val="32"/>
        </w:rPr>
      </w:pPr>
    </w:p>
    <w:p w14:paraId="0176247A">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w:t>
      </w:r>
      <w:r>
        <w:rPr>
          <w:rFonts w:hint="eastAsia" w:ascii="宋体" w:hAnsi="宋体" w:cs="宋体"/>
          <w:b/>
          <w:color w:val="auto"/>
          <w:spacing w:val="6"/>
          <w:sz w:val="32"/>
          <w:szCs w:val="32"/>
          <w:lang w:val="en-US" w:eastAsia="zh-CN"/>
        </w:rPr>
        <w:t>2</w:t>
      </w:r>
      <w:r>
        <w:rPr>
          <w:rFonts w:hint="eastAsia" w:ascii="宋体" w:hAnsi="宋体" w:cs="宋体"/>
          <w:b/>
          <w:color w:val="auto"/>
          <w:spacing w:val="6"/>
          <w:sz w:val="32"/>
          <w:szCs w:val="32"/>
        </w:rPr>
        <w:t>：</w:t>
      </w:r>
      <w:r>
        <w:rPr>
          <w:rFonts w:hint="eastAsia" w:ascii="宋体" w:hAnsi="宋体" w:cs="宋体"/>
          <w:b/>
          <w:bCs/>
          <w:color w:val="auto"/>
          <w:sz w:val="32"/>
          <w:szCs w:val="32"/>
        </w:rPr>
        <w:t>业务专用章使用说明函</w:t>
      </w:r>
    </w:p>
    <w:p w14:paraId="5834B52B">
      <w:pPr>
        <w:spacing w:line="360" w:lineRule="auto"/>
        <w:rPr>
          <w:rFonts w:ascii="宋体" w:hAnsi="宋体" w:cs="宋体"/>
          <w:color w:val="auto"/>
          <w:sz w:val="24"/>
          <w:u w:val="single"/>
        </w:rPr>
      </w:pPr>
    </w:p>
    <w:p w14:paraId="7F06E279">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19C30D7E">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(供应商全称)是中华人民共和国依法登记注册的合法企业，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val="en-US" w:eastAsia="zh-CN"/>
        </w:rPr>
        <w:t xml:space="preserve">大佳何“艺术谷”和美示范片区工程—宁海县大佳何镇南阳福园景区（二期） </w:t>
      </w:r>
      <w:r>
        <w:rPr>
          <w:rFonts w:hint="eastAsia" w:ascii="宋体" w:hAnsi="宋体" w:cs="宋体"/>
          <w:color w:val="auto"/>
          <w:sz w:val="24"/>
        </w:rPr>
        <w:t>项目【项目编号：</w:t>
      </w:r>
      <w:r>
        <w:rPr>
          <w:rFonts w:hint="eastAsia" w:ascii="宋体" w:hAnsi="宋体" w:cs="宋体"/>
          <w:color w:val="auto"/>
          <w:sz w:val="24"/>
          <w:lang w:val="en-US" w:eastAsia="zh-CN"/>
        </w:rPr>
        <w:t xml:space="preserve"> </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7EF51BCC">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3FFCB8E8">
      <w:pPr>
        <w:spacing w:line="360" w:lineRule="auto"/>
        <w:ind w:firstLine="494"/>
        <w:rPr>
          <w:rFonts w:ascii="宋体" w:hAnsi="宋体" w:cs="宋体"/>
          <w:color w:val="auto"/>
          <w:sz w:val="24"/>
        </w:rPr>
      </w:pPr>
    </w:p>
    <w:p w14:paraId="2455B07F">
      <w:pPr>
        <w:spacing w:line="360" w:lineRule="auto"/>
        <w:ind w:firstLine="494"/>
        <w:rPr>
          <w:rFonts w:ascii="宋体" w:hAnsi="宋体" w:cs="宋体"/>
          <w:color w:val="auto"/>
          <w:sz w:val="24"/>
        </w:rPr>
      </w:pPr>
    </w:p>
    <w:p w14:paraId="1098466C">
      <w:pPr>
        <w:spacing w:line="360" w:lineRule="auto"/>
        <w:ind w:firstLine="494"/>
        <w:rPr>
          <w:rFonts w:ascii="宋体" w:hAnsi="宋体" w:cs="宋体"/>
          <w:color w:val="auto"/>
          <w:sz w:val="24"/>
        </w:rPr>
      </w:pPr>
    </w:p>
    <w:p w14:paraId="563F100C">
      <w:pPr>
        <w:spacing w:line="360" w:lineRule="auto"/>
        <w:ind w:firstLine="494"/>
        <w:rPr>
          <w:rFonts w:ascii="宋体" w:hAnsi="宋体" w:cs="宋体"/>
          <w:color w:val="auto"/>
          <w:sz w:val="24"/>
        </w:rPr>
      </w:pPr>
    </w:p>
    <w:p w14:paraId="7D2E4CCF">
      <w:pPr>
        <w:spacing w:line="360" w:lineRule="auto"/>
        <w:ind w:right="480" w:firstLine="4080" w:firstLineChars="1700"/>
        <w:rPr>
          <w:rFonts w:ascii="宋体" w:hAnsi="宋体" w:cs="宋体"/>
          <w:color w:val="auto"/>
          <w:sz w:val="24"/>
        </w:rPr>
      </w:pPr>
      <w:r>
        <w:rPr>
          <w:rFonts w:hint="eastAsia" w:ascii="宋体" w:hAnsi="宋体" w:cs="宋体"/>
          <w:color w:val="auto"/>
          <w:sz w:val="24"/>
        </w:rPr>
        <w:t>供应商（法定名称章）：</w:t>
      </w:r>
    </w:p>
    <w:p w14:paraId="6141ADE2">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643FA6DE">
      <w:pPr>
        <w:rPr>
          <w:rFonts w:ascii="宋体" w:hAnsi="宋体" w:cs="宋体"/>
          <w:color w:val="auto"/>
          <w:sz w:val="24"/>
        </w:rPr>
      </w:pPr>
      <w:r>
        <w:rPr>
          <w:rFonts w:hint="eastAsia" w:ascii="宋体" w:hAnsi="宋体" w:cs="宋体"/>
          <w:b/>
          <w:bCs/>
          <w:color w:val="auto"/>
          <w:sz w:val="24"/>
        </w:rPr>
        <w:t>附：</w:t>
      </w:r>
    </w:p>
    <w:p w14:paraId="6EF7E41C">
      <w:pPr>
        <w:spacing w:line="360" w:lineRule="auto"/>
        <w:rPr>
          <w:rFonts w:ascii="宋体" w:hAnsi="宋体" w:cs="宋体"/>
          <w:bCs/>
          <w:color w:val="auto"/>
          <w:sz w:val="24"/>
        </w:rPr>
      </w:pPr>
      <w:r>
        <w:rPr>
          <w:rFonts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w:t>供应商</w:t>
      </w:r>
      <w:r>
        <w:rPr>
          <w:rFonts w:hint="eastAsia" w:ascii="宋体" w:hAnsi="宋体" w:cs="宋体"/>
          <w:color w:val="auto"/>
          <w:sz w:val="24"/>
        </w:rPr>
        <w:t>法定名称章（印模）                供应商“XX专用章”（印模）</w:t>
      </w:r>
    </w:p>
    <w:p w14:paraId="634259D6">
      <w:pPr>
        <w:autoSpaceDE w:val="0"/>
        <w:autoSpaceDN w:val="0"/>
        <w:jc w:val="center"/>
        <w:rPr>
          <w:rFonts w:ascii="宋体" w:hAnsi="宋体" w:cs="宋体"/>
          <w:b/>
          <w:color w:val="auto"/>
          <w:spacing w:val="6"/>
          <w:sz w:val="32"/>
          <w:szCs w:val="32"/>
        </w:rPr>
      </w:pPr>
    </w:p>
    <w:p w14:paraId="731AF6F7">
      <w:pPr>
        <w:autoSpaceDE w:val="0"/>
        <w:autoSpaceDN w:val="0"/>
        <w:jc w:val="center"/>
        <w:rPr>
          <w:rFonts w:ascii="宋体" w:hAnsi="宋体" w:cs="宋体"/>
          <w:b/>
          <w:color w:val="auto"/>
          <w:spacing w:val="6"/>
          <w:sz w:val="32"/>
          <w:szCs w:val="32"/>
        </w:rPr>
      </w:pPr>
    </w:p>
    <w:p w14:paraId="10659BA6">
      <w:pPr>
        <w:autoSpaceDE w:val="0"/>
        <w:autoSpaceDN w:val="0"/>
        <w:jc w:val="center"/>
        <w:rPr>
          <w:rFonts w:ascii="宋体" w:hAnsi="宋体" w:cs="宋体"/>
          <w:b/>
          <w:color w:val="auto"/>
          <w:spacing w:val="6"/>
          <w:sz w:val="32"/>
          <w:szCs w:val="32"/>
        </w:rPr>
      </w:pPr>
    </w:p>
    <w:p w14:paraId="3201CB13">
      <w:pPr>
        <w:autoSpaceDE w:val="0"/>
        <w:autoSpaceDN w:val="0"/>
        <w:jc w:val="center"/>
        <w:rPr>
          <w:rFonts w:ascii="宋体" w:hAnsi="宋体" w:cs="宋体"/>
          <w:b/>
          <w:color w:val="auto"/>
          <w:spacing w:val="6"/>
          <w:sz w:val="32"/>
          <w:szCs w:val="32"/>
        </w:rPr>
      </w:pPr>
    </w:p>
    <w:p w14:paraId="64AECE13">
      <w:pPr>
        <w:autoSpaceDE w:val="0"/>
        <w:autoSpaceDN w:val="0"/>
        <w:jc w:val="center"/>
        <w:rPr>
          <w:rFonts w:ascii="宋体" w:hAnsi="宋体" w:cs="宋体"/>
          <w:b/>
          <w:color w:val="auto"/>
          <w:spacing w:val="6"/>
          <w:sz w:val="32"/>
          <w:szCs w:val="32"/>
        </w:rPr>
      </w:pPr>
    </w:p>
    <w:p w14:paraId="1E60514D">
      <w:pPr>
        <w:autoSpaceDE w:val="0"/>
        <w:autoSpaceDN w:val="0"/>
        <w:jc w:val="center"/>
        <w:rPr>
          <w:rFonts w:ascii="宋体" w:hAnsi="宋体" w:cs="宋体"/>
          <w:b/>
          <w:color w:val="auto"/>
          <w:spacing w:val="6"/>
          <w:sz w:val="32"/>
          <w:szCs w:val="32"/>
        </w:rPr>
      </w:pPr>
    </w:p>
    <w:p w14:paraId="449248F3">
      <w:pPr>
        <w:autoSpaceDE w:val="0"/>
        <w:autoSpaceDN w:val="0"/>
        <w:jc w:val="center"/>
        <w:rPr>
          <w:rFonts w:ascii="宋体" w:hAnsi="宋体" w:cs="宋体"/>
          <w:b/>
          <w:color w:val="auto"/>
          <w:spacing w:val="6"/>
          <w:sz w:val="32"/>
          <w:szCs w:val="32"/>
        </w:rPr>
      </w:pPr>
    </w:p>
    <w:p w14:paraId="0DA88D2C">
      <w:pPr>
        <w:autoSpaceDE w:val="0"/>
        <w:autoSpaceDN w:val="0"/>
        <w:jc w:val="center"/>
        <w:rPr>
          <w:rFonts w:ascii="宋体" w:hAnsi="宋体" w:cs="宋体"/>
          <w:b/>
          <w:color w:val="auto"/>
          <w:spacing w:val="6"/>
          <w:sz w:val="32"/>
          <w:szCs w:val="32"/>
        </w:rPr>
      </w:pPr>
    </w:p>
    <w:p w14:paraId="14DC0C18">
      <w:pPr>
        <w:autoSpaceDE w:val="0"/>
        <w:autoSpaceDN w:val="0"/>
        <w:jc w:val="center"/>
        <w:rPr>
          <w:rFonts w:ascii="宋体" w:hAnsi="宋体" w:cs="宋体"/>
          <w:b/>
          <w:color w:val="auto"/>
          <w:spacing w:val="6"/>
          <w:sz w:val="32"/>
          <w:szCs w:val="32"/>
        </w:rPr>
      </w:pPr>
    </w:p>
    <w:p w14:paraId="168AE9A9">
      <w:pPr>
        <w:autoSpaceDE w:val="0"/>
        <w:autoSpaceDN w:val="0"/>
        <w:jc w:val="center"/>
        <w:rPr>
          <w:rFonts w:ascii="宋体" w:hAnsi="宋体" w:cs="宋体"/>
          <w:b/>
          <w:color w:val="auto"/>
          <w:spacing w:val="6"/>
          <w:sz w:val="32"/>
          <w:szCs w:val="32"/>
        </w:rPr>
      </w:pPr>
    </w:p>
    <w:p w14:paraId="18CE99E5">
      <w:pPr>
        <w:autoSpaceDE w:val="0"/>
        <w:autoSpaceDN w:val="0"/>
        <w:jc w:val="center"/>
        <w:rPr>
          <w:rFonts w:ascii="宋体" w:hAnsi="宋体" w:cs="宋体"/>
          <w:b/>
          <w:color w:val="auto"/>
          <w:spacing w:val="6"/>
          <w:sz w:val="32"/>
          <w:szCs w:val="32"/>
        </w:rPr>
      </w:pPr>
    </w:p>
    <w:p w14:paraId="505CC117">
      <w:pPr>
        <w:autoSpaceDE w:val="0"/>
        <w:autoSpaceDN w:val="0"/>
        <w:jc w:val="center"/>
        <w:rPr>
          <w:rFonts w:ascii="宋体" w:hAnsi="宋体" w:cs="宋体"/>
          <w:b/>
          <w:color w:val="auto"/>
          <w:spacing w:val="6"/>
          <w:sz w:val="32"/>
          <w:szCs w:val="32"/>
        </w:rPr>
      </w:pPr>
    </w:p>
    <w:p w14:paraId="61D3691B">
      <w:pPr>
        <w:autoSpaceDE w:val="0"/>
        <w:autoSpaceDN w:val="0"/>
        <w:jc w:val="center"/>
        <w:rPr>
          <w:rFonts w:ascii="宋体" w:hAnsi="宋体" w:cs="宋体"/>
          <w:b/>
          <w:color w:val="auto"/>
          <w:spacing w:val="6"/>
          <w:sz w:val="32"/>
          <w:szCs w:val="32"/>
        </w:rPr>
      </w:pPr>
    </w:p>
    <w:p w14:paraId="7004B12F">
      <w:pPr>
        <w:autoSpaceDE w:val="0"/>
        <w:autoSpaceDN w:val="0"/>
        <w:jc w:val="center"/>
        <w:rPr>
          <w:rFonts w:ascii="宋体" w:hAnsi="宋体" w:cs="宋体"/>
          <w:b/>
          <w:color w:val="auto"/>
          <w:spacing w:val="6"/>
          <w:sz w:val="32"/>
          <w:szCs w:val="32"/>
        </w:rPr>
      </w:pPr>
    </w:p>
    <w:p w14:paraId="1715B391">
      <w:pPr>
        <w:autoSpaceDE w:val="0"/>
        <w:autoSpaceDN w:val="0"/>
        <w:jc w:val="center"/>
        <w:rPr>
          <w:rFonts w:ascii="宋体" w:hAnsi="宋体" w:cs="宋体"/>
          <w:b/>
          <w:color w:val="auto"/>
          <w:spacing w:val="6"/>
          <w:sz w:val="32"/>
          <w:szCs w:val="32"/>
        </w:rPr>
      </w:pPr>
    </w:p>
    <w:p w14:paraId="11C28558">
      <w:pPr>
        <w:autoSpaceDE w:val="0"/>
        <w:autoSpaceDN w:val="0"/>
        <w:jc w:val="center"/>
        <w:rPr>
          <w:rFonts w:ascii="宋体" w:hAnsi="宋体" w:cs="宋体"/>
          <w:b/>
          <w:color w:val="auto"/>
          <w:spacing w:val="6"/>
          <w:sz w:val="32"/>
          <w:szCs w:val="32"/>
          <w:u w:val="single"/>
        </w:rPr>
      </w:pPr>
    </w:p>
    <w:p w14:paraId="0217B836">
      <w:pPr>
        <w:autoSpaceDE w:val="0"/>
        <w:autoSpaceDN w:val="0"/>
        <w:jc w:val="center"/>
        <w:rPr>
          <w:rFonts w:ascii="宋体" w:hAnsi="宋体" w:cs="宋体"/>
          <w:b/>
          <w:color w:val="auto"/>
          <w:spacing w:val="6"/>
          <w:sz w:val="32"/>
          <w:szCs w:val="32"/>
        </w:rPr>
      </w:pPr>
    </w:p>
    <w:p w14:paraId="1B7BAFB2">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w:t>
      </w:r>
      <w:r>
        <w:rPr>
          <w:rFonts w:hint="eastAsia" w:ascii="宋体" w:hAnsi="宋体" w:cs="宋体"/>
          <w:b/>
          <w:color w:val="auto"/>
          <w:spacing w:val="6"/>
          <w:sz w:val="32"/>
          <w:szCs w:val="32"/>
          <w:lang w:val="en-US" w:eastAsia="zh-CN"/>
        </w:rPr>
        <w:t>3</w:t>
      </w:r>
      <w:r>
        <w:rPr>
          <w:rFonts w:hint="eastAsia" w:ascii="宋体" w:hAnsi="宋体" w:cs="宋体"/>
          <w:b/>
          <w:color w:val="auto"/>
          <w:spacing w:val="6"/>
          <w:sz w:val="32"/>
          <w:szCs w:val="32"/>
        </w:rPr>
        <w:t>：</w:t>
      </w:r>
      <w:r>
        <w:rPr>
          <w:rFonts w:hint="eastAsia" w:ascii="宋体" w:hAnsi="宋体" w:cs="宋体"/>
          <w:b/>
          <w:color w:val="auto"/>
          <w:sz w:val="32"/>
          <w:szCs w:val="32"/>
        </w:rPr>
        <w:t>中小企业声明函</w:t>
      </w:r>
    </w:p>
    <w:p w14:paraId="054747A7">
      <w:pPr>
        <w:spacing w:line="360" w:lineRule="auto"/>
        <w:jc w:val="center"/>
        <w:rPr>
          <w:rFonts w:ascii="宋体" w:hAnsi="宋体" w:cs="宋体"/>
          <w:color w:val="auto"/>
          <w:sz w:val="24"/>
          <w:u w:val="single"/>
        </w:rPr>
      </w:pPr>
    </w:p>
    <w:p w14:paraId="5C1027E7">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中小企业声明函（工程）</w:t>
      </w:r>
    </w:p>
    <w:p w14:paraId="10FB9678">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rPr>
        <w:t>本公司（联合体）郑重</w:t>
      </w:r>
      <w:r>
        <w:rPr>
          <w:rFonts w:hint="eastAsia" w:ascii="宋体" w:hAnsi="宋体" w:cs="宋体"/>
          <w:color w:val="auto"/>
          <w:sz w:val="24"/>
          <w:highlight w:val="none"/>
        </w:rPr>
        <w:t xml:space="preserve">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大佳何“艺术谷”和美示范片区工程—宁海县大佳何镇南阳福园景区（二期）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4BA675B">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kern w:val="0"/>
          <w:sz w:val="24"/>
          <w:u w:val="single"/>
          <w:lang w:val="en-US" w:eastAsia="zh-CN"/>
        </w:rPr>
        <w:t xml:space="preserve">大佳何“艺术谷”和美示范片区工程—宁海县大佳何镇南阳福园景区（二期） </w:t>
      </w:r>
      <w:r>
        <w:rPr>
          <w:rFonts w:hint="eastAsia" w:ascii="宋体" w:hAnsi="宋体" w:cs="宋体"/>
          <w:color w:val="auto"/>
          <w:sz w:val="24"/>
        </w:rPr>
        <w:t xml:space="preserve">，属于 </w:t>
      </w:r>
      <w:r>
        <w:rPr>
          <w:rFonts w:hint="eastAsia" w:ascii="宋体" w:hAnsi="宋体" w:cs="宋体"/>
          <w:color w:val="auto"/>
          <w:sz w:val="24"/>
          <w:u w:val="single"/>
          <w:lang w:eastAsia="zh-CN"/>
        </w:rPr>
        <w:t>建筑业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09E3CE6">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，属于 </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5946191">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635C214B">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6A047BC">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469728A">
      <w:pPr>
        <w:spacing w:line="360" w:lineRule="auto"/>
        <w:ind w:firstLine="480" w:firstLineChars="200"/>
        <w:rPr>
          <w:rFonts w:ascii="宋体" w:hAnsi="宋体" w:cs="宋体"/>
          <w:color w:val="auto"/>
          <w:sz w:val="24"/>
        </w:rPr>
      </w:pPr>
    </w:p>
    <w:p w14:paraId="09B72AE4">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供应商名称(电子签名)：</w:t>
      </w:r>
    </w:p>
    <w:p w14:paraId="32748B7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3E5BC06">
      <w:pPr>
        <w:spacing w:line="360" w:lineRule="auto"/>
        <w:jc w:val="left"/>
        <w:rPr>
          <w:rFonts w:hint="eastAsia" w:ascii="宋体" w:hAnsi="宋体" w:cs="宋体"/>
          <w:color w:val="auto"/>
          <w:sz w:val="18"/>
          <w:szCs w:val="18"/>
        </w:rPr>
      </w:pPr>
    </w:p>
    <w:p w14:paraId="7D6663DE">
      <w:pPr>
        <w:spacing w:line="360" w:lineRule="auto"/>
        <w:jc w:val="left"/>
        <w:rPr>
          <w:rFonts w:hint="eastAsia" w:ascii="宋体" w:hAnsi="宋体" w:cs="宋体"/>
          <w:color w:val="auto"/>
          <w:sz w:val="18"/>
          <w:szCs w:val="18"/>
        </w:rPr>
      </w:pPr>
    </w:p>
    <w:p w14:paraId="7D41CF9D">
      <w:pPr>
        <w:spacing w:line="360" w:lineRule="auto"/>
        <w:jc w:val="left"/>
        <w:rPr>
          <w:rFonts w:hint="eastAsia" w:ascii="宋体" w:hAnsi="宋体" w:cs="宋体"/>
          <w:color w:val="auto"/>
          <w:sz w:val="18"/>
          <w:szCs w:val="18"/>
        </w:rPr>
      </w:pPr>
    </w:p>
    <w:p w14:paraId="1BB4F4EA">
      <w:pPr>
        <w:spacing w:line="360" w:lineRule="auto"/>
        <w:jc w:val="left"/>
        <w:rPr>
          <w:rFonts w:hint="eastAsia" w:ascii="宋体" w:hAnsi="宋体" w:cs="宋体"/>
          <w:color w:val="auto"/>
          <w:sz w:val="18"/>
          <w:szCs w:val="18"/>
        </w:rPr>
      </w:pPr>
    </w:p>
    <w:p w14:paraId="143918F4">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6BFD505B">
      <w:pPr>
        <w:spacing w:line="360" w:lineRule="auto"/>
        <w:jc w:val="left"/>
        <w:rPr>
          <w:rFonts w:hint="eastAsia" w:ascii="宋体" w:hAnsi="宋体" w:cs="宋体"/>
          <w:color w:val="auto"/>
          <w:sz w:val="18"/>
          <w:szCs w:val="18"/>
        </w:rPr>
      </w:pPr>
    </w:p>
    <w:p w14:paraId="7E83FE42">
      <w:pPr>
        <w:spacing w:line="360" w:lineRule="auto"/>
        <w:jc w:val="left"/>
        <w:rPr>
          <w:rFonts w:hint="eastAsia" w:ascii="宋体" w:hAnsi="宋体" w:cs="宋体"/>
          <w:color w:val="auto"/>
          <w:sz w:val="18"/>
          <w:szCs w:val="18"/>
        </w:rPr>
      </w:pPr>
    </w:p>
    <w:p w14:paraId="769D8F1A">
      <w:pPr>
        <w:spacing w:line="360" w:lineRule="auto"/>
        <w:jc w:val="left"/>
        <w:rPr>
          <w:rFonts w:hint="eastAsia" w:ascii="宋体" w:hAnsi="宋体" w:cs="宋体"/>
          <w:color w:val="auto"/>
          <w:sz w:val="18"/>
          <w:szCs w:val="18"/>
        </w:rPr>
      </w:pPr>
    </w:p>
    <w:p w14:paraId="6D28374F">
      <w:pPr>
        <w:spacing w:line="360" w:lineRule="auto"/>
        <w:jc w:val="left"/>
        <w:rPr>
          <w:rFonts w:hint="eastAsia" w:ascii="宋体" w:hAnsi="宋体" w:cs="宋体"/>
          <w:color w:val="auto"/>
          <w:sz w:val="18"/>
          <w:szCs w:val="18"/>
        </w:rPr>
      </w:pPr>
    </w:p>
    <w:p w14:paraId="6A51BAD0">
      <w:pPr>
        <w:spacing w:line="360" w:lineRule="auto"/>
        <w:jc w:val="left"/>
        <w:rPr>
          <w:rFonts w:hint="eastAsia" w:ascii="宋体" w:hAnsi="宋体" w:cs="宋体"/>
          <w:color w:val="auto"/>
          <w:sz w:val="18"/>
          <w:szCs w:val="18"/>
        </w:rPr>
      </w:pPr>
    </w:p>
    <w:p w14:paraId="339F2FD3">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3142EC4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10764D1">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w:t>
      </w:r>
      <w:r>
        <w:rPr>
          <w:rFonts w:hint="eastAsia" w:ascii="宋体" w:hAnsi="宋体" w:eastAsia="宋体" w:cs="宋体"/>
          <w:color w:val="auto"/>
          <w:sz w:val="24"/>
          <w:highlight w:val="none"/>
        </w:rPr>
        <w:t>定，供应商提供由省级以上监狱管理局、戒毒管理局（含新疆生产建设兵团）出具的属于监狱企业证明文件的，视同为小型和微型企业。</w:t>
      </w:r>
    </w:p>
    <w:p w14:paraId="31F2EDA3">
      <w:pPr>
        <w:spacing w:line="360" w:lineRule="auto"/>
        <w:ind w:right="420" w:firstLine="480" w:firstLineChars="200"/>
        <w:rPr>
          <w:rFonts w:ascii="宋体" w:hAnsi="宋体" w:cs="宋体"/>
          <w:bCs/>
          <w:color w:val="auto"/>
          <w:sz w:val="24"/>
        </w:rPr>
        <w:sectPr>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color w:val="auto"/>
          <w:sz w:val="24"/>
          <w:highlight w:val="none"/>
          <w:lang w:val="en-US" w:eastAsia="zh-CN"/>
        </w:rPr>
        <w:t>3、本项目对应的中小企业划分标准所属行业：</w:t>
      </w:r>
      <w:r>
        <w:rPr>
          <w:rFonts w:hint="eastAsia" w:ascii="宋体" w:hAnsi="宋体" w:eastAsia="宋体" w:cs="宋体"/>
          <w:color w:val="auto"/>
          <w:sz w:val="24"/>
          <w:highlight w:val="none"/>
          <w:u w:val="single"/>
          <w:lang w:val="en-US" w:eastAsia="zh-CN"/>
        </w:rPr>
        <w:t>建筑业</w:t>
      </w:r>
      <w:r>
        <w:rPr>
          <w:rFonts w:hint="eastAsia" w:ascii="宋体" w:hAnsi="宋体" w:eastAsia="宋体" w:cs="宋体"/>
          <w:color w:val="auto"/>
          <w:sz w:val="24"/>
          <w:highlight w:val="none"/>
          <w:lang w:val="en-US" w:eastAsia="zh-CN"/>
        </w:rPr>
        <w:t>。 划分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C87E45D">
      <w:pPr>
        <w:spacing w:line="600" w:lineRule="exact"/>
        <w:jc w:val="center"/>
        <w:outlineLvl w:val="9"/>
        <w:rPr>
          <w:rFonts w:hint="eastAsia" w:ascii="宋体"/>
          <w:b/>
          <w:sz w:val="28"/>
          <w:lang w:val="zh-CN"/>
        </w:rPr>
      </w:pPr>
      <w:r>
        <w:rPr>
          <w:rFonts w:hint="eastAsia" w:ascii="宋体"/>
          <w:b/>
          <w:sz w:val="28"/>
          <w:lang w:val="en-US" w:eastAsia="zh-CN"/>
        </w:rPr>
        <w:t>附件4：</w:t>
      </w:r>
      <w:r>
        <w:rPr>
          <w:rFonts w:hint="eastAsia" w:ascii="宋体"/>
          <w:b/>
          <w:sz w:val="28"/>
          <w:lang w:val="zh-CN"/>
        </w:rPr>
        <w:t>联合协议（</w:t>
      </w:r>
      <w:r>
        <w:rPr>
          <w:rFonts w:hint="eastAsia" w:ascii="宋体"/>
          <w:b/>
          <w:sz w:val="28"/>
          <w:lang w:val="en-US" w:eastAsia="zh-CN"/>
        </w:rPr>
        <w:t>如适用</w:t>
      </w:r>
      <w:r>
        <w:rPr>
          <w:rFonts w:hint="eastAsia" w:ascii="宋体"/>
          <w:b/>
          <w:sz w:val="28"/>
          <w:lang w:val="zh-CN"/>
        </w:rPr>
        <w:t>）</w:t>
      </w:r>
    </w:p>
    <w:p w14:paraId="768DB1C6">
      <w:pPr>
        <w:keepNext w:val="0"/>
        <w:keepLines w:val="0"/>
        <w:pageBreakBefore w:val="0"/>
        <w:widowControl w:val="0"/>
        <w:kinsoku/>
        <w:wordWrap/>
        <w:overflowPunct/>
        <w:topLinePunct w:val="0"/>
        <w:autoSpaceDE/>
        <w:autoSpaceDN/>
        <w:bidi w:val="0"/>
        <w:adjustRightInd/>
        <w:spacing w:line="360" w:lineRule="auto"/>
        <w:jc w:val="center"/>
        <w:textAlignment w:val="auto"/>
        <w:outlineLvl w:val="9"/>
        <w:rPr>
          <w:rFonts w:hint="eastAsia" w:ascii="宋体"/>
          <w:b/>
          <w:sz w:val="28"/>
          <w:lang w:val="zh-CN"/>
        </w:rPr>
      </w:pPr>
      <w:r>
        <w:rPr>
          <w:rFonts w:hint="eastAsia" w:ascii="宋体"/>
          <w:b/>
          <w:sz w:val="28"/>
          <w:lang w:val="zh-CN"/>
        </w:rPr>
        <w:t>（如为联合体投标需提供，否则无需提供）</w:t>
      </w:r>
    </w:p>
    <w:p w14:paraId="70A8BA50">
      <w:pPr>
        <w:keepNext w:val="0"/>
        <w:keepLines w:val="0"/>
        <w:pageBreakBefore w:val="0"/>
        <w:widowControl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u w:val="single"/>
        </w:rPr>
        <w:t>（联合体所有成员名称）</w:t>
      </w:r>
      <w:r>
        <w:rPr>
          <w:kern w:val="0"/>
          <w:sz w:val="24"/>
          <w:szCs w:val="24"/>
        </w:rPr>
        <w:t>自愿</w:t>
      </w:r>
      <w:r>
        <w:rPr>
          <w:kern w:val="0"/>
          <w:sz w:val="24"/>
          <w:szCs w:val="24"/>
          <w:lang w:val="zh-CN"/>
        </w:rPr>
        <w:t>组成一个联合体，以一个供应商的身份</w:t>
      </w:r>
      <w:r>
        <w:rPr>
          <w:kern w:val="0"/>
          <w:sz w:val="24"/>
          <w:szCs w:val="24"/>
        </w:rPr>
        <w:t>参加</w:t>
      </w:r>
      <w:r>
        <w:rPr>
          <w:sz w:val="24"/>
          <w:szCs w:val="24"/>
          <w:u w:val="single"/>
        </w:rPr>
        <w:t>（项目名称）（采购编号）</w:t>
      </w:r>
      <w:r>
        <w:rPr>
          <w:kern w:val="0"/>
          <w:sz w:val="24"/>
          <w:szCs w:val="24"/>
          <w:lang w:val="zh-CN"/>
        </w:rPr>
        <w:t xml:space="preserve">投标。 </w:t>
      </w:r>
    </w:p>
    <w:p w14:paraId="10F2B2E2">
      <w:pPr>
        <w:keepNext w:val="0"/>
        <w:keepLines w:val="0"/>
        <w:pageBreakBefore w:val="0"/>
        <w:widowControl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一、各方一致决定，</w:t>
      </w:r>
      <w:r>
        <w:rPr>
          <w:kern w:val="0"/>
          <w:sz w:val="24"/>
          <w:szCs w:val="24"/>
          <w:u w:val="single"/>
        </w:rPr>
        <w:t>（某联合体成员名称）</w:t>
      </w:r>
      <w:r>
        <w:rPr>
          <w:kern w:val="0"/>
          <w:sz w:val="24"/>
          <w:szCs w:val="24"/>
        </w:rPr>
        <w:t>为联合体</w:t>
      </w:r>
      <w:r>
        <w:rPr>
          <w:kern w:val="0"/>
          <w:sz w:val="24"/>
          <w:szCs w:val="24"/>
          <w:lang w:val="zh-CN"/>
        </w:rPr>
        <w:t>牵头人</w:t>
      </w:r>
      <w:r>
        <w:rPr>
          <w:sz w:val="24"/>
          <w:szCs w:val="24"/>
        </w:rPr>
        <w:t>，代表所有联合体成员负责投标和合同实施阶段的主办、协调工作</w:t>
      </w:r>
      <w:r>
        <w:rPr>
          <w:kern w:val="0"/>
          <w:sz w:val="24"/>
          <w:szCs w:val="24"/>
          <w:lang w:val="zh-CN"/>
        </w:rPr>
        <w:t>。</w:t>
      </w:r>
    </w:p>
    <w:p w14:paraId="60774922">
      <w:pPr>
        <w:keepNext w:val="0"/>
        <w:keepLines w:val="0"/>
        <w:pageBreakBefore w:val="0"/>
        <w:widowControl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二、</w:t>
      </w:r>
      <w:r>
        <w:rPr>
          <w:sz w:val="24"/>
          <w:szCs w:val="24"/>
        </w:rPr>
        <w:t>所有联合体成员各方签署授权书，授权书载明的</w:t>
      </w:r>
      <w:r>
        <w:rPr>
          <w:kern w:val="0"/>
          <w:sz w:val="24"/>
          <w:szCs w:val="24"/>
          <w:lang w:val="zh-CN"/>
        </w:rPr>
        <w:t>授权代表根据采购文件规定及投标内容而对采购人、采购代理机构所作的任何合法承诺，包括书面澄清及相应等均对联合投标各方产生约束力。</w:t>
      </w:r>
    </w:p>
    <w:p w14:paraId="27F642F2">
      <w:pPr>
        <w:keepNext w:val="0"/>
        <w:keepLines w:val="0"/>
        <w:pageBreakBefore w:val="0"/>
        <w:widowControl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三、本次联合投标中，分工如下：</w:t>
      </w:r>
      <w:r>
        <w:rPr>
          <w:kern w:val="0"/>
          <w:sz w:val="24"/>
          <w:szCs w:val="24"/>
          <w:u w:val="single"/>
        </w:rPr>
        <w:t>（联合体其中一方成员名称）</w:t>
      </w:r>
      <w:r>
        <w:rPr>
          <w:kern w:val="0"/>
          <w:sz w:val="24"/>
          <w:szCs w:val="24"/>
          <w:lang w:val="zh-CN"/>
        </w:rPr>
        <w:t>承担的工作和义务为：</w:t>
      </w:r>
      <w:r>
        <w:rPr>
          <w:sz w:val="24"/>
          <w:szCs w:val="24"/>
          <w:u w:val="single"/>
        </w:rPr>
        <w:t xml:space="preserve">             </w:t>
      </w:r>
      <w:r>
        <w:rPr>
          <w:kern w:val="0"/>
          <w:sz w:val="24"/>
          <w:szCs w:val="24"/>
          <w:lang w:val="zh-CN"/>
        </w:rPr>
        <w:t>；</w:t>
      </w:r>
      <w:r>
        <w:rPr>
          <w:kern w:val="0"/>
          <w:sz w:val="24"/>
          <w:szCs w:val="24"/>
          <w:u w:val="single"/>
        </w:rPr>
        <w:t>（联合体其中一方成员名称）</w:t>
      </w:r>
      <w:r>
        <w:rPr>
          <w:kern w:val="0"/>
          <w:sz w:val="24"/>
          <w:szCs w:val="24"/>
          <w:lang w:val="zh-CN"/>
        </w:rPr>
        <w:t>承担的工作和义务为：</w:t>
      </w:r>
      <w:r>
        <w:rPr>
          <w:sz w:val="24"/>
          <w:szCs w:val="24"/>
          <w:u w:val="single"/>
        </w:rPr>
        <w:t xml:space="preserve">            </w:t>
      </w:r>
      <w:r>
        <w:rPr>
          <w:kern w:val="0"/>
          <w:sz w:val="24"/>
          <w:szCs w:val="24"/>
          <w:lang w:val="zh-CN"/>
        </w:rPr>
        <w:t xml:space="preserve"> ；</w:t>
      </w:r>
      <w:r>
        <w:rPr>
          <w:rFonts w:hint="eastAsia"/>
          <w:kern w:val="0"/>
          <w:sz w:val="24"/>
          <w:szCs w:val="24"/>
          <w:lang w:val="en-US" w:eastAsia="zh-CN"/>
        </w:rPr>
        <w:t>......</w:t>
      </w:r>
      <w:r>
        <w:rPr>
          <w:kern w:val="0"/>
          <w:sz w:val="24"/>
          <w:szCs w:val="24"/>
          <w:lang w:val="zh-CN"/>
        </w:rPr>
        <w:t>。</w:t>
      </w:r>
    </w:p>
    <w:p w14:paraId="2106FEDF">
      <w:pPr>
        <w:keepNext w:val="0"/>
        <w:keepLines w:val="0"/>
        <w:pageBreakBefore w:val="0"/>
        <w:widowControl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四、</w:t>
      </w:r>
      <w:r>
        <w:rPr>
          <w:sz w:val="24"/>
          <w:szCs w:val="24"/>
        </w:rPr>
        <w:t>中小企业合同金额达到</w:t>
      </w:r>
      <w:r>
        <w:rPr>
          <w:sz w:val="24"/>
          <w:szCs w:val="24"/>
          <w:u w:val="single"/>
        </w:rPr>
        <w:t xml:space="preserve">    </w:t>
      </w:r>
      <w:r>
        <w:rPr>
          <w:sz w:val="24"/>
          <w:szCs w:val="24"/>
        </w:rPr>
        <w:t>%，小微企业合同金额达到</w:t>
      </w:r>
      <w:r>
        <w:rPr>
          <w:sz w:val="24"/>
          <w:szCs w:val="24"/>
          <w:u w:val="single"/>
        </w:rPr>
        <w:t xml:space="preserve">    </w:t>
      </w:r>
      <w:r>
        <w:rPr>
          <w:sz w:val="24"/>
          <w:szCs w:val="24"/>
        </w:rPr>
        <w:t>%</w:t>
      </w:r>
      <w:r>
        <w:rPr>
          <w:kern w:val="0"/>
          <w:sz w:val="24"/>
          <w:szCs w:val="24"/>
          <w:lang w:val="zh-CN"/>
        </w:rPr>
        <w:t>。</w:t>
      </w:r>
    </w:p>
    <w:p w14:paraId="60F1079A">
      <w:pPr>
        <w:keepNext w:val="0"/>
        <w:keepLines w:val="0"/>
        <w:pageBreakBefore w:val="0"/>
        <w:widowControl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五、如果中标，</w:t>
      </w:r>
      <w:r>
        <w:rPr>
          <w:sz w:val="24"/>
          <w:szCs w:val="24"/>
        </w:rPr>
        <w:t>联合体各成员方共同与采购人签订合同，并就采购合同约定的事项对采购人承担连带责任。</w:t>
      </w:r>
    </w:p>
    <w:p w14:paraId="715D0BBF">
      <w:pPr>
        <w:keepNext w:val="0"/>
        <w:keepLines w:val="0"/>
        <w:pageBreakBefore w:val="0"/>
        <w:widowControl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六、有关本次联合投标的其他事宜：</w:t>
      </w:r>
    </w:p>
    <w:p w14:paraId="00A1F747">
      <w:pPr>
        <w:keepNext w:val="0"/>
        <w:keepLines w:val="0"/>
        <w:pageBreakBefore w:val="0"/>
        <w:widowControl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1、联合体各方不再单独参加或者与其他供应商另外组成联合体参加同一合同项下的政府采购活动。</w:t>
      </w:r>
    </w:p>
    <w:p w14:paraId="2D3781BB">
      <w:pPr>
        <w:keepNext w:val="0"/>
        <w:keepLines w:val="0"/>
        <w:pageBreakBefore w:val="0"/>
        <w:widowControl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2、联合体中有同类资质的各方按照联合体分工承担相同工作的，按照资质等级较低的供应商确定资质等级。</w:t>
      </w:r>
    </w:p>
    <w:p w14:paraId="44FE8F1A">
      <w:pPr>
        <w:keepNext w:val="0"/>
        <w:keepLines w:val="0"/>
        <w:pageBreakBefore w:val="0"/>
        <w:widowControl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3、本协议提交采购人、采购代理机构后，联合体各方不得以任何形式对上述内容进行修改或撤销。</w:t>
      </w:r>
    </w:p>
    <w:p w14:paraId="2190F0FC">
      <w:pPr>
        <w:pStyle w:val="522"/>
        <w:rPr>
          <w:lang w:val="zh-CN"/>
        </w:rPr>
      </w:pPr>
    </w:p>
    <w:p w14:paraId="2FE817AC">
      <w:pPr>
        <w:snapToGrid w:val="0"/>
        <w:spacing w:line="360" w:lineRule="auto"/>
        <w:ind w:firstLine="5040" w:firstLineChars="2100"/>
        <w:rPr>
          <w:kern w:val="0"/>
          <w:sz w:val="24"/>
          <w:szCs w:val="24"/>
          <w:lang w:val="zh-CN"/>
        </w:rPr>
      </w:pPr>
      <w:r>
        <w:rPr>
          <w:kern w:val="0"/>
          <w:sz w:val="24"/>
          <w:szCs w:val="24"/>
          <w:lang w:val="zh-CN"/>
        </w:rPr>
        <w:t>联合体成员名称(电子签名/公章)：</w:t>
      </w:r>
    </w:p>
    <w:p w14:paraId="281686D7">
      <w:pPr>
        <w:snapToGrid w:val="0"/>
        <w:spacing w:line="360" w:lineRule="auto"/>
        <w:ind w:firstLine="5040" w:firstLineChars="2100"/>
        <w:rPr>
          <w:kern w:val="0"/>
          <w:sz w:val="24"/>
          <w:szCs w:val="24"/>
          <w:lang w:val="zh-CN"/>
        </w:rPr>
      </w:pPr>
      <w:r>
        <w:rPr>
          <w:kern w:val="0"/>
          <w:sz w:val="24"/>
          <w:szCs w:val="24"/>
          <w:lang w:val="zh-CN"/>
        </w:rPr>
        <w:t>联合体成员名称(电子签名/公章)：</w:t>
      </w:r>
    </w:p>
    <w:p w14:paraId="244FA2A6">
      <w:pPr>
        <w:snapToGrid w:val="0"/>
        <w:spacing w:line="360" w:lineRule="auto"/>
        <w:ind w:firstLine="5760" w:firstLineChars="2400"/>
        <w:rPr>
          <w:sz w:val="24"/>
          <w:szCs w:val="24"/>
        </w:rPr>
      </w:pPr>
      <w:r>
        <w:rPr>
          <w:kern w:val="0"/>
          <w:sz w:val="24"/>
          <w:szCs w:val="24"/>
          <w:lang w:val="zh-CN"/>
        </w:rPr>
        <w:t>……</w:t>
      </w:r>
    </w:p>
    <w:p w14:paraId="6DF2F905">
      <w:pPr>
        <w:snapToGrid w:val="0"/>
        <w:spacing w:line="360" w:lineRule="auto"/>
        <w:rPr>
          <w:kern w:val="0"/>
          <w:sz w:val="24"/>
          <w:szCs w:val="24"/>
          <w:lang w:val="zh-CN"/>
        </w:rPr>
      </w:pPr>
      <w:r>
        <w:rPr>
          <w:kern w:val="0"/>
          <w:sz w:val="24"/>
          <w:szCs w:val="24"/>
          <w:lang w:val="zh-CN"/>
        </w:rPr>
        <w:t xml:space="preserve">                                               日期：  年  月   日</w:t>
      </w:r>
    </w:p>
    <w:p w14:paraId="7A6BDCE8">
      <w:pPr>
        <w:spacing w:line="360" w:lineRule="auto"/>
        <w:ind w:firstLine="480" w:firstLineChars="200"/>
        <w:rPr>
          <w:rFonts w:hint="eastAsia" w:ascii="仿宋" w:hAnsi="仿宋" w:eastAsia="仿宋" w:cs="仿宋"/>
          <w:sz w:val="24"/>
        </w:rPr>
      </w:pPr>
    </w:p>
    <w:p w14:paraId="1AFD1E5C">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1C237A8B">
      <w:pPr>
        <w:snapToGrid w:val="0"/>
        <w:spacing w:line="360" w:lineRule="auto"/>
        <w:ind w:firstLine="3092" w:firstLineChars="1100"/>
        <w:rPr>
          <w:rFonts w:hint="eastAsia" w:ascii="仿宋" w:hAnsi="仿宋" w:eastAsia="仿宋" w:cs="仿宋"/>
          <w:b/>
          <w:kern w:val="0"/>
          <w:sz w:val="32"/>
          <w:szCs w:val="32"/>
        </w:rPr>
      </w:pPr>
      <w:r>
        <w:rPr>
          <w:rFonts w:hint="eastAsia" w:ascii="宋体"/>
          <w:b/>
          <w:sz w:val="28"/>
          <w:lang w:val="en-US" w:eastAsia="zh-CN"/>
        </w:rPr>
        <w:t>附件5：</w:t>
      </w:r>
      <w:r>
        <w:rPr>
          <w:rFonts w:hint="eastAsia" w:ascii="宋体" w:hAnsi="Times New Roman" w:eastAsia="宋体" w:cs="Times New Roman"/>
          <w:b/>
          <w:sz w:val="28"/>
        </w:rPr>
        <w:t>分包意向协议</w:t>
      </w:r>
      <w:r>
        <w:rPr>
          <w:rFonts w:hint="eastAsia" w:ascii="宋体" w:hAnsi="Times New Roman" w:eastAsia="宋体" w:cs="Times New Roman"/>
          <w:b/>
          <w:sz w:val="28"/>
          <w:lang w:val="zh-CN"/>
        </w:rPr>
        <w:t>（</w:t>
      </w:r>
      <w:r>
        <w:rPr>
          <w:rFonts w:hint="eastAsia" w:ascii="宋体"/>
          <w:b/>
          <w:sz w:val="28"/>
          <w:lang w:val="en-US" w:eastAsia="zh-CN"/>
        </w:rPr>
        <w:t>如适用</w:t>
      </w:r>
      <w:r>
        <w:rPr>
          <w:rFonts w:hint="eastAsia" w:ascii="宋体"/>
          <w:b/>
          <w:sz w:val="28"/>
          <w:lang w:val="zh-CN"/>
        </w:rPr>
        <w:t>）</w:t>
      </w:r>
    </w:p>
    <w:p w14:paraId="4ACE6207">
      <w:pPr>
        <w:pStyle w:val="522"/>
        <w:spacing w:line="440" w:lineRule="exact"/>
        <w:jc w:val="center"/>
        <w:rPr>
          <w:sz w:val="24"/>
          <w:szCs w:val="24"/>
        </w:rPr>
      </w:pPr>
      <w:r>
        <w:rPr>
          <w:b/>
          <w:kern w:val="0"/>
          <w:sz w:val="24"/>
          <w:szCs w:val="24"/>
          <w:lang w:val="zh-CN"/>
        </w:rPr>
        <w:t>（如需分包需提供，否则无需提供）</w:t>
      </w:r>
    </w:p>
    <w:p w14:paraId="4AE53B28">
      <w:pPr>
        <w:keepNext w:val="0"/>
        <w:keepLines w:val="0"/>
        <w:pageBreakBefore w:val="0"/>
        <w:widowControl/>
        <w:kinsoku/>
        <w:wordWrap/>
        <w:overflowPunct/>
        <w:topLinePunct w:val="0"/>
        <w:autoSpaceDE/>
        <w:autoSpaceDN/>
        <w:bidi w:val="0"/>
        <w:adjustRightInd/>
        <w:spacing w:line="360" w:lineRule="auto"/>
        <w:ind w:firstLine="120" w:firstLineChars="50"/>
        <w:jc w:val="left"/>
        <w:textAlignment w:val="auto"/>
        <w:rPr>
          <w:sz w:val="24"/>
          <w:szCs w:val="24"/>
        </w:rPr>
      </w:pPr>
      <w:r>
        <w:rPr>
          <w:sz w:val="24"/>
          <w:szCs w:val="24"/>
        </w:rPr>
        <w:t>（中标后以分包方式履行合同的，提供分包意向协议；采购人不同意分包或者供应商中标后不以分包方式履行合同的，则不需要提供。）</w:t>
      </w:r>
    </w:p>
    <w:p w14:paraId="24701180">
      <w:pPr>
        <w:keepNext w:val="0"/>
        <w:keepLines w:val="0"/>
        <w:pageBreakBefore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u w:val="single"/>
        </w:rPr>
        <w:t>（供应商名称）</w:t>
      </w:r>
      <w:r>
        <w:rPr>
          <w:kern w:val="0"/>
          <w:sz w:val="24"/>
          <w:szCs w:val="24"/>
          <w:lang w:val="zh-CN"/>
        </w:rPr>
        <w:t>若成为</w:t>
      </w:r>
      <w:r>
        <w:rPr>
          <w:sz w:val="24"/>
          <w:szCs w:val="24"/>
          <w:u w:val="single"/>
        </w:rPr>
        <w:t>（项目名称）（采购编号）</w:t>
      </w:r>
      <w:r>
        <w:rPr>
          <w:kern w:val="0"/>
          <w:sz w:val="24"/>
          <w:szCs w:val="24"/>
          <w:lang w:val="zh-CN"/>
        </w:rPr>
        <w:t>的中标供应商，将依法采取分包方式履行合同。</w:t>
      </w:r>
      <w:r>
        <w:rPr>
          <w:kern w:val="0"/>
          <w:sz w:val="24"/>
          <w:szCs w:val="24"/>
          <w:u w:val="single"/>
        </w:rPr>
        <w:t>（供应商名称）</w:t>
      </w:r>
      <w:r>
        <w:rPr>
          <w:kern w:val="0"/>
          <w:sz w:val="24"/>
          <w:szCs w:val="24"/>
        </w:rPr>
        <w:t>与</w:t>
      </w:r>
      <w:r>
        <w:rPr>
          <w:kern w:val="0"/>
          <w:sz w:val="24"/>
          <w:szCs w:val="24"/>
          <w:u w:val="single"/>
        </w:rPr>
        <w:t>（所有分包供应商名称）</w:t>
      </w:r>
      <w:r>
        <w:rPr>
          <w:kern w:val="0"/>
          <w:sz w:val="24"/>
          <w:szCs w:val="24"/>
        </w:rPr>
        <w:t>达成分包意向协议</w:t>
      </w:r>
      <w:r>
        <w:rPr>
          <w:kern w:val="0"/>
          <w:sz w:val="24"/>
          <w:szCs w:val="24"/>
          <w:lang w:val="zh-CN"/>
        </w:rPr>
        <w:t xml:space="preserve">。 </w:t>
      </w:r>
    </w:p>
    <w:p w14:paraId="10BF0E4D">
      <w:pPr>
        <w:keepNext w:val="0"/>
        <w:keepLines w:val="0"/>
        <w:pageBreakBefore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一、分包标的及数量</w:t>
      </w:r>
    </w:p>
    <w:p w14:paraId="466F3775">
      <w:pPr>
        <w:keepNext w:val="0"/>
        <w:keepLines w:val="0"/>
        <w:pageBreakBefore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u w:val="single"/>
        </w:rPr>
        <w:t>（供应商名称）</w:t>
      </w:r>
      <w:r>
        <w:rPr>
          <w:kern w:val="0"/>
          <w:sz w:val="24"/>
          <w:szCs w:val="24"/>
          <w:lang w:val="zh-CN"/>
        </w:rPr>
        <w:t>将</w:t>
      </w:r>
      <w:r>
        <w:rPr>
          <w:sz w:val="24"/>
          <w:szCs w:val="24"/>
          <w:u w:val="single"/>
        </w:rPr>
        <w:t xml:space="preserve">   XX工作内容   </w:t>
      </w:r>
      <w:r>
        <w:rPr>
          <w:sz w:val="24"/>
          <w:szCs w:val="24"/>
        </w:rPr>
        <w:t>分包给</w:t>
      </w:r>
      <w:r>
        <w:rPr>
          <w:kern w:val="0"/>
          <w:sz w:val="24"/>
          <w:szCs w:val="24"/>
          <w:u w:val="single"/>
        </w:rPr>
        <w:t>（某分包供应商名称）</w:t>
      </w:r>
      <w:r>
        <w:rPr>
          <w:kern w:val="0"/>
          <w:sz w:val="24"/>
          <w:szCs w:val="24"/>
          <w:lang w:val="zh-CN"/>
        </w:rPr>
        <w:t>，</w:t>
      </w:r>
      <w:r>
        <w:rPr>
          <w:kern w:val="0"/>
          <w:sz w:val="24"/>
          <w:szCs w:val="24"/>
          <w:u w:val="single"/>
        </w:rPr>
        <w:t>（某分包供应商名称），</w:t>
      </w:r>
      <w:r>
        <w:rPr>
          <w:kern w:val="0"/>
          <w:sz w:val="24"/>
          <w:szCs w:val="24"/>
          <w:lang w:val="zh-CN"/>
        </w:rPr>
        <w:t>具备承</w:t>
      </w:r>
      <w:r>
        <w:rPr>
          <w:kern w:val="0"/>
          <w:sz w:val="24"/>
          <w:szCs w:val="24"/>
        </w:rPr>
        <w:t>担</w:t>
      </w:r>
      <w:r>
        <w:rPr>
          <w:kern w:val="0"/>
          <w:sz w:val="24"/>
          <w:szCs w:val="24"/>
          <w:u w:val="single"/>
          <w:lang w:val="zh-CN"/>
        </w:rPr>
        <w:t>XX工作内容</w:t>
      </w:r>
      <w:r>
        <w:rPr>
          <w:kern w:val="0"/>
          <w:sz w:val="24"/>
          <w:szCs w:val="24"/>
          <w:lang w:val="zh-CN"/>
        </w:rPr>
        <w:t>相应资质条件且不得再次分包；</w:t>
      </w:r>
    </w:p>
    <w:p w14:paraId="1F67446C">
      <w:pPr>
        <w:keepNext w:val="0"/>
        <w:keepLines w:val="0"/>
        <w:pageBreakBefore w:val="0"/>
        <w:tabs>
          <w:tab w:val="left" w:pos="432"/>
        </w:tabs>
        <w:kinsoku/>
        <w:wordWrap/>
        <w:overflowPunct/>
        <w:topLinePunct w:val="0"/>
        <w:autoSpaceDE/>
        <w:autoSpaceDN/>
        <w:bidi w:val="0"/>
        <w:adjustRightInd/>
        <w:spacing w:before="0" w:after="0" w:line="360" w:lineRule="auto"/>
        <w:ind w:left="664" w:leftChars="316" w:firstLine="228" w:firstLineChars="95"/>
        <w:textAlignment w:val="auto"/>
        <w:outlineLvl w:val="9"/>
        <w:rPr>
          <w:rFonts w:ascii="Times New Roman" w:hAnsi="Times New Roman" w:eastAsia="宋体"/>
          <w:sz w:val="24"/>
          <w:szCs w:val="24"/>
        </w:rPr>
      </w:pPr>
      <w:r>
        <w:rPr>
          <w:rFonts w:ascii="Times New Roman" w:hAnsi="Times New Roman" w:eastAsia="宋体"/>
          <w:kern w:val="0"/>
          <w:sz w:val="24"/>
          <w:szCs w:val="24"/>
        </w:rPr>
        <w:t>……</w:t>
      </w:r>
    </w:p>
    <w:p w14:paraId="324DA82D">
      <w:pPr>
        <w:keepNext w:val="0"/>
        <w:keepLines w:val="0"/>
        <w:pageBreakBefore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二、分包工作履行期限、地点、方式</w:t>
      </w:r>
    </w:p>
    <w:p w14:paraId="3EB21172">
      <w:pPr>
        <w:keepNext w:val="0"/>
        <w:keepLines w:val="0"/>
        <w:pageBreakBefore w:val="0"/>
        <w:kinsoku/>
        <w:wordWrap/>
        <w:overflowPunct/>
        <w:topLinePunct w:val="0"/>
        <w:autoSpaceDE/>
        <w:autoSpaceDN/>
        <w:bidi w:val="0"/>
        <w:adjustRightInd/>
        <w:snapToGrid w:val="0"/>
        <w:spacing w:line="360" w:lineRule="auto"/>
        <w:ind w:firstLine="576"/>
        <w:textAlignment w:val="auto"/>
        <w:rPr>
          <w:sz w:val="24"/>
          <w:szCs w:val="24"/>
          <w:u w:val="single"/>
        </w:rPr>
      </w:pPr>
      <w:r>
        <w:rPr>
          <w:sz w:val="24"/>
          <w:szCs w:val="24"/>
          <w:u w:val="single"/>
        </w:rPr>
        <w:t xml:space="preserve">                                                                                  </w:t>
      </w:r>
    </w:p>
    <w:p w14:paraId="52335A83">
      <w:pPr>
        <w:keepNext w:val="0"/>
        <w:keepLines w:val="0"/>
        <w:pageBreakBefore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三、质量</w:t>
      </w:r>
    </w:p>
    <w:p w14:paraId="5A2045CA">
      <w:pPr>
        <w:keepNext w:val="0"/>
        <w:keepLines w:val="0"/>
        <w:pageBreakBefore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sz w:val="24"/>
          <w:szCs w:val="24"/>
          <w:u w:val="single"/>
        </w:rPr>
        <w:t xml:space="preserve">                                                                                       </w:t>
      </w:r>
    </w:p>
    <w:p w14:paraId="7617A917">
      <w:pPr>
        <w:keepNext w:val="0"/>
        <w:keepLines w:val="0"/>
        <w:pageBreakBefore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四、价款或者报酬</w:t>
      </w:r>
    </w:p>
    <w:p w14:paraId="4E4DB1D2">
      <w:pPr>
        <w:keepNext w:val="0"/>
        <w:keepLines w:val="0"/>
        <w:pageBreakBefore w:val="0"/>
        <w:kinsoku/>
        <w:wordWrap/>
        <w:overflowPunct/>
        <w:topLinePunct w:val="0"/>
        <w:autoSpaceDE/>
        <w:autoSpaceDN/>
        <w:bidi w:val="0"/>
        <w:adjustRightInd/>
        <w:snapToGrid w:val="0"/>
        <w:spacing w:line="360" w:lineRule="auto"/>
        <w:ind w:left="573" w:leftChars="273"/>
        <w:textAlignment w:val="auto"/>
        <w:rPr>
          <w:kern w:val="0"/>
          <w:sz w:val="24"/>
          <w:szCs w:val="24"/>
          <w:lang w:val="zh-CN"/>
        </w:rPr>
      </w:pPr>
      <w:r>
        <w:rPr>
          <w:sz w:val="24"/>
          <w:szCs w:val="24"/>
          <w:u w:val="single"/>
        </w:rPr>
        <w:t xml:space="preserve">                                                                                     </w:t>
      </w:r>
    </w:p>
    <w:p w14:paraId="4D292444">
      <w:pPr>
        <w:keepNext w:val="0"/>
        <w:keepLines w:val="0"/>
        <w:pageBreakBefore w:val="0"/>
        <w:kinsoku/>
        <w:wordWrap/>
        <w:overflowPunct/>
        <w:topLinePunct w:val="0"/>
        <w:autoSpaceDE/>
        <w:autoSpaceDN/>
        <w:bidi w:val="0"/>
        <w:adjustRightInd/>
        <w:snapToGrid w:val="0"/>
        <w:spacing w:line="360" w:lineRule="auto"/>
        <w:ind w:left="573" w:leftChars="273"/>
        <w:textAlignment w:val="auto"/>
        <w:rPr>
          <w:kern w:val="0"/>
          <w:sz w:val="24"/>
          <w:szCs w:val="24"/>
          <w:lang w:val="zh-CN"/>
        </w:rPr>
      </w:pPr>
      <w:r>
        <w:rPr>
          <w:kern w:val="0"/>
          <w:sz w:val="24"/>
          <w:szCs w:val="24"/>
          <w:lang w:val="zh-CN"/>
        </w:rPr>
        <w:t>五、违约责任</w:t>
      </w:r>
    </w:p>
    <w:p w14:paraId="3D622DFC">
      <w:pPr>
        <w:keepNext w:val="0"/>
        <w:keepLines w:val="0"/>
        <w:pageBreakBefore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sz w:val="24"/>
          <w:szCs w:val="24"/>
          <w:u w:val="single"/>
        </w:rPr>
        <w:t xml:space="preserve">                                                                                     </w:t>
      </w:r>
    </w:p>
    <w:p w14:paraId="668B6DB3">
      <w:pPr>
        <w:keepNext w:val="0"/>
        <w:keepLines w:val="0"/>
        <w:pageBreakBefore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六、争议解决的办法</w:t>
      </w:r>
    </w:p>
    <w:p w14:paraId="41933694">
      <w:pPr>
        <w:keepNext w:val="0"/>
        <w:keepLines w:val="0"/>
        <w:pageBreakBefore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sz w:val="24"/>
          <w:szCs w:val="24"/>
          <w:u w:val="single"/>
        </w:rPr>
        <w:t xml:space="preserve">                                                                                  </w:t>
      </w:r>
    </w:p>
    <w:p w14:paraId="54FAB497">
      <w:pPr>
        <w:keepNext w:val="0"/>
        <w:keepLines w:val="0"/>
        <w:pageBreakBefore w:val="0"/>
        <w:kinsoku/>
        <w:wordWrap/>
        <w:overflowPunct/>
        <w:topLinePunct w:val="0"/>
        <w:autoSpaceDE/>
        <w:autoSpaceDN/>
        <w:bidi w:val="0"/>
        <w:adjustRightInd/>
        <w:snapToGrid w:val="0"/>
        <w:spacing w:line="360" w:lineRule="auto"/>
        <w:ind w:firstLine="576"/>
        <w:textAlignment w:val="auto"/>
        <w:rPr>
          <w:kern w:val="0"/>
          <w:sz w:val="24"/>
          <w:szCs w:val="24"/>
          <w:lang w:val="zh-CN"/>
        </w:rPr>
      </w:pPr>
      <w:r>
        <w:rPr>
          <w:kern w:val="0"/>
          <w:sz w:val="24"/>
          <w:szCs w:val="24"/>
          <w:lang w:val="zh-CN"/>
        </w:rPr>
        <w:t>七、其他</w:t>
      </w:r>
    </w:p>
    <w:p w14:paraId="6A04FE1D">
      <w:pPr>
        <w:keepNext w:val="0"/>
        <w:keepLines w:val="0"/>
        <w:pageBreakBefore w:val="0"/>
        <w:kinsoku/>
        <w:wordWrap/>
        <w:overflowPunct/>
        <w:topLinePunct w:val="0"/>
        <w:autoSpaceDE/>
        <w:autoSpaceDN/>
        <w:bidi w:val="0"/>
        <w:adjustRightInd/>
        <w:snapToGrid w:val="0"/>
        <w:spacing w:line="360" w:lineRule="auto"/>
        <w:ind w:left="5758" w:leftChars="342" w:hanging="5040" w:hangingChars="2100"/>
        <w:textAlignment w:val="auto"/>
        <w:rPr>
          <w:kern w:val="0"/>
          <w:sz w:val="24"/>
          <w:szCs w:val="24"/>
          <w:lang w:val="zh-CN"/>
        </w:rPr>
      </w:pPr>
      <w:r>
        <w:rPr>
          <w:sz w:val="24"/>
          <w:szCs w:val="24"/>
        </w:rPr>
        <w:t>中小企业合同金额达到</w:t>
      </w:r>
      <w:r>
        <w:rPr>
          <w:sz w:val="24"/>
          <w:szCs w:val="24"/>
          <w:u w:val="single"/>
        </w:rPr>
        <w:t xml:space="preserve">         </w:t>
      </w:r>
      <w:r>
        <w:rPr>
          <w:sz w:val="24"/>
          <w:szCs w:val="24"/>
        </w:rPr>
        <w:t>%，小微企业合同金额达到</w:t>
      </w:r>
      <w:r>
        <w:rPr>
          <w:sz w:val="24"/>
          <w:szCs w:val="24"/>
          <w:u w:val="single"/>
        </w:rPr>
        <w:t xml:space="preserve">         </w:t>
      </w:r>
      <w:r>
        <w:rPr>
          <w:sz w:val="24"/>
          <w:szCs w:val="24"/>
        </w:rPr>
        <w:t>%</w:t>
      </w:r>
      <w:r>
        <w:rPr>
          <w:kern w:val="0"/>
          <w:sz w:val="24"/>
          <w:szCs w:val="24"/>
          <w:lang w:val="zh-CN"/>
        </w:rPr>
        <w:t xml:space="preserve"> 。  </w:t>
      </w:r>
    </w:p>
    <w:p w14:paraId="7DFDE7A5">
      <w:pPr>
        <w:snapToGrid w:val="0"/>
        <w:spacing w:line="440" w:lineRule="exact"/>
        <w:rPr>
          <w:kern w:val="0"/>
          <w:sz w:val="24"/>
          <w:szCs w:val="24"/>
          <w:lang w:val="zh-CN"/>
        </w:rPr>
      </w:pPr>
    </w:p>
    <w:p w14:paraId="27DF6C5F">
      <w:pPr>
        <w:snapToGrid w:val="0"/>
        <w:spacing w:line="440" w:lineRule="exact"/>
        <w:ind w:left="5880" w:leftChars="2800"/>
        <w:rPr>
          <w:kern w:val="0"/>
          <w:sz w:val="24"/>
          <w:szCs w:val="24"/>
          <w:lang w:val="zh-CN"/>
        </w:rPr>
      </w:pPr>
      <w:r>
        <w:rPr>
          <w:kern w:val="0"/>
          <w:sz w:val="24"/>
          <w:szCs w:val="24"/>
          <w:lang w:val="zh-CN"/>
        </w:rPr>
        <w:t>供应商名称(电子签名)：</w:t>
      </w:r>
    </w:p>
    <w:p w14:paraId="1D1BCD31">
      <w:pPr>
        <w:snapToGrid w:val="0"/>
        <w:spacing w:line="440" w:lineRule="exact"/>
        <w:ind w:left="5880" w:leftChars="2800"/>
        <w:rPr>
          <w:kern w:val="0"/>
          <w:sz w:val="24"/>
          <w:szCs w:val="24"/>
          <w:lang w:val="zh-CN"/>
        </w:rPr>
      </w:pPr>
      <w:r>
        <w:rPr>
          <w:kern w:val="0"/>
          <w:sz w:val="24"/>
          <w:szCs w:val="24"/>
          <w:lang w:val="zh-CN"/>
        </w:rPr>
        <w:t>分包供应商名称：</w:t>
      </w:r>
    </w:p>
    <w:p w14:paraId="1493CE28">
      <w:pPr>
        <w:snapToGrid w:val="0"/>
        <w:spacing w:line="440" w:lineRule="exact"/>
        <w:ind w:left="5880" w:leftChars="2800"/>
        <w:rPr>
          <w:sz w:val="24"/>
          <w:szCs w:val="24"/>
        </w:rPr>
      </w:pPr>
      <w:r>
        <w:rPr>
          <w:kern w:val="0"/>
          <w:sz w:val="24"/>
          <w:szCs w:val="24"/>
          <w:lang w:val="zh-CN"/>
        </w:rPr>
        <w:t>……</w:t>
      </w:r>
    </w:p>
    <w:p w14:paraId="2480CD5D">
      <w:pPr>
        <w:spacing w:line="360" w:lineRule="auto"/>
        <w:rPr>
          <w:rFonts w:ascii="宋体"/>
          <w:b/>
          <w:sz w:val="28"/>
        </w:rPr>
      </w:pPr>
      <w:r>
        <w:rPr>
          <w:kern w:val="0"/>
          <w:sz w:val="24"/>
          <w:szCs w:val="24"/>
          <w:lang w:val="zh-CN"/>
        </w:rPr>
        <w:t>日期：  年  月   日</w:t>
      </w:r>
    </w:p>
    <w:p w14:paraId="791F8435">
      <w:pPr>
        <w:spacing w:line="580" w:lineRule="exact"/>
        <w:jc w:val="center"/>
        <w:outlineLvl w:val="9"/>
        <w:rPr>
          <w:rFonts w:ascii="宋体"/>
          <w:b/>
          <w:sz w:val="28"/>
        </w:rPr>
      </w:pPr>
    </w:p>
    <w:p w14:paraId="273C3592">
      <w:pPr>
        <w:spacing w:line="580" w:lineRule="exact"/>
        <w:jc w:val="center"/>
        <w:outlineLvl w:val="9"/>
        <w:rPr>
          <w:rFonts w:ascii="宋体"/>
          <w:b/>
          <w:sz w:val="28"/>
        </w:rPr>
      </w:pPr>
    </w:p>
    <w:p w14:paraId="0E94E208">
      <w:pPr>
        <w:spacing w:line="580" w:lineRule="exact"/>
        <w:jc w:val="center"/>
        <w:outlineLvl w:val="9"/>
        <w:rPr>
          <w:rFonts w:ascii="宋体"/>
          <w:b/>
          <w:sz w:val="28"/>
        </w:rPr>
      </w:pPr>
    </w:p>
    <w:p w14:paraId="04FFCCC7">
      <w:pPr>
        <w:spacing w:line="580" w:lineRule="exact"/>
        <w:jc w:val="center"/>
        <w:outlineLvl w:val="9"/>
        <w:rPr>
          <w:rFonts w:ascii="宋体"/>
          <w:b/>
          <w:sz w:val="28"/>
        </w:rPr>
      </w:pPr>
    </w:p>
    <w:p w14:paraId="4547277F">
      <w:pPr>
        <w:spacing w:line="580" w:lineRule="exact"/>
        <w:jc w:val="center"/>
        <w:outlineLvl w:val="9"/>
        <w:rPr>
          <w:rFonts w:ascii="宋体"/>
          <w:b/>
          <w:sz w:val="28"/>
        </w:rPr>
      </w:pPr>
    </w:p>
    <w:p w14:paraId="59D22C56">
      <w:pPr>
        <w:spacing w:line="580" w:lineRule="exact"/>
        <w:jc w:val="center"/>
        <w:outlineLvl w:val="9"/>
        <w:rPr>
          <w:rFonts w:ascii="宋体"/>
          <w:b/>
          <w:sz w:val="28"/>
        </w:rPr>
      </w:pPr>
    </w:p>
    <w:p w14:paraId="56DEF16B">
      <w:pPr>
        <w:spacing w:line="580" w:lineRule="exact"/>
        <w:jc w:val="center"/>
        <w:outlineLvl w:val="9"/>
        <w:rPr>
          <w:rFonts w:ascii="宋体"/>
          <w:b/>
          <w:sz w:val="28"/>
        </w:rPr>
      </w:pPr>
    </w:p>
    <w:p w14:paraId="2AAB8F36">
      <w:pPr>
        <w:spacing w:line="580" w:lineRule="exact"/>
        <w:jc w:val="center"/>
        <w:outlineLvl w:val="9"/>
        <w:rPr>
          <w:rFonts w:ascii="宋体"/>
          <w:b/>
          <w:sz w:val="28"/>
        </w:rPr>
      </w:pPr>
    </w:p>
    <w:p w14:paraId="770BFC61">
      <w:pPr>
        <w:spacing w:line="580" w:lineRule="exact"/>
        <w:jc w:val="center"/>
        <w:outlineLvl w:val="9"/>
        <w:rPr>
          <w:rFonts w:ascii="宋体"/>
          <w:b/>
          <w:sz w:val="28"/>
        </w:rPr>
      </w:pPr>
    </w:p>
    <w:p w14:paraId="28C92DB0">
      <w:pPr>
        <w:spacing w:line="580" w:lineRule="exact"/>
        <w:jc w:val="center"/>
        <w:outlineLvl w:val="9"/>
        <w:rPr>
          <w:rFonts w:ascii="宋体"/>
          <w:b/>
          <w:sz w:val="28"/>
        </w:rPr>
      </w:pPr>
    </w:p>
    <w:p w14:paraId="3BB18F66">
      <w:pPr>
        <w:spacing w:line="580" w:lineRule="exact"/>
        <w:jc w:val="center"/>
        <w:outlineLvl w:val="9"/>
        <w:rPr>
          <w:rFonts w:ascii="宋体"/>
          <w:b/>
          <w:sz w:val="28"/>
        </w:rPr>
      </w:pPr>
    </w:p>
    <w:p w14:paraId="3718AE96">
      <w:pPr>
        <w:spacing w:line="580" w:lineRule="exact"/>
        <w:jc w:val="center"/>
        <w:outlineLvl w:val="9"/>
        <w:rPr>
          <w:rFonts w:ascii="宋体"/>
          <w:b/>
          <w:sz w:val="28"/>
        </w:rPr>
      </w:pPr>
    </w:p>
    <w:p w14:paraId="51C4B6EF">
      <w:pPr>
        <w:spacing w:line="580" w:lineRule="exact"/>
        <w:jc w:val="center"/>
        <w:outlineLvl w:val="9"/>
        <w:rPr>
          <w:rFonts w:ascii="宋体"/>
          <w:b/>
          <w:sz w:val="28"/>
        </w:rPr>
      </w:pPr>
    </w:p>
    <w:p w14:paraId="6B26B06C">
      <w:pPr>
        <w:spacing w:line="580" w:lineRule="exact"/>
        <w:jc w:val="center"/>
        <w:outlineLvl w:val="9"/>
        <w:rPr>
          <w:rFonts w:ascii="宋体"/>
          <w:b/>
          <w:sz w:val="28"/>
        </w:rPr>
      </w:pPr>
    </w:p>
    <w:p w14:paraId="0F273B48">
      <w:pPr>
        <w:spacing w:line="580" w:lineRule="exact"/>
        <w:jc w:val="center"/>
        <w:outlineLvl w:val="9"/>
        <w:rPr>
          <w:rFonts w:ascii="宋体"/>
          <w:b/>
          <w:sz w:val="28"/>
        </w:rPr>
      </w:pPr>
    </w:p>
    <w:p w14:paraId="73A05ECD">
      <w:pPr>
        <w:spacing w:line="580" w:lineRule="exact"/>
        <w:jc w:val="center"/>
        <w:outlineLvl w:val="9"/>
        <w:rPr>
          <w:rFonts w:ascii="宋体"/>
          <w:b/>
          <w:sz w:val="28"/>
        </w:rPr>
      </w:pPr>
    </w:p>
    <w:p w14:paraId="2D0502F1">
      <w:pPr>
        <w:spacing w:line="580" w:lineRule="exact"/>
        <w:jc w:val="center"/>
        <w:outlineLvl w:val="9"/>
        <w:rPr>
          <w:rFonts w:ascii="宋体"/>
          <w:b/>
          <w:sz w:val="28"/>
        </w:rPr>
      </w:pPr>
    </w:p>
    <w:p w14:paraId="176DD0E2">
      <w:pPr>
        <w:spacing w:line="580" w:lineRule="exact"/>
        <w:jc w:val="center"/>
        <w:outlineLvl w:val="9"/>
        <w:rPr>
          <w:rFonts w:ascii="宋体"/>
          <w:b/>
          <w:sz w:val="28"/>
        </w:rPr>
      </w:pPr>
    </w:p>
    <w:p w14:paraId="7B8E8102">
      <w:pPr>
        <w:pStyle w:val="26"/>
        <w:rPr>
          <w:color w:val="auto"/>
        </w:rPr>
      </w:pP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宋体"/>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21723">
    <w:pPr>
      <w:pStyle w:val="4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E0589">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5DE0589">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1B7E">
    <w:pPr>
      <w:pStyle w:val="42"/>
      <w:jc w:val="center"/>
      <w:rPr>
        <w:rFonts w:ascii="仿宋_GB2312" w:eastAsia="仿宋_GB2312"/>
      </w:rPr>
    </w:pPr>
  </w:p>
  <w:p w14:paraId="07A186D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BA8A">
    <w:pPr>
      <w:pStyle w:val="42"/>
      <w:jc w:val="center"/>
      <w:rPr>
        <w:rFonts w:ascii="仿宋_GB2312" w:eastAsia="仿宋_GB2312"/>
      </w:rPr>
    </w:pPr>
  </w:p>
  <w:p w14:paraId="3FD64C6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E72C3">
    <w:pPr>
      <w:pStyle w:val="42"/>
      <w:jc w:val="center"/>
      <w:rPr>
        <w:rFonts w:ascii="仿宋_GB2312" w:eastAsia="仿宋_GB2312"/>
      </w:rPr>
    </w:pPr>
  </w:p>
  <w:p w14:paraId="2E49D958">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A35AB">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38346">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7038346">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A1E1CBC">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6A1E4">
    <w:pPr>
      <w:pStyle w:val="42"/>
      <w:jc w:val="center"/>
      <w:rPr>
        <w:rFonts w:ascii="仿宋_GB2312" w:eastAsia="仿宋_GB2312"/>
      </w:rPr>
    </w:pPr>
  </w:p>
  <w:p w14:paraId="281C95F1">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B51FE">
    <w:pPr>
      <w:pStyle w:val="42"/>
      <w:jc w:val="center"/>
      <w:rPr>
        <w:rFonts w:ascii="仿宋_GB2312" w:eastAsia="仿宋_GB2312"/>
      </w:rPr>
    </w:pPr>
  </w:p>
  <w:p w14:paraId="5FBD0DC3">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CF65F">
    <w:pPr>
      <w:rPr>
        <w:rFonts w:ascii="仿宋_GB2312" w:eastAsia="仿宋_GB23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CA05D">
    <w:pPr>
      <w:rPr>
        <w:rFonts w:ascii="仿宋_GB2312" w:eastAsia="仿宋_GB23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D5EE9">
    <w:pPr>
      <w:pStyle w:val="42"/>
      <w:rPr>
        <w:rFonts w:ascii="仿宋_GB2312" w:eastAsia="仿宋_GB2312"/>
        <w:szCs w:val="24"/>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E602E">
    <w:pPr>
      <w:pStyle w:val="42"/>
      <w:framePr w:wrap="around" w:vAnchor="text" w:hAnchor="margin" w:xAlign="right" w:y="1"/>
      <w:rPr>
        <w:rStyle w:val="74"/>
      </w:rPr>
    </w:pPr>
    <w:r>
      <w:fldChar w:fldCharType="begin"/>
    </w:r>
    <w:r>
      <w:rPr>
        <w:rStyle w:val="74"/>
      </w:rPr>
      <w:instrText xml:space="preserve">PAGE  </w:instrText>
    </w:r>
    <w:r>
      <w:fldChar w:fldCharType="end"/>
    </w:r>
  </w:p>
  <w:p w14:paraId="7C5C0C07">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862F4">
    <w:pPr>
      <w:pStyle w:val="42"/>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EF883">
    <w:pPr>
      <w:pStyle w:val="42"/>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12882">
    <w:pPr>
      <w:pStyle w:val="4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4B30D">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E8B11">
    <w:pPr>
      <w:pStyle w:val="42"/>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49FB0">
    <w:pPr>
      <w:pStyle w:val="42"/>
      <w:rPr>
        <w:rStyle w:val="74"/>
      </w:rPr>
    </w:pPr>
  </w:p>
  <w:p w14:paraId="319D968D">
    <w:pPr>
      <w:pStyle w:val="42"/>
      <w:ind w:right="36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3451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9E79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EB6F">
    <w:pPr>
      <w:pStyle w:val="42"/>
      <w:rPr>
        <w:rStyle w:val="74"/>
      </w:rPr>
    </w:pPr>
  </w:p>
  <w:p w14:paraId="0D7FB373">
    <w:pPr>
      <w:pStyle w:val="42"/>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B4C28">
    <w:pPr>
      <w:pStyle w:val="43"/>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5E040">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2D2C2">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F87EE">
    <w:pPr>
      <w:pStyle w:val="43"/>
      <w:pBdr>
        <w:bottom w:val="single" w:color="auto" w:sz="6"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E59BF476"/>
    <w:multiLevelType w:val="singleLevel"/>
    <w:tmpl w:val="E59BF476"/>
    <w:lvl w:ilvl="0" w:tentative="0">
      <w:start w:val="2"/>
      <w:numFmt w:val="decimal"/>
      <w:suff w:val="nothing"/>
      <w:lvlText w:val="%1、"/>
      <w:lvlJc w:val="left"/>
    </w:lvl>
  </w:abstractNum>
  <w:abstractNum w:abstractNumId="2">
    <w:nsid w:val="78FC7F2D"/>
    <w:multiLevelType w:val="singleLevel"/>
    <w:tmpl w:val="78FC7F2D"/>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YTY4YmQ4YjM4OTQyMmJhMDZlZGI2NTE0ZGM4OD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BF4"/>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DD"/>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32467"/>
    <w:rsid w:val="018A6E81"/>
    <w:rsid w:val="019F7441"/>
    <w:rsid w:val="01B37585"/>
    <w:rsid w:val="01C65DA5"/>
    <w:rsid w:val="01D55165"/>
    <w:rsid w:val="01DF6BF8"/>
    <w:rsid w:val="01EC2C57"/>
    <w:rsid w:val="025F0711"/>
    <w:rsid w:val="026B2E25"/>
    <w:rsid w:val="02824D4D"/>
    <w:rsid w:val="02DC4B10"/>
    <w:rsid w:val="02DD76CE"/>
    <w:rsid w:val="02F36323"/>
    <w:rsid w:val="02F5619C"/>
    <w:rsid w:val="0326446A"/>
    <w:rsid w:val="032D5555"/>
    <w:rsid w:val="036634D2"/>
    <w:rsid w:val="039270FA"/>
    <w:rsid w:val="03DD35E4"/>
    <w:rsid w:val="03F040A4"/>
    <w:rsid w:val="04076900"/>
    <w:rsid w:val="041A5A3B"/>
    <w:rsid w:val="042311BA"/>
    <w:rsid w:val="042B157A"/>
    <w:rsid w:val="0442423B"/>
    <w:rsid w:val="0466617C"/>
    <w:rsid w:val="046834D4"/>
    <w:rsid w:val="048F763B"/>
    <w:rsid w:val="049C3A1D"/>
    <w:rsid w:val="049F330E"/>
    <w:rsid w:val="04AA775C"/>
    <w:rsid w:val="04AF1889"/>
    <w:rsid w:val="04C64E6C"/>
    <w:rsid w:val="04F66F48"/>
    <w:rsid w:val="05130646"/>
    <w:rsid w:val="05133B34"/>
    <w:rsid w:val="05251E14"/>
    <w:rsid w:val="052B4829"/>
    <w:rsid w:val="056F4168"/>
    <w:rsid w:val="05A16594"/>
    <w:rsid w:val="05A7762D"/>
    <w:rsid w:val="05C23D03"/>
    <w:rsid w:val="060E5941"/>
    <w:rsid w:val="06110FAF"/>
    <w:rsid w:val="061E21DC"/>
    <w:rsid w:val="064504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9755ED"/>
    <w:rsid w:val="08A871D0"/>
    <w:rsid w:val="08D66AD6"/>
    <w:rsid w:val="08DA33A3"/>
    <w:rsid w:val="08E80F13"/>
    <w:rsid w:val="09335624"/>
    <w:rsid w:val="0944690F"/>
    <w:rsid w:val="09535675"/>
    <w:rsid w:val="095F057D"/>
    <w:rsid w:val="0961281F"/>
    <w:rsid w:val="09642282"/>
    <w:rsid w:val="09733572"/>
    <w:rsid w:val="09772C16"/>
    <w:rsid w:val="098353B5"/>
    <w:rsid w:val="09A92330"/>
    <w:rsid w:val="09B06B87"/>
    <w:rsid w:val="09C13146"/>
    <w:rsid w:val="09E04166"/>
    <w:rsid w:val="09F104A2"/>
    <w:rsid w:val="0A0C1573"/>
    <w:rsid w:val="0A1C0718"/>
    <w:rsid w:val="0A3E7710"/>
    <w:rsid w:val="0A5B7E63"/>
    <w:rsid w:val="0A703465"/>
    <w:rsid w:val="0AA374A5"/>
    <w:rsid w:val="0AAB7649"/>
    <w:rsid w:val="0ABC5606"/>
    <w:rsid w:val="0B30404E"/>
    <w:rsid w:val="0B49740F"/>
    <w:rsid w:val="0B4C6C14"/>
    <w:rsid w:val="0B547599"/>
    <w:rsid w:val="0B62154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022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6739F"/>
    <w:rsid w:val="0EB803EE"/>
    <w:rsid w:val="0EC62A3A"/>
    <w:rsid w:val="0EF94D4B"/>
    <w:rsid w:val="0F0D7F78"/>
    <w:rsid w:val="0F197A3E"/>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515ABE"/>
    <w:rsid w:val="118963A1"/>
    <w:rsid w:val="11C6522A"/>
    <w:rsid w:val="11D64215"/>
    <w:rsid w:val="11E104CC"/>
    <w:rsid w:val="11E20309"/>
    <w:rsid w:val="12255233"/>
    <w:rsid w:val="12530213"/>
    <w:rsid w:val="127723A9"/>
    <w:rsid w:val="12862074"/>
    <w:rsid w:val="12883966"/>
    <w:rsid w:val="129E45B4"/>
    <w:rsid w:val="12D81596"/>
    <w:rsid w:val="13072A44"/>
    <w:rsid w:val="134F26C3"/>
    <w:rsid w:val="135F4BE2"/>
    <w:rsid w:val="139B1A0A"/>
    <w:rsid w:val="139D25C7"/>
    <w:rsid w:val="13BF3CE4"/>
    <w:rsid w:val="13E722EB"/>
    <w:rsid w:val="141008D8"/>
    <w:rsid w:val="14125FE6"/>
    <w:rsid w:val="146D271E"/>
    <w:rsid w:val="14982588"/>
    <w:rsid w:val="149A5AD9"/>
    <w:rsid w:val="14A7619D"/>
    <w:rsid w:val="14CA451E"/>
    <w:rsid w:val="150536C3"/>
    <w:rsid w:val="150C1963"/>
    <w:rsid w:val="151447A0"/>
    <w:rsid w:val="152B4878"/>
    <w:rsid w:val="152D350D"/>
    <w:rsid w:val="153C7079"/>
    <w:rsid w:val="154A6454"/>
    <w:rsid w:val="15762120"/>
    <w:rsid w:val="16827971"/>
    <w:rsid w:val="16A8729C"/>
    <w:rsid w:val="16B33777"/>
    <w:rsid w:val="16BC70A7"/>
    <w:rsid w:val="16C6339E"/>
    <w:rsid w:val="172F2D79"/>
    <w:rsid w:val="17557BEF"/>
    <w:rsid w:val="17D349C1"/>
    <w:rsid w:val="1830729E"/>
    <w:rsid w:val="186D425C"/>
    <w:rsid w:val="1870062C"/>
    <w:rsid w:val="18817102"/>
    <w:rsid w:val="18830A15"/>
    <w:rsid w:val="18842C1C"/>
    <w:rsid w:val="18852B28"/>
    <w:rsid w:val="188B5321"/>
    <w:rsid w:val="19932372"/>
    <w:rsid w:val="19A20DD5"/>
    <w:rsid w:val="19AE03F1"/>
    <w:rsid w:val="19CF4CD9"/>
    <w:rsid w:val="19F32DFF"/>
    <w:rsid w:val="1A071A03"/>
    <w:rsid w:val="1A101D1C"/>
    <w:rsid w:val="1A1F16AE"/>
    <w:rsid w:val="1A3B5C77"/>
    <w:rsid w:val="1A5959E3"/>
    <w:rsid w:val="1A984BAD"/>
    <w:rsid w:val="1AB8220E"/>
    <w:rsid w:val="1AE4166C"/>
    <w:rsid w:val="1AF06CFB"/>
    <w:rsid w:val="1AF11B8D"/>
    <w:rsid w:val="1B11359C"/>
    <w:rsid w:val="1B2A271F"/>
    <w:rsid w:val="1B437186"/>
    <w:rsid w:val="1B530544"/>
    <w:rsid w:val="1B713184"/>
    <w:rsid w:val="1BA209CF"/>
    <w:rsid w:val="1BB22827"/>
    <w:rsid w:val="1BB4777D"/>
    <w:rsid w:val="1BD75AB8"/>
    <w:rsid w:val="1C0459C2"/>
    <w:rsid w:val="1C1B3B4A"/>
    <w:rsid w:val="1C2851EC"/>
    <w:rsid w:val="1C5306B7"/>
    <w:rsid w:val="1C7725CD"/>
    <w:rsid w:val="1C88086E"/>
    <w:rsid w:val="1D01483C"/>
    <w:rsid w:val="1D266CE1"/>
    <w:rsid w:val="1D3963AF"/>
    <w:rsid w:val="1D3D0FE5"/>
    <w:rsid w:val="1D6A673C"/>
    <w:rsid w:val="1D9247AE"/>
    <w:rsid w:val="1DB567EC"/>
    <w:rsid w:val="1DF51A98"/>
    <w:rsid w:val="1E3D060F"/>
    <w:rsid w:val="1E3F7D2E"/>
    <w:rsid w:val="1E4134E4"/>
    <w:rsid w:val="1E5062B3"/>
    <w:rsid w:val="1E523514"/>
    <w:rsid w:val="1E5310C7"/>
    <w:rsid w:val="1E714A66"/>
    <w:rsid w:val="1E802593"/>
    <w:rsid w:val="1E8B6156"/>
    <w:rsid w:val="1EA703CC"/>
    <w:rsid w:val="1EB7330C"/>
    <w:rsid w:val="1ED5641B"/>
    <w:rsid w:val="1F0A0FF3"/>
    <w:rsid w:val="1F5771FF"/>
    <w:rsid w:val="1F904124"/>
    <w:rsid w:val="1FE868A9"/>
    <w:rsid w:val="1FE91434"/>
    <w:rsid w:val="1FF372A9"/>
    <w:rsid w:val="20034907"/>
    <w:rsid w:val="20173E4B"/>
    <w:rsid w:val="204E48BC"/>
    <w:rsid w:val="205A4905"/>
    <w:rsid w:val="207B500C"/>
    <w:rsid w:val="208921B3"/>
    <w:rsid w:val="209634ED"/>
    <w:rsid w:val="20973DEB"/>
    <w:rsid w:val="20A7394C"/>
    <w:rsid w:val="20B26522"/>
    <w:rsid w:val="20B44310"/>
    <w:rsid w:val="20D504B9"/>
    <w:rsid w:val="211116EB"/>
    <w:rsid w:val="214D5F81"/>
    <w:rsid w:val="216133FC"/>
    <w:rsid w:val="21D56769"/>
    <w:rsid w:val="21E52EF3"/>
    <w:rsid w:val="21FB5D7B"/>
    <w:rsid w:val="22015E94"/>
    <w:rsid w:val="220B1C3D"/>
    <w:rsid w:val="221D1D20"/>
    <w:rsid w:val="22334A87"/>
    <w:rsid w:val="22400EBD"/>
    <w:rsid w:val="22BE6801"/>
    <w:rsid w:val="233500BF"/>
    <w:rsid w:val="23377FF7"/>
    <w:rsid w:val="236B425F"/>
    <w:rsid w:val="23836192"/>
    <w:rsid w:val="23901F29"/>
    <w:rsid w:val="239C0061"/>
    <w:rsid w:val="23AD1279"/>
    <w:rsid w:val="23B908A4"/>
    <w:rsid w:val="23E95BEF"/>
    <w:rsid w:val="23FD0064"/>
    <w:rsid w:val="23FF3873"/>
    <w:rsid w:val="245375B0"/>
    <w:rsid w:val="24642C0A"/>
    <w:rsid w:val="24B22173"/>
    <w:rsid w:val="24B95AD9"/>
    <w:rsid w:val="24BE24DA"/>
    <w:rsid w:val="24CF5825"/>
    <w:rsid w:val="24D663E6"/>
    <w:rsid w:val="24D77F2B"/>
    <w:rsid w:val="253112CC"/>
    <w:rsid w:val="25543821"/>
    <w:rsid w:val="25747884"/>
    <w:rsid w:val="258B00E2"/>
    <w:rsid w:val="25A917A6"/>
    <w:rsid w:val="25BE27CC"/>
    <w:rsid w:val="25F74A5C"/>
    <w:rsid w:val="261149DF"/>
    <w:rsid w:val="2628662C"/>
    <w:rsid w:val="262D45DE"/>
    <w:rsid w:val="26871DC8"/>
    <w:rsid w:val="26A53EF9"/>
    <w:rsid w:val="26A94201"/>
    <w:rsid w:val="26AB75C6"/>
    <w:rsid w:val="26AC274F"/>
    <w:rsid w:val="27044A29"/>
    <w:rsid w:val="27066751"/>
    <w:rsid w:val="271D34C8"/>
    <w:rsid w:val="276142BF"/>
    <w:rsid w:val="27783712"/>
    <w:rsid w:val="27907362"/>
    <w:rsid w:val="27A32D3A"/>
    <w:rsid w:val="28333E1D"/>
    <w:rsid w:val="28454BD6"/>
    <w:rsid w:val="28455253"/>
    <w:rsid w:val="28551971"/>
    <w:rsid w:val="285B1C53"/>
    <w:rsid w:val="287B4FB8"/>
    <w:rsid w:val="289F7086"/>
    <w:rsid w:val="28C32028"/>
    <w:rsid w:val="28CC490F"/>
    <w:rsid w:val="28D823EF"/>
    <w:rsid w:val="28DE40AA"/>
    <w:rsid w:val="292D2EF9"/>
    <w:rsid w:val="29345E77"/>
    <w:rsid w:val="294C65AD"/>
    <w:rsid w:val="29806583"/>
    <w:rsid w:val="298B3C4C"/>
    <w:rsid w:val="29F26D24"/>
    <w:rsid w:val="2A15033F"/>
    <w:rsid w:val="2A1662C1"/>
    <w:rsid w:val="2A1C7367"/>
    <w:rsid w:val="2A2815FA"/>
    <w:rsid w:val="2A6D6092"/>
    <w:rsid w:val="2A7D76B4"/>
    <w:rsid w:val="2AD252BB"/>
    <w:rsid w:val="2B2142FB"/>
    <w:rsid w:val="2B437463"/>
    <w:rsid w:val="2B7807EE"/>
    <w:rsid w:val="2BA50BF7"/>
    <w:rsid w:val="2BBF00EC"/>
    <w:rsid w:val="2BC37CFD"/>
    <w:rsid w:val="2BD5237F"/>
    <w:rsid w:val="2BE536CE"/>
    <w:rsid w:val="2BE758D9"/>
    <w:rsid w:val="2C09049E"/>
    <w:rsid w:val="2C0A653C"/>
    <w:rsid w:val="2C191F85"/>
    <w:rsid w:val="2CE82D6F"/>
    <w:rsid w:val="2CF00928"/>
    <w:rsid w:val="2D1C4D7A"/>
    <w:rsid w:val="2D343236"/>
    <w:rsid w:val="2DD15014"/>
    <w:rsid w:val="2DF72DE4"/>
    <w:rsid w:val="2E0220AF"/>
    <w:rsid w:val="2E4B082A"/>
    <w:rsid w:val="2E5D4E86"/>
    <w:rsid w:val="2E5D790B"/>
    <w:rsid w:val="2E9A3C18"/>
    <w:rsid w:val="2EBB0FEE"/>
    <w:rsid w:val="2EC63002"/>
    <w:rsid w:val="2F0A6B38"/>
    <w:rsid w:val="2F2754C6"/>
    <w:rsid w:val="2F3B1006"/>
    <w:rsid w:val="2F946CCB"/>
    <w:rsid w:val="2FD25781"/>
    <w:rsid w:val="2FDC745C"/>
    <w:rsid w:val="2FE57FED"/>
    <w:rsid w:val="2FFD7934"/>
    <w:rsid w:val="30114A10"/>
    <w:rsid w:val="30733ACD"/>
    <w:rsid w:val="308C3862"/>
    <w:rsid w:val="309379D8"/>
    <w:rsid w:val="30A270F7"/>
    <w:rsid w:val="30B242F4"/>
    <w:rsid w:val="30DF1478"/>
    <w:rsid w:val="30EC586F"/>
    <w:rsid w:val="31946079"/>
    <w:rsid w:val="319C6071"/>
    <w:rsid w:val="31A11ECE"/>
    <w:rsid w:val="31AC537E"/>
    <w:rsid w:val="31E3679B"/>
    <w:rsid w:val="31E732FD"/>
    <w:rsid w:val="31EF5153"/>
    <w:rsid w:val="32517576"/>
    <w:rsid w:val="32A4367F"/>
    <w:rsid w:val="32A72AB9"/>
    <w:rsid w:val="32BE5C2C"/>
    <w:rsid w:val="32D63C1D"/>
    <w:rsid w:val="32E2254A"/>
    <w:rsid w:val="32E267BA"/>
    <w:rsid w:val="32FB6478"/>
    <w:rsid w:val="332410BB"/>
    <w:rsid w:val="33263B3F"/>
    <w:rsid w:val="336963EB"/>
    <w:rsid w:val="33816EEB"/>
    <w:rsid w:val="33A24874"/>
    <w:rsid w:val="33EB55CD"/>
    <w:rsid w:val="33EC4C02"/>
    <w:rsid w:val="340D2360"/>
    <w:rsid w:val="3410665D"/>
    <w:rsid w:val="34211214"/>
    <w:rsid w:val="342E63AB"/>
    <w:rsid w:val="34950E68"/>
    <w:rsid w:val="34986E94"/>
    <w:rsid w:val="34AF62C9"/>
    <w:rsid w:val="34CB4388"/>
    <w:rsid w:val="34D07590"/>
    <w:rsid w:val="34F528D3"/>
    <w:rsid w:val="34FA6E12"/>
    <w:rsid w:val="354D7158"/>
    <w:rsid w:val="358D5588"/>
    <w:rsid w:val="35EF127D"/>
    <w:rsid w:val="363A3B40"/>
    <w:rsid w:val="365302AE"/>
    <w:rsid w:val="36607A0A"/>
    <w:rsid w:val="366E227C"/>
    <w:rsid w:val="366F2E0D"/>
    <w:rsid w:val="367B6A5C"/>
    <w:rsid w:val="36A74ADA"/>
    <w:rsid w:val="36A93251"/>
    <w:rsid w:val="36AD60D5"/>
    <w:rsid w:val="36B224F9"/>
    <w:rsid w:val="36EC0CC9"/>
    <w:rsid w:val="370A7A68"/>
    <w:rsid w:val="373F410B"/>
    <w:rsid w:val="37EE7094"/>
    <w:rsid w:val="38296C89"/>
    <w:rsid w:val="383002EB"/>
    <w:rsid w:val="38586797"/>
    <w:rsid w:val="38BC0149"/>
    <w:rsid w:val="38D87D1C"/>
    <w:rsid w:val="38DA78B3"/>
    <w:rsid w:val="39636459"/>
    <w:rsid w:val="396B7F6C"/>
    <w:rsid w:val="39B417A9"/>
    <w:rsid w:val="39C1487F"/>
    <w:rsid w:val="39C276B0"/>
    <w:rsid w:val="39F46D6D"/>
    <w:rsid w:val="39FC5695"/>
    <w:rsid w:val="3A006D8E"/>
    <w:rsid w:val="3A204F94"/>
    <w:rsid w:val="3A287155"/>
    <w:rsid w:val="3A3651E5"/>
    <w:rsid w:val="3A744481"/>
    <w:rsid w:val="3A8C7BEF"/>
    <w:rsid w:val="3A906246"/>
    <w:rsid w:val="3B0651CC"/>
    <w:rsid w:val="3B2349B7"/>
    <w:rsid w:val="3B4923EF"/>
    <w:rsid w:val="3B616CFF"/>
    <w:rsid w:val="3B6259F6"/>
    <w:rsid w:val="3B8C62D6"/>
    <w:rsid w:val="3B976654"/>
    <w:rsid w:val="3BC01EFC"/>
    <w:rsid w:val="3BCA6273"/>
    <w:rsid w:val="3BCA786A"/>
    <w:rsid w:val="3BD31E2F"/>
    <w:rsid w:val="3BF15831"/>
    <w:rsid w:val="3C033CD5"/>
    <w:rsid w:val="3C105946"/>
    <w:rsid w:val="3C471448"/>
    <w:rsid w:val="3C5F759A"/>
    <w:rsid w:val="3C6C525A"/>
    <w:rsid w:val="3C9506A5"/>
    <w:rsid w:val="3CCE23CB"/>
    <w:rsid w:val="3CD17D17"/>
    <w:rsid w:val="3CDD05E4"/>
    <w:rsid w:val="3CFC316F"/>
    <w:rsid w:val="3D180278"/>
    <w:rsid w:val="3D3C7F39"/>
    <w:rsid w:val="3D440F09"/>
    <w:rsid w:val="3D4504A0"/>
    <w:rsid w:val="3D52557F"/>
    <w:rsid w:val="3D8734BB"/>
    <w:rsid w:val="3D9A11D4"/>
    <w:rsid w:val="3D9B1CEB"/>
    <w:rsid w:val="3DA16D89"/>
    <w:rsid w:val="3DA364BE"/>
    <w:rsid w:val="3DA908AC"/>
    <w:rsid w:val="3DAE5CD1"/>
    <w:rsid w:val="3DBA4867"/>
    <w:rsid w:val="3DE041CB"/>
    <w:rsid w:val="3E0D48F6"/>
    <w:rsid w:val="3E1868B4"/>
    <w:rsid w:val="3E377251"/>
    <w:rsid w:val="3E42664B"/>
    <w:rsid w:val="3E52252B"/>
    <w:rsid w:val="3E5A7334"/>
    <w:rsid w:val="3E7B5D6B"/>
    <w:rsid w:val="3E843E66"/>
    <w:rsid w:val="3E8F51FE"/>
    <w:rsid w:val="3E926F87"/>
    <w:rsid w:val="3E9A59DE"/>
    <w:rsid w:val="3EAF4836"/>
    <w:rsid w:val="3EC33DFA"/>
    <w:rsid w:val="3F060E16"/>
    <w:rsid w:val="3F0D7BA5"/>
    <w:rsid w:val="3F1D1096"/>
    <w:rsid w:val="3F2F0234"/>
    <w:rsid w:val="3F6363FE"/>
    <w:rsid w:val="3F677511"/>
    <w:rsid w:val="3F756B8F"/>
    <w:rsid w:val="3F95482B"/>
    <w:rsid w:val="4019356B"/>
    <w:rsid w:val="40592157"/>
    <w:rsid w:val="406E1CAE"/>
    <w:rsid w:val="40A0133A"/>
    <w:rsid w:val="40C31A53"/>
    <w:rsid w:val="40FF545D"/>
    <w:rsid w:val="410067C8"/>
    <w:rsid w:val="416176D3"/>
    <w:rsid w:val="418F0D2A"/>
    <w:rsid w:val="41C02778"/>
    <w:rsid w:val="41D01505"/>
    <w:rsid w:val="41D0669D"/>
    <w:rsid w:val="42474939"/>
    <w:rsid w:val="424C3C57"/>
    <w:rsid w:val="42613FF3"/>
    <w:rsid w:val="42660D96"/>
    <w:rsid w:val="428471F1"/>
    <w:rsid w:val="428667D2"/>
    <w:rsid w:val="42CD1CE0"/>
    <w:rsid w:val="42E1381E"/>
    <w:rsid w:val="42ED6459"/>
    <w:rsid w:val="42FE58DD"/>
    <w:rsid w:val="43174B3D"/>
    <w:rsid w:val="434B790E"/>
    <w:rsid w:val="4360274F"/>
    <w:rsid w:val="43977AB6"/>
    <w:rsid w:val="43A3342B"/>
    <w:rsid w:val="43B9785C"/>
    <w:rsid w:val="43C77C27"/>
    <w:rsid w:val="43DE09EE"/>
    <w:rsid w:val="44002FAD"/>
    <w:rsid w:val="441C37AA"/>
    <w:rsid w:val="449101DD"/>
    <w:rsid w:val="44DE1391"/>
    <w:rsid w:val="44ED1D47"/>
    <w:rsid w:val="451B225C"/>
    <w:rsid w:val="452410C9"/>
    <w:rsid w:val="45317DFB"/>
    <w:rsid w:val="456D3CE4"/>
    <w:rsid w:val="4579042C"/>
    <w:rsid w:val="457F0571"/>
    <w:rsid w:val="45837C34"/>
    <w:rsid w:val="45851176"/>
    <w:rsid w:val="45C55BC2"/>
    <w:rsid w:val="45C63B94"/>
    <w:rsid w:val="45FC088E"/>
    <w:rsid w:val="460E7DA5"/>
    <w:rsid w:val="46422483"/>
    <w:rsid w:val="4659254A"/>
    <w:rsid w:val="465B0637"/>
    <w:rsid w:val="465E3F0D"/>
    <w:rsid w:val="466A16E6"/>
    <w:rsid w:val="46893F2B"/>
    <w:rsid w:val="46C444E6"/>
    <w:rsid w:val="46C4686E"/>
    <w:rsid w:val="47413903"/>
    <w:rsid w:val="477B778F"/>
    <w:rsid w:val="478203EC"/>
    <w:rsid w:val="47B025FA"/>
    <w:rsid w:val="47D26740"/>
    <w:rsid w:val="47E714A4"/>
    <w:rsid w:val="47E83AA5"/>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89333F"/>
    <w:rsid w:val="49B64211"/>
    <w:rsid w:val="49D41AAC"/>
    <w:rsid w:val="49F6167F"/>
    <w:rsid w:val="4A064FA0"/>
    <w:rsid w:val="4A16615C"/>
    <w:rsid w:val="4A331881"/>
    <w:rsid w:val="4A4424D7"/>
    <w:rsid w:val="4AB82D0F"/>
    <w:rsid w:val="4AEB7664"/>
    <w:rsid w:val="4AFD7C19"/>
    <w:rsid w:val="4B0567D1"/>
    <w:rsid w:val="4B236AAE"/>
    <w:rsid w:val="4B2F799D"/>
    <w:rsid w:val="4B707271"/>
    <w:rsid w:val="4B9739F7"/>
    <w:rsid w:val="4BE24CDB"/>
    <w:rsid w:val="4BEE2503"/>
    <w:rsid w:val="4BF727EA"/>
    <w:rsid w:val="4C245A30"/>
    <w:rsid w:val="4C705E74"/>
    <w:rsid w:val="4CB6685F"/>
    <w:rsid w:val="4CC367FE"/>
    <w:rsid w:val="4CC64BB3"/>
    <w:rsid w:val="4D077F3C"/>
    <w:rsid w:val="4D123355"/>
    <w:rsid w:val="4D1A70D0"/>
    <w:rsid w:val="4D2A3B31"/>
    <w:rsid w:val="4D312C52"/>
    <w:rsid w:val="4D324C46"/>
    <w:rsid w:val="4D905305"/>
    <w:rsid w:val="4D964A72"/>
    <w:rsid w:val="4D9C1254"/>
    <w:rsid w:val="4D9E5B15"/>
    <w:rsid w:val="4DC112FA"/>
    <w:rsid w:val="4DD90810"/>
    <w:rsid w:val="4E280B2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63138"/>
    <w:rsid w:val="510D65B7"/>
    <w:rsid w:val="511157AB"/>
    <w:rsid w:val="5142540C"/>
    <w:rsid w:val="518832C8"/>
    <w:rsid w:val="519D3C50"/>
    <w:rsid w:val="51A0432A"/>
    <w:rsid w:val="51A86090"/>
    <w:rsid w:val="51B7396D"/>
    <w:rsid w:val="51D530C3"/>
    <w:rsid w:val="522E4CC3"/>
    <w:rsid w:val="5244713B"/>
    <w:rsid w:val="52615633"/>
    <w:rsid w:val="526F4DE4"/>
    <w:rsid w:val="52977FD4"/>
    <w:rsid w:val="529A70C8"/>
    <w:rsid w:val="52A25790"/>
    <w:rsid w:val="52A96B6F"/>
    <w:rsid w:val="52B45975"/>
    <w:rsid w:val="52D94AA4"/>
    <w:rsid w:val="52E31D12"/>
    <w:rsid w:val="52EA3A62"/>
    <w:rsid w:val="52F50BB8"/>
    <w:rsid w:val="53097272"/>
    <w:rsid w:val="534C1537"/>
    <w:rsid w:val="53544462"/>
    <w:rsid w:val="5397158E"/>
    <w:rsid w:val="53E325D5"/>
    <w:rsid w:val="54013861"/>
    <w:rsid w:val="54487265"/>
    <w:rsid w:val="544D6070"/>
    <w:rsid w:val="54605E1E"/>
    <w:rsid w:val="54820229"/>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33E57"/>
    <w:rsid w:val="55A63625"/>
    <w:rsid w:val="55A8376B"/>
    <w:rsid w:val="55DC29B6"/>
    <w:rsid w:val="55DD4241"/>
    <w:rsid w:val="564A4462"/>
    <w:rsid w:val="566B6D1E"/>
    <w:rsid w:val="56FE5CEA"/>
    <w:rsid w:val="57032A2C"/>
    <w:rsid w:val="570F5219"/>
    <w:rsid w:val="57152B6F"/>
    <w:rsid w:val="571C16A5"/>
    <w:rsid w:val="572E78E5"/>
    <w:rsid w:val="575D12B5"/>
    <w:rsid w:val="57610A87"/>
    <w:rsid w:val="576D2B95"/>
    <w:rsid w:val="577B1140"/>
    <w:rsid w:val="577B7F21"/>
    <w:rsid w:val="577F181B"/>
    <w:rsid w:val="57921984"/>
    <w:rsid w:val="579737F0"/>
    <w:rsid w:val="57AB7B30"/>
    <w:rsid w:val="57AF5251"/>
    <w:rsid w:val="57B26373"/>
    <w:rsid w:val="57B63F04"/>
    <w:rsid w:val="57C87729"/>
    <w:rsid w:val="57CD20C2"/>
    <w:rsid w:val="57D675AB"/>
    <w:rsid w:val="57D95FDD"/>
    <w:rsid w:val="58214078"/>
    <w:rsid w:val="58917D2F"/>
    <w:rsid w:val="5894085C"/>
    <w:rsid w:val="58AE4F0C"/>
    <w:rsid w:val="58B85899"/>
    <w:rsid w:val="58E363A9"/>
    <w:rsid w:val="591E264C"/>
    <w:rsid w:val="595E1678"/>
    <w:rsid w:val="596D5BD4"/>
    <w:rsid w:val="597E3DD8"/>
    <w:rsid w:val="59C002C1"/>
    <w:rsid w:val="59F80043"/>
    <w:rsid w:val="5A09252F"/>
    <w:rsid w:val="5A0B2778"/>
    <w:rsid w:val="5A2A7C7B"/>
    <w:rsid w:val="5A3E2560"/>
    <w:rsid w:val="5A5D3B6E"/>
    <w:rsid w:val="5A637A76"/>
    <w:rsid w:val="5A671C0F"/>
    <w:rsid w:val="5A6D33BA"/>
    <w:rsid w:val="5A792B1F"/>
    <w:rsid w:val="5A874767"/>
    <w:rsid w:val="5AA85BE2"/>
    <w:rsid w:val="5AAD6F28"/>
    <w:rsid w:val="5ABE2749"/>
    <w:rsid w:val="5AD63A24"/>
    <w:rsid w:val="5AE51A4D"/>
    <w:rsid w:val="5B2E1A1D"/>
    <w:rsid w:val="5B6A67B3"/>
    <w:rsid w:val="5B843A1C"/>
    <w:rsid w:val="5B873E3F"/>
    <w:rsid w:val="5C02690E"/>
    <w:rsid w:val="5C146BA2"/>
    <w:rsid w:val="5C196DA7"/>
    <w:rsid w:val="5C25514A"/>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50EF3"/>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2FE7F77"/>
    <w:rsid w:val="63024505"/>
    <w:rsid w:val="635600A5"/>
    <w:rsid w:val="635B1DB5"/>
    <w:rsid w:val="63711FED"/>
    <w:rsid w:val="63880DDC"/>
    <w:rsid w:val="638D750D"/>
    <w:rsid w:val="63AC6CC0"/>
    <w:rsid w:val="63D7141F"/>
    <w:rsid w:val="63F23480"/>
    <w:rsid w:val="64055776"/>
    <w:rsid w:val="641D689F"/>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B860BE"/>
    <w:rsid w:val="67112C4A"/>
    <w:rsid w:val="672F3F24"/>
    <w:rsid w:val="673E055F"/>
    <w:rsid w:val="67551CE3"/>
    <w:rsid w:val="67982C74"/>
    <w:rsid w:val="67A22552"/>
    <w:rsid w:val="67B22DCC"/>
    <w:rsid w:val="67BE71AA"/>
    <w:rsid w:val="67CF7323"/>
    <w:rsid w:val="67D90273"/>
    <w:rsid w:val="67DE5875"/>
    <w:rsid w:val="67E55852"/>
    <w:rsid w:val="67EB1AB4"/>
    <w:rsid w:val="67FA1285"/>
    <w:rsid w:val="681B2C9C"/>
    <w:rsid w:val="68551F4F"/>
    <w:rsid w:val="687C10C9"/>
    <w:rsid w:val="68840C16"/>
    <w:rsid w:val="68876EFB"/>
    <w:rsid w:val="68884654"/>
    <w:rsid w:val="689F444F"/>
    <w:rsid w:val="68AC0F71"/>
    <w:rsid w:val="68B96DBB"/>
    <w:rsid w:val="68C922C9"/>
    <w:rsid w:val="68CA2805"/>
    <w:rsid w:val="68E937A3"/>
    <w:rsid w:val="68FB149A"/>
    <w:rsid w:val="693E15D3"/>
    <w:rsid w:val="69627681"/>
    <w:rsid w:val="6977531D"/>
    <w:rsid w:val="69CC2BFF"/>
    <w:rsid w:val="69FD55B8"/>
    <w:rsid w:val="6A0B1C62"/>
    <w:rsid w:val="6A2406C8"/>
    <w:rsid w:val="6A9A1ADF"/>
    <w:rsid w:val="6AC5539F"/>
    <w:rsid w:val="6ADE0BD1"/>
    <w:rsid w:val="6AE81378"/>
    <w:rsid w:val="6AE96859"/>
    <w:rsid w:val="6B147746"/>
    <w:rsid w:val="6B24787C"/>
    <w:rsid w:val="6B2D7B77"/>
    <w:rsid w:val="6B573233"/>
    <w:rsid w:val="6B5B6274"/>
    <w:rsid w:val="6B935D53"/>
    <w:rsid w:val="6C1316F7"/>
    <w:rsid w:val="6C196F71"/>
    <w:rsid w:val="6C226FCB"/>
    <w:rsid w:val="6C31226F"/>
    <w:rsid w:val="6C4B6506"/>
    <w:rsid w:val="6C517EC7"/>
    <w:rsid w:val="6C552F0B"/>
    <w:rsid w:val="6C8C67B7"/>
    <w:rsid w:val="6C9D744C"/>
    <w:rsid w:val="6D131A02"/>
    <w:rsid w:val="6D167928"/>
    <w:rsid w:val="6D26299B"/>
    <w:rsid w:val="6D274616"/>
    <w:rsid w:val="6D4772EC"/>
    <w:rsid w:val="6D595482"/>
    <w:rsid w:val="6D9078AF"/>
    <w:rsid w:val="6D9B0294"/>
    <w:rsid w:val="6DAA3FEF"/>
    <w:rsid w:val="6DC0172B"/>
    <w:rsid w:val="6DCB690C"/>
    <w:rsid w:val="6DD41A5B"/>
    <w:rsid w:val="6DEA61F3"/>
    <w:rsid w:val="6DF43C2E"/>
    <w:rsid w:val="6DF51CA3"/>
    <w:rsid w:val="6E8335BD"/>
    <w:rsid w:val="6E8E12EF"/>
    <w:rsid w:val="6E972936"/>
    <w:rsid w:val="6ED446C5"/>
    <w:rsid w:val="6EEA1354"/>
    <w:rsid w:val="6F2A7D94"/>
    <w:rsid w:val="6F472EA6"/>
    <w:rsid w:val="6F8331F1"/>
    <w:rsid w:val="6FAE1A09"/>
    <w:rsid w:val="6FD75BF8"/>
    <w:rsid w:val="7064037D"/>
    <w:rsid w:val="707723D0"/>
    <w:rsid w:val="70DE37C7"/>
    <w:rsid w:val="70F5661B"/>
    <w:rsid w:val="71360107"/>
    <w:rsid w:val="713B688E"/>
    <w:rsid w:val="7148279F"/>
    <w:rsid w:val="71D43752"/>
    <w:rsid w:val="71EE7BD5"/>
    <w:rsid w:val="71F1796A"/>
    <w:rsid w:val="71FB63D5"/>
    <w:rsid w:val="72154626"/>
    <w:rsid w:val="72262B5D"/>
    <w:rsid w:val="72283FF7"/>
    <w:rsid w:val="722E7212"/>
    <w:rsid w:val="723A0474"/>
    <w:rsid w:val="725923E4"/>
    <w:rsid w:val="72713EF3"/>
    <w:rsid w:val="72864BF7"/>
    <w:rsid w:val="729023FC"/>
    <w:rsid w:val="73050897"/>
    <w:rsid w:val="73532145"/>
    <w:rsid w:val="73776704"/>
    <w:rsid w:val="73A455B8"/>
    <w:rsid w:val="73C0646E"/>
    <w:rsid w:val="742222F5"/>
    <w:rsid w:val="74476126"/>
    <w:rsid w:val="74706664"/>
    <w:rsid w:val="747F3682"/>
    <w:rsid w:val="749C4185"/>
    <w:rsid w:val="74E54950"/>
    <w:rsid w:val="75067759"/>
    <w:rsid w:val="752E6DCD"/>
    <w:rsid w:val="753D4E5A"/>
    <w:rsid w:val="7551380D"/>
    <w:rsid w:val="755D394A"/>
    <w:rsid w:val="75600BE5"/>
    <w:rsid w:val="7564475C"/>
    <w:rsid w:val="7583797F"/>
    <w:rsid w:val="75D20F1D"/>
    <w:rsid w:val="75DA2C18"/>
    <w:rsid w:val="75DA599F"/>
    <w:rsid w:val="75F54412"/>
    <w:rsid w:val="761D08E0"/>
    <w:rsid w:val="765D347C"/>
    <w:rsid w:val="76826699"/>
    <w:rsid w:val="76A41635"/>
    <w:rsid w:val="76C87133"/>
    <w:rsid w:val="76CD08D5"/>
    <w:rsid w:val="76DB4B92"/>
    <w:rsid w:val="77052AA4"/>
    <w:rsid w:val="77067A27"/>
    <w:rsid w:val="77136511"/>
    <w:rsid w:val="7727426B"/>
    <w:rsid w:val="77340A39"/>
    <w:rsid w:val="77351FD0"/>
    <w:rsid w:val="77472422"/>
    <w:rsid w:val="777F31F2"/>
    <w:rsid w:val="77D1700D"/>
    <w:rsid w:val="77EC04CC"/>
    <w:rsid w:val="77ED5D18"/>
    <w:rsid w:val="78775729"/>
    <w:rsid w:val="788A6312"/>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007F65"/>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56F2D"/>
    <w:rsid w:val="7C590818"/>
    <w:rsid w:val="7C7C10F6"/>
    <w:rsid w:val="7C853BEA"/>
    <w:rsid w:val="7C881368"/>
    <w:rsid w:val="7C887303"/>
    <w:rsid w:val="7C940508"/>
    <w:rsid w:val="7CD564F7"/>
    <w:rsid w:val="7CE27788"/>
    <w:rsid w:val="7D0C32F1"/>
    <w:rsid w:val="7D0F408D"/>
    <w:rsid w:val="7D491C6C"/>
    <w:rsid w:val="7D5429C0"/>
    <w:rsid w:val="7D6E6D43"/>
    <w:rsid w:val="7D853842"/>
    <w:rsid w:val="7DB201D3"/>
    <w:rsid w:val="7DB57A34"/>
    <w:rsid w:val="7DE60973"/>
    <w:rsid w:val="7DEF0916"/>
    <w:rsid w:val="7E0B1F99"/>
    <w:rsid w:val="7E1E5218"/>
    <w:rsid w:val="7E6C679B"/>
    <w:rsid w:val="7E9A4E1F"/>
    <w:rsid w:val="7EA7723A"/>
    <w:rsid w:val="7EF56FBB"/>
    <w:rsid w:val="7F0768EB"/>
    <w:rsid w:val="7F143BEC"/>
    <w:rsid w:val="7F362021"/>
    <w:rsid w:val="7F715AF2"/>
    <w:rsid w:val="7F7B47F9"/>
    <w:rsid w:val="7F813F0D"/>
    <w:rsid w:val="7F886E69"/>
    <w:rsid w:val="7FB865C7"/>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autoRedefine/>
    <w:qFormat/>
    <w:uiPriority w:val="0"/>
    <w:pPr>
      <w:ind w:firstLine="420"/>
    </w:pPr>
    <w:rPr>
      <w:rFonts w:ascii="Times New Roman" w:hAnsi="Times New Roman" w:cs="宋体"/>
    </w:rPr>
  </w:style>
  <w:style w:type="paragraph" w:customStyle="1" w:styleId="3">
    <w:name w:val="Body Text Indent1"/>
    <w:basedOn w:val="1"/>
    <w:next w:val="1"/>
    <w:autoRedefine/>
    <w:qFormat/>
    <w:uiPriority w:val="0"/>
    <w:pPr>
      <w:spacing w:after="120"/>
      <w:ind w:left="420" w:leftChars="200"/>
    </w:pPr>
    <w:rPr>
      <w:color w:val="000000"/>
      <w:szCs w:val="21"/>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0"/>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3"/>
    <w:autoRedefine/>
    <w:qFormat/>
    <w:uiPriority w:val="0"/>
    <w:pPr>
      <w:shd w:val="clear" w:color="auto" w:fill="000080"/>
    </w:pPr>
  </w:style>
  <w:style w:type="paragraph" w:styleId="21">
    <w:name w:val="annotation text"/>
    <w:basedOn w:val="1"/>
    <w:link w:val="345"/>
    <w:autoRedefine/>
    <w:qFormat/>
    <w:uiPriority w:val="99"/>
    <w:pPr>
      <w:jc w:val="left"/>
    </w:pPr>
  </w:style>
  <w:style w:type="paragraph" w:styleId="22">
    <w:name w:val="Salutation"/>
    <w:basedOn w:val="1"/>
    <w:next w:val="1"/>
    <w:link w:val="299"/>
    <w:autoRedefine/>
    <w:qFormat/>
    <w:uiPriority w:val="0"/>
    <w:rPr>
      <w:rFonts w:ascii="仿宋_GB2312" w:eastAsia="仿宋_GB2312"/>
      <w:sz w:val="28"/>
      <w:szCs w:val="20"/>
    </w:rPr>
  </w:style>
  <w:style w:type="paragraph" w:styleId="23">
    <w:name w:val="Body Text 3"/>
    <w:basedOn w:val="1"/>
    <w:link w:val="331"/>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6"/>
    <w:autoRedefine/>
    <w:qFormat/>
    <w:uiPriority w:val="0"/>
    <w:rPr>
      <w:rFonts w:ascii="宋体" w:hAnsi="Courier New" w:cs="Arial"/>
      <w:snapToGrid w:val="0"/>
      <w:szCs w:val="21"/>
    </w:rPr>
  </w:style>
  <w:style w:type="paragraph" w:styleId="35">
    <w:name w:val="toc 2"/>
    <w:basedOn w:val="1"/>
    <w:next w:val="1"/>
    <w:autoRedefine/>
    <w:qFormat/>
    <w:uiPriority w:val="0"/>
    <w:pPr>
      <w:ind w:left="420" w:leftChars="200"/>
    </w:p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2"/>
    <w:autoRedefine/>
    <w:qFormat/>
    <w:uiPriority w:val="0"/>
    <w:pPr>
      <w:ind w:left="100" w:leftChars="2500"/>
    </w:pPr>
    <w:rPr>
      <w:rFonts w:ascii="宋体"/>
      <w:sz w:val="24"/>
      <w:szCs w:val="21"/>
      <w:lang w:val="zh-CN"/>
    </w:rPr>
  </w:style>
  <w:style w:type="paragraph" w:styleId="39">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3"/>
    <w:autoRedefine/>
    <w:qFormat/>
    <w:uiPriority w:val="0"/>
    <w:rPr>
      <w:lang w:val="zh-CN"/>
    </w:rPr>
  </w:style>
  <w:style w:type="paragraph" w:styleId="41">
    <w:name w:val="Balloon Text"/>
    <w:basedOn w:val="1"/>
    <w:link w:val="189"/>
    <w:autoRedefine/>
    <w:qFormat/>
    <w:uiPriority w:val="0"/>
    <w:rPr>
      <w:sz w:val="18"/>
      <w:szCs w:val="18"/>
    </w:rPr>
  </w:style>
  <w:style w:type="paragraph" w:styleId="42">
    <w:name w:val="footer"/>
    <w:basedOn w:val="1"/>
    <w:link w:val="384"/>
    <w:autoRedefine/>
    <w:qFormat/>
    <w:uiPriority w:val="99"/>
    <w:pPr>
      <w:tabs>
        <w:tab w:val="center" w:pos="4153"/>
        <w:tab w:val="right" w:pos="8306"/>
      </w:tabs>
      <w:snapToGrid w:val="0"/>
      <w:jc w:val="left"/>
    </w:pPr>
    <w:rPr>
      <w:sz w:val="18"/>
      <w:szCs w:val="18"/>
    </w:rPr>
  </w:style>
  <w:style w:type="paragraph" w:styleId="43">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7"/>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6"/>
    <w:autoRedefine/>
    <w:qFormat/>
    <w:uiPriority w:val="0"/>
    <w:pPr>
      <w:spacing w:line="360" w:lineRule="auto"/>
      <w:ind w:firstLine="420"/>
    </w:pPr>
    <w:rPr>
      <w:sz w:val="24"/>
      <w:szCs w:val="20"/>
    </w:r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autoRedefine/>
    <w:qFormat/>
    <w:uiPriority w:val="0"/>
    <w:rPr>
      <w:b/>
      <w:bCs/>
    </w:rPr>
  </w:style>
  <w:style w:type="paragraph" w:styleId="62">
    <w:name w:val="Body Text First Indent"/>
    <w:basedOn w:val="25"/>
    <w:next w:val="1"/>
    <w:link w:val="322"/>
    <w:autoRedefine/>
    <w:qFormat/>
    <w:uiPriority w:val="0"/>
    <w:pPr>
      <w:ind w:firstLine="420"/>
    </w:pPr>
    <w:rPr>
      <w:rFonts w:hAnsi="Calibri" w:cs="Times New Roman"/>
      <w:snapToGrid/>
      <w:szCs w:val="20"/>
    </w:rPr>
  </w:style>
  <w:style w:type="paragraph" w:styleId="63">
    <w:name w:val="Body Text First Indent 2"/>
    <w:basedOn w:val="26"/>
    <w:link w:val="122"/>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List Paragraph"/>
    <w:basedOn w:val="1"/>
    <w:autoRedefine/>
    <w:qFormat/>
    <w:uiPriority w:val="0"/>
    <w:pPr>
      <w:ind w:firstLine="420" w:firstLineChars="200"/>
    </w:pPr>
    <w:rPr>
      <w:rFonts w:ascii="Calibri" w:hAnsi="Calibri"/>
      <w:szCs w:val="22"/>
    </w:rPr>
  </w:style>
  <w:style w:type="paragraph" w:customStyle="1" w:styleId="82">
    <w:name w:val="_Style 7"/>
    <w:basedOn w:val="1"/>
    <w:autoRedefine/>
    <w:qFormat/>
    <w:uiPriority w:val="0"/>
    <w:pPr>
      <w:ind w:firstLine="420" w:firstLineChars="200"/>
    </w:p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1"/>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3"/>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1"/>
    <w:autoRedefine/>
    <w:qFormat/>
    <w:uiPriority w:val="0"/>
    <w:rPr>
      <w:rFonts w:ascii="Arial" w:hAnsi="Arial" w:eastAsia="黑体" w:cs="Arial"/>
      <w:snapToGrid w:val="0"/>
      <w:kern w:val="0"/>
      <w:szCs w:val="21"/>
    </w:rPr>
  </w:style>
  <w:style w:type="character" w:customStyle="1" w:styleId="126">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9"/>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9"/>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5"/>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8"/>
    <w:autoRedefine/>
    <w:qFormat/>
    <w:uiPriority w:val="0"/>
    <w:rPr>
      <w:rFonts w:ascii="宋体"/>
      <w:kern w:val="2"/>
      <w:sz w:val="24"/>
      <w:szCs w:val="21"/>
      <w:lang w:val="zh-CN"/>
    </w:rPr>
  </w:style>
  <w:style w:type="character" w:customStyle="1" w:styleId="183">
    <w:name w:val="标题 9 Char"/>
    <w:link w:val="12"/>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41"/>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20"/>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1"/>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1"/>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7"/>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8"/>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4"/>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0"/>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8"/>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2"/>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8"/>
    <w:autoRedefine/>
    <w:qFormat/>
    <w:uiPriority w:val="0"/>
    <w:rPr>
      <w:rFonts w:ascii="黑体" w:hAnsi="Courier New" w:eastAsia="黑体"/>
    </w:rPr>
  </w:style>
  <w:style w:type="character" w:customStyle="1" w:styleId="303">
    <w:name w:val="正文文本 2 Char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7"/>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0"/>
    <w:autoRedefine/>
    <w:qFormat/>
    <w:uiPriority w:val="0"/>
    <w:rPr>
      <w:b/>
      <w:bCs/>
      <w:kern w:val="2"/>
      <w:sz w:val="24"/>
      <w:szCs w:val="24"/>
    </w:rPr>
  </w:style>
  <w:style w:type="character" w:customStyle="1" w:styleId="309">
    <w:name w:val="正文文本缩进 2 Char"/>
    <w:link w:val="39"/>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2"/>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2"/>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7"/>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3"/>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autoRedefine/>
    <w:qFormat/>
    <w:uiPriority w:val="99"/>
    <w:rPr>
      <w:kern w:val="2"/>
      <w:sz w:val="21"/>
      <w:szCs w:val="24"/>
    </w:rPr>
  </w:style>
  <w:style w:type="character" w:customStyle="1" w:styleId="346">
    <w:name w:val="签名 Char"/>
    <w:link w:val="44"/>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5"/>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2"/>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3"/>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1"/>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7"/>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1"/>
    <w:autoRedefine/>
    <w:qFormat/>
    <w:uiPriority w:val="0"/>
    <w:rPr>
      <w:rFonts w:ascii="Arial" w:hAnsi="Arial" w:eastAsia="黑体" w:cs="Arial"/>
      <w:snapToGrid w:val="0"/>
      <w:kern w:val="0"/>
      <w:szCs w:val="21"/>
    </w:rPr>
  </w:style>
  <w:style w:type="character" w:customStyle="1" w:styleId="433">
    <w:name w:val="hui"/>
    <w:basedOn w:val="71"/>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6"/>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8"/>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next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4"/>
    <w:autoRedefine/>
    <w:qFormat/>
    <w:uiPriority w:val="0"/>
    <w:pPr>
      <w:tabs>
        <w:tab w:val="left" w:pos="840"/>
      </w:tabs>
      <w:adjustRightInd/>
      <w:ind w:left="840" w:hanging="420"/>
    </w:pPr>
  </w:style>
  <w:style w:type="paragraph" w:customStyle="1" w:styleId="627">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1">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6"/>
    <w:next w:val="55"/>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0"/>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autoRedefine/>
    <w:qFormat/>
    <w:uiPriority w:val="0"/>
    <w:pPr>
      <w:tabs>
        <w:tab w:val="left" w:pos="1080"/>
      </w:tabs>
      <w:ind w:left="1080" w:hanging="1080"/>
    </w:pPr>
  </w:style>
  <w:style w:type="paragraph" w:customStyle="1" w:styleId="898">
    <w:name w:val="数字标题1"/>
    <w:basedOn w:val="4"/>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40"/>
    <w:autoRedefine/>
    <w:qFormat/>
    <w:uiPriority w:val="0"/>
    <w:rPr>
      <w:kern w:val="2"/>
      <w:sz w:val="21"/>
      <w:szCs w:val="24"/>
      <w:lang w:val="zh-CN"/>
    </w:rPr>
  </w:style>
  <w:style w:type="character" w:customStyle="1" w:styleId="934">
    <w:name w:val="无间隔 字符"/>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5"/>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表格标题 Char Char Char Char"/>
    <w:basedOn w:val="1"/>
    <w:autoRedefine/>
    <w:qFormat/>
    <w:uiPriority w:val="0"/>
    <w:pPr>
      <w:autoSpaceDE w:val="0"/>
      <w:autoSpaceDN w:val="0"/>
      <w:adjustRightInd w:val="0"/>
      <w:jc w:val="center"/>
      <w:textAlignment w:val="baseline"/>
    </w:pPr>
    <w:rPr>
      <w:rFonts w:hAnsi="宋体"/>
      <w:sz w:val="24"/>
      <w:szCs w:val="21"/>
    </w:rPr>
  </w:style>
  <w:style w:type="paragraph" w:customStyle="1" w:styleId="969">
    <w:name w:val="No Spacing"/>
    <w:qFormat/>
    <w:uiPriority w:val="0"/>
    <w:rPr>
      <w:rFonts w:ascii="Times New Roman" w:hAnsi="Times New Roman" w:eastAsia="??" w:cs="宋体"/>
      <w:sz w:val="22"/>
      <w:szCs w:val="22"/>
      <w:lang w:val="en-US" w:eastAsia="en-US" w:bidi="ar-SA"/>
    </w:rPr>
  </w:style>
  <w:style w:type="paragraph" w:customStyle="1" w:styleId="970">
    <w:name w:val="须知二级小标题"/>
    <w:basedOn w:val="1"/>
    <w:qFormat/>
    <w:uiPriority w:val="0"/>
    <w:pPr>
      <w:spacing w:line="500" w:lineRule="exact"/>
    </w:pPr>
    <w:rPr>
      <w:rFonts w:ascii="宋体"/>
      <w:b/>
      <w:sz w:val="24"/>
    </w:rPr>
  </w:style>
  <w:style w:type="paragraph" w:customStyle="1" w:styleId="971">
    <w:name w:val="正文空2字"/>
    <w:basedOn w:val="97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2">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header" Target="header4.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header" Target="header3.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95</Pages>
  <Words>20609</Words>
  <Characters>22097</Characters>
  <Lines>405</Lines>
  <Paragraphs>114</Paragraphs>
  <TotalTime>0</TotalTime>
  <ScaleCrop>false</ScaleCrop>
  <LinksUpToDate>false</LinksUpToDate>
  <CharactersWithSpaces>22485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芝麻</cp:lastModifiedBy>
  <cp:lastPrinted>2025-01-08T12:12:00Z</cp:lastPrinted>
  <dcterms:modified xsi:type="dcterms:W3CDTF">2025-01-13T06:56:59Z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6254A738C4654BFD851F0F760B4EB3B6_13</vt:lpwstr>
  </property>
  <property fmtid="{D5CDD505-2E9C-101B-9397-08002B2CF9AE}" pid="5" name="commondata">
    <vt:lpwstr>eyJoZGlkIjoiNGNlMmFkMDQ1NDY0ZmRiM2Q0NjY4NTFjN2IwMTllYjMifQ==</vt:lpwstr>
  </property>
  <property fmtid="{D5CDD505-2E9C-101B-9397-08002B2CF9AE}" pid="6" name="KSOTemplateDocerSaveRecord">
    <vt:lpwstr>eyJoZGlkIjoiNmZhYTY4YmQ4YjM4OTQyMmJhMDZlZGI2NTE0ZGM4ODgiLCJ1c2VySWQiOiIzMzUzOTAxNDMifQ==</vt:lpwstr>
  </property>
</Properties>
</file>