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2024</w:t>
      </w:r>
      <w:r>
        <w:rPr>
          <w:rFonts w:hint="eastAsia" w:ascii="宋体" w:hAnsi="宋体"/>
          <w:b/>
          <w:sz w:val="52"/>
          <w:szCs w:val="52"/>
          <w:highlight w:val="none"/>
          <w:lang w:val="en-US" w:eastAsia="zh-CN"/>
        </w:rPr>
        <w:t>-</w:t>
      </w:r>
      <w:r>
        <w:rPr>
          <w:rFonts w:hint="eastAsia" w:ascii="宋体" w:hAnsi="宋体"/>
          <w:b/>
          <w:sz w:val="52"/>
          <w:szCs w:val="52"/>
          <w:highlight w:val="none"/>
        </w:rPr>
        <w:t>2027年度宁海县城关医院</w:t>
      </w:r>
    </w:p>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后勤保洁社会化管理服务外包项目</w:t>
      </w:r>
    </w:p>
    <w:p>
      <w:pPr>
        <w:widowControl/>
        <w:shd w:val="clear" w:color="auto" w:fill="FFFFFF"/>
        <w:spacing w:line="800" w:lineRule="exact"/>
        <w:jc w:val="center"/>
        <w:rPr>
          <w:rFonts w:hint="default" w:ascii="宋体" w:hAnsi="宋体" w:eastAsia="宋体"/>
          <w:b/>
          <w:sz w:val="44"/>
          <w:szCs w:val="44"/>
          <w:highlight w:val="none"/>
          <w:lang w:val="en-US" w:eastAsia="zh-CN"/>
        </w:rPr>
      </w:pPr>
      <w:r>
        <w:rPr>
          <w:rFonts w:hint="eastAsia" w:ascii="宋体" w:hAnsi="宋体"/>
          <w:b/>
          <w:sz w:val="44"/>
          <w:szCs w:val="44"/>
          <w:highlight w:val="none"/>
        </w:rPr>
        <w:t>项目编号：NHZFCG-Z202</w:t>
      </w:r>
      <w:r>
        <w:rPr>
          <w:rFonts w:hint="eastAsia" w:ascii="宋体" w:hAnsi="宋体"/>
          <w:b/>
          <w:sz w:val="44"/>
          <w:szCs w:val="44"/>
          <w:highlight w:val="none"/>
          <w:lang w:val="en-US" w:eastAsia="zh-CN"/>
        </w:rPr>
        <w:t>4007</w:t>
      </w:r>
    </w:p>
    <w:p>
      <w:pPr>
        <w:rPr>
          <w:rFonts w:ascii="宋体" w:hAnsi="宋体"/>
          <w:b/>
          <w:sz w:val="36"/>
          <w:szCs w:val="36"/>
          <w:highlight w:val="non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9"/>
        <w:rPr>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ascii="宋体" w:hAnsi="宋体"/>
          <w:b/>
          <w:sz w:val="44"/>
          <w:szCs w:val="44"/>
          <w:highlight w:val="none"/>
        </w:rPr>
      </w:pPr>
      <w:r>
        <w:rPr>
          <w:rFonts w:hint="eastAsia" w:ascii="宋体" w:hAnsi="宋体"/>
          <w:b/>
          <w:sz w:val="44"/>
          <w:szCs w:val="44"/>
          <w:highlight w:val="none"/>
        </w:rPr>
        <w:t>宁海县城关医院</w:t>
      </w:r>
    </w:p>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四</w:t>
      </w:r>
      <w:r>
        <w:rPr>
          <w:rFonts w:hint="eastAsia" w:ascii="宋体" w:hAnsi="宋体"/>
          <w:b/>
          <w:sz w:val="44"/>
          <w:szCs w:val="44"/>
          <w:highlight w:val="none"/>
        </w:rPr>
        <w:t>年</w:t>
      </w:r>
    </w:p>
    <w:p>
      <w:pPr>
        <w:pStyle w:val="12"/>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2"/>
        <w:snapToGrid w:val="0"/>
        <w:spacing w:beforeLines="0" w:afterLines="0"/>
        <w:jc w:val="center"/>
        <w:outlineLvl w:val="0"/>
        <w:rPr>
          <w:rFonts w:asciiTheme="minorEastAsia" w:hAnsiTheme="minorEastAsia" w:eastAsiaTheme="minorEastAsia"/>
          <w:b/>
          <w:bCs/>
          <w:sz w:val="21"/>
          <w:szCs w:val="21"/>
          <w:highlight w:val="none"/>
        </w:rPr>
      </w:pPr>
    </w:p>
    <w:tbl>
      <w:tblPr>
        <w:tblStyle w:val="24"/>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8" w:hRule="atLeast"/>
        </w:trPr>
        <w:tc>
          <w:tcPr>
            <w:tcW w:w="8250" w:type="dxa"/>
          </w:tcPr>
          <w:p>
            <w:pPr>
              <w:spacing w:line="400" w:lineRule="exact"/>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项目概况</w:t>
            </w:r>
          </w:p>
          <w:p>
            <w:pPr>
              <w:spacing w:line="400" w:lineRule="exact"/>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u w:val="single"/>
              </w:rPr>
              <w:t>2024</w:t>
            </w:r>
            <w:r>
              <w:rPr>
                <w:rFonts w:hint="eastAsia" w:asciiTheme="minorEastAsia" w:hAnsiTheme="minorEastAsia" w:eastAsiaTheme="minorEastAsia"/>
                <w:szCs w:val="21"/>
                <w:highlight w:val="none"/>
                <w:u w:val="single"/>
                <w:lang w:val="en-US" w:eastAsia="zh-CN"/>
              </w:rPr>
              <w:t>-</w:t>
            </w:r>
            <w:r>
              <w:rPr>
                <w:rFonts w:hint="eastAsia" w:asciiTheme="minorEastAsia" w:hAnsiTheme="minorEastAsia" w:eastAsiaTheme="minorEastAsia"/>
                <w:szCs w:val="21"/>
                <w:highlight w:val="none"/>
                <w:u w:val="single"/>
              </w:rPr>
              <w:t>2027年度宁海县城关医院后勤保洁社会化管理服务外包项目</w:t>
            </w:r>
            <w:r>
              <w:rPr>
                <w:rFonts w:asciiTheme="minorEastAsia" w:hAnsiTheme="minorEastAsia" w:eastAsiaTheme="minorEastAsia"/>
                <w:szCs w:val="21"/>
                <w:highlight w:val="none"/>
              </w:rPr>
              <w:t>招标项目的潜在投标人应在</w:t>
            </w:r>
            <w:r>
              <w:rPr>
                <w:rFonts w:asciiTheme="minorEastAsia" w:hAnsiTheme="minorEastAsia" w:eastAsiaTheme="minorEastAsia"/>
                <w:szCs w:val="21"/>
                <w:highlight w:val="none"/>
                <w:u w:val="single"/>
              </w:rPr>
              <w:t> 政府采购云平台（www.zcygov.cn）</w:t>
            </w:r>
            <w:r>
              <w:rPr>
                <w:rFonts w:asciiTheme="minorEastAsia" w:hAnsiTheme="minorEastAsia" w:eastAsiaTheme="minorEastAsia"/>
                <w:szCs w:val="21"/>
                <w:highlight w:val="none"/>
              </w:rPr>
              <w:t>获取（下载）招标文件，并于</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10</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23</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u w:val="single"/>
              </w:rPr>
              <w:t xml:space="preserve"> 09:00 </w:t>
            </w:r>
            <w:r>
              <w:rPr>
                <w:rFonts w:asciiTheme="minorEastAsia" w:hAnsiTheme="minorEastAsia" w:eastAsiaTheme="minorEastAsia"/>
                <w:szCs w:val="21"/>
                <w:highlight w:val="none"/>
              </w:rPr>
              <w:t>（北京时间）前递交（上传）投标文件。</w:t>
            </w:r>
          </w:p>
        </w:tc>
      </w:tr>
    </w:tbl>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一、项目基本情况</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项目编号：</w:t>
      </w:r>
      <w:r>
        <w:rPr>
          <w:rFonts w:hint="eastAsia" w:asciiTheme="minorEastAsia" w:hAnsiTheme="minorEastAsia" w:eastAsiaTheme="minorEastAsia"/>
          <w:szCs w:val="21"/>
          <w:highlight w:val="none"/>
        </w:rPr>
        <w:t>NHZFCG-Z2024007</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项目名称：2024</w:t>
      </w:r>
      <w:r>
        <w:rPr>
          <w:rFonts w:hint="eastAsia" w:asciiTheme="minorEastAsia" w:hAnsiTheme="minorEastAsia" w:eastAsiaTheme="minorEastAsia"/>
          <w:szCs w:val="21"/>
          <w:highlight w:val="none"/>
          <w:lang w:val="en-US" w:eastAsia="zh-CN"/>
        </w:rPr>
        <w:t>-</w:t>
      </w:r>
      <w:r>
        <w:rPr>
          <w:rFonts w:hint="eastAsia" w:asciiTheme="minorEastAsia" w:hAnsiTheme="minorEastAsia" w:eastAsiaTheme="minorEastAsia"/>
          <w:szCs w:val="21"/>
          <w:highlight w:val="none"/>
        </w:rPr>
        <w:t>2027年度宁海县城关医院后勤保洁社会化管理服务外包项目</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预算金额（</w:t>
      </w:r>
      <w:r>
        <w:rPr>
          <w:rFonts w:hint="eastAsia" w:asciiTheme="minorEastAsia" w:hAnsiTheme="minorEastAsia" w:eastAsiaTheme="minorEastAsia"/>
          <w:szCs w:val="21"/>
          <w:highlight w:val="none"/>
        </w:rPr>
        <w:t xml:space="preserve">元）：10485600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最高限价（元）：10485600</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采购需求：</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标项名称：2024</w:t>
      </w:r>
      <w:r>
        <w:rPr>
          <w:rFonts w:hint="eastAsia" w:asciiTheme="minorEastAsia" w:hAnsiTheme="minorEastAsia" w:eastAsiaTheme="minorEastAsia"/>
          <w:szCs w:val="21"/>
          <w:highlight w:val="none"/>
          <w:lang w:val="en-US" w:eastAsia="zh-CN"/>
        </w:rPr>
        <w:t>-</w:t>
      </w:r>
      <w:r>
        <w:rPr>
          <w:rFonts w:hint="eastAsia" w:asciiTheme="minorEastAsia" w:hAnsiTheme="minorEastAsia" w:eastAsiaTheme="minorEastAsia"/>
          <w:szCs w:val="21"/>
          <w:highlight w:val="none"/>
        </w:rPr>
        <w:t>2027年度宁海县城关医院后勤保洁社会化管理服务外包项目</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数量：3年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预算金额（元）：10485600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简要规格描述或项目基本概况介绍、用途：</w:t>
      </w:r>
      <w:r>
        <w:rPr>
          <w:rFonts w:hint="eastAsia" w:asciiTheme="minorEastAsia" w:hAnsiTheme="minorEastAsia" w:eastAsiaTheme="minorEastAsia"/>
          <w:szCs w:val="21"/>
          <w:highlight w:val="none"/>
        </w:rPr>
        <w:t>宁海县城关医院后勤保洁社会化管理服务（具体详见采购需求）</w:t>
      </w:r>
      <w:r>
        <w:rPr>
          <w:rFonts w:asciiTheme="minorEastAsia" w:hAnsiTheme="minorEastAsia" w:eastAsiaTheme="minorEastAsia"/>
          <w:szCs w:val="21"/>
          <w:highlight w:val="none"/>
        </w:rPr>
        <w:t> </w:t>
      </w:r>
    </w:p>
    <w:p>
      <w:pPr>
        <w:spacing w:line="400" w:lineRule="exact"/>
        <w:ind w:firstLine="420" w:firstLineChars="200"/>
        <w:rPr>
          <w:rFonts w:hint="default"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备注：</w:t>
      </w:r>
      <w:r>
        <w:rPr>
          <w:rFonts w:hint="eastAsia" w:asciiTheme="minorEastAsia" w:hAnsiTheme="minorEastAsia" w:eastAsiaTheme="minorEastAsia"/>
          <w:szCs w:val="21"/>
          <w:highlight w:val="none"/>
          <w:lang w:val="en-US" w:eastAsia="zh-CN"/>
        </w:rPr>
        <w:t>年度最高限价为3495200元/年。</w:t>
      </w:r>
      <w:bookmarkStart w:id="9" w:name="_GoBack"/>
      <w:bookmarkEnd w:id="9"/>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合同履</w:t>
      </w:r>
      <w:r>
        <w:rPr>
          <w:rFonts w:hint="eastAsia" w:asciiTheme="minorEastAsia" w:hAnsiTheme="minorEastAsia" w:eastAsiaTheme="minorEastAsia"/>
          <w:szCs w:val="21"/>
          <w:highlight w:val="none"/>
        </w:rPr>
        <w:t>约</w:t>
      </w:r>
      <w:r>
        <w:rPr>
          <w:rFonts w:asciiTheme="minorEastAsia" w:hAnsiTheme="minorEastAsia" w:eastAsiaTheme="minorEastAsia"/>
          <w:szCs w:val="21"/>
          <w:highlight w:val="none"/>
        </w:rPr>
        <w:t>期限</w:t>
      </w:r>
      <w:r>
        <w:rPr>
          <w:rFonts w:hint="eastAsia" w:asciiTheme="minorEastAsia" w:hAnsiTheme="minorEastAsia" w:eastAsiaTheme="minorEastAsia"/>
          <w:szCs w:val="21"/>
          <w:highlight w:val="none"/>
        </w:rPr>
        <w:t>：服务期限三年，合同一年一签。经双方同意，并经采购人考核合格，报宁海县政府采购管理办公室备案后，可续订下一年度的合同，最多续签两次。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本项目（否）接受联合体。</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二、申请人的资格要求：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满足《中华人民共和国政府采购法》第二十二条规定；未被“信用中国”（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shd w:val="clear" w:color="auto" w:fill="FFFFFF"/>
        </w:rPr>
        <w:t>。</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2.落实政府采购政策需满足的资格要求：无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3.本项目的特定资格要求：</w:t>
      </w:r>
      <w:r>
        <w:rPr>
          <w:rFonts w:hint="eastAsia" w:asciiTheme="minorEastAsia" w:hAnsiTheme="minorEastAsia" w:eastAsiaTheme="minorEastAsia"/>
          <w:szCs w:val="21"/>
          <w:highlight w:val="none"/>
        </w:rPr>
        <w:t>无</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三、获取招标文件</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9</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30</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至</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10</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22</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，每天上午</w:t>
      </w:r>
      <w:r>
        <w:rPr>
          <w:rFonts w:asciiTheme="minorEastAsia" w:hAnsiTheme="minorEastAsia" w:eastAsiaTheme="minorEastAsia"/>
          <w:szCs w:val="21"/>
          <w:highlight w:val="none"/>
          <w:u w:val="single"/>
        </w:rPr>
        <w:t>00:00至12:00</w:t>
      </w:r>
      <w:r>
        <w:rPr>
          <w:rFonts w:asciiTheme="minorEastAsia" w:hAnsiTheme="minorEastAsia" w:eastAsiaTheme="minorEastAsia"/>
          <w:szCs w:val="21"/>
          <w:highlight w:val="none"/>
        </w:rPr>
        <w:t>，下午</w:t>
      </w:r>
      <w:r>
        <w:rPr>
          <w:rFonts w:hint="eastAsia" w:asciiTheme="minorEastAsia" w:hAnsiTheme="minorEastAsia" w:eastAsiaTheme="minorEastAsia"/>
          <w:szCs w:val="21"/>
          <w:highlight w:val="none"/>
          <w:u w:val="single"/>
        </w:rPr>
        <w:t>1</w:t>
      </w:r>
      <w:r>
        <w:rPr>
          <w:rFonts w:asciiTheme="minorEastAsia" w:hAnsiTheme="minorEastAsia" w:eastAsiaTheme="minorEastAsia"/>
          <w:szCs w:val="21"/>
          <w:highlight w:val="none"/>
          <w:u w:val="single"/>
        </w:rPr>
        <w:t>2:00至23:59 </w:t>
      </w:r>
      <w:r>
        <w:rPr>
          <w:rFonts w:asciiTheme="minorEastAsia" w:hAnsiTheme="minorEastAsia" w:eastAsiaTheme="minorEastAsia"/>
          <w:szCs w:val="21"/>
          <w:highlight w:val="none"/>
        </w:rPr>
        <w:t>（北京时间，线上获取法定节假日均可，线下获取文件法定节假日除外）</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地点（网址）：政府采购云平台（www.zcygov.cn）</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方式：通过政府采购云平台下载。</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售价（元）：0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四、提交投标文件截止时间、开标时间和地点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提交投标文件截止时间： </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10月23日 </w:t>
      </w:r>
      <w:r>
        <w:rPr>
          <w:rFonts w:asciiTheme="minorEastAsia" w:hAnsiTheme="minorEastAsia" w:eastAsiaTheme="minorEastAsia"/>
          <w:szCs w:val="21"/>
          <w:highlight w:val="none"/>
          <w:u w:val="single"/>
        </w:rPr>
        <w:t>09:00</w:t>
      </w:r>
      <w:r>
        <w:rPr>
          <w:rFonts w:asciiTheme="minorEastAsia" w:hAnsiTheme="minorEastAsia" w:eastAsiaTheme="minorEastAsia"/>
          <w:szCs w:val="21"/>
          <w:highlight w:val="none"/>
        </w:rPr>
        <w:t>（北京时间）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投标地点（网址）：政府采购云平台（www.zcygov.cn）</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4年10月23日 0</w:t>
      </w:r>
      <w:r>
        <w:rPr>
          <w:rFonts w:asciiTheme="minorEastAsia" w:hAnsiTheme="minorEastAsia" w:eastAsiaTheme="minorEastAsia"/>
          <w:szCs w:val="21"/>
          <w:highlight w:val="none"/>
          <w:u w:val="single"/>
        </w:rPr>
        <w:t>9:00</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开标地点（网址）：政府采购云平台（www.zcygov.cn）</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五、公告期限</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自本公告发布之日起5个工作日。</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六、其他补充事宜</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2.根据</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3.</w:t>
      </w:r>
      <w:r>
        <w:rPr>
          <w:rFonts w:asciiTheme="minorEastAsia" w:hAnsiTheme="minorEastAsia" w:eastAsiaTheme="minorEastAsia"/>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其他事项：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）供应商需按照《浙江省政府采购供应商注册及诚信管理暂行办法》的规定在“浙江政府采购网(</w:t>
      </w:r>
      <w:r>
        <w:rPr>
          <w:rFonts w:hint="eastAsia" w:asciiTheme="minorEastAsia" w:hAnsiTheme="minorEastAsia" w:eastAsiaTheme="minorEastAsia" w:cstheme="minorEastAsia"/>
          <w:szCs w:val="21"/>
          <w:highlight w:val="none"/>
        </w:rPr>
        <w:t>https://zfcg.czt.zj.gov.cn/</w:t>
      </w:r>
      <w:r>
        <w:rPr>
          <w:rFonts w:asciiTheme="minorEastAsia" w:hAnsiTheme="minorEastAsia" w:eastAsiaTheme="minorEastAsia"/>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）供应商如提供电子备份投标文件的，应于202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23</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szCs w:val="21"/>
          <w:highlight w:val="none"/>
          <w:lang w:eastAsia="zh-CN"/>
        </w:rPr>
        <w:t>宁海县政务服务中心</w:t>
      </w:r>
      <w:r>
        <w:rPr>
          <w:rFonts w:asciiTheme="minorEastAsia" w:hAnsiTheme="minorEastAsia" w:eastAsiaTheme="minorEastAsia"/>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szCs w:val="21"/>
          <w:highlight w:val="none"/>
          <w:lang w:eastAsia="zh-CN"/>
        </w:rPr>
        <w:t>戴莹莹</w:t>
      </w:r>
      <w:r>
        <w:rPr>
          <w:rFonts w:asciiTheme="minorEastAsia" w:hAnsiTheme="minorEastAsia" w:eastAsiaTheme="minorEastAsia"/>
          <w:szCs w:val="21"/>
          <w:highlight w:val="none"/>
        </w:rPr>
        <w:t>，联系电话：0574-65131832，快递以工作人员签收时间为准）。</w:t>
      </w:r>
    </w:p>
    <w:p>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23</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9点30分前）供应商可以登录政府采购云平台，用“项目采购-开标评标”功能解密投标文件。若供应商在规定时间内（202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23</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9点30分前）无法解密或解密失败，可使用电子备份投标文件进行评标，</w:t>
      </w:r>
      <w:r>
        <w:rPr>
          <w:rFonts w:hint="eastAsia" w:asciiTheme="minorEastAsia" w:hAnsiTheme="minorEastAsia" w:eastAsiaTheme="minorEastAsia"/>
          <w:szCs w:val="21"/>
          <w:highlight w:val="none"/>
        </w:rPr>
        <w:t>若供应商电子投标文件和电子备份投标文件均无法解密或解密失败，视为供应商放弃投标</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七、对本次</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提出询问、质疑、投诉，请按以下方式联系。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1.采购人信息</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宁海县城关医院</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宁海县桃源南路319号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hint="eastAsia" w:asciiTheme="minorEastAsia" w:hAnsiTheme="minorEastAsia" w:eastAsiaTheme="minorEastAsia"/>
          <w:szCs w:val="21"/>
          <w:highlight w:val="none"/>
          <w:u w:val="single"/>
        </w:rPr>
        <w:t xml:space="preserve">   /   </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rPr>
        <w:t>赖宇峰</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u w:val="single"/>
        </w:rPr>
        <w:t>13685878086</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质疑联系人：</w:t>
      </w:r>
      <w:r>
        <w:rPr>
          <w:rFonts w:hint="eastAsia" w:asciiTheme="minorEastAsia" w:hAnsiTheme="minorEastAsia" w:eastAsiaTheme="minorEastAsia"/>
          <w:szCs w:val="21"/>
          <w:highlight w:val="none"/>
          <w:u w:val="single"/>
        </w:rPr>
        <w:t>赖先生</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质疑联系方式：</w:t>
      </w:r>
      <w:r>
        <w:rPr>
          <w:rFonts w:hint="eastAsia" w:asciiTheme="minorEastAsia" w:hAnsiTheme="minorEastAsia" w:eastAsiaTheme="minorEastAsia"/>
          <w:highlight w:val="none"/>
          <w:u w:val="single"/>
        </w:rPr>
        <w:t>0574-65577201</w:t>
      </w:r>
      <w:r>
        <w:rPr>
          <w:rFonts w:hint="eastAsia" w:asciiTheme="minorEastAsia" w:hAnsiTheme="minorEastAsia" w:eastAsiaTheme="minorEastAsia"/>
          <w:highlight w:val="none"/>
        </w:rPr>
        <w:t xml:space="preserve">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2.采购代理机构信息</w:t>
      </w:r>
    </w:p>
    <w:p>
      <w:pPr>
        <w:spacing w:line="400" w:lineRule="exact"/>
        <w:ind w:firstLine="420" w:firstLineChars="200"/>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lang w:eastAsia="zh-CN"/>
        </w:rPr>
        <w:t>宁海县政务服务中心</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asciiTheme="minorEastAsia" w:hAnsiTheme="minorEastAsia" w:eastAsiaTheme="minorEastAsia"/>
          <w:szCs w:val="21"/>
          <w:highlight w:val="none"/>
          <w:u w:val="single"/>
        </w:rPr>
        <w:t>宁海县</w:t>
      </w:r>
      <w:r>
        <w:rPr>
          <w:rFonts w:hint="eastAsia" w:asciiTheme="minorEastAsia" w:hAnsiTheme="minorEastAsia" w:eastAsiaTheme="minorEastAsia"/>
          <w:szCs w:val="21"/>
          <w:highlight w:val="none"/>
          <w:u w:val="single"/>
        </w:rPr>
        <w:t>桃源街道</w:t>
      </w:r>
      <w:r>
        <w:rPr>
          <w:rFonts w:asciiTheme="minorEastAsia" w:hAnsiTheme="minorEastAsia" w:eastAsiaTheme="minorEastAsia"/>
          <w:szCs w:val="21"/>
          <w:highlight w:val="none"/>
          <w:u w:val="single"/>
        </w:rPr>
        <w:t>金水东路5号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0574-65131831</w:t>
      </w:r>
      <w:r>
        <w:rPr>
          <w:rFonts w:asciiTheme="minorEastAsia" w:hAnsiTheme="minorEastAsia" w:eastAsiaTheme="minorEastAsia"/>
          <w:szCs w:val="21"/>
          <w:highlight w:val="none"/>
        </w:rPr>
        <w:t>  　</w:t>
      </w:r>
    </w:p>
    <w:p>
      <w:pPr>
        <w:spacing w:line="400" w:lineRule="exact"/>
        <w:ind w:firstLine="420" w:firstLineChars="200"/>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lang w:eastAsia="zh-CN"/>
        </w:rPr>
        <w:t>戴莹莹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项目联系方式（询问）：</w:t>
      </w:r>
      <w:r>
        <w:rPr>
          <w:rFonts w:asciiTheme="minorEastAsia" w:hAnsiTheme="minorEastAsia" w:eastAsiaTheme="minorEastAsia"/>
          <w:szCs w:val="21"/>
          <w:highlight w:val="none"/>
          <w:u w:val="single"/>
        </w:rPr>
        <w:t>0574-65131832</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u w:val="single"/>
        </w:rPr>
        <w:t>应晓燕</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质疑联系方式：</w:t>
      </w:r>
      <w:r>
        <w:rPr>
          <w:rFonts w:asciiTheme="minorEastAsia" w:hAnsiTheme="minorEastAsia" w:eastAsiaTheme="minorEastAsia"/>
          <w:szCs w:val="21"/>
          <w:highlight w:val="none"/>
          <w:u w:val="single"/>
        </w:rPr>
        <w:t xml:space="preserve"> 0574-65131831</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3.同级政府采购监督管理部门</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宁海县政府采购管理办公室</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宁海县跃龙街道桃源中路218号</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0574-65265612</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single"/>
        </w:rPr>
        <w:t>王欢永</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监督投诉电话：</w:t>
      </w:r>
      <w:r>
        <w:rPr>
          <w:rFonts w:asciiTheme="minorEastAsia" w:hAnsiTheme="minorEastAsia" w:eastAsiaTheme="minorEastAsia"/>
          <w:szCs w:val="21"/>
          <w:highlight w:val="none"/>
          <w:u w:val="single"/>
        </w:rPr>
        <w:t>0574-65265668</w:t>
      </w:r>
    </w:p>
    <w:p>
      <w:pPr>
        <w:pStyle w:val="12"/>
        <w:spacing w:beforeLines="0" w:afterLines="0"/>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Theme="minorEastAsia" w:hAnsiTheme="minorEastAsia" w:eastAsiaTheme="minorEastAsia"/>
          <w:sz w:val="21"/>
          <w:szCs w:val="21"/>
          <w:highlight w:val="none"/>
        </w:rPr>
        <w:t>。</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CA问题联系电话（人工）：汇信CA 400-888-4636；天谷CA 400-087-8198。</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pStyle w:val="12"/>
        <w:snapToGrid w:val="0"/>
        <w:spacing w:beforeLines="0" w:afterLines="0"/>
        <w:outlineLvl w:val="0"/>
        <w:rPr>
          <w:rFonts w:asciiTheme="minorEastAsia" w:hAnsiTheme="minorEastAsia" w:eastAsiaTheme="minorEastAsia"/>
          <w:b/>
          <w:bCs/>
          <w:sz w:val="21"/>
          <w:szCs w:val="21"/>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spacing w:line="312" w:lineRule="auto"/>
        <w:jc w:val="center"/>
        <w:rPr>
          <w:rFonts w:ascii="宋体" w:hAnsi="宋体" w:cs="宋体"/>
          <w:b/>
          <w:szCs w:val="21"/>
          <w:highlight w:val="none"/>
        </w:rPr>
      </w:pPr>
    </w:p>
    <w:p>
      <w:pPr>
        <w:spacing w:line="312" w:lineRule="auto"/>
        <w:jc w:val="center"/>
        <w:rPr>
          <w:rFonts w:ascii="宋体" w:hAnsi="宋体" w:cs="宋体"/>
          <w:b/>
          <w:szCs w:val="21"/>
          <w:highlight w:val="none"/>
        </w:rPr>
      </w:pPr>
      <w:r>
        <w:rPr>
          <w:rFonts w:hint="eastAsia" w:ascii="宋体" w:hAnsi="宋体" w:cs="宋体"/>
          <w:b/>
          <w:szCs w:val="21"/>
          <w:highlight w:val="none"/>
        </w:rPr>
        <w:t>一 、项目概况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cs="宋体"/>
          <w:bCs/>
          <w:szCs w:val="21"/>
          <w:highlight w:val="none"/>
        </w:rPr>
      </w:pPr>
      <w:r>
        <w:rPr>
          <w:rFonts w:hint="eastAsia" w:ascii="宋体" w:hAnsi="宋体" w:cs="宋体"/>
          <w:bCs/>
          <w:szCs w:val="21"/>
          <w:highlight w:val="none"/>
        </w:rPr>
        <w:t>浙江省宁海县城关医院是一所在原“城关镇中心卫生院”基础上于2001年初搬迁改建的集基本医疗、社区卫生服务、公共卫生、预防保健等专科</w:t>
      </w:r>
      <w:r>
        <w:rPr>
          <w:rFonts w:hint="eastAsia" w:ascii="宋体" w:hAnsi="宋体" w:cs="宋体"/>
          <w:bCs/>
          <w:szCs w:val="21"/>
          <w:highlight w:val="none"/>
          <w:lang w:eastAsia="zh-CN"/>
        </w:rPr>
        <w:t>，</w:t>
      </w:r>
      <w:r>
        <w:rPr>
          <w:rFonts w:hint="eastAsia" w:ascii="宋体" w:hAnsi="宋体" w:cs="宋体"/>
          <w:bCs/>
          <w:szCs w:val="21"/>
          <w:highlight w:val="none"/>
        </w:rPr>
        <w:t>特色鲜明、环境舒适、功能齐全，核定床位196张，实际可开放床位246张的医保、农保定点医院。开设内科、外科、全科门诊、妇产科、儿科、口腔科、中医科、整形美容科、康复医学科、检验科、放射科、B超室、心电图室、治疗室、供应室、中西药房、预防保健科等临床科室和辅助科室。</w:t>
      </w:r>
    </w:p>
    <w:p>
      <w:pPr>
        <w:pStyle w:val="6"/>
        <w:spacing w:line="312" w:lineRule="auto"/>
        <w:ind w:firstLine="0"/>
        <w:jc w:val="center"/>
        <w:rPr>
          <w:rFonts w:ascii="宋体" w:hAnsi="宋体" w:cs="宋体"/>
          <w:b/>
          <w:szCs w:val="21"/>
          <w:highlight w:val="none"/>
        </w:rPr>
      </w:pPr>
      <w:r>
        <w:rPr>
          <w:rFonts w:hint="eastAsia" w:ascii="宋体" w:hAnsi="宋体" w:cs="宋体"/>
          <w:b/>
          <w:szCs w:val="21"/>
          <w:highlight w:val="none"/>
          <w:lang w:val="en-US" w:eastAsia="zh-CN"/>
        </w:rPr>
        <w:t>二</w:t>
      </w:r>
      <w:r>
        <w:rPr>
          <w:rFonts w:hint="eastAsia" w:ascii="宋体" w:hAnsi="宋体" w:cs="宋体"/>
          <w:b/>
          <w:szCs w:val="21"/>
          <w:highlight w:val="none"/>
        </w:rPr>
        <w:t>、服务要求</w:t>
      </w:r>
    </w:p>
    <w:p>
      <w:pPr>
        <w:numPr>
          <w:ilvl w:val="0"/>
          <w:numId w:val="1"/>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运送管理服务</w:t>
      </w:r>
      <w:r>
        <w:rPr>
          <w:rFonts w:hint="eastAsia" w:ascii="宋体" w:hAnsi="宋体" w:eastAsia="宋体" w:cs="宋体"/>
          <w:b/>
          <w:bCs/>
          <w:color w:val="auto"/>
          <w:szCs w:val="21"/>
          <w:highlight w:val="none"/>
        </w:rPr>
        <w:t>内容、</w:t>
      </w:r>
      <w:r>
        <w:rPr>
          <w:rFonts w:hint="eastAsia" w:ascii="宋体" w:hAnsi="宋体" w:eastAsia="宋体" w:cs="宋体"/>
          <w:b/>
          <w:color w:val="auto"/>
          <w:szCs w:val="21"/>
          <w:highlight w:val="none"/>
        </w:rPr>
        <w:t>要求</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负责病人的接送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负责手术病人的接送；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负责急诊住院病人的接送；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负责特殊治疗病人的接送；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负责70岁以上老年人和1级护理、特级护理</w:t>
      </w:r>
      <w:r>
        <w:rPr>
          <w:rFonts w:hint="eastAsia" w:ascii="宋体" w:hAnsi="宋体" w:eastAsia="宋体" w:cs="宋体"/>
          <w:color w:val="auto"/>
          <w:szCs w:val="21"/>
          <w:highlight w:val="none"/>
          <w:lang w:eastAsia="zh-CN"/>
        </w:rPr>
        <w:t>及行动不便</w:t>
      </w:r>
      <w:r>
        <w:rPr>
          <w:rFonts w:hint="eastAsia" w:ascii="宋体" w:hAnsi="宋体" w:eastAsia="宋体" w:cs="宋体"/>
          <w:color w:val="auto"/>
          <w:szCs w:val="21"/>
          <w:highlight w:val="none"/>
        </w:rPr>
        <w:t>病人的陪检</w:t>
      </w:r>
      <w:r>
        <w:rPr>
          <w:rFonts w:hint="eastAsia" w:ascii="宋体" w:hAnsi="宋体" w:eastAsia="宋体" w:cs="宋体"/>
          <w:color w:val="auto"/>
          <w:szCs w:val="21"/>
          <w:highlight w:val="none"/>
          <w:lang w:eastAsia="zh-CN"/>
        </w:rPr>
        <w:t>及预约</w:t>
      </w:r>
      <w:r>
        <w:rPr>
          <w:rFonts w:hint="eastAsia" w:ascii="宋体" w:hAnsi="宋体" w:eastAsia="宋体" w:cs="宋体"/>
          <w:color w:val="auto"/>
          <w:szCs w:val="21"/>
          <w:highlight w:val="none"/>
        </w:rPr>
        <w:t>；</w:t>
      </w:r>
    </w:p>
    <w:p>
      <w:pPr>
        <w:spacing w:line="400" w:lineRule="exact"/>
        <w:ind w:firstLine="420" w:firstLineChars="200"/>
      </w:pPr>
      <w:r>
        <w:rPr>
          <w:rFonts w:hint="eastAsia" w:ascii="宋体" w:hAnsi="宋体" w:eastAsia="宋体" w:cs="宋体"/>
          <w:color w:val="auto"/>
          <w:szCs w:val="21"/>
          <w:highlight w:val="none"/>
        </w:rPr>
        <w:t>认真做好查对、交接工作，保证运送安全。如因工作失误而导致病人不安全，追究当班人责任。运送人员上班前应仔细检查接送的车辆、下班前做好安全检查工作。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取送医疗物资、医疗设备、办公物资</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凭科室负责人或护士长签发的请领单到相关部门领取，做好核对、签收工作；负责运送小型医疗仪器维修；负责小型医疗设备急诊床边检查的运送。</w:t>
      </w:r>
    </w:p>
    <w:p>
      <w:pPr>
        <w:spacing w:line="400" w:lineRule="exact"/>
        <w:ind w:firstLine="420" w:firstLineChars="200"/>
        <w:rPr>
          <w:rFonts w:hint="eastAsia"/>
          <w:lang w:eastAsia="zh-CN"/>
        </w:rPr>
      </w:pPr>
      <w:r>
        <w:rPr>
          <w:rFonts w:hint="eastAsia" w:ascii="宋体" w:hAnsi="宋体" w:eastAsia="宋体" w:cs="宋体"/>
          <w:color w:val="auto"/>
          <w:szCs w:val="21"/>
          <w:highlight w:val="none"/>
        </w:rPr>
        <w:t>物资领取要做到交接清晰有记录；设备运送保证安全，如人为损坏，追究当事人责任并按价值赔偿。</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药品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药品从药库运送到各药房和大输液配送到药房及各病区</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lang w:eastAsia="zh-CN"/>
        </w:rPr>
      </w:pPr>
      <w:r>
        <w:rPr>
          <w:rFonts w:hint="eastAsia" w:ascii="宋体" w:hAnsi="宋体" w:eastAsia="宋体" w:cs="宋体"/>
          <w:color w:val="auto"/>
          <w:szCs w:val="21"/>
          <w:highlight w:val="none"/>
        </w:rPr>
        <w:t>做好与药房药剂人员及病区负责护士的核对、签收工作。下送途中药品被损坏，按价赔偿。</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消毒物品（供应室）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保证消毒物品及时、准确按要求收送到各病区</w:t>
      </w:r>
      <w:r>
        <w:rPr>
          <w:rFonts w:hint="eastAsia" w:ascii="宋体" w:hAnsi="宋体" w:eastAsia="宋体" w:cs="宋体"/>
          <w:color w:val="auto"/>
          <w:szCs w:val="21"/>
          <w:highlight w:val="none"/>
          <w:lang w:eastAsia="zh-CN"/>
        </w:rPr>
        <w:t>。</w:t>
      </w:r>
    </w:p>
    <w:p>
      <w:pPr>
        <w:spacing w:line="400" w:lineRule="exact"/>
        <w:ind w:firstLine="420" w:firstLineChars="200"/>
      </w:pPr>
      <w:r>
        <w:rPr>
          <w:rFonts w:hint="eastAsia" w:ascii="宋体" w:hAnsi="宋体" w:eastAsia="宋体" w:cs="宋体"/>
          <w:color w:val="auto"/>
          <w:szCs w:val="21"/>
          <w:highlight w:val="none"/>
        </w:rPr>
        <w:t>接触消毒物品前应洗手，密闭运送，运送途中不得打开包装，不得途中办理其他事务，专人专线路；消毒包一旦落地或接触水渍则作为不合格包，不得收送至临床。无菌物品和回收物品要分开运送，不得通车存放。运送车或工具每日定期清洗消毒。回收物品时做好个人防护。</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工作服、床单</w:t>
      </w:r>
      <w:r>
        <w:rPr>
          <w:rFonts w:hint="eastAsia" w:ascii="宋体" w:hAnsi="宋体" w:cs="宋体"/>
          <w:b/>
          <w:bCs/>
          <w:color w:val="auto"/>
          <w:szCs w:val="21"/>
          <w:highlight w:val="none"/>
          <w:lang w:eastAsia="zh-CN"/>
        </w:rPr>
        <w:t>的</w:t>
      </w:r>
      <w:r>
        <w:rPr>
          <w:rFonts w:hint="eastAsia" w:ascii="宋体" w:hAnsi="宋体" w:eastAsia="宋体" w:cs="宋体"/>
          <w:b/>
          <w:bCs/>
          <w:color w:val="auto"/>
          <w:szCs w:val="21"/>
          <w:highlight w:val="none"/>
        </w:rPr>
        <w:t>收、发、核对工作</w:t>
      </w:r>
    </w:p>
    <w:p>
      <w:pPr>
        <w:spacing w:line="400" w:lineRule="exact"/>
        <w:ind w:firstLine="420" w:firstLineChars="200"/>
        <w:rPr>
          <w:rFonts w:hint="eastAsia"/>
        </w:rPr>
      </w:pPr>
      <w:r>
        <w:rPr>
          <w:rFonts w:hint="eastAsia" w:ascii="宋体" w:hAnsi="宋体" w:eastAsia="宋体" w:cs="宋体"/>
          <w:color w:val="auto"/>
          <w:szCs w:val="21"/>
          <w:highlight w:val="none"/>
        </w:rPr>
        <w:t>布类物品折叠整齐、统一规格、堆放有序、分门别类、科室明确、帐物相符，每日与洗涤公司</w:t>
      </w:r>
      <w:r>
        <w:rPr>
          <w:rFonts w:hint="eastAsia" w:ascii="宋体" w:hAnsi="宋体" w:eastAsia="宋体" w:cs="宋体"/>
          <w:color w:val="auto"/>
          <w:szCs w:val="21"/>
          <w:highlight w:val="none"/>
          <w:lang w:val="en-US" w:eastAsia="zh-CN"/>
        </w:rPr>
        <w:t>在医院指定地点</w:t>
      </w:r>
      <w:r>
        <w:rPr>
          <w:rFonts w:hint="eastAsia" w:ascii="宋体" w:hAnsi="宋体" w:eastAsia="宋体" w:cs="宋体"/>
          <w:color w:val="auto"/>
          <w:szCs w:val="21"/>
          <w:highlight w:val="none"/>
        </w:rPr>
        <w:t>清点洗涤数量，装包要准确，好的被服和破损的被服要分开包装并附说明清单；特殊科室的工作服送到指定科室不得混淆（如：手术室、ICU、供应室等）。</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收送各类标本、文书</w:t>
      </w:r>
    </w:p>
    <w:p>
      <w:pPr>
        <w:spacing w:line="400" w:lineRule="exact"/>
        <w:ind w:firstLine="420" w:firstLineChars="200"/>
        <w:rPr>
          <w:rFonts w:hint="eastAsia"/>
        </w:rPr>
      </w:pPr>
      <w:r>
        <w:rPr>
          <w:rFonts w:hint="eastAsia" w:ascii="宋体" w:hAnsi="宋体" w:eastAsia="宋体" w:cs="宋体"/>
          <w:color w:val="auto"/>
          <w:szCs w:val="21"/>
          <w:highlight w:val="none"/>
        </w:rPr>
        <w:t>负责各类标本的收集运送（常规、急、平诊），取送结果报告单；准确、及时地送至相关部门，做好核对、签收工作。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医疗废物垃圾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ascii="宋体" w:hAnsi="宋体" w:eastAsia="宋体" w:cs="宋体"/>
          <w:color w:val="auto"/>
          <w:szCs w:val="21"/>
          <w:highlight w:val="none"/>
        </w:rPr>
        <w:t>严格按照国家有关规定做好医疗垃圾的收集、运送、暂存和移交有关部门无害化处理。处理医疗垃圾的个人要做好个人防护，如未按规范、标准进行，由此造成的一切后果由供应商承担</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责任医院红线内所有生活垃圾的收集、运送</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lang w:eastAsia="zh-CN"/>
        </w:rPr>
      </w:pPr>
      <w:r>
        <w:rPr>
          <w:rFonts w:hint="eastAsia" w:ascii="宋体" w:hAnsi="宋体" w:eastAsia="宋体" w:cs="宋体"/>
          <w:color w:val="auto"/>
          <w:szCs w:val="21"/>
          <w:highlight w:val="none"/>
        </w:rPr>
        <w:t>每天多次将全院生活垃圾进行分类收集、运送至院方指定的垃圾站，不得出现混放乱放现象。要求垃圾袋完好无损，不得将生活垃圾遗撒在任何路面上。垃圾桶定时清洗，垃圾桶周围区域定期清扫，保证清洁</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采购人</w:t>
      </w:r>
      <w:r>
        <w:rPr>
          <w:rFonts w:hint="eastAsia" w:ascii="宋体" w:hAnsi="宋体" w:eastAsia="宋体" w:cs="宋体"/>
          <w:b/>
          <w:bCs/>
          <w:color w:val="auto"/>
          <w:szCs w:val="21"/>
          <w:highlight w:val="none"/>
        </w:rPr>
        <w:t>要求的其他相关工作，如办公室腾挪、病床的腾挪搬运</w:t>
      </w:r>
      <w:r>
        <w:rPr>
          <w:rFonts w:hint="eastAsia" w:ascii="宋体" w:hAnsi="宋体" w:eastAsia="宋体" w:cs="宋体"/>
          <w:b/>
          <w:bCs/>
          <w:color w:val="auto"/>
          <w:szCs w:val="21"/>
          <w:highlight w:val="none"/>
          <w:lang w:eastAsia="zh-CN"/>
        </w:rPr>
        <w:t>。</w:t>
      </w:r>
    </w:p>
    <w:p>
      <w:pPr>
        <w:spacing w:line="400" w:lineRule="exact"/>
        <w:ind w:firstLine="420" w:firstLineChars="200"/>
      </w:pPr>
      <w:r>
        <w:rPr>
          <w:rFonts w:hint="eastAsia" w:ascii="宋体" w:hAnsi="宋体" w:eastAsia="宋体" w:cs="宋体"/>
          <w:color w:val="auto"/>
          <w:szCs w:val="21"/>
          <w:highlight w:val="none"/>
        </w:rPr>
        <w:t>各种会场布置、各种会议活动的物资搬运、张贴通知、悬挂标语、装卸货物、医疗仪器的运送（床边摄片机、呼吸机等），如需动用专用设备</w:t>
      </w:r>
      <w:r>
        <w:rPr>
          <w:rFonts w:hint="eastAsia" w:ascii="宋体" w:hAnsi="宋体" w:eastAsia="宋体" w:cs="宋体"/>
          <w:color w:val="auto"/>
          <w:szCs w:val="21"/>
          <w:highlight w:val="none"/>
          <w:lang w:eastAsia="zh-CN"/>
        </w:rPr>
        <w:t>和大型物品</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派人予以配合，专用设备费用</w:t>
      </w:r>
      <w:r>
        <w:rPr>
          <w:rFonts w:hint="eastAsia" w:ascii="宋体" w:hAnsi="宋体" w:eastAsia="宋体" w:cs="宋体"/>
          <w:color w:val="auto"/>
          <w:szCs w:val="21"/>
          <w:highlight w:val="none"/>
          <w:lang w:eastAsia="zh-CN"/>
        </w:rPr>
        <w:t>及社区卫生服务站物品搬运</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承担。</w:t>
      </w:r>
    </w:p>
    <w:p>
      <w:pPr>
        <w:numPr>
          <w:ilvl w:val="0"/>
          <w:numId w:val="1"/>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室内外环境保洁管理服务范围、内容及要求</w:t>
      </w:r>
      <w:bookmarkStart w:id="0" w:name="_Toc385056208"/>
    </w:p>
    <w:p>
      <w:pPr>
        <w:numPr>
          <w:ilvl w:val="0"/>
          <w:numId w:val="4"/>
        </w:numPr>
        <w:spacing w:line="400" w:lineRule="exact"/>
        <w:ind w:left="425" w:lef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医院红线范围内的室内外环境保洁管理服务范围</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负责医院所有楼宇各楼层的地面、墙面、屋顶、玻璃、空调出风口、输液吊杆、设备带、病床、床头柜、灯具、办公家具、卫生间等所有的卫生保洁工作。</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负责病区内仪器设备的清洁工作。</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平台、露天阳台、顶篷、下水道疏通、院内所有道路、柜窗等，全院建筑物3米以下外墙和屋顶卫生及全院建筑物落水管疏通等。</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完成病区的其它相关工作，确保所有室内下水道疏通，屋顶</w:t>
      </w:r>
      <w:r>
        <w:rPr>
          <w:rFonts w:hint="eastAsia" w:ascii="宋体" w:hAnsi="宋体" w:cs="宋体"/>
          <w:color w:val="auto"/>
          <w:szCs w:val="21"/>
          <w:highlight w:val="none"/>
          <w:lang w:val="en-US" w:eastAsia="zh-CN"/>
        </w:rPr>
        <w:t>落</w:t>
      </w:r>
      <w:r>
        <w:rPr>
          <w:rFonts w:hint="eastAsia" w:ascii="宋体" w:hAnsi="宋体" w:eastAsia="宋体" w:cs="宋体"/>
          <w:color w:val="auto"/>
          <w:szCs w:val="21"/>
          <w:highlight w:val="none"/>
        </w:rPr>
        <w:t>水管的疏通（要求为专业人员）</w:t>
      </w:r>
      <w:r>
        <w:rPr>
          <w:rFonts w:hint="eastAsia" w:ascii="宋体" w:hAnsi="宋体" w:cs="宋体"/>
          <w:color w:val="auto"/>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负责室外下水管道的疏通清理工作。</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负责电梯的保洁工作。</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其他一切与卫生保洁有关的工作。</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保洁服务内容及要求</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保持室内外环境清洁，整齐、美观；符合行业检查标准，以及国家爱国卫生城市检查标准要求。</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室内环境消毒、家具、用品用具、卫生洁具符合医院消毒隔离制度要求；消毒药剂符合医院消毒管理规定。</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确保医疗场所、病房、卫生间达到专业清洁与消毒，不发生交叉作业。</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特殊材质地面定期保养（PVC地板、大理石</w:t>
      </w:r>
      <w:r>
        <w:rPr>
          <w:rFonts w:hint="eastAsia" w:ascii="宋体" w:hAnsi="宋体" w:eastAsia="宋体" w:cs="宋体"/>
          <w:color w:val="auto"/>
          <w:szCs w:val="21"/>
          <w:highlight w:val="none"/>
          <w:lang w:val="en-US" w:eastAsia="zh-CN"/>
        </w:rPr>
        <w:t>地砖</w:t>
      </w:r>
      <w:r>
        <w:rPr>
          <w:rFonts w:hint="eastAsia" w:ascii="宋体" w:hAnsi="宋体" w:eastAsia="宋体" w:cs="宋体"/>
          <w:color w:val="auto"/>
          <w:szCs w:val="21"/>
          <w:highlight w:val="none"/>
        </w:rPr>
        <w:t>），列出保养计划和使用产品的名称及工作流程。</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保持雨天排水畅通，地面不积水；保持</w:t>
      </w:r>
      <w:r>
        <w:rPr>
          <w:rFonts w:hint="eastAsia" w:ascii="宋体" w:hAnsi="宋体" w:eastAsia="宋体" w:cs="宋体"/>
          <w:color w:val="auto"/>
          <w:szCs w:val="21"/>
          <w:highlight w:val="none"/>
          <w:lang w:eastAsia="zh-CN"/>
        </w:rPr>
        <w:t>化粪池及</w:t>
      </w:r>
      <w:r>
        <w:rPr>
          <w:rFonts w:hint="eastAsia" w:ascii="宋体" w:hAnsi="宋体" w:eastAsia="宋体" w:cs="宋体"/>
          <w:color w:val="auto"/>
          <w:szCs w:val="21"/>
          <w:highlight w:val="none"/>
        </w:rPr>
        <w:t>外周下水管道的通畅，确保环境安全。</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配合防治消除四害（蚊、蝇、鼠、蟑螂）工作，确保无鼠害、虫害。</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室内外垃圾随产随清，按规范要求分类收集、包装、储存、运输、确保不发生污染事故。</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因中标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管理因素造成医院及周边环境污染，以及人身伤害或由此引发的其它事故，由中标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承担全部责任。</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认真履行职责，严格按承包协议中的质量保证体系做好院内的清洁工作。确保人员在岗在位，各尽其职，保证符合卫生保洁服务的质量标准。</w:t>
      </w:r>
    </w:p>
    <w:tbl>
      <w:tblPr>
        <w:tblStyle w:val="24"/>
        <w:tblW w:w="9660" w:type="dxa"/>
        <w:tblInd w:w="-59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45"/>
        <w:gridCol w:w="3690"/>
        <w:gridCol w:w="2325"/>
        <w:gridCol w:w="11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1290" w:type="dxa"/>
            <w:tcBorders>
              <w:bottom w:val="double" w:color="auto" w:sz="4" w:space="0"/>
            </w:tcBorders>
            <w:noWrap w:val="0"/>
            <w:vAlign w:val="center"/>
          </w:tcPr>
          <w:p>
            <w:pPr>
              <w:widowControl/>
              <w:tabs>
                <w:tab w:val="left" w:pos="0"/>
                <w:tab w:val="left" w:pos="540"/>
              </w:tabs>
              <w:spacing w:before="0" w:beforeAutospacing="0" w:after="0" w:afterAutospacing="0"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区域</w:t>
            </w:r>
          </w:p>
        </w:tc>
        <w:tc>
          <w:tcPr>
            <w:tcW w:w="1245" w:type="dxa"/>
            <w:tcBorders>
              <w:bottom w:val="double" w:color="auto" w:sz="4" w:space="0"/>
            </w:tcBorders>
            <w:noWrap w:val="0"/>
            <w:vAlign w:val="center"/>
          </w:tcPr>
          <w:p>
            <w:pPr>
              <w:widowControl/>
              <w:tabs>
                <w:tab w:val="left" w:pos="0"/>
                <w:tab w:val="left" w:pos="540"/>
              </w:tabs>
              <w:spacing w:before="0" w:beforeAutospacing="0" w:after="0" w:afterAutospacing="0"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保洁频率</w:t>
            </w:r>
          </w:p>
        </w:tc>
        <w:tc>
          <w:tcPr>
            <w:tcW w:w="3690" w:type="dxa"/>
            <w:tcBorders>
              <w:bottom w:val="double" w:color="auto" w:sz="4" w:space="0"/>
            </w:tcBorders>
            <w:noWrap w:val="0"/>
            <w:vAlign w:val="center"/>
          </w:tcPr>
          <w:p>
            <w:pPr>
              <w:widowControl/>
              <w:tabs>
                <w:tab w:val="left" w:pos="0"/>
                <w:tab w:val="left" w:pos="540"/>
              </w:tabs>
              <w:spacing w:before="0" w:beforeAutospacing="0" w:after="0" w:afterAutospacing="0" w:line="440" w:lineRule="exact"/>
              <w:jc w:val="center"/>
              <w:rPr>
                <w:rFonts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保洁内容</w:t>
            </w:r>
          </w:p>
        </w:tc>
        <w:tc>
          <w:tcPr>
            <w:tcW w:w="2325" w:type="dxa"/>
            <w:tcBorders>
              <w:bottom w:val="double" w:color="auto" w:sz="4" w:space="0"/>
            </w:tcBorders>
            <w:noWrap w:val="0"/>
            <w:vAlign w:val="center"/>
          </w:tcPr>
          <w:p>
            <w:pPr>
              <w:widowControl/>
              <w:tabs>
                <w:tab w:val="left" w:pos="0"/>
                <w:tab w:val="left" w:pos="540"/>
              </w:tabs>
              <w:spacing w:before="0" w:beforeAutospacing="0" w:after="0" w:afterAutospacing="0" w:line="440" w:lineRule="exact"/>
              <w:ind w:left="440" w:hanging="440"/>
              <w:jc w:val="center"/>
              <w:rPr>
                <w:rFonts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保洁要求</w:t>
            </w:r>
          </w:p>
        </w:tc>
        <w:tc>
          <w:tcPr>
            <w:tcW w:w="1110" w:type="dxa"/>
            <w:tcBorders>
              <w:bottom w:val="double" w:color="auto" w:sz="4" w:space="0"/>
            </w:tcBorders>
            <w:noWrap w:val="0"/>
            <w:vAlign w:val="center"/>
          </w:tcPr>
          <w:p>
            <w:pPr>
              <w:widowControl/>
              <w:tabs>
                <w:tab w:val="left" w:pos="0"/>
                <w:tab w:val="left" w:pos="540"/>
              </w:tabs>
              <w:spacing w:before="0" w:beforeAutospacing="0" w:after="0" w:afterAutospacing="0" w:line="440" w:lineRule="exact"/>
              <w:ind w:left="440" w:hanging="440"/>
              <w:jc w:val="center"/>
              <w:rPr>
                <w:rFonts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tcBorders>
              <w:top w:val="double" w:color="auto" w:sz="4" w:space="0"/>
            </w:tcBorders>
            <w:noWrap w:val="0"/>
            <w:vAlign w:val="center"/>
          </w:tcPr>
          <w:p>
            <w:pPr>
              <w:widowControl/>
              <w:tabs>
                <w:tab w:val="left" w:pos="0"/>
                <w:tab w:val="left" w:pos="540"/>
              </w:tabs>
              <w:spacing w:before="0" w:beforeAutospacing="0" w:after="0" w:afterAutospacing="0" w:line="32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地面</w:t>
            </w:r>
          </w:p>
        </w:tc>
        <w:tc>
          <w:tcPr>
            <w:tcW w:w="1245" w:type="dxa"/>
            <w:tcBorders>
              <w:top w:val="double" w:color="auto" w:sz="4" w:space="0"/>
            </w:tcBorders>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地面每日清扫不少于二次，每月清洗一次，有垃圾及时清理</w:t>
            </w:r>
          </w:p>
        </w:tc>
        <w:tc>
          <w:tcPr>
            <w:tcW w:w="3690" w:type="dxa"/>
            <w:tcBorders>
              <w:top w:val="double" w:color="auto" w:sz="4" w:space="0"/>
            </w:tcBorders>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每日用全能清洁剂1：128稀释溶液拖地每日不少于二次。其中一次消毒液拖地。</w:t>
            </w:r>
          </w:p>
        </w:tc>
        <w:tc>
          <w:tcPr>
            <w:tcW w:w="2325" w:type="dxa"/>
            <w:tcBorders>
              <w:top w:val="double" w:color="auto" w:sz="4" w:space="0"/>
            </w:tcBorders>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地面无污渍、无痰迹、无垃圾、无积灰、无脚印，干净明亮</w:t>
            </w:r>
          </w:p>
        </w:tc>
        <w:tc>
          <w:tcPr>
            <w:tcW w:w="1110" w:type="dxa"/>
            <w:tcBorders>
              <w:top w:val="double" w:color="auto" w:sz="4" w:space="0"/>
            </w:tcBorders>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PVC地板、花岗岩、抛光砖等地面按规定时间上蜡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widowControl/>
              <w:tabs>
                <w:tab w:val="left" w:pos="0"/>
                <w:tab w:val="left" w:pos="540"/>
              </w:tabs>
              <w:spacing w:before="0" w:beforeAutospacing="0" w:after="0" w:afterAutospacing="0" w:line="32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墙面</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3米以下每日清洁</w:t>
            </w:r>
          </w:p>
        </w:tc>
        <w:tc>
          <w:tcPr>
            <w:tcW w:w="2325"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无污渍、无水迹、无浮灰、无蜘蛛网</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走廊扶手</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每日用全能清洁剂1：64稀释溶液清洁，每日用消毒液1：50檫洗一次</w:t>
            </w:r>
          </w:p>
        </w:tc>
        <w:tc>
          <w:tcPr>
            <w:tcW w:w="2325"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无污渍、无浮灰、无水迹、无烟蒂</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玻璃</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用玻璃清洁剂1：65稀释溶液清洁玻璃，每周一次，室内玻璃循环清洁</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玻璃明亮光洁，无污渍、无水迹</w:t>
            </w:r>
          </w:p>
        </w:tc>
        <w:tc>
          <w:tcPr>
            <w:tcW w:w="111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根据实际情况安排各房间循环清洁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卫生间</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坐便器随时保洁</w:t>
            </w:r>
          </w:p>
        </w:tc>
        <w:tc>
          <w:tcPr>
            <w:tcW w:w="3690" w:type="dxa"/>
            <w:noWrap w:val="0"/>
            <w:vAlign w:val="top"/>
          </w:tcPr>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1、打开换气扇或窗户进行通风。</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2、台盆、便器等放水冲洗。</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3、收集垃圾、清洁垃圾桶、换新垃圾袋。</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4、清洗台盆及水龙头。</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5、用洁厕消毒液清洗便器并冲洗。</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6、搽拭台面和墙面四周、门等。</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7、搽拭地面。</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随时保持畅通，无漏水，无异味、无污垢，垃圾袋定时更换</w:t>
            </w:r>
          </w:p>
        </w:tc>
        <w:tc>
          <w:tcPr>
            <w:tcW w:w="1110" w:type="dxa"/>
            <w:noWrap w:val="0"/>
            <w:vAlign w:val="top"/>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restart"/>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电梯</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每日二次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每日地面保洁，每日轿厢内消毒一次。</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无障碍、无划痕、无脱落；无灰尘、污迹</w:t>
            </w:r>
          </w:p>
        </w:tc>
        <w:tc>
          <w:tcPr>
            <w:tcW w:w="1110" w:type="dxa"/>
            <w:vMerge w:val="restart"/>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每周一次</w:t>
            </w:r>
          </w:p>
        </w:tc>
        <w:tc>
          <w:tcPr>
            <w:tcW w:w="369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不锈钢光亮剂全面保洁。</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均匀有光泽</w:t>
            </w:r>
          </w:p>
        </w:tc>
        <w:tc>
          <w:tcPr>
            <w:tcW w:w="1110" w:type="dxa"/>
            <w:vMerge w:val="continue"/>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公共设施</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每日用全能清洁剂1：64稀释溶液清洁一次。</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无污渍，无积灰、无蜘蛛网</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病人等候区</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等候椅每日用全能清洁剂1：64稀释溶液清洁，每日用施康1：50消毒一次。</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无垃圾、无浮灰、无烟蒂、无水迹</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诊察桌</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每日1：50施康消毒搽拭一次。</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无积灰、无污渍</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restart"/>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床单位</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每日清洁一次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每日用全能清洁剂1：64稀释溶液清洁一次</w:t>
            </w:r>
          </w:p>
        </w:tc>
        <w:tc>
          <w:tcPr>
            <w:tcW w:w="2325" w:type="dxa"/>
            <w:vMerge w:val="restart"/>
            <w:noWrap w:val="0"/>
            <w:vAlign w:val="center"/>
          </w:tcPr>
          <w:p>
            <w:pPr>
              <w:spacing w:line="320" w:lineRule="exact"/>
              <w:ind w:left="440" w:hanging="440"/>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无灰</w:t>
            </w:r>
          </w:p>
        </w:tc>
        <w:tc>
          <w:tcPr>
            <w:tcW w:w="1110" w:type="dxa"/>
            <w:vMerge w:val="restart"/>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出院后终末消毒</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用1：50施康搽拭床栏、床头柜、床档、陪护椅。床边消毒机消毒。</w:t>
            </w:r>
          </w:p>
        </w:tc>
        <w:tc>
          <w:tcPr>
            <w:tcW w:w="2325" w:type="dxa"/>
            <w:vMerge w:val="continue"/>
            <w:noWrap w:val="0"/>
            <w:vAlign w:val="center"/>
          </w:tcPr>
          <w:p>
            <w:pPr>
              <w:spacing w:line="320" w:lineRule="exact"/>
              <w:ind w:left="440" w:hanging="440"/>
              <w:jc w:val="left"/>
              <w:rPr>
                <w:rFonts w:ascii="宋体" w:hAnsi="宋体" w:eastAsia="宋体" w:cs="宋体"/>
                <w:color w:val="auto"/>
                <w:szCs w:val="21"/>
                <w:highlight w:val="none"/>
              </w:rPr>
            </w:pPr>
          </w:p>
        </w:tc>
        <w:tc>
          <w:tcPr>
            <w:tcW w:w="1110" w:type="dxa"/>
            <w:vMerge w:val="continue"/>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死亡病人终末消毒</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床边消毒机消毒后，用1：50施康搽拭床栏、床头柜、床档、凳子。</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输液架</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每日用全能清洁剂1：64稀释溶液清洁一次</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无灰</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输液椅</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每日清洁一次</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337" w:leftChars="-50" w:right="-105" w:rightChars="-50" w:hanging="4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推车轮椅</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每日搽拭</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每周添加润滑油</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无结灰、无异响</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吸顶灯具</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每周用全能清洁剂1：64稀释溶液清洁一次灯具外侧</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无灰</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空调出风口</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每周用全能清洁剂1:64稀释溶液清洁一次</w:t>
            </w:r>
          </w:p>
        </w:tc>
        <w:tc>
          <w:tcPr>
            <w:tcW w:w="2325" w:type="dxa"/>
            <w:noWrap w:val="0"/>
            <w:vAlign w:val="center"/>
          </w:tcPr>
          <w:p>
            <w:pPr>
              <w:spacing w:line="320" w:lineRule="exact"/>
              <w:ind w:left="440" w:hanging="440"/>
              <w:jc w:val="left"/>
              <w:rPr>
                <w:rFonts w:ascii="宋体" w:hAnsi="宋体" w:eastAsia="宋体" w:cs="宋体"/>
                <w:color w:val="auto"/>
                <w:szCs w:val="21"/>
                <w:highlight w:val="none"/>
              </w:rPr>
            </w:pPr>
            <w:r>
              <w:rPr>
                <w:rFonts w:hint="eastAsia" w:ascii="宋体" w:hAnsi="宋体" w:eastAsia="宋体" w:cs="宋体"/>
                <w:color w:val="auto"/>
                <w:szCs w:val="21"/>
                <w:highlight w:val="none"/>
              </w:rPr>
              <w:t>无灰</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室内公共</w:t>
            </w:r>
          </w:p>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每日一次</w:t>
            </w:r>
          </w:p>
        </w:tc>
        <w:tc>
          <w:tcPr>
            <w:tcW w:w="3690" w:type="dxa"/>
            <w:noWrap w:val="0"/>
            <w:vAlign w:val="center"/>
          </w:tcPr>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1、收集垃圾、清洁垃圾桶、换新垃圾袋。</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2、清扫地面垃圾。</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3、拖大厅、过道、走廊地面。</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4、清洁户墙、厅柱、盆景。</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5、搽拭窗台、窗框、木门。</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6、搽拭楼梯扶手、拖楼梯地面。</w:t>
            </w:r>
          </w:p>
          <w:p>
            <w:pPr>
              <w:widowControl/>
              <w:tabs>
                <w:tab w:val="left" w:pos="0"/>
                <w:tab w:val="left" w:pos="540"/>
              </w:tabs>
              <w:overflowPunct w:val="0"/>
              <w:autoSpaceDE w:val="0"/>
              <w:autoSpaceDN w:val="0"/>
              <w:adjustRightInd w:val="0"/>
              <w:spacing w:before="0" w:beforeAutospacing="0" w:after="0" w:afterAutospacing="0" w:line="320" w:lineRule="exact"/>
              <w:jc w:val="left"/>
              <w:textAlignment w:val="baseline"/>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6、清洁天花板及灯具。</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无垃圾、无浮灰、无烟蒂、无水迹</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办公桌椅、电话、电脑等室内设施</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每日一次</w:t>
            </w:r>
          </w:p>
        </w:tc>
        <w:tc>
          <w:tcPr>
            <w:tcW w:w="3690" w:type="dxa"/>
            <w:noWrap w:val="0"/>
            <w:vAlign w:val="center"/>
          </w:tcPr>
          <w:p>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每日1：50施康消毒搽拭一次，烟灰缸倾倒清洗。</w:t>
            </w:r>
          </w:p>
        </w:tc>
        <w:tc>
          <w:tcPr>
            <w:tcW w:w="232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无积灰、无污渍</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restart"/>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外围及</w:t>
            </w:r>
          </w:p>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外环境</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循环保洁；</w:t>
            </w:r>
          </w:p>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每日清扫一次</w:t>
            </w:r>
          </w:p>
        </w:tc>
        <w:tc>
          <w:tcPr>
            <w:tcW w:w="369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地面清扫、不定期冲洗</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干净、无杂物树叶、无污迹、无明显泥沙</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循环保洁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绿化带清扫，收集垃圾</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干净、无杂物枯叶、无大石头</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每日及时发现及时清理</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各类明沟、雨水井、排水井清洁堵塞物。</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干净、无杂物、排水通畅</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公共设施抹擦</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干净、无灰网</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vMerge w:val="continue"/>
            <w:noWrap w:val="0"/>
            <w:vAlign w:val="center"/>
          </w:tcPr>
          <w:p>
            <w:pPr>
              <w:spacing w:line="320" w:lineRule="exact"/>
              <w:ind w:left="440" w:hanging="440"/>
              <w:jc w:val="center"/>
              <w:rPr>
                <w:rFonts w:ascii="宋体" w:hAnsi="宋体" w:eastAsia="宋体" w:cs="宋体"/>
                <w:color w:val="auto"/>
                <w:szCs w:val="21"/>
                <w:highlight w:val="none"/>
              </w:rPr>
            </w:pP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花盆、垃圾桶抹擦、清倒</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干净、无积灰、无污迹、无杂物、无烟灰</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ind w:left="440" w:hanging="44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化粪池</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隔天一次</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清理漂浮物及堵塞物</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通畅无堵塞</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90"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顶篷、露天阳台等</w:t>
            </w:r>
          </w:p>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边缘区域</w:t>
            </w:r>
          </w:p>
        </w:tc>
        <w:tc>
          <w:tcPr>
            <w:tcW w:w="1245" w:type="dxa"/>
            <w:noWrap w:val="0"/>
            <w:vAlign w:val="center"/>
          </w:tcPr>
          <w:p>
            <w:pPr>
              <w:widowControl/>
              <w:tabs>
                <w:tab w:val="left" w:pos="0"/>
                <w:tab w:val="left" w:pos="540"/>
              </w:tabs>
              <w:spacing w:before="0" w:beforeAutospacing="0" w:after="0" w:afterAutospacing="0"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每日保洁</w:t>
            </w:r>
          </w:p>
        </w:tc>
        <w:tc>
          <w:tcPr>
            <w:tcW w:w="3690" w:type="dxa"/>
            <w:noWrap w:val="0"/>
            <w:vAlign w:val="center"/>
          </w:tcPr>
          <w:p>
            <w:pPr>
              <w:widowControl/>
              <w:tabs>
                <w:tab w:val="left" w:pos="0"/>
                <w:tab w:val="left" w:pos="540"/>
              </w:tabs>
              <w:spacing w:before="0" w:beforeAutospacing="0" w:after="0" w:afterAutospacing="0" w:line="320" w:lineRule="exac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沟槽、地面、篷面不定期清扫、冲洗，清洁堵塞物</w:t>
            </w:r>
          </w:p>
        </w:tc>
        <w:tc>
          <w:tcPr>
            <w:tcW w:w="2325" w:type="dxa"/>
            <w:noWrap w:val="0"/>
            <w:vAlign w:val="center"/>
          </w:tcPr>
          <w:p>
            <w:pPr>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沟槽无堵塞物，地面、</w:t>
            </w:r>
            <w:r>
              <w:rPr>
                <w:rFonts w:hint="eastAsia" w:ascii="宋体" w:hAnsi="宋体" w:eastAsia="宋体" w:cs="宋体"/>
                <w:color w:val="auto"/>
                <w:kern w:val="0"/>
                <w:sz w:val="21"/>
                <w:szCs w:val="21"/>
                <w:highlight w:val="none"/>
                <w:lang w:val="en-US" w:eastAsia="zh-CN" w:bidi="ar-SA"/>
              </w:rPr>
              <w:t>篷面</w:t>
            </w:r>
            <w:r>
              <w:rPr>
                <w:rFonts w:hint="eastAsia" w:ascii="宋体" w:hAnsi="宋体" w:eastAsia="宋体" w:cs="宋体"/>
                <w:color w:val="auto"/>
                <w:szCs w:val="21"/>
                <w:highlight w:val="none"/>
              </w:rPr>
              <w:t>无污迹，无杂物堆放，边缘区域无蛛丝、脏物</w:t>
            </w:r>
          </w:p>
        </w:tc>
        <w:tc>
          <w:tcPr>
            <w:tcW w:w="1110" w:type="dxa"/>
            <w:noWrap w:val="0"/>
            <w:vAlign w:val="center"/>
          </w:tcPr>
          <w:p>
            <w:pPr>
              <w:widowControl/>
              <w:tabs>
                <w:tab w:val="left" w:pos="0"/>
                <w:tab w:val="left" w:pos="540"/>
              </w:tabs>
              <w:spacing w:before="0" w:beforeAutospacing="0" w:after="0" w:afterAutospacing="0" w:line="320" w:lineRule="exact"/>
              <w:ind w:left="440" w:hanging="440"/>
              <w:jc w:val="left"/>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660" w:type="dxa"/>
            <w:gridSpan w:val="5"/>
            <w:noWrap w:val="0"/>
            <w:vAlign w:val="top"/>
          </w:tcPr>
          <w:p>
            <w:pPr>
              <w:rPr>
                <w:lang w:val="en-US" w:eastAsia="zh-CN"/>
              </w:rPr>
            </w:pPr>
            <w:r>
              <w:rPr>
                <w:rFonts w:hint="eastAsia"/>
                <w:lang w:val="en-US" w:eastAsia="zh-CN"/>
              </w:rPr>
              <w:t>随时清洁、循环清洁，保证区域内无垃圾等目视污物，整体干净明亮。</w:t>
            </w:r>
          </w:p>
          <w:p>
            <w:pPr>
              <w:rPr>
                <w:lang w:val="en-US" w:eastAsia="zh-CN"/>
              </w:rPr>
            </w:pPr>
            <w:r>
              <w:rPr>
                <w:rFonts w:hint="eastAsia"/>
                <w:lang w:val="en-US" w:eastAsia="zh-CN"/>
              </w:rPr>
              <w:t>保洁员在每天下班前半小时对各自承包区域进行自查，发现问题及时处理。</w:t>
            </w:r>
          </w:p>
        </w:tc>
      </w:tr>
    </w:tbl>
    <w:p>
      <w:pPr>
        <w:numPr>
          <w:ilvl w:val="0"/>
          <w:numId w:val="4"/>
        </w:numPr>
        <w:spacing w:line="400" w:lineRule="exact"/>
        <w:ind w:left="425" w:leftChars="0" w:firstLine="0" w:firstLineChars="0"/>
        <w:rPr>
          <w:rFonts w:ascii="宋体" w:hAnsi="宋体" w:eastAsia="宋体" w:cs="宋体"/>
          <w:b/>
          <w:bCs/>
          <w:color w:val="auto"/>
          <w:szCs w:val="21"/>
          <w:highlight w:val="none"/>
        </w:rPr>
      </w:pPr>
      <w:bookmarkStart w:id="1" w:name="_Toc385056207"/>
      <w:r>
        <w:rPr>
          <w:rFonts w:hint="eastAsia" w:ascii="宋体" w:hAnsi="宋体" w:eastAsia="宋体" w:cs="宋体"/>
          <w:b/>
          <w:bCs/>
          <w:color w:val="auto"/>
          <w:szCs w:val="21"/>
          <w:highlight w:val="none"/>
        </w:rPr>
        <w:t>病区保洁员工作范围和要求</w:t>
      </w:r>
      <w:bookmarkEnd w:id="1"/>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整理、擦拭护士站、治疗室、换药室、仪器室、处置室、厕所等地面、台面及物品等。</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每天擦拭空气消毒机外表面，每周彻底擦拭一次，清洗滤网。</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分发新病人的盖被、床单、枕套、病员服、饮用水瓶，一次性物品的发放及登记（面盆、一次性大小便器）。</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次给病人和医护人员发送饮用热水。</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负责病区床单被套等更换及</w:t>
      </w:r>
      <w:r>
        <w:rPr>
          <w:rFonts w:hint="eastAsia" w:ascii="宋体" w:hAnsi="宋体" w:eastAsia="宋体" w:cs="宋体"/>
          <w:color w:val="auto"/>
          <w:szCs w:val="21"/>
          <w:highlight w:val="none"/>
        </w:rPr>
        <w:t>出院病人整理床单</w:t>
      </w:r>
      <w:r>
        <w:rPr>
          <w:rFonts w:hint="eastAsia" w:ascii="宋体" w:hAnsi="宋体" w:eastAsia="宋体" w:cs="宋体"/>
          <w:color w:val="auto"/>
          <w:szCs w:val="21"/>
          <w:highlight w:val="none"/>
          <w:lang w:eastAsia="zh-CN"/>
        </w:rPr>
        <w:t>位</w:t>
      </w:r>
      <w:r>
        <w:rPr>
          <w:rFonts w:hint="eastAsia" w:ascii="宋体" w:hAnsi="宋体" w:eastAsia="宋体" w:cs="宋体"/>
          <w:color w:val="auto"/>
          <w:szCs w:val="21"/>
          <w:highlight w:val="none"/>
        </w:rPr>
        <w:t>并终</w:t>
      </w:r>
      <w:r>
        <w:rPr>
          <w:rFonts w:hint="eastAsia" w:ascii="宋体" w:hAnsi="宋体" w:cs="宋体"/>
          <w:color w:val="auto"/>
          <w:szCs w:val="21"/>
          <w:highlight w:val="none"/>
          <w:lang w:val="en-US" w:eastAsia="zh-CN"/>
        </w:rPr>
        <w:t>末</w:t>
      </w:r>
      <w:r>
        <w:rPr>
          <w:rFonts w:hint="eastAsia" w:ascii="宋体" w:hAnsi="宋体" w:eastAsia="宋体" w:cs="宋体"/>
          <w:color w:val="auto"/>
          <w:szCs w:val="21"/>
          <w:highlight w:val="none"/>
        </w:rPr>
        <w:t>消毒。</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协助搬床(加床搬至病房)。</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协助保管整理病区棉絮及布类物品，每月盘点一次并记录。</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每日一次更换、消毒热水瓶瓶塞，每周清洁、擦拭热水瓶外壳一次。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擦拭、消毒氧气架、输液吊杆及挂钩。</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每日倾倒、清洗大小便器、痰盂</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每日倾倒、清洗吸痰器储液瓶。（由护士统一卸下，工人清洗后由护士装上）</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根据病区要求收送、清点、更换医、护值班室的床上用品及医、护工作服。</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每周清洁擦拭及消毒治疗车、护理车、病历车、平车、轮椅及其它运送车。每周清洗护理车污衣</w:t>
      </w:r>
      <w:r>
        <w:rPr>
          <w:rFonts w:hint="eastAsia" w:ascii="宋体" w:hAnsi="宋体" w:eastAsia="宋体" w:cs="宋体"/>
          <w:color w:val="auto"/>
          <w:szCs w:val="21"/>
          <w:highlight w:val="none"/>
          <w:lang w:val="en-US" w:eastAsia="zh-CN"/>
        </w:rPr>
        <w:t>袋</w:t>
      </w:r>
      <w:r>
        <w:rPr>
          <w:rFonts w:hint="eastAsia" w:ascii="宋体" w:hAnsi="宋体" w:eastAsia="宋体" w:cs="宋体"/>
          <w:color w:val="auto"/>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w:t>
      </w:r>
      <w:r>
        <w:rPr>
          <w:rFonts w:hint="eastAsia" w:ascii="宋体" w:hAnsi="宋体" w:eastAsia="宋体" w:cs="宋体"/>
          <w:color w:val="auto"/>
          <w:szCs w:val="21"/>
          <w:highlight w:val="none"/>
          <w:lang w:eastAsia="zh-CN"/>
        </w:rPr>
        <w:t>周</w:t>
      </w:r>
      <w:r>
        <w:rPr>
          <w:rFonts w:hint="eastAsia" w:ascii="宋体" w:hAnsi="宋体" w:eastAsia="宋体" w:cs="宋体"/>
          <w:color w:val="auto"/>
          <w:szCs w:val="21"/>
          <w:highlight w:val="none"/>
        </w:rPr>
        <w:t>擦拭、消毒病历及病历柜一次。</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每周清洗、消毒血压计袖带，按照医院的统一部署，每年2次送血压计进行校准检测。</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每周给各种车辆滑轮加油，清理线头。</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协助病区管理床旁椅及病人自带衣服的晾晒。</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严格按规定分类处置一次性医用性垃圾，清点回收医疗废弃物并运送到病区指定暂存点（黄色医疗垃圾箱）。</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严格按规定分类处置生活垃圾、可利用废弃物。</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每周擦拭中央空调、立柜空调及挂壁空调及出风口。</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手术室、各重症监护病房及特殊部门，需要每日清洗拖鞋。</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听从护士长及科主任的合理安排及调派。</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驻守服务人员职责</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ICU驻守服务人员职责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每日两次开窗通风，每次30分钟。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按</w:t>
      </w:r>
      <w:r>
        <w:rPr>
          <w:rFonts w:hint="eastAsia" w:ascii="宋体" w:hAnsi="宋体" w:eastAsia="宋体" w:cs="宋体"/>
          <w:bCs/>
          <w:color w:val="auto"/>
          <w:szCs w:val="21"/>
          <w:highlight w:val="none"/>
          <w:lang w:eastAsia="zh-CN"/>
        </w:rPr>
        <w:t>院感</w:t>
      </w:r>
      <w:r>
        <w:rPr>
          <w:rFonts w:hint="eastAsia" w:ascii="宋体" w:hAnsi="宋体" w:eastAsia="宋体" w:cs="宋体"/>
          <w:bCs/>
          <w:color w:val="auto"/>
          <w:szCs w:val="21"/>
          <w:highlight w:val="none"/>
        </w:rPr>
        <w:t>要求做好病房内外所有包干区域的卫生，扫地，拖地每日至少3次（必要时用消毒剂），保持各区域清洁。每日清洗水槽、厕所。清洗消毒晾干拖把、抹布，做好工具的分类放置和保管，保持整洁。随时收集清理各病室内的垃圾和脏被服并按要求分类放置，每日清洗所有的垃圾桶并保持清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rPr>
        <w:t xml:space="preserve">每日进行床单位、床边仪器及设备带擦灰；每日用消毒液擦床，方法是一床一巾，先擦床头柜、仪器等较干净的区域，再自上而下擦拭床铺，并整理床铺下面的物品。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按要求做好病房内外（包干区）所有固定物品、家具等擦灰，如每日擦拭门、窗、桌面、柜子、台面等，保持清洁无污迹。每天清洁电脑、电话、微波炉、冰箱和冰柜，冰箱、冰柜每月除霜1次。每周清洁病区墙面及天花板。</w:t>
      </w:r>
      <w:r>
        <w:rPr>
          <w:rFonts w:hint="eastAsia" w:ascii="宋体" w:hAnsi="宋体" w:eastAsia="宋体" w:cs="宋体"/>
          <w:color w:val="auto"/>
          <w:szCs w:val="21"/>
          <w:highlight w:val="none"/>
        </w:rPr>
        <w:t>每周清洁擦拭及消毒治疗车、护理车、病历车、平车、轮椅及其它运送车。每周清洗护理车污衣</w:t>
      </w:r>
      <w:r>
        <w:rPr>
          <w:rFonts w:hint="eastAsia" w:ascii="宋体" w:hAnsi="宋体" w:eastAsia="宋体" w:cs="宋体"/>
          <w:color w:val="auto"/>
          <w:szCs w:val="21"/>
          <w:highlight w:val="none"/>
          <w:lang w:eastAsia="zh-CN"/>
        </w:rPr>
        <w:t>袋</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清洗科室内除外送清洗的各类物品（如约束带，沙袋套，冰袋套等）。每日清洗复用鞋套1次。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每日清点整理工作服并记录，放置指定位置，保持衣柜及被服柜内整齐。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清点记录送洗脏被服等物品，接收并清点干净衣服被套，如发现不正确时及时与洗衣房人员联系。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负责工作人员值班室内被服的发放及更换。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负责处理</w:t>
      </w:r>
      <w:r>
        <w:rPr>
          <w:rFonts w:hint="eastAsia" w:ascii="宋体" w:hAnsi="宋体" w:eastAsia="宋体" w:cs="宋体"/>
          <w:bCs/>
          <w:color w:val="auto"/>
          <w:szCs w:val="21"/>
          <w:highlight w:val="none"/>
          <w:lang w:val="en-US" w:eastAsia="zh-CN"/>
        </w:rPr>
        <w:t>ICU患者的排泄物，包括大便、小便、呕吐物等需按院感要求处理。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负责开水间的管理（安全，卫生）及打开水。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每日</w:t>
      </w:r>
      <w:r>
        <w:rPr>
          <w:rFonts w:hint="eastAsia" w:ascii="宋体" w:hAnsi="宋体" w:eastAsia="宋体" w:cs="宋体"/>
          <w:bCs/>
          <w:color w:val="auto"/>
          <w:szCs w:val="21"/>
          <w:highlight w:val="none"/>
          <w:lang w:eastAsia="zh-CN"/>
        </w:rPr>
        <w:t>规定</w:t>
      </w:r>
      <w:r>
        <w:rPr>
          <w:rFonts w:hint="eastAsia" w:ascii="宋体" w:hAnsi="宋体" w:eastAsia="宋体" w:cs="宋体"/>
          <w:bCs/>
          <w:color w:val="auto"/>
          <w:szCs w:val="21"/>
          <w:highlight w:val="none"/>
        </w:rPr>
        <w:t>探视时间发放家属隔离衣，控制探视人数。探视结束回收衣物。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要求上班时间不离岗，严格执行个人防护措施，遵守消毒隔离的规定。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lang w:eastAsia="zh-CN"/>
        </w:rPr>
        <w:t>协助护士做好患者的翻身工作。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Cs/>
          <w:color w:val="auto"/>
          <w:szCs w:val="21"/>
          <w:highlight w:val="none"/>
          <w:lang w:eastAsia="zh-CN"/>
        </w:rPr>
        <w:t>听从护士长及科主任的合理安排及调派。</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消毒供应中心驻守服务人员职责</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消毒供应中心驻守人员职责一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负责病区、门诊、急诊及手术室所有器械、器具及一次性物品的下收、下送</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每日负责下收</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下送车、运送工具及清洗工具清洗、消毒</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负责一次性物品库房的拆箱、搬运、整理。</w:t>
      </w:r>
    </w:p>
    <w:p>
      <w:pPr>
        <w:spacing w:line="400" w:lineRule="exact"/>
        <w:ind w:firstLine="420" w:firstLineChars="200"/>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工作质量要求：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下收物品时必须与病房护士当面清点，保证品名及数量的准确</w:t>
      </w:r>
      <w:r>
        <w:rPr>
          <w:rFonts w:hint="eastAsia" w:ascii="宋体" w:hAnsi="宋体" w:eastAsia="宋体" w:cs="宋体"/>
          <w:bCs/>
          <w:color w:val="auto"/>
          <w:szCs w:val="21"/>
          <w:highlight w:val="none"/>
          <w:lang w:eastAsia="zh-CN"/>
        </w:rPr>
        <w:t>，与申请单相符</w:t>
      </w:r>
      <w:r>
        <w:rPr>
          <w:rFonts w:hint="eastAsia" w:ascii="宋体" w:hAnsi="宋体" w:eastAsia="宋体" w:cs="宋体"/>
          <w:bCs/>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Cs/>
          <w:color w:val="auto"/>
          <w:szCs w:val="21"/>
          <w:highlight w:val="none"/>
        </w:rPr>
        <w:t>下送物品时</w:t>
      </w:r>
      <w:r>
        <w:rPr>
          <w:rFonts w:hint="eastAsia" w:ascii="宋体" w:hAnsi="宋体" w:eastAsia="宋体" w:cs="宋体"/>
          <w:bCs/>
          <w:color w:val="auto"/>
          <w:szCs w:val="21"/>
          <w:highlight w:val="none"/>
          <w:lang w:eastAsia="zh-CN"/>
        </w:rPr>
        <w:t>严格按照清单发放，</w:t>
      </w:r>
      <w:r>
        <w:rPr>
          <w:rFonts w:hint="eastAsia" w:ascii="宋体" w:hAnsi="宋体" w:eastAsia="宋体" w:cs="宋体"/>
          <w:bCs/>
          <w:color w:val="auto"/>
          <w:szCs w:val="21"/>
          <w:highlight w:val="none"/>
        </w:rPr>
        <w:t>必须与病房护士当面清点，保证品名及数量的准确。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Cs/>
          <w:color w:val="auto"/>
          <w:szCs w:val="21"/>
          <w:highlight w:val="none"/>
          <w:lang w:eastAsia="zh-CN"/>
        </w:rPr>
        <w:t>协助</w:t>
      </w:r>
      <w:r>
        <w:rPr>
          <w:rFonts w:hint="eastAsia" w:ascii="宋体" w:hAnsi="宋体" w:eastAsia="宋体" w:cs="宋体"/>
          <w:bCs/>
          <w:color w:val="auto"/>
          <w:szCs w:val="21"/>
          <w:highlight w:val="none"/>
        </w:rPr>
        <w:t>每</w:t>
      </w:r>
      <w:r>
        <w:rPr>
          <w:rFonts w:hint="eastAsia" w:ascii="宋体" w:hAnsi="宋体" w:eastAsia="宋体" w:cs="宋体"/>
          <w:bCs/>
          <w:color w:val="auto"/>
          <w:szCs w:val="21"/>
          <w:highlight w:val="none"/>
          <w:lang w:eastAsia="zh-CN"/>
        </w:rPr>
        <w:t>月</w:t>
      </w:r>
      <w:r>
        <w:rPr>
          <w:rFonts w:hint="eastAsia" w:ascii="宋体" w:hAnsi="宋体" w:eastAsia="宋体" w:cs="宋体"/>
          <w:bCs/>
          <w:color w:val="auto"/>
          <w:szCs w:val="21"/>
          <w:highlight w:val="none"/>
        </w:rPr>
        <w:t>盘点一次性库房，保证出入库的准确。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Cs/>
          <w:color w:val="auto"/>
          <w:szCs w:val="21"/>
          <w:highlight w:val="none"/>
          <w:lang w:eastAsia="zh-CN"/>
        </w:rPr>
        <w:t>下收、下送物资</w:t>
      </w:r>
      <w:r>
        <w:rPr>
          <w:rFonts w:hint="eastAsia" w:ascii="宋体" w:hAnsi="宋体" w:eastAsia="宋体" w:cs="宋体"/>
          <w:bCs/>
          <w:color w:val="auto"/>
          <w:szCs w:val="21"/>
          <w:highlight w:val="none"/>
        </w:rPr>
        <w:t>严格按照工作流程执行</w:t>
      </w:r>
      <w:r>
        <w:rPr>
          <w:rFonts w:hint="eastAsia" w:ascii="宋体" w:hAnsi="宋体" w:eastAsia="宋体" w:cs="宋体"/>
          <w:bCs/>
          <w:color w:val="auto"/>
          <w:szCs w:val="21"/>
          <w:highlight w:val="none"/>
          <w:lang w:eastAsia="zh-CN"/>
        </w:rPr>
        <w:t>，保证物品在下送过程中不被污染</w:t>
      </w:r>
      <w:r>
        <w:rPr>
          <w:rFonts w:hint="eastAsia" w:ascii="宋体" w:hAnsi="宋体" w:eastAsia="宋体" w:cs="宋体"/>
          <w:bCs/>
          <w:color w:val="auto"/>
          <w:szCs w:val="21"/>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消毒供应中心驻守人员职责二</w:t>
      </w:r>
    </w:p>
    <w:p>
      <w:pPr>
        <w:spacing w:line="400" w:lineRule="exact"/>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负责</w:t>
      </w:r>
      <w:r>
        <w:rPr>
          <w:rFonts w:hint="eastAsia" w:ascii="宋体" w:hAnsi="宋体" w:eastAsia="宋体" w:cs="宋体"/>
          <w:color w:val="auto"/>
          <w:szCs w:val="21"/>
          <w:highlight w:val="none"/>
        </w:rPr>
        <w:t>消毒供应中心所有区域的地面、台面、墙壁、柜子、门窗</w:t>
      </w:r>
      <w:r>
        <w:rPr>
          <w:rFonts w:hint="eastAsia" w:ascii="宋体" w:hAnsi="宋体" w:eastAsia="宋体" w:cs="宋体"/>
          <w:color w:val="auto"/>
          <w:szCs w:val="21"/>
          <w:highlight w:val="none"/>
          <w:lang w:eastAsia="zh-CN"/>
        </w:rPr>
        <w:t>及机器外表面</w:t>
      </w:r>
      <w:r>
        <w:rPr>
          <w:rFonts w:hint="eastAsia" w:ascii="宋体" w:hAnsi="宋体" w:eastAsia="宋体" w:cs="宋体"/>
          <w:color w:val="auto"/>
          <w:szCs w:val="21"/>
          <w:highlight w:val="none"/>
        </w:rPr>
        <w:t xml:space="preserve">等的保洁和整理，要求随时保持环境整洁，服从护士长安排。 </w:t>
      </w:r>
    </w:p>
    <w:p>
      <w:pPr>
        <w:spacing w:line="400" w:lineRule="exact"/>
        <w:ind w:firstLine="411" w:firstLineChars="196"/>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工作质量要求：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各区域的拖把、抹布要分类使用，使用后及时清洗、消毒。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rPr>
        <w:t>定期对工作区域内的拖鞋进行清洗、消毒。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rPr>
        <w:t>保证消毒供应中心的整洁。</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手术室驻守服务人员职责</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手术室驻守人员职责一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手术室工人按照手术所需弹性排班，工人每周轮流换班。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手术室各区域内卫生实时保洁，每日手术室内外走廊包括办公区域早、中、晚用1:1</w:t>
      </w:r>
      <w:r>
        <w:rPr>
          <w:rFonts w:hint="eastAsia" w:ascii="宋体" w:hAnsi="宋体" w:eastAsia="宋体" w:cs="宋体"/>
          <w:color w:val="auto"/>
          <w:szCs w:val="21"/>
          <w:highlight w:val="none"/>
          <w:lang w:val="en-US" w:eastAsia="zh-CN"/>
        </w:rPr>
        <w:t>000高效</w:t>
      </w:r>
      <w:r>
        <w:rPr>
          <w:rFonts w:hint="eastAsia" w:ascii="宋体" w:hAnsi="宋体" w:eastAsia="宋体" w:cs="宋体"/>
          <w:color w:val="auto"/>
          <w:szCs w:val="21"/>
          <w:highlight w:val="none"/>
        </w:rPr>
        <w:t>消毒液拖地各</w:t>
      </w:r>
      <w:r>
        <w:rPr>
          <w:rFonts w:hint="eastAsia" w:ascii="宋体" w:hAnsi="宋体" w:eastAsia="宋体" w:cs="宋体"/>
          <w:color w:val="auto"/>
          <w:szCs w:val="21"/>
          <w:highlight w:val="none"/>
          <w:lang w:eastAsia="zh-CN"/>
        </w:rPr>
        <w:t>两</w:t>
      </w:r>
      <w:r>
        <w:rPr>
          <w:rFonts w:hint="eastAsia" w:ascii="宋体" w:hAnsi="宋体" w:eastAsia="宋体" w:cs="宋体"/>
          <w:color w:val="auto"/>
          <w:szCs w:val="21"/>
          <w:highlight w:val="none"/>
        </w:rPr>
        <w:t>次，办公区域物品表面擦拭早、中、晚各一次，更换垃圾袋早、中、晚各一次，垃圾较多时随时更换。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每台手术结束后清理手术间污被服，更换垃圾袋、利器盒，用1:1</w:t>
      </w:r>
      <w:r>
        <w:rPr>
          <w:rFonts w:hint="eastAsia" w:ascii="宋体" w:hAnsi="宋体" w:eastAsia="宋体" w:cs="宋体"/>
          <w:color w:val="auto"/>
          <w:szCs w:val="21"/>
          <w:highlight w:val="none"/>
          <w:lang w:val="en-US" w:eastAsia="zh-CN"/>
        </w:rPr>
        <w:t>000高效</w:t>
      </w:r>
      <w:r>
        <w:rPr>
          <w:rFonts w:hint="eastAsia" w:ascii="宋体" w:hAnsi="宋体" w:eastAsia="宋体" w:cs="宋体"/>
          <w:color w:val="auto"/>
          <w:szCs w:val="21"/>
          <w:highlight w:val="none"/>
        </w:rPr>
        <w:t>消毒液擦拭手术间内物品表面及拖地。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手术间内所有手术结束后，清理手术间被服，更换垃圾袋、利器盒，彻底清扫手术间内地面，包括各种死角（如手术床下面、麻醉机附近、各种器械车下面），</w:t>
      </w:r>
      <w:r>
        <w:rPr>
          <w:rFonts w:hint="eastAsia" w:ascii="宋体" w:hAnsi="宋体" w:cs="宋体"/>
          <w:color w:val="auto"/>
          <w:szCs w:val="21"/>
          <w:highlight w:val="none"/>
          <w:lang w:val="en-US" w:eastAsia="zh-CN"/>
        </w:rPr>
        <w:t>按照手术室相关制度要求使用相应的消毒液擦拭所有物品表面包括壁柜内、墙面、地面等</w:t>
      </w:r>
      <w:r>
        <w:rPr>
          <w:rFonts w:hint="eastAsia" w:ascii="宋体" w:hAnsi="宋体" w:eastAsia="宋体" w:cs="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每日晨配置</w:t>
      </w:r>
      <w:r>
        <w:rPr>
          <w:rFonts w:hint="eastAsia" w:ascii="宋体" w:hAnsi="宋体" w:cs="宋体"/>
          <w:color w:val="auto"/>
          <w:szCs w:val="21"/>
          <w:highlight w:val="none"/>
          <w:lang w:val="en-US" w:eastAsia="zh-CN"/>
        </w:rPr>
        <w:t>规定浓度的消毒液</w:t>
      </w:r>
      <w:r>
        <w:rPr>
          <w:rFonts w:hint="eastAsia" w:ascii="宋体" w:hAnsi="宋体" w:eastAsia="宋体" w:cs="宋体"/>
          <w:color w:val="auto"/>
          <w:szCs w:val="21"/>
          <w:highlight w:val="none"/>
        </w:rPr>
        <w:t>，安装拖把头，使用后拖把头清洗烘干，拖把杆分类放置。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每日早、中、晚添加手术间内盐水、平衡液、麻醉穿刺包、手套等物品。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每天及时清洗手术间内擦拭抹布，干净抹布及时放在固定位置备用。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每天清扫男女更衣室，及时清理脏洗手衣裤，上下午至少</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次，夜间1次，晨1次。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每周六、周日彻底清扫每间手术间，包括地面、所有物品表面、墙面、壁柜内、空调通风口、床底、麻醉机附近、各种仪器车下面，更换手术床床罩、床单及被套，做好卫生登记并签名。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每周六、周日彻底清扫护士办公室、麻醉办公室、恢复室、洗涤间、物品准备间、男女更衣室、夜班室等辅助办公区域。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每周清扫无菌物品间地面并拖地，擦拭存放物品货架，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每周一次更换手术室及麻醉科值班室的床单、被套，并送洗衣间清洗，每周日整理清点白大褂送洗衣间清洗。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每日发放男女更衣柜钥匙，整理洗手衣裤，一次性口罩帽子并及时添加。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每天及时清洗拖鞋、鞋套、布帽、约束带、小夹单等物品。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每天负责接收清点中、晚餐，餐后及时清理餐具（包括擦拭餐桌及餐车）</w:t>
      </w:r>
      <w:r>
        <w:rPr>
          <w:rFonts w:hint="eastAsia" w:ascii="宋体" w:hAnsi="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lang w:eastAsia="zh-CN"/>
        </w:rPr>
        <w:t>每天负责手术布类和手术衣裤清点，干净布类的叠放。</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rPr>
        <w:t>手术室驻守人员职责二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次清点核对标本，并送病理科，与病理科做好交接并签名。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每周</w:t>
      </w:r>
      <w:r>
        <w:rPr>
          <w:rFonts w:hint="eastAsia" w:ascii="宋体" w:hAnsi="宋体" w:eastAsia="宋体" w:cs="宋体"/>
          <w:color w:val="auto"/>
          <w:szCs w:val="21"/>
          <w:highlight w:val="none"/>
        </w:rPr>
        <w:t>及时去库房领用各种物品</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每周及时领取酒精、蒸馏水、各种消毒液、针筒、生理盐水、平衡液等。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每天负责接送手术病人，做好身份核对，并正确约束，保证</w:t>
      </w:r>
      <w:r>
        <w:rPr>
          <w:rFonts w:hint="eastAsia" w:ascii="宋体" w:hAnsi="宋体" w:cs="宋体"/>
          <w:color w:val="auto"/>
          <w:szCs w:val="21"/>
          <w:highlight w:val="none"/>
          <w:lang w:val="en-US" w:eastAsia="zh-CN"/>
        </w:rPr>
        <w:t>患者</w:t>
      </w:r>
      <w:r>
        <w:rPr>
          <w:rFonts w:hint="eastAsia" w:ascii="宋体" w:hAnsi="宋体" w:eastAsia="宋体" w:cs="宋体"/>
          <w:color w:val="auto"/>
          <w:szCs w:val="21"/>
          <w:highlight w:val="none"/>
        </w:rPr>
        <w:t>的安全。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每天更换转运车上被单、被套、约束带。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每天检查转运车功能、清洁并消毒转运车一次。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每周进行转运车的彻底大扫除，包括轮子清洁、加油等。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负责所有物品领用，报损的调换输送工作，有污物时及时清洁。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ascii="宋体" w:hAnsi="宋体" w:eastAsia="宋体" w:cs="宋体"/>
          <w:color w:val="auto"/>
          <w:szCs w:val="21"/>
          <w:highlight w:val="none"/>
        </w:rPr>
        <w:t>搬运调换各类气体瓶等工作。</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感控专员</w:t>
      </w:r>
      <w:r>
        <w:rPr>
          <w:rFonts w:hint="eastAsia" w:ascii="宋体" w:hAnsi="宋体" w:eastAsia="宋体" w:cs="宋体"/>
          <w:b/>
          <w:bCs/>
          <w:color w:val="auto"/>
          <w:szCs w:val="21"/>
          <w:highlight w:val="none"/>
          <w:lang w:val="en-US" w:eastAsia="zh-CN"/>
        </w:rPr>
        <w:t>职责</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定期对保洁员以及相关人员的个人防护、手卫生、感控知识与技能等进行培训与考核。</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定期对保洁工具、药剂配比浓度、现场消毒等工作进行检查、监测。</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定期对医疗废物收集及运送进行检查。</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协助采购人院感科对手术室、保护性隔离病区、多重耐药菌污染的诊疗场所等进行采样检测。</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遇到突发公共卫生事件时紧密配合疾控中心与医院的工作，指导保洁员以及相关人员按照感控要求做好个人防护，并有效地落实感控工作。</w:t>
      </w:r>
    </w:p>
    <w:p>
      <w:pPr>
        <w:keepNext w:val="0"/>
        <w:keepLines w:val="0"/>
        <w:pageBreakBefore w:val="0"/>
        <w:widowControl w:val="0"/>
        <w:numPr>
          <w:ilvl w:val="0"/>
          <w:numId w:val="0"/>
        </w:numPr>
        <w:tabs>
          <w:tab w:val="left" w:pos="-420"/>
          <w:tab w:val="left" w:pos="420"/>
        </w:tabs>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rPr>
        <w:t>以专业的角度协助项目经理现场感控日常管理工作，并定期对现场感控工作进行评估考核。</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院内感染控制、消毒隔离标准</w:t>
      </w:r>
    </w:p>
    <w:tbl>
      <w:tblPr>
        <w:tblStyle w:val="24"/>
        <w:tblW w:w="9750" w:type="dxa"/>
        <w:tblInd w:w="-59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020"/>
        <w:gridCol w:w="1875"/>
        <w:gridCol w:w="1080"/>
        <w:gridCol w:w="19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95" w:type="dxa"/>
            <w:vMerge w:val="restart"/>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环境类别</w:t>
            </w:r>
          </w:p>
        </w:tc>
        <w:tc>
          <w:tcPr>
            <w:tcW w:w="4020" w:type="dxa"/>
            <w:vMerge w:val="restart"/>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范围</w:t>
            </w:r>
          </w:p>
        </w:tc>
        <w:tc>
          <w:tcPr>
            <w:tcW w:w="4935" w:type="dxa"/>
            <w:gridSpan w:val="3"/>
            <w:noWrap w:val="0"/>
            <w:vAlign w:val="center"/>
          </w:tcPr>
          <w:p>
            <w:pPr>
              <w:widowControl/>
              <w:tabs>
                <w:tab w:val="left" w:pos="0"/>
                <w:tab w:val="left" w:pos="540"/>
              </w:tabs>
              <w:spacing w:before="0" w:beforeAutospacing="0" w:after="0" w:afterAutospacing="0" w:line="400" w:lineRule="exact"/>
              <w:ind w:firstLine="2319" w:firstLineChars="1100"/>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标 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95" w:type="dxa"/>
            <w:vMerge w:val="continue"/>
            <w:tcBorders>
              <w:bottom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b/>
                <w:bCs/>
                <w:color w:val="auto"/>
                <w:kern w:val="0"/>
                <w:sz w:val="21"/>
                <w:szCs w:val="21"/>
                <w:highlight w:val="none"/>
                <w:lang w:val="en-US" w:eastAsia="zh-CN" w:bidi="ar-SA"/>
              </w:rPr>
            </w:pPr>
          </w:p>
        </w:tc>
        <w:tc>
          <w:tcPr>
            <w:tcW w:w="4020" w:type="dxa"/>
            <w:vMerge w:val="continue"/>
            <w:tcBorders>
              <w:bottom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b/>
                <w:bCs/>
                <w:color w:val="auto"/>
                <w:kern w:val="0"/>
                <w:sz w:val="21"/>
                <w:szCs w:val="21"/>
                <w:highlight w:val="none"/>
                <w:lang w:val="en-US" w:eastAsia="zh-CN" w:bidi="ar-SA"/>
              </w:rPr>
            </w:pPr>
          </w:p>
        </w:tc>
        <w:tc>
          <w:tcPr>
            <w:tcW w:w="1875" w:type="dxa"/>
            <w:tcBorders>
              <w:bottom w:val="double" w:color="auto" w:sz="4" w:space="0"/>
            </w:tcBorders>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空气cfu/m³</w:t>
            </w:r>
          </w:p>
        </w:tc>
        <w:tc>
          <w:tcPr>
            <w:tcW w:w="1080" w:type="dxa"/>
            <w:tcBorders>
              <w:bottom w:val="double" w:color="auto" w:sz="4" w:space="0"/>
            </w:tcBorders>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物体表面cfu/m³</w:t>
            </w:r>
          </w:p>
        </w:tc>
        <w:tc>
          <w:tcPr>
            <w:tcW w:w="1980" w:type="dxa"/>
            <w:tcBorders>
              <w:bottom w:val="double" w:color="auto" w:sz="4" w:space="0"/>
            </w:tcBorders>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工作人员手cfu/m³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95" w:type="dxa"/>
            <w:tcBorders>
              <w:top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一类</w:t>
            </w:r>
          </w:p>
        </w:tc>
        <w:tc>
          <w:tcPr>
            <w:tcW w:w="4020" w:type="dxa"/>
            <w:tcBorders>
              <w:top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洁净手术部</w:t>
            </w:r>
          </w:p>
        </w:tc>
        <w:tc>
          <w:tcPr>
            <w:tcW w:w="1875" w:type="dxa"/>
            <w:tcBorders>
              <w:top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符合GB50333要求</w:t>
            </w:r>
          </w:p>
        </w:tc>
        <w:tc>
          <w:tcPr>
            <w:tcW w:w="1080" w:type="dxa"/>
            <w:tcBorders>
              <w:top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980" w:type="dxa"/>
            <w:vMerge w:val="restart"/>
            <w:tcBorders>
              <w:top w:val="double" w:color="auto" w:sz="4" w:space="0"/>
            </w:tcBorders>
            <w:noWrap w:val="0"/>
            <w:vAlign w:val="center"/>
          </w:tcPr>
          <w:p>
            <w:pPr>
              <w:widowControl/>
              <w:tabs>
                <w:tab w:val="left" w:pos="0"/>
                <w:tab w:val="left" w:pos="540"/>
              </w:tabs>
              <w:spacing w:before="0" w:beforeAutospacing="0" w:after="0" w:afterAutospacing="0" w:line="400" w:lineRule="exact"/>
              <w:ind w:left="440" w:hanging="440"/>
              <w:jc w:val="both"/>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卫生手消毒后</w:t>
            </w:r>
            <w:r>
              <w:rPr>
                <w:rFonts w:hint="default" w:ascii="Arial" w:hAnsi="Arial" w:cs="Arial"/>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10</w:t>
            </w:r>
          </w:p>
          <w:p>
            <w:pPr>
              <w:widowControl/>
              <w:tabs>
                <w:tab w:val="left" w:pos="0"/>
                <w:tab w:val="left" w:pos="540"/>
              </w:tabs>
              <w:spacing w:before="0" w:beforeAutospacing="0" w:after="0" w:afterAutospacing="0" w:line="400" w:lineRule="exact"/>
              <w:ind w:left="440" w:hanging="440"/>
              <w:jc w:val="both"/>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外科手消毒后</w:t>
            </w:r>
            <w:r>
              <w:rPr>
                <w:rFonts w:hint="default" w:ascii="Arial" w:hAnsi="Arial" w:cs="Arial"/>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95"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二类</w:t>
            </w:r>
          </w:p>
        </w:tc>
        <w:tc>
          <w:tcPr>
            <w:tcW w:w="4020" w:type="dxa"/>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非洁净手术室、产房、保护性隔离病区、重症监护室等</w:t>
            </w:r>
          </w:p>
        </w:tc>
        <w:tc>
          <w:tcPr>
            <w:tcW w:w="1875"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4.0（15min）</w:t>
            </w:r>
          </w:p>
        </w:tc>
        <w:tc>
          <w:tcPr>
            <w:tcW w:w="1080"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980" w:type="dxa"/>
            <w:vMerge w:val="continue"/>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95"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三类</w:t>
            </w:r>
          </w:p>
        </w:tc>
        <w:tc>
          <w:tcPr>
            <w:tcW w:w="4020" w:type="dxa"/>
            <w:noWrap w:val="0"/>
            <w:vAlign w:val="center"/>
          </w:tcPr>
          <w:p>
            <w:pPr>
              <w:widowControl/>
              <w:tabs>
                <w:tab w:val="left" w:pos="0"/>
                <w:tab w:val="left" w:pos="540"/>
              </w:tabs>
              <w:spacing w:before="0" w:beforeAutospacing="0" w:after="0" w:afterAutospacing="0"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母婴同室、消毒供应中心的检查包装灭菌区和无菌物品存放区、普通住院病区等</w:t>
            </w:r>
          </w:p>
        </w:tc>
        <w:tc>
          <w:tcPr>
            <w:tcW w:w="1875"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4.0（15min）</w:t>
            </w:r>
          </w:p>
        </w:tc>
        <w:tc>
          <w:tcPr>
            <w:tcW w:w="1080" w:type="dxa"/>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1980" w:type="dxa"/>
            <w:vMerge w:val="continue"/>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95" w:type="dxa"/>
            <w:noWrap w:val="0"/>
            <w:vAlign w:val="center"/>
          </w:tcPr>
          <w:p>
            <w:pPr>
              <w:widowControl/>
              <w:tabs>
                <w:tab w:val="left" w:pos="0"/>
                <w:tab w:val="left" w:pos="540"/>
              </w:tabs>
              <w:spacing w:before="0" w:beforeAutospacing="0" w:after="0" w:afterAutospacing="0" w:line="400" w:lineRule="exact"/>
              <w:ind w:left="440" w:hanging="44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四类</w:t>
            </w:r>
          </w:p>
        </w:tc>
        <w:tc>
          <w:tcPr>
            <w:tcW w:w="4020" w:type="dxa"/>
            <w:noWrap w:val="0"/>
            <w:vAlign w:val="center"/>
          </w:tcPr>
          <w:p>
            <w:pPr>
              <w:widowControl/>
              <w:tabs>
                <w:tab w:val="left" w:pos="0"/>
                <w:tab w:val="left" w:pos="540"/>
              </w:tabs>
              <w:spacing w:before="0" w:beforeAutospacing="0" w:after="0" w:afterAutospacing="0" w:line="40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普通门急诊及其检查、治疗室；感染性疾病科门诊和病区</w:t>
            </w:r>
          </w:p>
        </w:tc>
        <w:tc>
          <w:tcPr>
            <w:tcW w:w="1875" w:type="dxa"/>
            <w:noWrap w:val="0"/>
            <w:vAlign w:val="center"/>
          </w:tcPr>
          <w:p>
            <w:pPr>
              <w:widowControl/>
              <w:tabs>
                <w:tab w:val="left" w:pos="0"/>
                <w:tab w:val="left" w:pos="540"/>
              </w:tabs>
              <w:spacing w:before="0" w:beforeAutospacing="0" w:after="0" w:afterAutospacing="0" w:line="400" w:lineRule="exact"/>
              <w:ind w:left="440" w:hanging="44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4.0（15min）</w:t>
            </w:r>
          </w:p>
        </w:tc>
        <w:tc>
          <w:tcPr>
            <w:tcW w:w="1080" w:type="dxa"/>
            <w:noWrap w:val="0"/>
            <w:vAlign w:val="center"/>
          </w:tcPr>
          <w:p>
            <w:pPr>
              <w:widowControl/>
              <w:tabs>
                <w:tab w:val="left" w:pos="0"/>
                <w:tab w:val="left" w:pos="540"/>
              </w:tabs>
              <w:spacing w:before="0" w:beforeAutospacing="0" w:after="0" w:afterAutospacing="0" w:line="400" w:lineRule="exact"/>
              <w:ind w:left="440" w:hanging="44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1980" w:type="dxa"/>
            <w:vMerge w:val="continue"/>
            <w:noWrap w:val="0"/>
            <w:vAlign w:val="center"/>
          </w:tcPr>
          <w:p>
            <w:pPr>
              <w:widowControl/>
              <w:tabs>
                <w:tab w:val="left" w:pos="0"/>
                <w:tab w:val="left" w:pos="540"/>
              </w:tabs>
              <w:spacing w:before="0" w:beforeAutospacing="0" w:after="0" w:afterAutospacing="0" w:line="400" w:lineRule="exact"/>
              <w:ind w:left="440" w:hanging="440"/>
              <w:jc w:val="center"/>
              <w:rPr>
                <w:rFonts w:ascii="宋体" w:hAnsi="宋体" w:eastAsia="宋体" w:cs="宋体"/>
                <w:color w:val="auto"/>
                <w:kern w:val="0"/>
                <w:sz w:val="21"/>
                <w:szCs w:val="21"/>
                <w:highlight w:val="none"/>
                <w:lang w:val="en-US" w:eastAsia="zh-CN" w:bidi="ar-SA"/>
              </w:rPr>
            </w:pPr>
          </w:p>
        </w:tc>
      </w:tr>
    </w:tbl>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卫生保洁质量标准</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保持院内全貌整洁（包括绿化带内外的清洁卫生）。</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及时处理污物、垃圾，保持地面清洁，无肉眼可见污迹、烟蒂垃圾。</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玻璃窗明亮、窗槽、不锈钢清洁、窗帘干净，无污垢。病房隔离帘、窗帘等各种可清洗的布帘，要求每年两次由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员工负责装卸，送洗衣部清洗后安装，如有特殊情况，特殊科室则按照制度要求频率定期清洗、随时清洗；对于可擦拭区域的玻璃按照年度计划要求擦拭，经科室负责人签字后方为有效。</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门、门框、栏杆、窗台、氧气面板上端、灯具、钟、镜框、椅子、电话机、电视机等无灰尘，保持干净清洁。</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风扇、取暖器、病区内中央空调及室内空调挂机、层流室内进出风口及隔尘网外表面无积灰无污迹。</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床头橱、凳子、椅子、陪护椅、橱柜等保持清洁，无积灰无污迹。</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厕所地面光亮干净无积水，墙面、镜子、台面、洗脸盆清洁明亮，无异味、便器无积垢。</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公共场所的楼梯扶手、告示牌、坐椅及通道的地面、玻璃窗、墙面的卫生要求同上。所有垃圾桶（内外）清洁、无异味、无苍蝇和蛹（垃圾不超3／4）。</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保洁车、卫生用具等应该整齐有序、清洁。不得私自买卖病区常规废品物资、废纸、废黄板箱、空盐水瓶等，如有发现，视为偷盗行为处理。</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严格管理好医疗废物，医疗废物不得外流和私自处理。按规定配合“除四害”工作。</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内墙壁面清洁、无污迹、无蜘蛛网。</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各种保洁用具摆放整齐，标识清晰，定位放置，病区内不乱挂工人衣服，不拉线，不乱钉乱贴，不乱扔垃圾。</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保持茶水站、污物间、晒衣间、储藏间、更衣室、值班室、诊疗室、办公室、输液准备室、治疗室、护士站整洁。水槽内无积垢。</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节约水电，无长明灯、长流水。</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员工不得在院内洗澡洗私人物品和侵占医院利益（如经常带大桶热水回家）。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病区工作每日二次协助病人冲开水。</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在清洁工作同时，发现室内建筑、家具、设施有所损坏，影响使用或有碍美观，应及时报告有关部门。清扫工作必须在上班前半小时结束。</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病人和职工对环境卫生的满意度在90%以上。 </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消毒隔离标准</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办公桌、操作台、诊疗床等物品，厕所、门把、病人床头橱（一桌一巾）、凳子、病床、盥洗池等，每天消毒一次。</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垃圾袋装化，生活垃圾与医疗垃圾分开。标志明显，封闭袋口运送到垃圾处理站，并按指定位置堆放，统一处理。医疗垃圾处理符合院感要求。</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分区域合理使用拖把，病区地面每天用清水清洗拖两次，保持地面干燥，同时做好巡回动态保洁，对于院感重点区域按照要求使用不同浓度的施康拖拭。</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办公室、病房、诊室、科室内PVC地面每年打蜡两次，公共区域地面每季度打蜡一次，住院部各病区以及工作区域每周清洗两次、PVC地面抛光每月</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次，</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应制定年度计划表，执行计划前应提前一周通知相应的单位，事后需要相应区域的负责人签字确认后方为有效。</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在医院保洁区域内，因工作未到位，引发纠纷，由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配合</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处理和根据责任情况</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须承担相应赔偿。</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按照要求使用五色区域毛巾、一床一巾等，各种清洗消毒符合院感要求。</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有特殊污染地点，随时消毒、清洗、补蜡。</w:t>
      </w:r>
    </w:p>
    <w:p>
      <w:pPr>
        <w:numPr>
          <w:ilvl w:val="0"/>
          <w:numId w:val="4"/>
        </w:numPr>
        <w:spacing w:line="400" w:lineRule="exact"/>
        <w:ind w:left="425"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服务标准</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服务时间：</w:t>
      </w:r>
    </w:p>
    <w:p>
      <w:pPr>
        <w:spacing w:line="400" w:lineRule="exact"/>
        <w:ind w:firstLine="420" w:firstLineChars="200"/>
      </w:pPr>
      <w:r>
        <w:rPr>
          <w:rFonts w:hint="eastAsia" w:ascii="Times New Roman" w:hAnsi="Times New Roman" w:eastAsia="宋体" w:cs="Times New Roman"/>
          <w:color w:val="auto"/>
          <w:szCs w:val="21"/>
          <w:highlight w:val="none"/>
        </w:rPr>
        <w:t xml:space="preserve">ICU、手术室、急诊科24小时保洁。输液大厅、供应室、门诊楼、医技科室、各病区统一由专人动态保洁，门诊楼大厅和住院部一楼大厅专人动态保洁。工作时间按医院规定时间执行，常规保洁工作在早晨上班前半小时完成。 </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清卫保洁员统一着装（冬夏装），佩证上岗，仪表整洁，不抽烟，言谈举止符合医院规定。在岗期间未着工作服、未戴头花、未佩戴上岗证的，扣除20元/人次，抽烟者扣除200元/人次。</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严格执行考勤制度，上班不能迟到早退，保证工作正常进行，按照合同细则执行扣罚制度。</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不能与病人家属发生争执，不得向病人索要礼品、礼物及小费。做到热情服务、文明礼貌。</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经得起上级的各项卫生检查，明确责任，落实管理。</w:t>
      </w:r>
    </w:p>
    <w:p>
      <w:pPr>
        <w:numPr>
          <w:ilvl w:val="0"/>
          <w:numId w:val="4"/>
        </w:numPr>
        <w:spacing w:line="400" w:lineRule="exact"/>
        <w:ind w:left="425" w:leftChars="0" w:firstLine="0" w:firstLineChars="0"/>
        <w:rPr>
          <w:rFonts w:ascii="宋体" w:hAnsi="宋体" w:eastAsia="宋体" w:cs="宋体"/>
          <w:b/>
          <w:color w:val="auto"/>
          <w:szCs w:val="21"/>
          <w:highlight w:val="none"/>
        </w:rPr>
      </w:pPr>
      <w:r>
        <w:rPr>
          <w:rFonts w:hint="eastAsia" w:ascii="宋体" w:hAnsi="宋体" w:eastAsia="宋体" w:cs="宋体"/>
          <w:b/>
          <w:bCs/>
          <w:color w:val="auto"/>
          <w:szCs w:val="21"/>
          <w:highlight w:val="none"/>
        </w:rPr>
        <w:t>保洁员作业规范与标准</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进入污染区作业</w:t>
      </w:r>
    </w:p>
    <w:p>
      <w:pPr>
        <w:spacing w:line="400" w:lineRule="exact"/>
        <w:ind w:firstLine="420" w:firstLineChars="200"/>
      </w:pPr>
      <w:r>
        <w:rPr>
          <w:rFonts w:hint="eastAsia" w:ascii="宋体" w:hAnsi="宋体" w:eastAsia="宋体" w:cs="宋体"/>
          <w:color w:val="auto"/>
          <w:szCs w:val="21"/>
          <w:highlight w:val="none"/>
        </w:rPr>
        <w:t xml:space="preserve">进入污染区作业时，应按要求着装工作服、帽、手套、口罩、鞋等。保洁作业时，保洁工具及用水等应分类使用，不得混用，预防交叉污染。保洁时要认真按正确的操作规范进行作业。清洁完毕后用消毒液进行消毒处理。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进入无菌区作业</w:t>
      </w:r>
    </w:p>
    <w:p>
      <w:pPr>
        <w:spacing w:line="400" w:lineRule="exact"/>
        <w:ind w:firstLine="420" w:firstLineChars="200"/>
      </w:pPr>
      <w:r>
        <w:rPr>
          <w:rFonts w:hint="eastAsia" w:ascii="宋体" w:hAnsi="宋体" w:eastAsia="宋体" w:cs="宋体"/>
          <w:color w:val="auto"/>
          <w:szCs w:val="21"/>
          <w:highlight w:val="none"/>
        </w:rPr>
        <w:t xml:space="preserve">进入无菌区作业时，要严格遵守医院消毒隔离原则及无菌区操作程序，按要求着装，按区域归类物品摆放，医生在时，不能进行清洁，待医生操作完毕同意后，方可进行保洁作业。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病区分工</w:t>
      </w:r>
    </w:p>
    <w:p>
      <w:pPr>
        <w:spacing w:line="400" w:lineRule="exact"/>
        <w:ind w:firstLine="420" w:firstLineChars="200"/>
      </w:pPr>
      <w:r>
        <w:rPr>
          <w:rFonts w:hint="eastAsia" w:ascii="宋体" w:hAnsi="宋体" w:eastAsia="宋体" w:cs="宋体"/>
          <w:color w:val="auto"/>
          <w:szCs w:val="21"/>
          <w:highlight w:val="none"/>
        </w:rPr>
        <w:t xml:space="preserve">无菌区和污染区的保洁作业员工，应进行严格分工，责任明确，不得在无菌区和污染区之间交叉作业。不能将污染区的物品带入无菌区，或将无菌区的物品带入污染区。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手术室</w:t>
      </w:r>
    </w:p>
    <w:p>
      <w:pPr>
        <w:spacing w:line="400" w:lineRule="exact"/>
        <w:ind w:firstLine="420" w:firstLineChars="200"/>
      </w:pPr>
      <w:r>
        <w:rPr>
          <w:rFonts w:hint="eastAsia" w:ascii="宋体" w:hAnsi="宋体" w:eastAsia="宋体" w:cs="宋体"/>
          <w:color w:val="auto"/>
          <w:szCs w:val="21"/>
          <w:highlight w:val="none"/>
        </w:rPr>
        <w:t xml:space="preserve">经严格培训的保洁员进入手术室作业，使用清洁剂或消毒剂经护士长同意，在护士长、护士指导下按工具分类规范进行保洁，并按有关规程操作。手术室在进行手术时，不得进入或干扰手术的正常进行。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进入医院办公室作业</w:t>
      </w:r>
    </w:p>
    <w:p>
      <w:pPr>
        <w:spacing w:line="400" w:lineRule="exact"/>
        <w:ind w:firstLine="420" w:firstLineChars="200"/>
      </w:pPr>
      <w:r>
        <w:rPr>
          <w:rFonts w:hint="eastAsia" w:ascii="宋体" w:hAnsi="宋体" w:eastAsia="宋体" w:cs="宋体"/>
          <w:color w:val="auto"/>
          <w:szCs w:val="21"/>
          <w:highlight w:val="none"/>
        </w:rPr>
        <w:t>一般情况为办公室保洁作业安排在班前或班后进行，特殊情况下，应先敲门并征得同意后方可进入。使用文明用语，如果医生在会诊或开会时，不得打扰或擅自进行保洁作业。</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进入病房</w:t>
      </w:r>
    </w:p>
    <w:p>
      <w:pPr>
        <w:spacing w:line="400" w:lineRule="exact"/>
        <w:ind w:firstLine="420" w:firstLineChars="200"/>
      </w:pPr>
      <w:r>
        <w:rPr>
          <w:rFonts w:hint="eastAsia" w:ascii="宋体" w:hAnsi="宋体" w:eastAsia="宋体" w:cs="宋体"/>
          <w:color w:val="auto"/>
          <w:szCs w:val="21"/>
          <w:highlight w:val="none"/>
        </w:rPr>
        <w:t xml:space="preserve">进入病房，应尽量集中作业，避免在病人休息和用餐时进行清洁。清洁时动作轻，不得碰坏病人用品，也要避免发出大的响声，轻拿轻放。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物品</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作业时，台面物品不得随意移动，保洁后应物归原位。不得随意翻阅资料及随意打开容器盖、各种无菌包等。</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说话</w:t>
      </w:r>
    </w:p>
    <w:p>
      <w:pPr>
        <w:spacing w:line="400" w:lineRule="exact"/>
        <w:ind w:firstLine="420" w:firstLineChars="200"/>
      </w:pPr>
      <w:r>
        <w:rPr>
          <w:rFonts w:hint="eastAsia" w:ascii="宋体" w:hAnsi="宋体" w:eastAsia="宋体" w:cs="宋体"/>
          <w:color w:val="auto"/>
          <w:szCs w:val="21"/>
          <w:highlight w:val="none"/>
        </w:rPr>
        <w:t xml:space="preserve">在办公区、病区需要安静，不得大声喧哗，工作性交谈也必须小声进行，不可干扰医护人员工作和病人的休息。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污水池</w:t>
      </w:r>
    </w:p>
    <w:p>
      <w:pPr>
        <w:spacing w:line="400" w:lineRule="exact"/>
        <w:ind w:firstLine="420" w:firstLineChars="200"/>
      </w:pPr>
      <w:r>
        <w:rPr>
          <w:rFonts w:hint="eastAsia" w:ascii="宋体" w:hAnsi="宋体" w:eastAsia="宋体" w:cs="宋体"/>
          <w:color w:val="auto"/>
          <w:szCs w:val="21"/>
          <w:highlight w:val="none"/>
        </w:rPr>
        <w:t>病房污水池是病人及家属清倒污物的地方，是主要污染源， 所以保洁时应彻底清除一切污物和污</w:t>
      </w:r>
      <w:r>
        <w:rPr>
          <w:rFonts w:hint="eastAsia" w:ascii="宋体" w:hAnsi="宋体" w:cs="宋体"/>
          <w:color w:val="auto"/>
          <w:szCs w:val="21"/>
          <w:highlight w:val="none"/>
          <w:lang w:val="en-US" w:eastAsia="zh-CN"/>
        </w:rPr>
        <w:t>渍</w:t>
      </w:r>
      <w:r>
        <w:rPr>
          <w:rFonts w:hint="eastAsia" w:ascii="宋体" w:hAnsi="宋体" w:eastAsia="宋体" w:cs="宋体"/>
          <w:color w:val="auto"/>
          <w:szCs w:val="21"/>
          <w:highlight w:val="none"/>
        </w:rPr>
        <w:t xml:space="preserve">。保洁工具材料必须专项专用。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垃圾桶</w:t>
      </w:r>
    </w:p>
    <w:p>
      <w:pPr>
        <w:spacing w:line="400" w:lineRule="exact"/>
        <w:ind w:firstLine="420" w:firstLineChars="200"/>
      </w:pPr>
      <w:r>
        <w:rPr>
          <w:rFonts w:hint="eastAsia" w:ascii="宋体" w:hAnsi="宋体" w:eastAsia="宋体" w:cs="宋体"/>
          <w:color w:val="auto"/>
          <w:szCs w:val="21"/>
          <w:highlight w:val="none"/>
        </w:rPr>
        <w:t xml:space="preserve">病区及公共区的垃圾桶由专人经常检查，垃圾桶及时清倒，套装垃圾袋时，应检查垃圾袋是否有破口，不得使用破口或易损的垃圾袋，否则病人倒入的垃圾就会溢出，导致污染。清运或整理垃圾时，应使用封闭垃圾桶。更换垃圾袋应检查垃圾桶，并保持垃圾桶定期清洗、消毒，内外壁面洁净、 干燥、无异味。保洁员为病区内垃圾分类的责任人，有义务劝导病人做好生活垃圾分类工作。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洗手间</w:t>
      </w:r>
    </w:p>
    <w:p>
      <w:pPr>
        <w:spacing w:line="400" w:lineRule="exact"/>
        <w:ind w:firstLine="420" w:firstLineChars="200"/>
      </w:pPr>
      <w:r>
        <w:rPr>
          <w:rFonts w:hint="eastAsia" w:ascii="宋体" w:hAnsi="宋体" w:eastAsia="宋体" w:cs="宋体"/>
          <w:color w:val="auto"/>
          <w:szCs w:val="21"/>
          <w:highlight w:val="none"/>
        </w:rPr>
        <w:t xml:space="preserve">洗手间的墙面、地面及大小便池、马桶必须除掉一切污渍，并进行有效消毒处理。平时应循环保洁， 洗净污物，保持洗手间空气无异味。保洁洗手间工具材料应专用，不得混用，清洁工具洗净之后定位放置，不得随处乱放。 </w:t>
      </w:r>
    </w:p>
    <w:p>
      <w:pPr>
        <w:numPr>
          <w:ilvl w:val="0"/>
          <w:numId w:val="4"/>
        </w:numPr>
        <w:spacing w:line="400" w:lineRule="exact"/>
        <w:ind w:left="425" w:leftChars="0" w:firstLine="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日常保洁操作规范标准</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地面</w:t>
      </w:r>
    </w:p>
    <w:p>
      <w:pPr>
        <w:spacing w:line="400" w:lineRule="exact"/>
        <w:ind w:firstLine="420" w:firstLineChars="200"/>
      </w:pPr>
      <w:r>
        <w:rPr>
          <w:rFonts w:hint="eastAsia" w:ascii="宋体" w:hAnsi="宋体" w:eastAsia="宋体" w:cs="宋体"/>
          <w:color w:val="auto"/>
          <w:szCs w:val="21"/>
          <w:highlight w:val="none"/>
        </w:rPr>
        <w:t>先用尘推把地面清扫干净，再用浸过消毒液的拖把湿拖地面。每拖一个区域，设置“小心滑倒”警告牌，待干后撤回， 拖完一个区域后，要用清水先把拖把洗干净。要求达到地面现本色，无污渍，无药渍。不得在禁止区域放置物品。</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天花板、墙面</w:t>
      </w:r>
    </w:p>
    <w:p>
      <w:pPr>
        <w:spacing w:line="400" w:lineRule="exact"/>
        <w:ind w:firstLine="420" w:firstLineChars="200"/>
      </w:pPr>
      <w:r>
        <w:rPr>
          <w:rFonts w:hint="eastAsia" w:ascii="宋体" w:hAnsi="宋体" w:eastAsia="宋体" w:cs="宋体"/>
          <w:color w:val="auto"/>
          <w:szCs w:val="21"/>
          <w:highlight w:val="none"/>
        </w:rPr>
        <w:t>墙面要求达到无蛛网，无污渍，天花板要求无污渍。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玻璃</w:t>
      </w:r>
    </w:p>
    <w:p>
      <w:pPr>
        <w:spacing w:line="400" w:lineRule="exact"/>
        <w:ind w:firstLine="420" w:firstLineChars="200"/>
      </w:pPr>
      <w:r>
        <w:rPr>
          <w:rFonts w:hint="eastAsia" w:ascii="宋体" w:hAnsi="宋体" w:eastAsia="宋体" w:cs="宋体"/>
          <w:color w:val="auto"/>
          <w:szCs w:val="21"/>
          <w:highlight w:val="none"/>
        </w:rPr>
        <w:t xml:space="preserve">先用少量的玻璃清洁剂溶于水桶中，再用窗刷把溶液均匀地擦在玻璃上，然后用刮刀从上到下，从左到右，把玻璃刮干净。要求达到透明，无污渍。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门、门框</w:t>
      </w:r>
    </w:p>
    <w:p>
      <w:pPr>
        <w:spacing w:line="400" w:lineRule="exact"/>
        <w:ind w:firstLine="420" w:firstLineChars="200"/>
      </w:pPr>
      <w:r>
        <w:rPr>
          <w:rFonts w:hint="eastAsia" w:ascii="宋体" w:hAnsi="宋体" w:eastAsia="宋体" w:cs="宋体"/>
          <w:color w:val="auto"/>
          <w:szCs w:val="21"/>
          <w:highlight w:val="none"/>
        </w:rPr>
        <w:t xml:space="preserve">每天用半干湿抹布（消毒液）从上到下，从左到右要求做到清洁。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卫生间</w:t>
      </w:r>
    </w:p>
    <w:p>
      <w:pPr>
        <w:spacing w:line="400" w:lineRule="exact"/>
        <w:ind w:firstLine="420" w:firstLineChars="200"/>
      </w:pPr>
      <w:r>
        <w:rPr>
          <w:rFonts w:hint="eastAsia" w:ascii="宋体" w:hAnsi="宋体" w:eastAsia="宋体" w:cs="宋体"/>
          <w:color w:val="auto"/>
          <w:szCs w:val="21"/>
          <w:highlight w:val="none"/>
        </w:rPr>
        <w:t xml:space="preserve">每天用软布从上到下镜面擦抹一遍，把消毒液喷洒在镜面中，用抹布擦抹一遍后用玻璃刮刀从上到下从左到右进行刮擦。用卫生刷擦抹卫生便器二次并随时冲洗便器，要求达到无污渍无异味。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电器开关、风机口外表面、指示牌</w:t>
      </w:r>
    </w:p>
    <w:p>
      <w:pPr>
        <w:spacing w:line="400" w:lineRule="exact"/>
        <w:ind w:firstLine="420" w:firstLineChars="200"/>
      </w:pPr>
      <w:r>
        <w:rPr>
          <w:rFonts w:hint="eastAsia" w:ascii="宋体" w:hAnsi="宋体" w:eastAsia="宋体" w:cs="宋体"/>
          <w:color w:val="auto"/>
          <w:szCs w:val="21"/>
          <w:highlight w:val="none"/>
        </w:rPr>
        <w:t xml:space="preserve">每天用半湿抹布均匀地擦抹一遍，要求达至无尘，无渍。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治疗室、配药室、护士站、医生办公室桌面、台面按比例配置消毒液，把毛巾浸泡后湿擦桌面、台面，擦抹时从左到右，从上到下，将桌面、台面均匀地擦抹，不要落下边角，不要漏擦；要求做到清洁、整洁、无灰尘、无药渍、细菌不超标。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楼梯、扶手</w:t>
      </w:r>
    </w:p>
    <w:p>
      <w:pPr>
        <w:spacing w:line="400" w:lineRule="exact"/>
        <w:ind w:firstLine="420" w:firstLineChars="200"/>
      </w:pPr>
      <w:r>
        <w:rPr>
          <w:rFonts w:hint="eastAsia" w:ascii="宋体" w:hAnsi="宋体" w:eastAsia="宋体" w:cs="宋体"/>
          <w:color w:val="auto"/>
          <w:szCs w:val="21"/>
          <w:highlight w:val="none"/>
        </w:rPr>
        <w:t>每天用扫把清扫干净，再用拖把拖一次。扶手每</w:t>
      </w:r>
      <w:r>
        <w:rPr>
          <w:rFonts w:hint="eastAsia" w:ascii="宋体" w:hAnsi="宋体" w:cs="宋体"/>
          <w:color w:val="auto"/>
          <w:szCs w:val="21"/>
          <w:highlight w:val="none"/>
          <w:lang w:val="en-US" w:eastAsia="zh-CN"/>
        </w:rPr>
        <w:t>天</w:t>
      </w:r>
      <w:r>
        <w:rPr>
          <w:rFonts w:hint="eastAsia" w:ascii="宋体" w:hAnsi="宋体" w:eastAsia="宋体" w:cs="宋体"/>
          <w:color w:val="auto"/>
          <w:szCs w:val="21"/>
          <w:highlight w:val="none"/>
        </w:rPr>
        <w:t xml:space="preserve">抹布从上到下擦抹一遍。要求达到无尘、无垃圾。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电梯门面、门框</w:t>
      </w:r>
    </w:p>
    <w:p>
      <w:pPr>
        <w:spacing w:line="400" w:lineRule="exact"/>
        <w:ind w:firstLine="420" w:firstLineChars="200"/>
      </w:pPr>
      <w:r>
        <w:rPr>
          <w:rFonts w:hint="eastAsia" w:ascii="宋体" w:hAnsi="宋体" w:eastAsia="宋体" w:cs="宋体"/>
          <w:color w:val="auto"/>
          <w:szCs w:val="21"/>
          <w:highlight w:val="none"/>
        </w:rPr>
        <w:t>要求保持光亮无尘。电梯地面门槽每日随时清理垃圾，凹槽洁净，用不锈钢油抛光擦拭。电梯内部保持洁净、光亮。每天用消毒液进行喷洒消毒。</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病区床头柜、医疗设施、床架、床沿、凳子</w:t>
      </w:r>
    </w:p>
    <w:p>
      <w:pPr>
        <w:spacing w:line="400" w:lineRule="exact"/>
        <w:ind w:firstLine="420" w:firstLineChars="200"/>
      </w:pPr>
      <w:r>
        <w:rPr>
          <w:rFonts w:hint="eastAsia" w:ascii="宋体" w:hAnsi="宋体" w:eastAsia="宋体" w:cs="宋体"/>
          <w:color w:val="auto"/>
          <w:szCs w:val="21"/>
          <w:highlight w:val="none"/>
        </w:rPr>
        <w:t>正确使用一床一巾。消毒液边喷洒边用毛巾湿擦床头</w:t>
      </w:r>
      <w:r>
        <w:rPr>
          <w:rFonts w:hint="eastAsia" w:ascii="宋体" w:hAnsi="宋体" w:cs="宋体"/>
          <w:color w:val="auto"/>
          <w:szCs w:val="21"/>
          <w:highlight w:val="none"/>
          <w:lang w:val="en-US" w:eastAsia="zh-CN"/>
        </w:rPr>
        <w:t>柜</w:t>
      </w:r>
      <w:r>
        <w:rPr>
          <w:rFonts w:hint="eastAsia" w:ascii="宋体" w:hAnsi="宋体" w:eastAsia="宋体" w:cs="宋体"/>
          <w:color w:val="auto"/>
          <w:szCs w:val="21"/>
          <w:highlight w:val="none"/>
        </w:rPr>
        <w:t>桌面、门面、凳子、吸氧管等设施，再擦床架、床沿、床脚，最后擦门把手。擦抹应从上到下，从左到右，不要漏擦。最后将使用后的毛巾进行消毒。要求做到清洁、无尘、无污渍。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烟灰桶</w:t>
      </w:r>
    </w:p>
    <w:p>
      <w:pPr>
        <w:spacing w:line="400" w:lineRule="exact"/>
        <w:ind w:firstLine="420" w:firstLineChars="200"/>
      </w:pPr>
      <w:r>
        <w:rPr>
          <w:rFonts w:hint="eastAsia" w:ascii="宋体" w:hAnsi="宋体" w:eastAsia="宋体" w:cs="宋体"/>
          <w:color w:val="auto"/>
          <w:szCs w:val="21"/>
          <w:highlight w:val="none"/>
        </w:rPr>
        <w:t xml:space="preserve">每天把垃圾清运后，用自来水冲洗干净，再用抹布擦干净，要不定期倾倒烟灰桶，要达到光亮无污渍，桶内垃圾少于3/4。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垃圾桶</w:t>
      </w:r>
    </w:p>
    <w:p>
      <w:pPr>
        <w:spacing w:line="400" w:lineRule="exact"/>
        <w:ind w:firstLine="420" w:firstLineChars="200"/>
      </w:pPr>
      <w:r>
        <w:rPr>
          <w:rFonts w:hint="eastAsia" w:ascii="宋体" w:hAnsi="宋体" w:eastAsia="宋体" w:cs="宋体"/>
          <w:color w:val="auto"/>
          <w:szCs w:val="21"/>
          <w:highlight w:val="none"/>
        </w:rPr>
        <w:t xml:space="preserve">每天把垃圾清运后，用自来水冲洗干净，再套上垃圾袋。要求达到桶面干净，垃圾不超过3/4桶。 </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烧开水、送开水</w:t>
      </w:r>
    </w:p>
    <w:p>
      <w:pPr>
        <w:spacing w:line="400" w:lineRule="exact"/>
        <w:ind w:firstLine="420" w:firstLineChars="200"/>
      </w:pPr>
      <w:r>
        <w:rPr>
          <w:rFonts w:hint="eastAsia" w:ascii="宋体" w:hAnsi="宋体" w:eastAsia="宋体" w:cs="宋体"/>
          <w:color w:val="auto"/>
          <w:szCs w:val="21"/>
          <w:highlight w:val="none"/>
        </w:rPr>
        <w:t>先打开电热开水器水源开关放满水，再打开电源开关，绿灯亮了，分别把电源开关、水源开关关闭，再把热水瓶按顺序收起来，冲满水送回病房，对行动不便病人要送到床前。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病人出院处理</w:t>
      </w:r>
    </w:p>
    <w:p>
      <w:pPr>
        <w:spacing w:line="400" w:lineRule="exact"/>
        <w:ind w:firstLine="420" w:firstLineChars="200"/>
      </w:pPr>
      <w:r>
        <w:rPr>
          <w:rFonts w:hint="eastAsia" w:ascii="宋体" w:hAnsi="宋体" w:eastAsia="宋体" w:cs="宋体"/>
          <w:color w:val="auto"/>
          <w:szCs w:val="21"/>
          <w:highlight w:val="none"/>
        </w:rPr>
        <w:t>先清除病人丢弃的用物（疑为病人遗落在病区的物品，请交予病区负责人处理，如出现私自收藏的，按照偷盗处理）消毒液边喷洒边用毛巾湿擦床头</w:t>
      </w:r>
      <w:r>
        <w:rPr>
          <w:rFonts w:hint="eastAsia" w:ascii="宋体" w:hAnsi="宋体" w:cs="宋体"/>
          <w:color w:val="auto"/>
          <w:szCs w:val="21"/>
          <w:highlight w:val="none"/>
          <w:lang w:val="en-US" w:eastAsia="zh-CN"/>
        </w:rPr>
        <w:t>柜</w:t>
      </w:r>
      <w:r>
        <w:rPr>
          <w:rFonts w:hint="eastAsia" w:ascii="宋体" w:hAnsi="宋体" w:eastAsia="宋体" w:cs="宋体"/>
          <w:color w:val="auto"/>
          <w:szCs w:val="21"/>
          <w:highlight w:val="none"/>
        </w:rPr>
        <w:t>桌面、门面、凳子、吸氧管等设施，再擦床架、床沿、床脚，最后擦门把手。擦抹应从上到下，从左到右，不要漏擦。最后将使用后的毛巾进行消毒。要求做到清洁、无尘、无污渍。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供应室消毒</w:t>
      </w:r>
    </w:p>
    <w:p>
      <w:pPr>
        <w:spacing w:line="400" w:lineRule="exact"/>
        <w:ind w:firstLine="420" w:firstLineChars="200"/>
      </w:pPr>
      <w:r>
        <w:rPr>
          <w:rFonts w:hint="eastAsia" w:ascii="宋体" w:hAnsi="宋体" w:eastAsia="宋体" w:cs="宋体"/>
          <w:color w:val="auto"/>
          <w:szCs w:val="21"/>
          <w:highlight w:val="none"/>
        </w:rPr>
        <w:t>经培训后承担消毒员的工作，接受</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 xml:space="preserve">工作人员的技术指导保证消毒质量，保证医疗垃圾不外流。 </w:t>
      </w:r>
    </w:p>
    <w:p>
      <w:pPr>
        <w:numPr>
          <w:ilvl w:val="0"/>
          <w:numId w:val="1"/>
        </w:numPr>
        <w:spacing w:line="400" w:lineRule="exact"/>
        <w:ind w:left="0" w:leftChars="0" w:firstLine="420" w:firstLineChars="0"/>
        <w:rPr>
          <w:rFonts w:ascii="宋体" w:hAnsi="宋体" w:eastAsia="宋体" w:cs="宋体"/>
          <w:b/>
          <w:bCs/>
          <w:color w:val="auto"/>
          <w:szCs w:val="21"/>
          <w:highlight w:val="none"/>
        </w:rPr>
      </w:pPr>
      <w:r>
        <w:rPr>
          <w:rFonts w:hint="eastAsia" w:ascii="宋体" w:hAnsi="宋体" w:eastAsia="宋体" w:cs="宋体"/>
          <w:b/>
          <w:color w:val="auto"/>
          <w:szCs w:val="21"/>
          <w:highlight w:val="none"/>
        </w:rPr>
        <w:t>生活垃圾、医疗废弃物处理管理服务质量要求</w:t>
      </w:r>
      <w:bookmarkEnd w:id="0"/>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病区及垃圾的分类管理</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病区的划分</w:t>
      </w:r>
    </w:p>
    <w:p>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清洁区（医生、护士值班室、更衣室、储藏室等）；</w:t>
      </w:r>
    </w:p>
    <w:p>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半污染区（护士站、医生办公室、治疗室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换药室等）；</w:t>
      </w:r>
    </w:p>
    <w:p>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leftChars="0" w:firstLine="420" w:firstLineChars="200"/>
        <w:textAlignment w:val="auto"/>
      </w:pPr>
      <w:r>
        <w:rPr>
          <w:rFonts w:hint="eastAsia" w:ascii="宋体" w:hAnsi="宋体" w:eastAsia="宋体" w:cs="宋体"/>
          <w:color w:val="auto"/>
          <w:szCs w:val="21"/>
          <w:highlight w:val="none"/>
        </w:rPr>
        <w:t>污染区（病房、走廊、楼梯等）。</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垃圾的区分</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垃圾共分两大类：医疗垃圾（黄袋）和生活垃圾（黑袋）</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医疗垃圾：针筒、一次性针头、一次性皮管、输液瓶、输液袋、脱脂棉等； </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leftChars="0" w:firstLine="420" w:firstLineChars="200"/>
        <w:textAlignment w:val="auto"/>
      </w:pPr>
      <w:r>
        <w:rPr>
          <w:rFonts w:hint="eastAsia" w:ascii="宋体" w:hAnsi="宋体" w:eastAsia="宋体" w:cs="宋体"/>
          <w:color w:val="auto"/>
          <w:szCs w:val="21"/>
          <w:highlight w:val="none"/>
        </w:rPr>
        <w:t>生活垃圾：严格按照四分类管理。</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对垃圾进行分类收集，使用合格的包装物、容器。生活垃圾处理达标率、及时率100%，二次污染率为零。</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医疗废弃物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严格按照《医疗废物管理条例》和卫生部《医疗废物管理办法》的规定对医疗废物进行分类收集、运送与暂时贮存。制定医疗废物管理的规章制度、工作流程和要求、有关人员的工作职责及发生医疗废物流失、泄露、扩散和意外事故的应急方案。每年组织员工进行不少于三学时的相关知识的培训，每年对员工进行体检。医疗废弃物处理达标率、及时率100%，二次污染为零。</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医疗废弃物管理要求</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临床产生的医疗废弃物管理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医疗废物专用包装物、容器，应当有明显的医疗废物警示标识和警示说明，医疗垃圾袋上有标明垃圾产生日期、产生单位、数量及签名等内容。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医疗垃圾包装不得有滴漏，包装外表面有污染或破损应增加一层外包装。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rPr>
        <w:t>垃圾袋装至3/4即密封扎口。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color w:val="auto"/>
          <w:szCs w:val="21"/>
          <w:highlight w:val="none"/>
        </w:rPr>
        <w:t>禁止将医疗废物混入生活垃圾。如出现混装现象，严格按国家相关规定进行处罚。</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医疗废弃物的</w:t>
      </w:r>
      <w:r>
        <w:rPr>
          <w:rFonts w:hint="eastAsia" w:ascii="宋体" w:hAnsi="宋体" w:eastAsia="宋体" w:cs="宋体"/>
          <w:color w:val="auto"/>
          <w:szCs w:val="21"/>
          <w:highlight w:val="none"/>
        </w:rPr>
        <w:t>运送管理。专人运送，称重并双方签字。密闭运送至暂贮地，不得在其他地点倾倒或存放。</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医疗废物暂贮地管理。医疗废物处理工作人员必须把医疗废物放置在固定地点，所有医疗废物的包装袋包装后扎口、无破损，全部垃圾袋均放入收集桶，并加盖。每日垃圾清运后对暂贮地消毒清洁。暂贮地有专人管理，严防医疗垃圾流失。</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登记。工作人员对医疗废物进行登记，登记内容包括医疗废物的来源、种类、重量或数量、交接时间、最终去向以及经办人签名，登记资料至少保存3年，做好日、月、年的运送统计工作，并及时上报。</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禁止工作人员私自转让、买卖、处理医疗废弃物，如一旦发生严格按国家相关规定处罚。</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自我防护，处置转运医疗废弃物，以及接触人体血液、体液、分泌物、排泄物、粘膜及伤口，必须采取标准防护措施，根据接触程度佩戴眼罩、口罩、帽子、手套、围裙及胶靴等防护用品。一次性防护用品要配备充足，如手套、口罩、帽子、防护面罩等；可复用防护用品要保持清洁、干燥、完好，如胶靴、防水围裙等。工作中违反防护要求导致意外伤害者，责任自负。</w:t>
      </w:r>
    </w:p>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发生职业暴露后，应按院感管理科培训的方法进行现场处置，并按专科医师的医嘱免费予以检查和治疗。</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医院的可回收物品不得私自处理。</w:t>
      </w:r>
    </w:p>
    <w:p>
      <w:pPr>
        <w:numPr>
          <w:ilvl w:val="0"/>
          <w:numId w:val="1"/>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bCs/>
          <w:color w:val="auto"/>
          <w:szCs w:val="21"/>
          <w:highlight w:val="none"/>
        </w:rPr>
        <w:t>电梯的日常保养与维护</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发现电梯异常现象及故障，要立即停止运行，做好警示标志，及时通知专业维修人员，待修复后方能使用。非维修人员不得随意修理，否则，发生事故当事人自负。 </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电梯管理员做好轿厢内日常清洁工作，保持轿厢内外的清洁，保持厅门、轿门地槛清洁，做好巡回动态保洁工作。下班前做好电梯消毒工作并进行记录。</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严禁易燃、易爆等危险品和超长重物品进入电梯。 </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任何人不得</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 xml:space="preserve">电梯机房、轿厢、井道吸烟。 </w:t>
      </w:r>
    </w:p>
    <w:p>
      <w:pPr>
        <w:numPr>
          <w:ilvl w:val="0"/>
          <w:numId w:val="1"/>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下水管道的管理</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管理范围</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所有楼宇室内下水管道定时巡查和疏通。</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所有室外下水管道定时巡查和疏通。</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医院红线范围内家属区室外下水管道的疏通。</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医院红线范围内所有雨水井、明沟渠的巡查和清理。</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医院红线范围内所有雨水管道的定时清理和疏通。</w:t>
      </w:r>
    </w:p>
    <w:p>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所有卫生间马桶简单疏通。</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leftChars="0" w:firstLine="422" w:firstLineChars="20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管理要求</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要求有专业人员从事此项工作，并提供24小时服务。一旦发生清理疏通管道及井的紧急通知后，必须立即响应，及时完成。</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所有工作人员统一着装、配带工卡上岗，文明作业。</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每次清理必须全面彻底，检查井内应能见到流水槽，管道要求无堵塞，水流通畅。</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污水井、化粪池、雨水井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马桶</w:t>
      </w:r>
      <w:r>
        <w:rPr>
          <w:rFonts w:hint="eastAsia" w:ascii="宋体" w:hAnsi="宋体" w:eastAsia="宋体" w:cs="宋体"/>
          <w:color w:val="auto"/>
          <w:szCs w:val="21"/>
          <w:highlight w:val="none"/>
        </w:rPr>
        <w:t>每次清理疏通后，应立即将周围清理并冲洗干净。</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清理管道及检查井时必须注意安全，污水井盖打开后必须经过一段时间通风后才能下人作业，并且要有他人监护，摆放警示牌，清理完后要立即盖好井盖，保证安全。</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乙方对井盖是否稳固具有管理责任，发现井盖松动、损坏、丢失、地下管道经过部位地面下陷等情况必须及时向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反馈，同时做好安全保护措施。</w:t>
      </w:r>
    </w:p>
    <w:p>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所有内外下水管道要定时巡查，保持通畅。如由于人为原因造成的损失，由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负责。</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宋体" w:hAnsi="宋体" w:cs="宋体"/>
          <w:b/>
          <w:szCs w:val="21"/>
          <w:highlight w:val="none"/>
        </w:rPr>
      </w:pPr>
      <w:r>
        <w:rPr>
          <w:rFonts w:hint="eastAsia" w:ascii="宋体" w:hAnsi="宋体" w:cs="宋体"/>
          <w:b/>
          <w:szCs w:val="21"/>
          <w:highlight w:val="none"/>
          <w:lang w:val="en-US" w:eastAsia="zh-CN"/>
        </w:rPr>
        <w:t>三</w:t>
      </w:r>
      <w:r>
        <w:rPr>
          <w:rFonts w:hint="eastAsia" w:ascii="宋体" w:hAnsi="宋体" w:cs="宋体"/>
          <w:b/>
          <w:szCs w:val="21"/>
          <w:highlight w:val="none"/>
        </w:rPr>
        <w:t>、人员岗位设置及人员配置</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供应商应根据采购人的服务内容要求，</w:t>
      </w:r>
      <w:r>
        <w:rPr>
          <w:rFonts w:hint="eastAsia" w:ascii="宋体" w:hAnsi="宋体" w:eastAsia="宋体" w:cs="Times New Roman"/>
          <w:color w:val="auto"/>
          <w:szCs w:val="21"/>
          <w:highlight w:val="none"/>
        </w:rPr>
        <w:t>按岗位合理配置人员，</w:t>
      </w:r>
      <w:r>
        <w:rPr>
          <w:rFonts w:hint="eastAsia" w:ascii="宋体" w:hAnsi="宋体" w:eastAsia="宋体" w:cs="宋体"/>
          <w:color w:val="auto"/>
          <w:kern w:val="1"/>
          <w:szCs w:val="21"/>
          <w:highlight w:val="none"/>
        </w:rPr>
        <w:t>提供详细的岗位配置方案及配置人员数量。</w:t>
      </w:r>
    </w:p>
    <w:tbl>
      <w:tblPr>
        <w:tblStyle w:val="24"/>
        <w:tblW w:w="8925"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5490"/>
        <w:gridCol w:w="100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楼宇</w:t>
            </w:r>
          </w:p>
        </w:tc>
        <w:tc>
          <w:tcPr>
            <w:tcW w:w="54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区域/岗位</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岗位数</w:t>
            </w:r>
          </w:p>
        </w:tc>
        <w:tc>
          <w:tcPr>
            <w:tcW w:w="139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用工人数（自行响应）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门诊楼</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B1外科、骨科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1F门诊大厅、检验科侯检、南面诊室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2F门诊、小儿科、妇产科、观察室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3F皮肤科、整形科整形手术室、眼耳鼻喉科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4F+PCR实验室、1F检验科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医技楼</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1F放射科、磁共振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2F特检科兼顾ICU送血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3F-4F内镜中心、信息科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住院楼</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住院1F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住院2F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住院3F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住院4F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手术室5F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口腔科</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口腔科1-2F+总务科（</w:t>
            </w:r>
            <w:r>
              <w:rPr>
                <w:rFonts w:hint="eastAsia" w:ascii="宋体" w:hAnsi="宋体" w:cs="宋体"/>
                <w:b/>
                <w:bCs/>
                <w:color w:val="auto"/>
                <w:sz w:val="20"/>
                <w:szCs w:val="20"/>
                <w:u w:val="none"/>
                <w:lang w:val="en-US" w:eastAsia="zh-CN" w:bidi="ar"/>
              </w:rPr>
              <w:t>方舱</w:t>
            </w:r>
            <w:r>
              <w:rPr>
                <w:rFonts w:hint="eastAsia" w:ascii="宋体" w:hAnsi="宋体" w:eastAsia="宋体" w:cs="宋体"/>
                <w:b/>
                <w:bCs/>
                <w:i w:val="0"/>
                <w:iCs w:val="0"/>
                <w:color w:val="auto"/>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公卫楼</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1F+母婴室（</w:t>
            </w:r>
            <w:r>
              <w:rPr>
                <w:rFonts w:hint="eastAsia" w:ascii="宋体" w:hAnsi="宋体" w:cs="宋体"/>
                <w:b/>
                <w:bCs/>
                <w:color w:val="auto"/>
                <w:sz w:val="20"/>
                <w:szCs w:val="20"/>
                <w:u w:val="none"/>
                <w:lang w:val="en-US" w:eastAsia="zh-CN" w:bidi="ar"/>
              </w:rPr>
              <w:t>发热门诊</w:t>
            </w:r>
            <w:r>
              <w:rPr>
                <w:rFonts w:hint="eastAsia" w:ascii="宋体" w:hAnsi="宋体" w:eastAsia="宋体" w:cs="宋体"/>
                <w:b/>
                <w:bCs/>
                <w:i w:val="0"/>
                <w:iCs w:val="0"/>
                <w:color w:val="auto"/>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2F儿童保健、孕产妇保健门诊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3F体检中心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4F学术报告厅+内镜配送+设备科配送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运送</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检验科驻守（体检窗口）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门诊药房驻守（西药房）</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（白天总院病区）公共卫生中心1F-3F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标本运送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陪检+夜班运送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专项保洁</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专项（玻璃擦拭、雨棚清洁、不锈钢保养、PVC打蜡、窗帘、床帘拆除、零星搬运）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生活垃圾+收纸箱+总务楼周四物资配送+住院药房卫生打扫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医疗垃圾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外围（门前三包）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内勤</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地巾、毛巾标准+清洗间+仓库（低压室、采血大厅）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急诊</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急诊1楼</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急诊2楼</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老急诊输液大厅（早上6:30-16:30）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ICU </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ICU24小时</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ICU24小时</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综合楼</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1F针灸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2F中医门诊+中药房、中药库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3F设备科、药剂科（西药运送）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4F供应室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5-6F行政</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管理岗位</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项目经理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   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89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4"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桃源中心</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桃源分院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桃源分院（新增岗位）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89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康复</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康复运送</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康复门诊1-3F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康复住院部2-5F</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专项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专项（兼顾早上外围清扫）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儿童康复部+外围清扫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项目领班+总院专项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4"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89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w:t>
            </w: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机动（新增应急替班）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零星搬运、杂物处理、厨房隔油处理（包括下辖16个院区）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65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auto"/>
                <w:sz w:val="20"/>
                <w:szCs w:val="20"/>
                <w:u w:val="none"/>
              </w:rPr>
            </w:pPr>
          </w:p>
        </w:tc>
      </w:tr>
    </w:tbl>
    <w:p>
      <w:pPr>
        <w:spacing w:line="400" w:lineRule="exact"/>
        <w:ind w:firstLine="422" w:firstLineChars="200"/>
        <w:rPr>
          <w:rFonts w:hint="eastAsia" w:ascii="宋体" w:hAnsi="宋体" w:eastAsia="宋体" w:cs="宋体"/>
          <w:b/>
          <w:color w:val="auto"/>
          <w:kern w:val="1"/>
          <w:szCs w:val="21"/>
          <w:highlight w:val="none"/>
          <w:lang w:val="en-US" w:eastAsia="zh-CN"/>
        </w:rPr>
      </w:pPr>
      <w:r>
        <w:rPr>
          <w:rFonts w:hint="eastAsia" w:ascii="宋体" w:hAnsi="宋体" w:eastAsia="宋体" w:cs="宋体"/>
          <w:b/>
          <w:color w:val="auto"/>
          <w:kern w:val="1"/>
          <w:szCs w:val="21"/>
          <w:highlight w:val="none"/>
          <w:lang w:eastAsia="zh-CN"/>
        </w:rPr>
        <w:t>★备注：</w:t>
      </w:r>
      <w:r>
        <w:rPr>
          <w:rFonts w:hint="eastAsia" w:ascii="宋体" w:hAnsi="宋体" w:eastAsia="宋体" w:cs="宋体"/>
          <w:b/>
          <w:color w:val="auto"/>
          <w:kern w:val="1"/>
          <w:szCs w:val="21"/>
          <w:highlight w:val="none"/>
          <w:lang w:val="en-US" w:eastAsia="zh-CN"/>
        </w:rPr>
        <w:t>①</w:t>
      </w:r>
      <w:r>
        <w:rPr>
          <w:rFonts w:hint="eastAsia" w:ascii="宋体" w:hAnsi="宋体" w:eastAsia="宋体" w:cs="宋体"/>
          <w:b/>
          <w:color w:val="auto"/>
          <w:kern w:val="1"/>
          <w:szCs w:val="21"/>
          <w:highlight w:val="none"/>
          <w:lang w:eastAsia="zh-CN"/>
        </w:rPr>
        <w:t>医院未列入上表的部门或岗位，投标人可酌情配置，其它工作范围可另行描述。岗位数投标人需现场实地勘探后，参照医院现有人数配备，在投标文件中对上表做出响应，岗位最低不得少于</w:t>
      </w:r>
      <w:r>
        <w:rPr>
          <w:rFonts w:hint="eastAsia" w:ascii="宋体" w:hAnsi="宋体" w:cs="宋体"/>
          <w:b/>
          <w:color w:val="auto"/>
          <w:kern w:val="1"/>
          <w:szCs w:val="21"/>
          <w:highlight w:val="none"/>
          <w:lang w:val="en-US" w:eastAsia="zh-CN"/>
        </w:rPr>
        <w:t>63</w:t>
      </w:r>
      <w:r>
        <w:rPr>
          <w:rFonts w:hint="eastAsia" w:ascii="宋体" w:hAnsi="宋体" w:eastAsia="宋体" w:cs="宋体"/>
          <w:b/>
          <w:color w:val="auto"/>
          <w:kern w:val="1"/>
          <w:szCs w:val="21"/>
          <w:highlight w:val="none"/>
          <w:lang w:eastAsia="zh-CN"/>
        </w:rPr>
        <w:t>个，不得有大的波动，不能影响现场质量，各岗位不得兼容，</w:t>
      </w:r>
      <w:r>
        <w:rPr>
          <w:rFonts w:hint="eastAsia" w:ascii="宋体" w:hAnsi="宋体" w:eastAsia="宋体" w:cs="宋体"/>
          <w:b/>
          <w:bCs w:val="0"/>
          <w:color w:val="auto"/>
          <w:kern w:val="1"/>
          <w:szCs w:val="21"/>
          <w:highlight w:val="none"/>
          <w:lang w:eastAsia="zh-CN"/>
        </w:rPr>
        <w:t>保洁、运送人员配置（含项目经理）总人数不低于</w:t>
      </w:r>
      <w:r>
        <w:rPr>
          <w:rFonts w:hint="eastAsia" w:ascii="宋体" w:hAnsi="宋体" w:cs="宋体"/>
          <w:b/>
          <w:bCs w:val="0"/>
          <w:color w:val="auto"/>
          <w:kern w:val="1"/>
          <w:szCs w:val="21"/>
          <w:highlight w:val="none"/>
          <w:lang w:val="en-US" w:eastAsia="zh-CN"/>
        </w:rPr>
        <w:t>76</w:t>
      </w:r>
      <w:r>
        <w:rPr>
          <w:rFonts w:hint="eastAsia" w:ascii="宋体" w:hAnsi="宋体" w:eastAsia="宋体" w:cs="宋体"/>
          <w:b/>
          <w:bCs w:val="0"/>
          <w:color w:val="auto"/>
          <w:kern w:val="1"/>
          <w:szCs w:val="21"/>
          <w:highlight w:val="none"/>
          <w:lang w:eastAsia="zh-CN"/>
        </w:rPr>
        <w:t>人，其中</w:t>
      </w:r>
      <w:r>
        <w:rPr>
          <w:rFonts w:hint="eastAsia" w:ascii="宋体" w:hAnsi="宋体" w:eastAsia="宋体" w:cs="宋体"/>
          <w:b/>
          <w:bCs w:val="0"/>
          <w:color w:val="auto"/>
          <w:kern w:val="1"/>
          <w:szCs w:val="21"/>
          <w:highlight w:val="none"/>
          <w:lang w:val="en-US" w:eastAsia="zh-CN"/>
        </w:rPr>
        <w:t>本项目管理人员配置必须≥2人。</w:t>
      </w:r>
      <w:r>
        <w:rPr>
          <w:rFonts w:hint="eastAsia" w:ascii="宋体" w:hAnsi="宋体" w:eastAsia="宋体" w:cs="宋体"/>
          <w:b/>
          <w:bCs w:val="0"/>
          <w:color w:val="auto"/>
          <w:kern w:val="1"/>
          <w:szCs w:val="21"/>
          <w:highlight w:val="none"/>
          <w:lang w:eastAsia="zh-CN"/>
        </w:rPr>
        <w:t>项目用工人员的劳动报酬必须符合国家相关法律法规的规定</w:t>
      </w:r>
      <w:r>
        <w:rPr>
          <w:rFonts w:hint="eastAsia" w:ascii="宋体" w:hAnsi="宋体" w:cs="宋体"/>
          <w:b/>
          <w:bCs w:val="0"/>
          <w:color w:val="auto"/>
          <w:kern w:val="1"/>
          <w:szCs w:val="21"/>
          <w:highlight w:val="none"/>
          <w:lang w:eastAsia="zh-CN"/>
        </w:rPr>
        <w:t>，</w:t>
      </w:r>
      <w:r>
        <w:rPr>
          <w:rFonts w:hint="eastAsia" w:ascii="宋体" w:hAnsi="宋体" w:eastAsia="宋体" w:cs="宋体"/>
          <w:b/>
          <w:bCs w:val="0"/>
          <w:color w:val="auto"/>
          <w:kern w:val="1"/>
          <w:szCs w:val="21"/>
          <w:highlight w:val="none"/>
          <w:lang w:eastAsia="zh-CN"/>
        </w:rPr>
        <w:t>每人月工资不得低于宁海县最低工资标准</w:t>
      </w:r>
      <w:r>
        <w:rPr>
          <w:rFonts w:hint="eastAsia" w:ascii="宋体" w:hAnsi="宋体" w:cs="宋体"/>
          <w:b/>
          <w:bCs w:val="0"/>
          <w:color w:val="auto"/>
          <w:kern w:val="1"/>
          <w:szCs w:val="21"/>
          <w:highlight w:val="none"/>
          <w:lang w:eastAsia="zh-CN"/>
        </w:rPr>
        <w:t>。</w:t>
      </w:r>
      <w:r>
        <w:rPr>
          <w:rFonts w:hint="eastAsia" w:ascii="宋体" w:hAnsi="宋体" w:eastAsia="宋体" w:cs="宋体"/>
          <w:b/>
          <w:bCs w:val="0"/>
          <w:color w:val="auto"/>
          <w:kern w:val="1"/>
          <w:szCs w:val="21"/>
          <w:highlight w:val="none"/>
          <w:lang w:eastAsia="zh-CN"/>
        </w:rPr>
        <w:t>本轮招标合同三年内国家上调最低工资标准和养老保险标准的，服务费不予调整</w:t>
      </w:r>
      <w:r>
        <w:rPr>
          <w:rFonts w:hint="eastAsia" w:ascii="宋体" w:hAnsi="宋体" w:cs="宋体"/>
          <w:b/>
          <w:bCs w:val="0"/>
          <w:color w:val="auto"/>
          <w:kern w:val="1"/>
          <w:szCs w:val="21"/>
          <w:highlight w:val="none"/>
          <w:lang w:eastAsia="zh-CN"/>
        </w:rPr>
        <w:t>，</w:t>
      </w:r>
      <w:r>
        <w:rPr>
          <w:rFonts w:hint="eastAsia" w:ascii="宋体" w:hAnsi="宋体" w:eastAsia="宋体" w:cs="宋体"/>
          <w:b/>
          <w:bCs w:val="0"/>
          <w:color w:val="auto"/>
          <w:kern w:val="1"/>
          <w:szCs w:val="21"/>
          <w:highlight w:val="none"/>
          <w:lang w:eastAsia="zh-CN"/>
        </w:rPr>
        <w:t>投标人在投标报价中应充分考虑该项风险。</w:t>
      </w:r>
      <w:r>
        <w:rPr>
          <w:rFonts w:hint="eastAsia" w:ascii="宋体" w:hAnsi="宋体" w:eastAsia="宋体" w:cs="宋体"/>
          <w:b/>
          <w:color w:val="auto"/>
          <w:kern w:val="1"/>
          <w:szCs w:val="21"/>
          <w:highlight w:val="none"/>
          <w:lang w:val="en-US" w:eastAsia="zh-CN"/>
        </w:rPr>
        <w:t>②</w:t>
      </w:r>
      <w:r>
        <w:rPr>
          <w:rFonts w:hint="eastAsia" w:ascii="宋体" w:hAnsi="宋体" w:eastAsia="宋体" w:cs="宋体"/>
          <w:b/>
          <w:color w:val="auto"/>
          <w:kern w:val="1"/>
          <w:szCs w:val="21"/>
          <w:highlight w:val="none"/>
          <w:lang w:eastAsia="zh-CN"/>
        </w:rPr>
        <w:t>各投标人在投标前自行组织人员到医院现场勘踏，费用自理。</w:t>
      </w:r>
      <w:r>
        <w:rPr>
          <w:rFonts w:hint="eastAsia" w:ascii="宋体" w:hAnsi="宋体" w:eastAsia="宋体" w:cs="宋体"/>
          <w:b/>
          <w:color w:val="auto"/>
          <w:kern w:val="1"/>
          <w:szCs w:val="21"/>
          <w:highlight w:val="none"/>
          <w:lang w:val="en-US" w:eastAsia="zh-CN"/>
        </w:rPr>
        <w:t>③投标人总费用报价要分项列明，清晰详实，科学合理。</w:t>
      </w:r>
    </w:p>
    <w:p>
      <w:pPr>
        <w:numPr>
          <w:ilvl w:val="0"/>
          <w:numId w:val="25"/>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项目负责人及主管岗位要求</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项目经理年龄在30-50周岁之间且大专及以上学历</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项目经理在</w:t>
      </w:r>
      <w:r>
        <w:rPr>
          <w:rFonts w:hint="eastAsia" w:ascii="宋体" w:hAnsi="宋体" w:eastAsia="宋体" w:cs="宋体"/>
          <w:color w:val="auto"/>
          <w:szCs w:val="21"/>
          <w:highlight w:val="none"/>
          <w:lang w:eastAsia="zh-CN"/>
        </w:rPr>
        <w:t>二级</w:t>
      </w:r>
      <w:r>
        <w:rPr>
          <w:rFonts w:hint="eastAsia" w:ascii="宋体" w:hAnsi="宋体" w:eastAsia="宋体" w:cs="宋体"/>
          <w:color w:val="auto"/>
          <w:szCs w:val="21"/>
          <w:highlight w:val="none"/>
        </w:rPr>
        <w:t>医院有</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年(含)以上保洁运送管理工作经验。</w:t>
      </w:r>
    </w:p>
    <w:p>
      <w:pPr>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女性主管人员年龄不得大于50</w:t>
      </w:r>
      <w:r>
        <w:rPr>
          <w:rFonts w:hint="eastAsia" w:ascii="宋体" w:hAnsi="宋体" w:eastAsia="宋体" w:cs="宋体"/>
          <w:color w:val="auto"/>
          <w:szCs w:val="21"/>
          <w:highlight w:val="none"/>
          <w:lang w:val="en-US" w:eastAsia="zh-CN"/>
        </w:rPr>
        <w:t>周</w:t>
      </w:r>
      <w:r>
        <w:rPr>
          <w:rFonts w:hint="eastAsia" w:ascii="宋体" w:hAnsi="宋体" w:eastAsia="宋体" w:cs="宋体"/>
          <w:color w:val="auto"/>
          <w:szCs w:val="21"/>
          <w:highlight w:val="none"/>
        </w:rPr>
        <w:t>岁，男性主管人员年龄不得大于55</w:t>
      </w:r>
      <w:r>
        <w:rPr>
          <w:rFonts w:hint="eastAsia" w:ascii="宋体" w:hAnsi="宋体" w:eastAsia="宋体" w:cs="宋体"/>
          <w:color w:val="auto"/>
          <w:szCs w:val="21"/>
          <w:highlight w:val="none"/>
          <w:lang w:val="en-US" w:eastAsia="zh-CN"/>
        </w:rPr>
        <w:t>周</w:t>
      </w:r>
      <w:r>
        <w:rPr>
          <w:rFonts w:hint="eastAsia" w:ascii="宋体" w:hAnsi="宋体" w:eastAsia="宋体" w:cs="宋体"/>
          <w:color w:val="auto"/>
          <w:szCs w:val="21"/>
          <w:highlight w:val="none"/>
        </w:rPr>
        <w:t>岁。</w:t>
      </w:r>
    </w:p>
    <w:p>
      <w:pPr>
        <w:numPr>
          <w:ilvl w:val="0"/>
          <w:numId w:val="25"/>
        </w:numPr>
        <w:spacing w:line="4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员工要求</w:t>
      </w:r>
    </w:p>
    <w:p>
      <w:pPr>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人员年龄原则上不得超过60周岁，特殊情况须经院方同意。超龄人员影响服务质量的按超龄人数乘以平均人员费用从当月服务费中扣除。</w:t>
      </w:r>
    </w:p>
    <w:p>
      <w:pPr>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身体健康</w:t>
      </w:r>
      <w:r>
        <w:rPr>
          <w:rFonts w:hint="eastAsia" w:ascii="宋体" w:hAnsi="宋体" w:cs="宋体"/>
          <w:color w:val="auto"/>
          <w:szCs w:val="21"/>
          <w:highlight w:val="none"/>
          <w:lang w:eastAsia="zh-CN"/>
        </w:rPr>
        <w:t>，中标人做好所有员工的定期体检，并做好相应资料的存档，以便相关部门的检查。</w:t>
      </w:r>
    </w:p>
    <w:p>
      <w:pPr>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须缴纳员工必要的社会保险（养老保险、失业保险、工伤保险、生育保险、医疗保险），社会保险费用计入投标报价，同时要写明在这个后勤服务范围内所需的最低人数；员工辞工率控制在每年20%以内与每月5%以内。</w:t>
      </w:r>
    </w:p>
    <w:p>
      <w:pPr>
        <w:numPr>
          <w:ilvl w:val="0"/>
          <w:numId w:val="0"/>
        </w:numPr>
        <w:spacing w:line="360" w:lineRule="auto"/>
        <w:ind w:leftChars="0"/>
        <w:jc w:val="center"/>
        <w:rPr>
          <w:rFonts w:hint="eastAsia" w:ascii="宋体" w:hAnsi="宋体" w:cs="宋体"/>
          <w:b/>
          <w:bCs/>
          <w:szCs w:val="21"/>
          <w:highlight w:val="none"/>
        </w:rPr>
      </w:pPr>
      <w:r>
        <w:rPr>
          <w:rFonts w:hint="eastAsia" w:ascii="宋体" w:hAnsi="宋体" w:cs="宋体"/>
          <w:b/>
          <w:bCs/>
          <w:szCs w:val="21"/>
          <w:highlight w:val="none"/>
          <w:lang w:val="en-US" w:eastAsia="zh-CN"/>
        </w:rPr>
        <w:t>四、</w:t>
      </w:r>
      <w:r>
        <w:rPr>
          <w:rFonts w:hint="eastAsia" w:ascii="宋体" w:hAnsi="宋体" w:cs="宋体"/>
          <w:b/>
          <w:bCs/>
          <w:szCs w:val="21"/>
          <w:highlight w:val="none"/>
        </w:rPr>
        <w:t>保洁设备设施配置</w:t>
      </w:r>
    </w:p>
    <w:tbl>
      <w:tblPr>
        <w:tblStyle w:val="24"/>
        <w:tblW w:w="8250" w:type="dxa"/>
        <w:tblInd w:w="142" w:type="dxa"/>
        <w:tblLayout w:type="fixed"/>
        <w:tblCellMar>
          <w:top w:w="0" w:type="dxa"/>
          <w:left w:w="108" w:type="dxa"/>
          <w:bottom w:w="0" w:type="dxa"/>
          <w:right w:w="108" w:type="dxa"/>
        </w:tblCellMar>
      </w:tblPr>
      <w:tblGrid>
        <w:gridCol w:w="949"/>
        <w:gridCol w:w="3516"/>
        <w:gridCol w:w="1185"/>
        <w:gridCol w:w="2600"/>
      </w:tblGrid>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auto"/>
                <w:sz w:val="21"/>
                <w:szCs w:val="21"/>
                <w:highlight w:val="none"/>
                <w:u w:val="none"/>
              </w:rPr>
            </w:pPr>
            <w:r>
              <w:rPr>
                <w:rFonts w:hint="eastAsia" w:ascii="等线" w:hAnsi="等线" w:eastAsia="等线" w:cs="等线"/>
                <w:b/>
                <w:bCs/>
                <w:i w:val="0"/>
                <w:iCs w:val="0"/>
                <w:color w:val="auto"/>
                <w:kern w:val="0"/>
                <w:sz w:val="21"/>
                <w:szCs w:val="21"/>
                <w:highlight w:val="none"/>
                <w:u w:val="none"/>
                <w:lang w:val="en-US" w:eastAsia="zh-CN" w:bidi="ar"/>
              </w:rPr>
              <w:t>数量</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highlight w:val="none"/>
                <w:u w:val="none"/>
                <w:lang w:eastAsia="zh-CN"/>
              </w:rPr>
            </w:pPr>
            <w:r>
              <w:rPr>
                <w:rFonts w:hint="eastAsia" w:ascii="等线" w:hAnsi="等线" w:eastAsia="等线" w:cs="等线"/>
                <w:b/>
                <w:bCs/>
                <w:i w:val="0"/>
                <w:iCs w:val="0"/>
                <w:color w:val="auto"/>
                <w:sz w:val="21"/>
                <w:szCs w:val="21"/>
                <w:highlight w:val="none"/>
                <w:u w:val="none"/>
                <w:lang w:eastAsia="zh-CN"/>
              </w:rPr>
              <w:t>备注</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全自动自走洗地机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rPr>
            </w:pPr>
            <w:r>
              <w:rPr>
                <w:rFonts w:hint="eastAsia" w:ascii="等线" w:hAnsi="等线" w:eastAsia="等线" w:cs="等线"/>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全自动洗地机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清洁手推车</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必须配置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加重型地擦机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抛光机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吹风机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高压水枪</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高压水车</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吸尘器</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驾驶式扫地机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垃圾车</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烘干机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必须配置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洗衣机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必须配置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台式电脑</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必须配置</w:t>
            </w:r>
          </w:p>
        </w:tc>
      </w:tr>
      <w:tr>
        <w:tblPrEx>
          <w:tblLayout w:type="fixed"/>
          <w:tblCellMar>
            <w:top w:w="0" w:type="dxa"/>
            <w:left w:w="108" w:type="dxa"/>
            <w:bottom w:w="0" w:type="dxa"/>
            <w:right w:w="108" w:type="dxa"/>
          </w:tblCellMar>
        </w:tblPrEx>
        <w:trPr>
          <w:trHeight w:val="397" w:hRule="exact"/>
        </w:trPr>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考勤钟</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必须配置</w:t>
            </w:r>
          </w:p>
        </w:tc>
      </w:tr>
    </w:tbl>
    <w:p>
      <w:pPr>
        <w:spacing w:line="400" w:lineRule="exact"/>
        <w:rPr>
          <w:rFonts w:hint="eastAsia"/>
        </w:rPr>
      </w:pPr>
      <w:r>
        <w:rPr>
          <w:rFonts w:hint="eastAsia" w:ascii="宋体" w:hAnsi="宋体" w:eastAsia="宋体" w:cs="宋体"/>
          <w:bCs/>
          <w:color w:val="auto"/>
          <w:szCs w:val="21"/>
          <w:highlight w:val="none"/>
        </w:rPr>
        <w:t>注：供应商应根据项目需要合理配置设备，满足保洁质量与提高效率需要。</w:t>
      </w:r>
    </w:p>
    <w:p>
      <w:pPr>
        <w:numPr>
          <w:ilvl w:val="0"/>
          <w:numId w:val="28"/>
        </w:numPr>
        <w:spacing w:line="360" w:lineRule="auto"/>
        <w:jc w:val="center"/>
        <w:rPr>
          <w:rFonts w:hint="default" w:ascii="宋体" w:hAnsi="宋体" w:cs="宋体"/>
          <w:b/>
          <w:bCs/>
          <w:szCs w:val="21"/>
          <w:highlight w:val="none"/>
          <w:lang w:val="en-US"/>
        </w:rPr>
      </w:pPr>
      <w:r>
        <w:rPr>
          <w:rFonts w:hint="eastAsia" w:ascii="宋体" w:hAnsi="宋体" w:cs="宋体"/>
          <w:b/>
          <w:bCs/>
          <w:szCs w:val="21"/>
          <w:highlight w:val="none"/>
          <w:lang w:val="en-US" w:eastAsia="zh-CN"/>
        </w:rPr>
        <w:t>其他要求及说明</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制定切实可行的应急预案防范措施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台风来临之前应急预案；降雪天气的应急预案。</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管理空调、电风扇、电灯、水龙头等开与关，以及在合理时间给房间通风。</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在台风或大雨季节，如要加强抗台抗灾时，中标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要无条件安排值班。</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协助</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管理责任区域内的消防和防盗。</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重症监护室工作的员工应精神健康，有爱心、耐心。</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hint="eastAsia"/>
        </w:rPr>
      </w:pPr>
      <w:r>
        <w:rPr>
          <w:rFonts w:hint="eastAsia" w:ascii="宋体" w:hAnsi="宋体" w:eastAsia="宋体" w:cs="宋体"/>
          <w:color w:val="auto"/>
          <w:szCs w:val="21"/>
          <w:highlight w:val="none"/>
        </w:rPr>
        <w:t>保洁工作人员应服从科室安排，特别是医技科室、重病房护工及病区护工，不能因员工变动影响科室工作。</w:t>
      </w:r>
    </w:p>
    <w:p>
      <w:pPr>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leftChars="0" w:firstLine="42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协助医院进行劝烟工作。</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服务质量标准要求按二级医院标准订立服务规程。供应商应制订具体的质量保证措施及相关服务承诺。如因质量未达到目标，承包单位应因此承担责任和经济赔偿。</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供应商必须聘请（或指定）一位项目负责人，全权代表其负责管理承包区域服务工作，并与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保持密切联系。</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应制订详细的培训计划，对员工进行岗位培训、日常培训和文明礼仪培训，确保每个员工培训合格后上岗。</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要合法用工，并派用与医院后勤服务相适应的员工。</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的要求，中标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应为本项目承包区域内各项服务工作配备足够人员。所聘人员必须符合劳动部门有关用工规定，并经中标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相关专业考核合格后持证上岗，</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有权对此进行审核并提出整改意见。</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员工服装应统一、整洁，挂牌上岗，便于管理。</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工作人员应做好自身防护工作。</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应保证在承包期内其员工最低月工资不少于</w:t>
      </w:r>
      <w:r>
        <w:rPr>
          <w:rFonts w:hint="eastAsia" w:ascii="宋体" w:hAnsi="宋体" w:eastAsia="宋体" w:cs="宋体"/>
          <w:color w:val="auto"/>
          <w:szCs w:val="21"/>
          <w:highlight w:val="none"/>
          <w:lang w:val="en-US" w:eastAsia="zh-CN"/>
        </w:rPr>
        <w:t>宁海县</w:t>
      </w:r>
      <w:r>
        <w:rPr>
          <w:rFonts w:hint="eastAsia" w:ascii="宋体" w:hAnsi="宋体" w:eastAsia="宋体" w:cs="宋体"/>
          <w:color w:val="auto"/>
          <w:szCs w:val="21"/>
          <w:highlight w:val="none"/>
        </w:rPr>
        <w:t>最低工资标准，并且有员工（工资福利）激励方案、员工队伍稳定方案、员工五金交纳方案、女工特殊福利方案。</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社会保险（除必须的各种社保外，还应包括第三者责任保险和员工人身意外保险）</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ind w:left="0" w:leftChars="0" w:firstLine="420" w:firstLineChars="200"/>
        <w:textAlignment w:val="auto"/>
      </w:pPr>
      <w:r>
        <w:rPr>
          <w:rFonts w:hint="eastAsia" w:ascii="宋体" w:hAnsi="宋体" w:eastAsia="宋体" w:cs="宋体"/>
          <w:color w:val="auto"/>
          <w:szCs w:val="21"/>
          <w:highlight w:val="none"/>
        </w:rPr>
        <w:t>第三者责任保险：中标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应为承包区域</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参与承包区域经营的工作人员（包括采购人的物业和人员以及第三方）投保，以保证在承包期间人员和财产以外遭受损失时得到补偿。</w:t>
      </w:r>
    </w:p>
    <w:p>
      <w:pPr>
        <w:keepNext w:val="0"/>
        <w:keepLines w:val="0"/>
        <w:pageBreakBefore w:val="0"/>
        <w:widowControl w:val="0"/>
        <w:numPr>
          <w:ilvl w:val="0"/>
          <w:numId w:val="30"/>
        </w:numPr>
        <w:kinsoku/>
        <w:wordWrap/>
        <w:overflowPunct/>
        <w:topLinePunct w:val="0"/>
        <w:autoSpaceDE/>
        <w:autoSpaceDN/>
        <w:bidi w:val="0"/>
        <w:adjustRightInd/>
        <w:snapToGrid/>
        <w:spacing w:line="400" w:lineRule="exact"/>
        <w:ind w:left="0" w:leftChars="0" w:firstLine="420" w:firstLineChars="200"/>
        <w:textAlignment w:val="auto"/>
      </w:pPr>
      <w:r>
        <w:rPr>
          <w:rFonts w:hint="eastAsia" w:ascii="宋体" w:hAnsi="宋体" w:eastAsia="宋体" w:cs="宋体"/>
          <w:color w:val="auto"/>
          <w:szCs w:val="21"/>
          <w:highlight w:val="none"/>
        </w:rPr>
        <w:t>员工人身意外保险：在承包期内，中标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应为其员工投保人身意外险，以保证</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在中标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工作人员索偿时不受任何责任的约束。</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将提供</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存放工具、换衣、休息及办公场所，具体面积及数量由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协商确定，此类场所不计租金与水电、管理费。</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及其员工必须遵守医院的一切行政管理、消防安全、病区等规定和制度。</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应无条件接受和配合</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或其授权的人员对承包区域内各项服务质量控制进行检查。</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遇突发事件或安全检查时，</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必须配合有关部门执行任务，并指定专职人员协助工作，直至完成。</w:t>
      </w:r>
    </w:p>
    <w:p>
      <w:pPr>
        <w:numPr>
          <w:ilvl w:val="0"/>
          <w:numId w:val="29"/>
        </w:numPr>
        <w:spacing w:line="400" w:lineRule="exact"/>
        <w:ind w:left="0" w:leftChars="0" w:firstLine="42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不得以任何理由向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工作人员支付小费或赠送实物，不得在承包区域住宿或从事非法活动或有损甲方利益的活动。</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不以任何形式转租、转让、抵押承包区域，在承包区域只从事采购人认可的服务工作。在承包期间，</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的任何股份配置、项目负责人的变动应通知医院。未经采购人书面批准，任何占有支配地位的股份转让</w:t>
      </w:r>
      <w:r>
        <w:rPr>
          <w:rFonts w:hint="eastAsia" w:ascii="宋体" w:hAnsi="宋体" w:cs="宋体"/>
          <w:color w:val="auto"/>
          <w:szCs w:val="21"/>
          <w:highlight w:val="none"/>
          <w:lang w:val="en-US" w:eastAsia="zh-CN"/>
        </w:rPr>
        <w:t>都</w:t>
      </w:r>
      <w:r>
        <w:rPr>
          <w:rFonts w:hint="eastAsia" w:ascii="宋体" w:hAnsi="宋体" w:eastAsia="宋体" w:cs="宋体"/>
          <w:color w:val="auto"/>
          <w:szCs w:val="21"/>
          <w:highlight w:val="none"/>
        </w:rPr>
        <w:t>将视为乙方出租、转让的行为。</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承包区域的各项服务工作时间必须符合及满足</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的要求，包括</w:t>
      </w:r>
      <w:r>
        <w:rPr>
          <w:rFonts w:hint="eastAsia" w:ascii="宋体" w:hAnsi="宋体" w:eastAsia="宋体" w:cs="宋体"/>
          <w:color w:val="auto"/>
          <w:szCs w:val="21"/>
          <w:highlight w:val="none"/>
          <w:lang w:val="en-US" w:eastAsia="zh-CN"/>
        </w:rPr>
        <w:t>周末</w:t>
      </w:r>
      <w:r>
        <w:rPr>
          <w:rFonts w:hint="eastAsia" w:ascii="宋体" w:hAnsi="宋体" w:eastAsia="宋体" w:cs="宋体"/>
          <w:color w:val="auto"/>
          <w:szCs w:val="21"/>
          <w:highlight w:val="none"/>
        </w:rPr>
        <w:t>及公众假期，都不得停止工作。如因服务范围内容变动需调整合同，由双方协商确定。</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在服务期内</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遇到医院各类检查（如上级部门来院检查等），</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要无条件加班，</w:t>
      </w:r>
      <w:r>
        <w:rPr>
          <w:rFonts w:hint="eastAsia" w:ascii="宋体" w:hAnsi="宋体" w:eastAsia="宋体" w:cs="宋体"/>
          <w:color w:val="auto"/>
          <w:szCs w:val="21"/>
          <w:highlight w:val="none"/>
          <w:lang w:eastAsia="zh-CN"/>
        </w:rPr>
        <w:t xml:space="preserve">此项造成的费用由中标人承担。 </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员工发生被媒体曝光或影响医院公众形象（如卖医疗垃圾、坑害病人等）或违反医院规章制度造成不良影响，以及存在招标文件不符合的做法，或不履行其投标文件的部份承诺，而由此产生的损失及消除影响产生的费用，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 xml:space="preserve">全部承担。 </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服务区内垃圾袋装收集，存放在指定地点。清卫、保洁及生活服务的工作质量按国家卫生城市和医院管理的有关标准严格验收。</w:t>
      </w:r>
    </w:p>
    <w:p>
      <w:pPr>
        <w:numPr>
          <w:ilvl w:val="0"/>
          <w:numId w:val="29"/>
        </w:numPr>
        <w:spacing w:line="400" w:lineRule="exact"/>
        <w:ind w:left="0" w:leftChars="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拖把、扫帚、</w:t>
      </w:r>
      <w:r>
        <w:rPr>
          <w:rFonts w:hint="eastAsia" w:ascii="宋体" w:hAnsi="宋体" w:eastAsia="宋体" w:cs="宋体"/>
          <w:color w:val="auto"/>
          <w:szCs w:val="21"/>
          <w:highlight w:val="none"/>
        </w:rPr>
        <w:t>生活垃圾袋、保洁用消毒药剂及保洁运输配送等所有的器具、耗材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包括桃源分中心，</w:t>
      </w:r>
      <w:r>
        <w:rPr>
          <w:rFonts w:hint="eastAsia" w:ascii="宋体" w:hAnsi="宋体" w:eastAsia="宋体" w:cs="宋体"/>
          <w:color w:val="auto"/>
          <w:szCs w:val="21"/>
          <w:highlight w:val="none"/>
          <w:lang w:eastAsia="zh-CN"/>
        </w:rPr>
        <w:t>（社区卫生服务站的器具、耗材除外）</w:t>
      </w:r>
      <w:r>
        <w:rPr>
          <w:rFonts w:hint="eastAsia" w:ascii="宋体" w:hAnsi="宋体" w:eastAsia="宋体" w:cs="宋体"/>
          <w:color w:val="auto"/>
          <w:szCs w:val="21"/>
          <w:highlight w:val="none"/>
        </w:rPr>
        <w:t>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负责提供。</w:t>
      </w:r>
    </w:p>
    <w:p>
      <w:pPr>
        <w:numPr>
          <w:ilvl w:val="0"/>
          <w:numId w:val="29"/>
        </w:numPr>
        <w:spacing w:line="400" w:lineRule="exact"/>
        <w:ind w:left="0" w:leftChars="0" w:firstLine="420" w:firstLineChars="0"/>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达不到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要求及供应商各项服务承诺，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有权要求其整改，直至扣款或单方面终止合同。</w:t>
      </w:r>
    </w:p>
    <w:p>
      <w:pPr>
        <w:numPr>
          <w:ilvl w:val="0"/>
          <w:numId w:val="29"/>
        </w:numPr>
        <w:spacing w:line="400" w:lineRule="exact"/>
        <w:ind w:left="0" w:leftChars="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不接受</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任何因遗漏报价而发生的费用追加，因</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违反《劳动法》等法律法规而造成</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的连带责任和损失全部由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承担。</w:t>
      </w:r>
    </w:p>
    <w:p>
      <w:pPr>
        <w:numPr>
          <w:ilvl w:val="0"/>
          <w:numId w:val="29"/>
        </w:numPr>
        <w:spacing w:line="400" w:lineRule="exact"/>
        <w:ind w:left="0" w:leftChars="0" w:firstLine="420" w:firstLineChars="0"/>
        <w:rPr>
          <w:rFonts w:ascii="宋体" w:hAnsi="宋体" w:eastAsia="宋体" w:cs="Times New Roman"/>
          <w:color w:val="auto"/>
          <w:szCs w:val="21"/>
          <w:highlight w:val="none"/>
        </w:rPr>
      </w:pPr>
      <w:r>
        <w:rPr>
          <w:rFonts w:hint="eastAsia" w:ascii="宋体" w:hAnsi="宋体" w:eastAsia="宋体" w:cs="宋体"/>
          <w:color w:val="auto"/>
          <w:szCs w:val="21"/>
          <w:highlight w:val="none"/>
        </w:rPr>
        <w:t>服从和遵守</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制定的各项安全制度、工作管理制度、考核制度及其他现行的规章制度。</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员工应积极主动学习</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的有关规章制度和管理规定，主动学习有关的安全规定、安全标准、维保规程和标准，学习必要的、最新的与工作有关的资料、文件和手册，严格按照院方规定的工作规范、标准、程序和权限开展工作，</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的常驻工作人员必须服从院方统一的日常管理，包括日常的考勤、考核，服从工作安排。</w:t>
      </w:r>
    </w:p>
    <w:p>
      <w:pPr>
        <w:numPr>
          <w:ilvl w:val="0"/>
          <w:numId w:val="29"/>
        </w:numPr>
        <w:spacing w:line="400" w:lineRule="exact"/>
        <w:ind w:left="0" w:leftChars="0" w:firstLine="420" w:firstLineChars="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必须建立和完善安全责任制度，建立安全服务保证体系，保障医院安全、稳定的运营和服务，防止责任事故发生；所有设施及工作均不得对运营服务造成影响。</w:t>
      </w:r>
    </w:p>
    <w:p>
      <w:pPr>
        <w:numPr>
          <w:ilvl w:val="0"/>
          <w:numId w:val="29"/>
        </w:numPr>
        <w:spacing w:line="400" w:lineRule="exact"/>
        <w:ind w:left="0" w:leftChars="0" w:firstLine="42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安全责任的承担</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服务过程中产生的所有安全责任事故的后果由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承担，</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应严格执行各项国家地方有关规定，实施严格的各类安全防护保证措施，做好安全工作，在服务期间，若发生安全事故，一切法律和经济责任均由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承担，</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rPr>
        <w:t>概不负责。安全事故包括但不限于以下情况：</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对第三人造成安全事故的；如因工作不当引起的病人跌倒等伤害事件，由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负责纠纷处置及经济赔偿。</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在服务期内，设备或物品意外被盗或损失、人为损坏的赔偿；</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所属员工在工作期间发生的各类受伤、致残、身亡等事故的一切责任及费用由</w:t>
      </w:r>
      <w:r>
        <w:rPr>
          <w:rFonts w:hint="eastAsia" w:ascii="宋体" w:hAnsi="宋体" w:cs="Times New Roman"/>
          <w:color w:val="auto"/>
          <w:szCs w:val="21"/>
          <w:highlight w:val="none"/>
          <w:lang w:val="en-US" w:eastAsia="zh-CN"/>
        </w:rPr>
        <w:t>中标人</w:t>
      </w:r>
      <w:r>
        <w:rPr>
          <w:rFonts w:hint="eastAsia" w:ascii="宋体" w:hAnsi="宋体" w:eastAsia="宋体" w:cs="Times New Roman"/>
          <w:color w:val="auto"/>
          <w:szCs w:val="21"/>
          <w:highlight w:val="none"/>
        </w:rPr>
        <w:t>全部负责。</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在服务期内，因员工安全意识欠缺、安全技能培训不到位从而造成事故的，所有损失由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承担</w:t>
      </w:r>
      <w:r>
        <w:rPr>
          <w:rFonts w:hint="eastAsia" w:ascii="宋体" w:hAnsi="宋体" w:eastAsia="宋体" w:cs="Times New Roman"/>
          <w:color w:val="auto"/>
          <w:szCs w:val="21"/>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与员工之间的各种纠纷，由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自行解决。</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pPr>
      <w:r>
        <w:rPr>
          <w:rFonts w:hint="eastAsia" w:ascii="宋体" w:hAnsi="宋体" w:eastAsia="宋体" w:cs="Times New Roman"/>
          <w:color w:val="auto"/>
          <w:szCs w:val="21"/>
          <w:highlight w:val="none"/>
          <w:lang w:val="en-US" w:eastAsia="zh-CN"/>
        </w:rPr>
        <w:t>中标人</w:t>
      </w:r>
      <w:r>
        <w:rPr>
          <w:rFonts w:hint="eastAsia" w:ascii="宋体" w:hAnsi="宋体" w:eastAsia="宋体" w:cs="宋体"/>
          <w:color w:val="auto"/>
          <w:szCs w:val="21"/>
          <w:highlight w:val="none"/>
        </w:rPr>
        <w:t>因违规操作或失职等造成</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val="en-US" w:eastAsia="zh-CN"/>
        </w:rPr>
        <w:t>人</w:t>
      </w:r>
      <w:r>
        <w:rPr>
          <w:rFonts w:hint="eastAsia" w:ascii="宋体" w:hAnsi="宋体" w:eastAsia="宋体" w:cs="宋体"/>
          <w:color w:val="auto"/>
          <w:szCs w:val="21"/>
          <w:highlight w:val="none"/>
        </w:rPr>
        <w:t>设备、设施损坏以及</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员工工伤事故发生的，一切责任由</w:t>
      </w:r>
      <w:r>
        <w:rPr>
          <w:rFonts w:hint="eastAsia" w:ascii="宋体" w:hAnsi="宋体" w:eastAsia="宋体" w:cs="Times New Roman"/>
          <w:color w:val="auto"/>
          <w:szCs w:val="21"/>
          <w:highlight w:val="none"/>
          <w:lang w:val="en-US" w:eastAsia="zh-CN"/>
        </w:rPr>
        <w:t>中标人</w:t>
      </w:r>
      <w:r>
        <w:rPr>
          <w:rFonts w:hint="eastAsia" w:ascii="宋体" w:hAnsi="宋体" w:eastAsia="宋体" w:cs="宋体"/>
          <w:color w:val="auto"/>
          <w:szCs w:val="21"/>
          <w:highlight w:val="none"/>
        </w:rPr>
        <w:t>负责，并承担由</w:t>
      </w:r>
      <w:r>
        <w:rPr>
          <w:rFonts w:hint="eastAsia" w:ascii="宋体" w:hAnsi="宋体" w:eastAsia="宋体" w:cs="Times New Roman"/>
          <w:color w:val="auto"/>
          <w:szCs w:val="21"/>
          <w:highlight w:val="none"/>
        </w:rPr>
        <w:t>此给</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rPr>
        <w:t>造成的全部经济损失</w:t>
      </w:r>
      <w:r>
        <w:rPr>
          <w:rFonts w:hint="eastAsia" w:ascii="宋体" w:hAnsi="宋体" w:eastAsia="宋体" w:cs="宋体"/>
          <w:color w:val="auto"/>
          <w:szCs w:val="21"/>
          <w:highlight w:val="none"/>
        </w:rPr>
        <w:t>，负责受损设备的检修安装，保证设施的正常运行。</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leftChars="0" w:firstLine="420" w:firstLineChars="200"/>
        <w:textAlignment w:val="auto"/>
        <w:rPr>
          <w:rFonts w:hint="default"/>
          <w:lang w:val="en-US" w:eastAsia="zh-CN"/>
        </w:rPr>
      </w:pPr>
      <w:r>
        <w:rPr>
          <w:rFonts w:hint="eastAsia" w:ascii="宋体" w:hAnsi="宋体" w:eastAsia="宋体" w:cs="Times New Roman"/>
          <w:color w:val="auto"/>
          <w:szCs w:val="21"/>
          <w:highlight w:val="none"/>
        </w:rPr>
        <w:t>责任事故造成人身伤亡或第三方财产损失引起争议、产生诉讼的，</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应独立应诉，并承担一切诉讼后果，如应上述原因导致</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rPr>
        <w:t>受到追诉而遭受损失，</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应予全部赔偿。</w:t>
      </w:r>
    </w:p>
    <w:p>
      <w:pPr>
        <w:numPr>
          <w:ilvl w:val="0"/>
          <w:numId w:val="29"/>
        </w:numPr>
        <w:spacing w:line="400" w:lineRule="exact"/>
        <w:ind w:left="0" w:leftChars="0" w:firstLine="420" w:firstLineChars="0"/>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的</w:t>
      </w:r>
      <w:r>
        <w:rPr>
          <w:rFonts w:ascii="宋体" w:hAnsi="宋体" w:eastAsia="宋体" w:cs="Times New Roman"/>
          <w:color w:val="auto"/>
          <w:szCs w:val="21"/>
          <w:highlight w:val="none"/>
        </w:rPr>
        <w:t>工作人员在工作时间违反</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val="en-US" w:eastAsia="zh-CN"/>
        </w:rPr>
        <w:t>人</w:t>
      </w:r>
      <w:r>
        <w:rPr>
          <w:rFonts w:ascii="宋体" w:hAnsi="宋体" w:eastAsia="宋体" w:cs="Times New Roman"/>
          <w:color w:val="auto"/>
          <w:szCs w:val="21"/>
          <w:highlight w:val="none"/>
        </w:rPr>
        <w:t>的管理制度造成安全事故、综治事件、造成甲方的名誉和形象受损的，</w:t>
      </w:r>
      <w:r>
        <w:rPr>
          <w:rFonts w:hint="eastAsia" w:ascii="宋体" w:hAnsi="宋体" w:eastAsia="宋体" w:cs="Times New Roman"/>
          <w:color w:val="auto"/>
          <w:szCs w:val="21"/>
          <w:highlight w:val="none"/>
        </w:rPr>
        <w:t>中标人</w:t>
      </w:r>
      <w:r>
        <w:rPr>
          <w:rFonts w:ascii="宋体" w:hAnsi="宋体" w:eastAsia="宋体" w:cs="Times New Roman"/>
          <w:color w:val="auto"/>
          <w:szCs w:val="21"/>
          <w:highlight w:val="none"/>
        </w:rPr>
        <w:t>应立即采取有效措施，恢复</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val="en-US" w:eastAsia="zh-CN"/>
        </w:rPr>
        <w:t>人</w:t>
      </w:r>
      <w:r>
        <w:rPr>
          <w:rFonts w:ascii="宋体" w:hAnsi="宋体" w:eastAsia="宋体" w:cs="Times New Roman"/>
          <w:color w:val="auto"/>
          <w:szCs w:val="21"/>
          <w:highlight w:val="none"/>
        </w:rPr>
        <w:t>的名誉</w:t>
      </w:r>
      <w:r>
        <w:rPr>
          <w:rFonts w:hint="eastAsia" w:ascii="宋体" w:hAnsi="宋体" w:eastAsia="宋体" w:cs="Times New Roman"/>
          <w:color w:val="auto"/>
          <w:szCs w:val="21"/>
          <w:highlight w:val="none"/>
        </w:rPr>
        <w:t>，并按合同约定向</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val="en-US" w:eastAsia="zh-CN"/>
        </w:rPr>
        <w:t>人</w:t>
      </w:r>
      <w:r>
        <w:rPr>
          <w:rFonts w:ascii="宋体" w:hAnsi="宋体" w:eastAsia="宋体" w:cs="Times New Roman"/>
          <w:color w:val="auto"/>
          <w:szCs w:val="21"/>
          <w:highlight w:val="none"/>
        </w:rPr>
        <w:t>支付违约金，若造成</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eastAsia="zh-CN"/>
        </w:rPr>
        <w:t>人</w:t>
      </w:r>
      <w:r>
        <w:rPr>
          <w:rFonts w:ascii="宋体" w:hAnsi="宋体" w:eastAsia="宋体" w:cs="Times New Roman"/>
          <w:color w:val="auto"/>
          <w:szCs w:val="21"/>
          <w:highlight w:val="none"/>
        </w:rPr>
        <w:t>损失的，应予赔偿。违约金和赔偿金由</w:t>
      </w:r>
      <w:r>
        <w:rPr>
          <w:rFonts w:hint="eastAsia" w:ascii="宋体" w:hAnsi="宋体" w:eastAsia="宋体" w:cs="宋体"/>
          <w:color w:val="auto"/>
          <w:szCs w:val="21"/>
          <w:highlight w:val="none"/>
          <w:lang w:val="en-US" w:eastAsia="zh-CN"/>
        </w:rPr>
        <w:t>采购</w:t>
      </w:r>
      <w:r>
        <w:rPr>
          <w:rFonts w:hint="eastAsia" w:ascii="宋体" w:hAnsi="宋体" w:eastAsia="宋体" w:cs="Times New Roman"/>
          <w:color w:val="auto"/>
          <w:szCs w:val="21"/>
          <w:highlight w:val="none"/>
          <w:lang w:eastAsia="zh-CN"/>
        </w:rPr>
        <w:t>人</w:t>
      </w:r>
      <w:r>
        <w:rPr>
          <w:rFonts w:ascii="宋体" w:hAnsi="宋体" w:eastAsia="宋体" w:cs="Times New Roman"/>
          <w:color w:val="auto"/>
          <w:szCs w:val="21"/>
          <w:highlight w:val="none"/>
        </w:rPr>
        <w:t>依据安全事故的性质、程度以及</w:t>
      </w:r>
      <w:r>
        <w:rPr>
          <w:rFonts w:hint="eastAsia" w:ascii="宋体" w:hAnsi="宋体" w:eastAsia="宋体" w:cs="Times New Roman"/>
          <w:color w:val="auto"/>
          <w:szCs w:val="21"/>
          <w:highlight w:val="none"/>
          <w:lang w:eastAsia="zh-CN"/>
        </w:rPr>
        <w:t>采购人</w:t>
      </w:r>
      <w:r>
        <w:rPr>
          <w:rFonts w:ascii="宋体" w:hAnsi="宋体" w:eastAsia="宋体" w:cs="Times New Roman"/>
          <w:color w:val="auto"/>
          <w:szCs w:val="21"/>
          <w:highlight w:val="none"/>
        </w:rPr>
        <w:t>的名誉、形象受损的范围和程度确定，并在支付合同款时在合同款中扣除。</w:t>
      </w:r>
    </w:p>
    <w:p>
      <w:pPr>
        <w:numPr>
          <w:ilvl w:val="0"/>
          <w:numId w:val="29"/>
        </w:numPr>
        <w:spacing w:line="400" w:lineRule="exact"/>
        <w:ind w:left="0" w:leftChars="0" w:firstLine="420" w:firstLineChars="0"/>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rPr>
        <w:t>在服务期内，</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应密切注意气象预报，及时采取防范措施，防止暴风雨、洪水、雷电、冰冻、高温等造成人身损害，中标人不得以除地震等不可抗力以外的自然灾害为由提出索赔要求。</w:t>
      </w:r>
    </w:p>
    <w:p>
      <w:pPr>
        <w:numPr>
          <w:ilvl w:val="0"/>
          <w:numId w:val="29"/>
        </w:numPr>
        <w:spacing w:line="400" w:lineRule="exact"/>
        <w:ind w:left="0" w:leftChars="0" w:firstLine="42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服务期满，中标人经采购人同意后方可撤场。</w:t>
      </w:r>
    </w:p>
    <w:p>
      <w:pPr>
        <w:spacing w:line="400" w:lineRule="exact"/>
        <w:ind w:firstLine="420" w:firstLineChars="200"/>
        <w:rPr>
          <w:rFonts w:ascii="宋体" w:hAnsi="宋体" w:eastAsia="宋体" w:cs="宋体"/>
          <w:color w:val="auto"/>
          <w:szCs w:val="21"/>
          <w:highlight w:val="none"/>
        </w:rPr>
      </w:pPr>
    </w:p>
    <w:p>
      <w:pPr>
        <w:widowControl w:val="0"/>
        <w:spacing w:line="40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r>
        <w:rPr>
          <w:rFonts w:hint="eastAsia" w:ascii="宋体" w:hAnsi="宋体" w:eastAsia="宋体" w:cs="宋体"/>
          <w:b/>
          <w:color w:val="auto"/>
          <w:kern w:val="2"/>
          <w:sz w:val="21"/>
          <w:szCs w:val="21"/>
          <w:highlight w:val="none"/>
          <w:lang w:val="en-US" w:eastAsia="zh-CN" w:bidi="ar-SA"/>
        </w:rPr>
        <w:t>宁海县城关医院保洁运送管理考核办法</w:t>
      </w:r>
    </w:p>
    <w:p>
      <w:pPr>
        <w:widowControl w:val="0"/>
        <w:numPr>
          <w:ilvl w:val="0"/>
          <w:numId w:val="32"/>
        </w:numPr>
        <w:spacing w:beforeLines="0" w:afterLines="0" w:line="400" w:lineRule="exact"/>
        <w:ind w:left="0" w:leftChars="0" w:firstLine="420" w:firstLineChars="0"/>
        <w:jc w:val="both"/>
        <w:outlineLvl w:val="0"/>
        <w:rPr>
          <w:rFonts w:ascii="宋体" w:hAnsi="宋体" w:eastAsia="宋体" w:cs="宋体"/>
          <w:b/>
          <w:color w:val="auto"/>
          <w:kern w:val="2"/>
          <w:sz w:val="21"/>
          <w:szCs w:val="21"/>
          <w:highlight w:val="none"/>
          <w:lang w:val="en-US" w:eastAsia="zh-CN" w:bidi="ar-SA"/>
        </w:rPr>
      </w:pPr>
      <w:bookmarkStart w:id="2" w:name="_Toc514908186"/>
      <w:r>
        <w:rPr>
          <w:rFonts w:hint="eastAsia" w:ascii="宋体" w:hAnsi="宋体" w:eastAsia="宋体" w:cs="宋体"/>
          <w:b/>
          <w:color w:val="auto"/>
          <w:kern w:val="2"/>
          <w:sz w:val="21"/>
          <w:szCs w:val="21"/>
          <w:highlight w:val="none"/>
          <w:lang w:val="en-US" w:eastAsia="zh-CN" w:bidi="ar-SA"/>
        </w:rPr>
        <w:t>考核说明</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必须按招标文件要求提供优质的服务，并接受采购人的考核。管理工作的考核严格按照《宁海县城关医院保洁运送管理考核标准》进行。由采购人考核小组（后勤部门组建）每月进行考核，合同签订后每12个月为一个考核周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考核总分100分，考核成绩分为三档，考核周期内成绩不转入下个考核周期。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考核总分在90分（含）以上，全额支付当月服务费用；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考核总分在80分（含）以上，90分以下，每低1分，扣除当月服务费用5000元，上限50000元，累计2次及以上月度考核总分低于90分，扣除当月服务费的10%。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20" w:firstLineChars="200"/>
        <w:jc w:val="both"/>
        <w:textAlignment w:val="auto"/>
        <w:rPr>
          <w:lang w:val="en-US" w:eastAsia="zh-CN"/>
        </w:rPr>
      </w:pPr>
      <w:r>
        <w:rPr>
          <w:rFonts w:hint="eastAsia" w:ascii="宋体" w:hAnsi="宋体" w:eastAsia="宋体" w:cs="宋体"/>
          <w:color w:val="auto"/>
          <w:kern w:val="2"/>
          <w:sz w:val="21"/>
          <w:szCs w:val="21"/>
          <w:highlight w:val="none"/>
          <w:lang w:val="en-US" w:eastAsia="zh-CN" w:bidi="ar-SA"/>
        </w:rPr>
        <w:t>考核总分在80分以下为不合格。在考核周期内，第1次考核为不合格，扣除当月服务费的10%</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考核累计2次不合格，扣除当月服务费的20%</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考核累计3次不合格的，拒付当月服务费用</w:t>
      </w:r>
      <w:r>
        <w:rPr>
          <w:rFonts w:hint="eastAsia" w:ascii="宋体" w:hAnsi="宋体" w:cs="宋体"/>
          <w:color w:val="auto"/>
          <w:kern w:val="2"/>
          <w:sz w:val="21"/>
          <w:szCs w:val="21"/>
          <w:highlight w:val="none"/>
          <w:lang w:val="en-US" w:eastAsia="zh-CN" w:bidi="ar-SA"/>
        </w:rPr>
        <w:t>，采购人有权</w:t>
      </w:r>
      <w:r>
        <w:rPr>
          <w:rFonts w:hint="eastAsia" w:ascii="宋体" w:hAnsi="宋体" w:eastAsia="宋体" w:cs="宋体"/>
          <w:color w:val="auto"/>
          <w:kern w:val="2"/>
          <w:sz w:val="21"/>
          <w:szCs w:val="21"/>
          <w:highlight w:val="none"/>
          <w:lang w:val="en-US" w:eastAsia="zh-CN" w:bidi="ar-SA"/>
        </w:rPr>
        <w:t>不再续签合同</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并保留追究中标人因此给采购人造成的一切经济损失及违约责任。</w:t>
      </w:r>
    </w:p>
    <w:p>
      <w:pPr>
        <w:widowControl w:val="0"/>
        <w:numPr>
          <w:ilvl w:val="0"/>
          <w:numId w:val="32"/>
        </w:numPr>
        <w:spacing w:beforeLines="0" w:afterLines="0" w:line="400" w:lineRule="exact"/>
        <w:ind w:left="0" w:leftChars="0" w:firstLine="420" w:firstLineChars="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考核标准</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宁</w:t>
      </w:r>
      <w:r>
        <w:rPr>
          <w:rFonts w:hint="eastAsia" w:ascii="宋体" w:hAnsi="宋体" w:eastAsia="宋体" w:cs="宋体"/>
          <w:b/>
          <w:color w:val="auto"/>
          <w:szCs w:val="21"/>
          <w:highlight w:val="none"/>
          <w:lang w:eastAsia="zh-CN"/>
        </w:rPr>
        <w:t>海</w:t>
      </w:r>
      <w:r>
        <w:rPr>
          <w:rFonts w:hint="eastAsia" w:ascii="宋体" w:hAnsi="宋体" w:cs="宋体"/>
          <w:b/>
          <w:color w:val="auto"/>
          <w:szCs w:val="21"/>
          <w:highlight w:val="none"/>
          <w:lang w:val="en-US" w:eastAsia="zh-CN"/>
        </w:rPr>
        <w:t>县</w:t>
      </w:r>
      <w:r>
        <w:rPr>
          <w:rFonts w:hint="eastAsia" w:ascii="宋体" w:hAnsi="宋体" w:eastAsia="宋体" w:cs="宋体"/>
          <w:b/>
          <w:color w:val="auto"/>
          <w:szCs w:val="21"/>
          <w:highlight w:val="none"/>
          <w:lang w:eastAsia="zh-CN"/>
        </w:rPr>
        <w:t>城关</w:t>
      </w:r>
      <w:r>
        <w:rPr>
          <w:rFonts w:hint="eastAsia" w:ascii="宋体" w:hAnsi="宋体" w:eastAsia="宋体" w:cs="宋体"/>
          <w:b/>
          <w:color w:val="auto"/>
          <w:szCs w:val="21"/>
          <w:highlight w:val="none"/>
        </w:rPr>
        <w:t>医院保洁运送管理考核标准</w:t>
      </w:r>
    </w:p>
    <w:p>
      <w:pPr>
        <w:spacing w:line="400" w:lineRule="exact"/>
        <w:jc w:val="center"/>
        <w:rPr>
          <w:rFonts w:ascii="宋体" w:hAnsi="宋体" w:eastAsia="宋体" w:cs="宋体"/>
          <w:b/>
          <w:color w:val="auto"/>
          <w:kern w:val="1"/>
          <w:szCs w:val="21"/>
          <w:highlight w:val="none"/>
        </w:rPr>
      </w:pPr>
      <w:r>
        <w:rPr>
          <w:rFonts w:hint="eastAsia" w:ascii="宋体" w:hAnsi="宋体" w:eastAsia="宋体" w:cs="宋体"/>
          <w:color w:val="auto"/>
          <w:szCs w:val="21"/>
          <w:highlight w:val="none"/>
        </w:rPr>
        <w:t>年度                                    月份</w:t>
      </w:r>
    </w:p>
    <w:tbl>
      <w:tblPr>
        <w:tblStyle w:val="24"/>
        <w:tblW w:w="9825" w:type="dxa"/>
        <w:tblInd w:w="-69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45"/>
        <w:gridCol w:w="675"/>
        <w:gridCol w:w="1950"/>
        <w:gridCol w:w="4485"/>
        <w:gridCol w:w="690"/>
        <w:gridCol w:w="6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0"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645"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w:t>
            </w:r>
          </w:p>
        </w:tc>
        <w:tc>
          <w:tcPr>
            <w:tcW w:w="675"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分值</w:t>
            </w:r>
          </w:p>
        </w:tc>
        <w:tc>
          <w:tcPr>
            <w:tcW w:w="1950"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标准内容</w:t>
            </w:r>
          </w:p>
        </w:tc>
        <w:tc>
          <w:tcPr>
            <w:tcW w:w="4485"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扣分依据</w:t>
            </w:r>
          </w:p>
        </w:tc>
        <w:tc>
          <w:tcPr>
            <w:tcW w:w="690"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检查</w:t>
            </w:r>
          </w:p>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结果</w:t>
            </w:r>
          </w:p>
        </w:tc>
        <w:tc>
          <w:tcPr>
            <w:tcW w:w="690" w:type="dxa"/>
            <w:tcBorders>
              <w:bottom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Borders>
              <w:top w:val="double" w:color="auto" w:sz="4" w:space="0"/>
            </w:tcBorders>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5" w:type="dxa"/>
            <w:vMerge w:val="restart"/>
            <w:tcBorders>
              <w:top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员</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理</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675" w:type="dxa"/>
            <w:tcBorders>
              <w:top w:val="double" w:color="auto" w:sz="4" w:space="0"/>
            </w:tcBorders>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tcBorders>
              <w:top w:val="double" w:color="auto" w:sz="4" w:space="0"/>
            </w:tcBorders>
            <w:noWrap w:val="0"/>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仪表整洁，佩证上岗，按规定洗手，使用口罩、手套等防护用品</w:t>
            </w:r>
          </w:p>
        </w:tc>
        <w:tc>
          <w:tcPr>
            <w:tcW w:w="4485" w:type="dxa"/>
            <w:tcBorders>
              <w:top w:val="double" w:color="auto" w:sz="4" w:space="0"/>
            </w:tcBorders>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1.上班时间不穿工作服、不佩戴工作证、穿拖鞋、背心的每人每次扣1分。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2.不按规定使用口罩、手套等防护用品每人每次扣2分。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3.不按要求洗手，带着手套在公共场所行走、触摸、按电梯按钮等，每次扣2分。</w:t>
            </w:r>
          </w:p>
        </w:tc>
        <w:tc>
          <w:tcPr>
            <w:tcW w:w="690" w:type="dxa"/>
            <w:tcBorders>
              <w:top w:val="double" w:color="auto" w:sz="4" w:space="0"/>
            </w:tcBorders>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tcBorders>
              <w:top w:val="double" w:color="auto" w:sz="4" w:space="0"/>
            </w:tcBorders>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遵守劳动纪律，不迟到早退，不串岗。态度和蔼，不与病人和同事争吵，提供良好服务。</w:t>
            </w:r>
          </w:p>
        </w:tc>
        <w:tc>
          <w:tcPr>
            <w:tcW w:w="4485"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1.迟到、早退、串岗每人次扣1分。上班时间干私活每人次扣2分。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2.与其他人员吵架的每人次扣3分，斗殴的每人次扣5分。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95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遵守医院规定和工作制度。</w:t>
            </w:r>
          </w:p>
        </w:tc>
        <w:tc>
          <w:tcPr>
            <w:tcW w:w="4485"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1.遵守各类工作制度，按规定完成各类登记签名，一处不符扣0.5分。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2.员工不按规定停放车辆的每次扣1分。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3.在禁烟区吸烟的每人次扣2分。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4.在医疗场所及各病区睡觉，发现一次扣1分。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5.故意损坏公共财物，每人次扣2分并按实价赔偿。</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6.盗卖医疗物品、变卖一次性废弃物、向病人出售物品或私人出租给病人及家属躺椅等用品收取租金，发现一次扣5分。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45" w:type="dxa"/>
            <w:vMerge w:val="restart"/>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洁</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量</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50分</w:t>
            </w: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95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通道、楼梯、候诊区、阳台、走廊地面、内天井、边缘区域、顶篷、天花板、地面</w:t>
            </w:r>
          </w:p>
        </w:tc>
        <w:tc>
          <w:tcPr>
            <w:tcW w:w="4485"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1.无杂物、无污垢、无积尘、无蛛丝，无烟头，无堆积物，地面无水渍。发现一处不符扣0.5分。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2.地面未按要求打蜡，发现漏做一处扣1分。</w:t>
            </w:r>
          </w:p>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3.绿化带造型整洁，及时处理病虫害，清理枯枝残叶，发现一处不符扣0.5分。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墙面、门、窗、玻璃、扶手、座椅、消防箱、信报箱、宣传栏、开关面板、灯罩、烟感、吹风口、指示灯</w:t>
            </w:r>
          </w:p>
        </w:tc>
        <w:tc>
          <w:tcPr>
            <w:tcW w:w="4485"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无乱张贴，无蜘蛛网，无痰迹，无污渍，无积尘。发现一处不符扣0.5分。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95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卫生间</w:t>
            </w:r>
          </w:p>
        </w:tc>
        <w:tc>
          <w:tcPr>
            <w:tcW w:w="4485" w:type="dxa"/>
            <w:noWrap w:val="0"/>
            <w:vAlign w:val="center"/>
          </w:tcPr>
          <w:p>
            <w:pPr>
              <w:spacing w:line="32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无异味；门窗玻璃、灯具、镜面、台面、地面无积水、无污渍、无灰尘、无杂物；便器畅通无污渍；废纸篓无满溢。发现一处不符扣0.5分。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电梯</w:t>
            </w:r>
          </w:p>
        </w:tc>
        <w:tc>
          <w:tcPr>
            <w:tcW w:w="4485" w:type="dxa"/>
            <w:noWrap w:val="0"/>
            <w:vAlign w:val="center"/>
          </w:tcPr>
          <w:p>
            <w:pPr>
              <w:spacing w:line="32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地面无污渍水渍垃圾；电梯壁面、电梯门无污渍、无手印、无灰尘；电梯内无烟头、电梯每天消毒。发现一处不符扣0.5分。</w:t>
            </w:r>
          </w:p>
        </w:tc>
        <w:tc>
          <w:tcPr>
            <w:tcW w:w="690" w:type="dxa"/>
            <w:noWrap w:val="0"/>
            <w:vAlign w:val="center"/>
          </w:tcPr>
          <w:p>
            <w:pPr>
              <w:spacing w:line="320" w:lineRule="exact"/>
              <w:rPr>
                <w:rFonts w:ascii="宋体" w:hAnsi="宋体" w:eastAsia="宋体" w:cs="宋体"/>
                <w:color w:val="auto"/>
                <w:szCs w:val="21"/>
                <w:highlight w:val="none"/>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垃圾桶</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垃圾桶加盖，无过夜垃圾，无异味，桶身无污渍；桶内垃圾不得超过3/4。发现一处不符扣0.5分。</w:t>
            </w:r>
          </w:p>
        </w:tc>
        <w:tc>
          <w:tcPr>
            <w:tcW w:w="690" w:type="dxa"/>
            <w:noWrap w:val="0"/>
            <w:vAlign w:val="center"/>
          </w:tcPr>
          <w:p>
            <w:pPr>
              <w:spacing w:line="320" w:lineRule="exact"/>
              <w:rPr>
                <w:rFonts w:ascii="宋体" w:hAnsi="宋体" w:eastAsia="宋体" w:cs="宋体"/>
                <w:color w:val="auto"/>
                <w:szCs w:val="21"/>
                <w:highlight w:val="none"/>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工具</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工具间摆放整齐，用具干净；毛巾、地拖无异味、发霉现象。设备表面清洁，及时、准确保养。发现一处不符扣0.5分。</w:t>
            </w:r>
          </w:p>
        </w:tc>
        <w:tc>
          <w:tcPr>
            <w:tcW w:w="690" w:type="dxa"/>
            <w:noWrap w:val="0"/>
            <w:vAlign w:val="center"/>
          </w:tcPr>
          <w:p>
            <w:pPr>
              <w:spacing w:line="320" w:lineRule="exact"/>
              <w:rPr>
                <w:rFonts w:ascii="宋体" w:hAnsi="宋体" w:eastAsia="宋体" w:cs="宋体"/>
                <w:color w:val="auto"/>
                <w:szCs w:val="21"/>
                <w:highlight w:val="none"/>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房间内部</w:t>
            </w:r>
          </w:p>
        </w:tc>
        <w:tc>
          <w:tcPr>
            <w:tcW w:w="4485" w:type="dxa"/>
            <w:noWrap w:val="0"/>
            <w:vAlign w:val="center"/>
          </w:tcPr>
          <w:p>
            <w:pPr>
              <w:widowControl w:val="0"/>
              <w:spacing w:beforeLines="0" w:afterLines="0" w:line="320" w:lineRule="exact"/>
              <w:ind w:left="0" w:leftChars="0"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房门窗、床头灯、桌、椅、柜、床外表面清洁无污垢，地面无污渍和水迹。诊疗房间内桌、椅、落地灯等清洁无污渍，地面干净无杂物。会议室设施清洁无污垢，地面干净无杂物和烟蒂，会后及时打扫。发现一处不符扣0.5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645" w:type="dxa"/>
            <w:vMerge w:val="restart"/>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送</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量</w:t>
            </w: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p>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30分</w:t>
            </w: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标本护送</w:t>
            </w:r>
          </w:p>
        </w:tc>
        <w:tc>
          <w:tcPr>
            <w:tcW w:w="4485" w:type="dxa"/>
            <w:noWrap w:val="0"/>
            <w:vAlign w:val="center"/>
          </w:tcPr>
          <w:p>
            <w:pPr>
              <w:widowControl w:val="0"/>
              <w:spacing w:beforeLines="0" w:afterLines="0" w:line="320" w:lineRule="exact"/>
              <w:ind w:left="0" w:leftChars="0"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1.护送的标本不按规定护送、送错、漏送、遗失、损坏每次扣2分。</w:t>
            </w:r>
          </w:p>
          <w:p>
            <w:pPr>
              <w:widowControl w:val="0"/>
              <w:spacing w:beforeLines="0" w:afterLines="0" w:line="320" w:lineRule="exact"/>
              <w:ind w:left="0" w:leftChars="0"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2.收取各种标本、各种检查单后未及时签名，每个扣0.5分。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病人护送</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检查单核对床号、姓名，及时、安全、准确、无误地接送病人至有关科室检查（注：接病人时先到护士站问清病情做好交接）。送病人时轮椅、平车及时带回并按规定放置。运送时注意安全，热情耐心、语言文明，搬运病人动作轻稳，注意保暧，严防跌伤。推车一律要上护架（无护架车例外），如发现病情变化及时与医师联系或直接送急诊科。发现一项不符扣1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各类物品、单据、药液运送、借药等</w:t>
            </w:r>
          </w:p>
        </w:tc>
        <w:tc>
          <w:tcPr>
            <w:tcW w:w="4485" w:type="dxa"/>
            <w:noWrap w:val="0"/>
            <w:vAlign w:val="center"/>
          </w:tcPr>
          <w:p>
            <w:pPr>
              <w:widowControl w:val="0"/>
              <w:spacing w:beforeLines="0" w:afterLines="0" w:line="320" w:lineRule="exact"/>
              <w:ind w:left="0" w:leftChars="0"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准确无误，按时收取，认真核对，做好各类登记工作。发现一项不符扣0.5分。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临时性运送工作</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及时完成院部、后勤保障部、护理部及科室布置的临时性运送工作。发现一项不符扣1分。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应急运送工作</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及时认真完成各类突发事件、公共卫生事件的运送任务。发现一项不符扣2分。</w:t>
            </w: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645" w:type="dxa"/>
            <w:vMerge w:val="continue"/>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950" w:type="dxa"/>
            <w:noWrap w:val="0"/>
            <w:vAlign w:val="center"/>
          </w:tcPr>
          <w:p>
            <w:pPr>
              <w:widowControl w:val="0"/>
              <w:spacing w:beforeLines="0" w:afterLines="0" w:line="320" w:lineRule="exact"/>
              <w:ind w:left="-107" w:leftChars="-51"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无主病人、感染科病人搬运及遗体搬运</w:t>
            </w: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合理安排人员，按需完成无主病人、感染病人搬运及遗体搬运。发现一次无法完成搬运工作扣1分。</w:t>
            </w: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0" w:firstLineChars="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35" w:type="dxa"/>
            <w:gridSpan w:val="2"/>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合计</w:t>
            </w:r>
          </w:p>
        </w:tc>
        <w:tc>
          <w:tcPr>
            <w:tcW w:w="675" w:type="dxa"/>
            <w:noWrap w:val="0"/>
            <w:vAlign w:val="center"/>
          </w:tcPr>
          <w:p>
            <w:pPr>
              <w:widowControl w:val="0"/>
              <w:spacing w:beforeLines="0" w:afterLines="0" w:line="32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c>
          <w:tcPr>
            <w:tcW w:w="1950"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4485" w:type="dxa"/>
            <w:noWrap w:val="0"/>
            <w:vAlign w:val="center"/>
          </w:tcPr>
          <w:p>
            <w:pPr>
              <w:widowControl w:val="0"/>
              <w:spacing w:beforeLines="0" w:afterLines="0" w:line="320" w:lineRule="exact"/>
              <w:ind w:left="-107" w:leftChars="-51" w:firstLine="0" w:firstLineChars="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420" w:firstLineChars="200"/>
              <w:jc w:val="both"/>
              <w:rPr>
                <w:rFonts w:ascii="宋体" w:hAnsi="宋体" w:eastAsia="宋体" w:cs="宋体"/>
                <w:color w:val="auto"/>
                <w:kern w:val="2"/>
                <w:sz w:val="21"/>
                <w:szCs w:val="21"/>
                <w:highlight w:val="none"/>
                <w:lang w:val="en-US" w:eastAsia="zh-CN" w:bidi="ar-SA"/>
              </w:rPr>
            </w:pPr>
          </w:p>
        </w:tc>
        <w:tc>
          <w:tcPr>
            <w:tcW w:w="690" w:type="dxa"/>
            <w:noWrap w:val="0"/>
            <w:vAlign w:val="center"/>
          </w:tcPr>
          <w:p>
            <w:pPr>
              <w:widowControl w:val="0"/>
              <w:spacing w:beforeLines="0" w:afterLines="0" w:line="320" w:lineRule="exact"/>
              <w:ind w:firstLine="420" w:firstLineChars="200"/>
              <w:jc w:val="both"/>
              <w:rPr>
                <w:rFonts w:ascii="宋体" w:hAnsi="宋体" w:eastAsia="宋体" w:cs="宋体"/>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445" w:type="dxa"/>
            <w:gridSpan w:val="5"/>
            <w:noWrap w:val="0"/>
            <w:vAlign w:val="center"/>
          </w:tcPr>
          <w:p>
            <w:pPr>
              <w:widowControl w:val="0"/>
              <w:spacing w:beforeLines="0" w:afterLines="0" w:line="320" w:lineRule="exact"/>
              <w:ind w:left="-107" w:leftChars="-51" w:firstLine="0" w:firstLineChars="0"/>
              <w:jc w:val="center"/>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总得分</w:t>
            </w:r>
          </w:p>
        </w:tc>
        <w:tc>
          <w:tcPr>
            <w:tcW w:w="1380" w:type="dxa"/>
            <w:gridSpan w:val="2"/>
            <w:noWrap w:val="0"/>
            <w:vAlign w:val="center"/>
          </w:tcPr>
          <w:p>
            <w:pPr>
              <w:widowControl w:val="0"/>
              <w:spacing w:beforeLines="0" w:afterLines="0" w:line="320" w:lineRule="exact"/>
              <w:ind w:firstLine="420" w:firstLineChars="200"/>
              <w:jc w:val="both"/>
              <w:rPr>
                <w:rFonts w:ascii="宋体" w:hAnsi="宋体" w:eastAsia="宋体" w:cs="宋体"/>
                <w:color w:val="auto"/>
                <w:kern w:val="2"/>
                <w:sz w:val="21"/>
                <w:szCs w:val="21"/>
                <w:highlight w:val="none"/>
                <w:lang w:val="en-US" w:eastAsia="zh-CN" w:bidi="ar-SA"/>
              </w:rPr>
            </w:pPr>
          </w:p>
        </w:tc>
      </w:tr>
    </w:tbl>
    <w:p>
      <w:pPr>
        <w:snapToGrid w:val="0"/>
        <w:spacing w:line="400" w:lineRule="exact"/>
        <w:jc w:val="left"/>
        <w:rPr>
          <w:rFonts w:hint="eastAsia" w:eastAsia="宋体"/>
          <w:b/>
          <w:color w:val="auto"/>
          <w:sz w:val="32"/>
          <w:highlight w:val="yellow"/>
          <w:lang w:eastAsia="zh-CN"/>
        </w:rPr>
        <w:sectPr>
          <w:footerReference r:id="rId4" w:type="default"/>
          <w:pgSz w:w="11907" w:h="16840"/>
          <w:pgMar w:top="1440" w:right="1800" w:bottom="1440" w:left="1800" w:header="285" w:footer="850" w:gutter="0"/>
          <w:pgBorders w:offsetFrom="page">
            <w:top w:val="none" w:sz="0" w:space="0"/>
            <w:left w:val="none" w:sz="0" w:space="0"/>
            <w:bottom w:val="none" w:sz="0" w:space="0"/>
            <w:right w:val="none" w:sz="0" w:space="0"/>
          </w:pgBorders>
          <w:pgNumType w:fmt="decimal" w:start="1"/>
          <w:cols w:space="720" w:num="1"/>
          <w:docGrid w:linePitch="285" w:charSpace="0"/>
        </w:sectPr>
      </w:pPr>
    </w:p>
    <w:p>
      <w:pPr>
        <w:numPr>
          <w:ilvl w:val="0"/>
          <w:numId w:val="28"/>
        </w:numPr>
        <w:spacing w:line="360" w:lineRule="auto"/>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商务条款</w:t>
      </w:r>
    </w:p>
    <w:tbl>
      <w:tblPr>
        <w:tblStyle w:val="24"/>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6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910" w:type="dxa"/>
            <w:tcBorders>
              <w:top w:val="single" w:color="auto" w:sz="4" w:space="0"/>
              <w:left w:val="nil"/>
              <w:bottom w:val="single" w:color="auto" w:sz="4" w:space="0"/>
              <w:right w:val="single" w:color="auto" w:sz="4" w:space="0"/>
            </w:tcBorders>
            <w:vAlign w:val="center"/>
          </w:tcPr>
          <w:p>
            <w:pPr>
              <w:spacing w:line="360" w:lineRule="auto"/>
              <w:rPr>
                <w:rFonts w:hint="eastAsia"/>
              </w:rPr>
            </w:pPr>
            <w:r>
              <w:rPr>
                <w:rFonts w:hint="eastAsia"/>
              </w:rPr>
              <w:t>服务期限</w:t>
            </w:r>
            <w:r>
              <w:rPr>
                <w:rFonts w:hint="eastAsia"/>
                <w:lang w:val="en-US" w:eastAsia="zh-CN"/>
              </w:rPr>
              <w:t>及地点</w:t>
            </w:r>
            <w:r>
              <w:rPr>
                <w:rFonts w:hint="eastAsia"/>
              </w:rPr>
              <w:t>：</w:t>
            </w:r>
          </w:p>
          <w:p>
            <w:pPr>
              <w:spacing w:line="360" w:lineRule="auto"/>
              <w:rPr>
                <w:rFonts w:hint="eastAsia"/>
              </w:rPr>
            </w:pPr>
            <w:r>
              <w:rPr>
                <w:rFonts w:hint="eastAsia"/>
              </w:rPr>
              <w:t>（1）服务期限：三年，合同一年一签。经双方同意，并经采购人考核合格，报宁海县政府采购管理办公室备案后，可续订下一年度的合同，最多续签两次。</w:t>
            </w:r>
          </w:p>
          <w:p>
            <w:pPr>
              <w:spacing w:line="360" w:lineRule="auto"/>
            </w:pPr>
            <w:r>
              <w:rPr>
                <w:rFonts w:hint="eastAsia"/>
              </w:rPr>
              <w:t>（2）实施地点：采购人指定地点。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textAlignment w:val="bottom"/>
            </w:pPr>
            <w:r>
              <w:rPr>
                <w:rFonts w:hint="eastAsia"/>
              </w:rPr>
              <w:t>付款方式：</w:t>
            </w:r>
          </w:p>
          <w:p>
            <w:pPr>
              <w:autoSpaceDE w:val="0"/>
              <w:autoSpaceDN w:val="0"/>
              <w:spacing w:line="360" w:lineRule="auto"/>
              <w:jc w:val="left"/>
              <w:textAlignment w:val="bottom"/>
              <w:rPr>
                <w:rFonts w:hint="eastAsia"/>
              </w:rPr>
            </w:pPr>
            <w:r>
              <w:rPr>
                <w:rFonts w:hint="eastAsia"/>
              </w:rPr>
              <w:t>每月末考核，根据考核结果支付月服务经费。每月10日支付上月服务经费，如遇节假日则自动顺延（特殊情况以合同为准），中标人在每月5日之前将上月服务经费开具发票给采购人。（月服务经费=年度合同金额/12）</w:t>
            </w:r>
          </w:p>
          <w:p>
            <w:pPr>
              <w:autoSpaceDE w:val="0"/>
              <w:autoSpaceDN w:val="0"/>
              <w:spacing w:line="360" w:lineRule="auto"/>
              <w:jc w:val="left"/>
              <w:textAlignment w:val="bottom"/>
            </w:pPr>
            <w:r>
              <w:rPr>
                <w:rFonts w:hint="eastAsia"/>
              </w:rPr>
              <w:t>注：每次付款前，中标人须按照金额提供正规合法的发票，否则采购人有权不予支付款项。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szCs w:val="21"/>
                <w:highlight w:val="none"/>
              </w:rPr>
            </w:pPr>
            <w:r>
              <w:rPr>
                <w:rFonts w:hint="eastAsia" w:ascii="宋体" w:hAnsi="宋体" w:cs="宋体"/>
                <w:szCs w:val="21"/>
                <w:highlight w:val="none"/>
              </w:rPr>
              <w:t>合同终止：中标人在合同有效期内，不得以任何理由终止合同，确有特殊情况的，须提前两个月向采购人提出书面申请，经采购人同意后，方可终止合同。因中标人发生重大差错事故的，采购人有权终止</w:t>
            </w:r>
            <w:bookmarkStart w:id="3" w:name="_Hlk138169430"/>
            <w:r>
              <w:rPr>
                <w:rFonts w:hint="eastAsia" w:ascii="宋体" w:hAnsi="宋体" w:cs="宋体"/>
                <w:szCs w:val="21"/>
                <w:highlight w:val="none"/>
              </w:rPr>
              <w:t>合同并重新组织招标</w:t>
            </w:r>
            <w:bookmarkEnd w:id="3"/>
            <w:r>
              <w:rPr>
                <w:rFonts w:hint="eastAsia" w:ascii="宋体" w:hAnsi="宋体" w:cs="宋体"/>
                <w:szCs w:val="21"/>
                <w:highlight w:val="none"/>
              </w:rPr>
              <w:t>，中标人承担全部责任。</w:t>
            </w:r>
            <w:r>
              <w:rPr>
                <w:rFonts w:hint="eastAsia" w:ascii="宋体" w:hAnsi="宋体" w:cs="宋体"/>
                <w:kern w:val="0"/>
                <w:szCs w:val="21"/>
                <w:highlight w:val="none"/>
              </w:rPr>
              <w:t>涉及到采购人上级部门出台新政策或新的相关要求，采购人提前二个月通知中标人，可以终止合同。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hint="eastAsia" w:ascii="宋体" w:hAnsi="宋体" w:cs="宋体"/>
                <w:szCs w:val="21"/>
                <w:highlight w:val="none"/>
              </w:rPr>
            </w:pPr>
            <w:r>
              <w:rPr>
                <w:rFonts w:hint="eastAsia" w:ascii="宋体" w:hAnsi="宋体" w:cs="宋体"/>
                <w:szCs w:val="21"/>
                <w:highlight w:val="none"/>
              </w:rPr>
              <w:t>履约保证金金额：合同金额的1%；</w:t>
            </w:r>
          </w:p>
          <w:p>
            <w:pPr>
              <w:autoSpaceDE w:val="0"/>
              <w:autoSpaceDN w:val="0"/>
              <w:spacing w:line="360" w:lineRule="auto"/>
              <w:rPr>
                <w:highlight w:val="none"/>
              </w:rPr>
            </w:pPr>
            <w:r>
              <w:rPr>
                <w:rFonts w:hint="eastAsia" w:ascii="宋体" w:hAnsi="宋体" w:cs="宋体"/>
                <w:szCs w:val="21"/>
                <w:highlight w:val="none"/>
              </w:rPr>
              <w:t>履约保证金形式：支票、汇票、银行无条件履约保函或保险保单形式。中标人收到中标通知书后7天内向采购人支付。履约保证金在中标人完成合同履约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szCs w:val="21"/>
                <w:highlight w:val="none"/>
              </w:rPr>
            </w:pPr>
            <w:r>
              <w:rPr>
                <w:rFonts w:hint="eastAsia" w:ascii="宋体" w:hAnsi="宋体"/>
                <w:szCs w:val="21"/>
                <w:highlight w:val="none"/>
              </w:rPr>
              <w:t>同意采购方对投标文件内容的真实性和有效性进行监督审查、验证</w:t>
            </w:r>
            <w:r>
              <w:rPr>
                <w:rFonts w:hint="eastAsia" w:ascii="宋体" w:hAnsi="宋体"/>
                <w:bCs/>
                <w:szCs w:val="21"/>
                <w:highlight w:val="none"/>
              </w:rPr>
              <w:t>。</w:t>
            </w:r>
          </w:p>
        </w:tc>
      </w:tr>
    </w:tbl>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2"/>
        <w:snapToGrid w:val="0"/>
        <w:spacing w:beforeLines="0" w:afterLines="0"/>
        <w:jc w:val="center"/>
        <w:outlineLvl w:val="0"/>
        <w:rPr>
          <w:rFonts w:ascii="黑体" w:hAnsi="宋体" w:eastAsia="黑体"/>
          <w:b/>
          <w:bCs/>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3"/>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宁波政府采购网（http://www.nbzfcg.cn）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浙江政府采购网（https://zfcg.czt.zj.gov.cn/）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spacing w:line="400" w:lineRule="exact"/>
        <w:ind w:firstLine="420" w:firstLineChars="200"/>
        <w:rPr>
          <w:rFonts w:asciiTheme="minorEastAsia" w:hAnsiTheme="minorEastAsia" w:eastAsiaTheme="minorEastAsia"/>
          <w:szCs w:val="21"/>
          <w:highlight w:val="none"/>
        </w:rPr>
      </w:pPr>
      <w:bookmarkStart w:id="4" w:name="_Toc304292180"/>
      <w:bookmarkStart w:id="5" w:name="_Toc317685562"/>
      <w:r>
        <w:rPr>
          <w:rFonts w:hint="eastAsia" w:asciiTheme="minorEastAsia" w:hAnsiTheme="minorEastAsia" w:eastAsiaTheme="minorEastAsia"/>
          <w:szCs w:val="21"/>
          <w:highlight w:val="none"/>
        </w:rPr>
        <w:t>（三）投标委</w:t>
      </w:r>
      <w:bookmarkEnd w:id="4"/>
      <w:bookmarkEnd w:id="5"/>
      <w:r>
        <w:rPr>
          <w:rFonts w:hint="eastAsia" w:asciiTheme="minorEastAsia" w:hAnsiTheme="minorEastAsia" w:eastAsiaTheme="minorEastAsia"/>
          <w:szCs w:val="21"/>
          <w:highlight w:val="none"/>
        </w:rPr>
        <w:t>托</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6" w:name="_Toc317685563"/>
      <w:bookmarkStart w:id="7" w:name="_Toc304292181"/>
      <w:r>
        <w:rPr>
          <w:rFonts w:hint="eastAsia" w:asciiTheme="minorEastAsia" w:hAnsiTheme="minorEastAsia" w:eastAsiaTheme="minorEastAsia"/>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6"/>
      <w:bookmarkEnd w:id="7"/>
      <w:r>
        <w:rPr>
          <w:rFonts w:hint="eastAsia" w:asciiTheme="minorEastAsia" w:hAnsiTheme="minorEastAsia" w:eastAsiaTheme="minorEastAsia"/>
          <w:szCs w:val="21"/>
          <w:highlight w:val="none"/>
        </w:rPr>
        <w:t>投标费用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widowControl/>
        <w:tabs>
          <w:tab w:val="left" w:pos="180"/>
          <w:tab w:val="left" w:pos="360"/>
        </w:tabs>
        <w:adjustRightInd w:val="0"/>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3.所有投标人均有义务登陆宁波市公共资源交易电子服务系统V2.0（https://jyxt.zwb.ningbo.gov.cn:4011/website/home)、宁波政府采购网（http://www.nbzfcg.cn）和浙江政府采购网（https://zfcg.czt.zj.gov.cn）网站获取相关信息，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）对照技术商务评分表的要求提供以下资料：</w:t>
      </w:r>
    </w:p>
    <w:p>
      <w:pPr>
        <w:numPr>
          <w:ilvl w:val="0"/>
          <w:numId w:val="33"/>
        </w:numPr>
        <w:spacing w:line="400" w:lineRule="exact"/>
        <w:ind w:left="0" w:leftChars="0"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管理服务方案；</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质量保障措施、服务响应及承诺；</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设备配备情况；</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应急响应保障措施及重难点分析；</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企业认证证书；</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人员配</w:t>
      </w:r>
      <w:r>
        <w:rPr>
          <w:rFonts w:hint="eastAsia" w:ascii="宋体" w:hAnsi="宋体"/>
          <w:bCs/>
          <w:szCs w:val="21"/>
          <w:highlight w:val="none"/>
          <w:lang w:val="en-US" w:eastAsia="zh-CN"/>
        </w:rPr>
        <w:t>备</w:t>
      </w:r>
      <w:r>
        <w:rPr>
          <w:rFonts w:hint="eastAsia" w:ascii="宋体" w:hAnsi="宋体"/>
          <w:bCs/>
          <w:szCs w:val="21"/>
          <w:highlight w:val="none"/>
        </w:rPr>
        <w:t>；</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cs="宋体"/>
          <w:bCs/>
          <w:kern w:val="0"/>
          <w:szCs w:val="21"/>
          <w:highlight w:val="none"/>
        </w:rPr>
        <w:t>业绩</w:t>
      </w:r>
      <w:r>
        <w:rPr>
          <w:rFonts w:hint="eastAsia" w:ascii="宋体" w:hAnsi="宋体"/>
          <w:bCs/>
          <w:szCs w:val="21"/>
          <w:highlight w:val="none"/>
        </w:rPr>
        <w:t>；</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组织管理制度；</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人员培训方案；</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政府采购政策加分；</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服务指标偏离表（格式见附件）；</w:t>
      </w:r>
    </w:p>
    <w:p>
      <w:pPr>
        <w:numPr>
          <w:ilvl w:val="0"/>
          <w:numId w:val="33"/>
        </w:numPr>
        <w:spacing w:line="400" w:lineRule="exact"/>
        <w:ind w:left="0" w:leftChars="0" w:firstLine="420" w:firstLineChars="200"/>
        <w:rPr>
          <w:rFonts w:ascii="宋体" w:hAnsi="宋体"/>
          <w:bCs/>
          <w:szCs w:val="21"/>
          <w:highlight w:val="none"/>
        </w:rPr>
      </w:pPr>
      <w:r>
        <w:rPr>
          <w:rFonts w:hint="eastAsia" w:ascii="宋体" w:hAnsi="宋体"/>
          <w:bCs/>
          <w:szCs w:val="21"/>
          <w:highlight w:val="none"/>
        </w:rPr>
        <w:t>商务条款偏离表（格式见附件）；</w:t>
      </w:r>
    </w:p>
    <w:p>
      <w:pPr>
        <w:spacing w:line="400" w:lineRule="exact"/>
        <w:ind w:firstLine="420" w:firstLineChars="200"/>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2"/>
        <w:snapToGrid w:val="0"/>
        <w:spacing w:beforeLines="0" w:afterLines="0"/>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spacing w:line="40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spacing w:line="40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7"/>
                <w:rFonts w:cs="宋体" w:asciiTheme="minorEastAsia" w:hAnsiTheme="minorEastAsia" w:eastAsiaTheme="minorEastAsia"/>
                <w:b w:val="0"/>
                <w:szCs w:val="21"/>
                <w:highlight w:val="none"/>
              </w:rPr>
            </w:pPr>
            <w:r>
              <w:rPr>
                <w:rStyle w:val="27"/>
                <w:rFonts w:hint="eastAsia" w:cs="宋体" w:asciiTheme="minorEastAsia" w:hAnsiTheme="minorEastAsia" w:eastAsiaTheme="minorEastAsia"/>
                <w:b w:val="0"/>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审查类别</w:t>
            </w:r>
          </w:p>
        </w:tc>
        <w:tc>
          <w:tcPr>
            <w:tcW w:w="7625" w:type="dxa"/>
            <w:vAlign w:val="center"/>
          </w:tcPr>
          <w:p>
            <w:pPr>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7625" w:type="dxa"/>
            <w:vAlign w:val="center"/>
          </w:tcPr>
          <w:p>
            <w:pPr>
              <w:tabs>
                <w:tab w:val="left" w:pos="612"/>
              </w:tabs>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tabs>
                <w:tab w:val="left" w:pos="612"/>
              </w:tabs>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tabs>
                <w:tab w:val="left" w:pos="612"/>
              </w:tabs>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授权代表无《</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r>
              <w:rPr>
                <w:rFonts w:asciiTheme="minorEastAsia" w:hAnsiTheme="minorEastAsia" w:eastAsiaTheme="minorEastAsia"/>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restart"/>
            <w:vAlign w:val="center"/>
          </w:tcPr>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2.服务期限：三年，合同一年一签。经双方同意，并经采购人考核合格，报宁海县政府采购管理办公室备案后，可续订下一年度的合同，最多续签两次。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3.付款方式：</w:t>
            </w:r>
          </w:p>
          <w:p>
            <w:pPr>
              <w:autoSpaceDE w:val="0"/>
              <w:autoSpaceDN w:val="0"/>
              <w:spacing w:line="360" w:lineRule="auto"/>
              <w:jc w:val="left"/>
              <w:textAlignment w:val="bottom"/>
              <w:rPr>
                <w:rFonts w:hint="eastAsia"/>
              </w:rPr>
            </w:pPr>
            <w:r>
              <w:rPr>
                <w:rFonts w:hint="eastAsia"/>
              </w:rPr>
              <w:t>每月末考核，根据考核结果支付月服务经费。每月10日支付上月服务经费，如遇节假日则自动顺延（特殊情况以合同为准），中标人在每月5日之前将上月服务经费开具发票给采购人。（月服务经费=年度合同金额/12）</w:t>
            </w:r>
          </w:p>
          <w:p>
            <w:pPr>
              <w:autoSpaceDE w:val="0"/>
              <w:autoSpaceDN w:val="0"/>
              <w:spacing w:line="360" w:lineRule="auto"/>
              <w:textAlignment w:val="bottom"/>
              <w:rPr>
                <w:rFonts w:asciiTheme="minorEastAsia" w:hAnsiTheme="minorEastAsia" w:eastAsiaTheme="minorEastAsia"/>
                <w:szCs w:val="21"/>
                <w:highlight w:val="none"/>
              </w:rPr>
            </w:pPr>
            <w:r>
              <w:rPr>
                <w:rFonts w:hint="eastAsia"/>
              </w:rPr>
              <w:t>注：每次付款前，中标人须按照金额提供正规合法的发票，否则采购人有权不予支付款项。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59"/>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59"/>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8"/>
        <w:spacing w:after="0" w:line="40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spacing w:line="40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snapToGrid w:val="0"/>
        <w:spacing w:line="40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34"/>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4"/>
        <w:tblW w:w="9784" w:type="dxa"/>
        <w:jc w:val="center"/>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530"/>
        <w:gridCol w:w="1260"/>
        <w:gridCol w:w="431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评分项目</w:t>
            </w:r>
          </w:p>
        </w:tc>
        <w:tc>
          <w:tcPr>
            <w:tcW w:w="87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报价分</w:t>
            </w:r>
          </w:p>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分）</w:t>
            </w:r>
          </w:p>
        </w:tc>
        <w:tc>
          <w:tcPr>
            <w:tcW w:w="8713" w:type="dxa"/>
            <w:gridSpan w:val="4"/>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报价分采用低价优先法计算，报价得分=(评标基准价/参与评审的价格)×价格权重×100（价格权重：</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w:t>
            </w: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评标基准价=满足招标文件要求且参与评审最低的价格</w:t>
            </w: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技术商务分（</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eastAsia="宋体" w:cs="宋体"/>
                <w:color w:val="000000" w:themeColor="text1"/>
                <w:szCs w:val="21"/>
                <w:highlight w:val="none"/>
                <w14:textFill>
                  <w14:solidFill>
                    <w14:schemeClr w14:val="tx1"/>
                  </w14:solidFill>
                </w14:textFill>
              </w:rPr>
              <w:t>分）</w:t>
            </w:r>
          </w:p>
        </w:tc>
        <w:tc>
          <w:tcPr>
            <w:tcW w:w="153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方案（15分）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w:t>
            </w:r>
            <w:r>
              <w:rPr>
                <w:rFonts w:hint="eastAsia" w:ascii="宋体" w:hAnsi="宋体" w:eastAsia="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服务方案中的服务思路</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目标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Cs/>
                <w:color w:val="auto"/>
                <w:szCs w:val="21"/>
                <w:highlight w:val="none"/>
              </w:rPr>
              <w:t>可实现效果等方面</w:t>
            </w:r>
            <w:r>
              <w:rPr>
                <w:rFonts w:hint="eastAsia" w:ascii="宋体" w:hAnsi="宋体" w:eastAsia="宋体" w:cs="宋体"/>
                <w:color w:val="000000" w:themeColor="text1"/>
                <w:szCs w:val="21"/>
                <w:highlight w:val="none"/>
                <w14:textFill>
                  <w14:solidFill>
                    <w14:schemeClr w14:val="tx1"/>
                  </w14:solidFill>
                </w14:textFill>
              </w:rPr>
              <w:t>进行</w:t>
            </w:r>
            <w:r>
              <w:rPr>
                <w:rFonts w:hint="eastAsia" w:ascii="宋体" w:hAnsi="宋体" w:eastAsia="宋体" w:cs="宋体"/>
                <w:color w:val="000000" w:themeColor="text1"/>
                <w:szCs w:val="21"/>
                <w:highlight w:val="none"/>
                <w:lang w:val="en-US" w:eastAsia="zh-CN"/>
                <w14:textFill>
                  <w14:solidFill>
                    <w14:schemeClr w14:val="tx1"/>
                  </w14:solidFill>
                </w14:textFill>
              </w:rPr>
              <w:t>综合</w:t>
            </w:r>
            <w:r>
              <w:rPr>
                <w:rFonts w:hint="eastAsia" w:ascii="宋体" w:hAnsi="宋体" w:eastAsia="宋体" w:cs="宋体"/>
                <w:color w:val="000000" w:themeColor="text1"/>
                <w:szCs w:val="21"/>
                <w:highlight w:val="none"/>
                <w14:textFill>
                  <w14:solidFill>
                    <w14:schemeClr w14:val="tx1"/>
                  </w14:solidFill>
                </w14:textFill>
              </w:rPr>
              <w:t>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yellow"/>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Theme="majorEastAsia" w:hAnsiTheme="majorEastAsia" w:eastAsiaTheme="majorEastAsia" w:cstheme="majorEastAsia"/>
                <w:szCs w:val="21"/>
                <w:highlight w:val="none"/>
              </w:rPr>
              <w:t>根据</w:t>
            </w:r>
            <w:r>
              <w:rPr>
                <w:rFonts w:hint="eastAsia" w:ascii="宋体" w:hAnsi="宋体"/>
                <w:highlight w:val="none"/>
              </w:rPr>
              <w:t>投标人</w:t>
            </w:r>
            <w:r>
              <w:rPr>
                <w:rFonts w:hint="eastAsia" w:asciiTheme="majorEastAsia" w:hAnsiTheme="majorEastAsia" w:eastAsiaTheme="majorEastAsia" w:cstheme="majorEastAsia"/>
                <w:szCs w:val="21"/>
                <w:highlight w:val="none"/>
              </w:rPr>
              <w:t>提供针对本项目的运送管理服务进行综合评议。（0-</w:t>
            </w:r>
            <w:r>
              <w:rPr>
                <w:rFonts w:hint="eastAsia" w:asciiTheme="majorEastAsia" w:hAnsiTheme="majorEastAsia" w:eastAsiaTheme="majorEastAsia" w:cstheme="majorEastAsia"/>
                <w:szCs w:val="21"/>
                <w:highlight w:val="none"/>
                <w:lang w:val="en-US" w:eastAsia="zh-CN"/>
              </w:rPr>
              <w:t>5</w:t>
            </w:r>
            <w:r>
              <w:rPr>
                <w:rFonts w:hint="eastAsia" w:asciiTheme="majorEastAsia" w:hAnsiTheme="majorEastAsia" w:eastAsiaTheme="majorEastAsia" w:cstheme="maj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yellow"/>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Theme="majorEastAsia" w:hAnsiTheme="majorEastAsia" w:eastAsiaTheme="majorEastAsia" w:cstheme="majorEastAsia"/>
                <w:color w:val="auto"/>
                <w:szCs w:val="21"/>
                <w:highlight w:val="none"/>
              </w:rPr>
              <w:t>根据</w:t>
            </w:r>
            <w:r>
              <w:rPr>
                <w:rFonts w:hint="eastAsia" w:ascii="宋体" w:hAnsi="宋体"/>
                <w:color w:val="auto"/>
                <w:highlight w:val="none"/>
              </w:rPr>
              <w:t>投标人</w:t>
            </w:r>
            <w:r>
              <w:rPr>
                <w:rFonts w:hint="eastAsia" w:asciiTheme="majorEastAsia" w:hAnsiTheme="majorEastAsia" w:eastAsiaTheme="majorEastAsia" w:cstheme="majorEastAsia"/>
                <w:color w:val="auto"/>
                <w:szCs w:val="21"/>
                <w:highlight w:val="none"/>
              </w:rPr>
              <w:t>提供针对本项目的室内外环境保洁管理服务</w:t>
            </w:r>
            <w:r>
              <w:rPr>
                <w:rFonts w:hint="eastAsia" w:ascii="宋体" w:hAnsi="宋体" w:cs="宋体"/>
                <w:color w:val="auto"/>
                <w:szCs w:val="21"/>
                <w:highlight w:val="none"/>
              </w:rPr>
              <w:t>方案</w:t>
            </w:r>
            <w:r>
              <w:rPr>
                <w:rFonts w:hint="eastAsia" w:asciiTheme="majorEastAsia" w:hAnsiTheme="majorEastAsia" w:eastAsiaTheme="majorEastAsia" w:cstheme="majorEastAsia"/>
                <w:color w:val="auto"/>
                <w:szCs w:val="21"/>
                <w:highlight w:val="none"/>
              </w:rPr>
              <w:t>进行综合评议。（0-</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质量保障措施、服务响应及承诺（10分）</w:t>
            </w:r>
          </w:p>
        </w:tc>
        <w:tc>
          <w:tcPr>
            <w:tcW w:w="7183" w:type="dxa"/>
            <w:gridSpan w:val="3"/>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根据投标人提供的服务质量保证措施方案进行综合评议。（0-5分）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183" w:type="dxa"/>
            <w:gridSpan w:val="3"/>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根据投标人提供的服务响应及承诺进行综合评议。（</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设备配备情况（</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根据本项目需配备的设备器具的情况，结合医院实际需求进行综合评议。（0-5分）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根据本项目需配备的各类消耗品的情况，结合医院实际需求进行综合评议。（0-</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应急响应保障措施及重难点分析（10分）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结合医院的实际情况，根据可能出现突发事件的应急保障方案进行综合评议。（</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根据针对服务区域的重点及难点的解决方法和措施进行综合评议。（0-5分）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企业认证证书（</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c>
          <w:tcPr>
            <w:tcW w:w="557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投标人具有有效的质量管理体系认证证书得1分。</w:t>
            </w:r>
          </w:p>
        </w:tc>
        <w:tc>
          <w:tcPr>
            <w:tcW w:w="1607" w:type="dxa"/>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szCs w:val="21"/>
                <w:highlight w:val="none"/>
              </w:rPr>
              <w:t>提供有效期内的认证证书复印件、国家认证监督管理委员会网站查询截图并加盖公章。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557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szCs w:val="21"/>
                <w:highlight w:val="none"/>
              </w:rPr>
              <w:t>投标人具有有效的</w:t>
            </w:r>
            <w:r>
              <w:rPr>
                <w:rFonts w:hint="eastAsia" w:ascii="宋体" w:hAnsi="宋体" w:eastAsia="宋体" w:cs="宋体"/>
                <w:color w:val="000000" w:themeColor="text1"/>
                <w:szCs w:val="21"/>
                <w:highlight w:val="none"/>
                <w14:textFill>
                  <w14:solidFill>
                    <w14:schemeClr w14:val="tx1"/>
                  </w14:solidFill>
                </w14:textFill>
              </w:rPr>
              <w:t>环境管理体系认证证书</w:t>
            </w:r>
            <w:r>
              <w:rPr>
                <w:rFonts w:hint="eastAsia" w:asciiTheme="majorEastAsia" w:hAnsiTheme="majorEastAsia" w:eastAsiaTheme="majorEastAsia" w:cstheme="majorEastAsia"/>
                <w:szCs w:val="21"/>
                <w:highlight w:val="none"/>
              </w:rPr>
              <w:t>得1分。</w:t>
            </w:r>
          </w:p>
        </w:tc>
        <w:tc>
          <w:tcPr>
            <w:tcW w:w="1607"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557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szCs w:val="21"/>
                <w:highlight w:val="none"/>
              </w:rPr>
              <w:t>投标人具有有效的</w:t>
            </w:r>
            <w:r>
              <w:rPr>
                <w:rFonts w:hint="eastAsia" w:ascii="宋体" w:hAnsi="宋体" w:eastAsia="宋体" w:cs="宋体"/>
                <w:color w:val="000000" w:themeColor="text1"/>
                <w:szCs w:val="21"/>
                <w:highlight w:val="none"/>
                <w14:textFill>
                  <w14:solidFill>
                    <w14:schemeClr w14:val="tx1"/>
                  </w14:solidFill>
                </w14:textFill>
              </w:rPr>
              <w:t>职业健康安全管理体系认证证书</w:t>
            </w:r>
            <w:r>
              <w:rPr>
                <w:rFonts w:hint="eastAsia" w:asciiTheme="majorEastAsia" w:hAnsiTheme="majorEastAsia" w:eastAsiaTheme="majorEastAsia" w:cstheme="majorEastAsia"/>
                <w:szCs w:val="21"/>
                <w:highlight w:val="none"/>
              </w:rPr>
              <w:t>得1分。</w:t>
            </w:r>
          </w:p>
        </w:tc>
        <w:tc>
          <w:tcPr>
            <w:tcW w:w="1607"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557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szCs w:val="21"/>
                <w:highlight w:val="none"/>
              </w:rPr>
              <w:t>投标人具有有效的</w:t>
            </w:r>
            <w:r>
              <w:rPr>
                <w:rFonts w:hint="eastAsia" w:ascii="宋体" w:hAnsi="宋体" w:eastAsia="宋体" w:cs="宋体"/>
                <w:color w:val="000000" w:themeColor="text1"/>
                <w:szCs w:val="21"/>
                <w:highlight w:val="none"/>
                <w:lang w:val="en-US" w:eastAsia="zh-CN"/>
                <w14:textFill>
                  <w14:solidFill>
                    <w14:schemeClr w14:val="tx1"/>
                  </w14:solidFill>
                </w14:textFill>
              </w:rPr>
              <w:t>生活垃圾分类服务能力</w:t>
            </w:r>
            <w:r>
              <w:rPr>
                <w:rFonts w:hint="eastAsia" w:ascii="宋体" w:hAnsi="宋体" w:eastAsia="宋体" w:cs="宋体"/>
                <w:color w:val="000000" w:themeColor="text1"/>
                <w:szCs w:val="21"/>
                <w:highlight w:val="none"/>
                <w14:textFill>
                  <w14:solidFill>
                    <w14:schemeClr w14:val="tx1"/>
                  </w14:solidFill>
                </w14:textFill>
              </w:rPr>
              <w:t>体系认证证书</w:t>
            </w:r>
            <w:r>
              <w:rPr>
                <w:rFonts w:hint="eastAsia" w:asciiTheme="majorEastAsia" w:hAnsiTheme="majorEastAsia" w:eastAsiaTheme="majorEastAsia" w:cstheme="majorEastAsia"/>
                <w:szCs w:val="21"/>
                <w:highlight w:val="none"/>
              </w:rPr>
              <w:t>得1分。</w:t>
            </w:r>
          </w:p>
        </w:tc>
        <w:tc>
          <w:tcPr>
            <w:tcW w:w="1607"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人员配备</w:t>
            </w:r>
          </w:p>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根据投标人提供拟投入的人员数量、合同执行期间的人员数量保障方案、人员的能力经验等进行综合评议。（0-5分）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c>
          <w:tcPr>
            <w:tcW w:w="592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年龄在45周岁及以下</w:t>
            </w:r>
            <w:r>
              <w:rPr>
                <w:rFonts w:hint="eastAsia" w:ascii="宋体" w:hAnsi="宋体" w:cs="宋体"/>
                <w:color w:val="000000" w:themeColor="text1"/>
                <w:szCs w:val="21"/>
                <w:highlight w:val="none"/>
                <w:lang w:val="en-US" w:eastAsia="zh-CN"/>
                <w14:textFill>
                  <w14:solidFill>
                    <w14:schemeClr w14:val="tx1"/>
                  </w14:solidFill>
                </w14:textFill>
              </w:rPr>
              <w:t>，同时具有本科</w:t>
            </w:r>
            <w:r>
              <w:rPr>
                <w:rFonts w:hint="eastAsia" w:ascii="宋体" w:hAnsi="宋体" w:eastAsia="宋体" w:cs="宋体"/>
                <w:color w:val="000000" w:themeColor="text1"/>
                <w:szCs w:val="21"/>
                <w:highlight w:val="none"/>
                <w:lang w:val="en-US" w:eastAsia="zh-CN"/>
                <w14:textFill>
                  <w14:solidFill>
                    <w14:schemeClr w14:val="tx1"/>
                  </w14:solidFill>
                </w14:textFill>
              </w:rPr>
              <w:t>及以上学历的得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（提供身份证、学历证书复印件加盖公章</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投标人为其缴纳2024年5月1日以来连续三个月的社保证明复印件加盖公章</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auto"/>
                <w:szCs w:val="21"/>
                <w:highlight w:val="none"/>
              </w:rPr>
              <w:t>未提供</w:t>
            </w:r>
            <w:r>
              <w:rPr>
                <w:rFonts w:hint="eastAsia" w:ascii="宋体" w:hAnsi="宋体" w:cs="宋体"/>
                <w:color w:val="auto"/>
                <w:szCs w:val="21"/>
                <w:highlight w:val="none"/>
                <w:lang w:val="en-US" w:eastAsia="zh-CN"/>
              </w:rPr>
              <w:t>或提供不全</w:t>
            </w:r>
            <w:r>
              <w:rPr>
                <w:rFonts w:hint="eastAsia" w:ascii="宋体" w:hAnsi="宋体" w:cs="宋体"/>
                <w:color w:val="auto"/>
                <w:szCs w:val="21"/>
                <w:highlight w:val="none"/>
              </w:rPr>
              <w:t>不得分。</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592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具有3年及以上国内三级及以上</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医院</w:t>
            </w:r>
            <w:r>
              <w:rPr>
                <w:rFonts w:hint="eastAsia" w:ascii="宋体" w:hAnsi="宋体" w:cs="宋体"/>
                <w:color w:val="000000" w:themeColor="text1"/>
                <w:szCs w:val="21"/>
                <w:highlight w:val="none"/>
                <w:lang w:val="en-US" w:eastAsia="zh-CN"/>
                <w14:textFill>
                  <w14:solidFill>
                    <w14:schemeClr w14:val="tx1"/>
                  </w14:solidFill>
                </w14:textFill>
              </w:rPr>
              <w:t>物业服务管理</w:t>
            </w:r>
            <w:r>
              <w:rPr>
                <w:rFonts w:hint="eastAsia" w:ascii="宋体" w:hAnsi="宋体" w:eastAsia="宋体" w:cs="宋体"/>
                <w:color w:val="000000" w:themeColor="text1"/>
                <w:szCs w:val="21"/>
                <w:highlight w:val="none"/>
                <w:lang w:val="en-US" w:eastAsia="zh-CN"/>
                <w14:textFill>
                  <w14:solidFill>
                    <w14:schemeClr w14:val="tx1"/>
                  </w14:solidFill>
                </w14:textFill>
              </w:rPr>
              <w:t>项目经理经验（项目需含保洁</w:t>
            </w:r>
            <w:r>
              <w:rPr>
                <w:rFonts w:hint="eastAsia" w:ascii="宋体" w:hAnsi="宋体" w:cs="宋体"/>
                <w:color w:val="000000" w:themeColor="text1"/>
                <w:szCs w:val="21"/>
                <w:highlight w:val="none"/>
                <w:lang w:val="en-US" w:eastAsia="zh-CN"/>
                <w14:textFill>
                  <w14:solidFill>
                    <w14:schemeClr w14:val="tx1"/>
                  </w14:solidFill>
                </w14:textFill>
              </w:rPr>
              <w:t>、运送</w:t>
            </w:r>
            <w:r>
              <w:rPr>
                <w:rFonts w:hint="eastAsia" w:ascii="宋体" w:hAnsi="宋体" w:eastAsia="宋体" w:cs="宋体"/>
                <w:color w:val="000000" w:themeColor="text1"/>
                <w:szCs w:val="21"/>
                <w:highlight w:val="none"/>
                <w:lang w:val="en-US" w:eastAsia="zh-CN"/>
                <w14:textFill>
                  <w14:solidFill>
                    <w14:schemeClr w14:val="tx1"/>
                  </w14:solidFill>
                </w14:textFill>
              </w:rPr>
              <w:t>管理内容）的得2分。</w:t>
            </w:r>
            <w:r>
              <w:rPr>
                <w:rFonts w:hint="eastAsia" w:ascii="宋体" w:hAnsi="宋体" w:cs="宋体"/>
                <w:color w:val="000000" w:themeColor="text1"/>
                <w:szCs w:val="21"/>
                <w:highlight w:val="none"/>
                <w:lang w:val="en-US" w:eastAsia="zh-CN"/>
                <w14:textFill>
                  <w14:solidFill>
                    <w14:schemeClr w14:val="tx1"/>
                  </w14:solidFill>
                </w14:textFill>
              </w:rPr>
              <w:t>（提供合同和业主单位出具的任职证明文件。）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业绩</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w:t>
            </w:r>
            <w:r>
              <w:rPr>
                <w:rFonts w:hint="eastAsia" w:ascii="宋体" w:hAnsi="宋体" w:eastAsia="宋体" w:cs="宋体"/>
                <w:color w:val="000000" w:themeColor="text1"/>
                <w:szCs w:val="21"/>
                <w:highlight w:val="none"/>
                <w:lang w:val="en-US" w:eastAsia="zh-CN"/>
                <w14:textFill>
                  <w14:solidFill>
                    <w14:schemeClr w14:val="tx1"/>
                  </w14:solidFill>
                </w14:textFill>
              </w:rPr>
              <w:t>2021年1月1日至今（以合同签订日期为准）</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具有国内二级及以上医院类似业绩（服务内容须同时包含保洁、运送）得1分，最高得2分。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olor w:val="auto"/>
                <w:highlight w:val="none"/>
              </w:rPr>
              <w:t>提供合同复印件</w:t>
            </w:r>
            <w:r>
              <w:rPr>
                <w:rFonts w:hint="eastAsia" w:ascii="宋体" w:hAnsi="宋体"/>
                <w:color w:val="auto"/>
                <w:highlight w:val="none"/>
                <w:lang w:val="en-US" w:eastAsia="zh-CN"/>
              </w:rPr>
              <w:t>并</w:t>
            </w:r>
            <w:r>
              <w:rPr>
                <w:rFonts w:hint="eastAsia" w:ascii="宋体" w:hAnsi="宋体"/>
                <w:color w:val="auto"/>
                <w:highlight w:val="none"/>
              </w:rPr>
              <w:t>加盖公章</w:t>
            </w:r>
            <w:r>
              <w:rPr>
                <w:rFonts w:hint="eastAsia" w:ascii="宋体" w:hAnsi="宋体"/>
                <w:color w:val="auto"/>
                <w:highlight w:val="none"/>
                <w:lang w:eastAsia="zh-CN"/>
              </w:rPr>
              <w:t>，</w:t>
            </w:r>
            <w:r>
              <w:rPr>
                <w:rFonts w:hint="eastAsia" w:asciiTheme="minorEastAsia" w:hAnsiTheme="minorEastAsia" w:eastAsiaTheme="minorEastAsia" w:cstheme="minorEastAsia"/>
                <w:bCs/>
                <w:color w:val="auto"/>
                <w:sz w:val="21"/>
                <w:szCs w:val="21"/>
                <w:highlight w:val="none"/>
              </w:rPr>
              <w:t>同一</w:t>
            </w:r>
            <w:r>
              <w:rPr>
                <w:rFonts w:hint="eastAsia" w:asciiTheme="minorEastAsia" w:hAnsiTheme="minorEastAsia" w:eastAsiaTheme="minorEastAsia" w:cstheme="minorEastAsia"/>
                <w:bCs/>
                <w:color w:val="auto"/>
                <w:sz w:val="21"/>
                <w:szCs w:val="21"/>
                <w:highlight w:val="none"/>
                <w:lang w:val="en-US" w:eastAsia="zh-CN"/>
              </w:rPr>
              <w:t>业主单位的</w:t>
            </w:r>
            <w:r>
              <w:rPr>
                <w:rFonts w:hint="eastAsia" w:asciiTheme="minorEastAsia" w:hAnsiTheme="minorEastAsia" w:eastAsiaTheme="minorEastAsia" w:cstheme="minorEastAsia"/>
                <w:bCs/>
                <w:color w:val="auto"/>
                <w:sz w:val="21"/>
                <w:szCs w:val="21"/>
                <w:highlight w:val="none"/>
              </w:rPr>
              <w:t>合同只能按一个合同认定</w:t>
            </w:r>
            <w:r>
              <w:rPr>
                <w:rFonts w:hint="eastAsia" w:asciiTheme="minorEastAsia" w:hAnsiTheme="minorEastAsia" w:eastAsiaTheme="minorEastAsia" w:cstheme="minorEastAsia"/>
                <w:bCs/>
                <w:color w:val="auto"/>
                <w:sz w:val="21"/>
                <w:szCs w:val="21"/>
                <w:highlight w:val="none"/>
                <w:lang w:eastAsia="zh-CN"/>
              </w:rPr>
              <w:t>。</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组织管理制度（15分）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pStyle w:val="98"/>
              <w:spacing w:line="240" w:lineRule="auto"/>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bCs/>
                <w:szCs w:val="21"/>
                <w:highlight w:val="none"/>
              </w:rPr>
              <w:t>根据</w:t>
            </w:r>
            <w:r>
              <w:rPr>
                <w:rFonts w:hint="eastAsia" w:hAnsi="宋体"/>
                <w:highlight w:val="none"/>
              </w:rPr>
              <w:t>投标人</w:t>
            </w:r>
            <w:r>
              <w:rPr>
                <w:rFonts w:hint="eastAsia" w:hAnsi="宋体" w:cs="宋体"/>
                <w:szCs w:val="21"/>
                <w:highlight w:val="none"/>
              </w:rPr>
              <w:t>提供</w:t>
            </w:r>
            <w:r>
              <w:rPr>
                <w:rFonts w:hint="eastAsia" w:hAnsi="宋体" w:cs="宋体"/>
                <w:bCs/>
                <w:szCs w:val="21"/>
                <w:highlight w:val="none"/>
              </w:rPr>
              <w:t>工作考勤制度的完善性、科学合理性进行综合评议。（0</w:t>
            </w:r>
            <w:r>
              <w:rPr>
                <w:rFonts w:hAnsi="宋体" w:cs="宋体"/>
                <w:bCs/>
                <w:szCs w:val="21"/>
                <w:highlight w:val="none"/>
              </w:rPr>
              <w:t>-</w:t>
            </w:r>
            <w:r>
              <w:rPr>
                <w:rFonts w:hint="eastAsia" w:hAnsi="宋体" w:cs="宋体"/>
                <w:bCs/>
                <w:szCs w:val="21"/>
                <w:highlight w:val="none"/>
                <w:lang w:val="en-US" w:eastAsia="zh-CN"/>
              </w:rPr>
              <w:t>5</w:t>
            </w:r>
            <w:r>
              <w:rPr>
                <w:rFonts w:hint="eastAsia"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pStyle w:val="98"/>
              <w:spacing w:line="240" w:lineRule="auto"/>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bCs/>
                <w:szCs w:val="21"/>
                <w:highlight w:val="none"/>
              </w:rPr>
              <w:t>根据</w:t>
            </w:r>
            <w:r>
              <w:rPr>
                <w:rFonts w:hint="eastAsia" w:hAnsi="宋体"/>
                <w:highlight w:val="none"/>
              </w:rPr>
              <w:t>投标人</w:t>
            </w:r>
            <w:r>
              <w:rPr>
                <w:rFonts w:hint="eastAsia" w:hAnsi="宋体" w:cs="宋体"/>
                <w:szCs w:val="21"/>
                <w:highlight w:val="none"/>
              </w:rPr>
              <w:t>提供</w:t>
            </w:r>
            <w:r>
              <w:rPr>
                <w:rFonts w:hint="eastAsia" w:hAnsi="宋体" w:cs="宋体"/>
                <w:bCs/>
                <w:szCs w:val="21"/>
                <w:highlight w:val="none"/>
              </w:rPr>
              <w:t>监督管理机制的完善性、科学合理性进行综合评议。（0</w:t>
            </w:r>
            <w:r>
              <w:rPr>
                <w:rFonts w:hAnsi="宋体" w:cs="宋体"/>
                <w:bCs/>
                <w:szCs w:val="21"/>
                <w:highlight w:val="none"/>
              </w:rPr>
              <w:t>-</w:t>
            </w:r>
            <w:r>
              <w:rPr>
                <w:rFonts w:hint="eastAsia" w:hAnsi="宋体" w:cs="宋体"/>
                <w:bCs/>
                <w:szCs w:val="21"/>
                <w:highlight w:val="none"/>
                <w:lang w:val="en-US" w:eastAsia="zh-CN"/>
              </w:rPr>
              <w:t>5</w:t>
            </w:r>
            <w:r>
              <w:rPr>
                <w:rFonts w:hint="eastAsia"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Cs/>
                <w:szCs w:val="21"/>
                <w:highlight w:val="none"/>
              </w:rPr>
              <w:t>根据</w:t>
            </w:r>
            <w:r>
              <w:rPr>
                <w:rFonts w:hint="eastAsia" w:ascii="宋体" w:hAnsi="宋体"/>
                <w:highlight w:val="none"/>
              </w:rPr>
              <w:t>投标人</w:t>
            </w:r>
            <w:r>
              <w:rPr>
                <w:rFonts w:hint="eastAsia" w:ascii="宋体" w:hAnsi="宋体" w:cs="宋体"/>
                <w:szCs w:val="21"/>
                <w:highlight w:val="none"/>
              </w:rPr>
              <w:t>提供</w:t>
            </w:r>
            <w:r>
              <w:rPr>
                <w:rFonts w:hint="eastAsia" w:asciiTheme="majorEastAsia" w:hAnsiTheme="majorEastAsia" w:eastAsiaTheme="majorEastAsia" w:cstheme="majorEastAsia"/>
                <w:bCs/>
                <w:szCs w:val="21"/>
                <w:highlight w:val="none"/>
              </w:rPr>
              <w:t>员工奖罚管理的完善性、科学合理性进行综合评议。</w:t>
            </w:r>
            <w:r>
              <w:rPr>
                <w:rFonts w:hint="eastAsia" w:asciiTheme="majorEastAsia" w:hAnsiTheme="majorEastAsia" w:eastAsiaTheme="majorEastAsia" w:cstheme="majorEastAsia"/>
                <w:szCs w:val="21"/>
                <w:highlight w:val="none"/>
              </w:rPr>
              <w:t>（0-</w:t>
            </w:r>
            <w:r>
              <w:rPr>
                <w:rFonts w:hint="eastAsia" w:asciiTheme="majorEastAsia" w:hAnsiTheme="majorEastAsia" w:eastAsiaTheme="majorEastAsia" w:cstheme="majorEastAsia"/>
                <w:szCs w:val="21"/>
                <w:highlight w:val="none"/>
                <w:lang w:val="en-US" w:eastAsia="zh-CN"/>
              </w:rPr>
              <w:t>5</w:t>
            </w:r>
            <w:r>
              <w:rPr>
                <w:rFonts w:hint="eastAsia" w:asciiTheme="majorEastAsia" w:hAnsiTheme="majorEastAsia" w:eastAsiaTheme="majorEastAsia" w:cstheme="maj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人员培训方案（</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根据投标人提供的人员培训方案进行综合评议。（0-</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071" w:type="dxa"/>
            <w:vMerge w:val="continue"/>
            <w:tcBorders>
              <w:left w:val="single" w:color="auto" w:sz="4" w:space="0"/>
              <w:right w:val="single" w:color="auto" w:sz="4" w:space="0"/>
            </w:tcBorders>
            <w:noWrap w:val="0"/>
            <w:vAlign w:val="center"/>
          </w:tcPr>
          <w:p>
            <w:pPr>
              <w:jc w:val="left"/>
              <w:rPr>
                <w:rFonts w:hint="eastAsia" w:ascii="宋体" w:hAnsi="宋体" w:eastAsia="宋体" w:cs="宋体"/>
                <w:color w:val="000000" w:themeColor="text1"/>
                <w:szCs w:val="21"/>
                <w:highlight w:val="none"/>
                <w14:textFill>
                  <w14:solidFill>
                    <w14:schemeClr w14:val="tx1"/>
                  </w14:solidFill>
                </w14:textFill>
              </w:rPr>
            </w:pPr>
          </w:p>
        </w:tc>
        <w:tc>
          <w:tcPr>
            <w:tcW w:w="1530" w:type="dxa"/>
            <w:tcBorders>
              <w:left w:val="single" w:color="auto" w:sz="4" w:space="0"/>
              <w:right w:val="single" w:color="auto" w:sz="4" w:space="0"/>
            </w:tcBorders>
            <w:noWrap w:val="0"/>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政府采购政策加分（1分）</w:t>
            </w:r>
          </w:p>
        </w:tc>
        <w:tc>
          <w:tcPr>
            <w:tcW w:w="718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highlight w:val="none"/>
              </w:rPr>
            </w:pPr>
            <w:r>
              <w:rPr>
                <w:rFonts w:hint="eastAsia" w:ascii="宋体" w:hAnsi="宋体"/>
                <w:highlight w:val="none"/>
              </w:rPr>
              <w:t>投标人是国家认定的少数民族地区企业的加1分。</w:t>
            </w:r>
          </w:p>
        </w:tc>
      </w:tr>
    </w:tbl>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第五章  政府采购合同主要条款</w:t>
      </w:r>
    </w:p>
    <w:p>
      <w:pPr>
        <w:pStyle w:val="12"/>
        <w:snapToGrid w:val="0"/>
        <w:spacing w:beforeLines="0" w:afterLines="0"/>
        <w:jc w:val="center"/>
        <w:outlineLvl w:val="0"/>
        <w:rPr>
          <w:rFonts w:ascii="黑体" w:hAnsi="宋体" w:eastAsia="黑体"/>
          <w:b/>
          <w:bCs/>
          <w:sz w:val="28"/>
          <w:szCs w:val="28"/>
          <w:highlight w:val="none"/>
        </w:rPr>
      </w:pPr>
    </w:p>
    <w:p>
      <w:pPr>
        <w:snapToGrid w:val="0"/>
        <w:spacing w:beforeLines="50" w:afterLines="50"/>
        <w:jc w:val="center"/>
        <w:rPr>
          <w:rFonts w:ascii="宋体" w:hAnsi="宋体" w:cs="宋体"/>
          <w:b/>
          <w:bCs/>
          <w:sz w:val="30"/>
          <w:szCs w:val="32"/>
          <w:highlight w:val="none"/>
        </w:rPr>
      </w:pPr>
      <w:r>
        <w:rPr>
          <w:rFonts w:hint="eastAsia" w:ascii="宋体" w:hAnsi="宋体" w:cs="宋体"/>
          <w:b/>
          <w:sz w:val="30"/>
          <w:szCs w:val="32"/>
          <w:highlight w:val="none"/>
        </w:rPr>
        <w:t>采购合同（仅供参考）</w:t>
      </w:r>
    </w:p>
    <w:p>
      <w:pPr>
        <w:spacing w:line="340" w:lineRule="exact"/>
        <w:rPr>
          <w:rFonts w:ascii="宋体" w:hAnsi="宋体" w:cs="宋体"/>
          <w:szCs w:val="21"/>
          <w:highlight w:val="none"/>
        </w:rPr>
      </w:pPr>
      <w:r>
        <w:rPr>
          <w:rFonts w:hint="eastAsia" w:ascii="宋体" w:hAnsi="宋体" w:cs="宋体"/>
          <w:szCs w:val="21"/>
          <w:highlight w:val="none"/>
        </w:rPr>
        <w:t>甲方：</w:t>
      </w:r>
      <w:r>
        <w:rPr>
          <w:rFonts w:hint="eastAsia" w:ascii="宋体" w:hAnsi="宋体" w:cs="宋体"/>
          <w:szCs w:val="21"/>
          <w:highlight w:val="none"/>
          <w:u w:val="single"/>
        </w:rPr>
        <w:t xml:space="preserve">                          </w:t>
      </w:r>
      <w:r>
        <w:rPr>
          <w:rFonts w:hint="eastAsia" w:ascii="宋体" w:hAnsi="宋体" w:cs="宋体"/>
          <w:szCs w:val="21"/>
          <w:highlight w:val="none"/>
        </w:rPr>
        <w:t>（以下简称甲方）</w:t>
      </w:r>
    </w:p>
    <w:p>
      <w:pPr>
        <w:spacing w:line="340" w:lineRule="exact"/>
        <w:rPr>
          <w:rFonts w:ascii="宋体" w:hAnsi="宋体" w:cs="宋体"/>
          <w:szCs w:val="21"/>
          <w:highlight w:val="none"/>
        </w:rPr>
      </w:pPr>
      <w:r>
        <w:rPr>
          <w:rFonts w:hint="eastAsia" w:ascii="宋体" w:hAnsi="宋体" w:cs="宋体"/>
          <w:szCs w:val="21"/>
          <w:highlight w:val="none"/>
        </w:rPr>
        <w:t>乙方：</w:t>
      </w:r>
      <w:r>
        <w:rPr>
          <w:rFonts w:hint="eastAsia" w:ascii="宋体" w:hAnsi="宋体" w:cs="宋体"/>
          <w:szCs w:val="21"/>
          <w:highlight w:val="none"/>
          <w:u w:val="single"/>
        </w:rPr>
        <w:t xml:space="preserve">                          </w:t>
      </w:r>
      <w:r>
        <w:rPr>
          <w:rFonts w:hint="eastAsia" w:ascii="宋体" w:hAnsi="宋体" w:cs="宋体"/>
          <w:szCs w:val="21"/>
          <w:highlight w:val="none"/>
        </w:rPr>
        <w:t>（以下简称乙方）</w:t>
      </w:r>
    </w:p>
    <w:p>
      <w:pPr>
        <w:spacing w:line="340" w:lineRule="exact"/>
        <w:rPr>
          <w:rFonts w:ascii="宋体" w:hAnsi="宋体" w:cs="宋体"/>
          <w:szCs w:val="21"/>
          <w:highlight w:val="none"/>
        </w:rPr>
      </w:pP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根据《中华人民共和国政府采购法》、《中华人民共和国政府采购法实施条例》、《政府采购货物和服务招标投标管理办法》等法律法规，</w:t>
      </w:r>
      <w:r>
        <w:rPr>
          <w:rFonts w:hint="eastAsia" w:ascii="宋体" w:hAnsi="宋体" w:cs="宋体"/>
          <w:szCs w:val="21"/>
          <w:highlight w:val="none"/>
          <w:u w:val="single"/>
        </w:rPr>
        <w:t>项目名称（项目编号：   ）</w:t>
      </w:r>
      <w:r>
        <w:rPr>
          <w:rFonts w:hint="eastAsia" w:ascii="宋体" w:hAnsi="宋体" w:cs="宋体"/>
          <w:szCs w:val="21"/>
          <w:highlight w:val="none"/>
        </w:rPr>
        <w:t>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日，在宁海县公共资源交易中心进行公开招标，确定由乙方中标。按照《中华人民共和国</w:t>
      </w:r>
      <w:r>
        <w:rPr>
          <w:rFonts w:hint="eastAsia" w:ascii="宋体" w:hAnsi="宋体" w:cs="宋体"/>
          <w:szCs w:val="21"/>
          <w:highlight w:val="none"/>
          <w:lang w:val="en-US" w:eastAsia="zh-CN"/>
        </w:rPr>
        <w:t>民法典</w:t>
      </w:r>
      <w:r>
        <w:rPr>
          <w:rFonts w:hint="eastAsia" w:ascii="宋体" w:hAnsi="宋体" w:cs="宋体"/>
          <w:szCs w:val="21"/>
          <w:highlight w:val="none"/>
        </w:rPr>
        <w:t>》的有关规定，在自愿、平等、公平、诚信的基础上，经双方协商一致，签订本合同。</w:t>
      </w:r>
    </w:p>
    <w:p>
      <w:pPr>
        <w:pStyle w:val="12"/>
        <w:spacing w:beforeLines="0" w:afterLines="0" w:line="340" w:lineRule="exact"/>
        <w:ind w:firstLine="420" w:firstLineChars="200"/>
        <w:rPr>
          <w:rFonts w:hAnsi="宋体" w:cs="宋体"/>
          <w:sz w:val="21"/>
          <w:szCs w:val="21"/>
          <w:highlight w:val="none"/>
        </w:rPr>
      </w:pPr>
      <w:r>
        <w:rPr>
          <w:rFonts w:hint="eastAsia" w:hAnsi="宋体" w:cs="宋体"/>
          <w:sz w:val="21"/>
          <w:szCs w:val="21"/>
          <w:highlight w:val="none"/>
        </w:rPr>
        <w:t>下述文件作为附件，是合同的一部分，并与本合同一起阅读和解释：</w:t>
      </w:r>
    </w:p>
    <w:p>
      <w:pPr>
        <w:pStyle w:val="12"/>
        <w:spacing w:beforeLines="0" w:afterLines="0" w:line="340" w:lineRule="exact"/>
        <w:ind w:firstLine="420" w:firstLineChars="200"/>
        <w:rPr>
          <w:rFonts w:hAnsi="宋体" w:cs="宋体"/>
          <w:sz w:val="21"/>
          <w:szCs w:val="21"/>
          <w:highlight w:val="none"/>
        </w:rPr>
      </w:pPr>
      <w:r>
        <w:rPr>
          <w:rFonts w:hint="eastAsia" w:hAnsi="宋体" w:cs="宋体"/>
          <w:sz w:val="21"/>
          <w:szCs w:val="21"/>
          <w:highlight w:val="none"/>
        </w:rPr>
        <w:t>a.招标文件；</w:t>
      </w:r>
    </w:p>
    <w:p>
      <w:pPr>
        <w:pStyle w:val="12"/>
        <w:spacing w:beforeLines="0" w:afterLines="0" w:line="340" w:lineRule="exact"/>
        <w:ind w:firstLine="420" w:firstLineChars="200"/>
        <w:rPr>
          <w:rFonts w:hAnsi="宋体" w:cs="宋体"/>
          <w:sz w:val="21"/>
          <w:szCs w:val="21"/>
          <w:highlight w:val="none"/>
        </w:rPr>
      </w:pPr>
      <w:r>
        <w:rPr>
          <w:rFonts w:hint="eastAsia" w:hAnsi="宋体" w:cs="宋体"/>
          <w:sz w:val="21"/>
          <w:szCs w:val="21"/>
          <w:highlight w:val="none"/>
        </w:rPr>
        <w:t>b.投标文件及澄清文件；</w:t>
      </w:r>
    </w:p>
    <w:p>
      <w:pPr>
        <w:pStyle w:val="12"/>
        <w:spacing w:beforeLines="0" w:afterLines="0" w:line="340" w:lineRule="exact"/>
        <w:ind w:firstLine="420" w:firstLineChars="200"/>
        <w:rPr>
          <w:rFonts w:hAnsi="宋体" w:cs="宋体"/>
          <w:sz w:val="21"/>
          <w:szCs w:val="21"/>
          <w:highlight w:val="none"/>
        </w:rPr>
      </w:pPr>
      <w:r>
        <w:rPr>
          <w:rFonts w:hint="eastAsia" w:hAnsi="宋体" w:cs="宋体"/>
          <w:sz w:val="21"/>
          <w:szCs w:val="21"/>
          <w:highlight w:val="none"/>
        </w:rPr>
        <w:t>c.中标通知书；</w:t>
      </w:r>
    </w:p>
    <w:p>
      <w:pPr>
        <w:pStyle w:val="12"/>
        <w:spacing w:beforeLines="0" w:afterLines="0" w:line="340" w:lineRule="exact"/>
        <w:ind w:firstLine="420" w:firstLineChars="200"/>
        <w:rPr>
          <w:rFonts w:hAnsi="宋体" w:cs="宋体"/>
          <w:sz w:val="21"/>
          <w:szCs w:val="21"/>
          <w:highlight w:val="none"/>
        </w:rPr>
      </w:pPr>
      <w:r>
        <w:rPr>
          <w:rFonts w:hint="eastAsia" w:hAnsi="宋体" w:cs="宋体"/>
          <w:sz w:val="21"/>
          <w:szCs w:val="21"/>
          <w:highlight w:val="none"/>
        </w:rPr>
        <w:t>d.中标人投标文件。</w:t>
      </w:r>
    </w:p>
    <w:p>
      <w:pPr>
        <w:pStyle w:val="12"/>
        <w:snapToGrid w:val="0"/>
        <w:spacing w:before="156" w:after="156" w:line="280" w:lineRule="exact"/>
        <w:rPr>
          <w:rFonts w:hAnsi="宋体" w:cs="宋体"/>
          <w:b/>
          <w:sz w:val="21"/>
          <w:szCs w:val="21"/>
          <w:highlight w:val="none"/>
        </w:rPr>
      </w:pPr>
      <w:r>
        <w:rPr>
          <w:rFonts w:hint="eastAsia" w:hAnsi="宋体" w:cs="宋体"/>
          <w:b/>
          <w:sz w:val="21"/>
          <w:szCs w:val="21"/>
          <w:highlight w:val="none"/>
        </w:rPr>
        <w:t>一、服务内容</w:t>
      </w:r>
    </w:p>
    <w:p>
      <w:pPr>
        <w:spacing w:line="2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b/>
          <w:bCs/>
          <w:szCs w:val="21"/>
          <w:highlight w:val="none"/>
        </w:rPr>
        <w:t>一）服务范围</w:t>
      </w:r>
    </w:p>
    <w:p>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宁海县城关医院后勤保洁社会化管理服务</w:t>
      </w:r>
    </w:p>
    <w:p>
      <w:pPr>
        <w:spacing w:line="340" w:lineRule="exact"/>
        <w:ind w:firstLine="420" w:firstLineChars="200"/>
        <w:rPr>
          <w:rFonts w:ascii="宋体" w:hAnsi="宋体" w:cs="宋体"/>
          <w:szCs w:val="21"/>
          <w:highlight w:val="none"/>
        </w:rPr>
      </w:pPr>
      <w:r>
        <w:rPr>
          <w:rFonts w:hint="eastAsia" w:ascii="宋体" w:hAnsi="宋体" w:cs="宋体"/>
          <w:szCs w:val="21"/>
          <w:highlight w:val="none"/>
        </w:rPr>
        <w:t>详细内容：</w:t>
      </w:r>
    </w:p>
    <w:p>
      <w:pPr>
        <w:numPr>
          <w:ilvl w:val="0"/>
          <w:numId w:val="35"/>
        </w:numPr>
        <w:spacing w:line="340" w:lineRule="exact"/>
        <w:rPr>
          <w:rFonts w:ascii="宋体" w:hAnsi="宋体" w:cs="宋体"/>
          <w:b/>
          <w:szCs w:val="21"/>
          <w:highlight w:val="none"/>
        </w:rPr>
      </w:pPr>
      <w:r>
        <w:rPr>
          <w:rFonts w:hint="eastAsia" w:ascii="宋体" w:hAnsi="宋体" w:cs="宋体"/>
          <w:b/>
          <w:szCs w:val="21"/>
          <w:highlight w:val="none"/>
        </w:rPr>
        <w:t>人员配置情况</w:t>
      </w:r>
    </w:p>
    <w:p>
      <w:pPr>
        <w:spacing w:line="260" w:lineRule="exact"/>
        <w:rPr>
          <w:rFonts w:ascii="宋体" w:hAnsi="宋体" w:cs="宋体"/>
          <w:b/>
          <w:szCs w:val="21"/>
          <w:highlight w:val="none"/>
        </w:rPr>
      </w:pPr>
      <w:r>
        <w:rPr>
          <w:rFonts w:hint="eastAsia" w:ascii="宋体" w:hAnsi="宋体" w:cs="宋体"/>
          <w:b/>
          <w:szCs w:val="21"/>
          <w:highlight w:val="none"/>
        </w:rPr>
        <w:t>（三）服务质量要求</w:t>
      </w:r>
    </w:p>
    <w:p>
      <w:pPr>
        <w:pStyle w:val="12"/>
        <w:snapToGrid w:val="0"/>
        <w:spacing w:before="156" w:after="156" w:line="260" w:lineRule="exact"/>
        <w:rPr>
          <w:rFonts w:hAnsi="宋体" w:cs="宋体"/>
          <w:b/>
          <w:sz w:val="21"/>
          <w:szCs w:val="21"/>
          <w:highlight w:val="none"/>
        </w:rPr>
      </w:pPr>
      <w:r>
        <w:rPr>
          <w:rFonts w:hint="eastAsia" w:hAnsi="宋体" w:cs="宋体"/>
          <w:b/>
          <w:sz w:val="21"/>
          <w:szCs w:val="21"/>
          <w:highlight w:val="none"/>
        </w:rPr>
        <w:t>二、合同金额</w:t>
      </w:r>
    </w:p>
    <w:p>
      <w:pPr>
        <w:pStyle w:val="12"/>
        <w:snapToGrid w:val="0"/>
        <w:spacing w:before="156" w:after="156" w:line="260" w:lineRule="exact"/>
        <w:ind w:left="359" w:hanging="359" w:hangingChars="171"/>
        <w:rPr>
          <w:rFonts w:hAnsi="宋体" w:cs="宋体"/>
          <w:sz w:val="21"/>
          <w:szCs w:val="21"/>
          <w:highlight w:val="none"/>
        </w:rPr>
      </w:pPr>
      <w:r>
        <w:rPr>
          <w:rFonts w:hint="eastAsia" w:hAnsi="宋体" w:cs="宋体"/>
          <w:sz w:val="21"/>
          <w:szCs w:val="21"/>
          <w:highlight w:val="none"/>
        </w:rPr>
        <w:t>本合同金额为（大写）：_______________元/年（</w:t>
      </w:r>
      <w:r>
        <w:rPr>
          <w:rFonts w:ascii="Arial" w:hAnsi="Arial" w:cs="Arial"/>
          <w:sz w:val="19"/>
          <w:szCs w:val="19"/>
          <w:highlight w:val="none"/>
          <w:shd w:val="clear" w:color="auto" w:fill="FFFFFF"/>
        </w:rPr>
        <w:t>¥</w:t>
      </w:r>
      <w:r>
        <w:rPr>
          <w:rFonts w:hint="eastAsia" w:hAnsi="宋体" w:cs="宋体"/>
          <w:sz w:val="21"/>
          <w:szCs w:val="21"/>
          <w:highlight w:val="none"/>
        </w:rPr>
        <w:t>___________元/年）人民币，</w:t>
      </w:r>
    </w:p>
    <w:p>
      <w:pPr>
        <w:pStyle w:val="12"/>
        <w:snapToGrid w:val="0"/>
        <w:spacing w:before="156" w:after="156" w:line="260" w:lineRule="exact"/>
        <w:ind w:left="359" w:hanging="359" w:hangingChars="171"/>
        <w:rPr>
          <w:rFonts w:hAnsi="宋体" w:cs="宋体"/>
          <w:sz w:val="21"/>
          <w:szCs w:val="21"/>
          <w:highlight w:val="none"/>
        </w:rPr>
      </w:pPr>
      <w:r>
        <w:rPr>
          <w:rFonts w:hint="eastAsia" w:hAnsi="宋体" w:cs="宋体"/>
          <w:sz w:val="21"/>
          <w:szCs w:val="21"/>
          <w:highlight w:val="none"/>
        </w:rPr>
        <w:t>本项目中标金额：___________元/三年（</w:t>
      </w:r>
      <w:r>
        <w:rPr>
          <w:rFonts w:ascii="Arial" w:hAnsi="Arial" w:cs="Arial"/>
          <w:sz w:val="19"/>
          <w:szCs w:val="19"/>
          <w:highlight w:val="none"/>
          <w:shd w:val="clear" w:color="auto" w:fill="FFFFFF"/>
        </w:rPr>
        <w:t>¥</w:t>
      </w:r>
      <w:r>
        <w:rPr>
          <w:rFonts w:hint="eastAsia" w:hAnsi="宋体" w:cs="宋体"/>
          <w:sz w:val="21"/>
          <w:szCs w:val="21"/>
          <w:highlight w:val="none"/>
        </w:rPr>
        <w:t>___________元/三年）人民币。</w:t>
      </w:r>
    </w:p>
    <w:p>
      <w:pPr>
        <w:pStyle w:val="12"/>
        <w:snapToGrid w:val="0"/>
        <w:spacing w:before="156" w:after="156" w:line="260" w:lineRule="exact"/>
        <w:ind w:left="358" w:hanging="358" w:hangingChars="170"/>
        <w:rPr>
          <w:rFonts w:hAnsi="宋体" w:cs="宋体"/>
          <w:b/>
          <w:sz w:val="21"/>
          <w:szCs w:val="21"/>
          <w:highlight w:val="none"/>
        </w:rPr>
      </w:pPr>
      <w:r>
        <w:rPr>
          <w:rFonts w:hint="eastAsia" w:hAnsi="宋体" w:cs="宋体"/>
          <w:b/>
          <w:sz w:val="21"/>
          <w:szCs w:val="21"/>
          <w:highlight w:val="none"/>
        </w:rPr>
        <w:t>三、服务期限</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服务期限三年，合同一年一签。经双方同意，并经采购人考核合格，报宁海县政府采购管理办公室备案后，可续订下一年度的合同，最多续签两次。</w:t>
      </w:r>
    </w:p>
    <w:p>
      <w:pPr>
        <w:snapToGrid w:val="0"/>
        <w:spacing w:line="340" w:lineRule="exact"/>
        <w:rPr>
          <w:rFonts w:ascii="宋体" w:hAnsi="宋体" w:cs="宋体"/>
          <w:b/>
          <w:szCs w:val="21"/>
          <w:highlight w:val="none"/>
        </w:rPr>
      </w:pPr>
      <w:r>
        <w:rPr>
          <w:rFonts w:hint="eastAsia" w:ascii="宋体" w:hAnsi="宋体" w:cs="宋体"/>
          <w:b/>
          <w:szCs w:val="21"/>
          <w:highlight w:val="none"/>
        </w:rPr>
        <w:t>四、履约保证金</w:t>
      </w:r>
    </w:p>
    <w:p>
      <w:pPr>
        <w:pStyle w:val="12"/>
        <w:snapToGrid w:val="0"/>
        <w:spacing w:before="156" w:after="156" w:line="240" w:lineRule="exact"/>
        <w:ind w:left="357" w:hanging="357" w:hangingChars="170"/>
        <w:rPr>
          <w:rFonts w:hAnsi="宋体" w:cs="宋体"/>
          <w:sz w:val="21"/>
          <w:szCs w:val="21"/>
          <w:highlight w:val="none"/>
        </w:rPr>
      </w:pPr>
      <w:r>
        <w:rPr>
          <w:rFonts w:hint="eastAsia" w:hAnsi="宋体" w:cs="宋体"/>
          <w:sz w:val="21"/>
          <w:szCs w:val="21"/>
          <w:highlight w:val="none"/>
        </w:rPr>
        <w:t>乙方交纳人民币</w:t>
      </w:r>
      <w:r>
        <w:rPr>
          <w:rFonts w:hint="eastAsia" w:hAnsi="宋体" w:cs="宋体"/>
          <w:b/>
          <w:sz w:val="21"/>
          <w:szCs w:val="21"/>
          <w:highlight w:val="none"/>
          <w:u w:val="single"/>
        </w:rPr>
        <w:t xml:space="preserve">     </w:t>
      </w:r>
      <w:r>
        <w:rPr>
          <w:rFonts w:hint="eastAsia" w:hAnsi="宋体" w:cs="宋体"/>
          <w:sz w:val="21"/>
          <w:szCs w:val="21"/>
          <w:highlight w:val="none"/>
        </w:rPr>
        <w:t>元作为本合同的履约保证金。</w:t>
      </w:r>
    </w:p>
    <w:p>
      <w:pPr>
        <w:snapToGrid w:val="0"/>
        <w:spacing w:line="340" w:lineRule="exact"/>
        <w:rPr>
          <w:rFonts w:ascii="宋体" w:hAnsi="宋体" w:cs="宋体"/>
          <w:b/>
          <w:szCs w:val="21"/>
          <w:highlight w:val="none"/>
        </w:rPr>
      </w:pPr>
      <w:r>
        <w:rPr>
          <w:rFonts w:hint="eastAsia" w:ascii="宋体" w:hAnsi="宋体" w:cs="宋体"/>
          <w:b/>
          <w:szCs w:val="21"/>
          <w:highlight w:val="none"/>
        </w:rPr>
        <w:t>五、转包或分包</w:t>
      </w:r>
    </w:p>
    <w:p>
      <w:pPr>
        <w:spacing w:line="340" w:lineRule="exact"/>
        <w:rPr>
          <w:rFonts w:ascii="宋体" w:hAnsi="宋体" w:cs="宋体"/>
          <w:bCs/>
          <w:kern w:val="0"/>
          <w:szCs w:val="21"/>
          <w:highlight w:val="none"/>
        </w:rPr>
      </w:pPr>
      <w:r>
        <w:rPr>
          <w:rFonts w:hint="eastAsia" w:ascii="宋体" w:hAnsi="宋体" w:cs="宋体"/>
          <w:bCs/>
          <w:kern w:val="0"/>
          <w:szCs w:val="21"/>
          <w:highlight w:val="none"/>
        </w:rPr>
        <w:t>1、本合同范围的服务，应由乙方直接供应，不得转包；</w:t>
      </w:r>
    </w:p>
    <w:p>
      <w:pPr>
        <w:spacing w:line="340" w:lineRule="exact"/>
        <w:rPr>
          <w:rFonts w:ascii="宋体" w:hAnsi="宋体" w:cs="宋体"/>
          <w:bCs/>
          <w:kern w:val="0"/>
          <w:szCs w:val="21"/>
          <w:highlight w:val="none"/>
        </w:rPr>
      </w:pPr>
      <w:r>
        <w:rPr>
          <w:rFonts w:hint="eastAsia" w:ascii="宋体" w:hAnsi="宋体" w:cs="宋体"/>
          <w:bCs/>
          <w:kern w:val="0"/>
          <w:szCs w:val="21"/>
          <w:highlight w:val="none"/>
        </w:rPr>
        <w:t>2、除非得到甲方的书面同意，乙方不得部分分包给他人供应。甲方有绝对权力阻止分包。</w:t>
      </w:r>
    </w:p>
    <w:p>
      <w:pPr>
        <w:spacing w:line="340" w:lineRule="exact"/>
        <w:rPr>
          <w:rFonts w:ascii="宋体" w:hAnsi="宋体" w:cs="宋体"/>
          <w:bCs/>
          <w:kern w:val="0"/>
          <w:szCs w:val="21"/>
          <w:highlight w:val="none"/>
        </w:rPr>
      </w:pPr>
      <w:r>
        <w:rPr>
          <w:rFonts w:hint="eastAsia" w:ascii="宋体" w:hAnsi="宋体" w:cs="宋体"/>
          <w:bCs/>
          <w:kern w:val="0"/>
          <w:szCs w:val="21"/>
          <w:highlight w:val="none"/>
        </w:rPr>
        <w:t>2、如有转包和未经甲方同意的分包行为，甲方有权给予终止合同。</w:t>
      </w:r>
    </w:p>
    <w:p>
      <w:pPr>
        <w:snapToGrid w:val="0"/>
        <w:spacing w:line="340" w:lineRule="exact"/>
        <w:rPr>
          <w:rFonts w:ascii="宋体" w:hAnsi="宋体" w:cs="宋体"/>
          <w:b/>
          <w:szCs w:val="21"/>
          <w:highlight w:val="none"/>
        </w:rPr>
      </w:pPr>
      <w:r>
        <w:rPr>
          <w:rFonts w:hint="eastAsia" w:ascii="宋体" w:hAnsi="宋体" w:cs="宋体"/>
          <w:b/>
          <w:szCs w:val="21"/>
          <w:highlight w:val="none"/>
        </w:rPr>
        <w:t>六、款项支付</w:t>
      </w:r>
    </w:p>
    <w:p>
      <w:pPr>
        <w:spacing w:line="340" w:lineRule="exact"/>
        <w:rPr>
          <w:rFonts w:ascii="宋体" w:hAnsi="宋体" w:cs="宋体"/>
          <w:bCs/>
          <w:kern w:val="0"/>
          <w:szCs w:val="21"/>
          <w:highlight w:val="none"/>
        </w:rPr>
      </w:pPr>
      <w:r>
        <w:rPr>
          <w:rFonts w:hint="eastAsia" w:ascii="宋体" w:hAnsi="宋体" w:cs="宋体"/>
          <w:bCs/>
          <w:kern w:val="0"/>
          <w:szCs w:val="21"/>
          <w:highlight w:val="none"/>
        </w:rPr>
        <w:t>付款方式：</w:t>
      </w:r>
    </w:p>
    <w:p>
      <w:pPr>
        <w:snapToGrid w:val="0"/>
        <w:spacing w:line="340" w:lineRule="exact"/>
        <w:rPr>
          <w:rFonts w:ascii="宋体" w:hAnsi="宋体" w:cs="宋体"/>
          <w:b/>
          <w:szCs w:val="21"/>
          <w:highlight w:val="none"/>
        </w:rPr>
      </w:pPr>
      <w:r>
        <w:rPr>
          <w:rFonts w:hint="eastAsia" w:ascii="宋体" w:hAnsi="宋体" w:cs="宋体"/>
          <w:b/>
          <w:szCs w:val="21"/>
          <w:highlight w:val="none"/>
        </w:rPr>
        <w:t>七、甲、乙双方的权利和义务</w:t>
      </w:r>
    </w:p>
    <w:p>
      <w:pPr>
        <w:spacing w:line="340" w:lineRule="exact"/>
        <w:rPr>
          <w:rFonts w:ascii="宋体" w:hAnsi="宋体" w:cs="宋体"/>
          <w:bCs/>
          <w:kern w:val="0"/>
          <w:szCs w:val="21"/>
          <w:highlight w:val="none"/>
        </w:rPr>
      </w:pPr>
      <w:r>
        <w:rPr>
          <w:rFonts w:hint="eastAsia" w:ascii="宋体" w:hAnsi="宋体" w:cs="宋体"/>
          <w:bCs/>
          <w:kern w:val="0"/>
          <w:szCs w:val="21"/>
          <w:highlight w:val="none"/>
        </w:rPr>
        <w:t>1、甲方的权利和义务</w:t>
      </w:r>
    </w:p>
    <w:p>
      <w:pPr>
        <w:numPr>
          <w:ilvl w:val="0"/>
          <w:numId w:val="36"/>
        </w:numPr>
        <w:spacing w:line="340" w:lineRule="exact"/>
        <w:rPr>
          <w:rFonts w:ascii="宋体" w:hAnsi="宋体" w:cs="宋体"/>
          <w:bCs/>
          <w:kern w:val="0"/>
          <w:szCs w:val="21"/>
          <w:highlight w:val="none"/>
        </w:rPr>
      </w:pPr>
      <w:r>
        <w:rPr>
          <w:rFonts w:hint="eastAsia" w:ascii="宋体" w:hAnsi="宋体" w:cs="宋体"/>
          <w:bCs/>
          <w:kern w:val="0"/>
          <w:szCs w:val="21"/>
          <w:highlight w:val="none"/>
        </w:rPr>
        <w:t>对乙方负责管理的责任区域实行质量检查考核，考核情况及时反馈乙方，对乙方在履约期间内的设施进行督促管理，如有损坏限期维修完整，及时督促要求乙方完成考核检查工作。</w:t>
      </w:r>
    </w:p>
    <w:p>
      <w:pPr>
        <w:numPr>
          <w:ilvl w:val="0"/>
          <w:numId w:val="36"/>
        </w:numPr>
        <w:spacing w:line="340" w:lineRule="exact"/>
        <w:rPr>
          <w:rFonts w:ascii="宋体" w:hAnsi="宋体" w:cs="宋体"/>
          <w:bCs/>
          <w:kern w:val="0"/>
          <w:szCs w:val="21"/>
          <w:highlight w:val="none"/>
        </w:rPr>
      </w:pPr>
      <w:r>
        <w:rPr>
          <w:rFonts w:hint="eastAsia" w:ascii="宋体" w:hAnsi="宋体" w:cs="宋体"/>
          <w:bCs/>
          <w:kern w:val="0"/>
          <w:szCs w:val="21"/>
          <w:highlight w:val="none"/>
        </w:rPr>
        <w:t>乙方要求终止合同应提前二个月告知甲方，未经同意单方面终止合同，甲方有权没收乙方的履约保证金。</w:t>
      </w:r>
    </w:p>
    <w:p>
      <w:pPr>
        <w:numPr>
          <w:ilvl w:val="0"/>
          <w:numId w:val="36"/>
        </w:numPr>
        <w:spacing w:line="340" w:lineRule="exact"/>
        <w:rPr>
          <w:rFonts w:ascii="宋体" w:hAnsi="宋体" w:cs="宋体"/>
          <w:bCs/>
          <w:kern w:val="0"/>
          <w:szCs w:val="21"/>
          <w:highlight w:val="none"/>
        </w:rPr>
      </w:pPr>
      <w:r>
        <w:rPr>
          <w:rFonts w:hint="eastAsia" w:ascii="宋体" w:hAnsi="宋体" w:cs="宋体"/>
          <w:bCs/>
          <w:kern w:val="0"/>
          <w:szCs w:val="21"/>
          <w:highlight w:val="none"/>
        </w:rPr>
        <w:t>甲方应按合同条款及时核拨考核经费。</w:t>
      </w:r>
    </w:p>
    <w:p>
      <w:pPr>
        <w:numPr>
          <w:ilvl w:val="0"/>
          <w:numId w:val="36"/>
        </w:numPr>
        <w:spacing w:line="340" w:lineRule="exact"/>
        <w:rPr>
          <w:rFonts w:ascii="宋体" w:hAnsi="宋体" w:cs="宋体"/>
          <w:bCs/>
          <w:kern w:val="0"/>
          <w:szCs w:val="21"/>
          <w:highlight w:val="none"/>
        </w:rPr>
      </w:pPr>
      <w:r>
        <w:rPr>
          <w:rFonts w:hint="eastAsia" w:ascii="宋体" w:hAnsi="宋体" w:cs="宋体"/>
          <w:bCs/>
          <w:kern w:val="0"/>
          <w:szCs w:val="21"/>
          <w:highlight w:val="none"/>
        </w:rPr>
        <w:t>本合同期满，且在履约期间乙方没有发生任何违约行为的，乙方不打算继续履约下一年的考核检查，甲方将履约保证金（无息）予以全额退回。</w:t>
      </w:r>
    </w:p>
    <w:p>
      <w:pPr>
        <w:numPr>
          <w:ilvl w:val="0"/>
          <w:numId w:val="36"/>
        </w:numPr>
        <w:spacing w:line="340" w:lineRule="exact"/>
        <w:rPr>
          <w:rFonts w:ascii="宋体" w:hAnsi="宋体" w:cs="宋体"/>
          <w:bCs/>
          <w:kern w:val="0"/>
          <w:szCs w:val="21"/>
          <w:highlight w:val="none"/>
        </w:rPr>
      </w:pPr>
      <w:r>
        <w:rPr>
          <w:rFonts w:hint="eastAsia" w:ascii="宋体" w:hAnsi="宋体" w:cs="宋体"/>
          <w:bCs/>
          <w:kern w:val="0"/>
          <w:szCs w:val="21"/>
          <w:highlight w:val="none"/>
        </w:rPr>
        <w:t>由于乙方与上一年度考核服务单位交接协商不妥，影响日常考核工作无法正常运行，甲方有权终止合同。</w:t>
      </w:r>
    </w:p>
    <w:p>
      <w:pPr>
        <w:snapToGrid w:val="0"/>
        <w:spacing w:beforeLines="50" w:afterLines="50" w:line="340" w:lineRule="exact"/>
        <w:rPr>
          <w:rFonts w:ascii="宋体" w:hAnsi="宋体" w:cs="宋体"/>
          <w:szCs w:val="21"/>
          <w:highlight w:val="none"/>
        </w:rPr>
      </w:pPr>
      <w:r>
        <w:rPr>
          <w:rFonts w:hint="eastAsia" w:ascii="宋体" w:hAnsi="宋体" w:cs="宋体"/>
          <w:szCs w:val="21"/>
          <w:highlight w:val="none"/>
        </w:rPr>
        <w:t>2、乙方的权利和义务</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乙方严格按照甲方要求对划定的责任区域范围内的所有服务项目实行考核检查。</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乙方必须严格按要求配备足够的服务人员，所有服务人员及管理人员必须身体健康，能胜任日常服务及管理工作。</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乙方的考核服务人员必须按规定统一着装，服装及车辆、作业工具由乙方自行解决，车辆能耗、维修等相关费用由乙方自理。</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乙方应按作业要求在规定的时间进行考核检查。</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乙方检查考核及管理人员必须遵纪守法，敬业爱岗，招标范围内发生的第三方作业相关的一切事务，均由乙方负责。</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乙方必须自觉接受，配合甲方有关工作指导及考核检查，并自觉做好县各项大型活动期间的环境保障和其它临时性、突击性工作（费用已包含在本合同中）。</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乙方必须按甲方要求完成各项应急处置工作任务。</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乙方用工应按国家规定签订规范劳动合同、工资待遇符合国家、省、市、县各项规定，并给员工缴纳社保和意外保险等国家规定的各项保险。</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乙方在合同履行期间，在不影响本区域考核服务质量的情况下，通过增加机械设备等方式提高工作效率，需减少工人人数的，必须事先经由甲方同意，设备添置的费用自行解决，考核经费不予增加。</w:t>
      </w:r>
    </w:p>
    <w:p>
      <w:pPr>
        <w:numPr>
          <w:ilvl w:val="0"/>
          <w:numId w:val="37"/>
        </w:numPr>
        <w:spacing w:line="340" w:lineRule="exact"/>
        <w:rPr>
          <w:rFonts w:ascii="宋体" w:hAnsi="宋体" w:cs="宋体"/>
          <w:bCs/>
          <w:kern w:val="0"/>
          <w:szCs w:val="21"/>
          <w:highlight w:val="none"/>
        </w:rPr>
      </w:pPr>
      <w:r>
        <w:rPr>
          <w:rFonts w:hint="eastAsia" w:ascii="宋体" w:hAnsi="宋体" w:cs="宋体"/>
          <w:bCs/>
          <w:kern w:val="0"/>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numPr>
          <w:ilvl w:val="0"/>
          <w:numId w:val="37"/>
        </w:numPr>
        <w:spacing w:line="340" w:lineRule="exact"/>
        <w:rPr>
          <w:rFonts w:ascii="宋体" w:hAnsi="宋体" w:cs="宋体"/>
          <w:szCs w:val="21"/>
          <w:highlight w:val="none"/>
        </w:rPr>
      </w:pPr>
      <w:r>
        <w:rPr>
          <w:rFonts w:hint="eastAsia" w:ascii="宋体" w:hAnsi="宋体" w:cs="宋体"/>
          <w:bCs/>
          <w:kern w:val="0"/>
          <w:szCs w:val="21"/>
          <w:highlight w:val="none"/>
        </w:rPr>
        <w:t>乙方应及时上报管理、人员安排等考核台帐等管理状况，投诉落实情况等必须及时以书面形式反馈。</w:t>
      </w:r>
    </w:p>
    <w:p>
      <w:pPr>
        <w:snapToGrid w:val="0"/>
        <w:spacing w:line="340" w:lineRule="exact"/>
        <w:rPr>
          <w:rFonts w:ascii="宋体" w:hAnsi="宋体" w:cs="宋体"/>
          <w:b/>
          <w:szCs w:val="21"/>
          <w:highlight w:val="none"/>
        </w:rPr>
      </w:pPr>
      <w:r>
        <w:rPr>
          <w:rFonts w:hint="eastAsia" w:ascii="宋体" w:hAnsi="宋体" w:cs="宋体"/>
          <w:b/>
          <w:szCs w:val="21"/>
          <w:highlight w:val="none"/>
        </w:rPr>
        <w:t>八、税费</w:t>
      </w:r>
    </w:p>
    <w:p>
      <w:pPr>
        <w:snapToGrid w:val="0"/>
        <w:spacing w:line="340" w:lineRule="exact"/>
        <w:rPr>
          <w:rFonts w:ascii="宋体" w:hAnsi="宋体" w:cs="宋体"/>
          <w:szCs w:val="21"/>
          <w:highlight w:val="none"/>
        </w:rPr>
      </w:pPr>
      <w:r>
        <w:rPr>
          <w:rFonts w:hint="eastAsia" w:ascii="宋体" w:hAnsi="宋体" w:cs="宋体"/>
          <w:szCs w:val="21"/>
          <w:highlight w:val="none"/>
        </w:rPr>
        <w:t>本合同执行中相关的一切税费均由乙方负担。</w:t>
      </w:r>
    </w:p>
    <w:p>
      <w:pPr>
        <w:pStyle w:val="12"/>
        <w:snapToGrid w:val="0"/>
        <w:spacing w:beforeLines="0" w:afterLines="0" w:line="340" w:lineRule="exact"/>
        <w:rPr>
          <w:rFonts w:hAnsi="宋体" w:cs="宋体"/>
          <w:b/>
          <w:sz w:val="21"/>
          <w:szCs w:val="21"/>
          <w:highlight w:val="none"/>
        </w:rPr>
      </w:pPr>
      <w:r>
        <w:rPr>
          <w:rFonts w:hint="eastAsia" w:hAnsi="宋体" w:cs="宋体"/>
          <w:b/>
          <w:sz w:val="21"/>
          <w:szCs w:val="21"/>
          <w:highlight w:val="none"/>
        </w:rPr>
        <w:t>九、违约责任</w:t>
      </w:r>
    </w:p>
    <w:p>
      <w:pPr>
        <w:pStyle w:val="12"/>
        <w:snapToGrid w:val="0"/>
        <w:spacing w:beforeLines="0" w:afterLines="0" w:line="340" w:lineRule="exact"/>
        <w:rPr>
          <w:rFonts w:hAnsi="宋体" w:cs="宋体"/>
          <w:bCs/>
          <w:kern w:val="0"/>
          <w:sz w:val="21"/>
          <w:szCs w:val="21"/>
          <w:highlight w:val="none"/>
        </w:rPr>
      </w:pPr>
      <w:r>
        <w:rPr>
          <w:rFonts w:hint="eastAsia" w:hAnsi="宋体" w:cs="宋体"/>
          <w:sz w:val="21"/>
          <w:szCs w:val="21"/>
          <w:highlight w:val="none"/>
        </w:rPr>
        <w:t>1、</w:t>
      </w:r>
      <w:r>
        <w:rPr>
          <w:rFonts w:hint="eastAsia" w:hAnsi="宋体" w:cs="宋体"/>
          <w:bCs/>
          <w:kern w:val="0"/>
          <w:sz w:val="21"/>
          <w:szCs w:val="21"/>
          <w:highlight w:val="none"/>
        </w:rPr>
        <w:t>乙方必须随时接受甲方或上级部门的监督检查和指导，必须无条件服从甲方组织的一些突击性任务及检查活动，按时、按标准、按要求完成所分配的工作。</w:t>
      </w:r>
    </w:p>
    <w:p>
      <w:pPr>
        <w:pStyle w:val="12"/>
        <w:snapToGrid w:val="0"/>
        <w:spacing w:beforeLines="0" w:afterLines="0" w:line="340" w:lineRule="exact"/>
        <w:ind w:left="19" w:hanging="18" w:hangingChars="9"/>
        <w:rPr>
          <w:rFonts w:hAnsi="宋体" w:cs="宋体"/>
          <w:sz w:val="21"/>
          <w:szCs w:val="21"/>
          <w:highlight w:val="none"/>
        </w:rPr>
      </w:pPr>
      <w:r>
        <w:rPr>
          <w:rFonts w:hint="eastAsia" w:hAnsi="宋体" w:cs="宋体"/>
          <w:sz w:val="21"/>
          <w:szCs w:val="21"/>
          <w:highlight w:val="none"/>
        </w:rPr>
        <w:t>2、由于乙方主观原因，导致合同终止被解除的，乙方因此而遭受的损失，由乙方独立承担，甲方不负任何责任。</w:t>
      </w:r>
    </w:p>
    <w:p>
      <w:pPr>
        <w:pStyle w:val="12"/>
        <w:snapToGrid w:val="0"/>
        <w:spacing w:beforeLines="0" w:afterLines="0" w:line="340" w:lineRule="exact"/>
        <w:ind w:left="19" w:hanging="18" w:hangingChars="9"/>
        <w:rPr>
          <w:rFonts w:hAnsi="宋体" w:cs="宋体"/>
          <w:sz w:val="21"/>
          <w:szCs w:val="21"/>
          <w:highlight w:val="none"/>
        </w:rPr>
      </w:pPr>
      <w:r>
        <w:rPr>
          <w:rFonts w:hint="eastAsia" w:hAnsi="宋体" w:cs="宋体"/>
          <w:sz w:val="21"/>
          <w:szCs w:val="21"/>
          <w:highlight w:val="none"/>
        </w:rPr>
        <w:t xml:space="preserve">3、乙方未按投标时承诺的人员、设备、物料到位的，甲方有权单方解除合同，由此产生的后果由乙方承担。 </w:t>
      </w:r>
    </w:p>
    <w:p>
      <w:pPr>
        <w:pStyle w:val="12"/>
        <w:snapToGrid w:val="0"/>
        <w:spacing w:beforeLines="0" w:afterLines="0" w:line="340" w:lineRule="exact"/>
        <w:rPr>
          <w:rFonts w:hAnsi="宋体" w:cs="宋体"/>
          <w:b/>
          <w:sz w:val="21"/>
          <w:szCs w:val="21"/>
          <w:highlight w:val="none"/>
        </w:rPr>
      </w:pPr>
      <w:r>
        <w:rPr>
          <w:rFonts w:hint="eastAsia" w:hAnsi="宋体" w:cs="宋体"/>
          <w:b/>
          <w:sz w:val="21"/>
          <w:szCs w:val="21"/>
          <w:highlight w:val="none"/>
        </w:rPr>
        <w:t>十、不可抗力事件处理</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1、在合同有效期内，任何一方因不可抗力事件导致不能履行合同，则合同履行期可延长，其延长期与不可抗力影响期相同。</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2、不可抗力事件发生后，应立即通知对方，并寄送有关权威机构出具的证明。</w:t>
      </w:r>
    </w:p>
    <w:p>
      <w:pPr>
        <w:pStyle w:val="12"/>
        <w:snapToGrid w:val="0"/>
        <w:spacing w:beforeLines="0" w:afterLines="0" w:line="340" w:lineRule="exact"/>
        <w:ind w:left="420" w:hanging="420" w:hangingChars="200"/>
        <w:rPr>
          <w:rFonts w:hAnsi="宋体" w:cs="宋体"/>
          <w:sz w:val="21"/>
          <w:szCs w:val="21"/>
          <w:highlight w:val="none"/>
        </w:rPr>
      </w:pPr>
      <w:r>
        <w:rPr>
          <w:rFonts w:hint="eastAsia" w:hAnsi="宋体" w:cs="宋体"/>
          <w:sz w:val="21"/>
          <w:szCs w:val="21"/>
          <w:highlight w:val="none"/>
        </w:rPr>
        <w:t>3、不可抗力事件延续120天以上，双方应通过友好协商，确定是否继续履行合同。</w:t>
      </w:r>
    </w:p>
    <w:p>
      <w:pPr>
        <w:pStyle w:val="12"/>
        <w:snapToGrid w:val="0"/>
        <w:spacing w:beforeLines="0" w:afterLines="0" w:line="340" w:lineRule="exact"/>
        <w:rPr>
          <w:rFonts w:hAnsi="宋体" w:cs="宋体"/>
          <w:b/>
          <w:sz w:val="21"/>
          <w:szCs w:val="21"/>
          <w:highlight w:val="none"/>
        </w:rPr>
      </w:pPr>
      <w:r>
        <w:rPr>
          <w:rFonts w:hint="eastAsia" w:hAnsi="宋体" w:cs="宋体"/>
          <w:b/>
          <w:sz w:val="21"/>
          <w:szCs w:val="21"/>
          <w:highlight w:val="none"/>
        </w:rPr>
        <w:t>十一、诉讼</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双方在执行合同中所发生的一切争议，应通过协商解决。如协商不成，可向甲方所在地法院起诉。</w:t>
      </w:r>
    </w:p>
    <w:p>
      <w:pPr>
        <w:pStyle w:val="12"/>
        <w:snapToGrid w:val="0"/>
        <w:spacing w:beforeLines="0" w:afterLines="0" w:line="340" w:lineRule="exact"/>
        <w:rPr>
          <w:rFonts w:hAnsi="宋体" w:cs="宋体"/>
          <w:b/>
          <w:sz w:val="21"/>
          <w:szCs w:val="21"/>
          <w:highlight w:val="none"/>
        </w:rPr>
      </w:pPr>
      <w:r>
        <w:rPr>
          <w:rFonts w:hint="eastAsia" w:hAnsi="宋体" w:cs="宋体"/>
          <w:b/>
          <w:sz w:val="21"/>
          <w:szCs w:val="21"/>
          <w:highlight w:val="none"/>
        </w:rPr>
        <w:t>十二、合同生效及其它</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1 、合同经双方法定代表人或授权委托代理人签字并加盖单位公章后生效。</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3、本合同未尽事宜，若采购文件有规定的，以采购文件为准，采购文件没有规定的，双方另行协商，并签署书面协议，该协议将作为本合同组成部分，与本合同具有同等的法律效力。</w:t>
      </w:r>
    </w:p>
    <w:p>
      <w:pPr>
        <w:pStyle w:val="12"/>
        <w:snapToGrid w:val="0"/>
        <w:spacing w:beforeLines="0" w:afterLines="0" w:line="340" w:lineRule="exact"/>
        <w:rPr>
          <w:rFonts w:hAnsi="宋体" w:cs="宋体"/>
          <w:sz w:val="21"/>
          <w:szCs w:val="21"/>
          <w:highlight w:val="none"/>
        </w:rPr>
      </w:pPr>
      <w:r>
        <w:rPr>
          <w:rFonts w:hint="eastAsia" w:hAnsi="宋体" w:cs="宋体"/>
          <w:sz w:val="21"/>
          <w:szCs w:val="21"/>
          <w:highlight w:val="none"/>
        </w:rPr>
        <w:t>4、 本合同正本一式四份，具有同等法律效力，甲乙双方各执一份；宁海县采购管理办公室、</w:t>
      </w:r>
      <w:r>
        <w:rPr>
          <w:rFonts w:hint="eastAsia" w:hAnsi="宋体" w:cs="宋体"/>
          <w:sz w:val="21"/>
          <w:szCs w:val="21"/>
          <w:highlight w:val="none"/>
          <w:lang w:eastAsia="zh-CN"/>
        </w:rPr>
        <w:t>宁海县政务服务中心</w:t>
      </w:r>
      <w:r>
        <w:rPr>
          <w:rFonts w:hint="eastAsia" w:hAnsi="宋体" w:cs="宋体"/>
          <w:sz w:val="21"/>
          <w:szCs w:val="21"/>
          <w:highlight w:val="none"/>
        </w:rPr>
        <w:t>各执一份。</w:t>
      </w:r>
    </w:p>
    <w:p>
      <w:pPr>
        <w:pStyle w:val="12"/>
        <w:snapToGrid w:val="0"/>
        <w:spacing w:beforeLines="0" w:afterLines="0" w:line="340" w:lineRule="exact"/>
        <w:rPr>
          <w:rFonts w:hAnsi="宋体" w:cs="宋体"/>
          <w:sz w:val="21"/>
          <w:szCs w:val="21"/>
          <w:highlight w:val="none"/>
        </w:rPr>
      </w:pPr>
    </w:p>
    <w:p>
      <w:pPr>
        <w:pStyle w:val="12"/>
        <w:snapToGrid w:val="0"/>
        <w:spacing w:before="156" w:after="156" w:line="340" w:lineRule="exact"/>
        <w:ind w:left="420" w:hanging="420" w:hangingChars="200"/>
        <w:rPr>
          <w:rFonts w:hAnsi="宋体" w:cs="宋体"/>
          <w:sz w:val="21"/>
          <w:szCs w:val="21"/>
          <w:highlight w:val="none"/>
        </w:rPr>
      </w:pPr>
      <w:r>
        <w:rPr>
          <w:rFonts w:hint="eastAsia" w:hAnsi="宋体" w:cs="宋体"/>
          <w:sz w:val="21"/>
          <w:szCs w:val="21"/>
          <w:highlight w:val="none"/>
        </w:rPr>
        <w:t xml:space="preserve">  甲方：                                   乙方： </w:t>
      </w:r>
    </w:p>
    <w:p>
      <w:pPr>
        <w:pStyle w:val="12"/>
        <w:snapToGrid w:val="0"/>
        <w:spacing w:before="156" w:after="156" w:line="340" w:lineRule="exact"/>
        <w:rPr>
          <w:rFonts w:hAnsi="宋体" w:cs="宋体"/>
          <w:sz w:val="21"/>
          <w:szCs w:val="21"/>
          <w:highlight w:val="none"/>
        </w:rPr>
      </w:pPr>
      <w:r>
        <w:rPr>
          <w:rFonts w:hint="eastAsia" w:hAnsi="宋体" w:cs="宋体"/>
          <w:sz w:val="21"/>
          <w:szCs w:val="21"/>
          <w:highlight w:val="none"/>
        </w:rPr>
        <w:t xml:space="preserve">  地址：                                   地址： </w:t>
      </w:r>
    </w:p>
    <w:p>
      <w:pPr>
        <w:pStyle w:val="12"/>
        <w:snapToGrid w:val="0"/>
        <w:spacing w:before="156" w:after="156" w:line="340" w:lineRule="exact"/>
        <w:rPr>
          <w:rFonts w:hAnsi="宋体" w:cs="宋体"/>
          <w:sz w:val="21"/>
          <w:szCs w:val="21"/>
          <w:highlight w:val="none"/>
        </w:rPr>
      </w:pPr>
      <w:r>
        <w:rPr>
          <w:rFonts w:hint="eastAsia" w:hAnsi="宋体" w:cs="宋体"/>
          <w:sz w:val="21"/>
          <w:szCs w:val="21"/>
          <w:highlight w:val="none"/>
        </w:rPr>
        <w:t xml:space="preserve">  法定代表人：                             法定代表人：</w:t>
      </w:r>
    </w:p>
    <w:p>
      <w:pPr>
        <w:pStyle w:val="12"/>
        <w:snapToGrid w:val="0"/>
        <w:spacing w:before="156" w:after="156" w:line="340" w:lineRule="exact"/>
        <w:ind w:left="420" w:hanging="420" w:hangingChars="200"/>
        <w:rPr>
          <w:rFonts w:hAnsi="宋体" w:cs="宋体"/>
          <w:sz w:val="21"/>
          <w:szCs w:val="21"/>
          <w:highlight w:val="none"/>
        </w:rPr>
      </w:pPr>
      <w:r>
        <w:rPr>
          <w:rFonts w:hint="eastAsia" w:hAnsi="宋体" w:cs="宋体"/>
          <w:sz w:val="21"/>
          <w:szCs w:val="21"/>
          <w:highlight w:val="none"/>
        </w:rPr>
        <w:t xml:space="preserve">  联系方式：                               联系方式：    </w:t>
      </w:r>
    </w:p>
    <w:p>
      <w:pPr>
        <w:pStyle w:val="12"/>
        <w:snapToGrid w:val="0"/>
        <w:spacing w:before="156" w:after="156" w:line="340" w:lineRule="exact"/>
        <w:ind w:left="420" w:hanging="420" w:hangingChars="200"/>
        <w:rPr>
          <w:rFonts w:hAnsi="宋体" w:cs="宋体"/>
          <w:sz w:val="21"/>
          <w:szCs w:val="21"/>
          <w:highlight w:val="none"/>
        </w:rPr>
      </w:pPr>
      <w:r>
        <w:rPr>
          <w:rFonts w:hint="eastAsia" w:hAnsi="宋体" w:cs="宋体"/>
          <w:sz w:val="21"/>
          <w:szCs w:val="21"/>
          <w:highlight w:val="none"/>
        </w:rPr>
        <w:t xml:space="preserve">  日期：                                   日期：</w:t>
      </w:r>
    </w:p>
    <w:p>
      <w:pPr>
        <w:pStyle w:val="12"/>
        <w:snapToGrid w:val="0"/>
        <w:spacing w:beforeLines="0" w:afterLines="0" w:line="340" w:lineRule="exact"/>
        <w:rPr>
          <w:rFonts w:hAnsi="宋体" w:cs="宋体"/>
          <w:sz w:val="21"/>
          <w:szCs w:val="21"/>
          <w:highlight w:val="none"/>
        </w:rPr>
      </w:pPr>
    </w:p>
    <w:p>
      <w:pPr>
        <w:pStyle w:val="12"/>
        <w:snapToGrid w:val="0"/>
        <w:spacing w:beforeLines="0" w:afterLines="0" w:line="340" w:lineRule="exact"/>
        <w:rPr>
          <w:rFonts w:hAnsi="宋体" w:cs="宋体"/>
          <w:sz w:val="21"/>
          <w:szCs w:val="21"/>
          <w:highlight w:val="none"/>
        </w:rPr>
      </w:pPr>
    </w:p>
    <w:p>
      <w:pPr>
        <w:pStyle w:val="12"/>
        <w:snapToGrid w:val="0"/>
        <w:spacing w:beforeLines="0" w:afterLines="0" w:line="340" w:lineRule="exact"/>
        <w:rPr>
          <w:rFonts w:hint="eastAsia" w:hAnsi="宋体" w:eastAsia="宋体" w:cs="宋体"/>
          <w:sz w:val="21"/>
          <w:szCs w:val="21"/>
          <w:highlight w:val="none"/>
          <w:lang w:eastAsia="zh-CN"/>
        </w:rPr>
      </w:pPr>
      <w:r>
        <w:rPr>
          <w:rFonts w:hint="eastAsia" w:hAnsi="宋体" w:cs="宋体"/>
          <w:sz w:val="21"/>
          <w:szCs w:val="21"/>
          <w:highlight w:val="none"/>
        </w:rPr>
        <w:t>合同见证方：</w:t>
      </w:r>
      <w:r>
        <w:rPr>
          <w:rFonts w:hint="eastAsia" w:hAnsi="宋体" w:cs="宋体"/>
          <w:sz w:val="21"/>
          <w:szCs w:val="21"/>
          <w:highlight w:val="none"/>
          <w:lang w:eastAsia="zh-CN"/>
        </w:rPr>
        <w:t>宁海县政务服务中心</w:t>
      </w:r>
    </w:p>
    <w:p>
      <w:pPr>
        <w:pStyle w:val="12"/>
        <w:snapToGrid w:val="0"/>
        <w:spacing w:beforeLines="0" w:afterLines="0" w:line="340" w:lineRule="exact"/>
        <w:rPr>
          <w:rFonts w:hint="eastAsia" w:hAnsi="宋体" w:cs="宋体"/>
          <w:sz w:val="21"/>
          <w:szCs w:val="21"/>
          <w:highlight w:val="none"/>
        </w:rPr>
      </w:pPr>
      <w:r>
        <w:rPr>
          <w:rFonts w:hint="eastAsia" w:hAnsi="宋体" w:cs="宋体"/>
          <w:sz w:val="21"/>
          <w:szCs w:val="21"/>
          <w:highlight w:val="none"/>
        </w:rPr>
        <w:t>见证日期：      年  月  日</w:t>
      </w:r>
    </w:p>
    <w:p>
      <w:pPr>
        <w:pStyle w:val="12"/>
        <w:snapToGrid w:val="0"/>
        <w:spacing w:beforeLines="0" w:afterLines="0" w:line="340" w:lineRule="exact"/>
        <w:rPr>
          <w:rFonts w:hint="eastAsia" w:hAnsi="宋体" w:cs="宋体"/>
          <w:sz w:val="21"/>
          <w:szCs w:val="21"/>
          <w:highlight w:val="none"/>
        </w:rPr>
      </w:pPr>
    </w:p>
    <w:p>
      <w:pPr>
        <w:spacing w:line="380" w:lineRule="exact"/>
        <w:rPr>
          <w:rFonts w:ascii="宋体" w:hAnsi="宋体"/>
          <w:highlight w:val="none"/>
        </w:rPr>
      </w:pPr>
    </w:p>
    <w:p>
      <w:pPr>
        <w:spacing w:line="400" w:lineRule="exact"/>
        <w:jc w:val="center"/>
        <w:rPr>
          <w:rFonts w:ascii="黑体" w:hAnsi="宋体" w:eastAsia="黑体"/>
          <w:b/>
          <w:bCs/>
          <w:sz w:val="28"/>
          <w:szCs w:val="28"/>
          <w:highlight w:val="none"/>
        </w:rPr>
      </w:pPr>
    </w:p>
    <w:p>
      <w:pPr>
        <w:pStyle w:val="4"/>
        <w:rPr>
          <w:rFonts w:ascii="黑体" w:hAnsi="宋体" w:eastAsia="黑体"/>
          <w:b/>
          <w:bCs/>
          <w:sz w:val="28"/>
          <w:szCs w:val="28"/>
          <w:highlight w:val="none"/>
        </w:rPr>
      </w:pPr>
    </w:p>
    <w:p>
      <w:pPr>
        <w:pStyle w:val="4"/>
        <w:rPr>
          <w:rFonts w:ascii="黑体" w:hAnsi="宋体" w:eastAsia="黑体"/>
          <w:b/>
          <w:bCs/>
          <w:sz w:val="28"/>
          <w:szCs w:val="28"/>
          <w:highlight w:val="none"/>
        </w:rPr>
      </w:pPr>
    </w:p>
    <w:p/>
    <w:p>
      <w:pPr>
        <w:spacing w:line="400" w:lineRule="exact"/>
        <w:jc w:val="center"/>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9" w:type="dxa"/>
            <w:gridSpan w:val="2"/>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adjustRightInd w:val="0"/>
              <w:snapToGrid w:val="0"/>
              <w:spacing w:line="360" w:lineRule="exact"/>
              <w:ind w:firstLine="315" w:firstLineChars="150"/>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2.服务期限：三年，合同一年一签。经双方同意，并经采购人考核合格，报宁海县政府采购管理办公室备案后，可续订下一年度的合同，最多续签两次。</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3.付款方式：</w:t>
            </w:r>
          </w:p>
          <w:p>
            <w:pPr>
              <w:autoSpaceDE w:val="0"/>
              <w:autoSpaceDN w:val="0"/>
              <w:spacing w:line="360" w:lineRule="auto"/>
              <w:jc w:val="left"/>
              <w:textAlignment w:val="bottom"/>
              <w:rPr>
                <w:rFonts w:hint="eastAsia"/>
              </w:rPr>
            </w:pPr>
            <w:r>
              <w:rPr>
                <w:rFonts w:hint="eastAsia"/>
              </w:rPr>
              <w:t>每月末考核，根据考核结果支付月服务经费。每月10日支付上月服务经费，如遇节假日则自动顺延（特殊情况以合同为准），中标人在每月5日之前将上月服务经费开具发票给采购人。（月服务经费=年度合同金额/12）</w:t>
            </w:r>
          </w:p>
          <w:p>
            <w:pPr>
              <w:autoSpaceDE w:val="0"/>
              <w:autoSpaceDN w:val="0"/>
              <w:spacing w:line="360" w:lineRule="auto"/>
              <w:textAlignment w:val="bottom"/>
              <w:rPr>
                <w:rFonts w:asciiTheme="minorEastAsia" w:hAnsiTheme="minorEastAsia" w:eastAsiaTheme="minorEastAsia"/>
                <w:szCs w:val="21"/>
                <w:highlight w:val="none"/>
              </w:rPr>
            </w:pPr>
            <w:r>
              <w:rPr>
                <w:rFonts w:hint="eastAsia"/>
              </w:rPr>
              <w:t>注：每次付款前，中标人须按照金额提供正规合法的发票，否则采购人有权不予支付款项。</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8" w:name="_Toc372547187"/>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8"/>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2"/>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8"/>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2"/>
        <w:spacing w:line="400" w:lineRule="exact"/>
        <w:jc w:val="center"/>
        <w:rPr>
          <w:rFonts w:ascii="宋体" w:hAnsi="宋体"/>
          <w:b/>
          <w:sz w:val="24"/>
          <w:highlight w:val="none"/>
        </w:rPr>
      </w:pPr>
    </w:p>
    <w:p>
      <w:pPr>
        <w:pStyle w:val="2"/>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2"/>
        <w:spacing w:after="0" w:line="400" w:lineRule="exact"/>
        <w:rPr>
          <w:rFonts w:hAnsi="宋体"/>
          <w:szCs w:val="21"/>
          <w:highlight w:val="none"/>
        </w:rPr>
      </w:pPr>
      <w:r>
        <w:rPr>
          <w:rFonts w:hint="eastAsia" w:hAnsi="宋体"/>
          <w:szCs w:val="21"/>
          <w:highlight w:val="none"/>
        </w:rPr>
        <w:t>投标人（盖章）：</w:t>
      </w:r>
    </w:p>
    <w:p>
      <w:pPr>
        <w:pStyle w:val="2"/>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2"/>
        <w:spacing w:after="0" w:line="400" w:lineRule="exact"/>
        <w:rPr>
          <w:rFonts w:hAnsi="宋体"/>
          <w:szCs w:val="21"/>
          <w:highlight w:val="none"/>
        </w:rPr>
      </w:pPr>
      <w:r>
        <w:rPr>
          <w:rFonts w:hint="eastAsia" w:hAnsi="宋体"/>
          <w:szCs w:val="21"/>
          <w:highlight w:val="none"/>
        </w:rPr>
        <w:t>日期：</w:t>
      </w:r>
      <w:bookmarkEnd w:id="8"/>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2"/>
        <w:spacing w:after="0" w:line="400" w:lineRule="exact"/>
        <w:ind w:firstLine="420" w:firstLineChars="200"/>
        <w:rPr>
          <w:rFonts w:hAnsi="宋体"/>
          <w:szCs w:val="21"/>
          <w:highlight w:val="none"/>
        </w:rPr>
      </w:pPr>
    </w:p>
    <w:p>
      <w:pPr>
        <w:pStyle w:val="2"/>
        <w:spacing w:after="0" w:line="400" w:lineRule="exact"/>
        <w:ind w:firstLine="420" w:firstLineChars="200"/>
        <w:rPr>
          <w:rFonts w:hAnsi="宋体"/>
          <w:szCs w:val="21"/>
          <w:highlight w:val="none"/>
        </w:rPr>
      </w:pPr>
      <w:r>
        <w:rPr>
          <w:rFonts w:hint="eastAsia" w:hAnsi="宋体"/>
          <w:szCs w:val="21"/>
          <w:highlight w:val="none"/>
        </w:rPr>
        <w:t>投标人（盖章）：</w:t>
      </w:r>
    </w:p>
    <w:p>
      <w:pPr>
        <w:pStyle w:val="2"/>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2"/>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6"/>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6"/>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2"/>
        <w:spacing w:line="400" w:lineRule="exact"/>
        <w:ind w:firstLine="420" w:firstLineChars="200"/>
        <w:rPr>
          <w:rFonts w:hAnsi="宋体"/>
          <w:szCs w:val="21"/>
          <w:highlight w:val="none"/>
        </w:rPr>
      </w:pPr>
    </w:p>
    <w:p>
      <w:pPr>
        <w:pStyle w:val="2"/>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6"/>
        <w:snapToGrid w:val="0"/>
        <w:spacing w:line="400" w:lineRule="exact"/>
        <w:ind w:firstLineChars="200"/>
        <w:rPr>
          <w:rFonts w:ascii="宋体" w:hAnsi="宋体"/>
          <w:szCs w:val="21"/>
          <w:highlight w:val="none"/>
        </w:rPr>
      </w:pPr>
    </w:p>
    <w:p>
      <w:pPr>
        <w:pStyle w:val="6"/>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19"/>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19"/>
        <w:widowControl w:val="0"/>
        <w:spacing w:before="0" w:afterLines="0"/>
        <w:ind w:firstLine="420" w:firstLineChars="200"/>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rPr>
          <w:color w:val="auto"/>
          <w:sz w:val="21"/>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附件1</w:t>
      </w:r>
    </w:p>
    <w:p>
      <w:pPr>
        <w:snapToGrid w:val="0"/>
        <w:spacing w:line="400" w:lineRule="exact"/>
        <w:jc w:val="center"/>
        <w:rPr>
          <w:rFonts w:ascii="宋体" w:hAnsi="宋体"/>
          <w:szCs w:val="21"/>
          <w:highlight w:val="none"/>
        </w:rPr>
      </w:pPr>
      <w:r>
        <w:rPr>
          <w:rFonts w:hint="eastAsia" w:ascii="宋体" w:hAnsi="宋体"/>
          <w:szCs w:val="21"/>
          <w:highlight w:val="none"/>
        </w:rPr>
        <w:t>开标一览表</w:t>
      </w:r>
    </w:p>
    <w:p>
      <w:pPr>
        <w:tabs>
          <w:tab w:val="left" w:pos="1418"/>
        </w:tabs>
        <w:snapToGrid w:val="0"/>
        <w:spacing w:line="400" w:lineRule="exact"/>
        <w:jc w:val="center"/>
        <w:rPr>
          <w:rFonts w:ascii="宋体" w:hAnsi="宋体"/>
          <w:szCs w:val="21"/>
          <w:highlight w:val="none"/>
        </w:rPr>
      </w:pPr>
    </w:p>
    <w:p>
      <w:pPr>
        <w:tabs>
          <w:tab w:val="left" w:pos="1418"/>
        </w:tabs>
        <w:snapToGrid w:val="0"/>
        <w:spacing w:line="400" w:lineRule="exact"/>
        <w:ind w:firstLine="420" w:firstLineChars="200"/>
        <w:rPr>
          <w:highlight w:val="none"/>
        </w:rPr>
      </w:pPr>
      <w:r>
        <w:rPr>
          <w:rFonts w:hint="eastAsia"/>
          <w:highlight w:val="none"/>
        </w:rPr>
        <w:t>项目名称：　　　　　　　　　　　　　　　　　　　　项目编号：</w:t>
      </w:r>
    </w:p>
    <w:p>
      <w:pPr>
        <w:tabs>
          <w:tab w:val="left" w:pos="1418"/>
        </w:tabs>
        <w:snapToGrid w:val="0"/>
        <w:spacing w:line="400" w:lineRule="exact"/>
        <w:ind w:firstLine="5985" w:firstLineChars="2850"/>
        <w:rPr>
          <w:highlight w:val="none"/>
        </w:rPr>
      </w:pPr>
      <w:r>
        <w:rPr>
          <w:rFonts w:hint="eastAsia"/>
          <w:highlight w:val="none"/>
        </w:rPr>
        <w:t>单位：</w:t>
      </w:r>
      <w:r>
        <w:rPr>
          <w:rFonts w:hint="eastAsia" w:asciiTheme="minorEastAsia" w:hAnsiTheme="minorEastAsia" w:eastAsiaTheme="minorEastAsia"/>
          <w:szCs w:val="21"/>
          <w:highlight w:val="none"/>
          <w:lang w:val="zh-CN"/>
        </w:rPr>
        <w:t>元（人民币）</w:t>
      </w:r>
    </w:p>
    <w:tbl>
      <w:tblPr>
        <w:tblStyle w:val="24"/>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服务内容</w:t>
            </w:r>
          </w:p>
        </w:tc>
        <w:tc>
          <w:tcPr>
            <w:tcW w:w="850"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995"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单位</w:t>
            </w:r>
          </w:p>
        </w:tc>
        <w:tc>
          <w:tcPr>
            <w:tcW w:w="993"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单价（元/年）</w:t>
            </w:r>
          </w:p>
        </w:tc>
        <w:tc>
          <w:tcPr>
            <w:tcW w:w="1417"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总价</w:t>
            </w:r>
          </w:p>
        </w:tc>
        <w:tc>
          <w:tcPr>
            <w:tcW w:w="137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2154" w:type="dxa"/>
            <w:gridSpan w:val="2"/>
            <w:vAlign w:val="center"/>
          </w:tcPr>
          <w:p>
            <w:pPr>
              <w:spacing w:line="400" w:lineRule="exact"/>
              <w:jc w:val="center"/>
              <w:rPr>
                <w:rFonts w:asciiTheme="minorEastAsia" w:hAnsiTheme="minorEastAsia" w:eastAsiaTheme="minorEastAsia"/>
                <w:szCs w:val="21"/>
                <w:highlight w:val="none"/>
              </w:rPr>
            </w:pPr>
          </w:p>
        </w:tc>
        <w:tc>
          <w:tcPr>
            <w:tcW w:w="85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99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w:t>
            </w:r>
          </w:p>
        </w:tc>
        <w:tc>
          <w:tcPr>
            <w:tcW w:w="993" w:type="dxa"/>
            <w:vAlign w:val="center"/>
          </w:tcPr>
          <w:p>
            <w:pPr>
              <w:spacing w:line="400" w:lineRule="exact"/>
              <w:jc w:val="center"/>
              <w:rPr>
                <w:rFonts w:asciiTheme="minorEastAsia" w:hAnsiTheme="minorEastAsia" w:eastAsiaTheme="minorEastAsia"/>
                <w:szCs w:val="21"/>
                <w:highlight w:val="none"/>
              </w:rPr>
            </w:pPr>
          </w:p>
        </w:tc>
        <w:tc>
          <w:tcPr>
            <w:tcW w:w="1417" w:type="dxa"/>
            <w:vAlign w:val="center"/>
          </w:tcPr>
          <w:p>
            <w:pPr>
              <w:spacing w:line="400" w:lineRule="exact"/>
              <w:jc w:val="center"/>
              <w:rPr>
                <w:rFonts w:asciiTheme="minorEastAsia" w:hAnsiTheme="minorEastAsia" w:eastAsiaTheme="minorEastAsia"/>
                <w:szCs w:val="21"/>
                <w:highlight w:val="none"/>
              </w:rPr>
            </w:pPr>
          </w:p>
        </w:tc>
        <w:tc>
          <w:tcPr>
            <w:tcW w:w="1370"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三年投标总价金额大写：                               小写</w:t>
            </w:r>
            <w:r>
              <w:rPr>
                <w:rFonts w:hint="eastAsia"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szCs w:val="21"/>
                <w:highlight w:val="none"/>
              </w:rPr>
            </w:pPr>
          </w:p>
          <w:p>
            <w:pPr>
              <w:widowControl/>
              <w:spacing w:line="400" w:lineRule="exact"/>
              <w:jc w:val="left"/>
              <w:rPr>
                <w:rFonts w:asciiTheme="minorEastAsia" w:hAnsiTheme="minorEastAsia" w:eastAsiaTheme="minorEastAsia"/>
                <w:szCs w:val="21"/>
                <w:highlight w:val="none"/>
              </w:rPr>
            </w:pPr>
          </w:p>
          <w:p>
            <w:pPr>
              <w:spacing w:line="400" w:lineRule="exact"/>
              <w:jc w:val="center"/>
              <w:rPr>
                <w:rFonts w:asciiTheme="minorEastAsia" w:hAnsiTheme="minorEastAsia" w:eastAsiaTheme="minorEastAsia"/>
                <w:szCs w:val="21"/>
                <w:highlight w:val="none"/>
              </w:rPr>
            </w:pPr>
          </w:p>
        </w:tc>
      </w:tr>
    </w:tbl>
    <w:p>
      <w:pPr>
        <w:pStyle w:val="2"/>
        <w:spacing w:after="0"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注：</w:t>
      </w:r>
    </w:p>
    <w:p>
      <w:pPr>
        <w:pStyle w:val="2"/>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有关本项目实施所涉及的一切费用均计入报价。</w:t>
      </w:r>
    </w:p>
    <w:p>
      <w:pPr>
        <w:pStyle w:val="2"/>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2.“三年投标总价”应与“投标分项报价表”中“三年投标总价”一致。</w:t>
      </w:r>
    </w:p>
    <w:p>
      <w:pPr>
        <w:pStyle w:val="2"/>
        <w:spacing w:line="400" w:lineRule="exact"/>
        <w:rPr>
          <w:rFonts w:hAnsi="宋体"/>
          <w:szCs w:val="21"/>
          <w:highlight w:val="none"/>
        </w:rPr>
      </w:pPr>
    </w:p>
    <w:p>
      <w:pPr>
        <w:pStyle w:val="2"/>
        <w:spacing w:line="400" w:lineRule="exact"/>
        <w:rPr>
          <w:rFonts w:hAnsi="宋体"/>
          <w:szCs w:val="21"/>
          <w:highlight w:val="none"/>
        </w:rPr>
      </w:pPr>
      <w:r>
        <w:rPr>
          <w:rFonts w:hint="eastAsia" w:hAnsi="宋体"/>
          <w:szCs w:val="21"/>
          <w:highlight w:val="none"/>
        </w:rPr>
        <w:t>投标人（盖章）：</w:t>
      </w:r>
    </w:p>
    <w:p>
      <w:pPr>
        <w:pStyle w:val="2"/>
        <w:spacing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日期：</w:t>
      </w:r>
    </w:p>
    <w:p>
      <w:pPr>
        <w:snapToGrid w:val="0"/>
        <w:spacing w:line="400" w:lineRule="exact"/>
        <w:jc w:val="left"/>
        <w:rPr>
          <w:rFonts w:ascii="宋体" w:hAnsi="宋体"/>
          <w:szCs w:val="21"/>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附件2</w:t>
      </w:r>
    </w:p>
    <w:p>
      <w:pPr>
        <w:pStyle w:val="12"/>
        <w:snapToGrid w:val="0"/>
        <w:spacing w:beforeLines="0" w:afterLines="0"/>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投标分项报价表</w:t>
      </w:r>
    </w:p>
    <w:p>
      <w:pPr>
        <w:pStyle w:val="12"/>
        <w:snapToGrid w:val="0"/>
        <w:spacing w:beforeLines="0" w:afterLines="0"/>
        <w:jc w:val="center"/>
        <w:rPr>
          <w:rFonts w:asciiTheme="minorEastAsia" w:hAnsiTheme="minorEastAsia" w:eastAsiaTheme="minorEastAsia"/>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单位：</w:t>
      </w:r>
      <w:r>
        <w:rPr>
          <w:rFonts w:hint="eastAsia" w:asciiTheme="minorEastAsia" w:hAnsiTheme="minorEastAsia" w:eastAsiaTheme="minorEastAsia"/>
          <w:szCs w:val="21"/>
          <w:highlight w:val="none"/>
          <w:lang w:val="zh-CN"/>
        </w:rPr>
        <w:t>元（人民币）</w:t>
      </w:r>
    </w:p>
    <w:tbl>
      <w:tblPr>
        <w:tblStyle w:val="24"/>
        <w:tblW w:w="8529" w:type="dxa"/>
        <w:jc w:val="center"/>
        <w:tblInd w:w="0" w:type="dxa"/>
        <w:tblLayout w:type="fixed"/>
        <w:tblCellMar>
          <w:top w:w="0" w:type="dxa"/>
          <w:left w:w="108" w:type="dxa"/>
          <w:bottom w:w="0" w:type="dxa"/>
          <w:right w:w="108" w:type="dxa"/>
        </w:tblCellMar>
      </w:tblPr>
      <w:tblGrid>
        <w:gridCol w:w="747"/>
        <w:gridCol w:w="2430"/>
        <w:gridCol w:w="1575"/>
        <w:gridCol w:w="1950"/>
        <w:gridCol w:w="1827"/>
      </w:tblGrid>
      <w:tr>
        <w:tblPrEx>
          <w:tblLayout w:type="fixed"/>
          <w:tblCellMar>
            <w:top w:w="0" w:type="dxa"/>
            <w:left w:w="108" w:type="dxa"/>
            <w:bottom w:w="0" w:type="dxa"/>
            <w:right w:w="108" w:type="dxa"/>
          </w:tblCellMar>
        </w:tblPrEx>
        <w:trPr>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宋体" w:hAnsi="宋体" w:cs="Tahoma"/>
                <w:kern w:val="0"/>
                <w:highlight w:val="none"/>
              </w:rPr>
            </w:pPr>
            <w:r>
              <w:rPr>
                <w:rFonts w:hint="eastAsia" w:ascii="宋体" w:hAnsi="宋体" w:cs="Tahoma"/>
                <w:kern w:val="0"/>
                <w:highlight w:val="none"/>
              </w:rPr>
              <w:t>序号</w:t>
            </w:r>
          </w:p>
        </w:tc>
        <w:tc>
          <w:tcPr>
            <w:tcW w:w="2430" w:type="dxa"/>
            <w:tcBorders>
              <w:top w:val="single" w:color="000000" w:sz="4" w:space="0"/>
              <w:left w:val="nil"/>
              <w:bottom w:val="single" w:color="000000" w:sz="4" w:space="0"/>
              <w:right w:val="single" w:color="auto" w:sz="4" w:space="0"/>
            </w:tcBorders>
            <w:shd w:val="clear" w:color="auto" w:fill="FFFFFF"/>
            <w:vAlign w:val="center"/>
          </w:tcPr>
          <w:p>
            <w:pPr>
              <w:widowControl/>
              <w:spacing w:line="720" w:lineRule="auto"/>
              <w:jc w:val="center"/>
              <w:rPr>
                <w:rFonts w:ascii="宋体" w:hAnsi="宋体" w:cs="Tahoma"/>
                <w:kern w:val="0"/>
                <w:highlight w:val="none"/>
              </w:rPr>
            </w:pPr>
            <w:r>
              <w:rPr>
                <w:rFonts w:hint="eastAsia" w:cs="宋体" w:asciiTheme="minorEastAsia" w:hAnsiTheme="minorEastAsia" w:eastAsiaTheme="minorEastAsia"/>
                <w:szCs w:val="21"/>
                <w:highlight w:val="none"/>
              </w:rPr>
              <w:t>服务费用</w:t>
            </w:r>
          </w:p>
        </w:tc>
        <w:tc>
          <w:tcPr>
            <w:tcW w:w="1575" w:type="dxa"/>
            <w:tcBorders>
              <w:top w:val="single" w:color="000000" w:sz="4" w:space="0"/>
              <w:left w:val="nil"/>
              <w:bottom w:val="single" w:color="000000" w:sz="4" w:space="0"/>
              <w:right w:val="single" w:color="auto" w:sz="4" w:space="0"/>
            </w:tcBorders>
            <w:shd w:val="clear" w:color="auto" w:fill="FFFFFF"/>
            <w:vAlign w:val="center"/>
          </w:tcPr>
          <w:p>
            <w:pPr>
              <w:widowControl/>
              <w:spacing w:line="720" w:lineRule="auto"/>
              <w:jc w:val="center"/>
              <w:rPr>
                <w:rFonts w:ascii="宋体" w:hAnsi="宋体" w:cs="Tahoma"/>
                <w:kern w:val="0"/>
                <w:highlight w:val="none"/>
              </w:rPr>
            </w:pPr>
            <w:r>
              <w:rPr>
                <w:rFonts w:hint="eastAsia"/>
                <w:highlight w:val="none"/>
              </w:rPr>
              <w:t>单价（元/年）</w:t>
            </w:r>
          </w:p>
        </w:tc>
        <w:tc>
          <w:tcPr>
            <w:tcW w:w="1950" w:type="dxa"/>
            <w:tcBorders>
              <w:top w:val="single" w:color="000000" w:sz="4" w:space="0"/>
              <w:left w:val="nil"/>
              <w:bottom w:val="single" w:color="000000" w:sz="4" w:space="0"/>
              <w:right w:val="single" w:color="auto" w:sz="4" w:space="0"/>
            </w:tcBorders>
            <w:shd w:val="clear" w:color="auto" w:fill="FFFFFF"/>
          </w:tcPr>
          <w:p>
            <w:pPr>
              <w:widowControl/>
              <w:spacing w:line="720" w:lineRule="auto"/>
              <w:jc w:val="center"/>
              <w:rPr>
                <w:rFonts w:ascii="宋体" w:hAnsi="宋体" w:cs="Tahoma"/>
                <w:kern w:val="0"/>
                <w:highlight w:val="none"/>
              </w:rPr>
            </w:pPr>
            <w:r>
              <w:rPr>
                <w:rFonts w:hint="eastAsia"/>
                <w:highlight w:val="none"/>
              </w:rPr>
              <w:t>三年投标总价</w:t>
            </w:r>
          </w:p>
        </w:tc>
        <w:tc>
          <w:tcPr>
            <w:tcW w:w="1827" w:type="dxa"/>
            <w:tcBorders>
              <w:top w:val="single" w:color="000000" w:sz="4" w:space="0"/>
              <w:left w:val="nil"/>
              <w:bottom w:val="single" w:color="000000" w:sz="4" w:space="0"/>
              <w:right w:val="single" w:color="auto" w:sz="4" w:space="0"/>
            </w:tcBorders>
            <w:shd w:val="clear" w:color="auto" w:fill="FFFFFF"/>
          </w:tcPr>
          <w:p>
            <w:pPr>
              <w:widowControl/>
              <w:spacing w:line="720" w:lineRule="auto"/>
              <w:jc w:val="center"/>
              <w:rPr>
                <w:rFonts w:ascii="宋体" w:hAnsi="宋体" w:cs="Tahoma"/>
                <w:kern w:val="0"/>
                <w:highlight w:val="none"/>
              </w:rPr>
            </w:pPr>
            <w:r>
              <w:rPr>
                <w:rFonts w:hint="eastAsia" w:ascii="宋体" w:hAnsi="宋体" w:cs="Tahoma"/>
                <w:kern w:val="0"/>
                <w:highlight w:val="none"/>
              </w:rPr>
              <w:t>说明</w:t>
            </w: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000000" w:sz="4" w:space="0"/>
            </w:tcBorders>
            <w:shd w:val="clear" w:color="auto" w:fill="auto"/>
            <w:vAlign w:val="center"/>
          </w:tcPr>
          <w:p>
            <w:pPr>
              <w:widowControl/>
              <w:spacing w:line="380" w:lineRule="exact"/>
              <w:jc w:val="center"/>
              <w:rPr>
                <w:rFonts w:ascii="宋体" w:hAnsi="宋体" w:cs="Tahoma"/>
                <w:kern w:val="0"/>
                <w:highlight w:val="none"/>
              </w:rPr>
            </w:pPr>
          </w:p>
        </w:tc>
        <w:tc>
          <w:tcPr>
            <w:tcW w:w="2430" w:type="dxa"/>
            <w:tcBorders>
              <w:top w:val="nil"/>
              <w:left w:val="nil"/>
              <w:bottom w:val="single" w:color="000000" w:sz="4" w:space="0"/>
              <w:right w:val="single" w:color="auto" w:sz="4" w:space="0"/>
            </w:tcBorders>
            <w:shd w:val="clear" w:color="auto" w:fill="auto"/>
            <w:vAlign w:val="center"/>
          </w:tcPr>
          <w:p>
            <w:pPr>
              <w:widowControl/>
              <w:spacing w:line="380" w:lineRule="exact"/>
              <w:jc w:val="left"/>
              <w:rPr>
                <w:rFonts w:ascii="宋体" w:hAnsi="宋体" w:cs="Tahoma"/>
                <w:kern w:val="0"/>
                <w:highlight w:val="none"/>
              </w:rPr>
            </w:pPr>
          </w:p>
        </w:tc>
        <w:tc>
          <w:tcPr>
            <w:tcW w:w="1575" w:type="dxa"/>
            <w:tcBorders>
              <w:top w:val="nil"/>
              <w:left w:val="nil"/>
              <w:bottom w:val="single" w:color="000000" w:sz="4" w:space="0"/>
              <w:right w:val="single" w:color="auto" w:sz="4" w:space="0"/>
            </w:tcBorders>
            <w:shd w:val="clear" w:color="auto" w:fill="FFFFFF"/>
            <w:vAlign w:val="center"/>
          </w:tcPr>
          <w:p>
            <w:pPr>
              <w:widowControl/>
              <w:spacing w:line="380" w:lineRule="exact"/>
              <w:jc w:val="left"/>
              <w:textAlignment w:val="center"/>
              <w:rPr>
                <w:rFonts w:ascii="宋体" w:hAnsi="宋体" w:cs="Tahoma"/>
                <w:kern w:val="0"/>
                <w:highlight w:val="none"/>
              </w:rPr>
            </w:pPr>
          </w:p>
        </w:tc>
        <w:tc>
          <w:tcPr>
            <w:tcW w:w="1950" w:type="dxa"/>
            <w:tcBorders>
              <w:top w:val="nil"/>
              <w:left w:val="nil"/>
              <w:bottom w:val="single" w:color="000000" w:sz="4" w:space="0"/>
              <w:right w:val="single" w:color="auto" w:sz="4" w:space="0"/>
            </w:tcBorders>
            <w:shd w:val="clear" w:color="auto" w:fill="FFFFFF"/>
          </w:tcPr>
          <w:p>
            <w:pPr>
              <w:widowControl/>
              <w:spacing w:line="380" w:lineRule="exact"/>
              <w:jc w:val="left"/>
              <w:rPr>
                <w:rFonts w:ascii="宋体" w:hAnsi="宋体" w:cs="Tahoma"/>
                <w:kern w:val="0"/>
                <w:highlight w:val="none"/>
              </w:rPr>
            </w:pPr>
          </w:p>
        </w:tc>
        <w:tc>
          <w:tcPr>
            <w:tcW w:w="1827" w:type="dxa"/>
            <w:tcBorders>
              <w:top w:val="nil"/>
              <w:left w:val="nil"/>
              <w:bottom w:val="single" w:color="000000" w:sz="4" w:space="0"/>
              <w:right w:val="single" w:color="auto" w:sz="4" w:space="0"/>
            </w:tcBorders>
            <w:shd w:val="clear" w:color="auto" w:fill="FFFFFF"/>
          </w:tcPr>
          <w:p>
            <w:pPr>
              <w:widowControl/>
              <w:spacing w:line="380" w:lineRule="exact"/>
              <w:jc w:val="lef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80" w:lineRule="exact"/>
              <w:jc w:val="center"/>
              <w:rPr>
                <w:rFonts w:ascii="宋体" w:hAnsi="宋体" w:cs="Tahoma"/>
                <w:kern w:val="0"/>
                <w:highlight w:val="none"/>
              </w:rPr>
            </w:pPr>
          </w:p>
        </w:tc>
        <w:tc>
          <w:tcPr>
            <w:tcW w:w="243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宋体" w:hAnsi="宋体" w:cs="Tahoma"/>
                <w:kern w:val="0"/>
                <w:highlight w:val="none"/>
              </w:rPr>
            </w:pPr>
          </w:p>
        </w:tc>
        <w:tc>
          <w:tcPr>
            <w:tcW w:w="1575" w:type="dxa"/>
            <w:tcBorders>
              <w:top w:val="nil"/>
              <w:left w:val="nil"/>
              <w:bottom w:val="single" w:color="auto" w:sz="4" w:space="0"/>
              <w:right w:val="single" w:color="auto" w:sz="4" w:space="0"/>
            </w:tcBorders>
            <w:shd w:val="clear" w:color="auto" w:fill="FFFFFF"/>
            <w:vAlign w:val="center"/>
          </w:tcPr>
          <w:p>
            <w:pPr>
              <w:widowControl/>
              <w:spacing w:line="380" w:lineRule="exact"/>
              <w:jc w:val="right"/>
              <w:rPr>
                <w:rFonts w:ascii="宋体" w:hAnsi="宋体" w:cs="Tahoma"/>
                <w:kern w:val="0"/>
                <w:highlight w:val="none"/>
              </w:rPr>
            </w:pPr>
          </w:p>
        </w:tc>
        <w:tc>
          <w:tcPr>
            <w:tcW w:w="1950" w:type="dxa"/>
            <w:tcBorders>
              <w:top w:val="nil"/>
              <w:left w:val="nil"/>
              <w:bottom w:val="single" w:color="auto" w:sz="4" w:space="0"/>
              <w:right w:val="single" w:color="auto" w:sz="4" w:space="0"/>
            </w:tcBorders>
            <w:shd w:val="clear" w:color="auto" w:fill="FFFFFF"/>
          </w:tcPr>
          <w:p>
            <w:pPr>
              <w:spacing w:line="380" w:lineRule="exact"/>
              <w:jc w:val="left"/>
              <w:rPr>
                <w:rFonts w:ascii="宋体" w:hAnsi="宋体"/>
                <w:highlight w:val="none"/>
              </w:rPr>
            </w:pPr>
          </w:p>
        </w:tc>
        <w:tc>
          <w:tcPr>
            <w:tcW w:w="1827" w:type="dxa"/>
            <w:tcBorders>
              <w:top w:val="nil"/>
              <w:left w:val="nil"/>
              <w:bottom w:val="single" w:color="auto" w:sz="4" w:space="0"/>
              <w:right w:val="single" w:color="auto" w:sz="4" w:space="0"/>
            </w:tcBorders>
            <w:shd w:val="clear" w:color="auto" w:fill="FFFFFF"/>
          </w:tcPr>
          <w:p>
            <w:pPr>
              <w:spacing w:line="380" w:lineRule="exact"/>
              <w:jc w:val="left"/>
              <w:rPr>
                <w:rFonts w:ascii="宋体" w:hAnsi="宋体"/>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80" w:lineRule="exact"/>
              <w:jc w:val="center"/>
              <w:rPr>
                <w:rFonts w:ascii="宋体" w:hAnsi="宋体" w:cs="Tahoma"/>
                <w:kern w:val="0"/>
                <w:highlight w:val="none"/>
              </w:rPr>
            </w:pPr>
          </w:p>
        </w:tc>
        <w:tc>
          <w:tcPr>
            <w:tcW w:w="243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ascii="宋体" w:hAnsi="宋体" w:cs="Tahoma"/>
                <w:kern w:val="0"/>
                <w:highlight w:val="none"/>
              </w:rPr>
            </w:pPr>
          </w:p>
        </w:tc>
        <w:tc>
          <w:tcPr>
            <w:tcW w:w="1575" w:type="dxa"/>
            <w:tcBorders>
              <w:top w:val="nil"/>
              <w:left w:val="nil"/>
              <w:bottom w:val="single" w:color="auto" w:sz="4" w:space="0"/>
              <w:right w:val="single" w:color="auto" w:sz="4" w:space="0"/>
            </w:tcBorders>
            <w:shd w:val="clear" w:color="auto" w:fill="FFFFFF"/>
            <w:vAlign w:val="center"/>
          </w:tcPr>
          <w:p>
            <w:pPr>
              <w:widowControl/>
              <w:spacing w:line="380" w:lineRule="exact"/>
              <w:jc w:val="right"/>
              <w:rPr>
                <w:rFonts w:ascii="宋体" w:hAnsi="宋体" w:cs="Tahoma"/>
                <w:kern w:val="0"/>
                <w:highlight w:val="none"/>
              </w:rPr>
            </w:pPr>
          </w:p>
        </w:tc>
        <w:tc>
          <w:tcPr>
            <w:tcW w:w="1950" w:type="dxa"/>
            <w:tcBorders>
              <w:top w:val="nil"/>
              <w:left w:val="nil"/>
              <w:bottom w:val="single" w:color="auto" w:sz="4" w:space="0"/>
              <w:right w:val="single" w:color="auto" w:sz="4" w:space="0"/>
            </w:tcBorders>
            <w:shd w:val="clear" w:color="auto" w:fill="FFFFFF"/>
          </w:tcPr>
          <w:p>
            <w:pPr>
              <w:spacing w:line="380" w:lineRule="exact"/>
              <w:jc w:val="left"/>
              <w:rPr>
                <w:rFonts w:ascii="宋体" w:hAnsi="宋体" w:cs="Tahoma"/>
                <w:kern w:val="0"/>
                <w:highlight w:val="none"/>
              </w:rPr>
            </w:pPr>
          </w:p>
        </w:tc>
        <w:tc>
          <w:tcPr>
            <w:tcW w:w="1827" w:type="dxa"/>
            <w:tcBorders>
              <w:top w:val="nil"/>
              <w:left w:val="nil"/>
              <w:bottom w:val="single" w:color="auto" w:sz="4" w:space="0"/>
              <w:right w:val="single" w:color="auto" w:sz="4" w:space="0"/>
            </w:tcBorders>
            <w:shd w:val="clear" w:color="auto" w:fill="FFFFFF"/>
          </w:tcPr>
          <w:p>
            <w:pPr>
              <w:spacing w:line="380" w:lineRule="exact"/>
              <w:jc w:val="left"/>
              <w:rPr>
                <w:rFonts w:ascii="宋体" w:hAnsi="宋体"/>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宋体" w:hAnsi="宋体" w:cs="Tahoma"/>
                <w:kern w:val="0"/>
                <w:highlight w:val="none"/>
              </w:rPr>
            </w:pPr>
          </w:p>
        </w:tc>
        <w:tc>
          <w:tcPr>
            <w:tcW w:w="2430" w:type="dxa"/>
            <w:tcBorders>
              <w:top w:val="single" w:color="000000" w:sz="4" w:space="0"/>
              <w:left w:val="nil"/>
              <w:bottom w:val="single" w:color="000000" w:sz="4" w:space="0"/>
              <w:right w:val="single" w:color="000000" w:sz="4" w:space="0"/>
            </w:tcBorders>
            <w:shd w:val="clear" w:color="auto" w:fill="auto"/>
            <w:vAlign w:val="center"/>
          </w:tcPr>
          <w:p>
            <w:pPr>
              <w:widowControl/>
              <w:spacing w:line="380" w:lineRule="exact"/>
              <w:jc w:val="left"/>
              <w:rPr>
                <w:rFonts w:ascii="宋体" w:hAnsi="宋体" w:cs="Tahoma"/>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widowControl/>
              <w:spacing w:line="380" w:lineRule="exact"/>
              <w:jc w:val="right"/>
              <w:rPr>
                <w:rFonts w:ascii="宋体" w:hAnsi="宋体" w:cs="Tahoma"/>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widowControl/>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widowControl/>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auto"/>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auto"/>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auto"/>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auto"/>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vAlign w:val="center"/>
          </w:tcPr>
          <w:p>
            <w:pPr>
              <w:widowControl/>
              <w:spacing w:line="380" w:lineRule="exact"/>
              <w:jc w:val="center"/>
              <w:rPr>
                <w:rFonts w:ascii="宋体" w:hAnsi="宋体"/>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vAlign w:val="center"/>
          </w:tcPr>
          <w:p>
            <w:pPr>
              <w:widowControl/>
              <w:spacing w:line="380" w:lineRule="exact"/>
              <w:rPr>
                <w:rFonts w:ascii="宋体" w:hAnsi="宋体"/>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3177" w:type="dxa"/>
            <w:gridSpan w:val="2"/>
            <w:tcBorders>
              <w:top w:val="nil"/>
              <w:left w:val="single" w:color="000000" w:sz="4" w:space="0"/>
              <w:bottom w:val="single" w:color="auto" w:sz="4" w:space="0"/>
              <w:right w:val="single" w:color="000000" w:sz="4" w:space="0"/>
            </w:tcBorders>
            <w:shd w:val="clear" w:color="auto" w:fill="FFFFFF"/>
            <w:vAlign w:val="center"/>
          </w:tcPr>
          <w:p>
            <w:pPr>
              <w:widowControl/>
              <w:spacing w:line="380" w:lineRule="exact"/>
              <w:jc w:val="center"/>
              <w:rPr>
                <w:rFonts w:ascii="宋体" w:hAnsi="宋体"/>
                <w:kern w:val="0"/>
                <w:highlight w:val="none"/>
              </w:rPr>
            </w:pPr>
            <w:r>
              <w:rPr>
                <w:rFonts w:hint="eastAsia" w:ascii="宋体" w:hAnsi="宋体"/>
                <w:kern w:val="0"/>
                <w:highlight w:val="none"/>
              </w:rPr>
              <w:t>合计</w:t>
            </w:r>
          </w:p>
        </w:tc>
        <w:tc>
          <w:tcPr>
            <w:tcW w:w="1575"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jc w:val="right"/>
              <w:rPr>
                <w:rFonts w:ascii="宋体" w:hAnsi="宋体" w:cs="Tahoma"/>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c>
          <w:tcPr>
            <w:tcW w:w="1827" w:type="dxa"/>
            <w:tcBorders>
              <w:top w:val="single" w:color="000000" w:sz="4" w:space="0"/>
              <w:left w:val="nil"/>
              <w:bottom w:val="single" w:color="000000" w:sz="4" w:space="0"/>
              <w:right w:val="single" w:color="000000" w:sz="4" w:space="0"/>
            </w:tcBorders>
            <w:shd w:val="clear" w:color="auto" w:fill="FFFFFF"/>
            <w:vAlign w:val="center"/>
          </w:tcPr>
          <w:p>
            <w:pPr>
              <w:spacing w:line="380" w:lineRule="exact"/>
              <w:rPr>
                <w:rFonts w:ascii="宋体" w:hAnsi="宋体" w:cs="Tahoma"/>
                <w:kern w:val="0"/>
                <w:highlight w:val="none"/>
              </w:rPr>
            </w:pPr>
          </w:p>
        </w:tc>
      </w:tr>
      <w:tr>
        <w:tblPrEx>
          <w:tblLayout w:type="fixed"/>
          <w:tblCellMar>
            <w:top w:w="0" w:type="dxa"/>
            <w:left w:w="108" w:type="dxa"/>
            <w:bottom w:w="0" w:type="dxa"/>
            <w:right w:w="108" w:type="dxa"/>
          </w:tblCellMar>
        </w:tblPrEx>
        <w:trPr>
          <w:trHeight w:val="454" w:hRule="atLeast"/>
          <w:jc w:val="center"/>
        </w:trPr>
        <w:tc>
          <w:tcPr>
            <w:tcW w:w="8529" w:type="dxa"/>
            <w:gridSpan w:val="5"/>
            <w:tcBorders>
              <w:top w:val="single" w:color="auto" w:sz="4" w:space="0"/>
              <w:left w:val="single" w:color="000000" w:sz="4" w:space="0"/>
              <w:bottom w:val="single" w:color="auto" w:sz="4" w:space="0"/>
              <w:right w:val="single" w:color="000000" w:sz="4" w:space="0"/>
            </w:tcBorders>
            <w:shd w:val="clear" w:color="auto" w:fill="FFFFFF"/>
            <w:vAlign w:val="center"/>
          </w:tcPr>
          <w:p>
            <w:pPr>
              <w:spacing w:line="380" w:lineRule="exact"/>
              <w:rPr>
                <w:rFonts w:ascii="宋体" w:hAnsi="宋体" w:cs="Tahoma"/>
                <w:kern w:val="0"/>
                <w:highlight w:val="none"/>
              </w:rPr>
            </w:pPr>
            <w:r>
              <w:rPr>
                <w:rFonts w:hint="eastAsia" w:asciiTheme="minorEastAsia" w:hAnsiTheme="minorEastAsia" w:eastAsiaTheme="minorEastAsia"/>
                <w:szCs w:val="21"/>
                <w:highlight w:val="none"/>
              </w:rPr>
              <w:t>三年投标总价</w:t>
            </w:r>
            <w:r>
              <w:rPr>
                <w:rFonts w:hint="eastAsia" w:ascii="宋体" w:hAnsi="宋体"/>
                <w:highlight w:val="none"/>
              </w:rPr>
              <w:t xml:space="preserve">金额大写：                                  </w:t>
            </w:r>
          </w:p>
        </w:tc>
      </w:tr>
    </w:tbl>
    <w:p>
      <w:pPr>
        <w:pStyle w:val="2"/>
        <w:spacing w:after="0" w:line="400" w:lineRule="exact"/>
        <w:ind w:firstLine="420" w:firstLineChars="200"/>
        <w:rPr>
          <w:rFonts w:asciiTheme="minorEastAsia" w:hAnsiTheme="minorEastAsia" w:eastAsiaTheme="minorEastAsia"/>
          <w:szCs w:val="21"/>
          <w:highlight w:val="none"/>
        </w:rPr>
      </w:pPr>
    </w:p>
    <w:p>
      <w:pPr>
        <w:pStyle w:val="2"/>
        <w:spacing w:after="0" w:line="400" w:lineRule="exact"/>
        <w:ind w:firstLine="420" w:firstLineChars="200"/>
        <w:rPr>
          <w:rFonts w:asciiTheme="minorEastAsia" w:hAnsiTheme="minorEastAsia" w:eastAsiaTheme="minorEastAsia"/>
          <w:szCs w:val="21"/>
          <w:highlight w:val="none"/>
        </w:rPr>
      </w:pPr>
    </w:p>
    <w:p>
      <w:pPr>
        <w:pStyle w:val="2"/>
        <w:spacing w:after="0" w:line="400" w:lineRule="exact"/>
        <w:ind w:firstLine="420" w:firstLineChars="200"/>
        <w:rPr>
          <w:rFonts w:asciiTheme="minorEastAsia" w:hAnsiTheme="minorEastAsia" w:eastAsiaTheme="minorEastAsia"/>
          <w:szCs w:val="21"/>
          <w:highlight w:val="none"/>
        </w:rPr>
      </w:pPr>
    </w:p>
    <w:p>
      <w:pPr>
        <w:pStyle w:val="2"/>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投标人（盖章）：</w:t>
      </w:r>
    </w:p>
    <w:p>
      <w:pPr>
        <w:pStyle w:val="2"/>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法定代表人／负责人或授权代表（签字</w:t>
      </w:r>
      <w:r>
        <w:rPr>
          <w:rFonts w:hint="eastAsia" w:ascii="宋体" w:hAnsi="宋体"/>
          <w:szCs w:val="21"/>
          <w:highlight w:val="none"/>
        </w:rPr>
        <w:t>或盖章</w:t>
      </w:r>
      <w:r>
        <w:rPr>
          <w:rFonts w:hint="eastAsia" w:asciiTheme="minorEastAsia" w:hAnsiTheme="minorEastAsia" w:eastAsiaTheme="minorEastAsia"/>
          <w:szCs w:val="21"/>
          <w:highlight w:val="none"/>
        </w:rPr>
        <w:t>）：</w:t>
      </w:r>
    </w:p>
    <w:p>
      <w:pPr>
        <w:spacing w:line="40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p>
      <w:pPr>
        <w:pStyle w:val="8"/>
        <w:rPr>
          <w:highlight w:val="none"/>
        </w:rPr>
      </w:pPr>
    </w:p>
    <w:p>
      <w:pPr>
        <w:pStyle w:val="8"/>
        <w:rPr>
          <w:highlight w:val="none"/>
        </w:rPr>
      </w:pPr>
    </w:p>
    <w:p>
      <w:pPr>
        <w:pStyle w:val="9"/>
        <w:rPr>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物业管理</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物业管理</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3"/>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2"/>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2"/>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6"/>
        <w:snapToGrid w:val="0"/>
        <w:spacing w:line="400" w:lineRule="exact"/>
        <w:ind w:firstLineChars="200"/>
        <w:rPr>
          <w:rFonts w:ascii="宋体" w:hAnsi="宋体"/>
          <w:bCs/>
          <w:szCs w:val="21"/>
          <w:highlight w:val="none"/>
        </w:rPr>
      </w:pPr>
    </w:p>
    <w:p>
      <w:pPr>
        <w:pStyle w:val="6"/>
        <w:snapToGrid w:val="0"/>
        <w:spacing w:line="400" w:lineRule="exact"/>
        <w:ind w:firstLineChars="200"/>
        <w:rPr>
          <w:rFonts w:ascii="宋体" w:hAnsi="宋体"/>
          <w:bCs/>
          <w:szCs w:val="21"/>
          <w:highlight w:val="none"/>
        </w:rPr>
      </w:pPr>
    </w:p>
    <w:p>
      <w:pPr>
        <w:pStyle w:val="6"/>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6"/>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rFonts w:ascii="宋体" w:hAnsi="宋体"/>
          <w:szCs w:val="21"/>
          <w:highlight w:val="none"/>
        </w:rPr>
      </w:pPr>
    </w:p>
    <w:p>
      <w:pPr>
        <w:pStyle w:val="8"/>
        <w:rPr>
          <w:highlight w:val="none"/>
        </w:rPr>
      </w:pPr>
    </w:p>
    <w:sectPr>
      <w:footerReference r:id="rId7" w:type="first"/>
      <w:headerReference r:id="rId5" w:type="default"/>
      <w:footerReference r:id="rId6"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zCEKwBAABNAwAADgAAAGRycy9lMm9Eb2MueG1srVPNjtMwEL4j8Q6W&#10;7zTZIq2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S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ExzCEKwBAABNAwAA&#10;DgAAAAAAAAABACAAAAAeAQAAZHJzL2Uyb0RvYy54bWxQSwUGAAAAAAYABgBZAQAAPAU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9ZgKwBAABNAwAADgAAAGRycy9lMm9Eb2MueG1srVNLjtQwEN0jcQfL&#10;ezqZF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a6lq8588LRiM7fvp6//zz/+MJeZnmGgA1V3QeqS+NrGGnMSxwpmFmPOrr8JT6M&#10;8iT06SKuGhOT+dJmvdnUlJKUWxzCrx6vh4jpjQLHstHySNMroorjO0xT6VKSX/NwZ6wtE7T+jwBh&#10;ThFVVmC+nZlMHWcrjftxpreH7kTsBlqDlnvaU87sW08q541ZjLgY+9nIL2K4eUjURukuo05QxCo7&#10;NLPCb96vvBS/+6Xq8S/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Y69ZgKwBAABNAwAA&#10;DgAAAAAAAAABACAAAAAeAQAAZHJzL2Uyb0RvYy54bWxQSwUGAAAAAAYABgBZAQAAP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6TbasBAABNAwAADgAAAGRycy9lMm9Eb2MueG1srVPNjtMwEL4j8Q6W&#10;7zTZHqoqaroCrRYhIUBaeADXsRtLtsfyeJv0BeANOHHhznP1ORg7SZefG+LizJ8/z/fNZHc7OstO&#10;KqIB3/KbVc2Z8hI6448t//Tx/sWWM0zCd8KCVy0/K+S3++fPdkNo1Bp6sJ2KjEA8NkNoeZ9SaKoK&#10;Za+cwBUE5SmpITqRyI3HqotiIHRnq3Vdb6oBYhciSIVI0bspyfcFX2sl03utUSVmW069pXLGch7y&#10;We13ojlGEXoj5zbEP3ThhPH06BXqTiTBHqP5C8oZGQFBp5UEV4HWRqrCgdjc1H+weehFUIULiYPh&#10;KhP+P1j57vQhMtO1fMOZF45GdPn65fLtx+X7Z7bJ8gwBG6p6CFSXxlcw0piXOFIwsx51dPlLfBjl&#10;SejzVVw1Jibzpe16u60pJSm3OIRfPV0PEdNrBY5lo+WRpldEFae3mKbSpSS/5uHeWFsmaP1vAcKc&#10;IqqswHw7M5k6zlYaD+NM7wDdmdgNtAYt97SnnNk3nlTOG7MYcTEOs5FfxPDyMVEbpbuMOkERq+zQ&#10;zAq/eb/yUvzql6qnv2D/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SrpNtqwEAAE0DAAAO&#10;AAAAAAAAAAEAIAAAAB4BAABkcnMvZTJvRG9jLnhtbFBLBQYAAAAABgAGAFkBAAA7BQ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0I/awBAABNAwAADgAAAGRycy9lMm9Eb2MueG1srVNLjtQwEN0jcQfL&#10;ezqZFoJW1OkRaDQICQHSMAdwO3bHku2yXJ5O+gJwA1Zs2HOuPgdlJ+nhs0NsnPr5ud6ryvZ6dJYd&#10;VUQDvuVXq5oz5SV0xh9afv/p9tmGM0zCd8KCVy0/KeTXu6dPtkNo1Bp6sJ2KjEA8NkNoeZ9SaKoK&#10;Za+cwBUE5SmpITqRyI2HqotiIHRnq3Vdv6gGiF2IIBUiRW+mJN8VfK2VTB+0RpWYbTn1lsoZy7nP&#10;Z7XbiuYQReiNnNsQ/9CFE8bToxeoG5EEe4jmLyhnZAQEnVYSXAVaG6kKB2JzVf/B5q4XQRUuJA6G&#10;i0z4/2Dl++PHyEzX8peceeFoROevX87ffpy/f2bPszxDwIaq7gLVpfE1jDTmJY4UzKxHHV3+Eh9G&#10;eRL6dBFXjYnJfGmz3mxqSknKLQ7hV4/XQ8T0RoFj2Wh5pOkVUcXxHaapdCnJr3m4NdaWCVr/W4Aw&#10;p4gqKzDfzkymjrOVxv0409tDdyJ2A61Byz3tKWf2rSeV88YsRlyM/WzkFzG8ekjURukuo05QxCo7&#10;NLPCb96vvBS/+qXq8S/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Yh0I/awBAABNAwAA&#10;DgAAAAAAAAABACAAAAAeAQAAZHJzL2Uyb0RvYy54bWxQSwUGAAAAAAYABgBZAQAAPA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5"/>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02FC0"/>
    <w:multiLevelType w:val="multilevel"/>
    <w:tmpl w:val="8F202FC0"/>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91CFB925"/>
    <w:multiLevelType w:val="singleLevel"/>
    <w:tmpl w:val="91CFB925"/>
    <w:lvl w:ilvl="0" w:tentative="0">
      <w:start w:val="1"/>
      <w:numFmt w:val="decimal"/>
      <w:lvlText w:val="(%1)"/>
      <w:lvlJc w:val="left"/>
      <w:pPr>
        <w:ind w:left="425" w:hanging="425"/>
      </w:pPr>
      <w:rPr>
        <w:rFonts w:hint="default"/>
      </w:rPr>
    </w:lvl>
  </w:abstractNum>
  <w:abstractNum w:abstractNumId="2">
    <w:nsid w:val="91E06793"/>
    <w:multiLevelType w:val="singleLevel"/>
    <w:tmpl w:val="91E06793"/>
    <w:lvl w:ilvl="0" w:tentative="0">
      <w:start w:val="1"/>
      <w:numFmt w:val="decimal"/>
      <w:lvlText w:val="%1."/>
      <w:lvlJc w:val="left"/>
      <w:pPr>
        <w:ind w:left="425" w:hanging="425"/>
      </w:pPr>
      <w:rPr>
        <w:rFonts w:hint="default"/>
      </w:rPr>
    </w:lvl>
  </w:abstractNum>
  <w:abstractNum w:abstractNumId="3">
    <w:nsid w:val="920C15B5"/>
    <w:multiLevelType w:val="singleLevel"/>
    <w:tmpl w:val="920C15B5"/>
    <w:lvl w:ilvl="0" w:tentative="0">
      <w:start w:val="1"/>
      <w:numFmt w:val="decimal"/>
      <w:lvlText w:val="%1."/>
      <w:lvlJc w:val="left"/>
      <w:pPr>
        <w:ind w:left="425" w:hanging="425"/>
      </w:pPr>
      <w:rPr>
        <w:rFonts w:hint="default"/>
      </w:rPr>
    </w:lvl>
  </w:abstractNum>
  <w:abstractNum w:abstractNumId="4">
    <w:nsid w:val="990D007C"/>
    <w:multiLevelType w:val="singleLevel"/>
    <w:tmpl w:val="990D007C"/>
    <w:lvl w:ilvl="0" w:tentative="0">
      <w:start w:val="1"/>
      <w:numFmt w:val="decimal"/>
      <w:lvlText w:val="%1."/>
      <w:lvlJc w:val="left"/>
      <w:pPr>
        <w:ind w:left="425" w:hanging="425"/>
      </w:pPr>
      <w:rPr>
        <w:rFonts w:hint="default"/>
      </w:rPr>
    </w:lvl>
  </w:abstractNum>
  <w:abstractNum w:abstractNumId="5">
    <w:nsid w:val="99770426"/>
    <w:multiLevelType w:val="singleLevel"/>
    <w:tmpl w:val="99770426"/>
    <w:lvl w:ilvl="0" w:tentative="0">
      <w:start w:val="1"/>
      <w:numFmt w:val="decimal"/>
      <w:lvlText w:val="(%1)"/>
      <w:lvlJc w:val="left"/>
      <w:pPr>
        <w:ind w:left="425" w:hanging="425"/>
      </w:pPr>
      <w:rPr>
        <w:rFonts w:hint="default"/>
      </w:rPr>
    </w:lvl>
  </w:abstractNum>
  <w:abstractNum w:abstractNumId="6">
    <w:nsid w:val="9EC610CB"/>
    <w:multiLevelType w:val="singleLevel"/>
    <w:tmpl w:val="9EC610CB"/>
    <w:lvl w:ilvl="0" w:tentative="0">
      <w:start w:val="3"/>
      <w:numFmt w:val="chineseCounting"/>
      <w:suff w:val="nothing"/>
      <w:lvlText w:val="%1、"/>
      <w:lvlJc w:val="left"/>
      <w:rPr>
        <w:rFonts w:hint="eastAsia"/>
      </w:rPr>
    </w:lvl>
  </w:abstractNum>
  <w:abstractNum w:abstractNumId="7">
    <w:nsid w:val="A5E742D5"/>
    <w:multiLevelType w:val="singleLevel"/>
    <w:tmpl w:val="A5E742D5"/>
    <w:lvl w:ilvl="0" w:tentative="0">
      <w:start w:val="1"/>
      <w:numFmt w:val="decimal"/>
      <w:lvlText w:val="(%1)"/>
      <w:lvlJc w:val="left"/>
      <w:pPr>
        <w:ind w:left="425" w:hanging="425"/>
      </w:pPr>
      <w:rPr>
        <w:rFonts w:hint="default"/>
      </w:rPr>
    </w:lvl>
  </w:abstractNum>
  <w:abstractNum w:abstractNumId="8">
    <w:nsid w:val="C13F16C9"/>
    <w:multiLevelType w:val="singleLevel"/>
    <w:tmpl w:val="C13F16C9"/>
    <w:lvl w:ilvl="0" w:tentative="0">
      <w:start w:val="1"/>
      <w:numFmt w:val="decimalEnclosedCircleChinese"/>
      <w:suff w:val="nothing"/>
      <w:lvlText w:val="%1　"/>
      <w:lvlJc w:val="left"/>
      <w:pPr>
        <w:ind w:left="0" w:firstLine="400"/>
      </w:pPr>
      <w:rPr>
        <w:rFonts w:hint="eastAsia"/>
      </w:rPr>
    </w:lvl>
  </w:abstractNum>
  <w:abstractNum w:abstractNumId="9">
    <w:nsid w:val="C93A54BF"/>
    <w:multiLevelType w:val="singleLevel"/>
    <w:tmpl w:val="C93A54BF"/>
    <w:lvl w:ilvl="0" w:tentative="0">
      <w:start w:val="1"/>
      <w:numFmt w:val="decimalEnclosedCircleChinese"/>
      <w:suff w:val="nothing"/>
      <w:lvlText w:val="%1　"/>
      <w:lvlJc w:val="left"/>
      <w:pPr>
        <w:ind w:left="0" w:firstLine="400"/>
      </w:pPr>
      <w:rPr>
        <w:rFonts w:hint="eastAsia"/>
      </w:rPr>
    </w:lvl>
  </w:abstractNum>
  <w:abstractNum w:abstractNumId="10">
    <w:nsid w:val="D81E8A01"/>
    <w:multiLevelType w:val="singleLevel"/>
    <w:tmpl w:val="D81E8A01"/>
    <w:lvl w:ilvl="0" w:tentative="0">
      <w:start w:val="1"/>
      <w:numFmt w:val="decimal"/>
      <w:lvlText w:val="(%1)"/>
      <w:lvlJc w:val="left"/>
      <w:pPr>
        <w:ind w:left="425" w:hanging="425"/>
      </w:pPr>
      <w:rPr>
        <w:rFonts w:hint="default"/>
      </w:rPr>
    </w:lvl>
  </w:abstractNum>
  <w:abstractNum w:abstractNumId="11">
    <w:nsid w:val="DCCDC9E0"/>
    <w:multiLevelType w:val="singleLevel"/>
    <w:tmpl w:val="DCCDC9E0"/>
    <w:lvl w:ilvl="0" w:tentative="0">
      <w:start w:val="1"/>
      <w:numFmt w:val="decimal"/>
      <w:lvlText w:val="(%1)"/>
      <w:lvlJc w:val="left"/>
      <w:pPr>
        <w:ind w:left="425" w:hanging="425"/>
      </w:pPr>
      <w:rPr>
        <w:rFonts w:hint="default"/>
      </w:rPr>
    </w:lvl>
  </w:abstractNum>
  <w:abstractNum w:abstractNumId="12">
    <w:nsid w:val="E252DC38"/>
    <w:multiLevelType w:val="singleLevel"/>
    <w:tmpl w:val="E252DC38"/>
    <w:lvl w:ilvl="0" w:tentative="0">
      <w:start w:val="1"/>
      <w:numFmt w:val="decimal"/>
      <w:lvlText w:val="(%1)"/>
      <w:lvlJc w:val="left"/>
      <w:pPr>
        <w:ind w:left="425" w:hanging="425"/>
      </w:pPr>
      <w:rPr>
        <w:rFonts w:hint="default"/>
      </w:rPr>
    </w:lvl>
  </w:abstractNum>
  <w:abstractNum w:abstractNumId="13">
    <w:nsid w:val="E5F5559B"/>
    <w:multiLevelType w:val="singleLevel"/>
    <w:tmpl w:val="E5F5559B"/>
    <w:lvl w:ilvl="0" w:tentative="0">
      <w:start w:val="1"/>
      <w:numFmt w:val="decimalEnclosedCircleChinese"/>
      <w:suff w:val="nothing"/>
      <w:lvlText w:val="%1　"/>
      <w:lvlJc w:val="left"/>
      <w:pPr>
        <w:ind w:left="0" w:firstLine="400"/>
      </w:pPr>
      <w:rPr>
        <w:rFonts w:hint="eastAsia"/>
      </w:rPr>
    </w:lvl>
  </w:abstractNum>
  <w:abstractNum w:abstractNumId="14">
    <w:nsid w:val="E6F2C3B3"/>
    <w:multiLevelType w:val="singleLevel"/>
    <w:tmpl w:val="E6F2C3B3"/>
    <w:lvl w:ilvl="0" w:tentative="0">
      <w:start w:val="1"/>
      <w:numFmt w:val="decimal"/>
      <w:lvlText w:val="%1."/>
      <w:lvlJc w:val="left"/>
      <w:pPr>
        <w:ind w:left="425" w:hanging="425"/>
      </w:pPr>
      <w:rPr>
        <w:rFonts w:hint="default"/>
      </w:rPr>
    </w:lvl>
  </w:abstractNum>
  <w:abstractNum w:abstractNumId="15">
    <w:nsid w:val="EA54542B"/>
    <w:multiLevelType w:val="multilevel"/>
    <w:tmpl w:val="EA54542B"/>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6">
    <w:nsid w:val="EAC9765E"/>
    <w:multiLevelType w:val="singleLevel"/>
    <w:tmpl w:val="EAC9765E"/>
    <w:lvl w:ilvl="0" w:tentative="0">
      <w:start w:val="1"/>
      <w:numFmt w:val="decimal"/>
      <w:lvlText w:val="%1."/>
      <w:lvlJc w:val="left"/>
      <w:pPr>
        <w:ind w:left="425" w:hanging="425"/>
      </w:pPr>
      <w:rPr>
        <w:rFonts w:hint="default"/>
      </w:rPr>
    </w:lvl>
  </w:abstractNum>
  <w:abstractNum w:abstractNumId="17">
    <w:nsid w:val="F1455FCF"/>
    <w:multiLevelType w:val="singleLevel"/>
    <w:tmpl w:val="F1455FCF"/>
    <w:lvl w:ilvl="0" w:tentative="0">
      <w:start w:val="1"/>
      <w:numFmt w:val="decimal"/>
      <w:lvlText w:val="(%1)"/>
      <w:lvlJc w:val="left"/>
      <w:pPr>
        <w:ind w:left="425" w:hanging="425"/>
      </w:pPr>
      <w:rPr>
        <w:rFonts w:hint="default"/>
      </w:rPr>
    </w:lvl>
  </w:abstractNum>
  <w:abstractNum w:abstractNumId="18">
    <w:nsid w:val="F318E310"/>
    <w:multiLevelType w:val="singleLevel"/>
    <w:tmpl w:val="F318E310"/>
    <w:lvl w:ilvl="0" w:tentative="0">
      <w:start w:val="1"/>
      <w:numFmt w:val="decimal"/>
      <w:lvlText w:val="%1."/>
      <w:lvlJc w:val="left"/>
      <w:pPr>
        <w:ind w:left="425" w:hanging="425"/>
      </w:pPr>
      <w:rPr>
        <w:rFonts w:hint="default"/>
      </w:rPr>
    </w:lvl>
  </w:abstractNum>
  <w:abstractNum w:abstractNumId="19">
    <w:nsid w:val="012FE1B2"/>
    <w:multiLevelType w:val="singleLevel"/>
    <w:tmpl w:val="012FE1B2"/>
    <w:lvl w:ilvl="0" w:tentative="0">
      <w:start w:val="1"/>
      <w:numFmt w:val="decimal"/>
      <w:lvlText w:val="(%1)"/>
      <w:lvlJc w:val="left"/>
      <w:pPr>
        <w:ind w:left="425" w:hanging="425"/>
      </w:pPr>
      <w:rPr>
        <w:rFonts w:hint="default"/>
      </w:rPr>
    </w:lvl>
  </w:abstractNum>
  <w:abstractNum w:abstractNumId="20">
    <w:nsid w:val="020B6429"/>
    <w:multiLevelType w:val="singleLevel"/>
    <w:tmpl w:val="020B6429"/>
    <w:lvl w:ilvl="0" w:tentative="0">
      <w:start w:val="1"/>
      <w:numFmt w:val="decimal"/>
      <w:lvlText w:val="(%1)"/>
      <w:lvlJc w:val="left"/>
      <w:pPr>
        <w:ind w:left="425" w:hanging="425"/>
      </w:pPr>
      <w:rPr>
        <w:rFonts w:hint="default"/>
      </w:rPr>
    </w:lvl>
  </w:abstractNum>
  <w:abstractNum w:abstractNumId="21">
    <w:nsid w:val="131FF586"/>
    <w:multiLevelType w:val="singleLevel"/>
    <w:tmpl w:val="131FF586"/>
    <w:lvl w:ilvl="0" w:tentative="0">
      <w:start w:val="1"/>
      <w:numFmt w:val="chineseCounting"/>
      <w:suff w:val="nothing"/>
      <w:lvlText w:val="%1、"/>
      <w:lvlJc w:val="left"/>
      <w:pPr>
        <w:ind w:left="0" w:firstLine="420"/>
      </w:pPr>
      <w:rPr>
        <w:rFonts w:hint="eastAsia"/>
      </w:rPr>
    </w:lvl>
  </w:abstractNum>
  <w:abstractNum w:abstractNumId="22">
    <w:nsid w:val="183009C3"/>
    <w:multiLevelType w:val="singleLevel"/>
    <w:tmpl w:val="183009C3"/>
    <w:lvl w:ilvl="0" w:tentative="0">
      <w:start w:val="1"/>
      <w:numFmt w:val="decimal"/>
      <w:lvlText w:val="(%1)"/>
      <w:lvlJc w:val="left"/>
      <w:pPr>
        <w:ind w:left="425" w:hanging="425"/>
      </w:pPr>
      <w:rPr>
        <w:rFonts w:hint="default"/>
      </w:rPr>
    </w:lvl>
  </w:abstractNum>
  <w:abstractNum w:abstractNumId="23">
    <w:nsid w:val="1A67EAEE"/>
    <w:multiLevelType w:val="singleLevel"/>
    <w:tmpl w:val="1A67EAEE"/>
    <w:lvl w:ilvl="0" w:tentative="0">
      <w:start w:val="1"/>
      <w:numFmt w:val="decimal"/>
      <w:lvlText w:val="(%1)"/>
      <w:lvlJc w:val="left"/>
      <w:pPr>
        <w:ind w:left="425" w:hanging="425"/>
      </w:pPr>
      <w:rPr>
        <w:rFonts w:hint="default"/>
      </w:rPr>
    </w:lvl>
  </w:abstractNum>
  <w:abstractNum w:abstractNumId="24">
    <w:nsid w:val="1DD3D5A5"/>
    <w:multiLevelType w:val="singleLevel"/>
    <w:tmpl w:val="1DD3D5A5"/>
    <w:lvl w:ilvl="0" w:tentative="0">
      <w:start w:val="1"/>
      <w:numFmt w:val="decimal"/>
      <w:lvlText w:val="(%1)"/>
      <w:lvlJc w:val="left"/>
      <w:pPr>
        <w:ind w:left="425" w:hanging="425"/>
      </w:pPr>
      <w:rPr>
        <w:rFonts w:hint="default"/>
        <w:b/>
        <w:bCs/>
      </w:rPr>
    </w:lvl>
  </w:abstractNum>
  <w:abstractNum w:abstractNumId="25">
    <w:nsid w:val="304FA956"/>
    <w:multiLevelType w:val="singleLevel"/>
    <w:tmpl w:val="304FA956"/>
    <w:lvl w:ilvl="0" w:tentative="0">
      <w:start w:val="1"/>
      <w:numFmt w:val="chineseCounting"/>
      <w:suff w:val="nothing"/>
      <w:lvlText w:val="（%1）"/>
      <w:lvlJc w:val="left"/>
      <w:pPr>
        <w:ind w:left="0" w:firstLine="420"/>
      </w:pPr>
      <w:rPr>
        <w:rFonts w:hint="eastAsia"/>
      </w:rPr>
    </w:lvl>
  </w:abstractNum>
  <w:abstractNum w:abstractNumId="26">
    <w:nsid w:val="3C8CBEED"/>
    <w:multiLevelType w:val="singleLevel"/>
    <w:tmpl w:val="3C8CBEED"/>
    <w:lvl w:ilvl="0" w:tentative="0">
      <w:start w:val="5"/>
      <w:numFmt w:val="chineseCounting"/>
      <w:suff w:val="nothing"/>
      <w:lvlText w:val="%1、"/>
      <w:lvlJc w:val="left"/>
      <w:rPr>
        <w:rFonts w:hint="eastAsia"/>
      </w:rPr>
    </w:lvl>
  </w:abstractNum>
  <w:abstractNum w:abstractNumId="27">
    <w:nsid w:val="4D039CE1"/>
    <w:multiLevelType w:val="singleLevel"/>
    <w:tmpl w:val="4D039CE1"/>
    <w:lvl w:ilvl="0" w:tentative="0">
      <w:start w:val="1"/>
      <w:numFmt w:val="decimal"/>
      <w:lvlText w:val="(%1)"/>
      <w:lvlJc w:val="left"/>
      <w:pPr>
        <w:ind w:left="425" w:hanging="425"/>
      </w:pPr>
      <w:rPr>
        <w:rFonts w:hint="default"/>
      </w:rPr>
    </w:lvl>
  </w:abstractNum>
  <w:abstractNum w:abstractNumId="28">
    <w:nsid w:val="55753A5D"/>
    <w:multiLevelType w:val="singleLevel"/>
    <w:tmpl w:val="55753A5D"/>
    <w:lvl w:ilvl="0" w:tentative="0">
      <w:start w:val="2"/>
      <w:numFmt w:val="chineseCounting"/>
      <w:suff w:val="nothing"/>
      <w:lvlText w:val="（%1）"/>
      <w:lvlJc w:val="left"/>
    </w:lvl>
  </w:abstractNum>
  <w:abstractNum w:abstractNumId="29">
    <w:nsid w:val="62BF09AE"/>
    <w:multiLevelType w:val="singleLevel"/>
    <w:tmpl w:val="62BF09AE"/>
    <w:lvl w:ilvl="0" w:tentative="0">
      <w:start w:val="1"/>
      <w:numFmt w:val="decimalEnclosedCircleChinese"/>
      <w:suff w:val="nothing"/>
      <w:lvlText w:val="%1　"/>
      <w:lvlJc w:val="left"/>
      <w:pPr>
        <w:ind w:left="0" w:firstLine="400"/>
      </w:pPr>
      <w:rPr>
        <w:rFonts w:hint="eastAsia"/>
      </w:rPr>
    </w:lvl>
  </w:abstractNum>
  <w:abstractNum w:abstractNumId="30">
    <w:nsid w:val="63621017"/>
    <w:multiLevelType w:val="singleLevel"/>
    <w:tmpl w:val="63621017"/>
    <w:lvl w:ilvl="0" w:tentative="0">
      <w:start w:val="1"/>
      <w:numFmt w:val="chineseCounting"/>
      <w:suff w:val="nothing"/>
      <w:lvlText w:val="（%1）"/>
      <w:lvlJc w:val="left"/>
      <w:pPr>
        <w:ind w:left="0" w:firstLine="420"/>
      </w:pPr>
      <w:rPr>
        <w:rFonts w:hint="eastAsia"/>
      </w:rPr>
    </w:lvl>
  </w:abstractNum>
  <w:abstractNum w:abstractNumId="31">
    <w:nsid w:val="66CFD591"/>
    <w:multiLevelType w:val="singleLevel"/>
    <w:tmpl w:val="66CFD591"/>
    <w:lvl w:ilvl="0" w:tentative="0">
      <w:start w:val="1"/>
      <w:numFmt w:val="decimalEnclosedCircleChinese"/>
      <w:suff w:val="nothing"/>
      <w:lvlText w:val="%1　"/>
      <w:lvlJc w:val="left"/>
      <w:pPr>
        <w:ind w:left="0" w:firstLine="400"/>
      </w:pPr>
      <w:rPr>
        <w:rFonts w:hint="eastAsia"/>
      </w:rPr>
    </w:lvl>
  </w:abstractNum>
  <w:abstractNum w:abstractNumId="32">
    <w:nsid w:val="6B56FE2C"/>
    <w:multiLevelType w:val="singleLevel"/>
    <w:tmpl w:val="6B56FE2C"/>
    <w:lvl w:ilvl="0" w:tentative="0">
      <w:start w:val="1"/>
      <w:numFmt w:val="chineseCounting"/>
      <w:suff w:val="nothing"/>
      <w:lvlText w:val="（%1）"/>
      <w:lvlJc w:val="left"/>
      <w:pPr>
        <w:ind w:left="0" w:firstLine="420"/>
      </w:pPr>
      <w:rPr>
        <w:rFonts w:hint="eastAsia"/>
      </w:rPr>
    </w:lvl>
  </w:abstractNum>
  <w:abstractNum w:abstractNumId="33">
    <w:nsid w:val="6B779D8A"/>
    <w:multiLevelType w:val="singleLevel"/>
    <w:tmpl w:val="6B779D8A"/>
    <w:lvl w:ilvl="0" w:tentative="0">
      <w:start w:val="1"/>
      <w:numFmt w:val="decimal"/>
      <w:lvlText w:val="%1."/>
      <w:lvlJc w:val="left"/>
      <w:pPr>
        <w:ind w:left="425" w:hanging="425"/>
      </w:pPr>
      <w:rPr>
        <w:rFonts w:hint="default"/>
      </w:rPr>
    </w:lvl>
  </w:abstractNum>
  <w:abstractNum w:abstractNumId="34">
    <w:nsid w:val="6C751BB1"/>
    <w:multiLevelType w:val="singleLevel"/>
    <w:tmpl w:val="6C751BB1"/>
    <w:lvl w:ilvl="0" w:tentative="0">
      <w:start w:val="1"/>
      <w:numFmt w:val="decimal"/>
      <w:lvlText w:val="%1."/>
      <w:lvlJc w:val="left"/>
      <w:pPr>
        <w:ind w:left="425" w:hanging="425"/>
      </w:pPr>
      <w:rPr>
        <w:rFonts w:hint="default"/>
      </w:rPr>
    </w:lvl>
  </w:abstractNum>
  <w:abstractNum w:abstractNumId="35">
    <w:nsid w:val="705FD046"/>
    <w:multiLevelType w:val="singleLevel"/>
    <w:tmpl w:val="705FD046"/>
    <w:lvl w:ilvl="0" w:tentative="0">
      <w:start w:val="1"/>
      <w:numFmt w:val="decimal"/>
      <w:lvlText w:val="%1."/>
      <w:lvlJc w:val="left"/>
      <w:pPr>
        <w:ind w:left="425" w:hanging="425"/>
      </w:pPr>
      <w:rPr>
        <w:rFonts w:hint="default"/>
      </w:rPr>
    </w:lvl>
  </w:abstractNum>
  <w:abstractNum w:abstractNumId="36">
    <w:nsid w:val="751DEE22"/>
    <w:multiLevelType w:val="singleLevel"/>
    <w:tmpl w:val="751DEE22"/>
    <w:lvl w:ilvl="0" w:tentative="0">
      <w:start w:val="1"/>
      <w:numFmt w:val="decimal"/>
      <w:lvlText w:val="(%1)"/>
      <w:lvlJc w:val="left"/>
      <w:pPr>
        <w:ind w:left="425" w:hanging="425"/>
      </w:pPr>
      <w:rPr>
        <w:rFonts w:hint="default"/>
      </w:rPr>
    </w:lvl>
  </w:abstractNum>
  <w:num w:numId="1">
    <w:abstractNumId w:val="30"/>
  </w:num>
  <w:num w:numId="2">
    <w:abstractNumId w:val="16"/>
  </w:num>
  <w:num w:numId="3">
    <w:abstractNumId w:val="27"/>
  </w:num>
  <w:num w:numId="4">
    <w:abstractNumId w:val="33"/>
  </w:num>
  <w:num w:numId="5">
    <w:abstractNumId w:val="22"/>
  </w:num>
  <w:num w:numId="6">
    <w:abstractNumId w:val="1"/>
  </w:num>
  <w:num w:numId="7">
    <w:abstractNumId w:val="23"/>
  </w:num>
  <w:num w:numId="8">
    <w:abstractNumId w:val="24"/>
  </w:num>
  <w:num w:numId="9">
    <w:abstractNumId w:val="13"/>
  </w:num>
  <w:num w:numId="10">
    <w:abstractNumId w:val="31"/>
  </w:num>
  <w:num w:numId="11">
    <w:abstractNumId w:val="7"/>
  </w:num>
  <w:num w:numId="12">
    <w:abstractNumId w:val="12"/>
  </w:num>
  <w:num w:numId="13">
    <w:abstractNumId w:val="17"/>
  </w:num>
  <w:num w:numId="14">
    <w:abstractNumId w:val="19"/>
  </w:num>
  <w:num w:numId="15">
    <w:abstractNumId w:val="10"/>
  </w:num>
  <w:num w:numId="16">
    <w:abstractNumId w:val="18"/>
  </w:num>
  <w:num w:numId="17">
    <w:abstractNumId w:val="5"/>
  </w:num>
  <w:num w:numId="18">
    <w:abstractNumId w:val="9"/>
  </w:num>
  <w:num w:numId="19">
    <w:abstractNumId w:val="29"/>
  </w:num>
  <w:num w:numId="20">
    <w:abstractNumId w:val="11"/>
  </w:num>
  <w:num w:numId="21">
    <w:abstractNumId w:val="3"/>
  </w:num>
  <w:num w:numId="22">
    <w:abstractNumId w:val="35"/>
  </w:num>
  <w:num w:numId="23">
    <w:abstractNumId w:val="20"/>
  </w:num>
  <w:num w:numId="24">
    <w:abstractNumId w:val="36"/>
  </w:num>
  <w:num w:numId="25">
    <w:abstractNumId w:val="32"/>
  </w:num>
  <w:num w:numId="26">
    <w:abstractNumId w:val="2"/>
  </w:num>
  <w:num w:numId="27">
    <w:abstractNumId w:val="34"/>
  </w:num>
  <w:num w:numId="28">
    <w:abstractNumId w:val="26"/>
  </w:num>
  <w:num w:numId="29">
    <w:abstractNumId w:val="25"/>
  </w:num>
  <w:num w:numId="30">
    <w:abstractNumId w:val="4"/>
  </w:num>
  <w:num w:numId="31">
    <w:abstractNumId w:val="14"/>
  </w:num>
  <w:num w:numId="32">
    <w:abstractNumId w:val="21"/>
  </w:num>
  <w:num w:numId="33">
    <w:abstractNumId w:val="8"/>
  </w:num>
  <w:num w:numId="34">
    <w:abstractNumId w:val="6"/>
  </w:num>
  <w:num w:numId="35">
    <w:abstractNumId w:val="28"/>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213882"/>
    <w:rsid w:val="0132473D"/>
    <w:rsid w:val="01555F71"/>
    <w:rsid w:val="01C32C79"/>
    <w:rsid w:val="01DA25C2"/>
    <w:rsid w:val="023A7385"/>
    <w:rsid w:val="024C1A38"/>
    <w:rsid w:val="029172E9"/>
    <w:rsid w:val="02F372E3"/>
    <w:rsid w:val="02F52A77"/>
    <w:rsid w:val="0308543F"/>
    <w:rsid w:val="03276536"/>
    <w:rsid w:val="03382D5E"/>
    <w:rsid w:val="035968A3"/>
    <w:rsid w:val="037733E8"/>
    <w:rsid w:val="037B22F7"/>
    <w:rsid w:val="03820D63"/>
    <w:rsid w:val="03BB5C30"/>
    <w:rsid w:val="03F32DF1"/>
    <w:rsid w:val="042D51B4"/>
    <w:rsid w:val="04624632"/>
    <w:rsid w:val="047108AD"/>
    <w:rsid w:val="049D0BB6"/>
    <w:rsid w:val="04B32944"/>
    <w:rsid w:val="04BB3A40"/>
    <w:rsid w:val="055D0CE1"/>
    <w:rsid w:val="05602044"/>
    <w:rsid w:val="059953A6"/>
    <w:rsid w:val="059D638D"/>
    <w:rsid w:val="05D1546F"/>
    <w:rsid w:val="05D83E56"/>
    <w:rsid w:val="05ED1DF8"/>
    <w:rsid w:val="05F60EC7"/>
    <w:rsid w:val="06073EC7"/>
    <w:rsid w:val="06111547"/>
    <w:rsid w:val="0611359C"/>
    <w:rsid w:val="063D3AC6"/>
    <w:rsid w:val="0676641E"/>
    <w:rsid w:val="06784004"/>
    <w:rsid w:val="067A44AE"/>
    <w:rsid w:val="068E4E62"/>
    <w:rsid w:val="06984953"/>
    <w:rsid w:val="06B30D89"/>
    <w:rsid w:val="06C10448"/>
    <w:rsid w:val="06C46FE2"/>
    <w:rsid w:val="06C75381"/>
    <w:rsid w:val="06E42BB5"/>
    <w:rsid w:val="06EC4F1C"/>
    <w:rsid w:val="07251A70"/>
    <w:rsid w:val="075D60C4"/>
    <w:rsid w:val="076B6B19"/>
    <w:rsid w:val="07A22BB8"/>
    <w:rsid w:val="07B51593"/>
    <w:rsid w:val="07E865DE"/>
    <w:rsid w:val="08011F88"/>
    <w:rsid w:val="085A4A3F"/>
    <w:rsid w:val="086955C6"/>
    <w:rsid w:val="08882010"/>
    <w:rsid w:val="088B3E7D"/>
    <w:rsid w:val="08977FB7"/>
    <w:rsid w:val="08E97AAB"/>
    <w:rsid w:val="09112EF5"/>
    <w:rsid w:val="0969023C"/>
    <w:rsid w:val="097C0AE8"/>
    <w:rsid w:val="0A0C030A"/>
    <w:rsid w:val="0A166AF3"/>
    <w:rsid w:val="0A1A36A0"/>
    <w:rsid w:val="0A320D47"/>
    <w:rsid w:val="0A3F26C5"/>
    <w:rsid w:val="0A6B2869"/>
    <w:rsid w:val="0AB737A6"/>
    <w:rsid w:val="0AB968C5"/>
    <w:rsid w:val="0AC0573B"/>
    <w:rsid w:val="0B0412E0"/>
    <w:rsid w:val="0B526C20"/>
    <w:rsid w:val="0B664C64"/>
    <w:rsid w:val="0B7748E2"/>
    <w:rsid w:val="0BBD14E1"/>
    <w:rsid w:val="0BC233F8"/>
    <w:rsid w:val="0BF8481C"/>
    <w:rsid w:val="0C0B4721"/>
    <w:rsid w:val="0C5C5D16"/>
    <w:rsid w:val="0C795920"/>
    <w:rsid w:val="0C897F62"/>
    <w:rsid w:val="0CC644B3"/>
    <w:rsid w:val="0CCE2EAC"/>
    <w:rsid w:val="0CE44B2C"/>
    <w:rsid w:val="0D130CF3"/>
    <w:rsid w:val="0D375B3C"/>
    <w:rsid w:val="0D8D504D"/>
    <w:rsid w:val="0DAD7F6A"/>
    <w:rsid w:val="0E10535F"/>
    <w:rsid w:val="0E204CC0"/>
    <w:rsid w:val="0E3361E9"/>
    <w:rsid w:val="0E4214F1"/>
    <w:rsid w:val="0E985F9A"/>
    <w:rsid w:val="0EBC7757"/>
    <w:rsid w:val="0EFC685E"/>
    <w:rsid w:val="0F144965"/>
    <w:rsid w:val="0F296411"/>
    <w:rsid w:val="0F2B466C"/>
    <w:rsid w:val="0F2C4CF2"/>
    <w:rsid w:val="0F3755E0"/>
    <w:rsid w:val="0F454036"/>
    <w:rsid w:val="0F6E5A6E"/>
    <w:rsid w:val="0F8F5336"/>
    <w:rsid w:val="0FB55A32"/>
    <w:rsid w:val="0FE9679C"/>
    <w:rsid w:val="0FFD52F6"/>
    <w:rsid w:val="101F6E5F"/>
    <w:rsid w:val="105836A1"/>
    <w:rsid w:val="1069217B"/>
    <w:rsid w:val="1082242A"/>
    <w:rsid w:val="109F14E1"/>
    <w:rsid w:val="10AC3D11"/>
    <w:rsid w:val="10BE37BA"/>
    <w:rsid w:val="10D83B2D"/>
    <w:rsid w:val="10EA39CE"/>
    <w:rsid w:val="10F46325"/>
    <w:rsid w:val="115C628C"/>
    <w:rsid w:val="11894244"/>
    <w:rsid w:val="11B768E9"/>
    <w:rsid w:val="11DD70B6"/>
    <w:rsid w:val="121E6363"/>
    <w:rsid w:val="125F51FE"/>
    <w:rsid w:val="12AC7DA9"/>
    <w:rsid w:val="12FC46B3"/>
    <w:rsid w:val="130F3CB5"/>
    <w:rsid w:val="131348FC"/>
    <w:rsid w:val="13183AEE"/>
    <w:rsid w:val="131D6F95"/>
    <w:rsid w:val="13232F2F"/>
    <w:rsid w:val="13C8392B"/>
    <w:rsid w:val="13DD54DC"/>
    <w:rsid w:val="13E83812"/>
    <w:rsid w:val="14326E99"/>
    <w:rsid w:val="14592AD9"/>
    <w:rsid w:val="15221E3A"/>
    <w:rsid w:val="154F23C7"/>
    <w:rsid w:val="164668ED"/>
    <w:rsid w:val="16714FDF"/>
    <w:rsid w:val="16C62AAA"/>
    <w:rsid w:val="16D9529A"/>
    <w:rsid w:val="16E16232"/>
    <w:rsid w:val="17300A0B"/>
    <w:rsid w:val="17353B9B"/>
    <w:rsid w:val="1763301C"/>
    <w:rsid w:val="17731485"/>
    <w:rsid w:val="178A0EBF"/>
    <w:rsid w:val="17B62FD2"/>
    <w:rsid w:val="17BE0623"/>
    <w:rsid w:val="183F5543"/>
    <w:rsid w:val="183F63D6"/>
    <w:rsid w:val="18997E67"/>
    <w:rsid w:val="18C61ACD"/>
    <w:rsid w:val="18DE09A6"/>
    <w:rsid w:val="18F01DD7"/>
    <w:rsid w:val="18F40581"/>
    <w:rsid w:val="19587BAD"/>
    <w:rsid w:val="19CA5513"/>
    <w:rsid w:val="1A0A69F8"/>
    <w:rsid w:val="1A503BAE"/>
    <w:rsid w:val="1A6159BF"/>
    <w:rsid w:val="1AB6495E"/>
    <w:rsid w:val="1AF644D1"/>
    <w:rsid w:val="1AFD0956"/>
    <w:rsid w:val="1B322F1D"/>
    <w:rsid w:val="1B3A50A4"/>
    <w:rsid w:val="1B5416AC"/>
    <w:rsid w:val="1B576FCD"/>
    <w:rsid w:val="1BA24505"/>
    <w:rsid w:val="1BB2137E"/>
    <w:rsid w:val="1BBE1477"/>
    <w:rsid w:val="1BC0502C"/>
    <w:rsid w:val="1BDE34C7"/>
    <w:rsid w:val="1BE2639E"/>
    <w:rsid w:val="1BE62EDC"/>
    <w:rsid w:val="1BF651E0"/>
    <w:rsid w:val="1C0E75F5"/>
    <w:rsid w:val="1C3C749B"/>
    <w:rsid w:val="1C5A2B21"/>
    <w:rsid w:val="1CC267D0"/>
    <w:rsid w:val="1CD4275A"/>
    <w:rsid w:val="1CE01DF0"/>
    <w:rsid w:val="1CE917E0"/>
    <w:rsid w:val="1D022E50"/>
    <w:rsid w:val="1D0B1D55"/>
    <w:rsid w:val="1D8A7328"/>
    <w:rsid w:val="1D947BB1"/>
    <w:rsid w:val="1DC65566"/>
    <w:rsid w:val="1E02454A"/>
    <w:rsid w:val="1E574D9E"/>
    <w:rsid w:val="1E5D315D"/>
    <w:rsid w:val="1E753B0D"/>
    <w:rsid w:val="1E944CBA"/>
    <w:rsid w:val="1E9B1054"/>
    <w:rsid w:val="1EAF5CA8"/>
    <w:rsid w:val="1ECE292C"/>
    <w:rsid w:val="1EE00167"/>
    <w:rsid w:val="1EE3196B"/>
    <w:rsid w:val="1EF458E1"/>
    <w:rsid w:val="1F160235"/>
    <w:rsid w:val="1F1E1F67"/>
    <w:rsid w:val="1F2205F8"/>
    <w:rsid w:val="1F6C7DB6"/>
    <w:rsid w:val="1F700419"/>
    <w:rsid w:val="1F753A34"/>
    <w:rsid w:val="1FD22143"/>
    <w:rsid w:val="1FEE4F17"/>
    <w:rsid w:val="202D1408"/>
    <w:rsid w:val="20397F58"/>
    <w:rsid w:val="20633BF6"/>
    <w:rsid w:val="20A12F09"/>
    <w:rsid w:val="20AA2072"/>
    <w:rsid w:val="20DC0632"/>
    <w:rsid w:val="20E701EC"/>
    <w:rsid w:val="211F74B1"/>
    <w:rsid w:val="220F4F71"/>
    <w:rsid w:val="22616BF8"/>
    <w:rsid w:val="22796138"/>
    <w:rsid w:val="228316AC"/>
    <w:rsid w:val="22E261C0"/>
    <w:rsid w:val="22E96DEC"/>
    <w:rsid w:val="22F15563"/>
    <w:rsid w:val="23087993"/>
    <w:rsid w:val="23114793"/>
    <w:rsid w:val="232319F6"/>
    <w:rsid w:val="23444735"/>
    <w:rsid w:val="23AA0427"/>
    <w:rsid w:val="23BB589A"/>
    <w:rsid w:val="241635B9"/>
    <w:rsid w:val="24575960"/>
    <w:rsid w:val="245E3C68"/>
    <w:rsid w:val="24770489"/>
    <w:rsid w:val="24D14774"/>
    <w:rsid w:val="24DC4817"/>
    <w:rsid w:val="24ED62A3"/>
    <w:rsid w:val="2522179B"/>
    <w:rsid w:val="252D0952"/>
    <w:rsid w:val="255A11A7"/>
    <w:rsid w:val="25944001"/>
    <w:rsid w:val="25AE12D9"/>
    <w:rsid w:val="25F068A6"/>
    <w:rsid w:val="25FE7C69"/>
    <w:rsid w:val="2606757C"/>
    <w:rsid w:val="260B4CD6"/>
    <w:rsid w:val="2648657F"/>
    <w:rsid w:val="26720558"/>
    <w:rsid w:val="268341BF"/>
    <w:rsid w:val="2697098A"/>
    <w:rsid w:val="26B959DC"/>
    <w:rsid w:val="26C54199"/>
    <w:rsid w:val="26D410F3"/>
    <w:rsid w:val="272F4EEF"/>
    <w:rsid w:val="27450D9B"/>
    <w:rsid w:val="274B7407"/>
    <w:rsid w:val="27693877"/>
    <w:rsid w:val="276F3F10"/>
    <w:rsid w:val="27AC11E5"/>
    <w:rsid w:val="27B200B0"/>
    <w:rsid w:val="27C877A6"/>
    <w:rsid w:val="27D200A4"/>
    <w:rsid w:val="27D824EE"/>
    <w:rsid w:val="27F709D1"/>
    <w:rsid w:val="280F1983"/>
    <w:rsid w:val="280F3A46"/>
    <w:rsid w:val="2818601B"/>
    <w:rsid w:val="281A67DA"/>
    <w:rsid w:val="284D54AA"/>
    <w:rsid w:val="28604DA6"/>
    <w:rsid w:val="28724B36"/>
    <w:rsid w:val="287A4114"/>
    <w:rsid w:val="288549AC"/>
    <w:rsid w:val="28885BF9"/>
    <w:rsid w:val="28C97754"/>
    <w:rsid w:val="28DF05D0"/>
    <w:rsid w:val="28ED0D31"/>
    <w:rsid w:val="28ED45B4"/>
    <w:rsid w:val="29016751"/>
    <w:rsid w:val="29293BEE"/>
    <w:rsid w:val="293541AB"/>
    <w:rsid w:val="295A1365"/>
    <w:rsid w:val="29D87B52"/>
    <w:rsid w:val="2A0917CA"/>
    <w:rsid w:val="2A260CB8"/>
    <w:rsid w:val="2A557025"/>
    <w:rsid w:val="2A597D6F"/>
    <w:rsid w:val="2A7B06BD"/>
    <w:rsid w:val="2AAB29D5"/>
    <w:rsid w:val="2ACB48D4"/>
    <w:rsid w:val="2B524D23"/>
    <w:rsid w:val="2B7608AE"/>
    <w:rsid w:val="2B8E0E5D"/>
    <w:rsid w:val="2BB04507"/>
    <w:rsid w:val="2BC2085A"/>
    <w:rsid w:val="2BCC1169"/>
    <w:rsid w:val="2BD33847"/>
    <w:rsid w:val="2BFA427E"/>
    <w:rsid w:val="2C5600B9"/>
    <w:rsid w:val="2C592CD0"/>
    <w:rsid w:val="2C6922ED"/>
    <w:rsid w:val="2D126BAA"/>
    <w:rsid w:val="2D2C0D79"/>
    <w:rsid w:val="2D5E7586"/>
    <w:rsid w:val="2D925252"/>
    <w:rsid w:val="2DF63245"/>
    <w:rsid w:val="2E103922"/>
    <w:rsid w:val="2E59596B"/>
    <w:rsid w:val="2E97707E"/>
    <w:rsid w:val="2E997EC6"/>
    <w:rsid w:val="2EC4672C"/>
    <w:rsid w:val="2F1B01BF"/>
    <w:rsid w:val="2F595C75"/>
    <w:rsid w:val="2F7268D5"/>
    <w:rsid w:val="2F7E4D1E"/>
    <w:rsid w:val="2F9C59CE"/>
    <w:rsid w:val="2FAA1516"/>
    <w:rsid w:val="2FC90304"/>
    <w:rsid w:val="2FD84CE9"/>
    <w:rsid w:val="3068716B"/>
    <w:rsid w:val="306C12F6"/>
    <w:rsid w:val="309C2C4B"/>
    <w:rsid w:val="30A46638"/>
    <w:rsid w:val="30CF5E22"/>
    <w:rsid w:val="30FA3AB5"/>
    <w:rsid w:val="311E044B"/>
    <w:rsid w:val="3177633A"/>
    <w:rsid w:val="319B5AFB"/>
    <w:rsid w:val="31D00F30"/>
    <w:rsid w:val="31D13FE7"/>
    <w:rsid w:val="32002203"/>
    <w:rsid w:val="321D18A7"/>
    <w:rsid w:val="32293AA9"/>
    <w:rsid w:val="322B6518"/>
    <w:rsid w:val="322E55E0"/>
    <w:rsid w:val="323030F3"/>
    <w:rsid w:val="325D06AE"/>
    <w:rsid w:val="328C6198"/>
    <w:rsid w:val="329E5199"/>
    <w:rsid w:val="32A4693E"/>
    <w:rsid w:val="32AE1BB2"/>
    <w:rsid w:val="33082946"/>
    <w:rsid w:val="335A65FC"/>
    <w:rsid w:val="336B2660"/>
    <w:rsid w:val="339C47C6"/>
    <w:rsid w:val="33C22E90"/>
    <w:rsid w:val="33CF312D"/>
    <w:rsid w:val="33DC39FD"/>
    <w:rsid w:val="340F4E7A"/>
    <w:rsid w:val="34645AF6"/>
    <w:rsid w:val="34655258"/>
    <w:rsid w:val="34834C6B"/>
    <w:rsid w:val="349F3360"/>
    <w:rsid w:val="34A20B41"/>
    <w:rsid w:val="34B1099D"/>
    <w:rsid w:val="34D310B7"/>
    <w:rsid w:val="35216C38"/>
    <w:rsid w:val="35725330"/>
    <w:rsid w:val="35867F37"/>
    <w:rsid w:val="35A35F0C"/>
    <w:rsid w:val="35A87E15"/>
    <w:rsid w:val="35A93A0E"/>
    <w:rsid w:val="366D6745"/>
    <w:rsid w:val="36B26356"/>
    <w:rsid w:val="36BC6C65"/>
    <w:rsid w:val="36BD0784"/>
    <w:rsid w:val="37196592"/>
    <w:rsid w:val="373B602E"/>
    <w:rsid w:val="37497A66"/>
    <w:rsid w:val="374D7724"/>
    <w:rsid w:val="377F0E97"/>
    <w:rsid w:val="37C96EC2"/>
    <w:rsid w:val="37CE50AB"/>
    <w:rsid w:val="37DE482C"/>
    <w:rsid w:val="3801097B"/>
    <w:rsid w:val="38180E94"/>
    <w:rsid w:val="382D1EAA"/>
    <w:rsid w:val="38360698"/>
    <w:rsid w:val="384D75D2"/>
    <w:rsid w:val="38D3171A"/>
    <w:rsid w:val="38E329E9"/>
    <w:rsid w:val="39196DD0"/>
    <w:rsid w:val="39917588"/>
    <w:rsid w:val="39DC56B3"/>
    <w:rsid w:val="39E44E71"/>
    <w:rsid w:val="39EC6A75"/>
    <w:rsid w:val="3A127D55"/>
    <w:rsid w:val="3A1379D5"/>
    <w:rsid w:val="3A3047B5"/>
    <w:rsid w:val="3A33658F"/>
    <w:rsid w:val="3A36292F"/>
    <w:rsid w:val="3A3804F5"/>
    <w:rsid w:val="3A584C46"/>
    <w:rsid w:val="3A5D5058"/>
    <w:rsid w:val="3A65337B"/>
    <w:rsid w:val="3A880EB6"/>
    <w:rsid w:val="3B092F1F"/>
    <w:rsid w:val="3B0B19F5"/>
    <w:rsid w:val="3B0F1056"/>
    <w:rsid w:val="3B730DDD"/>
    <w:rsid w:val="3BDC57EC"/>
    <w:rsid w:val="3C242124"/>
    <w:rsid w:val="3C716172"/>
    <w:rsid w:val="3C7C2A34"/>
    <w:rsid w:val="3C8479EF"/>
    <w:rsid w:val="3C912148"/>
    <w:rsid w:val="3D2D3BDE"/>
    <w:rsid w:val="3D3440FA"/>
    <w:rsid w:val="3D47065A"/>
    <w:rsid w:val="3D5D3371"/>
    <w:rsid w:val="3D78139C"/>
    <w:rsid w:val="3DB670E4"/>
    <w:rsid w:val="3DF15BCC"/>
    <w:rsid w:val="3E43485C"/>
    <w:rsid w:val="3E4613F4"/>
    <w:rsid w:val="3E6831F2"/>
    <w:rsid w:val="3EAE1978"/>
    <w:rsid w:val="3EB111BB"/>
    <w:rsid w:val="3EF41E2E"/>
    <w:rsid w:val="3EFD36E5"/>
    <w:rsid w:val="3F080BC6"/>
    <w:rsid w:val="3F4E613B"/>
    <w:rsid w:val="3F62101D"/>
    <w:rsid w:val="3F740A45"/>
    <w:rsid w:val="3F9A4869"/>
    <w:rsid w:val="3F9B22EA"/>
    <w:rsid w:val="3FCB4CDA"/>
    <w:rsid w:val="3FF56CAB"/>
    <w:rsid w:val="3FF60492"/>
    <w:rsid w:val="40047F17"/>
    <w:rsid w:val="40512F9E"/>
    <w:rsid w:val="4075536F"/>
    <w:rsid w:val="40E902F5"/>
    <w:rsid w:val="40FC3D8C"/>
    <w:rsid w:val="41277BDE"/>
    <w:rsid w:val="4142391F"/>
    <w:rsid w:val="414A569D"/>
    <w:rsid w:val="41870320"/>
    <w:rsid w:val="41973694"/>
    <w:rsid w:val="41A249C5"/>
    <w:rsid w:val="41A5335B"/>
    <w:rsid w:val="41AF6EFC"/>
    <w:rsid w:val="41B220EF"/>
    <w:rsid w:val="41EF1584"/>
    <w:rsid w:val="41FB5B69"/>
    <w:rsid w:val="42101DA2"/>
    <w:rsid w:val="421C6EFD"/>
    <w:rsid w:val="4232304C"/>
    <w:rsid w:val="424703D0"/>
    <w:rsid w:val="427A5366"/>
    <w:rsid w:val="429057C0"/>
    <w:rsid w:val="429C30A7"/>
    <w:rsid w:val="42D72D86"/>
    <w:rsid w:val="43041002"/>
    <w:rsid w:val="43133F69"/>
    <w:rsid w:val="436E712E"/>
    <w:rsid w:val="43B35B91"/>
    <w:rsid w:val="43E629FB"/>
    <w:rsid w:val="440562B9"/>
    <w:rsid w:val="44145111"/>
    <w:rsid w:val="44C118F7"/>
    <w:rsid w:val="44E346B1"/>
    <w:rsid w:val="44F62B6E"/>
    <w:rsid w:val="453262AE"/>
    <w:rsid w:val="454873C2"/>
    <w:rsid w:val="45934269"/>
    <w:rsid w:val="45A3734C"/>
    <w:rsid w:val="45EA0DCE"/>
    <w:rsid w:val="463832C5"/>
    <w:rsid w:val="46A1364E"/>
    <w:rsid w:val="4733022D"/>
    <w:rsid w:val="473E2F10"/>
    <w:rsid w:val="47440F4D"/>
    <w:rsid w:val="476E3D34"/>
    <w:rsid w:val="478D1B02"/>
    <w:rsid w:val="479F390E"/>
    <w:rsid w:val="47FB336E"/>
    <w:rsid w:val="47FD4DEA"/>
    <w:rsid w:val="48150707"/>
    <w:rsid w:val="482E7CFA"/>
    <w:rsid w:val="48557933"/>
    <w:rsid w:val="48632753"/>
    <w:rsid w:val="487A2F3C"/>
    <w:rsid w:val="487F1516"/>
    <w:rsid w:val="489473BA"/>
    <w:rsid w:val="48B20B9D"/>
    <w:rsid w:val="48DD0D98"/>
    <w:rsid w:val="48EA4EE8"/>
    <w:rsid w:val="493D4449"/>
    <w:rsid w:val="495A5625"/>
    <w:rsid w:val="498446D0"/>
    <w:rsid w:val="49953E7D"/>
    <w:rsid w:val="49B43282"/>
    <w:rsid w:val="49B53089"/>
    <w:rsid w:val="49B97942"/>
    <w:rsid w:val="4A7D0844"/>
    <w:rsid w:val="4AA5729B"/>
    <w:rsid w:val="4ACB2B41"/>
    <w:rsid w:val="4AF66E83"/>
    <w:rsid w:val="4AF81574"/>
    <w:rsid w:val="4B2637A6"/>
    <w:rsid w:val="4B2F3CB3"/>
    <w:rsid w:val="4B55391F"/>
    <w:rsid w:val="4B5F3132"/>
    <w:rsid w:val="4BC46339"/>
    <w:rsid w:val="4BF46806"/>
    <w:rsid w:val="4C27558D"/>
    <w:rsid w:val="4C28386A"/>
    <w:rsid w:val="4C49177D"/>
    <w:rsid w:val="4D227F5F"/>
    <w:rsid w:val="4D5D7F57"/>
    <w:rsid w:val="4D6239E3"/>
    <w:rsid w:val="4D6C2657"/>
    <w:rsid w:val="4D8A04C7"/>
    <w:rsid w:val="4D942FD5"/>
    <w:rsid w:val="4D9E3092"/>
    <w:rsid w:val="4DA33081"/>
    <w:rsid w:val="4E4A0881"/>
    <w:rsid w:val="4E7339BC"/>
    <w:rsid w:val="4E7B601F"/>
    <w:rsid w:val="4E8074C3"/>
    <w:rsid w:val="4EA34CFF"/>
    <w:rsid w:val="4ED37036"/>
    <w:rsid w:val="4EE05CB9"/>
    <w:rsid w:val="4EE6167D"/>
    <w:rsid w:val="4EF77399"/>
    <w:rsid w:val="4EFF0028"/>
    <w:rsid w:val="4F083D82"/>
    <w:rsid w:val="4F1F5604"/>
    <w:rsid w:val="4F671AC6"/>
    <w:rsid w:val="4F674399"/>
    <w:rsid w:val="4F891D97"/>
    <w:rsid w:val="4FA80021"/>
    <w:rsid w:val="4FB819D5"/>
    <w:rsid w:val="4FBC446F"/>
    <w:rsid w:val="50175272"/>
    <w:rsid w:val="505D7D05"/>
    <w:rsid w:val="50F607A5"/>
    <w:rsid w:val="51236F6A"/>
    <w:rsid w:val="512F57EF"/>
    <w:rsid w:val="51515D19"/>
    <w:rsid w:val="515179B2"/>
    <w:rsid w:val="516A3B30"/>
    <w:rsid w:val="51715817"/>
    <w:rsid w:val="51A87A94"/>
    <w:rsid w:val="51B23332"/>
    <w:rsid w:val="51F109A5"/>
    <w:rsid w:val="521F5647"/>
    <w:rsid w:val="52306627"/>
    <w:rsid w:val="527B179A"/>
    <w:rsid w:val="52AE4DE6"/>
    <w:rsid w:val="53370692"/>
    <w:rsid w:val="53485083"/>
    <w:rsid w:val="53625A87"/>
    <w:rsid w:val="537A4E07"/>
    <w:rsid w:val="53D870D1"/>
    <w:rsid w:val="53E00459"/>
    <w:rsid w:val="5408507F"/>
    <w:rsid w:val="54103BF9"/>
    <w:rsid w:val="542E17C6"/>
    <w:rsid w:val="546B5A57"/>
    <w:rsid w:val="54846A8C"/>
    <w:rsid w:val="54B642C2"/>
    <w:rsid w:val="54E86563"/>
    <w:rsid w:val="55253D42"/>
    <w:rsid w:val="55537607"/>
    <w:rsid w:val="55563E5A"/>
    <w:rsid w:val="55B74D21"/>
    <w:rsid w:val="55D81A86"/>
    <w:rsid w:val="55DD6EED"/>
    <w:rsid w:val="55DE130B"/>
    <w:rsid w:val="55ED318A"/>
    <w:rsid w:val="55EF6684"/>
    <w:rsid w:val="560B7411"/>
    <w:rsid w:val="561F538D"/>
    <w:rsid w:val="562F341F"/>
    <w:rsid w:val="564E514A"/>
    <w:rsid w:val="56923175"/>
    <w:rsid w:val="56A812A9"/>
    <w:rsid w:val="56B95D55"/>
    <w:rsid w:val="56C842A1"/>
    <w:rsid w:val="575D5B12"/>
    <w:rsid w:val="57742B5F"/>
    <w:rsid w:val="578F4319"/>
    <w:rsid w:val="57EC6C58"/>
    <w:rsid w:val="585358CC"/>
    <w:rsid w:val="58594131"/>
    <w:rsid w:val="5870373F"/>
    <w:rsid w:val="58AC5CE9"/>
    <w:rsid w:val="58E761C6"/>
    <w:rsid w:val="59867460"/>
    <w:rsid w:val="59A257B9"/>
    <w:rsid w:val="59D038F6"/>
    <w:rsid w:val="59FE18A6"/>
    <w:rsid w:val="5A2703CF"/>
    <w:rsid w:val="5A3E4DB1"/>
    <w:rsid w:val="5A5B1879"/>
    <w:rsid w:val="5A714553"/>
    <w:rsid w:val="5A770DF6"/>
    <w:rsid w:val="5A836385"/>
    <w:rsid w:val="5AC3199B"/>
    <w:rsid w:val="5AD73066"/>
    <w:rsid w:val="5AEF02E7"/>
    <w:rsid w:val="5B0E27EC"/>
    <w:rsid w:val="5B126852"/>
    <w:rsid w:val="5B883D6E"/>
    <w:rsid w:val="5BC16EB7"/>
    <w:rsid w:val="5BC73735"/>
    <w:rsid w:val="5BF93998"/>
    <w:rsid w:val="5BFD3CA7"/>
    <w:rsid w:val="5C250861"/>
    <w:rsid w:val="5C463A79"/>
    <w:rsid w:val="5CAA7FBF"/>
    <w:rsid w:val="5CE744E5"/>
    <w:rsid w:val="5D0638AC"/>
    <w:rsid w:val="5D132E35"/>
    <w:rsid w:val="5D1E02B8"/>
    <w:rsid w:val="5D5546B9"/>
    <w:rsid w:val="5D562DC6"/>
    <w:rsid w:val="5D73652B"/>
    <w:rsid w:val="5D7D04D1"/>
    <w:rsid w:val="5DAB0C20"/>
    <w:rsid w:val="5DBD1701"/>
    <w:rsid w:val="5E1B3A56"/>
    <w:rsid w:val="5E2B0417"/>
    <w:rsid w:val="5E47553D"/>
    <w:rsid w:val="5E7824C9"/>
    <w:rsid w:val="5EA04053"/>
    <w:rsid w:val="5EA64F3B"/>
    <w:rsid w:val="5ECE1AC8"/>
    <w:rsid w:val="5EEE1FA5"/>
    <w:rsid w:val="5F011031"/>
    <w:rsid w:val="5F420C58"/>
    <w:rsid w:val="5F9D1EC6"/>
    <w:rsid w:val="5FB54A41"/>
    <w:rsid w:val="5FDF1000"/>
    <w:rsid w:val="5FFD2479"/>
    <w:rsid w:val="600026A8"/>
    <w:rsid w:val="60400DD0"/>
    <w:rsid w:val="604B3CC4"/>
    <w:rsid w:val="606122A2"/>
    <w:rsid w:val="60AF5838"/>
    <w:rsid w:val="60DA7F88"/>
    <w:rsid w:val="6142350F"/>
    <w:rsid w:val="61563B11"/>
    <w:rsid w:val="616A092F"/>
    <w:rsid w:val="61B52C5B"/>
    <w:rsid w:val="61BB5003"/>
    <w:rsid w:val="621020BF"/>
    <w:rsid w:val="62133D68"/>
    <w:rsid w:val="6217747C"/>
    <w:rsid w:val="621E4B15"/>
    <w:rsid w:val="62267780"/>
    <w:rsid w:val="62486B40"/>
    <w:rsid w:val="6262718F"/>
    <w:rsid w:val="627F124B"/>
    <w:rsid w:val="62A94E1F"/>
    <w:rsid w:val="62D96BBE"/>
    <w:rsid w:val="62ED1D08"/>
    <w:rsid w:val="62F910AC"/>
    <w:rsid w:val="63041054"/>
    <w:rsid w:val="63162B7D"/>
    <w:rsid w:val="63192522"/>
    <w:rsid w:val="63382DD7"/>
    <w:rsid w:val="636154F5"/>
    <w:rsid w:val="63896E25"/>
    <w:rsid w:val="63973F0B"/>
    <w:rsid w:val="63990CB9"/>
    <w:rsid w:val="63A60C43"/>
    <w:rsid w:val="63AC7512"/>
    <w:rsid w:val="63BA1C3A"/>
    <w:rsid w:val="6446675C"/>
    <w:rsid w:val="6464435F"/>
    <w:rsid w:val="649609DD"/>
    <w:rsid w:val="649E6FEC"/>
    <w:rsid w:val="64A1578A"/>
    <w:rsid w:val="64E23E10"/>
    <w:rsid w:val="64EC4B99"/>
    <w:rsid w:val="64F1308B"/>
    <w:rsid w:val="6512581D"/>
    <w:rsid w:val="65316493"/>
    <w:rsid w:val="65544EC0"/>
    <w:rsid w:val="65652284"/>
    <w:rsid w:val="65865E9F"/>
    <w:rsid w:val="65A26140"/>
    <w:rsid w:val="65B11DA8"/>
    <w:rsid w:val="65C9561D"/>
    <w:rsid w:val="65D54A71"/>
    <w:rsid w:val="66651F44"/>
    <w:rsid w:val="66912F06"/>
    <w:rsid w:val="669830CC"/>
    <w:rsid w:val="66B36B3A"/>
    <w:rsid w:val="66B91AA0"/>
    <w:rsid w:val="66C84F3D"/>
    <w:rsid w:val="66CF38B7"/>
    <w:rsid w:val="67173425"/>
    <w:rsid w:val="673F4E70"/>
    <w:rsid w:val="67935816"/>
    <w:rsid w:val="67A0506F"/>
    <w:rsid w:val="67BD79C1"/>
    <w:rsid w:val="67DA1203"/>
    <w:rsid w:val="67F5281D"/>
    <w:rsid w:val="681F6BCA"/>
    <w:rsid w:val="683A4AED"/>
    <w:rsid w:val="683B0720"/>
    <w:rsid w:val="68693658"/>
    <w:rsid w:val="68B50F84"/>
    <w:rsid w:val="68D11952"/>
    <w:rsid w:val="68D4658B"/>
    <w:rsid w:val="68D7221A"/>
    <w:rsid w:val="693252F2"/>
    <w:rsid w:val="69393D95"/>
    <w:rsid w:val="694F30D8"/>
    <w:rsid w:val="69680FB6"/>
    <w:rsid w:val="699847F7"/>
    <w:rsid w:val="6A295ED4"/>
    <w:rsid w:val="6A481C33"/>
    <w:rsid w:val="6A651A79"/>
    <w:rsid w:val="6A663BD7"/>
    <w:rsid w:val="6A8B7776"/>
    <w:rsid w:val="6AAC5B78"/>
    <w:rsid w:val="6AB6657A"/>
    <w:rsid w:val="6AB8181F"/>
    <w:rsid w:val="6AEB2E5A"/>
    <w:rsid w:val="6B2A53A5"/>
    <w:rsid w:val="6B4D720A"/>
    <w:rsid w:val="6B554842"/>
    <w:rsid w:val="6B656412"/>
    <w:rsid w:val="6B6B3F10"/>
    <w:rsid w:val="6B7C2AF5"/>
    <w:rsid w:val="6B7C78D7"/>
    <w:rsid w:val="6B9051ED"/>
    <w:rsid w:val="6BAF41F1"/>
    <w:rsid w:val="6BD805A3"/>
    <w:rsid w:val="6C244C28"/>
    <w:rsid w:val="6C587E0E"/>
    <w:rsid w:val="6C76177A"/>
    <w:rsid w:val="6C772D17"/>
    <w:rsid w:val="6CC60CA5"/>
    <w:rsid w:val="6CEB5F3B"/>
    <w:rsid w:val="6D7029B4"/>
    <w:rsid w:val="6D875883"/>
    <w:rsid w:val="6DA30EB0"/>
    <w:rsid w:val="6DC61A61"/>
    <w:rsid w:val="6DFA2060"/>
    <w:rsid w:val="6E0141C3"/>
    <w:rsid w:val="6EB23262"/>
    <w:rsid w:val="6EB35C70"/>
    <w:rsid w:val="6EB7265F"/>
    <w:rsid w:val="6EF819DB"/>
    <w:rsid w:val="6F157201"/>
    <w:rsid w:val="6F7F2191"/>
    <w:rsid w:val="6F9F69C8"/>
    <w:rsid w:val="6FA556EE"/>
    <w:rsid w:val="6FFB3565"/>
    <w:rsid w:val="700F38B8"/>
    <w:rsid w:val="70621C85"/>
    <w:rsid w:val="707520CA"/>
    <w:rsid w:val="70ED6050"/>
    <w:rsid w:val="716E3C04"/>
    <w:rsid w:val="7174513C"/>
    <w:rsid w:val="719802C0"/>
    <w:rsid w:val="71994237"/>
    <w:rsid w:val="71C938C1"/>
    <w:rsid w:val="71D866EE"/>
    <w:rsid w:val="7216394E"/>
    <w:rsid w:val="728F637A"/>
    <w:rsid w:val="72952764"/>
    <w:rsid w:val="72A569AF"/>
    <w:rsid w:val="72CB2332"/>
    <w:rsid w:val="733337C8"/>
    <w:rsid w:val="734C1F39"/>
    <w:rsid w:val="73553B3B"/>
    <w:rsid w:val="73A14B3F"/>
    <w:rsid w:val="740D76F2"/>
    <w:rsid w:val="74123008"/>
    <w:rsid w:val="74445FEC"/>
    <w:rsid w:val="746831C4"/>
    <w:rsid w:val="746B2700"/>
    <w:rsid w:val="749D7B1B"/>
    <w:rsid w:val="74E83C2C"/>
    <w:rsid w:val="7521074C"/>
    <w:rsid w:val="75454818"/>
    <w:rsid w:val="757C08F1"/>
    <w:rsid w:val="75B7241E"/>
    <w:rsid w:val="75F43968"/>
    <w:rsid w:val="75FF28EA"/>
    <w:rsid w:val="764D604D"/>
    <w:rsid w:val="769F132D"/>
    <w:rsid w:val="775C3EE3"/>
    <w:rsid w:val="776E2906"/>
    <w:rsid w:val="779F685E"/>
    <w:rsid w:val="77A47B34"/>
    <w:rsid w:val="77F77802"/>
    <w:rsid w:val="782045B5"/>
    <w:rsid w:val="78217CF6"/>
    <w:rsid w:val="7832223B"/>
    <w:rsid w:val="783C47D8"/>
    <w:rsid w:val="784E67E6"/>
    <w:rsid w:val="788468A6"/>
    <w:rsid w:val="788479DD"/>
    <w:rsid w:val="78A13CA8"/>
    <w:rsid w:val="78A4749A"/>
    <w:rsid w:val="78D532E9"/>
    <w:rsid w:val="78F72CC7"/>
    <w:rsid w:val="79196E3A"/>
    <w:rsid w:val="79662FDD"/>
    <w:rsid w:val="79C15915"/>
    <w:rsid w:val="7A3A6520"/>
    <w:rsid w:val="7A4773C4"/>
    <w:rsid w:val="7A494638"/>
    <w:rsid w:val="7A68455E"/>
    <w:rsid w:val="7A8160AC"/>
    <w:rsid w:val="7A831FB1"/>
    <w:rsid w:val="7AD81433"/>
    <w:rsid w:val="7AF2711A"/>
    <w:rsid w:val="7B263365"/>
    <w:rsid w:val="7B2A76EA"/>
    <w:rsid w:val="7B9671CE"/>
    <w:rsid w:val="7BD51EF2"/>
    <w:rsid w:val="7BEF1933"/>
    <w:rsid w:val="7BFA421B"/>
    <w:rsid w:val="7C1803AD"/>
    <w:rsid w:val="7C1830A2"/>
    <w:rsid w:val="7C30725E"/>
    <w:rsid w:val="7C453E0E"/>
    <w:rsid w:val="7C8C66DD"/>
    <w:rsid w:val="7C91775A"/>
    <w:rsid w:val="7CB65BDA"/>
    <w:rsid w:val="7CBE69B0"/>
    <w:rsid w:val="7CF355B6"/>
    <w:rsid w:val="7D0D5738"/>
    <w:rsid w:val="7D1B77CE"/>
    <w:rsid w:val="7D225826"/>
    <w:rsid w:val="7D233B36"/>
    <w:rsid w:val="7D2F675E"/>
    <w:rsid w:val="7D326C64"/>
    <w:rsid w:val="7D466F9B"/>
    <w:rsid w:val="7D6502A4"/>
    <w:rsid w:val="7D842909"/>
    <w:rsid w:val="7DAE699B"/>
    <w:rsid w:val="7DB47273"/>
    <w:rsid w:val="7DE135A9"/>
    <w:rsid w:val="7DFE8CC6"/>
    <w:rsid w:val="7E041453"/>
    <w:rsid w:val="7E3002D4"/>
    <w:rsid w:val="7E8D07EF"/>
    <w:rsid w:val="7EA5004A"/>
    <w:rsid w:val="7EB538D7"/>
    <w:rsid w:val="7EBA0DD2"/>
    <w:rsid w:val="7ED21F1F"/>
    <w:rsid w:val="7EE6273C"/>
    <w:rsid w:val="7F14040A"/>
    <w:rsid w:val="7F150229"/>
    <w:rsid w:val="7F162659"/>
    <w:rsid w:val="7F25162F"/>
    <w:rsid w:val="7F566A0E"/>
    <w:rsid w:val="7F5C1F2B"/>
    <w:rsid w:val="7F734B10"/>
    <w:rsid w:val="7F7A251D"/>
    <w:rsid w:val="7F7D695E"/>
    <w:rsid w:val="7FA73739"/>
    <w:rsid w:val="7FB86DEC"/>
    <w:rsid w:val="7FC71C2E"/>
    <w:rsid w:val="BBFFBF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5">
    <w:name w:val="heading 3"/>
    <w:basedOn w:val="1"/>
    <w:next w:val="1"/>
    <w:link w:val="66"/>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link w:val="36"/>
    <w:qFormat/>
    <w:uiPriority w:val="0"/>
    <w:pPr>
      <w:spacing w:after="120"/>
      <w:ind w:left="420" w:leftChars="200"/>
    </w:pPr>
    <w:rPr>
      <w:rFonts w:ascii="Calibri" w:hAnsi="Calibri"/>
    </w:rPr>
  </w:style>
  <w:style w:type="paragraph" w:styleId="6">
    <w:name w:val="Normal Indent"/>
    <w:basedOn w:val="1"/>
    <w:next w:val="1"/>
    <w:link w:val="46"/>
    <w:qFormat/>
    <w:uiPriority w:val="0"/>
    <w:pPr>
      <w:ind w:firstLine="420"/>
    </w:pPr>
    <w:rPr>
      <w:szCs w:val="20"/>
    </w:rPr>
  </w:style>
  <w:style w:type="paragraph" w:styleId="7">
    <w:name w:val="annotation text"/>
    <w:basedOn w:val="1"/>
    <w:link w:val="63"/>
    <w:qFormat/>
    <w:uiPriority w:val="0"/>
    <w:pPr>
      <w:jc w:val="left"/>
    </w:pPr>
    <w:rPr>
      <w:rFonts w:ascii="Tahoma" w:hAnsi="Tahoma"/>
    </w:rPr>
  </w:style>
  <w:style w:type="paragraph" w:styleId="8">
    <w:name w:val="Body Text"/>
    <w:basedOn w:val="1"/>
    <w:next w:val="9"/>
    <w:link w:val="35"/>
    <w:qFormat/>
    <w:uiPriority w:val="0"/>
    <w:pPr>
      <w:spacing w:after="120"/>
    </w:pPr>
    <w:rPr>
      <w:rFonts w:ascii="Calibri" w:hAnsi="Calibri"/>
    </w:rPr>
  </w:style>
  <w:style w:type="paragraph" w:styleId="9">
    <w:name w:val="Body Text First Indent"/>
    <w:basedOn w:val="8"/>
    <w:next w:val="1"/>
    <w:link w:val="94"/>
    <w:qFormat/>
    <w:uiPriority w:val="0"/>
    <w:pPr>
      <w:autoSpaceDE w:val="0"/>
      <w:autoSpaceDN w:val="0"/>
      <w:adjustRightInd w:val="0"/>
      <w:spacing w:after="0"/>
      <w:jc w:val="left"/>
    </w:pPr>
    <w:rPr>
      <w:kern w:val="0"/>
      <w:szCs w:val="20"/>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7"/>
    <w:qFormat/>
    <w:uiPriority w:val="99"/>
    <w:pPr>
      <w:spacing w:beforeLines="50" w:afterLines="50" w:line="400" w:lineRule="exact"/>
    </w:pPr>
    <w:rPr>
      <w:rFonts w:ascii="宋体" w:hAnsi="Courier New"/>
      <w:sz w:val="24"/>
    </w:rPr>
  </w:style>
  <w:style w:type="paragraph" w:styleId="13">
    <w:name w:val="Body Text Indent 2"/>
    <w:basedOn w:val="1"/>
    <w:link w:val="60"/>
    <w:unhideWhenUsed/>
    <w:qFormat/>
    <w:uiPriority w:val="99"/>
    <w:pPr>
      <w:spacing w:after="120" w:line="480" w:lineRule="auto"/>
      <w:ind w:left="420" w:leftChars="200"/>
    </w:pPr>
  </w:style>
  <w:style w:type="paragraph" w:styleId="14">
    <w:name w:val="Balloon Text"/>
    <w:basedOn w:val="1"/>
    <w:link w:val="44"/>
    <w:unhideWhenUsed/>
    <w:qFormat/>
    <w:uiPriority w:val="0"/>
    <w:rPr>
      <w:sz w:val="18"/>
      <w:szCs w:val="18"/>
    </w:rPr>
  </w:style>
  <w:style w:type="paragraph" w:styleId="15">
    <w:name w:val="footer"/>
    <w:basedOn w:val="1"/>
    <w:link w:val="38"/>
    <w:unhideWhenUsed/>
    <w:qFormat/>
    <w:uiPriority w:val="0"/>
    <w:pPr>
      <w:tabs>
        <w:tab w:val="center" w:pos="4153"/>
        <w:tab w:val="right" w:pos="8306"/>
      </w:tabs>
      <w:snapToGrid w:val="0"/>
      <w:jc w:val="left"/>
    </w:pPr>
    <w:rPr>
      <w:sz w:val="18"/>
      <w:szCs w:val="18"/>
    </w:rPr>
  </w:style>
  <w:style w:type="paragraph" w:styleId="1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paragraph" w:styleId="23">
    <w:name w:val="Body Text First Indent 2"/>
    <w:basedOn w:val="2"/>
    <w:link w:val="41"/>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列出段落1"/>
    <w:basedOn w:val="1"/>
    <w:qFormat/>
    <w:uiPriority w:val="0"/>
    <w:pPr>
      <w:spacing w:line="360" w:lineRule="auto"/>
      <w:ind w:firstLine="420" w:firstLineChars="200"/>
    </w:pPr>
    <w:rPr>
      <w:rFonts w:ascii="Calibri" w:hAnsi="Calibri"/>
      <w:szCs w:val="22"/>
    </w:rPr>
  </w:style>
  <w:style w:type="character" w:customStyle="1" w:styleId="34">
    <w:name w:val="标题 2 Char"/>
    <w:basedOn w:val="26"/>
    <w:link w:val="4"/>
    <w:qFormat/>
    <w:uiPriority w:val="0"/>
    <w:rPr>
      <w:rFonts w:ascii="宋体" w:hAnsi="宋体" w:eastAsia="宋体" w:cs="Times New Roman"/>
      <w:b/>
      <w:bCs/>
      <w:sz w:val="24"/>
      <w:szCs w:val="24"/>
    </w:rPr>
  </w:style>
  <w:style w:type="character" w:customStyle="1" w:styleId="35">
    <w:name w:val="正文文本 Char"/>
    <w:basedOn w:val="26"/>
    <w:link w:val="8"/>
    <w:qFormat/>
    <w:uiPriority w:val="0"/>
    <w:rPr>
      <w:rFonts w:ascii="Calibri" w:hAnsi="Calibri" w:eastAsia="宋体" w:cs="Times New Roman"/>
      <w:szCs w:val="24"/>
    </w:rPr>
  </w:style>
  <w:style w:type="character" w:customStyle="1" w:styleId="36">
    <w:name w:val="正文文本缩进 Char"/>
    <w:basedOn w:val="26"/>
    <w:link w:val="2"/>
    <w:qFormat/>
    <w:uiPriority w:val="0"/>
    <w:rPr>
      <w:rFonts w:ascii="Calibri" w:hAnsi="Calibri" w:eastAsia="宋体" w:cs="Times New Roman"/>
      <w:szCs w:val="24"/>
    </w:rPr>
  </w:style>
  <w:style w:type="character" w:customStyle="1" w:styleId="37">
    <w:name w:val="纯文本 Char"/>
    <w:basedOn w:val="26"/>
    <w:link w:val="12"/>
    <w:qFormat/>
    <w:uiPriority w:val="99"/>
    <w:rPr>
      <w:rFonts w:ascii="宋体" w:hAnsi="Courier New" w:eastAsia="宋体" w:cs="Times New Roman"/>
      <w:sz w:val="24"/>
      <w:szCs w:val="24"/>
    </w:rPr>
  </w:style>
  <w:style w:type="character" w:customStyle="1" w:styleId="38">
    <w:name w:val="页脚 Char"/>
    <w:basedOn w:val="26"/>
    <w:link w:val="15"/>
    <w:qFormat/>
    <w:uiPriority w:val="0"/>
    <w:rPr>
      <w:rFonts w:ascii="Times New Roman" w:hAnsi="Times New Roman" w:eastAsia="宋体" w:cs="Times New Roman"/>
      <w:sz w:val="18"/>
      <w:szCs w:val="18"/>
    </w:rPr>
  </w:style>
  <w:style w:type="character" w:customStyle="1" w:styleId="39">
    <w:name w:val="页眉 Char"/>
    <w:basedOn w:val="26"/>
    <w:link w:val="16"/>
    <w:qFormat/>
    <w:uiPriority w:val="0"/>
    <w:rPr>
      <w:rFonts w:ascii="Times New Roman" w:hAnsi="Times New Roman" w:eastAsia="宋体" w:cs="Times New Roman"/>
      <w:sz w:val="18"/>
      <w:szCs w:val="18"/>
    </w:rPr>
  </w:style>
  <w:style w:type="character" w:customStyle="1" w:styleId="40">
    <w:name w:val="正文文本 2 Char"/>
    <w:basedOn w:val="26"/>
    <w:link w:val="19"/>
    <w:qFormat/>
    <w:uiPriority w:val="0"/>
    <w:rPr>
      <w:rFonts w:ascii="宋体" w:hAnsi="宋体" w:eastAsia="宋体" w:cs="Times New Roman"/>
      <w:color w:val="000000"/>
      <w:sz w:val="24"/>
      <w:szCs w:val="24"/>
    </w:rPr>
  </w:style>
  <w:style w:type="character" w:customStyle="1" w:styleId="41">
    <w:name w:val="正文首行缩进 2 Char"/>
    <w:basedOn w:val="36"/>
    <w:link w:val="23"/>
    <w:semiHidden/>
    <w:qFormat/>
    <w:uiPriority w:val="99"/>
    <w:rPr>
      <w:rFonts w:ascii="Times New Roman" w:hAnsi="Times New Roman" w:eastAsia="宋体" w:cs="Times New Roman"/>
      <w:szCs w:val="24"/>
    </w:rPr>
  </w:style>
  <w:style w:type="paragraph" w:customStyle="1" w:styleId="42">
    <w:name w:val="*正文"/>
    <w:basedOn w:val="1"/>
    <w:link w:val="89"/>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Char"/>
    <w:basedOn w:val="26"/>
    <w:link w:val="14"/>
    <w:qFormat/>
    <w:uiPriority w:val="0"/>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Char"/>
    <w:basedOn w:val="26"/>
    <w:link w:val="6"/>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customStyle="1" w:styleId="48">
    <w:name w:val="列出段落112"/>
    <w:basedOn w:val="1"/>
    <w:link w:val="90"/>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Char"/>
    <w:basedOn w:val="26"/>
    <w:link w:val="3"/>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6"/>
    <w:link w:val="13"/>
    <w:semiHidden/>
    <w:qFormat/>
    <w:uiPriority w:val="99"/>
    <w:rPr>
      <w:rFonts w:ascii="Times New Roman" w:hAnsi="Times New Roman" w:eastAsia="宋体" w:cs="Times New Roman"/>
      <w:szCs w:val="24"/>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3">
    <w:name w:val="批注文字 Char"/>
    <w:basedOn w:val="26"/>
    <w:link w:val="7"/>
    <w:qFormat/>
    <w:uiPriority w:val="0"/>
    <w:rPr>
      <w:rFonts w:ascii="Tahoma" w:hAnsi="Tahoma" w:eastAsia="宋体" w:cs="Times New Roman"/>
      <w:szCs w:val="24"/>
    </w:rPr>
  </w:style>
  <w:style w:type="character" w:customStyle="1" w:styleId="64">
    <w:name w:val="font11"/>
    <w:basedOn w:val="26"/>
    <w:qFormat/>
    <w:uiPriority w:val="0"/>
    <w:rPr>
      <w:rFonts w:hint="eastAsia" w:ascii="宋体" w:hAnsi="宋体" w:eastAsia="宋体" w:cs="宋体"/>
      <w:color w:val="000000"/>
      <w:sz w:val="23"/>
      <w:szCs w:val="23"/>
      <w:u w:val="none"/>
    </w:rPr>
  </w:style>
  <w:style w:type="character" w:customStyle="1" w:styleId="65">
    <w:name w:val="font31"/>
    <w:basedOn w:val="26"/>
    <w:qFormat/>
    <w:uiPriority w:val="0"/>
    <w:rPr>
      <w:rFonts w:hint="default" w:ascii="Times New Roman" w:hAnsi="Times New Roman" w:cs="Times New Roman"/>
      <w:color w:val="000000"/>
      <w:sz w:val="23"/>
      <w:szCs w:val="23"/>
      <w:u w:val="none"/>
    </w:rPr>
  </w:style>
  <w:style w:type="character" w:customStyle="1" w:styleId="66">
    <w:name w:val="标题 3 Char"/>
    <w:link w:val="5"/>
    <w:qFormat/>
    <w:locked/>
    <w:uiPriority w:val="0"/>
    <w:rPr>
      <w:rFonts w:eastAsia="楷体_GB2312"/>
      <w:b/>
      <w:bCs/>
      <w:szCs w:val="32"/>
    </w:rPr>
  </w:style>
  <w:style w:type="character" w:customStyle="1" w:styleId="67">
    <w:name w:val="font21"/>
    <w:basedOn w:val="26"/>
    <w:qFormat/>
    <w:uiPriority w:val="0"/>
    <w:rPr>
      <w:rFonts w:hint="eastAsia" w:ascii="宋体" w:hAnsi="宋体" w:eastAsia="宋体" w:cs="宋体"/>
      <w:color w:val="000000"/>
      <w:sz w:val="23"/>
      <w:szCs w:val="23"/>
      <w:u w:val="none"/>
    </w:rPr>
  </w:style>
  <w:style w:type="character" w:customStyle="1" w:styleId="68">
    <w:name w:val="font51"/>
    <w:basedOn w:val="26"/>
    <w:qFormat/>
    <w:uiPriority w:val="0"/>
    <w:rPr>
      <w:rFonts w:hint="default" w:ascii="Times New Roman" w:hAnsi="Times New Roman" w:cs="Times New Roman"/>
      <w:color w:val="000000"/>
      <w:sz w:val="23"/>
      <w:szCs w:val="23"/>
      <w:u w:val="none"/>
    </w:rPr>
  </w:style>
  <w:style w:type="character" w:customStyle="1" w:styleId="69">
    <w:name w:val="font81"/>
    <w:basedOn w:val="26"/>
    <w:qFormat/>
    <w:uiPriority w:val="0"/>
    <w:rPr>
      <w:rFonts w:hint="default" w:ascii="Times New Roman" w:hAnsi="Times New Roman" w:cs="Times New Roman"/>
      <w:b/>
      <w:color w:val="000000"/>
      <w:sz w:val="23"/>
      <w:szCs w:val="23"/>
      <w:u w:val="none"/>
    </w:rPr>
  </w:style>
  <w:style w:type="paragraph" w:customStyle="1" w:styleId="70">
    <w:name w:val="_Style 2"/>
    <w:basedOn w:val="1"/>
    <w:qFormat/>
    <w:uiPriority w:val="34"/>
    <w:pPr>
      <w:autoSpaceDE w:val="0"/>
      <w:autoSpaceDN w:val="0"/>
      <w:adjustRightInd w:val="0"/>
      <w:ind w:firstLine="420" w:firstLineChars="200"/>
    </w:pPr>
    <w:rPr>
      <w:color w:val="000000"/>
      <w:kern w:val="0"/>
      <w:szCs w:val="21"/>
    </w:rPr>
  </w:style>
  <w:style w:type="paragraph" w:customStyle="1" w:styleId="71">
    <w:name w:val="00正文"/>
    <w:basedOn w:val="1"/>
    <w:qFormat/>
    <w:uiPriority w:val="0"/>
    <w:pPr>
      <w:snapToGrid w:val="0"/>
      <w:spacing w:line="360" w:lineRule="exact"/>
      <w:ind w:firstLine="200" w:firstLineChars="200"/>
    </w:pPr>
    <w:rPr>
      <w:szCs w:val="22"/>
    </w:rPr>
  </w:style>
  <w:style w:type="character" w:customStyle="1" w:styleId="72">
    <w:name w:val="HTML 预设格式 Char"/>
    <w:basedOn w:val="26"/>
    <w:link w:val="20"/>
    <w:semiHidden/>
    <w:qFormat/>
    <w:uiPriority w:val="99"/>
    <w:rPr>
      <w:rFonts w:ascii="宋体" w:hAnsi="宋体"/>
      <w:sz w:val="24"/>
      <w:szCs w:val="24"/>
    </w:rPr>
  </w:style>
  <w:style w:type="character" w:customStyle="1" w:styleId="73">
    <w:name w:val="font01"/>
    <w:basedOn w:val="26"/>
    <w:qFormat/>
    <w:uiPriority w:val="0"/>
    <w:rPr>
      <w:rFonts w:hint="eastAsia" w:ascii="宋体" w:hAnsi="宋体" w:eastAsia="宋体" w:cs="宋体"/>
      <w:b/>
      <w:color w:val="000000"/>
      <w:sz w:val="36"/>
      <w:szCs w:val="36"/>
      <w:u w:val="none"/>
      <w:vertAlign w:val="subscript"/>
    </w:rPr>
  </w:style>
  <w:style w:type="character" w:customStyle="1" w:styleId="74">
    <w:name w:val="font122"/>
    <w:basedOn w:val="26"/>
    <w:qFormat/>
    <w:uiPriority w:val="0"/>
    <w:rPr>
      <w:rFonts w:hint="eastAsia" w:ascii="宋体" w:hAnsi="宋体" w:eastAsia="宋体" w:cs="宋体"/>
      <w:color w:val="000000"/>
      <w:sz w:val="24"/>
      <w:szCs w:val="24"/>
      <w:u w:val="none"/>
    </w:rPr>
  </w:style>
  <w:style w:type="paragraph" w:customStyle="1" w:styleId="7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TOC 标题1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列出段落111"/>
    <w:basedOn w:val="1"/>
    <w:qFormat/>
    <w:uiPriority w:val="34"/>
    <w:pPr>
      <w:ind w:firstLine="420" w:firstLineChars="200"/>
    </w:pPr>
    <w:rPr>
      <w:rFonts w:ascii="Calibri" w:hAnsi="Calibri"/>
    </w:rPr>
  </w:style>
  <w:style w:type="paragraph" w:customStyle="1" w:styleId="79">
    <w:name w:val="Table Paragraph"/>
    <w:basedOn w:val="1"/>
    <w:qFormat/>
    <w:uiPriority w:val="1"/>
    <w:rPr>
      <w:rFonts w:ascii="仿宋" w:hAnsi="仿宋" w:eastAsia="仿宋" w:cs="仿宋"/>
      <w:lang w:val="zh-CN" w:bidi="zh-CN"/>
    </w:rPr>
  </w:style>
  <w:style w:type="character" w:customStyle="1" w:styleId="80">
    <w:name w:val="font71"/>
    <w:basedOn w:val="26"/>
    <w:qFormat/>
    <w:uiPriority w:val="0"/>
    <w:rPr>
      <w:rFonts w:hint="eastAsia" w:ascii="微软雅黑" w:hAnsi="微软雅黑" w:eastAsia="微软雅黑" w:cs="微软雅黑"/>
      <w:color w:val="000000"/>
      <w:sz w:val="18"/>
      <w:szCs w:val="18"/>
      <w:u w:val="none"/>
    </w:rPr>
  </w:style>
  <w:style w:type="character" w:customStyle="1" w:styleId="81">
    <w:name w:val="font91"/>
    <w:basedOn w:val="26"/>
    <w:qFormat/>
    <w:uiPriority w:val="0"/>
    <w:rPr>
      <w:rFonts w:ascii="Arial" w:hAnsi="Arial" w:cs="Arial"/>
      <w:color w:val="000000"/>
      <w:sz w:val="22"/>
      <w:szCs w:val="22"/>
      <w:u w:val="none"/>
    </w:rPr>
  </w:style>
  <w:style w:type="paragraph" w:customStyle="1" w:styleId="82">
    <w:name w:val="段落样式"/>
    <w:basedOn w:val="1"/>
    <w:next w:val="48"/>
    <w:qFormat/>
    <w:uiPriority w:val="0"/>
    <w:pPr>
      <w:ind w:firstLine="420" w:firstLineChars="200"/>
    </w:pPr>
    <w:rPr>
      <w:rFonts w:ascii="Calibri" w:hAnsi="Calibri" w:cs="Calibri"/>
      <w:sz w:val="20"/>
      <w:szCs w:val="20"/>
    </w:rPr>
  </w:style>
  <w:style w:type="paragraph" w:customStyle="1" w:styleId="83">
    <w:name w:val="列出段落11"/>
    <w:basedOn w:val="1"/>
    <w:qFormat/>
    <w:uiPriority w:val="34"/>
    <w:pPr>
      <w:ind w:firstLine="420" w:firstLineChars="200"/>
    </w:pPr>
    <w:rPr>
      <w:rFonts w:ascii="宋体" w:hAnsi="宋体" w:cs="Calibri"/>
      <w:sz w:val="24"/>
    </w:rPr>
  </w:style>
  <w:style w:type="paragraph" w:customStyle="1" w:styleId="8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5">
    <w:name w:val="正文360首行缩进"/>
    <w:basedOn w:val="1"/>
    <w:qFormat/>
    <w:uiPriority w:val="0"/>
    <w:pPr>
      <w:widowControl/>
      <w:spacing w:before="120" w:line="300" w:lineRule="auto"/>
      <w:ind w:firstLine="200" w:firstLineChars="200"/>
      <w:jc w:val="left"/>
    </w:pPr>
    <w:rPr>
      <w:sz w:val="24"/>
      <w:szCs w:val="20"/>
    </w:rPr>
  </w:style>
  <w:style w:type="paragraph" w:customStyle="1" w:styleId="86">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7">
    <w:name w:val="Table Normal"/>
    <w:qFormat/>
    <w:uiPriority w:val="0"/>
    <w:tblPr>
      <w:tblLayout w:type="fixed"/>
      <w:tblCellMar>
        <w:top w:w="0" w:type="dxa"/>
        <w:left w:w="0" w:type="dxa"/>
        <w:bottom w:w="0" w:type="dxa"/>
        <w:right w:w="0" w:type="dxa"/>
      </w:tblCellMar>
    </w:tblPr>
  </w:style>
  <w:style w:type="character" w:customStyle="1" w:styleId="88">
    <w:name w:val="列表段落 字符"/>
    <w:qFormat/>
    <w:uiPriority w:val="34"/>
    <w:rPr>
      <w:rFonts w:ascii="Calibri" w:hAnsi="Calibri" w:eastAsia="宋体" w:cs="Times New Roman"/>
      <w:szCs w:val="22"/>
    </w:rPr>
  </w:style>
  <w:style w:type="character" w:customStyle="1" w:styleId="89">
    <w:name w:val="*正文 Char"/>
    <w:link w:val="42"/>
    <w:qFormat/>
    <w:uiPriority w:val="0"/>
    <w:rPr>
      <w:rFonts w:ascii="宋体" w:hAnsi="宋体" w:cstheme="minorBidi"/>
      <w:kern w:val="2"/>
      <w:sz w:val="22"/>
      <w:szCs w:val="24"/>
    </w:rPr>
  </w:style>
  <w:style w:type="character" w:customStyle="1" w:styleId="90">
    <w:name w:val="列出段落 Char"/>
    <w:link w:val="48"/>
    <w:qFormat/>
    <w:uiPriority w:val="34"/>
    <w:rPr>
      <w:rFonts w:ascii="Calibri" w:hAnsi="Calibri" w:cs="黑体"/>
      <w:kern w:val="2"/>
      <w:sz w:val="21"/>
      <w:szCs w:val="24"/>
    </w:rPr>
  </w:style>
  <w:style w:type="character" w:customStyle="1" w:styleId="91">
    <w:name w:val="ant-form-item-children"/>
    <w:basedOn w:val="26"/>
    <w:qFormat/>
    <w:uiPriority w:val="0"/>
  </w:style>
  <w:style w:type="paragraph" w:customStyle="1" w:styleId="92">
    <w:name w:val="段"/>
    <w:basedOn w:val="1"/>
    <w:qFormat/>
    <w:uiPriority w:val="0"/>
    <w:pPr>
      <w:widowControl/>
      <w:autoSpaceDE w:val="0"/>
      <w:autoSpaceDN w:val="0"/>
      <w:ind w:firstLine="200" w:firstLineChars="200"/>
    </w:pPr>
    <w:rPr>
      <w:rFonts w:ascii="宋体"/>
      <w:kern w:val="0"/>
    </w:rPr>
  </w:style>
  <w:style w:type="paragraph" w:customStyle="1" w:styleId="93">
    <w:name w:val="样式 正文2 + 仿宋_GB2312 黑色 段前: 0 磅 行距: 固定值 23 磅"/>
    <w:basedOn w:val="59"/>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4">
    <w:name w:val="正文首行缩进 Char"/>
    <w:link w:val="9"/>
    <w:qFormat/>
    <w:uiPriority w:val="0"/>
    <w:rPr>
      <w:rFonts w:hint="default" w:ascii="Times New Roman" w:hAnsi="Times New Roman" w:eastAsia="宋体" w:cs="Times New Roman"/>
      <w:szCs w:val="21"/>
    </w:rPr>
  </w:style>
  <w:style w:type="paragraph" w:customStyle="1" w:styleId="95">
    <w:name w:val="BodyText1I2"/>
    <w:basedOn w:val="96"/>
    <w:qFormat/>
    <w:uiPriority w:val="0"/>
    <w:pPr>
      <w:ind w:firstLine="420"/>
    </w:pPr>
  </w:style>
  <w:style w:type="paragraph" w:customStyle="1" w:styleId="96">
    <w:name w:val="BodyTextIndent"/>
    <w:basedOn w:val="1"/>
    <w:qFormat/>
    <w:uiPriority w:val="0"/>
    <w:pPr>
      <w:spacing w:before="100" w:beforeAutospacing="1" w:after="120"/>
      <w:ind w:left="420" w:leftChars="200"/>
      <w:textAlignment w:val="baseline"/>
    </w:pPr>
  </w:style>
  <w:style w:type="paragraph" w:customStyle="1" w:styleId="97">
    <w:name w:val="样式3"/>
    <w:basedOn w:val="12"/>
    <w:next w:val="1"/>
    <w:qFormat/>
    <w:uiPriority w:val="0"/>
    <w:pPr>
      <w:spacing w:line="0" w:lineRule="atLeast"/>
      <w:outlineLvl w:val="0"/>
    </w:pPr>
    <w:rPr>
      <w:sz w:val="28"/>
      <w:szCs w:val="28"/>
    </w:rPr>
  </w:style>
  <w:style w:type="paragraph" w:customStyle="1" w:styleId="98">
    <w:name w:val="正文3"/>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5790</Words>
  <Characters>33005</Characters>
  <Lines>275</Lines>
  <Paragraphs>77</Paragraphs>
  <TotalTime>292</TotalTime>
  <ScaleCrop>false</ScaleCrop>
  <LinksUpToDate>false</LinksUpToDate>
  <CharactersWithSpaces>38718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2020-10-14T15:13:00Z</dcterms:created>
  <dc:creator>gf</dc:creator>
  <cp:lastModifiedBy>Administrator</cp:lastModifiedBy>
  <cp:lastPrinted>2024-09-23T02:43:00Z</cp:lastPrinted>
  <dcterms:modified xsi:type="dcterms:W3CDTF">2024-09-29T01:36:11Z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