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spacing w:line="1000" w:lineRule="exact"/>
        <w:jc w:val="center"/>
        <w:textAlignment w:val="auto"/>
        <w:rPr>
          <w:rFonts w:hint="eastAsia" w:ascii="宋体" w:hAnsi="宋体"/>
          <w:b/>
          <w:color w:val="auto"/>
          <w:spacing w:val="-34"/>
          <w:sz w:val="52"/>
          <w:szCs w:val="52"/>
          <w:highlight w:val="none"/>
          <w:lang w:eastAsia="zh-CN"/>
        </w:rPr>
      </w:pPr>
      <w:r>
        <w:rPr>
          <w:rFonts w:hint="eastAsia" w:ascii="宋体" w:hAnsi="宋体"/>
          <w:b/>
          <w:color w:val="auto"/>
          <w:spacing w:val="0"/>
          <w:sz w:val="52"/>
          <w:szCs w:val="52"/>
          <w:highlight w:val="none"/>
          <w:lang w:eastAsia="zh-CN"/>
        </w:rPr>
        <w:t>宁海法院安保等综合服务项目</w:t>
      </w:r>
    </w:p>
    <w:p>
      <w:pPr>
        <w:keepNext w:val="0"/>
        <w:keepLines w:val="0"/>
        <w:pageBreakBefore w:val="0"/>
        <w:widowControl/>
        <w:shd w:val="clear" w:color="auto" w:fill="FFFFFF"/>
        <w:kinsoku/>
        <w:wordWrap/>
        <w:overflowPunct/>
        <w:topLinePunct w:val="0"/>
        <w:autoSpaceDE/>
        <w:autoSpaceDN/>
        <w:bidi w:val="0"/>
        <w:adjustRightInd/>
        <w:snapToGrid/>
        <w:spacing w:line="1000" w:lineRule="exact"/>
        <w:jc w:val="center"/>
        <w:textAlignment w:val="auto"/>
        <w:rPr>
          <w:rFonts w:hint="default" w:ascii="宋体" w:hAnsi="宋体" w:eastAsia="宋体"/>
          <w:b/>
          <w:color w:val="auto"/>
          <w:sz w:val="44"/>
          <w:szCs w:val="44"/>
          <w:highlight w:val="none"/>
          <w:lang w:val="en-US" w:eastAsia="zh-CN"/>
        </w:rPr>
      </w:pPr>
      <w:r>
        <w:rPr>
          <w:rFonts w:hint="eastAsia" w:ascii="宋体" w:hAnsi="宋体"/>
          <w:b/>
          <w:color w:val="auto"/>
          <w:sz w:val="44"/>
          <w:szCs w:val="44"/>
          <w:highlight w:val="none"/>
        </w:rPr>
        <w:t>项目编号：</w:t>
      </w:r>
      <w:r>
        <w:rPr>
          <w:rFonts w:hint="eastAsia" w:ascii="宋体" w:hAnsi="宋体"/>
          <w:b/>
          <w:color w:val="auto"/>
          <w:sz w:val="44"/>
          <w:szCs w:val="44"/>
          <w:highlight w:val="none"/>
          <w:lang w:eastAsia="zh-CN"/>
        </w:rPr>
        <w:t>NHZFCG-Z2025004</w:t>
      </w:r>
    </w:p>
    <w:p>
      <w:pPr>
        <w:spacing w:line="800" w:lineRule="exact"/>
        <w:jc w:val="center"/>
        <w:rPr>
          <w:rFonts w:ascii="宋体" w:hAnsi="宋体"/>
          <w:b/>
          <w:color w:val="auto"/>
          <w:sz w:val="44"/>
          <w:szCs w:val="44"/>
          <w:highlight w:val="none"/>
        </w:rPr>
      </w:pPr>
    </w:p>
    <w:p>
      <w:pPr>
        <w:jc w:val="center"/>
        <w:rPr>
          <w:rFonts w:ascii="宋体" w:hAnsi="宋体"/>
          <w:b/>
          <w:color w:val="auto"/>
          <w:sz w:val="36"/>
          <w:szCs w:val="36"/>
          <w:highlight w:val="none"/>
        </w:rPr>
      </w:pPr>
    </w:p>
    <w:p>
      <w:pPr>
        <w:spacing w:line="240" w:lineRule="exact"/>
        <w:jc w:val="center"/>
        <w:rPr>
          <w:rFonts w:ascii="宋体" w:hAnsi="宋体"/>
          <w:b/>
          <w:color w:val="auto"/>
          <w:sz w:val="36"/>
          <w:szCs w:val="36"/>
          <w:highlight w:val="none"/>
          <w:u w:val="single"/>
        </w:rPr>
      </w:pPr>
    </w:p>
    <w:p>
      <w:pPr>
        <w:spacing w:line="240" w:lineRule="exact"/>
        <w:jc w:val="center"/>
        <w:rPr>
          <w:rFonts w:ascii="宋体" w:hAnsi="宋体"/>
          <w:b/>
          <w:color w:val="auto"/>
          <w:sz w:val="36"/>
          <w:szCs w:val="36"/>
          <w:highlight w:val="none"/>
          <w:u w:val="single"/>
        </w:rPr>
      </w:pPr>
    </w:p>
    <w:p>
      <w:pPr>
        <w:spacing w:line="240" w:lineRule="exact"/>
        <w:jc w:val="center"/>
        <w:rPr>
          <w:rFonts w:ascii="宋体" w:hAnsi="宋体"/>
          <w:b/>
          <w:color w:val="auto"/>
          <w:sz w:val="36"/>
          <w:szCs w:val="36"/>
          <w:highlight w:val="none"/>
          <w:u w:val="single"/>
        </w:rPr>
      </w:pPr>
    </w:p>
    <w:p>
      <w:pPr>
        <w:spacing w:line="240" w:lineRule="exact"/>
        <w:rPr>
          <w:rFonts w:ascii="宋体" w:hAnsi="宋体"/>
          <w:b/>
          <w:color w:val="auto"/>
          <w:sz w:val="36"/>
          <w:szCs w:val="36"/>
          <w:highlight w:val="none"/>
          <w:u w:val="single"/>
        </w:rPr>
      </w:pPr>
    </w:p>
    <w:p>
      <w:pPr>
        <w:jc w:val="center"/>
        <w:rPr>
          <w:rFonts w:ascii="宋体" w:hAnsi="宋体"/>
          <w:b/>
          <w:color w:val="auto"/>
          <w:sz w:val="84"/>
          <w:szCs w:val="84"/>
          <w:highlight w:val="none"/>
        </w:rPr>
      </w:pPr>
      <w:r>
        <w:rPr>
          <w:rFonts w:hint="eastAsia" w:ascii="宋体" w:hAnsi="宋体"/>
          <w:b/>
          <w:color w:val="auto"/>
          <w:sz w:val="84"/>
          <w:szCs w:val="84"/>
          <w:highlight w:val="none"/>
        </w:rPr>
        <w:t>招</w:t>
      </w:r>
    </w:p>
    <w:p>
      <w:pPr>
        <w:jc w:val="center"/>
        <w:rPr>
          <w:rFonts w:ascii="宋体" w:hAnsi="宋体"/>
          <w:b/>
          <w:color w:val="auto"/>
          <w:sz w:val="84"/>
          <w:szCs w:val="84"/>
          <w:highlight w:val="none"/>
        </w:rPr>
      </w:pPr>
      <w:r>
        <w:rPr>
          <w:rFonts w:hint="eastAsia" w:ascii="宋体" w:hAnsi="宋体"/>
          <w:b/>
          <w:color w:val="auto"/>
          <w:sz w:val="84"/>
          <w:szCs w:val="84"/>
          <w:highlight w:val="none"/>
        </w:rPr>
        <w:t>标</w:t>
      </w:r>
    </w:p>
    <w:p>
      <w:pPr>
        <w:jc w:val="center"/>
        <w:rPr>
          <w:rFonts w:ascii="宋体" w:hAnsi="宋体"/>
          <w:b/>
          <w:color w:val="auto"/>
          <w:sz w:val="84"/>
          <w:szCs w:val="84"/>
          <w:highlight w:val="none"/>
        </w:rPr>
      </w:pPr>
      <w:r>
        <w:rPr>
          <w:rFonts w:hint="eastAsia" w:ascii="宋体" w:hAnsi="宋体"/>
          <w:b/>
          <w:color w:val="auto"/>
          <w:sz w:val="84"/>
          <w:szCs w:val="84"/>
          <w:highlight w:val="none"/>
        </w:rPr>
        <w:t>文</w:t>
      </w:r>
    </w:p>
    <w:p>
      <w:pPr>
        <w:jc w:val="center"/>
        <w:rPr>
          <w:rFonts w:ascii="宋体" w:hAnsi="宋体"/>
          <w:b/>
          <w:color w:val="auto"/>
          <w:sz w:val="84"/>
          <w:szCs w:val="84"/>
          <w:highlight w:val="none"/>
        </w:rPr>
      </w:pPr>
      <w:r>
        <w:rPr>
          <w:rFonts w:hint="eastAsia" w:ascii="宋体" w:hAnsi="宋体"/>
          <w:b/>
          <w:color w:val="auto"/>
          <w:sz w:val="84"/>
          <w:szCs w:val="84"/>
          <w:highlight w:val="none"/>
        </w:rPr>
        <w:t>件</w:t>
      </w:r>
    </w:p>
    <w:p>
      <w:pPr>
        <w:spacing w:line="240" w:lineRule="exact"/>
        <w:jc w:val="center"/>
        <w:rPr>
          <w:rFonts w:ascii="宋体" w:hAnsi="宋体"/>
          <w:b/>
          <w:color w:val="auto"/>
          <w:sz w:val="36"/>
          <w:szCs w:val="36"/>
          <w:highlight w:val="none"/>
        </w:rPr>
      </w:pPr>
    </w:p>
    <w:p>
      <w:pPr>
        <w:spacing w:line="240" w:lineRule="exact"/>
        <w:jc w:val="center"/>
        <w:rPr>
          <w:rFonts w:ascii="宋体" w:hAnsi="宋体"/>
          <w:b/>
          <w:color w:val="auto"/>
          <w:sz w:val="36"/>
          <w:szCs w:val="36"/>
          <w:highlight w:val="none"/>
        </w:rPr>
      </w:pPr>
    </w:p>
    <w:p>
      <w:pPr>
        <w:spacing w:line="240" w:lineRule="exact"/>
        <w:jc w:val="center"/>
        <w:rPr>
          <w:rFonts w:ascii="宋体" w:hAnsi="宋体"/>
          <w:b/>
          <w:color w:val="auto"/>
          <w:sz w:val="36"/>
          <w:szCs w:val="36"/>
          <w:highlight w:val="none"/>
        </w:rPr>
      </w:pPr>
    </w:p>
    <w:p>
      <w:pPr>
        <w:spacing w:line="240" w:lineRule="exact"/>
        <w:jc w:val="center"/>
        <w:rPr>
          <w:rFonts w:ascii="宋体" w:hAnsi="宋体"/>
          <w:b/>
          <w:color w:val="auto"/>
          <w:sz w:val="36"/>
          <w:szCs w:val="36"/>
          <w:highlight w:val="none"/>
        </w:rPr>
      </w:pPr>
    </w:p>
    <w:p>
      <w:pPr>
        <w:pStyle w:val="34"/>
        <w:rPr>
          <w:color w:val="auto"/>
          <w:highlight w:val="none"/>
        </w:rPr>
      </w:pPr>
    </w:p>
    <w:p>
      <w:pPr>
        <w:spacing w:line="240" w:lineRule="exact"/>
        <w:rPr>
          <w:rFonts w:ascii="宋体" w:hAnsi="宋体"/>
          <w:b/>
          <w:color w:val="auto"/>
          <w:sz w:val="36"/>
          <w:szCs w:val="36"/>
          <w:highlight w:val="none"/>
        </w:rPr>
      </w:pPr>
    </w:p>
    <w:p>
      <w:pPr>
        <w:pStyle w:val="34"/>
        <w:rPr>
          <w:color w:val="auto"/>
          <w:highlight w:val="none"/>
        </w:rPr>
      </w:pPr>
    </w:p>
    <w:p>
      <w:pPr>
        <w:spacing w:line="240" w:lineRule="exact"/>
        <w:rPr>
          <w:rFonts w:ascii="宋体" w:hAnsi="宋体"/>
          <w:b/>
          <w:color w:val="auto"/>
          <w:sz w:val="36"/>
          <w:szCs w:val="36"/>
          <w:highlight w:val="none"/>
        </w:rPr>
      </w:pPr>
    </w:p>
    <w:p>
      <w:pPr>
        <w:pStyle w:val="34"/>
        <w:keepNext w:val="0"/>
        <w:keepLines w:val="0"/>
        <w:pageBreakBefore w:val="0"/>
        <w:widowControl w:val="0"/>
        <w:kinsoku/>
        <w:wordWrap/>
        <w:overflowPunct/>
        <w:topLinePunct w:val="0"/>
        <w:autoSpaceDE/>
        <w:autoSpaceDN/>
        <w:bidi w:val="0"/>
        <w:adjustRightInd/>
        <w:snapToGrid/>
        <w:spacing w:line="240" w:lineRule="exact"/>
        <w:textAlignment w:val="auto"/>
        <w:rPr>
          <w:color w:val="auto"/>
          <w:highlight w:val="none"/>
        </w:rPr>
      </w:pPr>
    </w:p>
    <w:p>
      <w:pPr>
        <w:keepNext w:val="0"/>
        <w:keepLines w:val="0"/>
        <w:pageBreakBefore w:val="0"/>
        <w:widowControl w:val="0"/>
        <w:tabs>
          <w:tab w:val="left" w:pos="7004"/>
          <w:tab w:val="left" w:pos="7313"/>
        </w:tabs>
        <w:kinsoku/>
        <w:wordWrap/>
        <w:overflowPunct/>
        <w:topLinePunct w:val="0"/>
        <w:autoSpaceDE/>
        <w:autoSpaceDN/>
        <w:bidi w:val="0"/>
        <w:adjustRightInd/>
        <w:snapToGrid/>
        <w:spacing w:line="800" w:lineRule="exact"/>
        <w:jc w:val="center"/>
        <w:textAlignment w:val="auto"/>
        <w:rPr>
          <w:rFonts w:hint="eastAsia" w:asciiTheme="majorEastAsia" w:hAnsiTheme="majorEastAsia" w:eastAsiaTheme="majorEastAsia" w:cstheme="majorEastAsia"/>
          <w:b/>
          <w:color w:val="auto"/>
          <w:spacing w:val="-20"/>
          <w:sz w:val="44"/>
          <w:szCs w:val="44"/>
          <w:highlight w:val="none"/>
          <w:lang w:eastAsia="zh-CN"/>
        </w:rPr>
      </w:pPr>
      <w:r>
        <w:rPr>
          <w:rFonts w:hint="eastAsia" w:asciiTheme="majorEastAsia" w:hAnsiTheme="majorEastAsia" w:eastAsiaTheme="majorEastAsia" w:cstheme="majorEastAsia"/>
          <w:b/>
          <w:color w:val="auto"/>
          <w:spacing w:val="-20"/>
          <w:sz w:val="44"/>
          <w:szCs w:val="44"/>
          <w:highlight w:val="none"/>
          <w:lang w:eastAsia="zh-CN"/>
        </w:rPr>
        <w:t>宁海县人民法院</w:t>
      </w:r>
    </w:p>
    <w:p>
      <w:pPr>
        <w:keepNext w:val="0"/>
        <w:keepLines w:val="0"/>
        <w:pageBreakBefore w:val="0"/>
        <w:widowControl w:val="0"/>
        <w:tabs>
          <w:tab w:val="left" w:pos="7004"/>
          <w:tab w:val="left" w:pos="7313"/>
        </w:tabs>
        <w:kinsoku/>
        <w:wordWrap/>
        <w:overflowPunct/>
        <w:topLinePunct w:val="0"/>
        <w:autoSpaceDE/>
        <w:autoSpaceDN/>
        <w:bidi w:val="0"/>
        <w:adjustRightInd/>
        <w:snapToGrid/>
        <w:spacing w:line="800" w:lineRule="exact"/>
        <w:jc w:val="center"/>
        <w:textAlignment w:val="auto"/>
        <w:rPr>
          <w:rFonts w:hint="eastAsia" w:asciiTheme="majorEastAsia" w:hAnsiTheme="majorEastAsia" w:eastAsiaTheme="majorEastAsia" w:cstheme="majorEastAsia"/>
          <w:b/>
          <w:color w:val="auto"/>
          <w:sz w:val="44"/>
          <w:szCs w:val="44"/>
          <w:highlight w:val="none"/>
        </w:rPr>
      </w:pPr>
      <w:r>
        <w:rPr>
          <w:rFonts w:hint="eastAsia" w:asciiTheme="majorEastAsia" w:hAnsiTheme="majorEastAsia" w:eastAsiaTheme="majorEastAsia" w:cstheme="majorEastAsia"/>
          <w:b/>
          <w:color w:val="auto"/>
          <w:sz w:val="44"/>
          <w:szCs w:val="44"/>
          <w:highlight w:val="none"/>
        </w:rPr>
        <w:t>二〇二</w:t>
      </w:r>
      <w:r>
        <w:rPr>
          <w:rFonts w:hint="eastAsia" w:asciiTheme="majorEastAsia" w:hAnsiTheme="majorEastAsia" w:eastAsiaTheme="majorEastAsia" w:cstheme="majorEastAsia"/>
          <w:b/>
          <w:color w:val="auto"/>
          <w:sz w:val="44"/>
          <w:szCs w:val="44"/>
          <w:highlight w:val="none"/>
          <w:lang w:val="en-US" w:eastAsia="zh-CN"/>
        </w:rPr>
        <w:t>五</w:t>
      </w:r>
      <w:r>
        <w:rPr>
          <w:rFonts w:hint="eastAsia" w:asciiTheme="majorEastAsia" w:hAnsiTheme="majorEastAsia" w:eastAsiaTheme="majorEastAsia" w:cstheme="majorEastAsia"/>
          <w:b/>
          <w:color w:val="auto"/>
          <w:sz w:val="44"/>
          <w:szCs w:val="44"/>
          <w:highlight w:val="none"/>
        </w:rPr>
        <w:t>年</w:t>
      </w:r>
    </w:p>
    <w:p>
      <w:pPr>
        <w:pStyle w:val="12"/>
        <w:keepNext w:val="0"/>
        <w:keepLines w:val="0"/>
        <w:pageBreakBefore w:val="0"/>
        <w:widowControl w:val="0"/>
        <w:kinsoku/>
        <w:wordWrap/>
        <w:overflowPunct/>
        <w:topLinePunct w:val="0"/>
        <w:autoSpaceDE/>
        <w:autoSpaceDN/>
        <w:bidi w:val="0"/>
        <w:adjustRightInd/>
        <w:snapToGrid/>
        <w:spacing w:beforeLines="0" w:afterLines="0" w:line="800" w:lineRule="exact"/>
        <w:jc w:val="center"/>
        <w:textAlignment w:val="auto"/>
        <w:rPr>
          <w:rFonts w:hint="eastAsia" w:asciiTheme="majorEastAsia" w:hAnsiTheme="majorEastAsia" w:eastAsiaTheme="majorEastAsia" w:cstheme="majorEastAsia"/>
          <w:color w:val="auto"/>
          <w:sz w:val="44"/>
          <w:szCs w:val="44"/>
          <w:highlight w:val="none"/>
        </w:rPr>
        <w:sectPr>
          <w:pgSz w:w="11906" w:h="16838"/>
          <w:pgMar w:top="1440" w:right="1800" w:bottom="1440" w:left="1800" w:header="851" w:footer="992" w:gutter="0"/>
          <w:cols w:space="425" w:num="1"/>
          <w:docGrid w:type="lines" w:linePitch="312" w:charSpace="0"/>
        </w:sectPr>
      </w:pPr>
    </w:p>
    <w:p>
      <w:pPr>
        <w:pStyle w:val="12"/>
        <w:spacing w:beforeLines="0" w:afterLines="0" w:line="360" w:lineRule="auto"/>
        <w:jc w:val="center"/>
        <w:rPr>
          <w:rFonts w:hAnsi="宋体"/>
          <w:color w:val="auto"/>
          <w:highlight w:val="none"/>
        </w:rPr>
      </w:pPr>
    </w:p>
    <w:p>
      <w:pPr>
        <w:pStyle w:val="12"/>
        <w:spacing w:beforeLines="0" w:afterLines="0" w:line="360" w:lineRule="auto"/>
        <w:jc w:val="center"/>
        <w:rPr>
          <w:rFonts w:hAnsi="宋体"/>
          <w:color w:val="auto"/>
          <w:highlight w:val="none"/>
        </w:rPr>
      </w:pPr>
    </w:p>
    <w:p>
      <w:pPr>
        <w:pStyle w:val="12"/>
        <w:spacing w:beforeLines="0" w:afterLines="0" w:line="360" w:lineRule="auto"/>
        <w:jc w:val="center"/>
        <w:rPr>
          <w:rFonts w:hAnsi="宋体"/>
          <w:color w:val="auto"/>
          <w:sz w:val="44"/>
          <w:szCs w:val="44"/>
          <w:highlight w:val="none"/>
        </w:rPr>
      </w:pPr>
      <w:r>
        <w:rPr>
          <w:rFonts w:hint="eastAsia" w:hAnsi="宋体"/>
          <w:color w:val="auto"/>
          <w:sz w:val="44"/>
          <w:szCs w:val="44"/>
          <w:highlight w:val="none"/>
        </w:rPr>
        <w:t>目    录</w:t>
      </w:r>
    </w:p>
    <w:p>
      <w:pPr>
        <w:rPr>
          <w:rFonts w:ascii="宋体" w:hAnsi="宋体"/>
          <w:b/>
          <w:color w:val="auto"/>
          <w:sz w:val="28"/>
          <w:szCs w:val="28"/>
          <w:highlight w:val="none"/>
        </w:rPr>
      </w:pPr>
    </w:p>
    <w:p>
      <w:pPr>
        <w:spacing w:line="800" w:lineRule="exact"/>
        <w:ind w:left="561"/>
        <w:rPr>
          <w:rFonts w:ascii="宋体" w:hAnsi="宋体"/>
          <w:color w:val="auto"/>
          <w:sz w:val="28"/>
          <w:szCs w:val="28"/>
          <w:highlight w:val="none"/>
        </w:rPr>
      </w:pPr>
      <w:r>
        <w:rPr>
          <w:rFonts w:hint="eastAsia" w:ascii="宋体" w:hAnsi="宋体"/>
          <w:color w:val="auto"/>
          <w:sz w:val="28"/>
          <w:szCs w:val="28"/>
          <w:highlight w:val="none"/>
        </w:rPr>
        <w:t>第一章  招标公告</w:t>
      </w:r>
    </w:p>
    <w:p>
      <w:pPr>
        <w:spacing w:line="800" w:lineRule="exact"/>
        <w:ind w:left="561"/>
        <w:rPr>
          <w:rFonts w:ascii="宋体" w:hAnsi="宋体"/>
          <w:color w:val="auto"/>
          <w:sz w:val="28"/>
          <w:szCs w:val="28"/>
          <w:highlight w:val="none"/>
        </w:rPr>
      </w:pPr>
      <w:r>
        <w:rPr>
          <w:rFonts w:hint="eastAsia" w:ascii="宋体" w:hAnsi="宋体"/>
          <w:color w:val="auto"/>
          <w:sz w:val="28"/>
          <w:szCs w:val="28"/>
          <w:highlight w:val="none"/>
        </w:rPr>
        <w:t>第二章  采购需求</w:t>
      </w:r>
    </w:p>
    <w:p>
      <w:pPr>
        <w:spacing w:line="800" w:lineRule="exact"/>
        <w:ind w:left="561"/>
        <w:rPr>
          <w:rFonts w:ascii="宋体" w:hAnsi="宋体"/>
          <w:color w:val="auto"/>
          <w:sz w:val="28"/>
          <w:szCs w:val="28"/>
          <w:highlight w:val="none"/>
        </w:rPr>
      </w:pPr>
      <w:r>
        <w:rPr>
          <w:rFonts w:hint="eastAsia" w:ascii="宋体" w:hAnsi="宋体"/>
          <w:color w:val="auto"/>
          <w:sz w:val="28"/>
          <w:szCs w:val="28"/>
          <w:highlight w:val="none"/>
        </w:rPr>
        <w:t>第三章  投标人须知</w:t>
      </w:r>
    </w:p>
    <w:p>
      <w:pPr>
        <w:spacing w:line="800" w:lineRule="exact"/>
        <w:ind w:left="561"/>
        <w:rPr>
          <w:rFonts w:ascii="宋体" w:hAnsi="宋体"/>
          <w:color w:val="auto"/>
          <w:sz w:val="28"/>
          <w:szCs w:val="28"/>
          <w:highlight w:val="none"/>
        </w:rPr>
      </w:pPr>
      <w:r>
        <w:rPr>
          <w:rFonts w:hint="eastAsia" w:ascii="宋体" w:hAnsi="宋体"/>
          <w:color w:val="auto"/>
          <w:sz w:val="28"/>
          <w:szCs w:val="28"/>
          <w:highlight w:val="none"/>
        </w:rPr>
        <w:t>第四章  评标办法及评标标准</w:t>
      </w:r>
    </w:p>
    <w:p>
      <w:pPr>
        <w:spacing w:line="800" w:lineRule="exact"/>
        <w:ind w:left="561"/>
        <w:rPr>
          <w:rFonts w:ascii="宋体" w:hAnsi="宋体"/>
          <w:color w:val="auto"/>
          <w:sz w:val="28"/>
          <w:szCs w:val="28"/>
          <w:highlight w:val="none"/>
        </w:rPr>
      </w:pPr>
      <w:r>
        <w:rPr>
          <w:rFonts w:hint="eastAsia" w:ascii="宋体" w:hAnsi="宋体"/>
          <w:color w:val="auto"/>
          <w:sz w:val="28"/>
          <w:szCs w:val="28"/>
          <w:highlight w:val="none"/>
        </w:rPr>
        <w:t>第五章  政府采购合同主要条款</w:t>
      </w:r>
    </w:p>
    <w:p>
      <w:pPr>
        <w:spacing w:line="800" w:lineRule="exact"/>
        <w:ind w:left="561"/>
        <w:rPr>
          <w:rFonts w:ascii="宋体" w:hAnsi="宋体"/>
          <w:color w:val="auto"/>
          <w:sz w:val="28"/>
          <w:szCs w:val="28"/>
          <w:highlight w:val="none"/>
        </w:rPr>
      </w:pPr>
      <w:r>
        <w:rPr>
          <w:rFonts w:hint="eastAsia" w:ascii="宋体" w:hAnsi="宋体"/>
          <w:color w:val="auto"/>
          <w:sz w:val="28"/>
          <w:szCs w:val="28"/>
          <w:highlight w:val="none"/>
        </w:rPr>
        <w:t>第六章  投标文件格式</w:t>
      </w:r>
    </w:p>
    <w:p>
      <w:pPr>
        <w:spacing w:line="600" w:lineRule="exact"/>
        <w:rPr>
          <w:rFonts w:ascii="宋体" w:hAnsi="宋体"/>
          <w:color w:val="auto"/>
          <w:sz w:val="32"/>
          <w:szCs w:val="32"/>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line="240" w:lineRule="auto"/>
        <w:jc w:val="center"/>
        <w:outlineLvl w:val="0"/>
        <w:rPr>
          <w:rFonts w:hAnsi="宋体"/>
          <w:bCs/>
          <w:color w:val="auto"/>
          <w:highlight w:val="none"/>
        </w:rPr>
      </w:pPr>
    </w:p>
    <w:p>
      <w:pPr>
        <w:pStyle w:val="12"/>
        <w:snapToGrid w:val="0"/>
        <w:spacing w:beforeLines="0" w:afterLines="0"/>
        <w:jc w:val="center"/>
        <w:outlineLvl w:val="0"/>
        <w:rPr>
          <w:rFonts w:ascii="黑体" w:hAnsi="宋体" w:eastAsia="黑体"/>
          <w:b/>
          <w:bCs/>
          <w:color w:val="auto"/>
          <w:sz w:val="28"/>
          <w:szCs w:val="28"/>
          <w:highlight w:val="none"/>
        </w:rPr>
      </w:pPr>
      <w:r>
        <w:rPr>
          <w:rFonts w:hint="eastAsia" w:ascii="黑体" w:hAnsi="宋体" w:eastAsia="黑体"/>
          <w:b/>
          <w:bCs/>
          <w:color w:val="auto"/>
          <w:sz w:val="28"/>
          <w:szCs w:val="28"/>
          <w:highlight w:val="none"/>
        </w:rPr>
        <w:t>第一章  招标公告</w:t>
      </w:r>
    </w:p>
    <w:p>
      <w:pPr>
        <w:pStyle w:val="12"/>
        <w:keepNext w:val="0"/>
        <w:keepLines w:val="0"/>
        <w:pageBreakBefore w:val="0"/>
        <w:widowControl w:val="0"/>
        <w:kinsoku/>
        <w:wordWrap/>
        <w:overflowPunct/>
        <w:topLinePunct w:val="0"/>
        <w:autoSpaceDE/>
        <w:autoSpaceDN/>
        <w:bidi w:val="0"/>
        <w:adjustRightInd/>
        <w:snapToGrid w:val="0"/>
        <w:spacing w:beforeLines="0" w:afterLines="0" w:line="376" w:lineRule="exact"/>
        <w:jc w:val="center"/>
        <w:textAlignment w:val="auto"/>
        <w:outlineLvl w:val="0"/>
        <w:rPr>
          <w:rFonts w:hint="eastAsia" w:ascii="宋体" w:hAnsi="宋体" w:eastAsia="宋体" w:cs="宋体"/>
          <w:b/>
          <w:bCs/>
          <w:color w:val="auto"/>
          <w:sz w:val="21"/>
          <w:szCs w:val="21"/>
          <w:highlight w:val="none"/>
        </w:rPr>
      </w:pPr>
    </w:p>
    <w:tbl>
      <w:tblPr>
        <w:tblStyle w:val="24"/>
        <w:tblW w:w="8496" w:type="dxa"/>
        <w:tblInd w:w="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trPr>
        <w:tc>
          <w:tcPr>
            <w:tcW w:w="8496" w:type="dxa"/>
          </w:tcPr>
          <w:p>
            <w:pPr>
              <w:keepNext w:val="0"/>
              <w:keepLines w:val="0"/>
              <w:pageBreakBefore w:val="0"/>
              <w:widowControl w:val="0"/>
              <w:kinsoku/>
              <w:wordWrap/>
              <w:overflowPunct/>
              <w:topLinePunct w:val="0"/>
              <w:autoSpaceDE/>
              <w:autoSpaceDN/>
              <w:bidi w:val="0"/>
              <w:adjustRightInd/>
              <w:spacing w:line="376" w:lineRule="exact"/>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项目概况</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u w:val="single"/>
                <w:lang w:eastAsia="zh-CN"/>
              </w:rPr>
              <w:t>宁海法院安保等综合服务项目</w:t>
            </w:r>
            <w:r>
              <w:rPr>
                <w:rFonts w:hint="eastAsia" w:ascii="宋体" w:hAnsi="宋体" w:eastAsia="宋体" w:cs="宋体"/>
                <w:color w:val="auto"/>
                <w:sz w:val="21"/>
                <w:szCs w:val="21"/>
                <w:highlight w:val="none"/>
              </w:rPr>
              <w:t>招标项目的潜在投标人应在</w:t>
            </w:r>
            <w:r>
              <w:rPr>
                <w:rFonts w:hint="eastAsia" w:ascii="宋体" w:hAnsi="宋体" w:eastAsia="宋体" w:cs="宋体"/>
                <w:color w:val="auto"/>
                <w:sz w:val="21"/>
                <w:szCs w:val="21"/>
                <w:highlight w:val="none"/>
                <w:u w:val="single"/>
              </w:rPr>
              <w:t> 政府采购云平台（www.zcygov.cn） </w:t>
            </w:r>
            <w:r>
              <w:rPr>
                <w:rFonts w:hint="eastAsia" w:ascii="宋体" w:hAnsi="宋体" w:eastAsia="宋体" w:cs="宋体"/>
                <w:color w:val="auto"/>
                <w:sz w:val="21"/>
                <w:szCs w:val="21"/>
                <w:highlight w:val="none"/>
              </w:rPr>
              <w:t>获取（下载）招标文件，并于</w:t>
            </w:r>
            <w:r>
              <w:rPr>
                <w:rFonts w:hint="eastAsia" w:ascii="宋体" w:hAnsi="宋体" w:eastAsia="宋体" w:cs="宋体"/>
                <w:color w:val="auto"/>
                <w:sz w:val="21"/>
                <w:szCs w:val="21"/>
                <w:highlight w:val="none"/>
                <w:u w:val="single"/>
                <w:lang w:eastAsia="zh-CN"/>
              </w:rPr>
              <w:t>202</w:t>
            </w:r>
            <w:r>
              <w:rPr>
                <w:rFonts w:hint="eastAsia" w:ascii="宋体" w:hAnsi="宋体" w:eastAsia="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lang w:eastAsia="zh-CN"/>
              </w:rPr>
              <w:t>年</w:t>
            </w:r>
            <w:r>
              <w:rPr>
                <w:rFonts w:hint="eastAsia" w:ascii="宋体" w:hAnsi="宋体" w:cs="宋体"/>
                <w:color w:val="auto"/>
                <w:sz w:val="21"/>
                <w:szCs w:val="21"/>
                <w:highlight w:val="none"/>
                <w:u w:val="single"/>
                <w:lang w:val="en-US" w:eastAsia="zh-CN"/>
              </w:rPr>
              <w:t>03月28日</w:t>
            </w:r>
            <w:r>
              <w:rPr>
                <w:rFonts w:hint="eastAsia" w:ascii="宋体" w:hAnsi="宋体" w:eastAsia="宋体" w:cs="宋体"/>
                <w:color w:val="auto"/>
                <w:sz w:val="21"/>
                <w:szCs w:val="21"/>
                <w:highlight w:val="none"/>
                <w:u w:val="single"/>
              </w:rPr>
              <w:t xml:space="preserve"> 09:00 </w:t>
            </w:r>
            <w:r>
              <w:rPr>
                <w:rFonts w:hint="eastAsia" w:ascii="宋体" w:hAnsi="宋体" w:eastAsia="宋体" w:cs="宋体"/>
                <w:color w:val="auto"/>
                <w:sz w:val="21"/>
                <w:szCs w:val="21"/>
                <w:highlight w:val="none"/>
              </w:rPr>
              <w:t>（北京时间）前递交（上传）投标文件。</w:t>
            </w:r>
          </w:p>
        </w:tc>
      </w:tr>
    </w:tbl>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一、项目基本情况</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lang w:eastAsia="zh-CN"/>
        </w:rPr>
        <w:t>NHZFCG-Z2025004</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lang w:val="en-US" w:eastAsia="zh-CN"/>
        </w:rPr>
        <w:t>：</w:t>
      </w:r>
      <w:bookmarkStart w:id="0" w:name="OLE_LINK2"/>
      <w:r>
        <w:rPr>
          <w:rFonts w:hint="eastAsia" w:ascii="宋体" w:hAnsi="宋体" w:eastAsia="宋体" w:cs="宋体"/>
          <w:color w:val="auto"/>
          <w:sz w:val="21"/>
          <w:szCs w:val="21"/>
          <w:highlight w:val="none"/>
          <w:lang w:val="en-US" w:eastAsia="zh-CN"/>
        </w:rPr>
        <w:t>宁海法院</w:t>
      </w:r>
      <w:bookmarkEnd w:id="0"/>
      <w:bookmarkStart w:id="1" w:name="OLE_LINK1"/>
      <w:r>
        <w:rPr>
          <w:rFonts w:hint="eastAsia" w:ascii="宋体" w:hAnsi="宋体" w:eastAsia="宋体" w:cs="宋体"/>
          <w:color w:val="auto"/>
          <w:sz w:val="21"/>
          <w:szCs w:val="21"/>
          <w:highlight w:val="none"/>
          <w:lang w:val="en-US" w:eastAsia="zh-CN"/>
        </w:rPr>
        <w:t>安保等综合服务</w:t>
      </w:r>
      <w:bookmarkEnd w:id="1"/>
      <w:r>
        <w:rPr>
          <w:rFonts w:hint="eastAsia" w:ascii="宋体" w:hAnsi="宋体" w:eastAsia="宋体" w:cs="宋体"/>
          <w:color w:val="auto"/>
          <w:sz w:val="21"/>
          <w:szCs w:val="21"/>
          <w:highlight w:val="none"/>
          <w:lang w:val="en-US" w:eastAsia="zh-CN"/>
        </w:rPr>
        <w:t>项目</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预算金额（元）：8666481</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最高限价（元）：</w:t>
      </w:r>
      <w:r>
        <w:rPr>
          <w:rFonts w:hint="eastAsia" w:ascii="宋体" w:hAnsi="宋体" w:eastAsia="宋体" w:cs="宋体"/>
          <w:color w:val="auto"/>
          <w:sz w:val="21"/>
          <w:szCs w:val="21"/>
          <w:highlight w:val="none"/>
          <w:lang w:val="en-US" w:eastAsia="zh-CN"/>
        </w:rPr>
        <w:t>8666481</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采购需求：</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标项名称：</w:t>
      </w:r>
      <w:r>
        <w:rPr>
          <w:rFonts w:hint="eastAsia" w:ascii="宋体" w:hAnsi="宋体" w:eastAsia="宋体" w:cs="宋体"/>
          <w:color w:val="auto"/>
          <w:sz w:val="21"/>
          <w:szCs w:val="21"/>
          <w:highlight w:val="none"/>
          <w:lang w:val="en-US" w:eastAsia="zh-CN"/>
        </w:rPr>
        <w:t>宁海法院安保等综合服务项目</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数量：3年</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预算金额（元）：</w:t>
      </w:r>
      <w:r>
        <w:rPr>
          <w:rFonts w:hint="eastAsia" w:ascii="宋体" w:hAnsi="宋体" w:eastAsia="宋体" w:cs="宋体"/>
          <w:color w:val="auto"/>
          <w:sz w:val="21"/>
          <w:szCs w:val="21"/>
          <w:highlight w:val="none"/>
          <w:lang w:val="en-US" w:eastAsia="zh-CN"/>
        </w:rPr>
        <w:t>8666481</w:t>
      </w:r>
    </w:p>
    <w:p>
      <w:pPr>
        <w:keepNext w:val="0"/>
        <w:keepLines w:val="0"/>
        <w:pageBreakBefore w:val="0"/>
        <w:widowControl w:val="0"/>
        <w:kinsoku/>
        <w:wordWrap/>
        <w:overflowPunct/>
        <w:topLinePunct w:val="0"/>
        <w:autoSpaceDE/>
        <w:autoSpaceDN/>
        <w:bidi w:val="0"/>
        <w:adjustRightInd/>
        <w:snapToGri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简要规格描述或项目基本概况介绍、用途：</w:t>
      </w:r>
      <w:r>
        <w:rPr>
          <w:rFonts w:hint="eastAsia" w:ascii="宋体" w:hAnsi="宋体" w:eastAsia="宋体" w:cs="宋体"/>
          <w:color w:val="auto"/>
          <w:sz w:val="21"/>
          <w:szCs w:val="21"/>
          <w:highlight w:val="none"/>
          <w:lang w:val="en-US" w:eastAsia="zh-CN"/>
        </w:rPr>
        <w:t>宁海法院安保等综合服务</w:t>
      </w:r>
      <w:r>
        <w:rPr>
          <w:rFonts w:hint="eastAsia" w:ascii="宋体" w:hAnsi="宋体" w:eastAsia="宋体" w:cs="宋体"/>
          <w:color w:val="auto"/>
          <w:sz w:val="21"/>
          <w:szCs w:val="21"/>
          <w:highlight w:val="none"/>
        </w:rPr>
        <w:t>（具体详见采购需求） </w:t>
      </w:r>
    </w:p>
    <w:p>
      <w:pPr>
        <w:keepNext w:val="0"/>
        <w:keepLines w:val="0"/>
        <w:pageBreakBefore w:val="0"/>
        <w:widowControl w:val="0"/>
        <w:kinsoku/>
        <w:wordWrap/>
        <w:overflowPunct/>
        <w:topLinePunct w:val="0"/>
        <w:autoSpaceDE/>
        <w:autoSpaceDN/>
        <w:bidi w:val="0"/>
        <w:adjustRightInd/>
        <w:snapToGri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p>
      <w:pPr>
        <w:keepNext w:val="0"/>
        <w:keepLines w:val="0"/>
        <w:pageBreakBefore w:val="0"/>
        <w:widowControl w:val="0"/>
        <w:kinsoku/>
        <w:wordWrap/>
        <w:overflowPunct/>
        <w:topLinePunct w:val="0"/>
        <w:autoSpaceDE/>
        <w:autoSpaceDN/>
        <w:bidi w:val="0"/>
        <w:adjustRightInd/>
        <w:snapToGrid/>
        <w:spacing w:line="376" w:lineRule="exact"/>
        <w:ind w:firstLine="420" w:firstLineChars="200"/>
        <w:textAlignment w:val="auto"/>
        <w:rPr>
          <w:rFonts w:hint="eastAsia" w:ascii="宋体" w:hAnsi="宋体" w:eastAsia="宋体" w:cs="宋体"/>
          <w:color w:val="FF0000"/>
          <w:sz w:val="21"/>
          <w:szCs w:val="21"/>
          <w:highlight w:val="none"/>
        </w:rPr>
      </w:pPr>
      <w:r>
        <w:rPr>
          <w:rFonts w:hint="eastAsia" w:ascii="宋体" w:hAnsi="宋体" w:eastAsia="宋体" w:cs="宋体"/>
          <w:color w:val="auto"/>
          <w:sz w:val="21"/>
          <w:szCs w:val="21"/>
          <w:highlight w:val="none"/>
        </w:rPr>
        <w:t>合同履约期限：三年(具体时间以合同为准)合同一年一签，</w:t>
      </w:r>
      <w:r>
        <w:rPr>
          <w:rFonts w:hint="eastAsia" w:ascii="宋体" w:hAnsi="宋体" w:eastAsia="宋体" w:cs="宋体"/>
          <w:color w:val="auto"/>
          <w:szCs w:val="21"/>
          <w:highlight w:val="none"/>
        </w:rPr>
        <w:t>采购人根据中标人在上一年度合同履约、考核情况及财政资金审批情况等决定是否续签。</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本项目（否）接受联合体投标。</w:t>
      </w:r>
    </w:p>
    <w:p>
      <w:pPr>
        <w:keepNext w:val="0"/>
        <w:keepLines w:val="0"/>
        <w:pageBreakBefore w:val="0"/>
        <w:widowControl w:val="0"/>
        <w:kinsoku/>
        <w:wordWrap/>
        <w:overflowPunct/>
        <w:topLinePunct w:val="0"/>
        <w:autoSpaceDE/>
        <w:autoSpaceDN/>
        <w:bidi w:val="0"/>
        <w:adjustRightInd/>
        <w:snapToGri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二、申请人的资格要求：</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1.满足《中华人民共和国政府采购法》第二十二条规定；未被“信用中国”（</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\t "_blank"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www.creditchina.gov.cn)、中国政府采购网（www.ccgp.gov.cn）列入失信被执行人、重大税收违法案件当事人名单、政府采购严重违法失信行为记录名单</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shd w:val="clear" w:color="auto" w:fill="FFFFFF"/>
        </w:rPr>
        <w:t>。</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2.落实政府采购政策需满足的资格要求：本项目专门面向中小企业（监狱企业和残疾人福利性单位视同小微企业），投标人应满足《政府采购促进中小企业发展管理办法》（财库〔2020〕46号）的要求</w:t>
      </w:r>
      <w:r>
        <w:rPr>
          <w:rFonts w:hint="eastAsia" w:ascii="宋体" w:hAnsi="宋体" w:eastAsia="宋体" w:cs="宋体"/>
          <w:color w:val="auto"/>
          <w:sz w:val="21"/>
          <w:szCs w:val="21"/>
          <w:highlight w:val="none"/>
          <w:lang w:val="en-US" w:eastAsia="zh-CN"/>
        </w:rPr>
        <w:t>并提供中小企业声明函（格式见附件）</w:t>
      </w:r>
      <w:r>
        <w:rPr>
          <w:rFonts w:hint="eastAsia" w:ascii="宋体" w:hAnsi="宋体" w:eastAsia="宋体" w:cs="宋体"/>
          <w:color w:val="auto"/>
          <w:sz w:val="21"/>
          <w:szCs w:val="21"/>
          <w:highlight w:val="none"/>
        </w:rPr>
        <w:t>。 </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3.本项目的特定资格要求：无</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三、获取招标文件</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时间：</w:t>
      </w:r>
      <w:r>
        <w:rPr>
          <w:rFonts w:hint="eastAsia" w:ascii="宋体" w:hAnsi="宋体" w:eastAsia="宋体" w:cs="宋体"/>
          <w:color w:val="auto"/>
          <w:sz w:val="21"/>
          <w:szCs w:val="21"/>
          <w:highlight w:val="none"/>
          <w:u w:val="single"/>
          <w:lang w:eastAsia="zh-CN"/>
        </w:rPr>
        <w:t>202</w:t>
      </w:r>
      <w:r>
        <w:rPr>
          <w:rFonts w:hint="eastAsia" w:ascii="宋体" w:hAnsi="宋体" w:eastAsia="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lang w:eastAsia="zh-CN"/>
        </w:rPr>
        <w:t>年</w:t>
      </w:r>
      <w:r>
        <w:rPr>
          <w:rFonts w:hint="eastAsia" w:ascii="宋体" w:hAnsi="宋体" w:cs="宋体"/>
          <w:color w:val="auto"/>
          <w:sz w:val="21"/>
          <w:szCs w:val="21"/>
          <w:highlight w:val="none"/>
          <w:u w:val="single"/>
          <w:lang w:val="en-US" w:eastAsia="zh-CN"/>
        </w:rPr>
        <w:t>03</w:t>
      </w:r>
      <w:r>
        <w:rPr>
          <w:rFonts w:hint="eastAsia" w:ascii="宋体" w:hAnsi="宋体" w:eastAsia="宋体" w:cs="宋体"/>
          <w:color w:val="auto"/>
          <w:sz w:val="21"/>
          <w:szCs w:val="21"/>
          <w:highlight w:val="none"/>
          <w:u w:val="single"/>
          <w:lang w:eastAsia="zh-CN"/>
        </w:rPr>
        <w:t>月</w:t>
      </w:r>
      <w:r>
        <w:rPr>
          <w:rFonts w:hint="eastAsia" w:ascii="宋体" w:hAnsi="宋体" w:cs="宋体"/>
          <w:color w:val="auto"/>
          <w:sz w:val="21"/>
          <w:szCs w:val="21"/>
          <w:highlight w:val="none"/>
          <w:u w:val="single"/>
          <w:lang w:val="en-US" w:eastAsia="zh-CN"/>
        </w:rPr>
        <w:t>07</w:t>
      </w:r>
      <w:r>
        <w:rPr>
          <w:rFonts w:hint="eastAsia" w:ascii="宋体" w:hAnsi="宋体" w:eastAsia="宋体" w:cs="宋体"/>
          <w:color w:val="auto"/>
          <w:sz w:val="21"/>
          <w:szCs w:val="21"/>
          <w:highlight w:val="none"/>
          <w:u w:val="single"/>
          <w:lang w:eastAsia="zh-CN"/>
        </w:rPr>
        <w:t>日</w:t>
      </w:r>
      <w:r>
        <w:rPr>
          <w:rFonts w:hint="eastAsia" w:ascii="宋体" w:hAnsi="宋体" w:eastAsia="宋体" w:cs="宋体"/>
          <w:color w:val="auto"/>
          <w:sz w:val="21"/>
          <w:szCs w:val="21"/>
          <w:highlight w:val="none"/>
        </w:rPr>
        <w:t>至</w:t>
      </w:r>
      <w:r>
        <w:rPr>
          <w:rFonts w:hint="eastAsia" w:ascii="宋体" w:hAnsi="宋体" w:eastAsia="宋体" w:cs="宋体"/>
          <w:color w:val="auto"/>
          <w:sz w:val="21"/>
          <w:szCs w:val="21"/>
          <w:highlight w:val="none"/>
          <w:u w:val="single"/>
        </w:rPr>
        <w:t>202</w:t>
      </w:r>
      <w:r>
        <w:rPr>
          <w:rFonts w:hint="eastAsia" w:ascii="宋体" w:hAnsi="宋体" w:eastAsia="宋体" w:cs="宋体"/>
          <w:color w:val="auto"/>
          <w:sz w:val="21"/>
          <w:szCs w:val="21"/>
          <w:highlight w:val="none"/>
          <w:u w:val="single"/>
          <w:lang w:val="en-US" w:eastAsia="zh-CN"/>
        </w:rPr>
        <w:t>5</w:t>
      </w:r>
      <w:r>
        <w:rPr>
          <w:rFonts w:hint="eastAsia" w:ascii="宋体" w:hAnsi="宋体" w:eastAsia="宋体" w:cs="宋体"/>
          <w:color w:val="auto"/>
          <w:sz w:val="21"/>
          <w:szCs w:val="21"/>
          <w:highlight w:val="none"/>
          <w:u w:val="single"/>
        </w:rPr>
        <w:t>年</w:t>
      </w:r>
      <w:r>
        <w:rPr>
          <w:rFonts w:hint="eastAsia" w:ascii="宋体" w:hAnsi="宋体" w:cs="宋体"/>
          <w:color w:val="auto"/>
          <w:sz w:val="21"/>
          <w:szCs w:val="21"/>
          <w:highlight w:val="none"/>
          <w:u w:val="single"/>
          <w:lang w:val="en-US" w:eastAsia="zh-CN"/>
        </w:rPr>
        <w:t>03月27日</w:t>
      </w:r>
      <w:r>
        <w:rPr>
          <w:rFonts w:hint="eastAsia" w:ascii="宋体" w:hAnsi="宋体" w:eastAsia="宋体" w:cs="宋体"/>
          <w:color w:val="auto"/>
          <w:sz w:val="21"/>
          <w:szCs w:val="21"/>
          <w:highlight w:val="none"/>
        </w:rPr>
        <w:t>，每天上午</w:t>
      </w:r>
      <w:r>
        <w:rPr>
          <w:rFonts w:hint="eastAsia" w:ascii="宋体" w:hAnsi="宋体" w:eastAsia="宋体" w:cs="宋体"/>
          <w:color w:val="auto"/>
          <w:sz w:val="21"/>
          <w:szCs w:val="21"/>
          <w:highlight w:val="none"/>
          <w:u w:val="single"/>
        </w:rPr>
        <w:t>00:00至12:00</w:t>
      </w:r>
      <w:r>
        <w:rPr>
          <w:rFonts w:hint="eastAsia" w:ascii="宋体" w:hAnsi="宋体" w:eastAsia="宋体" w:cs="宋体"/>
          <w:color w:val="auto"/>
          <w:sz w:val="21"/>
          <w:szCs w:val="21"/>
          <w:highlight w:val="none"/>
        </w:rPr>
        <w:t>，下午</w:t>
      </w:r>
      <w:r>
        <w:rPr>
          <w:rFonts w:hint="eastAsia" w:ascii="宋体" w:hAnsi="宋体" w:eastAsia="宋体" w:cs="宋体"/>
          <w:color w:val="auto"/>
          <w:sz w:val="21"/>
          <w:szCs w:val="21"/>
          <w:highlight w:val="none"/>
          <w:u w:val="single"/>
        </w:rPr>
        <w:t>12:00至23:59 </w:t>
      </w:r>
      <w:r>
        <w:rPr>
          <w:rFonts w:hint="eastAsia" w:ascii="宋体" w:hAnsi="宋体" w:eastAsia="宋体" w:cs="宋体"/>
          <w:color w:val="auto"/>
          <w:sz w:val="21"/>
          <w:szCs w:val="21"/>
          <w:highlight w:val="none"/>
        </w:rPr>
        <w:t>（北京时间，线上获取法定节假日均可，线下获取文件法定节假日除外）</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地点（网址）：政府采购云平台（www.zcygov.cn）</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方式：通过政府采购云平台下载。</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售价（元）：0 </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四、提交投标文件截止时间、开标时间和地点</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提交投标文件截止时间：</w:t>
      </w:r>
      <w:r>
        <w:rPr>
          <w:rFonts w:hint="eastAsia" w:ascii="宋体" w:hAnsi="宋体" w:eastAsia="宋体" w:cs="宋体"/>
          <w:color w:val="auto"/>
          <w:sz w:val="21"/>
          <w:szCs w:val="21"/>
          <w:highlight w:val="none"/>
          <w:u w:val="single"/>
          <w:lang w:val="en-US" w:eastAsia="zh-CN"/>
        </w:rPr>
        <w:t>2025</w:t>
      </w:r>
      <w:r>
        <w:rPr>
          <w:rFonts w:hint="eastAsia" w:ascii="宋体" w:hAnsi="宋体" w:eastAsia="宋体" w:cs="宋体"/>
          <w:color w:val="auto"/>
          <w:sz w:val="21"/>
          <w:szCs w:val="21"/>
          <w:highlight w:val="none"/>
          <w:u w:val="single"/>
          <w:lang w:eastAsia="zh-CN"/>
        </w:rPr>
        <w:t>年</w:t>
      </w:r>
      <w:r>
        <w:rPr>
          <w:rFonts w:hint="eastAsia" w:ascii="宋体" w:hAnsi="宋体" w:cs="宋体"/>
          <w:color w:val="auto"/>
          <w:sz w:val="21"/>
          <w:szCs w:val="21"/>
          <w:highlight w:val="none"/>
          <w:u w:val="single"/>
          <w:lang w:val="en-US" w:eastAsia="zh-CN"/>
        </w:rPr>
        <w:t>03月28日</w:t>
      </w:r>
      <w:r>
        <w:rPr>
          <w:rFonts w:hint="eastAsia" w:ascii="宋体" w:hAnsi="宋体" w:eastAsia="宋体" w:cs="宋体"/>
          <w:color w:val="auto"/>
          <w:sz w:val="21"/>
          <w:szCs w:val="21"/>
          <w:highlight w:val="none"/>
          <w:u w:val="single"/>
        </w:rPr>
        <w:t xml:space="preserve"> 09:00</w:t>
      </w:r>
      <w:r>
        <w:rPr>
          <w:rFonts w:hint="eastAsia" w:ascii="宋体" w:hAnsi="宋体" w:eastAsia="宋体" w:cs="宋体"/>
          <w:color w:val="auto"/>
          <w:sz w:val="21"/>
          <w:szCs w:val="21"/>
          <w:highlight w:val="none"/>
        </w:rPr>
        <w:t>（北京时间）</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投标地点（网址）：</w:t>
      </w:r>
      <w:r>
        <w:rPr>
          <w:rFonts w:hint="eastAsia" w:ascii="宋体" w:hAnsi="宋体" w:eastAsia="宋体" w:cs="宋体"/>
          <w:color w:val="auto"/>
          <w:sz w:val="21"/>
          <w:szCs w:val="21"/>
          <w:highlight w:val="none"/>
          <w:u w:val="single"/>
        </w:rPr>
        <w:t>政府采购云平台（www.zcygov.cn）</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开标时间：</w:t>
      </w:r>
      <w:r>
        <w:rPr>
          <w:rFonts w:hint="eastAsia" w:ascii="宋体" w:hAnsi="宋体" w:eastAsia="宋体" w:cs="宋体"/>
          <w:color w:val="auto"/>
          <w:sz w:val="21"/>
          <w:szCs w:val="21"/>
          <w:highlight w:val="none"/>
          <w:u w:val="single"/>
          <w:lang w:val="en-US" w:eastAsia="zh-CN"/>
        </w:rPr>
        <w:t>2025</w:t>
      </w:r>
      <w:r>
        <w:rPr>
          <w:rFonts w:hint="eastAsia" w:ascii="宋体" w:hAnsi="宋体" w:eastAsia="宋体" w:cs="宋体"/>
          <w:color w:val="auto"/>
          <w:sz w:val="21"/>
          <w:szCs w:val="21"/>
          <w:highlight w:val="none"/>
          <w:u w:val="single"/>
          <w:lang w:eastAsia="zh-CN"/>
        </w:rPr>
        <w:t>年</w:t>
      </w:r>
      <w:r>
        <w:rPr>
          <w:rFonts w:hint="eastAsia" w:ascii="宋体" w:hAnsi="宋体" w:cs="宋体"/>
          <w:color w:val="auto"/>
          <w:sz w:val="21"/>
          <w:szCs w:val="21"/>
          <w:highlight w:val="none"/>
          <w:u w:val="single"/>
          <w:lang w:val="en-US" w:eastAsia="zh-CN"/>
        </w:rPr>
        <w:t>03月28日</w:t>
      </w:r>
      <w:r>
        <w:rPr>
          <w:rFonts w:hint="eastAsia" w:ascii="宋体" w:hAnsi="宋体" w:eastAsia="宋体" w:cs="宋体"/>
          <w:color w:val="auto"/>
          <w:sz w:val="21"/>
          <w:szCs w:val="21"/>
          <w:highlight w:val="none"/>
          <w:u w:val="single"/>
        </w:rPr>
        <w:t xml:space="preserve"> 09:00</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开标地点（网址）：</w:t>
      </w:r>
      <w:r>
        <w:rPr>
          <w:rFonts w:hint="eastAsia" w:ascii="宋体" w:hAnsi="宋体" w:eastAsia="宋体" w:cs="宋体"/>
          <w:color w:val="auto"/>
          <w:sz w:val="21"/>
          <w:szCs w:val="21"/>
          <w:highlight w:val="none"/>
          <w:u w:val="single"/>
        </w:rPr>
        <w:t>政府采购云平台（www.zcygov.cn）</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五、公告期限</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自本公告发布之日起5个工作日。</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六、其他补充事宜</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2.根据 《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其他事项：</w:t>
      </w:r>
    </w:p>
    <w:p>
      <w:pPr>
        <w:keepNext w:val="0"/>
        <w:keepLines w:val="0"/>
        <w:pageBreakBefore w:val="0"/>
        <w:widowControl w:val="0"/>
        <w:kinsoku/>
        <w:wordWrap/>
        <w:overflowPunct/>
        <w:topLinePunct w:val="0"/>
        <w:autoSpaceDE/>
        <w:autoSpaceDN/>
        <w:bidi w:val="0"/>
        <w:adjustRightInd/>
        <w:snapToGrid/>
        <w:spacing w:line="376"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（1）供应商需按照《浙江省政府采购供应商注册及诚信管理暂行办法》的规定在“浙江政府采购网(</w:t>
      </w:r>
      <w:r>
        <w:rPr>
          <w:rFonts w:hint="eastAsia" w:ascii="宋体" w:hAnsi="宋体" w:eastAsia="宋体" w:cs="宋体"/>
          <w:color w:val="auto"/>
          <w:sz w:val="21"/>
          <w:szCs w:val="21"/>
          <w:highlight w:val="none"/>
          <w:lang w:eastAsia="zh-CN"/>
        </w:rPr>
        <w:t>https://zfcg.czt.zj.gov.cn</w:t>
      </w:r>
      <w:r>
        <w:rPr>
          <w:rFonts w:hint="eastAsia" w:ascii="宋体" w:hAnsi="宋体" w:eastAsia="宋体" w:cs="宋体"/>
          <w:color w:val="auto"/>
          <w:sz w:val="21"/>
          <w:szCs w:val="21"/>
          <w:highlight w:val="none"/>
        </w:rPr>
        <w:t>)”注册登记，成为浙江省政府采购网上注册入库的正式供应商。尚未正式注册入库的供应商，请注意注册所需时间。各供应商应在开标前确保成为浙江省政府采购网正式注册入库供应商，并完成CA数字证书办理。因未注册入库、未办理CA数字证书等原因造成无法投标或投标失败等后果由供应商自行承担。　　　　　　　　</w:t>
      </w:r>
    </w:p>
    <w:p>
      <w:pPr>
        <w:keepNext w:val="0"/>
        <w:keepLines w:val="0"/>
        <w:pageBreakBefore w:val="0"/>
        <w:widowControl w:val="0"/>
        <w:kinsoku/>
        <w:wordWrap/>
        <w:overflowPunct/>
        <w:topLinePunct w:val="0"/>
        <w:autoSpaceDE/>
        <w:autoSpaceDN/>
        <w:bidi w:val="0"/>
        <w:adjustRightInd/>
        <w:snapToGri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（2）本招标公告附件中的招标文件仅供阅览使用，供应商应在规定的招标文件获取期限内在政采云平台登录供应商注册的账号后获取招标文件，未按上述方式获取招标文件的，不得对招标文件提起质疑。</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（3）供应商如提供电子备份投标文件的，应于</w:t>
      </w:r>
      <w:r>
        <w:rPr>
          <w:rFonts w:hint="eastAsia" w:ascii="宋体" w:hAnsi="宋体" w:eastAsia="宋体" w:cs="宋体"/>
          <w:color w:val="auto"/>
          <w:sz w:val="21"/>
          <w:szCs w:val="21"/>
          <w:highlight w:val="none"/>
          <w:lang w:eastAsia="zh-CN"/>
        </w:rPr>
        <w:t>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年</w:t>
      </w:r>
      <w:r>
        <w:rPr>
          <w:rFonts w:hint="eastAsia" w:ascii="宋体" w:hAnsi="宋体" w:cs="宋体"/>
          <w:color w:val="auto"/>
          <w:sz w:val="21"/>
          <w:szCs w:val="21"/>
          <w:highlight w:val="none"/>
          <w:lang w:val="en-US" w:eastAsia="zh-CN"/>
        </w:rPr>
        <w:t>03月28日</w:t>
      </w:r>
      <w:r>
        <w:rPr>
          <w:rFonts w:hint="eastAsia" w:ascii="宋体" w:hAnsi="宋体" w:eastAsia="宋体" w:cs="宋体"/>
          <w:color w:val="auto"/>
          <w:sz w:val="21"/>
          <w:szCs w:val="21"/>
          <w:highlight w:val="none"/>
        </w:rPr>
        <w:t>9点0分（北京时间）前，将电子备份投标文件密封，邮寄或直接送达至宁海县公共资源交易中心，逾期送达或未密封将予以拒收。供应商仅提供电子备份投标文件投标的，投标无效。邮寄公司推荐采用EMS或顺丰，快递费用由投标供应商承担，如投标供应商选择快递费到付，</w:t>
      </w:r>
      <w:r>
        <w:rPr>
          <w:rFonts w:hint="eastAsia" w:ascii="宋体" w:hAnsi="宋体" w:eastAsia="宋体" w:cs="宋体"/>
          <w:color w:val="auto"/>
          <w:sz w:val="21"/>
          <w:szCs w:val="21"/>
          <w:highlight w:val="none"/>
          <w:lang w:eastAsia="zh-CN"/>
        </w:rPr>
        <w:t>宁海县政务服务中心</w:t>
      </w:r>
      <w:r>
        <w:rPr>
          <w:rFonts w:hint="eastAsia" w:ascii="宋体" w:hAnsi="宋体" w:eastAsia="宋体" w:cs="宋体"/>
          <w:color w:val="auto"/>
          <w:sz w:val="21"/>
          <w:szCs w:val="21"/>
          <w:highlight w:val="none"/>
        </w:rPr>
        <w:t>将拒签并退回。如想查询快递签收情况，请告知快递单号（地址：宁海县桃源街道金水东路5号五楼501室，收件人：</w:t>
      </w:r>
      <w:r>
        <w:rPr>
          <w:rFonts w:hint="eastAsia" w:ascii="宋体" w:hAnsi="宋体" w:eastAsia="宋体" w:cs="宋体"/>
          <w:color w:val="auto"/>
          <w:sz w:val="21"/>
          <w:szCs w:val="21"/>
          <w:highlight w:val="none"/>
          <w:lang w:val="en-US" w:eastAsia="zh-CN"/>
        </w:rPr>
        <w:t>高凤</w:t>
      </w:r>
      <w:r>
        <w:rPr>
          <w:rFonts w:hint="eastAsia" w:ascii="宋体" w:hAnsi="宋体" w:eastAsia="宋体" w:cs="宋体"/>
          <w:color w:val="auto"/>
          <w:sz w:val="21"/>
          <w:szCs w:val="21"/>
          <w:highlight w:val="none"/>
        </w:rPr>
        <w:t>，联系电话：0574-65131832，快递以工作人员签收时间为准）。</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（4）采购代理机构在招标文件规定的时间通过政府采购云平台组织开标、开启投标文件，所有供应商均应准时在线参加。开标时间后30分钟内（</w:t>
      </w:r>
      <w:r>
        <w:rPr>
          <w:rFonts w:hint="eastAsia" w:ascii="宋体" w:hAnsi="宋体" w:eastAsia="宋体" w:cs="宋体"/>
          <w:color w:val="auto"/>
          <w:sz w:val="21"/>
          <w:szCs w:val="21"/>
          <w:highlight w:val="none"/>
          <w:lang w:eastAsia="zh-CN"/>
        </w:rPr>
        <w:t>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年</w:t>
      </w:r>
      <w:r>
        <w:rPr>
          <w:rFonts w:hint="eastAsia" w:ascii="宋体" w:hAnsi="宋体" w:cs="宋体"/>
          <w:color w:val="auto"/>
          <w:sz w:val="21"/>
          <w:szCs w:val="21"/>
          <w:highlight w:val="none"/>
          <w:lang w:val="en-US" w:eastAsia="zh-CN"/>
        </w:rPr>
        <w:t>03月28日</w:t>
      </w:r>
      <w:r>
        <w:rPr>
          <w:rFonts w:hint="eastAsia" w:ascii="宋体" w:hAnsi="宋体" w:eastAsia="宋体" w:cs="宋体"/>
          <w:color w:val="auto"/>
          <w:sz w:val="21"/>
          <w:szCs w:val="21"/>
          <w:highlight w:val="none"/>
        </w:rPr>
        <w:t>9点30分前）供应商可以登录政府采购云平台，用“项目采购-开标评标”功能解密投标文件。若供应商在规定时间内（</w:t>
      </w:r>
      <w:r>
        <w:rPr>
          <w:rFonts w:hint="eastAsia" w:ascii="宋体" w:hAnsi="宋体" w:eastAsia="宋体" w:cs="宋体"/>
          <w:color w:val="auto"/>
          <w:sz w:val="21"/>
          <w:szCs w:val="21"/>
          <w:highlight w:val="none"/>
          <w:lang w:eastAsia="zh-CN"/>
        </w:rPr>
        <w:t>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年</w:t>
      </w:r>
      <w:r>
        <w:rPr>
          <w:rFonts w:hint="eastAsia" w:ascii="宋体" w:hAnsi="宋体" w:cs="宋体"/>
          <w:color w:val="auto"/>
          <w:sz w:val="21"/>
          <w:szCs w:val="21"/>
          <w:highlight w:val="none"/>
          <w:lang w:val="en-US" w:eastAsia="zh-CN"/>
        </w:rPr>
        <w:t>03月28日</w:t>
      </w:r>
      <w:r>
        <w:rPr>
          <w:rFonts w:hint="eastAsia" w:ascii="宋体" w:hAnsi="宋体" w:eastAsia="宋体" w:cs="宋体"/>
          <w:color w:val="auto"/>
          <w:sz w:val="21"/>
          <w:szCs w:val="21"/>
          <w:highlight w:val="none"/>
        </w:rPr>
        <w:t>9点30分前）无法解密或解密失败，可使用电子备份投标文件进行评标，若供应商电子投标文件和电子备份投标文件均无法解密或解密失败，视为供应商放弃投标。</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七、对本次采购提出询问、质疑、投诉，请按以下方式联系。　　　　　　　　　　　　</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1.采购人信息</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rPr>
        <w:t>名称：</w:t>
      </w:r>
      <w:r>
        <w:rPr>
          <w:rFonts w:hint="eastAsia" w:ascii="宋体" w:hAnsi="宋体" w:eastAsia="宋体" w:cs="宋体"/>
          <w:color w:val="auto"/>
          <w:sz w:val="21"/>
          <w:szCs w:val="21"/>
          <w:highlight w:val="none"/>
          <w:u w:val="single"/>
          <w:lang w:eastAsia="zh-CN"/>
        </w:rPr>
        <w:t>宁海县人民法院</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lang w:eastAsia="zh-CN"/>
        </w:rPr>
        <w:t>宁海县中山东路121号</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r>
        <w:rPr>
          <w:rFonts w:hint="eastAsia" w:ascii="宋体" w:hAnsi="宋体" w:eastAsia="宋体" w:cs="宋体"/>
          <w:color w:val="auto"/>
          <w:sz w:val="21"/>
          <w:szCs w:val="21"/>
          <w:highlight w:val="none"/>
          <w:u w:val="single"/>
        </w:rPr>
        <w:t xml:space="preserve">   /   </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项目联系人（询问）：</w:t>
      </w:r>
      <w:r>
        <w:rPr>
          <w:rFonts w:hint="eastAsia" w:ascii="宋体" w:hAnsi="宋体" w:eastAsia="宋体" w:cs="宋体"/>
          <w:color w:val="auto"/>
          <w:sz w:val="21"/>
          <w:szCs w:val="21"/>
          <w:highlight w:val="none"/>
          <w:u w:val="single"/>
          <w:lang w:eastAsia="zh-CN"/>
        </w:rPr>
        <w:t>王文波</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项目联系方式（询问）：</w:t>
      </w:r>
      <w:r>
        <w:rPr>
          <w:rFonts w:hint="eastAsia" w:ascii="宋体" w:hAnsi="宋体" w:eastAsia="宋体" w:cs="宋体"/>
          <w:color w:val="auto"/>
          <w:sz w:val="21"/>
          <w:szCs w:val="21"/>
          <w:highlight w:val="none"/>
          <w:u w:val="single"/>
          <w:lang w:eastAsia="zh-CN"/>
        </w:rPr>
        <w:t>0574-</w:t>
      </w:r>
      <w:bookmarkStart w:id="2" w:name="OLE_LINK4"/>
      <w:r>
        <w:rPr>
          <w:rFonts w:hint="eastAsia" w:ascii="宋体" w:hAnsi="宋体" w:eastAsia="宋体" w:cs="宋体"/>
          <w:color w:val="auto"/>
          <w:sz w:val="21"/>
          <w:szCs w:val="21"/>
          <w:highlight w:val="none"/>
          <w:u w:val="single"/>
          <w:lang w:eastAsia="zh-CN"/>
        </w:rPr>
        <w:t>59979033</w:t>
      </w:r>
      <w:bookmarkEnd w:id="2"/>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质疑联系人：</w:t>
      </w:r>
      <w:r>
        <w:rPr>
          <w:rFonts w:hint="eastAsia" w:ascii="宋体" w:hAnsi="宋体" w:eastAsia="宋体" w:cs="宋体"/>
          <w:color w:val="auto"/>
          <w:sz w:val="21"/>
          <w:szCs w:val="21"/>
          <w:highlight w:val="none"/>
          <w:u w:val="single"/>
          <w:lang w:eastAsia="zh-CN"/>
        </w:rPr>
        <w:t>江晓晓</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微软雅黑" w:cs="宋体"/>
          <w:color w:val="auto"/>
          <w:sz w:val="21"/>
          <w:szCs w:val="21"/>
          <w:highlight w:val="none"/>
          <w:u w:val="single"/>
          <w:lang w:val="en-US" w:eastAsia="zh-CN"/>
        </w:rPr>
      </w:pPr>
      <w:r>
        <w:rPr>
          <w:rFonts w:hint="eastAsia" w:ascii="宋体" w:hAnsi="宋体" w:eastAsia="宋体" w:cs="宋体"/>
          <w:color w:val="auto"/>
          <w:sz w:val="21"/>
          <w:szCs w:val="21"/>
          <w:highlight w:val="none"/>
        </w:rPr>
        <w:t>质疑联系方式：</w:t>
      </w:r>
      <w:bookmarkStart w:id="3" w:name="OLE_LINK3"/>
      <w:r>
        <w:rPr>
          <w:rFonts w:hint="eastAsia" w:ascii="宋体" w:hAnsi="宋体" w:eastAsia="宋体" w:cs="宋体"/>
          <w:color w:val="auto"/>
          <w:sz w:val="21"/>
          <w:szCs w:val="21"/>
          <w:highlight w:val="none"/>
          <w:u w:val="single"/>
          <w:lang w:eastAsia="zh-CN"/>
        </w:rPr>
        <w:t>0574-</w:t>
      </w:r>
      <w:bookmarkEnd w:id="3"/>
      <w:r>
        <w:rPr>
          <w:rFonts w:hint="eastAsia" w:ascii="宋体" w:hAnsi="宋体" w:eastAsia="宋体" w:cs="宋体"/>
          <w:color w:val="auto"/>
          <w:sz w:val="21"/>
          <w:szCs w:val="21"/>
          <w:highlight w:val="none"/>
          <w:u w:val="single"/>
          <w:lang w:eastAsia="zh-CN"/>
        </w:rPr>
        <w:t>5997903</w:t>
      </w:r>
      <w:r>
        <w:rPr>
          <w:rFonts w:hint="eastAsia" w:ascii="宋体" w:hAnsi="宋体" w:eastAsia="宋体" w:cs="宋体"/>
          <w:color w:val="auto"/>
          <w:sz w:val="21"/>
          <w:szCs w:val="21"/>
          <w:highlight w:val="none"/>
          <w:u w:val="single"/>
          <w:lang w:val="en-US" w:eastAsia="zh-CN"/>
        </w:rPr>
        <w:t>2</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2.采购代理机构信息</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名称：</w:t>
      </w:r>
      <w:r>
        <w:rPr>
          <w:rFonts w:hint="eastAsia" w:ascii="宋体" w:hAnsi="宋体" w:eastAsia="宋体" w:cs="宋体"/>
          <w:color w:val="auto"/>
          <w:sz w:val="21"/>
          <w:szCs w:val="21"/>
          <w:highlight w:val="none"/>
          <w:u w:val="single"/>
          <w:lang w:eastAsia="zh-CN"/>
        </w:rPr>
        <w:t>宁海县政务服务中心</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rPr>
        <w:t>宁海县桃源街道金水东路5号</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r>
        <w:rPr>
          <w:rFonts w:hint="eastAsia" w:ascii="宋体" w:hAnsi="宋体" w:eastAsia="宋体" w:cs="宋体"/>
          <w:color w:val="auto"/>
          <w:sz w:val="21"/>
          <w:szCs w:val="21"/>
          <w:highlight w:val="none"/>
          <w:u w:val="single"/>
        </w:rPr>
        <w:t>0574-65131831</w:t>
      </w:r>
      <w:r>
        <w:rPr>
          <w:rFonts w:hint="eastAsia" w:ascii="宋体" w:hAnsi="宋体" w:eastAsia="宋体" w:cs="宋体"/>
          <w:color w:val="auto"/>
          <w:sz w:val="21"/>
          <w:szCs w:val="21"/>
          <w:highlight w:val="none"/>
        </w:rPr>
        <w:t>  　</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项目联系人（询问）：</w:t>
      </w:r>
      <w:r>
        <w:rPr>
          <w:rFonts w:hint="eastAsia" w:ascii="宋体" w:hAnsi="宋体" w:eastAsia="宋体" w:cs="宋体"/>
          <w:color w:val="auto"/>
          <w:sz w:val="21"/>
          <w:szCs w:val="21"/>
          <w:highlight w:val="none"/>
          <w:u w:val="single"/>
          <w:lang w:val="en-US" w:eastAsia="zh-CN"/>
        </w:rPr>
        <w:t>高凤</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项目联系方式（询问）：</w:t>
      </w:r>
      <w:r>
        <w:rPr>
          <w:rFonts w:hint="eastAsia" w:ascii="宋体" w:hAnsi="宋体" w:eastAsia="宋体" w:cs="宋体"/>
          <w:color w:val="auto"/>
          <w:sz w:val="21"/>
          <w:szCs w:val="21"/>
          <w:highlight w:val="none"/>
          <w:u w:val="single"/>
        </w:rPr>
        <w:t>0574-65131832</w:t>
      </w:r>
      <w:r>
        <w:rPr>
          <w:rFonts w:hint="eastAsia" w:ascii="宋体" w:hAnsi="宋体" w:eastAsia="宋体" w:cs="宋体"/>
          <w:color w:val="auto"/>
          <w:sz w:val="21"/>
          <w:szCs w:val="21"/>
          <w:highlight w:val="none"/>
        </w:rPr>
        <w:t> </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w:t>
      </w:r>
      <w:r>
        <w:rPr>
          <w:rFonts w:hint="eastAsia" w:ascii="宋体" w:hAnsi="宋体" w:eastAsia="宋体" w:cs="宋体"/>
          <w:color w:val="auto"/>
          <w:sz w:val="21"/>
          <w:szCs w:val="21"/>
          <w:highlight w:val="none"/>
          <w:u w:val="single"/>
          <w:lang w:val="en-US" w:eastAsia="zh-CN"/>
        </w:rPr>
        <w:t>应晓燕</w:t>
      </w:r>
      <w:r>
        <w:rPr>
          <w:rFonts w:hint="eastAsia" w:ascii="宋体" w:hAnsi="宋体" w:eastAsia="宋体" w:cs="宋体"/>
          <w:color w:val="auto"/>
          <w:sz w:val="21"/>
          <w:szCs w:val="21"/>
          <w:highlight w:val="none"/>
        </w:rPr>
        <w:t> </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w:t>
      </w:r>
      <w:r>
        <w:rPr>
          <w:rFonts w:hint="eastAsia" w:ascii="宋体" w:hAnsi="宋体" w:eastAsia="宋体" w:cs="宋体"/>
          <w:color w:val="auto"/>
          <w:sz w:val="21"/>
          <w:szCs w:val="21"/>
          <w:highlight w:val="none"/>
          <w:u w:val="single"/>
        </w:rPr>
        <w:t xml:space="preserve"> 0574-65131831</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3.同级政府采购监督管理部门</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w:t>
      </w:r>
      <w:r>
        <w:rPr>
          <w:rFonts w:hint="eastAsia" w:ascii="宋体" w:hAnsi="宋体" w:eastAsia="宋体" w:cs="宋体"/>
          <w:color w:val="auto"/>
          <w:sz w:val="21"/>
          <w:szCs w:val="21"/>
          <w:highlight w:val="none"/>
          <w:u w:val="single"/>
        </w:rPr>
        <w:t>宁海县政府采购管理办公室</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rPr>
        <w:t>宁海县跃龙街道桃源中路218号</w:t>
      </w:r>
      <w:r>
        <w:rPr>
          <w:rFonts w:hint="eastAsia" w:ascii="宋体" w:hAnsi="宋体" w:eastAsia="宋体" w:cs="宋体"/>
          <w:color w:val="auto"/>
          <w:sz w:val="21"/>
          <w:szCs w:val="21"/>
          <w:highlight w:val="none"/>
        </w:rPr>
        <w:t>　</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传真：</w:t>
      </w:r>
      <w:r>
        <w:rPr>
          <w:rFonts w:hint="eastAsia" w:ascii="宋体" w:hAnsi="宋体" w:eastAsia="宋体" w:cs="宋体"/>
          <w:color w:val="auto"/>
          <w:sz w:val="21"/>
          <w:szCs w:val="21"/>
          <w:highlight w:val="none"/>
          <w:u w:val="single"/>
        </w:rPr>
        <w:t>0574-65265612</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u w:val="single"/>
        </w:rPr>
        <w:t>王欢永</w:t>
      </w:r>
    </w:p>
    <w:p>
      <w:pPr>
        <w:keepNext w:val="0"/>
        <w:keepLines w:val="0"/>
        <w:pageBreakBefore w:val="0"/>
        <w:widowControl w:val="0"/>
        <w:kinsoku/>
        <w:wordWrap/>
        <w:overflowPunct/>
        <w:topLinePunct w:val="0"/>
        <w:autoSpaceDE/>
        <w:autoSpaceDN/>
        <w:bidi w:val="0"/>
        <w:adjustRightInd/>
        <w:spacing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监督投诉电话：</w:t>
      </w:r>
      <w:r>
        <w:rPr>
          <w:rFonts w:hint="eastAsia" w:ascii="宋体" w:hAnsi="宋体" w:eastAsia="宋体" w:cs="宋体"/>
          <w:color w:val="auto"/>
          <w:sz w:val="21"/>
          <w:szCs w:val="21"/>
          <w:highlight w:val="none"/>
          <w:u w:val="single"/>
        </w:rPr>
        <w:t>0574-65265668</w:t>
      </w:r>
    </w:p>
    <w:p>
      <w:pPr>
        <w:pStyle w:val="12"/>
        <w:keepNext w:val="0"/>
        <w:keepLines w:val="0"/>
        <w:pageBreakBefore w:val="0"/>
        <w:widowControl w:val="0"/>
        <w:kinsoku/>
        <w:wordWrap/>
        <w:overflowPunct/>
        <w:topLinePunct w:val="0"/>
        <w:autoSpaceDE/>
        <w:autoSpaceDN/>
        <w:bidi w:val="0"/>
        <w:adjustRightInd/>
        <w:spacing w:beforeLines="0" w:afterLines="0" w:line="376"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若对项目采购电子交易系统操作有疑问，可登录政采云（https://www.zcygov.cn/），点击右侧咨询小采，获取采小蜜智能服务管家帮助，或拨打政采云服务热线400-881-7190获取热线服务帮助。</w:t>
      </w:r>
    </w:p>
    <w:p>
      <w:pPr>
        <w:pStyle w:val="12"/>
        <w:keepNext w:val="0"/>
        <w:keepLines w:val="0"/>
        <w:pageBreakBefore w:val="0"/>
        <w:widowControl w:val="0"/>
        <w:kinsoku/>
        <w:wordWrap/>
        <w:overflowPunct/>
        <w:topLinePunct w:val="0"/>
        <w:autoSpaceDE/>
        <w:autoSpaceDN/>
        <w:bidi w:val="0"/>
        <w:adjustRightInd/>
        <w:spacing w:beforeLines="0" w:afterLines="0" w:line="376" w:lineRule="exact"/>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1"/>
          <w:szCs w:val="21"/>
          <w:highlight w:val="none"/>
        </w:rPr>
        <w:t xml:space="preserve"> CA问题联系电话（人工）：汇信CA 400-888-4636；天谷CA 400-087-8198。</w:t>
      </w:r>
    </w:p>
    <w:p>
      <w:pPr>
        <w:pStyle w:val="12"/>
        <w:keepNext w:val="0"/>
        <w:keepLines w:val="0"/>
        <w:pageBreakBefore w:val="0"/>
        <w:widowControl w:val="0"/>
        <w:kinsoku/>
        <w:wordWrap/>
        <w:overflowPunct/>
        <w:topLinePunct w:val="0"/>
        <w:autoSpaceDE/>
        <w:autoSpaceDN/>
        <w:bidi w:val="0"/>
        <w:adjustRightInd/>
        <w:snapToGrid w:val="0"/>
        <w:spacing w:beforeLines="0" w:afterLines="0"/>
        <w:jc w:val="center"/>
        <w:textAlignment w:val="auto"/>
        <w:outlineLvl w:val="0"/>
        <w:rPr>
          <w:rFonts w:hint="eastAsia" w:asciiTheme="minorEastAsia" w:hAnsiTheme="minorEastAsia" w:eastAsiaTheme="minorEastAsia" w:cstheme="minorEastAsia"/>
          <w:b/>
          <w:bCs/>
          <w:color w:val="auto"/>
          <w:sz w:val="21"/>
          <w:szCs w:val="21"/>
          <w:highlight w:val="none"/>
        </w:rPr>
      </w:pPr>
    </w:p>
    <w:p>
      <w:pPr>
        <w:pStyle w:val="12"/>
        <w:snapToGrid w:val="0"/>
        <w:spacing w:beforeLines="0" w:afterLines="0"/>
        <w:jc w:val="center"/>
        <w:outlineLvl w:val="0"/>
        <w:rPr>
          <w:rFonts w:ascii="黑体" w:hAnsi="宋体" w:eastAsia="黑体"/>
          <w:b/>
          <w:bCs/>
          <w:color w:val="auto"/>
          <w:sz w:val="28"/>
          <w:szCs w:val="28"/>
          <w:highlight w:val="none"/>
        </w:rPr>
      </w:pPr>
      <w:r>
        <w:rPr>
          <w:rFonts w:hint="eastAsia" w:ascii="黑体" w:hAnsi="宋体" w:eastAsia="黑体"/>
          <w:b/>
          <w:bCs/>
          <w:color w:val="auto"/>
          <w:sz w:val="28"/>
          <w:szCs w:val="28"/>
          <w:highlight w:val="none"/>
        </w:rPr>
        <w:t>第二章  采购需求</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一、项目概况</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本次项目对宁海法院安保等综合服务进行招标，主要范围包括院机关、各人民法庭、交通法庭。</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要求投标人充分理解本项目的特点，把握法院相关工作的特殊要求，以采购人的满意度为服务标准，制定有针对性的科学合理的安保等综合服务的实施方案，并按投标响应和承诺进行实施运作，定期、不定期接受</w:t>
      </w:r>
      <w:r>
        <w:rPr>
          <w:rFonts w:hint="eastAsia" w:ascii="宋体" w:hAnsi="宋体" w:cs="宋体"/>
          <w:color w:val="auto"/>
          <w:sz w:val="21"/>
          <w:szCs w:val="21"/>
          <w:highlight w:val="none"/>
          <w:lang w:val="en-US" w:eastAsia="zh-CN"/>
        </w:rPr>
        <w:t>采购人</w:t>
      </w:r>
      <w:r>
        <w:rPr>
          <w:rFonts w:hint="eastAsia" w:ascii="宋体" w:hAnsi="宋体" w:eastAsia="宋体" w:cs="宋体"/>
          <w:color w:val="auto"/>
          <w:sz w:val="21"/>
          <w:szCs w:val="21"/>
          <w:highlight w:val="none"/>
          <w:lang w:val="en-US" w:eastAsia="zh-CN"/>
        </w:rPr>
        <w:t>的监督、考核。</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本项目将由一家单位独立承包，实行统一管理，综合服务，不得分包经营。项目实行总负责制。要求投标人承诺派出的核心服务团队成员到岗率达100%，并接受采购人的考核。</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要求服务人员岗位配置合理，统筹使用；服务规范、工作责任心强，业务技能扎实；仪容整洁、仪表端正、礼仪规范；要求工作人员个人素质高,保密意识强，遵纪守法，无不良嗜好，</w:t>
      </w:r>
      <w:bookmarkStart w:id="4" w:name="OLE_LINK50"/>
      <w:r>
        <w:rPr>
          <w:rFonts w:hint="eastAsia" w:ascii="宋体" w:hAnsi="宋体" w:cs="宋体"/>
          <w:color w:val="auto"/>
          <w:sz w:val="21"/>
          <w:szCs w:val="21"/>
          <w:highlight w:val="none"/>
          <w:lang w:val="en-US" w:eastAsia="zh-CN"/>
        </w:rPr>
        <w:t>岗位</w:t>
      </w:r>
      <w:r>
        <w:rPr>
          <w:rFonts w:hint="eastAsia" w:ascii="宋体" w:hAnsi="宋体" w:eastAsia="宋体" w:cs="宋体"/>
          <w:color w:val="auto"/>
          <w:sz w:val="21"/>
          <w:szCs w:val="21"/>
          <w:highlight w:val="none"/>
          <w:lang w:val="en-US" w:eastAsia="zh-CN"/>
        </w:rPr>
        <w:t>形象佳</w:t>
      </w:r>
      <w:bookmarkEnd w:id="4"/>
      <w:r>
        <w:rPr>
          <w:rFonts w:hint="eastAsia" w:ascii="宋体" w:hAnsi="宋体" w:eastAsia="宋体" w:cs="宋体"/>
          <w:color w:val="auto"/>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本项目主要包括：</w:t>
      </w:r>
    </w:p>
    <w:p>
      <w:pPr>
        <w:keepNext w:val="0"/>
        <w:keepLines w:val="0"/>
        <w:pageBreakBefore w:val="0"/>
        <w:widowControl w:val="0"/>
        <w:numPr>
          <w:ilvl w:val="0"/>
          <w:numId w:val="0"/>
        </w:numPr>
        <w:kinsoku/>
        <w:wordWrap/>
        <w:overflowPunct/>
        <w:topLinePunct w:val="0"/>
        <w:autoSpaceDE/>
        <w:autoSpaceDN/>
        <w:bidi w:val="0"/>
        <w:snapToGrid/>
        <w:spacing w:line="400" w:lineRule="exact"/>
        <w:ind w:left="0" w:leftChars="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1.院机关及各派出点的安保服务；</w:t>
      </w:r>
    </w:p>
    <w:p>
      <w:pPr>
        <w:keepNext w:val="0"/>
        <w:keepLines w:val="0"/>
        <w:pageBreakBefore w:val="0"/>
        <w:widowControl w:val="0"/>
        <w:numPr>
          <w:ilvl w:val="0"/>
          <w:numId w:val="0"/>
        </w:numPr>
        <w:kinsoku/>
        <w:wordWrap/>
        <w:overflowPunct/>
        <w:topLinePunct w:val="0"/>
        <w:autoSpaceDE/>
        <w:autoSpaceDN/>
        <w:bidi w:val="0"/>
        <w:snapToGrid/>
        <w:spacing w:line="400" w:lineRule="exact"/>
        <w:ind w:left="0" w:leftChars="0"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2.保洁、绿化、维修等综合服务；</w:t>
      </w:r>
    </w:p>
    <w:p>
      <w:pPr>
        <w:keepNext w:val="0"/>
        <w:keepLines w:val="0"/>
        <w:pageBreakBefore w:val="0"/>
        <w:widowControl w:val="0"/>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3.各人民法庭等外派机构的安保、保洁等服务；</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本项目采用管理服务方式为“清包”。清包的费用包括但不限于：</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1.人工费用(工资、福利、社保、奖金、津贴等)；</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2.综合费用（行政办公费用、服装费、培训费、食宿与交通费等）；</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3.管理费用；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4.税金；</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5.工具、器材以及保洁耗材费用；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6.其他相关费用。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采购人应承担的费用：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1.能耗费用：包括水、电费用；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2.规定费用：有关管理部门收取的检测、测试费用，以及垃圾清运等费用；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3.其他相关费用。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总体目标：总体管理满意率高；严格执行安保、安检相关规定要求，当事人安全感高；房屋及设备、设施完好；维修及时、急修响应率100%；维修工程质量合格；绿化完好、整洁；清洁管理无盲点，管理服务范围保持环境整洁，有效保洁率高；防疫消杀及时有效，严格落实相关防疫政策措施；投诉处理和回访率应达到100%；道路畅通、停车管理整齐有序。 </w:t>
      </w:r>
    </w:p>
    <w:p>
      <w:pPr>
        <w:keepNext w:val="0"/>
        <w:keepLines w:val="0"/>
        <w:pageBreakBefore w:val="0"/>
        <w:widowControl w:val="0"/>
        <w:kinsoku/>
        <w:wordWrap/>
        <w:overflowPunct/>
        <w:topLinePunct w:val="0"/>
        <w:autoSpaceDE/>
        <w:autoSpaceDN/>
        <w:bidi w:val="0"/>
        <w:snapToGrid/>
        <w:spacing w:line="400" w:lineRule="exact"/>
        <w:ind w:left="0" w:leftChars="0" w:firstLine="422" w:firstLineChars="200"/>
        <w:jc w:val="both"/>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投标人应对采购人本次项目的采购需求，服务要求等充分调研理解，并作出无推诿承诺。</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二、服务标准及要求</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（一）总体要求</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采购人审判办公区域是集审判、办公、会议于一体的机关办公重地，是国家审判机关，对安全性、保密性、规范性的要求高。要求中标人提供高资质、高服务、高标准、高质量的综合管理服务。中标人应根据国家有关法律、法规，对采购人的办公区域进行维护和管理，保障办公区域的合理使用，营造和保持整洁、文明、安全、正常的工作环境。</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2.中标人对所属聘用人员须按国家、省、市、区的劳动法律、法规、政策办理各种用工手续。</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3.采购人对所委托的综合管理方案、组织机构、人员录用、建立的各项规章制度有审核权，中标人在实施前要报采购人审批。</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4.中标人录用的员工须严格审查，保证录用人员没有刑事犯罪记录，身体健康，并严格执行当地最低工资标准的通知规定及有关职工劳动保障规定。</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信息安全与信息保密：采购人作为国家审判机关，在工作上有严格的保密要求，基于本项目采购服务范围包含了会务、室内保洁等服务内容，为严防发生泄密事件，中标人在工作中要严格落实好信息安全及信息保密管理等措施。</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节能减排管理：近年来国家大力开展“节约型公共机构示范单位”的活动，绿色、低碳、环保已成为公共机构的要求。中标人应配合采购人做好节约型公共机构示范单位、垃圾分类师范单位等创建工作。做好节能降耗措施，提出节能减排的合理化建议，做好办公大楼能源消耗和数据统计、分析等节能减排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服务人员要遵守国家法律法规，遵守采购人的各项规章制度，遵守社会公德，遵守职业操守。须政治思想可靠、身体健康、业务技术强、五官端正形象好、勤奋工作、责任心强、文明礼貌、言行规范、服务意识强。</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8.服务人员需经严格培训，持合格资格证上岗。要有统一着装，佩带统一工号标志。</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9.服务人员按采购人的要求，遵守各项保密制度。</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10.根据采购人要求提供的产品与服务安全可靠。</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二</w:t>
      </w:r>
      <w:r>
        <w:rPr>
          <w:rFonts w:hint="eastAsia" w:ascii="宋体" w:hAnsi="宋体" w:eastAsia="宋体" w:cs="宋体"/>
          <w:b/>
          <w:bCs/>
          <w:color w:val="auto"/>
          <w:sz w:val="21"/>
          <w:szCs w:val="21"/>
          <w:highlight w:val="none"/>
          <w:lang w:val="en-US" w:eastAsia="zh-CN"/>
        </w:rPr>
        <w:t>）安保服务</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1.全天24小时在服务区域内开展安全保卫服务，对服务区域采取防范措施。通过巡逻、安全检查、报警监控，查验并登记出入人员证件、车辆和物品等手段，在服务区域内对</w:t>
      </w:r>
      <w:r>
        <w:rPr>
          <w:rFonts w:hint="eastAsia" w:ascii="宋体" w:hAnsi="宋体" w:cs="宋体"/>
          <w:color w:val="auto"/>
          <w:sz w:val="21"/>
          <w:szCs w:val="21"/>
          <w:highlight w:val="none"/>
          <w:lang w:val="en-US" w:eastAsia="zh-CN"/>
        </w:rPr>
        <w:t>外来人员</w:t>
      </w:r>
      <w:r>
        <w:rPr>
          <w:rFonts w:hint="eastAsia" w:ascii="宋体" w:hAnsi="宋体" w:eastAsia="宋体" w:cs="宋体"/>
          <w:color w:val="auto"/>
          <w:sz w:val="21"/>
          <w:szCs w:val="21"/>
          <w:highlight w:val="none"/>
          <w:lang w:val="en-US" w:eastAsia="zh-CN"/>
        </w:rPr>
        <w:t>及其所携带物品进行安全检查，维护公共秩序。确保服务区域无盗抢治安案件发生，无纵火、爆炸、投毒等恶性案件发生，无消防责任事故发生，无群众混乱踩踏、寻衅滋事、大声喧哗等情况发生。</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2.全天24小时车辆管理工作(不包含对车辆性能的检查等涉及技术性工作)，保证车辆停放</w:t>
      </w:r>
      <w:r>
        <w:rPr>
          <w:rFonts w:hint="eastAsia" w:ascii="宋体" w:hAnsi="宋体" w:cs="宋体"/>
          <w:color w:val="auto"/>
          <w:sz w:val="21"/>
          <w:szCs w:val="21"/>
          <w:highlight w:val="none"/>
          <w:lang w:val="en-US" w:eastAsia="zh-CN"/>
        </w:rPr>
        <w:t>有序</w:t>
      </w:r>
      <w:r>
        <w:rPr>
          <w:rFonts w:hint="eastAsia" w:ascii="宋体" w:hAnsi="宋体" w:eastAsia="宋体" w:cs="宋体"/>
          <w:color w:val="auto"/>
          <w:sz w:val="21"/>
          <w:szCs w:val="21"/>
          <w:highlight w:val="none"/>
          <w:lang w:val="en-US" w:eastAsia="zh-CN"/>
        </w:rPr>
        <w:t>安全，严格执行采购人停车场管理规定，主要指对在库车辆进行看护、巡查、登记；对车辆出入进行查验、登记；对外来车辆的管理(指引驾驶员将车停放到位)。协助工程管理人员做好设备设施巡检工作。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3.根据采购人要求处置各类安保突发事件或执行特别安保任务。</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4.根据采购人要求完成服务区域内其他安保服务工作。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熟练运用监视控制系统，充分发挥办公楼的技防优势，实行24小时全天候对重点部位、监控点进行监视及录像工作。加强对出入口和周边环境的监控，严防外来人员违规直接进入办公楼，密切监视可疑人员出入动态。</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6.服务区域内发生的侵犯工作人员事件或者出现扰乱采购人正常工作秩序情况时，秩序维护人员应当予以制止和保护大院工作人员，并采取救助行动。</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7.协助采购人组织各类活动的开展及临时接待任务的安全保卫工作，随时提供人力支援。根据采购人要求，按照特殊敏感时期保卫方案，实施对办公楼的安全、防护、保卫工作。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8.负责办公区内重大突发情况和事（案）件的报警及救助工作；对突发事件有应急处理计划和措施，必要时及时报警并报采购人主管部门和业务指导部门，防止事态进一步恶化，协助保护现场。</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9.对大楼内出现争吵、身体接触等激烈行为，要及时制止，防止事态进一步恶化，对情节严重的及时上报采购人法警大队和有关职能部门（公安局派出所）处理。</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10.监督消防维保单位检查有关消防设施，协助处理突发事件（如：火灾、水灾、自然灾害、危害公共安全人为事件等）及其他事项。</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11.协助采购人对审判会议场地的布置及物品的搬运工作。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12.协助有关部门妥善处理群众上访事件。</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三</w:t>
      </w:r>
      <w:r>
        <w:rPr>
          <w:rFonts w:hint="eastAsia" w:ascii="宋体" w:hAnsi="宋体" w:eastAsia="宋体" w:cs="宋体"/>
          <w:b/>
          <w:bCs/>
          <w:color w:val="auto"/>
          <w:sz w:val="21"/>
          <w:szCs w:val="21"/>
          <w:highlight w:val="none"/>
          <w:lang w:val="en-US" w:eastAsia="zh-CN"/>
        </w:rPr>
        <w:t>）卫生清洁服务</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负责采购人采购范围内广场、道路；大楼外墙；铝板幕墙；冲孔铝板（铝质天花）；石膏板天花；花岗石墙地面；地毯；室内办公场所；诉讼服务中心；审判法庭；调解室；会议室；公共部位（卫生间及厕具、楼梯、电梯、走廊、走火通道等）；停车场；各种设备、设施；附属楼等的日常卫生清洁。以及采购人临时要求的突击清洁任务，如清洁会场、大扫除等，随时保洁。</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（1）关键办公区域、指定办公室的清洁卫生由中标人安排专人跟进和监督质量。</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（2）外墙清洗、花岗石墙地面养护、区法院大堂晶面处理</w:t>
      </w:r>
      <w:r>
        <w:rPr>
          <w:rFonts w:hint="eastAsia" w:ascii="宋体" w:hAnsi="宋体" w:cs="宋体"/>
          <w:color w:val="auto"/>
          <w:sz w:val="21"/>
          <w:szCs w:val="21"/>
          <w:highlight w:val="none"/>
          <w:lang w:val="en-US" w:eastAsia="zh-CN"/>
        </w:rPr>
        <w:t>等</w:t>
      </w:r>
      <w:r>
        <w:rPr>
          <w:rFonts w:hint="eastAsia" w:ascii="宋体" w:hAnsi="宋体" w:eastAsia="宋体" w:cs="宋体"/>
          <w:color w:val="auto"/>
          <w:sz w:val="21"/>
          <w:szCs w:val="21"/>
          <w:highlight w:val="none"/>
          <w:lang w:val="en-US" w:eastAsia="zh-CN"/>
        </w:rPr>
        <w:t>专业项目可外包由专业清洁公司负责。</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2.负责门前三包，</w:t>
      </w:r>
      <w:r>
        <w:rPr>
          <w:rFonts w:hint="eastAsia" w:ascii="宋体" w:hAnsi="宋体" w:cs="宋体"/>
          <w:color w:val="auto"/>
          <w:sz w:val="21"/>
          <w:szCs w:val="21"/>
          <w:highlight w:val="none"/>
          <w:lang w:val="en-US" w:eastAsia="zh-CN"/>
        </w:rPr>
        <w:t>定点</w:t>
      </w:r>
      <w:r>
        <w:rPr>
          <w:rFonts w:hint="eastAsia" w:ascii="宋体" w:hAnsi="宋体" w:eastAsia="宋体" w:cs="宋体"/>
          <w:color w:val="auto"/>
          <w:sz w:val="21"/>
          <w:szCs w:val="21"/>
          <w:highlight w:val="none"/>
          <w:lang w:val="en-US" w:eastAsia="zh-CN"/>
        </w:rPr>
        <w:t>定期消毒，除“四害”， 灭蚊、灭蝇、灭老鼠、灭蟑螂工作。协助采购人与辖内街道爱卫工作的商洽和落实，并按采购人的要求做好爱卫工作有关资料的建档工作。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3.负责服务范围外围的“三包”工作。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4.负责服务范围的垃圾分类收集和清运，做到日产日清。</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5.法院内大堂、公共通道、法庭等公共场所地面定期打腊或做晶面处理、打磨保养。</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6.定期清理大院内沟渠，保证污水排放通畅，定期清理化粪池。</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7.中标人负责卫生间各项日常用品（含洗手液、除臭丸、喷香剂、檀香等）的管理和配置。</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8.根据采购人要求完成服务区域内其它清洁服务工作。</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四</w:t>
      </w:r>
      <w:r>
        <w:rPr>
          <w:rFonts w:hint="eastAsia" w:ascii="宋体" w:hAnsi="宋体" w:eastAsia="宋体" w:cs="宋体"/>
          <w:b/>
          <w:bCs/>
          <w:color w:val="auto"/>
          <w:sz w:val="21"/>
          <w:szCs w:val="21"/>
          <w:highlight w:val="none"/>
          <w:lang w:val="en-US" w:eastAsia="zh-CN"/>
        </w:rPr>
        <w:t>）配套设备设施维护服务</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负责服务区域内的各类设备设施的日常管理和简单维修工作。建立对各类设备设施进行全面检测的工作制度，规范检测行为，提高检测效率，保证检测效果。建立设备设施管理紧急事件处理规程(制度)，全面规范设备发生紧急事件时，各类服务工作人员的职责和义务，提高处理紧急情况的效率以确保采购人的财产和人身安全。当设备设施出现故障、损坏部位或存在危险隐患时要及时进行保护性修复或整改工作；在接到急修任务时应立即到现场处理。</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2.办公大楼内设备（包括：电梯、消防、</w:t>
      </w:r>
      <w:r>
        <w:rPr>
          <w:rFonts w:hint="eastAsia" w:ascii="宋体" w:hAnsi="宋体" w:cs="宋体"/>
          <w:color w:val="auto"/>
          <w:sz w:val="21"/>
          <w:szCs w:val="21"/>
          <w:highlight w:val="none"/>
          <w:lang w:val="en-US" w:eastAsia="zh-CN"/>
        </w:rPr>
        <w:t>发电机、</w:t>
      </w:r>
      <w:r>
        <w:rPr>
          <w:rFonts w:hint="eastAsia" w:ascii="宋体" w:hAnsi="宋体" w:eastAsia="宋体" w:cs="宋体"/>
          <w:color w:val="auto"/>
          <w:sz w:val="21"/>
          <w:szCs w:val="21"/>
          <w:highlight w:val="none"/>
          <w:lang w:val="en-US" w:eastAsia="zh-CN"/>
        </w:rPr>
        <w:t>停车位、中央空调、直饮水机等）必须聘请具有相应资格的专业公司进行维护保养，并跟进、监督相关保养公司的服务质量，及时向采购人反馈。</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3.建立设备管理维修档案。</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4.在全面巡查的基础上，严格按照设备运行操作管理规范，加强对用电系统和消防系统的各类设备设施进行重点管理。</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5.在全面巡查、重点管理的基础上，完成对安防系统、安检系统设备和用具、会议系统设备、触摸屏查询设备、空调设备设施、高压配电设备设施、数字化法庭、视频会议室设备、LED 发布系统、电梯、备用发电机及其他设备设施进行日常管理工作，确保上述设备设施的正常运行。</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6.在全面巡查、重点管理的基础上，完成对大楼各类给排水系统、低压用(配)电系统、安防门设施及其它设备设施进行日常管理和维修工作，以确保上述各类设备设施的正常运行。</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7.根据设备运行规范的要求加强对使用人安全用电管理。</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8.加强对服务区域内的所有配套设备设施的管理，在全面巡查的基础上，做好清洁维护工作，及时对易(已)生锈的金属质物件进行除锈上漆的工作。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遇到采购人各业务部门需要在特定时间保证供电、供水等特殊情况时，应妥善安排工作，满足其要求；遇火灾、地震、水灾等灾害或其它突发事件时，应采取切断电源等有关抢险、救援措施：协助供电部门做好安全用电的有关工作、协助其他部门做好各类设备的管理维修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10.完成更换国旗、节假日庆典装饰、会议会场布置、重大活动舞台搭建等各类仪式布置工作。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11.负责法院宿舍物品、线路、灯泡的维修、保养工作。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12.根据采购人要求完成服务区域内其它设备设施检查、保养、维修等服务工作。</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13.协助采购人对办公区域进行线路整改、改造等管理工作。</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五</w:t>
      </w:r>
      <w:r>
        <w:rPr>
          <w:rFonts w:hint="eastAsia" w:ascii="宋体" w:hAnsi="宋体" w:eastAsia="宋体" w:cs="宋体"/>
          <w:b/>
          <w:bCs/>
          <w:color w:val="auto"/>
          <w:sz w:val="21"/>
          <w:szCs w:val="21"/>
          <w:highlight w:val="none"/>
          <w:lang w:val="en-US" w:eastAsia="zh-CN"/>
        </w:rPr>
        <w:t>）消防管理</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1.负责服务区域内的全部消防设施、设备的使用和管理及大楼火灾的报警和救助工作，并制定较为完善的消防应急方案。</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认真贯彻“安全第一，预防为主”的方针，设立消防组织机构、职责、规章制度和工作程序，落实各级消防责任人。全面熟练掌握消防监控报警、干式灭火（气体）、湿式灭火（喷淋）、防排烟及消防栓五个系统的作用、位置和操作方法。</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按公共建筑消防管理规定，负责对消防设备和设施的保养，定期和不定期进行全面检查，确保消防设备和设施随时处于正常工作状态。中标人须按照采购人的要求监督配合并积极联系、协调消防系统专业承保公司的各项维修保养工作，严格按照保养合同进行设备保养，做好消防维保工作记录，并将记录资料和检测结果提供给采购人备案。</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4.办公区域和公共区域配装的各种灭火器材、防毒面具、烟感、喷淋设施以及楼梯、走道和出口的安全疏散指示、应急照明、通风设施等由中标人负责日常检查、维修。</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5.建立义务消防队伍，出现消防事故2分钟内应到达现场，进行必要的扑救。同时中标人有可调配的支援力量。</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每周进行一次全部消防设备、设施巡视检查工作，并做好记录，及时整改火险隐患，监护动火和易燃易爆用品存放情况，保持消防区及楼梯走道和出口畅通。重大节日前配合采购人进行节日消防安全大检查，并按采购人要求及时进行整改。</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7.做好消防知识的培训和宣传，每年组织大楼综合消防应急演练不少于两次。</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8.做好其它防火灭火工作及消防配套设施的维护。</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六</w:t>
      </w:r>
      <w:r>
        <w:rPr>
          <w:rFonts w:hint="eastAsia" w:ascii="宋体" w:hAnsi="宋体" w:eastAsia="宋体" w:cs="宋体"/>
          <w:b/>
          <w:bCs/>
          <w:color w:val="auto"/>
          <w:sz w:val="21"/>
          <w:szCs w:val="21"/>
          <w:highlight w:val="none"/>
          <w:lang w:val="en-US" w:eastAsia="zh-CN"/>
        </w:rPr>
        <w:t>）会务保障服务</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1.负责保障院内各种会议会场的布置，桌、椅、凳、茶杯、烟灰缸、毛巾、纸巾、麦克风等物品的摆放，设备的保养和清洁。</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2.配合或提醒监控音频操作人员按时调试音响、音频、视频、麦克风等设备。</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3.讲文明、讲礼仪、讲礼貌，诚信待客、微笑服务。</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4.着装要按季节穿着，整洁、大方、得体，不得穿超短裙或不雅服装。</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5.负责会议场内的设备物品的保管工作，物品丢失要按价赔偿。</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6.要遵守会场纪律、不准打听、过问会议有关事项，不该看的不看，不得向外泄露会议内容，严格保守秘密。</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7.机关内部书报刊、信件等非涉密文件类资料的传递。</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8.根据采购人要求完成服务区域内其它会务接待服务工作。</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七</w:t>
      </w:r>
      <w:r>
        <w:rPr>
          <w:rFonts w:hint="eastAsia" w:ascii="宋体" w:hAnsi="宋体" w:eastAsia="宋体" w:cs="宋体"/>
          <w:b/>
          <w:bCs/>
          <w:color w:val="auto"/>
          <w:sz w:val="21"/>
          <w:szCs w:val="21"/>
          <w:highlight w:val="none"/>
          <w:lang w:val="en-US" w:eastAsia="zh-CN"/>
        </w:rPr>
        <w:t xml:space="preserve">）保密管理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1.中标人应指派专人负责综合服务保密管理工作，及时研究、处理综合服务保密工作中的问题。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2.中标人应针对综合服务制定保密管理制度，制度涵盖人员管理、场所管理、责任追究等内容。</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3.中标人发现综合服务保密管理中存在隐患和问题，应当立即通知采购方。</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4.中标人应当对参与本单位综合服务的员工进行保密培训和教育，上岗前培训不少于2 小时，对在岗员工每年培训时间不少于24小时。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5.中标人签订合同之日起 15 天内提供管理人员的身份资料，管理人员发生变动的，应当及时进行书面说明并提供新任职人员的资料。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6.中标人应当核实因工作需要进入办案场所的综合服务企业员工的真实身份、保留能够证实其身份的有关材料，所有员工必须进行政审。</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7.中标人员工进入采购方办案场所应当佩戴工作证（卡、牌）等表明员工身份；未经</w:t>
      </w:r>
      <w:bookmarkStart w:id="5" w:name="OLE_LINK15"/>
      <w:r>
        <w:rPr>
          <w:rFonts w:hint="eastAsia" w:ascii="宋体" w:hAnsi="宋体" w:eastAsia="宋体" w:cs="宋体"/>
          <w:color w:val="auto"/>
          <w:sz w:val="21"/>
          <w:szCs w:val="21"/>
          <w:highlight w:val="none"/>
          <w:lang w:val="en-US" w:eastAsia="zh-CN"/>
        </w:rPr>
        <w:t>采购方</w:t>
      </w:r>
      <w:bookmarkEnd w:id="5"/>
      <w:r>
        <w:rPr>
          <w:rFonts w:hint="eastAsia" w:ascii="宋体" w:hAnsi="宋体" w:eastAsia="宋体" w:cs="宋体"/>
          <w:color w:val="auto"/>
          <w:sz w:val="21"/>
          <w:szCs w:val="21"/>
          <w:highlight w:val="none"/>
          <w:lang w:val="en-US" w:eastAsia="zh-CN"/>
        </w:rPr>
        <w:t>允许并经过符合保密规定的程序，中标人员工不得进入</w:t>
      </w:r>
      <w:bookmarkStart w:id="6" w:name="OLE_LINK49"/>
      <w:r>
        <w:rPr>
          <w:rFonts w:hint="eastAsia" w:ascii="宋体" w:hAnsi="宋体" w:eastAsia="宋体" w:cs="宋体"/>
          <w:color w:val="auto"/>
          <w:sz w:val="21"/>
          <w:szCs w:val="21"/>
          <w:highlight w:val="none"/>
          <w:lang w:val="en-US" w:eastAsia="zh-CN"/>
        </w:rPr>
        <w:t>保密要害部门</w:t>
      </w:r>
      <w:bookmarkEnd w:id="6"/>
      <w:r>
        <w:rPr>
          <w:rFonts w:hint="eastAsia" w:ascii="宋体" w:hAnsi="宋体" w:eastAsia="宋体" w:cs="宋体"/>
          <w:color w:val="auto"/>
          <w:sz w:val="21"/>
          <w:szCs w:val="21"/>
          <w:highlight w:val="none"/>
          <w:lang w:val="en-US" w:eastAsia="zh-CN"/>
        </w:rPr>
        <w:t>。</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8.中标人保证因工作需要进入办案场所的综合服务企业员工相对固定，并将有关员工的姓名及照片提供给采购方，公布于办案场所的显著位置。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9.中标人员工不得参与采购方涉密工作、会议、活动，不得以任何形式接触，知悉采购方国家秘密。</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10.中标人员工在工作过程中不得擅自查看采购方办案场所内的有关文件、资料，不得使用办案场所内的有关设施、设备。</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11.中标人员工进入</w:t>
      </w:r>
      <w:r>
        <w:rPr>
          <w:rFonts w:hint="eastAsia" w:ascii="宋体" w:hAnsi="宋体" w:cs="宋体"/>
          <w:color w:val="auto"/>
          <w:sz w:val="21"/>
          <w:szCs w:val="21"/>
          <w:highlight w:val="none"/>
          <w:lang w:val="en-US" w:eastAsia="zh-CN"/>
        </w:rPr>
        <w:t>采购方</w:t>
      </w:r>
      <w:r>
        <w:rPr>
          <w:rFonts w:hint="eastAsia" w:ascii="宋体" w:hAnsi="宋体" w:eastAsia="宋体" w:cs="宋体"/>
          <w:color w:val="auto"/>
          <w:sz w:val="21"/>
          <w:szCs w:val="21"/>
          <w:highlight w:val="none"/>
          <w:lang w:val="en-US" w:eastAsia="zh-CN"/>
        </w:rPr>
        <w:t xml:space="preserve">办案场所不得进行录音、录像，经采购方允许进入保密要害部门、不得携带手机。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12.中标人应当针对综合服务保密管理工作进行自查、整改</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每半年至少开展一次。</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13.采购方对中标人实施保密检查时，中标人应当积极配合，提供有关材料。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14.中标人必须指派一名管理人员负责监督各处室保密纸的回收交由具有相应资质单位进行处理，并做好相关记录。</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八</w:t>
      </w:r>
      <w:r>
        <w:rPr>
          <w:rFonts w:hint="eastAsia" w:ascii="宋体" w:hAnsi="宋体" w:eastAsia="宋体" w:cs="宋体"/>
          <w:b/>
          <w:bCs/>
          <w:color w:val="auto"/>
          <w:sz w:val="21"/>
          <w:szCs w:val="21"/>
          <w:highlight w:val="none"/>
          <w:lang w:val="en-US" w:eastAsia="zh-CN"/>
        </w:rPr>
        <w:t>）其他事项</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1.按采购人要求做好服务区域范围内防范各类传染病（非典及新型冠状病毒等类似疫情）的各项防疫及应急工作。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2.负责服务区域范围内防范自然灾害（台风、洪水等）及应急工作。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3.根据采购人的要求和指引，协助完成进出服务区域范围内物品的搬卸任务；协助采购人服务区域范围内废旧物品的处置。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4.自签约之日起，根据采购人的要求，中标人需提前一周派驻相关管理人员和技术人员，协助采购人跟踪和熟悉服务区域情况和各种设备的现状，掌握各种设备和管理要求和操作要求；掌握相关技术资料，协助做好各种设备接管交接工作。 </w:t>
      </w:r>
    </w:p>
    <w:p>
      <w:pPr>
        <w:keepNext w:val="0"/>
        <w:keepLines w:val="0"/>
        <w:pageBreakBefore w:val="0"/>
        <w:widowControl w:val="0"/>
        <w:numPr>
          <w:ilvl w:val="1"/>
          <w:numId w:val="0"/>
        </w:numPr>
        <w:kinsoku/>
        <w:wordWrap/>
        <w:overflowPunct/>
        <w:topLinePunct w:val="0"/>
        <w:autoSpaceDE/>
        <w:autoSpaceDN/>
        <w:bidi w:val="0"/>
        <w:adjustRightInd/>
        <w:snapToGrid/>
        <w:spacing w:line="400" w:lineRule="exact"/>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5.负责服务区域管理服务项目其它相关工作及采购人提出的其他管理工作、任务和要求。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2" w:firstLineChars="200"/>
        <w:jc w:val="left"/>
        <w:rPr>
          <w:rFonts w:hint="eastAsia" w:ascii="宋体" w:hAnsi="宋体" w:eastAsia="宋体" w:cs="宋体"/>
          <w:color w:val="auto"/>
          <w:sz w:val="21"/>
          <w:szCs w:val="21"/>
          <w:highlight w:val="none"/>
        </w:rPr>
      </w:pPr>
      <w:r>
        <w:rPr>
          <w:rFonts w:hint="eastAsia" w:ascii="宋体" w:hAnsi="宋体" w:eastAsia="宋体" w:cs="宋体"/>
          <w:b/>
          <w:bCs/>
          <w:color w:val="auto"/>
          <w:kern w:val="0"/>
          <w:sz w:val="21"/>
          <w:szCs w:val="21"/>
          <w:highlight w:val="none"/>
          <w:lang w:val="en-US" w:eastAsia="zh-CN" w:bidi="ar"/>
        </w:rPr>
        <w:t xml:space="preserve">三、具体服务工作要求 </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422" w:firstLineChars="200"/>
        <w:textAlignment w:val="auto"/>
        <w:rPr>
          <w:rFonts w:hint="eastAsia" w:ascii="宋体" w:hAnsi="宋体" w:eastAsia="宋体" w:cs="宋体"/>
          <w:b/>
          <w:bCs/>
          <w:color w:val="auto"/>
          <w:sz w:val="21"/>
          <w:szCs w:val="21"/>
          <w:highlight w:val="none"/>
          <w:lang w:val="en-US" w:eastAsia="zh-CN"/>
        </w:rPr>
      </w:pPr>
      <w:bookmarkStart w:id="7" w:name="OLE_LINK12"/>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一</w:t>
      </w:r>
      <w:r>
        <w:rPr>
          <w:rFonts w:hint="eastAsia" w:ascii="宋体" w:hAnsi="宋体" w:eastAsia="宋体" w:cs="宋体"/>
          <w:b/>
          <w:bCs/>
          <w:color w:val="auto"/>
          <w:sz w:val="21"/>
          <w:szCs w:val="21"/>
          <w:highlight w:val="none"/>
          <w:lang w:val="en-US" w:eastAsia="zh-CN"/>
        </w:rPr>
        <w:t>）</w:t>
      </w:r>
      <w:bookmarkEnd w:id="7"/>
      <w:r>
        <w:rPr>
          <w:rFonts w:hint="eastAsia" w:ascii="宋体" w:hAnsi="宋体" w:cs="宋体"/>
          <w:b/>
          <w:bCs/>
          <w:color w:val="auto"/>
          <w:sz w:val="21"/>
          <w:szCs w:val="21"/>
          <w:highlight w:val="none"/>
          <w:lang w:val="en-US" w:eastAsia="zh-CN"/>
        </w:rPr>
        <w:t>安保</w:t>
      </w:r>
      <w:r>
        <w:rPr>
          <w:rFonts w:hint="eastAsia" w:ascii="宋体" w:hAnsi="宋体" w:eastAsia="宋体" w:cs="宋体"/>
          <w:b/>
          <w:bCs/>
          <w:color w:val="auto"/>
          <w:sz w:val="21"/>
          <w:szCs w:val="21"/>
          <w:highlight w:val="none"/>
          <w:lang w:val="en-US" w:eastAsia="zh-CN"/>
        </w:rPr>
        <w:t xml:space="preserve">服务工作要求 </w:t>
      </w:r>
    </w:p>
    <w:p>
      <w:pPr>
        <w:keepNext w:val="0"/>
        <w:keepLines w:val="0"/>
        <w:pageBreakBefore w:val="0"/>
        <w:widowControl w:val="0"/>
        <w:numPr>
          <w:ilvl w:val="1"/>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1.保安员服务期间，严禁发生下列行为：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bookmarkStart w:id="8" w:name="OLE_LINK8"/>
      <w:r>
        <w:rPr>
          <w:rFonts w:hint="eastAsia" w:ascii="宋体" w:hAnsi="宋体" w:eastAsia="宋体" w:cs="宋体"/>
          <w:color w:val="auto"/>
          <w:kern w:val="0"/>
          <w:sz w:val="21"/>
          <w:szCs w:val="21"/>
          <w:highlight w:val="none"/>
          <w:lang w:val="en-US" w:eastAsia="zh-CN" w:bidi="ar-SA"/>
        </w:rPr>
        <w:t>(1)</w:t>
      </w:r>
      <w:bookmarkEnd w:id="8"/>
      <w:r>
        <w:rPr>
          <w:rFonts w:hint="eastAsia" w:ascii="宋体" w:hAnsi="宋体" w:eastAsia="宋体" w:cs="宋体"/>
          <w:color w:val="auto"/>
          <w:kern w:val="0"/>
          <w:sz w:val="21"/>
          <w:szCs w:val="21"/>
          <w:highlight w:val="none"/>
          <w:lang w:val="en-US" w:eastAsia="zh-CN" w:bidi="ar-SA"/>
        </w:rPr>
        <w:t xml:space="preserve">擅离职守；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(2)监守自盗行为；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(3)限制他人人身自由、搜查他人身体或者侮辱、殴打他人；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(4)扣押、没收他人证件、财物；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(5)阻碍依法执行公务；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(6)参与追索债务、采用暴力或者以暴力相威胁的手段处置纠纷；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(7)删改或者扩散保安服务中形成的监控影像资料、报警记录；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(8)侵犯个人隐私或者泄露在保安服务中获知的国家秘密、商业秘密以及采购人明确要求保密的信息；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(9)擅自带无关人员进入综合服务区域，擅自带人在值班室或采购人其它区域留宿。 </w:t>
      </w:r>
    </w:p>
    <w:p>
      <w:pPr>
        <w:keepNext w:val="0"/>
        <w:keepLines w:val="0"/>
        <w:pageBreakBefore w:val="0"/>
        <w:widowControl w:val="0"/>
        <w:numPr>
          <w:ilvl w:val="1"/>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2.保安员在岗期间应切实履行以下职责，严格遵守下列规定：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(1)保安员须遵守国家的法律法规、遵守采购人的各项规章制度</w:t>
      </w:r>
      <w:r>
        <w:rPr>
          <w:rFonts w:hint="eastAsia" w:ascii="宋体" w:hAnsi="宋体" w:cs="宋体"/>
          <w:color w:val="auto"/>
          <w:kern w:val="0"/>
          <w:sz w:val="21"/>
          <w:szCs w:val="21"/>
          <w:highlight w:val="none"/>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lang w:val="en-US" w:eastAsia="zh-CN" w:bidi="ar-SA"/>
        </w:rPr>
        <w:t>)令行禁止。</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left"/>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lang w:val="en-US" w:eastAsia="zh-CN" w:bidi="ar-SA"/>
        </w:rPr>
        <w:t>)工作中遇到紧急、突发事件或发现其他异常情况及时向主管部门报告；发现违法行为或其他不安全隐患应采取必要的阻扰措施予以制止、排除险情、查明情况并及时报告，确保采购人的安全。</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(4)严格按采购人要求完成工作记录任务。内容填写应详尽、真实，严禁弄虚作假，应使用规范字、字迹清晰，不得随意涂改登记资料。登记的内容应当清晰、全面。对案件当事人、来访人的身份证明文件进行登记时应记录证件名称、姓名、证号、发证机关；对传票进行登记时应记录开庭地址、出庭人姓名、经办法官或书记员；对其他法律文件资料、物品进行登记时应记录名称、交接时间、交接人、价值及能反映物</w:t>
      </w:r>
      <w:r>
        <w:rPr>
          <w:rFonts w:hint="eastAsia" w:ascii="宋体" w:hAnsi="宋体" w:cs="宋体"/>
          <w:color w:val="auto"/>
          <w:kern w:val="0"/>
          <w:sz w:val="21"/>
          <w:szCs w:val="21"/>
          <w:highlight w:val="none"/>
          <w:lang w:val="en-US" w:eastAsia="zh-CN" w:bidi="ar-SA"/>
        </w:rPr>
        <w:t>品</w:t>
      </w:r>
      <w:r>
        <w:rPr>
          <w:rFonts w:hint="eastAsia" w:ascii="宋体" w:hAnsi="宋体" w:eastAsia="宋体" w:cs="宋体"/>
          <w:color w:val="auto"/>
          <w:kern w:val="0"/>
          <w:sz w:val="21"/>
          <w:szCs w:val="21"/>
          <w:highlight w:val="none"/>
          <w:lang w:val="en-US" w:eastAsia="zh-CN" w:bidi="ar-SA"/>
        </w:rPr>
        <w:t xml:space="preserve">特征的其他要素；对于各种涉及安保管理工作的登记应具体、细致而全面。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(5)对出入办公审判区域的人员、车辆及所携带、装载的物品，按采购人的要求进行验证、检查：发现管制刀具、枪支(含自制火药枪)、弹药、毒品、瓶装有毒有害物品等危险品或形迹可疑的人应及时制止并按相关规定完成盘查、监视工作同时向主管部门报告。</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(6)对进入办公审判区域的人员，应当礼貌地主动接待，了解来访目的及其身份，严格按照采购人的要求完成接访及登记工作。严格按采购人的要求，对出入办公审判区域的人员及其随身携带的各类包袋进行安全检查，询问其行程的目的、查验其身份证明文件并进行详实的登记。</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(7)制止未经许可的人员、车辆进入护卫区域内，对发生在护卫区域内的刑事案件或治安案件应保护现场、保护证据、维护秩序并及时向有</w:t>
      </w:r>
      <w:r>
        <w:rPr>
          <w:rFonts w:hint="eastAsia" w:ascii="宋体" w:hAnsi="宋体" w:cs="宋体"/>
          <w:color w:val="auto"/>
          <w:kern w:val="0"/>
          <w:sz w:val="21"/>
          <w:szCs w:val="21"/>
          <w:highlight w:val="none"/>
          <w:lang w:val="en-US" w:eastAsia="zh-CN" w:bidi="ar-SA"/>
        </w:rPr>
        <w:t>关</w:t>
      </w:r>
      <w:r>
        <w:rPr>
          <w:rFonts w:hint="eastAsia" w:ascii="宋体" w:hAnsi="宋体" w:eastAsia="宋体" w:cs="宋体"/>
          <w:color w:val="auto"/>
          <w:kern w:val="0"/>
          <w:sz w:val="21"/>
          <w:szCs w:val="21"/>
          <w:highlight w:val="none"/>
          <w:lang w:val="en-US" w:eastAsia="zh-CN" w:bidi="ar-SA"/>
        </w:rPr>
        <w:t xml:space="preserve">主管部门报告，并做好登记工作。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(8)严格按采购人的要求，对携带公物出院的人员进行必要的查问，做好相关物品的放行登记工作：严格按工作要求认真检查设备设施，做好防盗、防抢劫工作。</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(9)保持审判区域与办公区域的间隔门处于关闭状态，保安(特别是门卫和巡逻岗位的在岗保安)应主动检查审判区域与办公区域的间隔门是否关闭，发现间隔门打开，应立即关闭。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(10)在办公审判区域内进行巡逻，采取守护、安全检查、报警监控等措施对采购人的公共财产和人员进行保护；对进出采购人的公共财产进行详实登记。</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(11)对案件当事人及相关人员的违规违法行为(含影响采购人形象、破坏办公环境、影响办公审判秩序的各种行为)及时合法有效地制止并立即报告，同时应保护现场。</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(12)保安员应当按月将以下保安工作的登记资料进行整理、汇总、编册后提交管理处并报送主管部门备查。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 xml:space="preserve">车辆使用登记资料；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保安巡逻、门岗值班、文件资料收发等工作的登记资料；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③</w:t>
      </w:r>
      <w:r>
        <w:rPr>
          <w:rFonts w:hint="eastAsia" w:ascii="宋体" w:hAnsi="宋体" w:eastAsia="宋体" w:cs="宋体"/>
          <w:color w:val="auto"/>
          <w:kern w:val="0"/>
          <w:sz w:val="21"/>
          <w:szCs w:val="21"/>
          <w:highlight w:val="none"/>
          <w:lang w:val="en-US" w:eastAsia="zh-CN" w:bidi="ar-SA"/>
        </w:rPr>
        <w:t>应</w:t>
      </w:r>
      <w:r>
        <w:rPr>
          <w:rFonts w:hint="eastAsia" w:ascii="宋体" w:hAnsi="宋体" w:cs="宋体"/>
          <w:color w:val="auto"/>
          <w:kern w:val="0"/>
          <w:sz w:val="21"/>
          <w:szCs w:val="21"/>
          <w:highlight w:val="none"/>
          <w:lang w:val="en-US" w:eastAsia="zh-CN" w:bidi="ar-SA"/>
        </w:rPr>
        <w:t>采购人</w:t>
      </w:r>
      <w:r>
        <w:rPr>
          <w:rFonts w:hint="eastAsia" w:ascii="宋体" w:hAnsi="宋体" w:eastAsia="宋体" w:cs="宋体"/>
          <w:color w:val="auto"/>
          <w:kern w:val="0"/>
          <w:sz w:val="21"/>
          <w:szCs w:val="21"/>
          <w:highlight w:val="none"/>
          <w:lang w:val="en-US" w:eastAsia="zh-CN" w:bidi="ar-SA"/>
        </w:rPr>
        <w:t xml:space="preserve">要求，对相关事项情况进行登记、造册汇总。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(13)保安员应加强组织纪律性，搞好保卫值班队伍内部团结。坚持从大局出发，遇大事 讲原则，小事讲风格，发挥集体主义精神，团结协助共同把安全保卫管理服务工作做好。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(14)严格按要求配合电工技术员及其他工程人员做好消防工作积极参加消防演习和培 训，熟练使用安保、消防器材。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(15)爱护公物，合理使用、妥善保管各值班器械、用品、办公桌椅等公用物品。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(16)严格遵守采购人的各项规章制度；爱惜采购人财产，有损坏者，应照价赔偿；不得 擅自使用采购人的各类设备设施；不得擅自带采购人的物资(材料)外出。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(17)严格执行请销假制度。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(18)自觉接受采购人的监督指导并及时整改。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(19)着装整齐、配带规定装备，扎好腰带、系领带、穿着黑色皮鞋、配带工作证， 不得披衣、敞怀、挽袖、卷裤腿、戴歪帽：注重仪表，不蓄发、不染发、不烫发、不留长指甲、 不配戴饰物、不化妆、不戴墨镜。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(20)讲究举止文明，不得污言秽语、不得打人骂人、不准哼歌曲、吹哨；不得从事喝酒、赌博、吸烟、睡觉、玩电脑、玩手机、玩游戏、长时间打电话、吃零食、看书、听广播、 看 视频、闲聊等与工作无关的事情。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(21)讲究卫生，不随地吐痰、乱丢杂物。注重个人卫生，保持良好形象。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bookmarkStart w:id="9" w:name="OLE_LINK9"/>
      <w:r>
        <w:rPr>
          <w:rFonts w:hint="eastAsia" w:ascii="宋体" w:hAnsi="宋体" w:eastAsia="宋体" w:cs="宋体"/>
          <w:color w:val="auto"/>
          <w:kern w:val="0"/>
          <w:sz w:val="21"/>
          <w:szCs w:val="21"/>
          <w:highlight w:val="none"/>
          <w:lang w:val="en-US" w:eastAsia="zh-CN" w:bidi="ar-SA"/>
        </w:rPr>
        <w:t>(22)</w:t>
      </w:r>
      <w:bookmarkEnd w:id="9"/>
      <w:r>
        <w:rPr>
          <w:rFonts w:hint="eastAsia" w:ascii="宋体" w:hAnsi="宋体" w:eastAsia="宋体" w:cs="宋体"/>
          <w:color w:val="auto"/>
          <w:kern w:val="0"/>
          <w:sz w:val="21"/>
          <w:szCs w:val="21"/>
          <w:highlight w:val="none"/>
          <w:lang w:val="en-US" w:eastAsia="zh-CN" w:bidi="ar-SA"/>
        </w:rPr>
        <w:t xml:space="preserve">保安在岗期间，实行站岗(或巡逻)值班，除以下情形外，禁止坐岗行为。站岗时应站姿端正、不左摇右摆，不弯腰驼背；不得勾肩搭背、不得伸懒腰、不背手、插腰或将手插 入衣袋。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bookmarkStart w:id="10" w:name="OLE_LINK5"/>
      <w:r>
        <w:rPr>
          <w:rFonts w:hint="default" w:ascii="Cambria" w:hAnsi="Cambria" w:eastAsia="宋体" w:cs="Cambria"/>
          <w:color w:val="auto"/>
          <w:kern w:val="0"/>
          <w:sz w:val="21"/>
          <w:szCs w:val="21"/>
          <w:highlight w:val="none"/>
          <w:lang w:val="en-US" w:eastAsia="zh-CN" w:bidi="ar-SA"/>
        </w:rPr>
        <w:t>①</w:t>
      </w:r>
      <w:bookmarkEnd w:id="10"/>
      <w:r>
        <w:rPr>
          <w:rFonts w:hint="eastAsia" w:ascii="宋体" w:hAnsi="宋体" w:eastAsia="宋体" w:cs="宋体"/>
          <w:color w:val="auto"/>
          <w:kern w:val="0"/>
          <w:sz w:val="21"/>
          <w:szCs w:val="21"/>
          <w:highlight w:val="none"/>
          <w:lang w:val="en-US" w:eastAsia="zh-CN" w:bidi="ar-SA"/>
        </w:rPr>
        <w:t xml:space="preserve">交接资料、核查证件需要坐下书写登记；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bookmarkStart w:id="11" w:name="OLE_LINK6"/>
      <w:r>
        <w:rPr>
          <w:rFonts w:hint="default" w:ascii="Cambria" w:hAnsi="Cambria" w:eastAsia="宋体" w:cs="Cambria"/>
          <w:color w:val="auto"/>
          <w:kern w:val="0"/>
          <w:sz w:val="21"/>
          <w:szCs w:val="21"/>
          <w:highlight w:val="none"/>
          <w:lang w:val="en-US" w:eastAsia="zh-CN" w:bidi="ar-SA"/>
        </w:rPr>
        <w:t>②</w:t>
      </w:r>
      <w:bookmarkEnd w:id="11"/>
      <w:r>
        <w:rPr>
          <w:rFonts w:hint="eastAsia" w:ascii="宋体" w:hAnsi="宋体" w:eastAsia="宋体" w:cs="宋体"/>
          <w:color w:val="auto"/>
          <w:kern w:val="0"/>
          <w:sz w:val="21"/>
          <w:szCs w:val="21"/>
          <w:highlight w:val="none"/>
          <w:lang w:val="en-US" w:eastAsia="zh-CN" w:bidi="ar-SA"/>
        </w:rPr>
        <w:t xml:space="preserve">站岗或巡逻超过2小时，可在值班室坐下休息10分钟。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w:t>
      </w:r>
      <w:r>
        <w:rPr>
          <w:rFonts w:hint="eastAsia" w:ascii="宋体" w:hAnsi="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lang w:val="en-US" w:eastAsia="zh-CN" w:bidi="ar-SA"/>
        </w:rPr>
        <w:t xml:space="preserve">)负责对进出法院的外来人员、旁听人员、信访人员的登记和安全检查。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w:t>
      </w:r>
      <w:r>
        <w:rPr>
          <w:rFonts w:hint="eastAsia" w:ascii="宋体" w:hAnsi="宋体" w:cs="宋体"/>
          <w:color w:val="auto"/>
          <w:kern w:val="0"/>
          <w:sz w:val="21"/>
          <w:szCs w:val="21"/>
          <w:highlight w:val="none"/>
          <w:lang w:val="en-US" w:eastAsia="zh-CN" w:bidi="ar-SA"/>
        </w:rPr>
        <w:t>4</w:t>
      </w:r>
      <w:r>
        <w:rPr>
          <w:rFonts w:hint="eastAsia" w:ascii="宋体" w:hAnsi="宋体" w:eastAsia="宋体" w:cs="宋体"/>
          <w:color w:val="auto"/>
          <w:kern w:val="0"/>
          <w:sz w:val="21"/>
          <w:szCs w:val="21"/>
          <w:highlight w:val="none"/>
          <w:lang w:val="en-US" w:eastAsia="zh-CN" w:bidi="ar-SA"/>
        </w:rPr>
        <w:t xml:space="preserve">)对大楼内出现争吵、身体接触等激烈行为，要及时制止，防止事态进一步恶化，对情节严重的及时上报采购人法警大队和有关职能部门（公安局派出所）处理。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w:t>
      </w:r>
      <w:r>
        <w:rPr>
          <w:rFonts w:hint="eastAsia" w:ascii="宋体" w:hAnsi="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lang w:val="en-US" w:eastAsia="zh-CN" w:bidi="ar-SA"/>
        </w:rPr>
        <w:t xml:space="preserve">)协助有关部门妥善处理群众上访事件。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w:t>
      </w:r>
      <w:r>
        <w:rPr>
          <w:rFonts w:hint="eastAsia" w:ascii="宋体" w:hAnsi="宋体" w:cs="宋体"/>
          <w:color w:val="auto"/>
          <w:kern w:val="0"/>
          <w:sz w:val="21"/>
          <w:szCs w:val="21"/>
          <w:highlight w:val="none"/>
          <w:lang w:val="en-US" w:eastAsia="zh-CN" w:bidi="ar-SA"/>
        </w:rPr>
        <w:t>6</w:t>
      </w:r>
      <w:r>
        <w:rPr>
          <w:rFonts w:hint="eastAsia" w:ascii="宋体" w:hAnsi="宋体" w:eastAsia="宋体" w:cs="宋体"/>
          <w:color w:val="auto"/>
          <w:kern w:val="0"/>
          <w:sz w:val="21"/>
          <w:szCs w:val="21"/>
          <w:highlight w:val="none"/>
          <w:lang w:val="en-US" w:eastAsia="zh-CN" w:bidi="ar-SA"/>
        </w:rPr>
        <w:t xml:space="preserve">)配合采购人完成一些重大活动的组织工作和临时指派一些零星工作。 </w:t>
      </w:r>
    </w:p>
    <w:p>
      <w:pPr>
        <w:keepNext w:val="0"/>
        <w:keepLines w:val="0"/>
        <w:pageBreakBefore w:val="0"/>
        <w:widowControl w:val="0"/>
        <w:numPr>
          <w:ilvl w:val="1"/>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3.保安服务工作的交接班要求：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(1)严格执行交接班制度。各岗位的接班人员应提前10分钟到岗进行交接班工作，交 接的人员应做到不迟到、不早退，不得擅自调班、换班。按时交接班，不能误岗、漏岗。</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(2)接班队员应查验值班器械是否齐备。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(3)接班人应查验交班人员的值班情况是否正常及值班登记是否齐备。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(4)交班人应将当班情况如实向接班人交接。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(5)交班人应将当班的各种器械及当班记录交接班人验收；交接班人应将交接班情况登记在册并签名。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(6)接班人员未到岗时，当班人员不得离开岗位。 </w:t>
      </w:r>
    </w:p>
    <w:p>
      <w:pPr>
        <w:keepNext w:val="0"/>
        <w:keepLines w:val="0"/>
        <w:pageBreakBefore w:val="0"/>
        <w:widowControl w:val="0"/>
        <w:numPr>
          <w:ilvl w:val="1"/>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4.</w:t>
      </w:r>
      <w:r>
        <w:rPr>
          <w:rFonts w:hint="eastAsia" w:ascii="宋体" w:hAnsi="宋体" w:eastAsia="宋体" w:cs="宋体"/>
          <w:color w:val="auto"/>
          <w:kern w:val="0"/>
          <w:sz w:val="21"/>
          <w:szCs w:val="21"/>
          <w:highlight w:val="none"/>
          <w:lang w:val="en-US" w:eastAsia="zh-CN" w:bidi="ar-SA"/>
        </w:rPr>
        <w:t xml:space="preserve">门卫岗保安工作要求：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(1)接访、传达工作</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 xml:space="preserve">案件当事人要求会见法官，保安应做好登记工作并直接通过电话与法官或书记员联系，请他们到立案大厅接待当事人。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bookmarkStart w:id="12" w:name="OLE_LINK46"/>
      <w:r>
        <w:rPr>
          <w:rFonts w:hint="eastAsia" w:ascii="宋体" w:hAnsi="宋体" w:eastAsia="宋体" w:cs="宋体"/>
          <w:color w:val="auto"/>
          <w:kern w:val="0"/>
          <w:sz w:val="21"/>
          <w:szCs w:val="21"/>
          <w:highlight w:val="none"/>
          <w:lang w:val="en-US" w:eastAsia="zh-CN" w:bidi="ar-SA"/>
        </w:rPr>
        <w:t>外单位工作人员</w:t>
      </w:r>
      <w:bookmarkEnd w:id="12"/>
      <w:r>
        <w:rPr>
          <w:rFonts w:hint="eastAsia" w:ascii="宋体" w:hAnsi="宋体" w:eastAsia="宋体" w:cs="宋体"/>
          <w:color w:val="auto"/>
          <w:kern w:val="0"/>
          <w:sz w:val="21"/>
          <w:szCs w:val="21"/>
          <w:highlight w:val="none"/>
          <w:lang w:val="en-US" w:eastAsia="zh-CN" w:bidi="ar-SA"/>
        </w:rPr>
        <w:t xml:space="preserve">来访接访处理办法。保安应通知相应的受访人或受访部门负责人，请受访人或受访部门负责人派人到立案大厅接待来访人；若受访人或受访部门负责人未派人到立案大厅接待来访人，保安则根据受访人或受访部门负责人的意见由保安引领来访人到受访部门或受访人办公室；参加会议的宾客，由保安引领至会场。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③</w:t>
      </w:r>
      <w:r>
        <w:rPr>
          <w:rFonts w:hint="eastAsia" w:ascii="宋体" w:hAnsi="宋体" w:eastAsia="宋体" w:cs="宋体"/>
          <w:color w:val="auto"/>
          <w:kern w:val="0"/>
          <w:sz w:val="21"/>
          <w:szCs w:val="21"/>
          <w:highlight w:val="none"/>
          <w:lang w:val="en-US" w:eastAsia="zh-CN" w:bidi="ar-SA"/>
        </w:rPr>
        <w:t xml:space="preserve">开庭报到处理办法。案件当事人持法律文书(如传票)要求到庭，保安应做好登记工作并根据传票内容通知经办法官或书记员并按其要求处理；案外人要求旁听的，保安应做好登记身份证的工作。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④</w:t>
      </w:r>
      <w:r>
        <w:rPr>
          <w:rFonts w:hint="eastAsia" w:ascii="宋体" w:hAnsi="宋体" w:eastAsia="宋体" w:cs="宋体"/>
          <w:color w:val="auto"/>
          <w:kern w:val="0"/>
          <w:sz w:val="21"/>
          <w:szCs w:val="21"/>
          <w:highlight w:val="none"/>
          <w:lang w:val="en-US" w:eastAsia="zh-CN" w:bidi="ar-SA"/>
        </w:rPr>
        <w:t xml:space="preserve">立案、信访工作处理办法。案件当事人需办理立案或信访事务，保安应在登记身份资料后指引其到立案导诉窗口办理。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⑤</w:t>
      </w:r>
      <w:r>
        <w:rPr>
          <w:rFonts w:hint="eastAsia" w:ascii="宋体" w:hAnsi="宋体" w:eastAsia="宋体" w:cs="宋体"/>
          <w:color w:val="auto"/>
          <w:kern w:val="0"/>
          <w:sz w:val="21"/>
          <w:szCs w:val="21"/>
          <w:highlight w:val="none"/>
          <w:lang w:val="en-US" w:eastAsia="zh-CN" w:bidi="ar-SA"/>
        </w:rPr>
        <w:t xml:space="preserve">收发信报、邮件、涉诉文件材料等工作处理办法。 保安应严格按采购人的要求做好各种资料(含报刊、杂志、邮件、信函)的收发工作， 收发信报、邮件时应认真做好核检、交接、签收、登记工作，杜绝资料丢失。非办公时间或 因其他原因案件当事人不能直接向法官提交诉讼材料，保安不得擅自接收诉讼材料，应及时 向立案庭负责人或值班负责人报告并按其要求引领当事人交接诉讼材料。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⑥</w:t>
      </w:r>
      <w:r>
        <w:rPr>
          <w:rFonts w:hint="eastAsia" w:ascii="宋体" w:hAnsi="宋体" w:eastAsia="宋体" w:cs="宋体"/>
          <w:color w:val="auto"/>
          <w:kern w:val="0"/>
          <w:sz w:val="21"/>
          <w:szCs w:val="21"/>
          <w:highlight w:val="none"/>
          <w:lang w:val="en-US" w:eastAsia="zh-CN" w:bidi="ar-SA"/>
        </w:rPr>
        <w:t>根据统一安排，积极协助有关部门完成各种会议的会务工作(与会人员的接访、会场 的布置、车辆停放的指挥等工作。</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⑦</w:t>
      </w:r>
      <w:r>
        <w:rPr>
          <w:rFonts w:hint="eastAsia" w:ascii="宋体" w:hAnsi="宋体" w:eastAsia="宋体" w:cs="宋体"/>
          <w:color w:val="auto"/>
          <w:kern w:val="0"/>
          <w:sz w:val="21"/>
          <w:szCs w:val="21"/>
          <w:highlight w:val="none"/>
          <w:lang w:val="en-US" w:eastAsia="zh-CN" w:bidi="ar-SA"/>
        </w:rPr>
        <w:t xml:space="preserve">非办公时间对进入办公区域的人员实行出入登记，严禁未经批准的外来人员进入。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2"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 xml:space="preserve">★ </w:t>
      </w:r>
      <w:r>
        <w:rPr>
          <w:rFonts w:hint="default" w:ascii="Cambria" w:hAnsi="Cambria" w:eastAsia="宋体" w:cs="Cambria"/>
          <w:b/>
          <w:bCs/>
          <w:color w:val="auto"/>
          <w:kern w:val="0"/>
          <w:sz w:val="21"/>
          <w:szCs w:val="21"/>
          <w:highlight w:val="none"/>
          <w:lang w:val="en-US" w:eastAsia="zh-CN" w:bidi="ar-SA"/>
        </w:rPr>
        <w:t>⑧</w:t>
      </w:r>
      <w:r>
        <w:rPr>
          <w:rFonts w:hint="eastAsia" w:ascii="宋体" w:hAnsi="宋体" w:eastAsia="宋体" w:cs="宋体"/>
          <w:b/>
          <w:bCs/>
          <w:color w:val="auto"/>
          <w:kern w:val="0"/>
          <w:sz w:val="21"/>
          <w:szCs w:val="21"/>
          <w:highlight w:val="none"/>
          <w:lang w:val="en-US" w:eastAsia="zh-CN" w:bidi="ar-SA"/>
        </w:rPr>
        <w:t>法院机关本部大门岗8:00 至18:00工作期间应站立执勤，以保持法院保安形象。注：站岗设备由中标方负责。（</w:t>
      </w:r>
      <w:r>
        <w:rPr>
          <w:rFonts w:hint="eastAsia" w:ascii="宋体" w:hAnsi="宋体" w:cs="宋体"/>
          <w:b/>
          <w:bCs/>
          <w:color w:val="auto"/>
          <w:kern w:val="0"/>
          <w:sz w:val="21"/>
          <w:szCs w:val="21"/>
          <w:highlight w:val="none"/>
          <w:lang w:val="en-US" w:eastAsia="zh-CN" w:bidi="ar-SA"/>
        </w:rPr>
        <w:t>投标文件中须附承诺函加盖公章</w:t>
      </w:r>
      <w:r>
        <w:rPr>
          <w:rFonts w:hint="eastAsia" w:ascii="宋体" w:hAnsi="宋体" w:eastAsia="宋体" w:cs="宋体"/>
          <w:b/>
          <w:bCs/>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 </w:t>
      </w:r>
    </w:p>
    <w:p>
      <w:pPr>
        <w:keepNext w:val="0"/>
        <w:keepLines w:val="0"/>
        <w:pageBreakBefore w:val="0"/>
        <w:widowControl w:val="0"/>
        <w:numPr>
          <w:ilvl w:val="1"/>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lang w:val="en-US" w:eastAsia="zh-CN" w:bidi="ar-SA"/>
        </w:rPr>
        <w:t>安全检查工作</w:t>
      </w:r>
      <w:bookmarkStart w:id="13" w:name="OLE_LINK7"/>
      <w:r>
        <w:rPr>
          <w:rFonts w:hint="eastAsia" w:ascii="宋体" w:hAnsi="宋体" w:eastAsia="宋体" w:cs="宋体"/>
          <w:color w:val="auto"/>
          <w:kern w:val="0"/>
          <w:sz w:val="21"/>
          <w:szCs w:val="21"/>
          <w:highlight w:val="none"/>
          <w:lang w:val="en-US" w:eastAsia="zh-CN" w:bidi="ar-SA"/>
        </w:rPr>
        <w:t>要求</w:t>
      </w:r>
      <w:r>
        <w:rPr>
          <w:rFonts w:hint="eastAsia" w:ascii="宋体" w:hAnsi="宋体" w:cs="宋体"/>
          <w:color w:val="auto"/>
          <w:kern w:val="0"/>
          <w:sz w:val="21"/>
          <w:szCs w:val="21"/>
          <w:highlight w:val="none"/>
          <w:lang w:val="en-US" w:eastAsia="zh-CN" w:bidi="ar-SA"/>
        </w:rPr>
        <w:t>：</w:t>
      </w:r>
      <w:bookmarkEnd w:id="13"/>
      <w:r>
        <w:rPr>
          <w:rFonts w:hint="eastAsia" w:ascii="宋体" w:hAnsi="宋体" w:eastAsia="宋体" w:cs="宋体"/>
          <w:color w:val="auto"/>
          <w:kern w:val="0"/>
          <w:sz w:val="21"/>
          <w:szCs w:val="21"/>
          <w:highlight w:val="none"/>
          <w:lang w:val="en-US" w:eastAsia="zh-CN" w:bidi="ar-SA"/>
        </w:rPr>
        <w:t xml:space="preserve">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1）当事人进入过机员控制区域后，首先对当事人进行 “三提醒”：一提醒当事人将随身携带的手机、钱包、钥匙、香烟、打火机、雨伞等物品放入指定绿色框内；二提醒当事人将行李包裹中的电脑、IPAD、相机、录音笔存柜；三提醒当事人将行李包裹中的液体、空瓶、食物放入指定位置，如有携带管制刀具、辣椒水等违禁品，必须将违禁品拿出法院门，自行处理好</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否则，一经发现、一律没收。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2</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其次对当事人放入指定框内的物品进行“三查看”：一查看钥匙串上面有没有水果刀；二查看烟盒里面有没有藏打火机；三查看雨伞内部是否藏有管制刀具等违禁品。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3</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将当事人物品分成可携带物品和不可携带物品，将不可携带物品存放指定位置；将可携带行李物品依次放入安检机传送带上进行过机检查，并提醒当事人通过安检门。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4）在岗保安应加强辨别能力，时刻保持高度警惕性，认真负责地履行安保检查工作，发现可疑的人或物立即制止同时向主管部门报告并根据其意见处理。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5）案件当事人携带的不宜带入庭审或调解场所的物件可放置在门外的储物柜中，保安应将储物柜钥匙交予当事人，礼貌地告知其处理完事情后当天取走物件交还钥匙。保安应做好物件的检查登记、钥匙交接登记工作。 </w:t>
      </w:r>
    </w:p>
    <w:p>
      <w:pPr>
        <w:keepNext w:val="0"/>
        <w:keepLines w:val="0"/>
        <w:pageBreakBefore w:val="0"/>
        <w:widowControl w:val="0"/>
        <w:numPr>
          <w:ilvl w:val="1"/>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6.</w:t>
      </w:r>
      <w:r>
        <w:rPr>
          <w:rFonts w:hint="eastAsia" w:ascii="宋体" w:hAnsi="宋体" w:eastAsia="宋体" w:cs="宋体"/>
          <w:color w:val="auto"/>
          <w:kern w:val="0"/>
          <w:sz w:val="21"/>
          <w:szCs w:val="21"/>
          <w:highlight w:val="none"/>
          <w:lang w:val="en-US" w:eastAsia="zh-CN" w:bidi="ar-SA"/>
        </w:rPr>
        <w:t>维护秩序工作要求</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1）维护立案大厅以及采购人其他公共场所的秩序，发现有不良行为(室内吸烟，在座椅上躺卧，在办公审判区域喧哗、打闹、嬉戏等行为)及时制止。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2）发生放火、投放爆炸物、自焚、攻击他人及其它破坏公私财物和侵害他人</w:t>
      </w:r>
      <w:r>
        <w:rPr>
          <w:rFonts w:hint="eastAsia" w:ascii="宋体" w:hAnsi="宋体" w:cs="宋体"/>
          <w:color w:val="auto"/>
          <w:kern w:val="0"/>
          <w:sz w:val="21"/>
          <w:szCs w:val="21"/>
          <w:highlight w:val="none"/>
          <w:lang w:val="en-US" w:eastAsia="zh-CN" w:bidi="ar-SA"/>
        </w:rPr>
        <w:t>人</w:t>
      </w:r>
      <w:r>
        <w:rPr>
          <w:rFonts w:hint="eastAsia" w:ascii="宋体" w:hAnsi="宋体" w:eastAsia="宋体" w:cs="宋体"/>
          <w:color w:val="auto"/>
          <w:kern w:val="0"/>
          <w:sz w:val="21"/>
          <w:szCs w:val="21"/>
          <w:highlight w:val="none"/>
          <w:lang w:val="en-US" w:eastAsia="zh-CN" w:bidi="ar-SA"/>
        </w:rPr>
        <w:t>身安全的行为时，保安应迅速制止同时向法警大队安保负责人报告并根据其意见处理。</w:t>
      </w:r>
    </w:p>
    <w:p>
      <w:pPr>
        <w:keepNext w:val="0"/>
        <w:keepLines w:val="0"/>
        <w:pageBreakBefore w:val="0"/>
        <w:widowControl w:val="0"/>
        <w:numPr>
          <w:ilvl w:val="1"/>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7.</w:t>
      </w:r>
      <w:r>
        <w:rPr>
          <w:rFonts w:hint="eastAsia" w:ascii="宋体" w:hAnsi="宋体" w:eastAsia="宋体" w:cs="宋体"/>
          <w:color w:val="auto"/>
          <w:kern w:val="0"/>
          <w:sz w:val="21"/>
          <w:szCs w:val="21"/>
          <w:highlight w:val="none"/>
          <w:lang w:val="en-US" w:eastAsia="zh-CN" w:bidi="ar-SA"/>
        </w:rPr>
        <w:t xml:space="preserve">巡逻岗保安工作要求：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区域巡逻技能要求：能按照预定的巡逻路线巡逻；能使用通讯、防护等常用保安器械；能够观察、发现异常情况并及时报告；能够以报警等方法救助危难人员；能按规范格式填写 巡逻纪录；能指出巡逻区域的分布与重点部位。掌握相关知识：人群聚集场所的特点；通讯器材使用方法</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拥挤人群的疏导方法；哄闹行为的处置方法。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人群集聚场所巡逻技能要求：能按照要求在固定的路线巡视；能发现可疑情况并及时报告；会使用通讯器材；能协助疏导拥挤的人群；能制止一般的哄闹行为；能在一定区域警戒。掌握相关知识：巡逻基本常识和方法；防卫技能；保安常用器械使用方法；保安巡逻登记表及填写规范；报警要领。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巡逻工作要求</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1）保安应严格按照全天 24 小时内每 2 小时巡逻 1 次的要求，做好巡查工作，发现危险隐患应及时报告并协助设备设施管理人员做好排险工作。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2）工作日工作期间，在岗保安应主动检查审判区域与办公区域的间隔门是否关闭，发现间隔门打开，应立即关闭。发现和查问进入办公区域内的陌生人员。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3）非工作日和工作日的非工作期间，在岗保安应做好下班后的巡检工作，检查审判办公区域的门窗是否关闭、是否遵守采购人用电、用水的有关规定；发现安全隐患应及时处理并报告管理处，做好巡检记录工作。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（4）严格按照消防法规做好消防巡查工作。及时处理、排除险情并报告管理处。应做好每次消防巡查的记录工作。检查消防设备设施，发现安全隐患或险情的应及时处理并汇报。 </w:t>
      </w:r>
    </w:p>
    <w:p>
      <w:pPr>
        <w:keepNext w:val="0"/>
        <w:keepLines w:val="0"/>
        <w:pageBreakBefore w:val="0"/>
        <w:widowControl w:val="0"/>
        <w:numPr>
          <w:ilvl w:val="1"/>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8.停车场保安的工作要求：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(1)协助采购人车辆管理部门加强对车辆的管理。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认真执行车辆管理规定，准确无误地做好车辆进出登记工作，不得漏记、误记。</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节假日期间，非经审批手续停车场不得放行车辆。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③</w:t>
      </w:r>
      <w:r>
        <w:rPr>
          <w:rFonts w:hint="eastAsia" w:ascii="宋体" w:hAnsi="宋体" w:eastAsia="宋体" w:cs="宋体"/>
          <w:color w:val="auto"/>
          <w:kern w:val="0"/>
          <w:sz w:val="21"/>
          <w:szCs w:val="21"/>
          <w:highlight w:val="none"/>
          <w:lang w:val="en-US" w:eastAsia="zh-CN" w:bidi="ar-SA"/>
        </w:rPr>
        <w:t xml:space="preserve">登记内容包括：车辆号牌、车辆离院时间、车辆回院时间、车辆驾驶人员、车容车貌状况等内容。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④</w:t>
      </w:r>
      <w:r>
        <w:rPr>
          <w:rFonts w:hint="eastAsia" w:ascii="宋体" w:hAnsi="宋体" w:eastAsia="宋体" w:cs="宋体"/>
          <w:color w:val="auto"/>
          <w:kern w:val="0"/>
          <w:sz w:val="21"/>
          <w:szCs w:val="21"/>
          <w:highlight w:val="none"/>
          <w:lang w:val="en-US" w:eastAsia="zh-CN" w:bidi="ar-SA"/>
        </w:rPr>
        <w:t xml:space="preserve">对违规用车情况，做好记录。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⑤</w:t>
      </w:r>
      <w:r>
        <w:rPr>
          <w:rFonts w:hint="eastAsia" w:ascii="宋体" w:hAnsi="宋体" w:eastAsia="宋体" w:cs="宋体"/>
          <w:color w:val="auto"/>
          <w:kern w:val="0"/>
          <w:sz w:val="21"/>
          <w:szCs w:val="21"/>
          <w:highlight w:val="none"/>
          <w:lang w:val="en-US" w:eastAsia="zh-CN" w:bidi="ar-SA"/>
        </w:rPr>
        <w:t xml:space="preserve">督促驾驶人员按车辆停放规范定点停放车辆。提醒驾驶人员应锁车门、关车窗，贵重物品及涉密文件不得留在车内。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⑥</w:t>
      </w:r>
      <w:r>
        <w:rPr>
          <w:rFonts w:hint="eastAsia" w:ascii="宋体" w:hAnsi="宋体" w:eastAsia="宋体" w:cs="宋体"/>
          <w:color w:val="auto"/>
          <w:kern w:val="0"/>
          <w:sz w:val="21"/>
          <w:szCs w:val="21"/>
          <w:highlight w:val="none"/>
          <w:lang w:val="en-US" w:eastAsia="zh-CN" w:bidi="ar-SA"/>
        </w:rPr>
        <w:t xml:space="preserve">巡逻保安员应将每次巡逻时车辆在库的情况如实登记，保安员交接班时应做好车辆 在位的情况登记及资料的交接工作。 </w:t>
      </w:r>
    </w:p>
    <w:p>
      <w:pPr>
        <w:keepNext w:val="0"/>
        <w:keepLines w:val="0"/>
        <w:pageBreakBefore w:val="0"/>
        <w:widowControl w:val="0"/>
        <w:kinsoku/>
        <w:wordWrap/>
        <w:overflowPunct/>
        <w:topLinePunct w:val="0"/>
        <w:autoSpaceDE/>
        <w:autoSpaceDN/>
        <w:bidi w:val="0"/>
        <w:snapToGrid/>
        <w:spacing w:line="400" w:lineRule="exact"/>
        <w:ind w:left="0" w:leftChars="0" w:firstLine="420" w:firstLineChars="200"/>
        <w:jc w:val="both"/>
        <w:rPr>
          <w:rFonts w:hint="eastAsia" w:ascii="宋体" w:hAnsi="宋体" w:eastAsia="宋体" w:cs="宋体"/>
          <w:color w:val="auto"/>
          <w:kern w:val="2"/>
          <w:sz w:val="21"/>
          <w:szCs w:val="21"/>
          <w:highlight w:val="none"/>
          <w:lang w:val="en-US" w:eastAsia="zh-CN" w:bidi="ar-SA"/>
        </w:rPr>
      </w:pPr>
      <w:r>
        <w:rPr>
          <w:rFonts w:hint="default" w:ascii="Cambria" w:hAnsi="Cambria" w:eastAsia="宋体" w:cs="Cambria"/>
          <w:color w:val="auto"/>
          <w:kern w:val="2"/>
          <w:sz w:val="21"/>
          <w:szCs w:val="21"/>
          <w:highlight w:val="none"/>
          <w:lang w:val="en-US" w:eastAsia="zh-CN" w:bidi="ar-SA"/>
        </w:rPr>
        <w:t>⑦</w:t>
      </w:r>
      <w:r>
        <w:rPr>
          <w:rFonts w:hint="eastAsia" w:ascii="宋体" w:hAnsi="宋体" w:eastAsia="宋体" w:cs="宋体"/>
          <w:color w:val="auto"/>
          <w:kern w:val="2"/>
          <w:sz w:val="21"/>
          <w:szCs w:val="21"/>
          <w:highlight w:val="none"/>
          <w:lang w:val="en-US" w:eastAsia="zh-CN" w:bidi="ar-SA"/>
        </w:rPr>
        <w:t>熟练掌握道闸等相关系统使用。</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(2)根据采购人要求，指挥外来车辆定点停放。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(3)对停车场和服务区域辖内发生的车辆事故及交通设施损坏应及时保护现场，妥善处理并报告，协助采购人做好善后处理工作。</w:t>
      </w:r>
    </w:p>
    <w:p>
      <w:pPr>
        <w:keepNext w:val="0"/>
        <w:keepLines w:val="0"/>
        <w:pageBreakBefore w:val="0"/>
        <w:widowControl w:val="0"/>
        <w:numPr>
          <w:ilvl w:val="1"/>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9.</w:t>
      </w:r>
      <w:r>
        <w:rPr>
          <w:rFonts w:hint="eastAsia" w:ascii="宋体" w:hAnsi="宋体" w:eastAsia="宋体" w:cs="宋体"/>
          <w:color w:val="auto"/>
          <w:kern w:val="0"/>
          <w:sz w:val="21"/>
          <w:szCs w:val="21"/>
          <w:highlight w:val="none"/>
          <w:lang w:val="en-US" w:eastAsia="zh-CN" w:bidi="ar-SA"/>
        </w:rPr>
        <w:t xml:space="preserve">监控岗保安的工作要求：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bookmarkStart w:id="14" w:name="OLE_LINK10"/>
      <w:r>
        <w:rPr>
          <w:rFonts w:hint="eastAsia" w:ascii="宋体" w:hAnsi="宋体" w:eastAsia="宋体" w:cs="宋体"/>
          <w:color w:val="auto"/>
          <w:kern w:val="0"/>
          <w:sz w:val="21"/>
          <w:szCs w:val="21"/>
          <w:highlight w:val="none"/>
          <w:lang w:val="en-US" w:eastAsia="zh-CN" w:bidi="ar-SA"/>
        </w:rPr>
        <w:t>（1）</w:t>
      </w:r>
      <w:bookmarkEnd w:id="14"/>
      <w:r>
        <w:rPr>
          <w:rFonts w:hint="eastAsia" w:ascii="宋体" w:hAnsi="宋体" w:eastAsia="宋体" w:cs="宋体"/>
          <w:color w:val="auto"/>
          <w:kern w:val="0"/>
          <w:sz w:val="21"/>
          <w:szCs w:val="21"/>
          <w:highlight w:val="none"/>
          <w:lang w:val="en-US" w:eastAsia="zh-CN" w:bidi="ar-SA"/>
        </w:rPr>
        <w:t xml:space="preserve">按时交接班。提前15分钟到岗，整理着装，做好准备工作；做好交接班记录，告知交接人员注意事项；交接班后，将全部监控从头至尾查看一遍，查看监控点有无黑屏、监控点有无可疑人员；发现黑屏现象及时通知技术科维修；发现可疑人员及时通知机动巡逻岗注意跟踪查看，及时上报，做好异常情况登记记录。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bookmarkStart w:id="15" w:name="OLE_LINK11"/>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lang w:val="en-US" w:eastAsia="zh-CN" w:bidi="ar-SA"/>
        </w:rPr>
        <w:t>）</w:t>
      </w:r>
      <w:bookmarkEnd w:id="15"/>
      <w:r>
        <w:rPr>
          <w:rFonts w:hint="eastAsia" w:ascii="宋体" w:hAnsi="宋体" w:eastAsia="宋体" w:cs="宋体"/>
          <w:color w:val="auto"/>
          <w:kern w:val="0"/>
          <w:sz w:val="21"/>
          <w:szCs w:val="21"/>
          <w:highlight w:val="none"/>
          <w:lang w:val="en-US" w:eastAsia="zh-CN" w:bidi="ar-SA"/>
        </w:rPr>
        <w:t xml:space="preserve">掌控电视监控。密切监视所有要害部位的监视画面，不因监控失职而放入闲杂、 可疑人员或发生被盗案件；配合各岗位在大厦范围内的执勤工作，不准发生一起因监控不到位而导致的意外事故。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（3）统计监控数据。按时记录各种监控数据，妥善保管各种资料、记录；每月定时上报监控设备设施运行状况的各种数据报表。</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（4）处理报警信号。出现报警信号时，立即报告队长，并及时对讲通知机动人员赶赴报警法庭进行支援；监控室收到安检处报警信号时，立即拨打报警电话。 </w:t>
      </w:r>
    </w:p>
    <w:p>
      <w:pPr>
        <w:keepNext w:val="0"/>
        <w:keepLines w:val="0"/>
        <w:pageBreakBefore w:val="0"/>
        <w:widowControl w:val="0"/>
        <w:numPr>
          <w:ilvl w:val="1"/>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10.</w:t>
      </w:r>
      <w:r>
        <w:rPr>
          <w:rFonts w:hint="eastAsia" w:ascii="宋体" w:hAnsi="宋体" w:eastAsia="宋体" w:cs="宋体"/>
          <w:color w:val="auto"/>
          <w:kern w:val="0"/>
          <w:sz w:val="21"/>
          <w:szCs w:val="21"/>
          <w:highlight w:val="none"/>
          <w:lang w:val="en-US" w:eastAsia="zh-CN" w:bidi="ar-SA"/>
        </w:rPr>
        <w:t xml:space="preserve">安保设备的使用管理要求：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 xml:space="preserve">保安应严格遵守相关管理规定，严格按照操作规程和使用说明资料熟练使用高压电警棍、辣椒枪、防爆桶防爆毯、闭路监控设备、防盗报警设备、触摸屏查询设备、X 光安检 机、红外线安检门、手持式金属探测器、手持探温器、消防设备系统、车辆管理智能系统等 采购人现有的安保设备。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未经批准，无关人员一律不许进入监控中心；未经许可，值班人员不得随便操作与本职工作无关的一切设备。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③</w:t>
      </w:r>
      <w:r>
        <w:rPr>
          <w:rFonts w:hint="eastAsia" w:ascii="宋体" w:hAnsi="宋体" w:eastAsia="宋体" w:cs="宋体"/>
          <w:color w:val="auto"/>
          <w:kern w:val="0"/>
          <w:sz w:val="21"/>
          <w:szCs w:val="21"/>
          <w:highlight w:val="none"/>
          <w:lang w:val="en-US" w:eastAsia="zh-CN" w:bidi="ar-SA"/>
        </w:rPr>
        <w:t xml:space="preserve">严格按采购人要求对弱电设备和相关用具的管理，应将弱电设备作为重点巡检对象。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④</w:t>
      </w:r>
      <w:r>
        <w:rPr>
          <w:rFonts w:hint="eastAsia" w:ascii="宋体" w:hAnsi="宋体" w:eastAsia="宋体" w:cs="宋体"/>
          <w:color w:val="auto"/>
          <w:kern w:val="0"/>
          <w:sz w:val="21"/>
          <w:szCs w:val="21"/>
          <w:highlight w:val="none"/>
          <w:lang w:val="en-US" w:eastAsia="zh-CN" w:bidi="ar-SA"/>
        </w:rPr>
        <w:t xml:space="preserve">处置安保突发事件或执行特别安保任务要求：严格按照采购人要求及应急工作处理制度迅速、高效地处置突发事件或执行特别安保任务，管理及服务工作人员不得心存侥幸、不得有懈怠行为。 </w:t>
      </w:r>
    </w:p>
    <w:p>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420" w:firstLineChars="200"/>
        <w:jc w:val="both"/>
        <w:textAlignment w:val="baseline"/>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⑤</w:t>
      </w:r>
      <w:r>
        <w:rPr>
          <w:rFonts w:hint="eastAsia" w:ascii="宋体" w:hAnsi="宋体" w:eastAsia="宋体" w:cs="宋体"/>
          <w:color w:val="auto"/>
          <w:kern w:val="0"/>
          <w:sz w:val="21"/>
          <w:szCs w:val="21"/>
          <w:highlight w:val="none"/>
          <w:lang w:val="en-US" w:eastAsia="zh-CN" w:bidi="ar-SA"/>
        </w:rPr>
        <w:t>综合服务区域内其他安保服务工作标准由采购人根据实际情况确定。</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val="0"/>
        <w:kinsoku/>
        <w:wordWrap/>
        <w:overflowPunct/>
        <w:topLinePunct w:val="0"/>
        <w:autoSpaceDE/>
        <w:autoSpaceDN/>
        <w:bidi w:val="0"/>
        <w:snapToGrid/>
        <w:spacing w:line="400" w:lineRule="exact"/>
        <w:ind w:left="0" w:leftChars="0" w:firstLine="422" w:firstLineChars="200"/>
        <w:jc w:val="both"/>
        <w:rPr>
          <w:rFonts w:hint="eastAsia" w:ascii="宋体" w:hAnsi="宋体" w:eastAsia="宋体" w:cs="宋体"/>
          <w:b/>
          <w:bCs/>
          <w:color w:val="auto"/>
          <w:kern w:val="2"/>
          <w:sz w:val="21"/>
          <w:szCs w:val="21"/>
          <w:highlight w:val="none"/>
          <w:lang w:val="en-US" w:eastAsia="zh-CN" w:bidi="ar-SA"/>
        </w:rPr>
      </w:pPr>
      <w:bookmarkStart w:id="16" w:name="OLE_LINK13"/>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二</w:t>
      </w:r>
      <w:r>
        <w:rPr>
          <w:rFonts w:hint="eastAsia" w:ascii="宋体" w:hAnsi="宋体" w:eastAsia="宋体" w:cs="宋体"/>
          <w:b/>
          <w:bCs/>
          <w:color w:val="auto"/>
          <w:sz w:val="21"/>
          <w:szCs w:val="21"/>
          <w:highlight w:val="none"/>
          <w:lang w:val="en-US" w:eastAsia="zh-CN"/>
        </w:rPr>
        <w:t>）</w:t>
      </w:r>
      <w:bookmarkEnd w:id="16"/>
      <w:r>
        <w:rPr>
          <w:rFonts w:hint="eastAsia" w:ascii="宋体" w:hAnsi="宋体" w:cs="宋体"/>
          <w:b/>
          <w:bCs/>
          <w:color w:val="auto"/>
          <w:kern w:val="2"/>
          <w:sz w:val="21"/>
          <w:szCs w:val="21"/>
          <w:highlight w:val="none"/>
          <w:lang w:val="en-US" w:eastAsia="zh-CN" w:bidi="ar-SA"/>
        </w:rPr>
        <w:t>卫生清洁服务</w:t>
      </w:r>
      <w:bookmarkStart w:id="17" w:name="OLE_LINK32"/>
      <w:r>
        <w:rPr>
          <w:rFonts w:hint="eastAsia" w:ascii="宋体" w:hAnsi="宋体" w:eastAsia="宋体" w:cs="宋体"/>
          <w:b/>
          <w:bCs/>
          <w:color w:val="auto"/>
          <w:kern w:val="2"/>
          <w:sz w:val="21"/>
          <w:szCs w:val="21"/>
          <w:highlight w:val="none"/>
          <w:lang w:val="en-US" w:eastAsia="zh-CN" w:bidi="ar-SA"/>
        </w:rPr>
        <w:t>工作要求</w:t>
      </w:r>
      <w:bookmarkEnd w:id="17"/>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1.</w:t>
      </w:r>
      <w:r>
        <w:rPr>
          <w:rFonts w:hint="eastAsia" w:ascii="宋体" w:hAnsi="宋体" w:eastAsia="宋体" w:cs="宋体"/>
          <w:color w:val="auto"/>
          <w:kern w:val="0"/>
          <w:sz w:val="21"/>
          <w:szCs w:val="21"/>
          <w:highlight w:val="none"/>
          <w:lang w:val="en-US" w:eastAsia="zh-CN" w:bidi="ar-SA"/>
        </w:rPr>
        <w:t>室外区域(含法院前、后广场等)。清洁标准：地面及草坪无垃圾、无碎屑、无积水、无明显</w:t>
      </w:r>
      <w:r>
        <w:rPr>
          <w:rFonts w:hint="eastAsia" w:ascii="宋体" w:hAnsi="宋体" w:cs="宋体"/>
          <w:color w:val="auto"/>
          <w:kern w:val="0"/>
          <w:sz w:val="21"/>
          <w:szCs w:val="21"/>
          <w:highlight w:val="none"/>
          <w:lang w:val="en-US" w:eastAsia="zh-CN" w:bidi="ar-SA"/>
        </w:rPr>
        <w:t>污</w:t>
      </w:r>
      <w:r>
        <w:rPr>
          <w:rFonts w:hint="eastAsia" w:ascii="宋体" w:hAnsi="宋体" w:eastAsia="宋体" w:cs="宋体"/>
          <w:color w:val="auto"/>
          <w:kern w:val="0"/>
          <w:sz w:val="21"/>
          <w:szCs w:val="21"/>
          <w:highlight w:val="none"/>
          <w:lang w:val="en-US" w:eastAsia="zh-CN" w:bidi="ar-SA"/>
        </w:rPr>
        <w:t xml:space="preserve">垢、无恶臭气味；物品表面干净整洁，无污渍。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lang w:val="en-US" w:eastAsia="zh-CN" w:bidi="ar-SA"/>
        </w:rPr>
        <w:t>室内区域(走廊、通道、楼梯、审判法庭、调解室、办公室、会议室、行政后勤及各类设备设施配套专用房间室内区域)、洗手间及茶水间区域。清洁标准：保持地面、墙面、天花、物件表面，无积水、无积油、无污渍、无积尘、无烟头、干净整洁；玻璃明亮洁净、无手印；室内无杂物，物品摆放整齐有致；室内无异味、无恶臭味；烟灰盅、垃圾桶无明显杂物和污渍、无垃圾；各类标志(标识)清晰，设置合理、准确；设备设施表面无积尘、无明显锈渍；排水口无堵塞；卫生区域内无蜘蛛网、“四害” 绝迹，保持干爽清洁的环境。</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lang w:val="en-US" w:eastAsia="zh-CN" w:bidi="ar-SA"/>
        </w:rPr>
        <w:t>中标人清洁时所用的清洁用品要求如下：</w:t>
      </w: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各办公室：会议室台面、沙发选用达到国家环保标准的专业清洁剂；</w:t>
      </w: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玻璃：选用玻璃清洁剂或全能水；</w:t>
      </w:r>
      <w:r>
        <w:rPr>
          <w:rFonts w:hint="default" w:ascii="Cambria" w:hAnsi="Cambria" w:eastAsia="宋体" w:cs="Cambria"/>
          <w:color w:val="auto"/>
          <w:kern w:val="0"/>
          <w:sz w:val="21"/>
          <w:szCs w:val="21"/>
          <w:highlight w:val="none"/>
          <w:lang w:val="en-US" w:eastAsia="zh-CN" w:bidi="ar-SA"/>
        </w:rPr>
        <w:t>③</w:t>
      </w:r>
      <w:r>
        <w:rPr>
          <w:rFonts w:hint="eastAsia" w:ascii="宋体" w:hAnsi="宋体" w:eastAsia="宋体" w:cs="宋体"/>
          <w:color w:val="auto"/>
          <w:kern w:val="0"/>
          <w:sz w:val="21"/>
          <w:szCs w:val="21"/>
          <w:highlight w:val="none"/>
          <w:lang w:val="en-US" w:eastAsia="zh-CN" w:bidi="ar-SA"/>
        </w:rPr>
        <w:t>垃圾桶：选用全能水；</w:t>
      </w:r>
      <w:r>
        <w:rPr>
          <w:rFonts w:hint="default" w:ascii="Cambria" w:hAnsi="Cambria" w:eastAsia="宋体" w:cs="Cambria"/>
          <w:color w:val="auto"/>
          <w:kern w:val="0"/>
          <w:sz w:val="21"/>
          <w:szCs w:val="21"/>
          <w:highlight w:val="none"/>
          <w:lang w:val="en-US" w:eastAsia="zh-CN" w:bidi="ar-SA"/>
        </w:rPr>
        <w:t>④</w:t>
      </w:r>
      <w:r>
        <w:rPr>
          <w:rFonts w:hint="eastAsia" w:ascii="宋体" w:hAnsi="宋体" w:eastAsia="宋体" w:cs="宋体"/>
          <w:color w:val="auto"/>
          <w:kern w:val="0"/>
          <w:sz w:val="21"/>
          <w:szCs w:val="21"/>
          <w:highlight w:val="none"/>
          <w:lang w:val="en-US" w:eastAsia="zh-CN" w:bidi="ar-SA"/>
        </w:rPr>
        <w:t>楼梯：选用全能水,也可选用消毒水或漂白水；</w:t>
      </w:r>
      <w:r>
        <w:rPr>
          <w:rFonts w:hint="default" w:ascii="Cambria" w:hAnsi="Cambria" w:eastAsia="宋体" w:cs="Cambria"/>
          <w:color w:val="auto"/>
          <w:kern w:val="0"/>
          <w:sz w:val="21"/>
          <w:szCs w:val="21"/>
          <w:highlight w:val="none"/>
          <w:lang w:val="en-US" w:eastAsia="zh-CN" w:bidi="ar-SA"/>
        </w:rPr>
        <w:t>⑤</w:t>
      </w:r>
      <w:r>
        <w:rPr>
          <w:rFonts w:hint="eastAsia" w:ascii="宋体" w:hAnsi="宋体" w:eastAsia="宋体" w:cs="宋体"/>
          <w:color w:val="auto"/>
          <w:kern w:val="0"/>
          <w:sz w:val="21"/>
          <w:szCs w:val="21"/>
          <w:highlight w:val="none"/>
          <w:lang w:val="en-US" w:eastAsia="zh-CN" w:bidi="ar-SA"/>
        </w:rPr>
        <w:t>洗手间：地面选用全能水，便器选用洁厕精；</w:t>
      </w:r>
      <w:r>
        <w:rPr>
          <w:rFonts w:hint="default" w:ascii="Cambria" w:hAnsi="Cambria" w:eastAsia="宋体" w:cs="Cambria"/>
          <w:color w:val="auto"/>
          <w:kern w:val="0"/>
          <w:sz w:val="21"/>
          <w:szCs w:val="21"/>
          <w:highlight w:val="none"/>
          <w:lang w:val="en-US" w:eastAsia="zh-CN" w:bidi="ar-SA"/>
        </w:rPr>
        <w:t>⑥</w:t>
      </w:r>
      <w:r>
        <w:rPr>
          <w:rFonts w:hint="eastAsia" w:ascii="宋体" w:hAnsi="宋体" w:eastAsia="宋体" w:cs="宋体"/>
          <w:color w:val="auto"/>
          <w:kern w:val="0"/>
          <w:sz w:val="21"/>
          <w:szCs w:val="21"/>
          <w:highlight w:val="none"/>
          <w:lang w:val="en-US" w:eastAsia="zh-CN" w:bidi="ar-SA"/>
        </w:rPr>
        <w:t>花岗石墙地面处理：选用磨光剂；</w:t>
      </w:r>
      <w:r>
        <w:rPr>
          <w:rFonts w:hint="default" w:ascii="Cambria" w:hAnsi="Cambria" w:eastAsia="宋体" w:cs="Cambria"/>
          <w:color w:val="auto"/>
          <w:kern w:val="0"/>
          <w:sz w:val="21"/>
          <w:szCs w:val="21"/>
          <w:highlight w:val="none"/>
          <w:lang w:val="en-US" w:eastAsia="zh-CN" w:bidi="ar-SA"/>
        </w:rPr>
        <w:t>⑦</w:t>
      </w:r>
      <w:r>
        <w:rPr>
          <w:rFonts w:hint="eastAsia" w:ascii="宋体" w:hAnsi="宋体" w:eastAsia="宋体" w:cs="宋体"/>
          <w:color w:val="auto"/>
          <w:kern w:val="0"/>
          <w:sz w:val="21"/>
          <w:szCs w:val="21"/>
          <w:highlight w:val="none"/>
          <w:lang w:val="en-US" w:eastAsia="zh-CN" w:bidi="ar-SA"/>
        </w:rPr>
        <w:t>大堂、各楼层走廊晶面清洁：采用清水和推拖；</w:t>
      </w:r>
      <w:r>
        <w:rPr>
          <w:rFonts w:hint="default" w:ascii="Cambria" w:hAnsi="Cambria" w:eastAsia="宋体" w:cs="Cambria"/>
          <w:color w:val="auto"/>
          <w:kern w:val="0"/>
          <w:sz w:val="21"/>
          <w:szCs w:val="21"/>
          <w:highlight w:val="none"/>
          <w:lang w:val="en-US" w:eastAsia="zh-CN" w:bidi="ar-SA"/>
        </w:rPr>
        <w:t>⑧</w:t>
      </w:r>
      <w:r>
        <w:rPr>
          <w:rFonts w:hint="eastAsia" w:ascii="宋体" w:hAnsi="宋体" w:eastAsia="宋体" w:cs="宋体"/>
          <w:color w:val="auto"/>
          <w:kern w:val="0"/>
          <w:sz w:val="21"/>
          <w:szCs w:val="21"/>
          <w:highlight w:val="none"/>
          <w:lang w:val="en-US" w:eastAsia="zh-CN" w:bidi="ar-SA"/>
        </w:rPr>
        <w:t>地毯：选用中性地毯水；</w:t>
      </w:r>
      <w:r>
        <w:rPr>
          <w:rFonts w:hint="default" w:ascii="Cambria" w:hAnsi="Cambria" w:eastAsia="宋体" w:cs="Cambria"/>
          <w:color w:val="auto"/>
          <w:kern w:val="0"/>
          <w:sz w:val="21"/>
          <w:szCs w:val="21"/>
          <w:highlight w:val="none"/>
          <w:lang w:val="en-US" w:eastAsia="zh-CN" w:bidi="ar-SA"/>
        </w:rPr>
        <w:t>⑨</w:t>
      </w:r>
      <w:r>
        <w:rPr>
          <w:rFonts w:hint="eastAsia" w:ascii="宋体" w:hAnsi="宋体" w:eastAsia="宋体" w:cs="宋体"/>
          <w:color w:val="auto"/>
          <w:kern w:val="0"/>
          <w:sz w:val="21"/>
          <w:szCs w:val="21"/>
          <w:highlight w:val="none"/>
          <w:lang w:val="en-US" w:eastAsia="zh-CN" w:bidi="ar-SA"/>
        </w:rPr>
        <w:t>铝质天花：采用中性清洁剂或化油剂，此外针对一些难以清除的污垢，选用更强的除污剂，例如洁而亮。</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4.</w:t>
      </w:r>
      <w:r>
        <w:rPr>
          <w:rFonts w:hint="eastAsia" w:ascii="宋体" w:hAnsi="宋体" w:eastAsia="宋体" w:cs="宋体"/>
          <w:color w:val="auto"/>
          <w:kern w:val="0"/>
          <w:sz w:val="21"/>
          <w:szCs w:val="21"/>
          <w:highlight w:val="none"/>
          <w:lang w:val="en-US" w:eastAsia="zh-CN" w:bidi="ar-SA"/>
        </w:rPr>
        <w:t>排水沟、雨水井、污水井、隔油池及其它储污设施的清理</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及时清理垃圾，疏通管道。每日巡查，每月彻底清洗一次。清洁标准：设施四壁及底面整洁、无明显污垢、无蚊虫(蚁)孳生、无恶臭气味等现象；设施上盖后四围地面整洁、无污物污水四溅、散布现象；设施上盖后无蝇(蚊)虫(蚁)叮爬现象。</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lang w:val="en-US" w:eastAsia="zh-CN" w:bidi="ar-SA"/>
        </w:rPr>
        <w:t>化粪池。每月检查一次，每半年对化粪池进行检查、疏通，发现满池的及时清理。清洁标准：化粪池经清理后池底污物深度不超过8厘米；设施上盖后恶臭气味无散发现象；设施上盖后四围地面整洁、无粪便污水四溅、散布现象；设施上盖后无蝇(蚊)虫(蚁)叮爬现象。每年对化粪池进行清理，费用由中标人支付。</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2" w:firstLineChars="200"/>
        <w:jc w:val="left"/>
        <w:rPr>
          <w:rFonts w:hint="eastAsia" w:ascii="宋体" w:hAnsi="宋体" w:eastAsia="宋体" w:cs="宋体"/>
          <w:b/>
          <w:bCs/>
          <w:color w:val="auto"/>
          <w:kern w:val="0"/>
          <w:sz w:val="21"/>
          <w:szCs w:val="21"/>
          <w:highlight w:val="none"/>
          <w:lang w:val="en-US" w:eastAsia="zh-CN" w:bidi="ar-SA"/>
        </w:rPr>
      </w:pPr>
      <w:bookmarkStart w:id="18" w:name="OLE_LINK14"/>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三</w:t>
      </w:r>
      <w:r>
        <w:rPr>
          <w:rFonts w:hint="eastAsia" w:ascii="宋体" w:hAnsi="宋体" w:eastAsia="宋体" w:cs="宋体"/>
          <w:b/>
          <w:bCs/>
          <w:color w:val="auto"/>
          <w:sz w:val="21"/>
          <w:szCs w:val="21"/>
          <w:highlight w:val="none"/>
          <w:lang w:val="en-US" w:eastAsia="zh-CN"/>
        </w:rPr>
        <w:t>）</w:t>
      </w:r>
      <w:bookmarkEnd w:id="18"/>
      <w:r>
        <w:rPr>
          <w:rFonts w:hint="eastAsia" w:ascii="宋体" w:hAnsi="宋体" w:cs="宋体"/>
          <w:b/>
          <w:bCs/>
          <w:color w:val="auto"/>
          <w:sz w:val="21"/>
          <w:szCs w:val="21"/>
          <w:highlight w:val="none"/>
          <w:lang w:val="en-US" w:eastAsia="zh-CN"/>
        </w:rPr>
        <w:t>配套设备设施</w:t>
      </w:r>
      <w:r>
        <w:rPr>
          <w:rFonts w:hint="eastAsia" w:ascii="宋体" w:hAnsi="宋体" w:eastAsia="宋体" w:cs="宋体"/>
          <w:b/>
          <w:bCs/>
          <w:color w:val="auto"/>
          <w:kern w:val="0"/>
          <w:sz w:val="21"/>
          <w:szCs w:val="21"/>
          <w:highlight w:val="none"/>
          <w:lang w:val="en-US" w:eastAsia="zh-CN" w:bidi="ar-SA"/>
        </w:rPr>
        <w:t>维</w:t>
      </w:r>
      <w:r>
        <w:rPr>
          <w:rFonts w:hint="eastAsia" w:ascii="宋体" w:hAnsi="宋体" w:cs="宋体"/>
          <w:b/>
          <w:bCs/>
          <w:color w:val="auto"/>
          <w:kern w:val="0"/>
          <w:sz w:val="21"/>
          <w:szCs w:val="21"/>
          <w:highlight w:val="none"/>
          <w:lang w:val="en-US" w:eastAsia="zh-CN" w:bidi="ar-SA"/>
        </w:rPr>
        <w:t>护</w:t>
      </w:r>
      <w:r>
        <w:rPr>
          <w:rFonts w:hint="eastAsia" w:ascii="宋体" w:hAnsi="宋体" w:eastAsia="宋体" w:cs="宋体"/>
          <w:b/>
          <w:bCs/>
          <w:color w:val="auto"/>
          <w:kern w:val="0"/>
          <w:sz w:val="21"/>
          <w:szCs w:val="21"/>
          <w:highlight w:val="none"/>
          <w:lang w:val="en-US" w:eastAsia="zh-CN" w:bidi="ar-SA"/>
        </w:rPr>
        <w:t>服务</w:t>
      </w:r>
      <w:r>
        <w:rPr>
          <w:rFonts w:hint="eastAsia" w:ascii="宋体" w:hAnsi="宋体" w:eastAsia="宋体" w:cs="宋体"/>
          <w:b/>
          <w:bCs/>
          <w:color w:val="auto"/>
          <w:kern w:val="2"/>
          <w:sz w:val="21"/>
          <w:szCs w:val="21"/>
          <w:highlight w:val="none"/>
          <w:lang w:val="en-US" w:eastAsia="zh-CN" w:bidi="ar-SA"/>
        </w:rPr>
        <w:t>工作要求</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随时接受采购人报修，满足采购人各部门的工作需要。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1.</w:t>
      </w:r>
      <w:r>
        <w:rPr>
          <w:rFonts w:hint="eastAsia" w:ascii="宋体" w:hAnsi="宋体" w:eastAsia="宋体" w:cs="宋体"/>
          <w:color w:val="auto"/>
          <w:kern w:val="0"/>
          <w:sz w:val="21"/>
          <w:szCs w:val="21"/>
          <w:highlight w:val="none"/>
          <w:lang w:val="en-US" w:eastAsia="zh-CN" w:bidi="ar-SA"/>
        </w:rPr>
        <w:t>负责高、低压变配电设施、设备的日常管理、使用、保养和一般性维修。按照变压器、配电柜管理规范和标准每2小时进行值班巡查，并做好记录。每年对变压器、配电柜保养不少于2次。须熟练掌握双市电之间的转换。</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lang w:val="en-US" w:eastAsia="zh-CN" w:bidi="ar-SA"/>
        </w:rPr>
        <w:t>负责建筑物及装修的日常管理以及配套设施的日常管理、养护和维修。包括各层办公室、会议室、审判法庭、调解室、强弱电线路的布装、地下车库、屋顶、内外墙面、地面、楼梯走道、走廊、电梯厅、天花、洗手间、茶水间、阳台、门窗门锁，防火门、光棚、围栏等。完成非工程类维修工作，针对服务区域内的道路、墙体、地板、室内天花及其附属设备设施损坏进行小型维修，如墙体小面积翻新(油墙面漆)、地板小面积维修、简单墙体及天花补漏、更换漏水水管、更换洗手盆、房门维修等。负责采购人实施服务区域内土建修缮的一般性维修；装饰工程、设备的中修和大修、加装等工程的监督，切实落实采购人在工程合同中</w:t>
      </w:r>
      <w:r>
        <w:rPr>
          <w:rFonts w:hint="eastAsia" w:ascii="宋体" w:hAnsi="宋体" w:cs="宋体"/>
          <w:color w:val="auto"/>
          <w:kern w:val="0"/>
          <w:sz w:val="21"/>
          <w:szCs w:val="21"/>
          <w:highlight w:val="none"/>
          <w:lang w:val="en-US" w:eastAsia="zh-CN" w:bidi="ar-SA"/>
        </w:rPr>
        <w:t>的</w:t>
      </w:r>
      <w:r>
        <w:rPr>
          <w:rFonts w:hint="eastAsia" w:ascii="宋体" w:hAnsi="宋体" w:eastAsia="宋体" w:cs="宋体"/>
          <w:color w:val="auto"/>
          <w:kern w:val="0"/>
          <w:sz w:val="21"/>
          <w:szCs w:val="21"/>
          <w:highlight w:val="none"/>
          <w:lang w:val="en-US" w:eastAsia="zh-CN" w:bidi="ar-SA"/>
        </w:rPr>
        <w:t xml:space="preserve">各项要求。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lang w:val="en-US" w:eastAsia="zh-CN" w:bidi="ar-SA"/>
        </w:rPr>
        <w:t>公用设施和附属建筑物、构筑物的一般性维修、养护和管理，包括道路、院墙、室外上下水管道、沟渠、池井（化粪池隔油池）。</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4.</w:t>
      </w:r>
      <w:r>
        <w:rPr>
          <w:rFonts w:hint="eastAsia" w:ascii="宋体" w:hAnsi="宋体" w:eastAsia="宋体" w:cs="宋体"/>
          <w:color w:val="auto"/>
          <w:kern w:val="0"/>
          <w:sz w:val="21"/>
          <w:szCs w:val="21"/>
          <w:highlight w:val="none"/>
          <w:lang w:val="en-US" w:eastAsia="zh-CN" w:bidi="ar-SA"/>
        </w:rPr>
        <w:t>有水、电设备设施，全部机电设备设施的日常管理、保养和一般性维修工作。包括：给排水系统、照明及动力等电力系统、避雷系统、空调系统、电梯系统、消防系统、安防系统、残疾人通道系统、车牌识别系统、各服务区域点开水器，外墙灯饰等。</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lang w:val="en-US" w:eastAsia="zh-CN" w:bidi="ar-SA"/>
        </w:rPr>
        <w:t xml:space="preserve">对服务区域范围内的办公电器设备简单故障进行排除和维修。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6.定期巡查功能指示标识、办公家具(含审判家具)、审判牌、墙面挂件等损坏、丢失， </w:t>
      </w:r>
    </w:p>
    <w:p>
      <w:pPr>
        <w:keepNext w:val="0"/>
        <w:keepLines w:val="0"/>
        <w:pageBreakBefore w:val="0"/>
        <w:widowControl/>
        <w:suppressLineNumbers w:val="0"/>
        <w:kinsoku/>
        <w:wordWrap/>
        <w:overflowPunct/>
        <w:topLinePunct w:val="0"/>
        <w:autoSpaceDE/>
        <w:autoSpaceDN/>
        <w:bidi w:val="0"/>
        <w:snapToGrid/>
        <w:spacing w:line="400" w:lineRule="exact"/>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及时维修和补充。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7.</w:t>
      </w:r>
      <w:r>
        <w:rPr>
          <w:rFonts w:hint="eastAsia" w:ascii="宋体" w:hAnsi="宋体" w:eastAsia="宋体" w:cs="宋体"/>
          <w:color w:val="auto"/>
          <w:kern w:val="0"/>
          <w:sz w:val="21"/>
          <w:szCs w:val="21"/>
          <w:highlight w:val="none"/>
          <w:lang w:val="en-US" w:eastAsia="zh-CN" w:bidi="ar-SA"/>
        </w:rPr>
        <w:t xml:space="preserve">各类设备设施(金属质的供排水管、消防栓、金属台凳等)维修加固、除锈处理。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8.</w:t>
      </w:r>
      <w:r>
        <w:rPr>
          <w:rFonts w:hint="eastAsia" w:ascii="宋体" w:hAnsi="宋体" w:eastAsia="宋体" w:cs="宋体"/>
          <w:color w:val="auto"/>
          <w:kern w:val="0"/>
          <w:sz w:val="21"/>
          <w:szCs w:val="21"/>
          <w:highlight w:val="none"/>
          <w:lang w:val="en-US" w:eastAsia="zh-CN" w:bidi="ar-SA"/>
        </w:rPr>
        <w:t xml:space="preserve">综合服务区域内交通安全设施的保养维修工作要求，定期对停车场、道路警示标志标识进行检查，发现损坏、丢失，及时维修和补充。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9.</w:t>
      </w:r>
      <w:r>
        <w:rPr>
          <w:rFonts w:hint="eastAsia" w:ascii="宋体" w:hAnsi="宋体" w:eastAsia="宋体" w:cs="宋体"/>
          <w:color w:val="auto"/>
          <w:kern w:val="0"/>
          <w:sz w:val="21"/>
          <w:szCs w:val="21"/>
          <w:highlight w:val="none"/>
          <w:lang w:val="en-US" w:eastAsia="zh-CN" w:bidi="ar-SA"/>
        </w:rPr>
        <w:t xml:space="preserve">对综合服务区域及其附属设备设施进行日常管理和维修养护，检修记录和保养记录齐全。属于小修部分的：中标人须及时组织修复；属于大、中修范围的，中标人须及时编制维修计划，向采购人提出报告，根据采购人的决定，组织实施。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val="en-US" w:eastAsia="zh-CN" w:bidi="ar-SA"/>
        </w:rPr>
        <w:t xml:space="preserve">维护工作由中标人自备工具及人员进行，如规定需另行聘请专业人员或租用工具的，所产生的人工费用由中标人自行负责；维修项目属正常损耗的维修配件、养护物料（如分体空调雪种、油漆、燃料等）费用由采购人支付；因中标人管理责任引起的损坏由中标人承担赔偿责任。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2" w:firstLineChars="200"/>
        <w:jc w:val="left"/>
        <w:rPr>
          <w:rFonts w:hint="eastAsia" w:ascii="宋体" w:hAnsi="宋体" w:eastAsia="宋体" w:cs="宋体"/>
          <w:b/>
          <w:bCs/>
          <w:color w:val="auto"/>
          <w:kern w:val="0"/>
          <w:sz w:val="21"/>
          <w:szCs w:val="21"/>
          <w:highlight w:val="none"/>
          <w:lang w:val="en-US" w:eastAsia="zh-CN" w:bidi="ar-SA"/>
        </w:rPr>
      </w:pPr>
      <w:bookmarkStart w:id="19" w:name="OLE_LINK16"/>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四</w:t>
      </w:r>
      <w:r>
        <w:rPr>
          <w:rFonts w:hint="eastAsia" w:ascii="宋体" w:hAnsi="宋体" w:eastAsia="宋体" w:cs="宋体"/>
          <w:b/>
          <w:bCs/>
          <w:color w:val="auto"/>
          <w:sz w:val="21"/>
          <w:szCs w:val="21"/>
          <w:highlight w:val="none"/>
          <w:lang w:val="en-US" w:eastAsia="zh-CN"/>
        </w:rPr>
        <w:t>）</w:t>
      </w:r>
      <w:bookmarkEnd w:id="19"/>
      <w:r>
        <w:rPr>
          <w:rFonts w:hint="eastAsia" w:ascii="宋体" w:hAnsi="宋体" w:eastAsia="宋体" w:cs="宋体"/>
          <w:b/>
          <w:bCs/>
          <w:color w:val="auto"/>
          <w:kern w:val="0"/>
          <w:sz w:val="21"/>
          <w:szCs w:val="21"/>
          <w:highlight w:val="none"/>
          <w:lang w:val="en-US" w:eastAsia="zh-CN" w:bidi="ar-SA"/>
        </w:rPr>
        <w:t>会务</w:t>
      </w:r>
      <w:r>
        <w:rPr>
          <w:rFonts w:hint="eastAsia" w:ascii="宋体" w:hAnsi="宋体" w:cs="宋体"/>
          <w:b/>
          <w:bCs/>
          <w:color w:val="auto"/>
          <w:kern w:val="0"/>
          <w:sz w:val="21"/>
          <w:szCs w:val="21"/>
          <w:highlight w:val="none"/>
          <w:lang w:val="en-US" w:eastAsia="zh-CN" w:bidi="ar-SA"/>
        </w:rPr>
        <w:t>保障服务</w:t>
      </w:r>
      <w:r>
        <w:rPr>
          <w:rFonts w:hint="eastAsia" w:ascii="宋体" w:hAnsi="宋体" w:eastAsia="宋体" w:cs="宋体"/>
          <w:b/>
          <w:bCs/>
          <w:color w:val="auto"/>
          <w:kern w:val="0"/>
          <w:sz w:val="21"/>
          <w:szCs w:val="21"/>
          <w:highlight w:val="none"/>
          <w:lang w:val="en-US" w:eastAsia="zh-CN" w:bidi="ar-SA"/>
        </w:rPr>
        <w:t xml:space="preserve">工作要求 </w:t>
      </w:r>
    </w:p>
    <w:p>
      <w:pPr>
        <w:keepNext w:val="0"/>
        <w:keepLines w:val="0"/>
        <w:pageBreakBefore w:val="0"/>
        <w:widowControl/>
        <w:numPr>
          <w:ilvl w:val="0"/>
          <w:numId w:val="0"/>
        </w:numPr>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各类大小型会议会务接待服务要求</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1.</w:t>
      </w:r>
      <w:r>
        <w:rPr>
          <w:rFonts w:hint="eastAsia" w:ascii="宋体" w:hAnsi="宋体" w:eastAsia="宋体" w:cs="宋体"/>
          <w:color w:val="auto"/>
          <w:kern w:val="0"/>
          <w:sz w:val="21"/>
          <w:szCs w:val="21"/>
          <w:highlight w:val="none"/>
          <w:lang w:val="en-US" w:eastAsia="zh-CN" w:bidi="ar-SA"/>
        </w:rPr>
        <w:t xml:space="preserve">会务接待工作要做到准备充分、周到细致、有条不紊、不得出现重大失误。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lang w:val="en-US" w:eastAsia="zh-CN" w:bidi="ar-SA"/>
        </w:rPr>
        <w:t xml:space="preserve">接待服务人员应仪容整洁、举止大方、主动热情、文明礼貌。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lang w:val="en-US" w:eastAsia="zh-CN" w:bidi="ar-SA"/>
        </w:rPr>
        <w:t xml:space="preserve">根据采购人的要求，做好会场布置及会议前准备工作：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(1)检查并打开灯光</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空调</w:t>
      </w:r>
      <w:r>
        <w:rPr>
          <w:rFonts w:hint="eastAsia" w:ascii="宋体" w:hAnsi="宋体" w:cs="宋体"/>
          <w:color w:val="auto"/>
          <w:kern w:val="0"/>
          <w:sz w:val="21"/>
          <w:szCs w:val="21"/>
          <w:highlight w:val="none"/>
          <w:lang w:val="en-US" w:eastAsia="zh-CN" w:bidi="ar-SA"/>
        </w:rPr>
        <w:t>，</w:t>
      </w:r>
      <w:r>
        <w:rPr>
          <w:rFonts w:hint="eastAsia" w:ascii="宋体" w:hAnsi="宋体" w:eastAsia="宋体" w:cs="宋体"/>
          <w:color w:val="auto"/>
          <w:kern w:val="0"/>
          <w:sz w:val="21"/>
          <w:szCs w:val="21"/>
          <w:highlight w:val="none"/>
          <w:lang w:val="en-US" w:eastAsia="zh-CN" w:bidi="ar-SA"/>
        </w:rPr>
        <w:t xml:space="preserve">检查会场卫生、桌椅摆放是否符合要求：会场环境整洁、灯光亮度适中，空调温度适体、营造庄重、协调、整洁、舒适的会场气氛。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(2)准备会务用品：茶杯：茶杯须经过消毒，消毒时间不少于 20 分钟，杯体、杯盖无黄斑、无缺口，杯子干净、光亮、无指印，并列摆放在茶水间操作台面；热水瓶：表面清洁光亮，无水迹，水温控制在90度以上；矿泉水：水瓶洁净无灰尘，密封完好，瓶内无沉淀物，并在保质期内；盒装纸巾：保证纸量充足；开水：根据参会人数准备足量的开水。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(3)重要场所、重要会议活动，工作人员要认真遵守保密法规，做到不该听的坚决不听，不该问的坚决不问，不该说的坚决不说，不该看的文件资料坚决不看。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4.</w:t>
      </w:r>
      <w:r>
        <w:rPr>
          <w:rFonts w:hint="eastAsia" w:ascii="宋体" w:hAnsi="宋体" w:eastAsia="宋体" w:cs="宋体"/>
          <w:color w:val="auto"/>
          <w:kern w:val="0"/>
          <w:sz w:val="21"/>
          <w:szCs w:val="21"/>
          <w:highlight w:val="none"/>
          <w:lang w:val="en-US" w:eastAsia="zh-CN" w:bidi="ar-SA"/>
        </w:rPr>
        <w:t xml:space="preserve">会议结束后的服务工作：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(1)检查会场是否有来宾遗忘的物品，如有发现应立即交还来宾或上交机关服务中心并做好记录；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(2)检查会场内是否有电器设备损坏，发现损坏及时通知工程主管进行修复；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(3)清理会议桌上的茶杯、矿泉水瓶等物品，将茶杯茶壶送到储水间进行清洗消毒；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(4)摆放桌椅，恢复原样，进行保洁清扫；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(5)关闭所有照明灯具、空调及会议设备；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(6)关闭会议室。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lang w:val="en-US" w:eastAsia="zh-CN" w:bidi="ar-SA"/>
        </w:rPr>
        <w:t xml:space="preserve">领导办公室的整理及日常接待客人茶水服务。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(1)根据领导要求参照会务接待服务要求提供上茶及清洁服务；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(2)根据领导要求对办公室进行整理。</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2" w:firstLineChars="200"/>
        <w:jc w:val="left"/>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五</w:t>
      </w:r>
      <w:r>
        <w:rPr>
          <w:rFonts w:hint="eastAsia" w:ascii="宋体" w:hAnsi="宋体" w:eastAsia="宋体" w:cs="宋体"/>
          <w:b/>
          <w:bCs/>
          <w:color w:val="auto"/>
          <w:sz w:val="21"/>
          <w:szCs w:val="21"/>
          <w:highlight w:val="none"/>
          <w:lang w:val="en-US" w:eastAsia="zh-CN"/>
        </w:rPr>
        <w:t>）</w:t>
      </w:r>
      <w:r>
        <w:rPr>
          <w:rFonts w:hint="eastAsia" w:ascii="宋体" w:hAnsi="宋体" w:eastAsia="宋体" w:cs="宋体"/>
          <w:b/>
          <w:bCs/>
          <w:color w:val="auto"/>
          <w:kern w:val="0"/>
          <w:sz w:val="21"/>
          <w:szCs w:val="21"/>
          <w:highlight w:val="none"/>
          <w:lang w:val="en-US" w:eastAsia="zh-CN" w:bidi="ar-SA"/>
        </w:rPr>
        <w:t>绿化服务</w:t>
      </w:r>
      <w:r>
        <w:rPr>
          <w:rFonts w:hint="eastAsia" w:ascii="宋体" w:hAnsi="宋体" w:cs="宋体"/>
          <w:b/>
          <w:bCs/>
          <w:color w:val="auto"/>
          <w:kern w:val="0"/>
          <w:sz w:val="21"/>
          <w:szCs w:val="21"/>
          <w:highlight w:val="none"/>
          <w:lang w:val="en-US" w:eastAsia="zh-CN" w:bidi="ar-SA"/>
        </w:rPr>
        <w:t>工作要求</w:t>
      </w:r>
      <w:r>
        <w:rPr>
          <w:rFonts w:hint="eastAsia" w:ascii="宋体" w:hAnsi="宋体" w:eastAsia="宋体" w:cs="宋体"/>
          <w:b/>
          <w:bCs/>
          <w:color w:val="auto"/>
          <w:kern w:val="0"/>
          <w:sz w:val="21"/>
          <w:szCs w:val="21"/>
          <w:highlight w:val="none"/>
          <w:lang w:val="en-US" w:eastAsia="zh-CN" w:bidi="ar-SA"/>
        </w:rPr>
        <w:t xml:space="preserve">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b w:val="0"/>
          <w:bCs w:val="0"/>
          <w:color w:val="auto"/>
          <w:kern w:val="0"/>
          <w:sz w:val="21"/>
          <w:szCs w:val="21"/>
          <w:highlight w:val="none"/>
          <w:lang w:val="en-US" w:eastAsia="zh-CN" w:bidi="ar-SA"/>
        </w:rPr>
      </w:pPr>
      <w:r>
        <w:rPr>
          <w:rFonts w:hint="eastAsia" w:ascii="宋体" w:hAnsi="宋体" w:eastAsia="宋体" w:cs="宋体"/>
          <w:b w:val="0"/>
          <w:bCs w:val="0"/>
          <w:color w:val="auto"/>
          <w:kern w:val="0"/>
          <w:sz w:val="21"/>
          <w:szCs w:val="21"/>
          <w:highlight w:val="none"/>
          <w:lang w:val="en-US" w:eastAsia="zh-CN" w:bidi="ar-SA"/>
        </w:rPr>
        <w:t xml:space="preserve">1.草坪的养护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（1)目的标准：草种生长茂盛，草坪整齐，叶片健壮，生机勃勃。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（2)要求：一年绿色期应长于300天，覆盖率达98%以上。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（3)除杂草及补植：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草坪中杂草应及时除去，杂草率应低于3%，新接管的草坪要求半年内达标。</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人工除杂草要将杂草连根拔除，压平目的草。 </w:t>
      </w:r>
    </w:p>
    <w:p>
      <w:pPr>
        <w:keepNext w:val="0"/>
        <w:keepLines w:val="0"/>
        <w:pageBreakBefore w:val="0"/>
        <w:widowControl/>
        <w:suppressLineNumbers w:val="0"/>
        <w:kinsoku/>
        <w:wordWrap/>
        <w:overflowPunct/>
        <w:topLinePunct w:val="0"/>
        <w:autoSpaceDE/>
        <w:autoSpaceDN/>
        <w:bidi w:val="0"/>
        <w:adjustRightInd/>
        <w:snapToGrid/>
        <w:spacing w:line="400" w:lineRule="exact"/>
        <w:ind w:left="420" w:leftChars="200" w:firstLine="0" w:firstLineChars="0"/>
        <w:jc w:val="left"/>
        <w:textAlignment w:val="auto"/>
        <w:rPr>
          <w:rFonts w:hint="eastAsia" w:ascii="宋体" w:hAnsi="宋体" w:eastAsia="宋体" w:cs="宋体"/>
          <w:color w:val="auto"/>
          <w:kern w:val="0"/>
          <w:sz w:val="21"/>
          <w:szCs w:val="21"/>
          <w:highlight w:val="none"/>
          <w:lang w:val="en-US" w:eastAsia="zh-CN" w:bidi="ar-SA"/>
        </w:rPr>
      </w:pPr>
      <w:bookmarkStart w:id="20" w:name="OLE_LINK21"/>
      <w:r>
        <w:rPr>
          <w:rFonts w:hint="eastAsia" w:ascii="宋体" w:hAnsi="宋体" w:eastAsia="宋体" w:cs="宋体"/>
          <w:color w:val="auto"/>
          <w:kern w:val="0"/>
          <w:sz w:val="21"/>
          <w:szCs w:val="21"/>
          <w:highlight w:val="none"/>
          <w:lang w:val="en-US" w:eastAsia="zh-CN" w:bidi="ar-SA"/>
        </w:rPr>
        <w:t>（4）</w:t>
      </w:r>
      <w:bookmarkEnd w:id="20"/>
      <w:r>
        <w:rPr>
          <w:rFonts w:hint="eastAsia" w:ascii="宋体" w:hAnsi="宋体" w:eastAsia="宋体" w:cs="宋体"/>
          <w:color w:val="auto"/>
          <w:kern w:val="0"/>
          <w:sz w:val="21"/>
          <w:szCs w:val="21"/>
          <w:highlight w:val="none"/>
          <w:lang w:val="en-US" w:eastAsia="zh-CN" w:bidi="ar-SA"/>
        </w:rPr>
        <w:t>对被破坏或其它原因引起死亡的草坪植物应及时补植，保持草坪完整，无裸露地。（5）修剪标准：</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 xml:space="preserve">草坪应适时进行修剪，使草的高度一致，边缘整齐，草坪的高度控制在5cm以下。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花基边和树旁边的草要修剪整齐。花基边修剪宽度控制在5cm以下，修剪前需清除草坪上的石</w:t>
      </w:r>
      <w:r>
        <w:rPr>
          <w:rFonts w:hint="eastAsia" w:ascii="宋体" w:hAnsi="宋体" w:cs="宋体"/>
          <w:color w:val="auto"/>
          <w:kern w:val="0"/>
          <w:sz w:val="21"/>
          <w:szCs w:val="21"/>
          <w:highlight w:val="none"/>
          <w:lang w:val="en-US" w:eastAsia="zh-CN" w:bidi="ar-SA"/>
        </w:rPr>
        <w:t>子</w:t>
      </w:r>
      <w:r>
        <w:rPr>
          <w:rFonts w:hint="eastAsia" w:ascii="宋体" w:hAnsi="宋体" w:eastAsia="宋体" w:cs="宋体"/>
          <w:color w:val="auto"/>
          <w:kern w:val="0"/>
          <w:sz w:val="21"/>
          <w:szCs w:val="21"/>
          <w:highlight w:val="none"/>
          <w:lang w:val="en-US" w:eastAsia="zh-CN" w:bidi="ar-SA"/>
        </w:rPr>
        <w:t xml:space="preserve">、瓦砾、树枝等杂物。修剪平整，边角无遗漏，草屑应及时清除。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③</w:t>
      </w:r>
      <w:r>
        <w:rPr>
          <w:rFonts w:hint="eastAsia" w:ascii="宋体" w:hAnsi="宋体" w:eastAsia="宋体" w:cs="宋体"/>
          <w:color w:val="auto"/>
          <w:kern w:val="0"/>
          <w:sz w:val="21"/>
          <w:szCs w:val="21"/>
          <w:highlight w:val="none"/>
          <w:lang w:val="en-US" w:eastAsia="zh-CN" w:bidi="ar-SA"/>
        </w:rPr>
        <w:t xml:space="preserve">病虫害防治：及时做好病虫害防治工作，做到以防为主，经常检查，发现病虫害及时处理，最严重的危害率控制在3%以下。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b/>
          <w:bCs/>
          <w:color w:val="auto"/>
          <w:kern w:val="0"/>
          <w:sz w:val="21"/>
          <w:szCs w:val="21"/>
          <w:highlight w:val="none"/>
          <w:lang w:val="en-US" w:eastAsia="zh-CN" w:bidi="ar-SA"/>
        </w:rPr>
      </w:pPr>
      <w:r>
        <w:rPr>
          <w:rFonts w:hint="eastAsia" w:ascii="宋体" w:hAnsi="宋体" w:cs="宋体"/>
          <w:b w:val="0"/>
          <w:bCs w:val="0"/>
          <w:color w:val="auto"/>
          <w:kern w:val="0"/>
          <w:sz w:val="21"/>
          <w:szCs w:val="21"/>
          <w:highlight w:val="none"/>
          <w:lang w:val="en-US" w:eastAsia="zh-CN" w:bidi="ar-SA"/>
        </w:rPr>
        <w:t>2.</w:t>
      </w:r>
      <w:r>
        <w:rPr>
          <w:rFonts w:hint="eastAsia" w:ascii="宋体" w:hAnsi="宋体" w:eastAsia="宋体" w:cs="宋体"/>
          <w:b w:val="0"/>
          <w:bCs w:val="0"/>
          <w:color w:val="auto"/>
          <w:kern w:val="0"/>
          <w:sz w:val="21"/>
          <w:szCs w:val="21"/>
          <w:highlight w:val="none"/>
          <w:lang w:val="en-US" w:eastAsia="zh-CN" w:bidi="ar-SA"/>
        </w:rPr>
        <w:t>灌木的养护</w:t>
      </w:r>
      <w:r>
        <w:rPr>
          <w:rFonts w:hint="eastAsia" w:ascii="宋体" w:hAnsi="宋体" w:eastAsia="宋体" w:cs="宋体"/>
          <w:b/>
          <w:bCs/>
          <w:color w:val="auto"/>
          <w:kern w:val="0"/>
          <w:sz w:val="21"/>
          <w:szCs w:val="21"/>
          <w:highlight w:val="none"/>
          <w:lang w:val="en-US" w:eastAsia="zh-CN" w:bidi="ar-SA"/>
        </w:rPr>
        <w:t xml:space="preserve">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（1)灌木的养护标准：生长旺盛，枝叶健壮，无空脚、光秃现象，保证开花植物在花期内的充分开花。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（2)灌溉：根据植物的生理特性进行合理灌溉，原则上晴天每天淋水淋透两次，并经常进行叶面喷水，保持土壤全天候湿润。（管理员登记在册并报主管领导）。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（3)通常在每年春、秋季重点施肥各 3-4 次，施肥后应及时淋水，不能污染叶片，以复合肥为主，有机肥为辅。</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（4)整形修剪：根据每种植物的生长发育特点，适时适量修剪，保证造型美观。黄叶及枯枝要及时剪除，花坛、绿篱应保持经常性修剪，乱枝的生长不得超过 10cm,保持图案明显、整齐，达到最佳视觉效果。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（5)中耕除草：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 xml:space="preserve">发现杂草及时清除，除杂草要连根拔除。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经常性中耕、松土；中耕深度适当，不伤害植物根系或造成根系裸露。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（6)病虫害防治：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对病虫害要及时防治经常检查，及时处理，最严重</w:t>
      </w:r>
      <w:r>
        <w:rPr>
          <w:rFonts w:hint="eastAsia" w:ascii="宋体" w:hAnsi="宋体" w:cs="宋体"/>
          <w:color w:val="auto"/>
          <w:kern w:val="0"/>
          <w:sz w:val="21"/>
          <w:szCs w:val="21"/>
          <w:highlight w:val="none"/>
          <w:lang w:val="en-US" w:eastAsia="zh-CN" w:bidi="ar-SA"/>
        </w:rPr>
        <w:t>的</w:t>
      </w:r>
      <w:r>
        <w:rPr>
          <w:rFonts w:hint="eastAsia" w:ascii="宋体" w:hAnsi="宋体" w:eastAsia="宋体" w:cs="宋体"/>
          <w:color w:val="auto"/>
          <w:kern w:val="0"/>
          <w:sz w:val="21"/>
          <w:szCs w:val="21"/>
          <w:highlight w:val="none"/>
          <w:lang w:val="en-US" w:eastAsia="zh-CN" w:bidi="ar-SA"/>
        </w:rPr>
        <w:t xml:space="preserve">危害率在5%以下。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药物的种类和用量，要达到防治的目的，且符合环保的要求和标准，喷药尽量安排在非工作日进行。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（7)补植和改植：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如果</w:t>
      </w:r>
      <w:r>
        <w:rPr>
          <w:rFonts w:hint="eastAsia" w:ascii="宋体" w:hAnsi="宋体" w:cs="宋体"/>
          <w:color w:val="auto"/>
          <w:kern w:val="0"/>
          <w:sz w:val="21"/>
          <w:szCs w:val="21"/>
          <w:highlight w:val="none"/>
          <w:lang w:val="en-US" w:eastAsia="zh-CN" w:bidi="ar-SA"/>
        </w:rPr>
        <w:t>出现</w:t>
      </w:r>
      <w:r>
        <w:rPr>
          <w:rFonts w:hint="eastAsia" w:ascii="宋体" w:hAnsi="宋体" w:eastAsia="宋体" w:cs="宋体"/>
          <w:color w:val="auto"/>
          <w:kern w:val="0"/>
          <w:sz w:val="21"/>
          <w:szCs w:val="21"/>
          <w:highlight w:val="none"/>
          <w:lang w:val="en-US" w:eastAsia="zh-CN" w:bidi="ar-SA"/>
        </w:rPr>
        <w:t xml:space="preserve">缺苗现象，应及时补植，补回原来的种类，规格尽量与原植株接近。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补植后加强淋水等保养工作，成活率应大于95%。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③</w:t>
      </w:r>
      <w:r>
        <w:rPr>
          <w:rFonts w:hint="eastAsia" w:ascii="宋体" w:hAnsi="宋体" w:eastAsia="宋体" w:cs="宋体"/>
          <w:color w:val="auto"/>
          <w:kern w:val="0"/>
          <w:sz w:val="21"/>
          <w:szCs w:val="21"/>
          <w:highlight w:val="none"/>
          <w:lang w:val="en-US" w:eastAsia="zh-CN" w:bidi="ar-SA"/>
        </w:rPr>
        <w:t xml:space="preserve">对生长不宜的植物，进行换种改种，选用植物品种确保生长良好，且与周围的环境协调。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b/>
          <w:bCs/>
          <w:color w:val="auto"/>
          <w:kern w:val="0"/>
          <w:sz w:val="21"/>
          <w:szCs w:val="21"/>
          <w:highlight w:val="none"/>
          <w:lang w:val="en-US" w:eastAsia="zh-CN" w:bidi="ar-SA"/>
        </w:rPr>
      </w:pPr>
      <w:r>
        <w:rPr>
          <w:rFonts w:hint="eastAsia" w:ascii="宋体" w:hAnsi="宋体" w:cs="宋体"/>
          <w:b w:val="0"/>
          <w:bCs w:val="0"/>
          <w:color w:val="auto"/>
          <w:kern w:val="0"/>
          <w:sz w:val="21"/>
          <w:szCs w:val="21"/>
          <w:highlight w:val="none"/>
          <w:lang w:val="en-US" w:eastAsia="zh-CN" w:bidi="ar-SA"/>
        </w:rPr>
        <w:t>3.</w:t>
      </w:r>
      <w:r>
        <w:rPr>
          <w:rFonts w:hint="eastAsia" w:ascii="宋体" w:hAnsi="宋体" w:eastAsia="宋体" w:cs="宋体"/>
          <w:b w:val="0"/>
          <w:bCs w:val="0"/>
          <w:color w:val="auto"/>
          <w:kern w:val="0"/>
          <w:sz w:val="21"/>
          <w:szCs w:val="21"/>
          <w:highlight w:val="none"/>
          <w:lang w:val="en-US" w:eastAsia="zh-CN" w:bidi="ar-SA"/>
        </w:rPr>
        <w:t>乔木的养护</w:t>
      </w:r>
      <w:r>
        <w:rPr>
          <w:rFonts w:hint="eastAsia" w:ascii="宋体" w:hAnsi="宋体" w:eastAsia="宋体" w:cs="宋体"/>
          <w:b/>
          <w:bCs/>
          <w:color w:val="auto"/>
          <w:kern w:val="0"/>
          <w:sz w:val="21"/>
          <w:szCs w:val="21"/>
          <w:highlight w:val="none"/>
          <w:lang w:val="en-US" w:eastAsia="zh-CN" w:bidi="ar-SA"/>
        </w:rPr>
        <w:t xml:space="preserve">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（1)乔木养护的标准是：生长势好，枝叶健壮，生长数量超过该树种该规格的平均年生长量，树型美观，分枝点恰当。无死树缺株、无枯枝残叶、无明显人为破坏、最严重的病虫害率在 5%以下。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（2)灌溉与排水：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 xml:space="preserve">根据不同植物种类，不同树龄及季节气候条件适当淋水，保持土壤有效水分，保证植物正常生长，原则上在晴天每2天淋一次，且要淋足水。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暴雨天应排除树木周围的积水、避免树根窒息、腐烂。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（3)施肥：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 xml:space="preserve">每年春、秋季重点施肥2-3次，以有机肥和复合肥为主。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施肥后要及时进行淋水，使料肥及时渗入，避免伤害树根。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（4)整形修剪：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 xml:space="preserve">自然型修剪应根据植物生长特性合理修剪，以达到最理想的生长和观赏效果，每年修剪一次。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造型修剪则应按预定的形体进行修剪，成形并保持一定的形状，每年修剪三次以上。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③</w:t>
      </w:r>
      <w:r>
        <w:rPr>
          <w:rFonts w:hint="eastAsia" w:ascii="宋体" w:hAnsi="宋体" w:eastAsia="宋体" w:cs="宋体"/>
          <w:color w:val="auto"/>
          <w:kern w:val="0"/>
          <w:sz w:val="21"/>
          <w:szCs w:val="21"/>
          <w:highlight w:val="none"/>
          <w:lang w:val="en-US" w:eastAsia="zh-CN" w:bidi="ar-SA"/>
        </w:rPr>
        <w:t xml:space="preserve">影响高压线及交通、照明设备的树枝应及时剪除。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④</w:t>
      </w:r>
      <w:r>
        <w:rPr>
          <w:rFonts w:hint="eastAsia" w:ascii="宋体" w:hAnsi="宋体" w:eastAsia="宋体" w:cs="宋体"/>
          <w:color w:val="auto"/>
          <w:kern w:val="0"/>
          <w:sz w:val="21"/>
          <w:szCs w:val="21"/>
          <w:highlight w:val="none"/>
          <w:lang w:val="en-US" w:eastAsia="zh-CN" w:bidi="ar-SA"/>
        </w:rPr>
        <w:t xml:space="preserve">对徒长枝、病虫枝、交叉枝、并生枝、下垂枝、枯枝、残枝等应及时剪除。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⑤</w:t>
      </w:r>
      <w:r>
        <w:rPr>
          <w:rFonts w:hint="eastAsia" w:ascii="宋体" w:hAnsi="宋体" w:eastAsia="宋体" w:cs="宋体"/>
          <w:color w:val="auto"/>
          <w:kern w:val="0"/>
          <w:sz w:val="21"/>
          <w:szCs w:val="21"/>
          <w:highlight w:val="none"/>
          <w:lang w:val="en-US" w:eastAsia="zh-CN" w:bidi="ar-SA"/>
        </w:rPr>
        <w:t xml:space="preserve">修剪时按操作规程进行，防止发生安全事故。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（5)中耕除草：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 xml:space="preserve">树头位杂草及时清除，对影响树木生长和景观效果的各类野生藤蔓及时清除。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树木根部附近的土壤保持疏松，中耕深度以不伤根系为限。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③</w:t>
      </w:r>
      <w:r>
        <w:rPr>
          <w:rFonts w:hint="eastAsia" w:ascii="宋体" w:hAnsi="宋体" w:eastAsia="宋体" w:cs="宋体"/>
          <w:color w:val="auto"/>
          <w:kern w:val="0"/>
          <w:sz w:val="21"/>
          <w:szCs w:val="21"/>
          <w:highlight w:val="none"/>
          <w:lang w:val="en-US" w:eastAsia="zh-CN" w:bidi="ar-SA"/>
        </w:rPr>
        <w:t xml:space="preserve">中耕除草应在天气晴朗，且土壤不过分潮湿时进行，应及时清除杂草和土壤中的瓦砾、石块等。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（6)病虫害的防治：对树木的病虫害要及时喷杀，发生病虫害最严重的危害率在5%以下，单株受害程度在5%以下。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（7)补种和改植：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及</w:t>
      </w:r>
      <w:r>
        <w:rPr>
          <w:rFonts w:hint="eastAsia" w:ascii="宋体" w:hAnsi="宋体" w:cs="宋体"/>
          <w:color w:val="auto"/>
          <w:kern w:val="0"/>
          <w:sz w:val="21"/>
          <w:szCs w:val="21"/>
          <w:highlight w:val="none"/>
          <w:lang w:val="en-US" w:eastAsia="zh-CN" w:bidi="ar-SA"/>
        </w:rPr>
        <w:t>时</w:t>
      </w:r>
      <w:r>
        <w:rPr>
          <w:rFonts w:hint="eastAsia" w:ascii="宋体" w:hAnsi="宋体" w:eastAsia="宋体" w:cs="宋体"/>
          <w:color w:val="auto"/>
          <w:kern w:val="0"/>
          <w:sz w:val="21"/>
          <w:szCs w:val="21"/>
          <w:highlight w:val="none"/>
          <w:lang w:val="en-US" w:eastAsia="zh-CN" w:bidi="ar-SA"/>
        </w:rPr>
        <w:t xml:space="preserve">清理死树，并在两周内补植回原来的树枝，规格与原有的树木接近。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对已呈老化或明显与周围环境景观不协调的树木应进行改植，改植方案报批后方可实施。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（8)防台风及意外：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①</w:t>
      </w:r>
      <w:r>
        <w:rPr>
          <w:rFonts w:hint="eastAsia" w:ascii="宋体" w:hAnsi="宋体" w:eastAsia="宋体" w:cs="宋体"/>
          <w:color w:val="auto"/>
          <w:kern w:val="0"/>
          <w:sz w:val="21"/>
          <w:szCs w:val="21"/>
          <w:highlight w:val="none"/>
          <w:lang w:val="en-US" w:eastAsia="zh-CN" w:bidi="ar-SA"/>
        </w:rPr>
        <w:t xml:space="preserve">作好防台风工作，台风前加强防御措施。对一些浅根性，树冠庞大、树叶过密以及立地条件较差的乔木作好加固措施。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②</w:t>
      </w:r>
      <w:r>
        <w:rPr>
          <w:rFonts w:hint="eastAsia" w:ascii="宋体" w:hAnsi="宋体" w:eastAsia="宋体" w:cs="宋体"/>
          <w:color w:val="auto"/>
          <w:kern w:val="0"/>
          <w:sz w:val="21"/>
          <w:szCs w:val="21"/>
          <w:highlight w:val="none"/>
          <w:lang w:val="en-US" w:eastAsia="zh-CN" w:bidi="ar-SA"/>
        </w:rPr>
        <w:t xml:space="preserve">风暴后迅速清理倒树、断枝，疏通道路，及时进行扶树、护树。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③</w:t>
      </w:r>
      <w:r>
        <w:rPr>
          <w:rFonts w:hint="eastAsia" w:ascii="宋体" w:hAnsi="宋体" w:eastAsia="宋体" w:cs="宋体"/>
          <w:color w:val="auto"/>
          <w:kern w:val="0"/>
          <w:sz w:val="21"/>
          <w:szCs w:val="21"/>
          <w:highlight w:val="none"/>
          <w:lang w:val="en-US" w:eastAsia="zh-CN" w:bidi="ar-SA"/>
        </w:rPr>
        <w:t xml:space="preserve">对撞倒、撞伤的树木，及时处理现场，及时扶植。损伤严重的树木及时清除，于两周内补植原规格树种。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④</w:t>
      </w:r>
      <w:r>
        <w:rPr>
          <w:rFonts w:hint="eastAsia" w:ascii="宋体" w:hAnsi="宋体" w:eastAsia="宋体" w:cs="宋体"/>
          <w:color w:val="auto"/>
          <w:kern w:val="0"/>
          <w:sz w:val="21"/>
          <w:szCs w:val="21"/>
          <w:highlight w:val="none"/>
          <w:lang w:val="en-US" w:eastAsia="zh-CN" w:bidi="ar-SA"/>
        </w:rPr>
        <w:t xml:space="preserve">乔木距地面1.2M以下，树身于每年底前做防虫害防冷工作。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default" w:ascii="Cambria" w:hAnsi="Cambria" w:eastAsia="宋体" w:cs="Cambria"/>
          <w:color w:val="auto"/>
          <w:kern w:val="0"/>
          <w:sz w:val="21"/>
          <w:szCs w:val="21"/>
          <w:highlight w:val="none"/>
          <w:lang w:val="en-US" w:eastAsia="zh-CN" w:bidi="ar-SA"/>
        </w:rPr>
        <w:t>⑤</w:t>
      </w:r>
      <w:r>
        <w:rPr>
          <w:rFonts w:hint="eastAsia" w:ascii="宋体" w:hAnsi="宋体" w:eastAsia="宋体" w:cs="宋体"/>
          <w:color w:val="auto"/>
          <w:kern w:val="0"/>
          <w:sz w:val="21"/>
          <w:szCs w:val="21"/>
          <w:highlight w:val="none"/>
          <w:lang w:val="en-US" w:eastAsia="zh-CN" w:bidi="ar-SA"/>
        </w:rPr>
        <w:t xml:space="preserve">乔木类，若确因承包管理不善导致死亡的，要负责及时购买补种，并确保成活。属于不可抗力的，协商解决，视具体情况而定。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b w:val="0"/>
          <w:bCs w:val="0"/>
          <w:color w:val="auto"/>
          <w:kern w:val="0"/>
          <w:sz w:val="21"/>
          <w:szCs w:val="21"/>
          <w:highlight w:val="none"/>
          <w:lang w:val="en-US" w:eastAsia="zh-CN" w:bidi="ar-SA"/>
        </w:rPr>
      </w:pPr>
      <w:r>
        <w:rPr>
          <w:rFonts w:hint="eastAsia" w:ascii="宋体" w:hAnsi="宋体" w:cs="宋体"/>
          <w:b w:val="0"/>
          <w:bCs w:val="0"/>
          <w:color w:val="auto"/>
          <w:kern w:val="0"/>
          <w:sz w:val="21"/>
          <w:szCs w:val="21"/>
          <w:highlight w:val="none"/>
          <w:lang w:val="en-US" w:eastAsia="zh-CN" w:bidi="ar-SA"/>
        </w:rPr>
        <w:t>4.</w:t>
      </w:r>
      <w:r>
        <w:rPr>
          <w:rFonts w:hint="eastAsia" w:ascii="宋体" w:hAnsi="宋体" w:eastAsia="宋体" w:cs="宋体"/>
          <w:b w:val="0"/>
          <w:bCs w:val="0"/>
          <w:color w:val="auto"/>
          <w:kern w:val="0"/>
          <w:sz w:val="21"/>
          <w:szCs w:val="21"/>
          <w:highlight w:val="none"/>
          <w:lang w:val="en-US" w:eastAsia="zh-CN" w:bidi="ar-SA"/>
        </w:rPr>
        <w:t xml:space="preserve">绿化带环境卫生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（1)绿地清洁，无垃圾杂物、无石砾砖块、无干枯枝叶、无粪便暴露、无悬挂物，绿化标语牌、绿化围栏及其他绿化方面设备长期保</w:t>
      </w:r>
      <w:r>
        <w:rPr>
          <w:rFonts w:hint="eastAsia" w:ascii="宋体" w:hAnsi="宋体" w:cs="宋体"/>
          <w:color w:val="auto"/>
          <w:kern w:val="0"/>
          <w:sz w:val="21"/>
          <w:szCs w:val="21"/>
          <w:highlight w:val="none"/>
          <w:lang w:val="en-US" w:eastAsia="zh-CN" w:bidi="ar-SA"/>
        </w:rPr>
        <w:t>持</w:t>
      </w:r>
      <w:r>
        <w:rPr>
          <w:rFonts w:hint="eastAsia" w:ascii="宋体" w:hAnsi="宋体" w:eastAsia="宋体" w:cs="宋体"/>
          <w:color w:val="auto"/>
          <w:kern w:val="0"/>
          <w:sz w:val="21"/>
          <w:szCs w:val="21"/>
          <w:highlight w:val="none"/>
          <w:lang w:val="en-US" w:eastAsia="zh-CN" w:bidi="ar-SA"/>
        </w:rPr>
        <w:t xml:space="preserve">干净、明亮，无明显灰尘、油迹。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（2)每天早晨清扫完所有生活垃圾，及时清理瓦砾石块、枯枝残叶等，清洁、整理蚊蝇滋生地，发现鼠洞及时堵塞，发现白蚁及时作好有效处理。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（3)清除垃圾杂物后，注意保洁。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（4)归堆后的垃圾杂物堆放在隐蔽的地方，做到日产日清，不过夜、不焚烧，不造成二次污染。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（5)行道树、绿篱修剪下的枝叶，应随时堆放在路边不影响车辆行人处，并及时进行收纳处理，不得影响行人通行安全和观瞻。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lang w:val="en-US" w:eastAsia="zh-CN" w:bidi="ar-SA"/>
        </w:rPr>
        <w:t xml:space="preserve">服务标准和质量指标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1</w:t>
      </w:r>
      <w:r>
        <w:rPr>
          <w:rFonts w:hint="eastAsia" w:ascii="宋体" w:hAnsi="宋体" w:eastAsia="宋体" w:cs="宋体"/>
          <w:color w:val="auto"/>
          <w:kern w:val="0"/>
          <w:sz w:val="21"/>
          <w:szCs w:val="21"/>
          <w:highlight w:val="none"/>
          <w:lang w:val="en-US" w:eastAsia="zh-CN" w:bidi="ar-SA"/>
        </w:rPr>
        <w:t xml:space="preserve">）管理服务范围内无因中标人管理不当而发生重大刑事案件和重大交通及重大火灾等安全事故。办公楼内无被盗等治安案件的发生，无纵火、爆炸、投毒、食物中毒等恶性事（案）件发生、无外事纠纷、泄密等事（案）件发生。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lang w:val="en-US" w:eastAsia="zh-CN" w:bidi="ar-SA"/>
        </w:rPr>
        <w:t xml:space="preserve">）严格遵守有关消防管理规定，确保无因中标人管理不当而发生消防事故，消防设备完好率100%。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lang w:val="en-US" w:eastAsia="zh-CN" w:bidi="ar-SA"/>
        </w:rPr>
        <w:t xml:space="preserve">）办公楼设施、机电设备无操作管理、使用责任事故发生。全部外包项目（含采购人外包项目）及大楼内施工工程无因中标人监管不到位而发生安全事故。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4</w:t>
      </w:r>
      <w:r>
        <w:rPr>
          <w:rFonts w:hint="eastAsia" w:ascii="宋体" w:hAnsi="宋体" w:eastAsia="宋体" w:cs="宋体"/>
          <w:color w:val="auto"/>
          <w:kern w:val="0"/>
          <w:sz w:val="21"/>
          <w:szCs w:val="21"/>
          <w:highlight w:val="none"/>
          <w:lang w:val="en-US" w:eastAsia="zh-CN" w:bidi="ar-SA"/>
        </w:rPr>
        <w:t xml:space="preserve">）各项设施设备的维修保养工作，须按采购人要求的时限，高效、保质、保量完成。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lang w:val="en-US" w:eastAsia="zh-CN" w:bidi="ar-SA"/>
        </w:rPr>
        <w:t xml:space="preserve">）除因基建质量、设备质量在保养期内等特殊原因外，房屋及配套设施、设备完好率达99%；零星维修、急修(2小时内完成)及时率达99%以上(网络等专业设施除外)。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6</w:t>
      </w:r>
      <w:r>
        <w:rPr>
          <w:rFonts w:hint="eastAsia" w:ascii="宋体" w:hAnsi="宋体" w:eastAsia="宋体" w:cs="宋体"/>
          <w:color w:val="auto"/>
          <w:kern w:val="0"/>
          <w:sz w:val="21"/>
          <w:szCs w:val="21"/>
          <w:highlight w:val="none"/>
          <w:lang w:val="en-US" w:eastAsia="zh-CN" w:bidi="ar-SA"/>
        </w:rPr>
        <w:t xml:space="preserve">）管理范围内照明、化粪池、雨水井、污水井、排水管、明暗沟、停车场、道路完好率99%以上。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7</w:t>
      </w:r>
      <w:r>
        <w:rPr>
          <w:rFonts w:hint="eastAsia" w:ascii="宋体" w:hAnsi="宋体" w:eastAsia="宋体" w:cs="宋体"/>
          <w:color w:val="auto"/>
          <w:kern w:val="0"/>
          <w:sz w:val="21"/>
          <w:szCs w:val="21"/>
          <w:highlight w:val="none"/>
          <w:lang w:val="en-US" w:eastAsia="zh-CN" w:bidi="ar-SA"/>
        </w:rPr>
        <w:t xml:space="preserve">）实行动态保洁，卫生清洁保洁率99%。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8</w:t>
      </w:r>
      <w:r>
        <w:rPr>
          <w:rFonts w:hint="eastAsia" w:ascii="宋体" w:hAnsi="宋体" w:eastAsia="宋体" w:cs="宋体"/>
          <w:color w:val="auto"/>
          <w:kern w:val="0"/>
          <w:sz w:val="21"/>
          <w:szCs w:val="21"/>
          <w:highlight w:val="none"/>
          <w:lang w:val="en-US" w:eastAsia="zh-CN" w:bidi="ar-SA"/>
        </w:rPr>
        <w:t xml:space="preserve">）综合管理服务满意率在95%以上；投诉处理率100%。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9</w:t>
      </w:r>
      <w:r>
        <w:rPr>
          <w:rFonts w:hint="eastAsia" w:ascii="宋体" w:hAnsi="宋体" w:eastAsia="宋体" w:cs="宋体"/>
          <w:color w:val="auto"/>
          <w:kern w:val="0"/>
          <w:sz w:val="21"/>
          <w:szCs w:val="21"/>
          <w:highlight w:val="none"/>
          <w:lang w:val="en-US" w:eastAsia="zh-CN" w:bidi="ar-SA"/>
        </w:rPr>
        <w:t xml:space="preserve">）中标人一切管理服务工作的实施，须以服从于采购人的工作需要为前提，以方便采购人为原则。维修保养等工作通常情况下尽可能在采购人工作时间以外进行。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10</w:t>
      </w:r>
      <w:r>
        <w:rPr>
          <w:rFonts w:hint="eastAsia" w:ascii="宋体" w:hAnsi="宋体" w:eastAsia="宋体" w:cs="宋体"/>
          <w:color w:val="auto"/>
          <w:kern w:val="0"/>
          <w:sz w:val="21"/>
          <w:szCs w:val="21"/>
          <w:highlight w:val="none"/>
          <w:lang w:val="en-US" w:eastAsia="zh-CN" w:bidi="ar-SA"/>
        </w:rPr>
        <w:t xml:space="preserve">）根据有关规定和采购人需求，拟定详细的管理服务细则或拟定详细的管理服务实施方案，且经采购人认可后方能实施。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2" w:firstLineChars="200"/>
        <w:jc w:val="left"/>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 xml:space="preserve">四、服务工作人员配备要求 </w:t>
      </w:r>
    </w:p>
    <w:p>
      <w:pPr>
        <w:keepNext w:val="0"/>
        <w:keepLines w:val="0"/>
        <w:pageBreakBefore w:val="0"/>
        <w:widowControl/>
        <w:suppressLineNumbers w:val="0"/>
        <w:kinsoku/>
        <w:wordWrap/>
        <w:overflowPunct/>
        <w:topLinePunct w:val="0"/>
        <w:autoSpaceDE/>
        <w:autoSpaceDN/>
        <w:bidi w:val="0"/>
        <w:snapToGrid/>
        <w:spacing w:line="400" w:lineRule="exact"/>
        <w:ind w:left="0" w:leftChars="0" w:firstLine="420" w:firstLineChars="200"/>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一）采购人委托管理的事项中，除按照国家有关规定须由有资质专业单位进行服务保障的项目和采购人允许外包的项目外，未经采购人书面同意，中标人不得将本项目的管理责任转让给第三方，更不得将管理项目进行分拆或分包、转包。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（二）合同期内采购人新增各类设备（大型设备除外）的管理、维修、保养均由中标人负责，采购人不另增加费用。</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bookmarkStart w:id="21" w:name="OLE_LINK19"/>
      <w:r>
        <w:rPr>
          <w:rFonts w:hint="eastAsia" w:ascii="宋体" w:hAnsi="宋体" w:eastAsia="宋体" w:cs="宋体"/>
          <w:color w:val="auto"/>
          <w:kern w:val="0"/>
          <w:sz w:val="21"/>
          <w:szCs w:val="21"/>
          <w:highlight w:val="none"/>
          <w:lang w:val="en-US" w:eastAsia="zh-CN" w:bidi="ar-SA"/>
        </w:rPr>
        <w:t>（三）</w:t>
      </w:r>
      <w:bookmarkEnd w:id="21"/>
      <w:r>
        <w:rPr>
          <w:rFonts w:hint="eastAsia" w:ascii="宋体" w:hAnsi="宋体" w:eastAsia="宋体" w:cs="宋体"/>
          <w:color w:val="auto"/>
          <w:kern w:val="0"/>
          <w:sz w:val="21"/>
          <w:szCs w:val="21"/>
          <w:highlight w:val="none"/>
          <w:lang w:val="en-US" w:eastAsia="zh-CN" w:bidi="ar-SA"/>
        </w:rPr>
        <w:t xml:space="preserve">服务工作人员配置基本要求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1.中标人应结合具体的工作范围及要求，向采购人派出经过专业技术培训(具备相关专业证书)的、熟悉相关工作的、具备相关专业工作能力的服务工作人员负责采购人服务工作。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2.中标人向采购人派出的所有人员应符合以下条件：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bookmarkStart w:id="22" w:name="OLE_LINK17"/>
      <w:r>
        <w:rPr>
          <w:rFonts w:hint="eastAsia" w:ascii="宋体" w:hAnsi="宋体" w:eastAsia="宋体" w:cs="宋体"/>
          <w:color w:val="auto"/>
          <w:kern w:val="0"/>
          <w:sz w:val="21"/>
          <w:szCs w:val="21"/>
          <w:highlight w:val="none"/>
          <w:lang w:val="en-US" w:eastAsia="zh-CN" w:bidi="ar-SA"/>
        </w:rPr>
        <w:t>(1)</w:t>
      </w:r>
      <w:bookmarkEnd w:id="22"/>
      <w:r>
        <w:rPr>
          <w:rFonts w:hint="eastAsia" w:ascii="宋体" w:hAnsi="宋体" w:eastAsia="宋体" w:cs="宋体"/>
          <w:color w:val="auto"/>
          <w:kern w:val="0"/>
          <w:sz w:val="21"/>
          <w:szCs w:val="21"/>
          <w:highlight w:val="none"/>
          <w:lang w:val="en-US" w:eastAsia="zh-CN" w:bidi="ar-SA"/>
        </w:rPr>
        <w:t xml:space="preserve">18岁以上的中国公民；拥护中国共产党的领导、拥护社会主义制度的中国公民；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bookmarkStart w:id="23" w:name="OLE_LINK18"/>
      <w:r>
        <w:rPr>
          <w:rFonts w:hint="eastAsia" w:ascii="宋体" w:hAnsi="宋体" w:eastAsia="宋体" w:cs="宋体"/>
          <w:color w:val="auto"/>
          <w:kern w:val="0"/>
          <w:sz w:val="21"/>
          <w:szCs w:val="21"/>
          <w:highlight w:val="none"/>
          <w:lang w:val="en-US" w:eastAsia="zh-CN" w:bidi="ar-SA"/>
        </w:rPr>
        <w:t>(2)</w:t>
      </w:r>
      <w:bookmarkEnd w:id="23"/>
      <w:r>
        <w:rPr>
          <w:rFonts w:hint="eastAsia" w:ascii="宋体" w:hAnsi="宋体" w:eastAsia="宋体" w:cs="宋体"/>
          <w:color w:val="auto"/>
          <w:kern w:val="0"/>
          <w:sz w:val="21"/>
          <w:szCs w:val="21"/>
          <w:highlight w:val="none"/>
          <w:lang w:val="en-US" w:eastAsia="zh-CN" w:bidi="ar-SA"/>
        </w:rPr>
        <w:t xml:space="preserve">身体健康；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(3)遵守法纪、品行良好，无被刑事处罚、强制性教育、强制隔离戒毒或者被开除公职、开除军籍等记录，没有参与政府明令禁止的非法组织及活动；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(4)维修技工等特殊工种人员须持有国家认可或行业认可的相关的服务工作的上岗证书；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(5)责任心强、具有强烈的服务意识，具有吃苦耐劳、勤俭节约、严谨细致、勤恳扎实的工作作风。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3.中标人须设立完整的现场管理服务组织机构，配备相应的各管理岗位人员。 </w:t>
      </w:r>
    </w:p>
    <w:p>
      <w:pPr>
        <w:keepNext w:val="0"/>
        <w:keepLines w:val="0"/>
        <w:pageBreakBefore w:val="0"/>
        <w:widowControl/>
        <w:suppressLineNumbers w:val="0"/>
        <w:kinsoku/>
        <w:wordWrap/>
        <w:overflowPunct/>
        <w:topLinePunct w:val="0"/>
        <w:autoSpaceDE/>
        <w:autoSpaceDN/>
        <w:bidi w:val="0"/>
        <w:adjustRightInd/>
        <w:snapToGrid/>
        <w:spacing w:line="400" w:lineRule="exact"/>
        <w:ind w:left="0" w:leftChars="0"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备注：(1)保安员岗位实行24小时轮班制度，供应商可在不违反劳动法相关规定及采购人要求的前提下，对保安各岗位灵活进行人员配置，确保各岗位值班人员满足采购人各岗位要求出勤值班。(2)本项目属国家审判机关，部分案件的宣判结果当事人无法接受，造成部分当事人有自残、自暴等行为，要求中标人具备基本医疗救护知识。 </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 w:val="0"/>
          <w:bCs w:val="0"/>
          <w:color w:val="auto"/>
          <w:kern w:val="0"/>
          <w:sz w:val="21"/>
          <w:szCs w:val="21"/>
          <w:highlight w:val="none"/>
          <w:lang w:val="en-US" w:eastAsia="zh-CN" w:bidi="ar-SA"/>
        </w:rPr>
      </w:pPr>
      <w:r>
        <w:rPr>
          <w:rFonts w:hint="eastAsia" w:ascii="宋体" w:hAnsi="宋体" w:eastAsia="宋体" w:cs="宋体"/>
          <w:b w:val="0"/>
          <w:bCs w:val="0"/>
          <w:color w:val="auto"/>
          <w:kern w:val="0"/>
          <w:sz w:val="21"/>
          <w:szCs w:val="21"/>
          <w:highlight w:val="none"/>
          <w:lang w:val="en-US" w:eastAsia="zh-CN" w:bidi="ar-SA"/>
        </w:rPr>
        <w:t xml:space="preserve">（四）各服务岗位最低数量要求及任职条件需求 </w:t>
      </w:r>
    </w:p>
    <w:tbl>
      <w:tblPr>
        <w:tblStyle w:val="25"/>
        <w:tblW w:w="83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9"/>
        <w:gridCol w:w="1218"/>
        <w:gridCol w:w="907"/>
        <w:gridCol w:w="47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9" w:type="dxa"/>
            <w:tcBorders>
              <w:top w:val="single" w:color="000000" w:sz="4" w:space="0"/>
              <w:left w:val="single" w:color="000000" w:sz="4" w:space="0"/>
              <w:bottom w:val="single" w:color="000000" w:sz="4" w:space="0"/>
              <w:right w:val="single" w:color="000000" w:sz="4" w:space="0"/>
              <w:tl2br w:val="nil"/>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分类</w:t>
            </w:r>
          </w:p>
        </w:tc>
        <w:tc>
          <w:tcPr>
            <w:tcW w:w="12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岗位</w:t>
            </w:r>
          </w:p>
        </w:tc>
        <w:tc>
          <w:tcPr>
            <w:tcW w:w="9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岗位数</w:t>
            </w:r>
          </w:p>
        </w:tc>
        <w:tc>
          <w:tcPr>
            <w:tcW w:w="47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工作内容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9"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综合部</w:t>
            </w:r>
          </w:p>
        </w:tc>
        <w:tc>
          <w:tcPr>
            <w:tcW w:w="12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项目经理</w:t>
            </w:r>
          </w:p>
        </w:tc>
        <w:tc>
          <w:tcPr>
            <w:tcW w:w="9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p>
        </w:tc>
        <w:tc>
          <w:tcPr>
            <w:tcW w:w="47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负责项目整体运作、联络、协调、管理等。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p>
        </w:tc>
        <w:tc>
          <w:tcPr>
            <w:tcW w:w="12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客服管理</w:t>
            </w:r>
          </w:p>
        </w:tc>
        <w:tc>
          <w:tcPr>
            <w:tcW w:w="9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p>
        </w:tc>
        <w:tc>
          <w:tcPr>
            <w:tcW w:w="47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协助项目经理做好各部门的人事招聘、档案管理、会务接待同时兼管保洁部门工作。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9"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p>
        </w:tc>
        <w:tc>
          <w:tcPr>
            <w:tcW w:w="12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万能工</w:t>
            </w:r>
          </w:p>
        </w:tc>
        <w:tc>
          <w:tcPr>
            <w:tcW w:w="9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p>
        </w:tc>
        <w:tc>
          <w:tcPr>
            <w:tcW w:w="47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负责水电、工程维修等工作。须持证上岗。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安保部</w:t>
            </w:r>
          </w:p>
        </w:tc>
        <w:tc>
          <w:tcPr>
            <w:tcW w:w="12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保安</w:t>
            </w:r>
          </w:p>
        </w:tc>
        <w:tc>
          <w:tcPr>
            <w:tcW w:w="9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29</w:t>
            </w:r>
          </w:p>
        </w:tc>
        <w:tc>
          <w:tcPr>
            <w:tcW w:w="47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负责院机关及相关派出法庭、派出点的安全保卫、安检，及其他相关工作。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jc w:val="center"/>
        </w:trPr>
        <w:tc>
          <w:tcPr>
            <w:tcW w:w="146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保洁部</w:t>
            </w:r>
          </w:p>
        </w:tc>
        <w:tc>
          <w:tcPr>
            <w:tcW w:w="12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保洁员</w:t>
            </w:r>
          </w:p>
        </w:tc>
        <w:tc>
          <w:tcPr>
            <w:tcW w:w="9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7</w:t>
            </w:r>
          </w:p>
        </w:tc>
        <w:tc>
          <w:tcPr>
            <w:tcW w:w="47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负责项目范围的保洁工作等。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绿化部</w:t>
            </w:r>
          </w:p>
        </w:tc>
        <w:tc>
          <w:tcPr>
            <w:tcW w:w="12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bookmarkStart w:id="24" w:name="OLE_LINK26"/>
            <w:r>
              <w:rPr>
                <w:rFonts w:hint="eastAsia" w:ascii="宋体" w:hAnsi="宋体" w:eastAsia="宋体" w:cs="宋体"/>
                <w:sz w:val="21"/>
                <w:szCs w:val="21"/>
                <w:highlight w:val="none"/>
                <w:lang w:val="en-US" w:eastAsia="zh-CN"/>
              </w:rPr>
              <w:t>园艺工</w:t>
            </w:r>
            <w:bookmarkEnd w:id="24"/>
          </w:p>
        </w:tc>
        <w:tc>
          <w:tcPr>
            <w:tcW w:w="9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p>
        </w:tc>
        <w:tc>
          <w:tcPr>
            <w:tcW w:w="47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负责项目范围的绿化养护等工作。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各人民法庭等外派机构服务部</w:t>
            </w:r>
          </w:p>
        </w:tc>
        <w:tc>
          <w:tcPr>
            <w:tcW w:w="12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食堂、保洁、门卫</w:t>
            </w:r>
          </w:p>
        </w:tc>
        <w:tc>
          <w:tcPr>
            <w:tcW w:w="9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17</w:t>
            </w:r>
          </w:p>
        </w:tc>
        <w:tc>
          <w:tcPr>
            <w:tcW w:w="478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负责食堂、门卫、保洁等工作，地点为岔路、深甽、桥头胡、力洋、长街、桃源等六个法庭。</w:t>
            </w:r>
          </w:p>
        </w:tc>
      </w:tr>
    </w:tbl>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1.项目经理：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(1)年龄28～40周岁，本科或以上学历；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(2)具备5年以上项目管理经验。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2.客服管理员：</w:t>
      </w:r>
      <w:r>
        <w:rPr>
          <w:rFonts w:hint="eastAsia" w:ascii="宋体" w:hAnsi="宋体" w:cs="宋体"/>
          <w:color w:val="auto"/>
          <w:kern w:val="0"/>
          <w:sz w:val="21"/>
          <w:szCs w:val="21"/>
          <w:highlight w:val="none"/>
          <w:lang w:val="en-US" w:eastAsia="zh-CN" w:bidi="ar-SA"/>
        </w:rPr>
        <w:t>女，</w:t>
      </w:r>
      <w:r>
        <w:rPr>
          <w:rFonts w:hint="eastAsia" w:ascii="宋体" w:hAnsi="宋体" w:eastAsia="宋体" w:cs="宋体"/>
          <w:color w:val="auto"/>
          <w:kern w:val="0"/>
          <w:sz w:val="21"/>
          <w:szCs w:val="21"/>
          <w:highlight w:val="none"/>
          <w:lang w:val="en-US" w:eastAsia="zh-CN" w:bidi="ar-SA"/>
        </w:rPr>
        <w:t>年龄35</w:t>
      </w:r>
      <w:bookmarkStart w:id="25" w:name="OLE_LINK47"/>
      <w:r>
        <w:rPr>
          <w:rFonts w:hint="eastAsia" w:ascii="宋体" w:hAnsi="宋体" w:eastAsia="宋体" w:cs="宋体"/>
          <w:color w:val="auto"/>
          <w:kern w:val="0"/>
          <w:sz w:val="21"/>
          <w:szCs w:val="21"/>
          <w:highlight w:val="none"/>
          <w:lang w:val="en-US" w:eastAsia="zh-CN" w:bidi="ar-SA"/>
        </w:rPr>
        <w:t>～</w:t>
      </w:r>
      <w:bookmarkEnd w:id="25"/>
      <w:r>
        <w:rPr>
          <w:rFonts w:hint="eastAsia" w:ascii="宋体" w:hAnsi="宋体" w:eastAsia="宋体" w:cs="宋体"/>
          <w:color w:val="auto"/>
          <w:kern w:val="0"/>
          <w:sz w:val="21"/>
          <w:szCs w:val="21"/>
          <w:highlight w:val="none"/>
          <w:lang w:val="en-US" w:eastAsia="zh-CN" w:bidi="ar-SA"/>
        </w:rPr>
        <w:t>42周岁，本科或以上学历。</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3.法院保安员：年龄20～50周岁。</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4.派出法庭及办案点保安员：年龄20～55周岁。</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5.清洁、杂工：女，年龄20～55周岁；男，年龄20～60周岁。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6.</w:t>
      </w:r>
      <w:r>
        <w:rPr>
          <w:rFonts w:hint="eastAsia" w:ascii="宋体" w:hAnsi="宋体" w:eastAsia="宋体" w:cs="宋体"/>
          <w:sz w:val="21"/>
          <w:szCs w:val="21"/>
          <w:highlight w:val="none"/>
          <w:lang w:val="en-US" w:eastAsia="zh-CN"/>
        </w:rPr>
        <w:t>园艺工</w:t>
      </w:r>
      <w:r>
        <w:rPr>
          <w:rFonts w:hint="eastAsia" w:ascii="宋体" w:hAnsi="宋体" w:eastAsia="宋体" w:cs="宋体"/>
          <w:color w:val="auto"/>
          <w:kern w:val="0"/>
          <w:sz w:val="21"/>
          <w:szCs w:val="21"/>
          <w:highlight w:val="none"/>
          <w:lang w:val="en-US" w:eastAsia="zh-CN" w:bidi="ar-SA"/>
        </w:rPr>
        <w:t xml:space="preserve">：女，年龄20～55周岁；男，年龄20～-60周岁。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7.万能工：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(1)年龄30～50周岁；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(2)持有高配证、电工证。</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（五）综合服务工作人员的管理培训要求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1.中标人应当重视管理和培训工作。制定培训计划，对各类综合服务工作人员进行定期培训，提高其业务工作能力、处置各类突发事件能力。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2.每周对综合服务工作进行全面的检查，发现不足及时整改，切实落实奖惩制度，表现突出的工作人员应当予以表扬、对于各种怠于履行职责的服务</w:t>
      </w:r>
      <w:r>
        <w:rPr>
          <w:rFonts w:hint="eastAsia" w:ascii="宋体" w:hAnsi="宋体" w:cs="宋体"/>
          <w:color w:val="auto"/>
          <w:kern w:val="0"/>
          <w:sz w:val="21"/>
          <w:szCs w:val="21"/>
          <w:highlight w:val="none"/>
          <w:lang w:val="en-US" w:eastAsia="zh-CN" w:bidi="ar-SA"/>
        </w:rPr>
        <w:t>工</w:t>
      </w:r>
      <w:r>
        <w:rPr>
          <w:rFonts w:hint="eastAsia" w:ascii="宋体" w:hAnsi="宋体" w:eastAsia="宋体" w:cs="宋体"/>
          <w:color w:val="auto"/>
          <w:kern w:val="0"/>
          <w:sz w:val="21"/>
          <w:szCs w:val="21"/>
          <w:highlight w:val="none"/>
          <w:lang w:val="en-US" w:eastAsia="zh-CN" w:bidi="ar-SA"/>
        </w:rPr>
        <w:t xml:space="preserve">作人员应当及时批评教育或辞退。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3.培训内容为：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(1)保安人员的培训内容为：安防、安检技能知识、消防安全知识、现场保护知识、队列知识、保安礼仪常识、安全管理知识(含各类安保突发事件的处置知识)、安全咨询知识、法律常识、消防设备设施的操作、安防设备设施及工具的操作。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(2)卫生清洁人员及会务/服务员的培训内容为：消防安全知识、礼仪常识、安全管理知识(含各类安保突发事件的处置知识)、安全咨询知识、法律常识、卫生清洁和“消杀”(消毒灭菌)除“四害”知识及操作办法。</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(3)设备管理人员的培训内容为：消防安全知识、礼仪常识、安全管理知识 (含各类突发事件的处置知识)、安全咨询知识、法律常识、消防设备设施的操作、安防设备设施及工具的操作、电工知识及操作。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(4)综合服务管理人员的培训内容为：综合服务知识、人事管理、公文应用及管理、礼仪常识等知识和技能培训。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4.每月进行一次培训，培训项目可分开交叉进行；每季度对综合服务员工进行一次考核。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 xml:space="preserve">5.根据考核结果和实际工作需要，每季针对个别培训项目或人员进行针对性训练。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2"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kern w:val="0"/>
          <w:sz w:val="21"/>
          <w:szCs w:val="21"/>
          <w:highlight w:val="none"/>
          <w:lang w:val="en-US" w:eastAsia="zh-CN" w:bidi="ar"/>
        </w:rPr>
        <w:t xml:space="preserve">五、中标人和采购人责任义务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（一）鉴于项目地点为国家审判机关，综合服务中的安全使用直接影响到审判机关的正常运作，因此本项目的日常管理与其他商业写字楼、住宅小区有较大的区别，在界定责任义务时按有利于采购人的原则执行。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（二）在管理服务期内由于中标人责任造成群众、大楼工作人员人身伤亡和财产损失的，由中标人承担相应责任并赔偿。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（三）中标人工作人员在办公楼范围内发生违法、违规行为的，所造成一切后果及损失，由行为人承担全部法律责任并负责赔偿。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（四）中标人负责承担和支付所属员工的工资福利。依照劳动法规承担和交缴所属员工的社会保险费（企业应缴部分）、节假日补助及规定的税费等费用。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（五）采购人移交给中标人的综合服务管理档案，合同期满须完整移交给采购人。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（六）合同期满之日如果未能续约，要按时撤离，并做好管理服务事项交接和相关资料移交工作。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（七）中标人在采购人处应设置综合管理服务处管理整个项目服务工作,中标人应服从采购人项目主管部门的管理及安保等相关业务责任部门的指导，综合管理服务处应做好与其沟通工作,确保服务质量。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（八）中标人应严格按照采购需求和合同要求建立专业稳定的组织架构和完善的管理机制,提高管理效能。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（九）根据采购需求、合同约定及法律规定,中标人应建立健全综合管理服务制度并交由采购人审定后成为双方工作准则。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十）中标人应结合项目实际，制定相应的综合管理服务制度，按采购人需求和合同要求建立应急工作处置制度,对采购人提出的工作需求应有明确处理办法。遇突发紧急事件、举办大型活动或特殊情况时,采购人可直接指挥综合管理服务人员完成服务工作,中标人不得以任何理由阻扰。建立健全各类员工的在岗培训和考评制度,加强对员工的管理、教育和培训,提高员工的职业道德水平、法律素质、专业技能和责任意识</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严格按照各岗位人员业务专业管理法规要求管理和培训员工</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定期对员工进行考核,发现员工严重违反制度或者其他不称职行为,应及时清退处理。根据采购人要求和实际工作需要,依法制定人员招(聘)用制度,建立管理队伍,制订切合采购人实际的综合管理制度、岗位职责、奖惩制度。根据采购人要求和实际工作需要,建立内部管理架构、设置机构,健全运作机制、工作流程、信息反馈渠道、控制方式等</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设立 24 小时服务电话,建立完善的接诉、处理、回访机制</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每周回访一次，听取意见，改正工作。建立综合管理服务档案，根据采购需求，收集各项综合服务工作资料并分类整理、归档管理，实行综合服务工作的规范化管理，实现服务管理程序化，全程记载所有服务工作过程和责任人</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以提供采购人随时监控、抽查、核实服务质量。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（十一）中标人严格遵守《中华人民共和国劳动法》、《</w:t>
      </w:r>
      <w:bookmarkStart w:id="26" w:name="OLE_LINK29"/>
      <w:r>
        <w:rPr>
          <w:rFonts w:hint="eastAsia" w:ascii="宋体" w:hAnsi="宋体" w:eastAsia="宋体" w:cs="宋体"/>
          <w:color w:val="auto"/>
          <w:kern w:val="0"/>
          <w:sz w:val="21"/>
          <w:szCs w:val="21"/>
          <w:highlight w:val="none"/>
          <w:lang w:val="en-US" w:eastAsia="zh-CN" w:bidi="ar"/>
        </w:rPr>
        <w:t>中华人民共和国劳动合同法</w:t>
      </w:r>
      <w:bookmarkEnd w:id="26"/>
      <w:r>
        <w:rPr>
          <w:rFonts w:hint="eastAsia" w:ascii="宋体" w:hAnsi="宋体" w:eastAsia="宋体" w:cs="宋体"/>
          <w:color w:val="auto"/>
          <w:kern w:val="0"/>
          <w:sz w:val="21"/>
          <w:szCs w:val="21"/>
          <w:highlight w:val="none"/>
          <w:lang w:val="en-US" w:eastAsia="zh-CN" w:bidi="ar"/>
        </w:rPr>
        <w:t>》、《</w:t>
      </w:r>
      <w:bookmarkStart w:id="27" w:name="OLE_LINK30"/>
      <w:r>
        <w:rPr>
          <w:rFonts w:hint="eastAsia" w:ascii="宋体" w:hAnsi="宋体" w:eastAsia="宋体" w:cs="宋体"/>
          <w:color w:val="auto"/>
          <w:kern w:val="0"/>
          <w:sz w:val="21"/>
          <w:szCs w:val="21"/>
          <w:highlight w:val="none"/>
          <w:lang w:val="en-US" w:eastAsia="zh-CN" w:bidi="ar"/>
        </w:rPr>
        <w:t>中华人民共和国社会保险法</w:t>
      </w:r>
      <w:bookmarkEnd w:id="27"/>
      <w:r>
        <w:rPr>
          <w:rFonts w:hint="eastAsia" w:ascii="宋体" w:hAnsi="宋体" w:eastAsia="宋体" w:cs="宋体"/>
          <w:color w:val="auto"/>
          <w:kern w:val="0"/>
          <w:sz w:val="21"/>
          <w:szCs w:val="21"/>
          <w:highlight w:val="none"/>
          <w:lang w:val="en-US" w:eastAsia="zh-CN" w:bidi="ar"/>
        </w:rPr>
        <w:t>》的规定，依法与员工签订劳动合同，保障员工在社会保险、劳动用工、劳动保护、工资福利、教育培训等方面的合法权益。中标人应在劳动社保部门和保险机构为员工按不低于当地最低工资标准交纳“五险”。全部员工须符合政府用工标准要求</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按月发放员工工资,不得以任何理由克扣员工工资。中标人应该承担员工解除劳动合同、工伤、社保、劳保福利等法律责任。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（十二）合同期间,中标人加强对员工的管理，其员工在项目范围内发生违法、违规行为或从事高危工种违规操作所造成一切后果,由行为人承担。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（十</w:t>
      </w:r>
      <w:r>
        <w:rPr>
          <w:rFonts w:hint="eastAsia" w:ascii="宋体" w:hAnsi="宋体" w:cs="宋体"/>
          <w:color w:val="auto"/>
          <w:kern w:val="0"/>
          <w:sz w:val="21"/>
          <w:szCs w:val="21"/>
          <w:highlight w:val="none"/>
          <w:lang w:val="en-US" w:eastAsia="zh-CN" w:bidi="ar"/>
        </w:rPr>
        <w:t>三</w:t>
      </w:r>
      <w:r>
        <w:rPr>
          <w:rFonts w:hint="eastAsia" w:ascii="宋体" w:hAnsi="宋体" w:eastAsia="宋体" w:cs="宋体"/>
          <w:color w:val="auto"/>
          <w:kern w:val="0"/>
          <w:sz w:val="21"/>
          <w:szCs w:val="21"/>
          <w:highlight w:val="none"/>
          <w:lang w:val="en-US" w:eastAsia="zh-CN" w:bidi="ar"/>
        </w:rPr>
        <w:t xml:space="preserve">）中标人应保证其派驻人员均为正式招(聘)用员工,不得以任何理由向采购人派驻临时性工作人员(包括实习人员、试用工)。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2" w:firstLineChars="200"/>
        <w:jc w:val="both"/>
        <w:textAlignment w:val="auto"/>
        <w:rPr>
          <w:rFonts w:hint="eastAsia" w:ascii="宋体" w:hAnsi="宋体" w:eastAsia="宋体" w:cs="宋体"/>
          <w:b/>
          <w:bCs/>
          <w:color w:val="auto"/>
          <w:sz w:val="21"/>
          <w:szCs w:val="21"/>
          <w:highlight w:val="none"/>
        </w:rPr>
      </w:pPr>
      <w:bookmarkStart w:id="28" w:name="OLE_LINK22"/>
      <w:r>
        <w:rPr>
          <w:rFonts w:hint="eastAsia" w:ascii="宋体" w:hAnsi="宋体" w:eastAsia="宋体" w:cs="宋体"/>
          <w:b/>
          <w:bCs/>
          <w:color w:val="auto"/>
          <w:kern w:val="0"/>
          <w:sz w:val="21"/>
          <w:szCs w:val="21"/>
          <w:highlight w:val="none"/>
          <w:lang w:val="en-US" w:eastAsia="zh-CN" w:bidi="ar"/>
        </w:rPr>
        <w:t>★</w:t>
      </w:r>
      <w:bookmarkEnd w:id="28"/>
      <w:r>
        <w:rPr>
          <w:rFonts w:hint="eastAsia" w:ascii="宋体" w:hAnsi="宋体" w:eastAsia="宋体" w:cs="宋体"/>
          <w:b/>
          <w:bCs/>
          <w:color w:val="auto"/>
          <w:kern w:val="0"/>
          <w:sz w:val="21"/>
          <w:szCs w:val="21"/>
          <w:highlight w:val="none"/>
          <w:lang w:val="en-US" w:eastAsia="zh-CN" w:bidi="ar"/>
        </w:rPr>
        <w:t>（十</w:t>
      </w:r>
      <w:r>
        <w:rPr>
          <w:rFonts w:hint="eastAsia" w:ascii="宋体" w:hAnsi="宋体" w:cs="宋体"/>
          <w:b/>
          <w:bCs/>
          <w:color w:val="auto"/>
          <w:kern w:val="0"/>
          <w:sz w:val="21"/>
          <w:szCs w:val="21"/>
          <w:highlight w:val="none"/>
          <w:lang w:val="en-US" w:eastAsia="zh-CN" w:bidi="ar"/>
        </w:rPr>
        <w:t>四</w:t>
      </w:r>
      <w:r>
        <w:rPr>
          <w:rFonts w:hint="eastAsia" w:ascii="宋体" w:hAnsi="宋体" w:eastAsia="宋体" w:cs="宋体"/>
          <w:b/>
          <w:bCs/>
          <w:color w:val="auto"/>
          <w:kern w:val="0"/>
          <w:sz w:val="21"/>
          <w:szCs w:val="21"/>
          <w:highlight w:val="none"/>
          <w:lang w:val="en-US" w:eastAsia="zh-CN" w:bidi="ar"/>
        </w:rPr>
        <w:t>）中标人招(聘)用服务人员岗位数不得低于本章“</w:t>
      </w:r>
      <w:bookmarkStart w:id="29" w:name="OLE_LINK20"/>
      <w:r>
        <w:rPr>
          <w:rFonts w:hint="eastAsia" w:ascii="宋体" w:hAnsi="宋体" w:eastAsia="宋体" w:cs="宋体"/>
          <w:b/>
          <w:bCs/>
          <w:color w:val="auto"/>
          <w:kern w:val="0"/>
          <w:sz w:val="21"/>
          <w:szCs w:val="21"/>
          <w:highlight w:val="none"/>
          <w:lang w:val="en-US" w:eastAsia="zh-CN" w:bidi="ar"/>
        </w:rPr>
        <w:t>各服务岗位最低数</w:t>
      </w:r>
      <w:bookmarkEnd w:id="29"/>
      <w:r>
        <w:rPr>
          <w:rFonts w:hint="eastAsia" w:ascii="宋体" w:hAnsi="宋体" w:eastAsia="宋体" w:cs="宋体"/>
          <w:b/>
          <w:bCs/>
          <w:color w:val="auto"/>
          <w:kern w:val="0"/>
          <w:sz w:val="21"/>
          <w:szCs w:val="21"/>
          <w:highlight w:val="none"/>
          <w:lang w:val="en-US" w:eastAsia="zh-CN" w:bidi="ar"/>
        </w:rPr>
        <w:t>量要求及任职条件需求 ”要求（其中除各人民法庭等外派机构服务部外各岗位最少实到1人），且必须在合同签订后5个工作日内全部到岗，否则采购人有权取消中标人的中标资格，并无条件终止合同，中标人须承担采购人相关的损失。（</w:t>
      </w:r>
      <w:r>
        <w:rPr>
          <w:rFonts w:hint="eastAsia" w:ascii="宋体" w:hAnsi="宋体" w:cs="宋体"/>
          <w:b/>
          <w:bCs/>
          <w:color w:val="auto"/>
          <w:kern w:val="0"/>
          <w:sz w:val="21"/>
          <w:szCs w:val="21"/>
          <w:highlight w:val="none"/>
          <w:lang w:val="en-US" w:eastAsia="zh-CN" w:bidi="ar"/>
        </w:rPr>
        <w:t>投标文件中须附承诺函加盖公章</w:t>
      </w:r>
      <w:r>
        <w:rPr>
          <w:rFonts w:hint="eastAsia" w:ascii="宋体" w:hAnsi="宋体" w:eastAsia="宋体" w:cs="宋体"/>
          <w:b/>
          <w:bCs/>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lang w:val="en-US"/>
        </w:rPr>
      </w:pPr>
      <w:r>
        <w:rPr>
          <w:rFonts w:hint="eastAsia" w:ascii="宋体" w:hAnsi="宋体" w:eastAsia="宋体" w:cs="宋体"/>
          <w:color w:val="auto"/>
          <w:kern w:val="0"/>
          <w:sz w:val="21"/>
          <w:szCs w:val="21"/>
          <w:highlight w:val="none"/>
          <w:lang w:val="en-US" w:eastAsia="zh-CN" w:bidi="ar"/>
        </w:rPr>
        <w:t>（十</w:t>
      </w:r>
      <w:r>
        <w:rPr>
          <w:rFonts w:hint="eastAsia" w:ascii="宋体" w:hAnsi="宋体" w:cs="宋体"/>
          <w:color w:val="auto"/>
          <w:kern w:val="0"/>
          <w:sz w:val="21"/>
          <w:szCs w:val="21"/>
          <w:highlight w:val="none"/>
          <w:lang w:val="en-US" w:eastAsia="zh-CN" w:bidi="ar"/>
        </w:rPr>
        <w:t>五</w:t>
      </w:r>
      <w:r>
        <w:rPr>
          <w:rFonts w:hint="eastAsia" w:ascii="宋体" w:hAnsi="宋体" w:eastAsia="宋体" w:cs="宋体"/>
          <w:color w:val="auto"/>
          <w:kern w:val="0"/>
          <w:sz w:val="21"/>
          <w:szCs w:val="21"/>
          <w:highlight w:val="none"/>
          <w:lang w:val="en-US" w:eastAsia="zh-CN" w:bidi="ar"/>
        </w:rPr>
        <w:t>）采购人有权拒用不符合要求及不称职综合管理服务人员。根据服务人员的工作表现和考核结果，采购人有权要求中标人更换人员。</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（十</w:t>
      </w:r>
      <w:r>
        <w:rPr>
          <w:rFonts w:hint="eastAsia" w:ascii="宋体" w:hAnsi="宋体" w:cs="宋体"/>
          <w:color w:val="auto"/>
          <w:kern w:val="0"/>
          <w:sz w:val="21"/>
          <w:szCs w:val="21"/>
          <w:highlight w:val="none"/>
          <w:lang w:val="en-US" w:eastAsia="zh-CN" w:bidi="ar"/>
        </w:rPr>
        <w:t>六</w:t>
      </w:r>
      <w:r>
        <w:rPr>
          <w:rFonts w:hint="eastAsia" w:ascii="宋体" w:hAnsi="宋体" w:eastAsia="宋体" w:cs="宋体"/>
          <w:color w:val="auto"/>
          <w:kern w:val="0"/>
          <w:sz w:val="21"/>
          <w:szCs w:val="21"/>
          <w:highlight w:val="none"/>
          <w:lang w:val="en-US" w:eastAsia="zh-CN" w:bidi="ar"/>
        </w:rPr>
        <w:t xml:space="preserve">）中标人应严格执行有关的管理制度,加强对综合管理服务工作人员的管理。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1.中标人应按照经采购人审定的综合管理服务的有关制度进行规范化管理,做好各项目点的防盗、消防安全工作,确保无治安、消防隐患。严格执行综合服务有关设备运行的制度, 根据采购人的要求,努力做好监督和管理工作,确保各个设备供应商、维修商严格按照保修合 同履行维修义务,杜绝因中标人管理不当造成设备瘫痪事件。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2.中标人的员工在采购人处工作时应穿着统一的制服和配带员工证。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3.中标人保证其员工在派往采购人处工作时,已知悉采购人与中标人双方有关的制度、规定和行为守则</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中标人应严格履行管理义务,确保其员工在采购人处工作期间能遵守采购人的规章制度和有关服务承诺。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4.中标人员工在采购人处工作期间违反采购人的有关规定及采购人与中标人双方订立的合同时,采购人有权责令中标人对其进行批评教育,中标人已对其采取了批评教育措施后,仍屡教不改者或给采购人造成负面影响的,中标人应于接到采购人更换人员的要求后5日内退换相关人员。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5.中标人不得擅自使用、占用采购人所有的物件、设备,不得擅自改变其用途和功能</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未经采购人同意,中标人的工作人员不得使用采购人的电脑、电话及其它审判、办公、生活等设备和用品,不得查阅、挪用采购人的电脑数据和文书资料。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6.中标人的在岗上班(值班)工作人员(含正常上班人员、夜晚值班人员和因公加班的工作人员)不得从事其他与服务工作无关的事项。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7.非工作原因,中标人的非上班人员以及其他无关人员,下班后须离开项目地点,不得在采购人本项目区域内逗留。</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（十</w:t>
      </w:r>
      <w:r>
        <w:rPr>
          <w:rFonts w:hint="eastAsia" w:ascii="宋体" w:hAnsi="宋体" w:cs="宋体"/>
          <w:color w:val="auto"/>
          <w:kern w:val="0"/>
          <w:sz w:val="21"/>
          <w:szCs w:val="21"/>
          <w:highlight w:val="none"/>
          <w:lang w:val="en-US" w:eastAsia="zh-CN" w:bidi="ar"/>
        </w:rPr>
        <w:t>七</w:t>
      </w:r>
      <w:r>
        <w:rPr>
          <w:rFonts w:hint="eastAsia" w:ascii="宋体" w:hAnsi="宋体" w:eastAsia="宋体" w:cs="宋体"/>
          <w:color w:val="auto"/>
          <w:kern w:val="0"/>
          <w:sz w:val="21"/>
          <w:szCs w:val="21"/>
          <w:highlight w:val="none"/>
          <w:lang w:val="en-US" w:eastAsia="zh-CN" w:bidi="ar"/>
        </w:rPr>
        <w:t xml:space="preserve">）非因工作需要或采购人的许可,中标人员工不得擅自进入与其工作无关的区域。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（十</w:t>
      </w:r>
      <w:r>
        <w:rPr>
          <w:rFonts w:hint="eastAsia" w:ascii="宋体" w:hAnsi="宋体" w:cs="宋体"/>
          <w:color w:val="auto"/>
          <w:kern w:val="0"/>
          <w:sz w:val="21"/>
          <w:szCs w:val="21"/>
          <w:highlight w:val="none"/>
          <w:lang w:val="en-US" w:eastAsia="zh-CN" w:bidi="ar"/>
        </w:rPr>
        <w:t>八</w:t>
      </w:r>
      <w:r>
        <w:rPr>
          <w:rFonts w:hint="eastAsia" w:ascii="宋体" w:hAnsi="宋体" w:eastAsia="宋体" w:cs="宋体"/>
          <w:color w:val="auto"/>
          <w:kern w:val="0"/>
          <w:sz w:val="21"/>
          <w:szCs w:val="21"/>
          <w:highlight w:val="none"/>
          <w:lang w:val="en-US" w:eastAsia="zh-CN" w:bidi="ar"/>
        </w:rPr>
        <w:t>）中标人应按采购需求和合同要求为员工配备劳保用品、工作自用装备和工具。包括：站岗平台、电子巡更系统、巡更棒、防恐装备、对讲机、清洁作业车、绿化用车（小型货车）、镇街巡查用车（小客车）、草坪机、绿化油据/高枝剪、弥雾机（灭蚊/灭虫使用）、吹叶机、灭蚊喷药机、消毒喷雾机、石材抛光机（地面打蜡）、高压清洗机、吸尘器、抽水泵、办公电脑等。</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（十</w:t>
      </w:r>
      <w:r>
        <w:rPr>
          <w:rFonts w:hint="eastAsia" w:ascii="宋体" w:hAnsi="宋体" w:cs="宋体"/>
          <w:color w:val="auto"/>
          <w:kern w:val="0"/>
          <w:sz w:val="21"/>
          <w:szCs w:val="21"/>
          <w:highlight w:val="none"/>
          <w:lang w:val="en-US" w:eastAsia="zh-CN" w:bidi="ar"/>
        </w:rPr>
        <w:t>九</w:t>
      </w:r>
      <w:r>
        <w:rPr>
          <w:rFonts w:hint="eastAsia" w:ascii="宋体" w:hAnsi="宋体" w:eastAsia="宋体" w:cs="宋体"/>
          <w:color w:val="auto"/>
          <w:kern w:val="0"/>
          <w:sz w:val="21"/>
          <w:szCs w:val="21"/>
          <w:highlight w:val="none"/>
          <w:lang w:val="en-US" w:eastAsia="zh-CN" w:bidi="ar"/>
        </w:rPr>
        <w:t xml:space="preserve">）中标人应每半年举行不少于 1 次的应急处突和消防演练活动,提高各岗位综合管理服务人员的应急处理能力。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（二十）中标人应根据采购需求,组织保安、工程设备管理员、服务员完成会场布置、 清理杂物、物品搬卸等物质搬运工作</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协助采购人对项目范围内废旧物品处置。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（二十</w:t>
      </w:r>
      <w:r>
        <w:rPr>
          <w:rFonts w:hint="eastAsia" w:ascii="宋体" w:hAnsi="宋体" w:cs="宋体"/>
          <w:color w:val="auto"/>
          <w:kern w:val="0"/>
          <w:sz w:val="21"/>
          <w:szCs w:val="21"/>
          <w:highlight w:val="none"/>
          <w:lang w:val="en-US" w:eastAsia="zh-CN" w:bidi="ar"/>
        </w:rPr>
        <w:t>一</w:t>
      </w:r>
      <w:r>
        <w:rPr>
          <w:rFonts w:hint="eastAsia" w:ascii="宋体" w:hAnsi="宋体" w:eastAsia="宋体" w:cs="宋体"/>
          <w:color w:val="auto"/>
          <w:kern w:val="0"/>
          <w:sz w:val="21"/>
          <w:szCs w:val="21"/>
          <w:highlight w:val="none"/>
          <w:lang w:val="en-US" w:eastAsia="zh-CN" w:bidi="ar"/>
        </w:rPr>
        <w:t xml:space="preserve">）中标人应监督所属服务人员遵守各项保密制度,因工作中获知秘密信息的,应予保密，中标人派驻本项目的服务人员均需签订《保密协议》。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（二十</w:t>
      </w:r>
      <w:r>
        <w:rPr>
          <w:rFonts w:hint="eastAsia" w:ascii="宋体" w:hAnsi="宋体" w:cs="宋体"/>
          <w:color w:val="auto"/>
          <w:kern w:val="0"/>
          <w:sz w:val="21"/>
          <w:szCs w:val="21"/>
          <w:highlight w:val="none"/>
          <w:lang w:val="en-US" w:eastAsia="zh-CN" w:bidi="ar"/>
        </w:rPr>
        <w:t>二</w:t>
      </w:r>
      <w:r>
        <w:rPr>
          <w:rFonts w:hint="eastAsia" w:ascii="宋体" w:hAnsi="宋体" w:eastAsia="宋体" w:cs="宋体"/>
          <w:color w:val="auto"/>
          <w:kern w:val="0"/>
          <w:sz w:val="21"/>
          <w:szCs w:val="21"/>
          <w:highlight w:val="none"/>
          <w:lang w:val="en-US" w:eastAsia="zh-CN" w:bidi="ar"/>
        </w:rPr>
        <w:t>）中标人在服务工作中如遇到不能自行解决的问题时,应及时向采购人报告</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在合同期间,有责任向采购人提供合理化建议,以提高管理效率和管理质量。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（二十</w:t>
      </w:r>
      <w:r>
        <w:rPr>
          <w:rFonts w:hint="eastAsia" w:ascii="宋体" w:hAnsi="宋体" w:cs="宋体"/>
          <w:color w:val="auto"/>
          <w:kern w:val="0"/>
          <w:sz w:val="21"/>
          <w:szCs w:val="21"/>
          <w:highlight w:val="none"/>
          <w:lang w:val="en-US" w:eastAsia="zh-CN" w:bidi="ar"/>
        </w:rPr>
        <w:t>三</w:t>
      </w:r>
      <w:r>
        <w:rPr>
          <w:rFonts w:hint="eastAsia" w:ascii="宋体" w:hAnsi="宋体" w:eastAsia="宋体" w:cs="宋体"/>
          <w:color w:val="auto"/>
          <w:kern w:val="0"/>
          <w:sz w:val="21"/>
          <w:szCs w:val="21"/>
          <w:highlight w:val="none"/>
          <w:lang w:val="en-US" w:eastAsia="zh-CN" w:bidi="ar"/>
        </w:rPr>
        <w:t xml:space="preserve">）中标人员工工作质量未能达到合同要求,应主动返工。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（二十</w:t>
      </w:r>
      <w:r>
        <w:rPr>
          <w:rFonts w:hint="eastAsia" w:ascii="宋体" w:hAnsi="宋体" w:cs="宋体"/>
          <w:color w:val="auto"/>
          <w:kern w:val="0"/>
          <w:sz w:val="21"/>
          <w:szCs w:val="21"/>
          <w:highlight w:val="none"/>
          <w:lang w:val="en-US" w:eastAsia="zh-CN" w:bidi="ar"/>
        </w:rPr>
        <w:t>四</w:t>
      </w:r>
      <w:r>
        <w:rPr>
          <w:rFonts w:hint="eastAsia" w:ascii="宋体" w:hAnsi="宋体" w:eastAsia="宋体" w:cs="宋体"/>
          <w:color w:val="auto"/>
          <w:kern w:val="0"/>
          <w:sz w:val="21"/>
          <w:szCs w:val="21"/>
          <w:highlight w:val="none"/>
          <w:lang w:val="en-US" w:eastAsia="zh-CN" w:bidi="ar"/>
        </w:rPr>
        <w:t>）采购人向中标人无偿提供办公用房,由此所产生的水、电等费用由采购人承担</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与本项目相关的工程图纸、竣工验收资料、设备说明书、使用手册等由采购人管理,中标人可借阅。采购人免费提供给中标人使用的服务工作专用房间,中标人仅能用作针对采购人服务工作之需,不得用作其他用途。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（二十</w:t>
      </w:r>
      <w:r>
        <w:rPr>
          <w:rFonts w:hint="eastAsia" w:ascii="宋体" w:hAnsi="宋体" w:cs="宋体"/>
          <w:color w:val="auto"/>
          <w:kern w:val="0"/>
          <w:sz w:val="21"/>
          <w:szCs w:val="21"/>
          <w:highlight w:val="none"/>
          <w:lang w:val="en-US" w:eastAsia="zh-CN" w:bidi="ar"/>
        </w:rPr>
        <w:t>五</w:t>
      </w:r>
      <w:r>
        <w:rPr>
          <w:rFonts w:hint="eastAsia" w:ascii="宋体" w:hAnsi="宋体" w:eastAsia="宋体" w:cs="宋体"/>
          <w:color w:val="auto"/>
          <w:kern w:val="0"/>
          <w:sz w:val="21"/>
          <w:szCs w:val="21"/>
          <w:highlight w:val="none"/>
          <w:lang w:val="en-US" w:eastAsia="zh-CN" w:bidi="ar"/>
        </w:rPr>
        <w:t xml:space="preserve">）中标人应完成清洗、打磨地板等服务工作时,自备地板打磨机等专业设备。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（二十</w:t>
      </w:r>
      <w:r>
        <w:rPr>
          <w:rFonts w:hint="eastAsia" w:ascii="宋体" w:hAnsi="宋体" w:cs="宋体"/>
          <w:color w:val="auto"/>
          <w:kern w:val="0"/>
          <w:sz w:val="21"/>
          <w:szCs w:val="21"/>
          <w:highlight w:val="none"/>
          <w:lang w:val="en-US" w:eastAsia="zh-CN" w:bidi="ar"/>
        </w:rPr>
        <w:t>六</w:t>
      </w:r>
      <w:r>
        <w:rPr>
          <w:rFonts w:hint="eastAsia" w:ascii="宋体" w:hAnsi="宋体" w:eastAsia="宋体" w:cs="宋体"/>
          <w:color w:val="auto"/>
          <w:kern w:val="0"/>
          <w:sz w:val="21"/>
          <w:szCs w:val="21"/>
          <w:highlight w:val="none"/>
          <w:lang w:val="en-US" w:eastAsia="zh-CN" w:bidi="ar"/>
        </w:rPr>
        <w:t>）中标人应及时回应采购人的投诉或建议,积极解决问题</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按实际情况处理采购人与中标人双方的争议,不得无中生有、恶意中伤,更不得恶意违约损害采购人的利益。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（二十</w:t>
      </w:r>
      <w:r>
        <w:rPr>
          <w:rFonts w:hint="eastAsia" w:ascii="宋体" w:hAnsi="宋体" w:cs="宋体"/>
          <w:color w:val="auto"/>
          <w:kern w:val="0"/>
          <w:sz w:val="21"/>
          <w:szCs w:val="21"/>
          <w:highlight w:val="none"/>
          <w:lang w:val="en-US" w:eastAsia="zh-CN" w:bidi="ar"/>
        </w:rPr>
        <w:t>七</w:t>
      </w:r>
      <w:r>
        <w:rPr>
          <w:rFonts w:hint="eastAsia" w:ascii="宋体" w:hAnsi="宋体" w:eastAsia="宋体" w:cs="宋体"/>
          <w:color w:val="auto"/>
          <w:kern w:val="0"/>
          <w:sz w:val="21"/>
          <w:szCs w:val="21"/>
          <w:highlight w:val="none"/>
          <w:lang w:val="en-US" w:eastAsia="zh-CN" w:bidi="ar"/>
        </w:rPr>
        <w:t xml:space="preserve">） 因其员工不履行合同义务或行为有重大瑕疵造成不良后果的,中标人须在接到采购人书面通知后5天内更换人员。其员工行为违反合同约定,损害采购人利益的,中标人应立刻调离违规员工,替换新员工在10日内到岗。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kern w:val="0"/>
          <w:sz w:val="21"/>
          <w:szCs w:val="21"/>
          <w:highlight w:val="none"/>
          <w:lang w:val="en-US" w:eastAsia="zh-CN" w:bidi="ar"/>
        </w:rPr>
        <w:t>（二十</w:t>
      </w:r>
      <w:r>
        <w:rPr>
          <w:rFonts w:hint="eastAsia" w:ascii="宋体" w:hAnsi="宋体" w:cs="宋体"/>
          <w:color w:val="auto"/>
          <w:kern w:val="0"/>
          <w:sz w:val="21"/>
          <w:szCs w:val="21"/>
          <w:highlight w:val="none"/>
          <w:lang w:val="en-US" w:eastAsia="zh-CN" w:bidi="ar"/>
        </w:rPr>
        <w:t>八</w:t>
      </w:r>
      <w:r>
        <w:rPr>
          <w:rFonts w:hint="eastAsia" w:ascii="宋体" w:hAnsi="宋体" w:eastAsia="宋体" w:cs="宋体"/>
          <w:color w:val="auto"/>
          <w:kern w:val="0"/>
          <w:sz w:val="21"/>
          <w:szCs w:val="21"/>
          <w:highlight w:val="none"/>
          <w:lang w:val="en-US" w:eastAsia="zh-CN" w:bidi="ar"/>
        </w:rPr>
        <w:t>）采购人通过综合管理服务考评制度对服务工作进行考核、监督。除按回访制度监督服务工作外,采购人依据采购需求对中标人服务工作进行即时考评、月考评、季度考评以及年度综合考评,</w:t>
      </w:r>
      <w:r>
        <w:rPr>
          <w:rFonts w:hint="eastAsia" w:ascii="宋体" w:hAnsi="宋体" w:eastAsia="宋体" w:cs="宋体"/>
          <w:b/>
          <w:bCs/>
          <w:color w:val="auto"/>
          <w:kern w:val="0"/>
          <w:sz w:val="21"/>
          <w:szCs w:val="21"/>
          <w:highlight w:val="none"/>
          <w:lang w:val="en-US" w:eastAsia="zh-CN" w:bidi="ar"/>
        </w:rPr>
        <w:t xml:space="preserve">如年度综合考评不达标的、因中标人原因导致严重后果或不良影响的,采购人有权单方面终止合同: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1</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即时考评</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对中标人的综合服务情况随时随地进行检查,对于检查中发现的问题,采购人提出口头警告,中标人应立即整改。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月考评</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对即时考评情况进行月度累加,并视中标人整改情况评定月度管理服务是否达标。</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以下三种情况单独或同时出现,月末采购人发出书面限期整改通知,整改限期为5日,中标人未按时整改或整改未达到预定效果的,视为当月综合服务考评不达标</w:t>
      </w:r>
      <w:r>
        <w:rPr>
          <w:rFonts w:hint="eastAsia" w:ascii="宋体" w:hAnsi="宋体" w:cs="宋体"/>
          <w:color w:val="auto"/>
          <w:kern w:val="0"/>
          <w:sz w:val="21"/>
          <w:szCs w:val="21"/>
          <w:highlight w:val="non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1）同一服务工作问题一个月累计出现三次。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2）一个月内发生三次未造成恶劣影响的违约行为。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3）因服务工作问题被采购人口头警告累计达到五次以上。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季度考评</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对月度考评情况进行季度累加,或每季组织机关干部职工对中标人服务管理情况进行满意度测评(</w:t>
      </w:r>
      <w:bookmarkStart w:id="30" w:name="OLE_LINK25"/>
      <w:r>
        <w:rPr>
          <w:rFonts w:hint="eastAsia" w:ascii="宋体" w:hAnsi="宋体" w:eastAsia="宋体" w:cs="宋体"/>
          <w:color w:val="auto"/>
          <w:kern w:val="0"/>
          <w:sz w:val="21"/>
          <w:szCs w:val="21"/>
          <w:highlight w:val="none"/>
          <w:lang w:val="en-US" w:eastAsia="zh-CN" w:bidi="ar"/>
        </w:rPr>
        <w:t>满意度测评表</w:t>
      </w:r>
      <w:bookmarkEnd w:id="30"/>
      <w:r>
        <w:rPr>
          <w:rFonts w:hint="eastAsia" w:ascii="宋体" w:hAnsi="宋体" w:eastAsia="宋体" w:cs="宋体"/>
          <w:color w:val="auto"/>
          <w:kern w:val="0"/>
          <w:sz w:val="21"/>
          <w:szCs w:val="21"/>
          <w:highlight w:val="none"/>
          <w:lang w:val="en-US" w:eastAsia="zh-CN" w:bidi="ar"/>
        </w:rPr>
        <w:t>附后，采购人有权对满意度测评表根据实际工作要求进行调整，中标人须无条件配合),并视中标人整改情况评定季度综合管理服务是否达标。</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以下情况单独或同时出现,季末采购人发出书面限期整改通知,整改限期为5日,中标人未按时整改或整改未达到预定效果的,视为当季综合管理服务考评不达</w:t>
      </w:r>
      <w:r>
        <w:rPr>
          <w:rFonts w:hint="eastAsia" w:ascii="宋体" w:hAnsi="宋体" w:cs="宋体"/>
          <w:color w:val="auto"/>
          <w:kern w:val="0"/>
          <w:sz w:val="21"/>
          <w:szCs w:val="21"/>
          <w:highlight w:val="none"/>
          <w:lang w:val="en-US" w:eastAsia="zh-CN" w:bidi="ar"/>
        </w:rPr>
        <w:t>标：</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1）中标人在一个季度内两个月综合管理服务考评不达标的。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2）中标人在季度满意度测评中,综合服务工作满意率低于75%。 </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color w:val="auto"/>
          <w:kern w:val="0"/>
          <w:szCs w:val="21"/>
          <w:highlight w:val="none"/>
          <w:lang w:val="en-US" w:eastAsia="zh-CN" w:bidi="ar"/>
        </w:rPr>
      </w:pPr>
      <w:r>
        <w:rPr>
          <w:rFonts w:hint="eastAsia" w:ascii="宋体" w:hAnsi="宋体" w:cs="宋体"/>
          <w:color w:val="auto"/>
          <w:kern w:val="0"/>
          <w:szCs w:val="21"/>
          <w:highlight w:val="none"/>
          <w:lang w:val="en-US" w:eastAsia="zh-CN" w:bidi="ar"/>
        </w:rPr>
        <w:t>（</w:t>
      </w:r>
      <w:r>
        <w:rPr>
          <w:rFonts w:hint="eastAsia" w:ascii="宋体" w:hAnsi="宋体" w:eastAsia="宋体" w:cs="宋体"/>
          <w:color w:val="auto"/>
          <w:kern w:val="0"/>
          <w:szCs w:val="21"/>
          <w:highlight w:val="none"/>
          <w:lang w:val="en-US" w:eastAsia="zh-CN" w:bidi="ar"/>
        </w:rPr>
        <w:t>3）同一服务工作问题或同类问题屡</w:t>
      </w:r>
      <w:r>
        <w:rPr>
          <w:rFonts w:hint="eastAsia" w:ascii="宋体" w:hAnsi="宋体" w:cs="宋体"/>
          <w:color w:val="auto"/>
          <w:kern w:val="0"/>
          <w:szCs w:val="21"/>
          <w:highlight w:val="none"/>
          <w:lang w:val="en-US" w:eastAsia="zh-CN" w:bidi="ar"/>
        </w:rPr>
        <w:t>犯</w:t>
      </w:r>
      <w:r>
        <w:rPr>
          <w:rFonts w:hint="eastAsia" w:ascii="宋体" w:hAnsi="宋体" w:eastAsia="宋体" w:cs="宋体"/>
          <w:color w:val="auto"/>
          <w:kern w:val="0"/>
          <w:szCs w:val="21"/>
          <w:highlight w:val="none"/>
          <w:lang w:val="en-US" w:eastAsia="zh-CN" w:bidi="ar"/>
        </w:rPr>
        <w:t>不改。</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4</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年度综合考评</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综合月考评、季度考评情况,并视中标人整改情况评定年度综合管理服务是否达标；或组织机关干部职工对中标人年度服务管理情况进行满意度测评。</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以下情况单独或同时出现,视为当年综合管理服务考评不达标</w:t>
      </w:r>
      <w:r>
        <w:rPr>
          <w:rFonts w:hint="eastAsia" w:ascii="宋体" w:hAnsi="宋体" w:cs="宋体"/>
          <w:color w:val="auto"/>
          <w:kern w:val="0"/>
          <w:sz w:val="21"/>
          <w:szCs w:val="21"/>
          <w:highlight w:val="non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 xml:space="preserve">1）年度内两个季度综合管理服务考评不达标。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2）年度内采购人就综合服务工作影响较大的同一个问题向中标人发出书面限期整改通知4 次以上(每次整改限期为</w:t>
      </w:r>
      <w:r>
        <w:rPr>
          <w:rFonts w:hint="eastAsia" w:ascii="宋体" w:hAnsi="宋体" w:cs="宋体"/>
          <w:color w:val="auto"/>
          <w:kern w:val="0"/>
          <w:sz w:val="21"/>
          <w:szCs w:val="21"/>
          <w:highlight w:val="none"/>
          <w:lang w:val="en-US" w:eastAsia="zh-CN" w:bidi="ar"/>
        </w:rPr>
        <w:t>5</w:t>
      </w:r>
      <w:r>
        <w:rPr>
          <w:rFonts w:hint="eastAsia" w:ascii="宋体" w:hAnsi="宋体" w:eastAsia="宋体" w:cs="宋体"/>
          <w:color w:val="auto"/>
          <w:kern w:val="0"/>
          <w:sz w:val="21"/>
          <w:szCs w:val="21"/>
          <w:highlight w:val="none"/>
          <w:lang w:val="en-US" w:eastAsia="zh-CN" w:bidi="ar"/>
        </w:rPr>
        <w:t xml:space="preserve">日),中标人均未按时整改或整改未达到预定效果的。 </w:t>
      </w:r>
    </w:p>
    <w:p>
      <w:pPr>
        <w:pStyle w:val="9"/>
        <w:keepNext w:val="0"/>
        <w:keepLines w:val="0"/>
        <w:pageBreakBefore w:val="0"/>
        <w:widowControl w:val="0"/>
        <w:kinsoku/>
        <w:wordWrap/>
        <w:overflowPunct/>
        <w:topLinePunct w:val="0"/>
        <w:autoSpaceDE/>
        <w:autoSpaceDN/>
        <w:bidi w:val="0"/>
        <w:adjustRightInd/>
        <w:snapToGrid/>
        <w:spacing w:after="0" w:afterLines="0" w:line="400" w:lineRule="exact"/>
        <w:ind w:firstLine="420" w:firstLineChars="200"/>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3）因安检等工作不到位等原因造成重大影响、或其他不良后果的。</w:t>
      </w:r>
    </w:p>
    <w:p>
      <w:pPr>
        <w:pStyle w:val="9"/>
        <w:keepNext w:val="0"/>
        <w:keepLines w:val="0"/>
        <w:pageBreakBefore w:val="0"/>
        <w:widowControl w:val="0"/>
        <w:kinsoku/>
        <w:wordWrap/>
        <w:overflowPunct/>
        <w:topLinePunct w:val="0"/>
        <w:autoSpaceDE/>
        <w:autoSpaceDN/>
        <w:bidi w:val="0"/>
        <w:adjustRightInd/>
        <w:snapToGrid/>
        <w:spacing w:after="0" w:afterLines="0" w:line="400" w:lineRule="exact"/>
        <w:ind w:firstLine="420" w:firstLineChars="200"/>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5</w:t>
      </w: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以下情况，采购人有权单方面解除合同</w:t>
      </w:r>
      <w:r>
        <w:rPr>
          <w:rFonts w:hint="eastAsia" w:ascii="宋体" w:hAnsi="宋体" w:cs="宋体"/>
          <w:color w:val="auto"/>
          <w:kern w:val="0"/>
          <w:sz w:val="21"/>
          <w:szCs w:val="21"/>
          <w:highlight w:val="none"/>
          <w:lang w:val="en-US" w:eastAsia="zh-CN" w:bidi="ar"/>
        </w:rPr>
        <w:t>：</w:t>
      </w:r>
    </w:p>
    <w:p>
      <w:pPr>
        <w:pStyle w:val="9"/>
        <w:keepNext w:val="0"/>
        <w:keepLines w:val="0"/>
        <w:pageBreakBefore w:val="0"/>
        <w:widowControl w:val="0"/>
        <w:kinsoku/>
        <w:wordWrap/>
        <w:overflowPunct/>
        <w:topLinePunct w:val="0"/>
        <w:autoSpaceDE/>
        <w:autoSpaceDN/>
        <w:bidi w:val="0"/>
        <w:adjustRightInd/>
        <w:snapToGrid/>
        <w:spacing w:after="0" w:afterLines="0" w:line="400" w:lineRule="exact"/>
        <w:ind w:firstLine="420" w:firstLineChars="200"/>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1）月考评不达标年度累计4次及以上的</w:t>
      </w:r>
      <w:r>
        <w:rPr>
          <w:rFonts w:hint="eastAsia" w:ascii="宋体" w:hAnsi="宋体" w:cs="宋体"/>
          <w:color w:val="auto"/>
          <w:kern w:val="0"/>
          <w:sz w:val="21"/>
          <w:szCs w:val="21"/>
          <w:highlight w:val="none"/>
          <w:lang w:val="en-US" w:eastAsia="zh-CN" w:bidi="ar"/>
        </w:rPr>
        <w:t>。</w:t>
      </w:r>
    </w:p>
    <w:p>
      <w:pPr>
        <w:pStyle w:val="9"/>
        <w:keepNext w:val="0"/>
        <w:keepLines w:val="0"/>
        <w:pageBreakBefore w:val="0"/>
        <w:widowControl w:val="0"/>
        <w:kinsoku/>
        <w:wordWrap/>
        <w:overflowPunct/>
        <w:topLinePunct w:val="0"/>
        <w:autoSpaceDE/>
        <w:autoSpaceDN/>
        <w:bidi w:val="0"/>
        <w:adjustRightInd/>
        <w:snapToGrid/>
        <w:spacing w:after="0" w:afterLines="0" w:line="400" w:lineRule="exact"/>
        <w:ind w:firstLine="420" w:firstLineChars="200"/>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2）季度考评不达标年度累计2次及以上的</w:t>
      </w:r>
      <w:r>
        <w:rPr>
          <w:rFonts w:hint="eastAsia" w:ascii="宋体" w:hAnsi="宋体" w:cs="宋体"/>
          <w:color w:val="auto"/>
          <w:kern w:val="0"/>
          <w:sz w:val="21"/>
          <w:szCs w:val="21"/>
          <w:highlight w:val="none"/>
          <w:lang w:val="en-US" w:eastAsia="zh-CN" w:bidi="ar"/>
        </w:rPr>
        <w:t>。</w:t>
      </w:r>
    </w:p>
    <w:p>
      <w:pPr>
        <w:pStyle w:val="9"/>
        <w:keepNext w:val="0"/>
        <w:keepLines w:val="0"/>
        <w:pageBreakBefore w:val="0"/>
        <w:widowControl w:val="0"/>
        <w:kinsoku/>
        <w:wordWrap/>
        <w:overflowPunct/>
        <w:topLinePunct w:val="0"/>
        <w:autoSpaceDE/>
        <w:autoSpaceDN/>
        <w:bidi w:val="0"/>
        <w:adjustRightInd/>
        <w:snapToGrid/>
        <w:spacing w:after="0" w:afterLines="0" w:line="400" w:lineRule="exact"/>
        <w:ind w:firstLine="420" w:firstLineChars="200"/>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3）年度考评不达标的</w:t>
      </w:r>
      <w:r>
        <w:rPr>
          <w:rFonts w:hint="eastAsia" w:ascii="宋体" w:hAnsi="宋体" w:cs="宋体"/>
          <w:color w:val="auto"/>
          <w:kern w:val="0"/>
          <w:sz w:val="21"/>
          <w:szCs w:val="21"/>
          <w:highlight w:val="none"/>
          <w:lang w:val="en-US" w:eastAsia="zh-CN" w:bidi="ar"/>
        </w:rPr>
        <w:t>。</w:t>
      </w:r>
    </w:p>
    <w:p>
      <w:pPr>
        <w:pStyle w:val="9"/>
        <w:keepNext w:val="0"/>
        <w:keepLines w:val="0"/>
        <w:pageBreakBefore w:val="0"/>
        <w:widowControl w:val="0"/>
        <w:kinsoku/>
        <w:wordWrap/>
        <w:overflowPunct/>
        <w:topLinePunct w:val="0"/>
        <w:autoSpaceDE/>
        <w:autoSpaceDN/>
        <w:bidi w:val="0"/>
        <w:adjustRightInd/>
        <w:snapToGrid/>
        <w:spacing w:after="0" w:afterLines="0" w:line="400" w:lineRule="exact"/>
        <w:ind w:firstLine="420" w:firstLineChars="200"/>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4）因工作不力或人为原因，影响采购人工作，造成重大后果或不良后果的。</w:t>
      </w:r>
    </w:p>
    <w:tbl>
      <w:tblPr>
        <w:tblStyle w:val="24"/>
        <w:tblW w:w="92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7"/>
        <w:gridCol w:w="732"/>
        <w:gridCol w:w="3238"/>
        <w:gridCol w:w="1640"/>
        <w:gridCol w:w="1786"/>
        <w:gridCol w:w="661"/>
        <w:gridCol w:w="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9249"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bidi="ar"/>
              </w:rPr>
              <w:t>宁海法院安保等综合服务满意度测评表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序号</w:t>
            </w:r>
          </w:p>
        </w:tc>
        <w:tc>
          <w:tcPr>
            <w:tcW w:w="73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考核项目</w:t>
            </w: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考核内容</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评分标准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标准分值</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考核分值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一</w:t>
            </w:r>
          </w:p>
        </w:tc>
        <w:tc>
          <w:tcPr>
            <w:tcW w:w="732"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综合管理</w:t>
            </w:r>
          </w:p>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36分</w:t>
            </w: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1、建立健全完整的各项管理制度和档案台帐、各岗位工作标准，制定具体的工作落实措施和考核办法。</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未建立管理制度和工作标准扣1分；未建立工作措施和考核办法扣1分。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2、有完善的月度工作总结。</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无工作总结不得分。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3、员工统一着装，工作规范，作风严谨，仪容仪表符合服务要求，服务用语及服务动作规范。</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未统一着装或未佩带</w:t>
            </w:r>
            <w:r>
              <w:rPr>
                <w:rFonts w:hint="eastAsia" w:ascii="宋体" w:hAnsi="宋体" w:eastAsia="宋体" w:cs="宋体"/>
                <w:color w:val="auto"/>
                <w:kern w:val="0"/>
                <w:sz w:val="21"/>
                <w:szCs w:val="21"/>
                <w:highlight w:val="none"/>
                <w:lang w:val="en-US" w:eastAsia="zh-CN"/>
              </w:rPr>
              <w:t>服务</w:t>
            </w:r>
            <w:r>
              <w:rPr>
                <w:rFonts w:hint="eastAsia" w:ascii="宋体" w:hAnsi="宋体" w:eastAsia="宋体" w:cs="宋体"/>
                <w:color w:val="auto"/>
                <w:kern w:val="0"/>
                <w:sz w:val="21"/>
                <w:szCs w:val="21"/>
                <w:highlight w:val="none"/>
              </w:rPr>
              <w:t>标志发现一次扣1分，工作中使用不文明语言，与</w:t>
            </w:r>
            <w:r>
              <w:rPr>
                <w:rFonts w:hint="eastAsia" w:ascii="宋体" w:hAnsi="宋体" w:eastAsia="宋体" w:cs="宋体"/>
                <w:color w:val="auto"/>
                <w:kern w:val="0"/>
                <w:sz w:val="21"/>
                <w:szCs w:val="21"/>
                <w:highlight w:val="none"/>
                <w:lang w:val="en-US" w:eastAsia="zh-CN"/>
              </w:rPr>
              <w:t>当事人、来客来访人员</w:t>
            </w:r>
            <w:r>
              <w:rPr>
                <w:rFonts w:hint="eastAsia" w:ascii="宋体" w:hAnsi="宋体" w:eastAsia="宋体" w:cs="宋体"/>
                <w:color w:val="auto"/>
                <w:kern w:val="0"/>
                <w:sz w:val="21"/>
                <w:szCs w:val="21"/>
                <w:highlight w:val="none"/>
              </w:rPr>
              <w:t>无理争吵发现一次扣2分，扣完为止。</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r>
              <w:rPr>
                <w:rFonts w:hint="eastAsia" w:ascii="宋体" w:hAnsi="宋体" w:eastAsia="宋体" w:cs="宋体"/>
                <w:color w:val="auto"/>
                <w:kern w:val="0"/>
                <w:sz w:val="21"/>
                <w:szCs w:val="21"/>
                <w:highlight w:val="none"/>
                <w:lang w:val="en-US" w:eastAsia="zh-CN"/>
              </w:rPr>
              <w:t>中标人</w:t>
            </w:r>
            <w:r>
              <w:rPr>
                <w:rFonts w:hint="eastAsia" w:ascii="宋体" w:hAnsi="宋体" w:eastAsia="宋体" w:cs="宋体"/>
                <w:color w:val="auto"/>
                <w:kern w:val="0"/>
                <w:sz w:val="21"/>
                <w:szCs w:val="21"/>
                <w:highlight w:val="none"/>
              </w:rPr>
              <w:t>每周至少一次和</w:t>
            </w:r>
            <w:r>
              <w:rPr>
                <w:rFonts w:hint="eastAsia" w:ascii="宋体" w:hAnsi="宋体" w:cs="宋体"/>
                <w:color w:val="auto"/>
                <w:kern w:val="0"/>
                <w:sz w:val="21"/>
                <w:szCs w:val="21"/>
                <w:highlight w:val="none"/>
                <w:lang w:val="en-US" w:eastAsia="zh-CN"/>
              </w:rPr>
              <w:t>采购人</w:t>
            </w:r>
            <w:r>
              <w:rPr>
                <w:rFonts w:hint="eastAsia" w:ascii="宋体" w:hAnsi="宋体" w:eastAsia="宋体" w:cs="宋体"/>
                <w:color w:val="auto"/>
                <w:kern w:val="0"/>
                <w:sz w:val="21"/>
                <w:szCs w:val="21"/>
                <w:highlight w:val="none"/>
              </w:rPr>
              <w:t xml:space="preserve">进行工作沟通。 </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工作未沟通，扣2分，对</w:t>
            </w:r>
            <w:r>
              <w:rPr>
                <w:rFonts w:hint="eastAsia" w:ascii="宋体" w:hAnsi="宋体" w:cs="宋体"/>
                <w:color w:val="auto"/>
                <w:kern w:val="0"/>
                <w:sz w:val="21"/>
                <w:szCs w:val="21"/>
                <w:highlight w:val="none"/>
                <w:lang w:eastAsia="zh-CN"/>
              </w:rPr>
              <w:t>采购人</w:t>
            </w:r>
            <w:r>
              <w:rPr>
                <w:rFonts w:hint="eastAsia" w:ascii="宋体" w:hAnsi="宋体" w:eastAsia="宋体" w:cs="宋体"/>
                <w:color w:val="auto"/>
                <w:kern w:val="0"/>
                <w:sz w:val="21"/>
                <w:szCs w:val="21"/>
                <w:highlight w:val="none"/>
              </w:rPr>
              <w:t>提出的问题不及时解决，出现一次扣2分，扣完为止。</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5、每月人员到位率符合岗位设置要求，到岗率及考勤管理记录清楚，无迟到、早退、缺勤、脱岗、离岗、串岗现象。人员档案健全，无不良犯罪记录。</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人员考勤每少1人扣1分；考勤若出现违反规定，发现一次扣1分；上班时间玩游戏，吃东西，打瞌睡，打电话超过5分钟、闲聊等，每出现一次扣1分；脱岗，擅自离岗每次扣2分。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6、不得随意更换核心团队成员；人员变动信息需提前五个工作日内上报</w:t>
            </w:r>
            <w:r>
              <w:rPr>
                <w:rFonts w:hint="eastAsia" w:ascii="宋体" w:hAnsi="宋体" w:cs="宋体"/>
                <w:color w:val="auto"/>
                <w:kern w:val="0"/>
                <w:sz w:val="21"/>
                <w:szCs w:val="21"/>
                <w:highlight w:val="none"/>
                <w:lang w:eastAsia="zh-CN"/>
              </w:rPr>
              <w:t>采购人</w:t>
            </w:r>
            <w:r>
              <w:rPr>
                <w:rFonts w:hint="eastAsia" w:ascii="宋体" w:hAnsi="宋体" w:eastAsia="宋体" w:cs="宋体"/>
                <w:color w:val="auto"/>
                <w:kern w:val="0"/>
                <w:sz w:val="21"/>
                <w:szCs w:val="21"/>
                <w:highlight w:val="none"/>
              </w:rPr>
              <w:t>备案。</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人员变动没有及时上报发现一次扣一分，扣完为止。</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7、中标人应第一时间向</w:t>
            </w:r>
            <w:r>
              <w:rPr>
                <w:rFonts w:hint="eastAsia" w:ascii="宋体" w:hAnsi="宋体" w:cs="宋体"/>
                <w:color w:val="auto"/>
                <w:kern w:val="0"/>
                <w:sz w:val="21"/>
                <w:szCs w:val="21"/>
                <w:highlight w:val="none"/>
                <w:lang w:eastAsia="zh-CN"/>
              </w:rPr>
              <w:t>采购人</w:t>
            </w:r>
            <w:r>
              <w:rPr>
                <w:rFonts w:hint="eastAsia" w:ascii="宋体" w:hAnsi="宋体" w:eastAsia="宋体" w:cs="宋体"/>
                <w:color w:val="auto"/>
                <w:kern w:val="0"/>
                <w:sz w:val="21"/>
                <w:szCs w:val="21"/>
                <w:highlight w:val="none"/>
              </w:rPr>
              <w:t>报告由服务人员发现的重特大事件或其它应当上报的事件，以便于</w:t>
            </w:r>
            <w:r>
              <w:rPr>
                <w:rFonts w:hint="eastAsia" w:ascii="宋体" w:hAnsi="宋体" w:cs="宋体"/>
                <w:color w:val="auto"/>
                <w:kern w:val="0"/>
                <w:sz w:val="21"/>
                <w:szCs w:val="21"/>
                <w:highlight w:val="none"/>
                <w:lang w:eastAsia="zh-CN"/>
              </w:rPr>
              <w:t>采购人</w:t>
            </w:r>
            <w:r>
              <w:rPr>
                <w:rFonts w:hint="eastAsia" w:ascii="宋体" w:hAnsi="宋体" w:eastAsia="宋体" w:cs="宋体"/>
                <w:color w:val="auto"/>
                <w:kern w:val="0"/>
                <w:sz w:val="21"/>
                <w:szCs w:val="21"/>
                <w:highlight w:val="none"/>
              </w:rPr>
              <w:t>及时有效统一处置，不得迟报、瞒报。</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每发现一次迟报、瞒报扣完该项全部分数。</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二</w:t>
            </w:r>
          </w:p>
        </w:tc>
        <w:tc>
          <w:tcPr>
            <w:tcW w:w="732"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安全保卫岗位管理</w:t>
            </w:r>
          </w:p>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24分</w:t>
            </w: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1、有专业保安人员，各岗位日常工作记录齐全、规范。 </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工作记录不齐全、不规范的，发现一次扣1分，扣完为止。</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2、巡逻保安人员和门卫，文明值勤、训练有素、言语规范认真，实行24小时值班及巡逻制度，严禁擅自脱岗。</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未按要求巡逻或出现脱岗现象，每发现一次扣1分；保安业务生疏，影响工作的，扣1分；与</w:t>
            </w:r>
            <w:r>
              <w:rPr>
                <w:rFonts w:hint="eastAsia" w:ascii="宋体" w:hAnsi="宋体" w:eastAsia="宋体" w:cs="宋体"/>
                <w:color w:val="auto"/>
                <w:kern w:val="0"/>
                <w:sz w:val="21"/>
                <w:szCs w:val="21"/>
                <w:highlight w:val="none"/>
                <w:lang w:val="en-US" w:eastAsia="zh-CN"/>
              </w:rPr>
              <w:t>当事人、来客来访人员</w:t>
            </w:r>
            <w:r>
              <w:rPr>
                <w:rFonts w:hint="eastAsia" w:ascii="宋体" w:hAnsi="宋体" w:eastAsia="宋体" w:cs="宋体"/>
                <w:color w:val="auto"/>
                <w:kern w:val="0"/>
                <w:sz w:val="21"/>
                <w:szCs w:val="21"/>
                <w:highlight w:val="none"/>
              </w:rPr>
              <w:t>发生争吵，有损形象的，扣2分。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iCs/>
                <w:color w:val="auto"/>
                <w:kern w:val="0"/>
                <w:sz w:val="21"/>
                <w:szCs w:val="21"/>
                <w:highlight w:val="none"/>
              </w:rPr>
            </w:pPr>
            <w:r>
              <w:rPr>
                <w:rFonts w:hint="eastAsia" w:ascii="宋体" w:hAnsi="宋体" w:eastAsia="宋体" w:cs="宋体"/>
                <w:iCs/>
                <w:color w:val="auto"/>
                <w:kern w:val="0"/>
                <w:sz w:val="21"/>
                <w:szCs w:val="21"/>
                <w:highlight w:val="none"/>
              </w:rPr>
              <w:t>3、</w:t>
            </w:r>
            <w:r>
              <w:rPr>
                <w:rFonts w:hint="eastAsia" w:ascii="宋体" w:hAnsi="宋体" w:eastAsia="宋体" w:cs="宋体"/>
                <w:iCs/>
                <w:color w:val="auto"/>
                <w:kern w:val="0"/>
                <w:sz w:val="21"/>
                <w:szCs w:val="21"/>
                <w:highlight w:val="none"/>
                <w:lang w:val="en-US" w:eastAsia="zh-CN"/>
              </w:rPr>
              <w:t>安检人员专业、</w:t>
            </w:r>
            <w:r>
              <w:rPr>
                <w:rFonts w:hint="eastAsia" w:ascii="宋体" w:hAnsi="宋体" w:eastAsia="宋体" w:cs="宋体"/>
                <w:iCs/>
                <w:color w:val="auto"/>
                <w:kern w:val="0"/>
                <w:sz w:val="21"/>
                <w:szCs w:val="21"/>
                <w:highlight w:val="none"/>
              </w:rPr>
              <w:t>热情、文明、言语规范并统一着装。</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未按要求</w:t>
            </w:r>
            <w:r>
              <w:rPr>
                <w:rFonts w:hint="eastAsia" w:ascii="宋体" w:hAnsi="宋体" w:eastAsia="宋体" w:cs="宋体"/>
                <w:color w:val="auto"/>
                <w:kern w:val="0"/>
                <w:sz w:val="21"/>
                <w:szCs w:val="21"/>
                <w:highlight w:val="none"/>
                <w:lang w:val="en-US" w:eastAsia="zh-CN"/>
              </w:rPr>
              <w:t>安检</w:t>
            </w:r>
            <w:r>
              <w:rPr>
                <w:rFonts w:hint="eastAsia" w:ascii="宋体" w:hAnsi="宋体" w:eastAsia="宋体" w:cs="宋体"/>
                <w:color w:val="auto"/>
                <w:kern w:val="0"/>
                <w:sz w:val="21"/>
                <w:szCs w:val="21"/>
                <w:highlight w:val="none"/>
              </w:rPr>
              <w:t>或者出现脱岗现象，每发现一次扣1分；</w:t>
            </w:r>
            <w:r>
              <w:rPr>
                <w:rFonts w:hint="eastAsia" w:ascii="宋体" w:hAnsi="宋体" w:eastAsia="宋体" w:cs="宋体"/>
                <w:color w:val="auto"/>
                <w:kern w:val="0"/>
                <w:sz w:val="21"/>
                <w:szCs w:val="21"/>
                <w:highlight w:val="none"/>
                <w:lang w:val="en-US" w:eastAsia="zh-CN"/>
              </w:rPr>
              <w:t>安检不到位造成安全隐患的</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一次</w:t>
            </w:r>
            <w:r>
              <w:rPr>
                <w:rFonts w:hint="eastAsia" w:ascii="宋体" w:hAnsi="宋体" w:eastAsia="宋体" w:cs="宋体"/>
                <w:color w:val="auto"/>
                <w:kern w:val="0"/>
                <w:sz w:val="21"/>
                <w:szCs w:val="21"/>
                <w:highlight w:val="none"/>
              </w:rPr>
              <w:t>扣2分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造成较大及以上影响的，一次扣10分。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iCs/>
                <w:color w:val="auto"/>
                <w:kern w:val="0"/>
                <w:sz w:val="21"/>
                <w:szCs w:val="21"/>
                <w:highlight w:val="none"/>
              </w:rPr>
            </w:pPr>
            <w:r>
              <w:rPr>
                <w:rFonts w:hint="eastAsia" w:ascii="宋体" w:hAnsi="宋体" w:eastAsia="宋体" w:cs="宋体"/>
                <w:iCs/>
                <w:color w:val="auto"/>
                <w:kern w:val="0"/>
                <w:sz w:val="21"/>
                <w:szCs w:val="21"/>
                <w:highlight w:val="none"/>
              </w:rPr>
              <w:t>4、</w:t>
            </w:r>
            <w:r>
              <w:rPr>
                <w:rFonts w:hint="eastAsia" w:ascii="宋体" w:hAnsi="宋体" w:cs="宋体"/>
                <w:iCs/>
                <w:color w:val="auto"/>
                <w:kern w:val="0"/>
                <w:sz w:val="21"/>
                <w:szCs w:val="21"/>
                <w:highlight w:val="none"/>
                <w:lang w:eastAsia="zh-CN"/>
              </w:rPr>
              <w:t>技术防控</w:t>
            </w:r>
            <w:r>
              <w:rPr>
                <w:rFonts w:hint="eastAsia" w:ascii="宋体" w:hAnsi="宋体" w:eastAsia="宋体" w:cs="宋体"/>
                <w:iCs/>
                <w:color w:val="auto"/>
                <w:kern w:val="0"/>
                <w:sz w:val="21"/>
                <w:szCs w:val="21"/>
                <w:highlight w:val="none"/>
              </w:rPr>
              <w:t>和消防设备操作熟练；严禁擅自脱岗、离岗；出现报警情况能第一时间处理。</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设备操作不熟练，经培训后仍出现的，每出现一次扣1分；未按照要求或出现脱岗现象，每发现一次扣1分；出现报警未处理的，每发现一次扣2分；未持证上岗的一经发现扣完该项全部分数。</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5、定期开展安全教育、组织安全检查和消防演练，反恐演练，建立安全生产管理台账。</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未开展安全教育、检查和演练的，扣完该项全部分数。</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三</w:t>
            </w:r>
          </w:p>
        </w:tc>
        <w:tc>
          <w:tcPr>
            <w:tcW w:w="732"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卫生保洁岗位管理</w:t>
            </w:r>
          </w:p>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w:t>
            </w:r>
          </w:p>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分</w:t>
            </w: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1、根据</w:t>
            </w:r>
            <w:r>
              <w:rPr>
                <w:rFonts w:hint="eastAsia" w:ascii="宋体" w:hAnsi="宋体" w:cs="宋体"/>
                <w:color w:val="auto"/>
                <w:kern w:val="0"/>
                <w:sz w:val="21"/>
                <w:szCs w:val="21"/>
                <w:highlight w:val="none"/>
                <w:lang w:eastAsia="zh-CN"/>
              </w:rPr>
              <w:t>采购人</w:t>
            </w:r>
            <w:r>
              <w:rPr>
                <w:rFonts w:hint="eastAsia" w:ascii="宋体" w:hAnsi="宋体" w:eastAsia="宋体" w:cs="宋体"/>
                <w:color w:val="auto"/>
                <w:kern w:val="0"/>
                <w:sz w:val="21"/>
                <w:szCs w:val="21"/>
                <w:highlight w:val="none"/>
              </w:rPr>
              <w:t>要求安排合理的保洁计划、提供及时、准时、有质量的保洁服务；文明保洁，安全保洁。</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未及时配合的每次扣1分；未做到文明、安全保洁的，每次扣1分。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2、保洁人员应明确责任范围，实行标准化保洁；垃圾日产日清；相关设施按计划定时养护；</w:t>
            </w:r>
            <w:r>
              <w:rPr>
                <w:rFonts w:hint="eastAsia" w:ascii="宋体" w:hAnsi="宋体" w:eastAsia="宋体" w:cs="宋体"/>
                <w:color w:val="auto"/>
                <w:kern w:val="0"/>
                <w:sz w:val="21"/>
                <w:szCs w:val="21"/>
                <w:highlight w:val="none"/>
                <w:lang w:val="en-US" w:eastAsia="zh-CN"/>
              </w:rPr>
              <w:t>服务区域</w:t>
            </w:r>
            <w:r>
              <w:rPr>
                <w:rFonts w:hint="eastAsia" w:ascii="宋体" w:hAnsi="宋体" w:eastAsia="宋体" w:cs="宋体"/>
                <w:color w:val="auto"/>
                <w:kern w:val="0"/>
                <w:sz w:val="21"/>
                <w:szCs w:val="21"/>
                <w:highlight w:val="none"/>
              </w:rPr>
              <w:t>空气清新，无异味。</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未做到垃圾日产日清的，每出现一次扣1分；未及时进行养护的，扣1分；未及时进行清理打扫的，扣1分；未达到空气清新，有异味的，扣1分。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3、开展卫生保洁工作，确保展厅干净、整洁、无灰尘、目视无垃圾，定期开展展厅玻璃柜消毒工作。</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未做到卫生保洁工作的，每发现一次，扣一分；未使用五色毛巾的，发现一次扣2分。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restar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四</w:t>
            </w:r>
          </w:p>
        </w:tc>
        <w:tc>
          <w:tcPr>
            <w:tcW w:w="732" w:type="dxa"/>
            <w:vMerge w:val="restar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其他</w:t>
            </w:r>
          </w:p>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20分</w:t>
            </w: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1、制定岗位责任制、每天至少一次巡查设施设备，做好设备基本保养工作，及时处理各种问题。</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无巡查不得分，</w:t>
            </w:r>
            <w:bookmarkStart w:id="31" w:name="OLE_LINK48"/>
            <w:r>
              <w:rPr>
                <w:rFonts w:hint="eastAsia" w:ascii="宋体" w:hAnsi="宋体" w:eastAsia="宋体" w:cs="宋体"/>
                <w:color w:val="auto"/>
                <w:kern w:val="0"/>
                <w:sz w:val="21"/>
                <w:szCs w:val="21"/>
                <w:highlight w:val="none"/>
              </w:rPr>
              <w:t>每</w:t>
            </w:r>
            <w:bookmarkEnd w:id="31"/>
            <w:r>
              <w:rPr>
                <w:rFonts w:hint="eastAsia" w:ascii="宋体" w:hAnsi="宋体" w:eastAsia="宋体" w:cs="宋体"/>
                <w:color w:val="auto"/>
                <w:kern w:val="0"/>
                <w:sz w:val="21"/>
                <w:szCs w:val="21"/>
                <w:highlight w:val="none"/>
              </w:rPr>
              <w:t>少一次巡查扣1分。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p>
        </w:tc>
        <w:tc>
          <w:tcPr>
            <w:tcW w:w="732"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2、制定设施设备的养护机制，记录设施设备的运行记录，发现问题，在责任范围内的及时处理，超出责任范围的，上报</w:t>
            </w:r>
            <w:r>
              <w:rPr>
                <w:rFonts w:hint="eastAsia" w:ascii="宋体" w:hAnsi="宋体" w:cs="宋体"/>
                <w:color w:val="auto"/>
                <w:kern w:val="0"/>
                <w:sz w:val="21"/>
                <w:szCs w:val="21"/>
                <w:highlight w:val="none"/>
                <w:lang w:eastAsia="zh-CN"/>
              </w:rPr>
              <w:t>采购人</w:t>
            </w:r>
            <w:r>
              <w:rPr>
                <w:rFonts w:hint="eastAsia" w:ascii="宋体" w:hAnsi="宋体" w:eastAsia="宋体" w:cs="宋体"/>
                <w:color w:val="auto"/>
                <w:kern w:val="0"/>
                <w:sz w:val="21"/>
                <w:szCs w:val="21"/>
                <w:highlight w:val="none"/>
              </w:rPr>
              <w:t>。</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无养护机制扣2分，无运行记录发现一次扣1分；未及时处理的扣2分。</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8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c>
          <w:tcPr>
            <w:tcW w:w="732"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由</w:t>
            </w:r>
            <w:r>
              <w:rPr>
                <w:rFonts w:hint="eastAsia" w:ascii="宋体" w:hAnsi="宋体" w:eastAsia="宋体" w:cs="宋体"/>
                <w:color w:val="auto"/>
                <w:kern w:val="0"/>
                <w:sz w:val="21"/>
                <w:szCs w:val="21"/>
                <w:highlight w:val="none"/>
                <w:lang w:val="en-US" w:eastAsia="zh-CN"/>
              </w:rPr>
              <w:t>中标人</w:t>
            </w:r>
            <w:r>
              <w:rPr>
                <w:rFonts w:hint="eastAsia" w:ascii="宋体" w:hAnsi="宋体" w:eastAsia="宋体" w:cs="宋体"/>
                <w:color w:val="auto"/>
                <w:kern w:val="0"/>
                <w:sz w:val="21"/>
                <w:szCs w:val="21"/>
                <w:highlight w:val="none"/>
              </w:rPr>
              <w:t>造成的刑事案件、违法犯罪行为和影响社会稳定的群体性事件发生率为零。</w:t>
            </w:r>
          </w:p>
        </w:tc>
        <w:tc>
          <w:tcPr>
            <w:tcW w:w="342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出现一次扣完该项全部分数。</w:t>
            </w:r>
          </w:p>
        </w:tc>
        <w:tc>
          <w:tcPr>
            <w:tcW w:w="6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w:t>
            </w:r>
          </w:p>
        </w:tc>
        <w:tc>
          <w:tcPr>
            <w:tcW w:w="7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49"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righ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总分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1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考核部门</w:t>
            </w: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c>
          <w:tcPr>
            <w:tcW w:w="1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被考核单位</w:t>
            </w:r>
          </w:p>
        </w:tc>
        <w:tc>
          <w:tcPr>
            <w:tcW w:w="315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1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考核人员</w:t>
            </w:r>
          </w:p>
        </w:tc>
        <w:tc>
          <w:tcPr>
            <w:tcW w:w="323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c>
          <w:tcPr>
            <w:tcW w:w="16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陪检人</w:t>
            </w:r>
          </w:p>
        </w:tc>
        <w:tc>
          <w:tcPr>
            <w:tcW w:w="315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1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考核部门意见</w:t>
            </w:r>
          </w:p>
        </w:tc>
        <w:tc>
          <w:tcPr>
            <w:tcW w:w="8030" w:type="dxa"/>
            <w:gridSpan w:val="5"/>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kinsoku/>
              <w:wordWrap/>
              <w:overflowPunct/>
              <w:topLinePunct w:val="0"/>
              <w:autoSpaceDE/>
              <w:autoSpaceDN/>
              <w:bidi w:val="0"/>
              <w:adjustRightInd w:val="0"/>
              <w:snapToGrid/>
              <w:spacing w:line="360" w:lineRule="exact"/>
              <w:jc w:val="righ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签名：          日期：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1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center"/>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分管领导意见</w:t>
            </w:r>
          </w:p>
        </w:tc>
        <w:tc>
          <w:tcPr>
            <w:tcW w:w="8030" w:type="dxa"/>
            <w:gridSpan w:val="5"/>
            <w:tcBorders>
              <w:top w:val="single" w:color="auto" w:sz="4" w:space="0"/>
              <w:left w:val="single" w:color="auto" w:sz="4" w:space="0"/>
              <w:bottom w:val="single" w:color="auto" w:sz="4" w:space="0"/>
              <w:right w:val="single" w:color="auto" w:sz="4" w:space="0"/>
            </w:tcBorders>
            <w:noWrap w:val="0"/>
            <w:vAlign w:val="bottom"/>
          </w:tcPr>
          <w:p>
            <w:pPr>
              <w:keepNext w:val="0"/>
              <w:keepLines w:val="0"/>
              <w:pageBreakBefore w:val="0"/>
              <w:kinsoku/>
              <w:wordWrap/>
              <w:overflowPunct/>
              <w:topLinePunct w:val="0"/>
              <w:autoSpaceDE/>
              <w:autoSpaceDN/>
              <w:bidi w:val="0"/>
              <w:adjustRightInd w:val="0"/>
              <w:snapToGrid/>
              <w:spacing w:line="360" w:lineRule="exact"/>
              <w:jc w:val="righ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签名：          日期：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249"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spacing w:line="360" w:lineRule="exact"/>
              <w:jc w:val="left"/>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备注：本考核表总分为100分；</w:t>
            </w:r>
          </w:p>
          <w:p>
            <w:pPr>
              <w:keepNext w:val="0"/>
              <w:keepLines w:val="0"/>
              <w:pageBreakBefore w:val="0"/>
              <w:widowControl w:val="0"/>
              <w:kinsoku/>
              <w:wordWrap/>
              <w:overflowPunct/>
              <w:topLinePunct w:val="0"/>
              <w:autoSpaceDE/>
              <w:autoSpaceDN/>
              <w:bidi w:val="0"/>
              <w:adjustRightInd w:val="0"/>
              <w:snapToGrid/>
              <w:spacing w:line="360" w:lineRule="exact"/>
              <w:ind w:firstLine="611" w:firstLineChars="291"/>
              <w:textAlignment w:val="baseline"/>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考核分数≥90分为优秀；低于60分为不合格；</w:t>
            </w:r>
          </w:p>
          <w:p>
            <w:pPr>
              <w:keepNext w:val="0"/>
              <w:keepLines w:val="0"/>
              <w:pageBreakBefore w:val="0"/>
              <w:widowControl w:val="0"/>
              <w:kinsoku/>
              <w:wordWrap/>
              <w:overflowPunct/>
              <w:topLinePunct w:val="0"/>
              <w:autoSpaceDE/>
              <w:autoSpaceDN/>
              <w:bidi w:val="0"/>
              <w:adjustRightInd w:val="0"/>
              <w:snapToGrid/>
              <w:spacing w:line="360" w:lineRule="exact"/>
              <w:ind w:firstLine="611" w:firstLineChars="291"/>
              <w:textAlignment w:val="baseline"/>
              <w:rPr>
                <w:rFonts w:hint="eastAsia" w:ascii="宋体" w:hAnsi="宋体" w:eastAsia="宋体" w:cs="宋体"/>
                <w:color w:val="auto"/>
                <w:kern w:val="0"/>
                <w:sz w:val="21"/>
                <w:szCs w:val="21"/>
                <w:highlight w:val="none"/>
              </w:rPr>
            </w:pPr>
            <w:bookmarkStart w:id="32" w:name="OLE_LINK27"/>
            <w:r>
              <w:rPr>
                <w:rFonts w:hint="eastAsia" w:ascii="宋体" w:hAnsi="宋体" w:eastAsia="宋体" w:cs="宋体"/>
                <w:color w:val="auto"/>
                <w:kern w:val="0"/>
                <w:sz w:val="21"/>
                <w:szCs w:val="21"/>
                <w:highlight w:val="none"/>
              </w:rPr>
              <w:t>低于90分，按每分值1000元扣减当季度管理服务费（扣款分值为100分-季度考核得分）；</w:t>
            </w:r>
            <w:bookmarkEnd w:id="32"/>
          </w:p>
        </w:tc>
      </w:tr>
    </w:tbl>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（二十九）中标人首年提供的综合服务工作满意率低于85%时，采购人有权单方面终止合同；若综合服务工作满意率高于85%的，中标人可按合同签订期限履行服务合同。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（三十）根据采购人的要求,制定物料管理制度。中标人应做好综合服务耗材的保管、发放工作，做到仓库物品分类整齐且帐物</w:t>
      </w:r>
      <w:r>
        <w:rPr>
          <w:rFonts w:hint="eastAsia" w:ascii="宋体" w:hAnsi="宋体" w:cs="宋体"/>
          <w:color w:val="auto"/>
          <w:kern w:val="0"/>
          <w:sz w:val="21"/>
          <w:szCs w:val="21"/>
          <w:highlight w:val="none"/>
          <w:lang w:val="en-US" w:eastAsia="zh-CN" w:bidi="ar"/>
        </w:rPr>
        <w:t>相符</w:t>
      </w:r>
      <w:r>
        <w:rPr>
          <w:rFonts w:hint="eastAsia" w:ascii="宋体" w:hAnsi="宋体" w:eastAsia="宋体" w:cs="宋体"/>
          <w:color w:val="auto"/>
          <w:kern w:val="0"/>
          <w:sz w:val="21"/>
          <w:szCs w:val="21"/>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三十一）根据综合服务工作的需要，需要采购人配备相关物料或用品的，中标人应按需列明清单，提前向采购人申请采购；常用耗材可以提前采购保持合理的库存数量备用。此类物料及用品的所有权归采购人，中标人须按采购人的要求使用、未经采购人同意不得私自占有或挪作他用。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三十二）合同期满未能续约,中标人须按时(视签订合同的时间而定)做好管理服务事项交接和相关资料移交工作,按时撤离本项目。如新的管理公司因故不能按时接盘,应采购人的要求,中标人须以新中标价格协助采购人做好综合管理工作,直至新的管理公司接盘为止。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（三十三）中标人应妥善保管、合理使用采购人移交的一切物品,在合同终止或解除后,中标人须将</w:t>
      </w:r>
      <w:r>
        <w:rPr>
          <w:rFonts w:hint="eastAsia" w:ascii="宋体" w:hAnsi="宋体" w:cs="宋体"/>
          <w:color w:val="auto"/>
          <w:kern w:val="0"/>
          <w:sz w:val="21"/>
          <w:szCs w:val="21"/>
          <w:highlight w:val="none"/>
          <w:lang w:val="en-US" w:eastAsia="zh-CN" w:bidi="ar"/>
        </w:rPr>
        <w:t>采购人</w:t>
      </w:r>
      <w:r>
        <w:rPr>
          <w:rFonts w:hint="eastAsia" w:ascii="宋体" w:hAnsi="宋体" w:eastAsia="宋体" w:cs="宋体"/>
          <w:color w:val="auto"/>
          <w:kern w:val="0"/>
          <w:sz w:val="21"/>
          <w:szCs w:val="21"/>
          <w:highlight w:val="none"/>
          <w:lang w:val="en-US" w:eastAsia="zh-CN" w:bidi="ar"/>
        </w:rPr>
        <w:t xml:space="preserve">移交的物品、存储物料、项目服务用房和综合服务全部档案资料一并移交给采购人。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（三十四）中标人应按劳动法规为员工在劳动社保部门购买社会保险，如有违反，由中标人承担全部责任并负责赔偿。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（三十五）合同期限内,约定的服务范围不变时,采购人对服务费用不作调整,中标人不得以任何理由降低服务质量、裁减服务人员数量。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（三十六）合同期限内，因工作需要,增加设备设施、服务区域导致综合服务工作量增加的,由采购人与中标人另行协商并签订补充协议。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（三十七）中标人须保证合同期间各类管理及服务人员素质和数量完全符合采购需求,因特殊原因需要调整,须事先向采购人书面说明理由且经采购人同意。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（三十八）采购需求中明确要求中标人员工须持证上岗,如发现缺少持证人员情况严重,采购人有权要求中标人限期整改。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2" w:firstLineChars="200"/>
        <w:jc w:val="both"/>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lang w:val="en-US" w:eastAsia="zh-CN" w:bidi="ar"/>
        </w:rPr>
        <w:t xml:space="preserve">★（三十九）中标人做出书面承诺,保证在签订合同后，根据采购需求派驻员工提前接受服务工作。（投标文件中须附承诺函加盖公章）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四十）中标人作为投标人，其投标文件内容应实质响应采购人全部需求，其投标文件与采购需求有矛盾或差距时，以采购需求为合同要件，与采购需求有矛盾或差距的投标文件内容不作为合同内容，对采购人无约束力。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（四十一）违反或怠于履行合同和采购需求规定之责任和义务视为违约；因中标人违约,导致单方解除合同造成采购人损失的,由中标人承担民事赔偿责任。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（四十二）合同期满、双方未续约或因中标人违约、采购人单方面解除合同或中标人单方面解除合同,中标人应履行以下义务：</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1.在采购人指定的时间内全面撤离项目区域。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2.在采购人指定的时间内无条件移交以下物件: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（1）采购人移交给中标人使用和管理的项目图纸资料。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（2）采购人移交给中标人使用和管理的办公值班用房。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（3）采购人移交给中标人使用和管理的办公台椅、钥匙等物件。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（4）用采购人支付费用购买的所有物料。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3.所有中标</w:t>
      </w:r>
      <w:r>
        <w:rPr>
          <w:rFonts w:hint="eastAsia" w:ascii="宋体" w:hAnsi="宋体" w:cs="宋体"/>
          <w:color w:val="auto"/>
          <w:kern w:val="0"/>
          <w:sz w:val="21"/>
          <w:szCs w:val="21"/>
          <w:highlight w:val="none"/>
          <w:lang w:val="en-US" w:eastAsia="zh-CN" w:bidi="ar"/>
        </w:rPr>
        <w:t>人</w:t>
      </w:r>
      <w:r>
        <w:rPr>
          <w:rFonts w:hint="eastAsia" w:ascii="宋体" w:hAnsi="宋体" w:eastAsia="宋体" w:cs="宋体"/>
          <w:color w:val="auto"/>
          <w:kern w:val="0"/>
          <w:sz w:val="21"/>
          <w:szCs w:val="21"/>
          <w:highlight w:val="none"/>
          <w:lang w:val="en-US" w:eastAsia="zh-CN" w:bidi="ar"/>
        </w:rPr>
        <w:t xml:space="preserve">的自用物品(综合管理服务费涵盖的费用采购物品)所有权属于中标人,由中标人自行处理。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2"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kern w:val="0"/>
          <w:sz w:val="21"/>
          <w:szCs w:val="21"/>
          <w:highlight w:val="none"/>
          <w:lang w:val="en-US" w:eastAsia="zh-CN" w:bidi="ar"/>
        </w:rPr>
        <w:t xml:space="preserve">★（四十三）中标人应按照《中华人民共和国社会保险法》的相关规定，支付国家规定需购买的社会保险费用。（投标文件中须附承诺函加盖公章）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（四十四）以上所称的“合同”是指中标人与采购人签订的《政府采购合同》；以上所称的社会保险是指“基本养老保险、基本医疗保险、工伤保险、失业保险、生育保险”。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（四十五）采购需求中虽然未明确为中标人义务,但符合以下条件的工作,中标人应当严格按采购人的要求完成： </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1.工作范畴属于综合管理服务类或与之密切相关。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color w:val="auto"/>
          <w:kern w:val="0"/>
          <w:sz w:val="21"/>
          <w:szCs w:val="21"/>
          <w:highlight w:val="none"/>
          <w:lang w:val="en-US" w:eastAsia="zh-CN" w:bidi="ar"/>
        </w:rPr>
        <w:t>2.综合管理服务人员的能力水平可以胜任工作要求。</w:t>
      </w:r>
    </w:p>
    <w:p>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六、商务条款</w:t>
      </w:r>
    </w:p>
    <w:tbl>
      <w:tblPr>
        <w:tblStyle w:val="24"/>
        <w:tblW w:w="85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9"/>
        <w:gridCol w:w="7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639"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snapToGrid/>
              <w:spacing w:line="400" w:lineRule="exact"/>
              <w:jc w:val="center"/>
              <w:rPr>
                <w:rFonts w:hint="eastAsia" w:ascii="宋体" w:hAnsi="宋体" w:eastAsia="宋体" w:cs="宋体"/>
                <w:color w:val="auto"/>
                <w:sz w:val="21"/>
                <w:szCs w:val="21"/>
                <w:highlight w:val="none"/>
                <w:lang w:val="en-US" w:eastAsia="zh-CN"/>
              </w:rPr>
            </w:pPr>
            <w:bookmarkStart w:id="33" w:name="OLE_LINK24"/>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w:t>
            </w:r>
          </w:p>
        </w:tc>
        <w:tc>
          <w:tcPr>
            <w:tcW w:w="791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snapToGrid/>
              <w:spacing w:line="40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服务期限</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三年(具体时间以合同为准)合同一年一签，采购人根据中标人在上一年度合同履约、考核情况及财政资金审批情况等决定是否续签。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639"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snapToGrid/>
              <w:spacing w:line="400" w:lineRule="exact"/>
              <w:jc w:val="center"/>
              <w:rPr>
                <w:rFonts w:hint="eastAsia" w:ascii="宋体" w:hAnsi="宋体" w:eastAsia="宋体" w:cs="宋体"/>
                <w:color w:val="auto"/>
                <w:sz w:val="21"/>
                <w:szCs w:val="21"/>
                <w:highlight w:val="none"/>
                <w:lang w:eastAsia="zh-CN"/>
              </w:rPr>
            </w:pPr>
            <w:bookmarkStart w:id="34" w:name="OLE_LINK23"/>
            <w:r>
              <w:rPr>
                <w:rFonts w:hint="eastAsia" w:ascii="宋体" w:hAnsi="宋体" w:eastAsia="宋体" w:cs="宋体"/>
                <w:color w:val="auto"/>
                <w:sz w:val="21"/>
                <w:szCs w:val="21"/>
                <w:highlight w:val="none"/>
              </w:rPr>
              <w:t>★</w:t>
            </w:r>
            <w:bookmarkEnd w:id="34"/>
            <w:r>
              <w:rPr>
                <w:rFonts w:hint="eastAsia" w:ascii="宋体" w:hAnsi="宋体" w:eastAsia="宋体" w:cs="宋体"/>
                <w:color w:val="auto"/>
                <w:sz w:val="21"/>
                <w:szCs w:val="21"/>
                <w:highlight w:val="none"/>
                <w:lang w:val="en-US" w:eastAsia="zh-CN"/>
              </w:rPr>
              <w:t>2</w:t>
            </w:r>
          </w:p>
        </w:tc>
        <w:tc>
          <w:tcPr>
            <w:tcW w:w="791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val="0"/>
              <w:snapToGrid/>
              <w:spacing w:line="400" w:lineRule="exac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付款方式</w:t>
            </w:r>
            <w:r>
              <w:rPr>
                <w:rFonts w:hint="eastAsia" w:ascii="宋体" w:hAnsi="宋体" w:eastAsia="宋体" w:cs="宋体"/>
                <w:color w:val="auto"/>
                <w:sz w:val="21"/>
                <w:szCs w:val="21"/>
                <w:highlight w:val="none"/>
                <w:lang w:eastAsia="zh-CN"/>
              </w:rPr>
              <w:t>：</w:t>
            </w:r>
          </w:p>
          <w:p>
            <w:pPr>
              <w:keepNext w:val="0"/>
              <w:keepLines w:val="0"/>
              <w:pageBreakBefore w:val="0"/>
              <w:widowControl w:val="0"/>
              <w:kinsoku/>
              <w:wordWrap/>
              <w:overflowPunct/>
              <w:topLinePunct w:val="0"/>
              <w:bidi w:val="0"/>
              <w:adjustRightInd w:val="0"/>
              <w:snapToGrid/>
              <w:spacing w:line="400" w:lineRule="exac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bookmarkStart w:id="35" w:name="OLE_LINK38"/>
            <w:bookmarkStart w:id="56" w:name="_GoBack"/>
            <w:bookmarkEnd w:id="56"/>
            <w:r>
              <w:rPr>
                <w:rFonts w:hint="eastAsia" w:ascii="宋体" w:hAnsi="宋体" w:eastAsia="宋体" w:cs="宋体"/>
                <w:color w:val="auto"/>
                <w:sz w:val="21"/>
                <w:szCs w:val="21"/>
                <w:highlight w:val="none"/>
              </w:rPr>
              <w:t>年度合同签订之日</w:t>
            </w:r>
            <w:r>
              <w:rPr>
                <w:rFonts w:hint="eastAsia" w:ascii="宋体" w:hAnsi="宋体" w:eastAsia="宋体" w:cs="宋体"/>
                <w:color w:val="auto"/>
                <w:sz w:val="21"/>
                <w:szCs w:val="21"/>
                <w:highlight w:val="none"/>
                <w:lang w:val="en-US" w:eastAsia="zh-CN"/>
              </w:rPr>
              <w:t>起</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日内支付年度合同总价</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eastAsia="zh-CN"/>
              </w:rPr>
              <w:t>作为</w:t>
            </w:r>
            <w:r>
              <w:rPr>
                <w:rFonts w:hint="eastAsia" w:ascii="宋体" w:hAnsi="宋体" w:eastAsia="宋体" w:cs="宋体"/>
                <w:color w:val="auto"/>
                <w:sz w:val="21"/>
                <w:szCs w:val="21"/>
                <w:highlight w:val="none"/>
              </w:rPr>
              <w:t>预付款</w:t>
            </w:r>
            <w:bookmarkEnd w:id="35"/>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合同签订时中标人主动要求不需要预付款的采购人可以不支付</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eastAsia="zh-CN"/>
              </w:rPr>
              <w:t>。</w:t>
            </w:r>
          </w:p>
          <w:p>
            <w:pPr>
              <w:keepNext w:val="0"/>
              <w:keepLines w:val="0"/>
              <w:pageBreakBefore w:val="0"/>
              <w:widowControl w:val="0"/>
              <w:kinsoku/>
              <w:wordWrap/>
              <w:overflowPunct/>
              <w:topLinePunct w:val="0"/>
              <w:bidi w:val="0"/>
              <w:adjustRightInd/>
              <w:snapToGrid/>
              <w:spacing w:line="400" w:lineRule="exact"/>
              <w:rPr>
                <w:rFonts w:hint="eastAsia" w:ascii="宋体" w:hAnsi="宋体" w:eastAsia="宋体" w:cs="宋体"/>
                <w:color w:val="auto"/>
                <w:sz w:val="21"/>
                <w:szCs w:val="21"/>
                <w:highlight w:val="none"/>
              </w:rPr>
            </w:pPr>
            <w:bookmarkStart w:id="36" w:name="OLE_LINK28"/>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）每</w:t>
            </w:r>
            <w:r>
              <w:rPr>
                <w:rFonts w:hint="eastAsia" w:ascii="宋体" w:hAnsi="宋体" w:eastAsia="宋体" w:cs="宋体"/>
                <w:color w:val="auto"/>
                <w:sz w:val="21"/>
                <w:szCs w:val="21"/>
                <w:highlight w:val="none"/>
                <w:lang w:val="en-US" w:eastAsia="zh-CN"/>
              </w:rPr>
              <w:t>季度</w:t>
            </w:r>
            <w:r>
              <w:rPr>
                <w:rFonts w:hint="eastAsia" w:ascii="宋体" w:hAnsi="宋体" w:eastAsia="宋体" w:cs="宋体"/>
                <w:color w:val="auto"/>
                <w:sz w:val="21"/>
                <w:szCs w:val="21"/>
                <w:highlight w:val="none"/>
                <w:lang w:eastAsia="zh-CN"/>
              </w:rPr>
              <w:t>经采购人考核评定后，结合考核</w:t>
            </w:r>
            <w:r>
              <w:rPr>
                <w:rFonts w:hint="eastAsia" w:ascii="宋体" w:hAnsi="宋体" w:eastAsia="宋体" w:cs="宋体"/>
                <w:color w:val="auto"/>
                <w:sz w:val="21"/>
                <w:szCs w:val="21"/>
                <w:highlight w:val="none"/>
                <w:lang w:val="en-US" w:eastAsia="zh-CN"/>
              </w:rPr>
              <w:t>结果</w:t>
            </w:r>
            <w:r>
              <w:rPr>
                <w:rFonts w:hint="eastAsia" w:ascii="宋体" w:hAnsi="宋体" w:eastAsia="宋体" w:cs="宋体"/>
                <w:color w:val="auto"/>
                <w:sz w:val="21"/>
                <w:szCs w:val="21"/>
                <w:highlight w:val="none"/>
                <w:lang w:eastAsia="zh-CN"/>
              </w:rPr>
              <w:t>确定应付服务费，中标</w:t>
            </w:r>
            <w:r>
              <w:rPr>
                <w:rFonts w:hint="eastAsia" w:ascii="宋体" w:hAnsi="宋体" w:eastAsia="宋体" w:cs="宋体"/>
                <w:color w:val="auto"/>
                <w:sz w:val="21"/>
                <w:szCs w:val="21"/>
                <w:highlight w:val="none"/>
                <w:lang w:val="en-US" w:eastAsia="zh-CN"/>
              </w:rPr>
              <w:t>人</w:t>
            </w:r>
            <w:r>
              <w:rPr>
                <w:rFonts w:hint="eastAsia" w:ascii="宋体" w:hAnsi="宋体" w:eastAsia="宋体" w:cs="宋体"/>
                <w:color w:val="auto"/>
                <w:sz w:val="21"/>
                <w:szCs w:val="21"/>
                <w:highlight w:val="none"/>
                <w:lang w:eastAsia="zh-CN"/>
              </w:rPr>
              <w:t>按应收款总额开具正式发票，采购人于次月20日前支付，如遇节假日则自动顺延（先从预付款中扣除相应金额，待预付款支付完后再另行按实支付）</w:t>
            </w:r>
            <w:bookmarkEnd w:id="36"/>
            <w:r>
              <w:rPr>
                <w:rFonts w:hint="eastAsia" w:ascii="宋体" w:hAnsi="宋体" w:cs="宋体"/>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snapToGrid/>
              <w:spacing w:line="40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791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履约保证金金额：合同金额的1%；</w:t>
            </w:r>
          </w:p>
          <w:p>
            <w:pPr>
              <w:keepNext w:val="0"/>
              <w:keepLines w:val="0"/>
              <w:pageBreakBefore w:val="0"/>
              <w:widowControl w:val="0"/>
              <w:kinsoku/>
              <w:wordWrap/>
              <w:overflowPunct/>
              <w:topLinePunct w:val="0"/>
              <w:autoSpaceDE w:val="0"/>
              <w:autoSpaceDN w:val="0"/>
              <w:bidi w:val="0"/>
              <w:adjustRightInd/>
              <w:snapToGrid/>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保证金形式：支票、汇票、银行无条件履约保函或保险保单形式。中标人收到中标通知书后7天内向采购人支付。履约保证金在中标人完成合同履约后无息退还（但如中标人未能履行合同规定的任何义务，采购人有权从履约保证金中得到补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snapToGrid/>
              <w:spacing w:line="40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91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合同终止</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中标人在合同有效期内，不得以任何理由终止合同，确有特殊情况的，须提前两个月向采购人提出书面申请，经采购人同意后，方可终止合同。因中标人不能保证工作质量，或发生重大差错事故的，采购人可有权终止</w:t>
            </w:r>
            <w:r>
              <w:rPr>
                <w:rFonts w:hint="eastAsia" w:ascii="宋体" w:hAnsi="宋体" w:eastAsia="宋体" w:cs="宋体"/>
                <w:color w:val="auto"/>
                <w:sz w:val="21"/>
                <w:szCs w:val="21"/>
                <w:highlight w:val="none"/>
                <w:lang w:val="en-US" w:eastAsia="zh-CN"/>
              </w:rPr>
              <w:t>合同</w:t>
            </w:r>
            <w:r>
              <w:rPr>
                <w:rFonts w:hint="eastAsia" w:ascii="宋体" w:hAnsi="宋体" w:eastAsia="宋体" w:cs="宋体"/>
                <w:color w:val="auto"/>
                <w:sz w:val="21"/>
                <w:szCs w:val="21"/>
                <w:highlight w:val="none"/>
              </w:rPr>
              <w:t>，中标人承担全部责任。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snapToGrid/>
              <w:spacing w:line="40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p>
        </w:tc>
        <w:tc>
          <w:tcPr>
            <w:tcW w:w="791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400" w:lineRule="exact"/>
              <w:rPr>
                <w:rFonts w:hint="eastAsia" w:ascii="宋体" w:hAnsi="宋体" w:eastAsia="宋体" w:cs="宋体"/>
                <w:color w:val="auto"/>
                <w:sz w:val="21"/>
                <w:szCs w:val="21"/>
                <w:highlight w:val="none"/>
              </w:rPr>
            </w:pPr>
            <w:bookmarkStart w:id="37" w:name="OLE_LINK31"/>
            <w:r>
              <w:rPr>
                <w:rFonts w:hint="eastAsia" w:ascii="宋体" w:hAnsi="宋体" w:eastAsia="宋体" w:cs="宋体"/>
                <w:i w:val="0"/>
                <w:caps w:val="0"/>
                <w:color w:val="auto"/>
                <w:spacing w:val="0"/>
                <w:sz w:val="21"/>
                <w:szCs w:val="21"/>
                <w:highlight w:val="none"/>
                <w:shd w:val="clear" w:fill="FFFFFF"/>
                <w:lang w:val="en-US" w:eastAsia="zh-CN"/>
              </w:rPr>
              <w:t>本次招标采用按中标价格一次性包干的方式。但在合同执行期间，投标人在进行投标报价时要充分考虑未来三年价格因素的变化，合同中的人员工资部分必须符合当地劳动部门有关规定，遇到社保缴费基数、比例及最低工资标准上调，则按实际情况予以调整，确保用工合法，由此增加的费用，由投标人负责，合同价格不作调整。</w:t>
            </w:r>
            <w:bookmarkEnd w:id="3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63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snapToGrid/>
              <w:spacing w:line="40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w:t>
            </w:r>
          </w:p>
        </w:tc>
        <w:tc>
          <w:tcPr>
            <w:tcW w:w="7910"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同意采购方对投标文件内容的真实性和有效性进行监督审查、验证</w:t>
            </w:r>
            <w:r>
              <w:rPr>
                <w:rFonts w:hint="eastAsia" w:ascii="宋体" w:hAnsi="宋体" w:eastAsia="宋体" w:cs="宋体"/>
                <w:bCs/>
                <w:color w:val="auto"/>
                <w:sz w:val="21"/>
                <w:szCs w:val="21"/>
                <w:highlight w:val="none"/>
              </w:rPr>
              <w:t>。</w:t>
            </w:r>
          </w:p>
        </w:tc>
      </w:tr>
      <w:bookmarkEnd w:id="33"/>
    </w:tbl>
    <w:p>
      <w:pPr>
        <w:keepNext w:val="0"/>
        <w:keepLines w:val="0"/>
        <w:pageBreakBefore w:val="0"/>
        <w:widowControl w:val="0"/>
        <w:kinsoku/>
        <w:wordWrap/>
        <w:overflowPunct/>
        <w:topLinePunct w:val="0"/>
        <w:bidi w:val="0"/>
        <w:snapToGrid/>
        <w:spacing w:line="400" w:lineRule="exact"/>
        <w:rPr>
          <w:sz w:val="21"/>
          <w:szCs w:val="21"/>
          <w:highlight w:val="none"/>
        </w:rPr>
      </w:pPr>
    </w:p>
    <w:p>
      <w:pPr>
        <w:pStyle w:val="12"/>
        <w:snapToGrid w:val="0"/>
        <w:spacing w:beforeLines="0" w:afterLines="0"/>
        <w:jc w:val="center"/>
        <w:outlineLvl w:val="0"/>
        <w:rPr>
          <w:rFonts w:hint="eastAsia" w:ascii="黑体" w:hAnsi="宋体" w:eastAsia="黑体"/>
          <w:b/>
          <w:bCs/>
          <w:color w:val="auto"/>
          <w:sz w:val="28"/>
          <w:szCs w:val="28"/>
          <w:highlight w:val="none"/>
        </w:rPr>
      </w:pPr>
    </w:p>
    <w:p>
      <w:pPr>
        <w:pStyle w:val="12"/>
        <w:snapToGrid w:val="0"/>
        <w:spacing w:beforeLines="0" w:afterLines="0"/>
        <w:jc w:val="center"/>
        <w:outlineLvl w:val="0"/>
        <w:rPr>
          <w:rFonts w:hint="eastAsia" w:ascii="黑体" w:hAnsi="宋体" w:eastAsia="黑体"/>
          <w:b/>
          <w:bCs/>
          <w:color w:val="auto"/>
          <w:sz w:val="28"/>
          <w:szCs w:val="28"/>
          <w:highlight w:val="none"/>
        </w:rPr>
      </w:pPr>
    </w:p>
    <w:p>
      <w:pPr>
        <w:pStyle w:val="12"/>
        <w:snapToGrid w:val="0"/>
        <w:spacing w:beforeLines="0" w:afterLines="0"/>
        <w:jc w:val="center"/>
        <w:outlineLvl w:val="0"/>
        <w:rPr>
          <w:rFonts w:hint="eastAsia" w:ascii="黑体" w:hAnsi="宋体" w:eastAsia="黑体"/>
          <w:b/>
          <w:bCs/>
          <w:color w:val="auto"/>
          <w:sz w:val="28"/>
          <w:szCs w:val="28"/>
          <w:highlight w:val="none"/>
        </w:rPr>
      </w:pPr>
    </w:p>
    <w:p>
      <w:pPr>
        <w:pStyle w:val="12"/>
        <w:snapToGrid w:val="0"/>
        <w:spacing w:beforeLines="0" w:afterLines="0"/>
        <w:jc w:val="center"/>
        <w:outlineLvl w:val="0"/>
        <w:rPr>
          <w:rFonts w:ascii="黑体" w:hAnsi="宋体" w:eastAsia="黑体"/>
          <w:b/>
          <w:bCs/>
          <w:color w:val="auto"/>
          <w:sz w:val="28"/>
          <w:szCs w:val="28"/>
          <w:highlight w:val="none"/>
        </w:rPr>
      </w:pPr>
      <w:r>
        <w:rPr>
          <w:rFonts w:hint="eastAsia" w:ascii="黑体" w:hAnsi="宋体" w:eastAsia="黑体"/>
          <w:b/>
          <w:bCs/>
          <w:color w:val="auto"/>
          <w:sz w:val="28"/>
          <w:szCs w:val="28"/>
          <w:highlight w:val="none"/>
        </w:rPr>
        <w:t>第三章  投标人须知</w:t>
      </w:r>
    </w:p>
    <w:p>
      <w:pPr>
        <w:pStyle w:val="12"/>
        <w:snapToGrid w:val="0"/>
        <w:spacing w:beforeLines="0" w:afterLines="0"/>
        <w:jc w:val="center"/>
        <w:outlineLvl w:val="0"/>
        <w:rPr>
          <w:rFonts w:ascii="黑体" w:hAnsi="宋体" w:eastAsia="黑体"/>
          <w:b/>
          <w:bCs/>
          <w:color w:val="auto"/>
          <w:sz w:val="28"/>
          <w:szCs w:val="28"/>
          <w:highlight w:val="none"/>
        </w:rPr>
      </w:pPr>
    </w:p>
    <w:p>
      <w:pPr>
        <w:pStyle w:val="12"/>
        <w:snapToGrid w:val="0"/>
        <w:spacing w:beforeLines="0" w:afterLines="0"/>
        <w:jc w:val="center"/>
        <w:outlineLvl w:val="0"/>
        <w:rPr>
          <w:rFonts w:ascii="黑体" w:hAnsi="宋体" w:eastAsia="黑体"/>
          <w:b/>
          <w:bCs/>
          <w:color w:val="auto"/>
          <w:sz w:val="28"/>
          <w:szCs w:val="28"/>
          <w:highlight w:val="none"/>
        </w:rPr>
      </w:pPr>
      <w:r>
        <w:rPr>
          <w:rFonts w:ascii="黑体" w:hAnsi="宋体" w:eastAsia="黑体"/>
          <w:b/>
          <w:bCs/>
          <w:color w:val="auto"/>
          <w:sz w:val="28"/>
          <w:szCs w:val="28"/>
          <w:highlight w:val="none"/>
        </w:rPr>
        <w:t>前附表</w:t>
      </w:r>
    </w:p>
    <w:p>
      <w:pPr>
        <w:pStyle w:val="12"/>
        <w:snapToGrid w:val="0"/>
        <w:spacing w:beforeLines="0" w:afterLines="0"/>
        <w:jc w:val="center"/>
        <w:outlineLvl w:val="0"/>
        <w:rPr>
          <w:rFonts w:ascii="黑体" w:hAnsi="宋体" w:eastAsia="黑体"/>
          <w:b/>
          <w:bCs/>
          <w:color w:val="auto"/>
          <w:sz w:val="28"/>
          <w:szCs w:val="28"/>
          <w:highlight w:val="none"/>
        </w:rPr>
      </w:pPr>
    </w:p>
    <w:tbl>
      <w:tblPr>
        <w:tblStyle w:val="24"/>
        <w:tblW w:w="858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9"/>
        <w:gridCol w:w="781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6"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序号</w:t>
            </w:r>
          </w:p>
        </w:tc>
        <w:tc>
          <w:tcPr>
            <w:tcW w:w="781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3"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p>
        </w:tc>
        <w:tc>
          <w:tcPr>
            <w:tcW w:w="7816" w:type="dxa"/>
            <w:tcBorders>
              <w:top w:val="single" w:color="auto" w:sz="4" w:space="0"/>
              <w:left w:val="single" w:color="auto" w:sz="4" w:space="0"/>
              <w:bottom w:val="single" w:color="auto" w:sz="4" w:space="0"/>
              <w:right w:val="single" w:color="auto" w:sz="4" w:space="0"/>
            </w:tcBorders>
            <w:vAlign w:val="center"/>
          </w:tcPr>
          <w:p>
            <w:pPr>
              <w:tabs>
                <w:tab w:val="left" w:pos="105"/>
                <w:tab w:val="left" w:pos="735"/>
                <w:tab w:val="left" w:pos="945"/>
                <w:tab w:val="left" w:pos="3360"/>
              </w:tabs>
              <w:spacing w:line="40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专门面向中小微企业招标：</w:t>
            </w:r>
            <w:r>
              <w:rPr>
                <w:rFonts w:hint="eastAsia" w:asciiTheme="minorEastAsia" w:hAnsiTheme="minorEastAsia" w:eastAsiaTheme="minorEastAsia"/>
                <w:color w:val="auto"/>
                <w:szCs w:val="21"/>
                <w:highlight w:val="none"/>
                <w:bdr w:val="single" w:color="auto" w:sz="4" w:space="0"/>
              </w:rPr>
              <w:t>√</w:t>
            </w:r>
            <w:r>
              <w:rPr>
                <w:rFonts w:hint="eastAsia" w:asciiTheme="minorEastAsia" w:hAnsiTheme="minorEastAsia" w:eastAsiaTheme="minorEastAsia"/>
                <w:color w:val="auto"/>
                <w:szCs w:val="21"/>
                <w:highlight w:val="none"/>
              </w:rPr>
              <w:t>是；</w:t>
            </w:r>
            <w:r>
              <w:rPr>
                <w:rFonts w:hint="eastAsia" w:asciiTheme="minorEastAsia" w:hAnsiTheme="minorEastAsia" w:eastAsiaTheme="minorEastAsia"/>
                <w:color w:val="auto"/>
                <w:szCs w:val="21"/>
                <w:highlight w:val="none"/>
                <w:bdr w:val="single" w:color="auto" w:sz="4" w:space="0"/>
              </w:rPr>
              <w:t xml:space="preserve">  </w:t>
            </w:r>
            <w:r>
              <w:rPr>
                <w:rFonts w:hint="eastAsia" w:asciiTheme="minorEastAsia" w:hAnsiTheme="minorEastAsia" w:eastAsiaTheme="minorEastAsia"/>
                <w:color w:val="auto"/>
                <w:szCs w:val="21"/>
                <w:highlight w:val="none"/>
              </w:rPr>
              <w:t>否。</w:t>
            </w:r>
            <w:r>
              <w:rPr>
                <w:rFonts w:hint="eastAsia" w:asciiTheme="minorEastAsia" w:hAnsiTheme="minorEastAsia" w:eastAsiaTheme="minorEastAsia" w:cstheme="minorEastAsia"/>
                <w:color w:val="auto"/>
                <w:sz w:val="21"/>
                <w:szCs w:val="21"/>
                <w:highlight w:val="none"/>
                <w:lang w:val="en-US" w:eastAsia="zh-CN"/>
              </w:rPr>
              <w:t>是</w:t>
            </w:r>
            <w:r>
              <w:rPr>
                <w:rFonts w:hint="eastAsia" w:asciiTheme="minorEastAsia" w:hAnsiTheme="minorEastAsia" w:eastAsiaTheme="minorEastAsia" w:cstheme="minorEastAsia"/>
                <w:color w:val="auto"/>
                <w:sz w:val="21"/>
                <w:szCs w:val="21"/>
                <w:highlight w:val="none"/>
              </w:rPr>
              <w:t>专门面向中小微企业招标项目。</w:t>
            </w:r>
          </w:p>
          <w:p>
            <w:pPr>
              <w:pStyle w:val="34"/>
              <w:ind w:left="0" w:leftChars="0" w:firstLine="0" w:firstLineChars="0"/>
              <w:rPr>
                <w:rFonts w:hint="eastAsia"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kern w:val="2"/>
                <w:sz w:val="21"/>
                <w:szCs w:val="21"/>
                <w:highlight w:val="none"/>
                <w:lang w:val="en-US" w:eastAsia="zh-CN" w:bidi="ar-SA"/>
              </w:rPr>
              <w:t>采购标的对应的中小企业划分标准所属行业：物业管理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3"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Cs/>
                <w:color w:val="auto"/>
                <w:sz w:val="21"/>
                <w:szCs w:val="21"/>
                <w:highlight w:val="none"/>
              </w:rPr>
              <w:t>★2</w:t>
            </w:r>
          </w:p>
        </w:tc>
        <w:tc>
          <w:tcPr>
            <w:tcW w:w="7816" w:type="dxa"/>
            <w:tcBorders>
              <w:top w:val="single" w:color="auto" w:sz="4" w:space="0"/>
              <w:left w:val="single" w:color="auto" w:sz="4" w:space="0"/>
              <w:bottom w:val="single" w:color="auto" w:sz="4" w:space="0"/>
              <w:right w:val="single" w:color="auto" w:sz="4" w:space="0"/>
            </w:tcBorders>
            <w:vAlign w:val="center"/>
          </w:tcPr>
          <w:p>
            <w:pPr>
              <w:widowControl/>
              <w:tabs>
                <w:tab w:val="left" w:pos="180"/>
                <w:tab w:val="left" w:pos="360"/>
              </w:tabs>
              <w:adjustRightInd w:val="0"/>
              <w:snapToGrid w:val="0"/>
              <w:spacing w:line="400" w:lineRule="exact"/>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本次招标有关信息公告在</w:t>
            </w:r>
          </w:p>
          <w:p>
            <w:pPr>
              <w:spacing w:line="400" w:lineRule="exact"/>
              <w:jc w:val="left"/>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宁波市公共资源交易电子服务系统V2.0（https://jyxt.zwb.ningbo.gov.cn:4011/website/home)</w:t>
            </w:r>
          </w:p>
          <w:p>
            <w:pPr>
              <w:widowControl/>
              <w:spacing w:line="400" w:lineRule="exact"/>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宁波政府采购网（</w:t>
            </w:r>
            <w:r>
              <w:rPr>
                <w:rFonts w:hint="eastAsia" w:asciiTheme="minorEastAsia" w:hAnsiTheme="minorEastAsia" w:eastAsiaTheme="minorEastAsia" w:cstheme="minorEastAsia"/>
                <w:color w:val="auto"/>
                <w:sz w:val="21"/>
                <w:szCs w:val="21"/>
                <w:highlight w:val="none"/>
                <w:lang w:eastAsia="zh-CN"/>
              </w:rPr>
              <w:t>https://zfcg.czj.ningbo.gov.cn</w:t>
            </w:r>
            <w:r>
              <w:rPr>
                <w:rFonts w:hint="eastAsia" w:asciiTheme="minorEastAsia" w:hAnsiTheme="minorEastAsia" w:eastAsiaTheme="minorEastAsia" w:cstheme="minorEastAsia"/>
                <w:color w:val="auto"/>
                <w:sz w:val="21"/>
                <w:szCs w:val="21"/>
                <w:highlight w:val="none"/>
              </w:rPr>
              <w:t>）</w:t>
            </w:r>
          </w:p>
          <w:p>
            <w:pPr>
              <w:spacing w:line="40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浙江政府采购网（</w:t>
            </w:r>
            <w:r>
              <w:rPr>
                <w:rFonts w:hint="eastAsia" w:asciiTheme="minorEastAsia" w:hAnsiTheme="minorEastAsia" w:eastAsiaTheme="minorEastAsia" w:cstheme="minorEastAsia"/>
                <w:color w:val="auto"/>
                <w:sz w:val="21"/>
                <w:szCs w:val="21"/>
                <w:highlight w:val="none"/>
                <w:lang w:eastAsia="zh-CN"/>
              </w:rPr>
              <w:t>https://zfcg.czt.zj.gov.cn</w:t>
            </w:r>
            <w:r>
              <w:rPr>
                <w:rFonts w:hint="eastAsia" w:asciiTheme="minorEastAsia" w:hAnsiTheme="minorEastAsia" w:eastAsiaTheme="minorEastAsia" w:cstheme="minorEastAsia"/>
                <w:color w:val="auto"/>
                <w:sz w:val="21"/>
                <w:szCs w:val="21"/>
                <w:highlight w:val="none"/>
              </w:rPr>
              <w:t>）</w:t>
            </w:r>
          </w:p>
          <w:p>
            <w:pPr>
              <w:spacing w:line="400" w:lineRule="exac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本项目自发布公告后后续可能出现的修改通知，澄清说明等都发布在上述媒体，请供应商随时关注下载，如有错过，后果自负。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6"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Cs/>
                <w:color w:val="auto"/>
                <w:sz w:val="21"/>
                <w:szCs w:val="21"/>
                <w:highlight w:val="none"/>
              </w:rPr>
              <w:t>★</w:t>
            </w:r>
            <w:r>
              <w:rPr>
                <w:rFonts w:hint="eastAsia" w:asciiTheme="minorEastAsia" w:hAnsiTheme="minorEastAsia" w:eastAsiaTheme="minorEastAsia" w:cstheme="minorEastAsia"/>
                <w:color w:val="auto"/>
                <w:sz w:val="21"/>
                <w:szCs w:val="21"/>
                <w:highlight w:val="none"/>
              </w:rPr>
              <w:t>3</w:t>
            </w:r>
          </w:p>
        </w:tc>
        <w:tc>
          <w:tcPr>
            <w:tcW w:w="7816"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本招标文件中要求提供的原件也可用有效的公证件代替。</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6"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Theme="minorEastAsia" w:hAnsiTheme="minorEastAsia" w:eastAsiaTheme="minorEastAsia" w:cstheme="minorEastAsia"/>
                <w:bCs/>
                <w:color w:val="auto"/>
                <w:sz w:val="21"/>
                <w:szCs w:val="21"/>
                <w:highlight w:val="none"/>
              </w:rPr>
            </w:pPr>
            <w:r>
              <w:rPr>
                <w:rFonts w:hint="eastAsia" w:asciiTheme="minorEastAsia" w:hAnsiTheme="minorEastAsia" w:eastAsiaTheme="minorEastAsia" w:cstheme="minorEastAsia"/>
                <w:bCs/>
                <w:color w:val="auto"/>
                <w:sz w:val="21"/>
                <w:szCs w:val="21"/>
                <w:highlight w:val="none"/>
              </w:rPr>
              <w:t>4</w:t>
            </w:r>
          </w:p>
        </w:tc>
        <w:tc>
          <w:tcPr>
            <w:tcW w:w="7816"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中标结果公告发布后，中标供应商需提供纸质投标文件一份，以备存档。</w:t>
            </w:r>
          </w:p>
        </w:tc>
      </w:tr>
    </w:tbl>
    <w:p>
      <w:pPr>
        <w:spacing w:line="400" w:lineRule="exact"/>
        <w:jc w:val="center"/>
        <w:rPr>
          <w:rFonts w:asciiTheme="minorEastAsia" w:hAnsiTheme="minorEastAsia" w:eastAsiaTheme="minorEastAsia"/>
          <w:color w:val="auto"/>
          <w:szCs w:val="21"/>
          <w:highlight w:val="none"/>
        </w:rPr>
      </w:pPr>
      <w:r>
        <w:rPr>
          <w:rFonts w:hint="eastAsia"/>
          <w:color w:val="auto"/>
          <w:highlight w:val="none"/>
        </w:rPr>
        <w:br w:type="page"/>
      </w:r>
      <w:r>
        <w:rPr>
          <w:rFonts w:hint="eastAsia" w:asciiTheme="minorEastAsia" w:hAnsiTheme="minorEastAsia" w:eastAsiaTheme="minorEastAsia"/>
          <w:b/>
          <w:bCs/>
          <w:color w:val="auto"/>
          <w:szCs w:val="21"/>
          <w:highlight w:val="none"/>
        </w:rPr>
        <w:t>一、总  则</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（一）</w:t>
      </w:r>
      <w:r>
        <w:rPr>
          <w:rFonts w:asciiTheme="minorEastAsia" w:hAnsiTheme="minorEastAsia" w:eastAsiaTheme="minorEastAsia"/>
          <w:color w:val="auto"/>
          <w:szCs w:val="21"/>
          <w:highlight w:val="none"/>
        </w:rPr>
        <w:t>适用范围</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本招标文件适用于该项目的招标、投标、开标、资格审查、评标、定标、合同、验收等行为（法律、法规另有规定的，从其规定）。</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（二）定义</w:t>
      </w:r>
    </w:p>
    <w:p>
      <w:pPr>
        <w:snapToGrid w:val="0"/>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.“采购人”</w:t>
      </w:r>
      <w:r>
        <w:rPr>
          <w:rFonts w:asciiTheme="minorEastAsia" w:hAnsiTheme="minorEastAsia" w:eastAsiaTheme="minorEastAsia"/>
          <w:color w:val="auto"/>
          <w:szCs w:val="21"/>
          <w:highlight w:val="none"/>
        </w:rPr>
        <w:t>是指依法进行政府</w:t>
      </w:r>
      <w:r>
        <w:rPr>
          <w:rFonts w:hint="eastAsia" w:asciiTheme="minorEastAsia" w:hAnsiTheme="minorEastAsia" w:eastAsiaTheme="minorEastAsia"/>
          <w:color w:val="auto"/>
          <w:szCs w:val="21"/>
          <w:highlight w:val="none"/>
        </w:rPr>
        <w:t>采购的国家机关、事业单位、团体组织。</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2.“采购代理机构”是指</w:t>
      </w:r>
      <w:r>
        <w:rPr>
          <w:rFonts w:hint="eastAsia" w:asciiTheme="minorEastAsia" w:hAnsiTheme="minorEastAsia" w:eastAsiaTheme="minorEastAsia"/>
          <w:color w:val="auto"/>
          <w:szCs w:val="21"/>
          <w:highlight w:val="none"/>
          <w:lang w:eastAsia="zh-CN"/>
        </w:rPr>
        <w:t>宁海县政务服务中心</w:t>
      </w:r>
      <w:r>
        <w:rPr>
          <w:rFonts w:hint="eastAsia" w:asciiTheme="minorEastAsia" w:hAnsiTheme="minorEastAsia" w:eastAsiaTheme="minorEastAsia"/>
          <w:color w:val="auto"/>
          <w:szCs w:val="21"/>
          <w:highlight w:val="none"/>
        </w:rPr>
        <w:t>。</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投标人”是指响应招标、参加投标竞争的法人、其他组织或者自然人。</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”是指实质性要求条款。</w:t>
      </w:r>
    </w:p>
    <w:p>
      <w:pPr>
        <w:spacing w:line="400" w:lineRule="exact"/>
        <w:ind w:firstLine="420" w:firstLineChars="200"/>
        <w:rPr>
          <w:rFonts w:asciiTheme="minorEastAsia" w:hAnsiTheme="minorEastAsia" w:eastAsiaTheme="minorEastAsia"/>
          <w:color w:val="auto"/>
          <w:szCs w:val="21"/>
          <w:highlight w:val="none"/>
        </w:rPr>
      </w:pPr>
      <w:bookmarkStart w:id="38" w:name="_Toc317685562"/>
      <w:bookmarkStart w:id="39" w:name="_Toc304292180"/>
      <w:r>
        <w:rPr>
          <w:rFonts w:hint="eastAsia" w:asciiTheme="minorEastAsia" w:hAnsiTheme="minorEastAsia" w:eastAsiaTheme="minorEastAsia"/>
          <w:color w:val="auto"/>
          <w:szCs w:val="21"/>
          <w:highlight w:val="none"/>
        </w:rPr>
        <w:t>（三）投标委</w:t>
      </w:r>
      <w:bookmarkEnd w:id="38"/>
      <w:bookmarkEnd w:id="39"/>
      <w:r>
        <w:rPr>
          <w:rFonts w:hint="eastAsia" w:asciiTheme="minorEastAsia" w:hAnsiTheme="minorEastAsia" w:eastAsiaTheme="minorEastAsia"/>
          <w:color w:val="auto"/>
          <w:szCs w:val="21"/>
          <w:highlight w:val="none"/>
        </w:rPr>
        <w:t>托</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w:t>
      </w:r>
      <w:r>
        <w:rPr>
          <w:rFonts w:asciiTheme="minorEastAsia" w:hAnsiTheme="minorEastAsia" w:eastAsiaTheme="minorEastAsia"/>
          <w:color w:val="auto"/>
          <w:szCs w:val="21"/>
          <w:highlight w:val="none"/>
        </w:rPr>
        <w:t>代表须</w:t>
      </w:r>
      <w:r>
        <w:rPr>
          <w:rFonts w:hint="eastAsia" w:asciiTheme="minorEastAsia" w:hAnsiTheme="minorEastAsia" w:eastAsiaTheme="minorEastAsia"/>
          <w:color w:val="auto"/>
          <w:szCs w:val="21"/>
          <w:highlight w:val="none"/>
        </w:rPr>
        <w:t>提</w:t>
      </w:r>
      <w:r>
        <w:rPr>
          <w:rFonts w:asciiTheme="minorEastAsia" w:hAnsiTheme="minorEastAsia" w:eastAsiaTheme="minorEastAsia"/>
          <w:color w:val="auto"/>
          <w:szCs w:val="21"/>
          <w:highlight w:val="none"/>
        </w:rPr>
        <w:t>供</w:t>
      </w:r>
      <w:r>
        <w:rPr>
          <w:rFonts w:hint="eastAsia" w:asciiTheme="minorEastAsia" w:hAnsiTheme="minorEastAsia" w:eastAsiaTheme="minorEastAsia"/>
          <w:color w:val="auto"/>
          <w:szCs w:val="21"/>
          <w:highlight w:val="none"/>
        </w:rPr>
        <w:t>有效</w:t>
      </w:r>
      <w:r>
        <w:rPr>
          <w:rFonts w:asciiTheme="minorEastAsia" w:hAnsiTheme="minorEastAsia" w:eastAsiaTheme="minorEastAsia"/>
          <w:color w:val="auto"/>
          <w:szCs w:val="21"/>
          <w:highlight w:val="none"/>
        </w:rPr>
        <w:t>身份证</w:t>
      </w:r>
      <w:r>
        <w:rPr>
          <w:rFonts w:hint="eastAsia" w:asciiTheme="minorEastAsia" w:hAnsiTheme="minorEastAsia" w:eastAsiaTheme="minorEastAsia"/>
          <w:color w:val="auto"/>
          <w:szCs w:val="21"/>
          <w:highlight w:val="none"/>
        </w:rPr>
        <w:t>件</w:t>
      </w:r>
      <w:r>
        <w:rPr>
          <w:rFonts w:asciiTheme="minorEastAsia" w:hAnsiTheme="minorEastAsia" w:eastAsiaTheme="minorEastAsia"/>
          <w:color w:val="auto"/>
          <w:szCs w:val="21"/>
          <w:highlight w:val="none"/>
        </w:rPr>
        <w:t>。如</w:t>
      </w:r>
      <w:r>
        <w:rPr>
          <w:rFonts w:hint="eastAsia" w:asciiTheme="minorEastAsia" w:hAnsiTheme="minorEastAsia" w:eastAsiaTheme="minorEastAsia"/>
          <w:color w:val="auto"/>
          <w:szCs w:val="21"/>
          <w:highlight w:val="none"/>
        </w:rPr>
        <w:t>投标人</w:t>
      </w:r>
      <w:r>
        <w:rPr>
          <w:rFonts w:asciiTheme="minorEastAsia" w:hAnsiTheme="minorEastAsia" w:eastAsiaTheme="minorEastAsia"/>
          <w:color w:val="auto"/>
          <w:szCs w:val="21"/>
          <w:highlight w:val="none"/>
        </w:rPr>
        <w:t>代表不是法定代表人／负责人，须有法定代表人／负责人出具的授权委托书</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格式见</w:t>
      </w:r>
      <w:r>
        <w:rPr>
          <w:rFonts w:hint="eastAsia" w:asciiTheme="minorEastAsia" w:hAnsiTheme="minorEastAsia" w:eastAsiaTheme="minorEastAsia"/>
          <w:color w:val="auto"/>
          <w:szCs w:val="21"/>
          <w:highlight w:val="none"/>
        </w:rPr>
        <w:t>附件</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w:t>
      </w:r>
      <w:bookmarkStart w:id="40" w:name="_Toc317685563"/>
      <w:bookmarkStart w:id="41" w:name="_Toc304292181"/>
      <w:r>
        <w:rPr>
          <w:rFonts w:hint="eastAsia" w:asciiTheme="minorEastAsia" w:hAnsiTheme="minorEastAsia" w:eastAsiaTheme="minorEastAsia"/>
          <w:color w:val="auto"/>
          <w:szCs w:val="21"/>
          <w:highlight w:val="none"/>
        </w:rPr>
        <w:t>银行、保险、石油石化、电力、电信、移动、联通等分支机构可提供分支机构负责人授权书。</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（四）</w:t>
      </w:r>
      <w:bookmarkEnd w:id="40"/>
      <w:bookmarkEnd w:id="41"/>
      <w:r>
        <w:rPr>
          <w:rFonts w:hint="eastAsia" w:asciiTheme="minorEastAsia" w:hAnsiTheme="minorEastAsia" w:eastAsiaTheme="minorEastAsia"/>
          <w:color w:val="auto"/>
          <w:szCs w:val="21"/>
          <w:highlight w:val="none"/>
        </w:rPr>
        <w:t>投标费用</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无论投标结果如何，投标人均应自行承担所有与投标有关的全部费用。</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（五）转包与分包</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本项目不得转包</w:t>
      </w:r>
      <w:r>
        <w:rPr>
          <w:rFonts w:hint="eastAsia" w:asciiTheme="minorEastAsia" w:hAnsiTheme="minorEastAsia" w:eastAsiaTheme="minorEastAsia"/>
          <w:color w:val="auto"/>
          <w:szCs w:val="21"/>
          <w:highlight w:val="none"/>
        </w:rPr>
        <w:t>，未经采购人同意不得分包。</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（六）特别说明</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银行、保险、石油石化、电力、电信、移动、联通等行业实行许可证管理的本地分支机构可直接参与投标，法人代表授权书可以为分公司负责人授权。</w:t>
      </w:r>
    </w:p>
    <w:p>
      <w:pPr>
        <w:spacing w:line="400" w:lineRule="exact"/>
        <w:jc w:val="center"/>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t>二</w:t>
      </w:r>
      <w:r>
        <w:rPr>
          <w:rFonts w:hint="eastAsia" w:asciiTheme="minorEastAsia" w:hAnsiTheme="minorEastAsia" w:eastAsiaTheme="minorEastAsia"/>
          <w:b/>
          <w:color w:val="auto"/>
          <w:szCs w:val="21"/>
          <w:highlight w:val="none"/>
        </w:rPr>
        <w:t>、</w:t>
      </w:r>
      <w:r>
        <w:rPr>
          <w:rFonts w:asciiTheme="minorEastAsia" w:hAnsiTheme="minorEastAsia" w:eastAsiaTheme="minorEastAsia"/>
          <w:b/>
          <w:color w:val="auto"/>
          <w:szCs w:val="21"/>
          <w:highlight w:val="none"/>
        </w:rPr>
        <w:t>招标文件</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（一）招标文件的构成。本招标文件由以下部分组成：</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.招标</w:t>
      </w:r>
      <w:r>
        <w:rPr>
          <w:rFonts w:asciiTheme="minorEastAsia" w:hAnsiTheme="minorEastAsia" w:eastAsiaTheme="minorEastAsia"/>
          <w:color w:val="auto"/>
          <w:szCs w:val="21"/>
          <w:highlight w:val="none"/>
        </w:rPr>
        <w:t>公告</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采购需求</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投标人须知</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4</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评标办法及</w:t>
      </w:r>
      <w:r>
        <w:rPr>
          <w:rFonts w:hint="eastAsia" w:asciiTheme="minorEastAsia" w:hAnsiTheme="minorEastAsia" w:eastAsiaTheme="minorEastAsia"/>
          <w:color w:val="auto"/>
          <w:szCs w:val="21"/>
          <w:highlight w:val="none"/>
        </w:rPr>
        <w:t>评标</w:t>
      </w:r>
      <w:r>
        <w:rPr>
          <w:rFonts w:asciiTheme="minorEastAsia" w:hAnsiTheme="minorEastAsia" w:eastAsiaTheme="minorEastAsia"/>
          <w:color w:val="auto"/>
          <w:szCs w:val="21"/>
          <w:highlight w:val="none"/>
        </w:rPr>
        <w:t>标准</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5</w:t>
      </w:r>
      <w:r>
        <w:rPr>
          <w:rFonts w:hint="eastAsia" w:asciiTheme="minorEastAsia" w:hAnsiTheme="minorEastAsia" w:eastAsiaTheme="minorEastAsia"/>
          <w:color w:val="auto"/>
          <w:szCs w:val="21"/>
          <w:highlight w:val="none"/>
        </w:rPr>
        <w:t>.政府采购</w:t>
      </w:r>
      <w:r>
        <w:rPr>
          <w:rFonts w:asciiTheme="minorEastAsia" w:hAnsiTheme="minorEastAsia" w:eastAsiaTheme="minorEastAsia"/>
          <w:color w:val="auto"/>
          <w:szCs w:val="21"/>
          <w:highlight w:val="none"/>
        </w:rPr>
        <w:t>合同主要条款</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6</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投标文件格式</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7.本项目</w:t>
      </w:r>
      <w:r>
        <w:rPr>
          <w:rFonts w:asciiTheme="minorEastAsia" w:hAnsiTheme="minorEastAsia" w:eastAsiaTheme="minorEastAsia"/>
          <w:color w:val="auto"/>
          <w:szCs w:val="21"/>
          <w:highlight w:val="none"/>
        </w:rPr>
        <w:t>招标文件</w:t>
      </w:r>
      <w:r>
        <w:rPr>
          <w:rFonts w:hint="eastAsia" w:asciiTheme="minorEastAsia" w:hAnsiTheme="minorEastAsia" w:eastAsiaTheme="minorEastAsia"/>
          <w:color w:val="auto"/>
          <w:szCs w:val="21"/>
          <w:highlight w:val="none"/>
        </w:rPr>
        <w:t>的</w:t>
      </w:r>
      <w:r>
        <w:rPr>
          <w:rFonts w:asciiTheme="minorEastAsia" w:hAnsiTheme="minorEastAsia" w:eastAsiaTheme="minorEastAsia"/>
          <w:color w:val="auto"/>
          <w:szCs w:val="21"/>
          <w:highlight w:val="none"/>
        </w:rPr>
        <w:t>澄清、答复、修改、补充的内容</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（二）招标文件的澄清与修改</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采购人或者采购代理机构可以对已发出的招标文件进行必要的澄清或者修改。为使潜在投标人有足够的时间修改投标文件，采购人或者采购代理机构应在投标截止时间15日前在原公告发布媒体上发布通知，不足15日的，采购人或者采购代理机构应当顺延提交投标文件的截止时间。</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澄清或者修改的内容为招标文件的组成部分</w:t>
      </w:r>
      <w:r>
        <w:rPr>
          <w:rFonts w:hint="eastAsia" w:asciiTheme="minorEastAsia" w:hAnsiTheme="minorEastAsia"/>
          <w:color w:val="auto"/>
          <w:szCs w:val="21"/>
          <w:highlight w:val="none"/>
        </w:rPr>
        <w:t>。</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3.所有投标人均有义务登陆</w:t>
      </w:r>
      <w:r>
        <w:rPr>
          <w:rFonts w:hint="eastAsia" w:asciiTheme="minorEastAsia" w:hAnsiTheme="minorEastAsia" w:eastAsiaTheme="minorEastAsia"/>
          <w:color w:val="auto"/>
          <w:szCs w:val="21"/>
          <w:highlight w:val="none"/>
          <w:lang w:eastAsia="zh-CN"/>
        </w:rPr>
        <w:t>宁波市公共资源交易电子服务系统V2.0（https://jyxt.zwb.ningbo.gov.cn:4011/website/home)</w:t>
      </w:r>
      <w:r>
        <w:rPr>
          <w:rFonts w:hint="eastAsia" w:asciiTheme="minorEastAsia" w:hAnsiTheme="minorEastAsia" w:eastAsiaTheme="minorEastAsia"/>
          <w:color w:val="auto"/>
          <w:szCs w:val="21"/>
          <w:highlight w:val="none"/>
        </w:rPr>
        <w:t>、宁波政府采购网（</w:t>
      </w:r>
      <w:r>
        <w:rPr>
          <w:rFonts w:hint="eastAsia" w:asciiTheme="minorEastAsia" w:hAnsiTheme="minorEastAsia" w:eastAsiaTheme="minorEastAsia"/>
          <w:color w:val="auto"/>
          <w:szCs w:val="21"/>
          <w:highlight w:val="none"/>
          <w:lang w:eastAsia="zh-CN"/>
        </w:rPr>
        <w:t>https://zfcg.czj.ningbo.gov.cn</w:t>
      </w:r>
      <w:r>
        <w:rPr>
          <w:rFonts w:hint="eastAsia" w:asciiTheme="minorEastAsia" w:hAnsiTheme="minorEastAsia" w:eastAsiaTheme="minorEastAsia"/>
          <w:color w:val="auto"/>
          <w:szCs w:val="21"/>
          <w:highlight w:val="none"/>
        </w:rPr>
        <w:t>）和浙江政府采购网（</w:t>
      </w:r>
      <w:r>
        <w:rPr>
          <w:rFonts w:hint="eastAsia" w:asciiTheme="minorEastAsia" w:hAnsiTheme="minorEastAsia" w:eastAsiaTheme="minorEastAsia"/>
          <w:color w:val="auto"/>
          <w:szCs w:val="21"/>
          <w:highlight w:val="none"/>
          <w:lang w:eastAsia="zh-CN"/>
        </w:rPr>
        <w:t>https://zfcg.czt.zj.gov.cn</w:t>
      </w:r>
      <w:r>
        <w:rPr>
          <w:rFonts w:hint="eastAsia" w:asciiTheme="minorEastAsia" w:hAnsiTheme="minorEastAsia" w:eastAsiaTheme="minorEastAsia"/>
          <w:color w:val="auto"/>
          <w:szCs w:val="21"/>
          <w:highlight w:val="none"/>
        </w:rPr>
        <w:t>）网站获取相关信息，</w:t>
      </w:r>
      <w:r>
        <w:rPr>
          <w:rFonts w:hint="eastAsia" w:asciiTheme="minorEastAsia" w:hAnsiTheme="minorEastAsia" w:eastAsiaTheme="minorEastAsia"/>
          <w:color w:val="auto"/>
          <w:szCs w:val="21"/>
          <w:highlight w:val="none"/>
          <w:lang w:eastAsia="zh-CN"/>
        </w:rPr>
        <w:t>宁海县政务服务中心</w:t>
      </w:r>
      <w:r>
        <w:rPr>
          <w:rFonts w:hint="eastAsia" w:asciiTheme="minorEastAsia" w:hAnsiTheme="minorEastAsia" w:eastAsiaTheme="minorEastAsia"/>
          <w:color w:val="auto"/>
          <w:szCs w:val="21"/>
          <w:highlight w:val="none"/>
        </w:rPr>
        <w:t>发布在上述网站的修改通知，澄清说明等视为已送达各投标人且已为各投标人知悉，请各投标人密切关注。</w:t>
      </w:r>
    </w:p>
    <w:p>
      <w:pPr>
        <w:spacing w:line="400" w:lineRule="exact"/>
        <w:jc w:val="center"/>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t>三</w:t>
      </w:r>
      <w:r>
        <w:rPr>
          <w:rFonts w:hint="eastAsia" w:asciiTheme="minorEastAsia" w:hAnsiTheme="minorEastAsia" w:eastAsiaTheme="minorEastAsia"/>
          <w:b/>
          <w:color w:val="auto"/>
          <w:szCs w:val="21"/>
          <w:highlight w:val="none"/>
        </w:rPr>
        <w:t>、</w:t>
      </w:r>
      <w:r>
        <w:rPr>
          <w:rFonts w:asciiTheme="minorEastAsia" w:hAnsiTheme="minorEastAsia" w:eastAsiaTheme="minorEastAsia"/>
          <w:b/>
          <w:color w:val="auto"/>
          <w:szCs w:val="21"/>
          <w:highlight w:val="none"/>
        </w:rPr>
        <w:t>投标文件</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（一）投标文件的组成</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投标文件由技术商务文件及报价文件两部分组成。</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1.技术商务文件的内容组成</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（1）资格条件自查表（格式见附件）</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（2）符合性自查表（格式见附件）</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（3）评分索引表（格式详见技术商务文件格式中的评分索引表）</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（4）对照技术商务评分表的要求提供以下资料：</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①</w:t>
      </w:r>
      <w:r>
        <w:rPr>
          <w:rFonts w:hint="eastAsia" w:ascii="宋体" w:hAnsi="宋体" w:eastAsia="宋体" w:cs="宋体"/>
          <w:color w:val="auto"/>
          <w:sz w:val="21"/>
          <w:szCs w:val="21"/>
          <w:highlight w:val="none"/>
        </w:rPr>
        <w:t>整体综合服务管理方案</w:t>
      </w:r>
      <w:r>
        <w:rPr>
          <w:rFonts w:hint="eastAsia" w:asciiTheme="minorEastAsia" w:hAnsiTheme="minorEastAsia" w:eastAsiaTheme="minorEastAsia"/>
          <w:color w:val="auto"/>
          <w:szCs w:val="21"/>
          <w:highlight w:val="none"/>
        </w:rPr>
        <w:t>；</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②</w:t>
      </w:r>
      <w:r>
        <w:rPr>
          <w:rFonts w:hint="eastAsia" w:ascii="宋体" w:hAnsi="宋体" w:eastAsia="宋体" w:cs="宋体"/>
          <w:color w:val="000000"/>
          <w:sz w:val="21"/>
          <w:szCs w:val="21"/>
          <w:highlight w:val="none"/>
          <w:lang w:val="en-US" w:eastAsia="zh-CN"/>
        </w:rPr>
        <w:t>管理制度</w:t>
      </w:r>
      <w:r>
        <w:rPr>
          <w:rFonts w:hint="eastAsia" w:asciiTheme="minorEastAsia" w:hAnsiTheme="minorEastAsia" w:eastAsiaTheme="minorEastAsia"/>
          <w:color w:val="auto"/>
          <w:szCs w:val="21"/>
          <w:highlight w:val="none"/>
        </w:rPr>
        <w:t>；</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③</w:t>
      </w:r>
      <w:r>
        <w:rPr>
          <w:rFonts w:hint="eastAsia" w:ascii="宋体" w:hAnsi="宋体" w:cs="宋体"/>
          <w:color w:val="000000"/>
          <w:sz w:val="21"/>
          <w:szCs w:val="21"/>
          <w:highlight w:val="none"/>
          <w:lang w:val="en-US" w:eastAsia="zh-CN"/>
        </w:rPr>
        <w:t>安保服务方案</w:t>
      </w:r>
      <w:r>
        <w:rPr>
          <w:rFonts w:hint="eastAsia" w:asciiTheme="minorEastAsia" w:hAnsiTheme="minorEastAsia" w:eastAsiaTheme="minorEastAsia"/>
          <w:color w:val="auto"/>
          <w:szCs w:val="21"/>
          <w:highlight w:val="none"/>
        </w:rPr>
        <w:t>；</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④</w:t>
      </w:r>
      <w:r>
        <w:rPr>
          <w:rFonts w:hint="eastAsia" w:ascii="宋体" w:hAnsi="宋体" w:cs="宋体"/>
          <w:color w:val="000000"/>
          <w:sz w:val="21"/>
          <w:szCs w:val="21"/>
          <w:highlight w:val="none"/>
          <w:lang w:val="en-US" w:eastAsia="zh-CN"/>
        </w:rPr>
        <w:t>会务保障服务方案</w:t>
      </w:r>
      <w:r>
        <w:rPr>
          <w:rFonts w:hint="eastAsia" w:asciiTheme="minorEastAsia" w:hAnsiTheme="minorEastAsia" w:eastAsiaTheme="minorEastAsia"/>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⑤</w:t>
      </w:r>
      <w:r>
        <w:rPr>
          <w:rFonts w:hint="eastAsia" w:ascii="宋体" w:hAnsi="宋体" w:cs="宋体"/>
          <w:color w:val="000000"/>
          <w:sz w:val="21"/>
          <w:szCs w:val="21"/>
          <w:highlight w:val="none"/>
          <w:lang w:val="en-US" w:eastAsia="zh-CN"/>
        </w:rPr>
        <w:t>卫生清洁服务方案</w:t>
      </w:r>
      <w:r>
        <w:rPr>
          <w:rFonts w:hint="eastAsia" w:asciiTheme="minorEastAsia" w:hAnsiTheme="minorEastAsia" w:eastAsiaTheme="minorEastAsia"/>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⑥</w:t>
      </w:r>
      <w:r>
        <w:rPr>
          <w:rFonts w:hint="eastAsia" w:ascii="宋体" w:hAnsi="宋体" w:cs="宋体"/>
          <w:color w:val="000000"/>
          <w:sz w:val="21"/>
          <w:szCs w:val="21"/>
          <w:highlight w:val="none"/>
          <w:lang w:val="en-US" w:eastAsia="zh-CN"/>
        </w:rPr>
        <w:t>绿化服务方案</w:t>
      </w:r>
      <w:r>
        <w:rPr>
          <w:rFonts w:hint="eastAsia" w:asciiTheme="minorEastAsia" w:hAnsiTheme="minorEastAsia" w:eastAsiaTheme="minorEastAsia"/>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⑦</w:t>
      </w:r>
      <w:r>
        <w:rPr>
          <w:rFonts w:hint="eastAsia" w:ascii="宋体" w:hAnsi="宋体" w:eastAsia="宋体" w:cs="宋体"/>
          <w:color w:val="000000"/>
          <w:sz w:val="21"/>
          <w:szCs w:val="21"/>
          <w:highlight w:val="none"/>
          <w:lang w:val="en-US" w:eastAsia="zh-CN"/>
        </w:rPr>
        <w:t>配套设备设施维护服务</w:t>
      </w:r>
      <w:r>
        <w:rPr>
          <w:rFonts w:hint="eastAsia" w:ascii="宋体" w:hAnsi="宋体" w:cs="宋体"/>
          <w:color w:val="000000"/>
          <w:sz w:val="21"/>
          <w:szCs w:val="21"/>
          <w:highlight w:val="none"/>
          <w:lang w:val="en-US" w:eastAsia="zh-CN"/>
        </w:rPr>
        <w:t>方案</w:t>
      </w:r>
      <w:r>
        <w:rPr>
          <w:rFonts w:hint="eastAsia" w:asciiTheme="minorEastAsia" w:hAnsiTheme="minorEastAsia" w:eastAsiaTheme="minorEastAsia"/>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⑧</w:t>
      </w:r>
      <w:r>
        <w:rPr>
          <w:rFonts w:hint="eastAsia" w:ascii="宋体" w:hAnsi="宋体" w:cs="宋体"/>
          <w:color w:val="000000"/>
          <w:sz w:val="21"/>
          <w:szCs w:val="21"/>
          <w:highlight w:val="none"/>
          <w:lang w:val="en-US" w:eastAsia="zh-CN"/>
        </w:rPr>
        <w:t>消防管理方案</w:t>
      </w:r>
      <w:r>
        <w:rPr>
          <w:rFonts w:hint="eastAsia" w:asciiTheme="minorEastAsia" w:hAnsiTheme="minorEastAsia" w:eastAsiaTheme="minorEastAsia"/>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⑨</w:t>
      </w:r>
      <w:r>
        <w:rPr>
          <w:rFonts w:hint="eastAsia" w:ascii="宋体" w:hAnsi="宋体" w:cs="宋体"/>
          <w:color w:val="000000"/>
          <w:sz w:val="21"/>
          <w:szCs w:val="21"/>
          <w:highlight w:val="none"/>
          <w:lang w:val="en-US" w:eastAsia="zh-CN"/>
        </w:rPr>
        <w:t>保密管理方案</w:t>
      </w:r>
      <w:r>
        <w:rPr>
          <w:rFonts w:hint="eastAsia" w:asciiTheme="minorEastAsia" w:hAnsiTheme="minorEastAsia" w:eastAsiaTheme="minorEastAsia"/>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ascii="Cambria Math" w:hAnsi="Cambria Math" w:eastAsiaTheme="minorEastAsia"/>
          <w:color w:val="auto"/>
          <w:szCs w:val="21"/>
          <w:highlight w:val="none"/>
          <w:lang w:val="en-US"/>
        </w:rPr>
      </w:pPr>
      <w:r>
        <w:rPr>
          <w:rFonts w:ascii="Cambria Math" w:hAnsi="Cambria Math" w:eastAsiaTheme="minorEastAsia"/>
          <w:color w:val="auto"/>
          <w:szCs w:val="21"/>
          <w:highlight w:val="none"/>
        </w:rPr>
        <w:t>⑩</w:t>
      </w:r>
      <w:r>
        <w:rPr>
          <w:rFonts w:hint="eastAsia" w:ascii="宋体" w:hAnsi="宋体" w:cs="宋体"/>
          <w:color w:val="000000"/>
          <w:sz w:val="21"/>
          <w:szCs w:val="21"/>
          <w:highlight w:val="none"/>
          <w:lang w:val="en-US" w:eastAsia="zh-CN"/>
        </w:rPr>
        <w:t>应急管理方案；</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asciiTheme="minorEastAsia" w:hAnsiTheme="minorEastAsia" w:eastAsiaTheme="minorEastAsia"/>
          <w:color w:val="auto"/>
          <w:szCs w:val="21"/>
          <w:highlight w:val="none"/>
          <w:lang w:val="en-US"/>
        </w:rPr>
      </w:pPr>
      <w:r>
        <w:rPr>
          <w:rFonts w:ascii="Cambria Math" w:hAnsi="Cambria Math" w:cs="Cambria Math" w:eastAsiaTheme="minorEastAsia"/>
          <w:color w:val="auto"/>
          <w:szCs w:val="21"/>
          <w:highlight w:val="none"/>
          <w:shd w:val="clear" w:color="auto" w:fill="FFFFFF"/>
        </w:rPr>
        <w:t>⑪</w:t>
      </w:r>
      <w:r>
        <w:rPr>
          <w:rFonts w:hint="eastAsia" w:ascii="宋体" w:hAnsi="宋体" w:cs="宋体"/>
          <w:b w:val="0"/>
          <w:bCs/>
          <w:color w:val="000000"/>
          <w:sz w:val="21"/>
          <w:szCs w:val="21"/>
          <w:highlight w:val="none"/>
          <w:lang w:val="en-US" w:eastAsia="zh-CN"/>
        </w:rPr>
        <w:t>拟投入的人员配备及管理；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asciiTheme="minorEastAsia" w:hAnsiTheme="minorEastAsia" w:eastAsiaTheme="minorEastAsia"/>
          <w:color w:val="auto"/>
          <w:szCs w:val="21"/>
          <w:highlight w:val="none"/>
          <w:lang w:val="en-US"/>
        </w:rPr>
      </w:pPr>
      <w:r>
        <w:rPr>
          <w:rFonts w:hint="default" w:ascii="Cambria" w:hAnsi="Cambria" w:eastAsia="宋体" w:cs="Cambria"/>
          <w:bCs/>
          <w:color w:val="000000"/>
          <w:sz w:val="21"/>
          <w:szCs w:val="21"/>
          <w:highlight w:val="none"/>
          <w:lang w:eastAsia="zh-CN"/>
        </w:rPr>
        <w:t>⑫</w:t>
      </w:r>
      <w:r>
        <w:rPr>
          <w:rFonts w:hint="eastAsia" w:ascii="宋体" w:hAnsi="宋体" w:eastAsia="宋体" w:cs="宋体"/>
          <w:bCs/>
          <w:color w:val="000000"/>
          <w:sz w:val="21"/>
          <w:szCs w:val="21"/>
          <w:highlight w:val="none"/>
          <w:lang w:eastAsia="zh-CN"/>
        </w:rPr>
        <w:t>人员</w:t>
      </w:r>
      <w:r>
        <w:rPr>
          <w:rFonts w:hint="eastAsia" w:ascii="宋体" w:hAnsi="宋体" w:eastAsia="宋体" w:cs="宋体"/>
          <w:bCs/>
          <w:color w:val="000000"/>
          <w:sz w:val="21"/>
          <w:szCs w:val="21"/>
          <w:highlight w:val="none"/>
        </w:rPr>
        <w:t>培训与管理</w:t>
      </w:r>
      <w:r>
        <w:rPr>
          <w:rFonts w:hint="eastAsia" w:ascii="宋体" w:hAnsi="宋体" w:cs="宋体"/>
          <w:bCs/>
          <w:color w:val="000000"/>
          <w:sz w:val="21"/>
          <w:szCs w:val="21"/>
          <w:highlight w:val="none"/>
          <w:lang w:val="en-US" w:eastAsia="zh-CN"/>
        </w:rPr>
        <w:t>方案；</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asciiTheme="minorEastAsia" w:hAnsiTheme="minorEastAsia" w:eastAsiaTheme="minorEastAsia"/>
          <w:color w:val="auto"/>
          <w:szCs w:val="21"/>
          <w:highlight w:val="none"/>
          <w:lang w:val="en-US"/>
        </w:rPr>
      </w:pPr>
      <w:r>
        <w:rPr>
          <w:rFonts w:hint="default" w:ascii="Cambria" w:hAnsi="Cambria" w:eastAsia="宋体" w:cs="Cambria"/>
          <w:color w:val="auto"/>
          <w:sz w:val="21"/>
          <w:szCs w:val="21"/>
          <w:highlight w:val="none"/>
          <w:lang w:val="en-US" w:eastAsia="zh-CN"/>
        </w:rPr>
        <w:t>⑬</w:t>
      </w:r>
      <w:r>
        <w:rPr>
          <w:rFonts w:hint="eastAsia" w:ascii="宋体" w:hAnsi="宋体" w:eastAsia="宋体" w:cs="宋体"/>
          <w:color w:val="auto"/>
          <w:sz w:val="21"/>
          <w:szCs w:val="21"/>
          <w:highlight w:val="none"/>
          <w:lang w:val="en-US" w:eastAsia="zh-CN"/>
        </w:rPr>
        <w:t>服务承诺；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eastAsia="宋体" w:asciiTheme="minorEastAsia" w:hAnsiTheme="minorEastAsia"/>
          <w:color w:val="auto"/>
          <w:szCs w:val="21"/>
          <w:highlight w:val="none"/>
          <w:lang w:val="en-US" w:eastAsia="zh-CN"/>
        </w:rPr>
      </w:pPr>
      <w:r>
        <w:rPr>
          <w:rFonts w:hint="default" w:ascii="Cambria" w:hAnsi="Cambria" w:eastAsia="宋体" w:cs="Cambria"/>
          <w:color w:val="auto"/>
          <w:sz w:val="21"/>
          <w:szCs w:val="21"/>
          <w:highlight w:val="none"/>
        </w:rPr>
        <w:t>⑭</w:t>
      </w:r>
      <w:r>
        <w:rPr>
          <w:rFonts w:hint="eastAsia" w:ascii="宋体" w:hAnsi="宋体" w:eastAsia="宋体" w:cs="宋体"/>
          <w:color w:val="auto"/>
          <w:sz w:val="21"/>
          <w:szCs w:val="21"/>
          <w:highlight w:val="none"/>
        </w:rPr>
        <w:t>重点、难点分析</w:t>
      </w:r>
      <w:r>
        <w:rPr>
          <w:rFonts w:hint="eastAsia" w:ascii="宋体" w:hAnsi="宋体" w:eastAsia="宋体" w:cs="宋体"/>
          <w:color w:val="auto"/>
          <w:sz w:val="21"/>
          <w:szCs w:val="21"/>
          <w:highlight w:val="none"/>
          <w:lang w:val="en-US" w:eastAsia="zh-CN"/>
        </w:rPr>
        <w:t>及</w:t>
      </w:r>
      <w:r>
        <w:rPr>
          <w:rFonts w:hint="eastAsia" w:ascii="宋体" w:hAnsi="宋体" w:eastAsia="宋体" w:cs="宋体"/>
          <w:color w:val="auto"/>
          <w:sz w:val="21"/>
          <w:szCs w:val="21"/>
          <w:highlight w:val="none"/>
        </w:rPr>
        <w:t>解决措施</w:t>
      </w:r>
      <w:r>
        <w:rPr>
          <w:rFonts w:hint="eastAsia" w:ascii="宋体" w:hAnsi="宋体" w:eastAsia="宋体" w:cs="宋体"/>
          <w:color w:val="auto"/>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bCs/>
          <w:color w:val="000000"/>
          <w:sz w:val="21"/>
          <w:szCs w:val="21"/>
          <w:highlight w:val="none"/>
          <w:lang w:val="en-US" w:eastAsia="zh-CN"/>
        </w:rPr>
      </w:pPr>
      <w:r>
        <w:rPr>
          <w:rFonts w:hint="default" w:ascii="Cambria" w:hAnsi="Cambria" w:eastAsia="宋体" w:cs="Cambria"/>
          <w:bCs/>
          <w:color w:val="000000"/>
          <w:sz w:val="21"/>
          <w:szCs w:val="21"/>
          <w:highlight w:val="none"/>
          <w:lang w:val="zh-CN"/>
        </w:rPr>
        <w:t>⑮</w:t>
      </w:r>
      <w:r>
        <w:rPr>
          <w:rFonts w:hint="eastAsia" w:ascii="宋体" w:hAnsi="宋体" w:eastAsia="宋体" w:cs="宋体"/>
          <w:bCs/>
          <w:color w:val="000000"/>
          <w:sz w:val="21"/>
          <w:szCs w:val="21"/>
          <w:highlight w:val="none"/>
          <w:lang w:val="zh-CN"/>
        </w:rPr>
        <w:t>综合实力</w:t>
      </w:r>
      <w:r>
        <w:rPr>
          <w:rFonts w:hint="eastAsia" w:ascii="宋体" w:hAnsi="宋体" w:eastAsia="宋体" w:cs="宋体"/>
          <w:bCs/>
          <w:color w:val="000000"/>
          <w:sz w:val="21"/>
          <w:szCs w:val="21"/>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ascii="宋体" w:hAnsi="宋体" w:eastAsia="宋体" w:cs="宋体"/>
          <w:bCs/>
          <w:color w:val="000000"/>
          <w:sz w:val="21"/>
          <w:szCs w:val="21"/>
          <w:highlight w:val="none"/>
          <w:lang w:val="en-US" w:eastAsia="zh-CN"/>
        </w:rPr>
      </w:pPr>
      <w:r>
        <w:rPr>
          <w:rFonts w:hint="default" w:ascii="Cambria" w:hAnsi="Cambria" w:eastAsia="宋体" w:cs="Cambria"/>
          <w:bCs/>
          <w:color w:val="000000"/>
          <w:sz w:val="21"/>
          <w:szCs w:val="21"/>
          <w:highlight w:val="none"/>
          <w:lang w:val="en-US" w:eastAsia="zh-CN"/>
        </w:rPr>
        <w:t>⑯</w:t>
      </w:r>
      <w:r>
        <w:rPr>
          <w:rFonts w:hint="eastAsia" w:ascii="宋体" w:hAnsi="宋体" w:eastAsia="宋体" w:cs="宋体"/>
          <w:bCs/>
          <w:color w:val="000000"/>
          <w:sz w:val="21"/>
          <w:szCs w:val="21"/>
          <w:highlight w:val="none"/>
          <w:lang w:val="en-US" w:eastAsia="zh-CN"/>
        </w:rPr>
        <w:t>业绩；</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ascii="宋体" w:hAnsi="宋体" w:eastAsia="宋体" w:cs="宋体"/>
          <w:bCs/>
          <w:color w:val="000000"/>
          <w:sz w:val="21"/>
          <w:szCs w:val="21"/>
          <w:highlight w:val="none"/>
          <w:lang w:val="en-US" w:eastAsia="zh-CN"/>
        </w:rPr>
      </w:pPr>
      <w:r>
        <w:rPr>
          <w:rFonts w:hint="default" w:ascii="Cambria" w:hAnsi="Cambria" w:eastAsia="宋体" w:cs="Cambria"/>
          <w:bCs/>
          <w:color w:val="000000"/>
          <w:sz w:val="21"/>
          <w:szCs w:val="21"/>
          <w:highlight w:val="none"/>
          <w:lang w:val="en-US" w:eastAsia="zh-CN"/>
        </w:rPr>
        <w:t>⑰</w:t>
      </w:r>
      <w:r>
        <w:rPr>
          <w:rFonts w:hint="eastAsia" w:ascii="宋体" w:hAnsi="宋体" w:eastAsia="宋体" w:cs="宋体"/>
          <w:bCs/>
          <w:color w:val="000000"/>
          <w:sz w:val="21"/>
          <w:szCs w:val="21"/>
          <w:highlight w:val="none"/>
          <w:lang w:val="en-US" w:eastAsia="zh-CN"/>
        </w:rPr>
        <w:t>政府采购政策加分；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default" w:ascii="Cambria" w:hAnsi="Cambria" w:cs="Cambria" w:eastAsiaTheme="minorEastAsia"/>
          <w:color w:val="auto"/>
          <w:szCs w:val="21"/>
          <w:highlight w:val="none"/>
        </w:rPr>
        <w:t>⑱</w:t>
      </w:r>
      <w:r>
        <w:rPr>
          <w:rFonts w:hint="eastAsia" w:asciiTheme="minorEastAsia" w:hAnsiTheme="minorEastAsia" w:eastAsiaTheme="minorEastAsia"/>
          <w:color w:val="auto"/>
          <w:szCs w:val="21"/>
          <w:highlight w:val="none"/>
        </w:rPr>
        <w:t>服务指标偏离表（格式见附件）；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default" w:ascii="Cambria" w:hAnsi="Cambria" w:cs="Cambria" w:eastAsiaTheme="minorEastAsia"/>
          <w:color w:val="auto"/>
          <w:szCs w:val="21"/>
          <w:highlight w:val="none"/>
        </w:rPr>
        <w:t>⑲</w:t>
      </w:r>
      <w:r>
        <w:rPr>
          <w:rFonts w:hint="eastAsia" w:asciiTheme="minorEastAsia" w:hAnsiTheme="minorEastAsia" w:eastAsiaTheme="minorEastAsia"/>
          <w:color w:val="auto"/>
          <w:szCs w:val="21"/>
          <w:highlight w:val="none"/>
        </w:rPr>
        <w:t>商务条款偏离表（格式见附件）；</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（5）上述几项中未列</w:t>
      </w:r>
      <w:r>
        <w:rPr>
          <w:rFonts w:hint="eastAsia" w:asciiTheme="minorEastAsia" w:hAnsiTheme="minorEastAsia" w:eastAsiaTheme="minorEastAsia"/>
          <w:color w:val="auto"/>
          <w:szCs w:val="21"/>
          <w:highlight w:val="none"/>
        </w:rPr>
        <w:t>明而招标文件要求提供的其他资料；</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（6）投标人认为需提供的其他资料。</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r>
        <w:rPr>
          <w:rFonts w:asciiTheme="minorEastAsia" w:hAnsiTheme="minorEastAsia" w:eastAsiaTheme="minorEastAsia"/>
          <w:color w:val="auto"/>
          <w:szCs w:val="21"/>
          <w:highlight w:val="none"/>
        </w:rPr>
        <w:t>报价文件</w:t>
      </w:r>
      <w:r>
        <w:rPr>
          <w:rFonts w:hint="eastAsia" w:asciiTheme="minorEastAsia" w:hAnsiTheme="minorEastAsia" w:eastAsiaTheme="minorEastAsia"/>
          <w:color w:val="auto"/>
          <w:szCs w:val="21"/>
          <w:highlight w:val="none"/>
        </w:rPr>
        <w:t>的内容组成</w:t>
      </w:r>
      <w:r>
        <w:rPr>
          <w:rFonts w:asciiTheme="minorEastAsia" w:hAnsiTheme="minorEastAsia" w:eastAsiaTheme="minorEastAsia"/>
          <w:color w:val="auto"/>
          <w:szCs w:val="21"/>
          <w:highlight w:val="none"/>
        </w:rPr>
        <w:t>：</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（1）开标一览表（格式见附件）</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（2）投标分项报价表（格式见附件）</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val="en-US" w:eastAsia="zh-CN"/>
        </w:rPr>
        <w:t>3</w:t>
      </w:r>
      <w:r>
        <w:rPr>
          <w:rFonts w:hint="eastAsia" w:asciiTheme="minorEastAsia" w:hAnsiTheme="minorEastAsia" w:eastAsiaTheme="minorEastAsia"/>
          <w:color w:val="auto"/>
          <w:szCs w:val="21"/>
          <w:highlight w:val="none"/>
        </w:rPr>
        <w:t>）投标人针对报价需要说明的其他文件和资料（格式自拟）</w:t>
      </w:r>
    </w:p>
    <w:p>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（二）投标文件的语言及计量</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.投标人提交的</w:t>
      </w:r>
      <w:r>
        <w:rPr>
          <w:rFonts w:asciiTheme="minorEastAsia" w:hAnsiTheme="minorEastAsia" w:eastAsiaTheme="minorEastAsia"/>
          <w:color w:val="auto"/>
          <w:szCs w:val="21"/>
          <w:highlight w:val="none"/>
        </w:rPr>
        <w:t>投标文件以及投标人与采购人、采购代理机构就有关投标事宜的所有来往函电，均应以中文汉语书写。除签名、盖章、专用名称等特殊情形外，以中文汉语以外的文字表述的投标文件视同未提供。</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投标计量单位，招标文件已有明确规定的，使用招标文件规定的计量单位；招标文件没有规定的，应采用中华人民共和国法定计量单位，否则视同未响应。</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（三）投标报价</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投标报价应按招标文件中相关附表格式填写，货币单位为人民币元。</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 投标报价是履行合同的最终价格，包含购买服务需缴纳的所有税费及其他一切相关费用，采购人不再另行承担其他费用。</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投标文件只允许有一个报价，有选择的</w:t>
      </w:r>
      <w:r>
        <w:rPr>
          <w:rFonts w:hint="eastAsia" w:asciiTheme="minorEastAsia" w:hAnsiTheme="minorEastAsia" w:eastAsiaTheme="minorEastAsia"/>
          <w:color w:val="auto"/>
          <w:szCs w:val="21"/>
          <w:highlight w:val="none"/>
        </w:rPr>
        <w:t>或有条件的</w:t>
      </w:r>
      <w:r>
        <w:rPr>
          <w:rFonts w:asciiTheme="minorEastAsia" w:hAnsiTheme="minorEastAsia" w:eastAsiaTheme="minorEastAsia"/>
          <w:color w:val="auto"/>
          <w:szCs w:val="21"/>
          <w:highlight w:val="none"/>
        </w:rPr>
        <w:t>报价将不予接受。</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（四）投标文件的有效期</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.投标有效期从提交投标文件的截止之日起90天</w:t>
      </w:r>
      <w:r>
        <w:rPr>
          <w:rFonts w:asciiTheme="minorEastAsia" w:hAnsiTheme="minorEastAsia" w:eastAsiaTheme="minorEastAsia"/>
          <w:color w:val="auto"/>
          <w:szCs w:val="21"/>
          <w:highlight w:val="none"/>
        </w:rPr>
        <w:t>。</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在特殊情况下，</w:t>
      </w:r>
      <w:r>
        <w:rPr>
          <w:rFonts w:hint="eastAsia" w:asciiTheme="minorEastAsia" w:hAnsiTheme="minorEastAsia" w:eastAsiaTheme="minorEastAsia"/>
          <w:color w:val="auto"/>
          <w:szCs w:val="21"/>
          <w:highlight w:val="none"/>
        </w:rPr>
        <w:t>采购</w:t>
      </w:r>
      <w:r>
        <w:rPr>
          <w:rFonts w:asciiTheme="minorEastAsia" w:hAnsiTheme="minorEastAsia" w:eastAsiaTheme="minorEastAsia"/>
          <w:color w:val="auto"/>
          <w:szCs w:val="21"/>
          <w:highlight w:val="none"/>
        </w:rPr>
        <w:t>人可与投标人协商延长投标文件的有效期，这种要求和答复均以书面形式进行。</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中标人的投标文件自开标之日起至合同履行完毕止均应保持有效。</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（五）投标文件的编制和份数</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.投标文件的编制：</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（1）投标人应当按照招标文件的要求编制投标文件。投标文件应当对招标文件提出的要求和条件作出明确响应，</w:t>
      </w:r>
      <w:r>
        <w:rPr>
          <w:rFonts w:asciiTheme="minorEastAsia" w:hAnsiTheme="minorEastAsia" w:eastAsiaTheme="minorEastAsia"/>
          <w:color w:val="auto"/>
          <w:szCs w:val="21"/>
          <w:highlight w:val="none"/>
        </w:rPr>
        <w:t>并对所提供的全部资料的真实性承担法律责任。</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r>
        <w:rPr>
          <w:rFonts w:asciiTheme="minorEastAsia" w:hAnsiTheme="minorEastAsia" w:eastAsiaTheme="minorEastAsia"/>
          <w:color w:val="auto"/>
          <w:szCs w:val="21"/>
          <w:highlight w:val="none"/>
        </w:rPr>
        <w:t>投标文件内容不完整、编排混乱导致投标文件被误读、漏读或者查找不到相关内容的，</w:t>
      </w:r>
      <w:r>
        <w:rPr>
          <w:rFonts w:hint="eastAsia" w:asciiTheme="minorEastAsia" w:hAnsiTheme="minorEastAsia" w:eastAsiaTheme="minorEastAsia"/>
          <w:color w:val="auto"/>
          <w:szCs w:val="21"/>
          <w:highlight w:val="none"/>
        </w:rPr>
        <w:t>由投标人自负。</w:t>
      </w:r>
    </w:p>
    <w:p>
      <w:pPr>
        <w:spacing w:line="400" w:lineRule="exact"/>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（3）供应商应根据政府采购云平台的要求及本招标文件规定的格式和顺序编制投标文件并进行关联定位。</w:t>
      </w:r>
    </w:p>
    <w:p>
      <w:pPr>
        <w:spacing w:line="400" w:lineRule="exact"/>
        <w:ind w:firstLine="420" w:firstLineChars="200"/>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w:t>
      </w:r>
      <w:r>
        <w:rPr>
          <w:rFonts w:asciiTheme="minorEastAsia" w:hAnsiTheme="minorEastAsia" w:eastAsiaTheme="minorEastAsia"/>
          <w:color w:val="auto"/>
          <w:szCs w:val="21"/>
          <w:highlight w:val="none"/>
        </w:rPr>
        <w:t>投标文件须由投标人在规定位置盖章并由法定代表人／负责人或授权</w:t>
      </w:r>
      <w:r>
        <w:rPr>
          <w:rFonts w:hint="eastAsia" w:asciiTheme="minorEastAsia" w:hAnsiTheme="minorEastAsia" w:eastAsiaTheme="minorEastAsia"/>
          <w:color w:val="auto"/>
          <w:szCs w:val="21"/>
          <w:highlight w:val="none"/>
        </w:rPr>
        <w:t>代表</w:t>
      </w:r>
      <w:r>
        <w:rPr>
          <w:rFonts w:asciiTheme="minorEastAsia" w:hAnsiTheme="minorEastAsia" w:eastAsiaTheme="minorEastAsia"/>
          <w:color w:val="auto"/>
          <w:szCs w:val="21"/>
          <w:highlight w:val="none"/>
        </w:rPr>
        <w:t>签署，投标人应写全称。</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r>
        <w:rPr>
          <w:rFonts w:asciiTheme="minorEastAsia" w:hAnsiTheme="minorEastAsia" w:eastAsiaTheme="minorEastAsia"/>
          <w:color w:val="auto"/>
          <w:szCs w:val="21"/>
          <w:highlight w:val="none"/>
        </w:rPr>
        <w:t>投标文件不得涂改，若有修改错漏处，须加盖单位公章或者</w:t>
      </w:r>
      <w:r>
        <w:rPr>
          <w:rFonts w:hint="eastAsia" w:asciiTheme="minorEastAsia" w:hAnsiTheme="minorEastAsia" w:eastAsiaTheme="minorEastAsia"/>
          <w:color w:val="auto"/>
          <w:szCs w:val="21"/>
          <w:highlight w:val="none"/>
        </w:rPr>
        <w:t>法定代表人／负责人或授权代表签字</w:t>
      </w:r>
      <w:r>
        <w:rPr>
          <w:rFonts w:asciiTheme="minorEastAsia" w:hAnsiTheme="minorEastAsia" w:eastAsiaTheme="minorEastAsia"/>
          <w:color w:val="auto"/>
          <w:szCs w:val="21"/>
          <w:highlight w:val="none"/>
        </w:rPr>
        <w:t>或盖章。投标文件因字迹潦草或表达不清所引起的后果由投标人负责。</w:t>
      </w:r>
    </w:p>
    <w:p>
      <w:pPr>
        <w:spacing w:line="400" w:lineRule="exact"/>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2.投标文件的份数：</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本项目实行网上投标，供应商应准备以下投标文件：</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（1）上传到政府采购云平台的电子投标文件（含技术商务文件、报价文件）1份。</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（2）以介质存储的数据电文形式的电子备份投标文件（含技术商务文件、报价文件）1份。</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（六）投标文件的包装、密封、递交、修改和撤回</w:t>
      </w:r>
    </w:p>
    <w:p>
      <w:pPr>
        <w:snapToGrid w:val="0"/>
        <w:spacing w:line="400" w:lineRule="exact"/>
        <w:ind w:firstLine="407" w:firstLineChars="194"/>
        <w:jc w:val="left"/>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以介质存储的数据电文形式的电子备份投标文件用封袋密封</w:t>
      </w:r>
      <w:r>
        <w:rPr>
          <w:rFonts w:hint="eastAsia" w:cs="宋体" w:asciiTheme="minorEastAsia" w:hAnsiTheme="minorEastAsia" w:eastAsiaTheme="minorEastAsia"/>
          <w:bCs/>
          <w:color w:val="auto"/>
          <w:szCs w:val="21"/>
          <w:highlight w:val="none"/>
        </w:rPr>
        <w:t>包装</w:t>
      </w:r>
      <w:r>
        <w:rPr>
          <w:rFonts w:hint="eastAsia"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包封</w:t>
      </w:r>
      <w:r>
        <w:rPr>
          <w:rFonts w:hint="eastAsia" w:asciiTheme="minorEastAsia" w:hAnsiTheme="minorEastAsia" w:eastAsiaTheme="minorEastAsia"/>
          <w:color w:val="auto"/>
          <w:szCs w:val="21"/>
          <w:highlight w:val="none"/>
        </w:rPr>
        <w:t>应密封完好，正确标明</w:t>
      </w:r>
      <w:r>
        <w:rPr>
          <w:rFonts w:hint="eastAsia" w:cs="宋体" w:asciiTheme="minorEastAsia" w:hAnsiTheme="minorEastAsia" w:eastAsiaTheme="minorEastAsia"/>
          <w:color w:val="auto"/>
          <w:kern w:val="0"/>
          <w:szCs w:val="21"/>
          <w:highlight w:val="none"/>
        </w:rPr>
        <w:t>电子备份</w:t>
      </w:r>
      <w:r>
        <w:rPr>
          <w:rFonts w:hint="eastAsia" w:asciiTheme="minorEastAsia" w:hAnsiTheme="minorEastAsia" w:eastAsiaTheme="minorEastAsia"/>
          <w:color w:val="auto"/>
          <w:szCs w:val="21"/>
          <w:highlight w:val="none"/>
        </w:rPr>
        <w:t>投标文件名称、投标项目名称、项目编号及投标人名称。</w:t>
      </w:r>
    </w:p>
    <w:p>
      <w:pPr>
        <w:snapToGrid w:val="0"/>
        <w:spacing w:line="400" w:lineRule="exact"/>
        <w:ind w:firstLine="407" w:firstLineChars="194"/>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电子交易平台应当拒收。</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3.投标人在投标截止时间之前，可以对所递交的</w:t>
      </w:r>
      <w:r>
        <w:rPr>
          <w:rFonts w:hint="eastAsia" w:cs="宋体" w:asciiTheme="minorEastAsia" w:hAnsiTheme="minorEastAsia" w:eastAsiaTheme="minorEastAsia"/>
          <w:color w:val="auto"/>
          <w:kern w:val="0"/>
          <w:sz w:val="21"/>
          <w:szCs w:val="21"/>
          <w:highlight w:val="none"/>
        </w:rPr>
        <w:t>电子备份投标文件</w:t>
      </w:r>
      <w:r>
        <w:rPr>
          <w:rFonts w:hint="eastAsia" w:cs="宋体" w:asciiTheme="minorEastAsia" w:hAnsiTheme="minorEastAsia" w:eastAsiaTheme="minorEastAsia"/>
          <w:color w:val="auto"/>
          <w:sz w:val="21"/>
          <w:szCs w:val="21"/>
          <w:highlight w:val="none"/>
        </w:rPr>
        <w:t>进行补充、修改或者撤回，并书面通知采购人或者采购代理机构。</w:t>
      </w:r>
    </w:p>
    <w:p>
      <w:pPr>
        <w:snapToGrid w:val="0"/>
        <w:spacing w:line="400" w:lineRule="exact"/>
        <w:ind w:firstLine="407" w:firstLineChars="194"/>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4.</w:t>
      </w:r>
      <w:r>
        <w:rPr>
          <w:rFonts w:hint="eastAsia" w:asciiTheme="minorEastAsia" w:hAnsiTheme="minorEastAsia" w:eastAsiaTheme="minorEastAsia"/>
          <w:color w:val="auto"/>
          <w:szCs w:val="21"/>
          <w:highlight w:val="none"/>
        </w:rPr>
        <w:t>投标文件未按时解密，供应商提供了电子备份投标文件的，以电子备份投标文件作为依据，否则视为投标文件撤回。投标文件已按时解密的，电子备份投标文件自动失效。</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5.投标人应当在</w:t>
      </w:r>
      <w:r>
        <w:rPr>
          <w:rFonts w:hint="eastAsia" w:cs="宋体" w:asciiTheme="minorEastAsia" w:hAnsiTheme="minorEastAsia" w:eastAsiaTheme="minorEastAsia"/>
          <w:color w:val="auto"/>
          <w:szCs w:val="21"/>
          <w:highlight w:val="none"/>
        </w:rPr>
        <w:t>投标截止时间</w:t>
      </w:r>
      <w:r>
        <w:rPr>
          <w:rFonts w:hint="eastAsia" w:asciiTheme="minorEastAsia" w:hAnsiTheme="minorEastAsia" w:eastAsiaTheme="minorEastAsia"/>
          <w:color w:val="auto"/>
          <w:szCs w:val="21"/>
          <w:highlight w:val="none"/>
        </w:rPr>
        <w:t>前将电子备份投标文件送达投标地点，逾期送达或未按照招标文件要求密封的电子备份投标文件将予以拒收。</w:t>
      </w:r>
    </w:p>
    <w:p>
      <w:pPr>
        <w:pStyle w:val="12"/>
        <w:snapToGrid w:val="0"/>
        <w:spacing w:beforeLines="0" w:afterLines="0"/>
        <w:jc w:val="center"/>
        <w:outlineLvl w:val="0"/>
        <w:rPr>
          <w:rFonts w:asciiTheme="minorEastAsia" w:hAnsiTheme="minorEastAsia" w:eastAsiaTheme="minorEastAsia"/>
          <w:b/>
          <w:bCs/>
          <w:color w:val="auto"/>
          <w:sz w:val="21"/>
          <w:szCs w:val="21"/>
          <w:highlight w:val="none"/>
        </w:rPr>
      </w:pPr>
      <w:r>
        <w:rPr>
          <w:rFonts w:asciiTheme="minorEastAsia" w:hAnsiTheme="minorEastAsia" w:eastAsiaTheme="minorEastAsia"/>
          <w:b/>
          <w:bCs/>
          <w:color w:val="auto"/>
          <w:sz w:val="21"/>
          <w:szCs w:val="21"/>
          <w:highlight w:val="none"/>
        </w:rPr>
        <w:t>四、开标和评标</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（一）开标准备</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采购代理机构将在招标文件规定的时间和地点进行开标</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投标人的法定代表人／负责人或其授权代表</w:t>
      </w:r>
      <w:r>
        <w:rPr>
          <w:rFonts w:hint="eastAsia" w:asciiTheme="minorEastAsia" w:hAnsiTheme="minorEastAsia" w:eastAsiaTheme="minorEastAsia"/>
          <w:color w:val="auto"/>
          <w:szCs w:val="21"/>
          <w:highlight w:val="none"/>
        </w:rPr>
        <w:t>可</w:t>
      </w:r>
      <w:r>
        <w:rPr>
          <w:rFonts w:asciiTheme="minorEastAsia" w:hAnsiTheme="minorEastAsia" w:eastAsiaTheme="minorEastAsia"/>
          <w:color w:val="auto"/>
          <w:szCs w:val="21"/>
          <w:highlight w:val="none"/>
        </w:rPr>
        <w:t>参加开标会议。投标人未参加开标的，视同认可开标结果。</w:t>
      </w:r>
    </w:p>
    <w:p>
      <w:pPr>
        <w:spacing w:line="400" w:lineRule="exact"/>
        <w:ind w:firstLine="420" w:firstLineChars="200"/>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（二）开标程序</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电子开标程序：</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hint="eastAsia" w:ascii="宋体" w:hAnsi="宋体" w:eastAsia="Calibri"/>
          <w:color w:val="auto"/>
          <w:szCs w:val="21"/>
          <w:highlight w:val="none"/>
        </w:rPr>
        <w:t>投标截止时间后，供应商登录政府采购云平台，用“项目采购-开标评标”功能对电子投标文件进行在线解密，在线解密电子投标文件时间为开标时间后30分钟内。</w:t>
      </w:r>
    </w:p>
    <w:p>
      <w:pPr>
        <w:spacing w:line="400" w:lineRule="exact"/>
        <w:ind w:firstLine="420" w:firstLineChars="200"/>
        <w:jc w:val="left"/>
        <w:rPr>
          <w:rFonts w:ascii="宋体" w:hAnsi="宋体" w:eastAsiaTheme="minorEastAsia"/>
          <w:color w:val="auto"/>
          <w:szCs w:val="21"/>
          <w:highlight w:val="none"/>
        </w:rPr>
      </w:pPr>
      <w:r>
        <w:rPr>
          <w:rFonts w:hint="eastAsia" w:asciiTheme="minorEastAsia" w:hAnsiTheme="minorEastAsia" w:eastAsiaTheme="minorEastAsia"/>
          <w:color w:val="auto"/>
          <w:szCs w:val="21"/>
          <w:highlight w:val="none"/>
        </w:rPr>
        <w:t>2.</w:t>
      </w:r>
      <w:r>
        <w:rPr>
          <w:rFonts w:hint="eastAsia" w:ascii="宋体" w:hAnsi="宋体" w:eastAsia="Calibri"/>
          <w:color w:val="auto"/>
          <w:szCs w:val="21"/>
          <w:highlight w:val="none"/>
        </w:rPr>
        <w:t>在政府采购云平台开启已解密供应商的技术商务文件，</w:t>
      </w:r>
      <w:r>
        <w:rPr>
          <w:rFonts w:hint="eastAsia" w:ascii="宋体" w:hAnsi="宋体" w:eastAsiaTheme="minorEastAsia"/>
          <w:color w:val="auto"/>
          <w:szCs w:val="21"/>
          <w:highlight w:val="none"/>
        </w:rPr>
        <w:t>然后进入技术商务评审。</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技术商务评审结束后</w:t>
      </w:r>
      <w:r>
        <w:rPr>
          <w:rFonts w:hint="eastAsia" w:asciiTheme="minorEastAsia" w:hAnsiTheme="minorEastAsia" w:eastAsiaTheme="minorEastAsia"/>
          <w:color w:val="auto"/>
          <w:szCs w:val="21"/>
          <w:highlight w:val="none"/>
        </w:rPr>
        <w:t>，</w:t>
      </w:r>
      <w:r>
        <w:rPr>
          <w:rFonts w:hint="eastAsia" w:ascii="宋体" w:hAnsi="宋体"/>
          <w:color w:val="auto"/>
          <w:szCs w:val="21"/>
          <w:highlight w:val="none"/>
        </w:rPr>
        <w:t>在</w:t>
      </w:r>
      <w:r>
        <w:rPr>
          <w:rFonts w:hint="eastAsia" w:ascii="宋体" w:hAnsi="宋体" w:cs="宋体"/>
          <w:color w:val="auto"/>
          <w:kern w:val="0"/>
          <w:szCs w:val="21"/>
          <w:highlight w:val="none"/>
        </w:rPr>
        <w:t>政府采购云平台</w:t>
      </w:r>
      <w:r>
        <w:rPr>
          <w:rFonts w:hint="eastAsia" w:ascii="宋体" w:hAnsi="宋体"/>
          <w:color w:val="auto"/>
          <w:szCs w:val="21"/>
          <w:highlight w:val="none"/>
        </w:rPr>
        <w:t>开启报价文件，并做开标记录。</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4.进入报价</w:t>
      </w:r>
      <w:r>
        <w:rPr>
          <w:rFonts w:asciiTheme="minorEastAsia" w:hAnsiTheme="minorEastAsia" w:eastAsiaTheme="minorEastAsia"/>
          <w:color w:val="auto"/>
          <w:szCs w:val="21"/>
          <w:highlight w:val="none"/>
        </w:rPr>
        <w:t>评审</w:t>
      </w:r>
      <w:r>
        <w:rPr>
          <w:rFonts w:hint="eastAsia" w:asciiTheme="minorEastAsia" w:hAnsiTheme="minorEastAsia" w:eastAsiaTheme="minorEastAsia"/>
          <w:color w:val="auto"/>
          <w:szCs w:val="21"/>
          <w:highlight w:val="none"/>
        </w:rPr>
        <w:t>。</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r>
        <w:rPr>
          <w:rFonts w:hint="eastAsia" w:ascii="宋体" w:hAnsi="宋体"/>
          <w:color w:val="auto"/>
          <w:szCs w:val="21"/>
          <w:highlight w:val="none"/>
        </w:rPr>
        <w:t>在</w:t>
      </w:r>
      <w:r>
        <w:rPr>
          <w:rFonts w:hint="eastAsia" w:ascii="宋体" w:hAnsi="宋体" w:cs="宋体"/>
          <w:color w:val="auto"/>
          <w:kern w:val="0"/>
          <w:szCs w:val="21"/>
          <w:highlight w:val="none"/>
        </w:rPr>
        <w:t>政府采购云平台</w:t>
      </w:r>
      <w:r>
        <w:rPr>
          <w:rFonts w:hint="eastAsia" w:asciiTheme="minorEastAsia" w:hAnsiTheme="minorEastAsia" w:eastAsiaTheme="minorEastAsia"/>
          <w:color w:val="auto"/>
          <w:szCs w:val="21"/>
          <w:highlight w:val="none"/>
        </w:rPr>
        <w:t>宣布最终评审结果，</w:t>
      </w:r>
      <w:r>
        <w:rPr>
          <w:rFonts w:asciiTheme="minorEastAsia" w:hAnsiTheme="minorEastAsia" w:eastAsiaTheme="minorEastAsia"/>
          <w:color w:val="auto"/>
          <w:szCs w:val="21"/>
          <w:highlight w:val="none"/>
        </w:rPr>
        <w:t>开标会议结束。</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特别说明：</w:t>
      </w:r>
    </w:p>
    <w:p>
      <w:pPr>
        <w:spacing w:line="400" w:lineRule="exact"/>
        <w:ind w:firstLine="420" w:firstLineChars="200"/>
        <w:jc w:val="left"/>
        <w:rPr>
          <w:rFonts w:ascii="宋体" w:hAnsi="宋体"/>
          <w:color w:val="auto"/>
          <w:szCs w:val="21"/>
          <w:highlight w:val="none"/>
        </w:rPr>
      </w:pPr>
      <w:r>
        <w:rPr>
          <w:rFonts w:hint="eastAsia" w:ascii="宋体" w:hAnsi="宋体" w:cs="宋体"/>
          <w:color w:val="auto"/>
          <w:kern w:val="0"/>
          <w:szCs w:val="21"/>
          <w:highlight w:val="none"/>
        </w:rPr>
        <w:t>政府采购云平台</w:t>
      </w:r>
      <w:r>
        <w:rPr>
          <w:rFonts w:hint="eastAsia" w:ascii="宋体" w:hAnsi="宋体"/>
          <w:color w:val="auto"/>
          <w:szCs w:val="21"/>
          <w:highlight w:val="none"/>
        </w:rPr>
        <w:t>如对电子化开标及评审程序有调整的，按调整后的程序操作。</w:t>
      </w:r>
    </w:p>
    <w:p>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本项目原则上采用政采云</w:t>
      </w:r>
      <w:r>
        <w:rPr>
          <w:rFonts w:hint="eastAsia" w:ascii="宋体" w:hAnsi="宋体" w:cs="宋体"/>
          <w:bCs/>
          <w:color w:val="auto"/>
          <w:szCs w:val="21"/>
          <w:highlight w:val="none"/>
        </w:rPr>
        <w:t>电子招投标开标程序</w:t>
      </w:r>
      <w:r>
        <w:rPr>
          <w:rFonts w:hint="eastAsia" w:ascii="宋体" w:hAnsi="宋体"/>
          <w:color w:val="auto"/>
          <w:szCs w:val="21"/>
          <w:highlight w:val="none"/>
        </w:rPr>
        <w:t>，但有以下情形之一的，按以下情况处理：</w:t>
      </w:r>
    </w:p>
    <w:p>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）若有供应商在规定时间内无法解密或解密失败，采购代理机构将开启该供应商递交的</w:t>
      </w:r>
      <w:r>
        <w:rPr>
          <w:rFonts w:hint="eastAsia" w:ascii="宋体" w:hAnsi="宋体" w:cs="宋体"/>
          <w:color w:val="auto"/>
          <w:kern w:val="0"/>
          <w:szCs w:val="21"/>
          <w:highlight w:val="none"/>
        </w:rPr>
        <w:t>电子备份投标文件</w:t>
      </w:r>
      <w:r>
        <w:rPr>
          <w:rFonts w:hint="eastAsia" w:ascii="宋体" w:hAnsi="宋体"/>
          <w:color w:val="auto"/>
          <w:szCs w:val="21"/>
          <w:highlight w:val="none"/>
        </w:rPr>
        <w:t>，上传至政采云平台项目采购模块完成开标，电子投标文件自动失效。</w:t>
      </w:r>
    </w:p>
    <w:p>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（2）采购过程中出现以下情形，导致电子交易平台无法正常运行，或者无法保证电子交易的公平、公正和安全时，采购人（或采购代理机构）可中止电子交易活动：</w:t>
      </w:r>
    </w:p>
    <w:p>
      <w:pPr>
        <w:spacing w:line="400" w:lineRule="exact"/>
        <w:ind w:firstLine="420" w:firstLineChars="200"/>
        <w:jc w:val="left"/>
        <w:rPr>
          <w:rFonts w:ascii="宋体" w:hAnsi="宋体"/>
          <w:color w:val="auto"/>
          <w:szCs w:val="21"/>
          <w:highlight w:val="none"/>
        </w:rPr>
      </w:pPr>
      <w:r>
        <w:rPr>
          <w:rFonts w:ascii="Cambria Math" w:hAnsi="Cambria Math" w:eastAsiaTheme="minorEastAsia"/>
          <w:color w:val="auto"/>
          <w:szCs w:val="21"/>
          <w:highlight w:val="none"/>
        </w:rPr>
        <w:t>①</w:t>
      </w:r>
      <w:r>
        <w:rPr>
          <w:rFonts w:hint="eastAsia" w:ascii="宋体" w:hAnsi="宋体"/>
          <w:color w:val="auto"/>
          <w:szCs w:val="21"/>
          <w:highlight w:val="none"/>
        </w:rPr>
        <w:t xml:space="preserve">电子交易平台发生故障而无法登录访问的； </w:t>
      </w:r>
    </w:p>
    <w:p>
      <w:pPr>
        <w:spacing w:line="400" w:lineRule="exact"/>
        <w:ind w:firstLine="420" w:firstLineChars="200"/>
        <w:jc w:val="left"/>
        <w:rPr>
          <w:rFonts w:ascii="宋体" w:hAnsi="宋体"/>
          <w:color w:val="auto"/>
          <w:szCs w:val="21"/>
          <w:highlight w:val="none"/>
        </w:rPr>
      </w:pPr>
      <w:r>
        <w:rPr>
          <w:rFonts w:ascii="Cambria Math" w:hAnsi="Cambria Math"/>
          <w:color w:val="auto"/>
          <w:szCs w:val="21"/>
          <w:highlight w:val="none"/>
        </w:rPr>
        <w:t>②</w:t>
      </w:r>
      <w:r>
        <w:rPr>
          <w:rFonts w:hint="eastAsia" w:ascii="宋体" w:hAnsi="宋体"/>
          <w:color w:val="auto"/>
          <w:szCs w:val="21"/>
          <w:highlight w:val="none"/>
        </w:rPr>
        <w:t>电子交易平台应用或数据库出现错误，不能进行正常操作的；</w:t>
      </w:r>
    </w:p>
    <w:p>
      <w:pPr>
        <w:spacing w:line="400" w:lineRule="exact"/>
        <w:ind w:firstLine="420" w:firstLineChars="200"/>
        <w:jc w:val="left"/>
        <w:rPr>
          <w:rFonts w:ascii="宋体" w:hAnsi="宋体"/>
          <w:color w:val="auto"/>
          <w:szCs w:val="21"/>
          <w:highlight w:val="none"/>
        </w:rPr>
      </w:pPr>
      <w:r>
        <w:rPr>
          <w:rFonts w:ascii="Cambria Math" w:hAnsi="Cambria Math" w:eastAsiaTheme="minorEastAsia"/>
          <w:color w:val="auto"/>
          <w:szCs w:val="21"/>
          <w:highlight w:val="none"/>
        </w:rPr>
        <w:t>③</w:t>
      </w:r>
      <w:r>
        <w:rPr>
          <w:rFonts w:hint="eastAsia" w:ascii="宋体" w:hAnsi="宋体"/>
          <w:color w:val="auto"/>
          <w:szCs w:val="21"/>
          <w:highlight w:val="none"/>
        </w:rPr>
        <w:t>电子交易平台发现严重安全漏洞，有潜在泄密危险的；</w:t>
      </w:r>
    </w:p>
    <w:p>
      <w:pPr>
        <w:spacing w:line="400" w:lineRule="exact"/>
        <w:ind w:firstLine="420" w:firstLineChars="200"/>
        <w:jc w:val="left"/>
        <w:rPr>
          <w:rFonts w:ascii="宋体" w:hAnsi="宋体"/>
          <w:color w:val="auto"/>
          <w:szCs w:val="21"/>
          <w:highlight w:val="none"/>
        </w:rPr>
      </w:pPr>
      <w:r>
        <w:rPr>
          <w:rFonts w:ascii="Cambria Math" w:hAnsi="Cambria Math"/>
          <w:color w:val="auto"/>
          <w:szCs w:val="21"/>
          <w:highlight w:val="none"/>
        </w:rPr>
        <w:t>④</w:t>
      </w:r>
      <w:r>
        <w:rPr>
          <w:rFonts w:hint="eastAsia" w:ascii="宋体" w:hAnsi="宋体"/>
          <w:color w:val="auto"/>
          <w:szCs w:val="21"/>
          <w:highlight w:val="none"/>
        </w:rPr>
        <w:t xml:space="preserve">病毒发作导致不能进行正常操作的； </w:t>
      </w:r>
    </w:p>
    <w:p>
      <w:pPr>
        <w:spacing w:line="400" w:lineRule="exact"/>
        <w:ind w:firstLine="420" w:firstLineChars="200"/>
        <w:jc w:val="left"/>
        <w:rPr>
          <w:rFonts w:ascii="宋体" w:hAnsi="宋体"/>
          <w:color w:val="auto"/>
          <w:szCs w:val="21"/>
          <w:highlight w:val="none"/>
        </w:rPr>
      </w:pPr>
      <w:r>
        <w:rPr>
          <w:rFonts w:ascii="Cambria Math" w:hAnsi="Cambria Math"/>
          <w:color w:val="auto"/>
          <w:szCs w:val="21"/>
          <w:highlight w:val="none"/>
        </w:rPr>
        <w:t>⑤</w:t>
      </w:r>
      <w:r>
        <w:rPr>
          <w:rFonts w:hint="eastAsia" w:ascii="宋体" w:hAnsi="宋体"/>
          <w:color w:val="auto"/>
          <w:szCs w:val="21"/>
          <w:highlight w:val="none"/>
        </w:rPr>
        <w:t>其他无法保证电子交易的公平、公正和安全的情况。</w:t>
      </w:r>
    </w:p>
    <w:p>
      <w:pPr>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出现前款规定情形，不影响采购公平、公正性的，采购人（或采购代理机构）可以待上述情形消除后继续组织电子交易活动，也可以决定某些环节以纸质形式进行；影响或可能影响采购公平、公正性的，应当重新采购。</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（三）评标委员会</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asciiTheme="minorEastAsia" w:hAnsiTheme="minorEastAsia" w:eastAsiaTheme="minorEastAsia"/>
          <w:color w:val="auto"/>
          <w:szCs w:val="21"/>
          <w:highlight w:val="none"/>
        </w:rPr>
        <w:t>依法组建评标委员会。</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2.评标委员会的组成</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asciiTheme="minorEastAsia" w:hAnsiTheme="minorEastAsia" w:eastAsiaTheme="minorEastAsia"/>
          <w:color w:val="auto"/>
          <w:szCs w:val="21"/>
          <w:highlight w:val="none"/>
        </w:rPr>
        <w:t>评标委员会由采购人代表和评审专家组成，成员人数应当为5人以上单数，其中评审专家不得少于成员总数的三分之二。如采购预算金额在</w:t>
      </w:r>
      <w:r>
        <w:rPr>
          <w:rFonts w:hint="eastAsia" w:asciiTheme="minorEastAsia" w:hAnsiTheme="minorEastAsia" w:eastAsiaTheme="minorEastAsia"/>
          <w:color w:val="auto"/>
          <w:szCs w:val="21"/>
          <w:highlight w:val="none"/>
        </w:rPr>
        <w:t>1000万元以上或技术复杂或社会影响较大的项目，评标委员会成员人数应当为7人以上单数。</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r>
        <w:rPr>
          <w:rFonts w:asciiTheme="minorEastAsia" w:hAnsiTheme="minorEastAsia" w:eastAsiaTheme="minorEastAsia"/>
          <w:color w:val="auto"/>
          <w:szCs w:val="21"/>
          <w:highlight w:val="none"/>
        </w:rPr>
        <w:t>评标委员会成员名单在评标结果公告前应当保密</w:t>
      </w:r>
      <w:r>
        <w:rPr>
          <w:rFonts w:hint="eastAsia" w:asciiTheme="minorEastAsia" w:hAnsiTheme="minorEastAsia" w:eastAsiaTheme="minorEastAsia"/>
          <w:color w:val="auto"/>
          <w:szCs w:val="21"/>
          <w:highlight w:val="none"/>
        </w:rPr>
        <w:t>。</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3.评标委员会组成人员的回避。在政府采购活动中，评标委员会的组成人员与供应商有下列利害关系之一的，应当回避：</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（1）参加采购活动前3年内与供应商存在劳动关系；</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（2）参加采购活动前3年内担任供应商的董事、监事；</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（3）参加采购活动前3年内是供应商的控股股东或者实际控制人；</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（4）与供应商的法定代表人或者负责人有夫妻、直系血亲、三代以内旁系血亲或者近姻亲关系；</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（5）与供应商有其他可能影响政府采购活动公平、公正进行的关系。</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4.评标委员会的职责</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委依法独立评审，并对评审意见承担个人责任。对明显畸高、畸低的评分（其总评分偏离平均分30%以上的），评标委员会组长提醒相关评审人员进行复核或书面说明理由。评标委员会成员对需要共同认定的事项存在争议的，应当按照少数服从多数的原则做出结论。持不同意见的评标委员会成员应当在评标报告上签署不同意见及理由，否则视为同意评标报告。</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5.评标办法</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本次采购项目的评标方法为：综合评分法。</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综合评分法，是指投标文件满足招标文件全部实质性要求，且按照评审因素的量化指标评审得分最高的投标人为中标候选人的评标方法。</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w:t>
      </w:r>
      <w:r>
        <w:rPr>
          <w:rFonts w:asciiTheme="minorEastAsia" w:hAnsiTheme="minorEastAsia" w:eastAsiaTheme="minorEastAsia"/>
          <w:color w:val="auto"/>
          <w:szCs w:val="21"/>
          <w:highlight w:val="none"/>
        </w:rPr>
        <w:t>评标程序</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（1）采购代理机构工作人员按评标委员会名单核对评审专家身份，组织评委及相关人员签到。</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（2）采购代理机构工作人员宣布评标纪律，公布投标人名单，征询评委有无回避情形。</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（3）组织评标委员会推选评标组长，采购人代表不得担任组长。</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（4）评委依照招标文件规定的评标程序、方法和标准进行独立评审。</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（5）采购代理机构做好评审现场相关记录，核对评标结果。</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（6）评标委员会形成评标报告，由全体评标成员签字确认。</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（7）采购代理机构工作人员宣布会议结束。</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7.评审程序</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（1）资格审查</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由采购人对投标人的资格进行审查。</w:t>
      </w:r>
    </w:p>
    <w:tbl>
      <w:tblPr>
        <w:tblStyle w:val="25"/>
        <w:tblW w:w="88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7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Style w:val="27"/>
                <w:rFonts w:cs="宋体" w:asciiTheme="minorEastAsia" w:hAnsiTheme="minorEastAsia" w:eastAsiaTheme="minorEastAsia"/>
                <w:b w:val="0"/>
                <w:color w:val="auto"/>
                <w:szCs w:val="21"/>
                <w:highlight w:val="none"/>
              </w:rPr>
            </w:pPr>
            <w:r>
              <w:rPr>
                <w:rStyle w:val="27"/>
                <w:rFonts w:hint="eastAsia" w:cs="宋体" w:asciiTheme="minorEastAsia" w:hAnsiTheme="minorEastAsia" w:eastAsiaTheme="minorEastAsia"/>
                <w:b w:val="0"/>
                <w:color w:val="auto"/>
                <w:szCs w:val="21"/>
                <w:highlight w:val="none"/>
              </w:rPr>
              <w:t>审查类别</w:t>
            </w:r>
          </w:p>
        </w:tc>
        <w:tc>
          <w:tcPr>
            <w:tcW w:w="762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cs="宋体" w:asciiTheme="minorEastAsia" w:hAnsiTheme="minorEastAsia" w:eastAsiaTheme="minorEastAsia"/>
                <w:color w:val="auto"/>
                <w:szCs w:val="21"/>
                <w:highlight w:val="none"/>
              </w:rPr>
            </w:pPr>
            <w:r>
              <w:rPr>
                <w:rFonts w:cs="宋体" w:asciiTheme="minorEastAsia" w:hAnsiTheme="minorEastAsia" w:eastAsiaTheme="minorEastAsia"/>
                <w:color w:val="auto"/>
                <w:szCs w:val="21"/>
                <w:highlight w:val="none"/>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资格审查</w:t>
            </w:r>
          </w:p>
        </w:tc>
        <w:tc>
          <w:tcPr>
            <w:tcW w:w="762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1.满足《中华人民共和国政府采购法》第二十二条规定的投标人承诺书；未被“信用中国”（</w:t>
            </w:r>
            <w:r>
              <w:rPr>
                <w:color w:val="auto"/>
                <w:highlight w:val="none"/>
              </w:rPr>
              <w:fldChar w:fldCharType="begin"/>
            </w:r>
            <w:r>
              <w:rPr>
                <w:color w:val="auto"/>
                <w:highlight w:val="none"/>
              </w:rPr>
              <w:instrText xml:space="preserve"> HYPERLINK \t "_blank" </w:instrText>
            </w:r>
            <w:r>
              <w:rPr>
                <w:color w:val="auto"/>
                <w:highlight w:val="none"/>
              </w:rPr>
              <w:fldChar w:fldCharType="separate"/>
            </w:r>
            <w:r>
              <w:rPr>
                <w:rFonts w:hint="eastAsia" w:asciiTheme="minorEastAsia" w:hAnsiTheme="minorEastAsia" w:eastAsiaTheme="minorEastAsia"/>
                <w:color w:val="auto"/>
                <w:szCs w:val="21"/>
                <w:highlight w:val="none"/>
              </w:rPr>
              <w:t>www.creditchina.gov.cn)、中国政府采购网（www.ccgp.gov.cn）列入失信被执行人、重大税收违法案件当事人名单、政府采购严重违法失信行为记录名单</w:t>
            </w:r>
            <w:r>
              <w:rPr>
                <w:rFonts w:hint="eastAsia" w:asciiTheme="minorEastAsia" w:hAnsiTheme="minorEastAsia" w:eastAsiaTheme="minorEastAsia"/>
                <w:color w:val="auto"/>
                <w:szCs w:val="21"/>
                <w:highlight w:val="none"/>
              </w:rPr>
              <w:fldChar w:fldCharType="end"/>
            </w:r>
            <w:r>
              <w:rPr>
                <w:rFonts w:hint="eastAsia" w:asciiTheme="minorEastAsia" w:hAnsiTheme="minorEastAsia" w:eastAsiaTheme="minorEastAsia"/>
                <w:color w:val="auto"/>
                <w:szCs w:val="21"/>
                <w:highlight w:val="none"/>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落实政府采购政策需满足的资格要求：</w:t>
            </w:r>
            <w:r>
              <w:rPr>
                <w:rFonts w:hint="eastAsia" w:cs="宋体" w:asciiTheme="minorEastAsia" w:hAnsiTheme="minorEastAsia" w:eastAsiaTheme="minorEastAsia"/>
                <w:color w:val="auto"/>
                <w:szCs w:val="21"/>
                <w:highlight w:val="none"/>
              </w:rPr>
              <w:t>见招标公告中申请人资格要求的</w:t>
            </w:r>
            <w:r>
              <w:rPr>
                <w:rFonts w:hint="eastAsia" w:asciiTheme="minorEastAsia" w:hAnsiTheme="minorEastAsia" w:eastAsiaTheme="minorEastAsia"/>
                <w:color w:val="auto"/>
                <w:szCs w:val="21"/>
                <w:highlight w:val="none"/>
              </w:rPr>
              <w:t>落实政府采购政策需满足的资格要求。</w:t>
            </w:r>
            <w:r>
              <w:rPr>
                <w:rFonts w:hint="eastAsia" w:asciiTheme="minorEastAsia" w:hAnsiTheme="minorEastAsia" w:eastAsiaTheme="minorEastAsia"/>
                <w:color w:val="auto"/>
                <w:szCs w:val="21"/>
                <w:highlight w:val="none"/>
                <w:lang w:val="en-US" w:eastAsia="zh-CN"/>
              </w:rPr>
              <w:t>（</w:t>
            </w:r>
            <w:r>
              <w:rPr>
                <w:rFonts w:hint="eastAsia" w:asciiTheme="minorEastAsia" w:hAnsiTheme="minorEastAsia" w:eastAsiaTheme="minorEastAsia"/>
                <w:color w:val="auto"/>
                <w:szCs w:val="21"/>
                <w:highlight w:val="none"/>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本项目的特定资格要求</w:t>
            </w:r>
            <w:r>
              <w:rPr>
                <w:rFonts w:hint="eastAsia" w:cs="宋体" w:asciiTheme="minorEastAsia" w:hAnsiTheme="minorEastAsia" w:eastAsiaTheme="minorEastAsia"/>
                <w:color w:val="auto"/>
                <w:szCs w:val="21"/>
                <w:highlight w:val="none"/>
              </w:rPr>
              <w:t>：见招标公告中申请人资格要求的</w:t>
            </w:r>
            <w:r>
              <w:rPr>
                <w:rFonts w:asciiTheme="minorEastAsia" w:hAnsiTheme="minorEastAsia" w:eastAsiaTheme="minorEastAsia"/>
                <w:color w:val="auto"/>
                <w:szCs w:val="21"/>
                <w:highlight w:val="none"/>
              </w:rPr>
              <w:t>本项目的特定资格要求</w:t>
            </w:r>
            <w:r>
              <w:rPr>
                <w:rFonts w:hint="eastAsia" w:cs="宋体" w:asciiTheme="minorEastAsia" w:hAnsiTheme="minorEastAsia" w:eastAsiaTheme="minorEastAsia"/>
                <w:color w:val="auto"/>
                <w:szCs w:val="21"/>
                <w:highlight w:val="none"/>
              </w:rPr>
              <w:t>。（如没有，则无须提供相关证明资料）</w:t>
            </w:r>
          </w:p>
        </w:tc>
      </w:tr>
    </w:tbl>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（2）符合性审查</w:t>
      </w:r>
    </w:p>
    <w:p>
      <w:pPr>
        <w:spacing w:line="400" w:lineRule="exact"/>
        <w:ind w:firstLine="420" w:firstLineChars="200"/>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评标委员会应当对符合资格的</w:t>
      </w:r>
      <w:r>
        <w:rPr>
          <w:rFonts w:hint="eastAsia" w:asciiTheme="minorEastAsia" w:hAnsiTheme="minorEastAsia" w:eastAsiaTheme="minorEastAsia"/>
          <w:color w:val="auto"/>
          <w:szCs w:val="21"/>
          <w:highlight w:val="none"/>
        </w:rPr>
        <w:t>投标人</w:t>
      </w:r>
      <w:r>
        <w:rPr>
          <w:rFonts w:hint="eastAsia" w:cs="宋体" w:asciiTheme="minorEastAsia" w:hAnsiTheme="minorEastAsia" w:eastAsiaTheme="minorEastAsia"/>
          <w:color w:val="auto"/>
          <w:kern w:val="0"/>
          <w:szCs w:val="21"/>
          <w:highlight w:val="none"/>
        </w:rPr>
        <w:t>的投标文件进行符合性审查</w:t>
      </w:r>
      <w:r>
        <w:rPr>
          <w:rFonts w:hint="eastAsia" w:cs="宋体" w:asciiTheme="minorEastAsia" w:hAnsiTheme="minorEastAsia"/>
          <w:color w:val="auto"/>
          <w:kern w:val="0"/>
          <w:szCs w:val="21"/>
          <w:highlight w:val="none"/>
        </w:rPr>
        <w:t>，</w:t>
      </w:r>
      <w:r>
        <w:rPr>
          <w:rFonts w:hint="eastAsia" w:cs="宋体" w:asciiTheme="minorEastAsia" w:hAnsiTheme="minorEastAsia" w:eastAsiaTheme="minorEastAsia"/>
          <w:color w:val="auto"/>
          <w:kern w:val="0"/>
          <w:szCs w:val="21"/>
          <w:highlight w:val="none"/>
        </w:rPr>
        <w:t>以确定其是否满足招标文件的实质性要求。</w:t>
      </w:r>
    </w:p>
    <w:tbl>
      <w:tblPr>
        <w:tblStyle w:val="25"/>
        <w:tblW w:w="88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7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审查类别</w:t>
            </w: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r>
              <w:rPr>
                <w:rFonts w:cs="宋体" w:asciiTheme="minorEastAsia" w:hAnsiTheme="minorEastAsia" w:eastAsiaTheme="minorEastAsia"/>
                <w:color w:val="auto"/>
                <w:szCs w:val="21"/>
                <w:highlight w:val="none"/>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w:t>
            </w:r>
          </w:p>
        </w:tc>
        <w:tc>
          <w:tcPr>
            <w:tcW w:w="7625" w:type="dxa"/>
            <w:vAlign w:val="center"/>
          </w:tcPr>
          <w:p>
            <w:pPr>
              <w:keepNext w:val="0"/>
              <w:keepLines w:val="0"/>
              <w:pageBreakBefore w:val="0"/>
              <w:widowControl w:val="0"/>
              <w:tabs>
                <w:tab w:val="left" w:pos="612"/>
              </w:tabs>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1.投标函未提交或不符合招标文件要求的；（格式见附件）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tabs>
                <w:tab w:val="left" w:pos="612"/>
              </w:tabs>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2.《法定代表人／负责人身份证明书》未提交的；（格式见附件）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投标文件未按招标文件要求签署、盖章的；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tabs>
                <w:tab w:val="left" w:pos="612"/>
              </w:tabs>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shd w:val="clear" w:color="auto" w:fill="FFFFFF"/>
              </w:rPr>
              <w:t>4.</w:t>
            </w:r>
            <w:r>
              <w:rPr>
                <w:rFonts w:cs="宋体" w:asciiTheme="minorEastAsia" w:hAnsiTheme="minorEastAsia" w:eastAsiaTheme="minorEastAsia"/>
                <w:color w:val="auto"/>
                <w:szCs w:val="21"/>
                <w:highlight w:val="none"/>
                <w:shd w:val="clear" w:color="auto" w:fill="FFFFFF"/>
              </w:rPr>
              <w:t>不具备招标文件中规定的资格要求的</w:t>
            </w:r>
            <w:r>
              <w:rPr>
                <w:rFonts w:hint="eastAsia" w:asciiTheme="minorEastAsia" w:hAnsiTheme="minorEastAsia" w:eastAsiaTheme="minorEastAsia"/>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5.投标有效期不足的；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w:t>
            </w:r>
            <w:r>
              <w:rPr>
                <w:rFonts w:cs="宋体" w:asciiTheme="minorEastAsia" w:hAnsiTheme="minorEastAsia" w:eastAsiaTheme="minorEastAsia"/>
                <w:color w:val="auto"/>
                <w:szCs w:val="21"/>
                <w:highlight w:val="none"/>
                <w:shd w:val="clear" w:color="auto" w:fill="FFFFFF"/>
              </w:rPr>
              <w:t>授权代表无《</w:t>
            </w:r>
            <w:r>
              <w:rPr>
                <w:rFonts w:hint="eastAsia" w:cs="宋体" w:asciiTheme="minorEastAsia" w:hAnsiTheme="minorEastAsia" w:eastAsiaTheme="minorEastAsia"/>
                <w:color w:val="auto"/>
                <w:szCs w:val="21"/>
                <w:highlight w:val="none"/>
                <w:shd w:val="clear" w:color="auto" w:fill="FFFFFF"/>
              </w:rPr>
              <w:t>法定代表人／负责人授权委托书</w:t>
            </w:r>
            <w:r>
              <w:rPr>
                <w:rFonts w:cs="宋体" w:asciiTheme="minorEastAsia" w:hAnsiTheme="minorEastAsia" w:eastAsiaTheme="minorEastAsia"/>
                <w:color w:val="auto"/>
                <w:szCs w:val="21"/>
                <w:highlight w:val="none"/>
                <w:shd w:val="clear" w:color="auto" w:fill="FFFFFF"/>
              </w:rPr>
              <w:t>》的；</w:t>
            </w:r>
            <w:r>
              <w:rPr>
                <w:rFonts w:hint="eastAsia" w:asciiTheme="minorEastAsia" w:hAnsiTheme="minorEastAsia" w:eastAsiaTheme="minorEastAsia"/>
                <w:color w:val="auto"/>
                <w:szCs w:val="21"/>
                <w:highlight w:val="none"/>
              </w:rPr>
              <w:t>（格式见附件）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w:t>
            </w:r>
            <w:r>
              <w:rPr>
                <w:rFonts w:asciiTheme="minorEastAsia" w:hAnsiTheme="minorEastAsia" w:eastAsiaTheme="minorEastAsia"/>
                <w:color w:val="auto"/>
                <w:szCs w:val="21"/>
                <w:highlight w:val="none"/>
              </w:rPr>
              <w:t>投标文件含有</w:t>
            </w:r>
            <w:r>
              <w:rPr>
                <w:rFonts w:hint="eastAsia" w:asciiTheme="minorEastAsia" w:hAnsiTheme="minorEastAsia" w:eastAsiaTheme="minorEastAsia"/>
                <w:color w:val="auto"/>
                <w:szCs w:val="21"/>
                <w:highlight w:val="none"/>
              </w:rPr>
              <w:t>采购人</w:t>
            </w:r>
            <w:r>
              <w:rPr>
                <w:rFonts w:asciiTheme="minorEastAsia" w:hAnsiTheme="minorEastAsia" w:eastAsiaTheme="minorEastAsia"/>
                <w:color w:val="auto"/>
                <w:szCs w:val="21"/>
                <w:highlight w:val="none"/>
              </w:rPr>
              <w:t>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8.</w:t>
            </w:r>
            <w:r>
              <w:rPr>
                <w:rFonts w:asciiTheme="minorEastAsia" w:hAnsiTheme="minorEastAsia" w:eastAsiaTheme="minorEastAsia"/>
                <w:color w:val="auto"/>
                <w:szCs w:val="21"/>
                <w:highlight w:val="none"/>
              </w:rPr>
              <w:t>提供虚假材料投标的；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9.与招标文件有重大偏离、未满足带</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号实质性指标的投标文件；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w:t>
            </w:r>
            <w:r>
              <w:rPr>
                <w:rFonts w:asciiTheme="minorEastAsia" w:hAnsiTheme="minorEastAsia" w:eastAsiaTheme="minorEastAsia"/>
                <w:color w:val="auto"/>
                <w:szCs w:val="21"/>
                <w:highlight w:val="none"/>
              </w:rPr>
              <w:t>投标</w:t>
            </w:r>
            <w:r>
              <w:rPr>
                <w:rFonts w:hint="eastAsia" w:asciiTheme="minorEastAsia" w:hAnsiTheme="minorEastAsia" w:eastAsiaTheme="minorEastAsia"/>
                <w:color w:val="auto"/>
                <w:szCs w:val="21"/>
                <w:highlight w:val="none"/>
              </w:rPr>
              <w:t>服务</w:t>
            </w:r>
            <w:r>
              <w:rPr>
                <w:rFonts w:asciiTheme="minorEastAsia" w:hAnsiTheme="minorEastAsia" w:eastAsiaTheme="minorEastAsia"/>
                <w:color w:val="auto"/>
                <w:szCs w:val="21"/>
                <w:highlight w:val="none"/>
              </w:rPr>
              <w:t>方案不明确，存在一个或一个以上备选（替代）投标方案的；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val="en-US" w:eastAsia="zh-CN"/>
              </w:rPr>
              <w:t>11</w:t>
            </w:r>
            <w:r>
              <w:rPr>
                <w:rFonts w:hint="eastAsia" w:asciiTheme="minorEastAsia" w:hAnsiTheme="minorEastAsia" w:eastAsiaTheme="minorEastAsia"/>
                <w:color w:val="auto"/>
                <w:szCs w:val="21"/>
                <w:highlight w:val="none"/>
              </w:rPr>
              <w:t>.技术商务文件中出现投标报价内容的；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val="en-US" w:eastAsia="zh-CN"/>
              </w:rPr>
              <w:t>12</w:t>
            </w:r>
            <w:r>
              <w:rPr>
                <w:rFonts w:hint="eastAsia" w:asciiTheme="minorEastAsia" w:hAnsiTheme="minorEastAsia" w:eastAsiaTheme="minorEastAsia"/>
                <w:color w:val="auto"/>
                <w:szCs w:val="21"/>
                <w:highlight w:val="none"/>
              </w:rPr>
              <w:t>.投标人被视为串通投标的；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val="en-US" w:eastAsia="zh-CN"/>
              </w:rPr>
              <w:t>13</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仅提交电子备份投标文件的；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lang w:val="en-US" w:eastAsia="zh-CN"/>
              </w:rPr>
              <w:t>4</w:t>
            </w:r>
            <w:r>
              <w:rPr>
                <w:rFonts w:hint="eastAsia" w:asciiTheme="minorEastAsia" w:hAnsiTheme="minorEastAsia" w:eastAsiaTheme="minorEastAsia"/>
                <w:color w:val="auto"/>
                <w:szCs w:val="21"/>
                <w:highlight w:val="none"/>
              </w:rPr>
              <w:t>.法律、法规和招标文件规定的其他无效情形。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239"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商务资信</w:t>
            </w: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val="en-US" w:eastAsia="zh-CN"/>
              </w:rPr>
              <w:t>1.</w:t>
            </w:r>
            <w:r>
              <w:rPr>
                <w:rFonts w:hint="eastAsia" w:asciiTheme="minorEastAsia" w:hAnsiTheme="minorEastAsia" w:eastAsiaTheme="minorEastAsia"/>
                <w:color w:val="auto"/>
                <w:szCs w:val="21"/>
                <w:highlight w:val="none"/>
              </w:rPr>
              <w:t>营业执照副本复印件、组织机构代码证复印件（如果已经换取证照合一的，可仅提供合一后的营业执照副本）。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Theme="minorEastAsia" w:hAnsiTheme="minorEastAsia" w:eastAsiaTheme="minorEastAsia"/>
                <w:color w:val="auto"/>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服务期限</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三年(具体时间以合同为准)合同一年一签，采购人根据中标人在上一年度合同履约、考核情况及财政资金审批情况等决定是否续签。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8" w:hRule="atLeast"/>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付款方式</w:t>
            </w:r>
            <w:r>
              <w:rPr>
                <w:rFonts w:hint="eastAsia" w:ascii="宋体" w:hAnsi="宋体" w:eastAsia="宋体" w:cs="宋体"/>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val="0"/>
              <w:snapToGrid/>
              <w:spacing w:line="360" w:lineRule="exac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eastAsia="zh-CN"/>
              </w:rPr>
              <w:t>年度合同签订之日起7日内支付年度合同总价的20%作为预付款</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合同签订时中标人主动要求不需要预付款的采购人可以不支付</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Theme="minorEastAsia" w:hAnsiTheme="minorEastAsia" w:eastAsiaTheme="minorEastAsia"/>
                <w:color w:val="auto"/>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）每</w:t>
            </w:r>
            <w:r>
              <w:rPr>
                <w:rFonts w:hint="eastAsia" w:ascii="宋体" w:hAnsi="宋体" w:eastAsia="宋体" w:cs="宋体"/>
                <w:color w:val="auto"/>
                <w:sz w:val="21"/>
                <w:szCs w:val="21"/>
                <w:highlight w:val="none"/>
                <w:lang w:val="en-US" w:eastAsia="zh-CN"/>
              </w:rPr>
              <w:t>季度</w:t>
            </w:r>
            <w:r>
              <w:rPr>
                <w:rFonts w:hint="eastAsia" w:ascii="宋体" w:hAnsi="宋体" w:eastAsia="宋体" w:cs="宋体"/>
                <w:color w:val="auto"/>
                <w:sz w:val="21"/>
                <w:szCs w:val="21"/>
                <w:highlight w:val="none"/>
                <w:lang w:eastAsia="zh-CN"/>
              </w:rPr>
              <w:t>经采购人考核评定后，结合考核</w:t>
            </w:r>
            <w:r>
              <w:rPr>
                <w:rFonts w:hint="eastAsia" w:ascii="宋体" w:hAnsi="宋体" w:eastAsia="宋体" w:cs="宋体"/>
                <w:color w:val="auto"/>
                <w:sz w:val="21"/>
                <w:szCs w:val="21"/>
                <w:highlight w:val="none"/>
                <w:lang w:val="en-US" w:eastAsia="zh-CN"/>
              </w:rPr>
              <w:t>结果</w:t>
            </w:r>
            <w:r>
              <w:rPr>
                <w:rFonts w:hint="eastAsia" w:ascii="宋体" w:hAnsi="宋体" w:eastAsia="宋体" w:cs="宋体"/>
                <w:color w:val="auto"/>
                <w:sz w:val="21"/>
                <w:szCs w:val="21"/>
                <w:highlight w:val="none"/>
                <w:lang w:eastAsia="zh-CN"/>
              </w:rPr>
              <w:t>确定应付服务费，中标</w:t>
            </w:r>
            <w:r>
              <w:rPr>
                <w:rFonts w:hint="eastAsia" w:ascii="宋体" w:hAnsi="宋体" w:eastAsia="宋体" w:cs="宋体"/>
                <w:color w:val="auto"/>
                <w:sz w:val="21"/>
                <w:szCs w:val="21"/>
                <w:highlight w:val="none"/>
                <w:lang w:val="en-US" w:eastAsia="zh-CN"/>
              </w:rPr>
              <w:t>人</w:t>
            </w:r>
            <w:r>
              <w:rPr>
                <w:rFonts w:hint="eastAsia" w:ascii="宋体" w:hAnsi="宋体" w:eastAsia="宋体" w:cs="宋体"/>
                <w:color w:val="auto"/>
                <w:sz w:val="21"/>
                <w:szCs w:val="21"/>
                <w:highlight w:val="none"/>
                <w:lang w:eastAsia="zh-CN"/>
              </w:rPr>
              <w:t>按应收款总额开具正式发票，采购人于次月20日前支付，如遇节假日则自动顺延（先从预付款中扣除相应金额，待预付款支付完后再另行按实支付）</w:t>
            </w:r>
            <w:r>
              <w:rPr>
                <w:rFonts w:hint="eastAsia" w:ascii="宋体" w:hAnsi="宋体" w:cs="宋体"/>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1"/>
                <w:szCs w:val="21"/>
                <w:highlight w:val="none"/>
                <w:lang w:eastAsia="zh-CN"/>
              </w:rPr>
            </w:pPr>
            <w:r>
              <w:rPr>
                <w:rFonts w:hint="eastAsia" w:ascii="宋体" w:hAnsi="宋体" w:eastAsia="宋体" w:cs="宋体"/>
                <w:i w:val="0"/>
                <w:caps w:val="0"/>
                <w:color w:val="auto"/>
                <w:spacing w:val="0"/>
                <w:sz w:val="21"/>
                <w:szCs w:val="21"/>
                <w:highlight w:val="none"/>
                <w:shd w:val="clear" w:fill="FFFFFF"/>
                <w:lang w:val="en-US" w:eastAsia="zh-CN"/>
              </w:rPr>
              <w:t>4.本次招标采用按中标价格一次性包干的方式。但在合同执行期间，投标人在进行投标报价时要充分考虑未来三年价格因素的变化，合同中的人员工资部分必须符合当地劳动部门有关规定，遇到社保缴费基数、比例及最低工资标准上调，则按实际情况予以调整，确保用工合法，由此增加的费用，由投标人负责，合同价格不作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报价</w:t>
            </w: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asciiTheme="minorEastAsia" w:hAnsiTheme="minorEastAsia" w:eastAsiaTheme="minorEastAsia"/>
                <w:color w:val="auto"/>
                <w:szCs w:val="21"/>
                <w:highlight w:val="none"/>
              </w:rPr>
              <w:t>投标文件未按招标文件要求签署、盖章的；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r>
              <w:rPr>
                <w:rFonts w:asciiTheme="minorEastAsia" w:hAnsiTheme="minorEastAsia" w:eastAsiaTheme="minorEastAsia"/>
                <w:color w:val="auto"/>
                <w:szCs w:val="21"/>
                <w:highlight w:val="none"/>
              </w:rPr>
              <w:t>投标文件含有</w:t>
            </w:r>
            <w:r>
              <w:rPr>
                <w:rFonts w:hint="eastAsia" w:asciiTheme="minorEastAsia" w:hAnsiTheme="minorEastAsia" w:eastAsiaTheme="minorEastAsia"/>
                <w:color w:val="auto"/>
                <w:szCs w:val="21"/>
                <w:highlight w:val="none"/>
              </w:rPr>
              <w:t>采购人</w:t>
            </w:r>
            <w:r>
              <w:rPr>
                <w:rFonts w:asciiTheme="minorEastAsia" w:hAnsiTheme="minorEastAsia" w:eastAsiaTheme="minorEastAsia"/>
                <w:color w:val="auto"/>
                <w:szCs w:val="21"/>
                <w:highlight w:val="none"/>
              </w:rPr>
              <w:t>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提供虚假材料投标的；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4.与招标文件有重大偏离、未满足带</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号实质性指标的投标文件；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r>
              <w:rPr>
                <w:rFonts w:asciiTheme="minorEastAsia" w:hAnsiTheme="minorEastAsia" w:eastAsiaTheme="minorEastAsia"/>
                <w:color w:val="auto"/>
                <w:szCs w:val="21"/>
                <w:highlight w:val="none"/>
              </w:rPr>
              <w:t>未采用人民币报价或者未按照招标文件标明的币种报价的；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6.报价超过招标文件中规定的预算金额或者最高限价的；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7.投标报价具有选择性；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8.</w:t>
            </w:r>
            <w:r>
              <w:rPr>
                <w:rFonts w:asciiTheme="minorEastAsia" w:hAnsiTheme="minorEastAsia" w:eastAsiaTheme="minorEastAsia"/>
                <w:color w:val="auto"/>
                <w:szCs w:val="21"/>
                <w:highlight w:val="none"/>
              </w:rPr>
              <w:t>评标委员会认为投标人的</w:t>
            </w:r>
            <w:r>
              <w:rPr>
                <w:rFonts w:hint="eastAsia" w:asciiTheme="minorEastAsia" w:hAnsiTheme="minorEastAsia" w:eastAsiaTheme="minorEastAsia"/>
                <w:color w:val="auto"/>
                <w:szCs w:val="21"/>
                <w:highlight w:val="none"/>
              </w:rPr>
              <w:t>报价明显低于其他通过符合性审查投标人的报价，有可能影响产品质量或者不能诚信履约的，应当要求其在评标现场合理的时间内提供书面说明，必要时提交相关证明材料；投标人不能证明其报价合理性的；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9.投标人对根据修正原则修正后的报价不确认的；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10.投标人被视为串通投标的；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9"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heme="minorEastAsia" w:hAnsiTheme="minorEastAsia" w:eastAsiaTheme="minorEastAsia"/>
                <w:color w:val="auto"/>
                <w:szCs w:val="21"/>
                <w:highlight w:val="none"/>
              </w:rPr>
            </w:pPr>
          </w:p>
        </w:tc>
        <w:tc>
          <w:tcPr>
            <w:tcW w:w="7625"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11.法律、法规和招标文件规定的其他无效情形。</w:t>
            </w:r>
          </w:p>
        </w:tc>
      </w:tr>
    </w:tbl>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（3）投标人澄清、说明或者补正</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ascii="Cambria Math" w:hAnsi="Cambria Math" w:cs="Times New Roman" w:eastAsiaTheme="minorEastAsia"/>
          <w:color w:val="auto"/>
          <w:sz w:val="21"/>
          <w:szCs w:val="21"/>
          <w:highlight w:val="none"/>
        </w:rPr>
        <w:t>①</w:t>
      </w:r>
      <w:r>
        <w:rPr>
          <w:rFonts w:cs="Times New Roman" w:asciiTheme="minorEastAsia" w:hAnsiTheme="minorEastAsia" w:eastAsiaTheme="minorEastAsia"/>
          <w:color w:val="auto"/>
          <w:sz w:val="21"/>
          <w:szCs w:val="21"/>
          <w:highlight w:val="none"/>
        </w:rPr>
        <w:t>对于投标文件中含义不明确、同类问题表述不一致或者有明显文字和计算错误的内容，评标委员会应当以书面形式要求投标人作出必要的澄清、说明或者补正。</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②</w:t>
      </w:r>
      <w:r>
        <w:rPr>
          <w:rFonts w:hint="eastAsia" w:asciiTheme="minorEastAsia" w:hAnsiTheme="minorEastAsia" w:eastAsiaTheme="minorEastAsia"/>
          <w:color w:val="auto"/>
          <w:szCs w:val="21"/>
          <w:highlight w:val="none"/>
        </w:rPr>
        <w:t>投标人的</w:t>
      </w:r>
      <w:r>
        <w:rPr>
          <w:rFonts w:asciiTheme="minorEastAsia" w:hAnsiTheme="minorEastAsia" w:eastAsiaTheme="minorEastAsia"/>
          <w:color w:val="auto"/>
          <w:szCs w:val="21"/>
          <w:highlight w:val="none"/>
        </w:rPr>
        <w:t>澄清、说明或者补正应当采用书面形式，并加盖公章，或者由法定代表人或其授权的代表签字。投标人的澄清、说明或者补正不得超出投标文件的范围或者改变投标文件的实质性内容。</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w:t>
      </w:r>
      <w:r>
        <w:rPr>
          <w:rFonts w:hint="eastAsia" w:cs="Times New Roman" w:asciiTheme="minorEastAsia" w:hAnsiTheme="minorEastAsia" w:eastAsiaTheme="minorEastAsia"/>
          <w:color w:val="auto"/>
          <w:sz w:val="21"/>
          <w:szCs w:val="21"/>
          <w:highlight w:val="none"/>
        </w:rPr>
        <w:t>比较与评价</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cs="Times New Roman" w:asciiTheme="minorEastAsia" w:hAnsiTheme="minorEastAsia" w:eastAsiaTheme="minorEastAsia"/>
          <w:color w:val="auto"/>
          <w:sz w:val="21"/>
          <w:szCs w:val="21"/>
          <w:highlight w:val="none"/>
        </w:rPr>
        <w:t>评标</w:t>
      </w:r>
      <w:r>
        <w:rPr>
          <w:rFonts w:cs="Times New Roman" w:asciiTheme="minorEastAsia" w:hAnsiTheme="minorEastAsia" w:eastAsiaTheme="minorEastAsia"/>
          <w:color w:val="auto"/>
          <w:sz w:val="21"/>
          <w:szCs w:val="21"/>
          <w:highlight w:val="none"/>
        </w:rPr>
        <w:t>委员会应当按照招标文件中规定的评标方法和标准，对符合性审查合格的投标文件进行商务和技术评估，综合比较与评价。</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（5）</w:t>
      </w:r>
      <w:r>
        <w:rPr>
          <w:rFonts w:hint="eastAsia" w:cs="Times New Roman" w:asciiTheme="minorEastAsia" w:hAnsiTheme="minorEastAsia" w:eastAsiaTheme="minorEastAsia"/>
          <w:color w:val="auto"/>
          <w:sz w:val="21"/>
          <w:szCs w:val="21"/>
          <w:highlight w:val="none"/>
        </w:rPr>
        <w:t>报价审核。对经商务和技术评审符合采购需求的投标人的报价的合理性、准确性等进行审查核实。</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ascii="Cambria Math" w:hAnsi="Cambria Math" w:cs="Times New Roman" w:eastAsiaTheme="minorEastAsia"/>
          <w:color w:val="auto"/>
          <w:sz w:val="21"/>
          <w:szCs w:val="21"/>
          <w:highlight w:val="none"/>
        </w:rPr>
        <w:t>①</w:t>
      </w:r>
      <w:r>
        <w:rPr>
          <w:rFonts w:hint="eastAsia" w:cs="Times New Roman" w:asciiTheme="minorEastAsia" w:hAnsiTheme="minorEastAsia" w:eastAsiaTheme="minorEastAsia"/>
          <w:color w:val="auto"/>
          <w:sz w:val="21"/>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ascii="Cambria Math" w:hAnsi="Cambria Math" w:cs="Times New Roman" w:eastAsiaTheme="minorEastAsia"/>
          <w:color w:val="auto"/>
          <w:sz w:val="21"/>
          <w:szCs w:val="21"/>
          <w:highlight w:val="none"/>
        </w:rPr>
        <w:t>②</w:t>
      </w:r>
      <w:r>
        <w:rPr>
          <w:rFonts w:hint="eastAsia" w:cs="Times New Roman" w:asciiTheme="minorEastAsia" w:hAnsiTheme="minorEastAsia" w:eastAsiaTheme="minorEastAsia"/>
          <w:color w:val="auto"/>
          <w:sz w:val="21"/>
          <w:szCs w:val="21"/>
          <w:highlight w:val="none"/>
        </w:rPr>
        <w:t>投标报价的修正原则。投标文件报价出现前后不一致的，按照下列规定修正：</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cs="Times New Roman" w:asciiTheme="minorEastAsia" w:hAnsiTheme="minorEastAsia" w:eastAsiaTheme="minorEastAsia"/>
          <w:color w:val="auto"/>
          <w:sz w:val="21"/>
          <w:szCs w:val="21"/>
          <w:highlight w:val="none"/>
        </w:rPr>
        <w:t>A.投标文件中开标一览表(报价表)内容与投标文件中相应内容不一致的，以开标一览表(报价表)为准</w:t>
      </w:r>
      <w:r>
        <w:rPr>
          <w:rFonts w:hint="eastAsia" w:cs="Times New Roman" w:asciiTheme="minorEastAsia" w:hAnsiTheme="minorEastAsia"/>
          <w:color w:val="auto"/>
          <w:sz w:val="21"/>
          <w:szCs w:val="21"/>
          <w:highlight w:val="none"/>
        </w:rPr>
        <w:t>；</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cs="Times New Roman" w:asciiTheme="minorEastAsia" w:hAnsiTheme="minorEastAsia" w:eastAsiaTheme="minorEastAsia"/>
          <w:color w:val="auto"/>
          <w:sz w:val="21"/>
          <w:szCs w:val="21"/>
          <w:highlight w:val="none"/>
        </w:rPr>
        <w:t>B.大写金额和小写金额不一致的，以大写金额为准</w:t>
      </w:r>
      <w:r>
        <w:rPr>
          <w:rFonts w:hint="eastAsia" w:cs="Times New Roman" w:asciiTheme="minorEastAsia" w:hAnsiTheme="minorEastAsia"/>
          <w:color w:val="auto"/>
          <w:sz w:val="21"/>
          <w:szCs w:val="21"/>
          <w:highlight w:val="none"/>
        </w:rPr>
        <w:t>；</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cs="Times New Roman" w:asciiTheme="minorEastAsia" w:hAnsiTheme="minorEastAsia" w:eastAsiaTheme="minorEastAsia"/>
          <w:color w:val="auto"/>
          <w:sz w:val="21"/>
          <w:szCs w:val="21"/>
          <w:highlight w:val="none"/>
        </w:rPr>
        <w:t>C.单价金额小数点或者百分比有明显错位的，以开标一览表的总价为准，并修改单价</w:t>
      </w:r>
      <w:r>
        <w:rPr>
          <w:rFonts w:hint="eastAsia" w:cs="Times New Roman" w:asciiTheme="minorEastAsia" w:hAnsiTheme="minorEastAsia"/>
          <w:color w:val="auto"/>
          <w:sz w:val="21"/>
          <w:szCs w:val="21"/>
          <w:highlight w:val="none"/>
        </w:rPr>
        <w:t>；</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cs="Times New Roman" w:asciiTheme="minorEastAsia" w:hAnsiTheme="minorEastAsia" w:eastAsiaTheme="minorEastAsia"/>
          <w:color w:val="auto"/>
          <w:sz w:val="21"/>
          <w:szCs w:val="21"/>
          <w:highlight w:val="none"/>
        </w:rPr>
        <w:t>D.总价金额与按单价汇总金额不一致的，以单价金额计算结果为准。</w:t>
      </w:r>
    </w:p>
    <w:p>
      <w:pPr>
        <w:pStyle w:val="60"/>
        <w:keepNext w:val="0"/>
        <w:keepLines w:val="0"/>
        <w:pageBreakBefore w:val="0"/>
        <w:widowControl w:val="0"/>
        <w:kinsoku/>
        <w:wordWrap/>
        <w:overflowPunct/>
        <w:topLinePunct w:val="0"/>
        <w:autoSpaceDE/>
        <w:autoSpaceDN/>
        <w:bidi w:val="0"/>
        <w:adjustRightInd w:val="0"/>
        <w:snapToGrid/>
        <w:spacing w:before="0" w:line="400" w:lineRule="exact"/>
        <w:ind w:firstLine="420"/>
        <w:textAlignment w:val="auto"/>
        <w:rPr>
          <w:rFonts w:hint="eastAsia" w:cs="Times New Roman" w:asciiTheme="minorEastAsia" w:hAnsiTheme="minorEastAsia" w:eastAsiaTheme="minorEastAsia"/>
          <w:color w:val="auto"/>
          <w:sz w:val="21"/>
          <w:szCs w:val="21"/>
          <w:highlight w:val="none"/>
        </w:rPr>
      </w:pPr>
      <w:r>
        <w:rPr>
          <w:rFonts w:hint="eastAsia" w:cs="Times New Roman" w:asciiTheme="minorEastAsia" w:hAnsiTheme="minorEastAsia" w:eastAsiaTheme="minorEastAsia"/>
          <w:color w:val="auto"/>
          <w:sz w:val="21"/>
          <w:szCs w:val="21"/>
          <w:highlight w:val="none"/>
        </w:rPr>
        <w:t>同时出现两种以上不一致的，按照前款规定的顺序修正。修正后的报价按照财政部第87号令 《政府采购货物和服务招标投标管理办法》第五十一条第二款的规定经投标人确认后产生约束力，投标人不确认的，其投标无效。</w:t>
      </w:r>
    </w:p>
    <w:p>
      <w:pPr>
        <w:pStyle w:val="60"/>
        <w:keepNext w:val="0"/>
        <w:keepLines w:val="0"/>
        <w:pageBreakBefore w:val="0"/>
        <w:widowControl w:val="0"/>
        <w:kinsoku/>
        <w:wordWrap/>
        <w:overflowPunct/>
        <w:topLinePunct w:val="0"/>
        <w:autoSpaceDE/>
        <w:autoSpaceDN/>
        <w:bidi w:val="0"/>
        <w:adjustRightInd w:val="0"/>
        <w:snapToGrid/>
        <w:spacing w:before="0" w:line="400" w:lineRule="exact"/>
        <w:ind w:firstLine="420"/>
        <w:textAlignment w:val="auto"/>
        <w:rPr>
          <w:rFonts w:hint="eastAsia" w:cs="Times New Roman" w:asciiTheme="minorEastAsia" w:hAnsiTheme="minorEastAsia" w:eastAsiaTheme="minorEastAsia"/>
          <w:color w:val="auto"/>
          <w:sz w:val="21"/>
          <w:szCs w:val="21"/>
          <w:highlight w:val="none"/>
        </w:rPr>
      </w:pPr>
      <w:r>
        <w:rPr>
          <w:rFonts w:hint="default" w:ascii="Cambria Math" w:hAnsi="Cambria Math" w:cs="Times New Roman" w:eastAsiaTheme="minorEastAsia"/>
          <w:color w:val="auto"/>
          <w:sz w:val="21"/>
          <w:szCs w:val="21"/>
          <w:highlight w:val="none"/>
        </w:rPr>
        <w:t>③</w:t>
      </w:r>
      <w:r>
        <w:rPr>
          <w:rFonts w:hint="eastAsia" w:cs="Times New Roman" w:asciiTheme="minorEastAsia" w:hAnsiTheme="minorEastAsia" w:eastAsiaTheme="minorEastAsia"/>
          <w:color w:val="auto"/>
          <w:sz w:val="21"/>
          <w:szCs w:val="21"/>
          <w:highlight w:val="none"/>
        </w:rPr>
        <w:t>政采云平台系统填写的开标一览表数据与</w:t>
      </w:r>
      <w:r>
        <w:rPr>
          <w:rFonts w:hint="eastAsia" w:cs="Times New Roman" w:asciiTheme="minorEastAsia" w:hAnsiTheme="minorEastAsia" w:eastAsiaTheme="minorEastAsia"/>
          <w:color w:val="auto"/>
          <w:sz w:val="21"/>
          <w:szCs w:val="21"/>
          <w:highlight w:val="none"/>
          <w:lang w:val="en-US" w:eastAsia="zh-CN"/>
        </w:rPr>
        <w:t>投标</w:t>
      </w:r>
      <w:r>
        <w:rPr>
          <w:rFonts w:hint="eastAsia" w:cs="Times New Roman" w:asciiTheme="minorEastAsia" w:hAnsiTheme="minorEastAsia" w:eastAsiaTheme="minorEastAsia"/>
          <w:color w:val="auto"/>
          <w:sz w:val="21"/>
          <w:szCs w:val="21"/>
          <w:highlight w:val="none"/>
        </w:rPr>
        <w:t>文件填写的开标一览表数据不一致时，以</w:t>
      </w:r>
      <w:r>
        <w:rPr>
          <w:rFonts w:hint="eastAsia" w:cs="Times New Roman" w:asciiTheme="minorEastAsia" w:hAnsiTheme="minorEastAsia" w:eastAsiaTheme="minorEastAsia"/>
          <w:color w:val="auto"/>
          <w:sz w:val="21"/>
          <w:szCs w:val="21"/>
          <w:highlight w:val="none"/>
          <w:lang w:val="en-US" w:eastAsia="zh-CN"/>
        </w:rPr>
        <w:t>投标</w:t>
      </w:r>
      <w:r>
        <w:rPr>
          <w:rFonts w:hint="eastAsia" w:cs="Times New Roman" w:asciiTheme="minorEastAsia" w:hAnsiTheme="minorEastAsia" w:eastAsiaTheme="minorEastAsia"/>
          <w:color w:val="auto"/>
          <w:sz w:val="21"/>
          <w:szCs w:val="21"/>
          <w:highlight w:val="none"/>
        </w:rPr>
        <w:t>文件中开标一览表的数据为准。</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（6）</w:t>
      </w:r>
      <w:r>
        <w:rPr>
          <w:rFonts w:cs="Times New Roman" w:asciiTheme="minorEastAsia" w:hAnsiTheme="minorEastAsia" w:eastAsiaTheme="minorEastAsia"/>
          <w:color w:val="auto"/>
          <w:sz w:val="21"/>
          <w:szCs w:val="21"/>
          <w:highlight w:val="none"/>
        </w:rPr>
        <w:t>汇总</w:t>
      </w:r>
      <w:r>
        <w:rPr>
          <w:rFonts w:hint="eastAsia" w:cs="Times New Roman" w:asciiTheme="minorEastAsia" w:hAnsiTheme="minorEastAsia" w:eastAsiaTheme="minorEastAsia"/>
          <w:color w:val="auto"/>
          <w:sz w:val="21"/>
          <w:szCs w:val="21"/>
          <w:highlight w:val="none"/>
        </w:rPr>
        <w:t>得分。</w:t>
      </w:r>
      <w:r>
        <w:rPr>
          <w:rFonts w:cs="Times New Roman" w:asciiTheme="minorEastAsia" w:hAnsiTheme="minorEastAsia" w:eastAsiaTheme="minorEastAsia"/>
          <w:color w:val="auto"/>
          <w:sz w:val="21"/>
          <w:szCs w:val="21"/>
          <w:highlight w:val="none"/>
        </w:rPr>
        <w:t>评标委员会各成员应当独立对每个投标人的投标文件进行评价，并汇总每个投标人的得分。</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w:t>
      </w:r>
      <w:r>
        <w:rPr>
          <w:rFonts w:cs="Times New Roman" w:asciiTheme="minorEastAsia" w:hAnsiTheme="minorEastAsia" w:eastAsiaTheme="minorEastAsia"/>
          <w:color w:val="auto"/>
          <w:sz w:val="21"/>
          <w:szCs w:val="21"/>
          <w:highlight w:val="none"/>
        </w:rPr>
        <w:t>顺序排列</w:t>
      </w:r>
      <w:r>
        <w:rPr>
          <w:rFonts w:hint="eastAsia" w:cs="Times New Roman" w:asciiTheme="minorEastAsia" w:hAnsiTheme="minorEastAsia" w:eastAsiaTheme="minorEastAsia"/>
          <w:color w:val="auto"/>
          <w:sz w:val="21"/>
          <w:szCs w:val="21"/>
          <w:highlight w:val="none"/>
        </w:rPr>
        <w:t>与中标候选人推荐</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（8）</w:t>
      </w:r>
      <w:r>
        <w:rPr>
          <w:rFonts w:hint="eastAsia" w:cs="Times New Roman" w:asciiTheme="minorEastAsia" w:hAnsiTheme="minorEastAsia" w:eastAsiaTheme="minorEastAsia"/>
          <w:color w:val="auto"/>
          <w:sz w:val="21"/>
          <w:szCs w:val="21"/>
          <w:highlight w:val="none"/>
        </w:rPr>
        <w:t>串通投标认定</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cs="Times New Roman" w:asciiTheme="minorEastAsia" w:hAnsiTheme="minorEastAsia" w:eastAsiaTheme="minorEastAsia"/>
          <w:color w:val="auto"/>
          <w:sz w:val="21"/>
          <w:szCs w:val="21"/>
          <w:highlight w:val="none"/>
        </w:rPr>
        <w:t>有下列情形之一的，视为投标人串通投标，其投标无效：</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ascii="Cambria Math" w:hAnsi="Cambria Math" w:cs="Times New Roman" w:eastAsiaTheme="minorEastAsia"/>
          <w:color w:val="auto"/>
          <w:sz w:val="21"/>
          <w:szCs w:val="21"/>
          <w:highlight w:val="none"/>
        </w:rPr>
        <w:t>①</w:t>
      </w:r>
      <w:r>
        <w:rPr>
          <w:rFonts w:hint="eastAsia" w:cs="Times New Roman" w:asciiTheme="minorEastAsia" w:hAnsiTheme="minorEastAsia" w:eastAsiaTheme="minorEastAsia"/>
          <w:color w:val="auto"/>
          <w:sz w:val="21"/>
          <w:szCs w:val="21"/>
          <w:highlight w:val="none"/>
        </w:rPr>
        <w:t>不同投标人的投标文件由同一单位或者个人编制；</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ascii="Cambria Math" w:hAnsi="Cambria Math" w:cs="Times New Roman" w:eastAsiaTheme="minorEastAsia"/>
          <w:color w:val="auto"/>
          <w:sz w:val="21"/>
          <w:szCs w:val="21"/>
          <w:highlight w:val="none"/>
        </w:rPr>
        <w:t>②</w:t>
      </w:r>
      <w:r>
        <w:rPr>
          <w:rFonts w:hint="eastAsia" w:cs="Times New Roman" w:asciiTheme="minorEastAsia" w:hAnsiTheme="minorEastAsia" w:eastAsiaTheme="minorEastAsia"/>
          <w:color w:val="auto"/>
          <w:sz w:val="21"/>
          <w:szCs w:val="21"/>
          <w:highlight w:val="none"/>
        </w:rPr>
        <w:t>不同投标人委托同一单位或者个人办理投标事宜；</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ascii="Cambria Math" w:hAnsi="Cambria Math" w:cs="Times New Roman" w:eastAsiaTheme="minorEastAsia"/>
          <w:color w:val="auto"/>
          <w:sz w:val="21"/>
          <w:szCs w:val="21"/>
          <w:highlight w:val="none"/>
        </w:rPr>
        <w:t>③</w:t>
      </w:r>
      <w:r>
        <w:rPr>
          <w:rFonts w:hint="eastAsia" w:cs="Times New Roman" w:asciiTheme="minorEastAsia" w:hAnsiTheme="minorEastAsia" w:eastAsiaTheme="minorEastAsia"/>
          <w:color w:val="auto"/>
          <w:sz w:val="21"/>
          <w:szCs w:val="21"/>
          <w:highlight w:val="none"/>
        </w:rPr>
        <w:t>不同投标人的投标文件载明的项目管理成员或者联系人员为同一人；</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ascii="Cambria Math" w:hAnsi="Cambria Math" w:cs="Times New Roman" w:eastAsiaTheme="minorEastAsia"/>
          <w:color w:val="auto"/>
          <w:sz w:val="21"/>
          <w:szCs w:val="21"/>
          <w:highlight w:val="none"/>
        </w:rPr>
        <w:t>④</w:t>
      </w:r>
      <w:r>
        <w:rPr>
          <w:rFonts w:hint="eastAsia" w:cs="Times New Roman" w:asciiTheme="minorEastAsia" w:hAnsiTheme="minorEastAsia" w:eastAsiaTheme="minorEastAsia"/>
          <w:color w:val="auto"/>
          <w:sz w:val="21"/>
          <w:szCs w:val="21"/>
          <w:highlight w:val="none"/>
        </w:rPr>
        <w:t>不同投标人的投标文件异常一致或者投标报价呈规律性差异；</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ascii="Cambria Math" w:hAnsi="Cambria Math" w:cs="Times New Roman" w:eastAsiaTheme="minorEastAsia"/>
          <w:color w:val="auto"/>
          <w:sz w:val="21"/>
          <w:szCs w:val="21"/>
          <w:highlight w:val="none"/>
        </w:rPr>
        <w:t>⑤</w:t>
      </w:r>
      <w:r>
        <w:rPr>
          <w:rFonts w:hint="eastAsia" w:cs="Times New Roman" w:asciiTheme="minorEastAsia" w:hAnsiTheme="minorEastAsia" w:eastAsiaTheme="minorEastAsia"/>
          <w:color w:val="auto"/>
          <w:sz w:val="21"/>
          <w:szCs w:val="21"/>
          <w:highlight w:val="none"/>
        </w:rPr>
        <w:t>不同投标人的投标文件相互混装。</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（9）投标无效的情形</w:t>
      </w:r>
    </w:p>
    <w:p>
      <w:pPr>
        <w:pStyle w:val="60"/>
        <w:spacing w:before="0" w:line="400" w:lineRule="exact"/>
        <w:ind w:firstLine="420"/>
        <w:rPr>
          <w:rFonts w:cs="Times New Roman" w:asciiTheme="minorEastAsia" w:hAnsiTheme="minorEastAsia" w:eastAsiaTheme="minorEastAsia"/>
          <w:color w:val="auto"/>
          <w:sz w:val="21"/>
          <w:szCs w:val="21"/>
          <w:highlight w:val="none"/>
        </w:rPr>
      </w:pPr>
      <w:r>
        <w:rPr>
          <w:rFonts w:hint="eastAsia" w:cs="Times New Roman" w:asciiTheme="minorEastAsia" w:hAnsiTheme="minorEastAsia" w:eastAsiaTheme="minorEastAsia"/>
          <w:color w:val="auto"/>
          <w:sz w:val="21"/>
          <w:szCs w:val="21"/>
          <w:highlight w:val="none"/>
        </w:rPr>
        <w:t>在评审时，如发现下列情形之一的，投标文件将被视为无效：</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①</w:t>
      </w:r>
      <w:r>
        <w:rPr>
          <w:rFonts w:hint="eastAsia" w:asciiTheme="minorEastAsia" w:hAnsiTheme="minorEastAsia" w:eastAsiaTheme="minorEastAsia"/>
          <w:color w:val="auto"/>
          <w:szCs w:val="21"/>
          <w:highlight w:val="none"/>
        </w:rPr>
        <w:t>投标函未提交或不符合招标文件要求的；</w:t>
      </w:r>
    </w:p>
    <w:p>
      <w:pPr>
        <w:pStyle w:val="9"/>
        <w:spacing w:after="0" w:line="400" w:lineRule="exact"/>
        <w:ind w:firstLine="407" w:firstLineChars="194"/>
        <w:rPr>
          <w:color w:val="auto"/>
          <w:szCs w:val="21"/>
          <w:highlight w:val="none"/>
        </w:rPr>
      </w:pPr>
      <w:r>
        <w:rPr>
          <w:rFonts w:ascii="Cambria Math" w:hAnsi="Cambria Math" w:eastAsiaTheme="minorEastAsia"/>
          <w:color w:val="auto"/>
          <w:szCs w:val="21"/>
          <w:highlight w:val="none"/>
        </w:rPr>
        <w:t>②《</w:t>
      </w:r>
      <w:r>
        <w:rPr>
          <w:rFonts w:hint="eastAsia" w:ascii="宋体" w:hAnsi="宋体" w:cs="宋体"/>
          <w:color w:val="auto"/>
          <w:szCs w:val="21"/>
          <w:highlight w:val="none"/>
          <w:shd w:val="clear" w:color="auto" w:fill="FFFFFF"/>
        </w:rPr>
        <w:t>法定代表人／负责人身份证明书</w:t>
      </w:r>
      <w:r>
        <w:rPr>
          <w:rFonts w:hint="eastAsia" w:asciiTheme="minorEastAsia" w:hAnsiTheme="minorEastAsia" w:eastAsiaTheme="minorEastAsia"/>
          <w:color w:val="auto"/>
          <w:szCs w:val="21"/>
          <w:highlight w:val="none"/>
        </w:rPr>
        <w:t>》未提交的；</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③</w:t>
      </w:r>
      <w:r>
        <w:rPr>
          <w:rFonts w:asciiTheme="minorEastAsia" w:hAnsiTheme="minorEastAsia" w:eastAsiaTheme="minorEastAsia"/>
          <w:color w:val="auto"/>
          <w:szCs w:val="21"/>
          <w:highlight w:val="none"/>
        </w:rPr>
        <w:t>投标文件未按招标文件要求签署、盖章的；</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cs="宋体" w:eastAsiaTheme="minorEastAsia"/>
          <w:color w:val="auto"/>
          <w:szCs w:val="21"/>
          <w:highlight w:val="none"/>
          <w:shd w:val="clear" w:color="auto" w:fill="FFFFFF"/>
        </w:rPr>
        <w:t>④</w:t>
      </w:r>
      <w:r>
        <w:rPr>
          <w:rFonts w:cs="宋体" w:asciiTheme="minorEastAsia" w:hAnsiTheme="minorEastAsia" w:eastAsiaTheme="minorEastAsia"/>
          <w:color w:val="auto"/>
          <w:szCs w:val="21"/>
          <w:highlight w:val="none"/>
          <w:shd w:val="clear" w:color="auto" w:fill="FFFFFF"/>
        </w:rPr>
        <w:t>不具备招标文件中规定的资格要求的</w:t>
      </w:r>
      <w:r>
        <w:rPr>
          <w:rFonts w:hint="eastAsia" w:asciiTheme="minorEastAsia" w:hAnsiTheme="minorEastAsia" w:eastAsiaTheme="minorEastAsia"/>
          <w:color w:val="auto"/>
          <w:szCs w:val="21"/>
          <w:highlight w:val="none"/>
        </w:rPr>
        <w:t>；</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⑤</w:t>
      </w:r>
      <w:r>
        <w:rPr>
          <w:rFonts w:hint="eastAsia" w:asciiTheme="minorEastAsia" w:hAnsiTheme="minorEastAsia" w:eastAsiaTheme="minorEastAsia"/>
          <w:color w:val="auto"/>
          <w:szCs w:val="21"/>
          <w:highlight w:val="none"/>
        </w:rPr>
        <w:t>投标有效期不足的；</w:t>
      </w:r>
    </w:p>
    <w:p>
      <w:pPr>
        <w:spacing w:line="400" w:lineRule="exact"/>
        <w:ind w:firstLine="420" w:firstLineChars="200"/>
        <w:rPr>
          <w:rFonts w:cs="宋体" w:asciiTheme="minorEastAsia" w:hAnsiTheme="minorEastAsia" w:eastAsiaTheme="minorEastAsia"/>
          <w:color w:val="auto"/>
          <w:szCs w:val="21"/>
          <w:highlight w:val="none"/>
          <w:shd w:val="clear" w:color="auto" w:fill="FFFFFF"/>
        </w:rPr>
      </w:pPr>
      <w:r>
        <w:rPr>
          <w:rFonts w:ascii="Cambria Math" w:hAnsi="Cambria Math" w:eastAsiaTheme="minorEastAsia"/>
          <w:color w:val="auto"/>
          <w:szCs w:val="21"/>
          <w:highlight w:val="none"/>
        </w:rPr>
        <w:t>⑥</w:t>
      </w:r>
      <w:r>
        <w:rPr>
          <w:rFonts w:cs="宋体" w:asciiTheme="minorEastAsia" w:hAnsiTheme="minorEastAsia" w:eastAsiaTheme="minorEastAsia"/>
          <w:color w:val="auto"/>
          <w:szCs w:val="21"/>
          <w:highlight w:val="none"/>
          <w:shd w:val="clear" w:color="auto" w:fill="FFFFFF"/>
        </w:rPr>
        <w:t>授权代表无《</w:t>
      </w:r>
      <w:r>
        <w:rPr>
          <w:rFonts w:hint="eastAsia" w:ascii="宋体" w:hAnsi="宋体" w:cs="宋体"/>
          <w:color w:val="auto"/>
          <w:szCs w:val="21"/>
          <w:highlight w:val="none"/>
          <w:shd w:val="clear" w:color="auto" w:fill="FFFFFF"/>
        </w:rPr>
        <w:t>法定代表人／负责人授权委托书</w:t>
      </w:r>
      <w:r>
        <w:rPr>
          <w:rFonts w:cs="宋体" w:asciiTheme="minorEastAsia" w:hAnsiTheme="minorEastAsia" w:eastAsiaTheme="minorEastAsia"/>
          <w:color w:val="auto"/>
          <w:szCs w:val="21"/>
          <w:highlight w:val="none"/>
          <w:shd w:val="clear" w:color="auto" w:fill="FFFFFF"/>
        </w:rPr>
        <w:t>》的；</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⑦</w:t>
      </w:r>
      <w:r>
        <w:rPr>
          <w:rFonts w:asciiTheme="minorEastAsia" w:hAnsiTheme="minorEastAsia" w:eastAsiaTheme="minorEastAsia"/>
          <w:color w:val="auto"/>
          <w:szCs w:val="21"/>
          <w:highlight w:val="none"/>
        </w:rPr>
        <w:t>投标文件含有</w:t>
      </w:r>
      <w:r>
        <w:rPr>
          <w:rFonts w:hint="eastAsia" w:asciiTheme="minorEastAsia" w:hAnsiTheme="minorEastAsia" w:eastAsiaTheme="minorEastAsia"/>
          <w:color w:val="auto"/>
          <w:szCs w:val="21"/>
          <w:highlight w:val="none"/>
        </w:rPr>
        <w:t>采购人</w:t>
      </w:r>
      <w:r>
        <w:rPr>
          <w:rFonts w:asciiTheme="minorEastAsia" w:hAnsiTheme="minorEastAsia" w:eastAsiaTheme="minorEastAsia"/>
          <w:color w:val="auto"/>
          <w:szCs w:val="21"/>
          <w:highlight w:val="none"/>
        </w:rPr>
        <w:t>不能接受的附加条件的；</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⑧</w:t>
      </w:r>
      <w:r>
        <w:rPr>
          <w:rFonts w:asciiTheme="minorEastAsia" w:hAnsiTheme="minorEastAsia" w:eastAsiaTheme="minorEastAsia"/>
          <w:color w:val="auto"/>
          <w:szCs w:val="21"/>
          <w:highlight w:val="none"/>
        </w:rPr>
        <w:t>提供虚假材料投标的；</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⑨</w:t>
      </w:r>
      <w:r>
        <w:rPr>
          <w:rFonts w:hint="eastAsia" w:asciiTheme="minorEastAsia" w:hAnsiTheme="minorEastAsia" w:eastAsiaTheme="minorEastAsia"/>
          <w:color w:val="auto"/>
          <w:szCs w:val="21"/>
          <w:highlight w:val="none"/>
        </w:rPr>
        <w:t>与招标文件有重大偏离、未满足带</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号实质性指标的投标文件；</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eastAsiaTheme="minorEastAsia"/>
          <w:color w:val="auto"/>
          <w:szCs w:val="21"/>
          <w:highlight w:val="none"/>
        </w:rPr>
        <w:t>⑩</w:t>
      </w:r>
      <w:r>
        <w:rPr>
          <w:rFonts w:asciiTheme="minorEastAsia" w:hAnsiTheme="minorEastAsia" w:eastAsiaTheme="minorEastAsia"/>
          <w:color w:val="auto"/>
          <w:szCs w:val="21"/>
          <w:highlight w:val="none"/>
        </w:rPr>
        <w:t>投标</w:t>
      </w:r>
      <w:r>
        <w:rPr>
          <w:rFonts w:hint="eastAsia" w:asciiTheme="minorEastAsia" w:hAnsiTheme="minorEastAsia" w:eastAsiaTheme="minorEastAsia"/>
          <w:color w:val="auto"/>
          <w:szCs w:val="21"/>
          <w:highlight w:val="none"/>
        </w:rPr>
        <w:t>服</w:t>
      </w:r>
      <w:r>
        <w:rPr>
          <w:rFonts w:asciiTheme="minorEastAsia" w:hAnsiTheme="minorEastAsia" w:eastAsiaTheme="minorEastAsia"/>
          <w:color w:val="auto"/>
          <w:szCs w:val="21"/>
          <w:highlight w:val="none"/>
        </w:rPr>
        <w:t>务方案不明确，存在一个或一个以上备选（替代）投标方案的；</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cs="Cambria Math" w:eastAsiaTheme="minorEastAsia"/>
          <w:color w:val="auto"/>
          <w:szCs w:val="21"/>
          <w:highlight w:val="none"/>
        </w:rPr>
        <w:t>⑪</w:t>
      </w:r>
      <w:r>
        <w:rPr>
          <w:rFonts w:asciiTheme="minorEastAsia" w:hAnsiTheme="minorEastAsia" w:eastAsiaTheme="minorEastAsia"/>
          <w:color w:val="auto"/>
          <w:szCs w:val="21"/>
          <w:highlight w:val="none"/>
        </w:rPr>
        <w:t>未采用人民币报价或者未按照招标文件标明的币种报价的；</w:t>
      </w:r>
    </w:p>
    <w:p>
      <w:pPr>
        <w:spacing w:line="400" w:lineRule="exact"/>
        <w:ind w:firstLine="420" w:firstLineChars="200"/>
        <w:rPr>
          <w:rFonts w:hint="eastAsia" w:asciiTheme="minorEastAsia" w:hAnsiTheme="minorEastAsia" w:eastAsiaTheme="minorEastAsia"/>
          <w:color w:val="auto"/>
          <w:szCs w:val="21"/>
          <w:highlight w:val="none"/>
        </w:rPr>
      </w:pPr>
      <w:r>
        <w:rPr>
          <w:rFonts w:ascii="Cambria Math" w:hAnsi="Cambria Math" w:cs="Cambria Math" w:eastAsiaTheme="minorEastAsia"/>
          <w:color w:val="auto"/>
          <w:szCs w:val="21"/>
          <w:highlight w:val="none"/>
          <w:shd w:val="clear" w:color="auto" w:fill="FFFFFF"/>
        </w:rPr>
        <w:t>⑫</w:t>
      </w:r>
      <w:r>
        <w:rPr>
          <w:rFonts w:hint="eastAsia" w:asciiTheme="minorEastAsia" w:hAnsiTheme="minorEastAsia" w:eastAsiaTheme="minorEastAsia"/>
          <w:color w:val="auto"/>
          <w:szCs w:val="21"/>
          <w:highlight w:val="none"/>
        </w:rPr>
        <w:t>报价超过招标文件中规定的预算金额或者最高限价的；</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cs="Cambria Math" w:eastAsiaTheme="minorEastAsia"/>
          <w:color w:val="auto"/>
          <w:szCs w:val="21"/>
          <w:highlight w:val="none"/>
          <w:shd w:val="clear" w:color="auto" w:fill="FFFFFF"/>
        </w:rPr>
        <w:t>⑬</w:t>
      </w:r>
      <w:r>
        <w:rPr>
          <w:rFonts w:hint="eastAsia" w:asciiTheme="minorEastAsia" w:hAnsiTheme="minorEastAsia" w:eastAsiaTheme="minorEastAsia"/>
          <w:color w:val="auto"/>
          <w:szCs w:val="21"/>
          <w:highlight w:val="none"/>
        </w:rPr>
        <w:t>投标报价具有选择性；</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cs="Cambria Math" w:eastAsiaTheme="minorEastAsia"/>
          <w:color w:val="auto"/>
          <w:szCs w:val="21"/>
          <w:highlight w:val="none"/>
          <w:shd w:val="clear" w:color="auto" w:fill="FFFFFF"/>
        </w:rPr>
        <w:t>⑭</w:t>
      </w:r>
      <w:r>
        <w:rPr>
          <w:rFonts w:hint="eastAsia" w:asciiTheme="minorEastAsia" w:hAnsiTheme="minorEastAsia" w:eastAsiaTheme="minorEastAsia"/>
          <w:color w:val="auto"/>
          <w:szCs w:val="21"/>
          <w:highlight w:val="none"/>
        </w:rPr>
        <w:t>技术商务文件中出现投标报价内容的；</w:t>
      </w:r>
    </w:p>
    <w:p>
      <w:pPr>
        <w:spacing w:line="400" w:lineRule="exact"/>
        <w:ind w:firstLine="420" w:firstLineChars="200"/>
        <w:rPr>
          <w:rFonts w:ascii="Cambria Math" w:hAnsi="Cambria Math" w:cs="Cambria Math" w:eastAsiaTheme="minorEastAsia"/>
          <w:color w:val="auto"/>
          <w:szCs w:val="21"/>
          <w:highlight w:val="none"/>
        </w:rPr>
      </w:pPr>
      <w:r>
        <w:rPr>
          <w:rFonts w:ascii="Cambria Math" w:hAnsi="Cambria Math" w:cs="Cambria Math" w:eastAsiaTheme="minorEastAsia"/>
          <w:color w:val="auto"/>
          <w:szCs w:val="21"/>
          <w:highlight w:val="none"/>
        </w:rPr>
        <w:t>⑮</w:t>
      </w:r>
      <w:r>
        <w:rPr>
          <w:rFonts w:asciiTheme="minorEastAsia" w:hAnsiTheme="minorEastAsia" w:eastAsiaTheme="minorEastAsia"/>
          <w:color w:val="auto"/>
          <w:szCs w:val="21"/>
          <w:highlight w:val="none"/>
        </w:rPr>
        <w:t>评标委员会认为投标人的</w:t>
      </w:r>
      <w:r>
        <w:rPr>
          <w:rFonts w:hint="eastAsia" w:asciiTheme="minorEastAsia" w:hAnsiTheme="minorEastAsia" w:eastAsiaTheme="minorEastAsia"/>
          <w:color w:val="auto"/>
          <w:szCs w:val="21"/>
          <w:highlight w:val="none"/>
        </w:rPr>
        <w:t>报价明显低于其他通过符合性审查投标人的报价，有可能影响产品质量或者不能诚信履约的，应当要求其在评标现场合理的时间内提供书面说明，必要</w:t>
      </w:r>
      <w:r>
        <w:rPr>
          <w:rFonts w:hint="eastAsia" w:ascii="Cambria Math" w:hAnsi="Cambria Math" w:cs="Cambria Math" w:eastAsiaTheme="minorEastAsia"/>
          <w:color w:val="auto"/>
          <w:szCs w:val="21"/>
          <w:highlight w:val="none"/>
        </w:rPr>
        <w:t>时提交相关证明材料；投标人不能证明其报价合理性的；</w:t>
      </w:r>
    </w:p>
    <w:p>
      <w:pPr>
        <w:spacing w:line="400" w:lineRule="exact"/>
        <w:ind w:firstLine="420" w:firstLineChars="200"/>
        <w:rPr>
          <w:rFonts w:ascii="Cambria Math" w:hAnsi="Cambria Math" w:cs="Cambria Math" w:eastAsiaTheme="minorEastAsia"/>
          <w:color w:val="auto"/>
          <w:szCs w:val="21"/>
          <w:highlight w:val="none"/>
        </w:rPr>
      </w:pPr>
      <w:r>
        <w:rPr>
          <w:rFonts w:ascii="Cambria Math" w:hAnsi="Cambria Math" w:cs="Cambria Math" w:eastAsiaTheme="minorEastAsia"/>
          <w:color w:val="auto"/>
          <w:szCs w:val="21"/>
          <w:highlight w:val="none"/>
        </w:rPr>
        <w:t>⑯</w:t>
      </w:r>
      <w:r>
        <w:rPr>
          <w:rFonts w:hint="eastAsia" w:ascii="Cambria Math" w:hAnsi="Cambria Math" w:cs="Cambria Math" w:eastAsiaTheme="minorEastAsia"/>
          <w:color w:val="auto"/>
          <w:szCs w:val="21"/>
          <w:highlight w:val="none"/>
        </w:rPr>
        <w:t>投标人对根据修正原则修正后的报价不确认的；</w:t>
      </w:r>
    </w:p>
    <w:p>
      <w:pPr>
        <w:spacing w:line="400" w:lineRule="exact"/>
        <w:ind w:firstLine="420" w:firstLineChars="200"/>
        <w:rPr>
          <w:rFonts w:ascii="Cambria Math" w:hAnsi="Cambria Math" w:cs="Cambria Math" w:eastAsiaTheme="minorEastAsia"/>
          <w:color w:val="auto"/>
          <w:szCs w:val="21"/>
          <w:highlight w:val="none"/>
        </w:rPr>
      </w:pPr>
      <w:r>
        <w:rPr>
          <w:rFonts w:ascii="Cambria Math" w:hAnsi="Cambria Math" w:cs="Cambria Math" w:eastAsiaTheme="minorEastAsia"/>
          <w:color w:val="auto"/>
          <w:szCs w:val="21"/>
          <w:highlight w:val="none"/>
        </w:rPr>
        <w:t>⑰</w:t>
      </w:r>
      <w:r>
        <w:rPr>
          <w:rFonts w:hint="eastAsia" w:ascii="Cambria Math" w:hAnsi="Cambria Math" w:cs="Cambria Math" w:eastAsiaTheme="minorEastAsia"/>
          <w:color w:val="auto"/>
          <w:szCs w:val="21"/>
          <w:highlight w:val="none"/>
        </w:rPr>
        <w:t>投</w:t>
      </w:r>
      <w:r>
        <w:rPr>
          <w:rFonts w:hint="eastAsia" w:asciiTheme="minorEastAsia" w:hAnsiTheme="minorEastAsia" w:eastAsiaTheme="minorEastAsia"/>
          <w:color w:val="auto"/>
          <w:szCs w:val="21"/>
          <w:highlight w:val="none"/>
        </w:rPr>
        <w:t>标人被视为串通投标的；</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cs="Cambria Math" w:eastAsiaTheme="minorEastAsia"/>
          <w:color w:val="auto"/>
          <w:szCs w:val="21"/>
          <w:highlight w:val="none"/>
        </w:rPr>
        <w:t>⑱</w:t>
      </w:r>
      <w:r>
        <w:rPr>
          <w:rFonts w:hint="eastAsia" w:asciiTheme="minorEastAsia" w:hAnsiTheme="minorEastAsia" w:eastAsiaTheme="minorEastAsia"/>
          <w:color w:val="auto"/>
          <w:szCs w:val="21"/>
          <w:highlight w:val="none"/>
        </w:rPr>
        <w:t>仅提交电子备份投标文件的；</w:t>
      </w:r>
    </w:p>
    <w:p>
      <w:pPr>
        <w:spacing w:line="400" w:lineRule="exact"/>
        <w:ind w:firstLine="420" w:firstLineChars="200"/>
        <w:rPr>
          <w:rFonts w:asciiTheme="minorEastAsia" w:hAnsiTheme="minorEastAsia" w:eastAsiaTheme="minorEastAsia"/>
          <w:color w:val="auto"/>
          <w:szCs w:val="21"/>
          <w:highlight w:val="none"/>
        </w:rPr>
      </w:pPr>
      <w:r>
        <w:rPr>
          <w:rFonts w:ascii="Cambria Math" w:hAnsi="Cambria Math" w:eastAsia="微软雅黑" w:cs="Cambria Math"/>
          <w:color w:val="auto"/>
          <w:szCs w:val="21"/>
          <w:highlight w:val="none"/>
          <w:shd w:val="clear" w:color="auto" w:fill="FFFFFF"/>
        </w:rPr>
        <w:t>⑲</w:t>
      </w:r>
      <w:r>
        <w:rPr>
          <w:rFonts w:hint="eastAsia" w:asciiTheme="minorEastAsia" w:hAnsiTheme="minorEastAsia" w:eastAsiaTheme="minorEastAsia"/>
          <w:color w:val="auto"/>
          <w:szCs w:val="21"/>
          <w:highlight w:val="none"/>
        </w:rPr>
        <w:t>法律、法规和招标文件规定的其他无效情形。</w:t>
      </w:r>
    </w:p>
    <w:p>
      <w:pPr>
        <w:spacing w:line="400" w:lineRule="exact"/>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五、采购方式变更</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响应截至时间止或评审期间，出现参与采购响应或者对招标文件作出实质性响应的供应商不足3家的情况，原则上应终止采购活动，重新组织采购。如果招标文件没有不合理条款，采购信息公告及相关程序符合规定，需要采用原采购方式或其他采购方式采购的，采购人应当报财政部门批准。</w:t>
      </w:r>
    </w:p>
    <w:p>
      <w:pPr>
        <w:spacing w:line="400" w:lineRule="exact"/>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六、定标</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（一）确定中标人。本项目由采购人（或采购人事先授权评标委员会）确定中标人。</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asciiTheme="minorEastAsia" w:hAnsiTheme="minorEastAsia" w:eastAsiaTheme="minorEastAsia"/>
          <w:color w:val="auto"/>
          <w:szCs w:val="21"/>
          <w:highlight w:val="none"/>
        </w:rPr>
        <w:t>采购代理机构应当在评标结束后2个工作日内将评标报告送采购人。</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2.采购人应当自收到评标报告之日起5个工作日内，在评标报告确定的中标候选人名单中按顺序确定中标人。中标候选人并列的，由采购人或者采购人委托评标委员会采取随机抽取的方式确定中标人。</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采购代理机构应当自中标人确定之日起2个工作日内，在财政部门指定的媒体上公告中标结果</w:t>
      </w:r>
      <w:r>
        <w:rPr>
          <w:rFonts w:hint="eastAsia" w:asciiTheme="minorEastAsia" w:hAnsiTheme="minorEastAsia" w:eastAsiaTheme="minorEastAsia"/>
          <w:color w:val="auto"/>
          <w:szCs w:val="21"/>
          <w:highlight w:val="none"/>
        </w:rPr>
        <w:t>，中标公告期限为1个工作日。</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（二）中标供应商拒绝与采购人签订合同的，采购人可以按照评审报告推荐的中标候选人名单排序，确定下一候选人为中标供应商，也可以重新开展政府采购活动。</w:t>
      </w:r>
    </w:p>
    <w:p>
      <w:pPr>
        <w:spacing w:line="400" w:lineRule="exact"/>
        <w:jc w:val="center"/>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t>七、评标过程的监控与保密</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（一）</w:t>
      </w:r>
      <w:r>
        <w:rPr>
          <w:rFonts w:asciiTheme="minorEastAsia" w:hAnsiTheme="minorEastAsia" w:eastAsiaTheme="minorEastAsia"/>
          <w:color w:val="auto"/>
          <w:szCs w:val="21"/>
          <w:highlight w:val="none"/>
        </w:rPr>
        <w:t>本项目评标过程实行全程录音、录像监控，投标人在评标过程中所进行的</w:t>
      </w:r>
      <w:r>
        <w:rPr>
          <w:rFonts w:hint="eastAsia" w:asciiTheme="minorEastAsia" w:hAnsiTheme="minorEastAsia" w:eastAsiaTheme="minorEastAsia"/>
          <w:color w:val="auto"/>
          <w:szCs w:val="21"/>
          <w:highlight w:val="none"/>
        </w:rPr>
        <w:t>试</w:t>
      </w:r>
      <w:r>
        <w:rPr>
          <w:rFonts w:asciiTheme="minorEastAsia" w:hAnsiTheme="minorEastAsia" w:eastAsiaTheme="minorEastAsia"/>
          <w:color w:val="auto"/>
          <w:szCs w:val="21"/>
          <w:highlight w:val="none"/>
        </w:rPr>
        <w:t>图影响评标结果的不公正活动，可能导致其投标被拒绝。</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（二）</w:t>
      </w:r>
      <w:r>
        <w:rPr>
          <w:rFonts w:asciiTheme="minorEastAsia" w:hAnsiTheme="minorEastAsia" w:eastAsiaTheme="minorEastAsia"/>
          <w:color w:val="auto"/>
          <w:szCs w:val="21"/>
          <w:highlight w:val="none"/>
        </w:rPr>
        <w:t>评审活动在严格保密的情况下进行。评审过程中凡是与</w:t>
      </w:r>
      <w:r>
        <w:rPr>
          <w:rFonts w:hint="eastAsia" w:asciiTheme="minorEastAsia" w:hAnsiTheme="minorEastAsia" w:eastAsiaTheme="minorEastAsia"/>
          <w:color w:val="auto"/>
          <w:szCs w:val="21"/>
          <w:highlight w:val="none"/>
        </w:rPr>
        <w:t>投</w:t>
      </w:r>
      <w:r>
        <w:rPr>
          <w:rFonts w:asciiTheme="minorEastAsia" w:hAnsiTheme="minorEastAsia" w:eastAsiaTheme="minorEastAsia"/>
          <w:color w:val="auto"/>
          <w:szCs w:val="21"/>
          <w:highlight w:val="none"/>
        </w:rPr>
        <w:t>标文件的评审和比较、中标供应商推荐等情况，以及涉及国家秘密和商业秘密等信息，评审委员会成员、采购人和采购机构工作人员、相关监督人员等与评审有关的人员应当予以保密。</w:t>
      </w:r>
    </w:p>
    <w:p>
      <w:pPr>
        <w:widowControl/>
        <w:spacing w:line="400" w:lineRule="exact"/>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八、合同授予和验收</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（一）合同授予</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1.采购人应当自中标通知书发出之日起30日内，按照招标文件和中标人投标文件的规定，与中标人签订书面合同。所签订的合同不得对招标文件确定的事项和中标人投标文件作实质性修改。</w:t>
      </w:r>
    </w:p>
    <w:p>
      <w:pPr>
        <w:snapToGrid w:val="0"/>
        <w:spacing w:line="400" w:lineRule="exact"/>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kern w:val="0"/>
          <w:szCs w:val="21"/>
          <w:highlight w:val="none"/>
        </w:rPr>
        <w:t>2.采购人不得向中标人提出任何不合理的要求作为签订合同的条件。</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（二）验收</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采购人应当组织对供应商履约的验收。履约验收按照宁</w:t>
      </w:r>
      <w:r>
        <w:rPr>
          <w:rFonts w:hint="eastAsia" w:asciiTheme="minorEastAsia" w:hAnsiTheme="minorEastAsia" w:eastAsiaTheme="minorEastAsia"/>
          <w:color w:val="auto"/>
          <w:szCs w:val="21"/>
          <w:highlight w:val="none"/>
          <w:lang w:val="en-US" w:eastAsia="zh-CN"/>
        </w:rPr>
        <w:t>财政发</w:t>
      </w:r>
      <w:r>
        <w:rPr>
          <w:rFonts w:asciiTheme="minorEastAsia" w:hAnsiTheme="minorEastAsia" w:eastAsiaTheme="minorEastAsia"/>
          <w:color w:val="auto"/>
          <w:szCs w:val="21"/>
          <w:highlight w:val="none"/>
        </w:rPr>
        <w:t>〔20</w:t>
      </w:r>
      <w:r>
        <w:rPr>
          <w:rFonts w:hint="eastAsia" w:asciiTheme="minorEastAsia" w:hAnsiTheme="minorEastAsia" w:eastAsiaTheme="minorEastAsia"/>
          <w:color w:val="auto"/>
          <w:szCs w:val="21"/>
          <w:highlight w:val="none"/>
          <w:lang w:val="en-US" w:eastAsia="zh-CN"/>
        </w:rPr>
        <w:t>22</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val="en-US" w:eastAsia="zh-CN"/>
        </w:rPr>
        <w:t>72</w:t>
      </w:r>
      <w:r>
        <w:rPr>
          <w:rFonts w:hint="eastAsia" w:asciiTheme="minorEastAsia" w:hAnsiTheme="minorEastAsia" w:eastAsiaTheme="minorEastAsia"/>
          <w:color w:val="auto"/>
          <w:szCs w:val="21"/>
          <w:highlight w:val="none"/>
        </w:rPr>
        <w:t>号文件执行。</w:t>
      </w:r>
    </w:p>
    <w:p>
      <w:pPr>
        <w:snapToGrid w:val="0"/>
        <w:spacing w:line="400" w:lineRule="exact"/>
        <w:jc w:val="center"/>
        <w:outlineLvl w:val="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九、质疑与投诉</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pPr>
        <w:autoSpaceDE w:val="0"/>
        <w:autoSpaceDN w:val="0"/>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（一）供应商询问</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供应商对政府采购活动事项有疑问的，可以向采购人提出询问，采购人应当及时作出答复，但答复的内容不得涉及商业秘密。</w:t>
      </w:r>
    </w:p>
    <w:p>
      <w:pPr>
        <w:autoSpaceDE w:val="0"/>
        <w:autoSpaceDN w:val="0"/>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（二）供应商质疑</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提出质疑的供应商应当是参与所质疑项目采购活动的供应商。潜在供应商已依法获取其可质疑的招标文件的，可以对该文件提出质疑。未提交投标文件的供应商，视为与采购结果没有利害关系，不得就采购响应截止时间后的采购过程、采购结果提出质疑。</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2.供应商认为招标文件、采购过程、中标或者成交结果使自己的权益受到损害的，可以在知道或者应知其权益受到损害之日起七个工作日内，以书面形式向采购人、采购代理机构提出质疑。</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（1）对招标文件提出质疑的，质疑期限自供应商获得招标文件之日或者招标公告期限届满之日起计算，且应当在采购响应截止时间之前提出。</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（2）对采购过程提出质疑的，质疑期限自各采购程序环节结束之日起计算。</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（3）对采购结果提出质疑的，质疑期限自采购结果公告期限届满之日起计算。</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（4）供应商应在法定质疑期内一次性提出针对同一采购程序环节的质疑。</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3.供应商提出质疑应当提交质疑函和必要的证明材料。质疑函应当包括下列内容：</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（1）供应商的姓名或者名称、地址、邮编、联系人及联系电话；</w:t>
      </w:r>
    </w:p>
    <w:p>
      <w:pPr>
        <w:pStyle w:val="12"/>
        <w:keepNext w:val="0"/>
        <w:keepLines w:val="0"/>
        <w:pageBreakBefore w:val="0"/>
        <w:widowControl w:val="0"/>
        <w:kinsoku/>
        <w:wordWrap/>
        <w:overflowPunct/>
        <w:topLinePunct w:val="0"/>
        <w:autoSpaceDE/>
        <w:autoSpaceDN/>
        <w:bidi w:val="0"/>
        <w:adjustRightInd/>
        <w:snapToGrid/>
        <w:spacing w:beforeLines="0" w:afterLines="0"/>
        <w:ind w:firstLine="420" w:firstLineChars="200"/>
        <w:textAlignment w:val="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（2）质疑项目的名称、编号；</w:t>
      </w:r>
    </w:p>
    <w:p>
      <w:pPr>
        <w:pStyle w:val="12"/>
        <w:keepNext w:val="0"/>
        <w:keepLines w:val="0"/>
        <w:pageBreakBefore w:val="0"/>
        <w:widowControl w:val="0"/>
        <w:kinsoku/>
        <w:wordWrap/>
        <w:overflowPunct/>
        <w:topLinePunct w:val="0"/>
        <w:autoSpaceDE/>
        <w:autoSpaceDN/>
        <w:bidi w:val="0"/>
        <w:adjustRightInd/>
        <w:snapToGrid/>
        <w:spacing w:beforeLines="0" w:afterLines="0"/>
        <w:ind w:firstLine="420" w:firstLineChars="200"/>
        <w:textAlignment w:val="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（3）具体、明确的质疑事项和与质疑事项相关的请求；</w:t>
      </w:r>
    </w:p>
    <w:p>
      <w:pPr>
        <w:pStyle w:val="12"/>
        <w:keepNext w:val="0"/>
        <w:keepLines w:val="0"/>
        <w:pageBreakBefore w:val="0"/>
        <w:widowControl w:val="0"/>
        <w:kinsoku/>
        <w:wordWrap/>
        <w:overflowPunct/>
        <w:topLinePunct w:val="0"/>
        <w:autoSpaceDE/>
        <w:autoSpaceDN/>
        <w:bidi w:val="0"/>
        <w:adjustRightInd/>
        <w:snapToGrid/>
        <w:spacing w:beforeLines="0" w:afterLines="0"/>
        <w:ind w:firstLine="420" w:firstLineChars="200"/>
        <w:textAlignment w:val="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（4）事实依据；</w:t>
      </w:r>
    </w:p>
    <w:p>
      <w:pPr>
        <w:pStyle w:val="12"/>
        <w:keepNext w:val="0"/>
        <w:keepLines w:val="0"/>
        <w:pageBreakBefore w:val="0"/>
        <w:widowControl w:val="0"/>
        <w:kinsoku/>
        <w:wordWrap/>
        <w:overflowPunct/>
        <w:topLinePunct w:val="0"/>
        <w:autoSpaceDE/>
        <w:autoSpaceDN/>
        <w:bidi w:val="0"/>
        <w:adjustRightInd/>
        <w:snapToGrid/>
        <w:spacing w:beforeLines="0" w:afterLines="0"/>
        <w:ind w:firstLine="420" w:firstLineChars="200"/>
        <w:textAlignment w:val="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（5）必要的法律依据；</w:t>
      </w:r>
    </w:p>
    <w:p>
      <w:pPr>
        <w:pStyle w:val="12"/>
        <w:keepNext w:val="0"/>
        <w:keepLines w:val="0"/>
        <w:pageBreakBefore w:val="0"/>
        <w:widowControl w:val="0"/>
        <w:kinsoku/>
        <w:wordWrap/>
        <w:overflowPunct/>
        <w:topLinePunct w:val="0"/>
        <w:autoSpaceDE/>
        <w:autoSpaceDN/>
        <w:bidi w:val="0"/>
        <w:adjustRightInd/>
        <w:snapToGrid/>
        <w:spacing w:beforeLines="0" w:afterLines="0"/>
        <w:ind w:firstLine="420" w:firstLineChars="200"/>
        <w:textAlignment w:val="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（6）提出质疑的日期。</w:t>
      </w:r>
    </w:p>
    <w:p>
      <w:pPr>
        <w:pStyle w:val="12"/>
        <w:keepNext w:val="0"/>
        <w:keepLines w:val="0"/>
        <w:pageBreakBefore w:val="0"/>
        <w:widowControl w:val="0"/>
        <w:kinsoku/>
        <w:wordWrap/>
        <w:overflowPunct/>
        <w:topLinePunct w:val="0"/>
        <w:autoSpaceDE/>
        <w:autoSpaceDN/>
        <w:bidi w:val="0"/>
        <w:adjustRightInd/>
        <w:snapToGrid/>
        <w:spacing w:beforeLines="0" w:afterLines="0"/>
        <w:ind w:firstLine="420" w:firstLineChars="200"/>
        <w:textAlignment w:val="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质疑书应当署名。供应商为自然人的，应当由本人签字；供应商为法人或者其他组织的，应当由法定代表人、主要负责人，或者其授权代表签字或者盖章，并加盖公章。</w:t>
      </w:r>
    </w:p>
    <w:p>
      <w:pPr>
        <w:pStyle w:val="12"/>
        <w:keepNext w:val="0"/>
        <w:keepLines w:val="0"/>
        <w:pageBreakBefore w:val="0"/>
        <w:widowControl w:val="0"/>
        <w:kinsoku/>
        <w:wordWrap/>
        <w:overflowPunct/>
        <w:topLinePunct w:val="0"/>
        <w:autoSpaceDE/>
        <w:autoSpaceDN/>
        <w:bidi w:val="0"/>
        <w:adjustRightInd/>
        <w:snapToGrid/>
        <w:spacing w:beforeLines="0" w:afterLines="0"/>
        <w:ind w:firstLine="420" w:firstLineChars="200"/>
        <w:textAlignment w:val="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4.供应商提交的质疑函需一式三份。质疑函应当以书面形式提出，质疑函格式和内容须符合财政部《质疑函范本》要求，供应商可到浙江政府采购网下载专区自行下载。</w:t>
      </w:r>
    </w:p>
    <w:p>
      <w:pPr>
        <w:pStyle w:val="12"/>
        <w:keepNext w:val="0"/>
        <w:keepLines w:val="0"/>
        <w:pageBreakBefore w:val="0"/>
        <w:widowControl w:val="0"/>
        <w:kinsoku/>
        <w:wordWrap/>
        <w:overflowPunct/>
        <w:topLinePunct w:val="0"/>
        <w:autoSpaceDE/>
        <w:autoSpaceDN/>
        <w:bidi w:val="0"/>
        <w:adjustRightInd/>
        <w:snapToGrid/>
        <w:spacing w:beforeLines="0" w:afterLines="0"/>
        <w:ind w:firstLine="420" w:firstLineChars="200"/>
        <w:textAlignment w:val="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5.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采购人和采购代理机构接收质疑函的联系方式：见本招标文件第一章相关联系方式。</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6.质疑人因故不能自行办理质疑事项的，可以委托代理人办理质疑事宜，但应当向被质疑人提交授权委托书，并载明委托代理的具体权限和事项。</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7.质疑人提供的相关材料中有外文资料的，应当将与质疑相关的外文资料完整、客观、真实地翻译为中文，并注明翻译人员姓名、工作单位、联系方式等信息。</w:t>
      </w:r>
    </w:p>
    <w:p>
      <w:pPr>
        <w:pStyle w:val="12"/>
        <w:spacing w:beforeLines="0" w:afterLines="0"/>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8.询问或者质疑事项可能影响采购结果的，采购人应当暂停签订合同，已经签订合同的，应当中止履行合同。</w:t>
      </w:r>
    </w:p>
    <w:p>
      <w:pPr>
        <w:autoSpaceDE w:val="0"/>
        <w:autoSpaceDN w:val="0"/>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（三）供应商投诉</w:t>
      </w:r>
    </w:p>
    <w:p>
      <w:pPr>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1.质疑供应商对采购人、采购代理机构的答复不满意，或者采购人、采购代理机构未在规定时间内作出答复的，可以在答复期满后十五个工作日内向同级政府采购监督管理部门投诉。</w:t>
      </w:r>
    </w:p>
    <w:p>
      <w:pPr>
        <w:pStyle w:val="58"/>
        <w:shd w:val="clear" w:color="auto" w:fill="FFFFFF"/>
        <w:snapToGrid w:val="0"/>
        <w:spacing w:before="0" w:beforeAutospacing="0" w:after="0" w:afterAutospacing="0" w:line="400" w:lineRule="exact"/>
        <w:ind w:firstLine="420" w:firstLineChars="200"/>
        <w:contextualSpacing/>
        <w:rPr>
          <w:rFonts w:cs="Times New Roman"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sz w:val="21"/>
          <w:szCs w:val="21"/>
          <w:highlight w:val="none"/>
        </w:rPr>
        <w:t>2.</w:t>
      </w:r>
      <w:r>
        <w:rPr>
          <w:rFonts w:hint="eastAsia" w:cs="Times New Roman" w:asciiTheme="minorEastAsia" w:hAnsiTheme="minorEastAsia" w:eastAsiaTheme="minorEastAsia"/>
          <w:color w:val="auto"/>
          <w:kern w:val="2"/>
          <w:sz w:val="21"/>
          <w:szCs w:val="21"/>
          <w:highlight w:val="none"/>
        </w:rPr>
        <w:t>供应商投诉的事项不得超出已质疑事项的范围，但基于质疑答复内容提出的投诉事项除外。</w:t>
      </w:r>
    </w:p>
    <w:p>
      <w:pPr>
        <w:pStyle w:val="58"/>
        <w:shd w:val="clear" w:color="auto" w:fill="FFFFFF"/>
        <w:snapToGrid w:val="0"/>
        <w:spacing w:before="0" w:beforeAutospacing="0" w:after="0" w:afterAutospacing="0" w:line="400" w:lineRule="exact"/>
        <w:ind w:firstLine="420" w:firstLineChars="200"/>
        <w:contextualSpacing/>
        <w:rPr>
          <w:rFonts w:cs="Times New Roman" w:asciiTheme="minorEastAsia" w:hAnsiTheme="minorEastAsia" w:eastAsiaTheme="minorEastAsia"/>
          <w:color w:val="auto"/>
          <w:kern w:val="2"/>
          <w:sz w:val="21"/>
          <w:szCs w:val="21"/>
          <w:highlight w:val="none"/>
        </w:rPr>
      </w:pPr>
      <w:r>
        <w:rPr>
          <w:rFonts w:hint="eastAsia" w:cs="Times New Roman" w:asciiTheme="minorEastAsia" w:hAnsiTheme="minorEastAsia" w:eastAsiaTheme="minorEastAsia"/>
          <w:color w:val="auto"/>
          <w:kern w:val="2"/>
          <w:sz w:val="21"/>
          <w:szCs w:val="21"/>
          <w:highlight w:val="none"/>
        </w:rPr>
        <w:t>3.供应商投诉应当有明确的请求和必要的证明材料。</w:t>
      </w:r>
    </w:p>
    <w:p>
      <w:pPr>
        <w:pStyle w:val="58"/>
        <w:shd w:val="clear" w:color="auto" w:fill="FFFFFF"/>
        <w:snapToGrid w:val="0"/>
        <w:spacing w:before="0" w:beforeAutospacing="0" w:after="0" w:afterAutospacing="0" w:line="400" w:lineRule="exact"/>
        <w:ind w:firstLine="420" w:firstLineChars="200"/>
        <w:contextualSpacing/>
        <w:rPr>
          <w:rFonts w:cs="Times New Roman" w:asciiTheme="minorEastAsia" w:hAnsiTheme="minorEastAsia" w:eastAsiaTheme="minorEastAsia"/>
          <w:color w:val="auto"/>
          <w:kern w:val="2"/>
          <w:sz w:val="21"/>
          <w:szCs w:val="21"/>
          <w:highlight w:val="none"/>
        </w:rPr>
      </w:pPr>
    </w:p>
    <w:p>
      <w:pPr>
        <w:pStyle w:val="12"/>
        <w:snapToGrid w:val="0"/>
        <w:spacing w:beforeLines="0" w:afterLines="0"/>
        <w:jc w:val="center"/>
        <w:outlineLvl w:val="0"/>
        <w:rPr>
          <w:rFonts w:ascii="黑体" w:hAnsi="宋体" w:eastAsia="黑体"/>
          <w:b/>
          <w:bCs/>
          <w:color w:val="auto"/>
          <w:sz w:val="28"/>
          <w:szCs w:val="28"/>
          <w:highlight w:val="none"/>
        </w:rPr>
      </w:pPr>
      <w:r>
        <w:rPr>
          <w:rFonts w:hint="eastAsia" w:ascii="黑体" w:hAnsi="宋体" w:eastAsia="黑体"/>
          <w:b/>
          <w:bCs/>
          <w:color w:val="auto"/>
          <w:sz w:val="28"/>
          <w:szCs w:val="28"/>
          <w:highlight w:val="none"/>
        </w:rPr>
        <w:t>第四章  评标办法及评标标准</w:t>
      </w:r>
    </w:p>
    <w:p>
      <w:pPr>
        <w:pStyle w:val="12"/>
        <w:snapToGrid w:val="0"/>
        <w:spacing w:beforeLines="0" w:afterLines="0"/>
        <w:jc w:val="center"/>
        <w:outlineLvl w:val="0"/>
        <w:rPr>
          <w:rFonts w:asciiTheme="minorEastAsia" w:hAnsiTheme="minorEastAsia" w:eastAsiaTheme="minorEastAsia"/>
          <w:b/>
          <w:bCs/>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根据《中华人民共和国政府采购法》等有关法律法规，结合本项目的实际需求，制定本办法。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一、总则</w:t>
      </w:r>
    </w:p>
    <w:p>
      <w:pPr>
        <w:pStyle w:val="12"/>
        <w:keepNext w:val="0"/>
        <w:keepLines w:val="0"/>
        <w:pageBreakBefore w:val="0"/>
        <w:widowControl w:val="0"/>
        <w:kinsoku/>
        <w:wordWrap/>
        <w:overflowPunct/>
        <w:topLinePunct w:val="0"/>
        <w:autoSpaceDE/>
        <w:autoSpaceDN/>
        <w:bidi w:val="0"/>
        <w:adjustRightInd/>
        <w:snapToGrid/>
        <w:spacing w:beforeLines="0" w:afterLines="0"/>
        <w:ind w:firstLine="420" w:firstLineChars="200"/>
        <w:textAlignment w:val="auto"/>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本次评标采用综合评分法，总分为100分。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过程中采用四舍五入法，并保留两位小数。</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二、分值的计算</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技术商务分按照评标委员会成员的独立评分结果汇总后的算术平均分计算，计算公式为：</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技术商务分=评标委员会所有成员评分合计数/评标委员会组成人员数</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投标人评标综合得分=报价分+技术商务分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三、评</w:t>
      </w:r>
      <w:r>
        <w:rPr>
          <w:rFonts w:hint="eastAsia" w:asciiTheme="minorEastAsia" w:hAnsiTheme="minorEastAsia" w:eastAsiaTheme="minorEastAsia"/>
          <w:color w:val="auto"/>
          <w:szCs w:val="21"/>
          <w:highlight w:val="none"/>
        </w:rPr>
        <w:t>审</w:t>
      </w:r>
      <w:r>
        <w:rPr>
          <w:rFonts w:asciiTheme="minorEastAsia" w:hAnsiTheme="minorEastAsia" w:eastAsiaTheme="minorEastAsia"/>
          <w:color w:val="auto"/>
          <w:szCs w:val="21"/>
          <w:highlight w:val="none"/>
        </w:rPr>
        <w:t>内容和标准，见下表：</w:t>
      </w:r>
    </w:p>
    <w:tbl>
      <w:tblPr>
        <w:tblStyle w:val="24"/>
        <w:tblW w:w="9137"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212"/>
        <w:gridCol w:w="1185"/>
        <w:gridCol w:w="674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6" w:hRule="atLeast"/>
          <w:jc w:val="center"/>
        </w:trPr>
        <w:tc>
          <w:tcPr>
            <w:tcW w:w="1212"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b w:val="0"/>
                <w:bCs w:val="0"/>
                <w:color w:val="000000"/>
                <w:kern w:val="0"/>
                <w:sz w:val="21"/>
                <w:szCs w:val="21"/>
                <w:highlight w:val="none"/>
              </w:rPr>
            </w:pPr>
            <w:r>
              <w:rPr>
                <w:rFonts w:hint="eastAsia" w:ascii="宋体" w:hAnsi="宋体" w:eastAsia="宋体" w:cs="宋体"/>
                <w:b w:val="0"/>
                <w:bCs w:val="0"/>
                <w:color w:val="000000"/>
                <w:kern w:val="0"/>
                <w:sz w:val="21"/>
                <w:szCs w:val="21"/>
                <w:highlight w:val="none"/>
              </w:rPr>
              <w:t>考核项目</w:t>
            </w:r>
          </w:p>
        </w:tc>
        <w:tc>
          <w:tcPr>
            <w:tcW w:w="7925" w:type="dxa"/>
            <w:gridSpan w:val="2"/>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b w:val="0"/>
                <w:bCs w:val="0"/>
                <w:color w:val="000000"/>
                <w:kern w:val="0"/>
                <w:sz w:val="21"/>
                <w:szCs w:val="21"/>
                <w:highlight w:val="none"/>
              </w:rPr>
            </w:pPr>
            <w:r>
              <w:rPr>
                <w:rFonts w:hint="eastAsia" w:ascii="宋体" w:hAnsi="宋体" w:eastAsia="宋体" w:cs="宋体"/>
                <w:b w:val="0"/>
                <w:bCs w:val="0"/>
                <w:color w:val="000000"/>
                <w:kern w:val="0"/>
                <w:sz w:val="21"/>
                <w:szCs w:val="21"/>
                <w:highlight w:val="none"/>
              </w:rPr>
              <w:t>评分标准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87" w:hRule="atLeast"/>
          <w:jc w:val="center"/>
        </w:trPr>
        <w:tc>
          <w:tcPr>
            <w:tcW w:w="1212"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报价分</w:t>
            </w:r>
          </w:p>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en-US" w:eastAsia="zh-CN"/>
              </w:rPr>
              <w:t>20</w:t>
            </w:r>
            <w:r>
              <w:rPr>
                <w:rFonts w:hint="eastAsia" w:ascii="宋体" w:hAnsi="宋体" w:eastAsia="宋体" w:cs="宋体"/>
                <w:color w:val="000000"/>
                <w:sz w:val="21"/>
                <w:szCs w:val="21"/>
                <w:highlight w:val="none"/>
              </w:rPr>
              <w:t>分）</w:t>
            </w:r>
          </w:p>
        </w:tc>
        <w:tc>
          <w:tcPr>
            <w:tcW w:w="7925" w:type="dxa"/>
            <w:gridSpan w:val="2"/>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报价分采用低价优先法计算，报价得分=(评标基准价/投标报价)×价格权重×100（价格权重：</w:t>
            </w:r>
            <w:r>
              <w:rPr>
                <w:rFonts w:hint="eastAsia" w:ascii="宋体" w:hAnsi="宋体" w:eastAsia="宋体" w:cs="宋体"/>
                <w:color w:val="000000"/>
                <w:sz w:val="21"/>
                <w:szCs w:val="21"/>
                <w:highlight w:val="none"/>
                <w:lang w:val="en-US" w:eastAsia="zh-CN"/>
              </w:rPr>
              <w:t>20</w:t>
            </w:r>
            <w:r>
              <w:rPr>
                <w:rFonts w:hint="eastAsia" w:ascii="宋体" w:hAnsi="宋体" w:eastAsia="宋体" w:cs="宋体"/>
                <w:color w:val="000000"/>
                <w:sz w:val="21"/>
                <w:szCs w:val="21"/>
                <w:highlight w:val="none"/>
              </w:rPr>
              <w:t>%）</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评标基准价=满足招标文件要求且最低的投标报价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205" w:hRule="atLeast"/>
          <w:jc w:val="center"/>
        </w:trPr>
        <w:tc>
          <w:tcPr>
            <w:tcW w:w="1212"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技术</w:t>
            </w:r>
            <w:r>
              <w:rPr>
                <w:rFonts w:hint="eastAsia" w:ascii="宋体" w:hAnsi="宋体" w:eastAsia="宋体" w:cs="宋体"/>
                <w:color w:val="000000"/>
                <w:sz w:val="21"/>
                <w:szCs w:val="21"/>
                <w:highlight w:val="none"/>
                <w:lang w:val="en-US" w:eastAsia="zh-CN"/>
              </w:rPr>
              <w:t>商务</w:t>
            </w:r>
            <w:r>
              <w:rPr>
                <w:rFonts w:hint="eastAsia" w:ascii="宋体" w:hAnsi="宋体" w:eastAsia="宋体" w:cs="宋体"/>
                <w:color w:val="000000"/>
                <w:sz w:val="21"/>
                <w:szCs w:val="21"/>
                <w:highlight w:val="none"/>
              </w:rPr>
              <w:t>分（</w:t>
            </w:r>
            <w:r>
              <w:rPr>
                <w:rFonts w:hint="eastAsia" w:ascii="宋体" w:hAnsi="宋体" w:eastAsia="宋体" w:cs="宋体"/>
                <w:color w:val="000000"/>
                <w:sz w:val="21"/>
                <w:szCs w:val="21"/>
                <w:highlight w:val="none"/>
                <w:lang w:val="en-US" w:eastAsia="zh-CN"/>
              </w:rPr>
              <w:t>80</w:t>
            </w:r>
            <w:r>
              <w:rPr>
                <w:rFonts w:hint="eastAsia" w:ascii="宋体" w:hAnsi="宋体" w:eastAsia="宋体" w:cs="宋体"/>
                <w:color w:val="000000"/>
                <w:sz w:val="21"/>
                <w:szCs w:val="21"/>
                <w:highlight w:val="none"/>
              </w:rPr>
              <w:t>分）</w:t>
            </w:r>
          </w:p>
        </w:tc>
        <w:tc>
          <w:tcPr>
            <w:tcW w:w="1185" w:type="dxa"/>
            <w:tcBorders>
              <w:top w:val="single" w:color="000000" w:sz="8"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整体综合服务管理方案</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kern w:val="0"/>
                <w:sz w:val="21"/>
                <w:szCs w:val="21"/>
                <w:highlight w:val="none"/>
              </w:rPr>
            </w:pPr>
            <w:r>
              <w:rPr>
                <w:rFonts w:hint="eastAsia" w:ascii="宋体" w:hAnsi="宋体" w:eastAsia="宋体" w:cs="宋体"/>
                <w:bCs/>
                <w:color w:val="000000"/>
                <w:sz w:val="21"/>
                <w:szCs w:val="21"/>
                <w:highlight w:val="none"/>
                <w:lang w:val="en-US" w:eastAsia="zh-CN"/>
              </w:rPr>
              <w:t>（5分）</w:t>
            </w:r>
          </w:p>
        </w:tc>
        <w:tc>
          <w:tcPr>
            <w:tcW w:w="6740" w:type="dxa"/>
            <w:tcBorders>
              <w:top w:val="single" w:color="000000" w:sz="8"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根据投标人提供的</w:t>
            </w:r>
            <w:bookmarkStart w:id="42" w:name="OLE_LINK33"/>
            <w:r>
              <w:rPr>
                <w:rFonts w:hint="eastAsia" w:ascii="宋体" w:hAnsi="宋体" w:eastAsia="宋体" w:cs="宋体"/>
                <w:color w:val="auto"/>
                <w:sz w:val="21"/>
                <w:szCs w:val="21"/>
                <w:highlight w:val="none"/>
              </w:rPr>
              <w:t>整体综合服务管理方案</w:t>
            </w:r>
            <w:bookmarkEnd w:id="42"/>
            <w:r>
              <w:rPr>
                <w:rFonts w:hint="eastAsia" w:ascii="宋体" w:hAnsi="宋体" w:eastAsia="宋体" w:cs="宋体"/>
                <w:bCs/>
                <w:color w:val="000000"/>
                <w:sz w:val="21"/>
                <w:szCs w:val="21"/>
                <w:highlight w:val="none"/>
                <w:lang w:val="en-US" w:eastAsia="zh-CN"/>
              </w:rPr>
              <w:t>进行综合评议（5分）：</w:t>
            </w:r>
          </w:p>
          <w:p>
            <w:pPr>
              <w:keepNext w:val="0"/>
              <w:keepLines w:val="0"/>
              <w:pageBreakBefore w:val="0"/>
              <w:widowControl/>
              <w:tabs>
                <w:tab w:val="left" w:pos="4915"/>
              </w:tabs>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方案内容编制全面，能很好契合项目实际情况，完全符合采购人需求的得5分；</w:t>
            </w:r>
          </w:p>
          <w:p>
            <w:pPr>
              <w:keepNext w:val="0"/>
              <w:keepLines w:val="0"/>
              <w:pageBreakBefore w:val="0"/>
              <w:widowControl/>
              <w:tabs>
                <w:tab w:val="left" w:pos="4915"/>
              </w:tabs>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方案内容编制合理、基本契合项目情况，较为符合采购人需求的得4分；</w:t>
            </w:r>
          </w:p>
          <w:p>
            <w:pPr>
              <w:keepNext w:val="0"/>
              <w:keepLines w:val="0"/>
              <w:pageBreakBefore w:val="0"/>
              <w:widowControl/>
              <w:tabs>
                <w:tab w:val="left" w:pos="4915"/>
              </w:tabs>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方案基本完整，但存在一定瑕疵，基本符合采购人需求的得3分；</w:t>
            </w:r>
          </w:p>
          <w:p>
            <w:pPr>
              <w:keepNext w:val="0"/>
              <w:keepLines w:val="0"/>
              <w:pageBreakBefore w:val="0"/>
              <w:widowControl/>
              <w:tabs>
                <w:tab w:val="left" w:pos="4915"/>
              </w:tabs>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方案内容编制存在瑕疵，与项目实际情况存在出入，操作性一般的得2分； </w:t>
            </w:r>
          </w:p>
          <w:p>
            <w:pPr>
              <w:keepNext w:val="0"/>
              <w:keepLines w:val="0"/>
              <w:pageBreakBefore w:val="0"/>
              <w:widowControl/>
              <w:tabs>
                <w:tab w:val="left" w:pos="4915"/>
              </w:tabs>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方案内容编制存在较大瑕疵，与项目实际情况存在较大出入，较难操作的得1分；</w:t>
            </w:r>
          </w:p>
          <w:p>
            <w:pPr>
              <w:keepNext w:val="0"/>
              <w:keepLines w:val="0"/>
              <w:pageBreakBefore w:val="0"/>
              <w:widowControl/>
              <w:tabs>
                <w:tab w:val="left" w:pos="4915"/>
              </w:tabs>
              <w:kinsoku/>
              <w:wordWrap/>
              <w:overflowPunct/>
              <w:topLinePunct w:val="0"/>
              <w:autoSpaceDE/>
              <w:autoSpaceDN/>
              <w:bidi w:val="0"/>
              <w:adjustRightInd/>
              <w:snapToGrid/>
              <w:spacing w:line="440" w:lineRule="exac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auto"/>
                <w:sz w:val="21"/>
                <w:szCs w:val="21"/>
                <w:highlight w:val="none"/>
                <w:lang w:val="en-US" w:eastAsia="zh-CN"/>
              </w:rPr>
              <w:t>未提供</w:t>
            </w:r>
            <w:r>
              <w:rPr>
                <w:rFonts w:hint="eastAsia" w:ascii="宋体" w:hAnsi="宋体" w:eastAsia="宋体" w:cs="宋体"/>
                <w:color w:val="auto"/>
                <w:sz w:val="21"/>
                <w:szCs w:val="21"/>
                <w:highlight w:val="none"/>
              </w:rPr>
              <w:t>整体综合服务管理方案</w:t>
            </w:r>
            <w:r>
              <w:rPr>
                <w:rFonts w:hint="eastAsia" w:ascii="宋体" w:hAnsi="宋体" w:eastAsia="宋体" w:cs="宋体"/>
                <w:color w:val="000000"/>
                <w:sz w:val="21"/>
                <w:szCs w:val="21"/>
                <w:highlight w:val="none"/>
                <w:lang w:val="en-US" w:eastAsia="zh-CN"/>
              </w:rPr>
              <w:t>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1212" w:type="dxa"/>
            <w:vMerge w:val="continue"/>
            <w:tcBorders>
              <w:left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auto" w:sz="4" w:space="0"/>
              <w:left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管理制度</w:t>
            </w:r>
            <w:r>
              <w:rPr>
                <w:rFonts w:hint="eastAsia" w:ascii="宋体" w:hAnsi="宋体" w:eastAsia="宋体" w:cs="宋体"/>
                <w:bCs/>
                <w:color w:val="000000"/>
                <w:sz w:val="21"/>
                <w:szCs w:val="21"/>
                <w:highlight w:val="none"/>
                <w:lang w:val="en-US" w:eastAsia="zh-CN"/>
              </w:rPr>
              <w:t>（5分）</w:t>
            </w:r>
          </w:p>
        </w:tc>
        <w:tc>
          <w:tcPr>
            <w:tcW w:w="6740" w:type="dxa"/>
            <w:tcBorders>
              <w:top w:val="single" w:color="auto" w:sz="4"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根据投标人提供的</w:t>
            </w:r>
            <w:r>
              <w:rPr>
                <w:rFonts w:hint="eastAsia" w:ascii="宋体" w:hAnsi="宋体" w:eastAsia="宋体" w:cs="宋体"/>
                <w:color w:val="000000"/>
                <w:sz w:val="21"/>
                <w:szCs w:val="21"/>
                <w:highlight w:val="none"/>
                <w:lang w:val="en-US" w:eastAsia="zh-CN"/>
              </w:rPr>
              <w:t>管理制度</w:t>
            </w:r>
            <w:r>
              <w:rPr>
                <w:rFonts w:hint="eastAsia" w:ascii="宋体" w:hAnsi="宋体" w:eastAsia="宋体" w:cs="宋体"/>
                <w:bCs/>
                <w:color w:val="000000"/>
                <w:sz w:val="21"/>
                <w:szCs w:val="21"/>
                <w:highlight w:val="none"/>
                <w:lang w:val="en-US" w:eastAsia="zh-CN"/>
              </w:rPr>
              <w:t>进行综合评议（5分）：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制度内容编制全面，能很好契合项目实际情况，完全符合采购人需求的得5分；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制度内容编制合理、基本契合项目情况，较为符合采购人需求的得4分；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制度基本完整，但存在一定瑕疵，基本符合采购人需求的得3分；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制度内容编制存在瑕疵，与项目实际情况存在出入，操作性一般的得2分； </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制度内容编制存在较大瑕疵，与项目实际情况存在较大出入，较难操作的得1分；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未提供</w:t>
            </w:r>
            <w:r>
              <w:rPr>
                <w:rFonts w:hint="eastAsia" w:ascii="宋体" w:hAnsi="宋体" w:eastAsia="宋体" w:cs="宋体"/>
                <w:color w:val="000000"/>
                <w:sz w:val="21"/>
                <w:szCs w:val="21"/>
                <w:highlight w:val="none"/>
                <w:lang w:val="en-US" w:eastAsia="zh-CN"/>
              </w:rPr>
              <w:t>管理制度的不得分。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75"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000000" w:sz="8"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安保服务</w:t>
            </w:r>
            <w:r>
              <w:rPr>
                <w:rFonts w:hint="eastAsia" w:ascii="宋体" w:hAnsi="宋体" w:eastAsia="宋体" w:cs="宋体"/>
                <w:color w:val="auto"/>
                <w:sz w:val="21"/>
                <w:szCs w:val="21"/>
                <w:highlight w:val="none"/>
              </w:rPr>
              <w:t>方案</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000000"/>
                <w:sz w:val="21"/>
                <w:szCs w:val="21"/>
                <w:highlight w:val="none"/>
                <w:lang w:val="en-US"/>
              </w:rPr>
            </w:pPr>
            <w:r>
              <w:rPr>
                <w:rFonts w:hint="eastAsia" w:ascii="宋体" w:hAnsi="宋体" w:eastAsia="宋体" w:cs="宋体"/>
                <w:bCs/>
                <w:color w:val="000000"/>
                <w:sz w:val="21"/>
                <w:szCs w:val="21"/>
                <w:highlight w:val="none"/>
                <w:lang w:val="en-US" w:eastAsia="zh-CN"/>
              </w:rPr>
              <w:t>（5分）</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sz w:val="21"/>
                <w:szCs w:val="21"/>
                <w:highlight w:val="none"/>
                <w:lang w:val="en-US" w:eastAsia="zh-CN"/>
              </w:rPr>
            </w:pPr>
          </w:p>
        </w:tc>
        <w:tc>
          <w:tcPr>
            <w:tcW w:w="6740" w:type="dxa"/>
            <w:tcBorders>
              <w:top w:val="single" w:color="000000" w:sz="8"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color w:val="000000"/>
                <w:sz w:val="21"/>
                <w:szCs w:val="21"/>
                <w:highlight w:val="none"/>
              </w:rPr>
              <w:t>根据投标人提供的</w:t>
            </w:r>
            <w:r>
              <w:rPr>
                <w:rFonts w:hint="eastAsia" w:ascii="宋体" w:hAnsi="宋体" w:eastAsia="宋体" w:cs="宋体"/>
                <w:color w:val="000000"/>
                <w:sz w:val="21"/>
                <w:szCs w:val="21"/>
                <w:highlight w:val="none"/>
                <w:lang w:val="en-US" w:eastAsia="zh-CN"/>
              </w:rPr>
              <w:t>安保服务方案</w:t>
            </w:r>
            <w:r>
              <w:rPr>
                <w:rFonts w:hint="eastAsia" w:ascii="宋体" w:hAnsi="宋体" w:eastAsia="宋体" w:cs="宋体"/>
                <w:bCs/>
                <w:color w:val="000000"/>
                <w:sz w:val="21"/>
                <w:szCs w:val="21"/>
                <w:highlight w:val="none"/>
                <w:lang w:val="en-US" w:eastAsia="zh-CN"/>
              </w:rPr>
              <w:t>进行综合评议（5分）：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方案内容编制全面，能很好契合项目实际情况，完全符合采购人需求的得5分；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方案内容编制合理、基本契合项目情况，较为符合采购人需求的得4分；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方案基本完整，但存在一定瑕疵，基本符合采购人需求的得3分；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方案内容编制存在瑕疵，与项目实际情况存在出入，操作性一般的得2分； </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方案内容编制存在较大瑕疵，与项目实际情况存在较大出入，较难操作的得1分；</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rPr>
            </w:pPr>
            <w:r>
              <w:rPr>
                <w:rFonts w:hint="eastAsia" w:ascii="宋体" w:hAnsi="宋体" w:eastAsia="宋体" w:cs="宋体"/>
                <w:color w:val="auto"/>
                <w:sz w:val="21"/>
                <w:szCs w:val="21"/>
                <w:highlight w:val="none"/>
                <w:lang w:val="en-US" w:eastAsia="zh-CN"/>
              </w:rPr>
              <w:t>未提供</w:t>
            </w:r>
            <w:r>
              <w:rPr>
                <w:rFonts w:hint="eastAsia" w:ascii="宋体" w:hAnsi="宋体" w:eastAsia="宋体" w:cs="宋体"/>
                <w:color w:val="000000"/>
                <w:sz w:val="21"/>
                <w:szCs w:val="21"/>
                <w:highlight w:val="none"/>
                <w:lang w:val="en-US" w:eastAsia="zh-CN"/>
              </w:rPr>
              <w:t>安保服务方案的不得分。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170"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000000"/>
                <w:sz w:val="21"/>
                <w:szCs w:val="21"/>
                <w:highlight w:val="none"/>
                <w:lang w:val="en-US"/>
              </w:rPr>
            </w:pPr>
            <w:r>
              <w:rPr>
                <w:rFonts w:hint="eastAsia" w:ascii="宋体" w:hAnsi="宋体" w:eastAsia="宋体" w:cs="宋体"/>
                <w:color w:val="000000"/>
                <w:sz w:val="21"/>
                <w:szCs w:val="21"/>
                <w:highlight w:val="none"/>
                <w:lang w:val="en-US" w:eastAsia="zh-CN"/>
              </w:rPr>
              <w:t>会务保障服务方案</w:t>
            </w:r>
            <w:r>
              <w:rPr>
                <w:rFonts w:hint="eastAsia" w:ascii="宋体" w:hAnsi="宋体" w:eastAsia="宋体" w:cs="宋体"/>
                <w:bCs/>
                <w:color w:val="000000"/>
                <w:sz w:val="21"/>
                <w:szCs w:val="21"/>
                <w:highlight w:val="none"/>
                <w:lang w:val="en-US" w:eastAsia="zh-CN"/>
              </w:rPr>
              <w:t>（5分）</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kern w:val="0"/>
                <w:sz w:val="21"/>
                <w:szCs w:val="21"/>
                <w:highlight w:val="none"/>
              </w:rPr>
            </w:pPr>
          </w:p>
        </w:tc>
        <w:tc>
          <w:tcPr>
            <w:tcW w:w="6740"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color w:val="000000"/>
                <w:sz w:val="21"/>
                <w:szCs w:val="21"/>
                <w:highlight w:val="none"/>
              </w:rPr>
              <w:t>根据投标人提供的</w:t>
            </w:r>
            <w:r>
              <w:rPr>
                <w:rFonts w:hint="eastAsia" w:ascii="宋体" w:hAnsi="宋体" w:eastAsia="宋体" w:cs="宋体"/>
                <w:color w:val="000000"/>
                <w:sz w:val="21"/>
                <w:szCs w:val="21"/>
                <w:highlight w:val="none"/>
                <w:lang w:val="en-US" w:eastAsia="zh-CN"/>
              </w:rPr>
              <w:t>会务保障服务方案</w:t>
            </w:r>
            <w:r>
              <w:rPr>
                <w:rFonts w:hint="eastAsia" w:ascii="宋体" w:hAnsi="宋体" w:eastAsia="宋体" w:cs="宋体"/>
                <w:bCs/>
                <w:color w:val="000000"/>
                <w:sz w:val="21"/>
                <w:szCs w:val="21"/>
                <w:highlight w:val="none"/>
                <w:lang w:val="en-US" w:eastAsia="zh-CN"/>
              </w:rPr>
              <w:t>进行综合评议（5分）：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方案内容编制全面，能很好契合项目实际情况，完全符合采购人需求的得5分；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方案内容编制合理、基本契合项目情况，较为符合采购人需求的得4分；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方案基本完整，但存在一定瑕疵，基本符合采购人需求的得3分；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方案内容编制存在瑕疵，与项目实际情况存在出入，操作性一般的得2分； </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方案内容编制存在较大瑕疵，与项目实际情况存在较大出入，较难操作的得1分；</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rPr>
            </w:pPr>
            <w:r>
              <w:rPr>
                <w:rFonts w:hint="eastAsia" w:ascii="宋体" w:hAnsi="宋体" w:eastAsia="宋体" w:cs="宋体"/>
                <w:color w:val="auto"/>
                <w:sz w:val="21"/>
                <w:szCs w:val="21"/>
                <w:highlight w:val="none"/>
                <w:lang w:val="en-US" w:eastAsia="zh-CN"/>
              </w:rPr>
              <w:t>未提供</w:t>
            </w:r>
            <w:r>
              <w:rPr>
                <w:rFonts w:hint="eastAsia" w:ascii="宋体" w:hAnsi="宋体" w:eastAsia="宋体" w:cs="宋体"/>
                <w:color w:val="000000"/>
                <w:sz w:val="21"/>
                <w:szCs w:val="21"/>
                <w:highlight w:val="none"/>
                <w:lang w:val="en-US" w:eastAsia="zh-CN"/>
              </w:rPr>
              <w:t>会务保障服务方案的不得分。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8"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卫生清洁服务</w:t>
            </w:r>
            <w:r>
              <w:rPr>
                <w:rFonts w:hint="eastAsia" w:ascii="宋体" w:hAnsi="宋体" w:eastAsia="宋体" w:cs="宋体"/>
                <w:color w:val="auto"/>
                <w:sz w:val="21"/>
                <w:szCs w:val="21"/>
                <w:highlight w:val="none"/>
              </w:rPr>
              <w:t>方案</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000000"/>
                <w:sz w:val="21"/>
                <w:szCs w:val="21"/>
                <w:highlight w:val="none"/>
                <w:lang w:val="en-US"/>
              </w:rPr>
            </w:pPr>
            <w:r>
              <w:rPr>
                <w:rFonts w:hint="eastAsia" w:ascii="宋体" w:hAnsi="宋体" w:eastAsia="宋体" w:cs="宋体"/>
                <w:bCs/>
                <w:color w:val="000000"/>
                <w:sz w:val="21"/>
                <w:szCs w:val="21"/>
                <w:highlight w:val="none"/>
                <w:lang w:val="en-US" w:eastAsia="zh-CN"/>
              </w:rPr>
              <w:t>（5分）</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kern w:val="0"/>
                <w:sz w:val="21"/>
                <w:szCs w:val="21"/>
                <w:highlight w:val="none"/>
              </w:rPr>
            </w:pPr>
          </w:p>
        </w:tc>
        <w:tc>
          <w:tcPr>
            <w:tcW w:w="6740"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color w:val="000000"/>
                <w:sz w:val="21"/>
                <w:szCs w:val="21"/>
                <w:highlight w:val="none"/>
              </w:rPr>
              <w:t>根据投标人提供的</w:t>
            </w:r>
            <w:bookmarkStart w:id="43" w:name="OLE_LINK34"/>
            <w:r>
              <w:rPr>
                <w:rFonts w:hint="eastAsia" w:ascii="宋体" w:hAnsi="宋体" w:eastAsia="宋体" w:cs="宋体"/>
                <w:color w:val="000000"/>
                <w:sz w:val="21"/>
                <w:szCs w:val="21"/>
                <w:highlight w:val="none"/>
                <w:lang w:val="en-US" w:eastAsia="zh-CN"/>
              </w:rPr>
              <w:t>卫生清洁服务方案</w:t>
            </w:r>
            <w:bookmarkEnd w:id="43"/>
            <w:r>
              <w:rPr>
                <w:rFonts w:hint="eastAsia" w:ascii="宋体" w:hAnsi="宋体" w:eastAsia="宋体" w:cs="宋体"/>
                <w:bCs/>
                <w:color w:val="000000"/>
                <w:sz w:val="21"/>
                <w:szCs w:val="21"/>
                <w:highlight w:val="none"/>
                <w:lang w:val="en-US" w:eastAsia="zh-CN"/>
              </w:rPr>
              <w:t>进行综合评议（5分）：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方案内容编制全面，能很好契合项目实际情况，完全符合采购人需求的得5分；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方案内容编制合理、基本契合项目情况，较为符合采购人需求的得4分；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方案基本完整，但存在一定瑕疵，基本符合采购人需求的得3分；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方案内容编制存在瑕疵，与项目实际情况存在出入，操作性一般的得2分； </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方案内容编制存在较大瑕疵，与项目实际情况存在较大出入，较难操作的得1分；</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rPr>
            </w:pPr>
            <w:r>
              <w:rPr>
                <w:rFonts w:hint="eastAsia" w:ascii="宋体" w:hAnsi="宋体" w:eastAsia="宋体" w:cs="宋体"/>
                <w:color w:val="auto"/>
                <w:sz w:val="21"/>
                <w:szCs w:val="21"/>
                <w:highlight w:val="none"/>
                <w:lang w:val="en-US" w:eastAsia="zh-CN"/>
              </w:rPr>
              <w:t>未提供</w:t>
            </w:r>
            <w:r>
              <w:rPr>
                <w:rFonts w:hint="eastAsia" w:ascii="宋体" w:hAnsi="宋体" w:eastAsia="宋体" w:cs="宋体"/>
                <w:color w:val="000000"/>
                <w:sz w:val="21"/>
                <w:szCs w:val="21"/>
                <w:highlight w:val="none"/>
                <w:lang w:val="en-US" w:eastAsia="zh-CN"/>
              </w:rPr>
              <w:t>卫生清洁服务方案的不得分。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80"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绿化服务</w:t>
            </w:r>
            <w:r>
              <w:rPr>
                <w:rFonts w:hint="eastAsia" w:ascii="宋体" w:hAnsi="宋体" w:eastAsia="宋体" w:cs="宋体"/>
                <w:color w:val="auto"/>
                <w:sz w:val="21"/>
                <w:szCs w:val="21"/>
                <w:highlight w:val="none"/>
              </w:rPr>
              <w:t>方案</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000000"/>
                <w:sz w:val="21"/>
                <w:szCs w:val="21"/>
                <w:highlight w:val="none"/>
                <w:lang w:val="en-US"/>
              </w:rPr>
            </w:pPr>
            <w:r>
              <w:rPr>
                <w:rFonts w:hint="eastAsia" w:ascii="宋体" w:hAnsi="宋体" w:eastAsia="宋体" w:cs="宋体"/>
                <w:bCs/>
                <w:color w:val="000000"/>
                <w:sz w:val="21"/>
                <w:szCs w:val="21"/>
                <w:highlight w:val="none"/>
                <w:lang w:val="en-US" w:eastAsia="zh-CN"/>
              </w:rPr>
              <w:t>（5分）</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kern w:val="0"/>
                <w:sz w:val="21"/>
                <w:szCs w:val="21"/>
                <w:highlight w:val="none"/>
              </w:rPr>
            </w:pPr>
          </w:p>
        </w:tc>
        <w:tc>
          <w:tcPr>
            <w:tcW w:w="6740"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color w:val="000000"/>
                <w:sz w:val="21"/>
                <w:szCs w:val="21"/>
                <w:highlight w:val="none"/>
              </w:rPr>
              <w:t>根据投标人提供的</w:t>
            </w:r>
            <w:bookmarkStart w:id="44" w:name="OLE_LINK35"/>
            <w:r>
              <w:rPr>
                <w:rFonts w:hint="eastAsia" w:ascii="宋体" w:hAnsi="宋体" w:eastAsia="宋体" w:cs="宋体"/>
                <w:color w:val="000000"/>
                <w:sz w:val="21"/>
                <w:szCs w:val="21"/>
                <w:highlight w:val="none"/>
                <w:lang w:val="en-US" w:eastAsia="zh-CN"/>
              </w:rPr>
              <w:t>绿化服务方案</w:t>
            </w:r>
            <w:bookmarkEnd w:id="44"/>
            <w:r>
              <w:rPr>
                <w:rFonts w:hint="eastAsia" w:ascii="宋体" w:hAnsi="宋体" w:eastAsia="宋体" w:cs="宋体"/>
                <w:bCs/>
                <w:color w:val="000000"/>
                <w:sz w:val="21"/>
                <w:szCs w:val="21"/>
                <w:highlight w:val="none"/>
                <w:lang w:val="en-US" w:eastAsia="zh-CN"/>
              </w:rPr>
              <w:t>进行综合评议（5分）：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方案内容编制全面，能很好契合项目实际情况，完全符合采购人需求的得5分；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方案内容编制合理、基本契合项目情况，较为符合采购人需求的得4分；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方案基本完整，但存在一定瑕疵，基本符合采购人需求的得3分；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方案内容编制存在瑕疵，与项目实际情况存在出入，操作性一般的得2分； </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方案内容编制存在较大瑕疵，与项目实际情况存在较大出入，较难操作的得1分；</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color w:val="000000"/>
                <w:sz w:val="21"/>
                <w:szCs w:val="21"/>
                <w:highlight w:val="none"/>
              </w:rPr>
            </w:pPr>
            <w:r>
              <w:rPr>
                <w:rFonts w:hint="eastAsia" w:ascii="宋体" w:hAnsi="宋体" w:eastAsia="宋体" w:cs="宋体"/>
                <w:color w:val="auto"/>
                <w:sz w:val="21"/>
                <w:szCs w:val="21"/>
                <w:highlight w:val="none"/>
                <w:lang w:val="en-US" w:eastAsia="zh-CN"/>
              </w:rPr>
              <w:t>未提供</w:t>
            </w:r>
            <w:r>
              <w:rPr>
                <w:rFonts w:hint="eastAsia" w:ascii="宋体" w:hAnsi="宋体" w:eastAsia="宋体" w:cs="宋体"/>
                <w:color w:val="000000"/>
                <w:sz w:val="21"/>
                <w:szCs w:val="21"/>
                <w:highlight w:val="none"/>
                <w:lang w:val="en-US" w:eastAsia="zh-CN"/>
              </w:rPr>
              <w:t>绿化服务方案的不得分。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410"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tabs>
                <w:tab w:val="left" w:pos="4915"/>
              </w:tabs>
              <w:kinsoku/>
              <w:wordWrap/>
              <w:overflowPunct/>
              <w:topLinePunct w:val="0"/>
              <w:autoSpaceDE/>
              <w:autoSpaceDN/>
              <w:bidi w:val="0"/>
              <w:snapToGrid/>
              <w:spacing w:line="440" w:lineRule="exact"/>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配套设备设施维护服务方案</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000000"/>
                <w:sz w:val="21"/>
                <w:szCs w:val="21"/>
                <w:highlight w:val="none"/>
                <w:lang w:val="en-US"/>
              </w:rPr>
            </w:pPr>
            <w:r>
              <w:rPr>
                <w:rFonts w:hint="eastAsia" w:ascii="宋体" w:hAnsi="宋体" w:eastAsia="宋体" w:cs="宋体"/>
                <w:bCs/>
                <w:color w:val="000000"/>
                <w:sz w:val="21"/>
                <w:szCs w:val="21"/>
                <w:highlight w:val="none"/>
                <w:lang w:val="en-US" w:eastAsia="zh-CN"/>
              </w:rPr>
              <w:t>（5分）</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kern w:val="0"/>
                <w:sz w:val="21"/>
                <w:szCs w:val="21"/>
                <w:highlight w:val="none"/>
              </w:rPr>
            </w:pPr>
          </w:p>
        </w:tc>
        <w:tc>
          <w:tcPr>
            <w:tcW w:w="6740"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color w:val="000000"/>
                <w:sz w:val="21"/>
                <w:szCs w:val="21"/>
                <w:highlight w:val="none"/>
              </w:rPr>
              <w:t>根据投标人提供的</w:t>
            </w:r>
            <w:bookmarkStart w:id="45" w:name="OLE_LINK36"/>
            <w:r>
              <w:rPr>
                <w:rFonts w:hint="eastAsia" w:ascii="宋体" w:hAnsi="宋体" w:eastAsia="宋体" w:cs="宋体"/>
                <w:color w:val="000000"/>
                <w:sz w:val="21"/>
                <w:szCs w:val="21"/>
                <w:highlight w:val="none"/>
                <w:lang w:val="en-US" w:eastAsia="zh-CN"/>
              </w:rPr>
              <w:t>配套设备设施维护服务方案</w:t>
            </w:r>
            <w:bookmarkEnd w:id="45"/>
            <w:r>
              <w:rPr>
                <w:rFonts w:hint="eastAsia" w:ascii="宋体" w:hAnsi="宋体" w:eastAsia="宋体" w:cs="宋体"/>
                <w:bCs/>
                <w:color w:val="000000"/>
                <w:sz w:val="21"/>
                <w:szCs w:val="21"/>
                <w:highlight w:val="none"/>
                <w:lang w:val="en-US" w:eastAsia="zh-CN"/>
              </w:rPr>
              <w:t>进行综合评议（5分）：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方案内容编制全面，能很好契合项目实际情况，完全符合采购人需求的得5分；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方案内容编制合理、基本契合项目情况，较为符合采购人需求的得4分；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方案基本完整，但存在一定瑕疵，基本符合采购人需求的得3分；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方案内容编制存在瑕疵，与项目实际情况存在出入，操作性一般的得2分； </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方案内容编制存在较大瑕疵，与项目实际情况存在较大出入，较难操作的得1分；</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sz w:val="21"/>
                <w:szCs w:val="21"/>
                <w:highlight w:val="none"/>
                <w:lang w:eastAsia="zh-CN"/>
              </w:rPr>
            </w:pPr>
            <w:r>
              <w:rPr>
                <w:rFonts w:hint="eastAsia" w:ascii="宋体" w:hAnsi="宋体" w:eastAsia="宋体" w:cs="宋体"/>
                <w:color w:val="auto"/>
                <w:sz w:val="21"/>
                <w:szCs w:val="21"/>
                <w:highlight w:val="none"/>
                <w:lang w:val="en-US" w:eastAsia="zh-CN"/>
              </w:rPr>
              <w:t>未提供</w:t>
            </w:r>
            <w:r>
              <w:rPr>
                <w:rFonts w:hint="eastAsia" w:ascii="宋体" w:hAnsi="宋体" w:eastAsia="宋体" w:cs="宋体"/>
                <w:color w:val="000000"/>
                <w:sz w:val="21"/>
                <w:szCs w:val="21"/>
                <w:highlight w:val="none"/>
                <w:lang w:val="en-US" w:eastAsia="zh-CN"/>
              </w:rPr>
              <w:t>配套设备设施维护服务方案的不得分。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22"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tabs>
                <w:tab w:val="left" w:pos="4915"/>
              </w:tabs>
              <w:kinsoku/>
              <w:wordWrap/>
              <w:overflowPunct/>
              <w:topLinePunct w:val="0"/>
              <w:autoSpaceDE/>
              <w:autoSpaceDN/>
              <w:bidi w:val="0"/>
              <w:snapToGrid/>
              <w:spacing w:line="440" w:lineRule="exact"/>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消防管理方案</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000000"/>
                <w:sz w:val="21"/>
                <w:szCs w:val="21"/>
                <w:highlight w:val="none"/>
                <w:lang w:val="en-US"/>
              </w:rPr>
            </w:pPr>
            <w:r>
              <w:rPr>
                <w:rFonts w:hint="eastAsia" w:ascii="宋体" w:hAnsi="宋体" w:eastAsia="宋体" w:cs="宋体"/>
                <w:bCs/>
                <w:color w:val="000000"/>
                <w:sz w:val="21"/>
                <w:szCs w:val="21"/>
                <w:highlight w:val="none"/>
                <w:lang w:val="en-US" w:eastAsia="zh-CN"/>
              </w:rPr>
              <w:t>（5分）</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kern w:val="0"/>
                <w:sz w:val="21"/>
                <w:szCs w:val="21"/>
                <w:highlight w:val="none"/>
              </w:rPr>
            </w:pPr>
          </w:p>
        </w:tc>
        <w:tc>
          <w:tcPr>
            <w:tcW w:w="6740"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color w:val="000000"/>
                <w:sz w:val="21"/>
                <w:szCs w:val="21"/>
                <w:highlight w:val="none"/>
              </w:rPr>
              <w:t>根据投标人提供的</w:t>
            </w:r>
            <w:bookmarkStart w:id="46" w:name="OLE_LINK37"/>
            <w:r>
              <w:rPr>
                <w:rFonts w:hint="eastAsia" w:ascii="宋体" w:hAnsi="宋体" w:eastAsia="宋体" w:cs="宋体"/>
                <w:color w:val="000000"/>
                <w:sz w:val="21"/>
                <w:szCs w:val="21"/>
                <w:highlight w:val="none"/>
                <w:lang w:val="en-US" w:eastAsia="zh-CN"/>
              </w:rPr>
              <w:t>消防管理方案</w:t>
            </w:r>
            <w:bookmarkEnd w:id="46"/>
            <w:r>
              <w:rPr>
                <w:rFonts w:hint="eastAsia" w:ascii="宋体" w:hAnsi="宋体" w:eastAsia="宋体" w:cs="宋体"/>
                <w:bCs/>
                <w:color w:val="000000"/>
                <w:sz w:val="21"/>
                <w:szCs w:val="21"/>
                <w:highlight w:val="none"/>
                <w:lang w:val="en-US" w:eastAsia="zh-CN"/>
              </w:rPr>
              <w:t>进行综合评议（5分）：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方案内容编制全面，能很好契合项目实际情况，完全符合采购人需求的得5分；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方案内容编制合理、基本契合项目情况，较为符合采购人需求的得4分；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方案基本完整，但存在一定瑕疵，基本符合采购人需求的得3分；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方案内容编制存在瑕疵，与项目实际情况存在出入，操作性一般的得2分； </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方案内容编制存在较大瑕疵，与项目实际情况存在较大出入，较难操作的得1分；</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auto"/>
                <w:sz w:val="21"/>
                <w:szCs w:val="21"/>
                <w:highlight w:val="none"/>
                <w:lang w:val="en-US" w:eastAsia="zh-CN"/>
              </w:rPr>
              <w:t>未提供</w:t>
            </w:r>
            <w:r>
              <w:rPr>
                <w:rFonts w:hint="eastAsia" w:ascii="宋体" w:hAnsi="宋体" w:eastAsia="宋体" w:cs="宋体"/>
                <w:color w:val="000000"/>
                <w:sz w:val="21"/>
                <w:szCs w:val="21"/>
                <w:highlight w:val="none"/>
                <w:lang w:val="en-US" w:eastAsia="zh-CN"/>
              </w:rPr>
              <w:t>消防管理方案的不得分。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9"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tabs>
                <w:tab w:val="left" w:pos="4915"/>
              </w:tabs>
              <w:kinsoku/>
              <w:wordWrap/>
              <w:overflowPunct/>
              <w:topLinePunct w:val="0"/>
              <w:autoSpaceDE/>
              <w:autoSpaceDN/>
              <w:bidi w:val="0"/>
              <w:snapToGrid/>
              <w:spacing w:line="440" w:lineRule="exact"/>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保密管理方案</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000000"/>
                <w:sz w:val="21"/>
                <w:szCs w:val="21"/>
                <w:highlight w:val="none"/>
                <w:lang w:val="en-US"/>
              </w:rPr>
            </w:pPr>
            <w:r>
              <w:rPr>
                <w:rFonts w:hint="eastAsia" w:ascii="宋体" w:hAnsi="宋体" w:eastAsia="宋体" w:cs="宋体"/>
                <w:bCs/>
                <w:color w:val="000000"/>
                <w:sz w:val="21"/>
                <w:szCs w:val="21"/>
                <w:highlight w:val="none"/>
                <w:lang w:val="en-US" w:eastAsia="zh-CN"/>
              </w:rPr>
              <w:t>（</w:t>
            </w:r>
            <w:r>
              <w:rPr>
                <w:rFonts w:hint="eastAsia" w:ascii="宋体" w:hAnsi="宋体" w:cs="宋体"/>
                <w:bCs/>
                <w:color w:val="000000"/>
                <w:sz w:val="21"/>
                <w:szCs w:val="21"/>
                <w:highlight w:val="none"/>
                <w:lang w:val="en-US" w:eastAsia="zh-CN"/>
              </w:rPr>
              <w:t>5</w:t>
            </w:r>
            <w:r>
              <w:rPr>
                <w:rFonts w:hint="eastAsia" w:ascii="宋体" w:hAnsi="宋体" w:eastAsia="宋体" w:cs="宋体"/>
                <w:bCs/>
                <w:color w:val="000000"/>
                <w:sz w:val="21"/>
                <w:szCs w:val="21"/>
                <w:highlight w:val="none"/>
                <w:lang w:val="en-US" w:eastAsia="zh-CN"/>
              </w:rPr>
              <w:t>分）</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kern w:val="0"/>
                <w:sz w:val="21"/>
                <w:szCs w:val="21"/>
                <w:highlight w:val="none"/>
              </w:rPr>
            </w:pPr>
          </w:p>
        </w:tc>
        <w:tc>
          <w:tcPr>
            <w:tcW w:w="6740"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sz w:val="21"/>
                <w:szCs w:val="21"/>
                <w:highlight w:val="none"/>
                <w:lang w:val="en-US" w:eastAsia="zh-CN"/>
              </w:rPr>
              <w:t>根据投标人提供的保密管理方案进行综合评议（5分）：</w:t>
            </w:r>
            <w:r>
              <w:rPr>
                <w:rFonts w:hint="eastAsia" w:ascii="宋体" w:hAnsi="宋体" w:eastAsia="宋体" w:cs="宋体"/>
                <w:color w:val="000000"/>
                <w:sz w:val="21"/>
                <w:szCs w:val="21"/>
                <w:highlight w:val="none"/>
                <w:lang w:val="en-US" w:eastAsia="zh-CN"/>
              </w:rPr>
              <w:br w:type="textWrapping"/>
            </w:r>
            <w:r>
              <w:rPr>
                <w:rFonts w:hint="eastAsia" w:ascii="宋体" w:hAnsi="宋体" w:eastAsia="宋体" w:cs="宋体"/>
                <w:color w:val="000000"/>
                <w:sz w:val="21"/>
                <w:szCs w:val="21"/>
                <w:highlight w:val="none"/>
                <w:lang w:val="en-US" w:eastAsia="zh-CN"/>
              </w:rPr>
              <w:t>方案内容编制全面，能很好契合项目实际情况，完全符合采购人需求的得5分；</w:t>
            </w:r>
            <w:r>
              <w:rPr>
                <w:rFonts w:hint="eastAsia" w:ascii="宋体" w:hAnsi="宋体" w:eastAsia="宋体" w:cs="宋体"/>
                <w:color w:val="000000"/>
                <w:sz w:val="21"/>
                <w:szCs w:val="21"/>
                <w:highlight w:val="none"/>
                <w:lang w:val="en-US" w:eastAsia="zh-CN"/>
              </w:rPr>
              <w:br w:type="textWrapping"/>
            </w:r>
            <w:r>
              <w:rPr>
                <w:rFonts w:hint="eastAsia" w:ascii="宋体" w:hAnsi="宋体" w:eastAsia="宋体" w:cs="宋体"/>
                <w:color w:val="000000"/>
                <w:sz w:val="21"/>
                <w:szCs w:val="21"/>
                <w:highlight w:val="none"/>
                <w:lang w:val="en-US" w:eastAsia="zh-CN"/>
              </w:rPr>
              <w:t>方案内容编制合理、基本契合项目情况，较为符合采购人需求的得4分；</w:t>
            </w:r>
            <w:r>
              <w:rPr>
                <w:rFonts w:hint="eastAsia" w:ascii="宋体" w:hAnsi="宋体" w:eastAsia="宋体" w:cs="宋体"/>
                <w:color w:val="000000"/>
                <w:sz w:val="21"/>
                <w:szCs w:val="21"/>
                <w:highlight w:val="none"/>
                <w:lang w:val="en-US" w:eastAsia="zh-CN"/>
              </w:rPr>
              <w:br w:type="textWrapping"/>
            </w:r>
            <w:r>
              <w:rPr>
                <w:rFonts w:hint="eastAsia" w:ascii="宋体" w:hAnsi="宋体" w:eastAsia="宋体" w:cs="宋体"/>
                <w:color w:val="000000"/>
                <w:sz w:val="21"/>
                <w:szCs w:val="21"/>
                <w:highlight w:val="none"/>
                <w:lang w:val="en-US" w:eastAsia="zh-CN"/>
              </w:rPr>
              <w:t>方案基本完整，但存在一定瑕疵，基本符合采购人需求的得3分；</w:t>
            </w:r>
            <w:r>
              <w:rPr>
                <w:rFonts w:hint="eastAsia" w:ascii="宋体" w:hAnsi="宋体" w:eastAsia="宋体" w:cs="宋体"/>
                <w:color w:val="000000"/>
                <w:sz w:val="21"/>
                <w:szCs w:val="21"/>
                <w:highlight w:val="none"/>
                <w:lang w:val="en-US" w:eastAsia="zh-CN"/>
              </w:rPr>
              <w:br w:type="textWrapping"/>
            </w:r>
            <w:r>
              <w:rPr>
                <w:rFonts w:hint="eastAsia" w:ascii="宋体" w:hAnsi="宋体" w:eastAsia="宋体" w:cs="宋体"/>
                <w:color w:val="000000"/>
                <w:sz w:val="21"/>
                <w:szCs w:val="21"/>
                <w:highlight w:val="none"/>
                <w:lang w:val="en-US" w:eastAsia="zh-CN"/>
              </w:rPr>
              <w:t xml:space="preserve">方案内容编制存在瑕疵，与项目实际情况存在出入，操作性一般的得2分； </w:t>
            </w:r>
            <w:r>
              <w:rPr>
                <w:rFonts w:hint="eastAsia" w:ascii="宋体" w:hAnsi="宋体" w:eastAsia="宋体" w:cs="宋体"/>
                <w:color w:val="000000"/>
                <w:sz w:val="21"/>
                <w:szCs w:val="21"/>
                <w:highlight w:val="none"/>
                <w:lang w:val="en-US" w:eastAsia="zh-CN"/>
              </w:rPr>
              <w:br w:type="textWrapping"/>
            </w:r>
            <w:r>
              <w:rPr>
                <w:rFonts w:hint="eastAsia" w:ascii="宋体" w:hAnsi="宋体" w:eastAsia="宋体" w:cs="宋体"/>
                <w:color w:val="000000"/>
                <w:sz w:val="21"/>
                <w:szCs w:val="21"/>
                <w:highlight w:val="none"/>
                <w:lang w:val="en-US" w:eastAsia="zh-CN"/>
              </w:rPr>
              <w:t>方案内容编制存在较大瑕疵，与项目实际情况存在较大出入，较难操作的得1分；</w:t>
            </w:r>
            <w:r>
              <w:rPr>
                <w:rFonts w:hint="eastAsia" w:ascii="宋体" w:hAnsi="宋体" w:eastAsia="宋体" w:cs="宋体"/>
                <w:color w:val="000000"/>
                <w:sz w:val="21"/>
                <w:szCs w:val="21"/>
                <w:highlight w:val="none"/>
                <w:lang w:val="en-US" w:eastAsia="zh-CN"/>
              </w:rPr>
              <w:br w:type="textWrapping"/>
            </w:r>
            <w:r>
              <w:rPr>
                <w:rFonts w:hint="eastAsia" w:ascii="宋体" w:hAnsi="宋体" w:eastAsia="宋体" w:cs="宋体"/>
                <w:color w:val="000000"/>
                <w:sz w:val="21"/>
                <w:szCs w:val="21"/>
                <w:highlight w:val="none"/>
                <w:lang w:val="en-US" w:eastAsia="zh-CN"/>
              </w:rPr>
              <w:t>未提供保密管理方案的不得分。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19"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tabs>
                <w:tab w:val="left" w:pos="4915"/>
              </w:tabs>
              <w:kinsoku/>
              <w:wordWrap/>
              <w:overflowPunct/>
              <w:topLinePunct w:val="0"/>
              <w:autoSpaceDE/>
              <w:autoSpaceDN/>
              <w:bidi w:val="0"/>
              <w:snapToGrid/>
              <w:spacing w:line="440" w:lineRule="exact"/>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应急管理方案</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000000"/>
                <w:sz w:val="21"/>
                <w:szCs w:val="21"/>
                <w:highlight w:val="none"/>
                <w:lang w:val="en-US"/>
              </w:rPr>
            </w:pPr>
            <w:r>
              <w:rPr>
                <w:rFonts w:hint="eastAsia" w:ascii="宋体" w:hAnsi="宋体" w:eastAsia="宋体" w:cs="宋体"/>
                <w:bCs/>
                <w:color w:val="000000"/>
                <w:sz w:val="21"/>
                <w:szCs w:val="21"/>
                <w:highlight w:val="none"/>
                <w:lang w:val="en-US" w:eastAsia="zh-CN"/>
              </w:rPr>
              <w:t>（5分）</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kern w:val="0"/>
                <w:sz w:val="21"/>
                <w:szCs w:val="21"/>
                <w:highlight w:val="none"/>
              </w:rPr>
            </w:pPr>
          </w:p>
        </w:tc>
        <w:tc>
          <w:tcPr>
            <w:tcW w:w="6740"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color w:val="000000"/>
                <w:sz w:val="21"/>
                <w:szCs w:val="21"/>
                <w:highlight w:val="none"/>
              </w:rPr>
              <w:t>根据投标人提供的</w:t>
            </w:r>
            <w:bookmarkStart w:id="47" w:name="OLE_LINK39"/>
            <w:r>
              <w:rPr>
                <w:rFonts w:hint="eastAsia" w:ascii="宋体" w:hAnsi="宋体" w:eastAsia="宋体" w:cs="宋体"/>
                <w:color w:val="000000"/>
                <w:sz w:val="21"/>
                <w:szCs w:val="21"/>
                <w:highlight w:val="none"/>
                <w:lang w:val="en-US" w:eastAsia="zh-CN"/>
              </w:rPr>
              <w:t>应急管理方案</w:t>
            </w:r>
            <w:bookmarkEnd w:id="47"/>
            <w:r>
              <w:rPr>
                <w:rFonts w:hint="eastAsia" w:ascii="宋体" w:hAnsi="宋体" w:eastAsia="宋体" w:cs="宋体"/>
                <w:bCs/>
                <w:color w:val="000000"/>
                <w:sz w:val="21"/>
                <w:szCs w:val="21"/>
                <w:highlight w:val="none"/>
                <w:lang w:val="en-US" w:eastAsia="zh-CN"/>
              </w:rPr>
              <w:t>进行综合评议（5分）：</w:t>
            </w:r>
          </w:p>
          <w:p>
            <w:pPr>
              <w:keepNext w:val="0"/>
              <w:keepLines w:val="0"/>
              <w:pageBreakBefore w:val="0"/>
              <w:tabs>
                <w:tab w:val="left" w:pos="4915"/>
              </w:tabs>
              <w:kinsoku/>
              <w:wordWrap/>
              <w:overflowPunct/>
              <w:topLinePunct w:val="0"/>
              <w:autoSpaceDE/>
              <w:autoSpaceDN/>
              <w:bidi w:val="0"/>
              <w:adjustRightInd/>
              <w:snapToGrid/>
              <w:spacing w:line="42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方案内容编制全面，能很好契合项目实际情况，完全符合采购人需求的得5分；</w:t>
            </w:r>
          </w:p>
          <w:p>
            <w:pPr>
              <w:keepNext w:val="0"/>
              <w:keepLines w:val="0"/>
              <w:pageBreakBefore w:val="0"/>
              <w:tabs>
                <w:tab w:val="left" w:pos="4915"/>
              </w:tabs>
              <w:kinsoku/>
              <w:wordWrap/>
              <w:overflowPunct/>
              <w:topLinePunct w:val="0"/>
              <w:autoSpaceDE/>
              <w:autoSpaceDN/>
              <w:bidi w:val="0"/>
              <w:adjustRightInd/>
              <w:snapToGrid/>
              <w:spacing w:line="42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方案内容编制合理、基本契合项目情况，较为符合采购人需求的得4分；</w:t>
            </w:r>
          </w:p>
          <w:p>
            <w:pPr>
              <w:keepNext w:val="0"/>
              <w:keepLines w:val="0"/>
              <w:pageBreakBefore w:val="0"/>
              <w:tabs>
                <w:tab w:val="left" w:pos="4915"/>
              </w:tabs>
              <w:kinsoku/>
              <w:wordWrap/>
              <w:overflowPunct/>
              <w:topLinePunct w:val="0"/>
              <w:autoSpaceDE/>
              <w:autoSpaceDN/>
              <w:bidi w:val="0"/>
              <w:adjustRightInd/>
              <w:snapToGrid/>
              <w:spacing w:line="42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方案基本完整，但存在一定瑕疵，基本符合采购人需求的得3分；</w:t>
            </w:r>
          </w:p>
          <w:p>
            <w:pPr>
              <w:keepNext w:val="0"/>
              <w:keepLines w:val="0"/>
              <w:pageBreakBefore w:val="0"/>
              <w:tabs>
                <w:tab w:val="left" w:pos="4915"/>
              </w:tabs>
              <w:kinsoku/>
              <w:wordWrap/>
              <w:overflowPunct/>
              <w:topLinePunct w:val="0"/>
              <w:autoSpaceDE/>
              <w:autoSpaceDN/>
              <w:bidi w:val="0"/>
              <w:adjustRightInd/>
              <w:snapToGrid/>
              <w:spacing w:line="42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方案内容编制存在瑕疵，与项目实际情况存在出入，操作性一般的得2分； </w:t>
            </w:r>
          </w:p>
          <w:p>
            <w:pPr>
              <w:keepNext w:val="0"/>
              <w:keepLines w:val="0"/>
              <w:pageBreakBefore w:val="0"/>
              <w:tabs>
                <w:tab w:val="left" w:pos="4915"/>
              </w:tabs>
              <w:kinsoku/>
              <w:wordWrap/>
              <w:overflowPunct/>
              <w:topLinePunct w:val="0"/>
              <w:autoSpaceDE/>
              <w:autoSpaceDN/>
              <w:bidi w:val="0"/>
              <w:adjustRightInd/>
              <w:snapToGrid/>
              <w:spacing w:line="42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方案内容编制存在较大瑕疵，与项目实际情况存在较大出入，较难操作的得1分；</w:t>
            </w:r>
          </w:p>
          <w:p>
            <w:pPr>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auto"/>
                <w:sz w:val="21"/>
                <w:szCs w:val="21"/>
                <w:highlight w:val="none"/>
                <w:lang w:val="en-US" w:eastAsia="zh-CN"/>
              </w:rPr>
              <w:t>未提供应急</w:t>
            </w:r>
            <w:r>
              <w:rPr>
                <w:rFonts w:hint="eastAsia" w:ascii="宋体" w:hAnsi="宋体" w:eastAsia="宋体" w:cs="宋体"/>
                <w:color w:val="000000"/>
                <w:sz w:val="21"/>
                <w:szCs w:val="21"/>
                <w:highlight w:val="none"/>
                <w:lang w:val="en-US" w:eastAsia="zh-CN"/>
              </w:rPr>
              <w:t>管理方案的不得分。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73"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 w:val="0"/>
                <w:bCs/>
                <w:color w:val="000000"/>
                <w:sz w:val="21"/>
                <w:szCs w:val="21"/>
                <w:highlight w:val="none"/>
                <w:lang w:val="en-US" w:eastAsia="zh-CN"/>
              </w:rPr>
            </w:pPr>
            <w:bookmarkStart w:id="48" w:name="OLE_LINK40"/>
            <w:r>
              <w:rPr>
                <w:rFonts w:hint="eastAsia" w:ascii="宋体" w:hAnsi="宋体" w:eastAsia="宋体" w:cs="宋体"/>
                <w:b w:val="0"/>
                <w:bCs/>
                <w:color w:val="000000"/>
                <w:sz w:val="21"/>
                <w:szCs w:val="21"/>
                <w:highlight w:val="none"/>
                <w:lang w:val="en-US" w:eastAsia="zh-CN"/>
              </w:rPr>
              <w:t>拟投入的人员配备及管理</w:t>
            </w:r>
            <w:bookmarkEnd w:id="48"/>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 w:val="0"/>
                <w:bCs/>
                <w:color w:val="000000"/>
                <w:sz w:val="21"/>
                <w:szCs w:val="21"/>
                <w:highlight w:val="none"/>
                <w:lang w:val="zh-CN"/>
              </w:rPr>
            </w:pPr>
            <w:r>
              <w:rPr>
                <w:rFonts w:hint="eastAsia" w:ascii="宋体" w:hAnsi="宋体" w:eastAsia="宋体" w:cs="宋体"/>
                <w:b w:val="0"/>
                <w:bCs/>
                <w:color w:val="000000"/>
                <w:sz w:val="21"/>
                <w:szCs w:val="21"/>
                <w:highlight w:val="none"/>
                <w:lang w:val="zh-CN"/>
              </w:rPr>
              <w:t>（</w:t>
            </w:r>
            <w:r>
              <w:rPr>
                <w:rFonts w:hint="eastAsia" w:ascii="宋体" w:hAnsi="宋体" w:eastAsia="宋体" w:cs="宋体"/>
                <w:b w:val="0"/>
                <w:bCs/>
                <w:color w:val="000000"/>
                <w:sz w:val="21"/>
                <w:szCs w:val="21"/>
                <w:highlight w:val="none"/>
                <w:lang w:val="en-US" w:eastAsia="zh-CN"/>
              </w:rPr>
              <w:t>11分</w:t>
            </w:r>
            <w:r>
              <w:rPr>
                <w:rFonts w:hint="eastAsia" w:ascii="宋体" w:hAnsi="宋体" w:eastAsia="宋体" w:cs="宋体"/>
                <w:b w:val="0"/>
                <w:bCs/>
                <w:color w:val="000000"/>
                <w:sz w:val="21"/>
                <w:szCs w:val="21"/>
                <w:highlight w:val="none"/>
                <w:lang w:val="zh-CN"/>
              </w:rPr>
              <w:t>）</w:t>
            </w:r>
          </w:p>
          <w:p>
            <w:pPr>
              <w:keepNext w:val="0"/>
              <w:keepLines w:val="0"/>
              <w:pageBreakBefore w:val="0"/>
              <w:widowControl/>
              <w:kinsoku/>
              <w:wordWrap/>
              <w:overflowPunct/>
              <w:topLinePunct w:val="0"/>
              <w:autoSpaceDE/>
              <w:autoSpaceDN/>
              <w:bidi w:val="0"/>
              <w:adjustRightInd/>
              <w:snapToGrid/>
              <w:spacing w:line="440" w:lineRule="exact"/>
              <w:ind w:firstLine="210" w:firstLineChars="100"/>
              <w:jc w:val="center"/>
              <w:textAlignment w:val="auto"/>
              <w:rPr>
                <w:rFonts w:hint="eastAsia" w:ascii="宋体" w:hAnsi="宋体" w:eastAsia="宋体" w:cs="宋体"/>
                <w:color w:val="000000"/>
                <w:kern w:val="0"/>
                <w:sz w:val="21"/>
                <w:szCs w:val="21"/>
                <w:highlight w:val="none"/>
              </w:rPr>
            </w:pPr>
          </w:p>
        </w:tc>
        <w:tc>
          <w:tcPr>
            <w:tcW w:w="6740" w:type="dxa"/>
            <w:tcBorders>
              <w:top w:val="single" w:color="000000" w:sz="8"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项目经理年龄35周岁以下，具有本科及以上学历的得2分。</w:t>
            </w:r>
            <w:r>
              <w:rPr>
                <w:rFonts w:hint="eastAsia" w:ascii="宋体" w:hAnsi="宋体" w:eastAsia="宋体" w:cs="宋体"/>
                <w:bCs/>
                <w:color w:val="auto"/>
                <w:sz w:val="21"/>
                <w:szCs w:val="21"/>
                <w:highlight w:val="none"/>
                <w:lang w:eastAsia="zh-CN"/>
              </w:rPr>
              <w:t>（</w:t>
            </w:r>
            <w:r>
              <w:rPr>
                <w:rFonts w:hint="eastAsia" w:ascii="宋体" w:hAnsi="宋体" w:eastAsia="宋体" w:cs="宋体"/>
                <w:color w:val="auto"/>
                <w:sz w:val="21"/>
                <w:szCs w:val="21"/>
                <w:highlight w:val="none"/>
              </w:rPr>
              <w:t>提供相关证明文件</w:t>
            </w:r>
            <w:r>
              <w:rPr>
                <w:rFonts w:hint="eastAsia" w:ascii="宋体" w:hAnsi="宋体" w:eastAsia="宋体" w:cs="宋体"/>
                <w:color w:val="auto"/>
                <w:sz w:val="21"/>
                <w:szCs w:val="21"/>
                <w:highlight w:val="none"/>
                <w:lang w:eastAsia="zh-CN"/>
              </w:rPr>
              <w:t>、投标人为</w:t>
            </w:r>
            <w:r>
              <w:rPr>
                <w:rFonts w:hint="eastAsia" w:ascii="宋体" w:hAnsi="宋体" w:eastAsia="宋体" w:cs="宋体"/>
                <w:color w:val="auto"/>
                <w:sz w:val="21"/>
                <w:szCs w:val="21"/>
                <w:highlight w:val="none"/>
                <w:lang w:val="en-US" w:eastAsia="zh-CN"/>
              </w:rPr>
              <w:t>其</w:t>
            </w:r>
            <w:r>
              <w:rPr>
                <w:rFonts w:hint="eastAsia" w:ascii="宋体" w:hAnsi="宋体" w:eastAsia="宋体" w:cs="宋体"/>
                <w:color w:val="auto"/>
                <w:sz w:val="21"/>
                <w:szCs w:val="21"/>
                <w:highlight w:val="none"/>
                <w:lang w:eastAsia="zh-CN"/>
              </w:rPr>
              <w:t>缴纳的</w:t>
            </w:r>
            <w:r>
              <w:rPr>
                <w:rFonts w:hint="eastAsia" w:ascii="宋体" w:hAnsi="宋体" w:eastAsia="宋体" w:cs="宋体"/>
                <w:color w:val="auto"/>
                <w:sz w:val="21"/>
                <w:szCs w:val="21"/>
                <w:highlight w:val="none"/>
                <w:lang w:val="en-US" w:eastAsia="zh-CN"/>
              </w:rPr>
              <w:t>投标截止时间前3个月内任意一个月的</w:t>
            </w:r>
            <w:r>
              <w:rPr>
                <w:rFonts w:hint="eastAsia" w:ascii="宋体" w:hAnsi="宋体" w:eastAsia="宋体" w:cs="宋体"/>
                <w:color w:val="auto"/>
                <w:sz w:val="21"/>
                <w:szCs w:val="21"/>
                <w:highlight w:val="none"/>
                <w:lang w:eastAsia="zh-CN"/>
              </w:rPr>
              <w:t>社保证明</w:t>
            </w:r>
            <w:r>
              <w:rPr>
                <w:rFonts w:hint="eastAsia" w:ascii="宋体" w:hAnsi="宋体" w:eastAsia="宋体" w:cs="宋体"/>
                <w:color w:val="auto"/>
                <w:sz w:val="21"/>
                <w:szCs w:val="21"/>
                <w:highlight w:val="none"/>
                <w:lang w:val="en-US" w:eastAsia="zh-CN"/>
              </w:rPr>
              <w:t>材料</w:t>
            </w:r>
            <w:r>
              <w:rPr>
                <w:rFonts w:hint="eastAsia" w:ascii="宋体" w:hAnsi="宋体" w:eastAsia="宋体" w:cs="宋体"/>
                <w:color w:val="auto"/>
                <w:sz w:val="21"/>
                <w:szCs w:val="21"/>
                <w:highlight w:val="none"/>
              </w:rPr>
              <w:t>复印件加盖公章。</w:t>
            </w:r>
            <w:r>
              <w:rPr>
                <w:rFonts w:hint="eastAsia" w:ascii="宋体" w:hAnsi="宋体" w:eastAsia="宋体" w:cs="宋体"/>
                <w:bCs/>
                <w:color w:val="auto"/>
                <w:sz w:val="21"/>
                <w:szCs w:val="21"/>
                <w:highlight w:val="none"/>
                <w:lang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5"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vMerge w:val="continue"/>
            <w:tcBorders>
              <w:left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ind w:firstLine="210" w:firstLineChars="100"/>
              <w:jc w:val="center"/>
              <w:textAlignment w:val="auto"/>
              <w:rPr>
                <w:rFonts w:hint="eastAsia" w:ascii="宋体" w:hAnsi="宋体" w:eastAsia="宋体" w:cs="宋体"/>
                <w:color w:val="000000"/>
                <w:kern w:val="0"/>
                <w:sz w:val="21"/>
                <w:szCs w:val="21"/>
                <w:highlight w:val="none"/>
              </w:rPr>
            </w:pPr>
          </w:p>
        </w:tc>
        <w:tc>
          <w:tcPr>
            <w:tcW w:w="6740"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客服管理员年龄40周岁以下，本科及以上学历</w:t>
            </w:r>
            <w:r>
              <w:rPr>
                <w:rFonts w:hint="eastAsia" w:ascii="宋体" w:hAnsi="宋体" w:cs="宋体"/>
                <w:bCs/>
                <w:color w:val="auto"/>
                <w:sz w:val="21"/>
                <w:szCs w:val="21"/>
                <w:highlight w:val="none"/>
                <w:lang w:val="en-US" w:eastAsia="zh-CN"/>
              </w:rPr>
              <w:t>且同时</w:t>
            </w:r>
            <w:r>
              <w:rPr>
                <w:rFonts w:hint="eastAsia" w:ascii="宋体" w:hAnsi="宋体" w:eastAsia="宋体" w:cs="宋体"/>
                <w:bCs/>
                <w:color w:val="auto"/>
                <w:sz w:val="21"/>
                <w:szCs w:val="21"/>
                <w:highlight w:val="none"/>
                <w:lang w:val="en-US" w:eastAsia="zh-CN"/>
              </w:rPr>
              <w:t>具有</w:t>
            </w:r>
            <w:r>
              <w:rPr>
                <w:rFonts w:hint="eastAsia" w:ascii="宋体" w:hAnsi="宋体" w:cs="宋体"/>
                <w:bCs/>
                <w:color w:val="auto"/>
                <w:sz w:val="21"/>
                <w:szCs w:val="21"/>
                <w:highlight w:val="none"/>
                <w:lang w:val="en-US" w:eastAsia="zh-CN"/>
              </w:rPr>
              <w:t>中级及以上职称</w:t>
            </w:r>
            <w:r>
              <w:rPr>
                <w:rFonts w:hint="eastAsia" w:ascii="宋体" w:hAnsi="宋体" w:eastAsia="宋体" w:cs="宋体"/>
                <w:bCs/>
                <w:color w:val="auto"/>
                <w:sz w:val="21"/>
                <w:szCs w:val="21"/>
                <w:highlight w:val="none"/>
                <w:lang w:val="en-US" w:eastAsia="zh-CN"/>
              </w:rPr>
              <w:t>的得</w:t>
            </w:r>
            <w:r>
              <w:rPr>
                <w:rFonts w:hint="eastAsia" w:ascii="宋体" w:hAnsi="宋体" w:cs="宋体"/>
                <w:bCs/>
                <w:color w:val="auto"/>
                <w:sz w:val="21"/>
                <w:szCs w:val="21"/>
                <w:highlight w:val="none"/>
                <w:lang w:val="en-US" w:eastAsia="zh-CN"/>
              </w:rPr>
              <w:t>3</w:t>
            </w:r>
            <w:r>
              <w:rPr>
                <w:rFonts w:hint="eastAsia" w:ascii="宋体" w:hAnsi="宋体" w:eastAsia="宋体" w:cs="宋体"/>
                <w:bCs/>
                <w:color w:val="auto"/>
                <w:sz w:val="21"/>
                <w:szCs w:val="21"/>
                <w:highlight w:val="none"/>
                <w:lang w:val="en-US" w:eastAsia="zh-CN"/>
              </w:rPr>
              <w:t>分。</w:t>
            </w:r>
            <w:r>
              <w:rPr>
                <w:rFonts w:hint="eastAsia" w:ascii="宋体" w:hAnsi="宋体" w:eastAsia="宋体" w:cs="宋体"/>
                <w:bCs/>
                <w:color w:val="auto"/>
                <w:sz w:val="21"/>
                <w:szCs w:val="21"/>
                <w:highlight w:val="none"/>
                <w:lang w:eastAsia="zh-CN"/>
              </w:rPr>
              <w:t>（</w:t>
            </w:r>
            <w:r>
              <w:rPr>
                <w:rFonts w:hint="eastAsia" w:ascii="宋体" w:hAnsi="宋体" w:eastAsia="宋体" w:cs="宋体"/>
                <w:color w:val="auto"/>
                <w:sz w:val="21"/>
                <w:szCs w:val="21"/>
                <w:highlight w:val="none"/>
              </w:rPr>
              <w:t>提供相关证明文件</w:t>
            </w:r>
            <w:r>
              <w:rPr>
                <w:rFonts w:hint="eastAsia" w:ascii="宋体" w:hAnsi="宋体" w:eastAsia="宋体" w:cs="宋体"/>
                <w:color w:val="auto"/>
                <w:sz w:val="21"/>
                <w:szCs w:val="21"/>
                <w:highlight w:val="none"/>
                <w:lang w:eastAsia="zh-CN"/>
              </w:rPr>
              <w:t>、投标人为</w:t>
            </w:r>
            <w:r>
              <w:rPr>
                <w:rFonts w:hint="eastAsia" w:ascii="宋体" w:hAnsi="宋体" w:eastAsia="宋体" w:cs="宋体"/>
                <w:color w:val="auto"/>
                <w:sz w:val="21"/>
                <w:szCs w:val="21"/>
                <w:highlight w:val="none"/>
                <w:lang w:val="en-US" w:eastAsia="zh-CN"/>
              </w:rPr>
              <w:t>其</w:t>
            </w:r>
            <w:r>
              <w:rPr>
                <w:rFonts w:hint="eastAsia" w:ascii="宋体" w:hAnsi="宋体" w:eastAsia="宋体" w:cs="宋体"/>
                <w:color w:val="auto"/>
                <w:sz w:val="21"/>
                <w:szCs w:val="21"/>
                <w:highlight w:val="none"/>
                <w:lang w:eastAsia="zh-CN"/>
              </w:rPr>
              <w:t>缴纳的</w:t>
            </w:r>
            <w:r>
              <w:rPr>
                <w:rFonts w:hint="eastAsia" w:ascii="宋体" w:hAnsi="宋体" w:eastAsia="宋体" w:cs="宋体"/>
                <w:color w:val="auto"/>
                <w:sz w:val="21"/>
                <w:szCs w:val="21"/>
                <w:highlight w:val="none"/>
                <w:lang w:val="en-US" w:eastAsia="zh-CN"/>
              </w:rPr>
              <w:t>投标截止时间前3个月内任意一个月的</w:t>
            </w:r>
            <w:r>
              <w:rPr>
                <w:rFonts w:hint="eastAsia" w:ascii="宋体" w:hAnsi="宋体" w:eastAsia="宋体" w:cs="宋体"/>
                <w:color w:val="auto"/>
                <w:sz w:val="21"/>
                <w:szCs w:val="21"/>
                <w:highlight w:val="none"/>
                <w:lang w:eastAsia="zh-CN"/>
              </w:rPr>
              <w:t>社保证明</w:t>
            </w:r>
            <w:r>
              <w:rPr>
                <w:rFonts w:hint="eastAsia" w:ascii="宋体" w:hAnsi="宋体" w:eastAsia="宋体" w:cs="宋体"/>
                <w:color w:val="auto"/>
                <w:sz w:val="21"/>
                <w:szCs w:val="21"/>
                <w:highlight w:val="none"/>
                <w:lang w:val="en-US" w:eastAsia="zh-CN"/>
              </w:rPr>
              <w:t>材料</w:t>
            </w:r>
            <w:r>
              <w:rPr>
                <w:rFonts w:hint="eastAsia" w:ascii="宋体" w:hAnsi="宋体" w:eastAsia="宋体" w:cs="宋体"/>
                <w:color w:val="auto"/>
                <w:sz w:val="21"/>
                <w:szCs w:val="21"/>
                <w:highlight w:val="none"/>
              </w:rPr>
              <w:t>复印件加盖公章。</w:t>
            </w:r>
            <w:r>
              <w:rPr>
                <w:rFonts w:hint="eastAsia" w:ascii="宋体" w:hAnsi="宋体" w:eastAsia="宋体" w:cs="宋体"/>
                <w:bCs/>
                <w:color w:val="auto"/>
                <w:sz w:val="21"/>
                <w:szCs w:val="21"/>
                <w:highlight w:val="none"/>
                <w:lang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9"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vMerge w:val="continue"/>
            <w:tcBorders>
              <w:left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ind w:firstLine="210" w:firstLineChars="100"/>
              <w:jc w:val="center"/>
              <w:textAlignment w:val="auto"/>
              <w:rPr>
                <w:rFonts w:hint="eastAsia" w:ascii="宋体" w:hAnsi="宋体" w:eastAsia="宋体" w:cs="宋体"/>
                <w:color w:val="000000"/>
                <w:kern w:val="0"/>
                <w:sz w:val="21"/>
                <w:szCs w:val="21"/>
                <w:highlight w:val="none"/>
              </w:rPr>
            </w:pPr>
          </w:p>
        </w:tc>
        <w:tc>
          <w:tcPr>
            <w:tcW w:w="6740" w:type="dxa"/>
            <w:tcBorders>
              <w:top w:val="single" w:color="auto" w:sz="4" w:space="0"/>
              <w:left w:val="single" w:color="000000" w:sz="8" w:space="0"/>
              <w:bottom w:val="single" w:color="auto" w:sz="4"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保安人员同时具有保安员证、中级及以上</w:t>
            </w:r>
            <w:r>
              <w:rPr>
                <w:rFonts w:hint="eastAsia" w:ascii="宋体" w:hAnsi="宋体" w:eastAsia="宋体" w:cs="宋体"/>
                <w:bCs/>
                <w:color w:val="auto"/>
                <w:sz w:val="21"/>
                <w:szCs w:val="21"/>
                <w:highlight w:val="none"/>
                <w:lang w:val="en-US" w:eastAsia="zh-CN"/>
              </w:rPr>
              <w:t>消防设施操作员证、退</w:t>
            </w:r>
            <w:r>
              <w:rPr>
                <w:rFonts w:hint="eastAsia" w:ascii="宋体" w:hAnsi="宋体" w:cs="宋体"/>
                <w:bCs/>
                <w:color w:val="auto"/>
                <w:sz w:val="21"/>
                <w:szCs w:val="21"/>
                <w:highlight w:val="none"/>
                <w:lang w:val="en-US" w:eastAsia="zh-CN"/>
              </w:rPr>
              <w:t>伍</w:t>
            </w:r>
            <w:r>
              <w:rPr>
                <w:rFonts w:hint="eastAsia" w:ascii="宋体" w:hAnsi="宋体" w:eastAsia="宋体" w:cs="宋体"/>
                <w:bCs/>
                <w:color w:val="auto"/>
                <w:sz w:val="21"/>
                <w:szCs w:val="21"/>
                <w:highlight w:val="none"/>
                <w:lang w:val="en-US" w:eastAsia="zh-CN"/>
              </w:rPr>
              <w:t>证的得2分。</w:t>
            </w:r>
            <w:r>
              <w:rPr>
                <w:rFonts w:hint="eastAsia" w:ascii="宋体" w:hAnsi="宋体" w:eastAsia="宋体" w:cs="宋体"/>
                <w:bCs/>
                <w:color w:val="auto"/>
                <w:sz w:val="21"/>
                <w:szCs w:val="21"/>
                <w:highlight w:val="none"/>
                <w:lang w:eastAsia="zh-CN"/>
              </w:rPr>
              <w:t>（</w:t>
            </w:r>
            <w:r>
              <w:rPr>
                <w:rFonts w:hint="eastAsia" w:ascii="宋体" w:hAnsi="宋体" w:eastAsia="宋体" w:cs="宋体"/>
                <w:color w:val="auto"/>
                <w:sz w:val="21"/>
                <w:szCs w:val="21"/>
                <w:highlight w:val="none"/>
              </w:rPr>
              <w:t>提供相关证明文件</w:t>
            </w:r>
            <w:r>
              <w:rPr>
                <w:rFonts w:hint="eastAsia" w:ascii="宋体" w:hAnsi="宋体" w:eastAsia="宋体" w:cs="宋体"/>
                <w:color w:val="auto"/>
                <w:sz w:val="21"/>
                <w:szCs w:val="21"/>
                <w:highlight w:val="none"/>
                <w:lang w:eastAsia="zh-CN"/>
              </w:rPr>
              <w:t>、投标人为</w:t>
            </w:r>
            <w:r>
              <w:rPr>
                <w:rFonts w:hint="eastAsia" w:ascii="宋体" w:hAnsi="宋体" w:eastAsia="宋体" w:cs="宋体"/>
                <w:color w:val="auto"/>
                <w:sz w:val="21"/>
                <w:szCs w:val="21"/>
                <w:highlight w:val="none"/>
                <w:lang w:val="en-US" w:eastAsia="zh-CN"/>
              </w:rPr>
              <w:t>其</w:t>
            </w:r>
            <w:r>
              <w:rPr>
                <w:rFonts w:hint="eastAsia" w:ascii="宋体" w:hAnsi="宋体" w:eastAsia="宋体" w:cs="宋体"/>
                <w:color w:val="auto"/>
                <w:sz w:val="21"/>
                <w:szCs w:val="21"/>
                <w:highlight w:val="none"/>
                <w:lang w:eastAsia="zh-CN"/>
              </w:rPr>
              <w:t>缴纳的</w:t>
            </w:r>
            <w:r>
              <w:rPr>
                <w:rFonts w:hint="eastAsia" w:ascii="宋体" w:hAnsi="宋体" w:eastAsia="宋体" w:cs="宋体"/>
                <w:color w:val="auto"/>
                <w:sz w:val="21"/>
                <w:szCs w:val="21"/>
                <w:highlight w:val="none"/>
                <w:lang w:val="en-US" w:eastAsia="zh-CN"/>
              </w:rPr>
              <w:t>投标截止时间前3个月内任意一个月的</w:t>
            </w:r>
            <w:r>
              <w:rPr>
                <w:rFonts w:hint="eastAsia" w:ascii="宋体" w:hAnsi="宋体" w:eastAsia="宋体" w:cs="宋体"/>
                <w:color w:val="auto"/>
                <w:sz w:val="21"/>
                <w:szCs w:val="21"/>
                <w:highlight w:val="none"/>
                <w:lang w:eastAsia="zh-CN"/>
              </w:rPr>
              <w:t>社保证明</w:t>
            </w:r>
            <w:r>
              <w:rPr>
                <w:rFonts w:hint="eastAsia" w:ascii="宋体" w:hAnsi="宋体" w:eastAsia="宋体" w:cs="宋体"/>
                <w:color w:val="auto"/>
                <w:sz w:val="21"/>
                <w:szCs w:val="21"/>
                <w:highlight w:val="none"/>
                <w:lang w:val="en-US" w:eastAsia="zh-CN"/>
              </w:rPr>
              <w:t>材料</w:t>
            </w:r>
            <w:r>
              <w:rPr>
                <w:rFonts w:hint="eastAsia" w:ascii="宋体" w:hAnsi="宋体" w:eastAsia="宋体" w:cs="宋体"/>
                <w:color w:val="auto"/>
                <w:sz w:val="21"/>
                <w:szCs w:val="21"/>
                <w:highlight w:val="none"/>
              </w:rPr>
              <w:t>复印件加盖公章。</w:t>
            </w:r>
            <w:r>
              <w:rPr>
                <w:rFonts w:hint="eastAsia" w:ascii="宋体" w:hAnsi="宋体" w:eastAsia="宋体" w:cs="宋体"/>
                <w:bCs/>
                <w:color w:val="auto"/>
                <w:sz w:val="21"/>
                <w:szCs w:val="21"/>
                <w:highlight w:val="none"/>
                <w:lang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40"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ind w:firstLine="210" w:firstLineChars="100"/>
              <w:textAlignment w:val="auto"/>
              <w:rPr>
                <w:rFonts w:hint="eastAsia" w:ascii="宋体" w:hAnsi="宋体" w:eastAsia="宋体" w:cs="宋体"/>
                <w:color w:val="000000"/>
                <w:kern w:val="0"/>
                <w:sz w:val="21"/>
                <w:szCs w:val="21"/>
                <w:highlight w:val="none"/>
              </w:rPr>
            </w:pPr>
          </w:p>
        </w:tc>
        <w:tc>
          <w:tcPr>
            <w:tcW w:w="6740"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根据投标人</w:t>
            </w:r>
            <w:r>
              <w:rPr>
                <w:rFonts w:hint="eastAsia" w:ascii="宋体" w:hAnsi="宋体" w:eastAsia="宋体" w:cs="宋体"/>
                <w:color w:val="auto"/>
                <w:sz w:val="21"/>
                <w:szCs w:val="21"/>
                <w:highlight w:val="none"/>
              </w:rPr>
              <w:t>拟投入本项目的人员配备</w:t>
            </w:r>
            <w:r>
              <w:rPr>
                <w:rFonts w:hint="eastAsia" w:ascii="宋体" w:hAnsi="宋体" w:eastAsia="宋体" w:cs="宋体"/>
                <w:color w:val="auto"/>
                <w:sz w:val="21"/>
                <w:szCs w:val="21"/>
                <w:highlight w:val="none"/>
                <w:lang w:val="en-US" w:eastAsia="zh-CN"/>
              </w:rPr>
              <w:t>及管理进行综合评议（</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各类人员配备完全合理，能完全契合项目实际情况，完全符合采购人需求的得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各类人员配备较为合理，能充分契合项目实际情况，较为符合采购人需求的得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各类人员配备基本完整，与项目实际情况不够贴合，但基本符合采购人需求的得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各类人员配备不够完整，与项目实际情况存在出入，不能有效满足采购人需求的得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 xml:space="preserve">分； </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color w:val="auto"/>
                <w:sz w:val="21"/>
                <w:szCs w:val="21"/>
                <w:highlight w:val="none"/>
                <w:lang w:val="en-US" w:eastAsia="zh-CN"/>
              </w:rPr>
              <w:t>未提供</w:t>
            </w:r>
            <w:r>
              <w:rPr>
                <w:rFonts w:hint="eastAsia" w:ascii="宋体" w:hAnsi="宋体" w:eastAsia="宋体" w:cs="宋体"/>
                <w:color w:val="auto"/>
                <w:sz w:val="21"/>
                <w:szCs w:val="21"/>
                <w:highlight w:val="none"/>
              </w:rPr>
              <w:t>人员配备</w:t>
            </w:r>
            <w:r>
              <w:rPr>
                <w:rFonts w:hint="eastAsia" w:ascii="宋体" w:hAnsi="宋体" w:eastAsia="宋体" w:cs="宋体"/>
                <w:color w:val="auto"/>
                <w:sz w:val="21"/>
                <w:szCs w:val="21"/>
                <w:highlight w:val="none"/>
                <w:lang w:val="en-US" w:eastAsia="zh-CN"/>
              </w:rPr>
              <w:t>及管理相关内容的不得分。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80"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sz w:val="21"/>
                <w:szCs w:val="21"/>
                <w:highlight w:val="none"/>
                <w:lang w:eastAsia="zh-CN"/>
              </w:rPr>
              <w:t>人员</w:t>
            </w:r>
            <w:r>
              <w:rPr>
                <w:rFonts w:hint="eastAsia" w:ascii="宋体" w:hAnsi="宋体" w:eastAsia="宋体" w:cs="宋体"/>
                <w:bCs/>
                <w:color w:val="000000"/>
                <w:sz w:val="21"/>
                <w:szCs w:val="21"/>
                <w:highlight w:val="none"/>
              </w:rPr>
              <w:t>培训与管理</w:t>
            </w:r>
            <w:r>
              <w:rPr>
                <w:rFonts w:hint="eastAsia" w:ascii="宋体" w:hAnsi="宋体" w:eastAsia="宋体" w:cs="宋体"/>
                <w:bCs/>
                <w:color w:val="000000"/>
                <w:sz w:val="21"/>
                <w:szCs w:val="21"/>
                <w:highlight w:val="none"/>
                <w:lang w:val="en-US" w:eastAsia="zh-CN"/>
              </w:rPr>
              <w:t>方案</w:t>
            </w:r>
            <w:r>
              <w:rPr>
                <w:rFonts w:hint="eastAsia" w:ascii="宋体" w:hAnsi="宋体" w:eastAsia="宋体" w:cs="宋体"/>
                <w:bCs/>
                <w:color w:val="000000"/>
                <w:sz w:val="21"/>
                <w:szCs w:val="21"/>
                <w:highlight w:val="none"/>
                <w:lang w:eastAsia="zh-CN"/>
              </w:rPr>
              <w:t>（</w:t>
            </w:r>
            <w:r>
              <w:rPr>
                <w:rFonts w:hint="eastAsia" w:ascii="宋体" w:hAnsi="宋体" w:eastAsia="宋体" w:cs="宋体"/>
                <w:bCs/>
                <w:color w:val="000000"/>
                <w:sz w:val="21"/>
                <w:szCs w:val="21"/>
                <w:highlight w:val="none"/>
                <w:lang w:val="en-US" w:eastAsia="zh-CN"/>
              </w:rPr>
              <w:t>5分</w:t>
            </w:r>
            <w:r>
              <w:rPr>
                <w:rFonts w:hint="eastAsia" w:ascii="宋体" w:hAnsi="宋体" w:eastAsia="宋体" w:cs="宋体"/>
                <w:bCs/>
                <w:color w:val="000000"/>
                <w:sz w:val="21"/>
                <w:szCs w:val="21"/>
                <w:highlight w:val="none"/>
                <w:lang w:eastAsia="zh-CN"/>
              </w:rPr>
              <w:t>）</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kern w:val="0"/>
                <w:sz w:val="21"/>
                <w:szCs w:val="21"/>
                <w:highlight w:val="none"/>
              </w:rPr>
            </w:pPr>
          </w:p>
        </w:tc>
        <w:tc>
          <w:tcPr>
            <w:tcW w:w="6740"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color w:val="000000"/>
                <w:sz w:val="21"/>
                <w:szCs w:val="21"/>
                <w:highlight w:val="none"/>
              </w:rPr>
              <w:t>根据投标人提供的</w:t>
            </w:r>
            <w:r>
              <w:rPr>
                <w:rFonts w:hint="eastAsia" w:ascii="宋体" w:hAnsi="宋体" w:eastAsia="宋体" w:cs="宋体"/>
                <w:bCs/>
                <w:color w:val="000000"/>
                <w:sz w:val="21"/>
                <w:szCs w:val="21"/>
                <w:highlight w:val="none"/>
                <w:lang w:eastAsia="zh-CN"/>
              </w:rPr>
              <w:t>人员</w:t>
            </w:r>
            <w:r>
              <w:rPr>
                <w:rFonts w:hint="eastAsia" w:ascii="宋体" w:hAnsi="宋体" w:eastAsia="宋体" w:cs="宋体"/>
                <w:bCs/>
                <w:color w:val="000000"/>
                <w:sz w:val="21"/>
                <w:szCs w:val="21"/>
                <w:highlight w:val="none"/>
              </w:rPr>
              <w:t>培训与管理</w:t>
            </w:r>
            <w:r>
              <w:rPr>
                <w:rFonts w:hint="eastAsia" w:ascii="宋体" w:hAnsi="宋体" w:eastAsia="宋体" w:cs="宋体"/>
                <w:bCs/>
                <w:color w:val="000000"/>
                <w:sz w:val="21"/>
                <w:szCs w:val="21"/>
                <w:highlight w:val="none"/>
                <w:lang w:val="en-US" w:eastAsia="zh-CN"/>
              </w:rPr>
              <w:t>方案进行综合评议（5分）：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方案内容编制全面，能很好契合项目实际情况，完全符合采购人需求的得5分；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方案内容编制合理、基本契合项目情况，较为符合采购人需求的得4分；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方案基本完整，但存在一定瑕疵，基本符合采购人需求的得3分；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 xml:space="preserve">方案内容编制存在瑕疵，与项目实际情况存在出入，操作性一般的得2分； </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方案内容编制存在较大瑕疵，与项目实际情况存在较大出入，较难操作的得1分；</w:t>
            </w:r>
          </w:p>
          <w:p>
            <w:pPr>
              <w:keepNext w:val="0"/>
              <w:keepLines w:val="0"/>
              <w:pageBreakBefore w:val="0"/>
              <w:tabs>
                <w:tab w:val="left" w:pos="4915"/>
              </w:tabs>
              <w:kinsoku/>
              <w:wordWrap/>
              <w:overflowPunct/>
              <w:topLinePunct w:val="0"/>
              <w:autoSpaceDE/>
              <w:autoSpaceDN/>
              <w:bidi w:val="0"/>
              <w:snapToGrid/>
              <w:spacing w:line="440" w:lineRule="exact"/>
              <w:textAlignment w:val="auto"/>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color w:val="auto"/>
                <w:sz w:val="21"/>
                <w:szCs w:val="21"/>
                <w:highlight w:val="none"/>
                <w:lang w:val="en-US" w:eastAsia="zh-CN"/>
              </w:rPr>
              <w:t>未提供</w:t>
            </w:r>
            <w:r>
              <w:rPr>
                <w:rFonts w:hint="eastAsia" w:ascii="宋体" w:hAnsi="宋体" w:eastAsia="宋体" w:cs="宋体"/>
                <w:bCs/>
                <w:color w:val="000000"/>
                <w:sz w:val="21"/>
                <w:szCs w:val="21"/>
                <w:highlight w:val="none"/>
                <w:lang w:eastAsia="zh-CN"/>
              </w:rPr>
              <w:t>人员</w:t>
            </w:r>
            <w:r>
              <w:rPr>
                <w:rFonts w:hint="eastAsia" w:ascii="宋体" w:hAnsi="宋体" w:eastAsia="宋体" w:cs="宋体"/>
                <w:bCs/>
                <w:color w:val="000000"/>
                <w:sz w:val="21"/>
                <w:szCs w:val="21"/>
                <w:highlight w:val="none"/>
              </w:rPr>
              <w:t>培训与管理</w:t>
            </w:r>
            <w:r>
              <w:rPr>
                <w:rFonts w:hint="eastAsia" w:ascii="宋体" w:hAnsi="宋体" w:eastAsia="宋体" w:cs="宋体"/>
                <w:bCs/>
                <w:color w:val="000000"/>
                <w:sz w:val="21"/>
                <w:szCs w:val="21"/>
                <w:highlight w:val="none"/>
                <w:lang w:val="en-US" w:eastAsia="zh-CN"/>
              </w:rPr>
              <w:t>方案</w:t>
            </w:r>
            <w:r>
              <w:rPr>
                <w:rFonts w:hint="eastAsia" w:ascii="宋体" w:hAnsi="宋体" w:eastAsia="宋体" w:cs="宋体"/>
                <w:color w:val="000000"/>
                <w:sz w:val="21"/>
                <w:szCs w:val="21"/>
                <w:highlight w:val="none"/>
                <w:lang w:val="en-US" w:eastAsia="zh-CN"/>
              </w:rPr>
              <w:t>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4"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000000" w:sz="8" w:space="0"/>
              <w:left w:val="single" w:color="000000" w:sz="8" w:space="0"/>
              <w:bottom w:val="single" w:color="auto" w:sz="4" w:space="0"/>
              <w:right w:val="single" w:color="000000" w:sz="8" w:space="0"/>
            </w:tcBorders>
            <w:shd w:val="clear" w:color="auto" w:fill="FFFFFF"/>
            <w:vAlign w:val="center"/>
          </w:tcPr>
          <w:p>
            <w:pPr>
              <w:keepNext w:val="0"/>
              <w:keepLines w:val="0"/>
              <w:pageBreakBefore w:val="0"/>
              <w:kinsoku/>
              <w:wordWrap/>
              <w:overflowPunct/>
              <w:topLinePunct w:val="0"/>
              <w:bidi w:val="0"/>
              <w:snapToGrid w:val="0"/>
              <w:spacing w:line="440" w:lineRule="exact"/>
              <w:jc w:val="center"/>
              <w:textAlignment w:val="auto"/>
              <w:rPr>
                <w:rFonts w:hint="eastAsia" w:ascii="宋体" w:hAnsi="宋体" w:eastAsia="宋体" w:cs="宋体"/>
                <w:color w:val="000000"/>
                <w:kern w:val="0"/>
                <w:sz w:val="21"/>
                <w:szCs w:val="21"/>
                <w:highlight w:val="none"/>
              </w:rPr>
            </w:pPr>
            <w:bookmarkStart w:id="49" w:name="OLE_LINK41"/>
            <w:r>
              <w:rPr>
                <w:rFonts w:hint="eastAsia" w:ascii="宋体" w:hAnsi="宋体" w:eastAsia="宋体" w:cs="宋体"/>
                <w:color w:val="auto"/>
                <w:sz w:val="21"/>
                <w:szCs w:val="21"/>
                <w:highlight w:val="none"/>
                <w:lang w:val="en-US" w:eastAsia="zh-CN"/>
              </w:rPr>
              <w:t>服务承诺</w:t>
            </w:r>
            <w:bookmarkEnd w:id="49"/>
            <w:r>
              <w:rPr>
                <w:rFonts w:hint="eastAsia" w:ascii="宋体" w:hAnsi="宋体" w:eastAsia="宋体" w:cs="宋体"/>
                <w:color w:val="auto"/>
                <w:sz w:val="21"/>
                <w:szCs w:val="21"/>
                <w:highlight w:val="none"/>
                <w:lang w:val="en-US" w:eastAsia="zh-CN"/>
              </w:rPr>
              <w:t>（3分）</w:t>
            </w:r>
          </w:p>
        </w:tc>
        <w:tc>
          <w:tcPr>
            <w:tcW w:w="6740" w:type="dxa"/>
            <w:tcBorders>
              <w:top w:val="single" w:color="000000" w:sz="8" w:space="0"/>
              <w:left w:val="single" w:color="000000" w:sz="8" w:space="0"/>
              <w:bottom w:val="single" w:color="auto" w:sz="4" w:space="0"/>
              <w:right w:val="single" w:color="000000" w:sz="8" w:space="0"/>
            </w:tcBorders>
            <w:shd w:val="clear" w:color="auto" w:fill="FFFFFF"/>
            <w:vAlign w:val="center"/>
          </w:tcPr>
          <w:p>
            <w:pPr>
              <w:pStyle w:val="3"/>
              <w:keepNext w:val="0"/>
              <w:keepLines w:val="0"/>
              <w:pageBreakBefore w:val="0"/>
              <w:widowControl w:val="0"/>
              <w:kinsoku/>
              <w:wordWrap/>
              <w:overflowPunct/>
              <w:topLinePunct w:val="0"/>
              <w:bidi w:val="0"/>
              <w:adjustRightInd/>
              <w:snapToGrid/>
              <w:spacing w:after="0" w:line="440" w:lineRule="exact"/>
              <w:ind w:left="0" w:leftChars="0" w:firstLine="0" w:firstLineChars="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根据投标人提供的服务</w:t>
            </w:r>
            <w:r>
              <w:rPr>
                <w:rFonts w:hint="eastAsia" w:ascii="宋体" w:hAnsi="宋体" w:eastAsia="宋体" w:cs="宋体"/>
                <w:color w:val="auto"/>
                <w:sz w:val="21"/>
                <w:szCs w:val="21"/>
                <w:highlight w:val="none"/>
              </w:rPr>
              <w:t>承诺</w:t>
            </w:r>
            <w:r>
              <w:rPr>
                <w:rFonts w:hint="eastAsia" w:ascii="宋体" w:hAnsi="宋体" w:eastAsia="宋体" w:cs="宋体"/>
                <w:color w:val="auto"/>
                <w:sz w:val="21"/>
                <w:szCs w:val="21"/>
                <w:highlight w:val="none"/>
                <w:lang w:val="en-US" w:eastAsia="zh-CN"/>
              </w:rPr>
              <w:t>进行综合评议</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pPr>
              <w:pStyle w:val="23"/>
              <w:keepNext w:val="0"/>
              <w:keepLines w:val="0"/>
              <w:pageBreakBefore w:val="0"/>
              <w:widowControl w:val="0"/>
              <w:kinsoku/>
              <w:wordWrap/>
              <w:overflowPunct/>
              <w:topLinePunct w:val="0"/>
              <w:autoSpaceDE w:val="0"/>
              <w:autoSpaceDN w:val="0"/>
              <w:bidi w:val="0"/>
              <w:adjustRightInd/>
              <w:snapToGrid/>
              <w:spacing w:after="0" w:line="440" w:lineRule="exact"/>
              <w:ind w:firstLine="0" w:firstLine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服务承诺的服务的便捷性高、服务响应及时性快、人员</w:t>
            </w:r>
            <w:r>
              <w:rPr>
                <w:rFonts w:hint="eastAsia" w:ascii="宋体" w:hAnsi="宋体" w:eastAsia="宋体" w:cs="宋体"/>
                <w:color w:val="auto"/>
                <w:sz w:val="21"/>
                <w:szCs w:val="21"/>
                <w:highlight w:val="none"/>
              </w:rPr>
              <w:t>素质保障承诺</w:t>
            </w:r>
            <w:r>
              <w:rPr>
                <w:rFonts w:hint="eastAsia" w:ascii="宋体" w:hAnsi="宋体" w:eastAsia="宋体" w:cs="宋体"/>
                <w:color w:val="auto"/>
                <w:sz w:val="21"/>
                <w:szCs w:val="21"/>
                <w:highlight w:val="none"/>
                <w:lang w:eastAsia="zh-CN"/>
              </w:rPr>
              <w:t>完整</w:t>
            </w:r>
            <w:r>
              <w:rPr>
                <w:rFonts w:hint="eastAsia" w:ascii="宋体" w:hAnsi="宋体" w:eastAsia="宋体" w:cs="宋体"/>
                <w:color w:val="auto"/>
                <w:sz w:val="21"/>
                <w:szCs w:val="21"/>
                <w:highlight w:val="none"/>
              </w:rPr>
              <w:t>、资料保障承诺</w:t>
            </w:r>
            <w:r>
              <w:rPr>
                <w:rFonts w:hint="eastAsia" w:ascii="宋体" w:hAnsi="宋体" w:eastAsia="宋体" w:cs="宋体"/>
                <w:color w:val="auto"/>
                <w:sz w:val="21"/>
                <w:szCs w:val="21"/>
                <w:highlight w:val="none"/>
                <w:lang w:eastAsia="zh-CN"/>
              </w:rPr>
              <w:t>完整，能很好契合项目实际情况，完全符合采购人需求的得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分；</w:t>
            </w:r>
            <w:r>
              <w:rPr>
                <w:rFonts w:hint="eastAsia" w:ascii="宋体" w:hAnsi="宋体" w:eastAsia="宋体" w:cs="宋体"/>
                <w:color w:val="auto"/>
                <w:sz w:val="21"/>
                <w:szCs w:val="21"/>
                <w:highlight w:val="none"/>
                <w:lang w:eastAsia="zh-CN"/>
              </w:rPr>
              <w:br w:type="textWrapping"/>
            </w:r>
            <w:r>
              <w:rPr>
                <w:rFonts w:hint="eastAsia" w:ascii="宋体" w:hAnsi="宋体" w:eastAsia="宋体" w:cs="宋体"/>
                <w:color w:val="auto"/>
                <w:sz w:val="21"/>
                <w:szCs w:val="21"/>
                <w:highlight w:val="none"/>
                <w:lang w:val="en-US" w:eastAsia="zh-CN"/>
              </w:rPr>
              <w:t>服务承诺的服务的便捷性较高、服务响应及时性较快、人员</w:t>
            </w:r>
            <w:r>
              <w:rPr>
                <w:rFonts w:hint="eastAsia" w:ascii="宋体" w:hAnsi="宋体" w:eastAsia="宋体" w:cs="宋体"/>
                <w:color w:val="auto"/>
                <w:sz w:val="21"/>
                <w:szCs w:val="21"/>
                <w:highlight w:val="none"/>
              </w:rPr>
              <w:t>素质保障承诺</w:t>
            </w:r>
            <w:r>
              <w:rPr>
                <w:rFonts w:hint="eastAsia" w:ascii="宋体" w:hAnsi="宋体" w:eastAsia="宋体" w:cs="宋体"/>
                <w:color w:val="auto"/>
                <w:sz w:val="21"/>
                <w:szCs w:val="21"/>
                <w:highlight w:val="none"/>
                <w:lang w:eastAsia="zh-CN"/>
              </w:rPr>
              <w:t>较为完整</w:t>
            </w:r>
            <w:r>
              <w:rPr>
                <w:rFonts w:hint="eastAsia" w:ascii="宋体" w:hAnsi="宋体" w:eastAsia="宋体" w:cs="宋体"/>
                <w:color w:val="auto"/>
                <w:sz w:val="21"/>
                <w:szCs w:val="21"/>
                <w:highlight w:val="none"/>
              </w:rPr>
              <w:t>、资料保障承诺</w:t>
            </w:r>
            <w:r>
              <w:rPr>
                <w:rFonts w:hint="eastAsia" w:ascii="宋体" w:hAnsi="宋体" w:eastAsia="宋体" w:cs="宋体"/>
                <w:color w:val="auto"/>
                <w:sz w:val="21"/>
                <w:szCs w:val="21"/>
                <w:highlight w:val="none"/>
                <w:lang w:eastAsia="zh-CN"/>
              </w:rPr>
              <w:t>较为完整，基本契合项目情况，较为符合采购人需求的得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分；</w:t>
            </w:r>
            <w:r>
              <w:rPr>
                <w:rFonts w:hint="eastAsia" w:ascii="宋体" w:hAnsi="宋体" w:eastAsia="宋体" w:cs="宋体"/>
                <w:color w:val="auto"/>
                <w:sz w:val="21"/>
                <w:szCs w:val="21"/>
                <w:highlight w:val="none"/>
                <w:lang w:eastAsia="zh-CN"/>
              </w:rPr>
              <w:br w:type="textWrapping"/>
            </w:r>
            <w:r>
              <w:rPr>
                <w:rFonts w:hint="eastAsia" w:ascii="宋体" w:hAnsi="宋体" w:eastAsia="宋体" w:cs="宋体"/>
                <w:color w:val="auto"/>
                <w:sz w:val="21"/>
                <w:szCs w:val="21"/>
                <w:highlight w:val="none"/>
                <w:lang w:val="en-US" w:eastAsia="zh-CN"/>
              </w:rPr>
              <w:t>服务承诺的服务的便捷性一般、服务响应及时性一般、人员</w:t>
            </w:r>
            <w:r>
              <w:rPr>
                <w:rFonts w:hint="eastAsia" w:ascii="宋体" w:hAnsi="宋体" w:eastAsia="宋体" w:cs="宋体"/>
                <w:color w:val="auto"/>
                <w:sz w:val="21"/>
                <w:szCs w:val="21"/>
                <w:highlight w:val="none"/>
              </w:rPr>
              <w:t>素质保障承诺</w:t>
            </w:r>
            <w:r>
              <w:rPr>
                <w:rFonts w:hint="eastAsia" w:ascii="宋体" w:hAnsi="宋体" w:eastAsia="宋体" w:cs="宋体"/>
                <w:color w:val="auto"/>
                <w:sz w:val="21"/>
                <w:szCs w:val="21"/>
                <w:highlight w:val="none"/>
                <w:lang w:eastAsia="zh-CN"/>
              </w:rPr>
              <w:t>基本完整</w:t>
            </w:r>
            <w:r>
              <w:rPr>
                <w:rFonts w:hint="eastAsia" w:ascii="宋体" w:hAnsi="宋体" w:eastAsia="宋体" w:cs="宋体"/>
                <w:color w:val="auto"/>
                <w:sz w:val="21"/>
                <w:szCs w:val="21"/>
                <w:highlight w:val="none"/>
              </w:rPr>
              <w:t>、资料保障承诺</w:t>
            </w:r>
            <w:r>
              <w:rPr>
                <w:rFonts w:hint="eastAsia" w:ascii="宋体" w:hAnsi="宋体" w:eastAsia="宋体" w:cs="宋体"/>
                <w:color w:val="auto"/>
                <w:sz w:val="21"/>
                <w:szCs w:val="21"/>
                <w:highlight w:val="none"/>
                <w:lang w:eastAsia="zh-CN"/>
              </w:rPr>
              <w:t xml:space="preserve">基本完整，但存在瑕疵，与项目实际情况存在出入，操作性一般的得1分； </w:t>
            </w: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left="0" w:leftChars="0" w:firstLine="0" w:firstLineChars="0"/>
              <w:jc w:val="left"/>
              <w:textAlignment w:val="auto"/>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color w:val="auto"/>
                <w:sz w:val="21"/>
                <w:szCs w:val="21"/>
                <w:highlight w:val="none"/>
                <w:lang w:val="en-US" w:eastAsia="zh-CN"/>
              </w:rPr>
              <w:t>未提供服务</w:t>
            </w:r>
            <w:r>
              <w:rPr>
                <w:rFonts w:hint="eastAsia" w:ascii="宋体" w:hAnsi="宋体" w:eastAsia="宋体" w:cs="宋体"/>
                <w:color w:val="auto"/>
                <w:sz w:val="21"/>
                <w:szCs w:val="21"/>
                <w:highlight w:val="none"/>
              </w:rPr>
              <w:t>承诺</w:t>
            </w:r>
            <w:r>
              <w:rPr>
                <w:rFonts w:hint="eastAsia" w:ascii="宋体" w:hAnsi="宋体" w:eastAsia="宋体" w:cs="宋体"/>
                <w:color w:val="auto"/>
                <w:sz w:val="21"/>
                <w:szCs w:val="21"/>
                <w:highlight w:val="none"/>
                <w:lang w:val="en-US" w:eastAsia="zh-CN"/>
              </w:rPr>
              <w:t>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38"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auto" w:sz="4"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重点、难点分析</w:t>
            </w:r>
            <w:r>
              <w:rPr>
                <w:rFonts w:hint="eastAsia" w:ascii="宋体" w:hAnsi="宋体" w:eastAsia="宋体" w:cs="宋体"/>
                <w:color w:val="auto"/>
                <w:sz w:val="21"/>
                <w:szCs w:val="21"/>
                <w:highlight w:val="none"/>
                <w:lang w:val="en-US" w:eastAsia="zh-CN"/>
              </w:rPr>
              <w:t>及</w:t>
            </w:r>
            <w:r>
              <w:rPr>
                <w:rFonts w:hint="eastAsia" w:ascii="宋体" w:hAnsi="宋体" w:eastAsia="宋体" w:cs="宋体"/>
                <w:color w:val="auto"/>
                <w:sz w:val="21"/>
                <w:szCs w:val="21"/>
                <w:highlight w:val="none"/>
              </w:rPr>
              <w:t>解决措施</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auto"/>
                <w:sz w:val="21"/>
                <w:szCs w:val="21"/>
                <w:highlight w:val="none"/>
                <w:lang w:val="en-US" w:eastAsia="zh-CN"/>
              </w:rPr>
              <w:t>（5分）</w:t>
            </w:r>
          </w:p>
        </w:tc>
        <w:tc>
          <w:tcPr>
            <w:tcW w:w="6740" w:type="dxa"/>
            <w:tcBorders>
              <w:top w:val="single" w:color="auto" w:sz="4"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val="0"/>
              <w:kinsoku/>
              <w:wordWrap/>
              <w:overflowPunct/>
              <w:topLinePunct w:val="0"/>
              <w:autoSpaceDE w:val="0"/>
              <w:autoSpaceDN w:val="0"/>
              <w:bidi w:val="0"/>
              <w:adjustRightInd/>
              <w:snapToGrid/>
              <w:spacing w:line="440" w:lineRule="exact"/>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根据投标人提供的</w:t>
            </w:r>
            <w:r>
              <w:rPr>
                <w:rFonts w:hint="eastAsia" w:ascii="宋体" w:hAnsi="宋体" w:eastAsia="宋体" w:cs="宋体"/>
                <w:color w:val="auto"/>
                <w:sz w:val="21"/>
                <w:szCs w:val="21"/>
                <w:highlight w:val="none"/>
              </w:rPr>
              <w:t>重点、难点分析</w:t>
            </w:r>
            <w:r>
              <w:rPr>
                <w:rFonts w:hint="eastAsia" w:ascii="宋体" w:hAnsi="宋体" w:eastAsia="宋体" w:cs="宋体"/>
                <w:color w:val="auto"/>
                <w:sz w:val="21"/>
                <w:szCs w:val="21"/>
                <w:highlight w:val="none"/>
                <w:lang w:val="en-US" w:eastAsia="zh-CN"/>
              </w:rPr>
              <w:t>及</w:t>
            </w:r>
            <w:r>
              <w:rPr>
                <w:rFonts w:hint="eastAsia" w:ascii="宋体" w:hAnsi="宋体" w:eastAsia="宋体" w:cs="宋体"/>
                <w:color w:val="auto"/>
                <w:sz w:val="21"/>
                <w:szCs w:val="21"/>
                <w:highlight w:val="none"/>
              </w:rPr>
              <w:t>解决措施</w:t>
            </w:r>
            <w:r>
              <w:rPr>
                <w:rFonts w:hint="eastAsia" w:ascii="宋体" w:hAnsi="宋体" w:eastAsia="宋体" w:cs="宋体"/>
                <w:color w:val="auto"/>
                <w:sz w:val="21"/>
                <w:szCs w:val="21"/>
                <w:highlight w:val="none"/>
                <w:lang w:val="en-US" w:eastAsia="zh-CN"/>
              </w:rPr>
              <w:t>进行综合评议</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pPr>
              <w:pStyle w:val="23"/>
              <w:keepNext w:val="0"/>
              <w:keepLines w:val="0"/>
              <w:pageBreakBefore w:val="0"/>
              <w:widowControl w:val="0"/>
              <w:kinsoku/>
              <w:wordWrap/>
              <w:overflowPunct/>
              <w:topLinePunct w:val="0"/>
              <w:autoSpaceDE w:val="0"/>
              <w:autoSpaceDN w:val="0"/>
              <w:bidi w:val="0"/>
              <w:adjustRightInd/>
              <w:snapToGrid/>
              <w:spacing w:after="0" w:line="440" w:lineRule="exact"/>
              <w:ind w:firstLine="0" w:firstLine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提供的</w:t>
            </w:r>
            <w:r>
              <w:rPr>
                <w:rFonts w:hint="eastAsia" w:ascii="宋体" w:hAnsi="宋体" w:eastAsia="宋体" w:cs="宋体"/>
                <w:color w:val="auto"/>
                <w:sz w:val="21"/>
                <w:szCs w:val="21"/>
                <w:highlight w:val="none"/>
              </w:rPr>
              <w:t>重点、难点分析</w:t>
            </w:r>
            <w:r>
              <w:rPr>
                <w:rFonts w:hint="eastAsia" w:ascii="宋体" w:hAnsi="宋体" w:eastAsia="宋体" w:cs="宋体"/>
                <w:color w:val="auto"/>
                <w:sz w:val="21"/>
                <w:szCs w:val="21"/>
                <w:highlight w:val="none"/>
                <w:lang w:eastAsia="zh-CN"/>
              </w:rPr>
              <w:t>准确到位，</w:t>
            </w:r>
            <w:r>
              <w:rPr>
                <w:rFonts w:hint="eastAsia" w:ascii="宋体" w:hAnsi="宋体" w:eastAsia="宋体" w:cs="宋体"/>
                <w:color w:val="auto"/>
                <w:sz w:val="21"/>
                <w:szCs w:val="21"/>
                <w:highlight w:val="none"/>
                <w:lang w:val="en-US" w:eastAsia="zh-CN"/>
              </w:rPr>
              <w:t>解决措施具有很强的针对性、可行性、全面性，能很好</w:t>
            </w:r>
            <w:r>
              <w:rPr>
                <w:rFonts w:hint="eastAsia" w:ascii="宋体" w:hAnsi="宋体" w:cs="宋体"/>
                <w:color w:val="auto"/>
                <w:sz w:val="21"/>
                <w:szCs w:val="21"/>
                <w:highlight w:val="none"/>
                <w:lang w:val="en-US" w:eastAsia="zh-CN"/>
              </w:rPr>
              <w:t>地</w:t>
            </w:r>
            <w:r>
              <w:rPr>
                <w:rFonts w:hint="eastAsia" w:ascii="宋体" w:hAnsi="宋体" w:eastAsia="宋体" w:cs="宋体"/>
                <w:color w:val="auto"/>
                <w:sz w:val="21"/>
                <w:szCs w:val="21"/>
                <w:highlight w:val="none"/>
                <w:lang w:val="en-US" w:eastAsia="zh-CN"/>
              </w:rPr>
              <w:t>解决重点、难点的得5分；</w:t>
            </w:r>
          </w:p>
          <w:p>
            <w:pPr>
              <w:pStyle w:val="23"/>
              <w:keepNext w:val="0"/>
              <w:keepLines w:val="0"/>
              <w:pageBreakBefore w:val="0"/>
              <w:widowControl w:val="0"/>
              <w:kinsoku/>
              <w:wordWrap/>
              <w:overflowPunct/>
              <w:topLinePunct w:val="0"/>
              <w:autoSpaceDE w:val="0"/>
              <w:autoSpaceDN w:val="0"/>
              <w:bidi w:val="0"/>
              <w:adjustRightInd/>
              <w:snapToGrid/>
              <w:spacing w:after="0" w:line="440" w:lineRule="exact"/>
              <w:ind w:firstLine="0" w:firstLine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提供的</w:t>
            </w:r>
            <w:r>
              <w:rPr>
                <w:rFonts w:hint="eastAsia" w:ascii="宋体" w:hAnsi="宋体" w:eastAsia="宋体" w:cs="宋体"/>
                <w:color w:val="auto"/>
                <w:sz w:val="21"/>
                <w:szCs w:val="21"/>
                <w:highlight w:val="none"/>
              </w:rPr>
              <w:t>重点、难点分析</w:t>
            </w:r>
            <w:r>
              <w:rPr>
                <w:rFonts w:hint="eastAsia" w:ascii="宋体" w:hAnsi="宋体" w:eastAsia="宋体" w:cs="宋体"/>
                <w:color w:val="auto"/>
                <w:sz w:val="21"/>
                <w:szCs w:val="21"/>
                <w:highlight w:val="none"/>
                <w:lang w:eastAsia="zh-CN"/>
              </w:rPr>
              <w:t>较为准确，</w:t>
            </w:r>
            <w:r>
              <w:rPr>
                <w:rFonts w:hint="eastAsia" w:ascii="宋体" w:hAnsi="宋体" w:eastAsia="宋体" w:cs="宋体"/>
                <w:color w:val="auto"/>
                <w:sz w:val="21"/>
                <w:szCs w:val="21"/>
                <w:highlight w:val="none"/>
                <w:lang w:val="en-US" w:eastAsia="zh-CN"/>
              </w:rPr>
              <w:t>解决措施具有较强的针对性、可行性、全面性，能较好</w:t>
            </w:r>
            <w:r>
              <w:rPr>
                <w:rFonts w:hint="eastAsia" w:ascii="宋体" w:hAnsi="宋体" w:cs="宋体"/>
                <w:color w:val="auto"/>
                <w:sz w:val="21"/>
                <w:szCs w:val="21"/>
                <w:highlight w:val="none"/>
                <w:lang w:val="en-US" w:eastAsia="zh-CN"/>
              </w:rPr>
              <w:t>地</w:t>
            </w:r>
            <w:r>
              <w:rPr>
                <w:rFonts w:hint="eastAsia" w:ascii="宋体" w:hAnsi="宋体" w:eastAsia="宋体" w:cs="宋体"/>
                <w:color w:val="auto"/>
                <w:sz w:val="21"/>
                <w:szCs w:val="21"/>
                <w:highlight w:val="none"/>
                <w:lang w:val="en-US" w:eastAsia="zh-CN"/>
              </w:rPr>
              <w:t>解决重点、难点的得4分；</w:t>
            </w:r>
          </w:p>
          <w:p>
            <w:pPr>
              <w:pStyle w:val="23"/>
              <w:keepNext w:val="0"/>
              <w:keepLines w:val="0"/>
              <w:pageBreakBefore w:val="0"/>
              <w:widowControl w:val="0"/>
              <w:kinsoku/>
              <w:wordWrap/>
              <w:overflowPunct/>
              <w:topLinePunct w:val="0"/>
              <w:autoSpaceDE w:val="0"/>
              <w:autoSpaceDN w:val="0"/>
              <w:bidi w:val="0"/>
              <w:adjustRightInd/>
              <w:snapToGrid/>
              <w:spacing w:after="0" w:line="440" w:lineRule="exact"/>
              <w:ind w:firstLine="0" w:firstLine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提供的</w:t>
            </w:r>
            <w:r>
              <w:rPr>
                <w:rFonts w:hint="eastAsia" w:ascii="宋体" w:hAnsi="宋体" w:eastAsia="宋体" w:cs="宋体"/>
                <w:color w:val="auto"/>
                <w:sz w:val="21"/>
                <w:szCs w:val="21"/>
                <w:highlight w:val="none"/>
              </w:rPr>
              <w:t>重点、难点分析</w:t>
            </w:r>
            <w:r>
              <w:rPr>
                <w:rFonts w:hint="eastAsia" w:ascii="宋体" w:hAnsi="宋体" w:eastAsia="宋体" w:cs="宋体"/>
                <w:color w:val="auto"/>
                <w:sz w:val="21"/>
                <w:szCs w:val="21"/>
                <w:highlight w:val="none"/>
                <w:lang w:eastAsia="zh-CN"/>
              </w:rPr>
              <w:t>基本准确，</w:t>
            </w:r>
            <w:r>
              <w:rPr>
                <w:rFonts w:hint="eastAsia" w:ascii="宋体" w:hAnsi="宋体" w:eastAsia="宋体" w:cs="宋体"/>
                <w:color w:val="auto"/>
                <w:sz w:val="21"/>
                <w:szCs w:val="21"/>
                <w:highlight w:val="none"/>
                <w:lang w:val="en-US" w:eastAsia="zh-CN"/>
              </w:rPr>
              <w:t>解决措施的针对性、可行性、全面性基本完整，基本解决重点、难点的得3分；</w:t>
            </w:r>
          </w:p>
          <w:p>
            <w:pPr>
              <w:pStyle w:val="23"/>
              <w:keepNext w:val="0"/>
              <w:keepLines w:val="0"/>
              <w:pageBreakBefore w:val="0"/>
              <w:widowControl w:val="0"/>
              <w:kinsoku/>
              <w:wordWrap/>
              <w:overflowPunct/>
              <w:topLinePunct w:val="0"/>
              <w:autoSpaceDE w:val="0"/>
              <w:autoSpaceDN w:val="0"/>
              <w:bidi w:val="0"/>
              <w:adjustRightInd/>
              <w:snapToGrid/>
              <w:spacing w:after="0" w:line="440" w:lineRule="exact"/>
              <w:ind w:firstLine="0" w:firstLine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提供的</w:t>
            </w:r>
            <w:r>
              <w:rPr>
                <w:rFonts w:hint="eastAsia" w:ascii="宋体" w:hAnsi="宋体" w:eastAsia="宋体" w:cs="宋体"/>
                <w:color w:val="auto"/>
                <w:sz w:val="21"/>
                <w:szCs w:val="21"/>
                <w:highlight w:val="none"/>
              </w:rPr>
              <w:t>重点、难点分析</w:t>
            </w:r>
            <w:r>
              <w:rPr>
                <w:rFonts w:hint="eastAsia" w:ascii="宋体" w:hAnsi="宋体" w:eastAsia="宋体" w:cs="宋体"/>
                <w:color w:val="auto"/>
                <w:sz w:val="21"/>
                <w:szCs w:val="21"/>
                <w:highlight w:val="none"/>
                <w:lang w:eastAsia="zh-CN"/>
              </w:rPr>
              <w:t>不</w:t>
            </w:r>
            <w:r>
              <w:rPr>
                <w:rFonts w:hint="eastAsia" w:ascii="宋体" w:hAnsi="宋体" w:cs="宋体"/>
                <w:color w:val="auto"/>
                <w:sz w:val="21"/>
                <w:szCs w:val="21"/>
                <w:highlight w:val="none"/>
                <w:lang w:val="en-US" w:eastAsia="zh-CN"/>
              </w:rPr>
              <w:t>够</w:t>
            </w:r>
            <w:r>
              <w:rPr>
                <w:rFonts w:hint="eastAsia" w:ascii="宋体" w:hAnsi="宋体" w:eastAsia="宋体" w:cs="宋体"/>
                <w:color w:val="auto"/>
                <w:sz w:val="21"/>
                <w:szCs w:val="21"/>
                <w:highlight w:val="none"/>
                <w:lang w:eastAsia="zh-CN"/>
              </w:rPr>
              <w:t>全面，</w:t>
            </w:r>
            <w:r>
              <w:rPr>
                <w:rFonts w:hint="eastAsia" w:ascii="宋体" w:hAnsi="宋体" w:eastAsia="宋体" w:cs="宋体"/>
                <w:color w:val="auto"/>
                <w:sz w:val="21"/>
                <w:szCs w:val="21"/>
                <w:highlight w:val="none"/>
                <w:lang w:val="en-US" w:eastAsia="zh-CN"/>
              </w:rPr>
              <w:t>解决措施的针对性、可行性、全面性存在瑕疵，无法全面解决重点、难点的得2分；</w:t>
            </w:r>
          </w:p>
          <w:p>
            <w:pPr>
              <w:pStyle w:val="23"/>
              <w:keepNext w:val="0"/>
              <w:keepLines w:val="0"/>
              <w:pageBreakBefore w:val="0"/>
              <w:widowControl w:val="0"/>
              <w:kinsoku/>
              <w:wordWrap/>
              <w:overflowPunct/>
              <w:topLinePunct w:val="0"/>
              <w:autoSpaceDE w:val="0"/>
              <w:autoSpaceDN w:val="0"/>
              <w:bidi w:val="0"/>
              <w:adjustRightInd/>
              <w:snapToGrid/>
              <w:spacing w:after="0" w:line="440" w:lineRule="exact"/>
              <w:ind w:firstLine="0" w:firstLine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提供的</w:t>
            </w:r>
            <w:r>
              <w:rPr>
                <w:rFonts w:hint="eastAsia" w:ascii="宋体" w:hAnsi="宋体" w:eastAsia="宋体" w:cs="宋体"/>
                <w:color w:val="auto"/>
                <w:sz w:val="21"/>
                <w:szCs w:val="21"/>
                <w:highlight w:val="none"/>
              </w:rPr>
              <w:t>重点、难点分析</w:t>
            </w:r>
            <w:r>
              <w:rPr>
                <w:rFonts w:hint="eastAsia" w:ascii="宋体" w:hAnsi="宋体" w:eastAsia="宋体" w:cs="宋体"/>
                <w:color w:val="auto"/>
                <w:sz w:val="21"/>
                <w:szCs w:val="21"/>
                <w:highlight w:val="none"/>
                <w:lang w:eastAsia="zh-CN"/>
              </w:rPr>
              <w:t>不</w:t>
            </w:r>
            <w:r>
              <w:rPr>
                <w:rFonts w:hint="eastAsia" w:ascii="宋体" w:hAnsi="宋体" w:cs="宋体"/>
                <w:color w:val="auto"/>
                <w:sz w:val="21"/>
                <w:szCs w:val="21"/>
                <w:highlight w:val="none"/>
                <w:lang w:val="en-US" w:eastAsia="zh-CN"/>
              </w:rPr>
              <w:t>够</w:t>
            </w:r>
            <w:r>
              <w:rPr>
                <w:rFonts w:hint="eastAsia" w:ascii="宋体" w:hAnsi="宋体" w:eastAsia="宋体" w:cs="宋体"/>
                <w:color w:val="auto"/>
                <w:sz w:val="21"/>
                <w:szCs w:val="21"/>
                <w:highlight w:val="none"/>
                <w:lang w:eastAsia="zh-CN"/>
              </w:rPr>
              <w:t>准确，</w:t>
            </w:r>
            <w:r>
              <w:rPr>
                <w:rFonts w:hint="eastAsia" w:ascii="宋体" w:hAnsi="宋体" w:eastAsia="宋体" w:cs="宋体"/>
                <w:color w:val="auto"/>
                <w:sz w:val="21"/>
                <w:szCs w:val="21"/>
                <w:highlight w:val="none"/>
                <w:lang w:val="en-US" w:eastAsia="zh-CN"/>
              </w:rPr>
              <w:t>解决措施的针对性、可行性、全面性存在较大瑕疵，无法解决重点、难点的得1分；</w:t>
            </w:r>
          </w:p>
          <w:p>
            <w:pPr>
              <w:pStyle w:val="97"/>
              <w:keepNext w:val="0"/>
              <w:keepLines w:val="0"/>
              <w:pageBreakBefore w:val="0"/>
              <w:widowControl/>
              <w:tabs>
                <w:tab w:val="left" w:pos="1260"/>
              </w:tabs>
              <w:kinsoku/>
              <w:wordWrap/>
              <w:overflowPunct/>
              <w:topLinePunct w:val="0"/>
              <w:autoSpaceDE/>
              <w:autoSpaceDN/>
              <w:bidi w:val="0"/>
              <w:adjustRightInd/>
              <w:snapToGrid/>
              <w:spacing w:line="440" w:lineRule="exact"/>
              <w:textAlignment w:val="auto"/>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color w:val="auto"/>
                <w:sz w:val="21"/>
                <w:szCs w:val="21"/>
                <w:highlight w:val="none"/>
                <w:lang w:val="en-US" w:eastAsia="zh-CN" w:bidi="zh-CN"/>
              </w:rPr>
              <w:t>未提供</w:t>
            </w:r>
            <w:r>
              <w:rPr>
                <w:rFonts w:hint="eastAsia" w:ascii="宋体" w:hAnsi="宋体" w:eastAsia="宋体" w:cs="宋体"/>
                <w:color w:val="auto"/>
                <w:sz w:val="21"/>
                <w:szCs w:val="21"/>
                <w:highlight w:val="none"/>
              </w:rPr>
              <w:t>重点、难点分析</w:t>
            </w:r>
            <w:r>
              <w:rPr>
                <w:rFonts w:hint="eastAsia" w:ascii="宋体" w:hAnsi="宋体" w:eastAsia="宋体" w:cs="宋体"/>
                <w:color w:val="auto"/>
                <w:sz w:val="21"/>
                <w:szCs w:val="21"/>
                <w:highlight w:val="none"/>
                <w:lang w:val="en-US" w:eastAsia="zh-CN"/>
              </w:rPr>
              <w:t>及</w:t>
            </w:r>
            <w:r>
              <w:rPr>
                <w:rFonts w:hint="eastAsia" w:ascii="宋体" w:hAnsi="宋体" w:eastAsia="宋体" w:cs="宋体"/>
                <w:color w:val="auto"/>
                <w:sz w:val="21"/>
                <w:szCs w:val="21"/>
                <w:highlight w:val="none"/>
              </w:rPr>
              <w:t>解决措施</w:t>
            </w:r>
            <w:r>
              <w:rPr>
                <w:rFonts w:hint="eastAsia" w:ascii="宋体" w:hAnsi="宋体" w:eastAsia="宋体" w:cs="宋体"/>
                <w:color w:val="auto"/>
                <w:sz w:val="21"/>
                <w:szCs w:val="21"/>
                <w:highlight w:val="none"/>
                <w:lang w:val="en-US" w:eastAsia="zh-CN" w:bidi="zh-CN"/>
              </w:rPr>
              <w:t>的不得分。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53"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宋体" w:hAnsi="宋体" w:eastAsia="宋体" w:cs="宋体"/>
                <w:b w:val="0"/>
                <w:bCs/>
                <w:color w:val="000000"/>
                <w:sz w:val="21"/>
                <w:szCs w:val="21"/>
                <w:highlight w:val="none"/>
                <w:lang w:val="zh-CN"/>
              </w:rPr>
            </w:pPr>
            <w:bookmarkStart w:id="50" w:name="OLE_LINK42"/>
            <w:r>
              <w:rPr>
                <w:rFonts w:hint="eastAsia" w:ascii="宋体" w:hAnsi="宋体" w:eastAsia="宋体" w:cs="宋体"/>
                <w:b w:val="0"/>
                <w:bCs/>
                <w:color w:val="000000"/>
                <w:sz w:val="21"/>
                <w:szCs w:val="21"/>
                <w:highlight w:val="none"/>
                <w:lang w:val="zh-CN"/>
              </w:rPr>
              <w:t>综合实力</w:t>
            </w:r>
            <w:bookmarkEnd w:id="50"/>
          </w:p>
          <w:p>
            <w:pPr>
              <w:keepNext w:val="0"/>
              <w:keepLines w:val="0"/>
              <w:pageBreakBefore w:val="0"/>
              <w:kinsoku/>
              <w:wordWrap/>
              <w:overflowPunct/>
              <w:topLinePunct w:val="0"/>
              <w:bidi w:val="0"/>
              <w:snapToGrid w:val="0"/>
              <w:spacing w:line="440" w:lineRule="exact"/>
              <w:jc w:val="center"/>
              <w:textAlignment w:val="auto"/>
              <w:rPr>
                <w:rFonts w:hint="eastAsia" w:ascii="宋体" w:hAnsi="宋体" w:eastAsia="宋体" w:cs="宋体"/>
                <w:color w:val="000000"/>
                <w:kern w:val="0"/>
                <w:sz w:val="21"/>
                <w:szCs w:val="21"/>
                <w:highlight w:val="none"/>
              </w:rPr>
            </w:pPr>
            <w:r>
              <w:rPr>
                <w:rFonts w:hint="eastAsia" w:ascii="宋体" w:hAnsi="宋体" w:eastAsia="宋体" w:cs="宋体"/>
                <w:b w:val="0"/>
                <w:bCs/>
                <w:color w:val="000000"/>
                <w:sz w:val="21"/>
                <w:szCs w:val="21"/>
                <w:highlight w:val="none"/>
                <w:lang w:val="zh-CN"/>
              </w:rPr>
              <w:t>（</w:t>
            </w:r>
            <w:r>
              <w:rPr>
                <w:rFonts w:hint="eastAsia" w:ascii="宋体" w:hAnsi="宋体" w:cs="宋体"/>
                <w:b w:val="0"/>
                <w:bCs/>
                <w:color w:val="000000"/>
                <w:sz w:val="21"/>
                <w:szCs w:val="21"/>
                <w:highlight w:val="none"/>
                <w:lang w:val="en-US" w:eastAsia="zh-CN"/>
              </w:rPr>
              <w:t>3</w:t>
            </w:r>
            <w:r>
              <w:rPr>
                <w:rFonts w:hint="eastAsia" w:ascii="宋体" w:hAnsi="宋体" w:eastAsia="宋体" w:cs="宋体"/>
                <w:b w:val="0"/>
                <w:bCs/>
                <w:color w:val="000000"/>
                <w:sz w:val="21"/>
                <w:szCs w:val="21"/>
                <w:highlight w:val="none"/>
                <w:lang w:val="zh-CN"/>
              </w:rPr>
              <w:t>分）</w:t>
            </w:r>
          </w:p>
        </w:tc>
        <w:tc>
          <w:tcPr>
            <w:tcW w:w="6740"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kinsoku/>
              <w:wordWrap/>
              <w:overflowPunct/>
              <w:topLinePunct w:val="0"/>
              <w:bidi w:val="0"/>
              <w:snapToGrid w:val="0"/>
              <w:spacing w:line="440" w:lineRule="exact"/>
              <w:textAlignment w:val="auto"/>
              <w:rPr>
                <w:rFonts w:hint="eastAsia" w:ascii="宋体" w:hAnsi="宋体" w:eastAsia="宋体" w:cs="宋体"/>
                <w:color w:val="000000"/>
                <w:sz w:val="21"/>
                <w:szCs w:val="21"/>
                <w:highlight w:val="none"/>
              </w:rPr>
            </w:pPr>
            <w:r>
              <w:rPr>
                <w:rFonts w:hint="eastAsia" w:ascii="宋体" w:hAnsi="宋体" w:eastAsia="宋体" w:cs="宋体"/>
                <w:bCs/>
                <w:color w:val="auto"/>
                <w:sz w:val="21"/>
                <w:szCs w:val="21"/>
                <w:highlight w:val="none"/>
                <w:lang w:val="en-US" w:eastAsia="zh-CN"/>
              </w:rPr>
              <w:t>投标人具</w:t>
            </w:r>
            <w:r>
              <w:rPr>
                <w:rFonts w:hint="eastAsia" w:ascii="宋体" w:hAnsi="宋体" w:eastAsia="宋体" w:cs="宋体"/>
                <w:color w:val="auto"/>
                <w:sz w:val="21"/>
                <w:szCs w:val="21"/>
                <w:highlight w:val="none"/>
              </w:rPr>
              <w:t>有</w:t>
            </w:r>
            <w:r>
              <w:rPr>
                <w:rFonts w:hint="eastAsia" w:ascii="宋体" w:hAnsi="宋体" w:eastAsia="宋体" w:cs="宋体"/>
                <w:color w:val="auto"/>
                <w:sz w:val="21"/>
                <w:szCs w:val="21"/>
                <w:highlight w:val="none"/>
                <w:lang w:val="en-US" w:eastAsia="zh-CN"/>
              </w:rPr>
              <w:t>有效期内的</w:t>
            </w:r>
            <w:r>
              <w:rPr>
                <w:rFonts w:hint="eastAsia" w:ascii="宋体" w:hAnsi="宋体" w:eastAsia="宋体" w:cs="宋体"/>
                <w:color w:val="auto"/>
                <w:sz w:val="21"/>
                <w:szCs w:val="21"/>
                <w:highlight w:val="none"/>
              </w:rPr>
              <w:t>质量管理体系</w:t>
            </w:r>
            <w:r>
              <w:rPr>
                <w:rFonts w:hint="eastAsia" w:ascii="宋体" w:hAnsi="宋体" w:eastAsia="宋体" w:cs="宋体"/>
                <w:color w:val="auto"/>
                <w:sz w:val="21"/>
                <w:szCs w:val="21"/>
                <w:highlight w:val="none"/>
                <w:vertAlign w:val="baseline"/>
              </w:rPr>
              <w:t>认证证书</w:t>
            </w:r>
            <w:r>
              <w:rPr>
                <w:rFonts w:hint="eastAsia" w:ascii="宋体" w:hAnsi="宋体" w:eastAsia="宋体" w:cs="宋体"/>
                <w:color w:val="auto"/>
                <w:sz w:val="21"/>
                <w:szCs w:val="21"/>
                <w:highlight w:val="none"/>
              </w:rPr>
              <w:t>、环境管理体系</w:t>
            </w:r>
            <w:r>
              <w:rPr>
                <w:rFonts w:hint="eastAsia" w:ascii="宋体" w:hAnsi="宋体" w:eastAsia="宋体" w:cs="宋体"/>
                <w:color w:val="auto"/>
                <w:sz w:val="21"/>
                <w:szCs w:val="21"/>
                <w:highlight w:val="none"/>
                <w:vertAlign w:val="baseline"/>
              </w:rPr>
              <w:t>认证证书</w:t>
            </w:r>
            <w:r>
              <w:rPr>
                <w:rFonts w:hint="eastAsia" w:ascii="宋体" w:hAnsi="宋体" w:eastAsia="宋体" w:cs="宋体"/>
                <w:color w:val="auto"/>
                <w:sz w:val="21"/>
                <w:szCs w:val="21"/>
                <w:highlight w:val="none"/>
              </w:rPr>
              <w:t>、职业健康安全管理体系</w:t>
            </w:r>
            <w:r>
              <w:rPr>
                <w:rFonts w:hint="eastAsia" w:ascii="宋体" w:hAnsi="宋体" w:eastAsia="宋体" w:cs="宋体"/>
                <w:color w:val="auto"/>
                <w:sz w:val="21"/>
                <w:szCs w:val="21"/>
                <w:highlight w:val="none"/>
                <w:vertAlign w:val="baseline"/>
              </w:rPr>
              <w:t>认证证书</w:t>
            </w:r>
            <w:r>
              <w:rPr>
                <w:rFonts w:hint="eastAsia" w:ascii="宋体" w:hAnsi="宋体" w:eastAsia="宋体" w:cs="宋体"/>
                <w:color w:val="auto"/>
                <w:sz w:val="21"/>
                <w:szCs w:val="21"/>
                <w:highlight w:val="none"/>
              </w:rPr>
              <w:t>，</w:t>
            </w:r>
            <w:r>
              <w:rPr>
                <w:rFonts w:hint="eastAsia" w:ascii="宋体" w:hAnsi="宋体" w:eastAsia="宋体" w:cs="宋体"/>
                <w:bCs/>
                <w:color w:val="000000"/>
                <w:sz w:val="21"/>
                <w:szCs w:val="21"/>
                <w:highlight w:val="none"/>
              </w:rPr>
              <w:t>每提供一个证书得1分，最高得</w:t>
            </w:r>
            <w:r>
              <w:rPr>
                <w:rFonts w:hint="eastAsia" w:ascii="宋体" w:hAnsi="宋体" w:cs="宋体"/>
                <w:bCs/>
                <w:color w:val="000000"/>
                <w:sz w:val="21"/>
                <w:szCs w:val="21"/>
                <w:highlight w:val="none"/>
                <w:lang w:val="en-US" w:eastAsia="zh-CN"/>
              </w:rPr>
              <w:t>3</w:t>
            </w:r>
            <w:r>
              <w:rPr>
                <w:rFonts w:hint="eastAsia" w:ascii="宋体" w:hAnsi="宋体" w:eastAsia="宋体" w:cs="宋体"/>
                <w:bCs/>
                <w:color w:val="000000"/>
                <w:sz w:val="21"/>
                <w:szCs w:val="21"/>
                <w:highlight w:val="none"/>
              </w:rPr>
              <w:t>分。（提供有效的证书复印件加盖公章）</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83"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spacing w:line="440" w:lineRule="exact"/>
              <w:jc w:val="center"/>
              <w:textAlignment w:val="center"/>
              <w:rPr>
                <w:rFonts w:hint="eastAsia" w:ascii="宋体" w:hAnsi="宋体" w:eastAsia="宋体" w:cs="宋体"/>
                <w:i w:val="0"/>
                <w:iCs w:val="0"/>
                <w:color w:val="000000"/>
                <w:kern w:val="0"/>
                <w:sz w:val="21"/>
                <w:szCs w:val="21"/>
                <w:highlight w:val="none"/>
                <w:u w:val="none"/>
                <w:lang w:val="en-US" w:eastAsia="zh-CN" w:bidi="ar"/>
              </w:rPr>
            </w:pPr>
            <w:bookmarkStart w:id="51" w:name="OLE_LINK43"/>
            <w:r>
              <w:rPr>
                <w:rFonts w:hint="eastAsia" w:ascii="宋体" w:hAnsi="宋体" w:eastAsia="宋体" w:cs="宋体"/>
                <w:i w:val="0"/>
                <w:iCs w:val="0"/>
                <w:color w:val="000000"/>
                <w:kern w:val="0"/>
                <w:sz w:val="21"/>
                <w:szCs w:val="21"/>
                <w:highlight w:val="none"/>
                <w:u w:val="none"/>
                <w:lang w:val="en-US" w:eastAsia="zh-CN" w:bidi="ar"/>
              </w:rPr>
              <w:t>业绩</w:t>
            </w:r>
          </w:p>
          <w:bookmarkEnd w:id="51"/>
          <w:p>
            <w:pPr>
              <w:keepNext w:val="0"/>
              <w:keepLines w:val="0"/>
              <w:pageBreakBefore w:val="0"/>
              <w:widowControl/>
              <w:suppressLineNumbers w:val="0"/>
              <w:kinsoku/>
              <w:wordWrap/>
              <w:overflowPunct/>
              <w:topLinePunct w:val="0"/>
              <w:autoSpaceDE/>
              <w:autoSpaceDN/>
              <w:bidi w:val="0"/>
              <w:spacing w:line="440" w:lineRule="exact"/>
              <w:jc w:val="center"/>
              <w:textAlignment w:val="center"/>
              <w:rPr>
                <w:rFonts w:hint="eastAsia" w:ascii="宋体" w:hAnsi="宋体" w:eastAsia="宋体" w:cs="宋体"/>
                <w:color w:val="000000"/>
                <w:kern w:val="0"/>
                <w:sz w:val="21"/>
                <w:szCs w:val="21"/>
                <w:highlight w:val="none"/>
              </w:rPr>
            </w:pPr>
            <w:r>
              <w:rPr>
                <w:rFonts w:hint="eastAsia" w:ascii="宋体" w:hAnsi="宋体" w:eastAsia="宋体" w:cs="宋体"/>
                <w:i w:val="0"/>
                <w:iCs w:val="0"/>
                <w:color w:val="000000"/>
                <w:kern w:val="0"/>
                <w:sz w:val="21"/>
                <w:szCs w:val="21"/>
                <w:highlight w:val="none"/>
                <w:u w:val="none"/>
                <w:lang w:val="en-US" w:eastAsia="zh-CN" w:bidi="ar"/>
              </w:rPr>
              <w:t>（2分）</w:t>
            </w:r>
          </w:p>
        </w:tc>
        <w:tc>
          <w:tcPr>
            <w:tcW w:w="6740"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suppressLineNumbers w:val="0"/>
              <w:kinsoku/>
              <w:wordWrap/>
              <w:overflowPunct/>
              <w:topLinePunct w:val="0"/>
              <w:autoSpaceDE/>
              <w:autoSpaceDN/>
              <w:bidi w:val="0"/>
              <w:spacing w:line="440" w:lineRule="exact"/>
              <w:jc w:val="both"/>
              <w:textAlignment w:val="center"/>
              <w:rPr>
                <w:rFonts w:hint="eastAsia" w:ascii="宋体" w:hAnsi="宋体" w:eastAsia="宋体" w:cs="宋体"/>
                <w:color w:val="000000"/>
                <w:kern w:val="0"/>
                <w:sz w:val="21"/>
                <w:szCs w:val="21"/>
                <w:highlight w:val="none"/>
              </w:rPr>
            </w:pPr>
            <w:bookmarkStart w:id="52" w:name="OLE_LINK51"/>
            <w:r>
              <w:rPr>
                <w:rFonts w:hint="eastAsia" w:ascii="宋体" w:hAnsi="宋体" w:eastAsia="宋体" w:cs="宋体"/>
                <w:i w:val="0"/>
                <w:iCs w:val="0"/>
                <w:color w:val="auto"/>
                <w:kern w:val="0"/>
                <w:sz w:val="21"/>
                <w:szCs w:val="21"/>
                <w:highlight w:val="none"/>
                <w:u w:val="none"/>
                <w:lang w:val="en-US" w:eastAsia="zh-CN" w:bidi="ar"/>
              </w:rPr>
              <w:t>投标人自2022年1月1日以来（以合同签订时间为准）具有类似项目业绩（服务内容须包含：</w:t>
            </w:r>
            <w:r>
              <w:rPr>
                <w:rFonts w:hint="eastAsia" w:ascii="宋体" w:hAnsi="宋体" w:cs="宋体"/>
                <w:i w:val="0"/>
                <w:iCs w:val="0"/>
                <w:color w:val="auto"/>
                <w:kern w:val="0"/>
                <w:sz w:val="21"/>
                <w:szCs w:val="21"/>
                <w:highlight w:val="none"/>
                <w:u w:val="none"/>
                <w:lang w:val="en-US" w:eastAsia="zh-CN" w:bidi="ar"/>
              </w:rPr>
              <w:t>安检服务</w:t>
            </w: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cs="宋体"/>
                <w:i w:val="0"/>
                <w:iCs w:val="0"/>
                <w:color w:val="auto"/>
                <w:kern w:val="0"/>
                <w:sz w:val="21"/>
                <w:szCs w:val="21"/>
                <w:highlight w:val="none"/>
                <w:u w:val="none"/>
                <w:lang w:val="en-US" w:eastAsia="zh-CN" w:bidi="ar"/>
              </w:rPr>
              <w:t>的得</w:t>
            </w:r>
            <w:r>
              <w:rPr>
                <w:rFonts w:hint="eastAsia" w:ascii="宋体" w:hAnsi="宋体" w:eastAsia="宋体" w:cs="宋体"/>
                <w:i w:val="0"/>
                <w:iCs w:val="0"/>
                <w:color w:val="auto"/>
                <w:kern w:val="0"/>
                <w:sz w:val="21"/>
                <w:szCs w:val="21"/>
                <w:highlight w:val="none"/>
                <w:u w:val="none"/>
                <w:lang w:val="en-US" w:eastAsia="zh-CN" w:bidi="ar"/>
              </w:rPr>
              <w:t>2分。（提供合同及中标通知书复印件加盖公章</w:t>
            </w:r>
            <w:r>
              <w:rPr>
                <w:rFonts w:hint="eastAsia" w:ascii="宋体" w:hAnsi="宋体" w:cs="宋体"/>
                <w:i w:val="0"/>
                <w:iCs w:val="0"/>
                <w:color w:val="auto"/>
                <w:kern w:val="0"/>
                <w:sz w:val="21"/>
                <w:szCs w:val="21"/>
                <w:highlight w:val="none"/>
                <w:u w:val="none"/>
                <w:lang w:val="en-US" w:eastAsia="zh-CN" w:bidi="ar"/>
              </w:rPr>
              <w:t>，如合同中无法体现安检服务内容，需提供业主证明。</w:t>
            </w:r>
            <w:r>
              <w:rPr>
                <w:rFonts w:hint="eastAsia" w:ascii="宋体" w:hAnsi="宋体" w:eastAsia="宋体" w:cs="宋体"/>
                <w:i w:val="0"/>
                <w:iCs w:val="0"/>
                <w:color w:val="auto"/>
                <w:kern w:val="0"/>
                <w:sz w:val="21"/>
                <w:szCs w:val="21"/>
                <w:highlight w:val="none"/>
                <w:u w:val="none"/>
                <w:lang w:val="en-US" w:eastAsia="zh-CN" w:bidi="ar"/>
              </w:rPr>
              <w:t>）</w:t>
            </w:r>
            <w:bookmarkEnd w:id="52"/>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19" w:hRule="atLeast"/>
          <w:jc w:val="center"/>
        </w:trPr>
        <w:tc>
          <w:tcPr>
            <w:tcW w:w="1212"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widowControl/>
              <w:kinsoku/>
              <w:wordWrap/>
              <w:overflowPunct/>
              <w:topLinePunct w:val="0"/>
              <w:autoSpaceDE/>
              <w:autoSpaceDN/>
              <w:bidi w:val="0"/>
              <w:spacing w:line="440" w:lineRule="exact"/>
              <w:jc w:val="center"/>
              <w:rPr>
                <w:rFonts w:hint="eastAsia" w:ascii="宋体" w:hAnsi="宋体" w:eastAsia="宋体" w:cs="宋体"/>
                <w:color w:val="000000"/>
                <w:sz w:val="21"/>
                <w:szCs w:val="21"/>
                <w:highlight w:val="none"/>
              </w:rPr>
            </w:pPr>
          </w:p>
        </w:tc>
        <w:tc>
          <w:tcPr>
            <w:tcW w:w="1185"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i w:val="0"/>
                <w:iCs w:val="0"/>
                <w:color w:val="000000"/>
                <w:kern w:val="0"/>
                <w:sz w:val="21"/>
                <w:szCs w:val="21"/>
                <w:highlight w:val="none"/>
                <w:u w:val="none"/>
                <w:lang w:val="en-US" w:eastAsia="zh-CN" w:bidi="ar"/>
              </w:rPr>
            </w:pPr>
            <w:bookmarkStart w:id="53" w:name="OLE_LINK44"/>
            <w:r>
              <w:rPr>
                <w:rFonts w:hint="eastAsia" w:ascii="宋体" w:hAnsi="宋体" w:eastAsia="宋体" w:cs="宋体"/>
                <w:color w:val="000000"/>
                <w:sz w:val="21"/>
                <w:szCs w:val="21"/>
                <w:highlight w:val="none"/>
              </w:rPr>
              <w:t>政府采购政策加分</w:t>
            </w:r>
            <w:bookmarkEnd w:id="53"/>
            <w:r>
              <w:rPr>
                <w:rFonts w:hint="eastAsia" w:ascii="宋体" w:hAnsi="宋体" w:eastAsia="宋体" w:cs="宋体"/>
                <w:color w:val="000000"/>
                <w:sz w:val="21"/>
                <w:szCs w:val="21"/>
                <w:highlight w:val="none"/>
              </w:rPr>
              <w:t>（1分）</w:t>
            </w:r>
          </w:p>
        </w:tc>
        <w:tc>
          <w:tcPr>
            <w:tcW w:w="6740" w:type="dxa"/>
            <w:tcBorders>
              <w:top w:val="single" w:color="000000" w:sz="8" w:space="0"/>
              <w:left w:val="single" w:color="000000" w:sz="8" w:space="0"/>
              <w:bottom w:val="single" w:color="000000" w:sz="8" w:space="0"/>
              <w:right w:val="single" w:color="000000" w:sz="8" w:space="0"/>
            </w:tcBorders>
            <w:shd w:val="clear" w:color="auto" w:fill="FFFFFF"/>
            <w:vAlign w:val="center"/>
          </w:tcPr>
          <w:p>
            <w:pPr>
              <w:keepNext w:val="0"/>
              <w:keepLines w:val="0"/>
              <w:pageBreakBefore w:val="0"/>
              <w:kinsoku/>
              <w:wordWrap/>
              <w:overflowPunct/>
              <w:topLinePunct w:val="0"/>
              <w:autoSpaceDE/>
              <w:autoSpaceDN/>
              <w:bidi w:val="0"/>
              <w:adjustRightInd w:val="0"/>
              <w:snapToGrid w:val="0"/>
              <w:spacing w:line="440" w:lineRule="exact"/>
              <w:textAlignment w:val="auto"/>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color w:val="000000"/>
                <w:sz w:val="21"/>
                <w:szCs w:val="21"/>
                <w:highlight w:val="none"/>
              </w:rPr>
              <w:t>投标人是国家认定的少数民族地区企业的加1分。</w:t>
            </w:r>
          </w:p>
        </w:tc>
      </w:tr>
    </w:tbl>
    <w:p>
      <w:pPr>
        <w:pStyle w:val="9"/>
        <w:spacing w:after="0" w:line="400" w:lineRule="exact"/>
        <w:rPr>
          <w:rFonts w:asciiTheme="minorEastAsia" w:hAnsiTheme="minorEastAsia" w:eastAsiaTheme="minorEastAsia"/>
          <w:color w:val="auto"/>
          <w:szCs w:val="21"/>
          <w:highlight w:val="none"/>
        </w:rPr>
      </w:pPr>
    </w:p>
    <w:p>
      <w:pPr>
        <w:pStyle w:val="9"/>
        <w:spacing w:after="0" w:line="400" w:lineRule="exact"/>
        <w:rPr>
          <w:rFonts w:asciiTheme="minorEastAsia" w:hAnsiTheme="minorEastAsia" w:eastAsiaTheme="minorEastAsia"/>
          <w:color w:val="auto"/>
          <w:szCs w:val="21"/>
          <w:highlight w:val="none"/>
        </w:rPr>
      </w:pPr>
    </w:p>
    <w:p>
      <w:pPr>
        <w:pStyle w:val="33"/>
        <w:rPr>
          <w:rFonts w:asciiTheme="minorEastAsia" w:hAnsiTheme="minorEastAsia" w:eastAsiaTheme="minorEastAsia"/>
          <w:color w:val="auto"/>
          <w:szCs w:val="21"/>
          <w:highlight w:val="none"/>
        </w:rPr>
      </w:pPr>
    </w:p>
    <w:p>
      <w:pPr>
        <w:pStyle w:val="33"/>
        <w:rPr>
          <w:rFonts w:asciiTheme="minorEastAsia" w:hAnsiTheme="minorEastAsia" w:eastAsiaTheme="minorEastAsia"/>
          <w:color w:val="auto"/>
          <w:szCs w:val="21"/>
          <w:highlight w:val="none"/>
        </w:rPr>
      </w:pPr>
    </w:p>
    <w:p>
      <w:pPr>
        <w:pStyle w:val="33"/>
        <w:rPr>
          <w:rFonts w:asciiTheme="minorEastAsia" w:hAnsiTheme="minorEastAsia" w:eastAsiaTheme="minorEastAsia"/>
          <w:color w:val="auto"/>
          <w:szCs w:val="21"/>
          <w:highlight w:val="none"/>
        </w:rPr>
      </w:pPr>
    </w:p>
    <w:p>
      <w:pPr>
        <w:pStyle w:val="33"/>
        <w:rPr>
          <w:rFonts w:asciiTheme="minorEastAsia" w:hAnsiTheme="minorEastAsia" w:eastAsiaTheme="minorEastAsia"/>
          <w:color w:val="auto"/>
          <w:szCs w:val="21"/>
          <w:highlight w:val="none"/>
        </w:rPr>
      </w:pPr>
    </w:p>
    <w:p>
      <w:pPr>
        <w:pStyle w:val="33"/>
        <w:rPr>
          <w:rFonts w:asciiTheme="minorEastAsia" w:hAnsiTheme="minorEastAsia" w:eastAsiaTheme="minorEastAsia"/>
          <w:color w:val="auto"/>
          <w:szCs w:val="21"/>
          <w:highlight w:val="none"/>
        </w:rPr>
      </w:pPr>
    </w:p>
    <w:p>
      <w:pPr>
        <w:pStyle w:val="33"/>
        <w:rPr>
          <w:rFonts w:asciiTheme="minorEastAsia" w:hAnsiTheme="minorEastAsia" w:eastAsiaTheme="minorEastAsia"/>
          <w:color w:val="auto"/>
          <w:szCs w:val="21"/>
          <w:highlight w:val="none"/>
        </w:rPr>
      </w:pPr>
    </w:p>
    <w:p>
      <w:pPr>
        <w:pStyle w:val="33"/>
        <w:rPr>
          <w:rFonts w:asciiTheme="minorEastAsia" w:hAnsiTheme="minorEastAsia" w:eastAsiaTheme="minorEastAsia"/>
          <w:color w:val="auto"/>
          <w:szCs w:val="21"/>
          <w:highlight w:val="none"/>
        </w:rPr>
      </w:pPr>
    </w:p>
    <w:p>
      <w:pPr>
        <w:pStyle w:val="33"/>
        <w:rPr>
          <w:rFonts w:asciiTheme="minorEastAsia" w:hAnsiTheme="minorEastAsia" w:eastAsiaTheme="minorEastAsia"/>
          <w:color w:val="auto"/>
          <w:szCs w:val="21"/>
          <w:highlight w:val="none"/>
        </w:rPr>
      </w:pPr>
    </w:p>
    <w:p>
      <w:pPr>
        <w:pStyle w:val="33"/>
        <w:rPr>
          <w:rFonts w:asciiTheme="minorEastAsia" w:hAnsiTheme="minorEastAsia" w:eastAsiaTheme="minorEastAsia"/>
          <w:color w:val="auto"/>
          <w:szCs w:val="21"/>
          <w:highlight w:val="none"/>
        </w:rPr>
      </w:pPr>
    </w:p>
    <w:p>
      <w:pPr>
        <w:pStyle w:val="12"/>
        <w:snapToGrid w:val="0"/>
        <w:spacing w:beforeLines="0" w:afterLines="0"/>
        <w:ind w:left="982" w:hanging="562"/>
        <w:jc w:val="center"/>
        <w:outlineLvl w:val="0"/>
        <w:rPr>
          <w:rFonts w:ascii="黑体" w:hAnsi="宋体" w:eastAsia="黑体"/>
          <w:b/>
          <w:bCs/>
          <w:color w:val="auto"/>
          <w:sz w:val="28"/>
          <w:szCs w:val="28"/>
          <w:highlight w:val="none"/>
        </w:rPr>
      </w:pPr>
      <w:r>
        <w:rPr>
          <w:rFonts w:hint="eastAsia" w:ascii="黑体" w:hAnsi="宋体" w:eastAsia="黑体"/>
          <w:b/>
          <w:bCs/>
          <w:color w:val="auto"/>
          <w:sz w:val="28"/>
          <w:szCs w:val="28"/>
          <w:highlight w:val="none"/>
        </w:rPr>
        <w:t>第五章  政府采购合同主要条款</w:t>
      </w:r>
    </w:p>
    <w:p>
      <w:pPr>
        <w:pStyle w:val="12"/>
        <w:snapToGrid w:val="0"/>
        <w:spacing w:beforeLines="0" w:afterLines="0"/>
        <w:jc w:val="center"/>
        <w:outlineLvl w:val="0"/>
        <w:rPr>
          <w:rFonts w:ascii="黑体" w:hAnsi="宋体" w:eastAsia="黑体"/>
          <w:b/>
          <w:bCs/>
          <w:color w:val="auto"/>
          <w:sz w:val="28"/>
          <w:szCs w:val="28"/>
          <w:highlight w:val="none"/>
        </w:rPr>
      </w:pPr>
    </w:p>
    <w:p>
      <w:pPr>
        <w:pStyle w:val="12"/>
        <w:snapToGrid w:val="0"/>
        <w:spacing w:beforeLines="0" w:afterLines="0"/>
        <w:jc w:val="center"/>
        <w:outlineLvl w:val="0"/>
        <w:rPr>
          <w:rFonts w:ascii="黑体" w:hAnsi="宋体" w:eastAsia="黑体"/>
          <w:b/>
          <w:bCs/>
          <w:color w:val="auto"/>
          <w:sz w:val="28"/>
          <w:szCs w:val="28"/>
          <w:highlight w:val="none"/>
        </w:rPr>
      </w:pPr>
      <w:r>
        <w:rPr>
          <w:rFonts w:hint="eastAsia" w:ascii="黑体" w:hAnsi="宋体" w:eastAsia="黑体"/>
          <w:b/>
          <w:bCs/>
          <w:color w:val="auto"/>
          <w:sz w:val="28"/>
          <w:szCs w:val="28"/>
          <w:highlight w:val="none"/>
        </w:rPr>
        <w:t>采购合同（仅作参考</w:t>
      </w:r>
      <w:r>
        <w:rPr>
          <w:rFonts w:ascii="黑体" w:hAnsi="宋体" w:eastAsia="黑体"/>
          <w:b/>
          <w:bCs/>
          <w:color w:val="auto"/>
          <w:sz w:val="28"/>
          <w:szCs w:val="28"/>
          <w:highlight w:val="none"/>
        </w:rPr>
        <w:t>）</w:t>
      </w:r>
    </w:p>
    <w:p>
      <w:pPr>
        <w:widowControl/>
        <w:spacing w:line="400" w:lineRule="exact"/>
        <w:ind w:firstLine="420" w:firstLineChars="200"/>
        <w:jc w:val="left"/>
        <w:rPr>
          <w:rFonts w:asciiTheme="minorEastAsia" w:hAnsiTheme="minorEastAsia" w:eastAsiaTheme="minorEastAsia"/>
          <w:color w:val="auto"/>
          <w:szCs w:val="21"/>
          <w:highlight w:val="none"/>
        </w:rPr>
      </w:pP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项目名称：</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甲方（需方）：                                     </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乙方（供方）：                                     </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供、需双方根据</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项目（</w:t>
      </w:r>
      <w:r>
        <w:rPr>
          <w:rFonts w:hint="eastAsia" w:asciiTheme="minorEastAsia" w:hAnsiTheme="minorEastAsia" w:eastAsiaTheme="minorEastAsia"/>
          <w:color w:val="auto"/>
          <w:szCs w:val="21"/>
          <w:highlight w:val="none"/>
          <w:lang w:val="en-US" w:eastAsia="zh-CN"/>
        </w:rPr>
        <w:t>项目</w:t>
      </w:r>
      <w:r>
        <w:rPr>
          <w:rFonts w:hint="eastAsia" w:asciiTheme="minorEastAsia" w:hAnsiTheme="minorEastAsia" w:eastAsiaTheme="minorEastAsia"/>
          <w:color w:val="auto"/>
          <w:szCs w:val="21"/>
          <w:highlight w:val="none"/>
        </w:rPr>
        <w:t>编号:</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）招标结果和招标文件的要求，并经双方协调一致，订立本采购合同。</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一、合同文件：</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1、合同条款。</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2、中标通知书。</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3、招标文件。</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4、更正公告。</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5、中标人投标文件。</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6、其他。</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二、合同金额: 本合同金额为(大写)_________________元（</w:t>
      </w:r>
      <w:r>
        <w:rPr>
          <w:rFonts w:hint="eastAsia" w:ascii="微软雅黑" w:hAnsi="微软雅黑" w:eastAsia="微软雅黑"/>
          <w:color w:val="auto"/>
          <w:szCs w:val="21"/>
          <w:highlight w:val="none"/>
          <w:shd w:val="clear" w:color="auto" w:fill="FFFFFF"/>
        </w:rPr>
        <w:t>¥</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元）人民币。附：《采购项目清单内容》</w:t>
      </w:r>
    </w:p>
    <w:tbl>
      <w:tblPr>
        <w:tblStyle w:val="24"/>
        <w:tblW w:w="88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1692"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采购项目</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中标内容</w:t>
            </w:r>
          </w:p>
        </w:tc>
        <w:tc>
          <w:tcPr>
            <w:tcW w:w="1758"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中标单价（元）</w:t>
            </w:r>
          </w:p>
        </w:tc>
        <w:tc>
          <w:tcPr>
            <w:tcW w:w="762"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数量</w:t>
            </w:r>
          </w:p>
        </w:tc>
        <w:tc>
          <w:tcPr>
            <w:tcW w:w="1867"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中标总价（元）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1692"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20" w:firstLineChars="200"/>
              <w:jc w:val="center"/>
              <w:rPr>
                <w:rFonts w:asciiTheme="minorEastAsia" w:hAnsiTheme="minorEastAsia" w:eastAsiaTheme="minorEastAsia"/>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20" w:firstLineChars="200"/>
              <w:jc w:val="center"/>
              <w:rPr>
                <w:rFonts w:asciiTheme="minorEastAsia" w:hAnsiTheme="minorEastAsia" w:eastAsiaTheme="minorEastAsia"/>
                <w:color w:val="auto"/>
                <w:szCs w:val="21"/>
                <w:highlight w:val="none"/>
              </w:rPr>
            </w:pPr>
          </w:p>
        </w:tc>
        <w:tc>
          <w:tcPr>
            <w:tcW w:w="1758"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20" w:firstLineChars="200"/>
              <w:jc w:val="center"/>
              <w:rPr>
                <w:rFonts w:asciiTheme="minorEastAsia" w:hAnsiTheme="minorEastAsia" w:eastAsiaTheme="minorEastAsia"/>
                <w:color w:val="auto"/>
                <w:szCs w:val="21"/>
                <w:highlight w:val="none"/>
              </w:rPr>
            </w:pPr>
          </w:p>
        </w:tc>
        <w:tc>
          <w:tcPr>
            <w:tcW w:w="762"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20" w:firstLineChars="200"/>
              <w:jc w:val="center"/>
              <w:rPr>
                <w:rFonts w:asciiTheme="minorEastAsia" w:hAnsiTheme="minorEastAsia" w:eastAsiaTheme="minorEastAsia"/>
                <w:color w:val="auto"/>
                <w:szCs w:val="21"/>
                <w:highlight w:val="none"/>
              </w:rPr>
            </w:pPr>
          </w:p>
        </w:tc>
        <w:tc>
          <w:tcPr>
            <w:tcW w:w="1867"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20" w:firstLineChars="200"/>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pPr>
              <w:widowControl/>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1692"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20" w:firstLineChars="200"/>
              <w:jc w:val="center"/>
              <w:rPr>
                <w:rFonts w:asciiTheme="minorEastAsia" w:hAnsiTheme="minorEastAsia" w:eastAsiaTheme="minorEastAsia"/>
                <w:color w:val="auto"/>
                <w:szCs w:val="21"/>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20" w:firstLineChars="200"/>
              <w:jc w:val="center"/>
              <w:rPr>
                <w:rFonts w:asciiTheme="minorEastAsia" w:hAnsiTheme="minorEastAsia" w:eastAsiaTheme="minorEastAsia"/>
                <w:color w:val="auto"/>
                <w:szCs w:val="21"/>
                <w:highlight w:val="none"/>
              </w:rPr>
            </w:pPr>
          </w:p>
        </w:tc>
        <w:tc>
          <w:tcPr>
            <w:tcW w:w="1758"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20" w:firstLineChars="200"/>
              <w:jc w:val="center"/>
              <w:rPr>
                <w:rFonts w:asciiTheme="minorEastAsia" w:hAnsiTheme="minorEastAsia" w:eastAsiaTheme="minorEastAsia"/>
                <w:color w:val="auto"/>
                <w:szCs w:val="21"/>
                <w:highlight w:val="none"/>
              </w:rPr>
            </w:pPr>
          </w:p>
        </w:tc>
        <w:tc>
          <w:tcPr>
            <w:tcW w:w="762"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20" w:firstLineChars="200"/>
              <w:jc w:val="center"/>
              <w:rPr>
                <w:rFonts w:asciiTheme="minorEastAsia" w:hAnsiTheme="minorEastAsia" w:eastAsiaTheme="minorEastAsia"/>
                <w:color w:val="auto"/>
                <w:szCs w:val="21"/>
                <w:highlight w:val="none"/>
              </w:rPr>
            </w:pPr>
          </w:p>
        </w:tc>
        <w:tc>
          <w:tcPr>
            <w:tcW w:w="1867"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firstLine="420" w:firstLineChars="200"/>
              <w:jc w:val="center"/>
              <w:rPr>
                <w:rFonts w:asciiTheme="minorEastAsia" w:hAnsiTheme="minorEastAsia" w:eastAsiaTheme="minorEastAsia"/>
                <w:color w:val="auto"/>
                <w:szCs w:val="21"/>
                <w:highlight w:val="none"/>
              </w:rPr>
            </w:pPr>
          </w:p>
        </w:tc>
      </w:tr>
    </w:tbl>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三、技术资料</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乙方应按招标文件规定的时间向甲方提供有关技术资料。</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四、知识产权</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乙方应保证提供服务过程中不会侵犯任何第三方的知识产权。</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五</w:t>
      </w:r>
      <w:r>
        <w:rPr>
          <w:rFonts w:asciiTheme="minorEastAsia" w:hAnsiTheme="minorEastAsia" w:eastAsiaTheme="minorEastAsia"/>
          <w:color w:val="auto"/>
          <w:szCs w:val="21"/>
          <w:highlight w:val="none"/>
        </w:rPr>
        <w:t>、履约保证金</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乙方交纳人民币</w:t>
      </w:r>
      <w:r>
        <w:rPr>
          <w:rFonts w:hint="eastAsia" w:asciiTheme="minorEastAsia" w:hAnsiTheme="minorEastAsia" w:eastAsiaTheme="minorEastAsia"/>
          <w:color w:val="auto"/>
          <w:szCs w:val="21"/>
          <w:highlight w:val="none"/>
          <w:u w:val="single"/>
        </w:rPr>
        <w:t xml:space="preserve">        </w:t>
      </w:r>
      <w:r>
        <w:rPr>
          <w:rFonts w:asciiTheme="minorEastAsia" w:hAnsiTheme="minorEastAsia" w:eastAsiaTheme="minorEastAsia"/>
          <w:color w:val="auto"/>
          <w:szCs w:val="21"/>
          <w:highlight w:val="none"/>
        </w:rPr>
        <w:t>元作为本合同的履约保证金。</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六、转包或分包</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.本合同范围的服务，应由</w:t>
      </w:r>
      <w:r>
        <w:rPr>
          <w:rFonts w:asciiTheme="minorEastAsia" w:hAnsiTheme="minorEastAsia" w:eastAsiaTheme="minorEastAsia"/>
          <w:color w:val="auto"/>
          <w:szCs w:val="21"/>
          <w:highlight w:val="none"/>
        </w:rPr>
        <w:t>乙</w:t>
      </w:r>
      <w:r>
        <w:rPr>
          <w:rFonts w:hint="eastAsia" w:asciiTheme="minorEastAsia" w:hAnsiTheme="minorEastAsia" w:eastAsiaTheme="minorEastAsia"/>
          <w:color w:val="auto"/>
          <w:szCs w:val="21"/>
          <w:highlight w:val="none"/>
        </w:rPr>
        <w:t>方直接供应，不得转让他人供应；</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.除非得到甲方的书面同意，</w:t>
      </w:r>
      <w:r>
        <w:rPr>
          <w:rFonts w:asciiTheme="minorEastAsia" w:hAnsiTheme="minorEastAsia" w:eastAsiaTheme="minorEastAsia"/>
          <w:color w:val="auto"/>
          <w:szCs w:val="21"/>
          <w:highlight w:val="none"/>
        </w:rPr>
        <w:t>乙</w:t>
      </w:r>
      <w:r>
        <w:rPr>
          <w:rFonts w:hint="eastAsia" w:asciiTheme="minorEastAsia" w:hAnsiTheme="minorEastAsia" w:eastAsiaTheme="minorEastAsia"/>
          <w:color w:val="auto"/>
          <w:szCs w:val="21"/>
          <w:highlight w:val="none"/>
        </w:rPr>
        <w:t>方不得将本合同范围的服务全部或部分分包给他人供应；</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.如有转让和未经甲方同意的分包行为，甲方有权解除合同，没收履约保证金并追究乙方的违约责任。</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七</w:t>
      </w:r>
      <w:r>
        <w:rPr>
          <w:rFonts w:asciiTheme="minorEastAsia" w:hAnsiTheme="minorEastAsia" w:eastAsiaTheme="minorEastAsia"/>
          <w:color w:val="auto"/>
          <w:szCs w:val="21"/>
          <w:highlight w:val="none"/>
        </w:rPr>
        <w:t>、服务质量保证期 (选用)</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服务质量保证期</w:t>
      </w:r>
      <w:r>
        <w:rPr>
          <w:rFonts w:asciiTheme="minorEastAsia" w:hAnsiTheme="minorEastAsia" w:eastAsiaTheme="minorEastAsia"/>
          <w:color w:val="auto"/>
          <w:szCs w:val="21"/>
          <w:highlight w:val="none"/>
          <w:u w:val="single"/>
        </w:rPr>
        <w:t xml:space="preserve">      </w:t>
      </w:r>
      <w:r>
        <w:rPr>
          <w:rFonts w:asciiTheme="minorEastAsia" w:hAnsiTheme="minorEastAsia" w:eastAsiaTheme="minorEastAsia"/>
          <w:color w:val="auto"/>
          <w:szCs w:val="21"/>
          <w:highlight w:val="none"/>
        </w:rPr>
        <w:t>年。（自验收合格之日起计）</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八</w:t>
      </w:r>
      <w:r>
        <w:rPr>
          <w:rFonts w:asciiTheme="minorEastAsia" w:hAnsiTheme="minorEastAsia" w:eastAsiaTheme="minorEastAsia"/>
          <w:color w:val="auto"/>
          <w:szCs w:val="21"/>
          <w:highlight w:val="none"/>
        </w:rPr>
        <w:t>、合同履行时间、履行方式及履行地点</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 xml:space="preserve"> 履行时间：</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 xml:space="preserve"> 履行方式：</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 xml:space="preserve"> 履行地点：</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九、款项支付</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asciiTheme="minorEastAsia" w:hAnsiTheme="minorEastAsia" w:eastAsiaTheme="minorEastAsia"/>
          <w:color w:val="auto"/>
          <w:szCs w:val="21"/>
          <w:highlight w:val="none"/>
        </w:rPr>
        <w:t>付款方式：</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2.合同履行完毕，需方根据合同进行验收，验收合格后供应商按财政结算要求办理货款结算手续。</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十、税费</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本合同执行中相关的一切税费均由</w:t>
      </w:r>
      <w:r>
        <w:rPr>
          <w:rFonts w:asciiTheme="minorEastAsia" w:hAnsiTheme="minorEastAsia" w:eastAsiaTheme="minorEastAsia"/>
          <w:color w:val="auto"/>
          <w:szCs w:val="21"/>
          <w:highlight w:val="none"/>
        </w:rPr>
        <w:t>乙</w:t>
      </w:r>
      <w:r>
        <w:rPr>
          <w:rFonts w:hint="eastAsia" w:asciiTheme="minorEastAsia" w:hAnsiTheme="minorEastAsia" w:eastAsiaTheme="minorEastAsia"/>
          <w:color w:val="auto"/>
          <w:szCs w:val="21"/>
          <w:highlight w:val="none"/>
        </w:rPr>
        <w:t>方负担。</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十</w:t>
      </w:r>
      <w:r>
        <w:rPr>
          <w:rFonts w:hint="eastAsia" w:asciiTheme="minorEastAsia" w:hAnsiTheme="minorEastAsia" w:eastAsiaTheme="minorEastAsia"/>
          <w:color w:val="auto"/>
          <w:szCs w:val="21"/>
          <w:highlight w:val="none"/>
        </w:rPr>
        <w:t>一</w:t>
      </w:r>
      <w:r>
        <w:rPr>
          <w:rFonts w:asciiTheme="minorEastAsia" w:hAnsiTheme="minorEastAsia" w:eastAsiaTheme="minorEastAsia"/>
          <w:color w:val="auto"/>
          <w:szCs w:val="21"/>
          <w:highlight w:val="none"/>
        </w:rPr>
        <w:t>、质量保证及后续服务</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乙方应按招标文件规定向甲方提供服务。</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乙方提供的服务成果在服务质量保证期内发生故障，乙方应负责免费提供后续服务。对达不到要求者，根据实际情况，经双方协商，可按以下办法处理：</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⑴</w:t>
      </w:r>
      <w:r>
        <w:rPr>
          <w:rFonts w:asciiTheme="minorEastAsia" w:hAnsiTheme="minorEastAsia" w:eastAsiaTheme="minorEastAsia"/>
          <w:color w:val="auto"/>
          <w:szCs w:val="21"/>
          <w:highlight w:val="none"/>
        </w:rPr>
        <w:t>重做：由乙方承担所发生的全部费用。</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⑵</w:t>
      </w:r>
      <w:r>
        <w:rPr>
          <w:rFonts w:asciiTheme="minorEastAsia" w:hAnsiTheme="minorEastAsia" w:eastAsiaTheme="minorEastAsia"/>
          <w:color w:val="auto"/>
          <w:szCs w:val="21"/>
          <w:highlight w:val="none"/>
        </w:rPr>
        <w:t>贬值处理：由甲乙双方合议定价。</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⑶</w:t>
      </w:r>
      <w:r>
        <w:rPr>
          <w:rFonts w:asciiTheme="minorEastAsia" w:hAnsiTheme="minorEastAsia" w:eastAsiaTheme="minorEastAsia"/>
          <w:color w:val="auto"/>
          <w:szCs w:val="21"/>
          <w:highlight w:val="none"/>
        </w:rPr>
        <w:t>解除合同。</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如在使用过程中发生问题，乙方在接到甲方通知后在</w:t>
      </w:r>
      <w:r>
        <w:rPr>
          <w:rFonts w:hint="eastAsia" w:asciiTheme="minorEastAsia" w:hAnsiTheme="minorEastAsia" w:eastAsiaTheme="minorEastAsia"/>
          <w:color w:val="auto"/>
          <w:szCs w:val="21"/>
          <w:highlight w:val="none"/>
          <w:u w:val="single"/>
        </w:rPr>
        <w:t xml:space="preserve">      </w:t>
      </w:r>
      <w:r>
        <w:rPr>
          <w:rFonts w:asciiTheme="minorEastAsia" w:hAnsiTheme="minorEastAsia" w:eastAsiaTheme="minorEastAsia"/>
          <w:color w:val="auto"/>
          <w:szCs w:val="21"/>
          <w:highlight w:val="none"/>
        </w:rPr>
        <w:t>小时内到达甲方现场。</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4</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在服务质量保证期内，乙方应对出现的质量及安全问题负责处理解决并承担一切费用。</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十</w:t>
      </w:r>
      <w:r>
        <w:rPr>
          <w:rFonts w:hint="eastAsia" w:asciiTheme="minorEastAsia" w:hAnsiTheme="minorEastAsia" w:eastAsiaTheme="minorEastAsia"/>
          <w:color w:val="auto"/>
          <w:szCs w:val="21"/>
          <w:highlight w:val="none"/>
        </w:rPr>
        <w:t>二</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违约责任</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1.甲方无正当理由拒绝接收服务的，甲方向乙方偿付合同款项百分之五作为违约金。</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2.甲方无故逾期验收和办理款项支付手续的，甲方应按逾期付款总额每日万分之五向乙方支付违约金。</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乙方未能如期提供服务的，每日向甲方支付合同款项的千分之六作为违约金。乙方超过约定日期10个工作日仍不能提供服务的，甲方可解除本合同，不予退还履约保证金，如造成甲方损失超过履约保证金的，超出部分由乙方继续承担赔偿责任。</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4.供方在服务项目验收合格之日起保修期内违反本合同有关承诺保证的，由乙方承担赔偿。</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5.如发现乙方违反招投标文件和合同的有关规定，甲方有权根据约定对乙方进行处罚，并有权提前终止合同。</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十三、争议的解决</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因本合同引起的或与本合同有关的任何争议，合同双方应首先通过协商解决，达成书面协议，如协商不成，可选择下列第</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种方式解决。</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（1）提请宁海县仲裁委员会按照该会仲裁规则进行仲裁，仲裁裁决是终局的，对合同双方均有约束力。</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（2）向有管辖权的人民法院提起诉讼。</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十四、合同生效</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1.中标方持中标通知书作为与需方签订合同的凭证。</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2.本合同经需、供双方法定代表人或其授权委托人签字并加盖单位公章后生效。</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3.合同执行中涉及采购资金和采购内容修改或补充的，须经财政部门审批，并签书面补充协议报政府采购监督管理部门备案，方可作为主合同不可分割的一部分。</w:t>
      </w:r>
      <w:r>
        <w:rPr>
          <w:rFonts w:hint="eastAsia" w:asciiTheme="minorEastAsia" w:hAnsiTheme="minorEastAsia" w:eastAsiaTheme="minorEastAsia"/>
          <w:color w:val="auto"/>
          <w:szCs w:val="21"/>
          <w:highlight w:val="none"/>
        </w:rPr>
        <w:br w:type="textWrapping"/>
      </w:r>
      <w:r>
        <w:rPr>
          <w:rFonts w:hint="eastAsia" w:asciiTheme="minorEastAsia" w:hAnsiTheme="minorEastAsia" w:eastAsiaTheme="minorEastAsia"/>
          <w:color w:val="auto"/>
          <w:szCs w:val="21"/>
          <w:highlight w:val="none"/>
        </w:rPr>
        <w:t xml:space="preserve">    4.本合同未尽事宜，遵照《</w:t>
      </w:r>
      <w:r>
        <w:rPr>
          <w:rFonts w:hint="eastAsia" w:asciiTheme="minorEastAsia" w:hAnsiTheme="minorEastAsia" w:eastAsiaTheme="minorEastAsia"/>
          <w:color w:val="auto"/>
          <w:szCs w:val="21"/>
          <w:highlight w:val="none"/>
          <w:lang w:val="en-US" w:eastAsia="zh-CN"/>
        </w:rPr>
        <w:t>民法典</w:t>
      </w:r>
      <w:r>
        <w:rPr>
          <w:rFonts w:hint="eastAsia" w:asciiTheme="minorEastAsia" w:hAnsiTheme="minorEastAsia" w:eastAsiaTheme="minorEastAsia"/>
          <w:color w:val="auto"/>
          <w:szCs w:val="21"/>
          <w:highlight w:val="none"/>
        </w:rPr>
        <w:t>》有关条文执行。</w:t>
      </w:r>
      <w:r>
        <w:rPr>
          <w:rFonts w:hint="eastAsia" w:asciiTheme="minorEastAsia" w:hAnsiTheme="minorEastAsia" w:eastAsiaTheme="minorEastAsia"/>
          <w:color w:val="auto"/>
          <w:szCs w:val="21"/>
          <w:highlight w:val="none"/>
        </w:rPr>
        <w:br w:type="textWrapping"/>
      </w:r>
      <w:r>
        <w:rPr>
          <w:rFonts w:hint="eastAsia" w:asciiTheme="minorEastAsia" w:hAnsiTheme="minorEastAsia" w:eastAsiaTheme="minorEastAsia"/>
          <w:color w:val="auto"/>
          <w:szCs w:val="21"/>
          <w:highlight w:val="none"/>
        </w:rPr>
        <w:t xml:space="preserve">    5.本合同正本一式四份，具有同等法律效力，甲乙双方各执一份；</w:t>
      </w:r>
      <w:r>
        <w:rPr>
          <w:rFonts w:hint="eastAsia" w:asciiTheme="minorEastAsia" w:hAnsiTheme="minorEastAsia" w:eastAsiaTheme="minorEastAsia"/>
          <w:color w:val="auto"/>
          <w:szCs w:val="21"/>
          <w:highlight w:val="none"/>
          <w:lang w:val="en-US" w:eastAsia="zh-CN"/>
        </w:rPr>
        <w:t>宁海县政府采购管理办公室</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val="en-US" w:eastAsia="zh-CN"/>
        </w:rPr>
        <w:t>宁海县政务服务中心</w:t>
      </w:r>
      <w:r>
        <w:rPr>
          <w:rFonts w:hint="eastAsia" w:asciiTheme="minorEastAsia" w:hAnsiTheme="minorEastAsia" w:eastAsiaTheme="minorEastAsia"/>
          <w:color w:val="auto"/>
          <w:szCs w:val="21"/>
          <w:highlight w:val="none"/>
        </w:rPr>
        <w:t>各执一份。</w:t>
      </w:r>
    </w:p>
    <w:p>
      <w:pPr>
        <w:widowControl/>
        <w:spacing w:line="400" w:lineRule="exact"/>
        <w:ind w:firstLine="420" w:firstLineChars="200"/>
        <w:jc w:val="left"/>
        <w:rPr>
          <w:rFonts w:asciiTheme="minorEastAsia" w:hAnsiTheme="minorEastAsia" w:eastAsiaTheme="minorEastAsia"/>
          <w:color w:val="auto"/>
          <w:szCs w:val="21"/>
          <w:highlight w:val="none"/>
        </w:rPr>
      </w:pPr>
    </w:p>
    <w:p>
      <w:pPr>
        <w:widowControl/>
        <w:spacing w:line="400" w:lineRule="exact"/>
        <w:ind w:firstLine="420" w:firstLineChars="200"/>
        <w:jc w:val="left"/>
        <w:rPr>
          <w:rFonts w:asciiTheme="minorEastAsia" w:hAnsiTheme="minorEastAsia" w:eastAsiaTheme="minorEastAsia"/>
          <w:color w:val="auto"/>
          <w:szCs w:val="21"/>
          <w:highlight w:val="none"/>
        </w:rPr>
      </w:pPr>
    </w:p>
    <w:p>
      <w:pPr>
        <w:widowControl/>
        <w:spacing w:line="400" w:lineRule="exact"/>
        <w:ind w:firstLine="420" w:firstLineChars="200"/>
        <w:jc w:val="left"/>
        <w:rPr>
          <w:rFonts w:asciiTheme="minorEastAsia" w:hAnsiTheme="minorEastAsia" w:eastAsiaTheme="minorEastAsia"/>
          <w:color w:val="auto"/>
          <w:szCs w:val="21"/>
          <w:highlight w:val="none"/>
        </w:rPr>
      </w:pP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需方（盖章）：                           供方（盖章）：</w:t>
      </w:r>
      <w:r>
        <w:rPr>
          <w:rFonts w:asciiTheme="minorEastAsia" w:hAnsiTheme="minorEastAsia" w:eastAsiaTheme="minorEastAsia"/>
          <w:color w:val="auto"/>
          <w:szCs w:val="21"/>
          <w:highlight w:val="none"/>
        </w:rPr>
        <w:t xml:space="preserve"> </w:t>
      </w:r>
    </w:p>
    <w:p>
      <w:pPr>
        <w:widowControl/>
        <w:spacing w:line="400" w:lineRule="exact"/>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地址：                                   地址：</w:t>
      </w:r>
      <w:r>
        <w:rPr>
          <w:rFonts w:asciiTheme="minorEastAsia" w:hAnsiTheme="minorEastAsia" w:eastAsiaTheme="minorEastAsia"/>
          <w:color w:val="auto"/>
          <w:szCs w:val="21"/>
          <w:highlight w:val="none"/>
        </w:rPr>
        <w:t xml:space="preserve"> </w:t>
      </w:r>
    </w:p>
    <w:p>
      <w:pPr>
        <w:pStyle w:val="12"/>
        <w:snapToGrid w:val="0"/>
        <w:spacing w:beforeLines="0" w:afterLines="0"/>
        <w:ind w:firstLine="420" w:firstLineChars="200"/>
        <w:rPr>
          <w:rFonts w:hAnsi="宋体"/>
          <w:color w:val="auto"/>
          <w:sz w:val="21"/>
          <w:szCs w:val="21"/>
          <w:highlight w:val="none"/>
        </w:rPr>
      </w:pPr>
      <w:r>
        <w:rPr>
          <w:rFonts w:hAnsi="宋体"/>
          <w:color w:val="auto"/>
          <w:sz w:val="21"/>
          <w:szCs w:val="21"/>
          <w:highlight w:val="none"/>
        </w:rPr>
        <w:t>法定</w:t>
      </w:r>
      <w:r>
        <w:rPr>
          <w:rFonts w:hint="eastAsia" w:hAnsi="宋体"/>
          <w:color w:val="auto"/>
          <w:sz w:val="21"/>
          <w:szCs w:val="21"/>
          <w:highlight w:val="none"/>
        </w:rPr>
        <w:t>（授权）</w:t>
      </w:r>
      <w:r>
        <w:rPr>
          <w:rFonts w:hAnsi="宋体"/>
          <w:color w:val="auto"/>
          <w:sz w:val="21"/>
          <w:szCs w:val="21"/>
          <w:highlight w:val="none"/>
        </w:rPr>
        <w:t>代表人：                     法定</w:t>
      </w:r>
      <w:r>
        <w:rPr>
          <w:rFonts w:hint="eastAsia" w:hAnsi="宋体"/>
          <w:color w:val="auto"/>
          <w:sz w:val="21"/>
          <w:szCs w:val="21"/>
          <w:highlight w:val="none"/>
        </w:rPr>
        <w:t>（授权）</w:t>
      </w:r>
      <w:r>
        <w:rPr>
          <w:rFonts w:hAnsi="宋体"/>
          <w:color w:val="auto"/>
          <w:sz w:val="21"/>
          <w:szCs w:val="21"/>
          <w:highlight w:val="none"/>
        </w:rPr>
        <w:t>代表人：</w:t>
      </w:r>
    </w:p>
    <w:p>
      <w:pPr>
        <w:pStyle w:val="12"/>
        <w:snapToGrid w:val="0"/>
        <w:spacing w:beforeLines="0" w:afterLines="0"/>
        <w:ind w:firstLine="420" w:firstLineChars="200"/>
        <w:rPr>
          <w:rFonts w:hAnsi="宋体"/>
          <w:color w:val="auto"/>
          <w:sz w:val="21"/>
          <w:szCs w:val="21"/>
          <w:highlight w:val="none"/>
        </w:rPr>
      </w:pPr>
      <w:r>
        <w:rPr>
          <w:rFonts w:asciiTheme="minorEastAsia" w:hAnsiTheme="minorEastAsia" w:eastAsiaTheme="minorEastAsia"/>
          <w:color w:val="auto"/>
          <w:sz w:val="21"/>
          <w:szCs w:val="21"/>
          <w:highlight w:val="none"/>
        </w:rPr>
        <w:t>联系方式：</w:t>
      </w:r>
      <w:r>
        <w:rPr>
          <w:rFonts w:hint="eastAsia" w:asciiTheme="minorEastAsia" w:hAnsiTheme="minorEastAsia" w:eastAsiaTheme="minorEastAsia"/>
          <w:color w:val="auto"/>
          <w:sz w:val="21"/>
          <w:szCs w:val="21"/>
          <w:highlight w:val="none"/>
        </w:rPr>
        <w:t xml:space="preserve">                               </w:t>
      </w:r>
      <w:r>
        <w:rPr>
          <w:rFonts w:asciiTheme="minorEastAsia" w:hAnsiTheme="minorEastAsia" w:eastAsiaTheme="minorEastAsia"/>
          <w:color w:val="auto"/>
          <w:sz w:val="21"/>
          <w:szCs w:val="21"/>
          <w:highlight w:val="none"/>
        </w:rPr>
        <w:t>联系方式：</w:t>
      </w:r>
    </w:p>
    <w:p>
      <w:pPr>
        <w:pStyle w:val="12"/>
        <w:snapToGrid w:val="0"/>
        <w:spacing w:beforeLines="0" w:afterLines="0"/>
        <w:ind w:firstLine="420" w:firstLineChars="200"/>
        <w:rPr>
          <w:rFonts w:hAnsi="宋体"/>
          <w:color w:val="auto"/>
          <w:sz w:val="21"/>
          <w:szCs w:val="21"/>
          <w:highlight w:val="none"/>
        </w:rPr>
      </w:pPr>
      <w:r>
        <w:rPr>
          <w:rFonts w:hAnsi="宋体"/>
          <w:color w:val="auto"/>
          <w:sz w:val="21"/>
          <w:szCs w:val="21"/>
          <w:highlight w:val="none"/>
        </w:rPr>
        <w:t>签</w:t>
      </w:r>
      <w:r>
        <w:rPr>
          <w:rFonts w:hint="eastAsia" w:hAnsi="宋体"/>
          <w:color w:val="auto"/>
          <w:sz w:val="21"/>
          <w:szCs w:val="21"/>
          <w:highlight w:val="none"/>
        </w:rPr>
        <w:t>字日期</w:t>
      </w:r>
      <w:r>
        <w:rPr>
          <w:rFonts w:hAnsi="宋体"/>
          <w:color w:val="auto"/>
          <w:sz w:val="21"/>
          <w:szCs w:val="21"/>
          <w:highlight w:val="none"/>
        </w:rPr>
        <w:t xml:space="preserve">：      年  月  日  </w:t>
      </w:r>
      <w:r>
        <w:rPr>
          <w:rFonts w:hint="eastAsia" w:hAnsi="宋体"/>
          <w:color w:val="auto"/>
          <w:sz w:val="21"/>
          <w:szCs w:val="21"/>
          <w:highlight w:val="none"/>
        </w:rPr>
        <w:t xml:space="preserve">    </w:t>
      </w:r>
      <w:r>
        <w:rPr>
          <w:rFonts w:hAnsi="宋体"/>
          <w:color w:val="auto"/>
          <w:sz w:val="21"/>
          <w:szCs w:val="21"/>
          <w:highlight w:val="none"/>
        </w:rPr>
        <w:t xml:space="preserve">     </w:t>
      </w:r>
      <w:r>
        <w:rPr>
          <w:rFonts w:hint="eastAsia" w:hAnsi="宋体"/>
          <w:color w:val="auto"/>
          <w:sz w:val="21"/>
          <w:szCs w:val="21"/>
          <w:highlight w:val="none"/>
        </w:rPr>
        <w:t xml:space="preserve">    </w:t>
      </w:r>
      <w:r>
        <w:rPr>
          <w:rFonts w:hAnsi="宋体"/>
          <w:color w:val="auto"/>
          <w:sz w:val="21"/>
          <w:szCs w:val="21"/>
          <w:highlight w:val="none"/>
        </w:rPr>
        <w:t>签</w:t>
      </w:r>
      <w:r>
        <w:rPr>
          <w:rFonts w:hint="eastAsia" w:hAnsi="宋体"/>
          <w:color w:val="auto"/>
          <w:sz w:val="21"/>
          <w:szCs w:val="21"/>
          <w:highlight w:val="none"/>
        </w:rPr>
        <w:t>字</w:t>
      </w:r>
      <w:r>
        <w:rPr>
          <w:rFonts w:hAnsi="宋体"/>
          <w:color w:val="auto"/>
          <w:sz w:val="21"/>
          <w:szCs w:val="21"/>
          <w:highlight w:val="none"/>
        </w:rPr>
        <w:t>日期：      年  月  日</w:t>
      </w:r>
    </w:p>
    <w:p>
      <w:pPr>
        <w:widowControl/>
        <w:spacing w:line="400" w:lineRule="exact"/>
        <w:ind w:firstLine="420" w:firstLineChars="200"/>
        <w:jc w:val="left"/>
        <w:rPr>
          <w:rFonts w:asciiTheme="minorEastAsia" w:hAnsiTheme="minorEastAsia" w:eastAsiaTheme="minorEastAsia"/>
          <w:color w:val="auto"/>
          <w:szCs w:val="21"/>
          <w:highlight w:val="none"/>
        </w:rPr>
      </w:pPr>
    </w:p>
    <w:p>
      <w:pPr>
        <w:pStyle w:val="12"/>
        <w:snapToGrid w:val="0"/>
        <w:spacing w:beforeLines="0" w:afterLines="0"/>
        <w:ind w:firstLine="420" w:firstLineChars="200"/>
        <w:rPr>
          <w:rFonts w:hAnsi="宋体"/>
          <w:color w:val="auto"/>
          <w:sz w:val="21"/>
          <w:szCs w:val="21"/>
          <w:highlight w:val="none"/>
        </w:rPr>
      </w:pPr>
    </w:p>
    <w:p>
      <w:pPr>
        <w:pStyle w:val="12"/>
        <w:snapToGrid w:val="0"/>
        <w:spacing w:beforeLines="0" w:afterLines="0"/>
        <w:ind w:firstLine="420" w:firstLineChars="200"/>
        <w:rPr>
          <w:rFonts w:hAnsi="宋体"/>
          <w:color w:val="auto"/>
          <w:sz w:val="21"/>
          <w:szCs w:val="21"/>
          <w:highlight w:val="none"/>
        </w:rPr>
      </w:pPr>
    </w:p>
    <w:p>
      <w:pPr>
        <w:pStyle w:val="12"/>
        <w:snapToGrid w:val="0"/>
        <w:spacing w:beforeLines="0" w:afterLines="0"/>
        <w:ind w:firstLine="420" w:firstLineChars="200"/>
        <w:rPr>
          <w:rFonts w:hAnsi="宋体"/>
          <w:color w:val="auto"/>
          <w:sz w:val="21"/>
          <w:szCs w:val="21"/>
          <w:highlight w:val="none"/>
        </w:rPr>
      </w:pPr>
    </w:p>
    <w:p>
      <w:pPr>
        <w:pStyle w:val="12"/>
        <w:snapToGrid w:val="0"/>
        <w:spacing w:beforeLines="0" w:afterLines="0"/>
        <w:ind w:firstLine="420" w:firstLineChars="200"/>
        <w:rPr>
          <w:rFonts w:hint="eastAsia" w:hAnsi="宋体" w:eastAsia="宋体"/>
          <w:color w:val="auto"/>
          <w:sz w:val="21"/>
          <w:szCs w:val="21"/>
          <w:highlight w:val="none"/>
          <w:lang w:eastAsia="zh-CN"/>
        </w:rPr>
      </w:pPr>
      <w:r>
        <w:rPr>
          <w:rFonts w:hint="eastAsia" w:hAnsi="宋体"/>
          <w:color w:val="auto"/>
          <w:sz w:val="21"/>
          <w:szCs w:val="21"/>
          <w:highlight w:val="none"/>
        </w:rPr>
        <w:t>合同见证方：</w:t>
      </w:r>
      <w:r>
        <w:rPr>
          <w:rFonts w:hint="eastAsia" w:hAnsi="宋体"/>
          <w:color w:val="auto"/>
          <w:sz w:val="21"/>
          <w:szCs w:val="21"/>
          <w:highlight w:val="none"/>
          <w:lang w:eastAsia="zh-CN"/>
        </w:rPr>
        <w:t>宁海县政务服务中心</w:t>
      </w:r>
    </w:p>
    <w:p>
      <w:pPr>
        <w:pStyle w:val="12"/>
        <w:snapToGrid w:val="0"/>
        <w:spacing w:beforeLines="0" w:afterLines="0"/>
        <w:ind w:firstLine="420" w:firstLineChars="200"/>
        <w:rPr>
          <w:rFonts w:hAnsi="宋体"/>
          <w:color w:val="auto"/>
          <w:sz w:val="21"/>
          <w:szCs w:val="21"/>
          <w:highlight w:val="none"/>
        </w:rPr>
      </w:pPr>
      <w:r>
        <w:rPr>
          <w:rFonts w:hint="eastAsia" w:hAnsi="宋体"/>
          <w:color w:val="auto"/>
          <w:sz w:val="21"/>
          <w:szCs w:val="21"/>
          <w:highlight w:val="none"/>
        </w:rPr>
        <w:t xml:space="preserve">见证日期：      </w:t>
      </w:r>
      <w:r>
        <w:rPr>
          <w:rFonts w:hAnsi="宋体"/>
          <w:color w:val="auto"/>
          <w:sz w:val="21"/>
          <w:szCs w:val="21"/>
          <w:highlight w:val="none"/>
        </w:rPr>
        <w:t>年  月  日</w:t>
      </w:r>
    </w:p>
    <w:p>
      <w:pPr>
        <w:pStyle w:val="12"/>
        <w:keepNext w:val="0"/>
        <w:keepLines w:val="0"/>
        <w:pageBreakBefore w:val="0"/>
        <w:kinsoku/>
        <w:wordWrap/>
        <w:overflowPunct/>
        <w:topLinePunct w:val="0"/>
        <w:autoSpaceDE/>
        <w:autoSpaceDN/>
        <w:bidi w:val="0"/>
        <w:adjustRightInd/>
        <w:snapToGrid w:val="0"/>
        <w:spacing w:beforeLines="0" w:afterLines="0"/>
        <w:textAlignment w:val="auto"/>
        <w:outlineLvl w:val="0"/>
        <w:rPr>
          <w:rFonts w:ascii="黑体" w:hAnsi="宋体" w:eastAsia="黑体"/>
          <w:b/>
          <w:bCs/>
          <w:color w:val="auto"/>
          <w:sz w:val="28"/>
          <w:szCs w:val="28"/>
          <w:highlight w:val="none"/>
        </w:rPr>
      </w:pPr>
    </w:p>
    <w:p>
      <w:pPr>
        <w:pStyle w:val="12"/>
        <w:snapToGrid w:val="0"/>
        <w:spacing w:beforeLines="0" w:afterLines="0"/>
        <w:outlineLvl w:val="0"/>
        <w:rPr>
          <w:rFonts w:ascii="黑体" w:hAnsi="宋体" w:eastAsia="黑体"/>
          <w:b/>
          <w:bCs/>
          <w:color w:val="auto"/>
          <w:sz w:val="28"/>
          <w:szCs w:val="28"/>
          <w:highlight w:val="none"/>
        </w:rPr>
      </w:pPr>
    </w:p>
    <w:p>
      <w:pPr>
        <w:spacing w:line="400" w:lineRule="exact"/>
        <w:jc w:val="center"/>
        <w:rPr>
          <w:color w:val="auto"/>
          <w:highlight w:val="none"/>
        </w:rPr>
      </w:pPr>
      <w:r>
        <w:rPr>
          <w:rFonts w:hint="eastAsia" w:ascii="黑体" w:hAnsi="宋体" w:eastAsia="黑体"/>
          <w:b/>
          <w:bCs/>
          <w:color w:val="auto"/>
          <w:sz w:val="28"/>
          <w:szCs w:val="28"/>
          <w:highlight w:val="none"/>
        </w:rPr>
        <w:t>第六章  投标文件格式</w:t>
      </w:r>
    </w:p>
    <w:p>
      <w:pPr>
        <w:snapToGrid w:val="0"/>
        <w:spacing w:line="400" w:lineRule="exact"/>
        <w:ind w:left="645"/>
        <w:rPr>
          <w:rFonts w:ascii="宋体" w:hAnsi="宋体"/>
          <w:bCs/>
          <w:color w:val="auto"/>
          <w:szCs w:val="21"/>
          <w:highlight w:val="none"/>
        </w:rPr>
      </w:pPr>
    </w:p>
    <w:p>
      <w:pPr>
        <w:snapToGrid w:val="0"/>
        <w:spacing w:line="400" w:lineRule="exact"/>
        <w:ind w:firstLine="420" w:firstLineChars="200"/>
        <w:jc w:val="center"/>
        <w:outlineLvl w:val="1"/>
        <w:rPr>
          <w:rFonts w:ascii="宋体" w:hAnsi="宋体"/>
          <w:bCs/>
          <w:color w:val="auto"/>
          <w:szCs w:val="21"/>
          <w:highlight w:val="none"/>
        </w:rPr>
      </w:pPr>
      <w:r>
        <w:rPr>
          <w:rFonts w:hint="eastAsia" w:ascii="宋体" w:hAnsi="宋体"/>
          <w:color w:val="auto"/>
          <w:szCs w:val="21"/>
          <w:highlight w:val="none"/>
        </w:rPr>
        <w:t>一、</w:t>
      </w:r>
      <w:r>
        <w:rPr>
          <w:rFonts w:hint="eastAsia" w:ascii="宋体" w:hAnsi="宋体"/>
          <w:bCs/>
          <w:color w:val="auto"/>
          <w:szCs w:val="21"/>
          <w:highlight w:val="none"/>
        </w:rPr>
        <w:t>技术商务文件格式</w:t>
      </w: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rPr>
          <w:rFonts w:ascii="宋体" w:hAnsi="宋体"/>
          <w:color w:val="auto"/>
          <w:szCs w:val="21"/>
          <w:highlight w:val="none"/>
        </w:rPr>
      </w:pP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1.技术商务文件封面格式：</w:t>
      </w:r>
    </w:p>
    <w:p>
      <w:pPr>
        <w:snapToGrid w:val="0"/>
        <w:spacing w:line="400" w:lineRule="exact"/>
        <w:ind w:firstLine="5985" w:firstLineChars="2850"/>
        <w:rPr>
          <w:rFonts w:ascii="宋体" w:hAnsi="宋体"/>
          <w:bCs/>
          <w:color w:val="auto"/>
          <w:szCs w:val="21"/>
          <w:highlight w:val="none"/>
        </w:rPr>
      </w:pPr>
    </w:p>
    <w:p>
      <w:pPr>
        <w:snapToGrid w:val="0"/>
        <w:spacing w:line="400" w:lineRule="exact"/>
        <w:ind w:firstLine="420" w:firstLineChars="200"/>
        <w:rPr>
          <w:rFonts w:ascii="宋体" w:hAnsi="宋体"/>
          <w:bCs/>
          <w:color w:val="auto"/>
          <w:szCs w:val="21"/>
          <w:highlight w:val="none"/>
        </w:rPr>
      </w:pPr>
    </w:p>
    <w:p>
      <w:pPr>
        <w:snapToGrid w:val="0"/>
        <w:spacing w:line="400" w:lineRule="exact"/>
        <w:ind w:firstLine="420" w:firstLineChars="200"/>
        <w:jc w:val="center"/>
        <w:rPr>
          <w:rFonts w:ascii="宋体" w:hAnsi="宋体"/>
          <w:bCs/>
          <w:color w:val="auto"/>
          <w:szCs w:val="21"/>
          <w:highlight w:val="none"/>
        </w:rPr>
      </w:pPr>
      <w:r>
        <w:rPr>
          <w:rFonts w:hint="eastAsia" w:ascii="宋体" w:hAnsi="宋体"/>
          <w:bCs/>
          <w:color w:val="auto"/>
          <w:szCs w:val="21"/>
          <w:highlight w:val="none"/>
        </w:rPr>
        <w:t>技术商务文件</w:t>
      </w:r>
    </w:p>
    <w:p>
      <w:pPr>
        <w:snapToGrid w:val="0"/>
        <w:spacing w:line="400" w:lineRule="exact"/>
        <w:ind w:firstLine="420" w:firstLineChars="200"/>
        <w:rPr>
          <w:rFonts w:ascii="宋体" w:hAnsi="宋体"/>
          <w:bCs/>
          <w:color w:val="auto"/>
          <w:szCs w:val="21"/>
          <w:highlight w:val="none"/>
        </w:rPr>
      </w:pPr>
    </w:p>
    <w:p>
      <w:pPr>
        <w:snapToGrid w:val="0"/>
        <w:spacing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项目名称：</w:t>
      </w:r>
    </w:p>
    <w:p>
      <w:pPr>
        <w:snapToGrid w:val="0"/>
        <w:spacing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项目编号：</w:t>
      </w:r>
    </w:p>
    <w:p>
      <w:pPr>
        <w:snapToGrid w:val="0"/>
        <w:spacing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标   项：（如有，请填写）</w:t>
      </w:r>
    </w:p>
    <w:p>
      <w:pPr>
        <w:snapToGrid w:val="0"/>
        <w:spacing w:line="400" w:lineRule="exact"/>
        <w:ind w:firstLine="420" w:firstLineChars="200"/>
        <w:outlineLvl w:val="1"/>
        <w:rPr>
          <w:rFonts w:ascii="宋体" w:hAnsi="宋体"/>
          <w:bCs/>
          <w:color w:val="auto"/>
          <w:szCs w:val="21"/>
          <w:highlight w:val="none"/>
        </w:rPr>
      </w:pPr>
      <w:r>
        <w:rPr>
          <w:rFonts w:hint="eastAsia" w:ascii="宋体" w:hAnsi="宋体"/>
          <w:bCs/>
          <w:color w:val="auto"/>
          <w:szCs w:val="21"/>
          <w:highlight w:val="none"/>
        </w:rPr>
        <w:t>投标人名称：</w:t>
      </w:r>
    </w:p>
    <w:p>
      <w:pPr>
        <w:snapToGrid w:val="0"/>
        <w:spacing w:line="400" w:lineRule="exact"/>
        <w:ind w:firstLine="420" w:firstLineChars="200"/>
        <w:rPr>
          <w:rFonts w:ascii="宋体" w:hAnsi="宋体"/>
          <w:color w:val="auto"/>
          <w:szCs w:val="21"/>
          <w:highlight w:val="none"/>
        </w:rPr>
      </w:pPr>
    </w:p>
    <w:p>
      <w:pPr>
        <w:snapToGrid w:val="0"/>
        <w:spacing w:line="400" w:lineRule="exact"/>
        <w:rPr>
          <w:rFonts w:ascii="宋体" w:hAnsi="宋体"/>
          <w:color w:val="auto"/>
          <w:szCs w:val="21"/>
          <w:highlight w:val="none"/>
        </w:rPr>
      </w:pPr>
    </w:p>
    <w:p>
      <w:pPr>
        <w:snapToGrid w:val="0"/>
        <w:spacing w:line="400" w:lineRule="exact"/>
        <w:ind w:firstLine="420" w:firstLineChars="200"/>
        <w:rPr>
          <w:rFonts w:ascii="宋体" w:hAnsi="宋体"/>
          <w:color w:val="auto"/>
          <w:szCs w:val="21"/>
          <w:highlight w:val="none"/>
        </w:rPr>
      </w:pPr>
    </w:p>
    <w:p>
      <w:pPr>
        <w:snapToGrid w:val="0"/>
        <w:spacing w:line="400" w:lineRule="exact"/>
        <w:rPr>
          <w:rFonts w:ascii="宋体" w:hAnsi="宋体"/>
          <w:color w:val="auto"/>
          <w:szCs w:val="21"/>
          <w:highlight w:val="none"/>
        </w:rPr>
      </w:pP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2.评分索引表</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具体内容参见招标文件的评审内容和标准，格式如下：</w:t>
      </w: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5769"/>
        <w:gridCol w:w="1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440" w:type="dxa"/>
            <w:vAlign w:val="center"/>
          </w:tcPr>
          <w:p>
            <w:pPr>
              <w:spacing w:line="400" w:lineRule="exact"/>
              <w:jc w:val="center"/>
              <w:rPr>
                <w:rFonts w:ascii="宋体" w:hAnsi="宋体"/>
                <w:color w:val="auto"/>
                <w:szCs w:val="21"/>
                <w:highlight w:val="none"/>
              </w:rPr>
            </w:pPr>
            <w:r>
              <w:rPr>
                <w:rFonts w:hint="eastAsia" w:ascii="宋体" w:hAnsi="宋体"/>
                <w:color w:val="auto"/>
                <w:szCs w:val="21"/>
                <w:highlight w:val="none"/>
              </w:rPr>
              <w:t>考核项目</w:t>
            </w:r>
          </w:p>
        </w:tc>
        <w:tc>
          <w:tcPr>
            <w:tcW w:w="5769" w:type="dxa"/>
            <w:vAlign w:val="center"/>
          </w:tcPr>
          <w:p>
            <w:pPr>
              <w:spacing w:line="400" w:lineRule="exact"/>
              <w:jc w:val="center"/>
              <w:rPr>
                <w:rFonts w:ascii="宋体" w:hAnsi="宋体"/>
                <w:color w:val="auto"/>
                <w:szCs w:val="21"/>
                <w:highlight w:val="none"/>
              </w:rPr>
            </w:pPr>
            <w:r>
              <w:rPr>
                <w:rFonts w:hint="eastAsia" w:ascii="宋体" w:hAnsi="宋体"/>
                <w:color w:val="auto"/>
                <w:szCs w:val="21"/>
                <w:highlight w:val="none"/>
              </w:rPr>
              <w:t>评标标准</w:t>
            </w:r>
          </w:p>
        </w:tc>
        <w:tc>
          <w:tcPr>
            <w:tcW w:w="1313" w:type="dxa"/>
            <w:vAlign w:val="center"/>
          </w:tcPr>
          <w:p>
            <w:pPr>
              <w:spacing w:line="400" w:lineRule="exact"/>
              <w:jc w:val="center"/>
              <w:rPr>
                <w:rFonts w:ascii="宋体" w:hAnsi="宋体"/>
                <w:color w:val="auto"/>
                <w:szCs w:val="21"/>
                <w:highlight w:val="none"/>
              </w:rPr>
            </w:pPr>
            <w:r>
              <w:rPr>
                <w:rFonts w:hint="eastAsia" w:ascii="宋体" w:hAnsi="宋体"/>
                <w:color w:val="auto"/>
                <w:szCs w:val="21"/>
                <w:highlight w:val="none"/>
              </w:rPr>
              <w:t>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440" w:type="dxa"/>
            <w:vMerge w:val="restart"/>
            <w:vAlign w:val="center"/>
          </w:tcPr>
          <w:p>
            <w:pPr>
              <w:spacing w:line="400" w:lineRule="exact"/>
              <w:jc w:val="center"/>
              <w:rPr>
                <w:rFonts w:ascii="宋体" w:hAnsi="宋体"/>
                <w:color w:val="auto"/>
                <w:szCs w:val="21"/>
                <w:highlight w:val="none"/>
              </w:rPr>
            </w:pPr>
          </w:p>
        </w:tc>
        <w:tc>
          <w:tcPr>
            <w:tcW w:w="5769" w:type="dxa"/>
            <w:vAlign w:val="center"/>
          </w:tcPr>
          <w:p>
            <w:pPr>
              <w:spacing w:line="400" w:lineRule="exact"/>
              <w:jc w:val="center"/>
              <w:rPr>
                <w:rFonts w:ascii="宋体" w:hAnsi="宋体"/>
                <w:color w:val="auto"/>
                <w:szCs w:val="21"/>
                <w:highlight w:val="none"/>
              </w:rPr>
            </w:pPr>
          </w:p>
        </w:tc>
        <w:tc>
          <w:tcPr>
            <w:tcW w:w="1313"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440" w:type="dxa"/>
            <w:vMerge w:val="continue"/>
            <w:vAlign w:val="center"/>
          </w:tcPr>
          <w:p>
            <w:pPr>
              <w:spacing w:line="400" w:lineRule="exact"/>
              <w:jc w:val="center"/>
              <w:rPr>
                <w:rFonts w:ascii="宋体" w:hAnsi="宋体"/>
                <w:color w:val="auto"/>
                <w:szCs w:val="21"/>
                <w:highlight w:val="none"/>
              </w:rPr>
            </w:pPr>
          </w:p>
        </w:tc>
        <w:tc>
          <w:tcPr>
            <w:tcW w:w="5769" w:type="dxa"/>
            <w:vAlign w:val="center"/>
          </w:tcPr>
          <w:p>
            <w:pPr>
              <w:spacing w:line="400" w:lineRule="exact"/>
              <w:jc w:val="center"/>
              <w:rPr>
                <w:rFonts w:ascii="宋体" w:hAnsi="宋体"/>
                <w:color w:val="auto"/>
                <w:szCs w:val="21"/>
                <w:highlight w:val="none"/>
              </w:rPr>
            </w:pPr>
          </w:p>
        </w:tc>
        <w:tc>
          <w:tcPr>
            <w:tcW w:w="1313"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440" w:type="dxa"/>
            <w:vMerge w:val="continue"/>
            <w:vAlign w:val="center"/>
          </w:tcPr>
          <w:p>
            <w:pPr>
              <w:spacing w:line="400" w:lineRule="exact"/>
              <w:jc w:val="center"/>
              <w:rPr>
                <w:rFonts w:ascii="宋体" w:hAnsi="宋体"/>
                <w:color w:val="auto"/>
                <w:szCs w:val="21"/>
                <w:highlight w:val="none"/>
              </w:rPr>
            </w:pPr>
          </w:p>
        </w:tc>
        <w:tc>
          <w:tcPr>
            <w:tcW w:w="5769" w:type="dxa"/>
            <w:vAlign w:val="center"/>
          </w:tcPr>
          <w:p>
            <w:pPr>
              <w:spacing w:line="400" w:lineRule="exact"/>
              <w:jc w:val="center"/>
              <w:rPr>
                <w:rFonts w:ascii="宋体" w:hAnsi="宋体"/>
                <w:color w:val="auto"/>
                <w:szCs w:val="21"/>
                <w:highlight w:val="none"/>
              </w:rPr>
            </w:pPr>
          </w:p>
        </w:tc>
        <w:tc>
          <w:tcPr>
            <w:tcW w:w="1313"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440" w:type="dxa"/>
            <w:vMerge w:val="continue"/>
            <w:vAlign w:val="center"/>
          </w:tcPr>
          <w:p>
            <w:pPr>
              <w:spacing w:line="400" w:lineRule="exact"/>
              <w:jc w:val="center"/>
              <w:rPr>
                <w:rFonts w:ascii="宋体" w:hAnsi="宋体"/>
                <w:color w:val="auto"/>
                <w:szCs w:val="21"/>
                <w:highlight w:val="none"/>
              </w:rPr>
            </w:pPr>
          </w:p>
        </w:tc>
        <w:tc>
          <w:tcPr>
            <w:tcW w:w="5769" w:type="dxa"/>
            <w:vAlign w:val="center"/>
          </w:tcPr>
          <w:p>
            <w:pPr>
              <w:spacing w:line="400" w:lineRule="exact"/>
              <w:jc w:val="center"/>
              <w:rPr>
                <w:rFonts w:ascii="宋体" w:hAnsi="宋体"/>
                <w:color w:val="auto"/>
                <w:szCs w:val="21"/>
                <w:highlight w:val="none"/>
              </w:rPr>
            </w:pPr>
          </w:p>
        </w:tc>
        <w:tc>
          <w:tcPr>
            <w:tcW w:w="1313" w:type="dxa"/>
            <w:vAlign w:val="center"/>
          </w:tcPr>
          <w:p>
            <w:pPr>
              <w:spacing w:line="400" w:lineRule="exact"/>
              <w:jc w:val="center"/>
              <w:rPr>
                <w:rFonts w:ascii="宋体" w:hAnsi="宋体"/>
                <w:color w:val="auto"/>
                <w:szCs w:val="21"/>
                <w:highlight w:val="none"/>
              </w:rPr>
            </w:pPr>
          </w:p>
        </w:tc>
      </w:tr>
    </w:tbl>
    <w:p>
      <w:pPr>
        <w:spacing w:line="400" w:lineRule="exact"/>
        <w:ind w:firstLine="422" w:firstLineChars="200"/>
        <w:rPr>
          <w:rFonts w:ascii="宋体" w:hAnsi="宋体"/>
          <w:b/>
          <w:color w:val="auto"/>
          <w:szCs w:val="21"/>
          <w:highlight w:val="none"/>
        </w:rPr>
      </w:pPr>
      <w:r>
        <w:rPr>
          <w:rFonts w:hint="eastAsia" w:ascii="宋体" w:hAnsi="宋体"/>
          <w:b/>
          <w:color w:val="auto"/>
          <w:szCs w:val="21"/>
          <w:highlight w:val="none"/>
        </w:rPr>
        <w:t>注：</w:t>
      </w:r>
      <w:r>
        <w:rPr>
          <w:rFonts w:hint="eastAsia" w:ascii="宋体" w:hAnsi="宋体"/>
          <w:color w:val="auto"/>
          <w:szCs w:val="21"/>
          <w:highlight w:val="none"/>
        </w:rPr>
        <w:t>如评审内容和标准中涉及样品分和演示分之类由投标人自行决定是否填写对应页码。</w:t>
      </w:r>
    </w:p>
    <w:p>
      <w:pPr>
        <w:spacing w:line="400" w:lineRule="exact"/>
        <w:ind w:firstLine="422" w:firstLineChars="200"/>
        <w:rPr>
          <w:rFonts w:ascii="宋体" w:hAnsi="宋体"/>
          <w:b/>
          <w:color w:val="auto"/>
          <w:szCs w:val="21"/>
          <w:highlight w:val="none"/>
        </w:rPr>
      </w:pPr>
    </w:p>
    <w:p>
      <w:pPr>
        <w:spacing w:line="400" w:lineRule="exact"/>
        <w:rPr>
          <w:rFonts w:ascii="宋体" w:hAnsi="宋体"/>
          <w:color w:val="auto"/>
          <w:szCs w:val="21"/>
          <w:highlight w:val="none"/>
        </w:rPr>
      </w:pP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3.技术商务文件的内容组成</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具体内容参照第三章节投标文件编制中技术商务文件的内容组成。（请按技术商务文件的内容组成先后顺序制作投标文件）</w:t>
      </w:r>
    </w:p>
    <w:p>
      <w:pPr>
        <w:spacing w:line="400" w:lineRule="exact"/>
        <w:rPr>
          <w:rFonts w:ascii="宋体" w:hAnsi="宋体"/>
          <w:color w:val="auto"/>
          <w:szCs w:val="21"/>
          <w:highlight w:val="none"/>
        </w:rPr>
      </w:pPr>
    </w:p>
    <w:p>
      <w:pPr>
        <w:spacing w:line="400" w:lineRule="exact"/>
        <w:rPr>
          <w:rFonts w:ascii="宋体" w:hAnsi="宋体"/>
          <w:color w:val="auto"/>
          <w:szCs w:val="21"/>
          <w:highlight w:val="none"/>
        </w:rPr>
      </w:pPr>
    </w:p>
    <w:p>
      <w:pPr>
        <w:spacing w:line="400" w:lineRule="exact"/>
        <w:rPr>
          <w:rFonts w:ascii="宋体" w:hAnsi="宋体"/>
          <w:color w:val="auto"/>
          <w:szCs w:val="21"/>
          <w:highlight w:val="none"/>
        </w:rPr>
      </w:pPr>
      <w:r>
        <w:rPr>
          <w:rFonts w:hint="eastAsia" w:ascii="宋体" w:hAnsi="宋体"/>
          <w:color w:val="auto"/>
          <w:szCs w:val="21"/>
          <w:highlight w:val="none"/>
        </w:rPr>
        <w:t>附件一</w:t>
      </w:r>
    </w:p>
    <w:p>
      <w:pPr>
        <w:spacing w:line="400" w:lineRule="exact"/>
        <w:jc w:val="center"/>
        <w:rPr>
          <w:rFonts w:ascii="宋体" w:hAnsi="宋体"/>
          <w:color w:val="auto"/>
          <w:szCs w:val="21"/>
          <w:highlight w:val="none"/>
        </w:rPr>
      </w:pPr>
      <w:r>
        <w:rPr>
          <w:rFonts w:hint="eastAsia" w:ascii="宋体" w:hAnsi="宋体"/>
          <w:color w:val="auto"/>
          <w:szCs w:val="21"/>
          <w:highlight w:val="none"/>
        </w:rPr>
        <w:t>资格条件自查表</w:t>
      </w:r>
    </w:p>
    <w:tbl>
      <w:tblPr>
        <w:tblStyle w:val="25"/>
        <w:tblW w:w="90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4"/>
        <w:gridCol w:w="4826"/>
        <w:gridCol w:w="1701"/>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980" w:type="dxa"/>
            <w:gridSpan w:val="2"/>
            <w:vAlign w:val="center"/>
          </w:tcPr>
          <w:p>
            <w:pPr>
              <w:adjustRightInd w:val="0"/>
              <w:snapToGrid w:val="0"/>
              <w:spacing w:line="400" w:lineRule="exact"/>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招标文件要求</w:t>
            </w:r>
          </w:p>
        </w:tc>
        <w:tc>
          <w:tcPr>
            <w:tcW w:w="1701" w:type="dxa"/>
            <w:vAlign w:val="center"/>
          </w:tcPr>
          <w:p>
            <w:pPr>
              <w:adjustRightInd w:val="0"/>
              <w:snapToGrid w:val="0"/>
              <w:spacing w:line="400" w:lineRule="exact"/>
              <w:jc w:val="center"/>
              <w:rPr>
                <w:rFonts w:cs="宋体" w:asciiTheme="minorEastAsia" w:hAnsiTheme="minorEastAsia" w:eastAsiaTheme="minorEastAsia"/>
                <w:color w:val="auto"/>
                <w:szCs w:val="21"/>
                <w:highlight w:val="none"/>
              </w:rPr>
            </w:pPr>
            <w:r>
              <w:rPr>
                <w:rFonts w:cs="宋体" w:asciiTheme="minorEastAsia" w:hAnsiTheme="minorEastAsia" w:eastAsiaTheme="minorEastAsia"/>
                <w:color w:val="auto"/>
                <w:szCs w:val="21"/>
                <w:highlight w:val="none"/>
              </w:rPr>
              <w:t>自查结论</w:t>
            </w:r>
          </w:p>
        </w:tc>
        <w:tc>
          <w:tcPr>
            <w:tcW w:w="1417" w:type="dxa"/>
            <w:vAlign w:val="center"/>
          </w:tcPr>
          <w:p>
            <w:pPr>
              <w:adjustRightInd w:val="0"/>
              <w:snapToGrid w:val="0"/>
              <w:spacing w:line="400" w:lineRule="exact"/>
              <w:jc w:val="center"/>
              <w:rPr>
                <w:rFonts w:cs="宋体" w:asciiTheme="minorEastAsia" w:hAnsiTheme="minorEastAsia" w:eastAsiaTheme="minorEastAsia"/>
                <w:color w:val="auto"/>
                <w:szCs w:val="21"/>
                <w:highlight w:val="none"/>
              </w:rPr>
            </w:pPr>
            <w:r>
              <w:rPr>
                <w:rFonts w:cs="宋体" w:asciiTheme="minorEastAsia" w:hAnsiTheme="minorEastAsia" w:eastAsiaTheme="minorEastAsia"/>
                <w:color w:val="auto"/>
                <w:szCs w:val="21"/>
                <w:highlight w:val="none"/>
              </w:rPr>
              <w:t>证明资料</w:t>
            </w:r>
          </w:p>
          <w:p>
            <w:pPr>
              <w:adjustRightInd w:val="0"/>
              <w:snapToGrid w:val="0"/>
              <w:spacing w:line="400" w:lineRule="exact"/>
              <w:jc w:val="center"/>
              <w:rPr>
                <w:rFonts w:cs="宋体" w:asciiTheme="minorEastAsia" w:hAnsiTheme="minorEastAsia" w:eastAsiaTheme="minorEastAsia"/>
                <w:color w:val="auto"/>
                <w:szCs w:val="21"/>
                <w:highlight w:val="none"/>
              </w:rPr>
            </w:pPr>
            <w:r>
              <w:rPr>
                <w:rFonts w:cs="宋体" w:asciiTheme="minorEastAsia" w:hAnsiTheme="minorEastAsia" w:eastAsiaTheme="minorEastAsia"/>
                <w:color w:val="auto"/>
                <w:szCs w:val="21"/>
                <w:highlight w:val="none"/>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4" w:type="dxa"/>
            <w:vMerge w:val="restart"/>
            <w:vAlign w:val="center"/>
          </w:tcPr>
          <w:p>
            <w:pPr>
              <w:adjustRightInd w:val="0"/>
              <w:snapToGrid w:val="0"/>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资格审查</w:t>
            </w:r>
          </w:p>
        </w:tc>
        <w:tc>
          <w:tcPr>
            <w:tcW w:w="4826" w:type="dxa"/>
            <w:vAlign w:val="center"/>
          </w:tcPr>
          <w:p>
            <w:pPr>
              <w:adjustRightInd w:val="0"/>
              <w:snapToGrid w:val="0"/>
              <w:spacing w:line="4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1.满足《中华人民共和国政府采购法》第二十二条规定的投标人承诺书；未被“信用中国”（</w:t>
            </w:r>
            <w:r>
              <w:rPr>
                <w:color w:val="auto"/>
                <w:highlight w:val="none"/>
              </w:rPr>
              <w:fldChar w:fldCharType="begin"/>
            </w:r>
            <w:r>
              <w:rPr>
                <w:color w:val="auto"/>
                <w:highlight w:val="none"/>
              </w:rPr>
              <w:instrText xml:space="preserve"> HYPERLINK \t "_blank" </w:instrText>
            </w:r>
            <w:r>
              <w:rPr>
                <w:color w:val="auto"/>
                <w:highlight w:val="none"/>
              </w:rPr>
              <w:fldChar w:fldCharType="separate"/>
            </w:r>
            <w:r>
              <w:rPr>
                <w:rFonts w:hint="eastAsia" w:asciiTheme="minorEastAsia" w:hAnsiTheme="minorEastAsia" w:eastAsiaTheme="minorEastAsia"/>
                <w:color w:val="auto"/>
                <w:szCs w:val="21"/>
                <w:highlight w:val="none"/>
              </w:rPr>
              <w:t>www.creditchina.gov.cn)、中国政府采购网（www.ccgp.gov.cn）列入失信被执行人、重大税收违法案件当事人名单、政府采购严重违法失信行为记录名单</w:t>
            </w:r>
            <w:r>
              <w:rPr>
                <w:rFonts w:hint="eastAsia" w:asciiTheme="minorEastAsia" w:hAnsiTheme="minorEastAsia" w:eastAsiaTheme="minorEastAsia"/>
                <w:color w:val="auto"/>
                <w:szCs w:val="21"/>
                <w:highlight w:val="none"/>
              </w:rPr>
              <w:fldChar w:fldCharType="end"/>
            </w:r>
            <w:r>
              <w:rPr>
                <w:rFonts w:hint="eastAsia" w:asciiTheme="minorEastAsia" w:hAnsiTheme="minorEastAsia" w:eastAsiaTheme="minorEastAsia"/>
                <w:color w:val="auto"/>
                <w:szCs w:val="21"/>
                <w:highlight w:val="none"/>
              </w:rPr>
              <w:t>。（格式见附件）</w:t>
            </w:r>
          </w:p>
        </w:tc>
        <w:tc>
          <w:tcPr>
            <w:tcW w:w="1701" w:type="dxa"/>
            <w:vAlign w:val="center"/>
          </w:tcPr>
          <w:p>
            <w:pPr>
              <w:adjustRightInd w:val="0"/>
              <w:snapToGrid w:val="0"/>
              <w:spacing w:line="400" w:lineRule="exact"/>
              <w:ind w:firstLine="315" w:firstLineChars="150"/>
              <w:rPr>
                <w:rFonts w:ascii="宋体" w:hAnsi="宋体" w:cs="宋体"/>
                <w:color w:val="auto"/>
                <w:szCs w:val="21"/>
                <w:highlight w:val="none"/>
              </w:rPr>
            </w:pPr>
            <w:r>
              <w:rPr>
                <w:rFonts w:hint="eastAsia" w:ascii="宋体" w:hAnsi="宋体" w:cs="宋体"/>
                <w:color w:val="auto"/>
                <w:szCs w:val="21"/>
                <w:highlight w:val="none"/>
              </w:rPr>
              <w:t>□通过</w:t>
            </w:r>
          </w:p>
          <w:p>
            <w:pPr>
              <w:tabs>
                <w:tab w:val="left" w:pos="612"/>
              </w:tabs>
              <w:spacing w:line="400" w:lineRule="exact"/>
              <w:jc w:val="center"/>
              <w:rPr>
                <w:rFonts w:asciiTheme="minorEastAsia" w:hAnsiTheme="minorEastAsia" w:eastAsiaTheme="minorEastAsia"/>
                <w:color w:val="auto"/>
                <w:szCs w:val="21"/>
                <w:highlight w:val="none"/>
              </w:rPr>
            </w:pPr>
            <w:r>
              <w:rPr>
                <w:rFonts w:hint="eastAsia" w:ascii="宋体" w:hAnsi="宋体" w:cs="宋体"/>
                <w:color w:val="auto"/>
                <w:szCs w:val="21"/>
                <w:highlight w:val="none"/>
              </w:rPr>
              <w:t>□不通过</w:t>
            </w:r>
          </w:p>
        </w:tc>
        <w:tc>
          <w:tcPr>
            <w:tcW w:w="1417" w:type="dxa"/>
            <w:vAlign w:val="center"/>
          </w:tcPr>
          <w:p>
            <w:pPr>
              <w:adjustRightInd w:val="0"/>
              <w:snapToGrid w:val="0"/>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4" w:type="dxa"/>
            <w:vMerge w:val="continue"/>
            <w:vAlign w:val="center"/>
          </w:tcPr>
          <w:p>
            <w:pPr>
              <w:spacing w:line="400" w:lineRule="exact"/>
              <w:jc w:val="center"/>
              <w:rPr>
                <w:rFonts w:asciiTheme="minorEastAsia" w:hAnsiTheme="minorEastAsia" w:eastAsiaTheme="minorEastAsia"/>
                <w:color w:val="auto"/>
                <w:szCs w:val="21"/>
                <w:highlight w:val="none"/>
              </w:rPr>
            </w:pPr>
          </w:p>
        </w:tc>
        <w:tc>
          <w:tcPr>
            <w:tcW w:w="4826" w:type="dxa"/>
            <w:vAlign w:val="center"/>
          </w:tcPr>
          <w:p>
            <w:pPr>
              <w:adjustRightInd w:val="0"/>
              <w:snapToGrid w:val="0"/>
              <w:spacing w:line="400" w:lineRule="exact"/>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落实政府采购政策需满足的资格要求：</w:t>
            </w:r>
            <w:r>
              <w:rPr>
                <w:rFonts w:hint="eastAsia" w:cs="宋体" w:asciiTheme="minorEastAsia" w:hAnsiTheme="minorEastAsia" w:eastAsiaTheme="minorEastAsia"/>
                <w:color w:val="auto"/>
                <w:szCs w:val="21"/>
                <w:highlight w:val="none"/>
              </w:rPr>
              <w:t>见招标公告中申请人资格要求的</w:t>
            </w:r>
            <w:r>
              <w:rPr>
                <w:rFonts w:hint="eastAsia" w:asciiTheme="minorEastAsia" w:hAnsiTheme="minorEastAsia" w:eastAsiaTheme="minorEastAsia"/>
                <w:color w:val="auto"/>
                <w:szCs w:val="21"/>
                <w:highlight w:val="none"/>
              </w:rPr>
              <w:t>落实政府采购政策需满足的资格要求。</w:t>
            </w:r>
            <w:r>
              <w:rPr>
                <w:rFonts w:hint="eastAsia" w:asciiTheme="minorEastAsia" w:hAnsiTheme="minorEastAsia" w:eastAsiaTheme="minorEastAsia"/>
                <w:color w:val="auto"/>
                <w:szCs w:val="21"/>
                <w:highlight w:val="none"/>
                <w:lang w:val="en-US" w:eastAsia="zh-CN"/>
              </w:rPr>
              <w:t>（</w:t>
            </w:r>
            <w:r>
              <w:rPr>
                <w:rFonts w:hint="eastAsia" w:asciiTheme="minorEastAsia" w:hAnsiTheme="minorEastAsia" w:eastAsiaTheme="minorEastAsia"/>
                <w:color w:val="auto"/>
                <w:szCs w:val="21"/>
                <w:highlight w:val="none"/>
              </w:rPr>
              <w:t>格式见附件）</w:t>
            </w:r>
          </w:p>
        </w:tc>
        <w:tc>
          <w:tcPr>
            <w:tcW w:w="1701" w:type="dxa"/>
            <w:vAlign w:val="center"/>
          </w:tcPr>
          <w:p>
            <w:pPr>
              <w:adjustRightInd w:val="0"/>
              <w:snapToGrid w:val="0"/>
              <w:spacing w:line="400" w:lineRule="exact"/>
              <w:ind w:firstLine="315" w:firstLineChars="150"/>
              <w:rPr>
                <w:rFonts w:ascii="宋体" w:hAnsi="宋体" w:cs="宋体"/>
                <w:color w:val="auto"/>
                <w:szCs w:val="21"/>
                <w:highlight w:val="none"/>
              </w:rPr>
            </w:pPr>
            <w:r>
              <w:rPr>
                <w:rFonts w:hint="eastAsia" w:ascii="宋体" w:hAnsi="宋体" w:cs="宋体"/>
                <w:color w:val="auto"/>
                <w:szCs w:val="21"/>
                <w:highlight w:val="none"/>
              </w:rPr>
              <w:t>□通过</w:t>
            </w:r>
          </w:p>
          <w:p>
            <w:pPr>
              <w:tabs>
                <w:tab w:val="left" w:pos="612"/>
              </w:tabs>
              <w:spacing w:line="400" w:lineRule="exact"/>
              <w:jc w:val="center"/>
              <w:rPr>
                <w:rFonts w:asciiTheme="minorEastAsia" w:hAnsiTheme="minorEastAsia" w:eastAsiaTheme="minorEastAsia"/>
                <w:color w:val="auto"/>
                <w:szCs w:val="21"/>
                <w:highlight w:val="none"/>
              </w:rPr>
            </w:pPr>
            <w:r>
              <w:rPr>
                <w:rFonts w:hint="eastAsia" w:ascii="宋体" w:hAnsi="宋体" w:cs="宋体"/>
                <w:color w:val="auto"/>
                <w:szCs w:val="21"/>
                <w:highlight w:val="none"/>
              </w:rPr>
              <w:t>□不通过</w:t>
            </w:r>
          </w:p>
        </w:tc>
        <w:tc>
          <w:tcPr>
            <w:tcW w:w="1417" w:type="dxa"/>
            <w:vAlign w:val="center"/>
          </w:tcPr>
          <w:p>
            <w:pPr>
              <w:adjustRightInd w:val="0"/>
              <w:snapToGrid w:val="0"/>
              <w:spacing w:line="400" w:lineRule="exact"/>
              <w:jc w:val="center"/>
              <w:rPr>
                <w:rFonts w:cs="宋体"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54" w:type="dxa"/>
            <w:vMerge w:val="continue"/>
            <w:vAlign w:val="center"/>
          </w:tcPr>
          <w:p>
            <w:pPr>
              <w:spacing w:line="400" w:lineRule="exact"/>
              <w:jc w:val="center"/>
              <w:rPr>
                <w:rFonts w:asciiTheme="minorEastAsia" w:hAnsiTheme="minorEastAsia" w:eastAsiaTheme="minorEastAsia"/>
                <w:color w:val="auto"/>
                <w:szCs w:val="21"/>
                <w:highlight w:val="none"/>
              </w:rPr>
            </w:pPr>
          </w:p>
        </w:tc>
        <w:tc>
          <w:tcPr>
            <w:tcW w:w="4826" w:type="dxa"/>
            <w:vAlign w:val="center"/>
          </w:tcPr>
          <w:p>
            <w:pPr>
              <w:adjustRightInd w:val="0"/>
              <w:snapToGrid w:val="0"/>
              <w:spacing w:line="400" w:lineRule="exac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本项目的特定资格要求</w:t>
            </w:r>
            <w:r>
              <w:rPr>
                <w:rFonts w:hint="eastAsia" w:cs="宋体" w:asciiTheme="minorEastAsia" w:hAnsiTheme="minorEastAsia" w:eastAsiaTheme="minorEastAsia"/>
                <w:color w:val="auto"/>
                <w:szCs w:val="21"/>
                <w:highlight w:val="none"/>
              </w:rPr>
              <w:t>：见招标公告中申请人资格要求的</w:t>
            </w:r>
            <w:r>
              <w:rPr>
                <w:rFonts w:asciiTheme="minorEastAsia" w:hAnsiTheme="minorEastAsia" w:eastAsiaTheme="minorEastAsia"/>
                <w:color w:val="auto"/>
                <w:szCs w:val="21"/>
                <w:highlight w:val="none"/>
              </w:rPr>
              <w:t>本项目的特定资格要求</w:t>
            </w:r>
            <w:r>
              <w:rPr>
                <w:rFonts w:hint="eastAsia" w:cs="宋体" w:asciiTheme="minorEastAsia" w:hAnsiTheme="minorEastAsia" w:eastAsiaTheme="minorEastAsia"/>
                <w:color w:val="auto"/>
                <w:szCs w:val="21"/>
                <w:highlight w:val="none"/>
              </w:rPr>
              <w:t>。（如没有，则无须提供相关证明资料）</w:t>
            </w:r>
          </w:p>
        </w:tc>
        <w:tc>
          <w:tcPr>
            <w:tcW w:w="1701" w:type="dxa"/>
            <w:vAlign w:val="center"/>
          </w:tcPr>
          <w:p>
            <w:pPr>
              <w:adjustRightInd w:val="0"/>
              <w:snapToGrid w:val="0"/>
              <w:spacing w:line="400" w:lineRule="exact"/>
              <w:ind w:firstLine="315" w:firstLineChars="150"/>
              <w:rPr>
                <w:rFonts w:ascii="宋体" w:hAnsi="宋体" w:cs="宋体"/>
                <w:color w:val="auto"/>
                <w:szCs w:val="21"/>
                <w:highlight w:val="none"/>
              </w:rPr>
            </w:pPr>
            <w:r>
              <w:rPr>
                <w:rFonts w:hint="eastAsia" w:ascii="宋体" w:hAnsi="宋体" w:cs="宋体"/>
                <w:color w:val="auto"/>
                <w:szCs w:val="21"/>
                <w:highlight w:val="none"/>
              </w:rPr>
              <w:t>□通过</w:t>
            </w:r>
          </w:p>
          <w:p>
            <w:pPr>
              <w:tabs>
                <w:tab w:val="left" w:pos="612"/>
              </w:tabs>
              <w:spacing w:line="400" w:lineRule="exact"/>
              <w:jc w:val="center"/>
              <w:rPr>
                <w:rFonts w:asciiTheme="minorEastAsia" w:hAnsiTheme="minorEastAsia" w:eastAsiaTheme="minorEastAsia"/>
                <w:color w:val="auto"/>
                <w:szCs w:val="21"/>
                <w:highlight w:val="none"/>
              </w:rPr>
            </w:pPr>
            <w:r>
              <w:rPr>
                <w:rFonts w:hint="eastAsia" w:ascii="宋体" w:hAnsi="宋体" w:cs="宋体"/>
                <w:color w:val="auto"/>
                <w:szCs w:val="21"/>
                <w:highlight w:val="none"/>
              </w:rPr>
              <w:t>□不通过</w:t>
            </w:r>
          </w:p>
        </w:tc>
        <w:tc>
          <w:tcPr>
            <w:tcW w:w="1417" w:type="dxa"/>
            <w:vAlign w:val="center"/>
          </w:tcPr>
          <w:p>
            <w:pPr>
              <w:adjustRightInd w:val="0"/>
              <w:snapToGrid w:val="0"/>
              <w:spacing w:line="400" w:lineRule="exact"/>
              <w:jc w:val="center"/>
              <w:rPr>
                <w:rFonts w:cs="宋体"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第（）页</w:t>
            </w:r>
          </w:p>
        </w:tc>
      </w:tr>
    </w:tbl>
    <w:p>
      <w:pPr>
        <w:spacing w:line="400" w:lineRule="exact"/>
        <w:rPr>
          <w:rFonts w:ascii="宋体" w:hAnsi="宋体"/>
          <w:b/>
          <w:color w:val="auto"/>
          <w:szCs w:val="21"/>
          <w:highlight w:val="none"/>
        </w:rPr>
      </w:pPr>
      <w:r>
        <w:rPr>
          <w:rFonts w:hint="eastAsia" w:ascii="宋体" w:hAnsi="宋体"/>
          <w:b/>
          <w:color w:val="auto"/>
          <w:szCs w:val="21"/>
          <w:highlight w:val="none"/>
        </w:rPr>
        <w:t>备注：资格条件自查表将作为</w:t>
      </w:r>
      <w:r>
        <w:rPr>
          <w:rFonts w:hint="eastAsia" w:ascii="宋体" w:hAnsi="宋体"/>
          <w:b/>
          <w:bCs/>
          <w:color w:val="auto"/>
          <w:szCs w:val="21"/>
          <w:highlight w:val="none"/>
        </w:rPr>
        <w:t>投标人</w:t>
      </w:r>
      <w:r>
        <w:rPr>
          <w:rFonts w:hint="eastAsia" w:ascii="宋体" w:hAnsi="宋体"/>
          <w:b/>
          <w:color w:val="auto"/>
          <w:szCs w:val="21"/>
          <w:highlight w:val="none"/>
        </w:rPr>
        <w:t>有效性审查的重要内容之一，</w:t>
      </w:r>
      <w:r>
        <w:rPr>
          <w:rFonts w:hint="eastAsia" w:ascii="宋体" w:hAnsi="宋体"/>
          <w:b/>
          <w:bCs/>
          <w:color w:val="auto"/>
          <w:szCs w:val="21"/>
          <w:highlight w:val="none"/>
        </w:rPr>
        <w:t>投标人</w:t>
      </w:r>
      <w:r>
        <w:rPr>
          <w:rFonts w:hint="eastAsia" w:ascii="宋体" w:hAnsi="宋体"/>
          <w:b/>
          <w:color w:val="auto"/>
          <w:szCs w:val="21"/>
          <w:highlight w:val="none"/>
        </w:rPr>
        <w:t>必须严格按照其内容及序列要求在投标文件中对应如实提供，对资格性证明文件的任何缺漏和不符合项将会直接导致投标无效！</w:t>
      </w:r>
    </w:p>
    <w:p>
      <w:pPr>
        <w:snapToGrid w:val="0"/>
        <w:spacing w:line="400" w:lineRule="exact"/>
        <w:rPr>
          <w:rFonts w:ascii="宋体" w:hAnsi="宋体"/>
          <w:b/>
          <w:color w:val="auto"/>
          <w:spacing w:val="-4"/>
          <w:sz w:val="18"/>
          <w:szCs w:val="20"/>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spacing w:line="400" w:lineRule="exact"/>
        <w:jc w:val="center"/>
        <w:rPr>
          <w:rFonts w:ascii="宋体" w:hAnsi="宋体"/>
          <w:b/>
          <w:color w:val="auto"/>
          <w:sz w:val="24"/>
          <w:highlight w:val="none"/>
        </w:rPr>
      </w:pPr>
      <w:r>
        <w:rPr>
          <w:rFonts w:hint="eastAsia" w:ascii="宋体" w:hAnsi="宋体"/>
          <w:b/>
          <w:color w:val="auto"/>
          <w:sz w:val="24"/>
          <w:highlight w:val="none"/>
        </w:rPr>
        <w:t>满足《中华人民共和国政府采购法》第二十二条规定的投标人承诺书</w:t>
      </w:r>
    </w:p>
    <w:p>
      <w:pPr>
        <w:spacing w:line="400" w:lineRule="exact"/>
        <w:ind w:firstLine="420" w:firstLineChars="200"/>
        <w:rPr>
          <w:rFonts w:ascii="宋体" w:hAnsi="宋体"/>
          <w:color w:val="auto"/>
          <w:szCs w:val="21"/>
          <w:highlight w:val="none"/>
        </w:rPr>
      </w:pP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我公司/单位满足《中华人民共和国政府采购法》第二十二条规定的投标人资格条件：</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1.具有独立承担民事责任的能力；</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2.具有良好的商业信誉和健全的财务会计制度；</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3.具有履行合同所必需的设备和专业技术能力；</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4.有依法缴纳税收和社会保障资金的良好记录；</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5.参加政府采购活动前三年内，在经营活动中没有重大违法记录；</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6.法律、行政法规规定的其他条件。</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特此承诺！</w:t>
      </w:r>
    </w:p>
    <w:p>
      <w:pPr>
        <w:spacing w:line="400" w:lineRule="exact"/>
        <w:ind w:firstLine="420" w:firstLineChars="200"/>
        <w:rPr>
          <w:rFonts w:ascii="宋体" w:hAnsi="宋体"/>
          <w:color w:val="auto"/>
          <w:szCs w:val="21"/>
          <w:highlight w:val="none"/>
        </w:rPr>
      </w:pPr>
    </w:p>
    <w:p>
      <w:pPr>
        <w:spacing w:line="400" w:lineRule="exact"/>
        <w:ind w:firstLine="420" w:firstLineChars="200"/>
        <w:rPr>
          <w:rFonts w:ascii="宋体" w:hAnsi="宋体"/>
          <w:color w:val="auto"/>
          <w:szCs w:val="21"/>
          <w:highlight w:val="none"/>
        </w:rPr>
      </w:pPr>
    </w:p>
    <w:p>
      <w:pPr>
        <w:spacing w:line="400" w:lineRule="exact"/>
        <w:ind w:firstLine="420" w:firstLineChars="200"/>
        <w:rPr>
          <w:rFonts w:ascii="宋体" w:hAnsi="宋体"/>
          <w:color w:val="auto"/>
          <w:szCs w:val="21"/>
          <w:highlight w:val="none"/>
        </w:rPr>
      </w:pPr>
    </w:p>
    <w:p>
      <w:pPr>
        <w:spacing w:line="400" w:lineRule="exact"/>
        <w:ind w:firstLine="4830" w:firstLineChars="2300"/>
        <w:rPr>
          <w:rFonts w:ascii="宋体" w:hAnsi="宋体"/>
          <w:color w:val="auto"/>
          <w:szCs w:val="21"/>
          <w:highlight w:val="none"/>
        </w:rPr>
      </w:pPr>
      <w:r>
        <w:rPr>
          <w:rFonts w:hint="eastAsia" w:ascii="宋体" w:hAnsi="宋体"/>
          <w:color w:val="auto"/>
          <w:szCs w:val="21"/>
          <w:highlight w:val="none"/>
        </w:rPr>
        <w:t xml:space="preserve">投标人（盖章）：        </w:t>
      </w:r>
    </w:p>
    <w:p>
      <w:pPr>
        <w:spacing w:line="400" w:lineRule="exact"/>
        <w:ind w:firstLine="1050" w:firstLineChars="500"/>
        <w:rPr>
          <w:rFonts w:ascii="宋体" w:hAnsi="宋体"/>
          <w:color w:val="auto"/>
          <w:szCs w:val="21"/>
          <w:highlight w:val="none"/>
        </w:rPr>
      </w:pPr>
      <w:r>
        <w:rPr>
          <w:rFonts w:hint="eastAsia" w:ascii="宋体" w:hAnsi="宋体"/>
          <w:color w:val="auto"/>
          <w:szCs w:val="21"/>
          <w:highlight w:val="none"/>
        </w:rPr>
        <w:t xml:space="preserve">投标人的法定代表人／负责人或其授权代表(签字或盖章)：        </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 xml:space="preserve">                                                  日  期：  </w:t>
      </w:r>
    </w:p>
    <w:p>
      <w:pPr>
        <w:spacing w:line="400" w:lineRule="exact"/>
        <w:ind w:firstLine="420" w:firstLineChars="200"/>
        <w:rPr>
          <w:rFonts w:ascii="宋体" w:hAnsi="宋体"/>
          <w:color w:val="auto"/>
          <w:szCs w:val="21"/>
          <w:highlight w:val="none"/>
        </w:rPr>
      </w:pPr>
    </w:p>
    <w:p>
      <w:pPr>
        <w:widowControl/>
        <w:spacing w:line="360" w:lineRule="auto"/>
        <w:ind w:left="420" w:right="159"/>
        <w:rPr>
          <w:rFonts w:ascii="宋体" w:hAnsi="宋体"/>
          <w:color w:val="auto"/>
          <w:kern w:val="0"/>
          <w:szCs w:val="21"/>
          <w:highlight w:val="none"/>
        </w:rPr>
      </w:pPr>
    </w:p>
    <w:p>
      <w:pPr>
        <w:widowControl/>
        <w:spacing w:line="360" w:lineRule="auto"/>
        <w:ind w:left="420" w:right="159"/>
        <w:rPr>
          <w:rFonts w:ascii="宋体" w:hAnsi="宋体"/>
          <w:color w:val="auto"/>
          <w:kern w:val="0"/>
          <w:szCs w:val="21"/>
          <w:highlight w:val="none"/>
        </w:rPr>
      </w:pPr>
    </w:p>
    <w:p>
      <w:pPr>
        <w:widowControl/>
        <w:spacing w:line="360" w:lineRule="auto"/>
        <w:ind w:left="420" w:right="159"/>
        <w:rPr>
          <w:rFonts w:ascii="宋体" w:hAnsi="宋体"/>
          <w:color w:val="auto"/>
          <w:kern w:val="0"/>
          <w:szCs w:val="21"/>
          <w:highlight w:val="none"/>
        </w:rPr>
      </w:pPr>
    </w:p>
    <w:p>
      <w:pPr>
        <w:widowControl/>
        <w:spacing w:line="360" w:lineRule="auto"/>
        <w:ind w:left="420" w:right="159"/>
        <w:rPr>
          <w:rFonts w:ascii="宋体" w:hAnsi="宋体"/>
          <w:color w:val="auto"/>
          <w:kern w:val="0"/>
          <w:szCs w:val="21"/>
          <w:highlight w:val="none"/>
        </w:rPr>
      </w:pPr>
    </w:p>
    <w:p>
      <w:pPr>
        <w:widowControl/>
        <w:spacing w:line="360" w:lineRule="auto"/>
        <w:ind w:left="420" w:right="159"/>
        <w:rPr>
          <w:rFonts w:ascii="宋体" w:hAnsi="宋体"/>
          <w:color w:val="auto"/>
          <w:kern w:val="0"/>
          <w:szCs w:val="21"/>
          <w:highlight w:val="none"/>
        </w:rPr>
      </w:pPr>
    </w:p>
    <w:p>
      <w:pPr>
        <w:widowControl/>
        <w:spacing w:line="600" w:lineRule="exact"/>
        <w:ind w:right="159"/>
        <w:jc w:val="center"/>
        <w:rPr>
          <w:rFonts w:ascii="宋体" w:hAnsi="宋体"/>
          <w:b/>
          <w:color w:val="auto"/>
          <w:sz w:val="24"/>
          <w:highlight w:val="none"/>
        </w:rPr>
      </w:pPr>
    </w:p>
    <w:p>
      <w:pPr>
        <w:widowControl/>
        <w:spacing w:line="600" w:lineRule="exact"/>
        <w:ind w:right="159"/>
        <w:jc w:val="center"/>
        <w:rPr>
          <w:rFonts w:ascii="宋体" w:hAnsi="宋体"/>
          <w:b/>
          <w:color w:val="auto"/>
          <w:sz w:val="24"/>
          <w:highlight w:val="none"/>
        </w:rPr>
      </w:pPr>
    </w:p>
    <w:p>
      <w:pPr>
        <w:widowControl/>
        <w:spacing w:line="600" w:lineRule="exact"/>
        <w:ind w:right="159"/>
        <w:jc w:val="center"/>
        <w:rPr>
          <w:rFonts w:ascii="宋体" w:hAnsi="宋体"/>
          <w:b/>
          <w:color w:val="auto"/>
          <w:sz w:val="24"/>
          <w:highlight w:val="none"/>
        </w:rPr>
      </w:pPr>
    </w:p>
    <w:p>
      <w:pPr>
        <w:widowControl/>
        <w:spacing w:line="600" w:lineRule="exact"/>
        <w:ind w:right="159"/>
        <w:jc w:val="center"/>
        <w:rPr>
          <w:rFonts w:ascii="宋体" w:hAnsi="宋体"/>
          <w:b/>
          <w:color w:val="auto"/>
          <w:sz w:val="24"/>
          <w:highlight w:val="none"/>
        </w:rPr>
      </w:pPr>
    </w:p>
    <w:p>
      <w:pPr>
        <w:widowControl/>
        <w:spacing w:line="600" w:lineRule="exact"/>
        <w:ind w:right="159"/>
        <w:jc w:val="center"/>
        <w:rPr>
          <w:rFonts w:ascii="宋体" w:hAnsi="宋体"/>
          <w:b/>
          <w:color w:val="auto"/>
          <w:sz w:val="24"/>
          <w:highlight w:val="none"/>
        </w:rPr>
      </w:pPr>
    </w:p>
    <w:p>
      <w:pPr>
        <w:widowControl/>
        <w:spacing w:line="600" w:lineRule="exact"/>
        <w:ind w:right="159"/>
        <w:jc w:val="center"/>
        <w:rPr>
          <w:rFonts w:ascii="宋体" w:hAnsi="宋体"/>
          <w:b/>
          <w:color w:val="auto"/>
          <w:sz w:val="24"/>
          <w:highlight w:val="none"/>
        </w:rPr>
      </w:pPr>
    </w:p>
    <w:p>
      <w:pPr>
        <w:widowControl/>
        <w:spacing w:line="600" w:lineRule="exact"/>
        <w:ind w:right="159"/>
        <w:jc w:val="center"/>
        <w:rPr>
          <w:rFonts w:ascii="宋体" w:hAnsi="宋体"/>
          <w:b/>
          <w:color w:val="auto"/>
          <w:sz w:val="24"/>
          <w:highlight w:val="none"/>
        </w:rPr>
      </w:pPr>
    </w:p>
    <w:p>
      <w:pPr>
        <w:widowControl/>
        <w:spacing w:line="600" w:lineRule="exact"/>
        <w:ind w:right="159"/>
        <w:jc w:val="center"/>
        <w:rPr>
          <w:rFonts w:ascii="宋体" w:hAnsi="宋体"/>
          <w:b/>
          <w:color w:val="auto"/>
          <w:sz w:val="24"/>
          <w:highlight w:val="none"/>
        </w:rPr>
      </w:pPr>
    </w:p>
    <w:p>
      <w:pPr>
        <w:widowControl/>
        <w:spacing w:line="600" w:lineRule="exact"/>
        <w:ind w:right="159"/>
        <w:jc w:val="center"/>
        <w:rPr>
          <w:rFonts w:ascii="宋体" w:hAnsi="宋体"/>
          <w:b/>
          <w:color w:val="auto"/>
          <w:sz w:val="24"/>
          <w:highlight w:val="none"/>
        </w:rPr>
      </w:pPr>
      <w:r>
        <w:rPr>
          <w:rFonts w:hint="eastAsia" w:ascii="宋体" w:hAnsi="宋体"/>
          <w:b/>
          <w:color w:val="auto"/>
          <w:sz w:val="24"/>
          <w:highlight w:val="none"/>
        </w:rPr>
        <w:t>承 诺 函</w:t>
      </w:r>
    </w:p>
    <w:p>
      <w:pPr>
        <w:widowControl/>
        <w:spacing w:line="600" w:lineRule="exact"/>
        <w:ind w:right="159"/>
        <w:jc w:val="center"/>
        <w:rPr>
          <w:rFonts w:ascii="宋体" w:hAnsi="宋体"/>
          <w:b/>
          <w:color w:val="auto"/>
          <w:sz w:val="24"/>
          <w:highlight w:val="none"/>
        </w:rPr>
      </w:pPr>
    </w:p>
    <w:p>
      <w:pPr>
        <w:widowControl/>
        <w:spacing w:line="600" w:lineRule="exact"/>
        <w:ind w:right="159"/>
        <w:rPr>
          <w:rFonts w:ascii="宋体" w:hAnsi="宋体"/>
          <w:color w:val="auto"/>
          <w:szCs w:val="21"/>
          <w:highlight w:val="none"/>
        </w:rPr>
      </w:pPr>
      <w:r>
        <w:rPr>
          <w:rFonts w:hint="eastAsia" w:ascii="宋体" w:hAnsi="宋体"/>
          <w:color w:val="auto"/>
          <w:szCs w:val="21"/>
          <w:highlight w:val="none"/>
        </w:rPr>
        <w:t>致：</w:t>
      </w:r>
      <w:r>
        <w:rPr>
          <w:rFonts w:hint="eastAsia" w:ascii="宋体" w:hAnsi="宋体"/>
          <w:color w:val="auto"/>
          <w:szCs w:val="21"/>
          <w:highlight w:val="none"/>
          <w:lang w:eastAsia="zh-CN"/>
        </w:rPr>
        <w:t>宁海县政务服务中心</w:t>
      </w:r>
      <w:r>
        <w:rPr>
          <w:rFonts w:hint="eastAsia" w:ascii="宋体" w:hAnsi="宋体"/>
          <w:color w:val="auto"/>
          <w:szCs w:val="21"/>
          <w:highlight w:val="none"/>
        </w:rPr>
        <w:br w:type="textWrapping"/>
      </w:r>
      <w:r>
        <w:rPr>
          <w:rFonts w:hint="eastAsia" w:ascii="宋体" w:hAnsi="宋体"/>
          <w:color w:val="auto"/>
          <w:szCs w:val="21"/>
          <w:highlight w:val="none"/>
        </w:rPr>
        <w:t xml:space="preserve">    我公司/单位承诺未被“信用中国”（</w:t>
      </w:r>
      <w:r>
        <w:rPr>
          <w:color w:val="auto"/>
          <w:highlight w:val="none"/>
        </w:rPr>
        <w:fldChar w:fldCharType="begin"/>
      </w:r>
      <w:r>
        <w:rPr>
          <w:color w:val="auto"/>
          <w:highlight w:val="none"/>
        </w:rPr>
        <w:instrText xml:space="preserve"> HYPERLINK \t "_blank" </w:instrText>
      </w:r>
      <w:r>
        <w:rPr>
          <w:color w:val="auto"/>
          <w:highlight w:val="none"/>
        </w:rPr>
        <w:fldChar w:fldCharType="separate"/>
      </w:r>
      <w:r>
        <w:rPr>
          <w:rFonts w:hint="eastAsia" w:ascii="宋体" w:hAnsi="宋体"/>
          <w:color w:val="auto"/>
          <w:highlight w:val="none"/>
        </w:rPr>
        <w:t>www.creditchina.gov.cn)、中国政府采购网（www.ccgp.gov.cn）列入失信被执行人、重大税收违法案件当事人名单、政府采购严重违法失信行为记录名单</w:t>
      </w:r>
      <w:r>
        <w:rPr>
          <w:rFonts w:hint="eastAsia" w:ascii="宋体" w:hAnsi="宋体"/>
          <w:color w:val="auto"/>
          <w:highlight w:val="none"/>
        </w:rPr>
        <w:fldChar w:fldCharType="end"/>
      </w:r>
      <w:r>
        <w:rPr>
          <w:rFonts w:hint="eastAsia" w:ascii="微软雅黑" w:hAnsi="微软雅黑" w:eastAsia="微软雅黑"/>
          <w:color w:val="auto"/>
          <w:szCs w:val="21"/>
          <w:highlight w:val="none"/>
          <w:shd w:val="clear" w:color="auto" w:fill="FFFFFF"/>
        </w:rPr>
        <w:t>。</w:t>
      </w:r>
      <w:r>
        <w:rPr>
          <w:rFonts w:hint="eastAsia" w:ascii="宋体" w:hAnsi="宋体"/>
          <w:color w:val="auto"/>
          <w:szCs w:val="21"/>
          <w:highlight w:val="none"/>
        </w:rPr>
        <w:br w:type="textWrapping"/>
      </w:r>
      <w:r>
        <w:rPr>
          <w:rFonts w:hint="eastAsia" w:ascii="宋体" w:hAnsi="宋体"/>
          <w:color w:val="auto"/>
          <w:szCs w:val="21"/>
          <w:highlight w:val="none"/>
        </w:rPr>
        <w:t xml:space="preserve">    针对上述承诺，我司保证严格遵守！如有违反，愿无条件放弃中标，并接受处理，承担相应的责任。 </w:t>
      </w:r>
      <w:r>
        <w:rPr>
          <w:rFonts w:hint="eastAsia" w:ascii="宋体" w:hAnsi="宋体"/>
          <w:color w:val="auto"/>
          <w:szCs w:val="21"/>
          <w:highlight w:val="none"/>
        </w:rPr>
        <w:br w:type="textWrapping"/>
      </w:r>
      <w:r>
        <w:rPr>
          <w:rFonts w:hint="eastAsia" w:ascii="宋体" w:hAnsi="宋体"/>
          <w:color w:val="auto"/>
          <w:szCs w:val="21"/>
          <w:highlight w:val="none"/>
        </w:rPr>
        <w:br w:type="textWrapping"/>
      </w:r>
      <w:r>
        <w:rPr>
          <w:rFonts w:hint="eastAsia" w:ascii="宋体" w:hAnsi="宋体"/>
          <w:color w:val="auto"/>
          <w:szCs w:val="21"/>
          <w:highlight w:val="none"/>
        </w:rPr>
        <w:br w:type="textWrapping"/>
      </w:r>
      <w:r>
        <w:rPr>
          <w:rFonts w:hint="eastAsia" w:ascii="宋体" w:hAnsi="宋体"/>
          <w:color w:val="auto"/>
          <w:szCs w:val="21"/>
          <w:highlight w:val="none"/>
        </w:rPr>
        <w:br w:type="textWrapping"/>
      </w:r>
      <w:r>
        <w:rPr>
          <w:rFonts w:hint="eastAsia" w:ascii="宋体" w:hAnsi="宋体"/>
          <w:color w:val="auto"/>
          <w:szCs w:val="21"/>
          <w:highlight w:val="none"/>
        </w:rPr>
        <w:t>投标人（盖章）：</w:t>
      </w:r>
      <w:r>
        <w:rPr>
          <w:rFonts w:hint="eastAsia" w:ascii="宋体" w:hAnsi="宋体"/>
          <w:color w:val="auto"/>
          <w:szCs w:val="21"/>
          <w:highlight w:val="none"/>
        </w:rPr>
        <w:br w:type="textWrapping"/>
      </w:r>
      <w:r>
        <w:rPr>
          <w:rFonts w:hint="eastAsia" w:ascii="宋体" w:hAnsi="宋体"/>
          <w:color w:val="auto"/>
          <w:szCs w:val="21"/>
          <w:highlight w:val="none"/>
        </w:rPr>
        <w:t>法定代表人／负责人或授权代表（签字或盖章）：</w:t>
      </w:r>
      <w:r>
        <w:rPr>
          <w:rFonts w:hint="eastAsia" w:ascii="宋体" w:hAnsi="宋体"/>
          <w:color w:val="auto"/>
          <w:szCs w:val="21"/>
          <w:highlight w:val="none"/>
        </w:rPr>
        <w:br w:type="textWrapping"/>
      </w:r>
      <w:r>
        <w:rPr>
          <w:rFonts w:hint="eastAsia" w:ascii="宋体" w:hAnsi="宋体"/>
          <w:color w:val="auto"/>
          <w:szCs w:val="21"/>
          <w:highlight w:val="none"/>
        </w:rPr>
        <w:t>日期：</w:t>
      </w:r>
    </w:p>
    <w:p>
      <w:pPr>
        <w:snapToGrid w:val="0"/>
        <w:spacing w:line="600" w:lineRule="exact"/>
        <w:ind w:firstLine="420" w:firstLineChars="200"/>
        <w:jc w:val="left"/>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napToGrid w:val="0"/>
        <w:spacing w:line="400" w:lineRule="exact"/>
        <w:ind w:firstLine="420" w:firstLineChars="200"/>
        <w:jc w:val="center"/>
        <w:outlineLvl w:val="1"/>
        <w:rPr>
          <w:rFonts w:ascii="宋体" w:hAnsi="宋体"/>
          <w:color w:val="auto"/>
          <w:szCs w:val="21"/>
          <w:highlight w:val="none"/>
        </w:rPr>
      </w:pPr>
    </w:p>
    <w:p>
      <w:pPr>
        <w:spacing w:line="400" w:lineRule="exact"/>
        <w:jc w:val="left"/>
        <w:rPr>
          <w:rFonts w:hint="eastAsia" w:ascii="宋体" w:hAnsi="宋体"/>
          <w:color w:val="auto"/>
          <w:szCs w:val="21"/>
          <w:highlight w:val="none"/>
        </w:rPr>
      </w:pPr>
    </w:p>
    <w:p>
      <w:pPr>
        <w:spacing w:line="500" w:lineRule="exact"/>
        <w:jc w:val="center"/>
        <w:rPr>
          <w:rFonts w:asciiTheme="minorEastAsia" w:hAnsiTheme="minorEastAsia"/>
          <w:color w:val="auto"/>
          <w:szCs w:val="21"/>
          <w:highlight w:val="none"/>
        </w:rPr>
      </w:pPr>
    </w:p>
    <w:p>
      <w:pPr>
        <w:spacing w:line="500" w:lineRule="exact"/>
        <w:jc w:val="center"/>
        <w:rPr>
          <w:rFonts w:asciiTheme="minorEastAsia" w:hAnsiTheme="minorEastAsia"/>
          <w:color w:val="auto"/>
          <w:szCs w:val="21"/>
          <w:highlight w:val="none"/>
        </w:rPr>
      </w:pPr>
      <w:r>
        <w:rPr>
          <w:rFonts w:asciiTheme="minorEastAsia" w:hAnsiTheme="minorEastAsia"/>
          <w:color w:val="auto"/>
          <w:szCs w:val="21"/>
          <w:highlight w:val="none"/>
        </w:rPr>
        <w:t>中小企业声明函（服务）</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本公司（联合体）郑重声明，根据《政府采购促进中小企业发展管理办法》（财库﹝2020﹞46号）的规定，本公司（联合体）参加</w:t>
      </w:r>
      <w:r>
        <w:rPr>
          <w:rFonts w:hint="eastAsia" w:ascii="宋体" w:hAnsi="宋体" w:eastAsia="宋体" w:cs="宋体"/>
          <w:color w:val="auto"/>
          <w:szCs w:val="21"/>
          <w:highlight w:val="none"/>
          <w:u w:val="single"/>
        </w:rPr>
        <w:t>（单位名称）</w:t>
      </w:r>
      <w:r>
        <w:rPr>
          <w:rFonts w:hint="eastAsia" w:ascii="宋体" w:hAnsi="宋体" w:eastAsia="宋体" w:cs="宋体"/>
          <w:color w:val="auto"/>
          <w:szCs w:val="21"/>
          <w:highlight w:val="none"/>
        </w:rPr>
        <w:t>的</w:t>
      </w:r>
      <w:r>
        <w:rPr>
          <w:rFonts w:hint="eastAsia" w:ascii="宋体" w:hAnsi="宋体" w:eastAsia="宋体" w:cs="宋体"/>
          <w:color w:val="auto"/>
          <w:szCs w:val="21"/>
          <w:highlight w:val="none"/>
          <w:u w:val="single"/>
        </w:rPr>
        <w:t>（项目名称）</w:t>
      </w:r>
      <w:r>
        <w:rPr>
          <w:rFonts w:hint="eastAsia" w:ascii="宋体" w:hAnsi="宋体" w:eastAsia="宋体" w:cs="宋体"/>
          <w:color w:val="auto"/>
          <w:szCs w:val="21"/>
          <w:highlight w:val="none"/>
        </w:rPr>
        <w:t>采购活动，服务全部由符合政策要求的中小企业承接。相关企业（含联合体中的中小企业、签订分包意向协议的中小企业）的具体情况如下：</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u w:val="single"/>
        </w:rPr>
        <w:t>（标的名称）</w:t>
      </w:r>
      <w:r>
        <w:rPr>
          <w:rFonts w:hint="eastAsia" w:ascii="宋体" w:hAnsi="宋体" w:eastAsia="宋体" w:cs="宋体"/>
          <w:color w:val="auto"/>
          <w:szCs w:val="21"/>
          <w:highlight w:val="none"/>
        </w:rPr>
        <w:t>，属于</w:t>
      </w:r>
      <w:r>
        <w:rPr>
          <w:rFonts w:hint="eastAsia" w:ascii="宋体" w:hAnsi="宋体" w:eastAsia="宋体" w:cs="宋体"/>
          <w:color w:val="auto"/>
          <w:szCs w:val="21"/>
          <w:highlight w:val="none"/>
          <w:u w:val="single"/>
        </w:rPr>
        <w:t>（采购文件中明确的所属行业）</w:t>
      </w:r>
      <w:r>
        <w:rPr>
          <w:rFonts w:hint="eastAsia" w:ascii="宋体" w:hAnsi="宋体" w:eastAsia="宋体" w:cs="宋体"/>
          <w:color w:val="auto"/>
          <w:szCs w:val="21"/>
          <w:highlight w:val="none"/>
        </w:rPr>
        <w:t>行业；承接企业为</w:t>
      </w:r>
      <w:r>
        <w:rPr>
          <w:rFonts w:hint="eastAsia" w:ascii="宋体" w:hAnsi="宋体" w:eastAsia="宋体" w:cs="宋体"/>
          <w:color w:val="auto"/>
          <w:szCs w:val="21"/>
          <w:highlight w:val="none"/>
          <w:u w:val="single"/>
        </w:rPr>
        <w:t>（企业名称）</w:t>
      </w:r>
      <w:r>
        <w:rPr>
          <w:rFonts w:hint="eastAsia" w:ascii="宋体" w:hAnsi="宋体" w:eastAsia="宋体" w:cs="宋体"/>
          <w:color w:val="auto"/>
          <w:szCs w:val="21"/>
          <w:highlight w:val="none"/>
        </w:rPr>
        <w:t>，从业人员</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人，营业收入为</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万元，资产总额为</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万元，属于</w:t>
      </w:r>
      <w:r>
        <w:rPr>
          <w:rFonts w:hint="eastAsia" w:ascii="宋体" w:hAnsi="宋体" w:eastAsia="宋体" w:cs="宋体"/>
          <w:color w:val="auto"/>
          <w:szCs w:val="21"/>
          <w:highlight w:val="none"/>
          <w:u w:val="single"/>
        </w:rPr>
        <w:t>（中型企业、小型企业、微型企业）</w:t>
      </w:r>
      <w:r>
        <w:rPr>
          <w:rFonts w:hint="eastAsia" w:ascii="宋体" w:hAnsi="宋体" w:eastAsia="宋体" w:cs="宋体"/>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u w:val="single"/>
        </w:rPr>
        <w:t>（标的名称）</w:t>
      </w:r>
      <w:r>
        <w:rPr>
          <w:rFonts w:hint="eastAsia" w:ascii="宋体" w:hAnsi="宋体" w:eastAsia="宋体" w:cs="宋体"/>
          <w:color w:val="auto"/>
          <w:szCs w:val="21"/>
          <w:highlight w:val="none"/>
        </w:rPr>
        <w:t>，属于</w:t>
      </w:r>
      <w:r>
        <w:rPr>
          <w:rFonts w:hint="eastAsia" w:ascii="宋体" w:hAnsi="宋体" w:eastAsia="宋体" w:cs="宋体"/>
          <w:color w:val="auto"/>
          <w:szCs w:val="21"/>
          <w:highlight w:val="none"/>
          <w:u w:val="single"/>
        </w:rPr>
        <w:t>（采购文件中明确的所属行业）</w:t>
      </w:r>
      <w:r>
        <w:rPr>
          <w:rFonts w:hint="eastAsia" w:ascii="宋体" w:hAnsi="宋体" w:eastAsia="宋体" w:cs="宋体"/>
          <w:color w:val="auto"/>
          <w:szCs w:val="21"/>
          <w:highlight w:val="none"/>
        </w:rPr>
        <w:t>行业；承接企业为</w:t>
      </w:r>
      <w:r>
        <w:rPr>
          <w:rFonts w:hint="eastAsia" w:ascii="宋体" w:hAnsi="宋体" w:eastAsia="宋体" w:cs="宋体"/>
          <w:color w:val="auto"/>
          <w:szCs w:val="21"/>
          <w:highlight w:val="none"/>
          <w:u w:val="single"/>
        </w:rPr>
        <w:t>（企业名称）</w:t>
      </w:r>
      <w:r>
        <w:rPr>
          <w:rFonts w:hint="eastAsia" w:ascii="宋体" w:hAnsi="宋体" w:eastAsia="宋体" w:cs="宋体"/>
          <w:color w:val="auto"/>
          <w:szCs w:val="21"/>
          <w:highlight w:val="none"/>
        </w:rPr>
        <w:t>，从业人员</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人，营业收入为</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万元，资产总额为</w:t>
      </w:r>
      <w:r>
        <w:rPr>
          <w:rFonts w:hint="eastAsia" w:ascii="宋体" w:hAnsi="宋体" w:eastAsia="宋体" w:cs="宋体"/>
          <w:color w:val="auto"/>
          <w:szCs w:val="21"/>
          <w:highlight w:val="none"/>
          <w:u w:val="single"/>
        </w:rPr>
        <w:tab/>
      </w:r>
      <w:r>
        <w:rPr>
          <w:rFonts w:hint="eastAsia" w:ascii="宋体" w:hAnsi="宋体" w:eastAsia="宋体" w:cs="宋体"/>
          <w:color w:val="auto"/>
          <w:szCs w:val="21"/>
          <w:highlight w:val="none"/>
        </w:rPr>
        <w:t>万元，属于</w:t>
      </w:r>
      <w:r>
        <w:rPr>
          <w:rFonts w:hint="eastAsia" w:ascii="宋体" w:hAnsi="宋体" w:eastAsia="宋体" w:cs="宋体"/>
          <w:color w:val="auto"/>
          <w:szCs w:val="21"/>
          <w:highlight w:val="none"/>
          <w:u w:val="single"/>
        </w:rPr>
        <w:t>（中型企业、小型企业、微型企业）</w:t>
      </w:r>
      <w:r>
        <w:rPr>
          <w:rFonts w:hint="eastAsia" w:ascii="宋体" w:hAnsi="宋体" w:eastAsia="宋体" w:cs="宋体"/>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本企业对上述声明内容的真实性负责。如有虚假，将依法承担相应责任。</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440" w:lineRule="exact"/>
        <w:ind w:firstLine="3570" w:firstLineChars="17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企业名称（盖章）：</w:t>
      </w:r>
    </w:p>
    <w:p>
      <w:pPr>
        <w:keepNext w:val="0"/>
        <w:keepLines w:val="0"/>
        <w:pageBreakBefore w:val="0"/>
        <w:widowControl w:val="0"/>
        <w:kinsoku/>
        <w:wordWrap/>
        <w:overflowPunct/>
        <w:topLinePunct w:val="0"/>
        <w:autoSpaceDE/>
        <w:autoSpaceDN/>
        <w:bidi w:val="0"/>
        <w:adjustRightInd/>
        <w:snapToGrid/>
        <w:spacing w:line="440" w:lineRule="exact"/>
        <w:ind w:firstLine="3570" w:firstLineChars="1700"/>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日 期：</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备注：</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1.从业人员、营业收入、资产总额填报上一年度数据，无上一年度数据的新成立企业可不填报。</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以下情形不影响声明有效性，也不作为虚假资料情形：一是划型标准中行业不涉及的指标未填写或填写错误的；二是声明函所列行业与采购文件所明确行业不一致且不改变划型结果的；三是非企业供应商错误提交声明函的。</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3.项目专门面向中小企业采购的，投标人必须按要求提供本表，且投标货物或服务必须全部由中小企业制造或者承接。如有虚假，将对投标人按虚假材料谋取中标论处。</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符合《关于促进残疾人就业政府采购政策的通知》（财库〔2017〕141号）规定的条件并提供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微型企业。</w:t>
      </w:r>
    </w:p>
    <w:p>
      <w:pPr>
        <w:snapToGrid w:val="0"/>
        <w:spacing w:line="600" w:lineRule="exact"/>
        <w:jc w:val="center"/>
        <w:rPr>
          <w:rFonts w:ascii="宋体" w:hAnsi="宋体"/>
          <w:color w:val="auto"/>
          <w:szCs w:val="21"/>
          <w:highlight w:val="none"/>
        </w:rPr>
      </w:pPr>
      <w:r>
        <w:rPr>
          <w:rFonts w:hint="eastAsia" w:ascii="宋体" w:hAnsi="宋体"/>
          <w:color w:val="auto"/>
          <w:szCs w:val="21"/>
          <w:highlight w:val="none"/>
        </w:rPr>
        <w:t>残疾人福利性单位声明函</w:t>
      </w:r>
    </w:p>
    <w:p>
      <w:pPr>
        <w:snapToGrid w:val="0"/>
        <w:spacing w:line="600" w:lineRule="exact"/>
        <w:ind w:firstLine="420" w:firstLineChars="200"/>
        <w:jc w:val="left"/>
        <w:rPr>
          <w:rFonts w:ascii="宋体" w:hAnsi="宋体"/>
          <w:color w:val="auto"/>
          <w:szCs w:val="21"/>
          <w:highlight w:val="none"/>
        </w:rPr>
      </w:pPr>
    </w:p>
    <w:p>
      <w:pPr>
        <w:snapToGrid w:val="0"/>
        <w:spacing w:line="600" w:lineRule="exact"/>
        <w:ind w:firstLine="420" w:firstLineChars="200"/>
        <w:jc w:val="left"/>
        <w:rPr>
          <w:rFonts w:ascii="宋体" w:hAnsi="宋体"/>
          <w:color w:val="auto"/>
          <w:szCs w:val="21"/>
          <w:highlight w:val="none"/>
        </w:rPr>
      </w:pPr>
    </w:p>
    <w:p>
      <w:pPr>
        <w:spacing w:line="600" w:lineRule="exact"/>
        <w:ind w:firstLine="444" w:firstLineChars="200"/>
        <w:rPr>
          <w:rFonts w:ascii="宋体" w:hAnsi="宋体" w:cs="宋体"/>
          <w:color w:val="auto"/>
          <w:spacing w:val="6"/>
          <w:szCs w:val="21"/>
          <w:highlight w:val="none"/>
        </w:rPr>
      </w:pPr>
      <w:r>
        <w:rPr>
          <w:rFonts w:hint="eastAsia" w:ascii="宋体" w:hAnsi="宋体" w:cs="宋体"/>
          <w:color w:val="auto"/>
          <w:spacing w:val="6"/>
          <w:szCs w:val="21"/>
          <w:highlight w:val="none"/>
        </w:rPr>
        <w:t>本单位郑重声明，根据《财政部 民政部 中国残疾人联合会关于促进残疾人就业政府采购政策的通知》（财库</w:t>
      </w:r>
      <w:r>
        <w:rPr>
          <w:rFonts w:hint="eastAsia" w:ascii="宋体" w:hAnsi="宋体" w:cs="宋体"/>
          <w:color w:val="auto"/>
          <w:szCs w:val="21"/>
          <w:highlight w:val="none"/>
        </w:rPr>
        <w:t>〔2017〕141</w:t>
      </w:r>
      <w:r>
        <w:rPr>
          <w:rFonts w:hint="eastAsia" w:ascii="宋体" w:hAnsi="宋体" w:cs="宋体"/>
          <w:color w:val="auto"/>
          <w:spacing w:val="6"/>
          <w:szCs w:val="21"/>
          <w:highlight w:val="none"/>
        </w:rPr>
        <w:t>号）的规定，本单位为符合条件的残疾人福利性单位，且本单位参加</w:t>
      </w:r>
      <w:r>
        <w:rPr>
          <w:rFonts w:hint="eastAsia" w:ascii="宋体" w:hAnsi="宋体" w:cs="宋体"/>
          <w:color w:val="auto"/>
          <w:spacing w:val="6"/>
          <w:szCs w:val="21"/>
          <w:highlight w:val="none"/>
          <w:u w:val="single"/>
        </w:rPr>
        <w:t xml:space="preserve">                </w:t>
      </w:r>
      <w:r>
        <w:rPr>
          <w:rFonts w:hint="eastAsia" w:ascii="宋体" w:hAnsi="宋体" w:cs="宋体"/>
          <w:color w:val="auto"/>
          <w:spacing w:val="6"/>
          <w:szCs w:val="21"/>
          <w:highlight w:val="none"/>
        </w:rPr>
        <w:t>单位的</w:t>
      </w:r>
      <w:r>
        <w:rPr>
          <w:rFonts w:hint="eastAsia" w:ascii="宋体" w:hAnsi="宋体" w:cs="宋体"/>
          <w:color w:val="auto"/>
          <w:spacing w:val="6"/>
          <w:szCs w:val="21"/>
          <w:highlight w:val="none"/>
          <w:u w:val="single"/>
        </w:rPr>
        <w:t xml:space="preserve">                        </w:t>
      </w:r>
      <w:r>
        <w:rPr>
          <w:rFonts w:hint="eastAsia" w:ascii="宋体" w:hAnsi="宋体" w:cs="宋体"/>
          <w:color w:val="auto"/>
          <w:spacing w:val="6"/>
          <w:szCs w:val="21"/>
          <w:highlight w:val="none"/>
        </w:rPr>
        <w:t>项目采购活动提供本单位制造的货物（由本单位承担工程/提供服务），或者提供其他残疾人福利性单位制造的货物（不包括使用非残疾人福利性单位注册商标的货物）。</w:t>
      </w:r>
    </w:p>
    <w:p>
      <w:pPr>
        <w:spacing w:line="600" w:lineRule="exact"/>
        <w:ind w:firstLine="444" w:firstLineChars="200"/>
        <w:rPr>
          <w:rFonts w:ascii="宋体" w:hAnsi="宋体" w:cs="宋体"/>
          <w:color w:val="auto"/>
          <w:spacing w:val="6"/>
          <w:szCs w:val="21"/>
          <w:highlight w:val="none"/>
        </w:rPr>
      </w:pPr>
      <w:r>
        <w:rPr>
          <w:rFonts w:hint="eastAsia" w:ascii="宋体" w:hAnsi="宋体" w:cs="宋体"/>
          <w:color w:val="auto"/>
          <w:spacing w:val="6"/>
          <w:szCs w:val="21"/>
          <w:highlight w:val="none"/>
        </w:rPr>
        <w:t>本单位对上述声明的真实性负责。如有虚假，将依法承担相应责任。</w:t>
      </w:r>
    </w:p>
    <w:p>
      <w:pPr>
        <w:pStyle w:val="3"/>
        <w:spacing w:after="0" w:line="600" w:lineRule="exact"/>
        <w:ind w:leftChars="0" w:firstLine="3570" w:firstLineChars="1700"/>
        <w:rPr>
          <w:rFonts w:hint="eastAsia" w:hAnsi="宋体"/>
          <w:color w:val="auto"/>
          <w:szCs w:val="21"/>
          <w:highlight w:val="none"/>
        </w:rPr>
      </w:pPr>
    </w:p>
    <w:p>
      <w:pPr>
        <w:pStyle w:val="3"/>
        <w:spacing w:after="0" w:line="600" w:lineRule="exact"/>
        <w:ind w:leftChars="0" w:firstLine="3570" w:firstLineChars="1700"/>
        <w:rPr>
          <w:rFonts w:hint="eastAsia" w:hAnsi="宋体"/>
          <w:color w:val="auto"/>
          <w:szCs w:val="21"/>
          <w:highlight w:val="none"/>
        </w:rPr>
      </w:pPr>
    </w:p>
    <w:p>
      <w:pPr>
        <w:pStyle w:val="3"/>
        <w:spacing w:after="0" w:line="600" w:lineRule="exact"/>
        <w:ind w:leftChars="0" w:firstLine="3570" w:firstLineChars="1700"/>
        <w:rPr>
          <w:rFonts w:hint="eastAsia" w:hAnsi="宋体"/>
          <w:color w:val="auto"/>
          <w:szCs w:val="21"/>
          <w:highlight w:val="none"/>
        </w:rPr>
      </w:pPr>
    </w:p>
    <w:p>
      <w:pPr>
        <w:pStyle w:val="3"/>
        <w:spacing w:after="0" w:line="600" w:lineRule="exact"/>
        <w:ind w:leftChars="0" w:firstLine="3570" w:firstLineChars="1700"/>
        <w:rPr>
          <w:rFonts w:hint="eastAsia" w:hAnsi="宋体"/>
          <w:color w:val="auto"/>
          <w:szCs w:val="21"/>
          <w:highlight w:val="none"/>
        </w:rPr>
      </w:pPr>
    </w:p>
    <w:p>
      <w:pPr>
        <w:pStyle w:val="3"/>
        <w:spacing w:after="0" w:line="600" w:lineRule="exact"/>
        <w:ind w:leftChars="0" w:firstLine="3570" w:firstLineChars="1700"/>
        <w:rPr>
          <w:rFonts w:hint="eastAsia" w:hAnsi="宋体"/>
          <w:color w:val="auto"/>
          <w:szCs w:val="21"/>
          <w:highlight w:val="none"/>
        </w:rPr>
      </w:pPr>
    </w:p>
    <w:p>
      <w:pPr>
        <w:pStyle w:val="3"/>
        <w:spacing w:after="0" w:line="600" w:lineRule="exact"/>
        <w:ind w:leftChars="0" w:firstLine="3570" w:firstLineChars="1700"/>
        <w:rPr>
          <w:rFonts w:hint="eastAsia" w:hAnsi="宋体"/>
          <w:color w:val="auto"/>
          <w:szCs w:val="21"/>
          <w:highlight w:val="none"/>
        </w:rPr>
      </w:pPr>
    </w:p>
    <w:p>
      <w:pPr>
        <w:pStyle w:val="3"/>
        <w:spacing w:after="0" w:line="600" w:lineRule="exact"/>
        <w:ind w:leftChars="0" w:firstLine="3570" w:firstLineChars="1700"/>
        <w:rPr>
          <w:rFonts w:hint="eastAsia" w:hAnsi="宋体"/>
          <w:color w:val="auto"/>
          <w:szCs w:val="21"/>
          <w:highlight w:val="none"/>
        </w:rPr>
      </w:pPr>
    </w:p>
    <w:p>
      <w:pPr>
        <w:pStyle w:val="3"/>
        <w:spacing w:after="0" w:line="600" w:lineRule="exact"/>
        <w:ind w:leftChars="0" w:firstLine="3570" w:firstLineChars="1700"/>
        <w:rPr>
          <w:rFonts w:hAnsi="宋体"/>
          <w:color w:val="auto"/>
          <w:szCs w:val="21"/>
          <w:highlight w:val="none"/>
        </w:rPr>
      </w:pPr>
      <w:r>
        <w:rPr>
          <w:rFonts w:hint="eastAsia" w:hAnsi="宋体"/>
          <w:color w:val="auto"/>
          <w:szCs w:val="21"/>
          <w:highlight w:val="none"/>
        </w:rPr>
        <w:t>单位名称（盖章）：</w:t>
      </w:r>
    </w:p>
    <w:p>
      <w:pPr>
        <w:pStyle w:val="3"/>
        <w:spacing w:after="0" w:line="600" w:lineRule="exact"/>
        <w:ind w:leftChars="0" w:firstLine="3570" w:firstLineChars="1700"/>
        <w:rPr>
          <w:rFonts w:hAnsi="宋体"/>
          <w:color w:val="auto"/>
          <w:szCs w:val="21"/>
          <w:highlight w:val="none"/>
        </w:rPr>
      </w:pPr>
      <w:r>
        <w:rPr>
          <w:rFonts w:hint="eastAsia" w:hAnsi="宋体"/>
          <w:color w:val="auto"/>
          <w:szCs w:val="21"/>
          <w:highlight w:val="none"/>
        </w:rPr>
        <w:t>日期：</w:t>
      </w: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600" w:lineRule="exact"/>
        <w:jc w:val="left"/>
        <w:rPr>
          <w:rFonts w:hint="eastAsia" w:ascii="宋体" w:hAnsi="宋体"/>
          <w:color w:val="auto"/>
          <w:szCs w:val="21"/>
          <w:highlight w:val="none"/>
        </w:rPr>
      </w:pPr>
    </w:p>
    <w:p>
      <w:pPr>
        <w:snapToGrid w:val="0"/>
        <w:spacing w:line="600" w:lineRule="exact"/>
        <w:jc w:val="left"/>
        <w:rPr>
          <w:rFonts w:ascii="宋体" w:hAnsi="宋体"/>
          <w:color w:val="auto"/>
          <w:szCs w:val="21"/>
          <w:highlight w:val="none"/>
        </w:rPr>
      </w:pPr>
      <w:r>
        <w:rPr>
          <w:rFonts w:hint="eastAsia" w:ascii="宋体" w:hAnsi="宋体"/>
          <w:color w:val="auto"/>
          <w:szCs w:val="21"/>
          <w:highlight w:val="none"/>
        </w:rPr>
        <w:t>省级以上监狱管理局、戒毒管理局（含新疆生产建设兵团）出具的属于监狱企业的证明文件。</w:t>
      </w: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pStyle w:val="4"/>
        <w:rPr>
          <w:rFonts w:ascii="宋体" w:hAnsi="宋体"/>
          <w:color w:val="auto"/>
          <w:szCs w:val="21"/>
          <w:highlight w:val="none"/>
        </w:rPr>
      </w:pPr>
    </w:p>
    <w:p>
      <w:pPr>
        <w:rPr>
          <w:rFonts w:ascii="宋体" w:hAnsi="宋体"/>
          <w:color w:val="auto"/>
          <w:szCs w:val="21"/>
          <w:highlight w:val="none"/>
        </w:rPr>
      </w:pPr>
    </w:p>
    <w:p>
      <w:pPr>
        <w:pStyle w:val="4"/>
        <w:rPr>
          <w:rFonts w:ascii="宋体" w:hAnsi="宋体"/>
          <w:color w:val="auto"/>
          <w:szCs w:val="21"/>
          <w:highlight w:val="none"/>
        </w:rPr>
      </w:pPr>
    </w:p>
    <w:p>
      <w:pPr>
        <w:rPr>
          <w:rFonts w:ascii="宋体" w:hAnsi="宋体"/>
          <w:color w:val="auto"/>
          <w:szCs w:val="21"/>
          <w:highlight w:val="none"/>
        </w:rPr>
      </w:pPr>
    </w:p>
    <w:p>
      <w:pPr>
        <w:pStyle w:val="4"/>
        <w:rPr>
          <w:color w:val="auto"/>
          <w:highlight w:val="none"/>
        </w:rPr>
      </w:pPr>
    </w:p>
    <w:p>
      <w:pPr>
        <w:spacing w:line="400" w:lineRule="exact"/>
        <w:jc w:val="left"/>
        <w:rPr>
          <w:rFonts w:hint="eastAsia" w:ascii="宋体" w:hAnsi="宋体"/>
          <w:color w:val="auto"/>
          <w:szCs w:val="21"/>
          <w:highlight w:val="none"/>
        </w:rPr>
      </w:pPr>
    </w:p>
    <w:p>
      <w:pPr>
        <w:spacing w:line="400" w:lineRule="exact"/>
        <w:jc w:val="left"/>
        <w:rPr>
          <w:rFonts w:hint="eastAsia" w:ascii="宋体" w:hAnsi="宋体"/>
          <w:color w:val="auto"/>
          <w:szCs w:val="21"/>
          <w:highlight w:val="none"/>
        </w:rPr>
      </w:pPr>
    </w:p>
    <w:p>
      <w:pPr>
        <w:spacing w:line="400" w:lineRule="exact"/>
        <w:jc w:val="left"/>
        <w:rPr>
          <w:rFonts w:ascii="宋体" w:hAnsi="宋体"/>
          <w:color w:val="auto"/>
          <w:szCs w:val="21"/>
          <w:highlight w:val="none"/>
        </w:rPr>
      </w:pPr>
      <w:r>
        <w:rPr>
          <w:rFonts w:hint="eastAsia" w:ascii="宋体" w:hAnsi="宋体"/>
          <w:color w:val="auto"/>
          <w:szCs w:val="21"/>
          <w:highlight w:val="none"/>
        </w:rPr>
        <w:t>附件二</w:t>
      </w:r>
    </w:p>
    <w:p>
      <w:pPr>
        <w:spacing w:line="400" w:lineRule="exact"/>
        <w:jc w:val="center"/>
        <w:rPr>
          <w:rFonts w:ascii="宋体" w:hAnsi="宋体"/>
          <w:color w:val="auto"/>
          <w:szCs w:val="21"/>
          <w:highlight w:val="none"/>
        </w:rPr>
      </w:pPr>
      <w:r>
        <w:rPr>
          <w:rFonts w:hint="eastAsia" w:ascii="宋体" w:hAnsi="宋体"/>
          <w:color w:val="auto"/>
          <w:szCs w:val="21"/>
          <w:highlight w:val="none"/>
        </w:rPr>
        <w:t>符合性自查表</w:t>
      </w:r>
    </w:p>
    <w:tbl>
      <w:tblPr>
        <w:tblStyle w:val="25"/>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9"/>
        <w:gridCol w:w="5398"/>
        <w:gridCol w:w="1273"/>
        <w:gridCol w:w="1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6667" w:type="dxa"/>
            <w:gridSpan w:val="2"/>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招标文件要求</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自查结论</w:t>
            </w:r>
          </w:p>
        </w:tc>
        <w:tc>
          <w:tcPr>
            <w:tcW w:w="1238"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证明资料</w:t>
            </w:r>
          </w:p>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restart"/>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w:t>
            </w:r>
          </w:p>
        </w:tc>
        <w:tc>
          <w:tcPr>
            <w:tcW w:w="539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1.投标函已提交并符合招标文件要求的；（格式见附件）</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2.《法定代表人／负责人身份证明书</w:t>
            </w:r>
            <w:r>
              <w:rPr>
                <w:rFonts w:hint="eastAsia" w:ascii="宋体" w:hAnsi="宋体" w:eastAsia="宋体" w:cs="宋体"/>
                <w:color w:val="auto"/>
                <w:sz w:val="21"/>
                <w:szCs w:val="21"/>
                <w:highlight w:val="none"/>
                <w:shd w:val="clear" w:color="auto" w:fill="FFFFFF"/>
              </w:rPr>
              <w:t>》</w:t>
            </w:r>
            <w:r>
              <w:rPr>
                <w:rFonts w:hint="eastAsia" w:ascii="宋体" w:hAnsi="宋体" w:eastAsia="宋体" w:cs="宋体"/>
                <w:color w:val="auto"/>
                <w:sz w:val="21"/>
                <w:szCs w:val="21"/>
                <w:highlight w:val="none"/>
              </w:rPr>
              <w:t>已提交的；（格式见附件）</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3.投标文件按招标文件要求签署、盖章的；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4.具备招标文件中规定的资格要求的</w:t>
            </w:r>
            <w:r>
              <w:rPr>
                <w:rFonts w:hint="eastAsia" w:ascii="宋体" w:hAnsi="宋体" w:eastAsia="宋体" w:cs="宋体"/>
                <w:color w:val="auto"/>
                <w:sz w:val="21"/>
                <w:szCs w:val="21"/>
                <w:highlight w:val="none"/>
              </w:rPr>
              <w:t>；</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shd w:val="clear" w:color="auto" w:fill="FFFFFF"/>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5.不存在投标有效期不足的；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r>
              <w:rPr>
                <w:rFonts w:hint="eastAsia" w:ascii="宋体" w:hAnsi="宋体" w:eastAsia="宋体" w:cs="宋体"/>
                <w:color w:val="auto"/>
                <w:sz w:val="21"/>
                <w:szCs w:val="21"/>
                <w:highlight w:val="none"/>
                <w:shd w:val="clear" w:color="auto" w:fill="FFFFFF"/>
              </w:rPr>
              <w:t>授权代表有《法定代表人／负责人授权委托书》的；（格式见附件）</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7.投标文件不含有采购人不能接受的附加条件的；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8.不存在提供虚假材料投标的；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9.与招标文件无重大偏离、满足带“★”号实质性指标的投标文件；</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10.投标服务方案明确，不存在一个或一个以上备选（替代）投标方案的；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.技术商务文件中未出现投标报价内容的；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ind w:firstLine="315" w:firstLineChars="15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.投标人未被视为串通投标的；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.不存在仅提交电子备份投标文件的；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.不存在法律、法规和招标文件规定的其他无效情形。</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restart"/>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商务资信</w:t>
            </w: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营业执照副本复印件、组织机构代码证复印件（如果已经换取证照合一的，可仅提供合一后的营业执照副本）。</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adjustRightInd/>
              <w:snapToGrid/>
              <w:spacing w:line="33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服务期限</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三年(具体时间以合同为准)合同一年一签，采购人根据中标人在上一年度合同履约、考核情况及财政资金审批情况等决定是否续签。</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bookmarkStart w:id="54" w:name="OLE_LINK45" w:colFirst="2" w:colLast="3"/>
          </w:p>
        </w:tc>
        <w:tc>
          <w:tcPr>
            <w:tcW w:w="5398" w:type="dxa"/>
            <w:vAlign w:val="center"/>
          </w:tcPr>
          <w:p>
            <w:pPr>
              <w:keepNext w:val="0"/>
              <w:keepLines w:val="0"/>
              <w:pageBreakBefore w:val="0"/>
              <w:widowControl w:val="0"/>
              <w:kinsoku/>
              <w:wordWrap/>
              <w:overflowPunct/>
              <w:topLinePunct w:val="0"/>
              <w:autoSpaceDE/>
              <w:autoSpaceDN/>
              <w:bidi w:val="0"/>
              <w:adjustRightInd w:val="0"/>
              <w:snapToGrid/>
              <w:spacing w:line="330" w:lineRule="exac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付款方式</w:t>
            </w:r>
            <w:r>
              <w:rPr>
                <w:rFonts w:hint="eastAsia" w:ascii="宋体" w:hAnsi="宋体" w:eastAsia="宋体" w:cs="宋体"/>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val="0"/>
              <w:snapToGrid/>
              <w:spacing w:line="330" w:lineRule="exact"/>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eastAsia="zh-CN"/>
              </w:rPr>
              <w:t>年度合同签订之日起7日内支付年度合同总价的20%作为预付款</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合同签订时中标人主动要求不需要预付款的采购人可以不支付</w:t>
            </w:r>
            <w:r>
              <w:rPr>
                <w:rFonts w:hint="eastAsia" w:ascii="宋体" w:hAnsi="宋体" w:eastAsia="宋体" w:cs="宋体"/>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3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）每</w:t>
            </w:r>
            <w:r>
              <w:rPr>
                <w:rFonts w:hint="eastAsia" w:ascii="宋体" w:hAnsi="宋体" w:eastAsia="宋体" w:cs="宋体"/>
                <w:color w:val="auto"/>
                <w:sz w:val="21"/>
                <w:szCs w:val="21"/>
                <w:highlight w:val="none"/>
                <w:lang w:val="en-US" w:eastAsia="zh-CN"/>
              </w:rPr>
              <w:t>季度</w:t>
            </w:r>
            <w:r>
              <w:rPr>
                <w:rFonts w:hint="eastAsia" w:ascii="宋体" w:hAnsi="宋体" w:eastAsia="宋体" w:cs="宋体"/>
                <w:color w:val="auto"/>
                <w:sz w:val="21"/>
                <w:szCs w:val="21"/>
                <w:highlight w:val="none"/>
                <w:lang w:eastAsia="zh-CN"/>
              </w:rPr>
              <w:t>经采购人考核评定后，结合考核</w:t>
            </w:r>
            <w:r>
              <w:rPr>
                <w:rFonts w:hint="eastAsia" w:ascii="宋体" w:hAnsi="宋体" w:eastAsia="宋体" w:cs="宋体"/>
                <w:color w:val="auto"/>
                <w:sz w:val="21"/>
                <w:szCs w:val="21"/>
                <w:highlight w:val="none"/>
                <w:lang w:val="en-US" w:eastAsia="zh-CN"/>
              </w:rPr>
              <w:t>结果</w:t>
            </w:r>
            <w:r>
              <w:rPr>
                <w:rFonts w:hint="eastAsia" w:ascii="宋体" w:hAnsi="宋体" w:eastAsia="宋体" w:cs="宋体"/>
                <w:color w:val="auto"/>
                <w:sz w:val="21"/>
                <w:szCs w:val="21"/>
                <w:highlight w:val="none"/>
                <w:lang w:eastAsia="zh-CN"/>
              </w:rPr>
              <w:t>确定应付服务费，中标</w:t>
            </w:r>
            <w:r>
              <w:rPr>
                <w:rFonts w:hint="eastAsia" w:ascii="宋体" w:hAnsi="宋体" w:eastAsia="宋体" w:cs="宋体"/>
                <w:color w:val="auto"/>
                <w:sz w:val="21"/>
                <w:szCs w:val="21"/>
                <w:highlight w:val="none"/>
                <w:lang w:val="en-US" w:eastAsia="zh-CN"/>
              </w:rPr>
              <w:t>人</w:t>
            </w:r>
            <w:r>
              <w:rPr>
                <w:rFonts w:hint="eastAsia" w:ascii="宋体" w:hAnsi="宋体" w:eastAsia="宋体" w:cs="宋体"/>
                <w:color w:val="auto"/>
                <w:sz w:val="21"/>
                <w:szCs w:val="21"/>
                <w:highlight w:val="none"/>
                <w:lang w:eastAsia="zh-CN"/>
              </w:rPr>
              <w:t>按应收款总额开具正式发票，采购人于次月20日前支付，如遇节假日则自动顺延（先从预付款中扣除相应金额，待预付款支付完后再另行按实支付）</w:t>
            </w:r>
            <w:r>
              <w:rPr>
                <w:rFonts w:hint="eastAsia" w:ascii="宋体" w:hAnsi="宋体" w:eastAsia="宋体" w:cs="宋体"/>
                <w:color w:val="auto"/>
                <w:sz w:val="21"/>
                <w:szCs w:val="21"/>
                <w:highlight w:val="none"/>
                <w:lang w:val="en-US" w:eastAsia="zh-CN"/>
              </w:rPr>
              <w:t>。</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bookmarkEnd w:id="54"/>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6"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adjustRightInd/>
              <w:snapToGrid/>
              <w:spacing w:line="33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i w:val="0"/>
                <w:caps w:val="0"/>
                <w:color w:val="auto"/>
                <w:spacing w:val="0"/>
                <w:sz w:val="21"/>
                <w:szCs w:val="21"/>
                <w:highlight w:val="none"/>
                <w:shd w:val="clear" w:fill="FFFFFF"/>
                <w:lang w:val="en-US" w:eastAsia="zh-CN"/>
              </w:rPr>
              <w:t>4.本次招标采用按中标价格一次性包干的方式。但在合同执行期间，投标人在进行投标报价时要充分考虑未来三年价格因素的变化，合同中的人员工资部分必须符合当地劳动部门有关规定，遇到社保缴费基数、比例及最低工资标准上调，则按实际情况予以调整，确保用工合法，由此增加的费用，由投标人负责，合同价格不作调整。</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restart"/>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w:t>
            </w: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1.投标文件按招标文件要求签署、盖章的；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2.投标文件不含有采购人不能接受的附加条件的；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3.不存在提供虚假材料投标的；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4.与招标文件无重大偏离、满足带“★”号实质性指标的投标文件；</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5.采用人民币报价或者按照招标文件标明的币种报价的；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6.报价不超过招标文件中规定的预算金额或者最高限价的；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7.投标报价不具有选择性；</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6"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评标委员会认为投标人的报价明显低于其他通过符合性审查投标人的报价，有可能影响产品质量或者不能诚信履约的，应当要求其在评标现场合理的时间内提供书面说明，必要时提交相关证明材料；投标人能证明其报价合理性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9.投标人对根据修正原则修正后的报价确认的；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tabs>
                <w:tab w:val="left" w:pos="612"/>
              </w:tabs>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10.投标人未被视为串通投标的；</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1269" w:type="dxa"/>
            <w:vMerge w:val="continue"/>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p>
        </w:tc>
        <w:tc>
          <w:tcPr>
            <w:tcW w:w="5398" w:type="dxa"/>
            <w:vAlign w:val="center"/>
          </w:tcPr>
          <w:p>
            <w:pPr>
              <w:keepNext w:val="0"/>
              <w:keepLines w:val="0"/>
              <w:pageBreakBefore w:val="0"/>
              <w:widowControl w:val="0"/>
              <w:kinsoku/>
              <w:wordWrap/>
              <w:overflowPunct/>
              <w:topLinePunct w:val="0"/>
              <w:autoSpaceDE/>
              <w:autoSpaceDN/>
              <w:bidi w:val="0"/>
              <w:spacing w:line="33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11.不存在法律、法规和招标文件规定的其他无效情形。</w:t>
            </w:r>
          </w:p>
        </w:tc>
        <w:tc>
          <w:tcPr>
            <w:tcW w:w="1273" w:type="dxa"/>
            <w:vAlign w:val="center"/>
          </w:tcPr>
          <w:p>
            <w:pPr>
              <w:keepNext w:val="0"/>
              <w:keepLines w:val="0"/>
              <w:pageBreakBefore w:val="0"/>
              <w:widowControl w:val="0"/>
              <w:kinsoku/>
              <w:wordWrap/>
              <w:overflowPunct/>
              <w:topLinePunct w:val="0"/>
              <w:autoSpaceDE/>
              <w:autoSpaceDN/>
              <w:bidi w:val="0"/>
              <w:adjustRightInd w:val="0"/>
              <w:snapToGrid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□通过</w:t>
            </w:r>
          </w:p>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□不通过</w:t>
            </w:r>
          </w:p>
        </w:tc>
        <w:tc>
          <w:tcPr>
            <w:tcW w:w="1238" w:type="dxa"/>
            <w:vAlign w:val="center"/>
          </w:tcPr>
          <w:p>
            <w:pPr>
              <w:keepNext w:val="0"/>
              <w:keepLines w:val="0"/>
              <w:pageBreakBefore w:val="0"/>
              <w:widowControl w:val="0"/>
              <w:kinsoku/>
              <w:wordWrap/>
              <w:overflowPunct/>
              <w:topLinePunct w:val="0"/>
              <w:autoSpaceDE/>
              <w:autoSpaceDN/>
              <w:bidi w:val="0"/>
              <w:spacing w:line="33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第（）页</w:t>
            </w:r>
          </w:p>
        </w:tc>
      </w:tr>
    </w:tbl>
    <w:p>
      <w:pPr>
        <w:snapToGrid w:val="0"/>
        <w:spacing w:line="400" w:lineRule="exact"/>
        <w:outlineLvl w:val="1"/>
        <w:rPr>
          <w:rFonts w:ascii="宋体" w:hAnsi="宋体"/>
          <w:color w:val="auto"/>
          <w:szCs w:val="21"/>
          <w:highlight w:val="none"/>
        </w:rPr>
      </w:pPr>
      <w:r>
        <w:rPr>
          <w:rFonts w:hint="eastAsia" w:ascii="宋体" w:hAnsi="宋体"/>
          <w:b/>
          <w:color w:val="auto"/>
          <w:szCs w:val="21"/>
          <w:highlight w:val="none"/>
        </w:rPr>
        <w:t>备注：符合性自查表将作为投标人有效性审查的重要内容之一，投标人必须严格按照其内容及序列要求在投标文件中对应如实提供，对</w:t>
      </w:r>
      <w:r>
        <w:rPr>
          <w:rFonts w:hint="eastAsia" w:ascii="宋体" w:hAnsi="宋体"/>
          <w:b/>
          <w:color w:val="auto"/>
          <w:szCs w:val="21"/>
          <w:highlight w:val="none"/>
          <w:lang w:val="en-US" w:eastAsia="zh-CN"/>
        </w:rPr>
        <w:t>符合</w:t>
      </w:r>
      <w:r>
        <w:rPr>
          <w:rFonts w:hint="eastAsia" w:ascii="宋体" w:hAnsi="宋体"/>
          <w:b/>
          <w:color w:val="auto"/>
          <w:szCs w:val="21"/>
          <w:highlight w:val="none"/>
        </w:rPr>
        <w:t>性证明文件的任何缺漏和不符合项将会直接导致投标无效！</w:t>
      </w:r>
      <w:bookmarkStart w:id="55" w:name="_Toc372547187"/>
    </w:p>
    <w:p>
      <w:pPr>
        <w:snapToGrid w:val="0"/>
        <w:spacing w:line="400" w:lineRule="exact"/>
        <w:outlineLvl w:val="1"/>
        <w:rPr>
          <w:rFonts w:hint="eastAsia" w:ascii="宋体" w:hAnsi="宋体"/>
          <w:color w:val="auto"/>
          <w:szCs w:val="21"/>
          <w:highlight w:val="none"/>
        </w:rPr>
      </w:pPr>
    </w:p>
    <w:p>
      <w:pPr>
        <w:pStyle w:val="2"/>
        <w:rPr>
          <w:rFonts w:hint="eastAsia"/>
          <w:highlight w:val="none"/>
        </w:rPr>
      </w:pPr>
    </w:p>
    <w:p>
      <w:pPr>
        <w:snapToGrid w:val="0"/>
        <w:spacing w:line="400" w:lineRule="exact"/>
        <w:outlineLvl w:val="1"/>
        <w:rPr>
          <w:rFonts w:ascii="宋体" w:hAnsi="宋体"/>
          <w:color w:val="auto"/>
          <w:szCs w:val="21"/>
          <w:highlight w:val="none"/>
        </w:rPr>
      </w:pPr>
      <w:r>
        <w:rPr>
          <w:rFonts w:hint="eastAsia" w:ascii="宋体" w:hAnsi="宋体"/>
          <w:color w:val="auto"/>
          <w:szCs w:val="21"/>
          <w:highlight w:val="none"/>
        </w:rPr>
        <w:t>（1）投标函格式</w:t>
      </w:r>
    </w:p>
    <w:p>
      <w:pPr>
        <w:pStyle w:val="49"/>
        <w:snapToGrid w:val="0"/>
        <w:spacing w:line="400" w:lineRule="exact"/>
        <w:ind w:left="720" w:firstLine="0" w:firstLineChars="0"/>
        <w:jc w:val="left"/>
        <w:rPr>
          <w:rFonts w:ascii="宋体" w:hAnsi="宋体"/>
          <w:b/>
          <w:color w:val="auto"/>
          <w:sz w:val="24"/>
          <w:highlight w:val="none"/>
        </w:rPr>
      </w:pPr>
    </w:p>
    <w:p>
      <w:pPr>
        <w:snapToGrid w:val="0"/>
        <w:spacing w:line="400" w:lineRule="exact"/>
        <w:jc w:val="center"/>
        <w:rPr>
          <w:rFonts w:ascii="宋体" w:hAnsi="宋体"/>
          <w:b/>
          <w:color w:val="auto"/>
          <w:sz w:val="24"/>
          <w:highlight w:val="none"/>
        </w:rPr>
      </w:pPr>
      <w:r>
        <w:rPr>
          <w:rFonts w:hint="eastAsia" w:ascii="宋体" w:hAnsi="宋体"/>
          <w:b/>
          <w:color w:val="auto"/>
          <w:sz w:val="24"/>
          <w:highlight w:val="none"/>
        </w:rPr>
        <w:t>投</w:t>
      </w:r>
      <w:r>
        <w:rPr>
          <w:rFonts w:ascii="宋体" w:hAnsi="宋体"/>
          <w:b/>
          <w:color w:val="auto"/>
          <w:sz w:val="24"/>
          <w:highlight w:val="none"/>
        </w:rPr>
        <w:t xml:space="preserve"> </w:t>
      </w:r>
      <w:r>
        <w:rPr>
          <w:rFonts w:hint="eastAsia" w:ascii="宋体" w:hAnsi="宋体"/>
          <w:b/>
          <w:color w:val="auto"/>
          <w:sz w:val="24"/>
          <w:highlight w:val="none"/>
        </w:rPr>
        <w:t>标</w:t>
      </w:r>
      <w:r>
        <w:rPr>
          <w:rFonts w:ascii="宋体" w:hAnsi="宋体"/>
          <w:b/>
          <w:color w:val="auto"/>
          <w:sz w:val="24"/>
          <w:highlight w:val="none"/>
        </w:rPr>
        <w:t xml:space="preserve"> </w:t>
      </w:r>
      <w:r>
        <w:rPr>
          <w:rFonts w:hint="eastAsia" w:ascii="宋体" w:hAnsi="宋体"/>
          <w:b/>
          <w:color w:val="auto"/>
          <w:sz w:val="24"/>
          <w:highlight w:val="none"/>
        </w:rPr>
        <w:t>函</w:t>
      </w:r>
    </w:p>
    <w:p>
      <w:pPr>
        <w:snapToGrid w:val="0"/>
        <w:spacing w:line="400" w:lineRule="exact"/>
        <w:jc w:val="center"/>
        <w:rPr>
          <w:rFonts w:ascii="宋体" w:hAnsi="宋体"/>
          <w:color w:val="auto"/>
          <w:szCs w:val="21"/>
          <w:highlight w:val="none"/>
        </w:rPr>
      </w:pPr>
    </w:p>
    <w:p>
      <w:pPr>
        <w:snapToGrid w:val="0"/>
        <w:spacing w:line="400" w:lineRule="exact"/>
        <w:jc w:val="left"/>
        <w:rPr>
          <w:rFonts w:ascii="宋体" w:hAnsi="宋体"/>
          <w:color w:val="auto"/>
          <w:szCs w:val="21"/>
          <w:highlight w:val="none"/>
        </w:rPr>
      </w:pPr>
      <w:r>
        <w:rPr>
          <w:rFonts w:hint="eastAsia" w:ascii="宋体" w:hAnsi="宋体"/>
          <w:color w:val="auto"/>
          <w:szCs w:val="21"/>
          <w:highlight w:val="none"/>
        </w:rPr>
        <w:t>致：</w:t>
      </w:r>
      <w:r>
        <w:rPr>
          <w:rFonts w:hint="eastAsia" w:ascii="宋体" w:hAnsi="宋体"/>
          <w:color w:val="auto"/>
          <w:szCs w:val="21"/>
          <w:highlight w:val="none"/>
          <w:u w:val="single"/>
        </w:rPr>
        <w:t xml:space="preserve">                                    </w:t>
      </w:r>
      <w:r>
        <w:rPr>
          <w:rFonts w:hint="eastAsia" w:ascii="宋体" w:hAnsi="宋体"/>
          <w:color w:val="auto"/>
          <w:szCs w:val="21"/>
          <w:highlight w:val="none"/>
        </w:rPr>
        <w:t>（采购人、采购代理机构名称）：</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根据贵方为</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项目的招标公告（项目编号：</w:t>
      </w:r>
      <w:r>
        <w:rPr>
          <w:rFonts w:hint="eastAsia" w:ascii="宋体" w:hAnsi="宋体"/>
          <w:color w:val="auto"/>
          <w:szCs w:val="21"/>
          <w:highlight w:val="none"/>
          <w:u w:val="single"/>
        </w:rPr>
        <w:t xml:space="preserve">           </w:t>
      </w:r>
      <w:r>
        <w:rPr>
          <w:rFonts w:hint="eastAsia" w:ascii="宋体" w:hAnsi="宋体"/>
          <w:color w:val="auto"/>
          <w:szCs w:val="21"/>
          <w:highlight w:val="none"/>
        </w:rPr>
        <w:t>），签字代表</w:t>
      </w:r>
      <w:r>
        <w:rPr>
          <w:rFonts w:hint="eastAsia" w:ascii="宋体" w:hAnsi="宋体"/>
          <w:color w:val="auto"/>
          <w:szCs w:val="21"/>
          <w:highlight w:val="none"/>
          <w:u w:val="single"/>
        </w:rPr>
        <w:t xml:space="preserve">              </w:t>
      </w:r>
      <w:r>
        <w:rPr>
          <w:rFonts w:hint="eastAsia" w:ascii="宋体" w:hAnsi="宋体"/>
          <w:color w:val="auto"/>
          <w:szCs w:val="21"/>
          <w:highlight w:val="none"/>
        </w:rPr>
        <w:t>（全名）经正式授权并代表</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（供应商名称）提交投标文件。</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据此函，签字代表宣布同意如下：</w:t>
      </w:r>
    </w:p>
    <w:p>
      <w:pPr>
        <w:snapToGrid w:val="0"/>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.供应商已详细审查全部“招标文件”，包括修改文件（如有的话）以及全部参考资料和有关附件，已经了解我方对于招标文件、采购过程、采购结果有依法进行询问、质疑、投诉的权利及相关渠道和要求。</w:t>
      </w:r>
    </w:p>
    <w:p>
      <w:pPr>
        <w:snapToGrid w:val="0"/>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.供应商在投标之前已经与贵方进行了充分的沟通，完全理解并接受招标文件的各项规定和要求，对招标文件的合理性、合法性不再有异议。</w:t>
      </w:r>
    </w:p>
    <w:p>
      <w:pPr>
        <w:snapToGrid w:val="0"/>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.本投标有效期自开标日起</w:t>
      </w:r>
      <w:r>
        <w:rPr>
          <w:rFonts w:hint="eastAsia" w:ascii="宋体" w:hAnsi="宋体"/>
          <w:color w:val="auto"/>
          <w:szCs w:val="21"/>
          <w:highlight w:val="none"/>
          <w:u w:val="single"/>
        </w:rPr>
        <w:t xml:space="preserve">   90  </w:t>
      </w:r>
      <w:r>
        <w:rPr>
          <w:rFonts w:hint="eastAsia" w:ascii="宋体" w:hAnsi="宋体"/>
          <w:color w:val="auto"/>
          <w:szCs w:val="21"/>
          <w:highlight w:val="none"/>
        </w:rPr>
        <w:t>个日历天。</w:t>
      </w:r>
    </w:p>
    <w:p>
      <w:pPr>
        <w:snapToGrid w:val="0"/>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.如中标，本投标文件至本项目合同履行完毕止均保持有效，本供应商将按“招标文件”及政府采购法律、法规的规定履行合同责任和义务。</w:t>
      </w:r>
    </w:p>
    <w:p>
      <w:pPr>
        <w:snapToGrid w:val="0"/>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.供应商同意按照贵方要求提供与投标有关的一切数据或资料。</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6.</w:t>
      </w:r>
      <w:r>
        <w:rPr>
          <w:rFonts w:hint="eastAsia" w:ascii="宋体" w:hAnsi="宋体" w:cs="宋体"/>
          <w:color w:val="auto"/>
          <w:szCs w:val="21"/>
          <w:highlight w:val="none"/>
        </w:rPr>
        <w:t>我们郑重声明：本投标文件提供的情况和文件完全是真实的，我单位符合政府采购法规定的参加采购活动应当具备的条件（《中华人民共和国政府采购法》第22条），如有虚假，将依法承担相应责任。</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7.与本投标有关的一切正式往来信函请寄：</w:t>
      </w:r>
    </w:p>
    <w:p>
      <w:pPr>
        <w:snapToGrid w:val="0"/>
        <w:spacing w:line="400" w:lineRule="exact"/>
        <w:ind w:firstLine="420" w:firstLineChars="200"/>
        <w:jc w:val="left"/>
        <w:rPr>
          <w:rFonts w:ascii="宋体" w:hAnsi="宋体"/>
          <w:color w:val="auto"/>
          <w:szCs w:val="21"/>
          <w:highlight w:val="none"/>
        </w:rPr>
      </w:pPr>
    </w:p>
    <w:p>
      <w:pPr>
        <w:snapToGrid w:val="0"/>
        <w:spacing w:line="400" w:lineRule="exact"/>
        <w:ind w:firstLine="420" w:firstLineChars="200"/>
        <w:jc w:val="left"/>
        <w:rPr>
          <w:rFonts w:ascii="宋体" w:hAnsi="宋体"/>
          <w:color w:val="auto"/>
          <w:szCs w:val="21"/>
          <w:highlight w:val="none"/>
          <w:u w:val="single"/>
        </w:rPr>
      </w:pPr>
      <w:r>
        <w:rPr>
          <w:rFonts w:hint="eastAsia" w:ascii="宋体" w:hAnsi="宋体"/>
          <w:color w:val="auto"/>
          <w:szCs w:val="21"/>
          <w:highlight w:val="none"/>
        </w:rPr>
        <w:t xml:space="preserve">地址： </w:t>
      </w:r>
      <w:r>
        <w:rPr>
          <w:rFonts w:hint="eastAsia" w:ascii="宋体" w:hAnsi="宋体"/>
          <w:color w:val="auto"/>
          <w:szCs w:val="21"/>
          <w:highlight w:val="none"/>
          <w:u w:val="single"/>
        </w:rPr>
        <w:t xml:space="preserve">                                                            </w:t>
      </w:r>
    </w:p>
    <w:p>
      <w:pPr>
        <w:snapToGrid w:val="0"/>
        <w:spacing w:line="400" w:lineRule="exact"/>
        <w:ind w:firstLine="420" w:firstLineChars="200"/>
        <w:jc w:val="left"/>
        <w:rPr>
          <w:rFonts w:ascii="宋体" w:hAnsi="宋体"/>
          <w:color w:val="auto"/>
          <w:szCs w:val="21"/>
          <w:highlight w:val="none"/>
          <w:u w:val="single"/>
        </w:rPr>
      </w:pPr>
      <w:r>
        <w:rPr>
          <w:rFonts w:hint="eastAsia" w:ascii="宋体" w:hAnsi="宋体"/>
          <w:color w:val="auto"/>
          <w:szCs w:val="21"/>
          <w:highlight w:val="none"/>
        </w:rPr>
        <w:t xml:space="preserve">邮编：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电话：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传真：</w:t>
      </w:r>
      <w:r>
        <w:rPr>
          <w:rFonts w:hint="eastAsia" w:ascii="宋体" w:hAnsi="宋体"/>
          <w:color w:val="auto"/>
          <w:szCs w:val="21"/>
          <w:highlight w:val="none"/>
          <w:u w:val="single"/>
        </w:rPr>
        <w:t xml:space="preserve">                   </w:t>
      </w:r>
    </w:p>
    <w:p>
      <w:pPr>
        <w:snapToGrid w:val="0"/>
        <w:spacing w:line="400" w:lineRule="exact"/>
        <w:ind w:firstLine="420" w:firstLineChars="200"/>
        <w:jc w:val="left"/>
        <w:rPr>
          <w:rFonts w:ascii="宋体" w:hAnsi="宋体"/>
          <w:color w:val="auto"/>
          <w:szCs w:val="21"/>
          <w:highlight w:val="none"/>
          <w:u w:val="single"/>
        </w:rPr>
      </w:pPr>
      <w:r>
        <w:rPr>
          <w:rFonts w:hint="eastAsia" w:ascii="宋体" w:hAnsi="宋体"/>
          <w:color w:val="auto"/>
          <w:szCs w:val="21"/>
          <w:highlight w:val="none"/>
        </w:rPr>
        <w:t>投标单位</w:t>
      </w:r>
      <w:r>
        <w:rPr>
          <w:rFonts w:ascii="宋体" w:hAnsi="宋体"/>
          <w:color w:val="auto"/>
          <w:szCs w:val="21"/>
          <w:highlight w:val="none"/>
        </w:rPr>
        <w:t>名称（盖章）:</w:t>
      </w: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开户银行：</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银行账号：</w:t>
      </w:r>
      <w:r>
        <w:rPr>
          <w:rFonts w:ascii="宋体" w:hAnsi="宋体"/>
          <w:color w:val="auto"/>
          <w:szCs w:val="21"/>
          <w:highlight w:val="none"/>
          <w:u w:val="single"/>
        </w:rPr>
        <w:t xml:space="preserve">                      </w:t>
      </w:r>
      <w:r>
        <w:rPr>
          <w:rFonts w:ascii="宋体" w:hAnsi="宋体"/>
          <w:color w:val="auto"/>
          <w:szCs w:val="21"/>
          <w:highlight w:val="none"/>
        </w:rPr>
        <w:t xml:space="preserve">    </w:t>
      </w:r>
    </w:p>
    <w:p>
      <w:pPr>
        <w:snapToGrid w:val="0"/>
        <w:spacing w:line="400" w:lineRule="exact"/>
        <w:ind w:firstLine="420" w:firstLineChars="200"/>
        <w:jc w:val="left"/>
        <w:rPr>
          <w:rFonts w:ascii="宋体" w:hAnsi="宋体"/>
          <w:color w:val="auto"/>
          <w:szCs w:val="21"/>
          <w:highlight w:val="none"/>
          <w:u w:val="single"/>
        </w:rPr>
      </w:pPr>
      <w:r>
        <w:rPr>
          <w:rFonts w:hint="eastAsia" w:ascii="宋体" w:hAnsi="宋体"/>
          <w:color w:val="auto"/>
          <w:szCs w:val="21"/>
          <w:highlight w:val="none"/>
        </w:rPr>
        <w:t>法定代表人／负责人或授权代表（签字或盖章）</w:t>
      </w:r>
      <w:r>
        <w:rPr>
          <w:rFonts w:ascii="宋体" w:hAnsi="宋体"/>
          <w:color w:val="auto"/>
          <w:szCs w:val="21"/>
          <w:highlight w:val="none"/>
        </w:rPr>
        <w:t>:</w:t>
      </w: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p>
    <w:p>
      <w:pPr>
        <w:snapToGrid w:val="0"/>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 xml:space="preserve">              </w:t>
      </w:r>
    </w:p>
    <w:p>
      <w:pPr>
        <w:snapToGrid w:val="0"/>
        <w:spacing w:beforeLines="50" w:after="5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日期</w:t>
      </w:r>
      <w:r>
        <w:rPr>
          <w:rFonts w:ascii="宋体" w:hAnsi="宋体"/>
          <w:color w:val="auto"/>
          <w:szCs w:val="21"/>
          <w:highlight w:val="none"/>
        </w:rPr>
        <w:t>:</w:t>
      </w: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年 </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pPr>
        <w:snapToGrid w:val="0"/>
        <w:spacing w:beforeLines="50" w:after="50" w:line="400" w:lineRule="exact"/>
        <w:jc w:val="left"/>
        <w:rPr>
          <w:rFonts w:ascii="宋体" w:hAnsi="宋体"/>
          <w:color w:val="auto"/>
          <w:szCs w:val="21"/>
          <w:highlight w:val="none"/>
        </w:rPr>
      </w:pPr>
    </w:p>
    <w:p>
      <w:pPr>
        <w:snapToGrid w:val="0"/>
        <w:spacing w:beforeLines="50" w:after="50"/>
        <w:jc w:val="left"/>
        <w:rPr>
          <w:rFonts w:ascii="宋体" w:hAnsi="宋体"/>
          <w:color w:val="auto"/>
          <w:szCs w:val="21"/>
          <w:highlight w:val="none"/>
        </w:rPr>
      </w:pPr>
    </w:p>
    <w:p>
      <w:pPr>
        <w:snapToGrid w:val="0"/>
        <w:spacing w:beforeLines="50" w:after="50"/>
        <w:jc w:val="left"/>
        <w:rPr>
          <w:rFonts w:ascii="宋体" w:hAnsi="宋体"/>
          <w:color w:val="auto"/>
          <w:spacing w:val="-4"/>
          <w:szCs w:val="21"/>
          <w:highlight w:val="none"/>
        </w:rPr>
      </w:pPr>
    </w:p>
    <w:p>
      <w:pPr>
        <w:snapToGrid w:val="0"/>
        <w:spacing w:beforeLines="50" w:after="50"/>
        <w:jc w:val="left"/>
        <w:rPr>
          <w:rFonts w:ascii="宋体" w:hAnsi="宋体"/>
          <w:color w:val="auto"/>
          <w:spacing w:val="-4"/>
          <w:szCs w:val="21"/>
          <w:highlight w:val="none"/>
        </w:rPr>
      </w:pPr>
      <w:r>
        <w:rPr>
          <w:rFonts w:ascii="宋体" w:hAnsi="宋体"/>
          <w:color w:val="auto"/>
          <w:spacing w:val="-4"/>
          <w:szCs w:val="21"/>
          <w:highlight w:val="none"/>
        </w:rPr>
        <w:t>（</w:t>
      </w:r>
      <w:r>
        <w:rPr>
          <w:rFonts w:hint="eastAsia" w:ascii="宋体" w:hAnsi="宋体"/>
          <w:color w:val="auto"/>
          <w:spacing w:val="-4"/>
          <w:szCs w:val="21"/>
          <w:highlight w:val="none"/>
        </w:rPr>
        <w:t>2</w:t>
      </w:r>
      <w:r>
        <w:rPr>
          <w:rFonts w:ascii="宋体" w:hAnsi="宋体"/>
          <w:color w:val="auto"/>
          <w:spacing w:val="-4"/>
          <w:szCs w:val="21"/>
          <w:highlight w:val="none"/>
        </w:rPr>
        <w:t>）法定代表人</w:t>
      </w:r>
      <w:r>
        <w:rPr>
          <w:rFonts w:hint="eastAsia" w:ascii="宋体" w:hAnsi="宋体"/>
          <w:color w:val="auto"/>
          <w:spacing w:val="-4"/>
          <w:szCs w:val="21"/>
          <w:highlight w:val="none"/>
        </w:rPr>
        <w:t>/负责人身份证明书格式</w:t>
      </w:r>
    </w:p>
    <w:p>
      <w:pPr>
        <w:snapToGrid w:val="0"/>
        <w:spacing w:beforeLines="50" w:after="50"/>
        <w:jc w:val="left"/>
        <w:rPr>
          <w:rFonts w:ascii="宋体" w:hAnsi="宋体"/>
          <w:b/>
          <w:color w:val="auto"/>
          <w:spacing w:val="-4"/>
          <w:sz w:val="18"/>
          <w:szCs w:val="20"/>
          <w:highlight w:val="none"/>
        </w:rPr>
      </w:pPr>
    </w:p>
    <w:p>
      <w:pPr>
        <w:pStyle w:val="3"/>
        <w:spacing w:line="400" w:lineRule="exact"/>
        <w:jc w:val="center"/>
        <w:rPr>
          <w:rFonts w:hAnsi="宋体"/>
          <w:b/>
          <w:color w:val="auto"/>
          <w:sz w:val="24"/>
          <w:highlight w:val="none"/>
          <w:lang w:val="zh-CN"/>
        </w:rPr>
      </w:pPr>
      <w:r>
        <w:rPr>
          <w:rFonts w:hint="eastAsia" w:ascii="宋体" w:hAnsi="宋体"/>
          <w:b/>
          <w:color w:val="auto"/>
          <w:sz w:val="24"/>
          <w:highlight w:val="none"/>
          <w:lang w:val="zh-CN"/>
        </w:rPr>
        <w:t>法定代表人／负责</w:t>
      </w:r>
      <w:r>
        <w:rPr>
          <w:rFonts w:hint="eastAsia" w:hAnsi="宋体"/>
          <w:b/>
          <w:color w:val="auto"/>
          <w:sz w:val="24"/>
          <w:highlight w:val="none"/>
          <w:lang w:val="zh-CN"/>
        </w:rPr>
        <w:t>人身份证明书</w:t>
      </w:r>
    </w:p>
    <w:p>
      <w:pPr>
        <w:spacing w:line="400" w:lineRule="exact"/>
        <w:jc w:val="center"/>
        <w:rPr>
          <w:rFonts w:ascii="宋体" w:hAnsi="宋体" w:cs="宋体"/>
          <w:color w:val="auto"/>
          <w:szCs w:val="21"/>
          <w:highlight w:val="none"/>
        </w:rPr>
      </w:pPr>
    </w:p>
    <w:p>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单位名称：</w:t>
      </w:r>
      <w:r>
        <w:rPr>
          <w:rFonts w:hint="eastAsia" w:ascii="宋体" w:hAnsi="宋体" w:cs="宋体"/>
          <w:color w:val="auto"/>
          <w:szCs w:val="21"/>
          <w:highlight w:val="none"/>
          <w:u w:val="single"/>
        </w:rPr>
        <w:t xml:space="preserve">                                                              </w:t>
      </w:r>
    </w:p>
    <w:p>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单位性质：</w:t>
      </w:r>
      <w:r>
        <w:rPr>
          <w:rFonts w:hint="eastAsia" w:ascii="宋体" w:hAnsi="宋体" w:cs="宋体"/>
          <w:color w:val="auto"/>
          <w:szCs w:val="21"/>
          <w:highlight w:val="none"/>
          <w:u w:val="single"/>
        </w:rPr>
        <w:t xml:space="preserve">                                                              </w:t>
      </w:r>
    </w:p>
    <w:p>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地    址：</w:t>
      </w:r>
      <w:r>
        <w:rPr>
          <w:rFonts w:hint="eastAsia" w:ascii="宋体" w:hAnsi="宋体" w:cs="宋体"/>
          <w:color w:val="auto"/>
          <w:szCs w:val="21"/>
          <w:highlight w:val="none"/>
          <w:u w:val="single"/>
        </w:rPr>
        <w:t xml:space="preserve">                                                              </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成立时间：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经营期限：</w:t>
      </w:r>
      <w:r>
        <w:rPr>
          <w:rFonts w:hint="eastAsia" w:ascii="宋体" w:hAnsi="宋体" w:cs="宋体"/>
          <w:color w:val="auto"/>
          <w:szCs w:val="21"/>
          <w:highlight w:val="none"/>
          <w:u w:val="single"/>
        </w:rPr>
        <w:t xml:space="preserve">                                                             </w:t>
      </w:r>
    </w:p>
    <w:p>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姓    名：</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性别：</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年龄：</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职务：</w:t>
      </w:r>
      <w:r>
        <w:rPr>
          <w:rFonts w:hint="eastAsia" w:ascii="宋体" w:hAnsi="宋体" w:cs="宋体"/>
          <w:color w:val="auto"/>
          <w:szCs w:val="21"/>
          <w:highlight w:val="none"/>
          <w:u w:val="single"/>
        </w:rPr>
        <w:t xml:space="preserve">         </w:t>
      </w: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系 </w:t>
      </w:r>
      <w:r>
        <w:rPr>
          <w:rFonts w:hint="eastAsia" w:ascii="宋体" w:hAnsi="宋体" w:cs="宋体"/>
          <w:color w:val="auto"/>
          <w:szCs w:val="21"/>
          <w:highlight w:val="none"/>
          <w:u w:val="single"/>
        </w:rPr>
        <w:t xml:space="preserve">           (供应商名称)                         </w:t>
      </w:r>
      <w:r>
        <w:rPr>
          <w:rFonts w:hint="eastAsia" w:ascii="宋体" w:hAnsi="宋体" w:cs="宋体"/>
          <w:color w:val="auto"/>
          <w:szCs w:val="21"/>
          <w:highlight w:val="none"/>
        </w:rPr>
        <w:t>的法定代表人／负责人。</w:t>
      </w:r>
    </w:p>
    <w:p>
      <w:pPr>
        <w:spacing w:line="400" w:lineRule="exact"/>
        <w:ind w:firstLine="420" w:firstLineChars="200"/>
        <w:rPr>
          <w:rFonts w:ascii="宋体" w:hAnsi="宋体" w:cs="宋体"/>
          <w:color w:val="auto"/>
          <w:szCs w:val="21"/>
          <w:highlight w:val="none"/>
        </w:rPr>
      </w:pPr>
    </w:p>
    <w:p>
      <w:pPr>
        <w:spacing w:line="4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特此证明。</w:t>
      </w:r>
    </w:p>
    <w:p>
      <w:pPr>
        <w:spacing w:line="400" w:lineRule="exact"/>
        <w:rPr>
          <w:rFonts w:ascii="宋体" w:hAnsi="宋体" w:cs="宋体"/>
          <w:color w:val="auto"/>
          <w:szCs w:val="21"/>
          <w:highlight w:val="none"/>
        </w:rPr>
      </w:pPr>
    </w:p>
    <w:p>
      <w:pPr>
        <w:spacing w:line="400" w:lineRule="exact"/>
        <w:rPr>
          <w:rFonts w:ascii="宋体" w:hAnsi="宋体" w:cs="宋体"/>
          <w:color w:val="auto"/>
          <w:szCs w:val="21"/>
          <w:highlight w:val="none"/>
        </w:rPr>
      </w:pPr>
    </w:p>
    <w:p>
      <w:pPr>
        <w:spacing w:line="400" w:lineRule="exact"/>
        <w:ind w:firstLine="2940" w:firstLineChars="1400"/>
        <w:rPr>
          <w:rFonts w:ascii="宋体" w:hAnsi="宋体" w:cs="宋体"/>
          <w:color w:val="auto"/>
          <w:szCs w:val="21"/>
          <w:highlight w:val="none"/>
          <w:u w:val="single"/>
        </w:rPr>
      </w:pPr>
      <w:r>
        <w:rPr>
          <w:rFonts w:hint="eastAsia" w:ascii="宋体" w:hAnsi="宋体" w:cs="宋体"/>
          <w:color w:val="auto"/>
          <w:szCs w:val="21"/>
          <w:highlight w:val="none"/>
        </w:rPr>
        <w:t xml:space="preserve">  供应商：</w:t>
      </w:r>
      <w:r>
        <w:rPr>
          <w:rFonts w:hint="eastAsia" w:ascii="宋体" w:hAnsi="宋体" w:cs="宋体"/>
          <w:color w:val="auto"/>
          <w:szCs w:val="21"/>
          <w:highlight w:val="none"/>
          <w:u w:val="single"/>
        </w:rPr>
        <w:t xml:space="preserve">                     (盖章)      </w:t>
      </w:r>
    </w:p>
    <w:p>
      <w:pPr>
        <w:snapToGrid w:val="0"/>
        <w:spacing w:line="400" w:lineRule="exact"/>
        <w:jc w:val="left"/>
        <w:rPr>
          <w:rFonts w:ascii="宋体" w:hAnsi="宋体"/>
          <w:color w:val="auto"/>
          <w:szCs w:val="21"/>
          <w:highlight w:val="none"/>
        </w:rPr>
      </w:pPr>
      <w:r>
        <w:rPr>
          <w:rFonts w:hint="eastAsia" w:ascii="宋体" w:hAnsi="宋体" w:cs="宋体"/>
          <w:color w:val="auto"/>
          <w:szCs w:val="21"/>
          <w:highlight w:val="none"/>
        </w:rPr>
        <w:t xml:space="preserve">                              日  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pPr>
        <w:snapToGrid w:val="0"/>
        <w:spacing w:line="400" w:lineRule="exact"/>
        <w:jc w:val="left"/>
        <w:rPr>
          <w:rFonts w:ascii="宋体" w:hAnsi="宋体"/>
          <w:color w:val="auto"/>
          <w:szCs w:val="21"/>
          <w:highlight w:val="none"/>
        </w:rPr>
      </w:pPr>
    </w:p>
    <w:p>
      <w:pPr>
        <w:snapToGrid w:val="0"/>
        <w:spacing w:line="400" w:lineRule="exact"/>
        <w:jc w:val="center"/>
        <w:rPr>
          <w:rFonts w:ascii="宋体" w:hAnsi="宋体"/>
          <w:color w:val="auto"/>
          <w:szCs w:val="21"/>
          <w:highlight w:val="none"/>
        </w:rPr>
      </w:pPr>
    </w:p>
    <w:p>
      <w:pPr>
        <w:snapToGrid w:val="0"/>
        <w:spacing w:line="400" w:lineRule="exact"/>
        <w:jc w:val="center"/>
        <w:rPr>
          <w:rFonts w:ascii="宋体" w:hAnsi="宋体"/>
          <w:color w:val="auto"/>
          <w:szCs w:val="21"/>
          <w:highlight w:val="none"/>
        </w:rPr>
      </w:pPr>
    </w:p>
    <w:p>
      <w:pPr>
        <w:rPr>
          <w:color w:val="auto"/>
          <w:highlight w:val="none"/>
        </w:rPr>
      </w:pPr>
    </w:p>
    <w:p>
      <w:pPr>
        <w:snapToGrid w:val="0"/>
        <w:spacing w:beforeLines="50" w:after="50"/>
        <w:jc w:val="left"/>
        <w:rPr>
          <w:rFonts w:hAnsi="宋体" w:cs="宋体"/>
          <w:color w:val="auto"/>
          <w:highlight w:val="none"/>
        </w:rPr>
      </w:pPr>
      <w:r>
        <w:rPr>
          <w:rFonts w:hint="eastAsia" w:hAnsi="宋体"/>
          <w:b/>
          <w:color w:val="auto"/>
          <w:szCs w:val="21"/>
          <w:highlight w:val="none"/>
          <w:lang w:val="zh-CN"/>
        </w:rPr>
        <w:t>法定代表人／负责人身份证复印件</w:t>
      </w:r>
    </w:p>
    <w:p>
      <w:pPr>
        <w:snapToGrid w:val="0"/>
        <w:spacing w:beforeLines="50" w:after="50"/>
        <w:jc w:val="left"/>
        <w:rPr>
          <w:rFonts w:hAnsi="宋体" w:cs="宋体"/>
          <w:color w:val="auto"/>
          <w:highlight w:val="none"/>
        </w:rPr>
      </w:pPr>
    </w:p>
    <w:tbl>
      <w:tblPr>
        <w:tblStyle w:val="24"/>
        <w:tblpPr w:leftFromText="180" w:rightFromText="180" w:vertAnchor="text" w:tblpY="1"/>
        <w:tblOverlap w:val="never"/>
        <w:tblW w:w="3917" w:type="dxa"/>
        <w:tblInd w:w="0" w:type="dxa"/>
        <w:tblLayout w:type="fixed"/>
        <w:tblCellMar>
          <w:top w:w="0" w:type="dxa"/>
          <w:left w:w="108" w:type="dxa"/>
          <w:bottom w:w="0" w:type="dxa"/>
          <w:right w:w="108" w:type="dxa"/>
        </w:tblCellMar>
      </w:tblPr>
      <w:tblGrid>
        <w:gridCol w:w="3917"/>
      </w:tblGrid>
      <w:tr>
        <w:tblPrEx>
          <w:tblCellMar>
            <w:top w:w="0" w:type="dxa"/>
            <w:left w:w="108" w:type="dxa"/>
            <w:bottom w:w="0" w:type="dxa"/>
            <w:right w:w="108" w:type="dxa"/>
          </w:tblCellMar>
        </w:tblPrEx>
        <w:trPr>
          <w:trHeight w:val="2359" w:hRule="atLeast"/>
        </w:trPr>
        <w:tc>
          <w:tcPr>
            <w:tcW w:w="3917" w:type="dxa"/>
            <w:vAlign w:val="center"/>
          </w:tcPr>
          <w:p>
            <w:pPr>
              <w:snapToGrid w:val="0"/>
              <w:spacing w:beforeLines="50" w:after="50" w:line="200" w:lineRule="exact"/>
              <w:jc w:val="center"/>
              <w:rPr>
                <w:rFonts w:hAnsi="宋体" w:cs="宋体"/>
                <w:color w:val="auto"/>
                <w:highlight w:val="none"/>
              </w:rPr>
            </w:pPr>
            <w:r>
              <w:rPr>
                <w:rFonts w:hint="eastAsia" w:hAnsi="宋体"/>
                <w:color w:val="auto"/>
                <w:szCs w:val="21"/>
                <w:highlight w:val="none"/>
                <w:lang w:val="zh-CN"/>
              </w:rPr>
              <w:t>复印件正面粘贴处</w:t>
            </w:r>
          </w:p>
        </w:tc>
      </w:tr>
    </w:tbl>
    <w:tbl>
      <w:tblPr>
        <w:tblStyle w:val="24"/>
        <w:tblpPr w:leftFromText="180" w:rightFromText="180" w:vertAnchor="text" w:horzAnchor="margin" w:tblpXSpec="right" w:tblpY="28"/>
        <w:tblOverlap w:val="never"/>
        <w:tblW w:w="3917" w:type="dxa"/>
        <w:tblInd w:w="0" w:type="dxa"/>
        <w:tblLayout w:type="fixed"/>
        <w:tblCellMar>
          <w:top w:w="0" w:type="dxa"/>
          <w:left w:w="108" w:type="dxa"/>
          <w:bottom w:w="0" w:type="dxa"/>
          <w:right w:w="108" w:type="dxa"/>
        </w:tblCellMar>
      </w:tblPr>
      <w:tblGrid>
        <w:gridCol w:w="3917"/>
      </w:tblGrid>
      <w:tr>
        <w:tblPrEx>
          <w:tblCellMar>
            <w:top w:w="0" w:type="dxa"/>
            <w:left w:w="108" w:type="dxa"/>
            <w:bottom w:w="0" w:type="dxa"/>
            <w:right w:w="108" w:type="dxa"/>
          </w:tblCellMar>
        </w:tblPrEx>
        <w:trPr>
          <w:trHeight w:val="2359" w:hRule="atLeast"/>
        </w:trPr>
        <w:tc>
          <w:tcPr>
            <w:tcW w:w="3917" w:type="dxa"/>
            <w:vAlign w:val="center"/>
          </w:tcPr>
          <w:p>
            <w:pPr>
              <w:snapToGrid w:val="0"/>
              <w:spacing w:beforeLines="50" w:after="50"/>
              <w:jc w:val="center"/>
              <w:rPr>
                <w:rFonts w:hAnsi="宋体" w:cs="宋体"/>
                <w:color w:val="auto"/>
                <w:highlight w:val="none"/>
              </w:rPr>
            </w:pPr>
            <w:r>
              <w:rPr>
                <w:rFonts w:hint="eastAsia" w:hAnsi="宋体"/>
                <w:color w:val="auto"/>
                <w:szCs w:val="21"/>
                <w:highlight w:val="none"/>
                <w:lang w:val="zh-CN"/>
              </w:rPr>
              <w:t>复印件反面粘贴处</w:t>
            </w:r>
          </w:p>
        </w:tc>
      </w:tr>
    </w:tbl>
    <w:p>
      <w:pPr>
        <w:snapToGrid w:val="0"/>
        <w:spacing w:beforeLines="50" w:after="50"/>
        <w:jc w:val="left"/>
        <w:rPr>
          <w:rFonts w:hAnsi="宋体" w:cs="宋体"/>
          <w:color w:val="auto"/>
          <w:highlight w:val="none"/>
        </w:rPr>
      </w:pPr>
    </w:p>
    <w:p>
      <w:pPr>
        <w:snapToGrid w:val="0"/>
        <w:spacing w:beforeLines="50" w:after="50"/>
        <w:jc w:val="left"/>
        <w:rPr>
          <w:rFonts w:ascii="宋体" w:hAnsi="宋体"/>
          <w:color w:val="auto"/>
          <w:szCs w:val="21"/>
          <w:highlight w:val="none"/>
        </w:rPr>
      </w:pPr>
    </w:p>
    <w:p>
      <w:pPr>
        <w:snapToGrid w:val="0"/>
        <w:spacing w:beforeLines="50" w:after="50"/>
        <w:jc w:val="left"/>
        <w:rPr>
          <w:rFonts w:ascii="宋体" w:hAnsi="宋体"/>
          <w:color w:val="auto"/>
          <w:szCs w:val="21"/>
          <w:highlight w:val="none"/>
        </w:rPr>
      </w:pPr>
    </w:p>
    <w:p>
      <w:pPr>
        <w:pStyle w:val="9"/>
        <w:rPr>
          <w:color w:val="auto"/>
          <w:highlight w:val="none"/>
        </w:rPr>
      </w:pPr>
    </w:p>
    <w:p>
      <w:pPr>
        <w:snapToGrid w:val="0"/>
        <w:spacing w:beforeLines="50" w:after="50"/>
        <w:jc w:val="left"/>
        <w:rPr>
          <w:rFonts w:ascii="宋体" w:hAnsi="宋体"/>
          <w:color w:val="auto"/>
          <w:szCs w:val="21"/>
          <w:highlight w:val="none"/>
        </w:rPr>
      </w:pPr>
    </w:p>
    <w:p>
      <w:pPr>
        <w:snapToGrid w:val="0"/>
        <w:spacing w:beforeLines="50" w:after="50"/>
        <w:jc w:val="left"/>
        <w:rPr>
          <w:rFonts w:ascii="宋体" w:hAnsi="宋体"/>
          <w:color w:val="auto"/>
          <w:spacing w:val="-4"/>
          <w:szCs w:val="21"/>
          <w:highlight w:val="none"/>
        </w:rPr>
      </w:pPr>
      <w:r>
        <w:rPr>
          <w:rFonts w:hint="eastAsia" w:ascii="宋体" w:hAnsi="宋体"/>
          <w:color w:val="auto"/>
          <w:spacing w:val="-4"/>
          <w:szCs w:val="21"/>
          <w:highlight w:val="none"/>
        </w:rPr>
        <w:t>（3）</w:t>
      </w:r>
      <w:r>
        <w:rPr>
          <w:rFonts w:hint="eastAsia" w:ascii="宋体" w:hAnsi="宋体"/>
          <w:color w:val="auto"/>
          <w:szCs w:val="21"/>
          <w:highlight w:val="none"/>
        </w:rPr>
        <w:t>法定代表人／负责人授权委托书格式</w:t>
      </w:r>
    </w:p>
    <w:p>
      <w:pPr>
        <w:snapToGrid w:val="0"/>
        <w:spacing w:beforeLines="50" w:after="50"/>
        <w:jc w:val="left"/>
        <w:rPr>
          <w:rFonts w:ascii="宋体" w:hAnsi="宋体"/>
          <w:b/>
          <w:color w:val="auto"/>
          <w:spacing w:val="-4"/>
          <w:sz w:val="18"/>
          <w:highlight w:val="none"/>
        </w:rPr>
      </w:pPr>
    </w:p>
    <w:p>
      <w:pPr>
        <w:pStyle w:val="3"/>
        <w:spacing w:line="400" w:lineRule="exact"/>
        <w:jc w:val="center"/>
        <w:rPr>
          <w:rFonts w:ascii="宋体" w:hAnsi="宋体"/>
          <w:b/>
          <w:color w:val="auto"/>
          <w:sz w:val="24"/>
          <w:highlight w:val="none"/>
        </w:rPr>
      </w:pPr>
      <w:r>
        <w:rPr>
          <w:rFonts w:hint="eastAsia" w:ascii="宋体" w:hAnsi="宋体"/>
          <w:b/>
          <w:color w:val="auto"/>
          <w:sz w:val="24"/>
          <w:highlight w:val="none"/>
        </w:rPr>
        <w:t>法定代表人／负责人授权委托书</w:t>
      </w:r>
    </w:p>
    <w:p>
      <w:pPr>
        <w:snapToGrid w:val="0"/>
        <w:spacing w:line="400" w:lineRule="exact"/>
        <w:jc w:val="center"/>
        <w:rPr>
          <w:rFonts w:ascii="宋体" w:hAnsi="宋体"/>
          <w:color w:val="auto"/>
          <w:spacing w:val="-4"/>
          <w:szCs w:val="21"/>
          <w:highlight w:val="none"/>
        </w:rPr>
      </w:pPr>
    </w:p>
    <w:p>
      <w:pPr>
        <w:snapToGrid w:val="0"/>
        <w:spacing w:line="400" w:lineRule="exact"/>
        <w:jc w:val="left"/>
        <w:rPr>
          <w:rFonts w:ascii="宋体" w:hAnsi="宋体"/>
          <w:bCs/>
          <w:color w:val="auto"/>
          <w:szCs w:val="21"/>
          <w:highlight w:val="none"/>
        </w:rPr>
      </w:pPr>
      <w:r>
        <w:rPr>
          <w:rFonts w:hint="eastAsia" w:ascii="宋体" w:hAnsi="宋体"/>
          <w:bCs/>
          <w:color w:val="auto"/>
          <w:szCs w:val="21"/>
          <w:highlight w:val="none"/>
        </w:rPr>
        <w:t>致：</w:t>
      </w:r>
      <w:r>
        <w:rPr>
          <w:rFonts w:hint="eastAsia" w:ascii="宋体" w:hAnsi="宋体"/>
          <w:color w:val="auto"/>
          <w:szCs w:val="21"/>
          <w:highlight w:val="none"/>
          <w:u w:val="single"/>
        </w:rPr>
        <w:t xml:space="preserve">                               </w:t>
      </w:r>
      <w:r>
        <w:rPr>
          <w:rFonts w:hint="eastAsia" w:ascii="宋体" w:hAnsi="宋体"/>
          <w:color w:val="auto"/>
          <w:szCs w:val="21"/>
          <w:highlight w:val="none"/>
        </w:rPr>
        <w:t>（采购人、采购代理机构名称）：</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 xml:space="preserve">我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（姓名）系 </w:t>
      </w:r>
      <w:r>
        <w:rPr>
          <w:rFonts w:hint="eastAsia" w:ascii="宋体" w:hAnsi="宋体"/>
          <w:color w:val="auto"/>
          <w:szCs w:val="21"/>
          <w:highlight w:val="none"/>
          <w:u w:val="single"/>
        </w:rPr>
        <w:t xml:space="preserve">                                   </w:t>
      </w:r>
      <w:r>
        <w:rPr>
          <w:rFonts w:hint="eastAsia" w:ascii="宋体" w:hAnsi="宋体"/>
          <w:color w:val="auto"/>
          <w:szCs w:val="21"/>
          <w:highlight w:val="none"/>
        </w:rPr>
        <w:t>（投标人名称）的法定代表人／负责人，现授权委托本单位在职职工</w:t>
      </w:r>
      <w:r>
        <w:rPr>
          <w:rFonts w:hint="eastAsia" w:ascii="宋体" w:hAnsi="宋体"/>
          <w:color w:val="auto"/>
          <w:szCs w:val="21"/>
          <w:highlight w:val="none"/>
          <w:u w:val="single"/>
        </w:rPr>
        <w:t xml:space="preserve">             </w:t>
      </w:r>
      <w:r>
        <w:rPr>
          <w:rFonts w:hint="eastAsia" w:ascii="宋体" w:hAnsi="宋体"/>
          <w:color w:val="auto"/>
          <w:szCs w:val="21"/>
          <w:highlight w:val="none"/>
        </w:rPr>
        <w:t>（姓名）以我方的名义参加</w:t>
      </w:r>
      <w:r>
        <w:rPr>
          <w:rFonts w:hint="eastAsia" w:ascii="宋体" w:hAnsi="宋体"/>
          <w:color w:val="auto"/>
          <w:szCs w:val="21"/>
          <w:highlight w:val="none"/>
          <w:u w:val="single"/>
        </w:rPr>
        <w:t xml:space="preserve">                                        </w:t>
      </w:r>
      <w:r>
        <w:rPr>
          <w:rFonts w:hint="eastAsia" w:ascii="宋体" w:hAnsi="宋体"/>
          <w:color w:val="auto"/>
          <w:szCs w:val="21"/>
          <w:highlight w:val="none"/>
        </w:rPr>
        <w:t>项目的投标活动，并代表我方全权办理针对上述项目的投标、开标、评标、签约等具体事务和签署相关文件。</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我方对授权代表的签名事项负全部责任。</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在撤销授权的书面通知以前，本授权书一直有效。授权代表在授权书有效期内签署的所有文件不因授权的撤销而失效。</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授权代表无转委托权，特此委托。</w:t>
      </w:r>
    </w:p>
    <w:p>
      <w:pPr>
        <w:snapToGrid w:val="0"/>
        <w:spacing w:line="400" w:lineRule="exact"/>
        <w:ind w:firstLine="420" w:firstLineChars="200"/>
        <w:jc w:val="left"/>
        <w:rPr>
          <w:rFonts w:ascii="宋体" w:hAnsi="宋体"/>
          <w:color w:val="auto"/>
          <w:szCs w:val="21"/>
          <w:highlight w:val="none"/>
        </w:rPr>
      </w:pPr>
    </w:p>
    <w:p>
      <w:pPr>
        <w:snapToGrid w:val="0"/>
        <w:spacing w:line="400" w:lineRule="exact"/>
        <w:ind w:firstLine="420" w:firstLineChars="200"/>
        <w:jc w:val="left"/>
        <w:rPr>
          <w:rFonts w:ascii="宋体" w:hAnsi="宋体"/>
          <w:color w:val="auto"/>
          <w:szCs w:val="21"/>
          <w:highlight w:val="none"/>
        </w:rPr>
      </w:pPr>
    </w:p>
    <w:p>
      <w:pPr>
        <w:snapToGrid w:val="0"/>
        <w:spacing w:line="400" w:lineRule="exact"/>
        <w:ind w:firstLine="420" w:firstLineChars="200"/>
        <w:jc w:val="left"/>
        <w:rPr>
          <w:rFonts w:ascii="宋体" w:hAnsi="宋体"/>
          <w:color w:val="auto"/>
          <w:szCs w:val="21"/>
          <w:highlight w:val="none"/>
          <w:u w:val="single"/>
        </w:rPr>
      </w:pPr>
      <w:r>
        <w:rPr>
          <w:rFonts w:hint="eastAsia" w:ascii="宋体" w:hAnsi="宋体"/>
          <w:color w:val="auto"/>
          <w:szCs w:val="21"/>
          <w:highlight w:val="none"/>
        </w:rPr>
        <w:t>授权代表（签字或盖章）：</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法定代表人／负责人（签字或盖章）：</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职务：</w:t>
      </w:r>
      <w:r>
        <w:rPr>
          <w:rFonts w:ascii="宋体" w:hAnsi="宋体"/>
          <w:color w:val="auto"/>
          <w:szCs w:val="21"/>
          <w:highlight w:val="none"/>
          <w:u w:val="single"/>
        </w:rPr>
        <w:t xml:space="preserve">           </w:t>
      </w:r>
      <w:r>
        <w:rPr>
          <w:rFonts w:ascii="宋体" w:hAnsi="宋体"/>
          <w:color w:val="auto"/>
          <w:szCs w:val="21"/>
          <w:highlight w:val="none"/>
        </w:rPr>
        <w:t xml:space="preserve">                    </w:t>
      </w:r>
      <w:r>
        <w:rPr>
          <w:rFonts w:hint="eastAsia" w:ascii="宋体" w:hAnsi="宋体"/>
          <w:color w:val="auto"/>
          <w:szCs w:val="21"/>
          <w:highlight w:val="none"/>
        </w:rPr>
        <w:t>职务：</w:t>
      </w:r>
      <w:r>
        <w:rPr>
          <w:rFonts w:ascii="宋体" w:hAnsi="宋体"/>
          <w:color w:val="auto"/>
          <w:szCs w:val="21"/>
          <w:highlight w:val="none"/>
          <w:u w:val="single"/>
        </w:rPr>
        <w:t xml:space="preserve">           </w:t>
      </w:r>
    </w:p>
    <w:p>
      <w:pPr>
        <w:snapToGrid w:val="0"/>
        <w:spacing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授权代表身份证号码：</w:t>
      </w:r>
      <w:r>
        <w:rPr>
          <w:rFonts w:ascii="宋体" w:hAnsi="宋体"/>
          <w:color w:val="auto"/>
          <w:szCs w:val="21"/>
          <w:highlight w:val="none"/>
          <w:u w:val="single"/>
        </w:rPr>
        <w:t xml:space="preserve">                             </w:t>
      </w:r>
      <w:r>
        <w:rPr>
          <w:rFonts w:ascii="宋体" w:hAnsi="宋体"/>
          <w:color w:val="auto"/>
          <w:szCs w:val="21"/>
          <w:highlight w:val="none"/>
        </w:rPr>
        <w:t xml:space="preserve"> </w:t>
      </w:r>
    </w:p>
    <w:p>
      <w:pPr>
        <w:snapToGrid w:val="0"/>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 xml:space="preserve">                                   </w:t>
      </w:r>
    </w:p>
    <w:p>
      <w:pPr>
        <w:snapToGrid w:val="0"/>
        <w:spacing w:line="400" w:lineRule="exact"/>
        <w:ind w:firstLine="420" w:firstLineChars="200"/>
        <w:jc w:val="left"/>
        <w:rPr>
          <w:rFonts w:ascii="宋体" w:hAnsi="宋体"/>
          <w:color w:val="auto"/>
          <w:szCs w:val="21"/>
          <w:highlight w:val="none"/>
        </w:rPr>
      </w:pPr>
    </w:p>
    <w:p>
      <w:pPr>
        <w:snapToGrid w:val="0"/>
        <w:spacing w:line="400" w:lineRule="exact"/>
        <w:ind w:firstLine="4410" w:firstLineChars="2100"/>
        <w:jc w:val="left"/>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投标人公章：</w:t>
      </w:r>
    </w:p>
    <w:p>
      <w:pPr>
        <w:snapToGrid w:val="0"/>
        <w:spacing w:line="400" w:lineRule="exact"/>
        <w:ind w:firstLine="420" w:firstLineChars="200"/>
        <w:jc w:val="left"/>
        <w:rPr>
          <w:rFonts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年</w:t>
      </w:r>
      <w:r>
        <w:rPr>
          <w:rFonts w:ascii="宋体" w:hAnsi="宋体"/>
          <w:color w:val="auto"/>
          <w:szCs w:val="21"/>
          <w:highlight w:val="none"/>
        </w:rPr>
        <w:t xml:space="preserve">    </w:t>
      </w:r>
      <w:r>
        <w:rPr>
          <w:rFonts w:hint="eastAsia" w:ascii="宋体" w:hAnsi="宋体"/>
          <w:color w:val="auto"/>
          <w:szCs w:val="21"/>
          <w:highlight w:val="none"/>
        </w:rPr>
        <w:t>月</w:t>
      </w:r>
      <w:r>
        <w:rPr>
          <w:rFonts w:ascii="宋体" w:hAnsi="宋体"/>
          <w:color w:val="auto"/>
          <w:szCs w:val="21"/>
          <w:highlight w:val="none"/>
        </w:rPr>
        <w:t xml:space="preserve">    </w:t>
      </w:r>
      <w:r>
        <w:rPr>
          <w:rFonts w:hint="eastAsia" w:ascii="宋体" w:hAnsi="宋体"/>
          <w:color w:val="auto"/>
          <w:szCs w:val="21"/>
          <w:highlight w:val="none"/>
        </w:rPr>
        <w:t>日</w:t>
      </w:r>
    </w:p>
    <w:p>
      <w:pPr>
        <w:rPr>
          <w:color w:val="auto"/>
          <w:highlight w:val="none"/>
        </w:rPr>
      </w:pPr>
    </w:p>
    <w:p>
      <w:pPr>
        <w:rPr>
          <w:color w:val="auto"/>
          <w:highlight w:val="none"/>
        </w:rPr>
      </w:pPr>
    </w:p>
    <w:p>
      <w:pPr>
        <w:snapToGrid w:val="0"/>
        <w:spacing w:beforeLines="50" w:after="50"/>
        <w:jc w:val="left"/>
        <w:rPr>
          <w:rFonts w:hAnsi="宋体" w:cs="宋体"/>
          <w:color w:val="auto"/>
          <w:highlight w:val="none"/>
        </w:rPr>
      </w:pPr>
      <w:r>
        <w:rPr>
          <w:rFonts w:hint="eastAsia" w:ascii="宋体" w:hAnsi="宋体"/>
          <w:b/>
          <w:color w:val="auto"/>
          <w:szCs w:val="21"/>
          <w:highlight w:val="none"/>
        </w:rPr>
        <w:t>授权代表身份证</w:t>
      </w:r>
      <w:r>
        <w:rPr>
          <w:rFonts w:hint="eastAsia" w:hAnsi="宋体"/>
          <w:b/>
          <w:color w:val="auto"/>
          <w:szCs w:val="21"/>
          <w:highlight w:val="none"/>
          <w:lang w:val="zh-CN"/>
        </w:rPr>
        <w:t>复印件</w:t>
      </w:r>
    </w:p>
    <w:p>
      <w:pPr>
        <w:snapToGrid w:val="0"/>
        <w:spacing w:beforeLines="50" w:after="50"/>
        <w:jc w:val="left"/>
        <w:rPr>
          <w:rFonts w:hAnsi="宋体" w:cs="宋体"/>
          <w:color w:val="auto"/>
          <w:highlight w:val="none"/>
        </w:rPr>
      </w:pPr>
    </w:p>
    <w:tbl>
      <w:tblPr>
        <w:tblStyle w:val="24"/>
        <w:tblpPr w:leftFromText="180" w:rightFromText="180" w:vertAnchor="text" w:tblpY="1"/>
        <w:tblOverlap w:val="never"/>
        <w:tblW w:w="3917" w:type="dxa"/>
        <w:tblInd w:w="0" w:type="dxa"/>
        <w:tblLayout w:type="fixed"/>
        <w:tblCellMar>
          <w:top w:w="0" w:type="dxa"/>
          <w:left w:w="108" w:type="dxa"/>
          <w:bottom w:w="0" w:type="dxa"/>
          <w:right w:w="108" w:type="dxa"/>
        </w:tblCellMar>
      </w:tblPr>
      <w:tblGrid>
        <w:gridCol w:w="3917"/>
      </w:tblGrid>
      <w:tr>
        <w:tblPrEx>
          <w:tblCellMar>
            <w:top w:w="0" w:type="dxa"/>
            <w:left w:w="108" w:type="dxa"/>
            <w:bottom w:w="0" w:type="dxa"/>
            <w:right w:w="108" w:type="dxa"/>
          </w:tblCellMar>
        </w:tblPrEx>
        <w:trPr>
          <w:trHeight w:val="2359" w:hRule="atLeast"/>
        </w:trPr>
        <w:tc>
          <w:tcPr>
            <w:tcW w:w="3917" w:type="dxa"/>
            <w:vAlign w:val="center"/>
          </w:tcPr>
          <w:p>
            <w:pPr>
              <w:snapToGrid w:val="0"/>
              <w:spacing w:beforeLines="50" w:after="50" w:line="200" w:lineRule="exact"/>
              <w:jc w:val="center"/>
              <w:rPr>
                <w:rFonts w:hAnsi="宋体" w:cs="宋体"/>
                <w:color w:val="auto"/>
                <w:highlight w:val="none"/>
              </w:rPr>
            </w:pPr>
            <w:r>
              <w:rPr>
                <w:rFonts w:hint="eastAsia" w:hAnsi="宋体"/>
                <w:color w:val="auto"/>
                <w:szCs w:val="21"/>
                <w:highlight w:val="none"/>
                <w:lang w:val="zh-CN"/>
              </w:rPr>
              <w:t>复印件正面粘贴处</w:t>
            </w:r>
          </w:p>
        </w:tc>
      </w:tr>
    </w:tbl>
    <w:tbl>
      <w:tblPr>
        <w:tblStyle w:val="24"/>
        <w:tblpPr w:leftFromText="180" w:rightFromText="180" w:vertAnchor="text" w:horzAnchor="margin" w:tblpXSpec="right" w:tblpY="28"/>
        <w:tblOverlap w:val="never"/>
        <w:tblW w:w="3917" w:type="dxa"/>
        <w:tblInd w:w="0" w:type="dxa"/>
        <w:tblLayout w:type="fixed"/>
        <w:tblCellMar>
          <w:top w:w="0" w:type="dxa"/>
          <w:left w:w="108" w:type="dxa"/>
          <w:bottom w:w="0" w:type="dxa"/>
          <w:right w:w="108" w:type="dxa"/>
        </w:tblCellMar>
      </w:tblPr>
      <w:tblGrid>
        <w:gridCol w:w="3917"/>
      </w:tblGrid>
      <w:tr>
        <w:tblPrEx>
          <w:tblCellMar>
            <w:top w:w="0" w:type="dxa"/>
            <w:left w:w="108" w:type="dxa"/>
            <w:bottom w:w="0" w:type="dxa"/>
            <w:right w:w="108" w:type="dxa"/>
          </w:tblCellMar>
        </w:tblPrEx>
        <w:trPr>
          <w:trHeight w:val="2359" w:hRule="atLeast"/>
        </w:trPr>
        <w:tc>
          <w:tcPr>
            <w:tcW w:w="3917" w:type="dxa"/>
            <w:vAlign w:val="center"/>
          </w:tcPr>
          <w:p>
            <w:pPr>
              <w:snapToGrid w:val="0"/>
              <w:spacing w:beforeLines="50" w:after="50"/>
              <w:jc w:val="center"/>
              <w:rPr>
                <w:rFonts w:hAnsi="宋体" w:cs="宋体"/>
                <w:color w:val="auto"/>
                <w:highlight w:val="none"/>
              </w:rPr>
            </w:pPr>
            <w:r>
              <w:rPr>
                <w:rFonts w:hint="eastAsia" w:hAnsi="宋体"/>
                <w:color w:val="auto"/>
                <w:szCs w:val="21"/>
                <w:highlight w:val="none"/>
                <w:lang w:val="zh-CN"/>
              </w:rPr>
              <w:t>复印件反面粘贴处</w:t>
            </w:r>
          </w:p>
        </w:tc>
      </w:tr>
    </w:tbl>
    <w:p>
      <w:pPr>
        <w:snapToGrid w:val="0"/>
        <w:spacing w:beforeLines="50" w:after="50"/>
        <w:jc w:val="left"/>
        <w:rPr>
          <w:rFonts w:ascii="宋体" w:hAnsi="宋体"/>
          <w:color w:val="auto"/>
          <w:szCs w:val="21"/>
          <w:highlight w:val="none"/>
        </w:rPr>
      </w:pPr>
    </w:p>
    <w:p>
      <w:pPr>
        <w:pStyle w:val="12"/>
        <w:snapToGrid w:val="0"/>
        <w:spacing w:beforeLines="0" w:afterLines="0"/>
        <w:jc w:val="left"/>
        <w:rPr>
          <w:color w:val="auto"/>
          <w:sz w:val="21"/>
          <w:szCs w:val="21"/>
          <w:highlight w:val="none"/>
        </w:rPr>
      </w:pPr>
    </w:p>
    <w:p>
      <w:pPr>
        <w:pStyle w:val="12"/>
        <w:snapToGrid w:val="0"/>
        <w:spacing w:beforeLines="0" w:afterLines="0"/>
        <w:jc w:val="left"/>
        <w:rPr>
          <w:rFonts w:hint="eastAsia"/>
          <w:color w:val="auto"/>
          <w:sz w:val="21"/>
          <w:szCs w:val="21"/>
          <w:highlight w:val="none"/>
        </w:rPr>
      </w:pPr>
    </w:p>
    <w:p>
      <w:pPr>
        <w:pStyle w:val="12"/>
        <w:snapToGrid w:val="0"/>
        <w:spacing w:beforeLines="0" w:afterLines="0"/>
        <w:jc w:val="left"/>
        <w:rPr>
          <w:rFonts w:hAnsi="宋体"/>
          <w:color w:val="auto"/>
          <w:sz w:val="21"/>
          <w:szCs w:val="21"/>
          <w:highlight w:val="none"/>
        </w:rPr>
      </w:pPr>
      <w:r>
        <w:rPr>
          <w:rFonts w:hint="eastAsia"/>
          <w:color w:val="auto"/>
          <w:sz w:val="21"/>
          <w:szCs w:val="21"/>
          <w:highlight w:val="none"/>
        </w:rPr>
        <w:t>附件三</w:t>
      </w:r>
    </w:p>
    <w:p>
      <w:pPr>
        <w:spacing w:line="400" w:lineRule="exact"/>
        <w:jc w:val="center"/>
        <w:rPr>
          <w:rFonts w:ascii="宋体" w:hAnsi="宋体"/>
          <w:color w:val="auto"/>
          <w:szCs w:val="21"/>
          <w:highlight w:val="none"/>
        </w:rPr>
      </w:pPr>
      <w:r>
        <w:rPr>
          <w:rFonts w:hint="eastAsia" w:ascii="宋体"/>
          <w:color w:val="auto"/>
          <w:szCs w:val="21"/>
          <w:highlight w:val="none"/>
        </w:rPr>
        <w:t>服务指标</w:t>
      </w:r>
      <w:r>
        <w:rPr>
          <w:rFonts w:hint="eastAsia" w:ascii="宋体" w:hAnsi="宋体"/>
          <w:color w:val="auto"/>
          <w:szCs w:val="21"/>
          <w:highlight w:val="none"/>
        </w:rPr>
        <w:t>偏离表</w:t>
      </w:r>
    </w:p>
    <w:p>
      <w:pPr>
        <w:spacing w:line="400" w:lineRule="exact"/>
        <w:rPr>
          <w:rFonts w:ascii="宋体" w:hAnsi="宋体"/>
          <w:color w:val="auto"/>
          <w:szCs w:val="21"/>
          <w:highlight w:val="none"/>
        </w:rPr>
      </w:pPr>
    </w:p>
    <w:tbl>
      <w:tblPr>
        <w:tblStyle w:val="24"/>
        <w:tblW w:w="84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3264"/>
        <w:gridCol w:w="2825"/>
        <w:gridCol w:w="15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3264" w:type="dxa"/>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招标文件</w:t>
            </w:r>
          </w:p>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服务指标要求</w:t>
            </w:r>
          </w:p>
        </w:tc>
        <w:tc>
          <w:tcPr>
            <w:tcW w:w="2825" w:type="dxa"/>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w:t>
            </w:r>
          </w:p>
          <w:p>
            <w:pPr>
              <w:spacing w:line="400" w:lineRule="exact"/>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响应情况</w:t>
            </w:r>
          </w:p>
        </w:tc>
        <w:tc>
          <w:tcPr>
            <w:tcW w:w="1533" w:type="dxa"/>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exact"/>
          <w:jc w:val="center"/>
        </w:trPr>
        <w:tc>
          <w:tcPr>
            <w:tcW w:w="862" w:type="dxa"/>
            <w:vAlign w:val="center"/>
          </w:tcPr>
          <w:p>
            <w:pPr>
              <w:spacing w:line="400" w:lineRule="exact"/>
              <w:jc w:val="center"/>
              <w:rPr>
                <w:rFonts w:asciiTheme="minorEastAsia" w:hAnsiTheme="minorEastAsia" w:eastAsiaTheme="minorEastAsia"/>
                <w:color w:val="auto"/>
                <w:szCs w:val="21"/>
                <w:highlight w:val="none"/>
              </w:rPr>
            </w:pPr>
          </w:p>
        </w:tc>
        <w:tc>
          <w:tcPr>
            <w:tcW w:w="3264" w:type="dxa"/>
            <w:vAlign w:val="center"/>
          </w:tcPr>
          <w:p>
            <w:pPr>
              <w:spacing w:line="400" w:lineRule="exact"/>
              <w:jc w:val="center"/>
              <w:rPr>
                <w:rFonts w:asciiTheme="minorEastAsia" w:hAnsiTheme="minorEastAsia" w:eastAsiaTheme="minorEastAsia"/>
                <w:color w:val="auto"/>
                <w:szCs w:val="21"/>
                <w:highlight w:val="none"/>
              </w:rPr>
            </w:pPr>
          </w:p>
        </w:tc>
        <w:tc>
          <w:tcPr>
            <w:tcW w:w="2825" w:type="dxa"/>
            <w:vAlign w:val="center"/>
          </w:tcPr>
          <w:p>
            <w:pPr>
              <w:spacing w:line="400" w:lineRule="exact"/>
              <w:jc w:val="center"/>
              <w:rPr>
                <w:rFonts w:asciiTheme="minorEastAsia" w:hAnsiTheme="minorEastAsia" w:eastAsiaTheme="minorEastAsia"/>
                <w:color w:val="auto"/>
                <w:szCs w:val="21"/>
                <w:highlight w:val="none"/>
              </w:rPr>
            </w:pPr>
          </w:p>
        </w:tc>
        <w:tc>
          <w:tcPr>
            <w:tcW w:w="1533" w:type="dxa"/>
            <w:vAlign w:val="center"/>
          </w:tcPr>
          <w:p>
            <w:pPr>
              <w:spacing w:line="400" w:lineRule="exact"/>
              <w:jc w:val="center"/>
              <w:rPr>
                <w:rFonts w:asciiTheme="minorEastAsia" w:hAnsiTheme="minorEastAsia" w:eastAsiaTheme="minorEastAsia"/>
                <w:color w:val="auto"/>
                <w:szCs w:val="21"/>
                <w:highlight w:val="none"/>
              </w:rPr>
            </w:pPr>
          </w:p>
        </w:tc>
      </w:tr>
    </w:tbl>
    <w:p>
      <w:pPr>
        <w:spacing w:line="400" w:lineRule="exact"/>
        <w:rPr>
          <w:rFonts w:ascii="宋体" w:hAnsi="宋体"/>
          <w:color w:val="auto"/>
          <w:szCs w:val="21"/>
          <w:highlight w:val="none"/>
        </w:rPr>
      </w:pPr>
    </w:p>
    <w:p>
      <w:pPr>
        <w:spacing w:line="400" w:lineRule="exact"/>
        <w:rPr>
          <w:rFonts w:ascii="宋体" w:hAnsi="宋体"/>
          <w:color w:val="auto"/>
          <w:szCs w:val="21"/>
          <w:highlight w:val="none"/>
        </w:rPr>
      </w:pPr>
    </w:p>
    <w:p>
      <w:pPr>
        <w:pStyle w:val="3"/>
        <w:spacing w:after="0" w:line="400" w:lineRule="exact"/>
        <w:rPr>
          <w:rFonts w:hAnsi="宋体"/>
          <w:color w:val="auto"/>
          <w:szCs w:val="21"/>
          <w:highlight w:val="none"/>
        </w:rPr>
      </w:pPr>
      <w:r>
        <w:rPr>
          <w:rFonts w:hint="eastAsia" w:hAnsi="宋体"/>
          <w:color w:val="auto"/>
          <w:szCs w:val="21"/>
          <w:highlight w:val="none"/>
        </w:rPr>
        <w:t>投标人（盖章）：</w:t>
      </w:r>
    </w:p>
    <w:p>
      <w:pPr>
        <w:pStyle w:val="3"/>
        <w:spacing w:after="0" w:line="400" w:lineRule="exact"/>
        <w:rPr>
          <w:rFonts w:hAnsi="宋体"/>
          <w:color w:val="auto"/>
          <w:szCs w:val="21"/>
          <w:highlight w:val="none"/>
        </w:rPr>
      </w:pPr>
      <w:r>
        <w:rPr>
          <w:rFonts w:hint="eastAsia" w:hAnsi="宋体"/>
          <w:color w:val="auto"/>
          <w:szCs w:val="21"/>
          <w:highlight w:val="none"/>
        </w:rPr>
        <w:t>法定代表人／负责人或授权代表（签字</w:t>
      </w:r>
      <w:r>
        <w:rPr>
          <w:rFonts w:hint="eastAsia" w:ascii="宋体" w:hAnsi="宋体"/>
          <w:color w:val="auto"/>
          <w:szCs w:val="21"/>
          <w:highlight w:val="none"/>
        </w:rPr>
        <w:t>或盖章</w:t>
      </w:r>
      <w:r>
        <w:rPr>
          <w:rFonts w:hint="eastAsia" w:hAnsi="宋体"/>
          <w:color w:val="auto"/>
          <w:szCs w:val="21"/>
          <w:highlight w:val="none"/>
        </w:rPr>
        <w:t>）：</w:t>
      </w:r>
    </w:p>
    <w:p>
      <w:pPr>
        <w:pStyle w:val="3"/>
        <w:spacing w:after="0" w:line="400" w:lineRule="exact"/>
        <w:rPr>
          <w:rFonts w:hAnsi="宋体"/>
          <w:color w:val="auto"/>
          <w:szCs w:val="21"/>
          <w:highlight w:val="none"/>
        </w:rPr>
      </w:pPr>
      <w:r>
        <w:rPr>
          <w:rFonts w:hint="eastAsia" w:hAnsi="宋体"/>
          <w:color w:val="auto"/>
          <w:szCs w:val="21"/>
          <w:highlight w:val="none"/>
        </w:rPr>
        <w:t>日期：</w:t>
      </w:r>
      <w:bookmarkEnd w:id="55"/>
    </w:p>
    <w:p>
      <w:pPr>
        <w:spacing w:line="400" w:lineRule="exact"/>
        <w:rPr>
          <w:rFonts w:ascii="宋体" w:hAnsi="宋体"/>
          <w:color w:val="auto"/>
          <w:szCs w:val="21"/>
          <w:highlight w:val="none"/>
        </w:rPr>
      </w:pPr>
    </w:p>
    <w:p>
      <w:pPr>
        <w:spacing w:line="400" w:lineRule="exact"/>
        <w:rPr>
          <w:rFonts w:ascii="宋体" w:hAnsi="宋体"/>
          <w:color w:val="auto"/>
          <w:szCs w:val="21"/>
          <w:highlight w:val="none"/>
        </w:rPr>
      </w:pPr>
      <w:r>
        <w:rPr>
          <w:rFonts w:hint="eastAsia" w:ascii="宋体" w:hAnsi="宋体"/>
          <w:color w:val="auto"/>
          <w:szCs w:val="21"/>
          <w:highlight w:val="none"/>
        </w:rPr>
        <w:t xml:space="preserve">附件四 </w:t>
      </w:r>
    </w:p>
    <w:p>
      <w:pPr>
        <w:spacing w:line="400" w:lineRule="exact"/>
        <w:ind w:left="3696"/>
        <w:rPr>
          <w:rFonts w:ascii="宋体" w:hAnsi="宋体"/>
          <w:color w:val="auto"/>
          <w:szCs w:val="21"/>
          <w:highlight w:val="none"/>
        </w:rPr>
      </w:pPr>
      <w:r>
        <w:rPr>
          <w:rFonts w:hint="eastAsia" w:ascii="宋体" w:hAnsi="宋体"/>
          <w:color w:val="auto"/>
          <w:szCs w:val="21"/>
          <w:highlight w:val="none"/>
        </w:rPr>
        <w:t>商务条款偏离表</w:t>
      </w:r>
    </w:p>
    <w:p>
      <w:pPr>
        <w:spacing w:line="400" w:lineRule="exact"/>
        <w:rPr>
          <w:rFonts w:ascii="宋体" w:hAnsi="宋体"/>
          <w:color w:val="auto"/>
          <w:szCs w:val="21"/>
          <w:highlight w:val="none"/>
        </w:rPr>
      </w:pPr>
    </w:p>
    <w:tbl>
      <w:tblPr>
        <w:tblStyle w:val="24"/>
        <w:tblW w:w="84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5"/>
        <w:gridCol w:w="3260"/>
        <w:gridCol w:w="2693"/>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r>
              <w:rPr>
                <w:rFonts w:hint="eastAsia" w:ascii="宋体" w:hAnsi="宋体"/>
                <w:color w:val="auto"/>
                <w:szCs w:val="21"/>
                <w:highlight w:val="none"/>
              </w:rPr>
              <w:t>序号</w:t>
            </w:r>
          </w:p>
        </w:tc>
        <w:tc>
          <w:tcPr>
            <w:tcW w:w="3260" w:type="dxa"/>
            <w:vAlign w:val="center"/>
          </w:tcPr>
          <w:p>
            <w:pPr>
              <w:spacing w:line="400" w:lineRule="exact"/>
              <w:jc w:val="center"/>
              <w:rPr>
                <w:rFonts w:ascii="宋体" w:hAnsi="宋体"/>
                <w:color w:val="auto"/>
                <w:szCs w:val="21"/>
                <w:highlight w:val="none"/>
              </w:rPr>
            </w:pPr>
            <w:r>
              <w:rPr>
                <w:rFonts w:hint="eastAsia" w:ascii="宋体" w:hAnsi="宋体"/>
                <w:color w:val="auto"/>
                <w:szCs w:val="21"/>
                <w:highlight w:val="none"/>
              </w:rPr>
              <w:t>招标文件的商务条款</w:t>
            </w:r>
          </w:p>
        </w:tc>
        <w:tc>
          <w:tcPr>
            <w:tcW w:w="2693" w:type="dxa"/>
            <w:vAlign w:val="center"/>
          </w:tcPr>
          <w:p>
            <w:pPr>
              <w:spacing w:line="400" w:lineRule="exact"/>
              <w:jc w:val="center"/>
              <w:rPr>
                <w:rFonts w:ascii="宋体" w:hAnsi="宋体"/>
                <w:color w:val="auto"/>
                <w:szCs w:val="21"/>
                <w:highlight w:val="none"/>
              </w:rPr>
            </w:pPr>
            <w:r>
              <w:rPr>
                <w:rFonts w:hint="eastAsia" w:ascii="宋体" w:hAnsi="宋体"/>
                <w:color w:val="auto"/>
                <w:szCs w:val="21"/>
                <w:highlight w:val="none"/>
              </w:rPr>
              <w:t>投标文件的响应情况</w:t>
            </w:r>
          </w:p>
        </w:tc>
        <w:tc>
          <w:tcPr>
            <w:tcW w:w="1560" w:type="dxa"/>
            <w:vAlign w:val="center"/>
          </w:tcPr>
          <w:p>
            <w:pPr>
              <w:spacing w:line="400" w:lineRule="exact"/>
              <w:jc w:val="center"/>
              <w:rPr>
                <w:rFonts w:ascii="宋体" w:hAnsi="宋体"/>
                <w:color w:val="auto"/>
                <w:szCs w:val="21"/>
                <w:highlight w:val="none"/>
              </w:rPr>
            </w:pPr>
            <w:r>
              <w:rPr>
                <w:rFonts w:hint="eastAsia" w:ascii="宋体" w:hAnsi="宋体"/>
                <w:color w:val="auto"/>
                <w:szCs w:val="21"/>
                <w:highlight w:val="none"/>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75" w:type="dxa"/>
            <w:vAlign w:val="center"/>
          </w:tcPr>
          <w:p>
            <w:pPr>
              <w:spacing w:line="400" w:lineRule="exact"/>
              <w:jc w:val="center"/>
              <w:rPr>
                <w:rFonts w:ascii="宋体" w:hAnsi="宋体"/>
                <w:color w:val="auto"/>
                <w:szCs w:val="21"/>
                <w:highlight w:val="none"/>
              </w:rPr>
            </w:pPr>
          </w:p>
        </w:tc>
        <w:tc>
          <w:tcPr>
            <w:tcW w:w="3260" w:type="dxa"/>
            <w:vAlign w:val="center"/>
          </w:tcPr>
          <w:p>
            <w:pPr>
              <w:spacing w:line="400" w:lineRule="exact"/>
              <w:jc w:val="center"/>
              <w:rPr>
                <w:rFonts w:ascii="宋体" w:hAnsi="宋体"/>
                <w:color w:val="auto"/>
                <w:szCs w:val="21"/>
                <w:highlight w:val="none"/>
              </w:rPr>
            </w:pPr>
          </w:p>
        </w:tc>
        <w:tc>
          <w:tcPr>
            <w:tcW w:w="2693" w:type="dxa"/>
            <w:vAlign w:val="center"/>
          </w:tcPr>
          <w:p>
            <w:pPr>
              <w:spacing w:line="400" w:lineRule="exact"/>
              <w:jc w:val="center"/>
              <w:rPr>
                <w:rFonts w:ascii="宋体" w:hAnsi="宋体"/>
                <w:color w:val="auto"/>
                <w:szCs w:val="21"/>
                <w:highlight w:val="none"/>
              </w:rPr>
            </w:pPr>
          </w:p>
        </w:tc>
        <w:tc>
          <w:tcPr>
            <w:tcW w:w="1560" w:type="dxa"/>
            <w:vAlign w:val="center"/>
          </w:tcPr>
          <w:p>
            <w:pPr>
              <w:spacing w:line="400" w:lineRule="exact"/>
              <w:jc w:val="center"/>
              <w:rPr>
                <w:rFonts w:ascii="宋体" w:hAnsi="宋体"/>
                <w:color w:val="auto"/>
                <w:szCs w:val="21"/>
                <w:highlight w:val="none"/>
              </w:rPr>
            </w:pPr>
          </w:p>
        </w:tc>
      </w:tr>
    </w:tbl>
    <w:p>
      <w:pPr>
        <w:spacing w:line="400" w:lineRule="exact"/>
        <w:ind w:firstLine="420" w:firstLineChars="200"/>
        <w:rPr>
          <w:rFonts w:ascii="宋体" w:hAnsi="宋体"/>
          <w:color w:val="auto"/>
          <w:szCs w:val="21"/>
          <w:highlight w:val="none"/>
        </w:rPr>
      </w:pPr>
      <w:r>
        <w:rPr>
          <w:rFonts w:ascii="宋体" w:hAnsi="宋体"/>
          <w:color w:val="auto"/>
          <w:szCs w:val="21"/>
          <w:highlight w:val="none"/>
        </w:rPr>
        <w:t>按第二章《采购需求》“商务条款”逐项填写，供应商可自行补充。</w:t>
      </w:r>
    </w:p>
    <w:p>
      <w:pPr>
        <w:pStyle w:val="3"/>
        <w:spacing w:after="0" w:line="400" w:lineRule="exact"/>
        <w:ind w:firstLine="420" w:firstLineChars="200"/>
        <w:rPr>
          <w:rFonts w:hAnsi="宋体"/>
          <w:color w:val="auto"/>
          <w:szCs w:val="21"/>
          <w:highlight w:val="none"/>
        </w:rPr>
      </w:pPr>
    </w:p>
    <w:p>
      <w:pPr>
        <w:pStyle w:val="3"/>
        <w:spacing w:after="0" w:line="400" w:lineRule="exact"/>
        <w:ind w:firstLine="420" w:firstLineChars="200"/>
        <w:rPr>
          <w:rFonts w:hAnsi="宋体"/>
          <w:color w:val="auto"/>
          <w:szCs w:val="21"/>
          <w:highlight w:val="none"/>
        </w:rPr>
      </w:pPr>
      <w:r>
        <w:rPr>
          <w:rFonts w:hint="eastAsia" w:hAnsi="宋体"/>
          <w:color w:val="auto"/>
          <w:szCs w:val="21"/>
          <w:highlight w:val="none"/>
        </w:rPr>
        <w:t>投标人（盖章）：</w:t>
      </w:r>
    </w:p>
    <w:p>
      <w:pPr>
        <w:pStyle w:val="3"/>
        <w:spacing w:after="0" w:line="400" w:lineRule="exact"/>
        <w:ind w:firstLine="420" w:firstLineChars="200"/>
        <w:rPr>
          <w:rFonts w:hAnsi="宋体"/>
          <w:color w:val="auto"/>
          <w:szCs w:val="21"/>
          <w:highlight w:val="none"/>
        </w:rPr>
      </w:pPr>
      <w:r>
        <w:rPr>
          <w:rFonts w:hint="eastAsia" w:hAnsi="宋体"/>
          <w:color w:val="auto"/>
          <w:szCs w:val="21"/>
          <w:highlight w:val="none"/>
        </w:rPr>
        <w:t>法定代表人／负责人或授权代表（签字</w:t>
      </w:r>
      <w:r>
        <w:rPr>
          <w:rFonts w:hint="eastAsia" w:ascii="宋体" w:hAnsi="宋体"/>
          <w:color w:val="auto"/>
          <w:szCs w:val="21"/>
          <w:highlight w:val="none"/>
        </w:rPr>
        <w:t>或盖章</w:t>
      </w:r>
      <w:r>
        <w:rPr>
          <w:rFonts w:hint="eastAsia" w:hAnsi="宋体"/>
          <w:color w:val="auto"/>
          <w:szCs w:val="21"/>
          <w:highlight w:val="none"/>
        </w:rPr>
        <w:t>）：</w:t>
      </w:r>
    </w:p>
    <w:p>
      <w:pPr>
        <w:pStyle w:val="3"/>
        <w:spacing w:after="0" w:line="400" w:lineRule="exact"/>
        <w:ind w:firstLine="420" w:firstLineChars="200"/>
        <w:rPr>
          <w:rFonts w:hint="eastAsia" w:hAnsi="宋体"/>
          <w:color w:val="auto"/>
          <w:szCs w:val="21"/>
          <w:highlight w:val="none"/>
        </w:rPr>
      </w:pPr>
      <w:r>
        <w:rPr>
          <w:rFonts w:hint="eastAsia" w:hAnsi="宋体"/>
          <w:color w:val="auto"/>
          <w:szCs w:val="21"/>
          <w:highlight w:val="none"/>
        </w:rPr>
        <w:t>日期：</w:t>
      </w:r>
    </w:p>
    <w:p>
      <w:pPr>
        <w:pStyle w:val="3"/>
        <w:spacing w:after="0" w:line="400" w:lineRule="exact"/>
        <w:ind w:left="0" w:leftChars="0" w:firstLine="0" w:firstLineChars="0"/>
        <w:rPr>
          <w:rFonts w:hint="eastAsia" w:hAnsi="宋体"/>
          <w:color w:val="auto"/>
          <w:szCs w:val="21"/>
          <w:highlight w:val="none"/>
        </w:rPr>
      </w:pPr>
    </w:p>
    <w:p>
      <w:pPr>
        <w:snapToGrid w:val="0"/>
        <w:spacing w:line="400" w:lineRule="exact"/>
        <w:jc w:val="center"/>
        <w:outlineLvl w:val="1"/>
        <w:rPr>
          <w:rFonts w:ascii="宋体" w:hAnsi="宋体"/>
          <w:color w:val="auto"/>
          <w:szCs w:val="21"/>
          <w:highlight w:val="none"/>
        </w:rPr>
      </w:pPr>
      <w:r>
        <w:rPr>
          <w:rFonts w:hint="eastAsia" w:ascii="宋体" w:hAnsi="宋体"/>
          <w:color w:val="auto"/>
          <w:szCs w:val="21"/>
          <w:highlight w:val="none"/>
        </w:rPr>
        <w:t>二、报价</w:t>
      </w:r>
      <w:r>
        <w:rPr>
          <w:rFonts w:hint="eastAsia" w:ascii="宋体" w:hAnsi="宋体"/>
          <w:bCs/>
          <w:color w:val="auto"/>
          <w:szCs w:val="21"/>
          <w:highlight w:val="none"/>
        </w:rPr>
        <w:t>文件格式</w:t>
      </w:r>
    </w:p>
    <w:p>
      <w:pPr>
        <w:snapToGrid w:val="0"/>
        <w:spacing w:line="400" w:lineRule="exact"/>
        <w:ind w:firstLine="420" w:firstLineChars="200"/>
        <w:rPr>
          <w:rFonts w:ascii="宋体" w:hAnsi="宋体"/>
          <w:bCs/>
          <w:color w:val="auto"/>
          <w:szCs w:val="21"/>
          <w:highlight w:val="none"/>
        </w:rPr>
      </w:pPr>
    </w:p>
    <w:p>
      <w:pPr>
        <w:pStyle w:val="7"/>
        <w:snapToGrid w:val="0"/>
        <w:spacing w:line="400" w:lineRule="exact"/>
        <w:ind w:firstLine="0"/>
        <w:rPr>
          <w:rFonts w:ascii="宋体" w:hAnsi="宋体"/>
          <w:bCs/>
          <w:color w:val="auto"/>
          <w:szCs w:val="21"/>
          <w:highlight w:val="none"/>
        </w:rPr>
      </w:pPr>
    </w:p>
    <w:p>
      <w:pPr>
        <w:snapToGrid w:val="0"/>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1.报价文件封面格式：</w:t>
      </w:r>
    </w:p>
    <w:p>
      <w:pPr>
        <w:snapToGrid w:val="0"/>
        <w:spacing w:line="400" w:lineRule="exact"/>
        <w:ind w:firstLine="6090" w:firstLineChars="2900"/>
        <w:rPr>
          <w:rFonts w:ascii="宋体" w:hAnsi="宋体"/>
          <w:bCs/>
          <w:color w:val="auto"/>
          <w:szCs w:val="21"/>
          <w:highlight w:val="none"/>
        </w:rPr>
      </w:pPr>
    </w:p>
    <w:p>
      <w:pPr>
        <w:snapToGrid w:val="0"/>
        <w:spacing w:line="400" w:lineRule="exact"/>
        <w:ind w:firstLine="420" w:firstLineChars="200"/>
        <w:rPr>
          <w:rFonts w:ascii="宋体" w:hAnsi="宋体"/>
          <w:bCs/>
          <w:color w:val="auto"/>
          <w:szCs w:val="21"/>
          <w:highlight w:val="none"/>
        </w:rPr>
      </w:pPr>
    </w:p>
    <w:p>
      <w:pPr>
        <w:snapToGrid w:val="0"/>
        <w:spacing w:line="400" w:lineRule="exact"/>
        <w:ind w:firstLine="420" w:firstLineChars="200"/>
        <w:jc w:val="center"/>
        <w:rPr>
          <w:rFonts w:ascii="宋体" w:hAnsi="宋体"/>
          <w:bCs/>
          <w:color w:val="auto"/>
          <w:szCs w:val="21"/>
          <w:highlight w:val="none"/>
        </w:rPr>
      </w:pPr>
      <w:r>
        <w:rPr>
          <w:rFonts w:hint="eastAsia" w:ascii="宋体" w:hAnsi="宋体"/>
          <w:color w:val="auto"/>
          <w:szCs w:val="21"/>
          <w:highlight w:val="none"/>
        </w:rPr>
        <w:t>报价</w:t>
      </w:r>
      <w:r>
        <w:rPr>
          <w:rFonts w:hint="eastAsia" w:ascii="宋体" w:hAnsi="宋体"/>
          <w:bCs/>
          <w:color w:val="auto"/>
          <w:szCs w:val="21"/>
          <w:highlight w:val="none"/>
        </w:rPr>
        <w:t>文件</w:t>
      </w:r>
    </w:p>
    <w:p>
      <w:pPr>
        <w:snapToGrid w:val="0"/>
        <w:spacing w:line="400" w:lineRule="exact"/>
        <w:ind w:firstLine="420" w:firstLineChars="200"/>
        <w:rPr>
          <w:rFonts w:ascii="宋体" w:hAnsi="宋体"/>
          <w:bCs/>
          <w:color w:val="auto"/>
          <w:szCs w:val="21"/>
          <w:highlight w:val="none"/>
        </w:rPr>
      </w:pPr>
    </w:p>
    <w:p>
      <w:pPr>
        <w:snapToGrid w:val="0"/>
        <w:spacing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项目名称：</w:t>
      </w:r>
    </w:p>
    <w:p>
      <w:pPr>
        <w:snapToGrid w:val="0"/>
        <w:spacing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项目编号：</w:t>
      </w:r>
    </w:p>
    <w:p>
      <w:pPr>
        <w:snapToGrid w:val="0"/>
        <w:spacing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标   项：（如有，请填写）</w:t>
      </w:r>
    </w:p>
    <w:p>
      <w:pPr>
        <w:pStyle w:val="7"/>
        <w:snapToGrid w:val="0"/>
        <w:spacing w:line="400" w:lineRule="exact"/>
        <w:ind w:firstLineChars="200"/>
        <w:rPr>
          <w:rFonts w:ascii="宋体" w:hAnsi="宋体"/>
          <w:bCs/>
          <w:color w:val="auto"/>
          <w:szCs w:val="21"/>
          <w:highlight w:val="none"/>
        </w:rPr>
      </w:pPr>
      <w:r>
        <w:rPr>
          <w:rFonts w:hint="eastAsia" w:ascii="宋体" w:hAnsi="宋体"/>
          <w:bCs/>
          <w:color w:val="auto"/>
          <w:szCs w:val="21"/>
          <w:highlight w:val="none"/>
        </w:rPr>
        <w:t>投标人名称：</w:t>
      </w:r>
    </w:p>
    <w:p>
      <w:pPr>
        <w:pStyle w:val="3"/>
        <w:spacing w:line="400" w:lineRule="exact"/>
        <w:ind w:firstLine="420" w:firstLineChars="200"/>
        <w:rPr>
          <w:rFonts w:hAnsi="宋体"/>
          <w:color w:val="auto"/>
          <w:szCs w:val="21"/>
          <w:highlight w:val="none"/>
        </w:rPr>
      </w:pPr>
    </w:p>
    <w:p>
      <w:pPr>
        <w:pStyle w:val="3"/>
        <w:spacing w:line="400" w:lineRule="exact"/>
        <w:ind w:firstLine="420" w:firstLineChars="200"/>
        <w:rPr>
          <w:rFonts w:hAnsi="宋体"/>
          <w:color w:val="auto"/>
          <w:szCs w:val="21"/>
          <w:highlight w:val="none"/>
        </w:rPr>
      </w:pPr>
    </w:p>
    <w:p>
      <w:pPr>
        <w:spacing w:line="400" w:lineRule="exact"/>
        <w:ind w:firstLine="420" w:firstLineChars="200"/>
        <w:rPr>
          <w:rFonts w:ascii="宋体" w:hAnsi="宋体"/>
          <w:color w:val="auto"/>
          <w:szCs w:val="21"/>
          <w:highlight w:val="none"/>
        </w:rPr>
      </w:pPr>
    </w:p>
    <w:p>
      <w:pPr>
        <w:pStyle w:val="7"/>
        <w:snapToGrid w:val="0"/>
        <w:spacing w:line="400" w:lineRule="exact"/>
        <w:ind w:firstLineChars="200"/>
        <w:rPr>
          <w:rFonts w:ascii="宋体" w:hAnsi="宋体"/>
          <w:color w:val="auto"/>
          <w:szCs w:val="21"/>
          <w:highlight w:val="none"/>
        </w:rPr>
      </w:pPr>
    </w:p>
    <w:p>
      <w:pPr>
        <w:pStyle w:val="7"/>
        <w:snapToGrid w:val="0"/>
        <w:spacing w:line="400" w:lineRule="exact"/>
        <w:ind w:firstLineChars="200"/>
        <w:rPr>
          <w:rFonts w:ascii="宋体" w:hAnsi="宋体"/>
          <w:color w:val="auto"/>
          <w:szCs w:val="21"/>
          <w:highlight w:val="none"/>
        </w:rPr>
      </w:pP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2.报价文件的内容组成</w:t>
      </w:r>
    </w:p>
    <w:p>
      <w:pPr>
        <w:pStyle w:val="20"/>
        <w:widowControl w:val="0"/>
        <w:spacing w:before="0" w:afterLines="0"/>
        <w:ind w:firstLine="420" w:firstLineChars="200"/>
        <w:rPr>
          <w:color w:val="auto"/>
          <w:sz w:val="21"/>
          <w:szCs w:val="21"/>
          <w:highlight w:val="none"/>
        </w:rPr>
      </w:pPr>
      <w:r>
        <w:rPr>
          <w:rFonts w:hint="eastAsia"/>
          <w:color w:val="auto"/>
          <w:sz w:val="21"/>
          <w:szCs w:val="21"/>
          <w:highlight w:val="none"/>
        </w:rPr>
        <w:t>具体内容参照第三章节投标文件编制中报价文件的内容组成。（请按报价文件的内容组成先后顺序制作投标文件）</w:t>
      </w:r>
    </w:p>
    <w:p>
      <w:pPr>
        <w:pStyle w:val="20"/>
        <w:widowControl w:val="0"/>
        <w:spacing w:before="0" w:afterLines="0"/>
        <w:ind w:firstLine="420" w:firstLineChars="200"/>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ind w:left="315"/>
        <w:rPr>
          <w:color w:val="auto"/>
          <w:sz w:val="21"/>
          <w:szCs w:val="21"/>
          <w:highlight w:val="none"/>
        </w:rPr>
      </w:pPr>
    </w:p>
    <w:p>
      <w:pPr>
        <w:pStyle w:val="20"/>
        <w:widowControl w:val="0"/>
        <w:spacing w:before="0" w:afterLines="0"/>
        <w:rPr>
          <w:color w:val="auto"/>
          <w:sz w:val="21"/>
          <w:szCs w:val="21"/>
          <w:highlight w:val="none"/>
        </w:rPr>
      </w:pPr>
    </w:p>
    <w:p>
      <w:pPr>
        <w:snapToGrid w:val="0"/>
        <w:spacing w:line="400" w:lineRule="exact"/>
        <w:jc w:val="left"/>
        <w:rPr>
          <w:rFonts w:ascii="宋体" w:hAnsi="宋体"/>
          <w:color w:val="auto"/>
          <w:szCs w:val="21"/>
          <w:highlight w:val="none"/>
        </w:rPr>
      </w:pPr>
      <w:r>
        <w:rPr>
          <w:rFonts w:hint="eastAsia" w:ascii="宋体" w:hAnsi="宋体"/>
          <w:color w:val="auto"/>
          <w:szCs w:val="21"/>
          <w:highlight w:val="none"/>
        </w:rPr>
        <w:t>附件1</w:t>
      </w:r>
    </w:p>
    <w:p>
      <w:pPr>
        <w:snapToGrid w:val="0"/>
        <w:spacing w:line="400" w:lineRule="exact"/>
        <w:jc w:val="center"/>
        <w:rPr>
          <w:rFonts w:ascii="宋体" w:hAnsi="宋体"/>
          <w:color w:val="auto"/>
          <w:szCs w:val="21"/>
          <w:highlight w:val="none"/>
        </w:rPr>
      </w:pPr>
      <w:r>
        <w:rPr>
          <w:rFonts w:hint="eastAsia" w:ascii="宋体" w:hAnsi="宋体"/>
          <w:color w:val="auto"/>
          <w:szCs w:val="21"/>
          <w:highlight w:val="none"/>
        </w:rPr>
        <w:t>开标一览表</w:t>
      </w:r>
    </w:p>
    <w:p>
      <w:pPr>
        <w:tabs>
          <w:tab w:val="left" w:pos="1418"/>
        </w:tabs>
        <w:snapToGrid w:val="0"/>
        <w:spacing w:line="400" w:lineRule="exact"/>
        <w:jc w:val="center"/>
        <w:rPr>
          <w:rFonts w:ascii="宋体" w:hAnsi="宋体"/>
          <w:color w:val="auto"/>
          <w:szCs w:val="21"/>
          <w:highlight w:val="none"/>
        </w:rPr>
      </w:pPr>
    </w:p>
    <w:p>
      <w:pPr>
        <w:tabs>
          <w:tab w:val="left" w:pos="1418"/>
        </w:tabs>
        <w:snapToGrid w:val="0"/>
        <w:spacing w:line="400" w:lineRule="exact"/>
        <w:ind w:firstLine="420" w:firstLineChars="200"/>
        <w:rPr>
          <w:color w:val="auto"/>
          <w:highlight w:val="none"/>
        </w:rPr>
      </w:pPr>
      <w:r>
        <w:rPr>
          <w:rFonts w:hint="eastAsia"/>
          <w:color w:val="auto"/>
          <w:highlight w:val="none"/>
        </w:rPr>
        <w:t>项目名称：　　　　　　　　　　　　　　　　　　　　项目编号：</w:t>
      </w:r>
    </w:p>
    <w:p>
      <w:pPr>
        <w:tabs>
          <w:tab w:val="left" w:pos="1418"/>
        </w:tabs>
        <w:snapToGrid w:val="0"/>
        <w:spacing w:line="400" w:lineRule="exact"/>
        <w:ind w:firstLine="5985" w:firstLineChars="2850"/>
        <w:rPr>
          <w:color w:val="auto"/>
          <w:highlight w:val="none"/>
        </w:rPr>
      </w:pPr>
      <w:r>
        <w:rPr>
          <w:rFonts w:hint="eastAsia"/>
          <w:color w:val="auto"/>
          <w:highlight w:val="none"/>
        </w:rPr>
        <w:t>单位：人民币元</w:t>
      </w:r>
    </w:p>
    <w:tbl>
      <w:tblPr>
        <w:tblStyle w:val="24"/>
        <w:tblW w:w="8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8"/>
        <w:gridCol w:w="264"/>
        <w:gridCol w:w="1890"/>
        <w:gridCol w:w="850"/>
        <w:gridCol w:w="995"/>
        <w:gridCol w:w="993"/>
        <w:gridCol w:w="1417"/>
        <w:gridCol w:w="13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548" w:type="dxa"/>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2154" w:type="dxa"/>
            <w:gridSpan w:val="2"/>
            <w:vAlign w:val="center"/>
          </w:tcPr>
          <w:p>
            <w:pPr>
              <w:spacing w:line="400" w:lineRule="exact"/>
              <w:jc w:val="center"/>
              <w:rPr>
                <w:rFonts w:asciiTheme="minorEastAsia" w:hAnsiTheme="minorEastAsia" w:eastAsiaTheme="minorEastAsia"/>
                <w:color w:val="auto"/>
                <w:highlight w:val="none"/>
              </w:rPr>
            </w:pPr>
            <w:r>
              <w:rPr>
                <w:rFonts w:hint="eastAsia" w:asciiTheme="minorEastAsia" w:hAnsiTheme="minorEastAsia" w:eastAsiaTheme="minorEastAsia"/>
                <w:color w:val="auto"/>
                <w:szCs w:val="21"/>
                <w:highlight w:val="none"/>
              </w:rPr>
              <w:t>服务内容</w:t>
            </w:r>
          </w:p>
        </w:tc>
        <w:tc>
          <w:tcPr>
            <w:tcW w:w="850" w:type="dxa"/>
            <w:vAlign w:val="center"/>
          </w:tcPr>
          <w:p>
            <w:pPr>
              <w:spacing w:line="400" w:lineRule="exact"/>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数量</w:t>
            </w:r>
          </w:p>
        </w:tc>
        <w:tc>
          <w:tcPr>
            <w:tcW w:w="995" w:type="dxa"/>
            <w:vAlign w:val="center"/>
          </w:tcPr>
          <w:p>
            <w:pPr>
              <w:spacing w:line="400" w:lineRule="exact"/>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单位</w:t>
            </w:r>
          </w:p>
        </w:tc>
        <w:tc>
          <w:tcPr>
            <w:tcW w:w="993" w:type="dxa"/>
            <w:vAlign w:val="center"/>
          </w:tcPr>
          <w:p>
            <w:pPr>
              <w:spacing w:line="400" w:lineRule="exact"/>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单价（元/年）</w:t>
            </w:r>
          </w:p>
        </w:tc>
        <w:tc>
          <w:tcPr>
            <w:tcW w:w="1417" w:type="dxa"/>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三年投标</w:t>
            </w:r>
          </w:p>
          <w:p>
            <w:pPr>
              <w:spacing w:line="400" w:lineRule="exact"/>
              <w:jc w:val="center"/>
              <w:rPr>
                <w:rFonts w:asciiTheme="minorEastAsia" w:hAnsiTheme="minorEastAsia" w:eastAsiaTheme="minorEastAsia"/>
                <w:color w:val="auto"/>
                <w:highlight w:val="none"/>
              </w:rPr>
            </w:pPr>
            <w:r>
              <w:rPr>
                <w:rFonts w:hint="eastAsia" w:asciiTheme="minorEastAsia" w:hAnsiTheme="minorEastAsia" w:eastAsiaTheme="minorEastAsia"/>
                <w:color w:val="auto"/>
                <w:szCs w:val="21"/>
                <w:highlight w:val="none"/>
              </w:rPr>
              <w:t>总价</w:t>
            </w:r>
          </w:p>
        </w:tc>
        <w:tc>
          <w:tcPr>
            <w:tcW w:w="1370" w:type="dxa"/>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548" w:type="dxa"/>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2154" w:type="dxa"/>
            <w:gridSpan w:val="2"/>
            <w:vAlign w:val="center"/>
          </w:tcPr>
          <w:p>
            <w:pPr>
              <w:spacing w:line="400" w:lineRule="exact"/>
              <w:jc w:val="center"/>
              <w:rPr>
                <w:rFonts w:asciiTheme="minorEastAsia" w:hAnsiTheme="minorEastAsia" w:eastAsiaTheme="minorEastAsia"/>
                <w:color w:val="auto"/>
                <w:szCs w:val="21"/>
                <w:highlight w:val="none"/>
              </w:rPr>
            </w:pPr>
            <w:r>
              <w:rPr>
                <w:rFonts w:hint="eastAsia" w:ascii="宋体" w:hAnsi="宋体"/>
                <w:color w:val="auto"/>
                <w:szCs w:val="21"/>
                <w:highlight w:val="none"/>
                <w:lang w:eastAsia="zh-CN"/>
              </w:rPr>
              <w:t>宁海法院安保等综合服务</w:t>
            </w:r>
          </w:p>
        </w:tc>
        <w:tc>
          <w:tcPr>
            <w:tcW w:w="850" w:type="dxa"/>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p>
        </w:tc>
        <w:tc>
          <w:tcPr>
            <w:tcW w:w="995" w:type="dxa"/>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年</w:t>
            </w:r>
          </w:p>
        </w:tc>
        <w:tc>
          <w:tcPr>
            <w:tcW w:w="993" w:type="dxa"/>
            <w:vAlign w:val="center"/>
          </w:tcPr>
          <w:p>
            <w:pPr>
              <w:spacing w:line="400" w:lineRule="exact"/>
              <w:jc w:val="center"/>
              <w:rPr>
                <w:rFonts w:asciiTheme="minorEastAsia" w:hAnsiTheme="minorEastAsia" w:eastAsiaTheme="minorEastAsia"/>
                <w:color w:val="auto"/>
                <w:szCs w:val="21"/>
                <w:highlight w:val="none"/>
              </w:rPr>
            </w:pPr>
          </w:p>
        </w:tc>
        <w:tc>
          <w:tcPr>
            <w:tcW w:w="1417" w:type="dxa"/>
            <w:vAlign w:val="center"/>
          </w:tcPr>
          <w:p>
            <w:pPr>
              <w:spacing w:line="400" w:lineRule="exact"/>
              <w:jc w:val="center"/>
              <w:rPr>
                <w:rFonts w:asciiTheme="minorEastAsia" w:hAnsiTheme="minorEastAsia" w:eastAsiaTheme="minorEastAsia"/>
                <w:color w:val="auto"/>
                <w:szCs w:val="21"/>
                <w:highlight w:val="none"/>
              </w:rPr>
            </w:pPr>
          </w:p>
        </w:tc>
        <w:tc>
          <w:tcPr>
            <w:tcW w:w="1370" w:type="dxa"/>
            <w:vAlign w:val="center"/>
          </w:tcPr>
          <w:p>
            <w:pPr>
              <w:spacing w:line="400" w:lineRule="exact"/>
              <w:jc w:val="center"/>
              <w:rPr>
                <w:rFonts w:asciiTheme="minorEastAsia" w:hAnsiTheme="minorEastAsia" w:eastAsia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327" w:type="dxa"/>
            <w:gridSpan w:val="8"/>
            <w:vAlign w:val="center"/>
          </w:tcPr>
          <w:p>
            <w:pPr>
              <w:spacing w:line="4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三年投标总价金额大写：                               小写</w:t>
            </w:r>
            <w:r>
              <w:rPr>
                <w:rFonts w:hint="eastAsia" w:asciiTheme="minorEastAsia" w:hAnsiTheme="minorEastAsia" w:eastAsiaTheme="minorEastAsia"/>
                <w:color w:val="auto"/>
                <w:szCs w:val="21"/>
                <w:highlight w:val="none"/>
                <w:shd w:val="clear" w:color="auto" w:fill="FFFFFF"/>
              </w:rPr>
              <w:t>¥</w:t>
            </w:r>
            <w:r>
              <w:rPr>
                <w:rFonts w:hint="eastAsia" w:asciiTheme="minorEastAsia" w:hAnsiTheme="minorEastAsia" w:eastAsiaTheme="minorEastAsia"/>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0" w:hRule="atLeast"/>
          <w:jc w:val="center"/>
        </w:trPr>
        <w:tc>
          <w:tcPr>
            <w:tcW w:w="812" w:type="dxa"/>
            <w:gridSpan w:val="2"/>
            <w:vAlign w:val="center"/>
          </w:tcPr>
          <w:p>
            <w:pPr>
              <w:spacing w:line="4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投标声明</w:t>
            </w:r>
          </w:p>
        </w:tc>
        <w:tc>
          <w:tcPr>
            <w:tcW w:w="7515" w:type="dxa"/>
            <w:gridSpan w:val="6"/>
            <w:vAlign w:val="center"/>
          </w:tcPr>
          <w:p>
            <w:pPr>
              <w:spacing w:line="400" w:lineRule="exact"/>
              <w:jc w:val="center"/>
              <w:rPr>
                <w:rFonts w:asciiTheme="minorEastAsia" w:hAnsiTheme="minorEastAsia" w:eastAsiaTheme="minorEastAsia"/>
                <w:color w:val="auto"/>
                <w:szCs w:val="21"/>
                <w:highlight w:val="none"/>
              </w:rPr>
            </w:pPr>
          </w:p>
          <w:p>
            <w:pPr>
              <w:widowControl/>
              <w:spacing w:line="400" w:lineRule="exact"/>
              <w:jc w:val="left"/>
              <w:rPr>
                <w:rFonts w:asciiTheme="minorEastAsia" w:hAnsiTheme="minorEastAsia" w:eastAsiaTheme="minorEastAsia"/>
                <w:color w:val="auto"/>
                <w:szCs w:val="21"/>
                <w:highlight w:val="none"/>
              </w:rPr>
            </w:pPr>
          </w:p>
          <w:p>
            <w:pPr>
              <w:spacing w:line="400" w:lineRule="exact"/>
              <w:jc w:val="center"/>
              <w:rPr>
                <w:rFonts w:asciiTheme="minorEastAsia" w:hAnsiTheme="minorEastAsia" w:eastAsiaTheme="minorEastAsia"/>
                <w:color w:val="auto"/>
                <w:szCs w:val="21"/>
                <w:highlight w:val="none"/>
              </w:rPr>
            </w:pPr>
          </w:p>
        </w:tc>
      </w:tr>
    </w:tbl>
    <w:p>
      <w:pPr>
        <w:pStyle w:val="3"/>
        <w:spacing w:after="0" w:line="400" w:lineRule="exac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注：</w:t>
      </w:r>
    </w:p>
    <w:p>
      <w:pPr>
        <w:pStyle w:val="3"/>
        <w:spacing w:after="0" w:line="4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r>
        <w:rPr>
          <w:rFonts w:asciiTheme="minorEastAsia" w:hAnsiTheme="minorEastAsia" w:eastAsiaTheme="minorEastAsia"/>
          <w:color w:val="auto"/>
          <w:szCs w:val="21"/>
          <w:highlight w:val="none"/>
        </w:rPr>
        <w:t>有关本项目实施所涉及的一切费用均计入报价。</w:t>
      </w:r>
    </w:p>
    <w:p>
      <w:pPr>
        <w:pStyle w:val="3"/>
        <w:spacing w:after="0" w:line="400" w:lineRule="exac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2.“三年投标总价”应与“投标分项报价表”中“三年投标总价”一致。</w:t>
      </w:r>
    </w:p>
    <w:p>
      <w:pPr>
        <w:pStyle w:val="3"/>
        <w:spacing w:line="400" w:lineRule="exact"/>
        <w:rPr>
          <w:rFonts w:hAnsi="宋体"/>
          <w:color w:val="auto"/>
          <w:szCs w:val="21"/>
          <w:highlight w:val="none"/>
        </w:rPr>
      </w:pPr>
    </w:p>
    <w:p>
      <w:pPr>
        <w:pStyle w:val="3"/>
        <w:spacing w:line="400" w:lineRule="exact"/>
        <w:rPr>
          <w:rFonts w:hAnsi="宋体"/>
          <w:color w:val="auto"/>
          <w:szCs w:val="21"/>
          <w:highlight w:val="none"/>
        </w:rPr>
      </w:pPr>
      <w:r>
        <w:rPr>
          <w:rFonts w:hint="eastAsia" w:hAnsi="宋体"/>
          <w:color w:val="auto"/>
          <w:szCs w:val="21"/>
          <w:highlight w:val="none"/>
        </w:rPr>
        <w:t>投标人（盖章）：</w:t>
      </w:r>
    </w:p>
    <w:p>
      <w:pPr>
        <w:pStyle w:val="3"/>
        <w:spacing w:line="400" w:lineRule="exact"/>
        <w:rPr>
          <w:rFonts w:hAnsi="宋体"/>
          <w:color w:val="auto"/>
          <w:szCs w:val="21"/>
          <w:highlight w:val="none"/>
        </w:rPr>
      </w:pPr>
      <w:r>
        <w:rPr>
          <w:rFonts w:hint="eastAsia" w:hAnsi="宋体"/>
          <w:color w:val="auto"/>
          <w:szCs w:val="21"/>
          <w:highlight w:val="none"/>
        </w:rPr>
        <w:t>法定代表人／负责人或授权代表（签字</w:t>
      </w:r>
      <w:r>
        <w:rPr>
          <w:rFonts w:hint="eastAsia" w:ascii="宋体" w:hAnsi="宋体"/>
          <w:color w:val="auto"/>
          <w:szCs w:val="21"/>
          <w:highlight w:val="none"/>
        </w:rPr>
        <w:t>或盖章</w:t>
      </w:r>
      <w:r>
        <w:rPr>
          <w:rFonts w:hint="eastAsia" w:hAnsi="宋体"/>
          <w:color w:val="auto"/>
          <w:szCs w:val="21"/>
          <w:highlight w:val="none"/>
        </w:rPr>
        <w:t>）：</w:t>
      </w:r>
    </w:p>
    <w:p>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日期：</w:t>
      </w:r>
    </w:p>
    <w:p>
      <w:pPr>
        <w:snapToGrid w:val="0"/>
        <w:spacing w:line="400" w:lineRule="exact"/>
        <w:jc w:val="left"/>
        <w:rPr>
          <w:rFonts w:ascii="宋体" w:hAnsi="宋体"/>
          <w:color w:val="auto"/>
          <w:szCs w:val="21"/>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pStyle w:val="9"/>
        <w:rPr>
          <w:color w:val="auto"/>
          <w:highlight w:val="none"/>
        </w:rPr>
      </w:pPr>
    </w:p>
    <w:p>
      <w:pPr>
        <w:snapToGrid w:val="0"/>
        <w:spacing w:line="400" w:lineRule="exact"/>
        <w:jc w:val="left"/>
        <w:rPr>
          <w:rFonts w:ascii="宋体" w:hAnsi="宋体"/>
          <w:color w:val="auto"/>
          <w:szCs w:val="21"/>
          <w:highlight w:val="none"/>
        </w:rPr>
      </w:pPr>
      <w:r>
        <w:rPr>
          <w:rFonts w:hint="eastAsia" w:ascii="宋体" w:hAnsi="宋体"/>
          <w:color w:val="auto"/>
          <w:szCs w:val="21"/>
          <w:highlight w:val="none"/>
        </w:rPr>
        <w:t>附件2</w:t>
      </w:r>
    </w:p>
    <w:p>
      <w:pPr>
        <w:pStyle w:val="12"/>
        <w:snapToGrid w:val="0"/>
        <w:spacing w:beforeLines="0" w:afterLines="0"/>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投标分项报价表</w:t>
      </w:r>
    </w:p>
    <w:p>
      <w:pPr>
        <w:pStyle w:val="12"/>
        <w:snapToGrid w:val="0"/>
        <w:spacing w:beforeLines="0" w:afterLines="0"/>
        <w:jc w:val="center"/>
        <w:rPr>
          <w:rFonts w:asciiTheme="minorEastAsia" w:hAnsiTheme="minorEastAsia" w:eastAsiaTheme="minorEastAsia"/>
          <w:color w:val="auto"/>
          <w:sz w:val="21"/>
          <w:szCs w:val="21"/>
          <w:highlight w:val="none"/>
        </w:rPr>
      </w:pPr>
    </w:p>
    <w:p>
      <w:pPr>
        <w:tabs>
          <w:tab w:val="left" w:pos="1418"/>
        </w:tabs>
        <w:snapToGrid w:val="0"/>
        <w:spacing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项目名称：　　　　　　　　　　　　　　　　　　　　项目编号：</w:t>
      </w:r>
    </w:p>
    <w:p>
      <w:pPr>
        <w:tabs>
          <w:tab w:val="left" w:pos="1418"/>
        </w:tabs>
        <w:snapToGrid w:val="0"/>
        <w:spacing w:line="400" w:lineRule="exact"/>
        <w:ind w:firstLine="5985" w:firstLineChars="285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单位：</w:t>
      </w:r>
      <w:r>
        <w:rPr>
          <w:rFonts w:hint="eastAsia" w:asciiTheme="minorEastAsia" w:hAnsiTheme="minorEastAsia" w:eastAsiaTheme="minorEastAsia"/>
          <w:color w:val="auto"/>
          <w:szCs w:val="21"/>
          <w:highlight w:val="none"/>
          <w:lang w:val="zh-CN"/>
        </w:rPr>
        <w:t>元（人民币）</w:t>
      </w:r>
    </w:p>
    <w:tbl>
      <w:tblPr>
        <w:tblStyle w:val="24"/>
        <w:tblW w:w="8590" w:type="dxa"/>
        <w:jc w:val="center"/>
        <w:tblLayout w:type="fixed"/>
        <w:tblCellMar>
          <w:top w:w="15" w:type="dxa"/>
          <w:left w:w="15" w:type="dxa"/>
          <w:bottom w:w="15" w:type="dxa"/>
          <w:right w:w="15" w:type="dxa"/>
        </w:tblCellMar>
      </w:tblPr>
      <w:tblGrid>
        <w:gridCol w:w="692"/>
        <w:gridCol w:w="2322"/>
        <w:gridCol w:w="2519"/>
        <w:gridCol w:w="1490"/>
        <w:gridCol w:w="1567"/>
      </w:tblGrid>
      <w:tr>
        <w:tblPrEx>
          <w:tblCellMar>
            <w:top w:w="15" w:type="dxa"/>
            <w:left w:w="15" w:type="dxa"/>
            <w:bottom w:w="15" w:type="dxa"/>
            <w:right w:w="15" w:type="dxa"/>
          </w:tblCellMar>
        </w:tblPrEx>
        <w:trPr>
          <w:trHeight w:val="613" w:hRule="atLeast"/>
          <w:jc w:val="center"/>
        </w:trPr>
        <w:tc>
          <w:tcPr>
            <w:tcW w:w="6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序号</w:t>
            </w:r>
          </w:p>
        </w:tc>
        <w:tc>
          <w:tcPr>
            <w:tcW w:w="2322" w:type="dxa"/>
            <w:tcBorders>
              <w:top w:val="single" w:color="000000" w:sz="4" w:space="0"/>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服务费用</w:t>
            </w:r>
          </w:p>
        </w:tc>
        <w:tc>
          <w:tcPr>
            <w:tcW w:w="2519" w:type="dxa"/>
            <w:tcBorders>
              <w:top w:val="single" w:color="000000" w:sz="4" w:space="0"/>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说  明</w:t>
            </w:r>
          </w:p>
        </w:tc>
        <w:tc>
          <w:tcPr>
            <w:tcW w:w="1490" w:type="dxa"/>
            <w:tcBorders>
              <w:top w:val="single" w:color="000000" w:sz="4" w:space="0"/>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单价（元/年）</w:t>
            </w:r>
          </w:p>
        </w:tc>
        <w:tc>
          <w:tcPr>
            <w:tcW w:w="1567" w:type="dxa"/>
            <w:tcBorders>
              <w:top w:val="single" w:color="000000" w:sz="4" w:space="0"/>
              <w:left w:val="single" w:color="000000" w:sz="4" w:space="0"/>
              <w:right w:val="single" w:color="000000" w:sz="4" w:space="0"/>
            </w:tcBorders>
          </w:tcPr>
          <w:p>
            <w:pPr>
              <w:keepNext w:val="0"/>
              <w:keepLines w:val="0"/>
              <w:pageBreakBefore w:val="0"/>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三年投标</w:t>
            </w:r>
          </w:p>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总价</w:t>
            </w:r>
          </w:p>
        </w:tc>
      </w:tr>
      <w:tr>
        <w:tblPrEx>
          <w:tblCellMar>
            <w:top w:w="15" w:type="dxa"/>
            <w:left w:w="15" w:type="dxa"/>
            <w:bottom w:w="15" w:type="dxa"/>
            <w:right w:w="15" w:type="dxa"/>
          </w:tblCellMar>
        </w:tblPrEx>
        <w:trPr>
          <w:trHeight w:val="571" w:hRule="atLeast"/>
          <w:jc w:val="center"/>
        </w:trPr>
        <w:tc>
          <w:tcPr>
            <w:tcW w:w="6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w:t>
            </w:r>
          </w:p>
        </w:tc>
        <w:tc>
          <w:tcPr>
            <w:tcW w:w="232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1"/>
                <w:szCs w:val="21"/>
                <w:highlight w:val="none"/>
                <w:lang w:val="en-US" w:eastAsia="zh-CN"/>
              </w:rPr>
              <w:t>人工费用(工资、福利、社保、奖金、津贴等)</w:t>
            </w:r>
          </w:p>
        </w:tc>
        <w:tc>
          <w:tcPr>
            <w:tcW w:w="251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4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567"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r>
      <w:tr>
        <w:tblPrEx>
          <w:tblCellMar>
            <w:top w:w="15" w:type="dxa"/>
            <w:left w:w="15" w:type="dxa"/>
            <w:bottom w:w="15" w:type="dxa"/>
            <w:right w:w="15" w:type="dxa"/>
          </w:tblCellMar>
        </w:tblPrEx>
        <w:trPr>
          <w:trHeight w:val="571" w:hRule="atLeast"/>
          <w:jc w:val="center"/>
        </w:trPr>
        <w:tc>
          <w:tcPr>
            <w:tcW w:w="6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2</w:t>
            </w:r>
          </w:p>
        </w:tc>
        <w:tc>
          <w:tcPr>
            <w:tcW w:w="232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1"/>
                <w:szCs w:val="21"/>
                <w:highlight w:val="none"/>
                <w:lang w:val="en-US" w:eastAsia="zh-CN"/>
              </w:rPr>
              <w:t>综合费用（行政办公费用、服装费、培训费、食宿与交通费等）</w:t>
            </w:r>
          </w:p>
        </w:tc>
        <w:tc>
          <w:tcPr>
            <w:tcW w:w="251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4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567"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r>
      <w:tr>
        <w:tblPrEx>
          <w:tblCellMar>
            <w:top w:w="15" w:type="dxa"/>
            <w:left w:w="15" w:type="dxa"/>
            <w:bottom w:w="15" w:type="dxa"/>
            <w:right w:w="15" w:type="dxa"/>
          </w:tblCellMar>
        </w:tblPrEx>
        <w:trPr>
          <w:trHeight w:val="571" w:hRule="atLeast"/>
          <w:jc w:val="center"/>
        </w:trPr>
        <w:tc>
          <w:tcPr>
            <w:tcW w:w="6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3</w:t>
            </w:r>
          </w:p>
        </w:tc>
        <w:tc>
          <w:tcPr>
            <w:tcW w:w="232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1"/>
                <w:szCs w:val="21"/>
                <w:highlight w:val="none"/>
                <w:lang w:val="en-US" w:eastAsia="zh-CN"/>
              </w:rPr>
              <w:t>管理费用</w:t>
            </w:r>
          </w:p>
        </w:tc>
        <w:tc>
          <w:tcPr>
            <w:tcW w:w="251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4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567"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r>
      <w:tr>
        <w:tblPrEx>
          <w:tblCellMar>
            <w:top w:w="15" w:type="dxa"/>
            <w:left w:w="15" w:type="dxa"/>
            <w:bottom w:w="15" w:type="dxa"/>
            <w:right w:w="15" w:type="dxa"/>
          </w:tblCellMar>
        </w:tblPrEx>
        <w:trPr>
          <w:trHeight w:val="571" w:hRule="atLeast"/>
          <w:jc w:val="center"/>
        </w:trPr>
        <w:tc>
          <w:tcPr>
            <w:tcW w:w="6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kern w:val="0"/>
                <w:sz w:val="21"/>
                <w:szCs w:val="21"/>
                <w:highlight w:val="none"/>
              </w:rPr>
              <w:t>4</w:t>
            </w:r>
          </w:p>
        </w:tc>
        <w:tc>
          <w:tcPr>
            <w:tcW w:w="232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宋体" w:hAnsi="宋体" w:eastAsia="宋体" w:cs="宋体"/>
                <w:color w:val="auto"/>
                <w:sz w:val="21"/>
                <w:szCs w:val="21"/>
                <w:highlight w:val="none"/>
                <w:lang w:val="en-US" w:eastAsia="zh-CN"/>
              </w:rPr>
              <w:t>税金</w:t>
            </w:r>
          </w:p>
        </w:tc>
        <w:tc>
          <w:tcPr>
            <w:tcW w:w="251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4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567"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r>
      <w:tr>
        <w:tblPrEx>
          <w:tblCellMar>
            <w:top w:w="15" w:type="dxa"/>
            <w:left w:w="15" w:type="dxa"/>
            <w:bottom w:w="15" w:type="dxa"/>
            <w:right w:w="15" w:type="dxa"/>
          </w:tblCellMar>
        </w:tblPrEx>
        <w:trPr>
          <w:trHeight w:val="571" w:hRule="atLeast"/>
          <w:jc w:val="center"/>
        </w:trPr>
        <w:tc>
          <w:tcPr>
            <w:tcW w:w="6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5</w:t>
            </w:r>
          </w:p>
        </w:tc>
        <w:tc>
          <w:tcPr>
            <w:tcW w:w="232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b w:val="0"/>
                <w:bCs/>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工具、器材以及保洁耗材费用</w:t>
            </w:r>
          </w:p>
        </w:tc>
        <w:tc>
          <w:tcPr>
            <w:tcW w:w="251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4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567"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r>
      <w:tr>
        <w:tblPrEx>
          <w:tblCellMar>
            <w:top w:w="15" w:type="dxa"/>
            <w:left w:w="15" w:type="dxa"/>
            <w:bottom w:w="15" w:type="dxa"/>
            <w:right w:w="15" w:type="dxa"/>
          </w:tblCellMar>
        </w:tblPrEx>
        <w:trPr>
          <w:trHeight w:val="571" w:hRule="atLeast"/>
          <w:jc w:val="center"/>
        </w:trPr>
        <w:tc>
          <w:tcPr>
            <w:tcW w:w="6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6</w:t>
            </w:r>
          </w:p>
        </w:tc>
        <w:tc>
          <w:tcPr>
            <w:tcW w:w="232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b w:val="0"/>
                <w:bCs/>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其他相关费用</w:t>
            </w:r>
          </w:p>
        </w:tc>
        <w:tc>
          <w:tcPr>
            <w:tcW w:w="251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4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567"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r>
      <w:tr>
        <w:tblPrEx>
          <w:tblCellMar>
            <w:top w:w="15" w:type="dxa"/>
            <w:left w:w="15" w:type="dxa"/>
            <w:bottom w:w="15" w:type="dxa"/>
            <w:right w:w="15" w:type="dxa"/>
          </w:tblCellMar>
        </w:tblPrEx>
        <w:trPr>
          <w:trHeight w:val="571" w:hRule="atLeast"/>
          <w:jc w:val="center"/>
        </w:trPr>
        <w:tc>
          <w:tcPr>
            <w:tcW w:w="6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232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251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4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567"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r>
      <w:tr>
        <w:tblPrEx>
          <w:tblCellMar>
            <w:top w:w="15" w:type="dxa"/>
            <w:left w:w="15" w:type="dxa"/>
            <w:bottom w:w="15" w:type="dxa"/>
            <w:right w:w="15" w:type="dxa"/>
          </w:tblCellMar>
        </w:tblPrEx>
        <w:trPr>
          <w:trHeight w:val="571" w:hRule="atLeast"/>
          <w:jc w:val="center"/>
        </w:trPr>
        <w:tc>
          <w:tcPr>
            <w:tcW w:w="6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232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w:t>
            </w:r>
          </w:p>
        </w:tc>
        <w:tc>
          <w:tcPr>
            <w:tcW w:w="251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4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c>
          <w:tcPr>
            <w:tcW w:w="1567" w:type="dxa"/>
            <w:tcBorders>
              <w:top w:val="single" w:color="000000" w:sz="4" w:space="0"/>
              <w:left w:val="single" w:color="000000" w:sz="4" w:space="0"/>
              <w:bottom w:val="single" w:color="000000" w:sz="4" w:space="0"/>
              <w:right w:val="single" w:color="000000" w:sz="4" w:space="0"/>
            </w:tcBorders>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Theme="minorEastAsia" w:hAnsiTheme="minorEastAsia" w:eastAsiaTheme="minorEastAsia" w:cstheme="minorEastAsia"/>
                <w:color w:val="auto"/>
                <w:sz w:val="21"/>
                <w:szCs w:val="21"/>
                <w:highlight w:val="none"/>
              </w:rPr>
            </w:pPr>
          </w:p>
        </w:tc>
      </w:tr>
      <w:tr>
        <w:tblPrEx>
          <w:tblCellMar>
            <w:top w:w="15" w:type="dxa"/>
            <w:left w:w="15" w:type="dxa"/>
            <w:bottom w:w="15" w:type="dxa"/>
            <w:right w:w="15" w:type="dxa"/>
          </w:tblCellMar>
        </w:tblPrEx>
        <w:trPr>
          <w:trHeight w:val="571" w:hRule="atLeast"/>
          <w:jc w:val="center"/>
        </w:trPr>
        <w:tc>
          <w:tcPr>
            <w:tcW w:w="8590" w:type="dxa"/>
            <w:gridSpan w:val="5"/>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ind w:firstLine="105" w:firstLineChars="50"/>
              <w:jc w:val="left"/>
              <w:textAlignment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三年投标总价金额大写：                               小写</w:t>
            </w:r>
            <w:r>
              <w:rPr>
                <w:rFonts w:hint="eastAsia" w:asciiTheme="minorEastAsia" w:hAnsiTheme="minorEastAsia" w:eastAsiaTheme="minorEastAsia" w:cstheme="minorEastAsia"/>
                <w:color w:val="auto"/>
                <w:sz w:val="21"/>
                <w:szCs w:val="21"/>
                <w:highlight w:val="none"/>
                <w:shd w:val="clear" w:color="auto" w:fill="FFFFFF"/>
              </w:rPr>
              <w:t>¥</w:t>
            </w:r>
            <w:r>
              <w:rPr>
                <w:rFonts w:hint="eastAsia" w:asciiTheme="minorEastAsia" w:hAnsiTheme="minorEastAsia" w:eastAsiaTheme="minorEastAsia" w:cstheme="minorEastAsia"/>
                <w:color w:val="auto"/>
                <w:sz w:val="21"/>
                <w:szCs w:val="21"/>
                <w:highlight w:val="none"/>
              </w:rPr>
              <w:t>：</w:t>
            </w:r>
          </w:p>
        </w:tc>
      </w:tr>
    </w:tbl>
    <w:p>
      <w:pPr>
        <w:pStyle w:val="3"/>
        <w:spacing w:after="0" w:line="400" w:lineRule="exact"/>
        <w:ind w:firstLine="420" w:firstLineChars="200"/>
        <w:rPr>
          <w:rFonts w:asciiTheme="minorEastAsia" w:hAnsiTheme="minorEastAsia" w:eastAsiaTheme="minorEastAsia"/>
          <w:color w:val="auto"/>
          <w:szCs w:val="21"/>
          <w:highlight w:val="none"/>
        </w:rPr>
      </w:pPr>
    </w:p>
    <w:p>
      <w:pPr>
        <w:spacing w:line="400" w:lineRule="exact"/>
        <w:ind w:firstLine="424" w:firstLineChars="202"/>
        <w:textAlignment w:val="top"/>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备注：服务费用包括但不限于以上内容。</w:t>
      </w:r>
    </w:p>
    <w:p>
      <w:pPr>
        <w:pStyle w:val="3"/>
        <w:spacing w:after="0" w:line="400" w:lineRule="exact"/>
        <w:ind w:firstLine="420" w:firstLineChars="200"/>
        <w:rPr>
          <w:rFonts w:asciiTheme="minorEastAsia" w:hAnsiTheme="minorEastAsia" w:eastAsiaTheme="minorEastAsia"/>
          <w:color w:val="auto"/>
          <w:szCs w:val="21"/>
          <w:highlight w:val="none"/>
        </w:rPr>
      </w:pPr>
    </w:p>
    <w:p>
      <w:pPr>
        <w:pStyle w:val="3"/>
        <w:spacing w:after="0"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投标人（盖章）：</w:t>
      </w:r>
    </w:p>
    <w:p>
      <w:pPr>
        <w:pStyle w:val="3"/>
        <w:spacing w:after="0" w:line="400" w:lineRule="exact"/>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法定代表人／负责人或授权代表（签字</w:t>
      </w:r>
      <w:r>
        <w:rPr>
          <w:rFonts w:hint="eastAsia" w:ascii="宋体" w:hAnsi="宋体"/>
          <w:color w:val="auto"/>
          <w:szCs w:val="21"/>
          <w:highlight w:val="none"/>
        </w:rPr>
        <w:t>或盖章</w:t>
      </w:r>
      <w:r>
        <w:rPr>
          <w:rFonts w:hint="eastAsia" w:asciiTheme="minorEastAsia" w:hAnsiTheme="minorEastAsia" w:eastAsiaTheme="minorEastAsia"/>
          <w:color w:val="auto"/>
          <w:szCs w:val="21"/>
          <w:highlight w:val="none"/>
        </w:rPr>
        <w:t>）：</w:t>
      </w:r>
    </w:p>
    <w:p>
      <w:pPr>
        <w:spacing w:line="400" w:lineRule="exact"/>
        <w:ind w:firstLine="840" w:firstLineChars="4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日期：</w:t>
      </w:r>
    </w:p>
    <w:p>
      <w:pPr>
        <w:pStyle w:val="9"/>
        <w:rPr>
          <w:color w:val="auto"/>
          <w:highlight w:val="none"/>
        </w:rPr>
      </w:pPr>
    </w:p>
    <w:p>
      <w:pPr>
        <w:pStyle w:val="9"/>
        <w:rPr>
          <w:color w:val="auto"/>
          <w:highlight w:val="none"/>
        </w:rPr>
      </w:pPr>
    </w:p>
    <w:p>
      <w:pPr>
        <w:pStyle w:val="33"/>
        <w:rPr>
          <w:color w:val="auto"/>
          <w:highlight w:val="none"/>
        </w:rPr>
      </w:pPr>
    </w:p>
    <w:p>
      <w:pPr>
        <w:pStyle w:val="33"/>
        <w:rPr>
          <w:color w:val="auto"/>
          <w:highlight w:val="none"/>
        </w:rPr>
      </w:pPr>
    </w:p>
    <w:p>
      <w:pPr>
        <w:pStyle w:val="33"/>
        <w:rPr>
          <w:color w:val="auto"/>
          <w:highlight w:val="none"/>
        </w:rPr>
      </w:pPr>
    </w:p>
    <w:p>
      <w:pPr>
        <w:snapToGrid w:val="0"/>
        <w:spacing w:line="400" w:lineRule="exact"/>
        <w:jc w:val="center"/>
        <w:outlineLvl w:val="1"/>
        <w:rPr>
          <w:rFonts w:ascii="宋体" w:hAnsi="宋体"/>
          <w:color w:val="auto"/>
          <w:szCs w:val="21"/>
          <w:highlight w:val="none"/>
        </w:rPr>
      </w:pPr>
      <w:r>
        <w:rPr>
          <w:rFonts w:hint="eastAsia" w:ascii="宋体" w:hAnsi="宋体"/>
          <w:color w:val="auto"/>
          <w:szCs w:val="21"/>
          <w:highlight w:val="none"/>
        </w:rPr>
        <w:t>三、电子备份投标</w:t>
      </w:r>
      <w:r>
        <w:rPr>
          <w:rFonts w:hint="eastAsia" w:ascii="宋体" w:hAnsi="宋体"/>
          <w:bCs/>
          <w:color w:val="auto"/>
          <w:szCs w:val="21"/>
          <w:highlight w:val="none"/>
        </w:rPr>
        <w:t>文件格式</w:t>
      </w:r>
    </w:p>
    <w:p>
      <w:pPr>
        <w:snapToGrid w:val="0"/>
        <w:spacing w:line="400" w:lineRule="exact"/>
        <w:ind w:firstLine="420" w:firstLineChars="200"/>
        <w:rPr>
          <w:rFonts w:ascii="宋体" w:hAnsi="宋体"/>
          <w:bCs/>
          <w:color w:val="auto"/>
          <w:szCs w:val="21"/>
          <w:highlight w:val="none"/>
        </w:rPr>
      </w:pPr>
    </w:p>
    <w:p>
      <w:pPr>
        <w:pStyle w:val="7"/>
        <w:snapToGrid w:val="0"/>
        <w:spacing w:line="400" w:lineRule="exact"/>
        <w:ind w:firstLineChars="200"/>
        <w:rPr>
          <w:rFonts w:ascii="宋体" w:hAnsi="宋体"/>
          <w:bCs/>
          <w:color w:val="auto"/>
          <w:szCs w:val="21"/>
          <w:highlight w:val="none"/>
        </w:rPr>
      </w:pPr>
    </w:p>
    <w:p>
      <w:pPr>
        <w:pStyle w:val="7"/>
        <w:snapToGrid w:val="0"/>
        <w:spacing w:line="400" w:lineRule="exact"/>
        <w:ind w:firstLineChars="200"/>
        <w:rPr>
          <w:rFonts w:ascii="宋体" w:hAnsi="宋体"/>
          <w:bCs/>
          <w:color w:val="auto"/>
          <w:szCs w:val="21"/>
          <w:highlight w:val="none"/>
        </w:rPr>
      </w:pPr>
    </w:p>
    <w:p>
      <w:pPr>
        <w:pStyle w:val="7"/>
        <w:snapToGrid w:val="0"/>
        <w:spacing w:line="400" w:lineRule="exact"/>
        <w:ind w:firstLineChars="200"/>
        <w:rPr>
          <w:rFonts w:ascii="宋体" w:hAnsi="宋体"/>
          <w:bCs/>
          <w:color w:val="auto"/>
          <w:szCs w:val="21"/>
          <w:highlight w:val="none"/>
        </w:rPr>
      </w:pPr>
    </w:p>
    <w:p>
      <w:pPr>
        <w:snapToGrid w:val="0"/>
        <w:spacing w:line="400" w:lineRule="exact"/>
        <w:ind w:firstLine="420" w:firstLineChars="200"/>
        <w:rPr>
          <w:rFonts w:ascii="宋体" w:hAnsi="宋体"/>
          <w:bCs/>
          <w:color w:val="auto"/>
          <w:szCs w:val="21"/>
          <w:highlight w:val="none"/>
        </w:rPr>
      </w:pPr>
      <w:r>
        <w:rPr>
          <w:rFonts w:hint="eastAsia" w:ascii="宋体" w:hAnsi="宋体"/>
          <w:color w:val="auto"/>
          <w:szCs w:val="21"/>
          <w:highlight w:val="none"/>
        </w:rPr>
        <w:t>电子备份投标</w:t>
      </w:r>
      <w:r>
        <w:rPr>
          <w:rFonts w:hint="eastAsia" w:ascii="宋体" w:hAnsi="宋体"/>
          <w:bCs/>
          <w:color w:val="auto"/>
          <w:szCs w:val="21"/>
          <w:highlight w:val="none"/>
        </w:rPr>
        <w:t>文件的外包装封面格式：</w:t>
      </w:r>
    </w:p>
    <w:p>
      <w:pPr>
        <w:snapToGrid w:val="0"/>
        <w:spacing w:line="400" w:lineRule="exact"/>
        <w:ind w:firstLine="420" w:firstLineChars="200"/>
        <w:jc w:val="center"/>
        <w:rPr>
          <w:rFonts w:ascii="宋体" w:hAnsi="宋体"/>
          <w:color w:val="auto"/>
          <w:szCs w:val="21"/>
          <w:highlight w:val="none"/>
        </w:rPr>
      </w:pPr>
    </w:p>
    <w:p>
      <w:pPr>
        <w:snapToGrid w:val="0"/>
        <w:spacing w:line="400" w:lineRule="exact"/>
        <w:ind w:firstLine="420" w:firstLineChars="200"/>
        <w:jc w:val="center"/>
        <w:rPr>
          <w:rFonts w:ascii="宋体" w:hAnsi="宋体"/>
          <w:bCs/>
          <w:color w:val="auto"/>
          <w:szCs w:val="21"/>
          <w:highlight w:val="none"/>
        </w:rPr>
      </w:pPr>
      <w:r>
        <w:rPr>
          <w:rFonts w:hint="eastAsia" w:ascii="宋体" w:hAnsi="宋体"/>
          <w:color w:val="auto"/>
          <w:szCs w:val="21"/>
          <w:highlight w:val="none"/>
        </w:rPr>
        <w:t>电子备份投标</w:t>
      </w:r>
      <w:r>
        <w:rPr>
          <w:rFonts w:hint="eastAsia" w:ascii="宋体" w:hAnsi="宋体"/>
          <w:bCs/>
          <w:color w:val="auto"/>
          <w:szCs w:val="21"/>
          <w:highlight w:val="none"/>
        </w:rPr>
        <w:t>文件</w:t>
      </w:r>
    </w:p>
    <w:p>
      <w:pPr>
        <w:snapToGrid w:val="0"/>
        <w:spacing w:line="400" w:lineRule="exact"/>
        <w:ind w:firstLine="420" w:firstLineChars="200"/>
        <w:jc w:val="center"/>
        <w:rPr>
          <w:rFonts w:ascii="宋体" w:hAnsi="宋体"/>
          <w:bCs/>
          <w:color w:val="auto"/>
          <w:szCs w:val="21"/>
          <w:highlight w:val="none"/>
        </w:rPr>
      </w:pPr>
    </w:p>
    <w:p>
      <w:pPr>
        <w:snapToGrid w:val="0"/>
        <w:spacing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项目名称：</w:t>
      </w:r>
    </w:p>
    <w:p>
      <w:pPr>
        <w:snapToGrid w:val="0"/>
        <w:spacing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项目编号：</w:t>
      </w:r>
    </w:p>
    <w:p>
      <w:pPr>
        <w:snapToGrid w:val="0"/>
        <w:spacing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标   项：（如有，请填写）</w:t>
      </w:r>
    </w:p>
    <w:p>
      <w:pPr>
        <w:pStyle w:val="7"/>
        <w:snapToGrid w:val="0"/>
        <w:spacing w:line="400" w:lineRule="exact"/>
        <w:ind w:firstLineChars="200"/>
        <w:rPr>
          <w:rFonts w:ascii="宋体" w:hAnsi="宋体"/>
          <w:bCs/>
          <w:color w:val="auto"/>
          <w:szCs w:val="21"/>
          <w:highlight w:val="none"/>
        </w:rPr>
      </w:pPr>
      <w:r>
        <w:rPr>
          <w:rFonts w:hint="eastAsia" w:ascii="宋体" w:hAnsi="宋体"/>
          <w:bCs/>
          <w:color w:val="auto"/>
          <w:szCs w:val="21"/>
          <w:highlight w:val="none"/>
        </w:rPr>
        <w:t>投标人名称：</w:t>
      </w:r>
    </w:p>
    <w:p>
      <w:pPr>
        <w:snapToGrid w:val="0"/>
        <w:spacing w:line="360" w:lineRule="auto"/>
        <w:ind w:firstLine="420" w:firstLineChars="200"/>
        <w:rPr>
          <w:rFonts w:ascii="宋体" w:hAnsi="宋体"/>
          <w:color w:val="auto"/>
          <w:szCs w:val="21"/>
          <w:highlight w:val="none"/>
        </w:rPr>
      </w:pPr>
    </w:p>
    <w:p>
      <w:pPr>
        <w:snapToGrid w:val="0"/>
        <w:spacing w:line="400" w:lineRule="exact"/>
        <w:jc w:val="left"/>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rFonts w:ascii="宋体" w:hAnsi="宋体"/>
          <w:color w:val="auto"/>
          <w:szCs w:val="21"/>
          <w:highlight w:val="none"/>
        </w:rPr>
      </w:pPr>
    </w:p>
    <w:p>
      <w:pPr>
        <w:pStyle w:val="9"/>
        <w:rPr>
          <w:color w:val="auto"/>
          <w:highlight w:val="none"/>
        </w:rPr>
      </w:pPr>
    </w:p>
    <w:sectPr>
      <w:footerReference r:id="rId5" w:type="first"/>
      <w:headerReference r:id="rId3" w:type="default"/>
      <w:footerReference r:id="rId4" w:type="default"/>
      <w:pgSz w:w="11906" w:h="16838"/>
      <w:pgMar w:top="1440" w:right="1797" w:bottom="1440" w:left="1797" w:header="567" w:footer="567"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33"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pPr>
                            <w:pStyle w:val="16"/>
                            <w:jc w:val="center"/>
                          </w:pPr>
                          <w:r>
                            <w:rPr>
                              <w:lang w:val="zh-CN"/>
                            </w:rPr>
                            <w:fldChar w:fldCharType="begin"/>
                          </w:r>
                          <w:r>
                            <w:rPr>
                              <w:lang w:val="zh-CN"/>
                            </w:rPr>
                            <w:instrText xml:space="preserve"> PAGE   \* MERGEFORMAT </w:instrText>
                          </w:r>
                          <w:r>
                            <w:rPr>
                              <w:lang w:val="zh-CN"/>
                            </w:rPr>
                            <w:fldChar w:fldCharType="separate"/>
                          </w:r>
                          <w:r>
                            <w:rPr>
                              <w:lang w:val="zh-CN"/>
                            </w:rPr>
                            <w:t>25</w:t>
                          </w:r>
                          <w:r>
                            <w:rPr>
                              <w:lang w:val="zh-CN"/>
                            </w:rPr>
                            <w:fldChar w:fldCharType="end"/>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D5X5J0AAAAAMBAAAPAAAAAAAAAAEAIAAAACIAAABkcnMvZG93bnJldi54&#10;bWxQSwECFAAUAAAACACHTuJAd4aSVQICAAATBAAADgAAAAAAAAABACAAAAAfAQAAZHJzL2Uyb0Rv&#10;Yy54bWxQSwUGAAAAAAYABgBZAQAAkwUAAAAA&#10;">
              <v:fill on="f" focussize="0,0"/>
              <v:stroke on="f"/>
              <v:imagedata o:title=""/>
              <o:lock v:ext="edit" aspectratio="f"/>
              <v:textbox inset="0mm,0mm,0mm,0mm" style="mso-fit-shape-to-text:t;">
                <w:txbxContent>
                  <w:p>
                    <w:pPr>
                      <w:pStyle w:val="16"/>
                      <w:jc w:val="center"/>
                    </w:pPr>
                    <w:r>
                      <w:rPr>
                        <w:lang w:val="zh-CN"/>
                      </w:rPr>
                      <w:fldChar w:fldCharType="begin"/>
                    </w:r>
                    <w:r>
                      <w:rPr>
                        <w:lang w:val="zh-CN"/>
                      </w:rPr>
                      <w:instrText xml:space="preserve"> PAGE   \* MERGEFORMAT </w:instrText>
                    </w:r>
                    <w:r>
                      <w:rPr>
                        <w:lang w:val="zh-CN"/>
                      </w:rPr>
                      <w:fldChar w:fldCharType="separate"/>
                    </w:r>
                    <w:r>
                      <w:rPr>
                        <w:lang w:val="zh-CN"/>
                      </w:rPr>
                      <w:t>25</w:t>
                    </w:r>
                    <w:r>
                      <w:rPr>
                        <w:lang w:val="zh-CN"/>
                      </w:rPr>
                      <w:fldChar w:fldCharType="end"/>
                    </w:r>
                  </w:p>
                </w:txbxContent>
              </v:textbox>
            </v:shape>
          </w:pict>
        </mc:Fallback>
      </mc:AlternateContent>
    </w:r>
  </w:p>
  <w:p>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7785" cy="131445"/>
              <wp:effectExtent l="0" t="0" r="0" b="0"/>
              <wp:wrapNone/>
              <wp:docPr id="32" name="Text Box 1026"/>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ffectLst/>
                    </wps:spPr>
                    <wps:txbx>
                      <w:txbxContent>
                        <w:p>
                          <w:pPr>
                            <w:pStyle w:val="16"/>
                          </w:pPr>
                          <w:r>
                            <w:fldChar w:fldCharType="begin"/>
                          </w:r>
                          <w:r>
                            <w:instrText xml:space="preserve"> PAGE  \* MERGEFORMAT </w:instrText>
                          </w:r>
                          <w:r>
                            <w:fldChar w:fldCharType="separate"/>
                          </w:r>
                          <w:r>
                            <w:t>1</w:t>
                          </w:r>
                          <w:r>
                            <w:fldChar w:fldCharType="end"/>
                          </w:r>
                        </w:p>
                      </w:txbxContent>
                    </wps:txbx>
                    <wps:bodyPr rot="0" vert="horz" wrap="none" lIns="0" tIns="0" rIns="0" bIns="0" anchor="t" anchorCtr="0" upright="1">
                      <a:spAutoFit/>
                    </wps:bodyPr>
                  </wps:wsp>
                </a:graphicData>
              </a:graphic>
            </wp:anchor>
          </w:drawing>
        </mc:Choice>
        <mc:Fallback>
          <w:pict>
            <v:shape id="Text Box 1026" o:spid="_x0000_s1026" o:spt="202" type="#_x0000_t202" style="position:absolute;left:0pt;margin-top:0pt;height:10.35pt;width:4.55pt;mso-position-horizontal:center;mso-position-horizontal-relative:margin;mso-wrap-style:none;z-index:251660288;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z4vdRNAAAAACAQAADwAAAAAAAAABACAAAAAiAAAAZHJzL2Rvd25yZXYu&#10;eG1sUEsBAhQAFAAAAAgAh07iQFdJB6QDAgAAEgQAAA4AAAAAAAAAAQAgAAAAHwEAAGRycy9lMm9E&#10;b2MueG1sUEsFBgAAAAAGAAYAWQEAAJQFAAAAAA==&#10;">
              <v:fill on="f" focussize="0,0"/>
              <v:stroke on="f"/>
              <v:imagedata o:title=""/>
              <o:lock v:ext="edit" aspectratio="f"/>
              <v:textbox inset="0mm,0mm,0mm,0mm" style="mso-fit-shape-to-text:t;">
                <w:txbxContent>
                  <w:p>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0"/>
  <w:drawingGridVerticalSpacing w:val="156"/>
  <w:displayHorizontalDrawingGridEvery w:val="1"/>
  <w:displayVerticalDrawingGridEvery w:val="1"/>
  <w:noPunctuationKerning w:val="1"/>
  <w:characterSpacingControl w:val="compressPunctuation"/>
  <w:hdrShapeDefaults>
    <o:shapelayout v:ext="edit">
      <o:idmap v:ext="edit" data="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RjMzBlMGYzM2IyYTRmNWNkYTUxNjg1MWNmMjlmYTMifQ=="/>
    <w:docVar w:name="KSO_WPS_MARK_KEY" w:val="bf5ca4e2-a895-4f3f-a114-24e99c3fb05f"/>
  </w:docVars>
  <w:rsids>
    <w:rsidRoot w:val="00295D41"/>
    <w:rsid w:val="00000845"/>
    <w:rsid w:val="00000C58"/>
    <w:rsid w:val="000010E6"/>
    <w:rsid w:val="000011B0"/>
    <w:rsid w:val="0000123B"/>
    <w:rsid w:val="00002DC6"/>
    <w:rsid w:val="0000326E"/>
    <w:rsid w:val="000032F7"/>
    <w:rsid w:val="000043F0"/>
    <w:rsid w:val="00005033"/>
    <w:rsid w:val="000055B3"/>
    <w:rsid w:val="00005F66"/>
    <w:rsid w:val="000062AF"/>
    <w:rsid w:val="00006994"/>
    <w:rsid w:val="000073E5"/>
    <w:rsid w:val="000102ED"/>
    <w:rsid w:val="00010E7F"/>
    <w:rsid w:val="0001111B"/>
    <w:rsid w:val="00011820"/>
    <w:rsid w:val="00011AA6"/>
    <w:rsid w:val="00011AE1"/>
    <w:rsid w:val="00011CAC"/>
    <w:rsid w:val="000124E6"/>
    <w:rsid w:val="0001299A"/>
    <w:rsid w:val="00013629"/>
    <w:rsid w:val="00014ADA"/>
    <w:rsid w:val="00016128"/>
    <w:rsid w:val="00016A22"/>
    <w:rsid w:val="00016AAC"/>
    <w:rsid w:val="000171BD"/>
    <w:rsid w:val="00017F1D"/>
    <w:rsid w:val="000201FC"/>
    <w:rsid w:val="00020224"/>
    <w:rsid w:val="00020884"/>
    <w:rsid w:val="0002138F"/>
    <w:rsid w:val="00023E48"/>
    <w:rsid w:val="00023FD7"/>
    <w:rsid w:val="00025443"/>
    <w:rsid w:val="0002622E"/>
    <w:rsid w:val="0002644F"/>
    <w:rsid w:val="00026B89"/>
    <w:rsid w:val="000278EA"/>
    <w:rsid w:val="00030077"/>
    <w:rsid w:val="00030648"/>
    <w:rsid w:val="000317A9"/>
    <w:rsid w:val="00031D13"/>
    <w:rsid w:val="00031EF9"/>
    <w:rsid w:val="00032133"/>
    <w:rsid w:val="00032EA1"/>
    <w:rsid w:val="0003303C"/>
    <w:rsid w:val="00033735"/>
    <w:rsid w:val="00033D4D"/>
    <w:rsid w:val="0003435F"/>
    <w:rsid w:val="000343C2"/>
    <w:rsid w:val="00034693"/>
    <w:rsid w:val="00034B9D"/>
    <w:rsid w:val="00035A35"/>
    <w:rsid w:val="00035B55"/>
    <w:rsid w:val="00036463"/>
    <w:rsid w:val="00036EA4"/>
    <w:rsid w:val="0004061D"/>
    <w:rsid w:val="000409FE"/>
    <w:rsid w:val="00042837"/>
    <w:rsid w:val="00042FF4"/>
    <w:rsid w:val="000433AF"/>
    <w:rsid w:val="000434F6"/>
    <w:rsid w:val="00044ECF"/>
    <w:rsid w:val="00045167"/>
    <w:rsid w:val="00045222"/>
    <w:rsid w:val="00045292"/>
    <w:rsid w:val="00045A5B"/>
    <w:rsid w:val="000460C9"/>
    <w:rsid w:val="000462B8"/>
    <w:rsid w:val="00046E75"/>
    <w:rsid w:val="00047007"/>
    <w:rsid w:val="000477B5"/>
    <w:rsid w:val="000478CA"/>
    <w:rsid w:val="00047DEF"/>
    <w:rsid w:val="00047FD5"/>
    <w:rsid w:val="00051027"/>
    <w:rsid w:val="0005122C"/>
    <w:rsid w:val="00051973"/>
    <w:rsid w:val="00052C99"/>
    <w:rsid w:val="0005331D"/>
    <w:rsid w:val="00053D64"/>
    <w:rsid w:val="000546B0"/>
    <w:rsid w:val="00055095"/>
    <w:rsid w:val="00055CB3"/>
    <w:rsid w:val="000564F0"/>
    <w:rsid w:val="00056D20"/>
    <w:rsid w:val="00056D7F"/>
    <w:rsid w:val="00057036"/>
    <w:rsid w:val="000576D5"/>
    <w:rsid w:val="00057DAB"/>
    <w:rsid w:val="00060269"/>
    <w:rsid w:val="000605C5"/>
    <w:rsid w:val="00060E1F"/>
    <w:rsid w:val="00061085"/>
    <w:rsid w:val="00061365"/>
    <w:rsid w:val="00061C51"/>
    <w:rsid w:val="000623E7"/>
    <w:rsid w:val="00062B2D"/>
    <w:rsid w:val="00063FFD"/>
    <w:rsid w:val="00064C84"/>
    <w:rsid w:val="00066836"/>
    <w:rsid w:val="00066929"/>
    <w:rsid w:val="00066A03"/>
    <w:rsid w:val="00067276"/>
    <w:rsid w:val="00070D75"/>
    <w:rsid w:val="00070F28"/>
    <w:rsid w:val="00071252"/>
    <w:rsid w:val="00071763"/>
    <w:rsid w:val="000717F4"/>
    <w:rsid w:val="00072B38"/>
    <w:rsid w:val="00073652"/>
    <w:rsid w:val="0007487C"/>
    <w:rsid w:val="00074FD3"/>
    <w:rsid w:val="00075B7B"/>
    <w:rsid w:val="0007613B"/>
    <w:rsid w:val="00076307"/>
    <w:rsid w:val="000763B2"/>
    <w:rsid w:val="00076DD0"/>
    <w:rsid w:val="00076EA5"/>
    <w:rsid w:val="0007734A"/>
    <w:rsid w:val="0007796C"/>
    <w:rsid w:val="00077D63"/>
    <w:rsid w:val="00080068"/>
    <w:rsid w:val="000800A1"/>
    <w:rsid w:val="0008015C"/>
    <w:rsid w:val="000810C4"/>
    <w:rsid w:val="0008163D"/>
    <w:rsid w:val="00081A23"/>
    <w:rsid w:val="000823BF"/>
    <w:rsid w:val="000825F4"/>
    <w:rsid w:val="00082A92"/>
    <w:rsid w:val="00083A06"/>
    <w:rsid w:val="00083D50"/>
    <w:rsid w:val="00084AEE"/>
    <w:rsid w:val="00084B3F"/>
    <w:rsid w:val="00085222"/>
    <w:rsid w:val="00085D56"/>
    <w:rsid w:val="00085F31"/>
    <w:rsid w:val="00086295"/>
    <w:rsid w:val="00087EC1"/>
    <w:rsid w:val="00090062"/>
    <w:rsid w:val="0009020B"/>
    <w:rsid w:val="00090C16"/>
    <w:rsid w:val="00090C40"/>
    <w:rsid w:val="00090E7C"/>
    <w:rsid w:val="000920CE"/>
    <w:rsid w:val="00092F39"/>
    <w:rsid w:val="000932E5"/>
    <w:rsid w:val="00093303"/>
    <w:rsid w:val="00093A87"/>
    <w:rsid w:val="00095A35"/>
    <w:rsid w:val="00096310"/>
    <w:rsid w:val="00097AE2"/>
    <w:rsid w:val="000A0003"/>
    <w:rsid w:val="000A00F8"/>
    <w:rsid w:val="000A0A1C"/>
    <w:rsid w:val="000A1500"/>
    <w:rsid w:val="000A1E64"/>
    <w:rsid w:val="000A1FA0"/>
    <w:rsid w:val="000A279B"/>
    <w:rsid w:val="000A2CB5"/>
    <w:rsid w:val="000A383E"/>
    <w:rsid w:val="000A38F7"/>
    <w:rsid w:val="000A4641"/>
    <w:rsid w:val="000A4937"/>
    <w:rsid w:val="000A5453"/>
    <w:rsid w:val="000A5E3A"/>
    <w:rsid w:val="000A6233"/>
    <w:rsid w:val="000A62F1"/>
    <w:rsid w:val="000A6329"/>
    <w:rsid w:val="000A6DB0"/>
    <w:rsid w:val="000A72BD"/>
    <w:rsid w:val="000B0911"/>
    <w:rsid w:val="000B1F4D"/>
    <w:rsid w:val="000B28B3"/>
    <w:rsid w:val="000B32EC"/>
    <w:rsid w:val="000B432E"/>
    <w:rsid w:val="000B4CF9"/>
    <w:rsid w:val="000B55EB"/>
    <w:rsid w:val="000B6E1A"/>
    <w:rsid w:val="000B76DE"/>
    <w:rsid w:val="000B7AC2"/>
    <w:rsid w:val="000B7BFB"/>
    <w:rsid w:val="000C0038"/>
    <w:rsid w:val="000C035D"/>
    <w:rsid w:val="000C09AB"/>
    <w:rsid w:val="000C0AD1"/>
    <w:rsid w:val="000C0F9E"/>
    <w:rsid w:val="000C1281"/>
    <w:rsid w:val="000C22CA"/>
    <w:rsid w:val="000C23E9"/>
    <w:rsid w:val="000C27CF"/>
    <w:rsid w:val="000C2C8D"/>
    <w:rsid w:val="000C3750"/>
    <w:rsid w:val="000C48DE"/>
    <w:rsid w:val="000C5446"/>
    <w:rsid w:val="000C5468"/>
    <w:rsid w:val="000C5512"/>
    <w:rsid w:val="000C5902"/>
    <w:rsid w:val="000C621E"/>
    <w:rsid w:val="000C6548"/>
    <w:rsid w:val="000C6A1A"/>
    <w:rsid w:val="000C74BF"/>
    <w:rsid w:val="000D0BAA"/>
    <w:rsid w:val="000D129D"/>
    <w:rsid w:val="000D1B90"/>
    <w:rsid w:val="000D24C7"/>
    <w:rsid w:val="000D2EFE"/>
    <w:rsid w:val="000D32F9"/>
    <w:rsid w:val="000D351D"/>
    <w:rsid w:val="000D37B3"/>
    <w:rsid w:val="000D3898"/>
    <w:rsid w:val="000D39B1"/>
    <w:rsid w:val="000D47A3"/>
    <w:rsid w:val="000D5213"/>
    <w:rsid w:val="000D5302"/>
    <w:rsid w:val="000D543A"/>
    <w:rsid w:val="000D5C8E"/>
    <w:rsid w:val="000D6266"/>
    <w:rsid w:val="000D6793"/>
    <w:rsid w:val="000D6FE3"/>
    <w:rsid w:val="000D717C"/>
    <w:rsid w:val="000D76DA"/>
    <w:rsid w:val="000D7DFF"/>
    <w:rsid w:val="000D7FF2"/>
    <w:rsid w:val="000E0151"/>
    <w:rsid w:val="000E0471"/>
    <w:rsid w:val="000E0CD8"/>
    <w:rsid w:val="000E1B40"/>
    <w:rsid w:val="000E1D17"/>
    <w:rsid w:val="000E2557"/>
    <w:rsid w:val="000E2F46"/>
    <w:rsid w:val="000E3154"/>
    <w:rsid w:val="000E3AE3"/>
    <w:rsid w:val="000E40EF"/>
    <w:rsid w:val="000E4CCF"/>
    <w:rsid w:val="000E50E2"/>
    <w:rsid w:val="000E6132"/>
    <w:rsid w:val="000E6175"/>
    <w:rsid w:val="000E62D3"/>
    <w:rsid w:val="000E6D4A"/>
    <w:rsid w:val="000E6D8E"/>
    <w:rsid w:val="000E762A"/>
    <w:rsid w:val="000E76C4"/>
    <w:rsid w:val="000E7A4E"/>
    <w:rsid w:val="000F12B9"/>
    <w:rsid w:val="000F1331"/>
    <w:rsid w:val="000F1613"/>
    <w:rsid w:val="000F29E1"/>
    <w:rsid w:val="000F419A"/>
    <w:rsid w:val="000F4267"/>
    <w:rsid w:val="000F45DE"/>
    <w:rsid w:val="000F4936"/>
    <w:rsid w:val="000F5CCC"/>
    <w:rsid w:val="000F6980"/>
    <w:rsid w:val="000F718C"/>
    <w:rsid w:val="001014EC"/>
    <w:rsid w:val="00101756"/>
    <w:rsid w:val="0010277C"/>
    <w:rsid w:val="00102BA0"/>
    <w:rsid w:val="00103F34"/>
    <w:rsid w:val="0010459F"/>
    <w:rsid w:val="001067C6"/>
    <w:rsid w:val="0010715B"/>
    <w:rsid w:val="00107B26"/>
    <w:rsid w:val="00110846"/>
    <w:rsid w:val="0011153D"/>
    <w:rsid w:val="00111619"/>
    <w:rsid w:val="00111D89"/>
    <w:rsid w:val="0011202C"/>
    <w:rsid w:val="00112982"/>
    <w:rsid w:val="0011475D"/>
    <w:rsid w:val="001149A7"/>
    <w:rsid w:val="001153A9"/>
    <w:rsid w:val="0011661B"/>
    <w:rsid w:val="00117878"/>
    <w:rsid w:val="0012036F"/>
    <w:rsid w:val="00120AC0"/>
    <w:rsid w:val="00120F74"/>
    <w:rsid w:val="00121DC2"/>
    <w:rsid w:val="00123BBB"/>
    <w:rsid w:val="00123CB9"/>
    <w:rsid w:val="00123DEA"/>
    <w:rsid w:val="00124E3C"/>
    <w:rsid w:val="001264D3"/>
    <w:rsid w:val="00126F6E"/>
    <w:rsid w:val="00127269"/>
    <w:rsid w:val="00127A5C"/>
    <w:rsid w:val="00127BD3"/>
    <w:rsid w:val="00127F2B"/>
    <w:rsid w:val="00130140"/>
    <w:rsid w:val="0013099E"/>
    <w:rsid w:val="00130C40"/>
    <w:rsid w:val="00133302"/>
    <w:rsid w:val="001337ED"/>
    <w:rsid w:val="00133F25"/>
    <w:rsid w:val="00134836"/>
    <w:rsid w:val="00134AFC"/>
    <w:rsid w:val="00135A02"/>
    <w:rsid w:val="001362E6"/>
    <w:rsid w:val="001363B6"/>
    <w:rsid w:val="00136885"/>
    <w:rsid w:val="00136AEB"/>
    <w:rsid w:val="00136C58"/>
    <w:rsid w:val="0013754E"/>
    <w:rsid w:val="001379F6"/>
    <w:rsid w:val="001439C8"/>
    <w:rsid w:val="00143EFE"/>
    <w:rsid w:val="00144752"/>
    <w:rsid w:val="001448F5"/>
    <w:rsid w:val="00144B26"/>
    <w:rsid w:val="00146028"/>
    <w:rsid w:val="00146AE1"/>
    <w:rsid w:val="001474A9"/>
    <w:rsid w:val="00150390"/>
    <w:rsid w:val="00150AA4"/>
    <w:rsid w:val="0015127B"/>
    <w:rsid w:val="00151980"/>
    <w:rsid w:val="001523A1"/>
    <w:rsid w:val="00152459"/>
    <w:rsid w:val="001548BB"/>
    <w:rsid w:val="0015515C"/>
    <w:rsid w:val="001556A9"/>
    <w:rsid w:val="00155AFA"/>
    <w:rsid w:val="001562CF"/>
    <w:rsid w:val="001566F5"/>
    <w:rsid w:val="00156AE9"/>
    <w:rsid w:val="00157332"/>
    <w:rsid w:val="0015735A"/>
    <w:rsid w:val="00157416"/>
    <w:rsid w:val="00160510"/>
    <w:rsid w:val="00160AE5"/>
    <w:rsid w:val="0016146C"/>
    <w:rsid w:val="00162268"/>
    <w:rsid w:val="00162B8B"/>
    <w:rsid w:val="00162D8F"/>
    <w:rsid w:val="00162E7F"/>
    <w:rsid w:val="00163097"/>
    <w:rsid w:val="001630BB"/>
    <w:rsid w:val="001633EE"/>
    <w:rsid w:val="00163A03"/>
    <w:rsid w:val="00164498"/>
    <w:rsid w:val="001654B7"/>
    <w:rsid w:val="00165609"/>
    <w:rsid w:val="00165DB1"/>
    <w:rsid w:val="00166A7B"/>
    <w:rsid w:val="00166F64"/>
    <w:rsid w:val="0016772E"/>
    <w:rsid w:val="00167BF0"/>
    <w:rsid w:val="00170274"/>
    <w:rsid w:val="00171911"/>
    <w:rsid w:val="001719C9"/>
    <w:rsid w:val="001726C7"/>
    <w:rsid w:val="0017277D"/>
    <w:rsid w:val="00172EE6"/>
    <w:rsid w:val="001733C7"/>
    <w:rsid w:val="0017429A"/>
    <w:rsid w:val="001744E2"/>
    <w:rsid w:val="00175E43"/>
    <w:rsid w:val="001766A7"/>
    <w:rsid w:val="00176925"/>
    <w:rsid w:val="001776D1"/>
    <w:rsid w:val="001779BE"/>
    <w:rsid w:val="0018032D"/>
    <w:rsid w:val="0018049C"/>
    <w:rsid w:val="00180C15"/>
    <w:rsid w:val="001816F4"/>
    <w:rsid w:val="001828BE"/>
    <w:rsid w:val="00183CE8"/>
    <w:rsid w:val="0018433C"/>
    <w:rsid w:val="001845A4"/>
    <w:rsid w:val="0018480D"/>
    <w:rsid w:val="0018534E"/>
    <w:rsid w:val="0018565B"/>
    <w:rsid w:val="00185750"/>
    <w:rsid w:val="00185EC4"/>
    <w:rsid w:val="00186092"/>
    <w:rsid w:val="00186294"/>
    <w:rsid w:val="00186E7C"/>
    <w:rsid w:val="001879BE"/>
    <w:rsid w:val="001902E4"/>
    <w:rsid w:val="0019086F"/>
    <w:rsid w:val="00190A26"/>
    <w:rsid w:val="00191296"/>
    <w:rsid w:val="00191437"/>
    <w:rsid w:val="00192A19"/>
    <w:rsid w:val="00193168"/>
    <w:rsid w:val="001937BC"/>
    <w:rsid w:val="00194485"/>
    <w:rsid w:val="0019465E"/>
    <w:rsid w:val="0019499C"/>
    <w:rsid w:val="001951C9"/>
    <w:rsid w:val="00195914"/>
    <w:rsid w:val="00195C57"/>
    <w:rsid w:val="00195DAD"/>
    <w:rsid w:val="001960AD"/>
    <w:rsid w:val="00196304"/>
    <w:rsid w:val="00196483"/>
    <w:rsid w:val="00196774"/>
    <w:rsid w:val="0019727C"/>
    <w:rsid w:val="00197AA3"/>
    <w:rsid w:val="00197E4B"/>
    <w:rsid w:val="001A2AA3"/>
    <w:rsid w:val="001A2C8A"/>
    <w:rsid w:val="001A35E2"/>
    <w:rsid w:val="001A4E87"/>
    <w:rsid w:val="001A53E0"/>
    <w:rsid w:val="001A5739"/>
    <w:rsid w:val="001A5BB0"/>
    <w:rsid w:val="001A6096"/>
    <w:rsid w:val="001A6928"/>
    <w:rsid w:val="001A775B"/>
    <w:rsid w:val="001A7F42"/>
    <w:rsid w:val="001B0321"/>
    <w:rsid w:val="001B126D"/>
    <w:rsid w:val="001B152E"/>
    <w:rsid w:val="001B39EE"/>
    <w:rsid w:val="001B3F50"/>
    <w:rsid w:val="001B45EE"/>
    <w:rsid w:val="001B46E9"/>
    <w:rsid w:val="001B5429"/>
    <w:rsid w:val="001B5C61"/>
    <w:rsid w:val="001B613C"/>
    <w:rsid w:val="001B67A1"/>
    <w:rsid w:val="001B6AF0"/>
    <w:rsid w:val="001B6F74"/>
    <w:rsid w:val="001B76CE"/>
    <w:rsid w:val="001B77D4"/>
    <w:rsid w:val="001B7CAB"/>
    <w:rsid w:val="001C17E7"/>
    <w:rsid w:val="001C19D3"/>
    <w:rsid w:val="001C1FF7"/>
    <w:rsid w:val="001C3850"/>
    <w:rsid w:val="001C3B92"/>
    <w:rsid w:val="001C3E01"/>
    <w:rsid w:val="001C464B"/>
    <w:rsid w:val="001C5586"/>
    <w:rsid w:val="001C60BE"/>
    <w:rsid w:val="001C614A"/>
    <w:rsid w:val="001C6EA0"/>
    <w:rsid w:val="001C71FB"/>
    <w:rsid w:val="001C7539"/>
    <w:rsid w:val="001C7C1F"/>
    <w:rsid w:val="001D0350"/>
    <w:rsid w:val="001D1A5B"/>
    <w:rsid w:val="001D1BB7"/>
    <w:rsid w:val="001D246F"/>
    <w:rsid w:val="001D24D4"/>
    <w:rsid w:val="001D25F8"/>
    <w:rsid w:val="001D2B45"/>
    <w:rsid w:val="001D3152"/>
    <w:rsid w:val="001D3C92"/>
    <w:rsid w:val="001D5862"/>
    <w:rsid w:val="001D59AE"/>
    <w:rsid w:val="001D5ECF"/>
    <w:rsid w:val="001D61C4"/>
    <w:rsid w:val="001D62F5"/>
    <w:rsid w:val="001D65D2"/>
    <w:rsid w:val="001D6711"/>
    <w:rsid w:val="001D7169"/>
    <w:rsid w:val="001D7CE8"/>
    <w:rsid w:val="001E00CA"/>
    <w:rsid w:val="001E0236"/>
    <w:rsid w:val="001E0B8F"/>
    <w:rsid w:val="001E103C"/>
    <w:rsid w:val="001E14BB"/>
    <w:rsid w:val="001E4198"/>
    <w:rsid w:val="001E5310"/>
    <w:rsid w:val="001E5688"/>
    <w:rsid w:val="001E5907"/>
    <w:rsid w:val="001E5EAC"/>
    <w:rsid w:val="001E722D"/>
    <w:rsid w:val="001F0149"/>
    <w:rsid w:val="001F0B5C"/>
    <w:rsid w:val="001F2032"/>
    <w:rsid w:val="001F2A6D"/>
    <w:rsid w:val="001F2FF2"/>
    <w:rsid w:val="001F3276"/>
    <w:rsid w:val="001F3FA1"/>
    <w:rsid w:val="001F445E"/>
    <w:rsid w:val="001F44D8"/>
    <w:rsid w:val="001F499B"/>
    <w:rsid w:val="001F6ED7"/>
    <w:rsid w:val="001F7B3F"/>
    <w:rsid w:val="001F7E7B"/>
    <w:rsid w:val="002000A3"/>
    <w:rsid w:val="0020012D"/>
    <w:rsid w:val="00201739"/>
    <w:rsid w:val="00202390"/>
    <w:rsid w:val="002028A1"/>
    <w:rsid w:val="00202AFB"/>
    <w:rsid w:val="00203137"/>
    <w:rsid w:val="002032D9"/>
    <w:rsid w:val="00203D22"/>
    <w:rsid w:val="00205709"/>
    <w:rsid w:val="00205742"/>
    <w:rsid w:val="00205C03"/>
    <w:rsid w:val="00205CC2"/>
    <w:rsid w:val="00206169"/>
    <w:rsid w:val="00206258"/>
    <w:rsid w:val="002069DC"/>
    <w:rsid w:val="00206C08"/>
    <w:rsid w:val="00207086"/>
    <w:rsid w:val="00207328"/>
    <w:rsid w:val="0020796D"/>
    <w:rsid w:val="00210530"/>
    <w:rsid w:val="002107E3"/>
    <w:rsid w:val="00210C4A"/>
    <w:rsid w:val="00210EE3"/>
    <w:rsid w:val="00211991"/>
    <w:rsid w:val="0021249D"/>
    <w:rsid w:val="00212A32"/>
    <w:rsid w:val="00212E3C"/>
    <w:rsid w:val="00212F4E"/>
    <w:rsid w:val="00213D38"/>
    <w:rsid w:val="00214F9A"/>
    <w:rsid w:val="00215607"/>
    <w:rsid w:val="0021617D"/>
    <w:rsid w:val="002162AE"/>
    <w:rsid w:val="00216A7D"/>
    <w:rsid w:val="00216D61"/>
    <w:rsid w:val="002207CD"/>
    <w:rsid w:val="00220FAC"/>
    <w:rsid w:val="002212B0"/>
    <w:rsid w:val="002222F4"/>
    <w:rsid w:val="0022238E"/>
    <w:rsid w:val="00222784"/>
    <w:rsid w:val="0022288A"/>
    <w:rsid w:val="00223180"/>
    <w:rsid w:val="00225140"/>
    <w:rsid w:val="0022561D"/>
    <w:rsid w:val="00226314"/>
    <w:rsid w:val="002269B7"/>
    <w:rsid w:val="00227B23"/>
    <w:rsid w:val="00227E45"/>
    <w:rsid w:val="00230022"/>
    <w:rsid w:val="002318AA"/>
    <w:rsid w:val="00232090"/>
    <w:rsid w:val="0023209D"/>
    <w:rsid w:val="002330C4"/>
    <w:rsid w:val="0023348B"/>
    <w:rsid w:val="00234252"/>
    <w:rsid w:val="002343A2"/>
    <w:rsid w:val="00234920"/>
    <w:rsid w:val="00234999"/>
    <w:rsid w:val="002349E0"/>
    <w:rsid w:val="00234C54"/>
    <w:rsid w:val="00234DC5"/>
    <w:rsid w:val="00235701"/>
    <w:rsid w:val="00236C4C"/>
    <w:rsid w:val="00236EFC"/>
    <w:rsid w:val="00237A22"/>
    <w:rsid w:val="00237B44"/>
    <w:rsid w:val="00237D9C"/>
    <w:rsid w:val="00240919"/>
    <w:rsid w:val="002421A6"/>
    <w:rsid w:val="00242D68"/>
    <w:rsid w:val="002430D8"/>
    <w:rsid w:val="00244979"/>
    <w:rsid w:val="00244BA5"/>
    <w:rsid w:val="002451CE"/>
    <w:rsid w:val="0024601A"/>
    <w:rsid w:val="0024734C"/>
    <w:rsid w:val="00247CA5"/>
    <w:rsid w:val="002509DB"/>
    <w:rsid w:val="00250D0B"/>
    <w:rsid w:val="002517C9"/>
    <w:rsid w:val="00251824"/>
    <w:rsid w:val="00251AFA"/>
    <w:rsid w:val="00251D45"/>
    <w:rsid w:val="002522CA"/>
    <w:rsid w:val="002522D4"/>
    <w:rsid w:val="00252B66"/>
    <w:rsid w:val="00253178"/>
    <w:rsid w:val="00254013"/>
    <w:rsid w:val="00254F72"/>
    <w:rsid w:val="00255B8F"/>
    <w:rsid w:val="00255CA4"/>
    <w:rsid w:val="00256068"/>
    <w:rsid w:val="00256402"/>
    <w:rsid w:val="0026070C"/>
    <w:rsid w:val="00260A0A"/>
    <w:rsid w:val="002610AF"/>
    <w:rsid w:val="002618B2"/>
    <w:rsid w:val="00262218"/>
    <w:rsid w:val="0026233C"/>
    <w:rsid w:val="0026233E"/>
    <w:rsid w:val="00262917"/>
    <w:rsid w:val="00262D58"/>
    <w:rsid w:val="002633EE"/>
    <w:rsid w:val="0026384C"/>
    <w:rsid w:val="002658C5"/>
    <w:rsid w:val="00265CF7"/>
    <w:rsid w:val="0026641B"/>
    <w:rsid w:val="00266A44"/>
    <w:rsid w:val="00267434"/>
    <w:rsid w:val="00267C2B"/>
    <w:rsid w:val="00267D65"/>
    <w:rsid w:val="00267D95"/>
    <w:rsid w:val="0027072E"/>
    <w:rsid w:val="0027095C"/>
    <w:rsid w:val="00270AA6"/>
    <w:rsid w:val="00270AB5"/>
    <w:rsid w:val="00270CAF"/>
    <w:rsid w:val="0027207D"/>
    <w:rsid w:val="002725FE"/>
    <w:rsid w:val="00272944"/>
    <w:rsid w:val="00272ACC"/>
    <w:rsid w:val="00272F8E"/>
    <w:rsid w:val="0027484D"/>
    <w:rsid w:val="00276387"/>
    <w:rsid w:val="00276559"/>
    <w:rsid w:val="002769EC"/>
    <w:rsid w:val="00276A9D"/>
    <w:rsid w:val="00276CF8"/>
    <w:rsid w:val="00277C89"/>
    <w:rsid w:val="002803EB"/>
    <w:rsid w:val="00280594"/>
    <w:rsid w:val="00280729"/>
    <w:rsid w:val="002816A9"/>
    <w:rsid w:val="00281BCD"/>
    <w:rsid w:val="002828AF"/>
    <w:rsid w:val="00282CE2"/>
    <w:rsid w:val="0028385B"/>
    <w:rsid w:val="002848F2"/>
    <w:rsid w:val="00285E07"/>
    <w:rsid w:val="002861E0"/>
    <w:rsid w:val="002902A3"/>
    <w:rsid w:val="00291FE2"/>
    <w:rsid w:val="00292C45"/>
    <w:rsid w:val="0029357D"/>
    <w:rsid w:val="002944D9"/>
    <w:rsid w:val="002945EF"/>
    <w:rsid w:val="00294E77"/>
    <w:rsid w:val="002951E6"/>
    <w:rsid w:val="00295D41"/>
    <w:rsid w:val="00295F64"/>
    <w:rsid w:val="00295F8A"/>
    <w:rsid w:val="00297424"/>
    <w:rsid w:val="00297F54"/>
    <w:rsid w:val="002A0625"/>
    <w:rsid w:val="002A0CD5"/>
    <w:rsid w:val="002A21E8"/>
    <w:rsid w:val="002A268C"/>
    <w:rsid w:val="002A2B8E"/>
    <w:rsid w:val="002A3DF5"/>
    <w:rsid w:val="002A443D"/>
    <w:rsid w:val="002A4442"/>
    <w:rsid w:val="002A4594"/>
    <w:rsid w:val="002A5542"/>
    <w:rsid w:val="002A59B9"/>
    <w:rsid w:val="002A5E75"/>
    <w:rsid w:val="002A7BEA"/>
    <w:rsid w:val="002B19C9"/>
    <w:rsid w:val="002B1D37"/>
    <w:rsid w:val="002B2017"/>
    <w:rsid w:val="002B2389"/>
    <w:rsid w:val="002B2A70"/>
    <w:rsid w:val="002B2C27"/>
    <w:rsid w:val="002B418D"/>
    <w:rsid w:val="002B5152"/>
    <w:rsid w:val="002B75BC"/>
    <w:rsid w:val="002C0069"/>
    <w:rsid w:val="002C0175"/>
    <w:rsid w:val="002C020F"/>
    <w:rsid w:val="002C0323"/>
    <w:rsid w:val="002C1ED2"/>
    <w:rsid w:val="002C35A8"/>
    <w:rsid w:val="002C3728"/>
    <w:rsid w:val="002C3B02"/>
    <w:rsid w:val="002C420B"/>
    <w:rsid w:val="002C479D"/>
    <w:rsid w:val="002C4B47"/>
    <w:rsid w:val="002C4FEA"/>
    <w:rsid w:val="002C532A"/>
    <w:rsid w:val="002C5333"/>
    <w:rsid w:val="002C57C1"/>
    <w:rsid w:val="002C6454"/>
    <w:rsid w:val="002C65E5"/>
    <w:rsid w:val="002C682A"/>
    <w:rsid w:val="002C6F0B"/>
    <w:rsid w:val="002C752F"/>
    <w:rsid w:val="002C7815"/>
    <w:rsid w:val="002D0D23"/>
    <w:rsid w:val="002D0D28"/>
    <w:rsid w:val="002D100E"/>
    <w:rsid w:val="002D15D5"/>
    <w:rsid w:val="002D1957"/>
    <w:rsid w:val="002D2722"/>
    <w:rsid w:val="002D2A1D"/>
    <w:rsid w:val="002D2B1C"/>
    <w:rsid w:val="002D32A3"/>
    <w:rsid w:val="002D332B"/>
    <w:rsid w:val="002D35F3"/>
    <w:rsid w:val="002D4254"/>
    <w:rsid w:val="002D4698"/>
    <w:rsid w:val="002D48B8"/>
    <w:rsid w:val="002D515B"/>
    <w:rsid w:val="002D55B0"/>
    <w:rsid w:val="002D621D"/>
    <w:rsid w:val="002D65D4"/>
    <w:rsid w:val="002D6BE4"/>
    <w:rsid w:val="002D7AF7"/>
    <w:rsid w:val="002E061C"/>
    <w:rsid w:val="002E07FC"/>
    <w:rsid w:val="002E0D99"/>
    <w:rsid w:val="002E151B"/>
    <w:rsid w:val="002E17EA"/>
    <w:rsid w:val="002E1AF4"/>
    <w:rsid w:val="002E1F2B"/>
    <w:rsid w:val="002E36E0"/>
    <w:rsid w:val="002E3E02"/>
    <w:rsid w:val="002E45E3"/>
    <w:rsid w:val="002E543E"/>
    <w:rsid w:val="002E5999"/>
    <w:rsid w:val="002E5E2C"/>
    <w:rsid w:val="002E6063"/>
    <w:rsid w:val="002E7D91"/>
    <w:rsid w:val="002F0226"/>
    <w:rsid w:val="002F0616"/>
    <w:rsid w:val="002F0775"/>
    <w:rsid w:val="002F0BC3"/>
    <w:rsid w:val="002F19D0"/>
    <w:rsid w:val="002F1A2E"/>
    <w:rsid w:val="002F1D63"/>
    <w:rsid w:val="002F1D71"/>
    <w:rsid w:val="002F252D"/>
    <w:rsid w:val="002F2CC2"/>
    <w:rsid w:val="002F2D35"/>
    <w:rsid w:val="002F2E64"/>
    <w:rsid w:val="002F346D"/>
    <w:rsid w:val="002F3DB4"/>
    <w:rsid w:val="002F4C28"/>
    <w:rsid w:val="002F5803"/>
    <w:rsid w:val="002F5E76"/>
    <w:rsid w:val="002F643E"/>
    <w:rsid w:val="002F65CE"/>
    <w:rsid w:val="002F6F26"/>
    <w:rsid w:val="002F769E"/>
    <w:rsid w:val="002F78AB"/>
    <w:rsid w:val="002F79E4"/>
    <w:rsid w:val="0030012B"/>
    <w:rsid w:val="003008AF"/>
    <w:rsid w:val="00300E3F"/>
    <w:rsid w:val="003017CF"/>
    <w:rsid w:val="00301868"/>
    <w:rsid w:val="003028F4"/>
    <w:rsid w:val="003029DD"/>
    <w:rsid w:val="00302D0E"/>
    <w:rsid w:val="00302FEA"/>
    <w:rsid w:val="00303336"/>
    <w:rsid w:val="0030360B"/>
    <w:rsid w:val="003037DD"/>
    <w:rsid w:val="003039FE"/>
    <w:rsid w:val="00303DBC"/>
    <w:rsid w:val="003055DF"/>
    <w:rsid w:val="00306A86"/>
    <w:rsid w:val="0030729C"/>
    <w:rsid w:val="00307E67"/>
    <w:rsid w:val="003105C7"/>
    <w:rsid w:val="00311870"/>
    <w:rsid w:val="00311CB7"/>
    <w:rsid w:val="00312356"/>
    <w:rsid w:val="00312609"/>
    <w:rsid w:val="00312865"/>
    <w:rsid w:val="00312EE8"/>
    <w:rsid w:val="00312F86"/>
    <w:rsid w:val="003134C3"/>
    <w:rsid w:val="003135D6"/>
    <w:rsid w:val="00315A8A"/>
    <w:rsid w:val="00316126"/>
    <w:rsid w:val="003166B5"/>
    <w:rsid w:val="00316833"/>
    <w:rsid w:val="00316DCF"/>
    <w:rsid w:val="003176FA"/>
    <w:rsid w:val="003178B2"/>
    <w:rsid w:val="00320384"/>
    <w:rsid w:val="00320914"/>
    <w:rsid w:val="00320DC8"/>
    <w:rsid w:val="003210DD"/>
    <w:rsid w:val="00321597"/>
    <w:rsid w:val="003224F0"/>
    <w:rsid w:val="00323374"/>
    <w:rsid w:val="0032344E"/>
    <w:rsid w:val="0032425C"/>
    <w:rsid w:val="00324640"/>
    <w:rsid w:val="003248C6"/>
    <w:rsid w:val="003248EF"/>
    <w:rsid w:val="00324A57"/>
    <w:rsid w:val="0032663C"/>
    <w:rsid w:val="00326B29"/>
    <w:rsid w:val="00326EA3"/>
    <w:rsid w:val="0032750B"/>
    <w:rsid w:val="0032753D"/>
    <w:rsid w:val="00327831"/>
    <w:rsid w:val="0033114A"/>
    <w:rsid w:val="0033168C"/>
    <w:rsid w:val="00331999"/>
    <w:rsid w:val="00331BF3"/>
    <w:rsid w:val="00331E8A"/>
    <w:rsid w:val="003323DE"/>
    <w:rsid w:val="0033258F"/>
    <w:rsid w:val="00332DFB"/>
    <w:rsid w:val="00333178"/>
    <w:rsid w:val="00333545"/>
    <w:rsid w:val="003336EA"/>
    <w:rsid w:val="00333A94"/>
    <w:rsid w:val="00333AF2"/>
    <w:rsid w:val="00333BAF"/>
    <w:rsid w:val="00333D58"/>
    <w:rsid w:val="00333DF8"/>
    <w:rsid w:val="00333E7B"/>
    <w:rsid w:val="00334B72"/>
    <w:rsid w:val="00335C18"/>
    <w:rsid w:val="00336759"/>
    <w:rsid w:val="00336FC2"/>
    <w:rsid w:val="00337106"/>
    <w:rsid w:val="003372E2"/>
    <w:rsid w:val="00340D8B"/>
    <w:rsid w:val="00341059"/>
    <w:rsid w:val="003420AB"/>
    <w:rsid w:val="00342553"/>
    <w:rsid w:val="00342DEC"/>
    <w:rsid w:val="00344A62"/>
    <w:rsid w:val="00344F6F"/>
    <w:rsid w:val="00345B59"/>
    <w:rsid w:val="0034676C"/>
    <w:rsid w:val="0034683E"/>
    <w:rsid w:val="003474A4"/>
    <w:rsid w:val="003503D5"/>
    <w:rsid w:val="00350A71"/>
    <w:rsid w:val="00350E1D"/>
    <w:rsid w:val="00350FFD"/>
    <w:rsid w:val="003511A7"/>
    <w:rsid w:val="00351632"/>
    <w:rsid w:val="00351DD8"/>
    <w:rsid w:val="00351F3E"/>
    <w:rsid w:val="00351F6D"/>
    <w:rsid w:val="00352B30"/>
    <w:rsid w:val="003553F0"/>
    <w:rsid w:val="00355FA4"/>
    <w:rsid w:val="003560C3"/>
    <w:rsid w:val="00356178"/>
    <w:rsid w:val="00356892"/>
    <w:rsid w:val="003568DA"/>
    <w:rsid w:val="0035721D"/>
    <w:rsid w:val="003601C2"/>
    <w:rsid w:val="0036027A"/>
    <w:rsid w:val="0036089B"/>
    <w:rsid w:val="003611D3"/>
    <w:rsid w:val="00361714"/>
    <w:rsid w:val="00361949"/>
    <w:rsid w:val="00361FAA"/>
    <w:rsid w:val="003625AF"/>
    <w:rsid w:val="003629A3"/>
    <w:rsid w:val="003634A0"/>
    <w:rsid w:val="003639CF"/>
    <w:rsid w:val="0036497B"/>
    <w:rsid w:val="003655AF"/>
    <w:rsid w:val="003655CF"/>
    <w:rsid w:val="00365CD0"/>
    <w:rsid w:val="003665A2"/>
    <w:rsid w:val="00366B09"/>
    <w:rsid w:val="00366C5E"/>
    <w:rsid w:val="003670FC"/>
    <w:rsid w:val="00367BD1"/>
    <w:rsid w:val="003707BB"/>
    <w:rsid w:val="003708DD"/>
    <w:rsid w:val="003714D3"/>
    <w:rsid w:val="003714F1"/>
    <w:rsid w:val="0037152C"/>
    <w:rsid w:val="00372F0B"/>
    <w:rsid w:val="00373009"/>
    <w:rsid w:val="00373753"/>
    <w:rsid w:val="00373BC6"/>
    <w:rsid w:val="003757E2"/>
    <w:rsid w:val="003758FB"/>
    <w:rsid w:val="003761BE"/>
    <w:rsid w:val="00376E84"/>
    <w:rsid w:val="00376FC3"/>
    <w:rsid w:val="00377422"/>
    <w:rsid w:val="0037755E"/>
    <w:rsid w:val="00377FC5"/>
    <w:rsid w:val="0038172F"/>
    <w:rsid w:val="003827E0"/>
    <w:rsid w:val="003832AB"/>
    <w:rsid w:val="003839FE"/>
    <w:rsid w:val="00384066"/>
    <w:rsid w:val="00384543"/>
    <w:rsid w:val="00384A3D"/>
    <w:rsid w:val="003853D0"/>
    <w:rsid w:val="00385408"/>
    <w:rsid w:val="00385510"/>
    <w:rsid w:val="0038554D"/>
    <w:rsid w:val="003855BF"/>
    <w:rsid w:val="00385C4C"/>
    <w:rsid w:val="003860E9"/>
    <w:rsid w:val="0038651C"/>
    <w:rsid w:val="003872F6"/>
    <w:rsid w:val="0038778E"/>
    <w:rsid w:val="0039112A"/>
    <w:rsid w:val="003919D8"/>
    <w:rsid w:val="003919EE"/>
    <w:rsid w:val="00391C10"/>
    <w:rsid w:val="00392335"/>
    <w:rsid w:val="0039255A"/>
    <w:rsid w:val="0039343F"/>
    <w:rsid w:val="0039366C"/>
    <w:rsid w:val="00393DEC"/>
    <w:rsid w:val="003943CE"/>
    <w:rsid w:val="00394690"/>
    <w:rsid w:val="00394778"/>
    <w:rsid w:val="00394C3B"/>
    <w:rsid w:val="00395669"/>
    <w:rsid w:val="003963D4"/>
    <w:rsid w:val="0039706F"/>
    <w:rsid w:val="00397E83"/>
    <w:rsid w:val="003A0DF9"/>
    <w:rsid w:val="003A1FEB"/>
    <w:rsid w:val="003A21EC"/>
    <w:rsid w:val="003A3028"/>
    <w:rsid w:val="003A30E1"/>
    <w:rsid w:val="003A3165"/>
    <w:rsid w:val="003A42C4"/>
    <w:rsid w:val="003A4DE1"/>
    <w:rsid w:val="003A5AB3"/>
    <w:rsid w:val="003A5E2E"/>
    <w:rsid w:val="003A5F5D"/>
    <w:rsid w:val="003A610B"/>
    <w:rsid w:val="003A620D"/>
    <w:rsid w:val="003A62FD"/>
    <w:rsid w:val="003A69AF"/>
    <w:rsid w:val="003A6C03"/>
    <w:rsid w:val="003A7B58"/>
    <w:rsid w:val="003A7F39"/>
    <w:rsid w:val="003B0523"/>
    <w:rsid w:val="003B0CA4"/>
    <w:rsid w:val="003B1B8E"/>
    <w:rsid w:val="003B37C5"/>
    <w:rsid w:val="003B3880"/>
    <w:rsid w:val="003B3F02"/>
    <w:rsid w:val="003B4218"/>
    <w:rsid w:val="003B55D4"/>
    <w:rsid w:val="003B6298"/>
    <w:rsid w:val="003B67A4"/>
    <w:rsid w:val="003B701C"/>
    <w:rsid w:val="003B76AD"/>
    <w:rsid w:val="003B7B21"/>
    <w:rsid w:val="003B7D7D"/>
    <w:rsid w:val="003B7E57"/>
    <w:rsid w:val="003C059E"/>
    <w:rsid w:val="003C1C00"/>
    <w:rsid w:val="003C1CD4"/>
    <w:rsid w:val="003C27BC"/>
    <w:rsid w:val="003C33A5"/>
    <w:rsid w:val="003C3C0E"/>
    <w:rsid w:val="003C4616"/>
    <w:rsid w:val="003C4656"/>
    <w:rsid w:val="003C4914"/>
    <w:rsid w:val="003C5074"/>
    <w:rsid w:val="003C52E3"/>
    <w:rsid w:val="003C590F"/>
    <w:rsid w:val="003C5BAF"/>
    <w:rsid w:val="003C628D"/>
    <w:rsid w:val="003C70FE"/>
    <w:rsid w:val="003C7C64"/>
    <w:rsid w:val="003D0151"/>
    <w:rsid w:val="003D0376"/>
    <w:rsid w:val="003D0406"/>
    <w:rsid w:val="003D0EA8"/>
    <w:rsid w:val="003D1171"/>
    <w:rsid w:val="003D1221"/>
    <w:rsid w:val="003D18EB"/>
    <w:rsid w:val="003D1D87"/>
    <w:rsid w:val="003D2A87"/>
    <w:rsid w:val="003D2C0A"/>
    <w:rsid w:val="003D2E80"/>
    <w:rsid w:val="003D3094"/>
    <w:rsid w:val="003D36E4"/>
    <w:rsid w:val="003D3DCF"/>
    <w:rsid w:val="003D3F3B"/>
    <w:rsid w:val="003D419B"/>
    <w:rsid w:val="003D50DE"/>
    <w:rsid w:val="003D5455"/>
    <w:rsid w:val="003D63EF"/>
    <w:rsid w:val="003D6842"/>
    <w:rsid w:val="003D7760"/>
    <w:rsid w:val="003E0C35"/>
    <w:rsid w:val="003E2433"/>
    <w:rsid w:val="003E2CBE"/>
    <w:rsid w:val="003E2D13"/>
    <w:rsid w:val="003E46C8"/>
    <w:rsid w:val="003E4954"/>
    <w:rsid w:val="003E4AC1"/>
    <w:rsid w:val="003E5FE9"/>
    <w:rsid w:val="003E69C0"/>
    <w:rsid w:val="003E6A17"/>
    <w:rsid w:val="003E73E3"/>
    <w:rsid w:val="003E785C"/>
    <w:rsid w:val="003E7FD8"/>
    <w:rsid w:val="003F0262"/>
    <w:rsid w:val="003F02EA"/>
    <w:rsid w:val="003F0890"/>
    <w:rsid w:val="003F0EF2"/>
    <w:rsid w:val="003F1C85"/>
    <w:rsid w:val="003F27CF"/>
    <w:rsid w:val="003F2965"/>
    <w:rsid w:val="003F29A3"/>
    <w:rsid w:val="003F2D5B"/>
    <w:rsid w:val="003F2DDF"/>
    <w:rsid w:val="003F2F6C"/>
    <w:rsid w:val="003F365D"/>
    <w:rsid w:val="003F38B3"/>
    <w:rsid w:val="003F3F5F"/>
    <w:rsid w:val="003F4629"/>
    <w:rsid w:val="003F515B"/>
    <w:rsid w:val="003F6707"/>
    <w:rsid w:val="003F6AA0"/>
    <w:rsid w:val="003F6F9C"/>
    <w:rsid w:val="003F7379"/>
    <w:rsid w:val="003F75B8"/>
    <w:rsid w:val="003F7736"/>
    <w:rsid w:val="00400034"/>
    <w:rsid w:val="004030D6"/>
    <w:rsid w:val="004035FF"/>
    <w:rsid w:val="00403777"/>
    <w:rsid w:val="0040390F"/>
    <w:rsid w:val="00403C9C"/>
    <w:rsid w:val="00403EC5"/>
    <w:rsid w:val="004047A5"/>
    <w:rsid w:val="00404AA0"/>
    <w:rsid w:val="00404B68"/>
    <w:rsid w:val="0040547F"/>
    <w:rsid w:val="004056FA"/>
    <w:rsid w:val="0041025F"/>
    <w:rsid w:val="004107CB"/>
    <w:rsid w:val="00410FC4"/>
    <w:rsid w:val="00411191"/>
    <w:rsid w:val="004116F2"/>
    <w:rsid w:val="004118FB"/>
    <w:rsid w:val="00412645"/>
    <w:rsid w:val="0041296E"/>
    <w:rsid w:val="00412D6F"/>
    <w:rsid w:val="004138A5"/>
    <w:rsid w:val="00414518"/>
    <w:rsid w:val="00414653"/>
    <w:rsid w:val="00414805"/>
    <w:rsid w:val="00414E0F"/>
    <w:rsid w:val="0041544A"/>
    <w:rsid w:val="00415AF4"/>
    <w:rsid w:val="004167C9"/>
    <w:rsid w:val="00416B23"/>
    <w:rsid w:val="0041735F"/>
    <w:rsid w:val="00417BF0"/>
    <w:rsid w:val="0042006D"/>
    <w:rsid w:val="0042106E"/>
    <w:rsid w:val="0042228F"/>
    <w:rsid w:val="0042317D"/>
    <w:rsid w:val="00423265"/>
    <w:rsid w:val="00423F5E"/>
    <w:rsid w:val="00424BE7"/>
    <w:rsid w:val="00425599"/>
    <w:rsid w:val="00426334"/>
    <w:rsid w:val="004264AA"/>
    <w:rsid w:val="0042675F"/>
    <w:rsid w:val="004269CB"/>
    <w:rsid w:val="004269FB"/>
    <w:rsid w:val="0042735F"/>
    <w:rsid w:val="00430C93"/>
    <w:rsid w:val="00431FF2"/>
    <w:rsid w:val="0043222B"/>
    <w:rsid w:val="0043227C"/>
    <w:rsid w:val="00433069"/>
    <w:rsid w:val="0043376E"/>
    <w:rsid w:val="004344A6"/>
    <w:rsid w:val="004344E7"/>
    <w:rsid w:val="00434CCF"/>
    <w:rsid w:val="00434F53"/>
    <w:rsid w:val="00435250"/>
    <w:rsid w:val="004364AB"/>
    <w:rsid w:val="00437EBE"/>
    <w:rsid w:val="00440437"/>
    <w:rsid w:val="0044043F"/>
    <w:rsid w:val="00440AFC"/>
    <w:rsid w:val="00441D5D"/>
    <w:rsid w:val="00442A0C"/>
    <w:rsid w:val="00442DC9"/>
    <w:rsid w:val="004442C8"/>
    <w:rsid w:val="0044437F"/>
    <w:rsid w:val="00444686"/>
    <w:rsid w:val="0044476C"/>
    <w:rsid w:val="00444D0B"/>
    <w:rsid w:val="00444D43"/>
    <w:rsid w:val="00445163"/>
    <w:rsid w:val="004459A6"/>
    <w:rsid w:val="0044678E"/>
    <w:rsid w:val="00446D52"/>
    <w:rsid w:val="0044724C"/>
    <w:rsid w:val="0044791C"/>
    <w:rsid w:val="00447B85"/>
    <w:rsid w:val="00447F30"/>
    <w:rsid w:val="00450AF6"/>
    <w:rsid w:val="00450E63"/>
    <w:rsid w:val="004515E2"/>
    <w:rsid w:val="00451EEF"/>
    <w:rsid w:val="0045206F"/>
    <w:rsid w:val="00452425"/>
    <w:rsid w:val="00452A8F"/>
    <w:rsid w:val="00452C7B"/>
    <w:rsid w:val="0045451E"/>
    <w:rsid w:val="0045487F"/>
    <w:rsid w:val="004549D0"/>
    <w:rsid w:val="00455854"/>
    <w:rsid w:val="00455D18"/>
    <w:rsid w:val="00455F80"/>
    <w:rsid w:val="00457031"/>
    <w:rsid w:val="004574A1"/>
    <w:rsid w:val="004574B5"/>
    <w:rsid w:val="004574CF"/>
    <w:rsid w:val="004576C5"/>
    <w:rsid w:val="004601AF"/>
    <w:rsid w:val="0046197F"/>
    <w:rsid w:val="00461AE7"/>
    <w:rsid w:val="00461E6E"/>
    <w:rsid w:val="004628B2"/>
    <w:rsid w:val="00462CBF"/>
    <w:rsid w:val="0046408E"/>
    <w:rsid w:val="00466CB2"/>
    <w:rsid w:val="004701B4"/>
    <w:rsid w:val="004702E5"/>
    <w:rsid w:val="0047041F"/>
    <w:rsid w:val="00470593"/>
    <w:rsid w:val="004707DA"/>
    <w:rsid w:val="00471989"/>
    <w:rsid w:val="00471D05"/>
    <w:rsid w:val="00471E59"/>
    <w:rsid w:val="00471E5F"/>
    <w:rsid w:val="00474522"/>
    <w:rsid w:val="00474656"/>
    <w:rsid w:val="00474D77"/>
    <w:rsid w:val="00475167"/>
    <w:rsid w:val="00475539"/>
    <w:rsid w:val="00476B58"/>
    <w:rsid w:val="00480674"/>
    <w:rsid w:val="004807F8"/>
    <w:rsid w:val="00480A80"/>
    <w:rsid w:val="0048135D"/>
    <w:rsid w:val="004813A1"/>
    <w:rsid w:val="004817D1"/>
    <w:rsid w:val="00481FE9"/>
    <w:rsid w:val="00482133"/>
    <w:rsid w:val="004835B8"/>
    <w:rsid w:val="00483DF9"/>
    <w:rsid w:val="0048444C"/>
    <w:rsid w:val="0048448D"/>
    <w:rsid w:val="004845AF"/>
    <w:rsid w:val="00485538"/>
    <w:rsid w:val="00485B86"/>
    <w:rsid w:val="0048684D"/>
    <w:rsid w:val="00486E55"/>
    <w:rsid w:val="00487280"/>
    <w:rsid w:val="0048754C"/>
    <w:rsid w:val="00487E22"/>
    <w:rsid w:val="00490161"/>
    <w:rsid w:val="00490F41"/>
    <w:rsid w:val="00491B02"/>
    <w:rsid w:val="00491E25"/>
    <w:rsid w:val="004922DC"/>
    <w:rsid w:val="00492B73"/>
    <w:rsid w:val="00493336"/>
    <w:rsid w:val="00493395"/>
    <w:rsid w:val="00493C93"/>
    <w:rsid w:val="004942B6"/>
    <w:rsid w:val="004958A8"/>
    <w:rsid w:val="00496270"/>
    <w:rsid w:val="00496422"/>
    <w:rsid w:val="004A0E4E"/>
    <w:rsid w:val="004A0E8A"/>
    <w:rsid w:val="004A0EB0"/>
    <w:rsid w:val="004A1681"/>
    <w:rsid w:val="004A1BE9"/>
    <w:rsid w:val="004A1EB0"/>
    <w:rsid w:val="004A316D"/>
    <w:rsid w:val="004A3D89"/>
    <w:rsid w:val="004A570F"/>
    <w:rsid w:val="004A59CD"/>
    <w:rsid w:val="004A5CBB"/>
    <w:rsid w:val="004A5CCD"/>
    <w:rsid w:val="004A6479"/>
    <w:rsid w:val="004A675F"/>
    <w:rsid w:val="004A785E"/>
    <w:rsid w:val="004A7CCC"/>
    <w:rsid w:val="004A7F00"/>
    <w:rsid w:val="004A7F6E"/>
    <w:rsid w:val="004B0849"/>
    <w:rsid w:val="004B11F6"/>
    <w:rsid w:val="004B1BC7"/>
    <w:rsid w:val="004B25BE"/>
    <w:rsid w:val="004B321B"/>
    <w:rsid w:val="004B3440"/>
    <w:rsid w:val="004B3C5D"/>
    <w:rsid w:val="004B3CF0"/>
    <w:rsid w:val="004B40B9"/>
    <w:rsid w:val="004B43C6"/>
    <w:rsid w:val="004B478A"/>
    <w:rsid w:val="004B481D"/>
    <w:rsid w:val="004B4BC6"/>
    <w:rsid w:val="004B52DD"/>
    <w:rsid w:val="004B740E"/>
    <w:rsid w:val="004B768F"/>
    <w:rsid w:val="004B7B71"/>
    <w:rsid w:val="004C1735"/>
    <w:rsid w:val="004C2235"/>
    <w:rsid w:val="004C27D8"/>
    <w:rsid w:val="004C2B9B"/>
    <w:rsid w:val="004C2F9D"/>
    <w:rsid w:val="004C2FB1"/>
    <w:rsid w:val="004C4201"/>
    <w:rsid w:val="004C4F6A"/>
    <w:rsid w:val="004C514B"/>
    <w:rsid w:val="004C58A3"/>
    <w:rsid w:val="004C58FE"/>
    <w:rsid w:val="004C5DE9"/>
    <w:rsid w:val="004C65C2"/>
    <w:rsid w:val="004C7260"/>
    <w:rsid w:val="004C775C"/>
    <w:rsid w:val="004C7919"/>
    <w:rsid w:val="004C7F75"/>
    <w:rsid w:val="004D1999"/>
    <w:rsid w:val="004D1C42"/>
    <w:rsid w:val="004D1F9F"/>
    <w:rsid w:val="004D2250"/>
    <w:rsid w:val="004D237F"/>
    <w:rsid w:val="004D2A4E"/>
    <w:rsid w:val="004D3AB6"/>
    <w:rsid w:val="004D45EF"/>
    <w:rsid w:val="004D6223"/>
    <w:rsid w:val="004D6262"/>
    <w:rsid w:val="004D6AB3"/>
    <w:rsid w:val="004D7E93"/>
    <w:rsid w:val="004E0532"/>
    <w:rsid w:val="004E0D76"/>
    <w:rsid w:val="004E1244"/>
    <w:rsid w:val="004E2350"/>
    <w:rsid w:val="004E26D8"/>
    <w:rsid w:val="004E2B18"/>
    <w:rsid w:val="004E2D01"/>
    <w:rsid w:val="004E3415"/>
    <w:rsid w:val="004E3AF4"/>
    <w:rsid w:val="004E4BBB"/>
    <w:rsid w:val="004E55D2"/>
    <w:rsid w:val="004E5A07"/>
    <w:rsid w:val="004E5C70"/>
    <w:rsid w:val="004E5E24"/>
    <w:rsid w:val="004E67A5"/>
    <w:rsid w:val="004E6C84"/>
    <w:rsid w:val="004E7118"/>
    <w:rsid w:val="004E73CA"/>
    <w:rsid w:val="004E7776"/>
    <w:rsid w:val="004F0286"/>
    <w:rsid w:val="004F1652"/>
    <w:rsid w:val="004F215F"/>
    <w:rsid w:val="004F24E0"/>
    <w:rsid w:val="004F2A61"/>
    <w:rsid w:val="004F2E0E"/>
    <w:rsid w:val="004F2F54"/>
    <w:rsid w:val="004F33CF"/>
    <w:rsid w:val="004F3478"/>
    <w:rsid w:val="004F3671"/>
    <w:rsid w:val="004F3A3A"/>
    <w:rsid w:val="004F4D7B"/>
    <w:rsid w:val="004F50C8"/>
    <w:rsid w:val="004F5D1C"/>
    <w:rsid w:val="004F5F39"/>
    <w:rsid w:val="004F6E63"/>
    <w:rsid w:val="004F719F"/>
    <w:rsid w:val="004F7543"/>
    <w:rsid w:val="004F7862"/>
    <w:rsid w:val="00500557"/>
    <w:rsid w:val="0050090D"/>
    <w:rsid w:val="0050105D"/>
    <w:rsid w:val="00501D97"/>
    <w:rsid w:val="00501DA5"/>
    <w:rsid w:val="00502092"/>
    <w:rsid w:val="005023BC"/>
    <w:rsid w:val="00502420"/>
    <w:rsid w:val="00503D0E"/>
    <w:rsid w:val="00503D9B"/>
    <w:rsid w:val="00503EAC"/>
    <w:rsid w:val="00504A6C"/>
    <w:rsid w:val="00504B72"/>
    <w:rsid w:val="00505476"/>
    <w:rsid w:val="00505B0F"/>
    <w:rsid w:val="00505D86"/>
    <w:rsid w:val="00505DDA"/>
    <w:rsid w:val="00506176"/>
    <w:rsid w:val="0050679E"/>
    <w:rsid w:val="00506ED8"/>
    <w:rsid w:val="005107F4"/>
    <w:rsid w:val="00510805"/>
    <w:rsid w:val="00510956"/>
    <w:rsid w:val="00510A57"/>
    <w:rsid w:val="005111D2"/>
    <w:rsid w:val="00511573"/>
    <w:rsid w:val="00511B43"/>
    <w:rsid w:val="00511CE6"/>
    <w:rsid w:val="0051291F"/>
    <w:rsid w:val="005131DF"/>
    <w:rsid w:val="005132D4"/>
    <w:rsid w:val="00513BD5"/>
    <w:rsid w:val="00513E67"/>
    <w:rsid w:val="0051437F"/>
    <w:rsid w:val="00514F7C"/>
    <w:rsid w:val="00516399"/>
    <w:rsid w:val="005168D7"/>
    <w:rsid w:val="00516E08"/>
    <w:rsid w:val="00516E13"/>
    <w:rsid w:val="00516FB7"/>
    <w:rsid w:val="00517996"/>
    <w:rsid w:val="00517B4E"/>
    <w:rsid w:val="00517B79"/>
    <w:rsid w:val="00520217"/>
    <w:rsid w:val="0052103B"/>
    <w:rsid w:val="0052232C"/>
    <w:rsid w:val="0052251A"/>
    <w:rsid w:val="00522594"/>
    <w:rsid w:val="00522744"/>
    <w:rsid w:val="00522958"/>
    <w:rsid w:val="00522A6C"/>
    <w:rsid w:val="005241D8"/>
    <w:rsid w:val="0052421A"/>
    <w:rsid w:val="00524FAE"/>
    <w:rsid w:val="00524FF5"/>
    <w:rsid w:val="00525802"/>
    <w:rsid w:val="0052655D"/>
    <w:rsid w:val="00527023"/>
    <w:rsid w:val="005279A1"/>
    <w:rsid w:val="00530BFA"/>
    <w:rsid w:val="00531EE9"/>
    <w:rsid w:val="00532001"/>
    <w:rsid w:val="0053275D"/>
    <w:rsid w:val="00532775"/>
    <w:rsid w:val="005329A1"/>
    <w:rsid w:val="00533025"/>
    <w:rsid w:val="00534055"/>
    <w:rsid w:val="00534445"/>
    <w:rsid w:val="005349F1"/>
    <w:rsid w:val="005350E0"/>
    <w:rsid w:val="005365E6"/>
    <w:rsid w:val="00537539"/>
    <w:rsid w:val="0053793B"/>
    <w:rsid w:val="0054019B"/>
    <w:rsid w:val="0054070A"/>
    <w:rsid w:val="00541054"/>
    <w:rsid w:val="005413F6"/>
    <w:rsid w:val="005416C7"/>
    <w:rsid w:val="00541806"/>
    <w:rsid w:val="00543413"/>
    <w:rsid w:val="005436F9"/>
    <w:rsid w:val="00543C4C"/>
    <w:rsid w:val="00544CE7"/>
    <w:rsid w:val="00544D90"/>
    <w:rsid w:val="00544FD9"/>
    <w:rsid w:val="00546048"/>
    <w:rsid w:val="005469F7"/>
    <w:rsid w:val="005472C6"/>
    <w:rsid w:val="005479F6"/>
    <w:rsid w:val="0055042B"/>
    <w:rsid w:val="005505E7"/>
    <w:rsid w:val="00550996"/>
    <w:rsid w:val="00551793"/>
    <w:rsid w:val="00551DE7"/>
    <w:rsid w:val="005524C4"/>
    <w:rsid w:val="0055317A"/>
    <w:rsid w:val="0055388B"/>
    <w:rsid w:val="00553F7B"/>
    <w:rsid w:val="005541AC"/>
    <w:rsid w:val="00554316"/>
    <w:rsid w:val="00554650"/>
    <w:rsid w:val="00554E72"/>
    <w:rsid w:val="005555B6"/>
    <w:rsid w:val="005556C7"/>
    <w:rsid w:val="0055587F"/>
    <w:rsid w:val="005566E3"/>
    <w:rsid w:val="00556EA9"/>
    <w:rsid w:val="00557527"/>
    <w:rsid w:val="005609A6"/>
    <w:rsid w:val="00561303"/>
    <w:rsid w:val="00561770"/>
    <w:rsid w:val="00561DDA"/>
    <w:rsid w:val="00562372"/>
    <w:rsid w:val="00562620"/>
    <w:rsid w:val="005633A5"/>
    <w:rsid w:val="0056341E"/>
    <w:rsid w:val="00563C17"/>
    <w:rsid w:val="00565176"/>
    <w:rsid w:val="005652C0"/>
    <w:rsid w:val="00565808"/>
    <w:rsid w:val="00565DEB"/>
    <w:rsid w:val="00566094"/>
    <w:rsid w:val="00566463"/>
    <w:rsid w:val="00566F68"/>
    <w:rsid w:val="0056784B"/>
    <w:rsid w:val="00567973"/>
    <w:rsid w:val="00567F32"/>
    <w:rsid w:val="005707EE"/>
    <w:rsid w:val="00571094"/>
    <w:rsid w:val="00571D48"/>
    <w:rsid w:val="0057209F"/>
    <w:rsid w:val="005723B6"/>
    <w:rsid w:val="005724F0"/>
    <w:rsid w:val="0057254F"/>
    <w:rsid w:val="0057269D"/>
    <w:rsid w:val="00573438"/>
    <w:rsid w:val="00573610"/>
    <w:rsid w:val="0057361C"/>
    <w:rsid w:val="00574496"/>
    <w:rsid w:val="00574A16"/>
    <w:rsid w:val="00575AA0"/>
    <w:rsid w:val="005763F4"/>
    <w:rsid w:val="00576717"/>
    <w:rsid w:val="00576983"/>
    <w:rsid w:val="00576C7C"/>
    <w:rsid w:val="005770AF"/>
    <w:rsid w:val="005770B9"/>
    <w:rsid w:val="00577612"/>
    <w:rsid w:val="00577D8A"/>
    <w:rsid w:val="005807B6"/>
    <w:rsid w:val="00580E09"/>
    <w:rsid w:val="0058188C"/>
    <w:rsid w:val="00581C93"/>
    <w:rsid w:val="005821D4"/>
    <w:rsid w:val="00583192"/>
    <w:rsid w:val="005837A9"/>
    <w:rsid w:val="005839F0"/>
    <w:rsid w:val="005844B3"/>
    <w:rsid w:val="005846CC"/>
    <w:rsid w:val="0058525B"/>
    <w:rsid w:val="00585D11"/>
    <w:rsid w:val="00585D79"/>
    <w:rsid w:val="005862C0"/>
    <w:rsid w:val="0058651E"/>
    <w:rsid w:val="005867B5"/>
    <w:rsid w:val="00586BA8"/>
    <w:rsid w:val="00587807"/>
    <w:rsid w:val="0059091A"/>
    <w:rsid w:val="00590C40"/>
    <w:rsid w:val="00591201"/>
    <w:rsid w:val="00591436"/>
    <w:rsid w:val="00591F9C"/>
    <w:rsid w:val="00592003"/>
    <w:rsid w:val="0059230A"/>
    <w:rsid w:val="00592546"/>
    <w:rsid w:val="0059361D"/>
    <w:rsid w:val="00593E03"/>
    <w:rsid w:val="0059727C"/>
    <w:rsid w:val="0059738D"/>
    <w:rsid w:val="0059757D"/>
    <w:rsid w:val="0059783F"/>
    <w:rsid w:val="005A028B"/>
    <w:rsid w:val="005A03D3"/>
    <w:rsid w:val="005A0E05"/>
    <w:rsid w:val="005A1749"/>
    <w:rsid w:val="005A21F7"/>
    <w:rsid w:val="005A27BA"/>
    <w:rsid w:val="005A3614"/>
    <w:rsid w:val="005A3C5E"/>
    <w:rsid w:val="005A442B"/>
    <w:rsid w:val="005A458B"/>
    <w:rsid w:val="005A4A86"/>
    <w:rsid w:val="005A4BA7"/>
    <w:rsid w:val="005A5197"/>
    <w:rsid w:val="005A5986"/>
    <w:rsid w:val="005A6834"/>
    <w:rsid w:val="005A6D01"/>
    <w:rsid w:val="005A7AF4"/>
    <w:rsid w:val="005B0956"/>
    <w:rsid w:val="005B0991"/>
    <w:rsid w:val="005B1586"/>
    <w:rsid w:val="005B1A63"/>
    <w:rsid w:val="005B22B9"/>
    <w:rsid w:val="005B2307"/>
    <w:rsid w:val="005B29F7"/>
    <w:rsid w:val="005B3FFA"/>
    <w:rsid w:val="005B5A56"/>
    <w:rsid w:val="005B5BD3"/>
    <w:rsid w:val="005B790D"/>
    <w:rsid w:val="005C0109"/>
    <w:rsid w:val="005C19B9"/>
    <w:rsid w:val="005C2344"/>
    <w:rsid w:val="005C347D"/>
    <w:rsid w:val="005C387B"/>
    <w:rsid w:val="005C3A18"/>
    <w:rsid w:val="005C58E5"/>
    <w:rsid w:val="005C5A71"/>
    <w:rsid w:val="005C61E0"/>
    <w:rsid w:val="005C79BF"/>
    <w:rsid w:val="005D1615"/>
    <w:rsid w:val="005D18D3"/>
    <w:rsid w:val="005D2079"/>
    <w:rsid w:val="005D20E0"/>
    <w:rsid w:val="005D24F8"/>
    <w:rsid w:val="005D3D49"/>
    <w:rsid w:val="005D3D8C"/>
    <w:rsid w:val="005D3DEE"/>
    <w:rsid w:val="005D43FF"/>
    <w:rsid w:val="005D4CE8"/>
    <w:rsid w:val="005D5C2B"/>
    <w:rsid w:val="005D64F1"/>
    <w:rsid w:val="005D714D"/>
    <w:rsid w:val="005E0768"/>
    <w:rsid w:val="005E1EC5"/>
    <w:rsid w:val="005E28F6"/>
    <w:rsid w:val="005E29BF"/>
    <w:rsid w:val="005E2C39"/>
    <w:rsid w:val="005E2D9D"/>
    <w:rsid w:val="005E3E42"/>
    <w:rsid w:val="005E4110"/>
    <w:rsid w:val="005E47E6"/>
    <w:rsid w:val="005E4862"/>
    <w:rsid w:val="005E4903"/>
    <w:rsid w:val="005E51A8"/>
    <w:rsid w:val="005E5263"/>
    <w:rsid w:val="005E5ADF"/>
    <w:rsid w:val="005E5C7C"/>
    <w:rsid w:val="005E60BF"/>
    <w:rsid w:val="005E6886"/>
    <w:rsid w:val="005E6B76"/>
    <w:rsid w:val="005E76FE"/>
    <w:rsid w:val="005E7F65"/>
    <w:rsid w:val="005F0437"/>
    <w:rsid w:val="005F055E"/>
    <w:rsid w:val="005F0AC9"/>
    <w:rsid w:val="005F110F"/>
    <w:rsid w:val="005F2688"/>
    <w:rsid w:val="005F28D1"/>
    <w:rsid w:val="005F32AE"/>
    <w:rsid w:val="005F361D"/>
    <w:rsid w:val="005F3B03"/>
    <w:rsid w:val="005F4B8C"/>
    <w:rsid w:val="005F534D"/>
    <w:rsid w:val="005F63F7"/>
    <w:rsid w:val="005F7775"/>
    <w:rsid w:val="005F7BB8"/>
    <w:rsid w:val="00601051"/>
    <w:rsid w:val="00601B1C"/>
    <w:rsid w:val="00602D43"/>
    <w:rsid w:val="00603B9E"/>
    <w:rsid w:val="006048EA"/>
    <w:rsid w:val="00605005"/>
    <w:rsid w:val="0060585B"/>
    <w:rsid w:val="006064EC"/>
    <w:rsid w:val="006075A3"/>
    <w:rsid w:val="00607AE5"/>
    <w:rsid w:val="006123D9"/>
    <w:rsid w:val="00612C0C"/>
    <w:rsid w:val="00612E46"/>
    <w:rsid w:val="00613E7A"/>
    <w:rsid w:val="00614827"/>
    <w:rsid w:val="00614CC6"/>
    <w:rsid w:val="00615096"/>
    <w:rsid w:val="00615683"/>
    <w:rsid w:val="00615883"/>
    <w:rsid w:val="00615AD6"/>
    <w:rsid w:val="0061658A"/>
    <w:rsid w:val="00617EE0"/>
    <w:rsid w:val="006202E2"/>
    <w:rsid w:val="006208FD"/>
    <w:rsid w:val="0062163C"/>
    <w:rsid w:val="0062210E"/>
    <w:rsid w:val="006222AA"/>
    <w:rsid w:val="00622936"/>
    <w:rsid w:val="00623838"/>
    <w:rsid w:val="00623E58"/>
    <w:rsid w:val="006242D0"/>
    <w:rsid w:val="00625E90"/>
    <w:rsid w:val="00626CFF"/>
    <w:rsid w:val="00627AC3"/>
    <w:rsid w:val="006314A3"/>
    <w:rsid w:val="006336E8"/>
    <w:rsid w:val="00633F95"/>
    <w:rsid w:val="006342BA"/>
    <w:rsid w:val="0063571C"/>
    <w:rsid w:val="00635993"/>
    <w:rsid w:val="00637027"/>
    <w:rsid w:val="00637276"/>
    <w:rsid w:val="00637859"/>
    <w:rsid w:val="00637912"/>
    <w:rsid w:val="00640297"/>
    <w:rsid w:val="0064203B"/>
    <w:rsid w:val="00642855"/>
    <w:rsid w:val="00642B19"/>
    <w:rsid w:val="006434F7"/>
    <w:rsid w:val="0064390D"/>
    <w:rsid w:val="0064498B"/>
    <w:rsid w:val="006459CD"/>
    <w:rsid w:val="00645BB3"/>
    <w:rsid w:val="00645F4B"/>
    <w:rsid w:val="00646022"/>
    <w:rsid w:val="006467F1"/>
    <w:rsid w:val="00646B76"/>
    <w:rsid w:val="0064798A"/>
    <w:rsid w:val="00647F64"/>
    <w:rsid w:val="006506CF"/>
    <w:rsid w:val="006512E3"/>
    <w:rsid w:val="006514C3"/>
    <w:rsid w:val="006515C6"/>
    <w:rsid w:val="0065181F"/>
    <w:rsid w:val="00651F94"/>
    <w:rsid w:val="006521D7"/>
    <w:rsid w:val="00653732"/>
    <w:rsid w:val="00653D94"/>
    <w:rsid w:val="00654FD2"/>
    <w:rsid w:val="006558FA"/>
    <w:rsid w:val="006559A0"/>
    <w:rsid w:val="0065724F"/>
    <w:rsid w:val="0065735B"/>
    <w:rsid w:val="00657EA6"/>
    <w:rsid w:val="00660620"/>
    <w:rsid w:val="00660656"/>
    <w:rsid w:val="00660712"/>
    <w:rsid w:val="0066076C"/>
    <w:rsid w:val="00661607"/>
    <w:rsid w:val="006629F5"/>
    <w:rsid w:val="006634CD"/>
    <w:rsid w:val="00664AA5"/>
    <w:rsid w:val="006655D5"/>
    <w:rsid w:val="006658A4"/>
    <w:rsid w:val="00665C2D"/>
    <w:rsid w:val="00665C75"/>
    <w:rsid w:val="0066679E"/>
    <w:rsid w:val="00667724"/>
    <w:rsid w:val="006705AF"/>
    <w:rsid w:val="00670AAB"/>
    <w:rsid w:val="00670F1D"/>
    <w:rsid w:val="00671652"/>
    <w:rsid w:val="00672397"/>
    <w:rsid w:val="00672BA8"/>
    <w:rsid w:val="00673A39"/>
    <w:rsid w:val="00674AF5"/>
    <w:rsid w:val="00675F7B"/>
    <w:rsid w:val="006763A1"/>
    <w:rsid w:val="006764AE"/>
    <w:rsid w:val="00676EC6"/>
    <w:rsid w:val="006816E0"/>
    <w:rsid w:val="006818D1"/>
    <w:rsid w:val="006821C7"/>
    <w:rsid w:val="0068221B"/>
    <w:rsid w:val="006823CE"/>
    <w:rsid w:val="00682FB7"/>
    <w:rsid w:val="00683372"/>
    <w:rsid w:val="006844C1"/>
    <w:rsid w:val="00684AD0"/>
    <w:rsid w:val="00684C11"/>
    <w:rsid w:val="00684D0D"/>
    <w:rsid w:val="0068521F"/>
    <w:rsid w:val="00685530"/>
    <w:rsid w:val="00685940"/>
    <w:rsid w:val="00685B8B"/>
    <w:rsid w:val="00685FAD"/>
    <w:rsid w:val="00686E18"/>
    <w:rsid w:val="00686F2F"/>
    <w:rsid w:val="006872D0"/>
    <w:rsid w:val="00687D4C"/>
    <w:rsid w:val="00690FE1"/>
    <w:rsid w:val="006917A1"/>
    <w:rsid w:val="0069240A"/>
    <w:rsid w:val="006935D2"/>
    <w:rsid w:val="00693847"/>
    <w:rsid w:val="00694635"/>
    <w:rsid w:val="00694B4A"/>
    <w:rsid w:val="006950E4"/>
    <w:rsid w:val="0069580B"/>
    <w:rsid w:val="00695E47"/>
    <w:rsid w:val="00697B80"/>
    <w:rsid w:val="006A09C9"/>
    <w:rsid w:val="006A0AE2"/>
    <w:rsid w:val="006A0E3C"/>
    <w:rsid w:val="006A0E4C"/>
    <w:rsid w:val="006A11BF"/>
    <w:rsid w:val="006A15AA"/>
    <w:rsid w:val="006A3396"/>
    <w:rsid w:val="006A3EF9"/>
    <w:rsid w:val="006A43DD"/>
    <w:rsid w:val="006A575F"/>
    <w:rsid w:val="006A6440"/>
    <w:rsid w:val="006A6515"/>
    <w:rsid w:val="006A662B"/>
    <w:rsid w:val="006A733A"/>
    <w:rsid w:val="006A7521"/>
    <w:rsid w:val="006B0C69"/>
    <w:rsid w:val="006B1285"/>
    <w:rsid w:val="006B1DB7"/>
    <w:rsid w:val="006B2BAE"/>
    <w:rsid w:val="006B2FC0"/>
    <w:rsid w:val="006B30DE"/>
    <w:rsid w:val="006B3463"/>
    <w:rsid w:val="006B39E1"/>
    <w:rsid w:val="006B454F"/>
    <w:rsid w:val="006B59A4"/>
    <w:rsid w:val="006B5E9C"/>
    <w:rsid w:val="006B6C1D"/>
    <w:rsid w:val="006B6C20"/>
    <w:rsid w:val="006B6F3B"/>
    <w:rsid w:val="006B7311"/>
    <w:rsid w:val="006B76C6"/>
    <w:rsid w:val="006B798A"/>
    <w:rsid w:val="006B7B34"/>
    <w:rsid w:val="006B7D2D"/>
    <w:rsid w:val="006B7FAE"/>
    <w:rsid w:val="006C01E2"/>
    <w:rsid w:val="006C0709"/>
    <w:rsid w:val="006C07D8"/>
    <w:rsid w:val="006C109B"/>
    <w:rsid w:val="006C155B"/>
    <w:rsid w:val="006C2E9E"/>
    <w:rsid w:val="006C3625"/>
    <w:rsid w:val="006C37C5"/>
    <w:rsid w:val="006C3A73"/>
    <w:rsid w:val="006C4413"/>
    <w:rsid w:val="006C48E9"/>
    <w:rsid w:val="006C5ED2"/>
    <w:rsid w:val="006C6BDD"/>
    <w:rsid w:val="006C720D"/>
    <w:rsid w:val="006C7412"/>
    <w:rsid w:val="006C78D7"/>
    <w:rsid w:val="006D016F"/>
    <w:rsid w:val="006D04B2"/>
    <w:rsid w:val="006D1A47"/>
    <w:rsid w:val="006D2C2E"/>
    <w:rsid w:val="006D3512"/>
    <w:rsid w:val="006D390A"/>
    <w:rsid w:val="006D4D84"/>
    <w:rsid w:val="006D5107"/>
    <w:rsid w:val="006D58D6"/>
    <w:rsid w:val="006D5A69"/>
    <w:rsid w:val="006D6215"/>
    <w:rsid w:val="006D65EC"/>
    <w:rsid w:val="006D68DF"/>
    <w:rsid w:val="006D733E"/>
    <w:rsid w:val="006D74DC"/>
    <w:rsid w:val="006D7E91"/>
    <w:rsid w:val="006E0151"/>
    <w:rsid w:val="006E048C"/>
    <w:rsid w:val="006E04DA"/>
    <w:rsid w:val="006E0A3C"/>
    <w:rsid w:val="006E0D08"/>
    <w:rsid w:val="006E0EC3"/>
    <w:rsid w:val="006E1533"/>
    <w:rsid w:val="006E159E"/>
    <w:rsid w:val="006E21A5"/>
    <w:rsid w:val="006E28D4"/>
    <w:rsid w:val="006E2FC4"/>
    <w:rsid w:val="006E37B7"/>
    <w:rsid w:val="006E3978"/>
    <w:rsid w:val="006E3984"/>
    <w:rsid w:val="006E3A4D"/>
    <w:rsid w:val="006E464E"/>
    <w:rsid w:val="006E5F2F"/>
    <w:rsid w:val="006F14F4"/>
    <w:rsid w:val="006F1647"/>
    <w:rsid w:val="006F2496"/>
    <w:rsid w:val="006F297F"/>
    <w:rsid w:val="006F2EDD"/>
    <w:rsid w:val="006F3262"/>
    <w:rsid w:val="006F36F0"/>
    <w:rsid w:val="006F392C"/>
    <w:rsid w:val="006F54BB"/>
    <w:rsid w:val="006F704A"/>
    <w:rsid w:val="006F7259"/>
    <w:rsid w:val="006F7AC5"/>
    <w:rsid w:val="007006B9"/>
    <w:rsid w:val="00700823"/>
    <w:rsid w:val="00700AA8"/>
    <w:rsid w:val="007012AA"/>
    <w:rsid w:val="0070159A"/>
    <w:rsid w:val="00702CAF"/>
    <w:rsid w:val="00702E87"/>
    <w:rsid w:val="00703D64"/>
    <w:rsid w:val="007048FE"/>
    <w:rsid w:val="00705355"/>
    <w:rsid w:val="00705B21"/>
    <w:rsid w:val="0070647B"/>
    <w:rsid w:val="00706515"/>
    <w:rsid w:val="0070663B"/>
    <w:rsid w:val="007071E7"/>
    <w:rsid w:val="007075CF"/>
    <w:rsid w:val="007079FF"/>
    <w:rsid w:val="00707F16"/>
    <w:rsid w:val="00707F6E"/>
    <w:rsid w:val="007102EF"/>
    <w:rsid w:val="00710687"/>
    <w:rsid w:val="007108C6"/>
    <w:rsid w:val="0071099B"/>
    <w:rsid w:val="00710F8E"/>
    <w:rsid w:val="00711758"/>
    <w:rsid w:val="00711D04"/>
    <w:rsid w:val="0071236A"/>
    <w:rsid w:val="007124C1"/>
    <w:rsid w:val="0071293B"/>
    <w:rsid w:val="007132A6"/>
    <w:rsid w:val="00713B38"/>
    <w:rsid w:val="00715782"/>
    <w:rsid w:val="00716A41"/>
    <w:rsid w:val="00716A47"/>
    <w:rsid w:val="00716BAB"/>
    <w:rsid w:val="00716ECA"/>
    <w:rsid w:val="00716F79"/>
    <w:rsid w:val="0071741E"/>
    <w:rsid w:val="007179FF"/>
    <w:rsid w:val="00717ADF"/>
    <w:rsid w:val="00717E02"/>
    <w:rsid w:val="00717E41"/>
    <w:rsid w:val="0072064D"/>
    <w:rsid w:val="00720BC7"/>
    <w:rsid w:val="00720FAA"/>
    <w:rsid w:val="007215D6"/>
    <w:rsid w:val="00722A6E"/>
    <w:rsid w:val="00722A94"/>
    <w:rsid w:val="00724765"/>
    <w:rsid w:val="00724A5E"/>
    <w:rsid w:val="007254AE"/>
    <w:rsid w:val="007254D0"/>
    <w:rsid w:val="00725986"/>
    <w:rsid w:val="007259AD"/>
    <w:rsid w:val="00725B45"/>
    <w:rsid w:val="007262F1"/>
    <w:rsid w:val="007268E6"/>
    <w:rsid w:val="00726C1B"/>
    <w:rsid w:val="00726F81"/>
    <w:rsid w:val="00727653"/>
    <w:rsid w:val="007277F4"/>
    <w:rsid w:val="00727C90"/>
    <w:rsid w:val="00727DF9"/>
    <w:rsid w:val="007304E9"/>
    <w:rsid w:val="00730F76"/>
    <w:rsid w:val="00731304"/>
    <w:rsid w:val="00732095"/>
    <w:rsid w:val="007321B0"/>
    <w:rsid w:val="00732B7A"/>
    <w:rsid w:val="00732FFF"/>
    <w:rsid w:val="0073386D"/>
    <w:rsid w:val="007339C7"/>
    <w:rsid w:val="00733E66"/>
    <w:rsid w:val="00734138"/>
    <w:rsid w:val="007349FE"/>
    <w:rsid w:val="00734A9F"/>
    <w:rsid w:val="007354E5"/>
    <w:rsid w:val="007362AB"/>
    <w:rsid w:val="007365E4"/>
    <w:rsid w:val="00737288"/>
    <w:rsid w:val="0074036D"/>
    <w:rsid w:val="00741E82"/>
    <w:rsid w:val="00742D72"/>
    <w:rsid w:val="0074300F"/>
    <w:rsid w:val="00743E3B"/>
    <w:rsid w:val="00743FBD"/>
    <w:rsid w:val="00744C52"/>
    <w:rsid w:val="00744EE2"/>
    <w:rsid w:val="00745329"/>
    <w:rsid w:val="00745341"/>
    <w:rsid w:val="0074646B"/>
    <w:rsid w:val="00746E8B"/>
    <w:rsid w:val="00747D65"/>
    <w:rsid w:val="0075062C"/>
    <w:rsid w:val="00751265"/>
    <w:rsid w:val="00751969"/>
    <w:rsid w:val="00753232"/>
    <w:rsid w:val="00753B5A"/>
    <w:rsid w:val="00754E64"/>
    <w:rsid w:val="0075607F"/>
    <w:rsid w:val="00756DAF"/>
    <w:rsid w:val="00756E27"/>
    <w:rsid w:val="00756F82"/>
    <w:rsid w:val="0075781A"/>
    <w:rsid w:val="00757AD3"/>
    <w:rsid w:val="00757F05"/>
    <w:rsid w:val="00760360"/>
    <w:rsid w:val="00760BA3"/>
    <w:rsid w:val="00760EB5"/>
    <w:rsid w:val="007625DD"/>
    <w:rsid w:val="00762821"/>
    <w:rsid w:val="0076384E"/>
    <w:rsid w:val="00763932"/>
    <w:rsid w:val="00766B19"/>
    <w:rsid w:val="00767397"/>
    <w:rsid w:val="00767953"/>
    <w:rsid w:val="00770E1D"/>
    <w:rsid w:val="007710AB"/>
    <w:rsid w:val="0077167D"/>
    <w:rsid w:val="0077200D"/>
    <w:rsid w:val="0077258D"/>
    <w:rsid w:val="00773CC2"/>
    <w:rsid w:val="00774258"/>
    <w:rsid w:val="0077460F"/>
    <w:rsid w:val="00774AC1"/>
    <w:rsid w:val="0077596F"/>
    <w:rsid w:val="00776861"/>
    <w:rsid w:val="00776B43"/>
    <w:rsid w:val="00776BD0"/>
    <w:rsid w:val="00780518"/>
    <w:rsid w:val="007807AD"/>
    <w:rsid w:val="00780C76"/>
    <w:rsid w:val="00781242"/>
    <w:rsid w:val="007819A6"/>
    <w:rsid w:val="007820B5"/>
    <w:rsid w:val="00782698"/>
    <w:rsid w:val="00782840"/>
    <w:rsid w:val="00782CB7"/>
    <w:rsid w:val="0078378E"/>
    <w:rsid w:val="00784750"/>
    <w:rsid w:val="0078491B"/>
    <w:rsid w:val="007856E0"/>
    <w:rsid w:val="00785F25"/>
    <w:rsid w:val="007863CD"/>
    <w:rsid w:val="00787584"/>
    <w:rsid w:val="007901BA"/>
    <w:rsid w:val="007906EF"/>
    <w:rsid w:val="00790966"/>
    <w:rsid w:val="00792A24"/>
    <w:rsid w:val="00793609"/>
    <w:rsid w:val="00793D7D"/>
    <w:rsid w:val="00793EEE"/>
    <w:rsid w:val="00794ED6"/>
    <w:rsid w:val="0079613B"/>
    <w:rsid w:val="00796519"/>
    <w:rsid w:val="00797006"/>
    <w:rsid w:val="00797341"/>
    <w:rsid w:val="00797656"/>
    <w:rsid w:val="00797658"/>
    <w:rsid w:val="00797EC2"/>
    <w:rsid w:val="00797FB6"/>
    <w:rsid w:val="007A063C"/>
    <w:rsid w:val="007A11FB"/>
    <w:rsid w:val="007A1932"/>
    <w:rsid w:val="007A1B97"/>
    <w:rsid w:val="007A2DE6"/>
    <w:rsid w:val="007A35EA"/>
    <w:rsid w:val="007A367A"/>
    <w:rsid w:val="007A3FE2"/>
    <w:rsid w:val="007A4578"/>
    <w:rsid w:val="007A4969"/>
    <w:rsid w:val="007A4B93"/>
    <w:rsid w:val="007A5CB5"/>
    <w:rsid w:val="007A5E50"/>
    <w:rsid w:val="007A69FB"/>
    <w:rsid w:val="007A7337"/>
    <w:rsid w:val="007B007B"/>
    <w:rsid w:val="007B0150"/>
    <w:rsid w:val="007B01C2"/>
    <w:rsid w:val="007B109C"/>
    <w:rsid w:val="007B1EAF"/>
    <w:rsid w:val="007B2254"/>
    <w:rsid w:val="007B2356"/>
    <w:rsid w:val="007B241B"/>
    <w:rsid w:val="007B30E4"/>
    <w:rsid w:val="007B433C"/>
    <w:rsid w:val="007B45DE"/>
    <w:rsid w:val="007B493E"/>
    <w:rsid w:val="007B50F5"/>
    <w:rsid w:val="007B5247"/>
    <w:rsid w:val="007B5D38"/>
    <w:rsid w:val="007B60A3"/>
    <w:rsid w:val="007B6663"/>
    <w:rsid w:val="007B6AAC"/>
    <w:rsid w:val="007B7467"/>
    <w:rsid w:val="007B7973"/>
    <w:rsid w:val="007C0C32"/>
    <w:rsid w:val="007C1B20"/>
    <w:rsid w:val="007C1F1F"/>
    <w:rsid w:val="007C2515"/>
    <w:rsid w:val="007C34B0"/>
    <w:rsid w:val="007C35BA"/>
    <w:rsid w:val="007C3CAB"/>
    <w:rsid w:val="007C45B9"/>
    <w:rsid w:val="007C4AD0"/>
    <w:rsid w:val="007C4F49"/>
    <w:rsid w:val="007C4F75"/>
    <w:rsid w:val="007C57B3"/>
    <w:rsid w:val="007C5A46"/>
    <w:rsid w:val="007C5FF1"/>
    <w:rsid w:val="007C6B35"/>
    <w:rsid w:val="007C6F7B"/>
    <w:rsid w:val="007C7F12"/>
    <w:rsid w:val="007D04B8"/>
    <w:rsid w:val="007D127D"/>
    <w:rsid w:val="007D17DF"/>
    <w:rsid w:val="007D1EA6"/>
    <w:rsid w:val="007D1FF0"/>
    <w:rsid w:val="007D2727"/>
    <w:rsid w:val="007D287C"/>
    <w:rsid w:val="007D3852"/>
    <w:rsid w:val="007D3B07"/>
    <w:rsid w:val="007D3DD5"/>
    <w:rsid w:val="007D4210"/>
    <w:rsid w:val="007D44F2"/>
    <w:rsid w:val="007D4ADE"/>
    <w:rsid w:val="007D50F5"/>
    <w:rsid w:val="007D6A2D"/>
    <w:rsid w:val="007D6F4A"/>
    <w:rsid w:val="007D7E34"/>
    <w:rsid w:val="007E0288"/>
    <w:rsid w:val="007E0571"/>
    <w:rsid w:val="007E104B"/>
    <w:rsid w:val="007E1979"/>
    <w:rsid w:val="007E3FD1"/>
    <w:rsid w:val="007E4336"/>
    <w:rsid w:val="007E47B3"/>
    <w:rsid w:val="007E4B6D"/>
    <w:rsid w:val="007E5457"/>
    <w:rsid w:val="007E5AF6"/>
    <w:rsid w:val="007E6300"/>
    <w:rsid w:val="007E6878"/>
    <w:rsid w:val="007E6B28"/>
    <w:rsid w:val="007E72A3"/>
    <w:rsid w:val="007E74C3"/>
    <w:rsid w:val="007E7E7B"/>
    <w:rsid w:val="007F057E"/>
    <w:rsid w:val="007F08FF"/>
    <w:rsid w:val="007F16D4"/>
    <w:rsid w:val="007F189A"/>
    <w:rsid w:val="007F1C57"/>
    <w:rsid w:val="007F272E"/>
    <w:rsid w:val="007F2B9F"/>
    <w:rsid w:val="007F43CA"/>
    <w:rsid w:val="007F4851"/>
    <w:rsid w:val="007F4958"/>
    <w:rsid w:val="007F5B29"/>
    <w:rsid w:val="007F5EF4"/>
    <w:rsid w:val="007F64E7"/>
    <w:rsid w:val="007F69B0"/>
    <w:rsid w:val="007F6CF7"/>
    <w:rsid w:val="007F7202"/>
    <w:rsid w:val="007F74C1"/>
    <w:rsid w:val="007F7E22"/>
    <w:rsid w:val="00801168"/>
    <w:rsid w:val="00801203"/>
    <w:rsid w:val="00801261"/>
    <w:rsid w:val="00802F57"/>
    <w:rsid w:val="008030D0"/>
    <w:rsid w:val="00803D65"/>
    <w:rsid w:val="00804F2C"/>
    <w:rsid w:val="00806034"/>
    <w:rsid w:val="00806B48"/>
    <w:rsid w:val="00806BB8"/>
    <w:rsid w:val="00806F05"/>
    <w:rsid w:val="00806F1C"/>
    <w:rsid w:val="008072A7"/>
    <w:rsid w:val="008113C3"/>
    <w:rsid w:val="0081167A"/>
    <w:rsid w:val="008125B3"/>
    <w:rsid w:val="00812653"/>
    <w:rsid w:val="00813504"/>
    <w:rsid w:val="00813E24"/>
    <w:rsid w:val="0081405F"/>
    <w:rsid w:val="00814545"/>
    <w:rsid w:val="0081488F"/>
    <w:rsid w:val="008148D7"/>
    <w:rsid w:val="00814A8C"/>
    <w:rsid w:val="008154B3"/>
    <w:rsid w:val="00815941"/>
    <w:rsid w:val="00815AEF"/>
    <w:rsid w:val="00816FAA"/>
    <w:rsid w:val="008170FA"/>
    <w:rsid w:val="00820054"/>
    <w:rsid w:val="00820B67"/>
    <w:rsid w:val="0082218F"/>
    <w:rsid w:val="008221FE"/>
    <w:rsid w:val="00822682"/>
    <w:rsid w:val="00823788"/>
    <w:rsid w:val="00824EC5"/>
    <w:rsid w:val="00825389"/>
    <w:rsid w:val="00825571"/>
    <w:rsid w:val="0082586A"/>
    <w:rsid w:val="00825C9C"/>
    <w:rsid w:val="0082627B"/>
    <w:rsid w:val="00826466"/>
    <w:rsid w:val="00827E0C"/>
    <w:rsid w:val="00827EFD"/>
    <w:rsid w:val="0083057B"/>
    <w:rsid w:val="00832089"/>
    <w:rsid w:val="00832EAF"/>
    <w:rsid w:val="0083310A"/>
    <w:rsid w:val="008337E3"/>
    <w:rsid w:val="0083439A"/>
    <w:rsid w:val="008350DD"/>
    <w:rsid w:val="00836051"/>
    <w:rsid w:val="0083634C"/>
    <w:rsid w:val="0083684B"/>
    <w:rsid w:val="00836D76"/>
    <w:rsid w:val="0083704F"/>
    <w:rsid w:val="00837A44"/>
    <w:rsid w:val="00840849"/>
    <w:rsid w:val="00841909"/>
    <w:rsid w:val="00841E67"/>
    <w:rsid w:val="00842A42"/>
    <w:rsid w:val="00842B42"/>
    <w:rsid w:val="008435C9"/>
    <w:rsid w:val="00843EF9"/>
    <w:rsid w:val="008445EF"/>
    <w:rsid w:val="00844DC7"/>
    <w:rsid w:val="0084516D"/>
    <w:rsid w:val="008458AC"/>
    <w:rsid w:val="00845CDE"/>
    <w:rsid w:val="00845EB8"/>
    <w:rsid w:val="0084611B"/>
    <w:rsid w:val="008461D8"/>
    <w:rsid w:val="008472FF"/>
    <w:rsid w:val="008476B9"/>
    <w:rsid w:val="00850B53"/>
    <w:rsid w:val="00850C65"/>
    <w:rsid w:val="00851166"/>
    <w:rsid w:val="0085149B"/>
    <w:rsid w:val="00851E39"/>
    <w:rsid w:val="00851EC8"/>
    <w:rsid w:val="00852C7E"/>
    <w:rsid w:val="00853745"/>
    <w:rsid w:val="00853BE9"/>
    <w:rsid w:val="0085494F"/>
    <w:rsid w:val="00854A59"/>
    <w:rsid w:val="008550D3"/>
    <w:rsid w:val="0085577D"/>
    <w:rsid w:val="008565B2"/>
    <w:rsid w:val="0085776C"/>
    <w:rsid w:val="00857E9D"/>
    <w:rsid w:val="00857F24"/>
    <w:rsid w:val="0086055E"/>
    <w:rsid w:val="00860C1C"/>
    <w:rsid w:val="0086200A"/>
    <w:rsid w:val="00862A11"/>
    <w:rsid w:val="00862C97"/>
    <w:rsid w:val="00863576"/>
    <w:rsid w:val="00864829"/>
    <w:rsid w:val="00864DC2"/>
    <w:rsid w:val="00864DEA"/>
    <w:rsid w:val="008650D5"/>
    <w:rsid w:val="00865F8F"/>
    <w:rsid w:val="008660AA"/>
    <w:rsid w:val="00866D93"/>
    <w:rsid w:val="00866F5F"/>
    <w:rsid w:val="00866FB4"/>
    <w:rsid w:val="0086793E"/>
    <w:rsid w:val="00870789"/>
    <w:rsid w:val="00870A05"/>
    <w:rsid w:val="00871429"/>
    <w:rsid w:val="00871650"/>
    <w:rsid w:val="0087298B"/>
    <w:rsid w:val="00872E9C"/>
    <w:rsid w:val="00873E59"/>
    <w:rsid w:val="008744A2"/>
    <w:rsid w:val="00874C33"/>
    <w:rsid w:val="00875142"/>
    <w:rsid w:val="008758D5"/>
    <w:rsid w:val="008760EB"/>
    <w:rsid w:val="0087618D"/>
    <w:rsid w:val="00876821"/>
    <w:rsid w:val="00876B77"/>
    <w:rsid w:val="008776A8"/>
    <w:rsid w:val="00877865"/>
    <w:rsid w:val="00877AAB"/>
    <w:rsid w:val="00877D65"/>
    <w:rsid w:val="00880833"/>
    <w:rsid w:val="00880CD8"/>
    <w:rsid w:val="00881D4D"/>
    <w:rsid w:val="00882872"/>
    <w:rsid w:val="0088296C"/>
    <w:rsid w:val="00883C50"/>
    <w:rsid w:val="008848D9"/>
    <w:rsid w:val="00884CB4"/>
    <w:rsid w:val="00885685"/>
    <w:rsid w:val="008859EE"/>
    <w:rsid w:val="00885C04"/>
    <w:rsid w:val="008869F3"/>
    <w:rsid w:val="00886BB0"/>
    <w:rsid w:val="0088745F"/>
    <w:rsid w:val="008877B9"/>
    <w:rsid w:val="00887B17"/>
    <w:rsid w:val="00887D2F"/>
    <w:rsid w:val="00887D87"/>
    <w:rsid w:val="00887FD4"/>
    <w:rsid w:val="00890111"/>
    <w:rsid w:val="00891016"/>
    <w:rsid w:val="008914C4"/>
    <w:rsid w:val="0089171E"/>
    <w:rsid w:val="00892374"/>
    <w:rsid w:val="00892A62"/>
    <w:rsid w:val="0089310A"/>
    <w:rsid w:val="00893711"/>
    <w:rsid w:val="0089394E"/>
    <w:rsid w:val="008939CB"/>
    <w:rsid w:val="00895249"/>
    <w:rsid w:val="008956B9"/>
    <w:rsid w:val="00895F39"/>
    <w:rsid w:val="008962B3"/>
    <w:rsid w:val="00896741"/>
    <w:rsid w:val="0089677A"/>
    <w:rsid w:val="00897784"/>
    <w:rsid w:val="008977E6"/>
    <w:rsid w:val="008A0793"/>
    <w:rsid w:val="008A0890"/>
    <w:rsid w:val="008A141D"/>
    <w:rsid w:val="008A1478"/>
    <w:rsid w:val="008A216D"/>
    <w:rsid w:val="008A2A27"/>
    <w:rsid w:val="008A44C3"/>
    <w:rsid w:val="008A49FE"/>
    <w:rsid w:val="008A529C"/>
    <w:rsid w:val="008A5CF9"/>
    <w:rsid w:val="008A65FA"/>
    <w:rsid w:val="008A6B63"/>
    <w:rsid w:val="008A7072"/>
    <w:rsid w:val="008A723A"/>
    <w:rsid w:val="008A7B01"/>
    <w:rsid w:val="008A7B09"/>
    <w:rsid w:val="008B1D2D"/>
    <w:rsid w:val="008B228F"/>
    <w:rsid w:val="008B2ADB"/>
    <w:rsid w:val="008B349F"/>
    <w:rsid w:val="008B368D"/>
    <w:rsid w:val="008B3F9F"/>
    <w:rsid w:val="008B42C8"/>
    <w:rsid w:val="008B481B"/>
    <w:rsid w:val="008B5BD2"/>
    <w:rsid w:val="008B60EB"/>
    <w:rsid w:val="008B68DC"/>
    <w:rsid w:val="008B6AAE"/>
    <w:rsid w:val="008B741B"/>
    <w:rsid w:val="008C03D6"/>
    <w:rsid w:val="008C1741"/>
    <w:rsid w:val="008C1BF9"/>
    <w:rsid w:val="008C3514"/>
    <w:rsid w:val="008C36D2"/>
    <w:rsid w:val="008C3A06"/>
    <w:rsid w:val="008C3BDC"/>
    <w:rsid w:val="008C5813"/>
    <w:rsid w:val="008C6C17"/>
    <w:rsid w:val="008C6C2D"/>
    <w:rsid w:val="008C6E23"/>
    <w:rsid w:val="008C75B2"/>
    <w:rsid w:val="008C79B1"/>
    <w:rsid w:val="008C7A00"/>
    <w:rsid w:val="008D177D"/>
    <w:rsid w:val="008D1B14"/>
    <w:rsid w:val="008D24EF"/>
    <w:rsid w:val="008D3169"/>
    <w:rsid w:val="008D31F4"/>
    <w:rsid w:val="008D3643"/>
    <w:rsid w:val="008D372C"/>
    <w:rsid w:val="008D38BA"/>
    <w:rsid w:val="008D3B01"/>
    <w:rsid w:val="008D64FE"/>
    <w:rsid w:val="008D6798"/>
    <w:rsid w:val="008D6D50"/>
    <w:rsid w:val="008D7356"/>
    <w:rsid w:val="008D7A87"/>
    <w:rsid w:val="008E0DC1"/>
    <w:rsid w:val="008E1767"/>
    <w:rsid w:val="008E2A04"/>
    <w:rsid w:val="008E2FBC"/>
    <w:rsid w:val="008E3C0F"/>
    <w:rsid w:val="008E3DB7"/>
    <w:rsid w:val="008E433E"/>
    <w:rsid w:val="008E45D9"/>
    <w:rsid w:val="008E49F7"/>
    <w:rsid w:val="008E4CAF"/>
    <w:rsid w:val="008E5096"/>
    <w:rsid w:val="008E518B"/>
    <w:rsid w:val="008E556D"/>
    <w:rsid w:val="008E5EC9"/>
    <w:rsid w:val="008E6601"/>
    <w:rsid w:val="008E69E1"/>
    <w:rsid w:val="008E6B7F"/>
    <w:rsid w:val="008E7A61"/>
    <w:rsid w:val="008E7AA3"/>
    <w:rsid w:val="008F06AA"/>
    <w:rsid w:val="008F18ED"/>
    <w:rsid w:val="008F1A39"/>
    <w:rsid w:val="008F1FC1"/>
    <w:rsid w:val="008F294E"/>
    <w:rsid w:val="008F3204"/>
    <w:rsid w:val="008F4647"/>
    <w:rsid w:val="008F48DE"/>
    <w:rsid w:val="008F5059"/>
    <w:rsid w:val="008F5308"/>
    <w:rsid w:val="008F62C3"/>
    <w:rsid w:val="008F65FC"/>
    <w:rsid w:val="008F758C"/>
    <w:rsid w:val="008F77CE"/>
    <w:rsid w:val="008F78B2"/>
    <w:rsid w:val="00900242"/>
    <w:rsid w:val="0090102F"/>
    <w:rsid w:val="00901843"/>
    <w:rsid w:val="009025D7"/>
    <w:rsid w:val="00902C81"/>
    <w:rsid w:val="00903D65"/>
    <w:rsid w:val="00904369"/>
    <w:rsid w:val="00904F5B"/>
    <w:rsid w:val="009056C6"/>
    <w:rsid w:val="00906903"/>
    <w:rsid w:val="009070D0"/>
    <w:rsid w:val="009070E4"/>
    <w:rsid w:val="00907528"/>
    <w:rsid w:val="00907611"/>
    <w:rsid w:val="00907A91"/>
    <w:rsid w:val="00907B67"/>
    <w:rsid w:val="00911A9E"/>
    <w:rsid w:val="009125B5"/>
    <w:rsid w:val="00913E5C"/>
    <w:rsid w:val="0091416A"/>
    <w:rsid w:val="009141E3"/>
    <w:rsid w:val="0091548A"/>
    <w:rsid w:val="009155B0"/>
    <w:rsid w:val="00915B57"/>
    <w:rsid w:val="00916D9E"/>
    <w:rsid w:val="009173CF"/>
    <w:rsid w:val="00917CC6"/>
    <w:rsid w:val="0092000E"/>
    <w:rsid w:val="00920112"/>
    <w:rsid w:val="00920238"/>
    <w:rsid w:val="0092254A"/>
    <w:rsid w:val="009225DB"/>
    <w:rsid w:val="009226EA"/>
    <w:rsid w:val="00922740"/>
    <w:rsid w:val="009228EB"/>
    <w:rsid w:val="00922BA3"/>
    <w:rsid w:val="00922F59"/>
    <w:rsid w:val="00923C44"/>
    <w:rsid w:val="00923D3A"/>
    <w:rsid w:val="009246B9"/>
    <w:rsid w:val="00924FBD"/>
    <w:rsid w:val="00925490"/>
    <w:rsid w:val="00925AF9"/>
    <w:rsid w:val="00925E4B"/>
    <w:rsid w:val="00926D98"/>
    <w:rsid w:val="00926FA4"/>
    <w:rsid w:val="00927CA3"/>
    <w:rsid w:val="009308CC"/>
    <w:rsid w:val="00930BD0"/>
    <w:rsid w:val="00930DB0"/>
    <w:rsid w:val="009313E4"/>
    <w:rsid w:val="009316C7"/>
    <w:rsid w:val="0093176A"/>
    <w:rsid w:val="00931B42"/>
    <w:rsid w:val="0093293F"/>
    <w:rsid w:val="00933283"/>
    <w:rsid w:val="0093330E"/>
    <w:rsid w:val="00933720"/>
    <w:rsid w:val="0093492E"/>
    <w:rsid w:val="00934943"/>
    <w:rsid w:val="00934BC0"/>
    <w:rsid w:val="00935E0D"/>
    <w:rsid w:val="009367A1"/>
    <w:rsid w:val="00937443"/>
    <w:rsid w:val="00940272"/>
    <w:rsid w:val="009418BD"/>
    <w:rsid w:val="00941B51"/>
    <w:rsid w:val="00941B7F"/>
    <w:rsid w:val="00942627"/>
    <w:rsid w:val="00942AF7"/>
    <w:rsid w:val="00942C8E"/>
    <w:rsid w:val="009431B5"/>
    <w:rsid w:val="00944315"/>
    <w:rsid w:val="009451C5"/>
    <w:rsid w:val="009452BD"/>
    <w:rsid w:val="00945C2E"/>
    <w:rsid w:val="00945ED4"/>
    <w:rsid w:val="009467B2"/>
    <w:rsid w:val="00950132"/>
    <w:rsid w:val="00950A52"/>
    <w:rsid w:val="00951769"/>
    <w:rsid w:val="00953D4E"/>
    <w:rsid w:val="00954CD1"/>
    <w:rsid w:val="00955B40"/>
    <w:rsid w:val="00955DC4"/>
    <w:rsid w:val="0095635E"/>
    <w:rsid w:val="00956767"/>
    <w:rsid w:val="00956842"/>
    <w:rsid w:val="009579C5"/>
    <w:rsid w:val="00957A44"/>
    <w:rsid w:val="00957A7F"/>
    <w:rsid w:val="00960171"/>
    <w:rsid w:val="00960191"/>
    <w:rsid w:val="00960851"/>
    <w:rsid w:val="00960A96"/>
    <w:rsid w:val="00961BA8"/>
    <w:rsid w:val="009622B3"/>
    <w:rsid w:val="00962393"/>
    <w:rsid w:val="00962678"/>
    <w:rsid w:val="00962717"/>
    <w:rsid w:val="0096338B"/>
    <w:rsid w:val="009636ED"/>
    <w:rsid w:val="00964832"/>
    <w:rsid w:val="00964A69"/>
    <w:rsid w:val="00964C59"/>
    <w:rsid w:val="009658A2"/>
    <w:rsid w:val="00966702"/>
    <w:rsid w:val="00966790"/>
    <w:rsid w:val="00966D4D"/>
    <w:rsid w:val="00966D7B"/>
    <w:rsid w:val="00970046"/>
    <w:rsid w:val="00971AE0"/>
    <w:rsid w:val="00971D2D"/>
    <w:rsid w:val="00972389"/>
    <w:rsid w:val="00972967"/>
    <w:rsid w:val="00972D5F"/>
    <w:rsid w:val="009758A5"/>
    <w:rsid w:val="00975C16"/>
    <w:rsid w:val="009761B5"/>
    <w:rsid w:val="00977346"/>
    <w:rsid w:val="00977857"/>
    <w:rsid w:val="009779B1"/>
    <w:rsid w:val="00980650"/>
    <w:rsid w:val="00980B7E"/>
    <w:rsid w:val="00981D0D"/>
    <w:rsid w:val="009823CB"/>
    <w:rsid w:val="0098248B"/>
    <w:rsid w:val="00982632"/>
    <w:rsid w:val="00983098"/>
    <w:rsid w:val="00983757"/>
    <w:rsid w:val="00983999"/>
    <w:rsid w:val="00984C20"/>
    <w:rsid w:val="00984F60"/>
    <w:rsid w:val="00986BC0"/>
    <w:rsid w:val="00986E09"/>
    <w:rsid w:val="00986FAC"/>
    <w:rsid w:val="00987941"/>
    <w:rsid w:val="00987B32"/>
    <w:rsid w:val="009912E1"/>
    <w:rsid w:val="009914AE"/>
    <w:rsid w:val="00991AE1"/>
    <w:rsid w:val="00991D0A"/>
    <w:rsid w:val="00993381"/>
    <w:rsid w:val="009939A6"/>
    <w:rsid w:val="00993ADE"/>
    <w:rsid w:val="00993BED"/>
    <w:rsid w:val="00994D4B"/>
    <w:rsid w:val="00995A4E"/>
    <w:rsid w:val="00995B93"/>
    <w:rsid w:val="00995EE2"/>
    <w:rsid w:val="00996669"/>
    <w:rsid w:val="00996A64"/>
    <w:rsid w:val="00997385"/>
    <w:rsid w:val="009974C0"/>
    <w:rsid w:val="00997839"/>
    <w:rsid w:val="00997CE8"/>
    <w:rsid w:val="00997F60"/>
    <w:rsid w:val="009A00A5"/>
    <w:rsid w:val="009A03EF"/>
    <w:rsid w:val="009A056C"/>
    <w:rsid w:val="009A17A5"/>
    <w:rsid w:val="009A1F84"/>
    <w:rsid w:val="009A23EB"/>
    <w:rsid w:val="009A26CF"/>
    <w:rsid w:val="009A2B0C"/>
    <w:rsid w:val="009A3025"/>
    <w:rsid w:val="009A36B4"/>
    <w:rsid w:val="009A3D8A"/>
    <w:rsid w:val="009A4B2F"/>
    <w:rsid w:val="009A6984"/>
    <w:rsid w:val="009A6D63"/>
    <w:rsid w:val="009A7AF4"/>
    <w:rsid w:val="009A7FC1"/>
    <w:rsid w:val="009B00FF"/>
    <w:rsid w:val="009B11AC"/>
    <w:rsid w:val="009B1306"/>
    <w:rsid w:val="009B1448"/>
    <w:rsid w:val="009B2435"/>
    <w:rsid w:val="009B2C3F"/>
    <w:rsid w:val="009B4196"/>
    <w:rsid w:val="009B46E1"/>
    <w:rsid w:val="009B4FD1"/>
    <w:rsid w:val="009B50E6"/>
    <w:rsid w:val="009B5310"/>
    <w:rsid w:val="009B618D"/>
    <w:rsid w:val="009B7013"/>
    <w:rsid w:val="009B71F8"/>
    <w:rsid w:val="009B76CB"/>
    <w:rsid w:val="009B7AAD"/>
    <w:rsid w:val="009C1ECE"/>
    <w:rsid w:val="009C280F"/>
    <w:rsid w:val="009C2BF1"/>
    <w:rsid w:val="009C34E2"/>
    <w:rsid w:val="009C3511"/>
    <w:rsid w:val="009C3A1D"/>
    <w:rsid w:val="009C42BF"/>
    <w:rsid w:val="009C4E58"/>
    <w:rsid w:val="009C52C8"/>
    <w:rsid w:val="009C52C9"/>
    <w:rsid w:val="009C5437"/>
    <w:rsid w:val="009C5732"/>
    <w:rsid w:val="009C59C2"/>
    <w:rsid w:val="009D012F"/>
    <w:rsid w:val="009D01F9"/>
    <w:rsid w:val="009D04D5"/>
    <w:rsid w:val="009D0770"/>
    <w:rsid w:val="009D13AB"/>
    <w:rsid w:val="009D2480"/>
    <w:rsid w:val="009D2798"/>
    <w:rsid w:val="009D3219"/>
    <w:rsid w:val="009D349B"/>
    <w:rsid w:val="009D44B5"/>
    <w:rsid w:val="009D6309"/>
    <w:rsid w:val="009D653E"/>
    <w:rsid w:val="009D69AB"/>
    <w:rsid w:val="009D6CC9"/>
    <w:rsid w:val="009D767E"/>
    <w:rsid w:val="009D79BD"/>
    <w:rsid w:val="009D7F19"/>
    <w:rsid w:val="009E015D"/>
    <w:rsid w:val="009E028C"/>
    <w:rsid w:val="009E03F6"/>
    <w:rsid w:val="009E0586"/>
    <w:rsid w:val="009E106A"/>
    <w:rsid w:val="009E1A0A"/>
    <w:rsid w:val="009E2850"/>
    <w:rsid w:val="009E2AAD"/>
    <w:rsid w:val="009E2E8A"/>
    <w:rsid w:val="009E343D"/>
    <w:rsid w:val="009E3705"/>
    <w:rsid w:val="009E43E2"/>
    <w:rsid w:val="009E4AAD"/>
    <w:rsid w:val="009E5EC4"/>
    <w:rsid w:val="009E65A6"/>
    <w:rsid w:val="009E67F9"/>
    <w:rsid w:val="009E6CA4"/>
    <w:rsid w:val="009E7353"/>
    <w:rsid w:val="009F010E"/>
    <w:rsid w:val="009F048B"/>
    <w:rsid w:val="009F17E4"/>
    <w:rsid w:val="009F38CA"/>
    <w:rsid w:val="009F39DE"/>
    <w:rsid w:val="009F410D"/>
    <w:rsid w:val="009F4B6D"/>
    <w:rsid w:val="009F5346"/>
    <w:rsid w:val="009F574D"/>
    <w:rsid w:val="009F62D4"/>
    <w:rsid w:val="009F66DB"/>
    <w:rsid w:val="009F6CB1"/>
    <w:rsid w:val="009F6E0A"/>
    <w:rsid w:val="009F7B66"/>
    <w:rsid w:val="00A00817"/>
    <w:rsid w:val="00A028E6"/>
    <w:rsid w:val="00A02CC8"/>
    <w:rsid w:val="00A053B5"/>
    <w:rsid w:val="00A06BAA"/>
    <w:rsid w:val="00A07482"/>
    <w:rsid w:val="00A07706"/>
    <w:rsid w:val="00A1044F"/>
    <w:rsid w:val="00A1077B"/>
    <w:rsid w:val="00A110D9"/>
    <w:rsid w:val="00A11757"/>
    <w:rsid w:val="00A124E5"/>
    <w:rsid w:val="00A1260A"/>
    <w:rsid w:val="00A12ED3"/>
    <w:rsid w:val="00A12FBA"/>
    <w:rsid w:val="00A13177"/>
    <w:rsid w:val="00A131F7"/>
    <w:rsid w:val="00A13BC4"/>
    <w:rsid w:val="00A14AA9"/>
    <w:rsid w:val="00A14CFB"/>
    <w:rsid w:val="00A1551D"/>
    <w:rsid w:val="00A157B6"/>
    <w:rsid w:val="00A15850"/>
    <w:rsid w:val="00A16143"/>
    <w:rsid w:val="00A163A0"/>
    <w:rsid w:val="00A16B4E"/>
    <w:rsid w:val="00A16DB4"/>
    <w:rsid w:val="00A16F63"/>
    <w:rsid w:val="00A171A1"/>
    <w:rsid w:val="00A178D9"/>
    <w:rsid w:val="00A17F26"/>
    <w:rsid w:val="00A2080B"/>
    <w:rsid w:val="00A23729"/>
    <w:rsid w:val="00A2377B"/>
    <w:rsid w:val="00A24943"/>
    <w:rsid w:val="00A24BC9"/>
    <w:rsid w:val="00A2509C"/>
    <w:rsid w:val="00A254C9"/>
    <w:rsid w:val="00A25DDD"/>
    <w:rsid w:val="00A26F5E"/>
    <w:rsid w:val="00A27733"/>
    <w:rsid w:val="00A27C00"/>
    <w:rsid w:val="00A27FE3"/>
    <w:rsid w:val="00A30749"/>
    <w:rsid w:val="00A307C3"/>
    <w:rsid w:val="00A3089C"/>
    <w:rsid w:val="00A31931"/>
    <w:rsid w:val="00A32254"/>
    <w:rsid w:val="00A33792"/>
    <w:rsid w:val="00A34B1F"/>
    <w:rsid w:val="00A3513D"/>
    <w:rsid w:val="00A35313"/>
    <w:rsid w:val="00A3547E"/>
    <w:rsid w:val="00A36561"/>
    <w:rsid w:val="00A40E54"/>
    <w:rsid w:val="00A41193"/>
    <w:rsid w:val="00A41217"/>
    <w:rsid w:val="00A4182F"/>
    <w:rsid w:val="00A41CA0"/>
    <w:rsid w:val="00A41DF6"/>
    <w:rsid w:val="00A41E83"/>
    <w:rsid w:val="00A427AD"/>
    <w:rsid w:val="00A43149"/>
    <w:rsid w:val="00A43213"/>
    <w:rsid w:val="00A43335"/>
    <w:rsid w:val="00A43E18"/>
    <w:rsid w:val="00A451BD"/>
    <w:rsid w:val="00A45299"/>
    <w:rsid w:val="00A45339"/>
    <w:rsid w:val="00A46D45"/>
    <w:rsid w:val="00A470B4"/>
    <w:rsid w:val="00A4730F"/>
    <w:rsid w:val="00A473EC"/>
    <w:rsid w:val="00A47416"/>
    <w:rsid w:val="00A50A0C"/>
    <w:rsid w:val="00A50B21"/>
    <w:rsid w:val="00A511B0"/>
    <w:rsid w:val="00A523D4"/>
    <w:rsid w:val="00A52634"/>
    <w:rsid w:val="00A53042"/>
    <w:rsid w:val="00A535B0"/>
    <w:rsid w:val="00A544A1"/>
    <w:rsid w:val="00A54E2A"/>
    <w:rsid w:val="00A5546D"/>
    <w:rsid w:val="00A562D5"/>
    <w:rsid w:val="00A575AD"/>
    <w:rsid w:val="00A6049D"/>
    <w:rsid w:val="00A6088A"/>
    <w:rsid w:val="00A609E1"/>
    <w:rsid w:val="00A61D1C"/>
    <w:rsid w:val="00A61DDA"/>
    <w:rsid w:val="00A627B3"/>
    <w:rsid w:val="00A62984"/>
    <w:rsid w:val="00A639F7"/>
    <w:rsid w:val="00A64606"/>
    <w:rsid w:val="00A64980"/>
    <w:rsid w:val="00A64B58"/>
    <w:rsid w:val="00A64C41"/>
    <w:rsid w:val="00A64E37"/>
    <w:rsid w:val="00A64E5B"/>
    <w:rsid w:val="00A65584"/>
    <w:rsid w:val="00A65920"/>
    <w:rsid w:val="00A65C6B"/>
    <w:rsid w:val="00A66289"/>
    <w:rsid w:val="00A669BD"/>
    <w:rsid w:val="00A66E13"/>
    <w:rsid w:val="00A67002"/>
    <w:rsid w:val="00A702F6"/>
    <w:rsid w:val="00A7038B"/>
    <w:rsid w:val="00A71867"/>
    <w:rsid w:val="00A71FC4"/>
    <w:rsid w:val="00A721A3"/>
    <w:rsid w:val="00A7222C"/>
    <w:rsid w:val="00A72410"/>
    <w:rsid w:val="00A7335E"/>
    <w:rsid w:val="00A73A74"/>
    <w:rsid w:val="00A74B6F"/>
    <w:rsid w:val="00A75FD1"/>
    <w:rsid w:val="00A76983"/>
    <w:rsid w:val="00A771B4"/>
    <w:rsid w:val="00A77970"/>
    <w:rsid w:val="00A77C92"/>
    <w:rsid w:val="00A80CED"/>
    <w:rsid w:val="00A80F92"/>
    <w:rsid w:val="00A814DA"/>
    <w:rsid w:val="00A824E3"/>
    <w:rsid w:val="00A82B35"/>
    <w:rsid w:val="00A82FE2"/>
    <w:rsid w:val="00A835A9"/>
    <w:rsid w:val="00A83902"/>
    <w:rsid w:val="00A83D13"/>
    <w:rsid w:val="00A84FDF"/>
    <w:rsid w:val="00A8578E"/>
    <w:rsid w:val="00A85E47"/>
    <w:rsid w:val="00A85E83"/>
    <w:rsid w:val="00A86303"/>
    <w:rsid w:val="00A86371"/>
    <w:rsid w:val="00A87BD4"/>
    <w:rsid w:val="00A91607"/>
    <w:rsid w:val="00A917EE"/>
    <w:rsid w:val="00A91B2C"/>
    <w:rsid w:val="00A92B85"/>
    <w:rsid w:val="00A941C0"/>
    <w:rsid w:val="00A94384"/>
    <w:rsid w:val="00A94E74"/>
    <w:rsid w:val="00A95873"/>
    <w:rsid w:val="00A95B83"/>
    <w:rsid w:val="00A95D2B"/>
    <w:rsid w:val="00A9617A"/>
    <w:rsid w:val="00A961D6"/>
    <w:rsid w:val="00A96418"/>
    <w:rsid w:val="00A9650B"/>
    <w:rsid w:val="00A968F5"/>
    <w:rsid w:val="00A96EAB"/>
    <w:rsid w:val="00A97193"/>
    <w:rsid w:val="00A974FA"/>
    <w:rsid w:val="00A97FF4"/>
    <w:rsid w:val="00AA037F"/>
    <w:rsid w:val="00AA0584"/>
    <w:rsid w:val="00AA1FCA"/>
    <w:rsid w:val="00AA4097"/>
    <w:rsid w:val="00AA40E3"/>
    <w:rsid w:val="00AA553B"/>
    <w:rsid w:val="00AA56BF"/>
    <w:rsid w:val="00AA5DB6"/>
    <w:rsid w:val="00AA6AFC"/>
    <w:rsid w:val="00AA74E6"/>
    <w:rsid w:val="00AA7562"/>
    <w:rsid w:val="00AA7959"/>
    <w:rsid w:val="00AA7C7A"/>
    <w:rsid w:val="00AB031A"/>
    <w:rsid w:val="00AB1096"/>
    <w:rsid w:val="00AB29BD"/>
    <w:rsid w:val="00AB3526"/>
    <w:rsid w:val="00AB4B94"/>
    <w:rsid w:val="00AB556C"/>
    <w:rsid w:val="00AC0F19"/>
    <w:rsid w:val="00AC171B"/>
    <w:rsid w:val="00AC18E2"/>
    <w:rsid w:val="00AC1AC6"/>
    <w:rsid w:val="00AC2531"/>
    <w:rsid w:val="00AC30EF"/>
    <w:rsid w:val="00AC363C"/>
    <w:rsid w:val="00AC3ABB"/>
    <w:rsid w:val="00AC3BAD"/>
    <w:rsid w:val="00AC4161"/>
    <w:rsid w:val="00AC46D6"/>
    <w:rsid w:val="00AC4F20"/>
    <w:rsid w:val="00AC5412"/>
    <w:rsid w:val="00AC60FF"/>
    <w:rsid w:val="00AC6A07"/>
    <w:rsid w:val="00AC6B41"/>
    <w:rsid w:val="00AD070C"/>
    <w:rsid w:val="00AD08D2"/>
    <w:rsid w:val="00AD0E50"/>
    <w:rsid w:val="00AD0FD4"/>
    <w:rsid w:val="00AD1C19"/>
    <w:rsid w:val="00AD2329"/>
    <w:rsid w:val="00AD3308"/>
    <w:rsid w:val="00AD35B7"/>
    <w:rsid w:val="00AD4347"/>
    <w:rsid w:val="00AD482C"/>
    <w:rsid w:val="00AD5026"/>
    <w:rsid w:val="00AD5688"/>
    <w:rsid w:val="00AD59CD"/>
    <w:rsid w:val="00AD5DAB"/>
    <w:rsid w:val="00AD5F1C"/>
    <w:rsid w:val="00AD75BD"/>
    <w:rsid w:val="00AD7B05"/>
    <w:rsid w:val="00AE01C0"/>
    <w:rsid w:val="00AE0203"/>
    <w:rsid w:val="00AE0972"/>
    <w:rsid w:val="00AE16E6"/>
    <w:rsid w:val="00AE1AC2"/>
    <w:rsid w:val="00AE1E35"/>
    <w:rsid w:val="00AE1F1C"/>
    <w:rsid w:val="00AE2269"/>
    <w:rsid w:val="00AE294C"/>
    <w:rsid w:val="00AE31CD"/>
    <w:rsid w:val="00AE36D3"/>
    <w:rsid w:val="00AE3E67"/>
    <w:rsid w:val="00AE46AB"/>
    <w:rsid w:val="00AE57D5"/>
    <w:rsid w:val="00AE600D"/>
    <w:rsid w:val="00AE6AD4"/>
    <w:rsid w:val="00AE73C3"/>
    <w:rsid w:val="00AE7647"/>
    <w:rsid w:val="00AE7801"/>
    <w:rsid w:val="00AE7A98"/>
    <w:rsid w:val="00AF0A75"/>
    <w:rsid w:val="00AF0BE2"/>
    <w:rsid w:val="00AF0D55"/>
    <w:rsid w:val="00AF138A"/>
    <w:rsid w:val="00AF23DD"/>
    <w:rsid w:val="00AF302D"/>
    <w:rsid w:val="00AF322D"/>
    <w:rsid w:val="00AF38F5"/>
    <w:rsid w:val="00AF4371"/>
    <w:rsid w:val="00AF5321"/>
    <w:rsid w:val="00AF575D"/>
    <w:rsid w:val="00AF5AF2"/>
    <w:rsid w:val="00AF5CB2"/>
    <w:rsid w:val="00AF6606"/>
    <w:rsid w:val="00AF6725"/>
    <w:rsid w:val="00AF6834"/>
    <w:rsid w:val="00AF7345"/>
    <w:rsid w:val="00AF7F21"/>
    <w:rsid w:val="00B00395"/>
    <w:rsid w:val="00B00642"/>
    <w:rsid w:val="00B0072B"/>
    <w:rsid w:val="00B00C93"/>
    <w:rsid w:val="00B01099"/>
    <w:rsid w:val="00B015F1"/>
    <w:rsid w:val="00B01980"/>
    <w:rsid w:val="00B01AA9"/>
    <w:rsid w:val="00B01BA1"/>
    <w:rsid w:val="00B02152"/>
    <w:rsid w:val="00B027EA"/>
    <w:rsid w:val="00B030AD"/>
    <w:rsid w:val="00B03A5E"/>
    <w:rsid w:val="00B03D68"/>
    <w:rsid w:val="00B040AB"/>
    <w:rsid w:val="00B042BA"/>
    <w:rsid w:val="00B0452C"/>
    <w:rsid w:val="00B04B2D"/>
    <w:rsid w:val="00B04D18"/>
    <w:rsid w:val="00B04F42"/>
    <w:rsid w:val="00B0544A"/>
    <w:rsid w:val="00B059A1"/>
    <w:rsid w:val="00B05BDE"/>
    <w:rsid w:val="00B05E7E"/>
    <w:rsid w:val="00B0694C"/>
    <w:rsid w:val="00B06F04"/>
    <w:rsid w:val="00B076D2"/>
    <w:rsid w:val="00B07E22"/>
    <w:rsid w:val="00B07E32"/>
    <w:rsid w:val="00B104D7"/>
    <w:rsid w:val="00B1077D"/>
    <w:rsid w:val="00B11C29"/>
    <w:rsid w:val="00B120C7"/>
    <w:rsid w:val="00B131BE"/>
    <w:rsid w:val="00B13EDE"/>
    <w:rsid w:val="00B146F5"/>
    <w:rsid w:val="00B14DF5"/>
    <w:rsid w:val="00B14E29"/>
    <w:rsid w:val="00B150B5"/>
    <w:rsid w:val="00B15797"/>
    <w:rsid w:val="00B1626D"/>
    <w:rsid w:val="00B1706E"/>
    <w:rsid w:val="00B1726B"/>
    <w:rsid w:val="00B17433"/>
    <w:rsid w:val="00B175A1"/>
    <w:rsid w:val="00B2098F"/>
    <w:rsid w:val="00B20A6D"/>
    <w:rsid w:val="00B210FD"/>
    <w:rsid w:val="00B2144E"/>
    <w:rsid w:val="00B2145E"/>
    <w:rsid w:val="00B2173F"/>
    <w:rsid w:val="00B21BC4"/>
    <w:rsid w:val="00B21C2B"/>
    <w:rsid w:val="00B23483"/>
    <w:rsid w:val="00B23D16"/>
    <w:rsid w:val="00B24351"/>
    <w:rsid w:val="00B2512F"/>
    <w:rsid w:val="00B2539A"/>
    <w:rsid w:val="00B2541A"/>
    <w:rsid w:val="00B257D3"/>
    <w:rsid w:val="00B25A6F"/>
    <w:rsid w:val="00B260E9"/>
    <w:rsid w:val="00B2656B"/>
    <w:rsid w:val="00B27740"/>
    <w:rsid w:val="00B27776"/>
    <w:rsid w:val="00B30320"/>
    <w:rsid w:val="00B3073D"/>
    <w:rsid w:val="00B30CBE"/>
    <w:rsid w:val="00B311FA"/>
    <w:rsid w:val="00B32196"/>
    <w:rsid w:val="00B32434"/>
    <w:rsid w:val="00B32493"/>
    <w:rsid w:val="00B32B2B"/>
    <w:rsid w:val="00B333D4"/>
    <w:rsid w:val="00B33513"/>
    <w:rsid w:val="00B33BAA"/>
    <w:rsid w:val="00B3438F"/>
    <w:rsid w:val="00B344F9"/>
    <w:rsid w:val="00B3464B"/>
    <w:rsid w:val="00B34ACB"/>
    <w:rsid w:val="00B34CDE"/>
    <w:rsid w:val="00B3576B"/>
    <w:rsid w:val="00B35DF4"/>
    <w:rsid w:val="00B36615"/>
    <w:rsid w:val="00B369E8"/>
    <w:rsid w:val="00B369FD"/>
    <w:rsid w:val="00B371B0"/>
    <w:rsid w:val="00B3769F"/>
    <w:rsid w:val="00B37746"/>
    <w:rsid w:val="00B37F65"/>
    <w:rsid w:val="00B402CA"/>
    <w:rsid w:val="00B403DC"/>
    <w:rsid w:val="00B404E5"/>
    <w:rsid w:val="00B405F5"/>
    <w:rsid w:val="00B412E1"/>
    <w:rsid w:val="00B4174D"/>
    <w:rsid w:val="00B418CD"/>
    <w:rsid w:val="00B41FE5"/>
    <w:rsid w:val="00B427ED"/>
    <w:rsid w:val="00B42B95"/>
    <w:rsid w:val="00B42E3E"/>
    <w:rsid w:val="00B42FBC"/>
    <w:rsid w:val="00B43E22"/>
    <w:rsid w:val="00B443B3"/>
    <w:rsid w:val="00B449E9"/>
    <w:rsid w:val="00B44D98"/>
    <w:rsid w:val="00B455D5"/>
    <w:rsid w:val="00B45946"/>
    <w:rsid w:val="00B47D6C"/>
    <w:rsid w:val="00B50049"/>
    <w:rsid w:val="00B50997"/>
    <w:rsid w:val="00B5141F"/>
    <w:rsid w:val="00B51524"/>
    <w:rsid w:val="00B51EFD"/>
    <w:rsid w:val="00B524BB"/>
    <w:rsid w:val="00B526F0"/>
    <w:rsid w:val="00B5387B"/>
    <w:rsid w:val="00B54870"/>
    <w:rsid w:val="00B54E11"/>
    <w:rsid w:val="00B561A5"/>
    <w:rsid w:val="00B562B9"/>
    <w:rsid w:val="00B5660C"/>
    <w:rsid w:val="00B5670E"/>
    <w:rsid w:val="00B57667"/>
    <w:rsid w:val="00B57C85"/>
    <w:rsid w:val="00B60CEE"/>
    <w:rsid w:val="00B60EC6"/>
    <w:rsid w:val="00B6125F"/>
    <w:rsid w:val="00B61746"/>
    <w:rsid w:val="00B631EA"/>
    <w:rsid w:val="00B6323C"/>
    <w:rsid w:val="00B635B4"/>
    <w:rsid w:val="00B63DB2"/>
    <w:rsid w:val="00B63E12"/>
    <w:rsid w:val="00B6419F"/>
    <w:rsid w:val="00B64441"/>
    <w:rsid w:val="00B65606"/>
    <w:rsid w:val="00B65C65"/>
    <w:rsid w:val="00B6604A"/>
    <w:rsid w:val="00B6653F"/>
    <w:rsid w:val="00B6685A"/>
    <w:rsid w:val="00B66FFF"/>
    <w:rsid w:val="00B679A7"/>
    <w:rsid w:val="00B679A9"/>
    <w:rsid w:val="00B70074"/>
    <w:rsid w:val="00B70106"/>
    <w:rsid w:val="00B705C7"/>
    <w:rsid w:val="00B7084D"/>
    <w:rsid w:val="00B70887"/>
    <w:rsid w:val="00B71FAB"/>
    <w:rsid w:val="00B727DF"/>
    <w:rsid w:val="00B737C6"/>
    <w:rsid w:val="00B738D8"/>
    <w:rsid w:val="00B740C9"/>
    <w:rsid w:val="00B7619A"/>
    <w:rsid w:val="00B769BD"/>
    <w:rsid w:val="00B76BBE"/>
    <w:rsid w:val="00B7786B"/>
    <w:rsid w:val="00B77FBA"/>
    <w:rsid w:val="00B800B5"/>
    <w:rsid w:val="00B803F5"/>
    <w:rsid w:val="00B8080A"/>
    <w:rsid w:val="00B8090C"/>
    <w:rsid w:val="00B81662"/>
    <w:rsid w:val="00B819F4"/>
    <w:rsid w:val="00B8208B"/>
    <w:rsid w:val="00B82B78"/>
    <w:rsid w:val="00B82E57"/>
    <w:rsid w:val="00B82E96"/>
    <w:rsid w:val="00B83116"/>
    <w:rsid w:val="00B83B07"/>
    <w:rsid w:val="00B83B46"/>
    <w:rsid w:val="00B84295"/>
    <w:rsid w:val="00B84549"/>
    <w:rsid w:val="00B84D04"/>
    <w:rsid w:val="00B85D17"/>
    <w:rsid w:val="00B8605F"/>
    <w:rsid w:val="00B86D20"/>
    <w:rsid w:val="00B90484"/>
    <w:rsid w:val="00B90957"/>
    <w:rsid w:val="00B91C5C"/>
    <w:rsid w:val="00B92309"/>
    <w:rsid w:val="00B9243C"/>
    <w:rsid w:val="00B9261B"/>
    <w:rsid w:val="00B928D3"/>
    <w:rsid w:val="00B93110"/>
    <w:rsid w:val="00B935ED"/>
    <w:rsid w:val="00B94091"/>
    <w:rsid w:val="00B94141"/>
    <w:rsid w:val="00B954D6"/>
    <w:rsid w:val="00B95B64"/>
    <w:rsid w:val="00B95BE7"/>
    <w:rsid w:val="00B95F2F"/>
    <w:rsid w:val="00B96BEF"/>
    <w:rsid w:val="00BA014F"/>
    <w:rsid w:val="00BA2093"/>
    <w:rsid w:val="00BA218E"/>
    <w:rsid w:val="00BA221B"/>
    <w:rsid w:val="00BA24B4"/>
    <w:rsid w:val="00BA2B26"/>
    <w:rsid w:val="00BA2E62"/>
    <w:rsid w:val="00BA3A2F"/>
    <w:rsid w:val="00BA4400"/>
    <w:rsid w:val="00BA5183"/>
    <w:rsid w:val="00BA6184"/>
    <w:rsid w:val="00BA6B31"/>
    <w:rsid w:val="00BB0448"/>
    <w:rsid w:val="00BB0DB0"/>
    <w:rsid w:val="00BB215D"/>
    <w:rsid w:val="00BB2C60"/>
    <w:rsid w:val="00BB3ACE"/>
    <w:rsid w:val="00BB40A3"/>
    <w:rsid w:val="00BB5864"/>
    <w:rsid w:val="00BB6A99"/>
    <w:rsid w:val="00BB6B6E"/>
    <w:rsid w:val="00BB6E72"/>
    <w:rsid w:val="00BB70C2"/>
    <w:rsid w:val="00BB77C1"/>
    <w:rsid w:val="00BB7960"/>
    <w:rsid w:val="00BC0278"/>
    <w:rsid w:val="00BC05C2"/>
    <w:rsid w:val="00BC06DD"/>
    <w:rsid w:val="00BC0E78"/>
    <w:rsid w:val="00BC103A"/>
    <w:rsid w:val="00BC20C7"/>
    <w:rsid w:val="00BC2653"/>
    <w:rsid w:val="00BC2722"/>
    <w:rsid w:val="00BC3022"/>
    <w:rsid w:val="00BC5348"/>
    <w:rsid w:val="00BC5932"/>
    <w:rsid w:val="00BC6334"/>
    <w:rsid w:val="00BC652D"/>
    <w:rsid w:val="00BC6F92"/>
    <w:rsid w:val="00BC70EA"/>
    <w:rsid w:val="00BC7286"/>
    <w:rsid w:val="00BC7603"/>
    <w:rsid w:val="00BC771B"/>
    <w:rsid w:val="00BC77E9"/>
    <w:rsid w:val="00BC7BC1"/>
    <w:rsid w:val="00BC7BED"/>
    <w:rsid w:val="00BD007E"/>
    <w:rsid w:val="00BD0B06"/>
    <w:rsid w:val="00BD10D6"/>
    <w:rsid w:val="00BD1259"/>
    <w:rsid w:val="00BD1D8A"/>
    <w:rsid w:val="00BD1F75"/>
    <w:rsid w:val="00BD21CA"/>
    <w:rsid w:val="00BD36D2"/>
    <w:rsid w:val="00BD4037"/>
    <w:rsid w:val="00BD4750"/>
    <w:rsid w:val="00BD4EFB"/>
    <w:rsid w:val="00BD5A7C"/>
    <w:rsid w:val="00BD5E84"/>
    <w:rsid w:val="00BD5EAE"/>
    <w:rsid w:val="00BD60FE"/>
    <w:rsid w:val="00BD65C5"/>
    <w:rsid w:val="00BD6C2C"/>
    <w:rsid w:val="00BD70F9"/>
    <w:rsid w:val="00BD7AB6"/>
    <w:rsid w:val="00BD7B26"/>
    <w:rsid w:val="00BD7F24"/>
    <w:rsid w:val="00BE02FC"/>
    <w:rsid w:val="00BE07A4"/>
    <w:rsid w:val="00BE0969"/>
    <w:rsid w:val="00BE108E"/>
    <w:rsid w:val="00BE23B3"/>
    <w:rsid w:val="00BE3956"/>
    <w:rsid w:val="00BE3C43"/>
    <w:rsid w:val="00BE46C5"/>
    <w:rsid w:val="00BE4B5A"/>
    <w:rsid w:val="00BE5427"/>
    <w:rsid w:val="00BE5605"/>
    <w:rsid w:val="00BE5894"/>
    <w:rsid w:val="00BE65B2"/>
    <w:rsid w:val="00BE7708"/>
    <w:rsid w:val="00BE781E"/>
    <w:rsid w:val="00BF02FA"/>
    <w:rsid w:val="00BF0B73"/>
    <w:rsid w:val="00BF0E8E"/>
    <w:rsid w:val="00BF11ED"/>
    <w:rsid w:val="00BF1581"/>
    <w:rsid w:val="00BF1FFF"/>
    <w:rsid w:val="00BF2871"/>
    <w:rsid w:val="00BF30F1"/>
    <w:rsid w:val="00BF3817"/>
    <w:rsid w:val="00BF3CF2"/>
    <w:rsid w:val="00BF4199"/>
    <w:rsid w:val="00BF460F"/>
    <w:rsid w:val="00BF4860"/>
    <w:rsid w:val="00BF4941"/>
    <w:rsid w:val="00BF5BE3"/>
    <w:rsid w:val="00BF7012"/>
    <w:rsid w:val="00BF75E3"/>
    <w:rsid w:val="00BF7ACA"/>
    <w:rsid w:val="00C010E7"/>
    <w:rsid w:val="00C0118F"/>
    <w:rsid w:val="00C011C0"/>
    <w:rsid w:val="00C01421"/>
    <w:rsid w:val="00C017D2"/>
    <w:rsid w:val="00C01918"/>
    <w:rsid w:val="00C0205C"/>
    <w:rsid w:val="00C0331E"/>
    <w:rsid w:val="00C035C6"/>
    <w:rsid w:val="00C037FF"/>
    <w:rsid w:val="00C0385F"/>
    <w:rsid w:val="00C04220"/>
    <w:rsid w:val="00C047C4"/>
    <w:rsid w:val="00C05BFD"/>
    <w:rsid w:val="00C068C9"/>
    <w:rsid w:val="00C0732F"/>
    <w:rsid w:val="00C07BC7"/>
    <w:rsid w:val="00C07E96"/>
    <w:rsid w:val="00C10938"/>
    <w:rsid w:val="00C118E1"/>
    <w:rsid w:val="00C12146"/>
    <w:rsid w:val="00C12AC6"/>
    <w:rsid w:val="00C12F0A"/>
    <w:rsid w:val="00C13142"/>
    <w:rsid w:val="00C13367"/>
    <w:rsid w:val="00C1464D"/>
    <w:rsid w:val="00C14F38"/>
    <w:rsid w:val="00C16618"/>
    <w:rsid w:val="00C16928"/>
    <w:rsid w:val="00C17CD2"/>
    <w:rsid w:val="00C2014F"/>
    <w:rsid w:val="00C20681"/>
    <w:rsid w:val="00C2088F"/>
    <w:rsid w:val="00C20B92"/>
    <w:rsid w:val="00C213F7"/>
    <w:rsid w:val="00C218DF"/>
    <w:rsid w:val="00C220CF"/>
    <w:rsid w:val="00C220EF"/>
    <w:rsid w:val="00C22164"/>
    <w:rsid w:val="00C225E8"/>
    <w:rsid w:val="00C233EC"/>
    <w:rsid w:val="00C23926"/>
    <w:rsid w:val="00C2478D"/>
    <w:rsid w:val="00C2497B"/>
    <w:rsid w:val="00C25001"/>
    <w:rsid w:val="00C2797B"/>
    <w:rsid w:val="00C305B8"/>
    <w:rsid w:val="00C306AD"/>
    <w:rsid w:val="00C30CF8"/>
    <w:rsid w:val="00C31752"/>
    <w:rsid w:val="00C320EA"/>
    <w:rsid w:val="00C3234A"/>
    <w:rsid w:val="00C32F9C"/>
    <w:rsid w:val="00C33437"/>
    <w:rsid w:val="00C3389C"/>
    <w:rsid w:val="00C3427F"/>
    <w:rsid w:val="00C34D3E"/>
    <w:rsid w:val="00C350F2"/>
    <w:rsid w:val="00C35282"/>
    <w:rsid w:val="00C360EE"/>
    <w:rsid w:val="00C363E5"/>
    <w:rsid w:val="00C4045E"/>
    <w:rsid w:val="00C40580"/>
    <w:rsid w:val="00C4131A"/>
    <w:rsid w:val="00C414F9"/>
    <w:rsid w:val="00C4174A"/>
    <w:rsid w:val="00C425E4"/>
    <w:rsid w:val="00C42812"/>
    <w:rsid w:val="00C4324A"/>
    <w:rsid w:val="00C4376B"/>
    <w:rsid w:val="00C44773"/>
    <w:rsid w:val="00C44BCD"/>
    <w:rsid w:val="00C44EFF"/>
    <w:rsid w:val="00C44F80"/>
    <w:rsid w:val="00C4556C"/>
    <w:rsid w:val="00C4602B"/>
    <w:rsid w:val="00C462BB"/>
    <w:rsid w:val="00C46997"/>
    <w:rsid w:val="00C47A3C"/>
    <w:rsid w:val="00C47BC1"/>
    <w:rsid w:val="00C506EA"/>
    <w:rsid w:val="00C514D8"/>
    <w:rsid w:val="00C51CFD"/>
    <w:rsid w:val="00C527DD"/>
    <w:rsid w:val="00C5348D"/>
    <w:rsid w:val="00C537F8"/>
    <w:rsid w:val="00C53B7B"/>
    <w:rsid w:val="00C53C7E"/>
    <w:rsid w:val="00C53CF4"/>
    <w:rsid w:val="00C53E34"/>
    <w:rsid w:val="00C558B5"/>
    <w:rsid w:val="00C55BD2"/>
    <w:rsid w:val="00C564E3"/>
    <w:rsid w:val="00C567DF"/>
    <w:rsid w:val="00C5688B"/>
    <w:rsid w:val="00C568FE"/>
    <w:rsid w:val="00C56E77"/>
    <w:rsid w:val="00C57B58"/>
    <w:rsid w:val="00C6115A"/>
    <w:rsid w:val="00C61251"/>
    <w:rsid w:val="00C6171C"/>
    <w:rsid w:val="00C61A8D"/>
    <w:rsid w:val="00C61DF0"/>
    <w:rsid w:val="00C62370"/>
    <w:rsid w:val="00C63CBA"/>
    <w:rsid w:val="00C64AD3"/>
    <w:rsid w:val="00C6526C"/>
    <w:rsid w:val="00C656CF"/>
    <w:rsid w:val="00C65AFA"/>
    <w:rsid w:val="00C66185"/>
    <w:rsid w:val="00C67A9E"/>
    <w:rsid w:val="00C67DAC"/>
    <w:rsid w:val="00C70338"/>
    <w:rsid w:val="00C7045B"/>
    <w:rsid w:val="00C70F5F"/>
    <w:rsid w:val="00C714AB"/>
    <w:rsid w:val="00C71E4C"/>
    <w:rsid w:val="00C71FFE"/>
    <w:rsid w:val="00C722DC"/>
    <w:rsid w:val="00C73980"/>
    <w:rsid w:val="00C74227"/>
    <w:rsid w:val="00C74D9F"/>
    <w:rsid w:val="00C7528A"/>
    <w:rsid w:val="00C753E7"/>
    <w:rsid w:val="00C75642"/>
    <w:rsid w:val="00C7598F"/>
    <w:rsid w:val="00C75D26"/>
    <w:rsid w:val="00C76EDE"/>
    <w:rsid w:val="00C77738"/>
    <w:rsid w:val="00C77A46"/>
    <w:rsid w:val="00C806BC"/>
    <w:rsid w:val="00C80BA1"/>
    <w:rsid w:val="00C81FE7"/>
    <w:rsid w:val="00C8289D"/>
    <w:rsid w:val="00C83782"/>
    <w:rsid w:val="00C83B73"/>
    <w:rsid w:val="00C83C5E"/>
    <w:rsid w:val="00C84D84"/>
    <w:rsid w:val="00C85BB6"/>
    <w:rsid w:val="00C86050"/>
    <w:rsid w:val="00C867D6"/>
    <w:rsid w:val="00C873AB"/>
    <w:rsid w:val="00C87CD2"/>
    <w:rsid w:val="00C87DA9"/>
    <w:rsid w:val="00C87EDC"/>
    <w:rsid w:val="00C9008B"/>
    <w:rsid w:val="00C90337"/>
    <w:rsid w:val="00C90F9D"/>
    <w:rsid w:val="00C911F7"/>
    <w:rsid w:val="00C91495"/>
    <w:rsid w:val="00C91A77"/>
    <w:rsid w:val="00C91BA5"/>
    <w:rsid w:val="00C91DDC"/>
    <w:rsid w:val="00C92892"/>
    <w:rsid w:val="00C9299A"/>
    <w:rsid w:val="00C92F54"/>
    <w:rsid w:val="00C935E6"/>
    <w:rsid w:val="00C94091"/>
    <w:rsid w:val="00C967E7"/>
    <w:rsid w:val="00C967E8"/>
    <w:rsid w:val="00C9788E"/>
    <w:rsid w:val="00CA0A4F"/>
    <w:rsid w:val="00CA1800"/>
    <w:rsid w:val="00CA2068"/>
    <w:rsid w:val="00CA2727"/>
    <w:rsid w:val="00CA2A5F"/>
    <w:rsid w:val="00CA2EB0"/>
    <w:rsid w:val="00CA4285"/>
    <w:rsid w:val="00CA4871"/>
    <w:rsid w:val="00CA4971"/>
    <w:rsid w:val="00CA4975"/>
    <w:rsid w:val="00CA4C19"/>
    <w:rsid w:val="00CA4D0B"/>
    <w:rsid w:val="00CA5209"/>
    <w:rsid w:val="00CA630B"/>
    <w:rsid w:val="00CA700E"/>
    <w:rsid w:val="00CA7120"/>
    <w:rsid w:val="00CA744E"/>
    <w:rsid w:val="00CA76EA"/>
    <w:rsid w:val="00CB16C2"/>
    <w:rsid w:val="00CB1D69"/>
    <w:rsid w:val="00CB1DC1"/>
    <w:rsid w:val="00CB2218"/>
    <w:rsid w:val="00CB2399"/>
    <w:rsid w:val="00CB2F62"/>
    <w:rsid w:val="00CB3917"/>
    <w:rsid w:val="00CB43D4"/>
    <w:rsid w:val="00CB4F62"/>
    <w:rsid w:val="00CB4F97"/>
    <w:rsid w:val="00CB528B"/>
    <w:rsid w:val="00CB5FB4"/>
    <w:rsid w:val="00CB6094"/>
    <w:rsid w:val="00CB6221"/>
    <w:rsid w:val="00CB7612"/>
    <w:rsid w:val="00CB7755"/>
    <w:rsid w:val="00CB77DB"/>
    <w:rsid w:val="00CC014D"/>
    <w:rsid w:val="00CC0726"/>
    <w:rsid w:val="00CC09A0"/>
    <w:rsid w:val="00CC0D5E"/>
    <w:rsid w:val="00CC1253"/>
    <w:rsid w:val="00CC1C18"/>
    <w:rsid w:val="00CC1DB7"/>
    <w:rsid w:val="00CC2918"/>
    <w:rsid w:val="00CC376D"/>
    <w:rsid w:val="00CC3D2B"/>
    <w:rsid w:val="00CC3F1F"/>
    <w:rsid w:val="00CC3FE6"/>
    <w:rsid w:val="00CC4A0F"/>
    <w:rsid w:val="00CC57D8"/>
    <w:rsid w:val="00CC5939"/>
    <w:rsid w:val="00CC5B1E"/>
    <w:rsid w:val="00CC5D01"/>
    <w:rsid w:val="00CC6DD7"/>
    <w:rsid w:val="00CD0890"/>
    <w:rsid w:val="00CD0DDA"/>
    <w:rsid w:val="00CD188B"/>
    <w:rsid w:val="00CD1D14"/>
    <w:rsid w:val="00CD2C14"/>
    <w:rsid w:val="00CD329B"/>
    <w:rsid w:val="00CD3413"/>
    <w:rsid w:val="00CD4914"/>
    <w:rsid w:val="00CD4DC2"/>
    <w:rsid w:val="00CD6012"/>
    <w:rsid w:val="00CD64A1"/>
    <w:rsid w:val="00CD659F"/>
    <w:rsid w:val="00CD75E3"/>
    <w:rsid w:val="00CE01CC"/>
    <w:rsid w:val="00CE04C4"/>
    <w:rsid w:val="00CE0BC1"/>
    <w:rsid w:val="00CE1807"/>
    <w:rsid w:val="00CE22A1"/>
    <w:rsid w:val="00CE261D"/>
    <w:rsid w:val="00CE3270"/>
    <w:rsid w:val="00CE34EF"/>
    <w:rsid w:val="00CE3996"/>
    <w:rsid w:val="00CE3D6F"/>
    <w:rsid w:val="00CE52C0"/>
    <w:rsid w:val="00CE67E9"/>
    <w:rsid w:val="00CE7338"/>
    <w:rsid w:val="00CE747B"/>
    <w:rsid w:val="00CE7A59"/>
    <w:rsid w:val="00CF0490"/>
    <w:rsid w:val="00CF12A6"/>
    <w:rsid w:val="00CF20ED"/>
    <w:rsid w:val="00CF2505"/>
    <w:rsid w:val="00CF2D6D"/>
    <w:rsid w:val="00CF31E8"/>
    <w:rsid w:val="00CF31F9"/>
    <w:rsid w:val="00CF32A0"/>
    <w:rsid w:val="00CF3A6C"/>
    <w:rsid w:val="00CF3C29"/>
    <w:rsid w:val="00CF4052"/>
    <w:rsid w:val="00CF49B5"/>
    <w:rsid w:val="00CF5A29"/>
    <w:rsid w:val="00CF6500"/>
    <w:rsid w:val="00CF661B"/>
    <w:rsid w:val="00D000E6"/>
    <w:rsid w:val="00D00190"/>
    <w:rsid w:val="00D001F7"/>
    <w:rsid w:val="00D004F0"/>
    <w:rsid w:val="00D008B4"/>
    <w:rsid w:val="00D00B77"/>
    <w:rsid w:val="00D00D3E"/>
    <w:rsid w:val="00D018D9"/>
    <w:rsid w:val="00D01C4C"/>
    <w:rsid w:val="00D01D08"/>
    <w:rsid w:val="00D02D0C"/>
    <w:rsid w:val="00D037CD"/>
    <w:rsid w:val="00D04456"/>
    <w:rsid w:val="00D05140"/>
    <w:rsid w:val="00D05A08"/>
    <w:rsid w:val="00D05CD5"/>
    <w:rsid w:val="00D06915"/>
    <w:rsid w:val="00D06D91"/>
    <w:rsid w:val="00D07F09"/>
    <w:rsid w:val="00D10908"/>
    <w:rsid w:val="00D10CE8"/>
    <w:rsid w:val="00D118CD"/>
    <w:rsid w:val="00D12B13"/>
    <w:rsid w:val="00D13054"/>
    <w:rsid w:val="00D1639A"/>
    <w:rsid w:val="00D1734B"/>
    <w:rsid w:val="00D17F7A"/>
    <w:rsid w:val="00D17FA4"/>
    <w:rsid w:val="00D2001A"/>
    <w:rsid w:val="00D20493"/>
    <w:rsid w:val="00D2057A"/>
    <w:rsid w:val="00D21ADD"/>
    <w:rsid w:val="00D21D36"/>
    <w:rsid w:val="00D21DD8"/>
    <w:rsid w:val="00D21E33"/>
    <w:rsid w:val="00D22D99"/>
    <w:rsid w:val="00D234FC"/>
    <w:rsid w:val="00D2398D"/>
    <w:rsid w:val="00D23A9A"/>
    <w:rsid w:val="00D23F43"/>
    <w:rsid w:val="00D24013"/>
    <w:rsid w:val="00D24CF4"/>
    <w:rsid w:val="00D25E73"/>
    <w:rsid w:val="00D25EA5"/>
    <w:rsid w:val="00D261B5"/>
    <w:rsid w:val="00D266DB"/>
    <w:rsid w:val="00D266F6"/>
    <w:rsid w:val="00D27684"/>
    <w:rsid w:val="00D30F1C"/>
    <w:rsid w:val="00D30F97"/>
    <w:rsid w:val="00D3264F"/>
    <w:rsid w:val="00D330C4"/>
    <w:rsid w:val="00D33BE5"/>
    <w:rsid w:val="00D34295"/>
    <w:rsid w:val="00D34CB4"/>
    <w:rsid w:val="00D3534B"/>
    <w:rsid w:val="00D366E6"/>
    <w:rsid w:val="00D368D5"/>
    <w:rsid w:val="00D36CE0"/>
    <w:rsid w:val="00D376EC"/>
    <w:rsid w:val="00D37FA8"/>
    <w:rsid w:val="00D406D8"/>
    <w:rsid w:val="00D409D1"/>
    <w:rsid w:val="00D41A6F"/>
    <w:rsid w:val="00D42323"/>
    <w:rsid w:val="00D42A83"/>
    <w:rsid w:val="00D42F28"/>
    <w:rsid w:val="00D43CD1"/>
    <w:rsid w:val="00D44A09"/>
    <w:rsid w:val="00D44DDE"/>
    <w:rsid w:val="00D45AC7"/>
    <w:rsid w:val="00D462F5"/>
    <w:rsid w:val="00D46522"/>
    <w:rsid w:val="00D4660B"/>
    <w:rsid w:val="00D46BDC"/>
    <w:rsid w:val="00D474BD"/>
    <w:rsid w:val="00D506CA"/>
    <w:rsid w:val="00D51410"/>
    <w:rsid w:val="00D52B5A"/>
    <w:rsid w:val="00D52E46"/>
    <w:rsid w:val="00D52E59"/>
    <w:rsid w:val="00D538E1"/>
    <w:rsid w:val="00D53F23"/>
    <w:rsid w:val="00D548BA"/>
    <w:rsid w:val="00D5575D"/>
    <w:rsid w:val="00D5599D"/>
    <w:rsid w:val="00D55A52"/>
    <w:rsid w:val="00D56F1E"/>
    <w:rsid w:val="00D57E21"/>
    <w:rsid w:val="00D57FDE"/>
    <w:rsid w:val="00D6063C"/>
    <w:rsid w:val="00D60899"/>
    <w:rsid w:val="00D60BE2"/>
    <w:rsid w:val="00D6317F"/>
    <w:rsid w:val="00D6342A"/>
    <w:rsid w:val="00D65D7B"/>
    <w:rsid w:val="00D66591"/>
    <w:rsid w:val="00D669BF"/>
    <w:rsid w:val="00D66BC2"/>
    <w:rsid w:val="00D66CB6"/>
    <w:rsid w:val="00D70401"/>
    <w:rsid w:val="00D704CA"/>
    <w:rsid w:val="00D706DB"/>
    <w:rsid w:val="00D71C98"/>
    <w:rsid w:val="00D7441C"/>
    <w:rsid w:val="00D744A2"/>
    <w:rsid w:val="00D745D2"/>
    <w:rsid w:val="00D755C3"/>
    <w:rsid w:val="00D76504"/>
    <w:rsid w:val="00D765D0"/>
    <w:rsid w:val="00D767FA"/>
    <w:rsid w:val="00D76D45"/>
    <w:rsid w:val="00D77377"/>
    <w:rsid w:val="00D7751F"/>
    <w:rsid w:val="00D776BB"/>
    <w:rsid w:val="00D77C2B"/>
    <w:rsid w:val="00D77C72"/>
    <w:rsid w:val="00D803B4"/>
    <w:rsid w:val="00D80692"/>
    <w:rsid w:val="00D80851"/>
    <w:rsid w:val="00D80B0E"/>
    <w:rsid w:val="00D81247"/>
    <w:rsid w:val="00D816CD"/>
    <w:rsid w:val="00D81FEC"/>
    <w:rsid w:val="00D82513"/>
    <w:rsid w:val="00D82733"/>
    <w:rsid w:val="00D82B5A"/>
    <w:rsid w:val="00D82BCB"/>
    <w:rsid w:val="00D835AA"/>
    <w:rsid w:val="00D845AE"/>
    <w:rsid w:val="00D85871"/>
    <w:rsid w:val="00D86BA2"/>
    <w:rsid w:val="00D87381"/>
    <w:rsid w:val="00D8769C"/>
    <w:rsid w:val="00D87F80"/>
    <w:rsid w:val="00D905CB"/>
    <w:rsid w:val="00D905FF"/>
    <w:rsid w:val="00D908C5"/>
    <w:rsid w:val="00D909BF"/>
    <w:rsid w:val="00D90B1F"/>
    <w:rsid w:val="00D90F0D"/>
    <w:rsid w:val="00D914B0"/>
    <w:rsid w:val="00D91CE7"/>
    <w:rsid w:val="00D92F45"/>
    <w:rsid w:val="00D93C16"/>
    <w:rsid w:val="00D941D8"/>
    <w:rsid w:val="00D94621"/>
    <w:rsid w:val="00D94A66"/>
    <w:rsid w:val="00D95BD6"/>
    <w:rsid w:val="00D95C1B"/>
    <w:rsid w:val="00D95DBA"/>
    <w:rsid w:val="00D96B86"/>
    <w:rsid w:val="00D970D8"/>
    <w:rsid w:val="00D973DB"/>
    <w:rsid w:val="00D97477"/>
    <w:rsid w:val="00D975E5"/>
    <w:rsid w:val="00D97653"/>
    <w:rsid w:val="00D97713"/>
    <w:rsid w:val="00D97D89"/>
    <w:rsid w:val="00D97E86"/>
    <w:rsid w:val="00DA09E7"/>
    <w:rsid w:val="00DA0C1F"/>
    <w:rsid w:val="00DA0C87"/>
    <w:rsid w:val="00DA1062"/>
    <w:rsid w:val="00DA1237"/>
    <w:rsid w:val="00DA2CE3"/>
    <w:rsid w:val="00DA34A1"/>
    <w:rsid w:val="00DA3639"/>
    <w:rsid w:val="00DA38E1"/>
    <w:rsid w:val="00DA4B36"/>
    <w:rsid w:val="00DA4C8C"/>
    <w:rsid w:val="00DA4F18"/>
    <w:rsid w:val="00DA50C5"/>
    <w:rsid w:val="00DA53B3"/>
    <w:rsid w:val="00DA68CF"/>
    <w:rsid w:val="00DA6A35"/>
    <w:rsid w:val="00DA73EA"/>
    <w:rsid w:val="00DA762F"/>
    <w:rsid w:val="00DB19AA"/>
    <w:rsid w:val="00DB33E1"/>
    <w:rsid w:val="00DB37C7"/>
    <w:rsid w:val="00DB48C9"/>
    <w:rsid w:val="00DB496D"/>
    <w:rsid w:val="00DB4A82"/>
    <w:rsid w:val="00DB4BC5"/>
    <w:rsid w:val="00DB6D62"/>
    <w:rsid w:val="00DC1394"/>
    <w:rsid w:val="00DC1691"/>
    <w:rsid w:val="00DC174E"/>
    <w:rsid w:val="00DC1916"/>
    <w:rsid w:val="00DC19BE"/>
    <w:rsid w:val="00DC1C37"/>
    <w:rsid w:val="00DC1D59"/>
    <w:rsid w:val="00DC1FFE"/>
    <w:rsid w:val="00DC21CF"/>
    <w:rsid w:val="00DC234A"/>
    <w:rsid w:val="00DC248B"/>
    <w:rsid w:val="00DC26B6"/>
    <w:rsid w:val="00DC2855"/>
    <w:rsid w:val="00DC2BEB"/>
    <w:rsid w:val="00DC37BF"/>
    <w:rsid w:val="00DC4541"/>
    <w:rsid w:val="00DC4910"/>
    <w:rsid w:val="00DC66AF"/>
    <w:rsid w:val="00DC679A"/>
    <w:rsid w:val="00DC6AC2"/>
    <w:rsid w:val="00DC7475"/>
    <w:rsid w:val="00DC77CD"/>
    <w:rsid w:val="00DD062C"/>
    <w:rsid w:val="00DD0672"/>
    <w:rsid w:val="00DD0896"/>
    <w:rsid w:val="00DD08E7"/>
    <w:rsid w:val="00DD1390"/>
    <w:rsid w:val="00DD1C6B"/>
    <w:rsid w:val="00DD1D12"/>
    <w:rsid w:val="00DD23CA"/>
    <w:rsid w:val="00DD2BB5"/>
    <w:rsid w:val="00DD2C08"/>
    <w:rsid w:val="00DD2E2A"/>
    <w:rsid w:val="00DD2EE3"/>
    <w:rsid w:val="00DD3ECE"/>
    <w:rsid w:val="00DD4392"/>
    <w:rsid w:val="00DD589D"/>
    <w:rsid w:val="00DD5ED9"/>
    <w:rsid w:val="00DD6133"/>
    <w:rsid w:val="00DD645D"/>
    <w:rsid w:val="00DD68F2"/>
    <w:rsid w:val="00DD6C2E"/>
    <w:rsid w:val="00DD72DB"/>
    <w:rsid w:val="00DD7D10"/>
    <w:rsid w:val="00DD7DEA"/>
    <w:rsid w:val="00DE0B58"/>
    <w:rsid w:val="00DE0E81"/>
    <w:rsid w:val="00DE1880"/>
    <w:rsid w:val="00DE192C"/>
    <w:rsid w:val="00DE1F60"/>
    <w:rsid w:val="00DE249F"/>
    <w:rsid w:val="00DE2647"/>
    <w:rsid w:val="00DE32E2"/>
    <w:rsid w:val="00DE3965"/>
    <w:rsid w:val="00DE39BF"/>
    <w:rsid w:val="00DE3C3C"/>
    <w:rsid w:val="00DE3E0D"/>
    <w:rsid w:val="00DE40F2"/>
    <w:rsid w:val="00DE4346"/>
    <w:rsid w:val="00DE4852"/>
    <w:rsid w:val="00DE4DBD"/>
    <w:rsid w:val="00DE5BAF"/>
    <w:rsid w:val="00DE5D30"/>
    <w:rsid w:val="00DE6047"/>
    <w:rsid w:val="00DE6AA8"/>
    <w:rsid w:val="00DE6ABF"/>
    <w:rsid w:val="00DF00BF"/>
    <w:rsid w:val="00DF0EE1"/>
    <w:rsid w:val="00DF16E8"/>
    <w:rsid w:val="00DF1D33"/>
    <w:rsid w:val="00DF205C"/>
    <w:rsid w:val="00DF25D3"/>
    <w:rsid w:val="00DF2AC1"/>
    <w:rsid w:val="00DF35AA"/>
    <w:rsid w:val="00DF3BBE"/>
    <w:rsid w:val="00DF3E22"/>
    <w:rsid w:val="00DF3E38"/>
    <w:rsid w:val="00DF4158"/>
    <w:rsid w:val="00DF416D"/>
    <w:rsid w:val="00DF503C"/>
    <w:rsid w:val="00DF5695"/>
    <w:rsid w:val="00DF57F2"/>
    <w:rsid w:val="00DF5827"/>
    <w:rsid w:val="00DF5D4B"/>
    <w:rsid w:val="00DF6EE8"/>
    <w:rsid w:val="00E001CE"/>
    <w:rsid w:val="00E00510"/>
    <w:rsid w:val="00E00743"/>
    <w:rsid w:val="00E023AE"/>
    <w:rsid w:val="00E0244D"/>
    <w:rsid w:val="00E032E9"/>
    <w:rsid w:val="00E0333F"/>
    <w:rsid w:val="00E03BB4"/>
    <w:rsid w:val="00E04BC9"/>
    <w:rsid w:val="00E052BB"/>
    <w:rsid w:val="00E05523"/>
    <w:rsid w:val="00E05CF0"/>
    <w:rsid w:val="00E066C3"/>
    <w:rsid w:val="00E06AD1"/>
    <w:rsid w:val="00E06F98"/>
    <w:rsid w:val="00E06FBE"/>
    <w:rsid w:val="00E07258"/>
    <w:rsid w:val="00E07791"/>
    <w:rsid w:val="00E07B2A"/>
    <w:rsid w:val="00E07FF0"/>
    <w:rsid w:val="00E1052D"/>
    <w:rsid w:val="00E12233"/>
    <w:rsid w:val="00E137FA"/>
    <w:rsid w:val="00E1387D"/>
    <w:rsid w:val="00E13DB0"/>
    <w:rsid w:val="00E144BA"/>
    <w:rsid w:val="00E14EAD"/>
    <w:rsid w:val="00E1521A"/>
    <w:rsid w:val="00E152BB"/>
    <w:rsid w:val="00E15602"/>
    <w:rsid w:val="00E1663E"/>
    <w:rsid w:val="00E16CE8"/>
    <w:rsid w:val="00E174B1"/>
    <w:rsid w:val="00E17EF2"/>
    <w:rsid w:val="00E20858"/>
    <w:rsid w:val="00E20A2E"/>
    <w:rsid w:val="00E20A91"/>
    <w:rsid w:val="00E20AFE"/>
    <w:rsid w:val="00E21182"/>
    <w:rsid w:val="00E213D6"/>
    <w:rsid w:val="00E2152C"/>
    <w:rsid w:val="00E22F76"/>
    <w:rsid w:val="00E22FE3"/>
    <w:rsid w:val="00E23B45"/>
    <w:rsid w:val="00E241F4"/>
    <w:rsid w:val="00E249A9"/>
    <w:rsid w:val="00E24DE4"/>
    <w:rsid w:val="00E24EAA"/>
    <w:rsid w:val="00E27467"/>
    <w:rsid w:val="00E27F75"/>
    <w:rsid w:val="00E27FA1"/>
    <w:rsid w:val="00E3106A"/>
    <w:rsid w:val="00E320F9"/>
    <w:rsid w:val="00E3248A"/>
    <w:rsid w:val="00E32D02"/>
    <w:rsid w:val="00E32E31"/>
    <w:rsid w:val="00E331D7"/>
    <w:rsid w:val="00E338F1"/>
    <w:rsid w:val="00E33E91"/>
    <w:rsid w:val="00E34624"/>
    <w:rsid w:val="00E3491E"/>
    <w:rsid w:val="00E34A56"/>
    <w:rsid w:val="00E3531E"/>
    <w:rsid w:val="00E35432"/>
    <w:rsid w:val="00E35A50"/>
    <w:rsid w:val="00E36677"/>
    <w:rsid w:val="00E37602"/>
    <w:rsid w:val="00E40010"/>
    <w:rsid w:val="00E414C3"/>
    <w:rsid w:val="00E424EA"/>
    <w:rsid w:val="00E427DA"/>
    <w:rsid w:val="00E427FF"/>
    <w:rsid w:val="00E43638"/>
    <w:rsid w:val="00E43C70"/>
    <w:rsid w:val="00E43DAD"/>
    <w:rsid w:val="00E442A2"/>
    <w:rsid w:val="00E44818"/>
    <w:rsid w:val="00E45540"/>
    <w:rsid w:val="00E45B68"/>
    <w:rsid w:val="00E46051"/>
    <w:rsid w:val="00E460A2"/>
    <w:rsid w:val="00E46F79"/>
    <w:rsid w:val="00E50023"/>
    <w:rsid w:val="00E50951"/>
    <w:rsid w:val="00E50A1E"/>
    <w:rsid w:val="00E516E9"/>
    <w:rsid w:val="00E51B70"/>
    <w:rsid w:val="00E52083"/>
    <w:rsid w:val="00E520AC"/>
    <w:rsid w:val="00E5269C"/>
    <w:rsid w:val="00E52FF1"/>
    <w:rsid w:val="00E54810"/>
    <w:rsid w:val="00E54C50"/>
    <w:rsid w:val="00E55147"/>
    <w:rsid w:val="00E55B68"/>
    <w:rsid w:val="00E55CBE"/>
    <w:rsid w:val="00E56216"/>
    <w:rsid w:val="00E56280"/>
    <w:rsid w:val="00E563E3"/>
    <w:rsid w:val="00E56D15"/>
    <w:rsid w:val="00E572DA"/>
    <w:rsid w:val="00E602CC"/>
    <w:rsid w:val="00E604E1"/>
    <w:rsid w:val="00E60F19"/>
    <w:rsid w:val="00E61224"/>
    <w:rsid w:val="00E6363A"/>
    <w:rsid w:val="00E646EE"/>
    <w:rsid w:val="00E65536"/>
    <w:rsid w:val="00E6662D"/>
    <w:rsid w:val="00E66669"/>
    <w:rsid w:val="00E667B5"/>
    <w:rsid w:val="00E66EB8"/>
    <w:rsid w:val="00E67154"/>
    <w:rsid w:val="00E67200"/>
    <w:rsid w:val="00E6738B"/>
    <w:rsid w:val="00E67801"/>
    <w:rsid w:val="00E67914"/>
    <w:rsid w:val="00E67B45"/>
    <w:rsid w:val="00E7116B"/>
    <w:rsid w:val="00E71609"/>
    <w:rsid w:val="00E719C9"/>
    <w:rsid w:val="00E73A63"/>
    <w:rsid w:val="00E73ADC"/>
    <w:rsid w:val="00E73D21"/>
    <w:rsid w:val="00E74AA0"/>
    <w:rsid w:val="00E74E43"/>
    <w:rsid w:val="00E74EFA"/>
    <w:rsid w:val="00E7512D"/>
    <w:rsid w:val="00E75F84"/>
    <w:rsid w:val="00E76238"/>
    <w:rsid w:val="00E76739"/>
    <w:rsid w:val="00E76D38"/>
    <w:rsid w:val="00E77176"/>
    <w:rsid w:val="00E8018E"/>
    <w:rsid w:val="00E805E0"/>
    <w:rsid w:val="00E80A2C"/>
    <w:rsid w:val="00E81501"/>
    <w:rsid w:val="00E81D4B"/>
    <w:rsid w:val="00E82A4A"/>
    <w:rsid w:val="00E832E0"/>
    <w:rsid w:val="00E83F7F"/>
    <w:rsid w:val="00E84C50"/>
    <w:rsid w:val="00E84D61"/>
    <w:rsid w:val="00E855D1"/>
    <w:rsid w:val="00E874EC"/>
    <w:rsid w:val="00E879BE"/>
    <w:rsid w:val="00E91862"/>
    <w:rsid w:val="00E91D2E"/>
    <w:rsid w:val="00E92483"/>
    <w:rsid w:val="00E92904"/>
    <w:rsid w:val="00E92BBC"/>
    <w:rsid w:val="00E9363A"/>
    <w:rsid w:val="00E947CA"/>
    <w:rsid w:val="00E96528"/>
    <w:rsid w:val="00E96799"/>
    <w:rsid w:val="00E97B76"/>
    <w:rsid w:val="00EA00AE"/>
    <w:rsid w:val="00EA0C1F"/>
    <w:rsid w:val="00EA0DD9"/>
    <w:rsid w:val="00EA2117"/>
    <w:rsid w:val="00EA246E"/>
    <w:rsid w:val="00EA28A7"/>
    <w:rsid w:val="00EA2C83"/>
    <w:rsid w:val="00EA320A"/>
    <w:rsid w:val="00EA34EE"/>
    <w:rsid w:val="00EA4D04"/>
    <w:rsid w:val="00EA5281"/>
    <w:rsid w:val="00EA6069"/>
    <w:rsid w:val="00EA6A81"/>
    <w:rsid w:val="00EA6CC3"/>
    <w:rsid w:val="00EA6FCB"/>
    <w:rsid w:val="00EA756B"/>
    <w:rsid w:val="00EA76D9"/>
    <w:rsid w:val="00EA7B13"/>
    <w:rsid w:val="00EB0371"/>
    <w:rsid w:val="00EB072F"/>
    <w:rsid w:val="00EB085C"/>
    <w:rsid w:val="00EB12DB"/>
    <w:rsid w:val="00EB1CB2"/>
    <w:rsid w:val="00EB1FCE"/>
    <w:rsid w:val="00EB2122"/>
    <w:rsid w:val="00EB237F"/>
    <w:rsid w:val="00EB2414"/>
    <w:rsid w:val="00EB2A44"/>
    <w:rsid w:val="00EB38F2"/>
    <w:rsid w:val="00EB3983"/>
    <w:rsid w:val="00EB3C1A"/>
    <w:rsid w:val="00EB4389"/>
    <w:rsid w:val="00EB5396"/>
    <w:rsid w:val="00EB5449"/>
    <w:rsid w:val="00EB5E12"/>
    <w:rsid w:val="00EB61EB"/>
    <w:rsid w:val="00EB620E"/>
    <w:rsid w:val="00EB658E"/>
    <w:rsid w:val="00EB67C3"/>
    <w:rsid w:val="00EB7D5A"/>
    <w:rsid w:val="00EC0E56"/>
    <w:rsid w:val="00EC2644"/>
    <w:rsid w:val="00EC3340"/>
    <w:rsid w:val="00EC36D9"/>
    <w:rsid w:val="00EC3893"/>
    <w:rsid w:val="00EC3A47"/>
    <w:rsid w:val="00EC3B93"/>
    <w:rsid w:val="00EC40A5"/>
    <w:rsid w:val="00EC44D2"/>
    <w:rsid w:val="00EC4B23"/>
    <w:rsid w:val="00EC53C2"/>
    <w:rsid w:val="00EC60E9"/>
    <w:rsid w:val="00EC7980"/>
    <w:rsid w:val="00EC7E5D"/>
    <w:rsid w:val="00ED02AF"/>
    <w:rsid w:val="00ED0512"/>
    <w:rsid w:val="00ED06F2"/>
    <w:rsid w:val="00ED19DF"/>
    <w:rsid w:val="00ED1B03"/>
    <w:rsid w:val="00ED278B"/>
    <w:rsid w:val="00ED3019"/>
    <w:rsid w:val="00ED3A73"/>
    <w:rsid w:val="00ED3F07"/>
    <w:rsid w:val="00ED4399"/>
    <w:rsid w:val="00ED46E8"/>
    <w:rsid w:val="00ED4C19"/>
    <w:rsid w:val="00ED4DCF"/>
    <w:rsid w:val="00ED5565"/>
    <w:rsid w:val="00ED57B9"/>
    <w:rsid w:val="00ED5B88"/>
    <w:rsid w:val="00ED5F34"/>
    <w:rsid w:val="00ED629D"/>
    <w:rsid w:val="00EE0089"/>
    <w:rsid w:val="00EE0E21"/>
    <w:rsid w:val="00EE126B"/>
    <w:rsid w:val="00EE177A"/>
    <w:rsid w:val="00EE1AC3"/>
    <w:rsid w:val="00EE23D7"/>
    <w:rsid w:val="00EE25D5"/>
    <w:rsid w:val="00EE287E"/>
    <w:rsid w:val="00EE3010"/>
    <w:rsid w:val="00EE31D5"/>
    <w:rsid w:val="00EE548E"/>
    <w:rsid w:val="00EE6339"/>
    <w:rsid w:val="00EE6739"/>
    <w:rsid w:val="00EF049A"/>
    <w:rsid w:val="00EF0737"/>
    <w:rsid w:val="00EF0F89"/>
    <w:rsid w:val="00EF1D56"/>
    <w:rsid w:val="00EF2AF2"/>
    <w:rsid w:val="00EF2F40"/>
    <w:rsid w:val="00EF3546"/>
    <w:rsid w:val="00EF5115"/>
    <w:rsid w:val="00EF5D78"/>
    <w:rsid w:val="00EF5EF8"/>
    <w:rsid w:val="00EF5F19"/>
    <w:rsid w:val="00EF6D65"/>
    <w:rsid w:val="00EF797D"/>
    <w:rsid w:val="00F0068C"/>
    <w:rsid w:val="00F0097C"/>
    <w:rsid w:val="00F0179C"/>
    <w:rsid w:val="00F02600"/>
    <w:rsid w:val="00F03112"/>
    <w:rsid w:val="00F03A8F"/>
    <w:rsid w:val="00F03D16"/>
    <w:rsid w:val="00F03FAD"/>
    <w:rsid w:val="00F04449"/>
    <w:rsid w:val="00F04861"/>
    <w:rsid w:val="00F04A7B"/>
    <w:rsid w:val="00F04F0D"/>
    <w:rsid w:val="00F0533C"/>
    <w:rsid w:val="00F0572E"/>
    <w:rsid w:val="00F05C5E"/>
    <w:rsid w:val="00F05D61"/>
    <w:rsid w:val="00F06211"/>
    <w:rsid w:val="00F073C3"/>
    <w:rsid w:val="00F076DA"/>
    <w:rsid w:val="00F07E3A"/>
    <w:rsid w:val="00F1076E"/>
    <w:rsid w:val="00F11265"/>
    <w:rsid w:val="00F1178E"/>
    <w:rsid w:val="00F1204C"/>
    <w:rsid w:val="00F1206F"/>
    <w:rsid w:val="00F12C7B"/>
    <w:rsid w:val="00F1330D"/>
    <w:rsid w:val="00F13B83"/>
    <w:rsid w:val="00F1498E"/>
    <w:rsid w:val="00F14B87"/>
    <w:rsid w:val="00F1506D"/>
    <w:rsid w:val="00F1533D"/>
    <w:rsid w:val="00F16850"/>
    <w:rsid w:val="00F173A3"/>
    <w:rsid w:val="00F177E9"/>
    <w:rsid w:val="00F17AA3"/>
    <w:rsid w:val="00F17C11"/>
    <w:rsid w:val="00F2006A"/>
    <w:rsid w:val="00F201AB"/>
    <w:rsid w:val="00F203C7"/>
    <w:rsid w:val="00F204A1"/>
    <w:rsid w:val="00F207DC"/>
    <w:rsid w:val="00F22752"/>
    <w:rsid w:val="00F22FDA"/>
    <w:rsid w:val="00F23451"/>
    <w:rsid w:val="00F234B2"/>
    <w:rsid w:val="00F236E7"/>
    <w:rsid w:val="00F2458D"/>
    <w:rsid w:val="00F24FD3"/>
    <w:rsid w:val="00F25A3B"/>
    <w:rsid w:val="00F25D73"/>
    <w:rsid w:val="00F26535"/>
    <w:rsid w:val="00F26CC0"/>
    <w:rsid w:val="00F26CC9"/>
    <w:rsid w:val="00F273BF"/>
    <w:rsid w:val="00F27884"/>
    <w:rsid w:val="00F303E0"/>
    <w:rsid w:val="00F30C48"/>
    <w:rsid w:val="00F31CBE"/>
    <w:rsid w:val="00F32770"/>
    <w:rsid w:val="00F335C6"/>
    <w:rsid w:val="00F33BE6"/>
    <w:rsid w:val="00F34200"/>
    <w:rsid w:val="00F34CDD"/>
    <w:rsid w:val="00F35955"/>
    <w:rsid w:val="00F35BF0"/>
    <w:rsid w:val="00F366F5"/>
    <w:rsid w:val="00F37802"/>
    <w:rsid w:val="00F405CA"/>
    <w:rsid w:val="00F40BC4"/>
    <w:rsid w:val="00F41690"/>
    <w:rsid w:val="00F4197A"/>
    <w:rsid w:val="00F4213B"/>
    <w:rsid w:val="00F423BE"/>
    <w:rsid w:val="00F44098"/>
    <w:rsid w:val="00F44412"/>
    <w:rsid w:val="00F4567D"/>
    <w:rsid w:val="00F473F6"/>
    <w:rsid w:val="00F47A3A"/>
    <w:rsid w:val="00F508CF"/>
    <w:rsid w:val="00F52705"/>
    <w:rsid w:val="00F5288C"/>
    <w:rsid w:val="00F52B57"/>
    <w:rsid w:val="00F52F06"/>
    <w:rsid w:val="00F53A1F"/>
    <w:rsid w:val="00F53A75"/>
    <w:rsid w:val="00F55383"/>
    <w:rsid w:val="00F55C79"/>
    <w:rsid w:val="00F55FD7"/>
    <w:rsid w:val="00F5630B"/>
    <w:rsid w:val="00F567AB"/>
    <w:rsid w:val="00F5703E"/>
    <w:rsid w:val="00F5704D"/>
    <w:rsid w:val="00F60A3D"/>
    <w:rsid w:val="00F6105B"/>
    <w:rsid w:val="00F61401"/>
    <w:rsid w:val="00F618F7"/>
    <w:rsid w:val="00F61CA5"/>
    <w:rsid w:val="00F61E48"/>
    <w:rsid w:val="00F62F9E"/>
    <w:rsid w:val="00F64AA9"/>
    <w:rsid w:val="00F64C53"/>
    <w:rsid w:val="00F65D41"/>
    <w:rsid w:val="00F669FD"/>
    <w:rsid w:val="00F6708B"/>
    <w:rsid w:val="00F71CC6"/>
    <w:rsid w:val="00F720F0"/>
    <w:rsid w:val="00F72267"/>
    <w:rsid w:val="00F72607"/>
    <w:rsid w:val="00F72A97"/>
    <w:rsid w:val="00F73E1D"/>
    <w:rsid w:val="00F74206"/>
    <w:rsid w:val="00F7436E"/>
    <w:rsid w:val="00F7475B"/>
    <w:rsid w:val="00F7518C"/>
    <w:rsid w:val="00F75218"/>
    <w:rsid w:val="00F76D23"/>
    <w:rsid w:val="00F779CB"/>
    <w:rsid w:val="00F77B82"/>
    <w:rsid w:val="00F8094F"/>
    <w:rsid w:val="00F80B59"/>
    <w:rsid w:val="00F80B87"/>
    <w:rsid w:val="00F8130D"/>
    <w:rsid w:val="00F813FA"/>
    <w:rsid w:val="00F81A50"/>
    <w:rsid w:val="00F81D11"/>
    <w:rsid w:val="00F82585"/>
    <w:rsid w:val="00F82CEF"/>
    <w:rsid w:val="00F82E3D"/>
    <w:rsid w:val="00F82E67"/>
    <w:rsid w:val="00F835A5"/>
    <w:rsid w:val="00F83693"/>
    <w:rsid w:val="00F83FC5"/>
    <w:rsid w:val="00F84AD9"/>
    <w:rsid w:val="00F85F03"/>
    <w:rsid w:val="00F87545"/>
    <w:rsid w:val="00F900BC"/>
    <w:rsid w:val="00F91232"/>
    <w:rsid w:val="00F920C3"/>
    <w:rsid w:val="00F921FB"/>
    <w:rsid w:val="00F9319F"/>
    <w:rsid w:val="00F93AED"/>
    <w:rsid w:val="00F93FA7"/>
    <w:rsid w:val="00F9401C"/>
    <w:rsid w:val="00F946A3"/>
    <w:rsid w:val="00F94D13"/>
    <w:rsid w:val="00F9514A"/>
    <w:rsid w:val="00F951A9"/>
    <w:rsid w:val="00F9529C"/>
    <w:rsid w:val="00F95525"/>
    <w:rsid w:val="00F96312"/>
    <w:rsid w:val="00F96A1C"/>
    <w:rsid w:val="00F96A78"/>
    <w:rsid w:val="00F9728E"/>
    <w:rsid w:val="00F97804"/>
    <w:rsid w:val="00FA08C4"/>
    <w:rsid w:val="00FA099F"/>
    <w:rsid w:val="00FA12E3"/>
    <w:rsid w:val="00FA1A1A"/>
    <w:rsid w:val="00FA320A"/>
    <w:rsid w:val="00FA32E0"/>
    <w:rsid w:val="00FA3557"/>
    <w:rsid w:val="00FA360A"/>
    <w:rsid w:val="00FA3E3D"/>
    <w:rsid w:val="00FA4A87"/>
    <w:rsid w:val="00FA5BFC"/>
    <w:rsid w:val="00FA6B65"/>
    <w:rsid w:val="00FA73BE"/>
    <w:rsid w:val="00FA7E97"/>
    <w:rsid w:val="00FA7F2F"/>
    <w:rsid w:val="00FB0972"/>
    <w:rsid w:val="00FB1965"/>
    <w:rsid w:val="00FB1C6A"/>
    <w:rsid w:val="00FB2801"/>
    <w:rsid w:val="00FB39A9"/>
    <w:rsid w:val="00FB4849"/>
    <w:rsid w:val="00FB4C49"/>
    <w:rsid w:val="00FB5306"/>
    <w:rsid w:val="00FB5638"/>
    <w:rsid w:val="00FB5667"/>
    <w:rsid w:val="00FB5970"/>
    <w:rsid w:val="00FB5BAE"/>
    <w:rsid w:val="00FB638D"/>
    <w:rsid w:val="00FB6767"/>
    <w:rsid w:val="00FB691E"/>
    <w:rsid w:val="00FC021A"/>
    <w:rsid w:val="00FC032B"/>
    <w:rsid w:val="00FC060B"/>
    <w:rsid w:val="00FC10F3"/>
    <w:rsid w:val="00FC10FF"/>
    <w:rsid w:val="00FC148E"/>
    <w:rsid w:val="00FC18DB"/>
    <w:rsid w:val="00FC1FA2"/>
    <w:rsid w:val="00FC2552"/>
    <w:rsid w:val="00FC2A0F"/>
    <w:rsid w:val="00FC2CF8"/>
    <w:rsid w:val="00FC2E39"/>
    <w:rsid w:val="00FC3FF0"/>
    <w:rsid w:val="00FC5AA4"/>
    <w:rsid w:val="00FC5F70"/>
    <w:rsid w:val="00FC6221"/>
    <w:rsid w:val="00FC6D2B"/>
    <w:rsid w:val="00FC6DD2"/>
    <w:rsid w:val="00FC6F93"/>
    <w:rsid w:val="00FC738F"/>
    <w:rsid w:val="00FC7646"/>
    <w:rsid w:val="00FC7A74"/>
    <w:rsid w:val="00FD212B"/>
    <w:rsid w:val="00FD230B"/>
    <w:rsid w:val="00FD24B5"/>
    <w:rsid w:val="00FD27A3"/>
    <w:rsid w:val="00FD27BE"/>
    <w:rsid w:val="00FD2D47"/>
    <w:rsid w:val="00FD3B14"/>
    <w:rsid w:val="00FD5AF5"/>
    <w:rsid w:val="00FD6B15"/>
    <w:rsid w:val="00FD70C0"/>
    <w:rsid w:val="00FD7CF9"/>
    <w:rsid w:val="00FD7E7A"/>
    <w:rsid w:val="00FD7F06"/>
    <w:rsid w:val="00FE00E3"/>
    <w:rsid w:val="00FE1468"/>
    <w:rsid w:val="00FE14D6"/>
    <w:rsid w:val="00FE15B1"/>
    <w:rsid w:val="00FE19A7"/>
    <w:rsid w:val="00FE1D7B"/>
    <w:rsid w:val="00FE2FE9"/>
    <w:rsid w:val="00FE30FB"/>
    <w:rsid w:val="00FE334C"/>
    <w:rsid w:val="00FE3663"/>
    <w:rsid w:val="00FE36FB"/>
    <w:rsid w:val="00FE3E4B"/>
    <w:rsid w:val="00FE4311"/>
    <w:rsid w:val="00FE4340"/>
    <w:rsid w:val="00FE43EC"/>
    <w:rsid w:val="00FE47E2"/>
    <w:rsid w:val="00FE4B58"/>
    <w:rsid w:val="00FE51EF"/>
    <w:rsid w:val="00FE54B6"/>
    <w:rsid w:val="00FE5DE6"/>
    <w:rsid w:val="00FE5F65"/>
    <w:rsid w:val="00FE71BC"/>
    <w:rsid w:val="00FF0494"/>
    <w:rsid w:val="00FF09E1"/>
    <w:rsid w:val="00FF0AE5"/>
    <w:rsid w:val="00FF103D"/>
    <w:rsid w:val="00FF190F"/>
    <w:rsid w:val="00FF1CBF"/>
    <w:rsid w:val="00FF1D45"/>
    <w:rsid w:val="00FF23A5"/>
    <w:rsid w:val="00FF2931"/>
    <w:rsid w:val="00FF359C"/>
    <w:rsid w:val="00FF36F2"/>
    <w:rsid w:val="00FF3B42"/>
    <w:rsid w:val="00FF41F9"/>
    <w:rsid w:val="00FF49DE"/>
    <w:rsid w:val="00FF4DA3"/>
    <w:rsid w:val="00FF512A"/>
    <w:rsid w:val="00FF5447"/>
    <w:rsid w:val="00FF6074"/>
    <w:rsid w:val="00FF6123"/>
    <w:rsid w:val="00FF67B5"/>
    <w:rsid w:val="010548E7"/>
    <w:rsid w:val="011B2F48"/>
    <w:rsid w:val="0132473D"/>
    <w:rsid w:val="013C7DE3"/>
    <w:rsid w:val="014A5E2B"/>
    <w:rsid w:val="01555F71"/>
    <w:rsid w:val="015C15C8"/>
    <w:rsid w:val="016A6360"/>
    <w:rsid w:val="016B0CA7"/>
    <w:rsid w:val="017311EE"/>
    <w:rsid w:val="017E0197"/>
    <w:rsid w:val="018C4316"/>
    <w:rsid w:val="019B4B84"/>
    <w:rsid w:val="01C32C79"/>
    <w:rsid w:val="01DA25C2"/>
    <w:rsid w:val="01E65CA9"/>
    <w:rsid w:val="01EF65B9"/>
    <w:rsid w:val="020F6CE6"/>
    <w:rsid w:val="021D3C05"/>
    <w:rsid w:val="023A7385"/>
    <w:rsid w:val="024C1A38"/>
    <w:rsid w:val="02607B71"/>
    <w:rsid w:val="026466E8"/>
    <w:rsid w:val="0265787C"/>
    <w:rsid w:val="0289555D"/>
    <w:rsid w:val="02C15698"/>
    <w:rsid w:val="02D149AD"/>
    <w:rsid w:val="02DC2D3E"/>
    <w:rsid w:val="02E071C6"/>
    <w:rsid w:val="02EB2811"/>
    <w:rsid w:val="02F52A77"/>
    <w:rsid w:val="03051441"/>
    <w:rsid w:val="0308543F"/>
    <w:rsid w:val="030959CF"/>
    <w:rsid w:val="03095F3E"/>
    <w:rsid w:val="030E1DA6"/>
    <w:rsid w:val="03142DFF"/>
    <w:rsid w:val="032128ED"/>
    <w:rsid w:val="03235854"/>
    <w:rsid w:val="03276536"/>
    <w:rsid w:val="032853BC"/>
    <w:rsid w:val="032C149E"/>
    <w:rsid w:val="0333594B"/>
    <w:rsid w:val="03382D5E"/>
    <w:rsid w:val="033C405D"/>
    <w:rsid w:val="03601DDD"/>
    <w:rsid w:val="037733E8"/>
    <w:rsid w:val="03847CD4"/>
    <w:rsid w:val="03C02BF1"/>
    <w:rsid w:val="03CE13CD"/>
    <w:rsid w:val="042C75C9"/>
    <w:rsid w:val="04556D28"/>
    <w:rsid w:val="04624632"/>
    <w:rsid w:val="046A3988"/>
    <w:rsid w:val="046C21D0"/>
    <w:rsid w:val="047E366C"/>
    <w:rsid w:val="04877AE2"/>
    <w:rsid w:val="0498052C"/>
    <w:rsid w:val="04A57DAB"/>
    <w:rsid w:val="04A967B2"/>
    <w:rsid w:val="04B270C1"/>
    <w:rsid w:val="04CA4768"/>
    <w:rsid w:val="04DC0AA0"/>
    <w:rsid w:val="04E919FC"/>
    <w:rsid w:val="05064C8F"/>
    <w:rsid w:val="050B6856"/>
    <w:rsid w:val="05163E45"/>
    <w:rsid w:val="05367809"/>
    <w:rsid w:val="05420F2F"/>
    <w:rsid w:val="054322E7"/>
    <w:rsid w:val="056501EA"/>
    <w:rsid w:val="056D3386"/>
    <w:rsid w:val="05712B5F"/>
    <w:rsid w:val="05723C7C"/>
    <w:rsid w:val="05775EA5"/>
    <w:rsid w:val="057C458C"/>
    <w:rsid w:val="05883C21"/>
    <w:rsid w:val="058B5DD3"/>
    <w:rsid w:val="059915A8"/>
    <w:rsid w:val="059953A6"/>
    <w:rsid w:val="05997B94"/>
    <w:rsid w:val="05A012C8"/>
    <w:rsid w:val="05C1021C"/>
    <w:rsid w:val="05CC0A76"/>
    <w:rsid w:val="05D04016"/>
    <w:rsid w:val="05E4320E"/>
    <w:rsid w:val="05EB5EC4"/>
    <w:rsid w:val="05F23C16"/>
    <w:rsid w:val="05F2778F"/>
    <w:rsid w:val="05F60EC7"/>
    <w:rsid w:val="06073EC7"/>
    <w:rsid w:val="06095474"/>
    <w:rsid w:val="06111547"/>
    <w:rsid w:val="0611359C"/>
    <w:rsid w:val="06202231"/>
    <w:rsid w:val="0623601E"/>
    <w:rsid w:val="063D3AC6"/>
    <w:rsid w:val="063F7B4D"/>
    <w:rsid w:val="068B030C"/>
    <w:rsid w:val="068E0F51"/>
    <w:rsid w:val="068E4E62"/>
    <w:rsid w:val="06984953"/>
    <w:rsid w:val="06AC5F82"/>
    <w:rsid w:val="06B30D89"/>
    <w:rsid w:val="06B6300F"/>
    <w:rsid w:val="06B73614"/>
    <w:rsid w:val="06C10448"/>
    <w:rsid w:val="06C46FE2"/>
    <w:rsid w:val="06D445F2"/>
    <w:rsid w:val="06E95DE7"/>
    <w:rsid w:val="06EC4F1C"/>
    <w:rsid w:val="06F253F2"/>
    <w:rsid w:val="07251A70"/>
    <w:rsid w:val="072520FE"/>
    <w:rsid w:val="07361E17"/>
    <w:rsid w:val="074C2609"/>
    <w:rsid w:val="074F12A8"/>
    <w:rsid w:val="07545496"/>
    <w:rsid w:val="076A75F1"/>
    <w:rsid w:val="076B1838"/>
    <w:rsid w:val="07705CC0"/>
    <w:rsid w:val="07786950"/>
    <w:rsid w:val="07B51593"/>
    <w:rsid w:val="07B66435"/>
    <w:rsid w:val="07CA2ED7"/>
    <w:rsid w:val="07CD0C9A"/>
    <w:rsid w:val="07DD4AA8"/>
    <w:rsid w:val="07E0507A"/>
    <w:rsid w:val="07E865DE"/>
    <w:rsid w:val="07EC690F"/>
    <w:rsid w:val="082F287B"/>
    <w:rsid w:val="083C30F8"/>
    <w:rsid w:val="0842189C"/>
    <w:rsid w:val="086014A7"/>
    <w:rsid w:val="08631DD0"/>
    <w:rsid w:val="088B3E7D"/>
    <w:rsid w:val="08977FB7"/>
    <w:rsid w:val="08AC34C9"/>
    <w:rsid w:val="08CF2201"/>
    <w:rsid w:val="08DE171A"/>
    <w:rsid w:val="08EF56CF"/>
    <w:rsid w:val="08FA57C7"/>
    <w:rsid w:val="09112EF5"/>
    <w:rsid w:val="0969023C"/>
    <w:rsid w:val="096D0C98"/>
    <w:rsid w:val="09706A8B"/>
    <w:rsid w:val="09735491"/>
    <w:rsid w:val="0974768F"/>
    <w:rsid w:val="09960EC9"/>
    <w:rsid w:val="09AE6D95"/>
    <w:rsid w:val="09B74913"/>
    <w:rsid w:val="09BE680A"/>
    <w:rsid w:val="09E544CB"/>
    <w:rsid w:val="09EC3E56"/>
    <w:rsid w:val="0A126294"/>
    <w:rsid w:val="0A166AF3"/>
    <w:rsid w:val="0A2F408A"/>
    <w:rsid w:val="0A3C3B3A"/>
    <w:rsid w:val="0A664CA1"/>
    <w:rsid w:val="0A96210D"/>
    <w:rsid w:val="0AAC0A11"/>
    <w:rsid w:val="0AB737A6"/>
    <w:rsid w:val="0ABA4594"/>
    <w:rsid w:val="0AC82CA4"/>
    <w:rsid w:val="0AD61855"/>
    <w:rsid w:val="0B087AA5"/>
    <w:rsid w:val="0B0C1D2F"/>
    <w:rsid w:val="0B0E19AF"/>
    <w:rsid w:val="0B1011F5"/>
    <w:rsid w:val="0B197F9D"/>
    <w:rsid w:val="0B1E1C49"/>
    <w:rsid w:val="0B2E3E77"/>
    <w:rsid w:val="0B482C05"/>
    <w:rsid w:val="0B5843AD"/>
    <w:rsid w:val="0B664C64"/>
    <w:rsid w:val="0B7536CE"/>
    <w:rsid w:val="0B822768"/>
    <w:rsid w:val="0BB337C2"/>
    <w:rsid w:val="0BE23D67"/>
    <w:rsid w:val="0BF873AE"/>
    <w:rsid w:val="0C0B4721"/>
    <w:rsid w:val="0C155CCC"/>
    <w:rsid w:val="0C1F4078"/>
    <w:rsid w:val="0C2A0E82"/>
    <w:rsid w:val="0C2D14E2"/>
    <w:rsid w:val="0C493935"/>
    <w:rsid w:val="0C5C5D16"/>
    <w:rsid w:val="0C795920"/>
    <w:rsid w:val="0C815114"/>
    <w:rsid w:val="0C92509C"/>
    <w:rsid w:val="0C9D33BF"/>
    <w:rsid w:val="0CB61912"/>
    <w:rsid w:val="0CD10396"/>
    <w:rsid w:val="0CD12914"/>
    <w:rsid w:val="0CE44B2C"/>
    <w:rsid w:val="0CE8783F"/>
    <w:rsid w:val="0CED4443"/>
    <w:rsid w:val="0CFF215F"/>
    <w:rsid w:val="0D0F23F9"/>
    <w:rsid w:val="0D130CF3"/>
    <w:rsid w:val="0D223618"/>
    <w:rsid w:val="0D2D19A9"/>
    <w:rsid w:val="0D4C225E"/>
    <w:rsid w:val="0D5D4119"/>
    <w:rsid w:val="0D5D595B"/>
    <w:rsid w:val="0D7B432E"/>
    <w:rsid w:val="0D7C082F"/>
    <w:rsid w:val="0D814CB6"/>
    <w:rsid w:val="0D8D504D"/>
    <w:rsid w:val="0DB03869"/>
    <w:rsid w:val="0DE51158"/>
    <w:rsid w:val="0E010A88"/>
    <w:rsid w:val="0E037AA8"/>
    <w:rsid w:val="0E10493D"/>
    <w:rsid w:val="0E10535F"/>
    <w:rsid w:val="0E204CC0"/>
    <w:rsid w:val="0E220FBD"/>
    <w:rsid w:val="0E234932"/>
    <w:rsid w:val="0E236A3E"/>
    <w:rsid w:val="0E3361E9"/>
    <w:rsid w:val="0E4E5304"/>
    <w:rsid w:val="0E6A78AA"/>
    <w:rsid w:val="0E873CF8"/>
    <w:rsid w:val="0E8954E9"/>
    <w:rsid w:val="0E946D26"/>
    <w:rsid w:val="0E985F9A"/>
    <w:rsid w:val="0E9C298D"/>
    <w:rsid w:val="0EA8251A"/>
    <w:rsid w:val="0EB25028"/>
    <w:rsid w:val="0EBC51AD"/>
    <w:rsid w:val="0EEC359C"/>
    <w:rsid w:val="0F080FE5"/>
    <w:rsid w:val="0F0C5ECF"/>
    <w:rsid w:val="0F144965"/>
    <w:rsid w:val="0F454036"/>
    <w:rsid w:val="0F491D4B"/>
    <w:rsid w:val="0F581039"/>
    <w:rsid w:val="0F650C9A"/>
    <w:rsid w:val="0F671654"/>
    <w:rsid w:val="0F6E5A6E"/>
    <w:rsid w:val="0F7B2D94"/>
    <w:rsid w:val="0F8F5336"/>
    <w:rsid w:val="0FAF1A48"/>
    <w:rsid w:val="0FB01169"/>
    <w:rsid w:val="0FB107CE"/>
    <w:rsid w:val="0FB55A32"/>
    <w:rsid w:val="0FC3637E"/>
    <w:rsid w:val="0FC62F12"/>
    <w:rsid w:val="0FE9679C"/>
    <w:rsid w:val="0FE968B1"/>
    <w:rsid w:val="100214D2"/>
    <w:rsid w:val="10067ED8"/>
    <w:rsid w:val="1014046D"/>
    <w:rsid w:val="101471EE"/>
    <w:rsid w:val="101C6709"/>
    <w:rsid w:val="101F6E5F"/>
    <w:rsid w:val="102D5B9A"/>
    <w:rsid w:val="10324220"/>
    <w:rsid w:val="103C4B2F"/>
    <w:rsid w:val="105411CD"/>
    <w:rsid w:val="10662AD3"/>
    <w:rsid w:val="10942FBF"/>
    <w:rsid w:val="10AC3D11"/>
    <w:rsid w:val="10AC3EE9"/>
    <w:rsid w:val="10B21753"/>
    <w:rsid w:val="10B81EFA"/>
    <w:rsid w:val="10C72EDC"/>
    <w:rsid w:val="10CF01F1"/>
    <w:rsid w:val="10E152D6"/>
    <w:rsid w:val="10EF7E56"/>
    <w:rsid w:val="10F46325"/>
    <w:rsid w:val="10FB4DE0"/>
    <w:rsid w:val="1106587D"/>
    <w:rsid w:val="11277FB0"/>
    <w:rsid w:val="113450C7"/>
    <w:rsid w:val="11471B69"/>
    <w:rsid w:val="11483D68"/>
    <w:rsid w:val="11527EFA"/>
    <w:rsid w:val="11831993"/>
    <w:rsid w:val="118D1B11"/>
    <w:rsid w:val="118E44DC"/>
    <w:rsid w:val="11A879A5"/>
    <w:rsid w:val="11B768E9"/>
    <w:rsid w:val="11CC653F"/>
    <w:rsid w:val="11D93657"/>
    <w:rsid w:val="121534BC"/>
    <w:rsid w:val="121E6363"/>
    <w:rsid w:val="124C406A"/>
    <w:rsid w:val="1250459A"/>
    <w:rsid w:val="12976F0D"/>
    <w:rsid w:val="12992410"/>
    <w:rsid w:val="12A32D1F"/>
    <w:rsid w:val="12CB089D"/>
    <w:rsid w:val="12CF28EA"/>
    <w:rsid w:val="12DB7CC1"/>
    <w:rsid w:val="12FC674E"/>
    <w:rsid w:val="130378C1"/>
    <w:rsid w:val="130762C7"/>
    <w:rsid w:val="130F3CB5"/>
    <w:rsid w:val="131348FC"/>
    <w:rsid w:val="131D6F95"/>
    <w:rsid w:val="132F6187"/>
    <w:rsid w:val="1330168A"/>
    <w:rsid w:val="133C62D2"/>
    <w:rsid w:val="136E7AA6"/>
    <w:rsid w:val="13717C62"/>
    <w:rsid w:val="13935EAB"/>
    <w:rsid w:val="13C40CC2"/>
    <w:rsid w:val="13C66D4B"/>
    <w:rsid w:val="13C8392B"/>
    <w:rsid w:val="13D55610"/>
    <w:rsid w:val="13DC3D21"/>
    <w:rsid w:val="13DD54DC"/>
    <w:rsid w:val="13E573B2"/>
    <w:rsid w:val="13F14BB2"/>
    <w:rsid w:val="13F42C2C"/>
    <w:rsid w:val="13FA095B"/>
    <w:rsid w:val="14150A03"/>
    <w:rsid w:val="14193B86"/>
    <w:rsid w:val="141D5E0F"/>
    <w:rsid w:val="14326E99"/>
    <w:rsid w:val="14412639"/>
    <w:rsid w:val="1469268B"/>
    <w:rsid w:val="14732F9B"/>
    <w:rsid w:val="148235B5"/>
    <w:rsid w:val="1491254B"/>
    <w:rsid w:val="149434CF"/>
    <w:rsid w:val="149C635D"/>
    <w:rsid w:val="14B64E13"/>
    <w:rsid w:val="14B727C7"/>
    <w:rsid w:val="14BA590D"/>
    <w:rsid w:val="14BD1BF8"/>
    <w:rsid w:val="14C64FA3"/>
    <w:rsid w:val="14C776A7"/>
    <w:rsid w:val="14E754D8"/>
    <w:rsid w:val="14EA1CE0"/>
    <w:rsid w:val="14F831F4"/>
    <w:rsid w:val="14FD5B82"/>
    <w:rsid w:val="151F4826"/>
    <w:rsid w:val="15204A01"/>
    <w:rsid w:val="152704C0"/>
    <w:rsid w:val="152B2749"/>
    <w:rsid w:val="15403B7C"/>
    <w:rsid w:val="154C2C7E"/>
    <w:rsid w:val="154F23C7"/>
    <w:rsid w:val="156F1F39"/>
    <w:rsid w:val="15975D56"/>
    <w:rsid w:val="15B73B7F"/>
    <w:rsid w:val="15C47445"/>
    <w:rsid w:val="15CB4851"/>
    <w:rsid w:val="15CE1F52"/>
    <w:rsid w:val="15E70978"/>
    <w:rsid w:val="15F70B98"/>
    <w:rsid w:val="1635647F"/>
    <w:rsid w:val="163E130D"/>
    <w:rsid w:val="165A53BA"/>
    <w:rsid w:val="167A58EE"/>
    <w:rsid w:val="16816872"/>
    <w:rsid w:val="16876DE7"/>
    <w:rsid w:val="168B5B89"/>
    <w:rsid w:val="169961A3"/>
    <w:rsid w:val="16B75579"/>
    <w:rsid w:val="16C911D0"/>
    <w:rsid w:val="16CF2DFA"/>
    <w:rsid w:val="16E16232"/>
    <w:rsid w:val="16F220B5"/>
    <w:rsid w:val="170A1E86"/>
    <w:rsid w:val="171C7676"/>
    <w:rsid w:val="172B3D02"/>
    <w:rsid w:val="17697775"/>
    <w:rsid w:val="17710405"/>
    <w:rsid w:val="17731485"/>
    <w:rsid w:val="17816085"/>
    <w:rsid w:val="17853822"/>
    <w:rsid w:val="178A0EBF"/>
    <w:rsid w:val="178D44B2"/>
    <w:rsid w:val="17BE0623"/>
    <w:rsid w:val="17DA31D5"/>
    <w:rsid w:val="17DD2EF8"/>
    <w:rsid w:val="18052E77"/>
    <w:rsid w:val="18235CAA"/>
    <w:rsid w:val="182511AD"/>
    <w:rsid w:val="183F63D6"/>
    <w:rsid w:val="1858623C"/>
    <w:rsid w:val="185C3885"/>
    <w:rsid w:val="185E5126"/>
    <w:rsid w:val="18745DE3"/>
    <w:rsid w:val="18767CB3"/>
    <w:rsid w:val="188710D5"/>
    <w:rsid w:val="18897AEF"/>
    <w:rsid w:val="18B65219"/>
    <w:rsid w:val="18B67417"/>
    <w:rsid w:val="18BA3C1F"/>
    <w:rsid w:val="18D925EB"/>
    <w:rsid w:val="18DA1F55"/>
    <w:rsid w:val="18ED3174"/>
    <w:rsid w:val="18EE0BF6"/>
    <w:rsid w:val="18EF11A3"/>
    <w:rsid w:val="19011E15"/>
    <w:rsid w:val="19037516"/>
    <w:rsid w:val="19314B62"/>
    <w:rsid w:val="1941226E"/>
    <w:rsid w:val="194E1F14"/>
    <w:rsid w:val="19566481"/>
    <w:rsid w:val="19567321"/>
    <w:rsid w:val="195A7F25"/>
    <w:rsid w:val="196F4647"/>
    <w:rsid w:val="197D395D"/>
    <w:rsid w:val="19855C73"/>
    <w:rsid w:val="19CE5CE6"/>
    <w:rsid w:val="19E96663"/>
    <w:rsid w:val="1A0A69F8"/>
    <w:rsid w:val="1A281629"/>
    <w:rsid w:val="1A322D7A"/>
    <w:rsid w:val="1A3B73DE"/>
    <w:rsid w:val="1A3F729E"/>
    <w:rsid w:val="1A460949"/>
    <w:rsid w:val="1A5439C0"/>
    <w:rsid w:val="1A6159BF"/>
    <w:rsid w:val="1A620757"/>
    <w:rsid w:val="1A7673F8"/>
    <w:rsid w:val="1A7F2286"/>
    <w:rsid w:val="1A8E623B"/>
    <w:rsid w:val="1A940301"/>
    <w:rsid w:val="1AED6A14"/>
    <w:rsid w:val="1B192484"/>
    <w:rsid w:val="1B19339B"/>
    <w:rsid w:val="1B235B63"/>
    <w:rsid w:val="1B294C9D"/>
    <w:rsid w:val="1B2D36A3"/>
    <w:rsid w:val="1B2E2686"/>
    <w:rsid w:val="1B322F1D"/>
    <w:rsid w:val="1B3D393E"/>
    <w:rsid w:val="1B47424D"/>
    <w:rsid w:val="1B4B06D5"/>
    <w:rsid w:val="1B5416AC"/>
    <w:rsid w:val="1B5E3E72"/>
    <w:rsid w:val="1B5F7CE2"/>
    <w:rsid w:val="1B7E43A7"/>
    <w:rsid w:val="1B926781"/>
    <w:rsid w:val="1B9C0707"/>
    <w:rsid w:val="1BAC50AB"/>
    <w:rsid w:val="1BC90FA3"/>
    <w:rsid w:val="1BE2639E"/>
    <w:rsid w:val="1BEC4AE5"/>
    <w:rsid w:val="1C0E75F5"/>
    <w:rsid w:val="1C232937"/>
    <w:rsid w:val="1C2D3246"/>
    <w:rsid w:val="1C3928DC"/>
    <w:rsid w:val="1C3C749B"/>
    <w:rsid w:val="1C5A2B21"/>
    <w:rsid w:val="1C850F94"/>
    <w:rsid w:val="1CA05783"/>
    <w:rsid w:val="1CC267D0"/>
    <w:rsid w:val="1CEA30CD"/>
    <w:rsid w:val="1D022E50"/>
    <w:rsid w:val="1D043B14"/>
    <w:rsid w:val="1D0B1D55"/>
    <w:rsid w:val="1D194148"/>
    <w:rsid w:val="1D263E54"/>
    <w:rsid w:val="1D644C50"/>
    <w:rsid w:val="1D8E540C"/>
    <w:rsid w:val="1D947BB1"/>
    <w:rsid w:val="1DAE3742"/>
    <w:rsid w:val="1DBA647C"/>
    <w:rsid w:val="1DC2630C"/>
    <w:rsid w:val="1DC53ABB"/>
    <w:rsid w:val="1DC71073"/>
    <w:rsid w:val="1DF425E1"/>
    <w:rsid w:val="1E0C0259"/>
    <w:rsid w:val="1E233042"/>
    <w:rsid w:val="1E233701"/>
    <w:rsid w:val="1E2B053A"/>
    <w:rsid w:val="1E4516B7"/>
    <w:rsid w:val="1E501C47"/>
    <w:rsid w:val="1E574D9E"/>
    <w:rsid w:val="1E703800"/>
    <w:rsid w:val="1E753B0D"/>
    <w:rsid w:val="1E9B1054"/>
    <w:rsid w:val="1E9E6358"/>
    <w:rsid w:val="1EAF5CA8"/>
    <w:rsid w:val="1EB109E6"/>
    <w:rsid w:val="1ECE292C"/>
    <w:rsid w:val="1ED056AE"/>
    <w:rsid w:val="1EDA58B6"/>
    <w:rsid w:val="1EE00167"/>
    <w:rsid w:val="1EE3035C"/>
    <w:rsid w:val="1EE976B7"/>
    <w:rsid w:val="1EF458E1"/>
    <w:rsid w:val="1F160235"/>
    <w:rsid w:val="1F1E1F67"/>
    <w:rsid w:val="1F1F489E"/>
    <w:rsid w:val="1F2205F8"/>
    <w:rsid w:val="1F240D25"/>
    <w:rsid w:val="1F271CAA"/>
    <w:rsid w:val="1F382199"/>
    <w:rsid w:val="1F387EDB"/>
    <w:rsid w:val="1F5C3CF8"/>
    <w:rsid w:val="1F5E4382"/>
    <w:rsid w:val="1F5F1E04"/>
    <w:rsid w:val="1F7746BA"/>
    <w:rsid w:val="1F7A0173"/>
    <w:rsid w:val="1F842044"/>
    <w:rsid w:val="1F905E56"/>
    <w:rsid w:val="1F907D26"/>
    <w:rsid w:val="1F9138D8"/>
    <w:rsid w:val="1FB50614"/>
    <w:rsid w:val="1FC66330"/>
    <w:rsid w:val="1FD27BC4"/>
    <w:rsid w:val="1FD72BAD"/>
    <w:rsid w:val="1FE76865"/>
    <w:rsid w:val="1FEE4F17"/>
    <w:rsid w:val="1FFF545F"/>
    <w:rsid w:val="200C6AA5"/>
    <w:rsid w:val="202171B0"/>
    <w:rsid w:val="202B3AD6"/>
    <w:rsid w:val="202D1408"/>
    <w:rsid w:val="20304E7B"/>
    <w:rsid w:val="203301E6"/>
    <w:rsid w:val="20397F58"/>
    <w:rsid w:val="203E4AFA"/>
    <w:rsid w:val="204E29B3"/>
    <w:rsid w:val="20633BF6"/>
    <w:rsid w:val="206F54C4"/>
    <w:rsid w:val="207451CF"/>
    <w:rsid w:val="20A12F09"/>
    <w:rsid w:val="20AA2072"/>
    <w:rsid w:val="20D74591"/>
    <w:rsid w:val="20FD4CF0"/>
    <w:rsid w:val="21032BA5"/>
    <w:rsid w:val="213F3AD7"/>
    <w:rsid w:val="214F03B6"/>
    <w:rsid w:val="216962D3"/>
    <w:rsid w:val="216B1A34"/>
    <w:rsid w:val="216B4463"/>
    <w:rsid w:val="217D752C"/>
    <w:rsid w:val="21A76846"/>
    <w:rsid w:val="21AA19C9"/>
    <w:rsid w:val="21AA5CBA"/>
    <w:rsid w:val="21BA5753"/>
    <w:rsid w:val="21D37ACA"/>
    <w:rsid w:val="21F6437F"/>
    <w:rsid w:val="22177DFE"/>
    <w:rsid w:val="2240793E"/>
    <w:rsid w:val="22616BF8"/>
    <w:rsid w:val="22796138"/>
    <w:rsid w:val="228D583F"/>
    <w:rsid w:val="229F0FDC"/>
    <w:rsid w:val="22F225D1"/>
    <w:rsid w:val="22FE6756"/>
    <w:rsid w:val="23085188"/>
    <w:rsid w:val="23342746"/>
    <w:rsid w:val="23444735"/>
    <w:rsid w:val="23626B1C"/>
    <w:rsid w:val="23975CF1"/>
    <w:rsid w:val="23AA0427"/>
    <w:rsid w:val="23AA6F10"/>
    <w:rsid w:val="23BA71AA"/>
    <w:rsid w:val="23BB589A"/>
    <w:rsid w:val="23BF3632"/>
    <w:rsid w:val="23C04937"/>
    <w:rsid w:val="23D35B56"/>
    <w:rsid w:val="23D8675A"/>
    <w:rsid w:val="240927AD"/>
    <w:rsid w:val="241635B9"/>
    <w:rsid w:val="241E26D8"/>
    <w:rsid w:val="241F2752"/>
    <w:rsid w:val="243954FA"/>
    <w:rsid w:val="24554E2A"/>
    <w:rsid w:val="245E3C68"/>
    <w:rsid w:val="24770489"/>
    <w:rsid w:val="249835C2"/>
    <w:rsid w:val="24B23DB5"/>
    <w:rsid w:val="24D30737"/>
    <w:rsid w:val="24D334FA"/>
    <w:rsid w:val="24DC4817"/>
    <w:rsid w:val="24FA7B37"/>
    <w:rsid w:val="25145278"/>
    <w:rsid w:val="253D2D16"/>
    <w:rsid w:val="254D7B4C"/>
    <w:rsid w:val="255067CB"/>
    <w:rsid w:val="255A11A7"/>
    <w:rsid w:val="25732701"/>
    <w:rsid w:val="25733F7D"/>
    <w:rsid w:val="25846724"/>
    <w:rsid w:val="258A19A4"/>
    <w:rsid w:val="25910B92"/>
    <w:rsid w:val="25B53AED"/>
    <w:rsid w:val="25F068A6"/>
    <w:rsid w:val="26035DEB"/>
    <w:rsid w:val="2606757C"/>
    <w:rsid w:val="261301D0"/>
    <w:rsid w:val="2615738A"/>
    <w:rsid w:val="263C353A"/>
    <w:rsid w:val="26671392"/>
    <w:rsid w:val="268A7935"/>
    <w:rsid w:val="268F47C7"/>
    <w:rsid w:val="268F69D3"/>
    <w:rsid w:val="2697098A"/>
    <w:rsid w:val="2697665E"/>
    <w:rsid w:val="2699463F"/>
    <w:rsid w:val="26A53771"/>
    <w:rsid w:val="26A91DFC"/>
    <w:rsid w:val="26AE6283"/>
    <w:rsid w:val="26B53690"/>
    <w:rsid w:val="26B84D76"/>
    <w:rsid w:val="26B959DC"/>
    <w:rsid w:val="26C54199"/>
    <w:rsid w:val="26CB60AC"/>
    <w:rsid w:val="26D45556"/>
    <w:rsid w:val="271649AE"/>
    <w:rsid w:val="27277162"/>
    <w:rsid w:val="272F4EEF"/>
    <w:rsid w:val="274B1605"/>
    <w:rsid w:val="274B6DFA"/>
    <w:rsid w:val="27551F14"/>
    <w:rsid w:val="27693877"/>
    <w:rsid w:val="276F3F10"/>
    <w:rsid w:val="278F7368"/>
    <w:rsid w:val="27AA3DA8"/>
    <w:rsid w:val="27AB0725"/>
    <w:rsid w:val="27AC11E5"/>
    <w:rsid w:val="27AE6158"/>
    <w:rsid w:val="27B04BAD"/>
    <w:rsid w:val="27B2482C"/>
    <w:rsid w:val="27B66AB6"/>
    <w:rsid w:val="27BF3F2A"/>
    <w:rsid w:val="27C877A6"/>
    <w:rsid w:val="27D200A4"/>
    <w:rsid w:val="27D3456F"/>
    <w:rsid w:val="27E4381A"/>
    <w:rsid w:val="27E9484A"/>
    <w:rsid w:val="27E94ECF"/>
    <w:rsid w:val="27ED6C10"/>
    <w:rsid w:val="27F71058"/>
    <w:rsid w:val="28176278"/>
    <w:rsid w:val="282A473C"/>
    <w:rsid w:val="282A50D7"/>
    <w:rsid w:val="28312B7C"/>
    <w:rsid w:val="28604DA6"/>
    <w:rsid w:val="286956B4"/>
    <w:rsid w:val="28842606"/>
    <w:rsid w:val="288549AC"/>
    <w:rsid w:val="288A4F7E"/>
    <w:rsid w:val="28A500F5"/>
    <w:rsid w:val="28A605BD"/>
    <w:rsid w:val="28A94DC4"/>
    <w:rsid w:val="28D30187"/>
    <w:rsid w:val="28D83D0F"/>
    <w:rsid w:val="28DA3395"/>
    <w:rsid w:val="29016751"/>
    <w:rsid w:val="290179D1"/>
    <w:rsid w:val="290B1CED"/>
    <w:rsid w:val="291A246E"/>
    <w:rsid w:val="29231FDE"/>
    <w:rsid w:val="293541AB"/>
    <w:rsid w:val="29464AE4"/>
    <w:rsid w:val="294E3354"/>
    <w:rsid w:val="294E5343"/>
    <w:rsid w:val="295B6DE6"/>
    <w:rsid w:val="29726A0C"/>
    <w:rsid w:val="29817026"/>
    <w:rsid w:val="29911087"/>
    <w:rsid w:val="29992CBC"/>
    <w:rsid w:val="29AD5CB6"/>
    <w:rsid w:val="29AE0DEF"/>
    <w:rsid w:val="29AF308B"/>
    <w:rsid w:val="29B23078"/>
    <w:rsid w:val="29BC3988"/>
    <w:rsid w:val="29C53DA5"/>
    <w:rsid w:val="29FB0EEE"/>
    <w:rsid w:val="2A0917CA"/>
    <w:rsid w:val="2A1C39DF"/>
    <w:rsid w:val="2A260CB8"/>
    <w:rsid w:val="2A280AB9"/>
    <w:rsid w:val="2A2E3C29"/>
    <w:rsid w:val="2A3E085C"/>
    <w:rsid w:val="2A472250"/>
    <w:rsid w:val="2A557025"/>
    <w:rsid w:val="2A770838"/>
    <w:rsid w:val="2A7825AA"/>
    <w:rsid w:val="2A7B06BD"/>
    <w:rsid w:val="2A7F08DD"/>
    <w:rsid w:val="2A7F6BA7"/>
    <w:rsid w:val="2A8A159C"/>
    <w:rsid w:val="2A9226E6"/>
    <w:rsid w:val="2AA4630E"/>
    <w:rsid w:val="2AB53BA0"/>
    <w:rsid w:val="2AB803F1"/>
    <w:rsid w:val="2AB869CE"/>
    <w:rsid w:val="2AC97400"/>
    <w:rsid w:val="2ACB48D4"/>
    <w:rsid w:val="2AD875D8"/>
    <w:rsid w:val="2AE46B6C"/>
    <w:rsid w:val="2AE71DF0"/>
    <w:rsid w:val="2AF8590E"/>
    <w:rsid w:val="2B0011EE"/>
    <w:rsid w:val="2B043FAB"/>
    <w:rsid w:val="2B060E26"/>
    <w:rsid w:val="2B394179"/>
    <w:rsid w:val="2B3B54FB"/>
    <w:rsid w:val="2B5A6874"/>
    <w:rsid w:val="2B5B639F"/>
    <w:rsid w:val="2B6D4E6A"/>
    <w:rsid w:val="2B7608AE"/>
    <w:rsid w:val="2B7B6DE1"/>
    <w:rsid w:val="2B8E0E5D"/>
    <w:rsid w:val="2B967FCB"/>
    <w:rsid w:val="2BA769AB"/>
    <w:rsid w:val="2BB04507"/>
    <w:rsid w:val="2BD30EA7"/>
    <w:rsid w:val="2BD63C77"/>
    <w:rsid w:val="2BFA427E"/>
    <w:rsid w:val="2C01033F"/>
    <w:rsid w:val="2C0A1586"/>
    <w:rsid w:val="2C202325"/>
    <w:rsid w:val="2C31308C"/>
    <w:rsid w:val="2C33146F"/>
    <w:rsid w:val="2C570D4D"/>
    <w:rsid w:val="2C592CD0"/>
    <w:rsid w:val="2C5E06D8"/>
    <w:rsid w:val="2C7248B0"/>
    <w:rsid w:val="2C8D1227"/>
    <w:rsid w:val="2C995EE9"/>
    <w:rsid w:val="2CD65A95"/>
    <w:rsid w:val="2CE167BB"/>
    <w:rsid w:val="2CE9283B"/>
    <w:rsid w:val="2CEB5D3E"/>
    <w:rsid w:val="2CED4AC4"/>
    <w:rsid w:val="2CEF7FC7"/>
    <w:rsid w:val="2CFE27E0"/>
    <w:rsid w:val="2D1218DA"/>
    <w:rsid w:val="2D126BAA"/>
    <w:rsid w:val="2D1816F4"/>
    <w:rsid w:val="2D283690"/>
    <w:rsid w:val="2D2C0D79"/>
    <w:rsid w:val="2D2E50A9"/>
    <w:rsid w:val="2D3F104B"/>
    <w:rsid w:val="2D406ACD"/>
    <w:rsid w:val="2D504CCB"/>
    <w:rsid w:val="2D5E7586"/>
    <w:rsid w:val="2D763723"/>
    <w:rsid w:val="2D9A3C70"/>
    <w:rsid w:val="2DA54900"/>
    <w:rsid w:val="2DB66E70"/>
    <w:rsid w:val="2DC412A4"/>
    <w:rsid w:val="2DE836CF"/>
    <w:rsid w:val="2DF1306D"/>
    <w:rsid w:val="2DF63245"/>
    <w:rsid w:val="2DFD23C1"/>
    <w:rsid w:val="2E3005D3"/>
    <w:rsid w:val="2E3D1E67"/>
    <w:rsid w:val="2E53763A"/>
    <w:rsid w:val="2E650E2E"/>
    <w:rsid w:val="2E7632C6"/>
    <w:rsid w:val="2E997EC6"/>
    <w:rsid w:val="2EC4672C"/>
    <w:rsid w:val="2EE85B84"/>
    <w:rsid w:val="2F0C123B"/>
    <w:rsid w:val="2F0D2540"/>
    <w:rsid w:val="2F6915D5"/>
    <w:rsid w:val="2F7061E9"/>
    <w:rsid w:val="2F7268D5"/>
    <w:rsid w:val="2F7E4D1E"/>
    <w:rsid w:val="2F991BD3"/>
    <w:rsid w:val="2F9C59CE"/>
    <w:rsid w:val="2FB53C52"/>
    <w:rsid w:val="2FC32F68"/>
    <w:rsid w:val="2FC367EB"/>
    <w:rsid w:val="2FCB0375"/>
    <w:rsid w:val="2FE2381D"/>
    <w:rsid w:val="2FE81AC0"/>
    <w:rsid w:val="2FEC412C"/>
    <w:rsid w:val="300E33E8"/>
    <w:rsid w:val="30155DE3"/>
    <w:rsid w:val="30344521"/>
    <w:rsid w:val="30372F27"/>
    <w:rsid w:val="303C5A11"/>
    <w:rsid w:val="30471013"/>
    <w:rsid w:val="30515E85"/>
    <w:rsid w:val="3068716B"/>
    <w:rsid w:val="306C12F6"/>
    <w:rsid w:val="307E04E7"/>
    <w:rsid w:val="308D5EB4"/>
    <w:rsid w:val="309676E3"/>
    <w:rsid w:val="309E3BD0"/>
    <w:rsid w:val="30A46638"/>
    <w:rsid w:val="30C1262D"/>
    <w:rsid w:val="30C20A9D"/>
    <w:rsid w:val="30CF5E22"/>
    <w:rsid w:val="30D5076A"/>
    <w:rsid w:val="30F50041"/>
    <w:rsid w:val="30F658E4"/>
    <w:rsid w:val="311E044B"/>
    <w:rsid w:val="3138634D"/>
    <w:rsid w:val="31526E70"/>
    <w:rsid w:val="31703F28"/>
    <w:rsid w:val="3177633A"/>
    <w:rsid w:val="31B35C97"/>
    <w:rsid w:val="31C14D13"/>
    <w:rsid w:val="31EA3BF2"/>
    <w:rsid w:val="31F8678B"/>
    <w:rsid w:val="32002203"/>
    <w:rsid w:val="32090C24"/>
    <w:rsid w:val="321C1E43"/>
    <w:rsid w:val="32293AA9"/>
    <w:rsid w:val="322B6518"/>
    <w:rsid w:val="323030F3"/>
    <w:rsid w:val="32491A0D"/>
    <w:rsid w:val="324C0413"/>
    <w:rsid w:val="32601298"/>
    <w:rsid w:val="3265353C"/>
    <w:rsid w:val="326B5445"/>
    <w:rsid w:val="327360D5"/>
    <w:rsid w:val="328C11FD"/>
    <w:rsid w:val="329E2976"/>
    <w:rsid w:val="32A27B1D"/>
    <w:rsid w:val="32A40180"/>
    <w:rsid w:val="32D373F3"/>
    <w:rsid w:val="32D415F1"/>
    <w:rsid w:val="32F9638D"/>
    <w:rsid w:val="33082946"/>
    <w:rsid w:val="330F053B"/>
    <w:rsid w:val="33483B2E"/>
    <w:rsid w:val="335E3241"/>
    <w:rsid w:val="33851415"/>
    <w:rsid w:val="33930EF5"/>
    <w:rsid w:val="33933FAE"/>
    <w:rsid w:val="33A62D97"/>
    <w:rsid w:val="33B02259"/>
    <w:rsid w:val="33C36CFB"/>
    <w:rsid w:val="33CA2E03"/>
    <w:rsid w:val="33CF312D"/>
    <w:rsid w:val="33D00590"/>
    <w:rsid w:val="33D0278E"/>
    <w:rsid w:val="33D7599C"/>
    <w:rsid w:val="33DC1E24"/>
    <w:rsid w:val="33E81E5A"/>
    <w:rsid w:val="33EE55C1"/>
    <w:rsid w:val="340F4E7A"/>
    <w:rsid w:val="341C738A"/>
    <w:rsid w:val="34406A29"/>
    <w:rsid w:val="344A0B3B"/>
    <w:rsid w:val="345215EE"/>
    <w:rsid w:val="345B0173"/>
    <w:rsid w:val="34646885"/>
    <w:rsid w:val="347C3F2B"/>
    <w:rsid w:val="34834C6B"/>
    <w:rsid w:val="348E4EAC"/>
    <w:rsid w:val="349725CB"/>
    <w:rsid w:val="349F3360"/>
    <w:rsid w:val="34A20B41"/>
    <w:rsid w:val="34A22AE6"/>
    <w:rsid w:val="34B1099D"/>
    <w:rsid w:val="34B67588"/>
    <w:rsid w:val="34B80D40"/>
    <w:rsid w:val="34CA0D4C"/>
    <w:rsid w:val="34CB766D"/>
    <w:rsid w:val="34E42656"/>
    <w:rsid w:val="3523213B"/>
    <w:rsid w:val="353F6237"/>
    <w:rsid w:val="358D4799"/>
    <w:rsid w:val="35A24A3E"/>
    <w:rsid w:val="35BB6E36"/>
    <w:rsid w:val="35E05641"/>
    <w:rsid w:val="35E96976"/>
    <w:rsid w:val="35EA4102"/>
    <w:rsid w:val="35F9471D"/>
    <w:rsid w:val="363A5186"/>
    <w:rsid w:val="36430FFC"/>
    <w:rsid w:val="364C655A"/>
    <w:rsid w:val="3665171B"/>
    <w:rsid w:val="36896D51"/>
    <w:rsid w:val="369E4EAA"/>
    <w:rsid w:val="36AF7E58"/>
    <w:rsid w:val="36B20636"/>
    <w:rsid w:val="36C02E61"/>
    <w:rsid w:val="36CF5679"/>
    <w:rsid w:val="36D41B01"/>
    <w:rsid w:val="36D60888"/>
    <w:rsid w:val="36DC6F0E"/>
    <w:rsid w:val="36DD25F0"/>
    <w:rsid w:val="36F67AB7"/>
    <w:rsid w:val="36F95C21"/>
    <w:rsid w:val="36FB1D8D"/>
    <w:rsid w:val="37196592"/>
    <w:rsid w:val="373E384B"/>
    <w:rsid w:val="374D7724"/>
    <w:rsid w:val="374F0D67"/>
    <w:rsid w:val="376C0CD3"/>
    <w:rsid w:val="376C0D7B"/>
    <w:rsid w:val="377820EC"/>
    <w:rsid w:val="377F0E97"/>
    <w:rsid w:val="378D25B5"/>
    <w:rsid w:val="37B93B20"/>
    <w:rsid w:val="37BA0AFA"/>
    <w:rsid w:val="37C96EC2"/>
    <w:rsid w:val="37CE50AB"/>
    <w:rsid w:val="37D32D2B"/>
    <w:rsid w:val="37DE5AA2"/>
    <w:rsid w:val="37FC066A"/>
    <w:rsid w:val="38085973"/>
    <w:rsid w:val="381E081F"/>
    <w:rsid w:val="38244B3F"/>
    <w:rsid w:val="382D1EAA"/>
    <w:rsid w:val="38394D67"/>
    <w:rsid w:val="38487464"/>
    <w:rsid w:val="38494EE6"/>
    <w:rsid w:val="384D75D2"/>
    <w:rsid w:val="385122F2"/>
    <w:rsid w:val="38735D2A"/>
    <w:rsid w:val="3888024E"/>
    <w:rsid w:val="388D46D6"/>
    <w:rsid w:val="38D3171A"/>
    <w:rsid w:val="38D3786E"/>
    <w:rsid w:val="38E329E9"/>
    <w:rsid w:val="38F855D9"/>
    <w:rsid w:val="392B54D9"/>
    <w:rsid w:val="396725EE"/>
    <w:rsid w:val="396E7247"/>
    <w:rsid w:val="398228A1"/>
    <w:rsid w:val="398F777C"/>
    <w:rsid w:val="39917588"/>
    <w:rsid w:val="3997040B"/>
    <w:rsid w:val="399F3299"/>
    <w:rsid w:val="39C127A0"/>
    <w:rsid w:val="39EA2567"/>
    <w:rsid w:val="39EC6A75"/>
    <w:rsid w:val="39F868C9"/>
    <w:rsid w:val="39F871AB"/>
    <w:rsid w:val="3A0045B7"/>
    <w:rsid w:val="3A014237"/>
    <w:rsid w:val="3A0D38CD"/>
    <w:rsid w:val="3A3047B5"/>
    <w:rsid w:val="3A3052F0"/>
    <w:rsid w:val="3A33658F"/>
    <w:rsid w:val="3A3804F5"/>
    <w:rsid w:val="3A4A5930"/>
    <w:rsid w:val="3A5D5058"/>
    <w:rsid w:val="3A65337B"/>
    <w:rsid w:val="3A7711E5"/>
    <w:rsid w:val="3A7E4E86"/>
    <w:rsid w:val="3A826072"/>
    <w:rsid w:val="3A880EB6"/>
    <w:rsid w:val="3B0A24EB"/>
    <w:rsid w:val="3B2024DF"/>
    <w:rsid w:val="3B281A9B"/>
    <w:rsid w:val="3B2F1426"/>
    <w:rsid w:val="3B387B37"/>
    <w:rsid w:val="3B484F53"/>
    <w:rsid w:val="3B7D5230"/>
    <w:rsid w:val="3B7F48FF"/>
    <w:rsid w:val="3B8920F0"/>
    <w:rsid w:val="3B923BE8"/>
    <w:rsid w:val="3B965952"/>
    <w:rsid w:val="3B9E2D5F"/>
    <w:rsid w:val="3BCA3823"/>
    <w:rsid w:val="3BD05A6E"/>
    <w:rsid w:val="3C042703"/>
    <w:rsid w:val="3C13079F"/>
    <w:rsid w:val="3C2C38C7"/>
    <w:rsid w:val="3C3D77DB"/>
    <w:rsid w:val="3C487974"/>
    <w:rsid w:val="3C6C0E2E"/>
    <w:rsid w:val="3C716172"/>
    <w:rsid w:val="3C7E7E4E"/>
    <w:rsid w:val="3C825373"/>
    <w:rsid w:val="3CAA0A65"/>
    <w:rsid w:val="3CAC7699"/>
    <w:rsid w:val="3CB713E2"/>
    <w:rsid w:val="3CC43FFA"/>
    <w:rsid w:val="3CD839E0"/>
    <w:rsid w:val="3CED7033"/>
    <w:rsid w:val="3D382B00"/>
    <w:rsid w:val="3D47065A"/>
    <w:rsid w:val="3D5C3FB9"/>
    <w:rsid w:val="3D78139C"/>
    <w:rsid w:val="3D7E7427"/>
    <w:rsid w:val="3DCA324C"/>
    <w:rsid w:val="3DCA67EC"/>
    <w:rsid w:val="3DE73B9D"/>
    <w:rsid w:val="3E0C4E93"/>
    <w:rsid w:val="3E191147"/>
    <w:rsid w:val="3E197BF0"/>
    <w:rsid w:val="3E4613F4"/>
    <w:rsid w:val="3E6F285E"/>
    <w:rsid w:val="3E833A1C"/>
    <w:rsid w:val="3E83685E"/>
    <w:rsid w:val="3E8C780E"/>
    <w:rsid w:val="3E9957DC"/>
    <w:rsid w:val="3E9C4A5C"/>
    <w:rsid w:val="3EAE1978"/>
    <w:rsid w:val="3ED80377"/>
    <w:rsid w:val="3EDA442A"/>
    <w:rsid w:val="3EDB572F"/>
    <w:rsid w:val="3EF41E2E"/>
    <w:rsid w:val="3F2B7A74"/>
    <w:rsid w:val="3F4F7C6C"/>
    <w:rsid w:val="3F7B3FB4"/>
    <w:rsid w:val="3F7D0A8E"/>
    <w:rsid w:val="3F9910C6"/>
    <w:rsid w:val="3F9A4869"/>
    <w:rsid w:val="3FB05B36"/>
    <w:rsid w:val="3FC63600"/>
    <w:rsid w:val="3FF461FC"/>
    <w:rsid w:val="40047F17"/>
    <w:rsid w:val="401157AC"/>
    <w:rsid w:val="40265A2A"/>
    <w:rsid w:val="403149DC"/>
    <w:rsid w:val="403D71B3"/>
    <w:rsid w:val="40413169"/>
    <w:rsid w:val="40543C97"/>
    <w:rsid w:val="40686ED3"/>
    <w:rsid w:val="406A5E3B"/>
    <w:rsid w:val="40713247"/>
    <w:rsid w:val="40804202"/>
    <w:rsid w:val="409B38E3"/>
    <w:rsid w:val="40CB4BDA"/>
    <w:rsid w:val="40DE1970"/>
    <w:rsid w:val="40E81F8C"/>
    <w:rsid w:val="40E902F5"/>
    <w:rsid w:val="40F222BC"/>
    <w:rsid w:val="40F94425"/>
    <w:rsid w:val="40FC24E5"/>
    <w:rsid w:val="40FC3D8C"/>
    <w:rsid w:val="4119774B"/>
    <w:rsid w:val="411E6BE3"/>
    <w:rsid w:val="41225AE8"/>
    <w:rsid w:val="41277BDE"/>
    <w:rsid w:val="413C1A16"/>
    <w:rsid w:val="414A569D"/>
    <w:rsid w:val="41566D3D"/>
    <w:rsid w:val="417A14FB"/>
    <w:rsid w:val="417B6F7C"/>
    <w:rsid w:val="417E3DFD"/>
    <w:rsid w:val="41973694"/>
    <w:rsid w:val="41A249C5"/>
    <w:rsid w:val="41B4596F"/>
    <w:rsid w:val="41D81894"/>
    <w:rsid w:val="41DD5D1C"/>
    <w:rsid w:val="41EF1584"/>
    <w:rsid w:val="41FB5B69"/>
    <w:rsid w:val="4204145F"/>
    <w:rsid w:val="420B2562"/>
    <w:rsid w:val="420F3F6D"/>
    <w:rsid w:val="4232304C"/>
    <w:rsid w:val="42332EA8"/>
    <w:rsid w:val="424703D0"/>
    <w:rsid w:val="427250E0"/>
    <w:rsid w:val="427A5366"/>
    <w:rsid w:val="42840A3A"/>
    <w:rsid w:val="42883C37"/>
    <w:rsid w:val="428A5470"/>
    <w:rsid w:val="429C30A7"/>
    <w:rsid w:val="42B325B5"/>
    <w:rsid w:val="42B92207"/>
    <w:rsid w:val="42BE088D"/>
    <w:rsid w:val="42C6151D"/>
    <w:rsid w:val="42D72D86"/>
    <w:rsid w:val="42E42CCB"/>
    <w:rsid w:val="42F951EF"/>
    <w:rsid w:val="43200984"/>
    <w:rsid w:val="434165C5"/>
    <w:rsid w:val="435A2BEA"/>
    <w:rsid w:val="43820A84"/>
    <w:rsid w:val="43993A74"/>
    <w:rsid w:val="43A13048"/>
    <w:rsid w:val="43BC4F2D"/>
    <w:rsid w:val="43C42339"/>
    <w:rsid w:val="43C50FDA"/>
    <w:rsid w:val="43F01F04"/>
    <w:rsid w:val="43F153B2"/>
    <w:rsid w:val="44064ECA"/>
    <w:rsid w:val="44112953"/>
    <w:rsid w:val="442578C8"/>
    <w:rsid w:val="443F5506"/>
    <w:rsid w:val="44410466"/>
    <w:rsid w:val="4457512C"/>
    <w:rsid w:val="446012BE"/>
    <w:rsid w:val="44711559"/>
    <w:rsid w:val="44744B34"/>
    <w:rsid w:val="447E4FEB"/>
    <w:rsid w:val="44DA22E4"/>
    <w:rsid w:val="44E346B1"/>
    <w:rsid w:val="44E70442"/>
    <w:rsid w:val="44EC0EA2"/>
    <w:rsid w:val="44F45672"/>
    <w:rsid w:val="4510235C"/>
    <w:rsid w:val="45341597"/>
    <w:rsid w:val="453F6D2F"/>
    <w:rsid w:val="45433AAF"/>
    <w:rsid w:val="454873C2"/>
    <w:rsid w:val="454B4204"/>
    <w:rsid w:val="455340E3"/>
    <w:rsid w:val="458732AE"/>
    <w:rsid w:val="45893BE1"/>
    <w:rsid w:val="45931C14"/>
    <w:rsid w:val="45AF31CB"/>
    <w:rsid w:val="45B3561E"/>
    <w:rsid w:val="45CE1495"/>
    <w:rsid w:val="45CF6F16"/>
    <w:rsid w:val="45EB58BB"/>
    <w:rsid w:val="45EE77CB"/>
    <w:rsid w:val="460A33A0"/>
    <w:rsid w:val="4619280E"/>
    <w:rsid w:val="46572F41"/>
    <w:rsid w:val="46621D09"/>
    <w:rsid w:val="4666070F"/>
    <w:rsid w:val="46683C12"/>
    <w:rsid w:val="467F664E"/>
    <w:rsid w:val="468C3210"/>
    <w:rsid w:val="469730DC"/>
    <w:rsid w:val="469965DF"/>
    <w:rsid w:val="46B630BC"/>
    <w:rsid w:val="46B86E94"/>
    <w:rsid w:val="46C26210"/>
    <w:rsid w:val="46D851CA"/>
    <w:rsid w:val="47107984"/>
    <w:rsid w:val="47440F4D"/>
    <w:rsid w:val="47585719"/>
    <w:rsid w:val="47630472"/>
    <w:rsid w:val="476E3D34"/>
    <w:rsid w:val="47705844"/>
    <w:rsid w:val="4785419B"/>
    <w:rsid w:val="478A45D2"/>
    <w:rsid w:val="478D1B02"/>
    <w:rsid w:val="47910B8A"/>
    <w:rsid w:val="47D7186A"/>
    <w:rsid w:val="47E64083"/>
    <w:rsid w:val="47F6431D"/>
    <w:rsid w:val="47FB336E"/>
    <w:rsid w:val="47FD4DEA"/>
    <w:rsid w:val="47FF4FBB"/>
    <w:rsid w:val="48123C4D"/>
    <w:rsid w:val="48150707"/>
    <w:rsid w:val="48205C65"/>
    <w:rsid w:val="48310C7F"/>
    <w:rsid w:val="48326701"/>
    <w:rsid w:val="48513523"/>
    <w:rsid w:val="485C5346"/>
    <w:rsid w:val="487A2F3C"/>
    <w:rsid w:val="489473BA"/>
    <w:rsid w:val="48A650B3"/>
    <w:rsid w:val="48B20B9D"/>
    <w:rsid w:val="48C56AD5"/>
    <w:rsid w:val="48EA4EE8"/>
    <w:rsid w:val="48F32F3B"/>
    <w:rsid w:val="48F55BF9"/>
    <w:rsid w:val="492A6C99"/>
    <w:rsid w:val="492E26B6"/>
    <w:rsid w:val="492F3120"/>
    <w:rsid w:val="49365273"/>
    <w:rsid w:val="493D4449"/>
    <w:rsid w:val="494E5BD4"/>
    <w:rsid w:val="495A5625"/>
    <w:rsid w:val="496140BF"/>
    <w:rsid w:val="496D2572"/>
    <w:rsid w:val="497F41A4"/>
    <w:rsid w:val="498443C0"/>
    <w:rsid w:val="498446D0"/>
    <w:rsid w:val="49943BD0"/>
    <w:rsid w:val="49A068D7"/>
    <w:rsid w:val="49A64064"/>
    <w:rsid w:val="49B43282"/>
    <w:rsid w:val="49BD5045"/>
    <w:rsid w:val="49C254CC"/>
    <w:rsid w:val="49CB0A20"/>
    <w:rsid w:val="49E55E60"/>
    <w:rsid w:val="4A180C71"/>
    <w:rsid w:val="4A1A6283"/>
    <w:rsid w:val="4A1A7F09"/>
    <w:rsid w:val="4A323C48"/>
    <w:rsid w:val="4A3F508D"/>
    <w:rsid w:val="4A4C47F2"/>
    <w:rsid w:val="4A5B19B3"/>
    <w:rsid w:val="4A7459B6"/>
    <w:rsid w:val="4AA1777F"/>
    <w:rsid w:val="4AB553D8"/>
    <w:rsid w:val="4ABF1148"/>
    <w:rsid w:val="4AC21892"/>
    <w:rsid w:val="4AF463D6"/>
    <w:rsid w:val="4AF64C8A"/>
    <w:rsid w:val="4AF81574"/>
    <w:rsid w:val="4B0460FF"/>
    <w:rsid w:val="4B0C6E2E"/>
    <w:rsid w:val="4B1B12D4"/>
    <w:rsid w:val="4B251F56"/>
    <w:rsid w:val="4B2637A6"/>
    <w:rsid w:val="4B55391F"/>
    <w:rsid w:val="4B57229C"/>
    <w:rsid w:val="4B5F3132"/>
    <w:rsid w:val="4B621FEB"/>
    <w:rsid w:val="4B691746"/>
    <w:rsid w:val="4B926E60"/>
    <w:rsid w:val="4BB040B9"/>
    <w:rsid w:val="4BB53DC4"/>
    <w:rsid w:val="4BB949C8"/>
    <w:rsid w:val="4BBC751F"/>
    <w:rsid w:val="4BC46339"/>
    <w:rsid w:val="4BD56877"/>
    <w:rsid w:val="4BF46806"/>
    <w:rsid w:val="4C1F216E"/>
    <w:rsid w:val="4C27558D"/>
    <w:rsid w:val="4C28386A"/>
    <w:rsid w:val="4C547266"/>
    <w:rsid w:val="4C9E3D41"/>
    <w:rsid w:val="4CD3679A"/>
    <w:rsid w:val="4CDC470D"/>
    <w:rsid w:val="4CE43AA3"/>
    <w:rsid w:val="4CF124C7"/>
    <w:rsid w:val="4CF93156"/>
    <w:rsid w:val="4CFA6659"/>
    <w:rsid w:val="4D0C4375"/>
    <w:rsid w:val="4D1A110D"/>
    <w:rsid w:val="4D1C7E93"/>
    <w:rsid w:val="4D463256"/>
    <w:rsid w:val="4D53256B"/>
    <w:rsid w:val="4D5D7F57"/>
    <w:rsid w:val="4D6C2657"/>
    <w:rsid w:val="4D72759D"/>
    <w:rsid w:val="4D7814A6"/>
    <w:rsid w:val="4D8F10CB"/>
    <w:rsid w:val="4D9E3092"/>
    <w:rsid w:val="4D9F4BE9"/>
    <w:rsid w:val="4DBE7A85"/>
    <w:rsid w:val="4DC0189A"/>
    <w:rsid w:val="4DCD4433"/>
    <w:rsid w:val="4DE465D7"/>
    <w:rsid w:val="4E007CED"/>
    <w:rsid w:val="4E0A4298"/>
    <w:rsid w:val="4E1454A5"/>
    <w:rsid w:val="4E2D6C46"/>
    <w:rsid w:val="4E4A0881"/>
    <w:rsid w:val="4E5A77F7"/>
    <w:rsid w:val="4E7339BC"/>
    <w:rsid w:val="4E7B601F"/>
    <w:rsid w:val="4E8807E9"/>
    <w:rsid w:val="4E8D0FEE"/>
    <w:rsid w:val="4E921BF3"/>
    <w:rsid w:val="4EA34CFF"/>
    <w:rsid w:val="4EAB756E"/>
    <w:rsid w:val="4EB3122E"/>
    <w:rsid w:val="4ED70169"/>
    <w:rsid w:val="4ED85BEA"/>
    <w:rsid w:val="4ED9366C"/>
    <w:rsid w:val="4EE87ADC"/>
    <w:rsid w:val="4EEC1008"/>
    <w:rsid w:val="4EF00E0E"/>
    <w:rsid w:val="4F083D82"/>
    <w:rsid w:val="4F190A03"/>
    <w:rsid w:val="4F1B40D5"/>
    <w:rsid w:val="4F354C7F"/>
    <w:rsid w:val="4F365F84"/>
    <w:rsid w:val="4F5678BA"/>
    <w:rsid w:val="4F5F1347"/>
    <w:rsid w:val="4F674399"/>
    <w:rsid w:val="4F6A76D8"/>
    <w:rsid w:val="4F822D0B"/>
    <w:rsid w:val="4F891D97"/>
    <w:rsid w:val="4F9D65A9"/>
    <w:rsid w:val="4FA80021"/>
    <w:rsid w:val="4FAC5BC3"/>
    <w:rsid w:val="4FAD65DD"/>
    <w:rsid w:val="4FBA772B"/>
    <w:rsid w:val="4FEC40D6"/>
    <w:rsid w:val="50062DD9"/>
    <w:rsid w:val="50147B70"/>
    <w:rsid w:val="50334BA2"/>
    <w:rsid w:val="503A38B2"/>
    <w:rsid w:val="5079771B"/>
    <w:rsid w:val="50AD6A6A"/>
    <w:rsid w:val="50CE2822"/>
    <w:rsid w:val="50E214C3"/>
    <w:rsid w:val="50E720C7"/>
    <w:rsid w:val="50F607A5"/>
    <w:rsid w:val="51140415"/>
    <w:rsid w:val="511502B1"/>
    <w:rsid w:val="51236F6A"/>
    <w:rsid w:val="512F57EF"/>
    <w:rsid w:val="51515D19"/>
    <w:rsid w:val="516A3B30"/>
    <w:rsid w:val="51935A63"/>
    <w:rsid w:val="519A31F0"/>
    <w:rsid w:val="51A87A94"/>
    <w:rsid w:val="51B6149B"/>
    <w:rsid w:val="51C83262"/>
    <w:rsid w:val="51E46AE7"/>
    <w:rsid w:val="51E754ED"/>
    <w:rsid w:val="51F93209"/>
    <w:rsid w:val="51FD071D"/>
    <w:rsid w:val="52054A9D"/>
    <w:rsid w:val="520F53AD"/>
    <w:rsid w:val="522B2ADE"/>
    <w:rsid w:val="52301165"/>
    <w:rsid w:val="52306627"/>
    <w:rsid w:val="52466FD1"/>
    <w:rsid w:val="5250417D"/>
    <w:rsid w:val="525C0D2F"/>
    <w:rsid w:val="527B179A"/>
    <w:rsid w:val="5281408C"/>
    <w:rsid w:val="528A263B"/>
    <w:rsid w:val="52902483"/>
    <w:rsid w:val="52BC45CC"/>
    <w:rsid w:val="52C051D0"/>
    <w:rsid w:val="52C64593"/>
    <w:rsid w:val="530D52D0"/>
    <w:rsid w:val="53137FF5"/>
    <w:rsid w:val="53485083"/>
    <w:rsid w:val="534B7333"/>
    <w:rsid w:val="534F5D39"/>
    <w:rsid w:val="536E65EE"/>
    <w:rsid w:val="536F406F"/>
    <w:rsid w:val="537A4E07"/>
    <w:rsid w:val="537C6C08"/>
    <w:rsid w:val="53951A51"/>
    <w:rsid w:val="53A235C5"/>
    <w:rsid w:val="53D870D1"/>
    <w:rsid w:val="53FF00DB"/>
    <w:rsid w:val="5408507F"/>
    <w:rsid w:val="540E4D71"/>
    <w:rsid w:val="54105DF7"/>
    <w:rsid w:val="542A2BCC"/>
    <w:rsid w:val="542E17C6"/>
    <w:rsid w:val="54366037"/>
    <w:rsid w:val="5443534C"/>
    <w:rsid w:val="544A667D"/>
    <w:rsid w:val="54540E6A"/>
    <w:rsid w:val="5462237E"/>
    <w:rsid w:val="54782323"/>
    <w:rsid w:val="54846A8C"/>
    <w:rsid w:val="54A330ED"/>
    <w:rsid w:val="54C05F9B"/>
    <w:rsid w:val="54D06235"/>
    <w:rsid w:val="54D13CB7"/>
    <w:rsid w:val="54FF2675"/>
    <w:rsid w:val="550D2817"/>
    <w:rsid w:val="550E0298"/>
    <w:rsid w:val="55253D42"/>
    <w:rsid w:val="554716F7"/>
    <w:rsid w:val="55537607"/>
    <w:rsid w:val="55563E5A"/>
    <w:rsid w:val="558746DF"/>
    <w:rsid w:val="558D1E6B"/>
    <w:rsid w:val="55D81A86"/>
    <w:rsid w:val="55DE130B"/>
    <w:rsid w:val="55EF6684"/>
    <w:rsid w:val="55FC3F29"/>
    <w:rsid w:val="55FE5622"/>
    <w:rsid w:val="560143A9"/>
    <w:rsid w:val="560939B3"/>
    <w:rsid w:val="56102C33"/>
    <w:rsid w:val="561F538D"/>
    <w:rsid w:val="56253751"/>
    <w:rsid w:val="56284268"/>
    <w:rsid w:val="56563AB2"/>
    <w:rsid w:val="56692AD3"/>
    <w:rsid w:val="56730E64"/>
    <w:rsid w:val="56833F70"/>
    <w:rsid w:val="5683587B"/>
    <w:rsid w:val="56A47ABC"/>
    <w:rsid w:val="56A90D1C"/>
    <w:rsid w:val="56AE2FF9"/>
    <w:rsid w:val="56B34671"/>
    <w:rsid w:val="56BB705A"/>
    <w:rsid w:val="56C7506B"/>
    <w:rsid w:val="56D26326"/>
    <w:rsid w:val="56D44381"/>
    <w:rsid w:val="570C7D5E"/>
    <w:rsid w:val="571C2577"/>
    <w:rsid w:val="57327F9E"/>
    <w:rsid w:val="573B5DD9"/>
    <w:rsid w:val="57420238"/>
    <w:rsid w:val="574E404B"/>
    <w:rsid w:val="57677173"/>
    <w:rsid w:val="57742B5F"/>
    <w:rsid w:val="577D4B9A"/>
    <w:rsid w:val="578F4319"/>
    <w:rsid w:val="57936D3D"/>
    <w:rsid w:val="57A54A59"/>
    <w:rsid w:val="57B51470"/>
    <w:rsid w:val="57B66EF2"/>
    <w:rsid w:val="57BE279A"/>
    <w:rsid w:val="57DF393A"/>
    <w:rsid w:val="57ED4887"/>
    <w:rsid w:val="582A2734"/>
    <w:rsid w:val="58456DC6"/>
    <w:rsid w:val="5849511E"/>
    <w:rsid w:val="58594131"/>
    <w:rsid w:val="58701BA4"/>
    <w:rsid w:val="5870373F"/>
    <w:rsid w:val="588F2458"/>
    <w:rsid w:val="589E4C71"/>
    <w:rsid w:val="58AC5CE9"/>
    <w:rsid w:val="58BF7568"/>
    <w:rsid w:val="592A33CF"/>
    <w:rsid w:val="5941447A"/>
    <w:rsid w:val="59593AC0"/>
    <w:rsid w:val="595B08A7"/>
    <w:rsid w:val="59867460"/>
    <w:rsid w:val="598A7F12"/>
    <w:rsid w:val="598E2EF7"/>
    <w:rsid w:val="59943F04"/>
    <w:rsid w:val="59A975A4"/>
    <w:rsid w:val="59B469B8"/>
    <w:rsid w:val="59C37BED"/>
    <w:rsid w:val="59C87B1C"/>
    <w:rsid w:val="59D038F6"/>
    <w:rsid w:val="59DE0E81"/>
    <w:rsid w:val="59FB29AF"/>
    <w:rsid w:val="5A0C4E48"/>
    <w:rsid w:val="5A170C5A"/>
    <w:rsid w:val="5A2703CF"/>
    <w:rsid w:val="5A3E4DB1"/>
    <w:rsid w:val="5A4A1FB4"/>
    <w:rsid w:val="5A6E746B"/>
    <w:rsid w:val="5A6F67BF"/>
    <w:rsid w:val="5A754877"/>
    <w:rsid w:val="5A8335B2"/>
    <w:rsid w:val="5A964DAC"/>
    <w:rsid w:val="5A9802AF"/>
    <w:rsid w:val="5A9D3C05"/>
    <w:rsid w:val="5AD73066"/>
    <w:rsid w:val="5AEF02E7"/>
    <w:rsid w:val="5B01445B"/>
    <w:rsid w:val="5B106C74"/>
    <w:rsid w:val="5B14334D"/>
    <w:rsid w:val="5B195385"/>
    <w:rsid w:val="5B1D4EF7"/>
    <w:rsid w:val="5B324C2A"/>
    <w:rsid w:val="5B417443"/>
    <w:rsid w:val="5B5176DD"/>
    <w:rsid w:val="5B6466FE"/>
    <w:rsid w:val="5B6E700E"/>
    <w:rsid w:val="5B7C3DA5"/>
    <w:rsid w:val="5B952750"/>
    <w:rsid w:val="5B987E52"/>
    <w:rsid w:val="5BC73735"/>
    <w:rsid w:val="5BD27BAC"/>
    <w:rsid w:val="5BD60FBC"/>
    <w:rsid w:val="5BE851AE"/>
    <w:rsid w:val="5BF0118F"/>
    <w:rsid w:val="5BF2464B"/>
    <w:rsid w:val="5BF93998"/>
    <w:rsid w:val="5BFC33FA"/>
    <w:rsid w:val="5C160720"/>
    <w:rsid w:val="5C1F35AE"/>
    <w:rsid w:val="5C320050"/>
    <w:rsid w:val="5C45470C"/>
    <w:rsid w:val="5C463A79"/>
    <w:rsid w:val="5C55730B"/>
    <w:rsid w:val="5C56150A"/>
    <w:rsid w:val="5C700B17"/>
    <w:rsid w:val="5CD34356"/>
    <w:rsid w:val="5CE744E5"/>
    <w:rsid w:val="5CE964FA"/>
    <w:rsid w:val="5CF01708"/>
    <w:rsid w:val="5CF3268D"/>
    <w:rsid w:val="5CFD0A1E"/>
    <w:rsid w:val="5D135140"/>
    <w:rsid w:val="5D142BC1"/>
    <w:rsid w:val="5D196F19"/>
    <w:rsid w:val="5D1E02B8"/>
    <w:rsid w:val="5D211ED7"/>
    <w:rsid w:val="5D3540EC"/>
    <w:rsid w:val="5D3778FE"/>
    <w:rsid w:val="5D502A26"/>
    <w:rsid w:val="5D5546B9"/>
    <w:rsid w:val="5D562DC6"/>
    <w:rsid w:val="5D7B525F"/>
    <w:rsid w:val="5D7D7744"/>
    <w:rsid w:val="5D926D13"/>
    <w:rsid w:val="5D9C214D"/>
    <w:rsid w:val="5DAB0C20"/>
    <w:rsid w:val="5DBD1701"/>
    <w:rsid w:val="5DF41277"/>
    <w:rsid w:val="5E1B3A56"/>
    <w:rsid w:val="5E207FB8"/>
    <w:rsid w:val="5E3F0130"/>
    <w:rsid w:val="5E440D35"/>
    <w:rsid w:val="5E5E5162"/>
    <w:rsid w:val="5E7824C9"/>
    <w:rsid w:val="5E812D98"/>
    <w:rsid w:val="5E9D1053"/>
    <w:rsid w:val="5E9F014A"/>
    <w:rsid w:val="5EA64F3B"/>
    <w:rsid w:val="5EA842DD"/>
    <w:rsid w:val="5ED12557"/>
    <w:rsid w:val="5EDD7C2F"/>
    <w:rsid w:val="5EE34480"/>
    <w:rsid w:val="5EE441AD"/>
    <w:rsid w:val="5EEE1FA5"/>
    <w:rsid w:val="5F011031"/>
    <w:rsid w:val="5F0223ED"/>
    <w:rsid w:val="5F064676"/>
    <w:rsid w:val="5F195895"/>
    <w:rsid w:val="5F441A26"/>
    <w:rsid w:val="5F592A0A"/>
    <w:rsid w:val="5F62370B"/>
    <w:rsid w:val="5F6F0BD8"/>
    <w:rsid w:val="5F93775D"/>
    <w:rsid w:val="5F9C0CD4"/>
    <w:rsid w:val="5F9D1EC6"/>
    <w:rsid w:val="5FBD065C"/>
    <w:rsid w:val="5FDB6AF1"/>
    <w:rsid w:val="5FE33B7B"/>
    <w:rsid w:val="60021F8F"/>
    <w:rsid w:val="600B289F"/>
    <w:rsid w:val="604307FB"/>
    <w:rsid w:val="60441AFF"/>
    <w:rsid w:val="604B148A"/>
    <w:rsid w:val="604B3CC4"/>
    <w:rsid w:val="606122A2"/>
    <w:rsid w:val="606A3F3D"/>
    <w:rsid w:val="60725AC7"/>
    <w:rsid w:val="60792ED3"/>
    <w:rsid w:val="60852569"/>
    <w:rsid w:val="60937300"/>
    <w:rsid w:val="60DA7F88"/>
    <w:rsid w:val="60E50004"/>
    <w:rsid w:val="611A085E"/>
    <w:rsid w:val="61297D5E"/>
    <w:rsid w:val="61326F92"/>
    <w:rsid w:val="61651BD7"/>
    <w:rsid w:val="619D55B4"/>
    <w:rsid w:val="61B23ED4"/>
    <w:rsid w:val="61B31956"/>
    <w:rsid w:val="61BB5003"/>
    <w:rsid w:val="61C1372F"/>
    <w:rsid w:val="61C75237"/>
    <w:rsid w:val="61C83E7A"/>
    <w:rsid w:val="62022090"/>
    <w:rsid w:val="620A2365"/>
    <w:rsid w:val="620E64B4"/>
    <w:rsid w:val="621020BF"/>
    <w:rsid w:val="62142748"/>
    <w:rsid w:val="62693A03"/>
    <w:rsid w:val="62694A8B"/>
    <w:rsid w:val="62767495"/>
    <w:rsid w:val="628766E4"/>
    <w:rsid w:val="629422C9"/>
    <w:rsid w:val="62BB1B2D"/>
    <w:rsid w:val="62C45016"/>
    <w:rsid w:val="62D96BBE"/>
    <w:rsid w:val="62E1287D"/>
    <w:rsid w:val="62ED1D08"/>
    <w:rsid w:val="62ED61DB"/>
    <w:rsid w:val="63282B3C"/>
    <w:rsid w:val="63351AF5"/>
    <w:rsid w:val="63357787"/>
    <w:rsid w:val="63375355"/>
    <w:rsid w:val="63490AF3"/>
    <w:rsid w:val="634F29FC"/>
    <w:rsid w:val="6353387F"/>
    <w:rsid w:val="63862779"/>
    <w:rsid w:val="63896E25"/>
    <w:rsid w:val="638A3ADA"/>
    <w:rsid w:val="63973F0B"/>
    <w:rsid w:val="63A60894"/>
    <w:rsid w:val="63A60C43"/>
    <w:rsid w:val="63A7308B"/>
    <w:rsid w:val="63A90A0B"/>
    <w:rsid w:val="63D227C6"/>
    <w:rsid w:val="63D30A57"/>
    <w:rsid w:val="63ED728E"/>
    <w:rsid w:val="63FC0596"/>
    <w:rsid w:val="63FD189B"/>
    <w:rsid w:val="6412273A"/>
    <w:rsid w:val="642A55C5"/>
    <w:rsid w:val="6430556D"/>
    <w:rsid w:val="64350C27"/>
    <w:rsid w:val="64415165"/>
    <w:rsid w:val="6446675C"/>
    <w:rsid w:val="64470CB0"/>
    <w:rsid w:val="64482C14"/>
    <w:rsid w:val="645038A3"/>
    <w:rsid w:val="645E2BB9"/>
    <w:rsid w:val="646464DE"/>
    <w:rsid w:val="648065F1"/>
    <w:rsid w:val="64837576"/>
    <w:rsid w:val="64913E49"/>
    <w:rsid w:val="649E6FEC"/>
    <w:rsid w:val="64A1578A"/>
    <w:rsid w:val="64AC4D44"/>
    <w:rsid w:val="64BE0654"/>
    <w:rsid w:val="64C115D9"/>
    <w:rsid w:val="64CE4172"/>
    <w:rsid w:val="64D07675"/>
    <w:rsid w:val="65007F96"/>
    <w:rsid w:val="652E1C0D"/>
    <w:rsid w:val="65316493"/>
    <w:rsid w:val="653C0F22"/>
    <w:rsid w:val="65453DB0"/>
    <w:rsid w:val="6546764A"/>
    <w:rsid w:val="655065BD"/>
    <w:rsid w:val="65544EC0"/>
    <w:rsid w:val="65652284"/>
    <w:rsid w:val="656C4695"/>
    <w:rsid w:val="656D4F75"/>
    <w:rsid w:val="65960337"/>
    <w:rsid w:val="65A26140"/>
    <w:rsid w:val="65B06CE3"/>
    <w:rsid w:val="65D27D1B"/>
    <w:rsid w:val="65D8629F"/>
    <w:rsid w:val="65F45BD4"/>
    <w:rsid w:val="661717FA"/>
    <w:rsid w:val="661754BB"/>
    <w:rsid w:val="66281856"/>
    <w:rsid w:val="66293129"/>
    <w:rsid w:val="66495BDD"/>
    <w:rsid w:val="667B76B0"/>
    <w:rsid w:val="668B220A"/>
    <w:rsid w:val="66912F06"/>
    <w:rsid w:val="669427D9"/>
    <w:rsid w:val="66A20184"/>
    <w:rsid w:val="66B36B3A"/>
    <w:rsid w:val="66CC6FAC"/>
    <w:rsid w:val="66DD330F"/>
    <w:rsid w:val="66F57DCC"/>
    <w:rsid w:val="6700790A"/>
    <w:rsid w:val="67173425"/>
    <w:rsid w:val="67244646"/>
    <w:rsid w:val="675C1913"/>
    <w:rsid w:val="6760755B"/>
    <w:rsid w:val="677E3A5B"/>
    <w:rsid w:val="67857B63"/>
    <w:rsid w:val="67963F4B"/>
    <w:rsid w:val="679900D4"/>
    <w:rsid w:val="67A96A9E"/>
    <w:rsid w:val="67BE0894"/>
    <w:rsid w:val="67CC69EB"/>
    <w:rsid w:val="67DA1203"/>
    <w:rsid w:val="67DE6387"/>
    <w:rsid w:val="67E74384"/>
    <w:rsid w:val="681F6BCA"/>
    <w:rsid w:val="682A60F2"/>
    <w:rsid w:val="68382E89"/>
    <w:rsid w:val="6838670D"/>
    <w:rsid w:val="683B0720"/>
    <w:rsid w:val="684A392F"/>
    <w:rsid w:val="685427BA"/>
    <w:rsid w:val="6858593D"/>
    <w:rsid w:val="685E30C9"/>
    <w:rsid w:val="686A4B26"/>
    <w:rsid w:val="68947D20"/>
    <w:rsid w:val="68950E03"/>
    <w:rsid w:val="68A747C2"/>
    <w:rsid w:val="68B50F84"/>
    <w:rsid w:val="68C74C2C"/>
    <w:rsid w:val="68CD6C00"/>
    <w:rsid w:val="68D11952"/>
    <w:rsid w:val="68D7221A"/>
    <w:rsid w:val="68DD3EDE"/>
    <w:rsid w:val="68DF6B1A"/>
    <w:rsid w:val="68F86E29"/>
    <w:rsid w:val="691D4401"/>
    <w:rsid w:val="6924760F"/>
    <w:rsid w:val="693252F2"/>
    <w:rsid w:val="6936054A"/>
    <w:rsid w:val="694F30D8"/>
    <w:rsid w:val="69680FB6"/>
    <w:rsid w:val="696D60A7"/>
    <w:rsid w:val="697E1A0C"/>
    <w:rsid w:val="699243C0"/>
    <w:rsid w:val="6998089C"/>
    <w:rsid w:val="699D3ABD"/>
    <w:rsid w:val="69A83335"/>
    <w:rsid w:val="69D61631"/>
    <w:rsid w:val="69DA0037"/>
    <w:rsid w:val="6A0A3F7F"/>
    <w:rsid w:val="6A0B4530"/>
    <w:rsid w:val="6A2A2C89"/>
    <w:rsid w:val="6A366D95"/>
    <w:rsid w:val="6A421AF3"/>
    <w:rsid w:val="6A481C33"/>
    <w:rsid w:val="6A565AC1"/>
    <w:rsid w:val="6A71241A"/>
    <w:rsid w:val="6AA33303"/>
    <w:rsid w:val="6AAC5B78"/>
    <w:rsid w:val="6AB6657A"/>
    <w:rsid w:val="6AB8181F"/>
    <w:rsid w:val="6AE12DE8"/>
    <w:rsid w:val="6AEB2E5A"/>
    <w:rsid w:val="6AF07B7F"/>
    <w:rsid w:val="6AF50401"/>
    <w:rsid w:val="6B113937"/>
    <w:rsid w:val="6B2931DC"/>
    <w:rsid w:val="6B2A53A5"/>
    <w:rsid w:val="6B4B4A16"/>
    <w:rsid w:val="6B4D720A"/>
    <w:rsid w:val="6B5B4CB0"/>
    <w:rsid w:val="6B67236B"/>
    <w:rsid w:val="6B6B3F10"/>
    <w:rsid w:val="6B714C55"/>
    <w:rsid w:val="6B7C2AF5"/>
    <w:rsid w:val="6B9051ED"/>
    <w:rsid w:val="6B92518A"/>
    <w:rsid w:val="6BBA2ACB"/>
    <w:rsid w:val="6BBB054D"/>
    <w:rsid w:val="6BD805A3"/>
    <w:rsid w:val="6BDA4B23"/>
    <w:rsid w:val="6BDF49BE"/>
    <w:rsid w:val="6BF419AB"/>
    <w:rsid w:val="6C12315A"/>
    <w:rsid w:val="6C27567D"/>
    <w:rsid w:val="6C3D6FDE"/>
    <w:rsid w:val="6C585E4D"/>
    <w:rsid w:val="6C60590E"/>
    <w:rsid w:val="6C642F64"/>
    <w:rsid w:val="6C76177A"/>
    <w:rsid w:val="6C845A17"/>
    <w:rsid w:val="6C8F23ED"/>
    <w:rsid w:val="6CA32A49"/>
    <w:rsid w:val="6CBC13F4"/>
    <w:rsid w:val="6CDE15A9"/>
    <w:rsid w:val="6CF644F8"/>
    <w:rsid w:val="6D415DCA"/>
    <w:rsid w:val="6D441ECE"/>
    <w:rsid w:val="6D7029B4"/>
    <w:rsid w:val="6D721E1C"/>
    <w:rsid w:val="6D7F36B1"/>
    <w:rsid w:val="6D9013CC"/>
    <w:rsid w:val="6D9754E1"/>
    <w:rsid w:val="6DA20D9B"/>
    <w:rsid w:val="6DC61A61"/>
    <w:rsid w:val="6DD540BF"/>
    <w:rsid w:val="6DDC3A4A"/>
    <w:rsid w:val="6DF67E77"/>
    <w:rsid w:val="6E0141C3"/>
    <w:rsid w:val="6E087D91"/>
    <w:rsid w:val="6E0E1C9B"/>
    <w:rsid w:val="6E2E7FD1"/>
    <w:rsid w:val="6E35571D"/>
    <w:rsid w:val="6E3653DD"/>
    <w:rsid w:val="6E3B72E7"/>
    <w:rsid w:val="6E3D27EA"/>
    <w:rsid w:val="6E480033"/>
    <w:rsid w:val="6E4C7F75"/>
    <w:rsid w:val="6E4D6B76"/>
    <w:rsid w:val="6E955259"/>
    <w:rsid w:val="6EA35A11"/>
    <w:rsid w:val="6EB23262"/>
    <w:rsid w:val="6EB35C70"/>
    <w:rsid w:val="6EDC4CE6"/>
    <w:rsid w:val="6EE861C4"/>
    <w:rsid w:val="6EEC07DF"/>
    <w:rsid w:val="6EF66AD2"/>
    <w:rsid w:val="6F0D5441"/>
    <w:rsid w:val="6F491A22"/>
    <w:rsid w:val="6F5E4EA6"/>
    <w:rsid w:val="6F601648"/>
    <w:rsid w:val="6F6B2453"/>
    <w:rsid w:val="6F7C6A57"/>
    <w:rsid w:val="6F8B7F0D"/>
    <w:rsid w:val="6F8D1212"/>
    <w:rsid w:val="6F9F69C8"/>
    <w:rsid w:val="6FA556EE"/>
    <w:rsid w:val="6FB15A3A"/>
    <w:rsid w:val="6FE029F3"/>
    <w:rsid w:val="6FE518A1"/>
    <w:rsid w:val="6FF26D31"/>
    <w:rsid w:val="700F26E5"/>
    <w:rsid w:val="700F38B8"/>
    <w:rsid w:val="701A4279"/>
    <w:rsid w:val="701B1D7B"/>
    <w:rsid w:val="70254F60"/>
    <w:rsid w:val="7028360F"/>
    <w:rsid w:val="703204C7"/>
    <w:rsid w:val="703D7D31"/>
    <w:rsid w:val="705047D3"/>
    <w:rsid w:val="706A537D"/>
    <w:rsid w:val="707520CA"/>
    <w:rsid w:val="70845F27"/>
    <w:rsid w:val="709D48D3"/>
    <w:rsid w:val="70A20D5A"/>
    <w:rsid w:val="70B14F4F"/>
    <w:rsid w:val="71083F82"/>
    <w:rsid w:val="711B771F"/>
    <w:rsid w:val="712A3909"/>
    <w:rsid w:val="712C4375"/>
    <w:rsid w:val="713B43D1"/>
    <w:rsid w:val="714F696B"/>
    <w:rsid w:val="716E3C04"/>
    <w:rsid w:val="716F13A8"/>
    <w:rsid w:val="71710A75"/>
    <w:rsid w:val="71782C84"/>
    <w:rsid w:val="718F7D5F"/>
    <w:rsid w:val="719802C0"/>
    <w:rsid w:val="71994237"/>
    <w:rsid w:val="719E6674"/>
    <w:rsid w:val="71A6120E"/>
    <w:rsid w:val="71AB656F"/>
    <w:rsid w:val="71BB3A25"/>
    <w:rsid w:val="71C61DB6"/>
    <w:rsid w:val="71C938C1"/>
    <w:rsid w:val="71DC3F5A"/>
    <w:rsid w:val="71EC1FF6"/>
    <w:rsid w:val="72047601"/>
    <w:rsid w:val="720E5A2E"/>
    <w:rsid w:val="721852F9"/>
    <w:rsid w:val="72204641"/>
    <w:rsid w:val="722E4373"/>
    <w:rsid w:val="72442685"/>
    <w:rsid w:val="72496FD9"/>
    <w:rsid w:val="72592EFF"/>
    <w:rsid w:val="72612386"/>
    <w:rsid w:val="727C303A"/>
    <w:rsid w:val="728F637A"/>
    <w:rsid w:val="72B1118B"/>
    <w:rsid w:val="72B461BC"/>
    <w:rsid w:val="72E81551"/>
    <w:rsid w:val="72EB1075"/>
    <w:rsid w:val="72FF2DB8"/>
    <w:rsid w:val="73077A4A"/>
    <w:rsid w:val="730D5951"/>
    <w:rsid w:val="73180F7E"/>
    <w:rsid w:val="733337C8"/>
    <w:rsid w:val="73437495"/>
    <w:rsid w:val="7348547B"/>
    <w:rsid w:val="734C1F39"/>
    <w:rsid w:val="73532842"/>
    <w:rsid w:val="73553B3B"/>
    <w:rsid w:val="735D7EA8"/>
    <w:rsid w:val="736153DB"/>
    <w:rsid w:val="73890EAB"/>
    <w:rsid w:val="73A171F0"/>
    <w:rsid w:val="73DD49A4"/>
    <w:rsid w:val="74027CCB"/>
    <w:rsid w:val="74123008"/>
    <w:rsid w:val="74445FEC"/>
    <w:rsid w:val="74512765"/>
    <w:rsid w:val="74556642"/>
    <w:rsid w:val="746A689B"/>
    <w:rsid w:val="746F6ABF"/>
    <w:rsid w:val="74747C81"/>
    <w:rsid w:val="747E6AAC"/>
    <w:rsid w:val="748677F4"/>
    <w:rsid w:val="749B1C51"/>
    <w:rsid w:val="74C0081A"/>
    <w:rsid w:val="74DD0898"/>
    <w:rsid w:val="74E83C2C"/>
    <w:rsid w:val="74F53273"/>
    <w:rsid w:val="75131B69"/>
    <w:rsid w:val="75180F2F"/>
    <w:rsid w:val="75244CBB"/>
    <w:rsid w:val="75394C61"/>
    <w:rsid w:val="75465EF4"/>
    <w:rsid w:val="75493652"/>
    <w:rsid w:val="7556678F"/>
    <w:rsid w:val="756A5430"/>
    <w:rsid w:val="75812E57"/>
    <w:rsid w:val="759D1102"/>
    <w:rsid w:val="75A00D0D"/>
    <w:rsid w:val="75A2588B"/>
    <w:rsid w:val="75AD719E"/>
    <w:rsid w:val="75B7241E"/>
    <w:rsid w:val="75C77D48"/>
    <w:rsid w:val="75E64D79"/>
    <w:rsid w:val="762A586E"/>
    <w:rsid w:val="763933D7"/>
    <w:rsid w:val="76442B95"/>
    <w:rsid w:val="765D5CBD"/>
    <w:rsid w:val="76637BC6"/>
    <w:rsid w:val="76645648"/>
    <w:rsid w:val="766A10E0"/>
    <w:rsid w:val="766B0105"/>
    <w:rsid w:val="76903014"/>
    <w:rsid w:val="769A0719"/>
    <w:rsid w:val="769B35A3"/>
    <w:rsid w:val="769F132D"/>
    <w:rsid w:val="76AA3C32"/>
    <w:rsid w:val="76F16531"/>
    <w:rsid w:val="76F64BC9"/>
    <w:rsid w:val="76FB48C2"/>
    <w:rsid w:val="76FD3648"/>
    <w:rsid w:val="77101C49"/>
    <w:rsid w:val="77384726"/>
    <w:rsid w:val="774849C1"/>
    <w:rsid w:val="7751784F"/>
    <w:rsid w:val="77571758"/>
    <w:rsid w:val="775C3661"/>
    <w:rsid w:val="775C3EE3"/>
    <w:rsid w:val="777A2C11"/>
    <w:rsid w:val="77850FA2"/>
    <w:rsid w:val="778A0CAD"/>
    <w:rsid w:val="77C4430A"/>
    <w:rsid w:val="77E9454A"/>
    <w:rsid w:val="77F17D12"/>
    <w:rsid w:val="77FC7CE8"/>
    <w:rsid w:val="780D5A03"/>
    <w:rsid w:val="780D6FA2"/>
    <w:rsid w:val="78121F73"/>
    <w:rsid w:val="78217CF6"/>
    <w:rsid w:val="782E39BA"/>
    <w:rsid w:val="7832223B"/>
    <w:rsid w:val="783D0751"/>
    <w:rsid w:val="784B54E8"/>
    <w:rsid w:val="784C0D6B"/>
    <w:rsid w:val="784D67ED"/>
    <w:rsid w:val="785B7D01"/>
    <w:rsid w:val="787034D3"/>
    <w:rsid w:val="787B4A5A"/>
    <w:rsid w:val="78807F41"/>
    <w:rsid w:val="788479DD"/>
    <w:rsid w:val="7887642F"/>
    <w:rsid w:val="78905D4D"/>
    <w:rsid w:val="78972AD3"/>
    <w:rsid w:val="789D7871"/>
    <w:rsid w:val="78A4749A"/>
    <w:rsid w:val="78A60180"/>
    <w:rsid w:val="78EC60C3"/>
    <w:rsid w:val="790117FE"/>
    <w:rsid w:val="791474DA"/>
    <w:rsid w:val="7922554C"/>
    <w:rsid w:val="79314EE8"/>
    <w:rsid w:val="79373B18"/>
    <w:rsid w:val="79662FDD"/>
    <w:rsid w:val="796E4346"/>
    <w:rsid w:val="79992C0C"/>
    <w:rsid w:val="79AC1C2C"/>
    <w:rsid w:val="79C922CD"/>
    <w:rsid w:val="79CC7F63"/>
    <w:rsid w:val="79D46762"/>
    <w:rsid w:val="79FF03B2"/>
    <w:rsid w:val="79FF507B"/>
    <w:rsid w:val="7A056A71"/>
    <w:rsid w:val="7A2931FE"/>
    <w:rsid w:val="7A3A6520"/>
    <w:rsid w:val="7A4430A5"/>
    <w:rsid w:val="7A4773C4"/>
    <w:rsid w:val="7A824B17"/>
    <w:rsid w:val="7A831FB1"/>
    <w:rsid w:val="7A864F99"/>
    <w:rsid w:val="7A8928DD"/>
    <w:rsid w:val="7A9863B2"/>
    <w:rsid w:val="7AA159BD"/>
    <w:rsid w:val="7AA52A09"/>
    <w:rsid w:val="7AD752BA"/>
    <w:rsid w:val="7AD81433"/>
    <w:rsid w:val="7B0C506C"/>
    <w:rsid w:val="7B256A92"/>
    <w:rsid w:val="7B2A76EA"/>
    <w:rsid w:val="7B5F28F8"/>
    <w:rsid w:val="7B6334FC"/>
    <w:rsid w:val="7B8B33BC"/>
    <w:rsid w:val="7BC703CE"/>
    <w:rsid w:val="7BE75CD4"/>
    <w:rsid w:val="7BEA167F"/>
    <w:rsid w:val="7BEF1933"/>
    <w:rsid w:val="7C0307BC"/>
    <w:rsid w:val="7C1830A2"/>
    <w:rsid w:val="7C453E0E"/>
    <w:rsid w:val="7C5B14A4"/>
    <w:rsid w:val="7C6565A2"/>
    <w:rsid w:val="7C682DAA"/>
    <w:rsid w:val="7C694FA8"/>
    <w:rsid w:val="7C8C66DD"/>
    <w:rsid w:val="7CB334F6"/>
    <w:rsid w:val="7CB41BA4"/>
    <w:rsid w:val="7CB65BDA"/>
    <w:rsid w:val="7CCA4E08"/>
    <w:rsid w:val="7CD5595C"/>
    <w:rsid w:val="7CEB7B00"/>
    <w:rsid w:val="7D034920"/>
    <w:rsid w:val="7D0D5738"/>
    <w:rsid w:val="7D156746"/>
    <w:rsid w:val="7D225826"/>
    <w:rsid w:val="7D233B36"/>
    <w:rsid w:val="7D3D20C1"/>
    <w:rsid w:val="7D3D4087"/>
    <w:rsid w:val="7D4023B4"/>
    <w:rsid w:val="7D417DE5"/>
    <w:rsid w:val="7D466F9B"/>
    <w:rsid w:val="7D842909"/>
    <w:rsid w:val="7DA87168"/>
    <w:rsid w:val="7DAE699B"/>
    <w:rsid w:val="7DD2457A"/>
    <w:rsid w:val="7DD32A6D"/>
    <w:rsid w:val="7DDC070D"/>
    <w:rsid w:val="7DFD6E51"/>
    <w:rsid w:val="7DFE31CB"/>
    <w:rsid w:val="7DFE8CC6"/>
    <w:rsid w:val="7E041453"/>
    <w:rsid w:val="7E140867"/>
    <w:rsid w:val="7E3002D4"/>
    <w:rsid w:val="7E375323"/>
    <w:rsid w:val="7E474530"/>
    <w:rsid w:val="7E4F05D8"/>
    <w:rsid w:val="7E535DCD"/>
    <w:rsid w:val="7E6305E6"/>
    <w:rsid w:val="7EA6398F"/>
    <w:rsid w:val="7EAF2C64"/>
    <w:rsid w:val="7EBE327E"/>
    <w:rsid w:val="7EFB52E1"/>
    <w:rsid w:val="7EFF3E52"/>
    <w:rsid w:val="7F0D0A7F"/>
    <w:rsid w:val="7F162659"/>
    <w:rsid w:val="7F182693"/>
    <w:rsid w:val="7F25162F"/>
    <w:rsid w:val="7F294B2C"/>
    <w:rsid w:val="7F3818C3"/>
    <w:rsid w:val="7F402553"/>
    <w:rsid w:val="7F566A0E"/>
    <w:rsid w:val="7F652792"/>
    <w:rsid w:val="7F7A251D"/>
    <w:rsid w:val="7F7D695E"/>
    <w:rsid w:val="7F830620"/>
    <w:rsid w:val="7F8B38CC"/>
    <w:rsid w:val="7F971F31"/>
    <w:rsid w:val="7FA73739"/>
    <w:rsid w:val="7FAD4754"/>
    <w:rsid w:val="7FB86DEC"/>
    <w:rsid w:val="7FBB0538"/>
    <w:rsid w:val="7FC13DA6"/>
    <w:rsid w:val="7FC71C2E"/>
    <w:rsid w:val="7FDC63E8"/>
    <w:rsid w:val="7FE83C65"/>
    <w:rsid w:val="7FEA29EC"/>
    <w:rsid w:val="7FFD6189"/>
    <w:rsid w:val="EDEA7C2E"/>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0"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qFormat="1" w:uiPriority="99" w:semiHidden="0"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1"/>
    <w:qFormat/>
    <w:uiPriority w:val="0"/>
    <w:pPr>
      <w:keepNext/>
      <w:keepLines/>
      <w:spacing w:before="340" w:after="330" w:line="578" w:lineRule="auto"/>
      <w:outlineLvl w:val="0"/>
    </w:pPr>
    <w:rPr>
      <w:rFonts w:ascii="Calibri" w:hAnsi="Calibri"/>
      <w:b/>
      <w:bCs/>
      <w:kern w:val="44"/>
      <w:sz w:val="44"/>
      <w:szCs w:val="44"/>
    </w:rPr>
  </w:style>
  <w:style w:type="paragraph" w:styleId="5">
    <w:name w:val="heading 2"/>
    <w:basedOn w:val="1"/>
    <w:next w:val="1"/>
    <w:link w:val="35"/>
    <w:qFormat/>
    <w:uiPriority w:val="0"/>
    <w:pPr>
      <w:keepNext/>
      <w:keepLines/>
      <w:spacing w:before="260" w:after="260" w:line="416" w:lineRule="auto"/>
      <w:outlineLvl w:val="1"/>
    </w:pPr>
    <w:rPr>
      <w:rFonts w:ascii="宋体" w:hAnsi="宋体"/>
      <w:b/>
      <w:bCs/>
      <w:sz w:val="24"/>
    </w:rPr>
  </w:style>
  <w:style w:type="paragraph" w:styleId="6">
    <w:name w:val="heading 3"/>
    <w:basedOn w:val="1"/>
    <w:next w:val="1"/>
    <w:link w:val="69"/>
    <w:qFormat/>
    <w:uiPriority w:val="0"/>
    <w:pPr>
      <w:keepNext/>
      <w:keepLines/>
      <w:outlineLvl w:val="2"/>
    </w:pPr>
    <w:rPr>
      <w:rFonts w:eastAsia="楷体_GB2312"/>
      <w:b/>
      <w:bCs/>
      <w:szCs w:val="32"/>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42"/>
    <w:unhideWhenUsed/>
    <w:qFormat/>
    <w:uiPriority w:val="99"/>
    <w:pPr>
      <w:ind w:firstLine="420" w:firstLineChars="200"/>
    </w:pPr>
    <w:rPr>
      <w:rFonts w:ascii="Times New Roman" w:hAnsi="Times New Roman"/>
    </w:rPr>
  </w:style>
  <w:style w:type="paragraph" w:styleId="3">
    <w:name w:val="Body Text Indent"/>
    <w:basedOn w:val="1"/>
    <w:next w:val="1"/>
    <w:link w:val="37"/>
    <w:qFormat/>
    <w:uiPriority w:val="0"/>
    <w:pPr>
      <w:spacing w:after="120"/>
      <w:ind w:left="420" w:leftChars="200"/>
    </w:pPr>
    <w:rPr>
      <w:rFonts w:ascii="Calibri" w:hAnsi="Calibri"/>
    </w:rPr>
  </w:style>
  <w:style w:type="paragraph" w:styleId="7">
    <w:name w:val="Normal Indent"/>
    <w:basedOn w:val="1"/>
    <w:next w:val="1"/>
    <w:link w:val="47"/>
    <w:qFormat/>
    <w:uiPriority w:val="0"/>
    <w:pPr>
      <w:ind w:firstLine="420"/>
    </w:pPr>
    <w:rPr>
      <w:szCs w:val="20"/>
    </w:rPr>
  </w:style>
  <w:style w:type="paragraph" w:styleId="8">
    <w:name w:val="annotation text"/>
    <w:basedOn w:val="1"/>
    <w:link w:val="66"/>
    <w:qFormat/>
    <w:uiPriority w:val="0"/>
    <w:pPr>
      <w:jc w:val="left"/>
    </w:pPr>
    <w:rPr>
      <w:rFonts w:ascii="Tahoma" w:hAnsi="Tahoma"/>
    </w:rPr>
  </w:style>
  <w:style w:type="paragraph" w:styleId="9">
    <w:name w:val="Body Text"/>
    <w:basedOn w:val="1"/>
    <w:next w:val="1"/>
    <w:link w:val="36"/>
    <w:qFormat/>
    <w:uiPriority w:val="0"/>
    <w:pPr>
      <w:spacing w:after="120"/>
    </w:pPr>
    <w:rPr>
      <w:rFonts w:ascii="Calibri" w:hAnsi="Calibri"/>
    </w:rPr>
  </w:style>
  <w:style w:type="paragraph" w:styleId="10">
    <w:name w:val="List 2"/>
    <w:basedOn w:val="1"/>
    <w:qFormat/>
    <w:uiPriority w:val="0"/>
    <w:pPr>
      <w:ind w:left="100" w:leftChars="200" w:hanging="200" w:hangingChars="200"/>
    </w:pPr>
    <w:rPr>
      <w:rFonts w:asciiTheme="minorHAnsi" w:hAnsiTheme="minorHAnsi" w:eastAsiaTheme="minorEastAsia" w:cstheme="minorBidi"/>
    </w:rPr>
  </w:style>
  <w:style w:type="paragraph" w:styleId="11">
    <w:name w:val="toc 3"/>
    <w:basedOn w:val="1"/>
    <w:next w:val="1"/>
    <w:unhideWhenUsed/>
    <w:qFormat/>
    <w:uiPriority w:val="39"/>
    <w:pPr>
      <w:widowControl/>
      <w:spacing w:after="100" w:line="259" w:lineRule="auto"/>
      <w:ind w:left="440"/>
      <w:jc w:val="left"/>
    </w:pPr>
    <w:rPr>
      <w:rFonts w:asciiTheme="minorHAnsi" w:hAnsiTheme="minorHAnsi" w:eastAsiaTheme="minorEastAsia"/>
      <w:kern w:val="0"/>
      <w:sz w:val="22"/>
      <w:szCs w:val="22"/>
    </w:rPr>
  </w:style>
  <w:style w:type="paragraph" w:styleId="12">
    <w:name w:val="Plain Text"/>
    <w:basedOn w:val="1"/>
    <w:link w:val="38"/>
    <w:qFormat/>
    <w:uiPriority w:val="99"/>
    <w:pPr>
      <w:spacing w:beforeLines="50" w:afterLines="50" w:line="400" w:lineRule="exact"/>
    </w:pPr>
    <w:rPr>
      <w:rFonts w:ascii="宋体" w:hAnsi="Courier New"/>
      <w:sz w:val="24"/>
    </w:rPr>
  </w:style>
  <w:style w:type="paragraph" w:styleId="13">
    <w:name w:val="Date"/>
    <w:basedOn w:val="1"/>
    <w:next w:val="1"/>
    <w:qFormat/>
    <w:uiPriority w:val="0"/>
    <w:pPr>
      <w:ind w:leftChars="2500"/>
    </w:pPr>
    <w:rPr>
      <w:rFonts w:ascii="Times New Roman" w:hAnsi="Times New Roman" w:eastAsia="楷体_GB2312" w:cs="Times New Roman"/>
      <w:sz w:val="32"/>
      <w:szCs w:val="20"/>
    </w:rPr>
  </w:style>
  <w:style w:type="paragraph" w:styleId="14">
    <w:name w:val="Body Text Indent 2"/>
    <w:basedOn w:val="1"/>
    <w:link w:val="61"/>
    <w:unhideWhenUsed/>
    <w:qFormat/>
    <w:uiPriority w:val="99"/>
    <w:pPr>
      <w:spacing w:after="120" w:line="480" w:lineRule="auto"/>
      <w:ind w:left="420" w:leftChars="200"/>
    </w:pPr>
  </w:style>
  <w:style w:type="paragraph" w:styleId="15">
    <w:name w:val="Balloon Text"/>
    <w:basedOn w:val="1"/>
    <w:link w:val="45"/>
    <w:unhideWhenUsed/>
    <w:qFormat/>
    <w:uiPriority w:val="0"/>
    <w:rPr>
      <w:sz w:val="18"/>
      <w:szCs w:val="18"/>
    </w:rPr>
  </w:style>
  <w:style w:type="paragraph" w:styleId="16">
    <w:name w:val="footer"/>
    <w:basedOn w:val="1"/>
    <w:link w:val="39"/>
    <w:unhideWhenUsed/>
    <w:qFormat/>
    <w:uiPriority w:val="0"/>
    <w:pPr>
      <w:tabs>
        <w:tab w:val="center" w:pos="4153"/>
        <w:tab w:val="right" w:pos="8306"/>
      </w:tabs>
      <w:snapToGrid w:val="0"/>
      <w:jc w:val="left"/>
    </w:pPr>
    <w:rPr>
      <w:sz w:val="18"/>
      <w:szCs w:val="18"/>
    </w:rPr>
  </w:style>
  <w:style w:type="paragraph" w:styleId="17">
    <w:name w:val="header"/>
    <w:basedOn w:val="1"/>
    <w:link w:val="40"/>
    <w:unhideWhenUsed/>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unhideWhenUsed/>
    <w:qFormat/>
    <w:uiPriority w:val="0"/>
    <w:pPr>
      <w:widowControl/>
      <w:spacing w:after="100" w:line="259" w:lineRule="auto"/>
      <w:jc w:val="left"/>
    </w:pPr>
    <w:rPr>
      <w:rFonts w:asciiTheme="minorHAnsi" w:hAnsiTheme="minorHAnsi" w:eastAsiaTheme="minorEastAsia"/>
      <w:kern w:val="0"/>
      <w:sz w:val="22"/>
      <w:szCs w:val="22"/>
    </w:rPr>
  </w:style>
  <w:style w:type="paragraph" w:styleId="19">
    <w:name w:val="toc 2"/>
    <w:basedOn w:val="1"/>
    <w:next w:val="1"/>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paragraph" w:styleId="20">
    <w:name w:val="Body Text 2"/>
    <w:basedOn w:val="1"/>
    <w:link w:val="41"/>
    <w:qFormat/>
    <w:uiPriority w:val="0"/>
    <w:pPr>
      <w:widowControl/>
      <w:snapToGrid w:val="0"/>
      <w:spacing w:before="50" w:afterLines="50" w:line="400" w:lineRule="exact"/>
      <w:jc w:val="left"/>
    </w:pPr>
    <w:rPr>
      <w:rFonts w:ascii="宋体" w:hAnsi="宋体"/>
      <w:color w:val="000000"/>
      <w:sz w:val="24"/>
    </w:rPr>
  </w:style>
  <w:style w:type="paragraph" w:styleId="21">
    <w:name w:val="HTML Preformatted"/>
    <w:basedOn w:val="1"/>
    <w:link w:val="75"/>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22">
    <w:name w:val="Normal (Web)"/>
    <w:basedOn w:val="1"/>
    <w:qFormat/>
    <w:uiPriority w:val="0"/>
    <w:pPr>
      <w:widowControl/>
      <w:spacing w:before="100" w:beforeAutospacing="1" w:after="100" w:afterAutospacing="1"/>
      <w:jc w:val="left"/>
    </w:pPr>
    <w:rPr>
      <w:kern w:val="0"/>
      <w:sz w:val="24"/>
    </w:rPr>
  </w:style>
  <w:style w:type="paragraph" w:styleId="23">
    <w:name w:val="Body Text First Indent"/>
    <w:basedOn w:val="9"/>
    <w:next w:val="2"/>
    <w:qFormat/>
    <w:uiPriority w:val="0"/>
    <w:pPr>
      <w:ind w:firstLine="420" w:firstLineChars="100"/>
    </w:pPr>
    <w:rPr>
      <w:rFonts w:ascii="Times New Roman" w:hAnsi="Times New Roman"/>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qFormat/>
    <w:uiPriority w:val="0"/>
    <w:rPr>
      <w:b/>
      <w:bCs/>
    </w:rPr>
  </w:style>
  <w:style w:type="character" w:styleId="28">
    <w:name w:val="page number"/>
    <w:basedOn w:val="26"/>
    <w:qFormat/>
    <w:uiPriority w:val="0"/>
  </w:style>
  <w:style w:type="character" w:styleId="29">
    <w:name w:val="FollowedHyperlink"/>
    <w:basedOn w:val="26"/>
    <w:unhideWhenUsed/>
    <w:qFormat/>
    <w:uiPriority w:val="99"/>
    <w:rPr>
      <w:color w:val="800080" w:themeColor="followedHyperlink"/>
      <w:u w:val="single"/>
      <w14:textFill>
        <w14:solidFill>
          <w14:schemeClr w14:val="folHlink"/>
        </w14:solidFill>
      </w14:textFill>
    </w:rPr>
  </w:style>
  <w:style w:type="character" w:styleId="30">
    <w:name w:val="line number"/>
    <w:basedOn w:val="26"/>
    <w:qFormat/>
    <w:uiPriority w:val="0"/>
    <w:rPr>
      <w:rFonts w:ascii="Arial" w:hAnsi="Arial" w:eastAsia="黑体" w:cs="Arial"/>
      <w:snapToGrid w:val="0"/>
      <w:kern w:val="0"/>
      <w:szCs w:val="21"/>
    </w:rPr>
  </w:style>
  <w:style w:type="character" w:styleId="31">
    <w:name w:val="Hyperlink"/>
    <w:qFormat/>
    <w:uiPriority w:val="0"/>
    <w:rPr>
      <w:color w:val="0000FF"/>
      <w:u w:val="single"/>
    </w:rPr>
  </w:style>
  <w:style w:type="character" w:styleId="32">
    <w:name w:val="annotation reference"/>
    <w:qFormat/>
    <w:uiPriority w:val="0"/>
    <w:rPr>
      <w:sz w:val="21"/>
      <w:szCs w:val="21"/>
    </w:rPr>
  </w:style>
  <w:style w:type="paragraph" w:customStyle="1" w:styleId="33">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4">
    <w:name w:val="List Paragraph"/>
    <w:basedOn w:val="1"/>
    <w:qFormat/>
    <w:uiPriority w:val="0"/>
    <w:pPr>
      <w:spacing w:line="360" w:lineRule="auto"/>
      <w:ind w:firstLine="420" w:firstLineChars="200"/>
    </w:pPr>
    <w:rPr>
      <w:rFonts w:ascii="Calibri" w:hAnsi="Calibri"/>
      <w:szCs w:val="22"/>
    </w:rPr>
  </w:style>
  <w:style w:type="character" w:customStyle="1" w:styleId="35">
    <w:name w:val="标题 2 Char"/>
    <w:basedOn w:val="26"/>
    <w:link w:val="5"/>
    <w:qFormat/>
    <w:uiPriority w:val="0"/>
    <w:rPr>
      <w:rFonts w:ascii="宋体" w:hAnsi="宋体" w:eastAsia="宋体" w:cs="Times New Roman"/>
      <w:b/>
      <w:bCs/>
      <w:sz w:val="24"/>
      <w:szCs w:val="24"/>
    </w:rPr>
  </w:style>
  <w:style w:type="character" w:customStyle="1" w:styleId="36">
    <w:name w:val="正文文本 Char"/>
    <w:basedOn w:val="26"/>
    <w:link w:val="9"/>
    <w:qFormat/>
    <w:uiPriority w:val="0"/>
    <w:rPr>
      <w:rFonts w:ascii="Calibri" w:hAnsi="Calibri" w:eastAsia="宋体" w:cs="Times New Roman"/>
      <w:szCs w:val="24"/>
    </w:rPr>
  </w:style>
  <w:style w:type="character" w:customStyle="1" w:styleId="37">
    <w:name w:val="正文文本缩进 Char"/>
    <w:basedOn w:val="26"/>
    <w:link w:val="3"/>
    <w:qFormat/>
    <w:uiPriority w:val="0"/>
    <w:rPr>
      <w:rFonts w:ascii="Calibri" w:hAnsi="Calibri" w:eastAsia="宋体" w:cs="Times New Roman"/>
      <w:szCs w:val="24"/>
    </w:rPr>
  </w:style>
  <w:style w:type="character" w:customStyle="1" w:styleId="38">
    <w:name w:val="纯文本 Char"/>
    <w:basedOn w:val="26"/>
    <w:link w:val="12"/>
    <w:qFormat/>
    <w:uiPriority w:val="99"/>
    <w:rPr>
      <w:rFonts w:ascii="宋体" w:hAnsi="Courier New" w:eastAsia="宋体" w:cs="Times New Roman"/>
      <w:sz w:val="24"/>
      <w:szCs w:val="24"/>
    </w:rPr>
  </w:style>
  <w:style w:type="character" w:customStyle="1" w:styleId="39">
    <w:name w:val="页脚 Char"/>
    <w:basedOn w:val="26"/>
    <w:link w:val="16"/>
    <w:qFormat/>
    <w:uiPriority w:val="0"/>
    <w:rPr>
      <w:rFonts w:ascii="Times New Roman" w:hAnsi="Times New Roman" w:eastAsia="宋体" w:cs="Times New Roman"/>
      <w:sz w:val="18"/>
      <w:szCs w:val="18"/>
    </w:rPr>
  </w:style>
  <w:style w:type="character" w:customStyle="1" w:styleId="40">
    <w:name w:val="页眉 Char"/>
    <w:basedOn w:val="26"/>
    <w:link w:val="17"/>
    <w:qFormat/>
    <w:uiPriority w:val="0"/>
    <w:rPr>
      <w:rFonts w:ascii="Times New Roman" w:hAnsi="Times New Roman" w:eastAsia="宋体" w:cs="Times New Roman"/>
      <w:sz w:val="18"/>
      <w:szCs w:val="18"/>
    </w:rPr>
  </w:style>
  <w:style w:type="character" w:customStyle="1" w:styleId="41">
    <w:name w:val="正文文本 2 Char"/>
    <w:basedOn w:val="26"/>
    <w:link w:val="20"/>
    <w:qFormat/>
    <w:uiPriority w:val="0"/>
    <w:rPr>
      <w:rFonts w:ascii="宋体" w:hAnsi="宋体" w:eastAsia="宋体" w:cs="Times New Roman"/>
      <w:color w:val="000000"/>
      <w:sz w:val="24"/>
      <w:szCs w:val="24"/>
    </w:rPr>
  </w:style>
  <w:style w:type="character" w:customStyle="1" w:styleId="42">
    <w:name w:val="正文首行缩进 2 Char"/>
    <w:basedOn w:val="37"/>
    <w:link w:val="2"/>
    <w:semiHidden/>
    <w:qFormat/>
    <w:uiPriority w:val="99"/>
    <w:rPr>
      <w:rFonts w:ascii="Times New Roman" w:hAnsi="Times New Roman" w:eastAsia="宋体" w:cs="Times New Roman"/>
      <w:szCs w:val="24"/>
    </w:rPr>
  </w:style>
  <w:style w:type="paragraph" w:customStyle="1" w:styleId="43">
    <w:name w:val="*正文"/>
    <w:basedOn w:val="1"/>
    <w:link w:val="92"/>
    <w:qFormat/>
    <w:uiPriority w:val="0"/>
    <w:pPr>
      <w:spacing w:line="360" w:lineRule="auto"/>
      <w:ind w:firstLine="200" w:firstLineChars="200"/>
    </w:pPr>
    <w:rPr>
      <w:rFonts w:ascii="宋体" w:hAnsi="宋体" w:cstheme="minorBidi"/>
      <w:sz w:val="22"/>
    </w:rPr>
  </w:style>
  <w:style w:type="character" w:customStyle="1" w:styleId="44">
    <w:name w:val="font61"/>
    <w:basedOn w:val="26"/>
    <w:qFormat/>
    <w:uiPriority w:val="0"/>
    <w:rPr>
      <w:rFonts w:hint="eastAsia" w:ascii="宋体" w:hAnsi="宋体" w:eastAsia="宋体" w:cs="宋体"/>
      <w:color w:val="000000"/>
      <w:sz w:val="22"/>
      <w:szCs w:val="22"/>
      <w:u w:val="none"/>
    </w:rPr>
  </w:style>
  <w:style w:type="character" w:customStyle="1" w:styleId="45">
    <w:name w:val="批注框文本 Char"/>
    <w:basedOn w:val="26"/>
    <w:link w:val="15"/>
    <w:qFormat/>
    <w:uiPriority w:val="0"/>
    <w:rPr>
      <w:rFonts w:ascii="Times New Roman" w:hAnsi="Times New Roman" w:eastAsia="宋体" w:cs="Times New Roman"/>
      <w:sz w:val="18"/>
      <w:szCs w:val="18"/>
    </w:rPr>
  </w:style>
  <w:style w:type="character" w:customStyle="1" w:styleId="46">
    <w:name w:val="纯文本 Char1"/>
    <w:basedOn w:val="26"/>
    <w:qFormat/>
    <w:uiPriority w:val="0"/>
    <w:rPr>
      <w:rFonts w:ascii="宋体" w:hAnsi="Courier New" w:eastAsia="宋体" w:cs="Times New Roman"/>
      <w:sz w:val="24"/>
      <w:szCs w:val="24"/>
    </w:rPr>
  </w:style>
  <w:style w:type="character" w:customStyle="1" w:styleId="47">
    <w:name w:val="正文缩进 Char"/>
    <w:basedOn w:val="26"/>
    <w:link w:val="7"/>
    <w:qFormat/>
    <w:uiPriority w:val="0"/>
    <w:rPr>
      <w:rFonts w:ascii="Times New Roman" w:hAnsi="Times New Roman" w:eastAsia="宋体" w:cs="Times New Roman"/>
      <w:szCs w:val="20"/>
    </w:rPr>
  </w:style>
  <w:style w:type="character" w:customStyle="1" w:styleId="48">
    <w:name w:val="正文文本缩进 Char1"/>
    <w:basedOn w:val="26"/>
    <w:qFormat/>
    <w:uiPriority w:val="0"/>
    <w:rPr>
      <w:rFonts w:ascii="Calibri" w:hAnsi="Calibri" w:eastAsia="宋体" w:cs="Times New Roman"/>
      <w:szCs w:val="24"/>
    </w:rPr>
  </w:style>
  <w:style w:type="paragraph" w:customStyle="1" w:styleId="49">
    <w:name w:val="列出段落1"/>
    <w:basedOn w:val="1"/>
    <w:link w:val="93"/>
    <w:qFormat/>
    <w:uiPriority w:val="34"/>
    <w:pPr>
      <w:ind w:firstLine="420" w:firstLineChars="200"/>
    </w:pPr>
    <w:rPr>
      <w:rFonts w:ascii="Calibri" w:hAnsi="Calibri" w:cs="黑体"/>
    </w:rPr>
  </w:style>
  <w:style w:type="character" w:customStyle="1" w:styleId="50">
    <w:name w:val="font41"/>
    <w:basedOn w:val="26"/>
    <w:qFormat/>
    <w:uiPriority w:val="0"/>
    <w:rPr>
      <w:rFonts w:hint="eastAsia" w:ascii="宋体" w:hAnsi="宋体" w:eastAsia="宋体" w:cs="宋体"/>
      <w:b/>
      <w:color w:val="000000"/>
      <w:sz w:val="20"/>
      <w:szCs w:val="20"/>
      <w:u w:val="none"/>
    </w:rPr>
  </w:style>
  <w:style w:type="character" w:customStyle="1" w:styleId="51">
    <w:name w:val="标题 1 Char"/>
    <w:basedOn w:val="26"/>
    <w:link w:val="4"/>
    <w:qFormat/>
    <w:uiPriority w:val="0"/>
    <w:rPr>
      <w:rFonts w:ascii="Calibri" w:hAnsi="Calibri" w:eastAsia="宋体" w:cs="Times New Roman"/>
      <w:b/>
      <w:bCs/>
      <w:kern w:val="44"/>
      <w:sz w:val="44"/>
      <w:szCs w:val="44"/>
    </w:rPr>
  </w:style>
  <w:style w:type="character" w:customStyle="1" w:styleId="52">
    <w:name w:val="4 Char"/>
    <w:link w:val="53"/>
    <w:qFormat/>
    <w:uiPriority w:val="0"/>
    <w:rPr>
      <w:rFonts w:eastAsia="仿宋_GB2312"/>
      <w:sz w:val="32"/>
      <w:szCs w:val="24"/>
    </w:rPr>
  </w:style>
  <w:style w:type="paragraph" w:customStyle="1" w:styleId="53">
    <w:name w:val="4"/>
    <w:basedOn w:val="1"/>
    <w:link w:val="52"/>
    <w:qFormat/>
    <w:uiPriority w:val="0"/>
    <w:pPr>
      <w:spacing w:line="360" w:lineRule="auto"/>
      <w:ind w:firstLine="640" w:firstLineChars="200"/>
    </w:pPr>
    <w:rPr>
      <w:rFonts w:eastAsia="仿宋_GB2312" w:asciiTheme="minorHAnsi" w:hAnsiTheme="minorHAnsi" w:cstheme="minorBidi"/>
      <w:sz w:val="32"/>
    </w:rPr>
  </w:style>
  <w:style w:type="character" w:customStyle="1" w:styleId="54">
    <w:name w:val="3 Char"/>
    <w:link w:val="55"/>
    <w:qFormat/>
    <w:uiPriority w:val="0"/>
    <w:rPr>
      <w:rFonts w:eastAsia="仿宋_GB2312"/>
      <w:b/>
      <w:sz w:val="32"/>
      <w:szCs w:val="24"/>
    </w:rPr>
  </w:style>
  <w:style w:type="paragraph" w:customStyle="1" w:styleId="55">
    <w:name w:val="3"/>
    <w:basedOn w:val="1"/>
    <w:link w:val="54"/>
    <w:qFormat/>
    <w:uiPriority w:val="0"/>
    <w:pPr>
      <w:spacing w:beforeLines="50" w:afterLines="50" w:line="360" w:lineRule="auto"/>
    </w:pPr>
    <w:rPr>
      <w:rFonts w:eastAsia="仿宋_GB2312" w:asciiTheme="minorHAnsi" w:hAnsiTheme="minorHAnsi" w:cstheme="minorBidi"/>
      <w:b/>
      <w:sz w:val="32"/>
    </w:rPr>
  </w:style>
  <w:style w:type="paragraph" w:customStyle="1" w:styleId="56">
    <w:name w:val="1"/>
    <w:basedOn w:val="1"/>
    <w:qFormat/>
    <w:uiPriority w:val="0"/>
    <w:pPr>
      <w:spacing w:beforeLines="50" w:afterLines="50" w:line="360" w:lineRule="auto"/>
    </w:pPr>
    <w:rPr>
      <w:rFonts w:eastAsia="仿宋_GB2312"/>
      <w:b/>
      <w:sz w:val="32"/>
    </w:rPr>
  </w:style>
  <w:style w:type="paragraph" w:customStyle="1" w:styleId="57">
    <w:name w:val="正文ok"/>
    <w:basedOn w:val="1"/>
    <w:qFormat/>
    <w:uiPriority w:val="0"/>
    <w:pPr>
      <w:spacing w:beforeLines="50" w:afterLines="50" w:line="480" w:lineRule="auto"/>
      <w:ind w:firstLine="200" w:firstLineChars="200"/>
    </w:pPr>
    <w:rPr>
      <w:rFonts w:ascii="Calibri" w:hAnsi="Calibri"/>
      <w:sz w:val="28"/>
    </w:rPr>
  </w:style>
  <w:style w:type="paragraph" w:customStyle="1" w:styleId="58">
    <w:name w:val="trs_editor"/>
    <w:basedOn w:val="1"/>
    <w:qFormat/>
    <w:uiPriority w:val="0"/>
    <w:pPr>
      <w:widowControl/>
      <w:spacing w:before="100" w:beforeAutospacing="1" w:after="100" w:afterAutospacing="1"/>
      <w:jc w:val="left"/>
    </w:pPr>
    <w:rPr>
      <w:rFonts w:ascii="宋体" w:hAnsi="宋体" w:cs="宋体"/>
      <w:kern w:val="0"/>
      <w:sz w:val="24"/>
    </w:rPr>
  </w:style>
  <w:style w:type="character" w:customStyle="1" w:styleId="59">
    <w:name w:val="正文2 Char Char"/>
    <w:link w:val="60"/>
    <w:qFormat/>
    <w:uiPriority w:val="0"/>
    <w:rPr>
      <w:rFonts w:eastAsia="宋体"/>
      <w:sz w:val="24"/>
    </w:rPr>
  </w:style>
  <w:style w:type="paragraph" w:customStyle="1" w:styleId="60">
    <w:name w:val="正文2"/>
    <w:basedOn w:val="1"/>
    <w:link w:val="59"/>
    <w:qFormat/>
    <w:uiPriority w:val="0"/>
    <w:pPr>
      <w:adjustRightInd w:val="0"/>
      <w:spacing w:before="156" w:line="360" w:lineRule="auto"/>
      <w:ind w:firstLine="510" w:firstLineChars="200"/>
    </w:pPr>
    <w:rPr>
      <w:rFonts w:asciiTheme="minorHAnsi" w:hAnsiTheme="minorHAnsi" w:cstheme="minorBidi"/>
      <w:sz w:val="24"/>
      <w:szCs w:val="22"/>
    </w:rPr>
  </w:style>
  <w:style w:type="character" w:customStyle="1" w:styleId="61">
    <w:name w:val="正文文本缩进 2 Char"/>
    <w:basedOn w:val="26"/>
    <w:link w:val="14"/>
    <w:semiHidden/>
    <w:qFormat/>
    <w:uiPriority w:val="99"/>
    <w:rPr>
      <w:rFonts w:ascii="Times New Roman" w:hAnsi="Times New Roman" w:eastAsia="宋体" w:cs="Times New Roman"/>
      <w:szCs w:val="24"/>
    </w:rPr>
  </w:style>
  <w:style w:type="paragraph" w:customStyle="1" w:styleId="62">
    <w:name w:val="正文1"/>
    <w:basedOn w:val="1"/>
    <w:next w:val="63"/>
    <w:qFormat/>
    <w:uiPriority w:val="0"/>
    <w:pPr>
      <w:adjustRightInd w:val="0"/>
      <w:spacing w:line="318" w:lineRule="atLeast"/>
      <w:ind w:left="369" w:firstLine="369"/>
      <w:textAlignment w:val="baseline"/>
    </w:pPr>
    <w:rPr>
      <w:rFonts w:ascii="宋体"/>
      <w:szCs w:val="20"/>
    </w:rPr>
  </w:style>
  <w:style w:type="paragraph" w:customStyle="1" w:styleId="63">
    <w:name w:val="正文文本1"/>
    <w:basedOn w:val="62"/>
    <w:next w:val="64"/>
    <w:qFormat/>
    <w:uiPriority w:val="0"/>
    <w:rPr>
      <w:rFonts w:ascii="Tahoma" w:hAnsi="Tahoma"/>
      <w:sz w:val="28"/>
    </w:rPr>
  </w:style>
  <w:style w:type="paragraph" w:customStyle="1" w:styleId="64">
    <w:name w:val="正文缩进1"/>
    <w:basedOn w:val="63"/>
    <w:qFormat/>
    <w:uiPriority w:val="0"/>
    <w:pPr>
      <w:ind w:firstLine="0"/>
    </w:pPr>
  </w:style>
  <w:style w:type="paragraph" w:customStyle="1" w:styleId="65">
    <w:name w:val="正文段"/>
    <w:basedOn w:val="1"/>
    <w:qFormat/>
    <w:uiPriority w:val="0"/>
    <w:pPr>
      <w:widowControl/>
      <w:snapToGrid w:val="0"/>
      <w:spacing w:afterLines="50"/>
      <w:ind w:firstLine="200" w:firstLineChars="200"/>
    </w:pPr>
    <w:rPr>
      <w:rFonts w:ascii="Calibri" w:hAnsi="Calibri"/>
      <w:kern w:val="0"/>
      <w:sz w:val="24"/>
      <w:szCs w:val="20"/>
    </w:rPr>
  </w:style>
  <w:style w:type="character" w:customStyle="1" w:styleId="66">
    <w:name w:val="批注文字 Char"/>
    <w:basedOn w:val="26"/>
    <w:link w:val="8"/>
    <w:qFormat/>
    <w:uiPriority w:val="0"/>
    <w:rPr>
      <w:rFonts w:ascii="Tahoma" w:hAnsi="Tahoma" w:eastAsia="宋体" w:cs="Times New Roman"/>
      <w:szCs w:val="24"/>
    </w:rPr>
  </w:style>
  <w:style w:type="character" w:customStyle="1" w:styleId="67">
    <w:name w:val="font11"/>
    <w:basedOn w:val="26"/>
    <w:qFormat/>
    <w:uiPriority w:val="0"/>
    <w:rPr>
      <w:rFonts w:hint="eastAsia" w:ascii="宋体" w:hAnsi="宋体" w:eastAsia="宋体" w:cs="宋体"/>
      <w:color w:val="000000"/>
      <w:sz w:val="23"/>
      <w:szCs w:val="23"/>
      <w:u w:val="none"/>
    </w:rPr>
  </w:style>
  <w:style w:type="character" w:customStyle="1" w:styleId="68">
    <w:name w:val="font31"/>
    <w:basedOn w:val="26"/>
    <w:qFormat/>
    <w:uiPriority w:val="0"/>
    <w:rPr>
      <w:rFonts w:hint="default" w:ascii="Times New Roman" w:hAnsi="Times New Roman" w:cs="Times New Roman"/>
      <w:color w:val="000000"/>
      <w:sz w:val="23"/>
      <w:szCs w:val="23"/>
      <w:u w:val="none"/>
    </w:rPr>
  </w:style>
  <w:style w:type="character" w:customStyle="1" w:styleId="69">
    <w:name w:val="标题 3 Char"/>
    <w:link w:val="6"/>
    <w:qFormat/>
    <w:locked/>
    <w:uiPriority w:val="0"/>
    <w:rPr>
      <w:rFonts w:eastAsia="楷体_GB2312"/>
      <w:b/>
      <w:bCs/>
      <w:szCs w:val="32"/>
    </w:rPr>
  </w:style>
  <w:style w:type="character" w:customStyle="1" w:styleId="70">
    <w:name w:val="font21"/>
    <w:basedOn w:val="26"/>
    <w:qFormat/>
    <w:uiPriority w:val="0"/>
    <w:rPr>
      <w:rFonts w:hint="eastAsia" w:ascii="宋体" w:hAnsi="宋体" w:eastAsia="宋体" w:cs="宋体"/>
      <w:color w:val="000000"/>
      <w:sz w:val="23"/>
      <w:szCs w:val="23"/>
      <w:u w:val="none"/>
    </w:rPr>
  </w:style>
  <w:style w:type="character" w:customStyle="1" w:styleId="71">
    <w:name w:val="font51"/>
    <w:basedOn w:val="26"/>
    <w:qFormat/>
    <w:uiPriority w:val="0"/>
    <w:rPr>
      <w:rFonts w:hint="default" w:ascii="Times New Roman" w:hAnsi="Times New Roman" w:cs="Times New Roman"/>
      <w:color w:val="000000"/>
      <w:sz w:val="23"/>
      <w:szCs w:val="23"/>
      <w:u w:val="none"/>
    </w:rPr>
  </w:style>
  <w:style w:type="character" w:customStyle="1" w:styleId="72">
    <w:name w:val="font81"/>
    <w:basedOn w:val="26"/>
    <w:qFormat/>
    <w:uiPriority w:val="0"/>
    <w:rPr>
      <w:rFonts w:hint="default" w:ascii="Times New Roman" w:hAnsi="Times New Roman" w:cs="Times New Roman"/>
      <w:b/>
      <w:color w:val="000000"/>
      <w:sz w:val="23"/>
      <w:szCs w:val="23"/>
      <w:u w:val="none"/>
    </w:rPr>
  </w:style>
  <w:style w:type="paragraph" w:customStyle="1" w:styleId="73">
    <w:name w:val="_Style 2"/>
    <w:basedOn w:val="1"/>
    <w:qFormat/>
    <w:uiPriority w:val="34"/>
    <w:pPr>
      <w:autoSpaceDE w:val="0"/>
      <w:autoSpaceDN w:val="0"/>
      <w:adjustRightInd w:val="0"/>
      <w:ind w:firstLine="420" w:firstLineChars="200"/>
    </w:pPr>
    <w:rPr>
      <w:color w:val="000000"/>
      <w:kern w:val="0"/>
      <w:szCs w:val="21"/>
    </w:rPr>
  </w:style>
  <w:style w:type="paragraph" w:customStyle="1" w:styleId="74">
    <w:name w:val="00正文"/>
    <w:basedOn w:val="1"/>
    <w:qFormat/>
    <w:uiPriority w:val="0"/>
    <w:pPr>
      <w:snapToGrid w:val="0"/>
      <w:spacing w:line="360" w:lineRule="exact"/>
      <w:ind w:firstLine="200" w:firstLineChars="200"/>
    </w:pPr>
    <w:rPr>
      <w:szCs w:val="22"/>
    </w:rPr>
  </w:style>
  <w:style w:type="character" w:customStyle="1" w:styleId="75">
    <w:name w:val="HTML 预设格式 Char"/>
    <w:basedOn w:val="26"/>
    <w:link w:val="21"/>
    <w:semiHidden/>
    <w:qFormat/>
    <w:uiPriority w:val="99"/>
    <w:rPr>
      <w:rFonts w:ascii="宋体" w:hAnsi="宋体"/>
      <w:sz w:val="24"/>
      <w:szCs w:val="24"/>
    </w:rPr>
  </w:style>
  <w:style w:type="character" w:customStyle="1" w:styleId="76">
    <w:name w:val="font01"/>
    <w:basedOn w:val="26"/>
    <w:qFormat/>
    <w:uiPriority w:val="0"/>
    <w:rPr>
      <w:rFonts w:hint="eastAsia" w:ascii="宋体" w:hAnsi="宋体" w:eastAsia="宋体" w:cs="宋体"/>
      <w:b/>
      <w:color w:val="000000"/>
      <w:sz w:val="36"/>
      <w:szCs w:val="36"/>
      <w:u w:val="none"/>
      <w:vertAlign w:val="subscript"/>
    </w:rPr>
  </w:style>
  <w:style w:type="character" w:customStyle="1" w:styleId="77">
    <w:name w:val="font122"/>
    <w:basedOn w:val="26"/>
    <w:qFormat/>
    <w:uiPriority w:val="0"/>
    <w:rPr>
      <w:rFonts w:hint="eastAsia" w:ascii="宋体" w:hAnsi="宋体" w:eastAsia="宋体" w:cs="宋体"/>
      <w:color w:val="000000"/>
      <w:sz w:val="24"/>
      <w:szCs w:val="24"/>
      <w:u w:val="none"/>
    </w:rPr>
  </w:style>
  <w:style w:type="paragraph" w:customStyle="1" w:styleId="78">
    <w:name w:val="TOC 标题1"/>
    <w:basedOn w:val="4"/>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79">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80">
    <w:name w:val="TOC 标题11"/>
    <w:basedOn w:val="4"/>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81">
    <w:name w:val="列出段落111"/>
    <w:basedOn w:val="1"/>
    <w:qFormat/>
    <w:uiPriority w:val="34"/>
    <w:pPr>
      <w:ind w:firstLine="420" w:firstLineChars="200"/>
    </w:pPr>
    <w:rPr>
      <w:rFonts w:ascii="Calibri" w:hAnsi="Calibri"/>
    </w:rPr>
  </w:style>
  <w:style w:type="paragraph" w:customStyle="1" w:styleId="82">
    <w:name w:val="Table Paragraph"/>
    <w:basedOn w:val="1"/>
    <w:qFormat/>
    <w:uiPriority w:val="1"/>
    <w:rPr>
      <w:rFonts w:ascii="仿宋" w:hAnsi="仿宋" w:eastAsia="仿宋" w:cs="仿宋"/>
      <w:lang w:val="zh-CN" w:bidi="zh-CN"/>
    </w:rPr>
  </w:style>
  <w:style w:type="character" w:customStyle="1" w:styleId="83">
    <w:name w:val="font71"/>
    <w:basedOn w:val="26"/>
    <w:qFormat/>
    <w:uiPriority w:val="0"/>
    <w:rPr>
      <w:rFonts w:hint="eastAsia" w:ascii="微软雅黑" w:hAnsi="微软雅黑" w:eastAsia="微软雅黑" w:cs="微软雅黑"/>
      <w:color w:val="000000"/>
      <w:sz w:val="18"/>
      <w:szCs w:val="18"/>
      <w:u w:val="none"/>
    </w:rPr>
  </w:style>
  <w:style w:type="character" w:customStyle="1" w:styleId="84">
    <w:name w:val="font91"/>
    <w:basedOn w:val="26"/>
    <w:qFormat/>
    <w:uiPriority w:val="0"/>
    <w:rPr>
      <w:rFonts w:ascii="Arial" w:hAnsi="Arial" w:cs="Arial"/>
      <w:color w:val="000000"/>
      <w:sz w:val="22"/>
      <w:szCs w:val="22"/>
      <w:u w:val="none"/>
    </w:rPr>
  </w:style>
  <w:style w:type="paragraph" w:customStyle="1" w:styleId="85">
    <w:name w:val="段落样式"/>
    <w:basedOn w:val="1"/>
    <w:next w:val="49"/>
    <w:qFormat/>
    <w:uiPriority w:val="0"/>
    <w:pPr>
      <w:ind w:firstLine="420" w:firstLineChars="200"/>
    </w:pPr>
    <w:rPr>
      <w:rFonts w:ascii="Calibri" w:hAnsi="Calibri" w:cs="Calibri"/>
      <w:sz w:val="20"/>
      <w:szCs w:val="20"/>
    </w:rPr>
  </w:style>
  <w:style w:type="paragraph" w:customStyle="1" w:styleId="86">
    <w:name w:val="列出段落11"/>
    <w:basedOn w:val="1"/>
    <w:qFormat/>
    <w:uiPriority w:val="34"/>
    <w:pPr>
      <w:ind w:firstLine="420" w:firstLineChars="200"/>
    </w:pPr>
    <w:rPr>
      <w:rFonts w:ascii="宋体" w:hAnsi="宋体" w:cs="Calibri"/>
      <w:sz w:val="24"/>
    </w:rPr>
  </w:style>
  <w:style w:type="paragraph" w:customStyle="1" w:styleId="87">
    <w:name w:val="正文 New New New New"/>
    <w:qFormat/>
    <w:uiPriority w:val="0"/>
    <w:pPr>
      <w:widowControl w:val="0"/>
      <w:jc w:val="both"/>
    </w:pPr>
    <w:rPr>
      <w:rFonts w:ascii="Calibri" w:hAnsi="Calibri" w:eastAsia="宋体" w:cs="Times New Roman"/>
      <w:sz w:val="21"/>
      <w:szCs w:val="24"/>
      <w:lang w:val="en-US" w:eastAsia="zh-CN" w:bidi="ar-SA"/>
    </w:rPr>
  </w:style>
  <w:style w:type="paragraph" w:customStyle="1" w:styleId="88">
    <w:name w:val="正文360首行缩进"/>
    <w:basedOn w:val="1"/>
    <w:qFormat/>
    <w:uiPriority w:val="0"/>
    <w:pPr>
      <w:widowControl/>
      <w:spacing w:before="120" w:line="300" w:lineRule="auto"/>
      <w:ind w:firstLine="200" w:firstLineChars="200"/>
      <w:jc w:val="left"/>
    </w:pPr>
    <w:rPr>
      <w:sz w:val="24"/>
      <w:szCs w:val="20"/>
    </w:rPr>
  </w:style>
  <w:style w:type="paragraph" w:customStyle="1" w:styleId="89">
    <w:name w:val="无间隔1"/>
    <w:qFormat/>
    <w:uiPriority w:val="1"/>
    <w:pPr>
      <w:widowControl w:val="0"/>
      <w:jc w:val="both"/>
    </w:pPr>
    <w:rPr>
      <w:rFonts w:ascii="Calibri" w:hAnsi="Calibri" w:eastAsia="宋体" w:cs="Times New Roman"/>
      <w:kern w:val="2"/>
      <w:sz w:val="24"/>
      <w:szCs w:val="24"/>
      <w:lang w:val="en-US" w:eastAsia="zh-CN" w:bidi="ar-SA"/>
    </w:rPr>
  </w:style>
  <w:style w:type="table" w:customStyle="1" w:styleId="90">
    <w:name w:val="Table Normal"/>
    <w:qFormat/>
    <w:uiPriority w:val="0"/>
    <w:tblPr>
      <w:tblCellMar>
        <w:top w:w="0" w:type="dxa"/>
        <w:left w:w="0" w:type="dxa"/>
        <w:bottom w:w="0" w:type="dxa"/>
        <w:right w:w="0" w:type="dxa"/>
      </w:tblCellMar>
    </w:tblPr>
  </w:style>
  <w:style w:type="character" w:customStyle="1" w:styleId="91">
    <w:name w:val="列表段落 字符"/>
    <w:qFormat/>
    <w:uiPriority w:val="34"/>
    <w:rPr>
      <w:rFonts w:ascii="Calibri" w:hAnsi="Calibri" w:eastAsia="宋体" w:cs="Times New Roman"/>
      <w:szCs w:val="22"/>
    </w:rPr>
  </w:style>
  <w:style w:type="character" w:customStyle="1" w:styleId="92">
    <w:name w:val="*正文 Char"/>
    <w:link w:val="43"/>
    <w:qFormat/>
    <w:uiPriority w:val="0"/>
    <w:rPr>
      <w:rFonts w:ascii="宋体" w:hAnsi="宋体" w:cstheme="minorBidi"/>
      <w:kern w:val="2"/>
      <w:sz w:val="22"/>
      <w:szCs w:val="24"/>
    </w:rPr>
  </w:style>
  <w:style w:type="character" w:customStyle="1" w:styleId="93">
    <w:name w:val="列出段落 Char"/>
    <w:link w:val="49"/>
    <w:qFormat/>
    <w:uiPriority w:val="34"/>
    <w:rPr>
      <w:rFonts w:ascii="Calibri" w:hAnsi="Calibri" w:cs="黑体"/>
      <w:kern w:val="2"/>
      <w:sz w:val="21"/>
      <w:szCs w:val="24"/>
    </w:rPr>
  </w:style>
  <w:style w:type="character" w:customStyle="1" w:styleId="94">
    <w:name w:val="ant-form-item-children"/>
    <w:basedOn w:val="26"/>
    <w:qFormat/>
    <w:uiPriority w:val="0"/>
  </w:style>
  <w:style w:type="paragraph" w:customStyle="1" w:styleId="95">
    <w:name w:val="表格文字"/>
    <w:basedOn w:val="1"/>
    <w:next w:val="9"/>
    <w:qFormat/>
    <w:uiPriority w:val="0"/>
    <w:pPr>
      <w:adjustRightInd w:val="0"/>
      <w:spacing w:line="420" w:lineRule="atLeast"/>
      <w:jc w:val="left"/>
      <w:textAlignment w:val="baseline"/>
    </w:pPr>
    <w:rPr>
      <w:rFonts w:ascii="Times New Roman" w:hAnsi="Times New Roman"/>
      <w:kern w:val="0"/>
    </w:rPr>
  </w:style>
  <w:style w:type="paragraph" w:customStyle="1" w:styleId="96">
    <w:name w:val="首行缩进"/>
    <w:basedOn w:val="1"/>
    <w:qFormat/>
    <w:uiPriority w:val="0"/>
    <w:pPr>
      <w:spacing w:line="360" w:lineRule="auto"/>
      <w:ind w:firstLine="480" w:firstLineChars="200"/>
    </w:pPr>
    <w:rPr>
      <w:rFonts w:ascii="Calibri" w:hAnsi="Calibri"/>
      <w:sz w:val="24"/>
      <w:szCs w:val="22"/>
      <w:lang w:val="zh-CN"/>
    </w:rPr>
  </w:style>
  <w:style w:type="paragraph" w:customStyle="1" w:styleId="97">
    <w:name w:val="_Style 3"/>
    <w:qFormat/>
    <w:uiPriority w:val="0"/>
    <w:rPr>
      <w:rFonts w:ascii="Times New Roman" w:hAnsi="Times New Roman" w:eastAsia="宋体" w:cs="Times New Roman"/>
      <w:sz w:val="22"/>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71</Pages>
  <Words>48122</Words>
  <Characters>49635</Characters>
  <Lines>247</Lines>
  <Paragraphs>69</Paragraphs>
  <TotalTime>43</TotalTime>
  <ScaleCrop>false</ScaleCrop>
  <LinksUpToDate>false</LinksUpToDate>
  <CharactersWithSpaces>51872</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2020-10-14T07:13:00Z</dcterms:created>
  <dc:creator>gf</dc:creator>
  <cp:lastModifiedBy>Administrator</cp:lastModifiedBy>
  <cp:lastPrinted>2025-01-08T05:55:00Z</cp:lastPrinted>
  <dcterms:modified xsi:type="dcterms:W3CDTF">2025-03-04T07:06:47Z</dcterms:modified>
  <cp:revision>286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21326CB0C09B7688E0BA7D63A875C0BC</vt:lpwstr>
  </property>
  <property fmtid="{D5CDD505-2E9C-101B-9397-08002B2CF9AE}" pid="4" name="KSOTemplateDocerSaveRecord">
    <vt:lpwstr>eyJoZGlkIjoiZjUwZjYzN2VmMDNjMzFiYTAxMmMyMjZhNWViYTFhYmIiLCJ1c2VySWQiOiI4MzI5ODEyNjgifQ==</vt:lpwstr>
  </property>
</Properties>
</file>