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678"/>
        </w:tabs>
        <w:kinsoku/>
        <w:wordWrap/>
        <w:overflowPunct/>
        <w:topLinePunct w:val="0"/>
        <w:autoSpaceDE/>
        <w:autoSpaceDN/>
        <w:bidi w:val="0"/>
        <w:adjustRightInd/>
        <w:snapToGrid/>
        <w:spacing w:line="240" w:lineRule="exact"/>
        <w:jc w:val="center"/>
        <w:textAlignment w:val="auto"/>
        <w:rPr>
          <w:rFonts w:ascii="宋体" w:hAnsi="宋体"/>
          <w:b/>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p>
      <w:pPr>
        <w:widowControl/>
        <w:shd w:val="clear" w:color="auto" w:fill="FFFFFF"/>
        <w:spacing w:line="800" w:lineRule="exact"/>
        <w:jc w:val="center"/>
        <w:rPr>
          <w:rFonts w:hint="eastAsia" w:ascii="宋体" w:hAnsi="宋体" w:eastAsia="宋体"/>
          <w:b/>
          <w:color w:val="auto"/>
          <w:sz w:val="44"/>
          <w:szCs w:val="44"/>
          <w:highlight w:val="none"/>
          <w:lang w:eastAsia="zh-CN"/>
        </w:rPr>
      </w:pPr>
      <w:r>
        <w:rPr>
          <w:rFonts w:hint="eastAsia" w:ascii="宋体" w:hAnsi="宋体"/>
          <w:b/>
          <w:color w:val="auto"/>
          <w:spacing w:val="-23"/>
          <w:sz w:val="52"/>
          <w:szCs w:val="52"/>
          <w:highlight w:val="none"/>
          <w:lang w:eastAsia="zh-CN"/>
        </w:rPr>
        <w:t>2025年度宁海县公共视频监控运维项目</w:t>
      </w:r>
    </w:p>
    <w:p>
      <w:pPr>
        <w:widowControl/>
        <w:shd w:val="clear" w:color="auto" w:fill="FFFFFF"/>
        <w:spacing w:line="800" w:lineRule="exact"/>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NHZFCG-Z2024009</w:t>
      </w:r>
    </w:p>
    <w:p>
      <w:pPr>
        <w:jc w:val="both"/>
        <w:rPr>
          <w:rFonts w:ascii="宋体" w:hAnsi="宋体"/>
          <w:b/>
          <w:color w:val="auto"/>
          <w:sz w:val="36"/>
          <w:szCs w:val="36"/>
          <w:highlight w:val="none"/>
        </w:rPr>
      </w:pPr>
    </w:p>
    <w:p>
      <w:pPr>
        <w:spacing w:line="240" w:lineRule="exact"/>
        <w:jc w:val="center"/>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pStyle w:val="2"/>
        <w:rPr>
          <w:color w:val="auto"/>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2"/>
        <w:rPr>
          <w:color w:val="auto"/>
        </w:rPr>
      </w:pPr>
    </w:p>
    <w:p>
      <w:pPr>
        <w:pStyle w:val="3"/>
        <w:rPr>
          <w:color w:val="auto"/>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rPr>
          <w:rFonts w:ascii="宋体" w:hAnsi="宋体"/>
          <w:b/>
          <w:color w:val="auto"/>
          <w:sz w:val="36"/>
          <w:szCs w:val="36"/>
          <w:highlight w:val="none"/>
        </w:rPr>
      </w:pPr>
    </w:p>
    <w:p>
      <w:pPr>
        <w:spacing w:line="240" w:lineRule="exact"/>
        <w:rPr>
          <w:rFonts w:ascii="宋体" w:hAnsi="宋体"/>
          <w:b/>
          <w:color w:val="auto"/>
          <w:sz w:val="36"/>
          <w:szCs w:val="36"/>
          <w:highlight w:val="none"/>
        </w:rPr>
      </w:pPr>
    </w:p>
    <w:p>
      <w:pPr>
        <w:tabs>
          <w:tab w:val="left" w:pos="7004"/>
          <w:tab w:val="left" w:pos="7313"/>
        </w:tabs>
        <w:spacing w:line="800" w:lineRule="exact"/>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eastAsia="zh-CN"/>
        </w:rPr>
        <w:t>宁海县公安局</w:t>
      </w:r>
    </w:p>
    <w:p>
      <w:pPr>
        <w:tabs>
          <w:tab w:val="left" w:pos="7004"/>
          <w:tab w:val="left" w:pos="7313"/>
        </w:tabs>
        <w:spacing w:line="800" w:lineRule="exact"/>
        <w:jc w:val="center"/>
        <w:rPr>
          <w:rFonts w:ascii="宋体" w:hAnsi="宋体"/>
          <w:b/>
          <w:color w:val="auto"/>
          <w:highlight w:val="none"/>
        </w:rPr>
      </w:pPr>
      <w:r>
        <w:rPr>
          <w:rFonts w:hint="eastAsia" w:ascii="宋体" w:hAnsi="宋体"/>
          <w:b/>
          <w:color w:val="auto"/>
          <w:sz w:val="44"/>
          <w:szCs w:val="44"/>
          <w:highlight w:val="none"/>
        </w:rPr>
        <w:t>二〇二</w:t>
      </w:r>
      <w:r>
        <w:rPr>
          <w:rFonts w:hint="eastAsia" w:ascii="宋体" w:hAnsi="宋体"/>
          <w:b/>
          <w:color w:val="auto"/>
          <w:sz w:val="44"/>
          <w:szCs w:val="44"/>
          <w:highlight w:val="none"/>
          <w:lang w:val="en-US" w:eastAsia="zh-CN"/>
        </w:rPr>
        <w:t>四</w:t>
      </w:r>
      <w:r>
        <w:rPr>
          <w:rFonts w:hint="eastAsia" w:ascii="宋体" w:hAnsi="宋体"/>
          <w:b/>
          <w:color w:val="auto"/>
          <w:sz w:val="44"/>
          <w:szCs w:val="44"/>
          <w:highlight w:val="none"/>
        </w:rPr>
        <w:t>年</w:t>
      </w:r>
    </w:p>
    <w:p>
      <w:pPr>
        <w:pStyle w:val="12"/>
        <w:spacing w:beforeLines="0" w:afterLines="0" w:line="360" w:lineRule="auto"/>
        <w:jc w:val="center"/>
        <w:rPr>
          <w:rFonts w:hAnsi="宋体"/>
          <w:color w:val="auto"/>
          <w:highlight w:val="none"/>
        </w:rPr>
        <w:sectPr>
          <w:headerReference r:id="rId3" w:type="first"/>
          <w:footerReference r:id="rId4" w:type="default"/>
          <w:pgSz w:w="11906" w:h="16838"/>
          <w:pgMar w:top="1440" w:right="1800" w:bottom="1440" w:left="1800" w:header="851" w:footer="992" w:gutter="0"/>
          <w:pgNumType w:fmt="decimal"/>
          <w:cols w:space="425" w:num="1"/>
          <w:docGrid w:type="lines" w:linePitch="312" w:charSpace="0"/>
        </w:sect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highlight w:val="none"/>
        </w:rPr>
      </w:pPr>
    </w:p>
    <w:p>
      <w:pPr>
        <w:pStyle w:val="12"/>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center"/>
        <w:outlineLvl w:val="0"/>
        <w:rPr>
          <w:rFonts w:hAnsi="宋体"/>
          <w:bCs/>
          <w:color w:val="auto"/>
          <w:highlight w:val="none"/>
        </w:rPr>
      </w:pPr>
    </w:p>
    <w:p>
      <w:pPr>
        <w:pStyle w:val="12"/>
        <w:snapToGrid w:val="0"/>
        <w:spacing w:beforeLines="0" w:afterLines="0" w:line="240" w:lineRule="auto"/>
        <w:jc w:val="both"/>
        <w:outlineLvl w:val="0"/>
        <w:rPr>
          <w:rFonts w:hAnsi="宋体"/>
          <w:bCs/>
          <w:color w:val="auto"/>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  招标公告</w:t>
      </w:r>
    </w:p>
    <w:p>
      <w:pPr>
        <w:pStyle w:val="12"/>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hint="eastAsia" w:ascii="宋体" w:hAnsi="宋体" w:eastAsia="宋体" w:cs="宋体"/>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80" w:lineRule="exact"/>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项目概况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80" w:lineRule="exact"/>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val="0"/>
                <w:color w:val="auto"/>
                <w:spacing w:val="0"/>
                <w:sz w:val="21"/>
                <w:szCs w:val="21"/>
                <w:highlight w:val="none"/>
                <w:u w:val="single"/>
                <w:lang w:val="en-US" w:eastAsia="zh-CN"/>
              </w:rPr>
              <w:t>2025年度宁海县公共视频监控运维项目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rPr>
              <w:t> 政府采购云平台（www.zcygov.cn）</w:t>
            </w:r>
            <w:r>
              <w:rPr>
                <w:rFonts w:hint="eastAsia" w:ascii="宋体" w:hAnsi="宋体" w:eastAsia="宋体" w:cs="宋体"/>
                <w:color w:val="auto"/>
                <w:sz w:val="21"/>
                <w:szCs w:val="21"/>
                <w:highlight w:val="none"/>
              </w:rPr>
              <w:t>获取（下载）招标文件，并于</w:t>
            </w:r>
            <w:r>
              <w:rPr>
                <w:rFonts w:hint="eastAsia" w:ascii="宋体" w:hAnsi="宋体" w:cs="宋体"/>
                <w:color w:val="auto"/>
                <w:sz w:val="21"/>
                <w:szCs w:val="21"/>
                <w:highlight w:val="none"/>
                <w:u w:val="single"/>
                <w:lang w:eastAsia="zh-CN"/>
              </w:rPr>
              <w:t>2024年12月27日</w:t>
            </w:r>
            <w:r>
              <w:rPr>
                <w:rFonts w:hint="eastAsia" w:ascii="宋体" w:hAnsi="宋体" w:eastAsia="宋体" w:cs="宋体"/>
                <w:color w:val="auto"/>
                <w:sz w:val="21"/>
                <w:szCs w:val="21"/>
                <w:highlight w:val="none"/>
                <w:u w:val="single"/>
              </w:rPr>
              <w:t xml:space="preserve"> 09:00 </w:t>
            </w:r>
            <w:r>
              <w:rPr>
                <w:rFonts w:hint="eastAsia" w:ascii="宋体" w:hAnsi="宋体" w:eastAsia="宋体" w:cs="宋体"/>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NHZFCG-Z2024009</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2025年度宁海县公共视频监控运维项目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lang w:val="en-US" w:eastAsia="zh-CN"/>
        </w:rPr>
        <w:t>4839900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最高限价（元）：</w:t>
      </w:r>
      <w:r>
        <w:rPr>
          <w:rFonts w:hint="eastAsia" w:ascii="宋体" w:hAnsi="宋体" w:eastAsia="宋体" w:cs="宋体"/>
          <w:color w:val="auto"/>
          <w:sz w:val="21"/>
          <w:szCs w:val="21"/>
          <w:highlight w:val="none"/>
          <w:lang w:val="en-US" w:eastAsia="zh-CN"/>
        </w:rPr>
        <w:t>4839900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标项名称：</w:t>
      </w:r>
      <w:r>
        <w:rPr>
          <w:rFonts w:hint="eastAsia" w:ascii="宋体" w:hAnsi="宋体" w:eastAsia="宋体" w:cs="宋体"/>
          <w:color w:val="auto"/>
          <w:sz w:val="21"/>
          <w:szCs w:val="21"/>
          <w:highlight w:val="none"/>
          <w:lang w:val="en-US" w:eastAsia="zh-CN"/>
        </w:rPr>
        <w:t>2025年度宁海县公共视频监控运维项目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预算金额（元）：</w:t>
      </w:r>
      <w:r>
        <w:rPr>
          <w:rFonts w:hint="eastAsia" w:ascii="宋体" w:hAnsi="宋体" w:eastAsia="宋体" w:cs="宋体"/>
          <w:color w:val="auto"/>
          <w:sz w:val="21"/>
          <w:szCs w:val="21"/>
          <w:highlight w:val="none"/>
          <w:lang w:val="en-US" w:eastAsia="zh-CN"/>
        </w:rPr>
        <w:t>4839900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val="en-US" w:eastAsia="zh-CN"/>
        </w:rPr>
        <w:t>2025年度宁海县公共视频监控运维</w:t>
      </w:r>
      <w:r>
        <w:rPr>
          <w:rFonts w:hint="eastAsia" w:ascii="宋体" w:hAnsi="宋体" w:eastAsia="宋体" w:cs="宋体"/>
          <w:color w:val="auto"/>
          <w:sz w:val="21"/>
          <w:szCs w:val="21"/>
          <w:highlight w:val="none"/>
        </w:rPr>
        <w:t xml:space="preserve"> （具体详见采购需求）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FF0000"/>
          <w:sz w:val="21"/>
          <w:szCs w:val="21"/>
          <w:lang w:val="en-US" w:eastAsia="zh-CN"/>
        </w:rPr>
      </w:pPr>
      <w:r>
        <w:rPr>
          <w:rFonts w:hint="eastAsia" w:ascii="宋体" w:hAnsi="宋体" w:eastAsia="宋体" w:cs="宋体"/>
          <w:color w:val="auto"/>
          <w:sz w:val="21"/>
          <w:szCs w:val="21"/>
          <w:highlight w:val="none"/>
        </w:rPr>
        <w:t>合同履约期限：</w:t>
      </w:r>
      <w:r>
        <w:rPr>
          <w:rFonts w:hint="eastAsia" w:ascii="宋体" w:hAnsi="宋体" w:cs="宋体"/>
          <w:color w:val="auto"/>
          <w:sz w:val="21"/>
          <w:szCs w:val="21"/>
          <w:lang w:val="en-US" w:eastAsia="zh-CN"/>
        </w:rPr>
        <w:t>本次项目涉及2019年公共安全智能化项目的设备维护期为2025年8月1日-2025年12月31日共5个月；</w:t>
      </w:r>
      <w:bookmarkStart w:id="9" w:name="_GoBack"/>
      <w:bookmarkEnd w:id="9"/>
      <w:r>
        <w:rPr>
          <w:rFonts w:hint="eastAsia" w:ascii="宋体" w:hAnsi="宋体" w:cs="宋体"/>
          <w:color w:val="auto"/>
          <w:sz w:val="21"/>
          <w:szCs w:val="21"/>
          <w:lang w:val="en-US" w:eastAsia="zh-CN"/>
        </w:rPr>
        <w:t>其余设备维护期为合同签订之日-2025年12月31日。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本项目（否）接受联合体投标。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rPr>
        <w:t>00:00至12:00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12:00至23:59 </w:t>
      </w:r>
      <w:r>
        <w:rPr>
          <w:rFonts w:hint="eastAsia" w:ascii="宋体" w:hAnsi="宋体" w:eastAsia="宋体" w:cs="宋体"/>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提交投标文件截止时间： </w:t>
      </w:r>
      <w:r>
        <w:rPr>
          <w:rFonts w:hint="eastAsia" w:ascii="宋体" w:hAnsi="宋体" w:cs="宋体"/>
          <w:color w:val="auto"/>
          <w:sz w:val="21"/>
          <w:szCs w:val="21"/>
          <w:highlight w:val="none"/>
          <w:u w:val="single"/>
          <w:lang w:eastAsia="zh-CN"/>
        </w:rPr>
        <w:t>2024年12月27日</w:t>
      </w:r>
      <w:r>
        <w:rPr>
          <w:rFonts w:hint="eastAsia" w:ascii="宋体" w:hAnsi="宋体" w:eastAsia="宋体" w:cs="宋体"/>
          <w:color w:val="auto"/>
          <w:sz w:val="21"/>
          <w:szCs w:val="21"/>
          <w:highlight w:val="none"/>
          <w:u w:val="single"/>
        </w:rPr>
        <w:t xml:space="preserve"> 09:00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cs="宋体"/>
          <w:color w:val="auto"/>
          <w:sz w:val="21"/>
          <w:szCs w:val="21"/>
          <w:highlight w:val="none"/>
          <w:u w:val="single"/>
          <w:lang w:eastAsia="zh-CN"/>
        </w:rPr>
        <w:t>2024年12月27日</w:t>
      </w:r>
      <w:r>
        <w:rPr>
          <w:rFonts w:hint="eastAsia" w:ascii="宋体" w:hAnsi="宋体" w:eastAsia="宋体" w:cs="宋体"/>
          <w:color w:val="auto"/>
          <w:sz w:val="21"/>
          <w:szCs w:val="21"/>
          <w:highlight w:val="none"/>
          <w:u w:val="single"/>
        </w:rPr>
        <w:t xml:space="preserve"> 09:00</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（3）供应商如提供电子备份投标文件的，应于</w:t>
      </w:r>
      <w:r>
        <w:rPr>
          <w:rFonts w:hint="eastAsia" w:ascii="宋体" w:hAnsi="宋体" w:cs="宋体"/>
          <w:color w:val="auto"/>
          <w:sz w:val="21"/>
          <w:szCs w:val="21"/>
          <w:highlight w:val="none"/>
          <w:lang w:eastAsia="zh-CN"/>
        </w:rPr>
        <w:t>2024年12月27日</w:t>
      </w:r>
      <w:r>
        <w:rPr>
          <w:rFonts w:hint="eastAsia" w:ascii="宋体" w:hAnsi="宋体" w:eastAsia="宋体" w:cs="宋体"/>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color w:val="auto"/>
          <w:sz w:val="21"/>
          <w:szCs w:val="21"/>
          <w:highlight w:val="none"/>
          <w:lang w:val="en-US" w:eastAsia="zh-CN"/>
        </w:rPr>
        <w:t>宁海县政务服务</w:t>
      </w:r>
      <w:r>
        <w:rPr>
          <w:rFonts w:hint="eastAsia" w:ascii="宋体" w:hAnsi="宋体" w:eastAsia="宋体" w:cs="宋体"/>
          <w:color w:val="auto"/>
          <w:sz w:val="21"/>
          <w:szCs w:val="21"/>
          <w:highlight w:val="none"/>
        </w:rPr>
        <w:t>中心将拒签并退回。如想查询快递签收情况，请告知快递单号（地址：宁海县桃源街道金水东路5号五楼501室，收件人：</w:t>
      </w:r>
      <w:r>
        <w:rPr>
          <w:rFonts w:hint="eastAsia" w:ascii="宋体" w:hAnsi="宋体" w:eastAsia="宋体" w:cs="宋体"/>
          <w:color w:val="auto"/>
          <w:sz w:val="21"/>
          <w:szCs w:val="21"/>
          <w:highlight w:val="none"/>
          <w:lang w:val="en-US" w:eastAsia="zh-CN"/>
        </w:rPr>
        <w:t>高凤</w:t>
      </w:r>
      <w:r>
        <w:rPr>
          <w:rFonts w:hint="eastAsia" w:ascii="宋体" w:hAnsi="宋体" w:eastAsia="宋体" w:cs="宋体"/>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cs="宋体"/>
          <w:color w:val="auto"/>
          <w:sz w:val="21"/>
          <w:szCs w:val="21"/>
          <w:highlight w:val="none"/>
          <w:lang w:eastAsia="zh-CN"/>
        </w:rPr>
        <w:t>2024年12月27日</w:t>
      </w:r>
      <w:r>
        <w:rPr>
          <w:rFonts w:hint="eastAsia" w:ascii="宋体" w:hAnsi="宋体" w:eastAsia="宋体" w:cs="宋体"/>
          <w:color w:val="auto"/>
          <w:sz w:val="21"/>
          <w:szCs w:val="21"/>
          <w:highlight w:val="none"/>
        </w:rPr>
        <w:t>9点30分前）供应商可以登录政府采购云平台，用“项目采购-开标评标”功能解密投标文件。若供应商在规定时间内（</w:t>
      </w:r>
      <w:r>
        <w:rPr>
          <w:rFonts w:hint="eastAsia" w:ascii="宋体" w:hAnsi="宋体" w:cs="宋体"/>
          <w:color w:val="auto"/>
          <w:sz w:val="21"/>
          <w:szCs w:val="21"/>
          <w:highlight w:val="none"/>
          <w:lang w:eastAsia="zh-CN"/>
        </w:rPr>
        <w:t>2024年12月27日</w:t>
      </w:r>
      <w:r>
        <w:rPr>
          <w:rFonts w:hint="eastAsia" w:ascii="宋体" w:hAnsi="宋体" w:eastAsia="宋体" w:cs="宋体"/>
          <w:color w:val="auto"/>
          <w:sz w:val="21"/>
          <w:szCs w:val="21"/>
          <w:highlight w:val="none"/>
        </w:rPr>
        <w:t>9点30分前）无法解密或解密失败，可使用电子备份投标文件进行评标，若供应商电子投标文件和电子备份投标文件均无法解密或解密失败，视为供应商放弃投标。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名称：</w:t>
      </w:r>
      <w:r>
        <w:rPr>
          <w:rFonts w:hint="eastAsia" w:ascii="宋体" w:hAnsi="宋体" w:eastAsia="宋体" w:cs="宋体"/>
          <w:i w:val="0"/>
          <w:caps w:val="0"/>
          <w:color w:val="auto"/>
          <w:spacing w:val="0"/>
          <w:sz w:val="21"/>
          <w:szCs w:val="21"/>
          <w:highlight w:val="none"/>
          <w:u w:val="single"/>
          <w:shd w:val="clear" w:fill="auto"/>
          <w:lang w:eastAsia="zh-CN"/>
        </w:rPr>
        <w:t>宁海县公安局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宁海县桃源街道金水东路1号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lang w:eastAsia="zh-CN"/>
        </w:rPr>
        <w:t>吴超行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lang w:eastAsia="zh-CN"/>
        </w:rPr>
        <w:t>0574-65347071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lang w:eastAsia="zh-CN"/>
        </w:rPr>
        <w:t>童春健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lang w:eastAsia="zh-CN"/>
        </w:rPr>
        <w:t>13586908858</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0574-65131831</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lang w:val="en-US" w:eastAsia="zh-CN"/>
        </w:rPr>
        <w:t>高凤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0574-65131832</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lang w:val="en-US" w:eastAsia="zh-CN"/>
        </w:rPr>
        <w:t>应晓燕</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宁海县跃龙街道桃源中路218号</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0574-65265668</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CA问题联系电话（人工）：汇信CA 400-888-4636；天谷CA 400-087-8198。</w:t>
      </w:r>
    </w:p>
    <w:p>
      <w:pPr>
        <w:pStyle w:val="12"/>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宋体" w:hAnsi="宋体" w:eastAsia="宋体" w:cs="宋体"/>
          <w:b/>
          <w:bCs/>
          <w:color w:val="auto"/>
          <w:sz w:val="21"/>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kinsoku/>
        <w:wordWrap/>
        <w:overflowPunct/>
        <w:topLinePunct w:val="0"/>
        <w:autoSpaceDE/>
        <w:autoSpaceDN/>
        <w:bidi w:val="0"/>
        <w:adjustRightInd/>
        <w:spacing w:line="380" w:lineRule="exact"/>
        <w:rPr>
          <w:rFonts w:hint="eastAsia" w:ascii="宋体" w:hAnsi="宋体" w:eastAsia="宋体" w:cs="宋体"/>
          <w:b/>
          <w:bCs/>
          <w:color w:val="auto"/>
          <w:sz w:val="21"/>
          <w:szCs w:val="21"/>
          <w:highlight w:val="none"/>
        </w:rPr>
      </w:pPr>
    </w:p>
    <w:p>
      <w:pPr>
        <w:pStyle w:val="33"/>
        <w:keepNext w:val="0"/>
        <w:keepLines w:val="0"/>
        <w:pageBreakBefore w:val="0"/>
        <w:widowControl w:val="0"/>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项目总体要求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eastAsia" w:ascii="宋体" w:hAnsi="宋体" w:eastAsia="宋体" w:cs="宋体"/>
          <w:bCs/>
          <w:color w:val="auto"/>
          <w:sz w:val="21"/>
          <w:szCs w:val="21"/>
          <w:lang w:eastAsia="zh-CN"/>
        </w:rPr>
      </w:pPr>
      <w:bookmarkStart w:id="0" w:name="OLE_LINK32"/>
      <w:bookmarkStart w:id="1" w:name="OLE_LINK33"/>
      <w:bookmarkStart w:id="2" w:name="OLE_LINK34"/>
      <w:r>
        <w:rPr>
          <w:rFonts w:hint="eastAsia" w:ascii="宋体" w:hAnsi="宋体" w:eastAsia="宋体" w:cs="宋体"/>
          <w:bCs/>
          <w:color w:val="auto"/>
          <w:sz w:val="21"/>
          <w:szCs w:val="21"/>
          <w:lang w:eastAsia="zh-CN"/>
        </w:rPr>
        <w:t>本项目为宁海县公安局已建</w:t>
      </w:r>
      <w:r>
        <w:rPr>
          <w:rFonts w:hint="eastAsia" w:ascii="宋体" w:hAnsi="宋体" w:eastAsia="宋体" w:cs="宋体"/>
          <w:bCs/>
          <w:color w:val="auto"/>
          <w:sz w:val="21"/>
          <w:szCs w:val="21"/>
          <w:lang w:val="en-US" w:eastAsia="zh-CN"/>
        </w:rPr>
        <w:t>3707套</w:t>
      </w:r>
      <w:r>
        <w:rPr>
          <w:rFonts w:hint="eastAsia" w:ascii="宋体" w:hAnsi="宋体" w:eastAsia="宋体" w:cs="宋体"/>
          <w:bCs/>
          <w:color w:val="auto"/>
          <w:sz w:val="21"/>
          <w:szCs w:val="21"/>
          <w:lang w:eastAsia="zh-CN"/>
        </w:rPr>
        <w:t>公共</w:t>
      </w:r>
      <w:r>
        <w:rPr>
          <w:rFonts w:hint="eastAsia" w:ascii="宋体" w:hAnsi="宋体" w:eastAsia="宋体" w:cs="宋体"/>
          <w:bCs/>
          <w:color w:val="auto"/>
          <w:sz w:val="21"/>
          <w:szCs w:val="21"/>
          <w:lang w:val="en-US" w:eastAsia="zh-CN"/>
        </w:rPr>
        <w:t>视频监控2025年度</w:t>
      </w:r>
      <w:r>
        <w:rPr>
          <w:rFonts w:hint="eastAsia" w:ascii="宋体" w:hAnsi="宋体" w:eastAsia="宋体" w:cs="宋体"/>
          <w:bCs/>
          <w:color w:val="auto"/>
          <w:sz w:val="21"/>
          <w:szCs w:val="21"/>
          <w:lang w:eastAsia="zh-CN"/>
        </w:rPr>
        <w:t>维保项目，</w:t>
      </w:r>
      <w:r>
        <w:rPr>
          <w:rFonts w:hint="eastAsia" w:ascii="宋体" w:hAnsi="宋体" w:eastAsia="宋体" w:cs="宋体"/>
          <w:bCs/>
          <w:color w:val="auto"/>
          <w:sz w:val="21"/>
          <w:szCs w:val="21"/>
          <w:lang w:val="en-US" w:eastAsia="zh-CN"/>
        </w:rPr>
        <w:t>项目通过</w:t>
      </w:r>
      <w:r>
        <w:rPr>
          <w:rFonts w:hint="eastAsia" w:ascii="宋体" w:hAnsi="宋体" w:eastAsia="宋体" w:cs="宋体"/>
          <w:bCs/>
          <w:color w:val="auto"/>
          <w:sz w:val="21"/>
          <w:szCs w:val="21"/>
          <w:lang w:eastAsia="zh-CN"/>
        </w:rPr>
        <w:t>优化运维技术团队，完善考核机制，提高运维效率，加强监督管理，实现</w:t>
      </w:r>
      <w:r>
        <w:rPr>
          <w:rFonts w:hint="eastAsia" w:ascii="宋体" w:hAnsi="宋体" w:eastAsia="宋体" w:cs="宋体"/>
          <w:bCs/>
          <w:color w:val="auto"/>
          <w:sz w:val="21"/>
          <w:szCs w:val="21"/>
          <w:lang w:val="en-US" w:eastAsia="zh-CN"/>
        </w:rPr>
        <w:t>公共视频监控</w:t>
      </w:r>
      <w:r>
        <w:rPr>
          <w:rFonts w:hint="eastAsia" w:ascii="宋体" w:hAnsi="宋体" w:eastAsia="宋体" w:cs="宋体"/>
          <w:bCs/>
          <w:color w:val="auto"/>
          <w:sz w:val="21"/>
          <w:szCs w:val="21"/>
          <w:lang w:eastAsia="zh-CN"/>
        </w:rPr>
        <w:t>最大化节约成本、最大化提升效率、最大化安全应用，</w:t>
      </w:r>
      <w:r>
        <w:rPr>
          <w:rFonts w:hint="eastAsia" w:ascii="宋体" w:hAnsi="宋体" w:eastAsia="宋体" w:cs="宋体"/>
          <w:bCs/>
          <w:color w:val="auto"/>
          <w:sz w:val="21"/>
          <w:szCs w:val="21"/>
          <w:lang w:val="en-US" w:eastAsia="zh-CN"/>
        </w:rPr>
        <w:t>从而</w:t>
      </w:r>
      <w:r>
        <w:rPr>
          <w:rFonts w:hint="eastAsia" w:ascii="宋体" w:hAnsi="宋体" w:eastAsia="宋体" w:cs="宋体"/>
          <w:bCs/>
          <w:color w:val="auto"/>
          <w:sz w:val="21"/>
          <w:szCs w:val="21"/>
          <w:lang w:eastAsia="zh-CN"/>
        </w:rPr>
        <w:t>满足政府部门应用及有关考核要求。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项目实施总体要求如下：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中标后在项目</w:t>
      </w:r>
      <w:r>
        <w:rPr>
          <w:rFonts w:hint="eastAsia" w:ascii="宋体" w:hAnsi="宋体" w:eastAsia="宋体" w:cs="宋体"/>
          <w:bCs/>
          <w:color w:val="auto"/>
          <w:sz w:val="21"/>
          <w:szCs w:val="21"/>
          <w:lang w:eastAsia="zh-CN"/>
        </w:rPr>
        <w:t>维保</w:t>
      </w:r>
      <w:r>
        <w:rPr>
          <w:rFonts w:hint="eastAsia" w:ascii="宋体" w:hAnsi="宋体" w:eastAsia="宋体" w:cs="宋体"/>
          <w:bCs/>
          <w:color w:val="auto"/>
          <w:sz w:val="21"/>
          <w:szCs w:val="21"/>
        </w:rPr>
        <w:t>过程中自行承担与电力、</w:t>
      </w:r>
      <w:r>
        <w:rPr>
          <w:rFonts w:hint="eastAsia" w:ascii="宋体" w:hAnsi="宋体" w:eastAsia="宋体" w:cs="宋体"/>
          <w:bCs/>
          <w:color w:val="auto"/>
          <w:sz w:val="21"/>
          <w:szCs w:val="21"/>
          <w:lang w:eastAsia="zh-CN"/>
        </w:rPr>
        <w:t>线路</w:t>
      </w:r>
      <w:r>
        <w:rPr>
          <w:rFonts w:hint="eastAsia" w:ascii="宋体" w:hAnsi="宋体" w:eastAsia="宋体" w:cs="宋体"/>
          <w:bCs/>
          <w:color w:val="auto"/>
          <w:sz w:val="21"/>
          <w:szCs w:val="21"/>
        </w:rPr>
        <w:t>运营商、交通、住建、城市综合执法局等相关部门的协调工作，文明施工、安全施工</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确保</w:t>
      </w:r>
      <w:r>
        <w:rPr>
          <w:rFonts w:hint="eastAsia" w:ascii="宋体" w:hAnsi="宋体" w:eastAsia="宋体" w:cs="宋体"/>
          <w:bCs/>
          <w:color w:val="auto"/>
          <w:sz w:val="21"/>
          <w:szCs w:val="21"/>
          <w:lang w:eastAsia="zh-CN"/>
        </w:rPr>
        <w:t>维保期内设备正常运行</w:t>
      </w:r>
      <w:r>
        <w:rPr>
          <w:rFonts w:hint="eastAsia" w:ascii="宋体" w:hAnsi="宋体" w:eastAsia="宋体" w:cs="宋体"/>
          <w:bCs/>
          <w:color w:val="auto"/>
          <w:sz w:val="21"/>
          <w:szCs w:val="21"/>
        </w:rPr>
        <w:t>。</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中标单位必须承担针对本项目施工的保险</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当前端设备因</w:t>
      </w:r>
      <w:r>
        <w:rPr>
          <w:rFonts w:hint="eastAsia" w:ascii="宋体" w:hAnsi="宋体" w:eastAsia="宋体" w:cs="宋体"/>
          <w:bCs/>
          <w:color w:val="auto"/>
          <w:sz w:val="21"/>
          <w:szCs w:val="21"/>
          <w:lang w:val="en-US" w:eastAsia="zh-CN"/>
        </w:rPr>
        <w:t>意外丢失或</w:t>
      </w:r>
      <w:r>
        <w:rPr>
          <w:rFonts w:hint="eastAsia" w:ascii="宋体" w:hAnsi="宋体" w:eastAsia="宋体" w:cs="宋体"/>
          <w:bCs/>
          <w:color w:val="auto"/>
          <w:sz w:val="21"/>
          <w:szCs w:val="21"/>
        </w:rPr>
        <w:t>破坏、自然灾难或其他不可抗力造成财产损失或人身伤害时，中标单位应根据保险条款提供对应的损失赔偿</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不承担相关赔偿责任</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投标报价中须包含各项保险费用。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highlight w:val="none"/>
          <w:lang w:val="en-US" w:eastAsia="zh-CN"/>
        </w:rPr>
        <w:t>须与招标人签订保密协议，</w:t>
      </w:r>
      <w:r>
        <w:rPr>
          <w:rFonts w:hint="eastAsia" w:ascii="宋体" w:hAnsi="宋体" w:eastAsia="宋体" w:cs="宋体"/>
          <w:color w:val="auto"/>
          <w:sz w:val="21"/>
          <w:szCs w:val="21"/>
          <w:lang w:eastAsia="zh-CN"/>
        </w:rPr>
        <w:t>在维保过程中严格遵守公安部</w:t>
      </w:r>
      <w:r>
        <w:rPr>
          <w:rFonts w:hint="eastAsia" w:ascii="宋体" w:hAnsi="宋体" w:eastAsia="宋体" w:cs="宋体"/>
          <w:color w:val="auto"/>
          <w:sz w:val="21"/>
          <w:szCs w:val="21"/>
          <w:lang w:val="en-US" w:eastAsia="zh-CN"/>
        </w:rPr>
        <w:t>门</w:t>
      </w:r>
      <w:r>
        <w:rPr>
          <w:rFonts w:hint="eastAsia" w:ascii="宋体" w:hAnsi="宋体" w:eastAsia="宋体" w:cs="宋体"/>
          <w:color w:val="auto"/>
          <w:sz w:val="21"/>
          <w:szCs w:val="21"/>
          <w:lang w:eastAsia="zh-CN"/>
        </w:rPr>
        <w:t>相关保密规定，严禁将视频网的视频、图片、</w:t>
      </w:r>
      <w:r>
        <w:rPr>
          <w:rFonts w:hint="eastAsia" w:ascii="宋体" w:hAnsi="宋体" w:eastAsia="宋体" w:cs="宋体"/>
          <w:bCs/>
          <w:color w:val="auto"/>
          <w:sz w:val="21"/>
          <w:szCs w:val="21"/>
          <w:lang w:eastAsia="zh-CN"/>
        </w:rPr>
        <w:t>数据资料违规外传。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本项目投标报价包括</w:t>
      </w:r>
      <w:r>
        <w:rPr>
          <w:rFonts w:hint="eastAsia" w:ascii="宋体" w:hAnsi="宋体" w:eastAsia="宋体" w:cs="宋体"/>
          <w:color w:val="auto"/>
          <w:kern w:val="0"/>
          <w:sz w:val="21"/>
          <w:szCs w:val="21"/>
          <w:lang w:val="en-US" w:eastAsia="zh-CN"/>
        </w:rPr>
        <w:t>已建3707套公共视频监控在维护期内</w:t>
      </w:r>
      <w:r>
        <w:rPr>
          <w:rFonts w:hint="eastAsia" w:ascii="宋体" w:hAnsi="宋体" w:eastAsia="宋体" w:cs="宋体"/>
          <w:color w:val="auto"/>
          <w:kern w:val="0"/>
          <w:sz w:val="21"/>
          <w:szCs w:val="21"/>
          <w:lang w:eastAsia="zh-CN"/>
        </w:rPr>
        <w:t>正常运行产生的所有费用（</w:t>
      </w:r>
      <w:r>
        <w:rPr>
          <w:rFonts w:hint="eastAsia" w:ascii="宋体" w:hAnsi="宋体" w:eastAsia="宋体" w:cs="宋体"/>
          <w:color w:val="auto"/>
          <w:kern w:val="0"/>
          <w:sz w:val="21"/>
          <w:szCs w:val="21"/>
          <w:lang w:val="en-US" w:eastAsia="zh-CN"/>
        </w:rPr>
        <w:t>含前端电费和各类维护费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，其中</w:t>
      </w:r>
      <w:r>
        <w:rPr>
          <w:rFonts w:hint="eastAsia" w:ascii="宋体" w:hAnsi="宋体" w:eastAsia="宋体" w:cs="宋体"/>
          <w:color w:val="auto"/>
          <w:sz w:val="21"/>
          <w:szCs w:val="21"/>
          <w:lang w:eastAsia="zh-CN"/>
        </w:rPr>
        <w:t>对不可修复设备</w:t>
      </w:r>
      <w:r>
        <w:rPr>
          <w:rFonts w:hint="eastAsia" w:ascii="宋体" w:hAnsi="宋体" w:eastAsia="宋体" w:cs="宋体"/>
          <w:color w:val="auto"/>
          <w:sz w:val="21"/>
          <w:szCs w:val="21"/>
          <w:lang w:val="en-US" w:eastAsia="zh-CN"/>
        </w:rPr>
        <w:t>和丢失设备需</w:t>
      </w:r>
      <w:r>
        <w:rPr>
          <w:rFonts w:hint="eastAsia" w:ascii="宋体" w:hAnsi="宋体" w:eastAsia="宋体" w:cs="宋体"/>
          <w:color w:val="auto"/>
          <w:sz w:val="21"/>
          <w:szCs w:val="21"/>
          <w:lang w:eastAsia="zh-CN"/>
        </w:rPr>
        <w:t>提供同类型或性能更高的设备进行替换</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pacing w:line="400" w:lineRule="exact"/>
        <w:ind w:lef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二、维保技术要求</w:t>
      </w:r>
    </w:p>
    <w:tbl>
      <w:tblPr>
        <w:tblStyle w:val="2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19"/>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bookmarkStart w:id="3" w:name="_Hlk15892412"/>
            <w:r>
              <w:rPr>
                <w:rFonts w:hint="eastAsia" w:ascii="宋体" w:hAnsi="宋体" w:eastAsia="宋体" w:cs="宋体"/>
                <w:b w:val="0"/>
                <w:bCs/>
                <w:color w:val="auto"/>
                <w:sz w:val="21"/>
                <w:szCs w:val="21"/>
                <w:vertAlign w:val="baseline"/>
                <w:lang w:val="en-US" w:eastAsia="zh-CN"/>
              </w:rPr>
              <w:t>序号</w:t>
            </w:r>
          </w:p>
        </w:tc>
        <w:tc>
          <w:tcPr>
            <w:tcW w:w="15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维护项目</w:t>
            </w:r>
          </w:p>
        </w:tc>
        <w:tc>
          <w:tcPr>
            <w:tcW w:w="615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维保需求描述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前端点位维护要求</w:t>
            </w:r>
          </w:p>
        </w:tc>
        <w:tc>
          <w:tcPr>
            <w:tcW w:w="61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jc w:val="both"/>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color w:val="auto"/>
                <w:sz w:val="21"/>
                <w:szCs w:val="21"/>
                <w:lang w:val="en-US" w:eastAsia="zh-CN"/>
              </w:rPr>
              <w:t>前端点位</w:t>
            </w:r>
            <w:r>
              <w:rPr>
                <w:rFonts w:hint="eastAsia" w:ascii="宋体" w:hAnsi="宋体" w:eastAsia="宋体" w:cs="宋体"/>
                <w:b w:val="0"/>
                <w:bCs/>
                <w:color w:val="auto"/>
                <w:sz w:val="21"/>
                <w:szCs w:val="21"/>
              </w:rPr>
              <w:t>维护内容包括但不限于：前端各类摄像机、摄像机外壳、终端服务器、爆闪灯、补光灯及相关模块的维护；前端所有设备杆件、杆件基础、监控机箱等的维护；电源设备、稳压器、浪涌保护器、接地极、防雷避雷设施等的维护；供电线路、通讯线路</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传输设备</w:t>
            </w:r>
            <w:r>
              <w:rPr>
                <w:rFonts w:hint="eastAsia" w:ascii="宋体" w:hAnsi="宋体" w:eastAsia="宋体" w:cs="宋体"/>
                <w:b w:val="0"/>
                <w:bCs/>
                <w:color w:val="auto"/>
                <w:sz w:val="21"/>
                <w:szCs w:val="21"/>
              </w:rPr>
              <w:t>的日常维护；监控设备被树枝、广告牌等遮挡物遮挡，影响正常使用情况的排除；杆件、摄像头、补光灯等设备的位置校正、</w:t>
            </w:r>
            <w:r>
              <w:rPr>
                <w:rFonts w:hint="eastAsia" w:ascii="宋体" w:hAnsi="宋体" w:eastAsia="宋体" w:cs="宋体"/>
                <w:b w:val="0"/>
                <w:bCs/>
                <w:color w:val="auto"/>
                <w:sz w:val="21"/>
                <w:szCs w:val="21"/>
                <w:lang w:val="en-US" w:eastAsia="zh-CN"/>
              </w:rPr>
              <w:t>角度调整、设备</w:t>
            </w:r>
            <w:r>
              <w:rPr>
                <w:rFonts w:hint="eastAsia" w:ascii="宋体" w:hAnsi="宋体" w:eastAsia="宋体" w:cs="宋体"/>
                <w:b w:val="0"/>
                <w:bCs/>
                <w:color w:val="auto"/>
                <w:sz w:val="21"/>
                <w:szCs w:val="21"/>
              </w:rPr>
              <w:t>加固等；监控电路线缆、通讯线路整理，设备杂物清除，除锈除尘等清理工作；监控设备所有线缆管道的检查维护；前端无法正常运行设备的移位</w:t>
            </w:r>
            <w:r>
              <w:rPr>
                <w:rFonts w:hint="eastAsia" w:ascii="宋体" w:hAnsi="宋体" w:eastAsia="宋体" w:cs="宋体"/>
                <w:b w:val="0"/>
                <w:bCs/>
                <w:color w:val="auto"/>
                <w:sz w:val="21"/>
                <w:szCs w:val="21"/>
                <w:lang w:eastAsia="zh-CN"/>
              </w:rPr>
              <w:t>；</w:t>
            </w:r>
            <w:r>
              <w:rPr>
                <w:rFonts w:hint="eastAsia" w:ascii="宋体" w:hAnsi="宋体" w:eastAsia="宋体" w:cs="宋体"/>
                <w:b w:val="0"/>
                <w:bCs/>
                <w:i w:val="0"/>
                <w:iCs w:val="0"/>
                <w:color w:val="auto"/>
                <w:kern w:val="0"/>
                <w:sz w:val="21"/>
                <w:szCs w:val="21"/>
                <w:highlight w:val="none"/>
                <w:u w:val="none"/>
                <w:lang w:val="en-US" w:eastAsia="zh-CN" w:bidi="ar"/>
              </w:rPr>
              <w:t>支付所有前端点位设备产生电费（包括开表和向企事业及个人借电产生费用）。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后端设备维护要求</w:t>
            </w:r>
          </w:p>
        </w:tc>
        <w:tc>
          <w:tcPr>
            <w:tcW w:w="61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jc w:val="both"/>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cs="宋体"/>
                <w:b w:val="0"/>
                <w:bCs/>
                <w:i w:val="0"/>
                <w:iCs w:val="0"/>
                <w:color w:val="auto"/>
                <w:kern w:val="0"/>
                <w:sz w:val="21"/>
                <w:szCs w:val="21"/>
                <w:highlight w:val="none"/>
                <w:u w:val="none"/>
                <w:lang w:val="en-US" w:eastAsia="zh-CN" w:bidi="ar"/>
              </w:rPr>
              <w:t>对</w:t>
            </w:r>
            <w:r>
              <w:rPr>
                <w:rFonts w:hint="eastAsia" w:ascii="宋体" w:hAnsi="宋体" w:eastAsia="宋体" w:cs="宋体"/>
                <w:b w:val="0"/>
                <w:bCs/>
                <w:i w:val="0"/>
                <w:iCs w:val="0"/>
                <w:color w:val="auto"/>
                <w:kern w:val="0"/>
                <w:sz w:val="21"/>
                <w:szCs w:val="21"/>
                <w:highlight w:val="none"/>
                <w:u w:val="none"/>
                <w:lang w:val="en-US" w:eastAsia="zh-CN" w:bidi="ar"/>
              </w:rPr>
              <w:t>运维范围内中心机房及各分中心机房的网络传输和交换设备、平台服务器、监控存储设备及保障监控正常运行的其它配件等开展实时监控、日常巡检、故障响应等工作；对监控正常使用相关平台故障，需联系原厂技术人员解决，保证平台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运维响应要求</w:t>
            </w:r>
          </w:p>
        </w:tc>
        <w:tc>
          <w:tcPr>
            <w:tcW w:w="615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采购人</w:t>
            </w:r>
            <w:r>
              <w:rPr>
                <w:rFonts w:hint="eastAsia" w:ascii="宋体" w:hAnsi="宋体" w:eastAsia="宋体" w:cs="宋体"/>
                <w:b w:val="0"/>
                <w:bCs/>
                <w:color w:val="auto"/>
                <w:sz w:val="21"/>
                <w:szCs w:val="21"/>
              </w:rPr>
              <w:t>提出的维修服务请求，</w:t>
            </w:r>
            <w:r>
              <w:rPr>
                <w:rFonts w:hint="eastAsia" w:ascii="宋体" w:hAnsi="宋体" w:eastAsia="宋体" w:cs="宋体"/>
                <w:b w:val="0"/>
                <w:bCs/>
                <w:color w:val="auto"/>
                <w:sz w:val="21"/>
                <w:szCs w:val="21"/>
                <w:lang w:eastAsia="zh-CN"/>
              </w:rPr>
              <w:t>中标单位</w:t>
            </w:r>
            <w:r>
              <w:rPr>
                <w:rFonts w:hint="eastAsia" w:ascii="宋体" w:hAnsi="宋体" w:eastAsia="宋体" w:cs="宋体"/>
                <w:b w:val="0"/>
                <w:bCs/>
                <w:color w:val="auto"/>
                <w:sz w:val="21"/>
                <w:szCs w:val="21"/>
              </w:rPr>
              <w:t>应在接到通知</w:t>
            </w:r>
            <w:r>
              <w:rPr>
                <w:rFonts w:hint="eastAsia" w:ascii="宋体" w:hAnsi="宋体" w:eastAsia="宋体" w:cs="宋体"/>
                <w:b w:val="0"/>
                <w:bCs/>
                <w:color w:val="auto"/>
                <w:sz w:val="21"/>
                <w:szCs w:val="21"/>
                <w:lang w:val="en-US" w:eastAsia="zh-CN"/>
              </w:rPr>
              <w:t>半</w:t>
            </w:r>
            <w:r>
              <w:rPr>
                <w:rFonts w:hint="eastAsia" w:ascii="宋体" w:hAnsi="宋体" w:eastAsia="宋体" w:cs="宋体"/>
                <w:b w:val="0"/>
                <w:bCs/>
                <w:color w:val="auto"/>
                <w:sz w:val="21"/>
                <w:szCs w:val="21"/>
              </w:rPr>
              <w:t>小时内作出响应，一般设备故障</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小时内修复；重大故障24小时内</w:t>
            </w:r>
            <w:r>
              <w:rPr>
                <w:rFonts w:hint="eastAsia" w:ascii="宋体" w:hAnsi="宋体" w:eastAsia="宋体" w:cs="宋体"/>
                <w:b w:val="0"/>
                <w:bCs/>
                <w:color w:val="auto"/>
                <w:sz w:val="21"/>
                <w:szCs w:val="21"/>
                <w:lang w:val="en-US" w:eastAsia="zh-CN"/>
              </w:rPr>
              <w:t>修复</w:t>
            </w:r>
            <w:r>
              <w:rPr>
                <w:rFonts w:hint="eastAsia" w:ascii="宋体" w:hAnsi="宋体" w:eastAsia="宋体" w:cs="宋体"/>
                <w:b w:val="0"/>
                <w:bCs/>
                <w:color w:val="auto"/>
                <w:sz w:val="21"/>
                <w:szCs w:val="21"/>
              </w:rPr>
              <w:t>；设备故障不能修复的，应</w:t>
            </w:r>
            <w:r>
              <w:rPr>
                <w:rFonts w:hint="eastAsia" w:ascii="宋体" w:hAnsi="宋体" w:eastAsia="宋体" w:cs="宋体"/>
                <w:b w:val="0"/>
                <w:bCs/>
                <w:color w:val="auto"/>
                <w:sz w:val="21"/>
                <w:szCs w:val="21"/>
                <w:lang w:val="en-US" w:eastAsia="zh-CN"/>
              </w:rPr>
              <w:t>按技术要求替换</w:t>
            </w:r>
            <w:r>
              <w:rPr>
                <w:rFonts w:hint="eastAsia" w:ascii="宋体" w:hAnsi="宋体" w:eastAsia="宋体" w:cs="宋体"/>
                <w:b w:val="0"/>
                <w:bCs/>
                <w:color w:val="auto"/>
                <w:sz w:val="21"/>
                <w:szCs w:val="21"/>
              </w:rPr>
              <w:t>，保证系统运转正常</w:t>
            </w:r>
            <w:r>
              <w:rPr>
                <w:rFonts w:hint="eastAsia" w:ascii="宋体" w:hAnsi="宋体" w:eastAsia="宋体" w:cs="宋体"/>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4</w:t>
            </w:r>
          </w:p>
        </w:tc>
        <w:tc>
          <w:tcPr>
            <w:tcW w:w="15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运维资料要求</w:t>
            </w:r>
          </w:p>
        </w:tc>
        <w:tc>
          <w:tcPr>
            <w:tcW w:w="615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中标单位需编写完善的维保台账，每月汇总后报采购人。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5</w:t>
            </w:r>
          </w:p>
        </w:tc>
        <w:tc>
          <w:tcPr>
            <w:tcW w:w="15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应急维护要求</w:t>
            </w:r>
          </w:p>
        </w:tc>
        <w:tc>
          <w:tcPr>
            <w:tcW w:w="6153" w:type="dxa"/>
            <w:vAlign w:val="center"/>
          </w:tcPr>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sz w:val="21"/>
                <w:szCs w:val="21"/>
                <w:vertAlign w:val="baseline"/>
                <w:lang w:val="en-US" w:eastAsia="zh-CN"/>
              </w:rPr>
              <w:t>为重大安保工作提供视频监控的应急保障。</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sz w:val="21"/>
                <w:szCs w:val="21"/>
                <w:vertAlign w:val="baseline"/>
                <w:lang w:val="en-US" w:eastAsia="zh-CN"/>
              </w:rPr>
              <w:t>为重要节假日提供视频监控的应急保障。</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（3）</w:t>
            </w:r>
            <w:r>
              <w:rPr>
                <w:rFonts w:hint="eastAsia" w:ascii="宋体" w:hAnsi="宋体" w:eastAsia="宋体" w:cs="宋体"/>
                <w:b w:val="0"/>
                <w:bCs/>
                <w:color w:val="auto"/>
                <w:sz w:val="21"/>
                <w:szCs w:val="21"/>
                <w:vertAlign w:val="baseline"/>
                <w:lang w:val="en-US" w:eastAsia="zh-CN"/>
              </w:rPr>
              <w:t>为突发事件提供视频监控的应急保障。</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sz w:val="21"/>
                <w:szCs w:val="21"/>
                <w:vertAlign w:val="baseline"/>
                <w:lang w:val="en-US" w:eastAsia="zh-CN"/>
              </w:rPr>
              <w:t>为视频网网络安全提供应急保障。</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维护期内中标单位对采购人提出的以上应急维护事项需提供应急设备和技术支撑。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6</w:t>
            </w:r>
          </w:p>
        </w:tc>
        <w:tc>
          <w:tcPr>
            <w:tcW w:w="151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center"/>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维护团队要求</w:t>
            </w:r>
          </w:p>
        </w:tc>
        <w:tc>
          <w:tcPr>
            <w:tcW w:w="6153" w:type="dxa"/>
            <w:vAlign w:val="center"/>
          </w:tcPr>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lang w:eastAsia="zh-CN"/>
              </w:rPr>
            </w:pP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sz w:val="21"/>
                <w:szCs w:val="21"/>
              </w:rPr>
              <w:t>中标</w:t>
            </w:r>
            <w:r>
              <w:rPr>
                <w:rFonts w:hint="eastAsia" w:ascii="宋体" w:hAnsi="宋体" w:eastAsia="宋体" w:cs="宋体"/>
                <w:b w:val="0"/>
                <w:bCs/>
                <w:color w:val="auto"/>
                <w:sz w:val="21"/>
                <w:szCs w:val="21"/>
                <w:lang w:val="en-US" w:eastAsia="zh-CN"/>
              </w:rPr>
              <w:t>单位</w:t>
            </w:r>
            <w:r>
              <w:rPr>
                <w:rFonts w:hint="eastAsia" w:ascii="宋体" w:hAnsi="宋体" w:eastAsia="宋体" w:cs="宋体"/>
                <w:b w:val="0"/>
                <w:bCs/>
                <w:color w:val="auto"/>
                <w:sz w:val="21"/>
                <w:szCs w:val="21"/>
              </w:rPr>
              <w:t>必须建立完善的本地化服务队伍，服务人员要常驻宁海，确保项目维护的及时性</w:t>
            </w:r>
            <w:r>
              <w:rPr>
                <w:rFonts w:hint="eastAsia" w:ascii="宋体" w:hAnsi="宋体" w:eastAsia="宋体" w:cs="宋体"/>
                <w:b w:val="0"/>
                <w:bCs/>
                <w:color w:val="auto"/>
                <w:sz w:val="21"/>
                <w:szCs w:val="21"/>
                <w:lang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sz w:val="21"/>
                <w:szCs w:val="21"/>
              </w:rPr>
              <w:t>日常维护工作中需配备足够的专业维护工程师、专项登高车以及其它必需的装备和工具，配齐常用备品备件。</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20" w:lineRule="exact"/>
              <w:ind w:left="0" w:leftChars="0" w:right="0"/>
              <w:jc w:val="both"/>
              <w:outlineLvl w:val="1"/>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（3）</w:t>
            </w:r>
            <w:r>
              <w:rPr>
                <w:rFonts w:hint="eastAsia" w:ascii="宋体" w:hAnsi="宋体" w:eastAsia="宋体" w:cs="宋体"/>
                <w:b w:val="0"/>
                <w:bCs/>
                <w:color w:val="auto"/>
                <w:sz w:val="21"/>
                <w:szCs w:val="21"/>
              </w:rPr>
              <w:t>维护团队具备国家相关机构颁发的有效登高证、电工证等。</w:t>
            </w:r>
          </w:p>
        </w:tc>
      </w:tr>
    </w:tbl>
    <w:p>
      <w:pPr>
        <w:keepNext w:val="0"/>
        <w:keepLines w:val="0"/>
        <w:pageBreakBefore w:val="0"/>
        <w:kinsoku/>
        <w:wordWrap/>
        <w:overflowPunct/>
        <w:topLinePunct w:val="0"/>
        <w:autoSpaceDE/>
        <w:autoSpaceDN/>
        <w:bidi w:val="0"/>
        <w:adjustRightInd/>
        <w:snapToGrid w:val="0"/>
        <w:spacing w:line="400" w:lineRule="exact"/>
        <w:ind w:leftChars="0" w:firstLine="422" w:firstLineChars="200"/>
        <w:jc w:val="left"/>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eastAsia="zh-CN"/>
        </w:rPr>
        <w:t>维护</w:t>
      </w:r>
      <w:r>
        <w:rPr>
          <w:rFonts w:hint="eastAsia" w:ascii="宋体" w:hAnsi="宋体" w:eastAsia="宋体" w:cs="宋体"/>
          <w:b/>
          <w:color w:val="auto"/>
          <w:sz w:val="21"/>
          <w:szCs w:val="21"/>
          <w:lang w:val="en-US" w:eastAsia="zh-CN"/>
        </w:rPr>
        <w:t>范围</w:t>
      </w:r>
      <w:r>
        <w:rPr>
          <w:rFonts w:hint="eastAsia" w:ascii="宋体" w:hAnsi="宋体" w:eastAsia="宋体" w:cs="宋体"/>
          <w:b/>
          <w:color w:val="auto"/>
          <w:sz w:val="21"/>
          <w:szCs w:val="21"/>
        </w:rPr>
        <w:t>清单</w:t>
      </w:r>
    </w:p>
    <w:bookmarkEnd w:id="3"/>
    <w:p>
      <w:pPr>
        <w:pStyle w:val="22"/>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exact"/>
        <w:ind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1.前端维护范围</w:t>
      </w:r>
    </w:p>
    <w:p>
      <w:pPr>
        <w:pStyle w:val="22"/>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exact"/>
        <w:ind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前端点位维护汇总表</w:t>
      </w:r>
    </w:p>
    <w:tbl>
      <w:tblPr>
        <w:tblStyle w:val="24"/>
        <w:tblW w:w="8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1100"/>
        <w:gridCol w:w="1413"/>
        <w:gridCol w:w="1562"/>
        <w:gridCol w:w="1313"/>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监控建设区域</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维护摄像机总数</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设备维护期(月)</w:t>
            </w:r>
          </w:p>
        </w:tc>
        <w:tc>
          <w:tcPr>
            <w:tcW w:w="4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前端设备运行年限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小于5年设备</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5-8年设备</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大于8年设备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桃源街道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跃龙街道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梅林街道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桥头胡街道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黄坛镇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西店镇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深甽镇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大佳何镇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岔路镇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前童镇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桑洲镇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一市镇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强蛟镇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越溪乡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力洋镇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茶院乡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胡陈乡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长街镇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无线监控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民宗点位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治安重点增补点位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注：详细点位清单可咨询采购人，</w:t>
      </w:r>
      <w:r>
        <w:rPr>
          <w:rFonts w:hint="eastAsia" w:ascii="宋体" w:hAnsi="宋体" w:eastAsia="宋体" w:cs="宋体"/>
          <w:color w:val="auto"/>
          <w:sz w:val="21"/>
          <w:szCs w:val="21"/>
          <w:highlight w:val="none"/>
          <w:lang w:val="en-US" w:eastAsia="zh-CN"/>
        </w:rPr>
        <w:t>投标人依据点位清单自行前往现场踏勘，了解各点位现场情况及环境</w:t>
      </w:r>
      <w:r>
        <w:rPr>
          <w:rFonts w:hint="eastAsia" w:ascii="宋体" w:hAnsi="宋体" w:eastAsia="宋体" w:cs="宋体"/>
          <w:color w:val="auto"/>
          <w:sz w:val="21"/>
          <w:szCs w:val="21"/>
          <w:lang w:val="en-US" w:eastAsia="zh-CN"/>
        </w:rPr>
        <w:t>。</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2.后端维护范围</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撑前端3707路摄像机正常运行的机房设备，包括网络传输和交换设备、服务器、监控存储设备及保障监控正常运行的其它配件设备。机房包括中心机房（宁海县公共视频监控一体化运营中心）和17个派出所分中心（梅林、桥头胡、黄坛、西店、深甽、大佳何、岔路、前童、桑洲、一市、南滨、强蛟、越溪、力洋、茶院、胡陈、长街）。</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Cs/>
          <w:color w:val="auto"/>
          <w:sz w:val="21"/>
          <w:szCs w:val="21"/>
          <w:lang w:eastAsia="zh-CN"/>
        </w:rPr>
        <w:t>★</w:t>
      </w:r>
      <w:r>
        <w:rPr>
          <w:rFonts w:hint="eastAsia" w:ascii="宋体" w:hAnsi="宋体" w:eastAsia="宋体" w:cs="宋体"/>
          <w:b/>
          <w:color w:val="auto"/>
          <w:sz w:val="21"/>
          <w:szCs w:val="21"/>
          <w:lang w:val="en-US" w:eastAsia="zh-CN"/>
        </w:rPr>
        <w:t>四、运维考核要求</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1.项目运维服务费按月计算，当月设备完好率不低于考核指标时，月服务费=投标报价÷12。</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2.月设备完好率为当月日设备完好率的平均值，日设备完好率由采购人每个工作日统计，日设备完好率=当日</w:t>
      </w:r>
      <w:r>
        <w:rPr>
          <w:rFonts w:hint="eastAsia" w:ascii="宋体" w:hAnsi="宋体" w:eastAsia="宋体" w:cs="宋体"/>
          <w:color w:val="auto"/>
          <w:sz w:val="21"/>
          <w:szCs w:val="21"/>
          <w:highlight w:val="none"/>
        </w:rPr>
        <w:t>正常的设备数÷总设备数×100%</w:t>
      </w:r>
      <w:r>
        <w:rPr>
          <w:rFonts w:hint="eastAsia" w:ascii="宋体" w:hAnsi="宋体" w:eastAsia="宋体" w:cs="宋体"/>
          <w:color w:val="auto"/>
          <w:sz w:val="21"/>
          <w:szCs w:val="21"/>
          <w:highlight w:val="none"/>
          <w:lang w:eastAsia="zh-CN"/>
        </w:rPr>
        <w:t>。</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运维服务期</w:t>
      </w:r>
      <w:r>
        <w:rPr>
          <w:rFonts w:hint="eastAsia" w:ascii="宋体" w:hAnsi="宋体" w:eastAsia="宋体" w:cs="宋体"/>
          <w:color w:val="auto"/>
          <w:sz w:val="21"/>
          <w:szCs w:val="21"/>
          <w:highlight w:val="none"/>
          <w:lang w:val="en-US" w:eastAsia="zh-CN"/>
        </w:rPr>
        <w:t>内经采购人同意拆除的不可修复点位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需同步扣减相关费用，同时降低考核总设备数。</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4.因城区或道路改造、电网整改、自然灾害等客观原因造成无法及时修复的，报备后经采购人同意的，在报备期可不计入考核；此类故障连续报备时间超过一个月的，按设备实际正常运行时间支付运维费。</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5.考核指标</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（1）设备完好情况：维保期设备月完好率不低于98%，每下降一个百分点扣除当月运维费的1%，当月完好率在80%以下或连续三个月低于98%以下的，采购人可单方面解除合同。</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（2）备品备件情况：维保期内中标单位对不可修复设备提供同类型或性能更高的设备进行替换，替换设备性能未达采购人要求的，每发现一次扣除当月维护费的1%。</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维护响应情况：中标单位应在接到采购人报修通知半小时内作出响应，一般设备故障8小时内修复，重大故障24小时内修复，设备故障不能修复的，需用备品备件替换。维保期内对采购人提出的应急维护要求，中标单位未及时响应的，每次扣除当月维护费的1%。</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（4）其它考核：中标单位未按保密规定要求，发生视频网资料违规外传或运维电脑违规外联的，每次扣除当月维护费的5%。</w:t>
      </w:r>
    </w:p>
    <w:p>
      <w:pPr>
        <w:keepNext w:val="0"/>
        <w:keepLines w:val="0"/>
        <w:pageBreakBefore w:val="0"/>
        <w:kinsoku/>
        <w:wordWrap/>
        <w:overflowPunct/>
        <w:topLinePunct w:val="0"/>
        <w:autoSpaceDE/>
        <w:autoSpaceDN/>
        <w:bidi w:val="0"/>
        <w:adjustRightInd/>
        <w:snapToGrid/>
        <w:spacing w:line="400" w:lineRule="exact"/>
        <w:ind w:leftChars="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五、商务条款</w:t>
      </w:r>
    </w:p>
    <w:tbl>
      <w:tblPr>
        <w:tblStyle w:val="24"/>
        <w:tblW w:w="82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7"/>
        <w:gridCol w:w="7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07"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78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维保期：</w:t>
            </w:r>
            <w:r>
              <w:rPr>
                <w:rFonts w:hint="eastAsia" w:ascii="宋体" w:hAnsi="宋体" w:cs="宋体"/>
                <w:color w:val="auto"/>
                <w:sz w:val="21"/>
                <w:szCs w:val="21"/>
                <w:lang w:val="en-US" w:eastAsia="zh-CN"/>
              </w:rPr>
              <w:t>本次项目涉及2019年公共安全智能化项目的设备维护期为2025年8月1日-2025年12月31日共5个月；其余设备维护期为合同签订之日-2025年12月31日。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407"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8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outlineLvl w:val="1"/>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t>付款条件</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每季度支付一次，付款时间为202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年4月、202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年7月、202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年10月及维保期结束</w:t>
            </w:r>
            <w:r>
              <w:rPr>
                <w:rFonts w:hint="eastAsia" w:ascii="宋体" w:hAnsi="宋体" w:eastAsia="宋体" w:cs="宋体"/>
                <w:b w:val="0"/>
                <w:color w:val="auto"/>
                <w:kern w:val="2"/>
                <w:sz w:val="21"/>
                <w:szCs w:val="21"/>
                <w:highlight w:val="none"/>
                <w:lang w:val="en-US" w:eastAsia="zh-CN" w:bidi="ar-SA"/>
              </w:rPr>
              <w:t>且项目通过决算审计</w:t>
            </w:r>
            <w:r>
              <w:rPr>
                <w:rFonts w:hint="eastAsia" w:ascii="宋体" w:hAnsi="宋体" w:cs="宋体"/>
                <w:color w:val="auto"/>
                <w:sz w:val="21"/>
                <w:szCs w:val="21"/>
                <w:lang w:eastAsia="zh-CN"/>
              </w:rPr>
              <w:t>后。中标单位维护达到考核要求的每次支付合同</w:t>
            </w:r>
            <w:r>
              <w:rPr>
                <w:rFonts w:hint="eastAsia" w:ascii="宋体" w:hAnsi="宋体" w:cs="宋体"/>
                <w:color w:val="auto"/>
                <w:sz w:val="21"/>
                <w:szCs w:val="21"/>
                <w:lang w:val="en-US" w:eastAsia="zh-CN"/>
              </w:rPr>
              <w:t>总</w:t>
            </w:r>
            <w:r>
              <w:rPr>
                <w:rFonts w:hint="eastAsia" w:ascii="宋体" w:hAnsi="宋体" w:cs="宋体"/>
                <w:color w:val="auto"/>
                <w:sz w:val="21"/>
                <w:szCs w:val="21"/>
                <w:lang w:eastAsia="zh-CN"/>
              </w:rPr>
              <w:t>金额的25%，未达到考核要求的，按考核指标约定支付实际金额。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407"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783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t>同意采购方对投标文件内容的真实性和有效性进行监督审查、验证</w:t>
            </w:r>
            <w:r>
              <w:rPr>
                <w:rFonts w:hint="eastAsia" w:ascii="宋体" w:hAnsi="宋体" w:eastAsia="宋体" w:cs="宋体"/>
                <w:bCs/>
                <w:color w:val="auto"/>
                <w:sz w:val="21"/>
                <w:szCs w:val="21"/>
              </w:rPr>
              <w:t>。</w:t>
            </w:r>
          </w:p>
        </w:tc>
      </w:tr>
    </w:tbl>
    <w:p>
      <w:pPr>
        <w:pStyle w:val="22"/>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400" w:lineRule="exact"/>
        <w:ind w:leftChars="0" w:firstLine="420" w:firstLineChars="200"/>
        <w:jc w:val="left"/>
        <w:rPr>
          <w:rFonts w:hint="eastAsia" w:ascii="宋体" w:hAnsi="宋体" w:eastAsia="宋体" w:cs="宋体"/>
          <w:color w:val="auto"/>
          <w:sz w:val="21"/>
          <w:szCs w:val="21"/>
          <w:highlight w:val="none"/>
          <w:lang w:val="en-US" w:eastAsia="zh-CN"/>
        </w:rPr>
      </w:pPr>
    </w:p>
    <w:p>
      <w:pPr>
        <w:pStyle w:val="12"/>
        <w:snapToGrid w:val="0"/>
        <w:spacing w:beforeLines="0" w:afterLines="0"/>
        <w:jc w:val="center"/>
        <w:outlineLvl w:val="0"/>
        <w:rPr>
          <w:rFonts w:hint="eastAsia" w:ascii="黑体" w:hAnsi="宋体" w:eastAsia="黑体"/>
          <w:b/>
          <w:bCs/>
          <w:color w:val="auto"/>
          <w:sz w:val="28"/>
          <w:szCs w:val="28"/>
          <w:highlight w:val="none"/>
        </w:rPr>
      </w:pPr>
    </w:p>
    <w:p>
      <w:pPr>
        <w:pStyle w:val="12"/>
        <w:snapToGrid w:val="0"/>
        <w:spacing w:beforeLines="0" w:afterLines="0"/>
        <w:jc w:val="center"/>
        <w:outlineLvl w:val="0"/>
        <w:rPr>
          <w:rFonts w:hint="eastAsia"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2"/>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7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abs>
                <w:tab w:val="left" w:pos="105"/>
                <w:tab w:val="left" w:pos="735"/>
                <w:tab w:val="left" w:pos="945"/>
                <w:tab w:val="left" w:pos="3360"/>
              </w:tabs>
              <w:kinsoku/>
              <w:wordWrap/>
              <w:overflowPunct/>
              <w:topLinePunct w:val="0"/>
              <w:autoSpaceDE/>
              <w:autoSpaceDN/>
              <w:bidi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专门面向中小微企业招标：</w:t>
            </w:r>
            <w:r>
              <w:rPr>
                <w:rFonts w:hint="eastAsia" w:ascii="宋体" w:hAnsi="宋体" w:eastAsia="宋体" w:cs="宋体"/>
                <w:color w:val="auto"/>
                <w:sz w:val="21"/>
                <w:szCs w:val="21"/>
                <w:highlight w:val="none"/>
                <w:bdr w:val="single" w:color="auto" w:sz="4" w:space="0"/>
              </w:rPr>
              <w:t xml:space="preserve">  </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sz w:val="21"/>
                <w:szCs w:val="21"/>
                <w:highlight w:val="none"/>
              </w:rPr>
              <w:t>否。非专门面向中小微企业招标项目，投标人为小微企业的，其投标价格给予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%的价格扣除后参与评审。</w:t>
            </w:r>
          </w:p>
          <w:p>
            <w:pPr>
              <w:pStyle w:val="33"/>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采购标的对应的中小企业划分标准所属行业：软件和信息技术服务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2</w:t>
            </w:r>
          </w:p>
        </w:tc>
        <w:tc>
          <w:tcPr>
            <w:tcW w:w="7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abs>
                <w:tab w:val="left" w:pos="180"/>
                <w:tab w:val="left" w:pos="360"/>
              </w:tabs>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本次招标有关信息公告在</w:t>
            </w:r>
          </w:p>
          <w:p>
            <w:pPr>
              <w:keepNext w:val="0"/>
              <w:keepLines w:val="0"/>
              <w:pageBreakBefore w:val="0"/>
              <w:widowControl/>
              <w:suppressLineNumbers w:val="0"/>
              <w:tabs>
                <w:tab w:val="left" w:pos="180"/>
                <w:tab w:val="left" w:pos="360"/>
              </w:tabs>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宁波市公共资源交易电子服务系统V2.0（https://jyxt.zwb.ningbo.gov.cn:4011/website/home)</w:t>
            </w:r>
          </w:p>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宁波政府采购网（http://www.nbzfcg.cn）</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浙江政府采购网（https://zfcg.czt.zj.gov.cn/）</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cs="宋体"/>
                <w:color w:val="auto"/>
                <w:sz w:val="21"/>
                <w:szCs w:val="21"/>
                <w:highlight w:val="none"/>
                <w:lang w:val="en-US" w:eastAsia="zh-CN"/>
              </w:rPr>
              <w:t>3</w:t>
            </w:r>
          </w:p>
        </w:tc>
        <w:tc>
          <w:tcPr>
            <w:tcW w:w="7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7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中标结果公告发布后，中标供应商需提供纸质投标文件1份以作存档使用。</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4" w:name="_Toc317685562"/>
      <w:bookmarkStart w:id="5" w:name="_Toc304292180"/>
      <w:r>
        <w:rPr>
          <w:rFonts w:hint="eastAsia" w:asciiTheme="minorEastAsia" w:hAnsiTheme="minorEastAsia" w:eastAsiaTheme="minorEastAsia"/>
          <w:color w:val="auto"/>
          <w:szCs w:val="21"/>
          <w:highlight w:val="none"/>
        </w:rPr>
        <w:t>（三）投标委</w:t>
      </w:r>
      <w:bookmarkEnd w:id="4"/>
      <w:bookmarkEnd w:id="5"/>
      <w:r>
        <w:rPr>
          <w:rFonts w:hint="eastAsia" w:asciiTheme="minorEastAsia" w:hAnsiTheme="minorEastAsia" w:eastAsiaTheme="minorEastAsia"/>
          <w:color w:val="auto"/>
          <w:szCs w:val="21"/>
          <w:highlight w:val="none"/>
        </w:rPr>
        <w:t>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6" w:name="_Toc304292181"/>
      <w:bookmarkStart w:id="7" w:name="_Toc317685563"/>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6"/>
      <w:bookmarkEnd w:id="7"/>
      <w:r>
        <w:rPr>
          <w:rFonts w:hint="eastAsia" w:asciiTheme="minorEastAsia" w:hAnsiTheme="minorEastAsia" w:eastAsiaTheme="minorEastAsia"/>
          <w:color w:val="auto"/>
          <w:szCs w:val="21"/>
          <w:highlight w:val="none"/>
        </w:rPr>
        <w:t>投标费用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本项目不得转包。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本项目不允许分包</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（七）采购项目需要落实的政府采购政策</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1.节能环保要求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采购人拟采购的产品属于品目清单范围的，采购人及其委托的采购代理机构</w:t>
      </w:r>
      <w:r>
        <w:rPr>
          <w:rFonts w:hint="eastAsia" w:asciiTheme="minorEastAsia" w:hAnsiTheme="minorEastAsia" w:eastAsiaTheme="minorEastAsia"/>
          <w:color w:val="auto"/>
          <w:szCs w:val="21"/>
          <w:highlight w:val="none"/>
        </w:rPr>
        <w:t>将</w:t>
      </w:r>
      <w:r>
        <w:rPr>
          <w:rFonts w:asciiTheme="minorEastAsia" w:hAnsiTheme="minorEastAsia" w:eastAsiaTheme="minorEastAsia"/>
          <w:color w:val="auto"/>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color w:val="auto"/>
          <w:szCs w:val="21"/>
          <w:highlight w:val="none"/>
        </w:rPr>
        <w:t>投标人须提供相关产品认证证书。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2.小型、微型企业价格扣除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符合中小企业划分标准的个体工商户，在政府采购活动中视同中小企业。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（2）参加政府采购活动的小微企业应当提供《中小企业声明函》。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（3）对于经主管预算单位统筹后未预留份额专门面向中小企业采购的采购项目，以及预留份额项目中的非预留部分采购包，应当对符合规定的小微企业报价给予</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0%的扣除，用扣除后的价格参加评审。 </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根据《关于促进残疾人就业政府采购政策的通知》（财库</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2017</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widowControl/>
        <w:tabs>
          <w:tab w:val="left" w:pos="180"/>
          <w:tab w:val="left" w:pos="360"/>
        </w:tabs>
        <w:adjustRightInd w:val="0"/>
        <w:snapToGrid w:val="0"/>
        <w:spacing w:line="400" w:lineRule="exact"/>
        <w:ind w:right="0" w:rightChars="0" w:firstLine="420" w:firstLineChars="200"/>
        <w:jc w:val="both"/>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cs="Times New Roman" w:asciiTheme="minorEastAsia" w:hAnsiTheme="minorEastAsia" w:eastAsiaTheme="minorEastAsia"/>
          <w:color w:val="auto"/>
          <w:szCs w:val="21"/>
          <w:highlight w:val="none"/>
        </w:rPr>
        <w:t>.所有投标人均有义务登陆宁波市公共资源交易电子服务系统V2.0（https://jyxt.zwb.ningbo.gov.cn:4011/website/home)、宁波政府采购网（http://www.nbzfcg.cn）和浙江政府采购网（https://zfcg.czt.zj.gov.cn）网站获取相关信息，</w:t>
      </w:r>
      <w:r>
        <w:rPr>
          <w:rFonts w:hint="eastAsia" w:cs="Times New Roman" w:asciiTheme="minorEastAsia" w:hAnsiTheme="minorEastAsia" w:eastAsiaTheme="minorEastAsia"/>
          <w:color w:val="auto"/>
          <w:szCs w:val="21"/>
          <w:highlight w:val="none"/>
          <w:lang w:eastAsia="zh-CN"/>
        </w:rPr>
        <w:t>宁海县政务服务中心</w:t>
      </w:r>
      <w:r>
        <w:rPr>
          <w:rFonts w:hint="eastAsia" w:cs="Times New Roman"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bidi w:val="0"/>
        <w:snapToGrid/>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）对照技术商务评分表的要求提供以下资料：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①</w:t>
      </w:r>
      <w:r>
        <w:rPr>
          <w:rFonts w:hint="eastAsia" w:ascii="宋体" w:hAnsi="宋体" w:eastAsia="宋体" w:cs="宋体"/>
          <w:b w:val="0"/>
          <w:bCs w:val="0"/>
          <w:color w:val="auto"/>
          <w:kern w:val="0"/>
          <w:sz w:val="21"/>
          <w:szCs w:val="21"/>
          <w:lang w:val="en-US" w:eastAsia="zh-CN"/>
        </w:rPr>
        <w:t>现状分析</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②</w:t>
      </w:r>
      <w:r>
        <w:rPr>
          <w:rFonts w:hint="eastAsia" w:ascii="宋体" w:hAnsi="宋体" w:eastAsia="宋体" w:cs="宋体"/>
          <w:b w:val="0"/>
          <w:bCs w:val="0"/>
          <w:color w:val="auto"/>
          <w:kern w:val="0"/>
          <w:sz w:val="21"/>
          <w:szCs w:val="21"/>
          <w:lang w:eastAsia="zh-CN"/>
        </w:rPr>
        <w:t>运维</w:t>
      </w:r>
      <w:r>
        <w:rPr>
          <w:rFonts w:hint="eastAsia" w:ascii="宋体" w:hAnsi="宋体" w:eastAsia="宋体" w:cs="宋体"/>
          <w:b w:val="0"/>
          <w:bCs w:val="0"/>
          <w:color w:val="auto"/>
          <w:kern w:val="0"/>
          <w:sz w:val="21"/>
          <w:szCs w:val="21"/>
        </w:rPr>
        <w:t>技术方案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③</w:t>
      </w:r>
      <w:r>
        <w:rPr>
          <w:rFonts w:hint="eastAsia" w:ascii="宋体" w:hAnsi="宋体" w:eastAsia="宋体" w:cs="宋体"/>
          <w:b w:val="0"/>
          <w:bCs w:val="0"/>
          <w:color w:val="auto"/>
          <w:kern w:val="0"/>
          <w:sz w:val="21"/>
          <w:szCs w:val="21"/>
          <w:lang w:eastAsia="zh-CN"/>
        </w:rPr>
        <w:t>组织</w:t>
      </w:r>
      <w:r>
        <w:rPr>
          <w:rFonts w:hint="eastAsia" w:ascii="宋体" w:hAnsi="宋体" w:eastAsia="宋体" w:cs="宋体"/>
          <w:b w:val="0"/>
          <w:bCs w:val="0"/>
          <w:color w:val="auto"/>
          <w:kern w:val="0"/>
          <w:sz w:val="21"/>
          <w:szCs w:val="21"/>
        </w:rPr>
        <w:t>实施方案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④</w:t>
      </w:r>
      <w:r>
        <w:rPr>
          <w:rFonts w:hint="eastAsia" w:ascii="宋体" w:hAnsi="宋体" w:eastAsia="宋体" w:cs="宋体"/>
          <w:b w:val="0"/>
          <w:bCs w:val="0"/>
          <w:color w:val="auto"/>
          <w:kern w:val="0"/>
          <w:sz w:val="21"/>
          <w:szCs w:val="21"/>
          <w:lang w:val="en-US" w:eastAsia="zh-CN"/>
        </w:rPr>
        <w:t>综合实力</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⑤</w:t>
      </w:r>
      <w:r>
        <w:rPr>
          <w:rFonts w:hint="eastAsia" w:ascii="宋体" w:hAnsi="宋体" w:eastAsia="宋体" w:cs="宋体"/>
          <w:b w:val="0"/>
          <w:bCs w:val="0"/>
          <w:color w:val="auto"/>
          <w:kern w:val="0"/>
          <w:sz w:val="21"/>
          <w:szCs w:val="21"/>
          <w:lang w:val="en-US" w:eastAsia="zh-CN"/>
        </w:rPr>
        <w:t>运维保障</w:t>
      </w:r>
      <w:r>
        <w:rPr>
          <w:rFonts w:hint="eastAsia" w:ascii="宋体" w:hAnsi="宋体" w:eastAsia="宋体" w:cs="宋体"/>
          <w:b w:val="0"/>
          <w:bCs w:val="0"/>
          <w:color w:val="auto"/>
          <w:kern w:val="0"/>
          <w:sz w:val="21"/>
          <w:szCs w:val="21"/>
        </w:rPr>
        <w:t>服务</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⑥</w:t>
      </w:r>
      <w:r>
        <w:rPr>
          <w:rFonts w:hint="eastAsia" w:ascii="宋体" w:hAnsi="宋体" w:eastAsia="宋体" w:cs="宋体"/>
          <w:b w:val="0"/>
          <w:bCs w:val="0"/>
          <w:color w:val="auto"/>
          <w:kern w:val="0"/>
          <w:sz w:val="21"/>
          <w:szCs w:val="21"/>
        </w:rPr>
        <w:t>培训计划</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rPr>
      </w:pPr>
      <w:r>
        <w:rPr>
          <w:rFonts w:hint="default" w:ascii="Cambria" w:hAnsi="Cambria" w:cs="Cambria" w:eastAsiaTheme="minorEastAsia"/>
          <w:color w:val="auto"/>
          <w:szCs w:val="21"/>
          <w:highlight w:val="none"/>
        </w:rPr>
        <w:t>⑦</w:t>
      </w:r>
      <w:r>
        <w:rPr>
          <w:rFonts w:hint="eastAsia" w:asciiTheme="minorEastAsia" w:hAnsiTheme="minorEastAsia" w:eastAsiaTheme="minorEastAsia"/>
          <w:color w:val="auto"/>
          <w:szCs w:val="21"/>
          <w:highlight w:val="none"/>
        </w:rPr>
        <w:t>业绩；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lang w:val="en-US" w:eastAsia="zh-CN"/>
        </w:rPr>
      </w:pPr>
      <w:r>
        <w:rPr>
          <w:rFonts w:hint="default" w:ascii="Cambria" w:hAnsi="Cambria" w:cs="Cambria" w:eastAsiaTheme="minorEastAsia"/>
          <w:color w:val="auto"/>
          <w:szCs w:val="21"/>
          <w:highlight w:val="none"/>
        </w:rPr>
        <w:t>⑧</w:t>
      </w:r>
      <w:r>
        <w:rPr>
          <w:rFonts w:hint="eastAsia" w:asciiTheme="minorEastAsia" w:hAnsiTheme="minorEastAsia" w:eastAsiaTheme="minorEastAsia"/>
          <w:color w:val="auto"/>
          <w:szCs w:val="21"/>
          <w:highlight w:val="none"/>
          <w:lang w:val="en-US" w:eastAsia="zh-CN"/>
        </w:rPr>
        <w:t>政府采购政策加分；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lang w:val="en-US" w:eastAsia="zh-CN"/>
        </w:rPr>
      </w:pPr>
      <w:r>
        <w:rPr>
          <w:rFonts w:hint="default" w:ascii="Cambria" w:hAnsi="Cambria" w:cs="Cambria" w:eastAsiaTheme="minorEastAsia"/>
          <w:color w:val="auto"/>
          <w:szCs w:val="21"/>
          <w:highlight w:val="none"/>
          <w:lang w:val="en-US" w:eastAsia="zh-CN"/>
        </w:rPr>
        <w:t>⑨</w:t>
      </w:r>
      <w:r>
        <w:rPr>
          <w:rFonts w:hint="eastAsia" w:asciiTheme="minorEastAsia" w:hAnsiTheme="minorEastAsia" w:eastAsiaTheme="minorEastAsia"/>
          <w:color w:val="auto"/>
          <w:szCs w:val="21"/>
          <w:highlight w:val="none"/>
          <w:lang w:val="en-US" w:eastAsia="zh-CN"/>
        </w:rPr>
        <w:t>服务指标偏离表（格式见附件）；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olor w:val="auto"/>
          <w:szCs w:val="21"/>
          <w:highlight w:val="none"/>
          <w:lang w:val="en-US" w:eastAsia="zh-CN"/>
        </w:rPr>
      </w:pPr>
      <w:r>
        <w:rPr>
          <w:rFonts w:hint="default" w:ascii="Cambria" w:hAnsi="Cambria" w:cs="Cambria" w:eastAsiaTheme="minorEastAsia"/>
          <w:color w:val="auto"/>
          <w:szCs w:val="21"/>
          <w:highlight w:val="none"/>
          <w:lang w:val="en-US" w:eastAsia="zh-CN"/>
        </w:rPr>
        <w:t>⑩</w:t>
      </w:r>
      <w:r>
        <w:rPr>
          <w:rFonts w:hint="eastAsia" w:asciiTheme="minorEastAsia" w:hAnsiTheme="minorEastAsia" w:eastAsiaTheme="minorEastAsia"/>
          <w:color w:val="auto"/>
          <w:szCs w:val="21"/>
          <w:highlight w:val="none"/>
          <w:lang w:val="en-US" w:eastAsia="zh-CN"/>
        </w:rPr>
        <w:t>商务条款偏离表（格式见附件）；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（5）上述几项中未列</w:t>
      </w:r>
      <w:r>
        <w:rPr>
          <w:rFonts w:hint="eastAsia" w:ascii="宋体" w:hAnsi="宋体" w:eastAsia="宋体" w:cs="Times New Roman"/>
          <w:color w:val="auto"/>
          <w:sz w:val="21"/>
          <w:szCs w:val="21"/>
          <w:highlight w:val="none"/>
          <w:lang w:val="en-US" w:eastAsia="zh-CN" w:bidi="ar"/>
        </w:rPr>
        <w:t>明而招标文件</w:t>
      </w:r>
      <w:r>
        <w:rPr>
          <w:rFonts w:hint="eastAsia" w:asciiTheme="minorEastAsia" w:hAnsiTheme="minorEastAsia" w:eastAsiaTheme="minorEastAsia"/>
          <w:color w:val="auto"/>
          <w:szCs w:val="21"/>
          <w:highlight w:val="none"/>
        </w:rPr>
        <w:t>要求提供的其他资料；</w:t>
      </w:r>
    </w:p>
    <w:p>
      <w:pPr>
        <w:keepNext w:val="0"/>
        <w:keepLines w:val="0"/>
        <w:pageBreakBefore w:val="0"/>
        <w:kinsoku/>
        <w:wordWrap/>
        <w:overflowPunct/>
        <w:topLinePunct w:val="0"/>
        <w:bidi w:val="0"/>
        <w:snapToGrid/>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中小企业声明函</w:t>
      </w:r>
      <w:r>
        <w:rPr>
          <w:rFonts w:hint="eastAsia" w:asciiTheme="minorEastAsia" w:hAnsiTheme="minorEastAsia" w:eastAsiaTheme="minorEastAsia"/>
          <w:color w:val="auto"/>
          <w:szCs w:val="21"/>
          <w:highlight w:val="none"/>
        </w:rPr>
        <w:t>（格式见附件）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（4）残疾人福利性单位声明函（格式见附件）</w:t>
      </w:r>
    </w:p>
    <w:p>
      <w:pPr>
        <w:snapToGrid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（6）投标人针对报价需要说明的其他文件和资料（格式自拟）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stheme="minorEastAsia"/>
          <w:color w:val="auto"/>
          <w:sz w:val="21"/>
          <w:szCs w:val="21"/>
          <w:highlight w:val="none"/>
          <w:lang w:val="en-US" w:eastAsia="zh-CN"/>
        </w:rPr>
        <w:t>投标人</w:t>
      </w:r>
      <w:r>
        <w:rPr>
          <w:rFonts w:hint="eastAsia" w:cs="宋体" w:asciiTheme="minorEastAsia" w:hAnsiTheme="minorEastAsia" w:eastAsiaTheme="minorEastAsia"/>
          <w:color w:val="auto"/>
          <w:szCs w:val="21"/>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2"/>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Calibri"/>
          <w:color w:val="auto"/>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Calibri"/>
          <w:color w:val="auto"/>
          <w:szCs w:val="21"/>
          <w:highlight w:val="none"/>
        </w:rPr>
        <w:t>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在规定时间内无法解密或解密失败，采购代理机构将开启该</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suppressLineNumbers w:val="0"/>
              <w:adjustRightInd w:val="0"/>
              <w:snapToGrid w:val="0"/>
              <w:spacing w:before="0" w:beforeAutospacing="0" w:after="0" w:afterAutospacing="0" w:line="400" w:lineRule="exact"/>
              <w:ind w:left="0" w:right="0"/>
              <w:jc w:val="center"/>
              <w:rPr>
                <w:rStyle w:val="27"/>
                <w:rFonts w:hint="default"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9"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rFonts w:hint="default"/>
                <w:color w:val="auto"/>
                <w:highlight w:val="none"/>
              </w:rPr>
              <w:fldChar w:fldCharType="begin"/>
            </w:r>
            <w:r>
              <w:rPr>
                <w:rFonts w:hint="default"/>
                <w:color w:val="auto"/>
                <w:highlight w:val="none"/>
              </w:rPr>
              <w:instrText xml:space="preserve"> HYPERLINK \t "_blank" </w:instrText>
            </w:r>
            <w:r>
              <w:rPr>
                <w:rFonts w:hint="default"/>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adjustRightInd w:val="0"/>
              <w:snapToGrid w:val="0"/>
              <w:spacing w:before="0" w:beforeAutospacing="0" w:after="0" w:afterAutospacing="0" w:line="40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default"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hint="default"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suppressLineNumbers w:val="0"/>
              <w:tabs>
                <w:tab w:val="left" w:pos="612"/>
              </w:tabs>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tabs>
                <w:tab w:val="left" w:pos="612"/>
              </w:tabs>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default"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tabs>
                <w:tab w:val="left" w:pos="612"/>
              </w:tabs>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hint="default"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hint="default"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hint="default"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hint="default"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hint="default"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hint="default"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hint="default"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hint="default"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hint="default"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商务资信</w:t>
            </w: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r>
              <w:rPr>
                <w:rFonts w:hint="eastAsia" w:ascii="宋体" w:hAnsi="宋体" w:eastAsia="宋体" w:cs="宋体"/>
                <w:bCs/>
                <w:color w:val="auto"/>
                <w:sz w:val="21"/>
                <w:szCs w:val="21"/>
              </w:rPr>
              <w:t>维保期：</w:t>
            </w:r>
            <w:r>
              <w:rPr>
                <w:rFonts w:hint="eastAsia" w:ascii="宋体" w:hAnsi="宋体" w:cs="宋体"/>
                <w:color w:val="auto"/>
                <w:sz w:val="21"/>
                <w:szCs w:val="21"/>
                <w:lang w:val="en-US" w:eastAsia="zh-CN"/>
              </w:rPr>
              <w:t>本次项目涉及2019年公共安全智能化项目的设备维护期为2025年8月1日-2025年12月31日共5个月；其余设备维护期为合同签订之日-2025年12月31日。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eastAsia" w:eastAsia="宋体" w:asciiTheme="minorEastAsia" w:hAnsiTheme="minorEastAsia"/>
                <w:color w:val="auto"/>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rPr>
              <w:t>付款条件</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每季度支付一次，付款时间为202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年4月、202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年7月、202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年10月及维保期结束</w:t>
            </w:r>
            <w:r>
              <w:rPr>
                <w:rFonts w:hint="eastAsia" w:ascii="宋体" w:hAnsi="宋体" w:eastAsia="宋体" w:cs="宋体"/>
                <w:b w:val="0"/>
                <w:color w:val="auto"/>
                <w:kern w:val="2"/>
                <w:sz w:val="21"/>
                <w:szCs w:val="21"/>
                <w:highlight w:val="none"/>
                <w:lang w:val="en-US" w:eastAsia="zh-CN" w:bidi="ar-SA"/>
              </w:rPr>
              <w:t>且项目通过决算审计</w:t>
            </w:r>
            <w:r>
              <w:rPr>
                <w:rFonts w:hint="eastAsia" w:ascii="宋体" w:hAnsi="宋体" w:cs="宋体"/>
                <w:color w:val="auto"/>
                <w:sz w:val="21"/>
                <w:szCs w:val="21"/>
                <w:lang w:eastAsia="zh-CN"/>
              </w:rPr>
              <w:t>后。中标单位维护达到考核要求的每次支付合同</w:t>
            </w:r>
            <w:r>
              <w:rPr>
                <w:rFonts w:hint="eastAsia" w:ascii="宋体" w:hAnsi="宋体" w:cs="宋体"/>
                <w:color w:val="auto"/>
                <w:sz w:val="21"/>
                <w:szCs w:val="21"/>
                <w:lang w:val="en-US" w:eastAsia="zh-CN"/>
              </w:rPr>
              <w:t>总</w:t>
            </w:r>
            <w:r>
              <w:rPr>
                <w:rFonts w:hint="eastAsia" w:ascii="宋体" w:hAnsi="宋体" w:cs="宋体"/>
                <w:color w:val="auto"/>
                <w:sz w:val="21"/>
                <w:szCs w:val="21"/>
                <w:lang w:eastAsia="zh-CN"/>
              </w:rPr>
              <w:t>金额的25%，未达到考核要求的，按考核指标约定支付实际金额。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报价</w:t>
            </w: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default"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default"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hint="default"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default"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default"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hint="default"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7625"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59"/>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2"/>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keepNext w:val="0"/>
        <w:keepLines w:val="0"/>
        <w:pageBreakBefore w:val="0"/>
        <w:widowControl/>
        <w:kinsoku/>
        <w:wordWrap/>
        <w:overflowPunct/>
        <w:topLinePunct w:val="0"/>
        <w:bidi w:val="0"/>
        <w:adjustRightInd/>
        <w:spacing w:line="400" w:lineRule="exact"/>
        <w:ind w:firstLine="420" w:firstLineChars="200"/>
        <w:jc w:val="lef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履约的验收。履约验收按照宁财政发</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2022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72号文件执行。</w:t>
      </w:r>
    </w:p>
    <w:p>
      <w:pPr>
        <w:keepNext w:val="0"/>
        <w:keepLines w:val="0"/>
        <w:pageBreakBefore w:val="0"/>
        <w:kinsoku/>
        <w:wordWrap/>
        <w:overflowPunct/>
        <w:topLinePunct w:val="0"/>
        <w:bidi w:val="0"/>
        <w:adjustRightInd/>
        <w:snapToGrid w:val="0"/>
        <w:spacing w:line="400" w:lineRule="exact"/>
        <w:jc w:val="center"/>
        <w:textAlignment w:val="auto"/>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2"/>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2"/>
        <w:spacing w:beforeLines="0" w:afterLines="0"/>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color w:val="auto"/>
          <w:sz w:val="21"/>
          <w:szCs w:val="21"/>
          <w:highlight w:val="none"/>
          <w:lang w:val="en-US" w:eastAsia="zh-CN"/>
        </w:rPr>
        <w:tab/>
      </w:r>
      <w:r>
        <w:rPr>
          <w:rFonts w:hint="eastAsia" w:asciiTheme="minorEastAsia" w:hAnsiTheme="minorEastAsia" w:eastAsiaTheme="minorEastAsia"/>
          <w:color w:val="auto"/>
          <w:sz w:val="21"/>
          <w:szCs w:val="21"/>
          <w:highlight w:val="none"/>
          <w:lang w:val="en-US" w:eastAsia="zh-CN"/>
        </w:rPr>
        <w:tab/>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0" w:firstLineChars="0"/>
        <w:contextualSpacing/>
        <w:rPr>
          <w:rFonts w:cs="Times New Roman" w:asciiTheme="minorEastAsia" w:hAnsiTheme="minorEastAsia" w:eastAsiaTheme="minorEastAsia"/>
          <w:color w:val="auto"/>
          <w:kern w:val="2"/>
          <w:sz w:val="21"/>
          <w:szCs w:val="21"/>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2"/>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2"/>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spacing w:line="40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三、</w:t>
      </w:r>
      <w:r>
        <w:rPr>
          <w:rFonts w:asciiTheme="minorEastAsia" w:hAnsiTheme="minorEastAsia" w:eastAsiaTheme="minorEastAsia"/>
          <w:color w:val="auto"/>
          <w:szCs w:val="21"/>
          <w:highlight w:val="none"/>
        </w:rPr>
        <w:t>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r>
        <w:rPr>
          <w:rFonts w:hint="eastAsia" w:asciiTheme="minorEastAsia" w:hAnsiTheme="minorEastAsia" w:eastAsiaTheme="minorEastAsia"/>
          <w:color w:val="auto"/>
          <w:szCs w:val="21"/>
          <w:highlight w:val="none"/>
          <w:lang w:eastAsia="zh-CN"/>
        </w:rPr>
        <w:t>：</w:t>
      </w:r>
    </w:p>
    <w:tbl>
      <w:tblPr>
        <w:tblStyle w:val="2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541"/>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考核项目</w:t>
            </w:r>
          </w:p>
        </w:tc>
        <w:tc>
          <w:tcPr>
            <w:tcW w:w="769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报价分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30</w:t>
            </w:r>
            <w:r>
              <w:rPr>
                <w:rFonts w:hint="eastAsia" w:ascii="宋体" w:hAnsi="宋体" w:eastAsia="宋体" w:cs="宋体"/>
                <w:b w:val="0"/>
                <w:bCs w:val="0"/>
                <w:color w:val="auto"/>
                <w:kern w:val="0"/>
                <w:sz w:val="21"/>
                <w:szCs w:val="21"/>
              </w:rPr>
              <w:t>分）</w:t>
            </w:r>
          </w:p>
        </w:tc>
        <w:tc>
          <w:tcPr>
            <w:tcW w:w="7696" w:type="dxa"/>
            <w:gridSpan w:val="2"/>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报价分采用低价优先法计算，报价得分=(评标基准价/参与评审的价格)×价格权重×100（价格权重：</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评标基准价=满足招标文件要求且参与评审最低的价格</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参与评审的价格=投标报价-小微企业价格扣除优惠值</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技术、商务分（</w:t>
            </w:r>
            <w:r>
              <w:rPr>
                <w:rFonts w:hint="eastAsia" w:ascii="宋体" w:hAnsi="宋体" w:eastAsia="宋体" w:cs="宋体"/>
                <w:b w:val="0"/>
                <w:bCs w:val="0"/>
                <w:color w:val="auto"/>
                <w:kern w:val="0"/>
                <w:sz w:val="21"/>
                <w:szCs w:val="21"/>
                <w:lang w:val="en-US" w:eastAsia="zh-CN"/>
              </w:rPr>
              <w:t>70分</w:t>
            </w:r>
            <w:r>
              <w:rPr>
                <w:rFonts w:hint="eastAsia" w:ascii="宋体" w:hAnsi="宋体" w:eastAsia="宋体" w:cs="宋体"/>
                <w:b w:val="0"/>
                <w:bCs w:val="0"/>
                <w:color w:val="auto"/>
                <w:kern w:val="0"/>
                <w:sz w:val="21"/>
                <w:szCs w:val="21"/>
                <w:lang w:eastAsia="zh-CN"/>
              </w:rPr>
              <w:t>）</w:t>
            </w:r>
          </w:p>
        </w:tc>
        <w:tc>
          <w:tcPr>
            <w:tcW w:w="15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现状分析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（12分）</w:t>
            </w: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对原有</w:t>
            </w:r>
            <w:r>
              <w:rPr>
                <w:rFonts w:hint="eastAsia" w:ascii="宋体" w:hAnsi="宋体" w:eastAsia="宋体" w:cs="宋体"/>
                <w:b w:val="0"/>
                <w:bCs w:val="0"/>
                <w:color w:val="auto"/>
                <w:sz w:val="21"/>
                <w:szCs w:val="21"/>
                <w:lang w:val="en-US" w:eastAsia="zh-CN"/>
              </w:rPr>
              <w:t>监控</w:t>
            </w:r>
            <w:r>
              <w:rPr>
                <w:rFonts w:hint="eastAsia" w:ascii="宋体" w:hAnsi="宋体" w:eastAsia="宋体" w:cs="宋体"/>
                <w:b w:val="0"/>
                <w:bCs w:val="0"/>
                <w:color w:val="auto"/>
                <w:sz w:val="21"/>
                <w:szCs w:val="21"/>
              </w:rPr>
              <w:t>建设项目</w:t>
            </w:r>
            <w:r>
              <w:rPr>
                <w:rFonts w:hint="eastAsia" w:ascii="宋体" w:hAnsi="宋体" w:eastAsia="宋体" w:cs="宋体"/>
                <w:b w:val="0"/>
                <w:bCs w:val="0"/>
                <w:color w:val="auto"/>
                <w:sz w:val="21"/>
                <w:szCs w:val="21"/>
                <w:lang w:val="en-US" w:eastAsia="zh-CN"/>
              </w:rPr>
              <w:t>整体架构、设备现状、功能现状熟悉程度酌情打分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对原监控项目整体架构、设备和功能阐述清晰，分析合理，能保证项目顺利实施的得3分；对原监控项目整体架构、设备和功能阐述基本清晰，分析基本合理，能基本保证项目顺利实施的得2分；对原监控项目整体架构、设备和功能阐述不够清晰，分析不够合理，不能有效保证项目顺利实施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p>
        </w:tc>
        <w:tc>
          <w:tcPr>
            <w:tcW w:w="15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对维护范围内前端设备现状、周边环境情况熟悉程度酌情打分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对前端点位和周边环境熟悉，提供现场相关资料完整的得3分；对前端点位和周边环境基本熟悉，提供现场相关资料基本完整的得2分；对前端点位和周边环境不够熟悉，提供现场相关资料不够完整的得1分；未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p>
        </w:tc>
        <w:tc>
          <w:tcPr>
            <w:tcW w:w="15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对维护范围内前端光纤链路情况、电力情况熟悉程度酌情打分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提供监控对应光纤和电力资料完整，能保证维护工作正常开展得得3分；提供监控对应光纤和电力资料基本完整，能基本保证维护工作正常开展得得2分；提供监控对应光纤和电力资料不完整，不能有效保证维护工作正常开展得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p>
        </w:tc>
        <w:tc>
          <w:tcPr>
            <w:tcW w:w="15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对维护范围内后端维护设备熟悉程度酌情打分：对维护范围内机房相关设备位置及环境熟悉，描述清晰的得3分；对维护范围内机房相关设备位置及环境基本熟悉，描述基本清晰的得2分；对维护范围内机房相关设备位置及环境不够熟悉，描述不够清晰的得1分；未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p>
        </w:tc>
        <w:tc>
          <w:tcPr>
            <w:tcW w:w="15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运维</w:t>
            </w:r>
            <w:r>
              <w:rPr>
                <w:rFonts w:hint="eastAsia" w:ascii="宋体" w:hAnsi="宋体" w:eastAsia="宋体" w:cs="宋体"/>
                <w:b w:val="0"/>
                <w:bCs w:val="0"/>
                <w:color w:val="auto"/>
                <w:kern w:val="0"/>
                <w:sz w:val="21"/>
                <w:szCs w:val="21"/>
              </w:rPr>
              <w:t>技术方案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21</w:t>
            </w:r>
            <w:r>
              <w:rPr>
                <w:rFonts w:hint="eastAsia" w:ascii="宋体" w:hAnsi="宋体" w:eastAsia="宋体" w:cs="宋体"/>
                <w:b w:val="0"/>
                <w:bCs w:val="0"/>
                <w:color w:val="auto"/>
                <w:kern w:val="0"/>
                <w:sz w:val="21"/>
                <w:szCs w:val="21"/>
              </w:rPr>
              <w:t>分）</w:t>
            </w: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1.制定</w:t>
            </w:r>
            <w:r>
              <w:rPr>
                <w:rFonts w:hint="eastAsia" w:ascii="宋体" w:hAnsi="宋体" w:eastAsia="宋体" w:cs="宋体"/>
                <w:b w:val="0"/>
                <w:bCs w:val="0"/>
                <w:color w:val="auto"/>
                <w:sz w:val="21"/>
                <w:szCs w:val="21"/>
              </w:rPr>
              <w:t>总体运维项目服务方案，针对前端点位和后端设备开展总体系统分析和评估并提出相应的建议酌情打分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总体方案完善，建议合理的得3分；总体方案基本完善，建议基本合理的得2分；总体方案不够完善，建议不够合理的得1分；未提供不得分。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p>
        </w:tc>
        <w:tc>
          <w:tcPr>
            <w:tcW w:w="15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根据维护</w:t>
            </w:r>
            <w:r>
              <w:rPr>
                <w:rFonts w:hint="eastAsia" w:ascii="宋体" w:hAnsi="宋体" w:eastAsia="宋体" w:cs="宋体"/>
                <w:b w:val="0"/>
                <w:bCs w:val="0"/>
                <w:color w:val="auto"/>
                <w:sz w:val="21"/>
                <w:szCs w:val="21"/>
                <w:lang w:val="en-US" w:eastAsia="zh-CN"/>
              </w:rPr>
              <w:t>技术要求</w:t>
            </w:r>
            <w:r>
              <w:rPr>
                <w:rFonts w:hint="eastAsia" w:ascii="宋体" w:hAnsi="宋体" w:eastAsia="宋体" w:cs="宋体"/>
                <w:b w:val="0"/>
                <w:bCs w:val="0"/>
                <w:color w:val="auto"/>
                <w:sz w:val="21"/>
                <w:szCs w:val="21"/>
              </w:rPr>
              <w:t>，对前端设备</w:t>
            </w:r>
            <w:r>
              <w:rPr>
                <w:rFonts w:hint="eastAsia" w:ascii="宋体" w:hAnsi="宋体" w:eastAsia="宋体" w:cs="宋体"/>
                <w:b w:val="0"/>
                <w:bCs w:val="0"/>
                <w:color w:val="auto"/>
                <w:sz w:val="21"/>
                <w:szCs w:val="21"/>
                <w:lang w:val="en-US" w:eastAsia="zh-CN"/>
              </w:rPr>
              <w:t>的</w:t>
            </w:r>
            <w:r>
              <w:rPr>
                <w:rFonts w:hint="eastAsia" w:ascii="宋体" w:hAnsi="宋体" w:eastAsia="宋体" w:cs="宋体"/>
                <w:b w:val="0"/>
                <w:bCs w:val="0"/>
                <w:color w:val="auto"/>
                <w:sz w:val="21"/>
                <w:szCs w:val="21"/>
              </w:rPr>
              <w:t>日常巡检</w:t>
            </w:r>
            <w:r>
              <w:rPr>
                <w:rFonts w:hint="eastAsia" w:ascii="宋体" w:hAnsi="宋体" w:eastAsia="宋体" w:cs="宋体"/>
                <w:b w:val="0"/>
                <w:bCs w:val="0"/>
                <w:color w:val="auto"/>
                <w:sz w:val="21"/>
                <w:szCs w:val="21"/>
                <w:lang w:val="en-US" w:eastAsia="zh-CN"/>
              </w:rPr>
              <w:t>和保养</w:t>
            </w:r>
            <w:r>
              <w:rPr>
                <w:rFonts w:hint="eastAsia" w:ascii="宋体" w:hAnsi="宋体" w:eastAsia="宋体" w:cs="宋体"/>
                <w:b w:val="0"/>
                <w:bCs w:val="0"/>
                <w:color w:val="auto"/>
                <w:sz w:val="21"/>
                <w:szCs w:val="21"/>
              </w:rPr>
              <w:t>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巡检和保养方案合理，有完善制度保障的得3分；巡检和保养基本方案合理，有简单制度保障的得2分；巡检和保养基本方案不够合理，没有制度保障的得1分；未提供不得分。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根据维护</w:t>
            </w:r>
            <w:r>
              <w:rPr>
                <w:rFonts w:hint="eastAsia" w:ascii="宋体" w:hAnsi="宋体" w:eastAsia="宋体" w:cs="宋体"/>
                <w:b w:val="0"/>
                <w:bCs w:val="0"/>
                <w:color w:val="auto"/>
                <w:sz w:val="21"/>
                <w:szCs w:val="21"/>
                <w:lang w:val="en-US" w:eastAsia="zh-CN"/>
              </w:rPr>
              <w:t>技术要求</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对</w:t>
            </w:r>
            <w:r>
              <w:rPr>
                <w:rFonts w:hint="eastAsia" w:ascii="宋体" w:hAnsi="宋体" w:eastAsia="宋体" w:cs="宋体"/>
                <w:b w:val="0"/>
                <w:bCs w:val="0"/>
                <w:color w:val="auto"/>
                <w:sz w:val="21"/>
                <w:szCs w:val="21"/>
              </w:rPr>
              <w:t>前端</w:t>
            </w:r>
            <w:r>
              <w:rPr>
                <w:rFonts w:hint="eastAsia" w:ascii="宋体" w:hAnsi="宋体" w:eastAsia="宋体" w:cs="宋体"/>
                <w:b w:val="0"/>
                <w:bCs w:val="0"/>
                <w:color w:val="auto"/>
                <w:sz w:val="21"/>
                <w:szCs w:val="21"/>
                <w:lang w:eastAsia="zh-CN"/>
              </w:rPr>
              <w:t>设备日常故障维护</w:t>
            </w:r>
            <w:r>
              <w:rPr>
                <w:rFonts w:hint="eastAsia" w:ascii="宋体" w:hAnsi="宋体" w:eastAsia="宋体" w:cs="宋体"/>
                <w:b w:val="0"/>
                <w:bCs w:val="0"/>
                <w:color w:val="auto"/>
                <w:sz w:val="21"/>
                <w:szCs w:val="21"/>
              </w:rPr>
              <w:t>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日常维护方案合理，能完全保障故障及时处理的得3分；日常维护方案基本合理，能基本保障故障及时处理的得2分；日常维护方案不够合理，不能完全保障故障及时处理的得1分；未提供不得分。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根据维护</w:t>
            </w:r>
            <w:r>
              <w:rPr>
                <w:rFonts w:hint="eastAsia" w:ascii="宋体" w:hAnsi="宋体" w:eastAsia="宋体" w:cs="宋体"/>
                <w:b w:val="0"/>
                <w:bCs w:val="0"/>
                <w:color w:val="auto"/>
                <w:sz w:val="21"/>
                <w:szCs w:val="21"/>
                <w:lang w:val="en-US" w:eastAsia="zh-CN"/>
              </w:rPr>
              <w:t>技术要求</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对</w:t>
            </w:r>
            <w:r>
              <w:rPr>
                <w:rFonts w:hint="eastAsia" w:ascii="宋体" w:hAnsi="宋体" w:eastAsia="宋体" w:cs="宋体"/>
                <w:b w:val="0"/>
                <w:bCs w:val="0"/>
                <w:color w:val="auto"/>
                <w:sz w:val="21"/>
                <w:szCs w:val="21"/>
                <w:lang w:val="en-US" w:eastAsia="zh-CN"/>
              </w:rPr>
              <w:t>中心机房及各分中心机房设备</w:t>
            </w:r>
            <w:r>
              <w:rPr>
                <w:rFonts w:hint="eastAsia" w:ascii="宋体" w:hAnsi="宋体" w:eastAsia="宋体" w:cs="宋体"/>
                <w:b w:val="0"/>
                <w:bCs w:val="0"/>
                <w:color w:val="auto"/>
                <w:sz w:val="21"/>
                <w:szCs w:val="21"/>
                <w:lang w:eastAsia="zh-CN"/>
              </w:rPr>
              <w:t>日常运维</w:t>
            </w:r>
            <w:r>
              <w:rPr>
                <w:rFonts w:hint="eastAsia" w:ascii="宋体" w:hAnsi="宋体" w:eastAsia="宋体" w:cs="宋体"/>
                <w:b w:val="0"/>
                <w:bCs w:val="0"/>
                <w:color w:val="auto"/>
                <w:sz w:val="21"/>
                <w:szCs w:val="21"/>
              </w:rPr>
              <w:t>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机房日常运维方案完善，提供完整日常巡检机制的得3分；机房日常运维方案基本完善，提供简单日常巡检机制的得2分；机房日常运维方案不够完善，提供日常巡检机制不合理的得1分；未提供不得分。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对重大安保活动、重要节假日、突发事件的视频监控应急预案</w:t>
            </w:r>
            <w:r>
              <w:rPr>
                <w:rFonts w:hint="eastAsia" w:ascii="宋体" w:hAnsi="宋体" w:eastAsia="宋体" w:cs="宋体"/>
                <w:b w:val="0"/>
                <w:bCs w:val="0"/>
                <w:color w:val="auto"/>
                <w:sz w:val="21"/>
                <w:szCs w:val="21"/>
              </w:rPr>
              <w:t>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对应急需求了解充分，应急预案完善，能保证应急情况下视频监控正常使用的得3分；对应急需求基本了解，应急预案基本完善，能保证应急情况下视频监控使用的得2分；对应急需求不够了解，应急预案不够完善，不能有效保证应急情况下视频监控使用的得1分；未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eastAsia="zh-CN"/>
              </w:rPr>
              <w:t>对视频专网数据安全服务方案酌情打分：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安全保障措施完善，能完全满足视频网络及数据安全的得2分；安全保障不够完善，不能完全满足视频网络及数据安全的得1分；</w:t>
            </w:r>
            <w:r>
              <w:rPr>
                <w:rFonts w:hint="eastAsia" w:ascii="宋体" w:hAnsi="宋体" w:eastAsia="宋体" w:cs="宋体"/>
                <w:b w:val="0"/>
                <w:bCs w:val="0"/>
                <w:color w:val="auto"/>
                <w:sz w:val="21"/>
                <w:szCs w:val="21"/>
                <w:lang w:val="en-US" w:eastAsia="zh-CN"/>
              </w:rPr>
              <w:t>未提供不得分。</w:t>
            </w:r>
            <w:r>
              <w:rPr>
                <w:rFonts w:hint="eastAsia" w:ascii="宋体" w:hAnsi="宋体" w:eastAsia="宋体" w:cs="宋体"/>
                <w:b w:val="0"/>
                <w:bCs w:val="0"/>
                <w:color w:val="auto"/>
                <w:sz w:val="21"/>
                <w:szCs w:val="21"/>
                <w:lang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对</w:t>
            </w:r>
            <w:r>
              <w:rPr>
                <w:rFonts w:hint="eastAsia" w:ascii="宋体" w:hAnsi="宋体" w:eastAsia="宋体" w:cs="宋体"/>
                <w:b w:val="0"/>
                <w:bCs w:val="0"/>
                <w:color w:val="auto"/>
                <w:sz w:val="21"/>
                <w:szCs w:val="21"/>
                <w:lang w:val="en-US" w:eastAsia="zh-CN"/>
              </w:rPr>
              <w:t>视频专网</w:t>
            </w:r>
            <w:r>
              <w:rPr>
                <w:rFonts w:hint="eastAsia" w:ascii="宋体" w:hAnsi="宋体" w:eastAsia="宋体" w:cs="宋体"/>
                <w:b w:val="0"/>
                <w:bCs w:val="0"/>
                <w:color w:val="auto"/>
                <w:sz w:val="21"/>
                <w:szCs w:val="21"/>
              </w:rPr>
              <w:t>网络安全</w:t>
            </w:r>
            <w:r>
              <w:rPr>
                <w:rFonts w:hint="eastAsia" w:ascii="宋体" w:hAnsi="宋体" w:eastAsia="宋体" w:cs="宋体"/>
                <w:b w:val="0"/>
                <w:bCs w:val="0"/>
                <w:color w:val="auto"/>
                <w:sz w:val="21"/>
                <w:szCs w:val="21"/>
                <w:lang w:val="en-US" w:eastAsia="zh-CN"/>
              </w:rPr>
              <w:t>应急预案</w:t>
            </w:r>
            <w:r>
              <w:rPr>
                <w:rFonts w:hint="eastAsia" w:ascii="宋体" w:hAnsi="宋体" w:eastAsia="宋体" w:cs="宋体"/>
                <w:b w:val="0"/>
                <w:bCs w:val="0"/>
                <w:color w:val="auto"/>
                <w:sz w:val="21"/>
                <w:szCs w:val="21"/>
              </w:rPr>
              <w:t>酌情打分</w:t>
            </w:r>
            <w:r>
              <w:rPr>
                <w:rFonts w:hint="eastAsia" w:ascii="宋体" w:hAnsi="宋体" w:eastAsia="宋体" w:cs="宋体"/>
                <w:b w:val="0"/>
                <w:bCs w:val="0"/>
                <w:color w:val="auto"/>
                <w:sz w:val="21"/>
                <w:szCs w:val="21"/>
                <w:lang w:val="en-US" w:eastAsia="zh-CN"/>
              </w:rPr>
              <w:t>：应急预案完善，对网络突发应急事件有详细应对措施的得2分；应急预案不够完善，对网络突发应急事件措施不足的得1分；未提供不得分。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8.对维保资料台账管理、维护派单管理方案酌情打分：措施完善，能满足服务期内线路资料完整，派单顺利的得2分；措施不够完善，无法有效满足服务期内线路资料完整，派单顺利的得1分；未提供不得分。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组织</w:t>
            </w:r>
            <w:r>
              <w:rPr>
                <w:rFonts w:hint="eastAsia" w:ascii="宋体" w:hAnsi="宋体" w:eastAsia="宋体" w:cs="宋体"/>
                <w:b w:val="0"/>
                <w:bCs w:val="0"/>
                <w:color w:val="auto"/>
                <w:kern w:val="0"/>
                <w:sz w:val="21"/>
                <w:szCs w:val="21"/>
              </w:rPr>
              <w:t>实施方案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分）</w:t>
            </w: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.对用</w:t>
            </w:r>
            <w:r>
              <w:rPr>
                <w:rFonts w:hint="eastAsia" w:ascii="宋体" w:hAnsi="宋体" w:eastAsia="宋体" w:cs="宋体"/>
                <w:b w:val="0"/>
                <w:bCs w:val="0"/>
                <w:color w:val="auto"/>
                <w:sz w:val="21"/>
                <w:szCs w:val="21"/>
              </w:rPr>
              <w:t>户实际需求熟悉，</w:t>
            </w:r>
            <w:r>
              <w:rPr>
                <w:rFonts w:hint="eastAsia" w:ascii="宋体" w:hAnsi="宋体" w:eastAsia="宋体" w:cs="宋体"/>
                <w:b w:val="0"/>
                <w:bCs w:val="0"/>
                <w:color w:val="auto"/>
                <w:sz w:val="21"/>
                <w:szCs w:val="21"/>
                <w:lang w:val="en-US" w:eastAsia="zh-CN"/>
              </w:rPr>
              <w:t>根据</w:t>
            </w:r>
            <w:r>
              <w:rPr>
                <w:rFonts w:hint="eastAsia" w:ascii="宋体" w:hAnsi="宋体" w:eastAsia="宋体" w:cs="宋体"/>
                <w:b w:val="0"/>
                <w:bCs w:val="0"/>
                <w:color w:val="auto"/>
                <w:sz w:val="21"/>
                <w:szCs w:val="21"/>
                <w:lang w:eastAsia="zh-CN"/>
              </w:rPr>
              <w:t>维保</w:t>
            </w:r>
            <w:r>
              <w:rPr>
                <w:rFonts w:hint="eastAsia" w:ascii="宋体" w:hAnsi="宋体" w:eastAsia="宋体" w:cs="宋体"/>
                <w:b w:val="0"/>
                <w:bCs w:val="0"/>
                <w:color w:val="auto"/>
                <w:sz w:val="21"/>
                <w:szCs w:val="21"/>
              </w:rPr>
              <w:t>项目实施</w:t>
            </w:r>
            <w:r>
              <w:rPr>
                <w:rFonts w:hint="eastAsia" w:ascii="宋体" w:hAnsi="宋体" w:eastAsia="宋体" w:cs="宋体"/>
                <w:b w:val="0"/>
                <w:bCs w:val="0"/>
                <w:color w:val="auto"/>
                <w:sz w:val="21"/>
                <w:szCs w:val="21"/>
                <w:lang w:val="en-US" w:eastAsia="zh-CN"/>
              </w:rPr>
              <w:t>的</w:t>
            </w:r>
            <w:r>
              <w:rPr>
                <w:rFonts w:hint="eastAsia" w:ascii="宋体" w:hAnsi="宋体" w:eastAsia="宋体" w:cs="宋体"/>
                <w:b w:val="0"/>
                <w:bCs w:val="0"/>
                <w:color w:val="auto"/>
                <w:sz w:val="21"/>
                <w:szCs w:val="21"/>
              </w:rPr>
              <w:t>合理规划</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施工组织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重点难点评议</w:t>
            </w:r>
            <w:r>
              <w:rPr>
                <w:rFonts w:hint="eastAsia" w:ascii="宋体" w:hAnsi="宋体" w:eastAsia="宋体" w:cs="宋体"/>
                <w:b w:val="0"/>
                <w:bCs w:val="0"/>
                <w:color w:val="auto"/>
                <w:sz w:val="21"/>
                <w:szCs w:val="21"/>
              </w:rPr>
              <w:t>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评议方案完善，重难点处理措施合理的得2分；评议方案不够完善，重难点处理措施不够合理的得1分；未提供不得分。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提供的工程质量保证措施、项目工期保证措施、施工过程管理控制酌情打分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措施完善，有完整制度保障的得2分；措施不够完善，制度保障不完整的得1分；未提供不得分。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对设备更换、前端设备移位的合理</w:t>
            </w:r>
            <w:r>
              <w:rPr>
                <w:rFonts w:hint="eastAsia" w:ascii="宋体" w:hAnsi="宋体" w:eastAsia="宋体" w:cs="宋体"/>
                <w:b w:val="0"/>
                <w:bCs w:val="0"/>
                <w:color w:val="auto"/>
                <w:sz w:val="21"/>
                <w:szCs w:val="21"/>
              </w:rPr>
              <w:t>施工方案酌情打分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施工方案合理可行，对系统正常运行无影响的得2分；施工方案不够合理，对系统正常运行有影响的得1分；未提供不得分。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pacing w:val="0"/>
                <w:sz w:val="21"/>
                <w:szCs w:val="21"/>
              </w:rPr>
              <w:t>（</w:t>
            </w:r>
            <w:r>
              <w:rPr>
                <w:rFonts w:hint="eastAsia" w:ascii="宋体" w:hAnsi="宋体" w:eastAsia="宋体" w:cs="宋体"/>
                <w:b w:val="0"/>
                <w:bCs w:val="0"/>
                <w:color w:val="auto"/>
                <w:spacing w:val="0"/>
                <w:sz w:val="21"/>
                <w:szCs w:val="21"/>
                <w:lang w:val="en-US" w:eastAsia="zh-CN"/>
              </w:rPr>
              <w:t>2</w:t>
            </w:r>
            <w:r>
              <w:rPr>
                <w:rFonts w:hint="eastAsia" w:ascii="宋体" w:hAnsi="宋体" w:eastAsia="宋体" w:cs="宋体"/>
                <w:b w:val="0"/>
                <w:bCs w:val="0"/>
                <w:color w:val="auto"/>
                <w:spacing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对</w:t>
            </w:r>
            <w:r>
              <w:rPr>
                <w:rFonts w:hint="eastAsia" w:ascii="宋体" w:hAnsi="宋体" w:eastAsia="宋体" w:cs="宋体"/>
                <w:b w:val="0"/>
                <w:bCs w:val="0"/>
                <w:color w:val="auto"/>
                <w:sz w:val="21"/>
                <w:szCs w:val="21"/>
              </w:rPr>
              <w:t>文明施工、安全措施、环境保护</w:t>
            </w:r>
            <w:r>
              <w:rPr>
                <w:rFonts w:hint="eastAsia" w:ascii="宋体" w:hAnsi="宋体" w:eastAsia="宋体" w:cs="宋体"/>
                <w:b w:val="0"/>
                <w:bCs w:val="0"/>
                <w:color w:val="auto"/>
                <w:sz w:val="21"/>
                <w:szCs w:val="21"/>
                <w:lang w:eastAsia="zh-CN"/>
              </w:rPr>
              <w:t>措施以及和相关部门的协调方案</w:t>
            </w:r>
            <w:r>
              <w:rPr>
                <w:rFonts w:hint="eastAsia" w:ascii="宋体" w:hAnsi="宋体" w:eastAsia="宋体" w:cs="宋体"/>
                <w:b w:val="0"/>
                <w:bCs w:val="0"/>
                <w:color w:val="auto"/>
                <w:sz w:val="21"/>
                <w:szCs w:val="21"/>
              </w:rPr>
              <w:t>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措施完整，协调方案可行的得2分；措施不够完整，协调方案存在问题的得1分；未提供不得分。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val="en-US" w:eastAsia="zh-CN"/>
              </w:rPr>
              <w:t>对原有</w:t>
            </w:r>
            <w:r>
              <w:rPr>
                <w:rFonts w:hint="eastAsia" w:ascii="宋体" w:hAnsi="宋体" w:eastAsia="宋体" w:cs="宋体"/>
                <w:b w:val="0"/>
                <w:bCs w:val="0"/>
                <w:color w:val="auto"/>
                <w:sz w:val="21"/>
                <w:szCs w:val="21"/>
                <w:lang w:eastAsia="zh-CN"/>
              </w:rPr>
              <w:t>设备、平台供应商组织</w:t>
            </w:r>
            <w:r>
              <w:rPr>
                <w:rFonts w:hint="eastAsia" w:ascii="宋体" w:hAnsi="宋体" w:eastAsia="宋体" w:cs="宋体"/>
                <w:b w:val="0"/>
                <w:bCs w:val="0"/>
                <w:color w:val="auto"/>
                <w:sz w:val="21"/>
                <w:szCs w:val="21"/>
              </w:rPr>
              <w:t>协调能力情况</w:t>
            </w:r>
            <w:r>
              <w:rPr>
                <w:rFonts w:hint="eastAsia" w:ascii="宋体" w:hAnsi="宋体" w:eastAsia="宋体" w:cs="宋体"/>
                <w:b w:val="0"/>
                <w:bCs w:val="0"/>
                <w:color w:val="auto"/>
                <w:sz w:val="21"/>
                <w:szCs w:val="21"/>
                <w:lang w:eastAsia="zh-CN"/>
              </w:rPr>
              <w:t>酌情</w:t>
            </w:r>
            <w:r>
              <w:rPr>
                <w:rFonts w:hint="eastAsia" w:ascii="宋体" w:hAnsi="宋体" w:eastAsia="宋体" w:cs="宋体"/>
                <w:b w:val="0"/>
                <w:bCs w:val="0"/>
                <w:color w:val="auto"/>
                <w:sz w:val="21"/>
                <w:szCs w:val="21"/>
              </w:rPr>
              <w:t>打分</w:t>
            </w:r>
            <w:r>
              <w:rPr>
                <w:rFonts w:hint="eastAsia" w:ascii="宋体" w:hAnsi="宋体" w:eastAsia="宋体" w:cs="宋体"/>
                <w:b w:val="0"/>
                <w:bCs w:val="0"/>
                <w:color w:val="auto"/>
                <w:sz w:val="21"/>
                <w:szCs w:val="21"/>
                <w:lang w:eastAsia="zh-CN"/>
              </w:rPr>
              <w:t>，主要包括摄像机、存储、网络设备等主要硬件设备供应商以及视频集成平台供应商</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协调方案完善，能协调供应商支持的2分；协调方案不够完善，供应商支持无保障的1分；未提供不得分。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7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p>
        </w:tc>
        <w:tc>
          <w:tcPr>
            <w:tcW w:w="15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综合实力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4分</w:t>
            </w:r>
            <w:r>
              <w:rPr>
                <w:rFonts w:hint="eastAsia" w:ascii="宋体" w:hAnsi="宋体" w:eastAsia="宋体" w:cs="宋体"/>
                <w:b w:val="0"/>
                <w:bCs w:val="0"/>
                <w:color w:val="auto"/>
                <w:kern w:val="0"/>
                <w:sz w:val="21"/>
                <w:szCs w:val="21"/>
                <w:lang w:eastAsia="zh-CN"/>
              </w:rPr>
              <w:t>）</w:t>
            </w: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投标人具</w:t>
            </w:r>
            <w:r>
              <w:rPr>
                <w:rFonts w:hint="eastAsia" w:ascii="宋体" w:hAnsi="宋体" w:eastAsia="宋体" w:cs="宋体"/>
                <w:b w:val="0"/>
                <w:bCs w:val="0"/>
                <w:color w:val="auto"/>
                <w:sz w:val="21"/>
                <w:szCs w:val="21"/>
                <w:lang w:val="en-US" w:eastAsia="zh-CN"/>
              </w:rPr>
              <w:t>有信息系统安全运维服务认证证书、</w:t>
            </w:r>
            <w:r>
              <w:rPr>
                <w:rFonts w:hint="eastAsia" w:ascii="宋体" w:hAnsi="宋体" w:eastAsia="宋体" w:cs="宋体"/>
                <w:bCs/>
                <w:color w:val="auto"/>
                <w:sz w:val="21"/>
                <w:szCs w:val="21"/>
              </w:rPr>
              <w:t>隐私信息管理体系认证</w:t>
            </w:r>
            <w:r>
              <w:rPr>
                <w:rFonts w:hint="eastAsia" w:ascii="宋体" w:hAnsi="宋体" w:eastAsia="宋体" w:cs="宋体"/>
                <w:bCs/>
                <w:color w:val="auto"/>
                <w:sz w:val="21"/>
                <w:szCs w:val="21"/>
                <w:lang w:val="en-US" w:eastAsia="zh-CN"/>
              </w:rPr>
              <w:t>证书</w:t>
            </w:r>
            <w:r>
              <w:rPr>
                <w:rFonts w:hint="eastAsia" w:ascii="宋体" w:hAnsi="宋体" w:eastAsia="宋体" w:cs="宋体"/>
                <w:bCs/>
                <w:color w:val="auto"/>
                <w:sz w:val="21"/>
                <w:szCs w:val="21"/>
              </w:rPr>
              <w:t>(ISO/IEC 27701)</w:t>
            </w:r>
            <w:r>
              <w:rPr>
                <w:rFonts w:hint="eastAsia" w:ascii="宋体" w:hAnsi="宋体" w:eastAsia="宋体" w:cs="宋体"/>
                <w:b w:val="0"/>
                <w:bCs w:val="0"/>
                <w:color w:val="auto"/>
                <w:sz w:val="21"/>
                <w:szCs w:val="21"/>
              </w:rPr>
              <w:t>，每提供一项得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分，本项最高</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分。</w:t>
            </w:r>
            <w:r>
              <w:rPr>
                <w:rFonts w:hint="eastAsia" w:ascii="宋体" w:hAnsi="宋体" w:eastAsia="宋体" w:cs="宋体"/>
                <w:color w:val="auto"/>
                <w:sz w:val="21"/>
                <w:szCs w:val="21"/>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restart"/>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运维保障</w:t>
            </w:r>
            <w:r>
              <w:rPr>
                <w:rFonts w:hint="eastAsia" w:ascii="宋体" w:hAnsi="宋体" w:eastAsia="宋体" w:cs="宋体"/>
                <w:b w:val="0"/>
                <w:bCs w:val="0"/>
                <w:color w:val="auto"/>
                <w:kern w:val="0"/>
                <w:sz w:val="21"/>
                <w:szCs w:val="21"/>
              </w:rPr>
              <w:t>服务（</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分）</w:t>
            </w: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根据投标人提供的故障响应及处理措施、定期巡检方案酌情打分</w:t>
            </w:r>
            <w:r>
              <w:rPr>
                <w:rFonts w:hint="eastAsia" w:ascii="宋体" w:hAnsi="宋体" w:eastAsia="宋体" w:cs="宋体"/>
                <w:b w:val="0"/>
                <w:bCs w:val="0"/>
                <w:color w:val="auto"/>
                <w:sz w:val="21"/>
                <w:szCs w:val="21"/>
                <w:lang w:eastAsia="zh-CN"/>
              </w:rPr>
              <w:t>：</w:t>
            </w:r>
            <w:r>
              <w:rPr>
                <w:rFonts w:hint="eastAsia" w:ascii="宋体" w:hAnsi="宋体" w:eastAsia="宋体" w:cs="宋体"/>
                <w:sz w:val="21"/>
                <w:szCs w:val="21"/>
              </w:rPr>
              <w:t>方案完善、针对性强，能有效保障项目运行的得</w:t>
            </w:r>
            <w:r>
              <w:rPr>
                <w:rFonts w:hint="eastAsia" w:ascii="宋体" w:hAnsi="宋体" w:eastAsia="宋体" w:cs="宋体"/>
                <w:sz w:val="21"/>
                <w:szCs w:val="21"/>
                <w:lang w:val="en-US" w:eastAsia="zh-CN"/>
              </w:rPr>
              <w:t>2</w:t>
            </w:r>
            <w:r>
              <w:rPr>
                <w:rFonts w:hint="eastAsia" w:ascii="宋体" w:hAnsi="宋体" w:eastAsia="宋体" w:cs="宋体"/>
                <w:sz w:val="21"/>
                <w:szCs w:val="21"/>
              </w:rPr>
              <w:t>分；方案</w:t>
            </w:r>
            <w:r>
              <w:rPr>
                <w:rFonts w:hint="eastAsia" w:ascii="宋体" w:hAnsi="宋体" w:eastAsia="宋体" w:cs="宋体"/>
                <w:sz w:val="21"/>
                <w:szCs w:val="21"/>
                <w:lang w:val="en-US" w:eastAsia="zh-CN"/>
              </w:rPr>
              <w:t>不够</w:t>
            </w:r>
            <w:r>
              <w:rPr>
                <w:rFonts w:hint="eastAsia" w:ascii="宋体" w:hAnsi="宋体" w:eastAsia="宋体" w:cs="宋体"/>
                <w:sz w:val="21"/>
                <w:szCs w:val="21"/>
              </w:rPr>
              <w:t>完善、针对性</w:t>
            </w:r>
            <w:r>
              <w:rPr>
                <w:rFonts w:hint="eastAsia" w:ascii="宋体" w:hAnsi="宋体" w:eastAsia="宋体" w:cs="宋体"/>
                <w:sz w:val="21"/>
                <w:szCs w:val="21"/>
                <w:lang w:val="en-US" w:eastAsia="zh-CN"/>
              </w:rPr>
              <w:t>不</w:t>
            </w:r>
            <w:r>
              <w:rPr>
                <w:rFonts w:hint="eastAsia" w:ascii="宋体" w:hAnsi="宋体" w:eastAsia="宋体" w:cs="宋体"/>
                <w:sz w:val="21"/>
                <w:szCs w:val="21"/>
              </w:rPr>
              <w:t>强，</w:t>
            </w:r>
            <w:r>
              <w:rPr>
                <w:rFonts w:hint="eastAsia" w:ascii="宋体" w:hAnsi="宋体" w:eastAsia="宋体" w:cs="宋体"/>
                <w:sz w:val="21"/>
                <w:szCs w:val="21"/>
                <w:lang w:val="en-US" w:eastAsia="zh-CN"/>
              </w:rPr>
              <w:t>不</w:t>
            </w:r>
            <w:r>
              <w:rPr>
                <w:rFonts w:hint="eastAsia" w:ascii="宋体" w:hAnsi="宋体" w:eastAsia="宋体" w:cs="宋体"/>
                <w:sz w:val="21"/>
                <w:szCs w:val="21"/>
              </w:rPr>
              <w:t>能有效保障项目运行的得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b w:val="0"/>
                <w:bCs w:val="0"/>
                <w:color w:val="auto"/>
                <w:sz w:val="21"/>
                <w:szCs w:val="21"/>
                <w:lang w:val="en-US" w:eastAsia="zh-CN"/>
              </w:rPr>
              <w:t>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根据投标人</w:t>
            </w:r>
            <w:r>
              <w:rPr>
                <w:rFonts w:hint="eastAsia" w:ascii="宋体" w:hAnsi="宋体" w:eastAsia="宋体" w:cs="宋体"/>
                <w:b w:val="0"/>
                <w:bCs w:val="0"/>
                <w:color w:val="auto"/>
                <w:sz w:val="21"/>
                <w:szCs w:val="21"/>
              </w:rPr>
              <w:t>售后服务网点</w:t>
            </w:r>
            <w:r>
              <w:rPr>
                <w:rFonts w:hint="eastAsia" w:ascii="宋体" w:hAnsi="宋体" w:eastAsia="宋体" w:cs="宋体"/>
                <w:b w:val="0"/>
                <w:bCs w:val="0"/>
                <w:color w:val="auto"/>
                <w:sz w:val="21"/>
                <w:szCs w:val="21"/>
                <w:lang w:eastAsia="zh-CN"/>
              </w:rPr>
              <w:t>设置情况对项目实施的影响酌情打分：</w:t>
            </w:r>
            <w:r>
              <w:rPr>
                <w:rFonts w:hint="eastAsia" w:ascii="宋体" w:hAnsi="宋体" w:eastAsia="宋体" w:cs="宋体"/>
                <w:b w:val="0"/>
                <w:bCs w:val="0"/>
                <w:color w:val="auto"/>
                <w:sz w:val="21"/>
                <w:szCs w:val="21"/>
                <w:lang w:val="en-US" w:eastAsia="zh-CN"/>
              </w:rPr>
              <w:t>设置合理，能完全满足项目日常运维工作的得3分；设置基本合理，能基本满足项目日常运维工作的得2分；设置不够合理，对日常运维工作有影响的得1分；未提供不得分。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7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3.投标人维保人员数量：投标人</w:t>
            </w:r>
            <w:r>
              <w:rPr>
                <w:rFonts w:hint="eastAsia" w:ascii="宋体" w:hAnsi="宋体" w:eastAsia="宋体" w:cs="宋体"/>
                <w:color w:val="auto"/>
                <w:sz w:val="21"/>
                <w:szCs w:val="21"/>
              </w:rPr>
              <w:t>维保人员数量大于等于</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人得5分，维保人员数量大于等于</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人且小于2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人得4分，维保人员数量大于等于1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人且小于</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人得3分，维保人员数量大于等于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人且小于1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人得2分，维保人员数量小于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人不得分。</w:t>
            </w:r>
            <w:r>
              <w:rPr>
                <w:rFonts w:hint="eastAsia" w:ascii="宋体" w:hAnsi="宋体" w:eastAsia="宋体" w:cs="宋体"/>
                <w:color w:val="auto"/>
                <w:sz w:val="21"/>
                <w:szCs w:val="21"/>
                <w:lang w:val="en-US" w:eastAsia="zh-CN"/>
              </w:rPr>
              <w:t>本项</w:t>
            </w:r>
            <w:r>
              <w:rPr>
                <w:rFonts w:hint="eastAsia" w:ascii="宋体" w:hAnsi="宋体" w:eastAsia="宋体" w:cs="宋体"/>
                <w:b w:val="0"/>
                <w:bCs w:val="0"/>
                <w:color w:val="auto"/>
                <w:sz w:val="21"/>
                <w:szCs w:val="21"/>
              </w:rPr>
              <w:t>最高</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投标人为维保人员缴纳的</w:t>
            </w:r>
            <w:r>
              <w:rPr>
                <w:rFonts w:hint="eastAsia" w:ascii="宋体" w:hAnsi="宋体" w:eastAsia="宋体" w:cs="宋体"/>
                <w:color w:val="auto"/>
                <w:sz w:val="21"/>
                <w:szCs w:val="21"/>
              </w:rPr>
              <w:t>投标截止时间前3个月内任意一个月的社保证明材料复印件加盖公章。</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7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维</w:t>
            </w:r>
            <w:r>
              <w:rPr>
                <w:rFonts w:hint="eastAsia" w:ascii="宋体" w:hAnsi="宋体" w:eastAsia="宋体" w:cs="宋体"/>
                <w:b w:val="0"/>
                <w:bCs w:val="0"/>
                <w:color w:val="auto"/>
                <w:sz w:val="21"/>
                <w:szCs w:val="21"/>
                <w:lang w:val="en-US" w:eastAsia="zh-CN"/>
              </w:rPr>
              <w:t>保</w:t>
            </w:r>
            <w:r>
              <w:rPr>
                <w:rFonts w:hint="eastAsia" w:ascii="宋体" w:hAnsi="宋体" w:eastAsia="宋体" w:cs="宋体"/>
                <w:b w:val="0"/>
                <w:bCs w:val="0"/>
                <w:color w:val="auto"/>
                <w:sz w:val="21"/>
                <w:szCs w:val="21"/>
              </w:rPr>
              <w:t>人员</w:t>
            </w:r>
            <w:r>
              <w:rPr>
                <w:rFonts w:hint="eastAsia" w:ascii="宋体" w:hAnsi="宋体" w:eastAsia="宋体" w:cs="宋体"/>
                <w:b w:val="0"/>
                <w:bCs w:val="0"/>
                <w:color w:val="auto"/>
                <w:sz w:val="21"/>
                <w:szCs w:val="21"/>
                <w:lang w:val="en-US" w:eastAsia="zh-CN"/>
              </w:rPr>
              <w:t>证书：具</w:t>
            </w:r>
            <w:r>
              <w:rPr>
                <w:rFonts w:hint="eastAsia" w:ascii="宋体" w:hAnsi="宋体" w:eastAsia="宋体" w:cs="宋体"/>
                <w:b w:val="0"/>
                <w:bCs w:val="0"/>
                <w:color w:val="auto"/>
                <w:sz w:val="21"/>
                <w:szCs w:val="21"/>
              </w:rPr>
              <w:t>有登高作业证、电工证、网络工程师</w:t>
            </w:r>
            <w:r>
              <w:rPr>
                <w:rFonts w:hint="eastAsia" w:ascii="宋体" w:hAnsi="宋体" w:eastAsia="宋体" w:cs="宋体"/>
                <w:b w:val="0"/>
                <w:bCs w:val="0"/>
                <w:color w:val="auto"/>
                <w:sz w:val="21"/>
                <w:szCs w:val="21"/>
                <w:lang w:val="en-US" w:eastAsia="zh-CN"/>
              </w:rPr>
              <w:t>中级及以上证书</w:t>
            </w:r>
            <w:r>
              <w:rPr>
                <w:rFonts w:hint="eastAsia" w:ascii="宋体" w:hAnsi="宋体" w:eastAsia="宋体" w:cs="宋体"/>
                <w:b w:val="0"/>
                <w:bCs w:val="0"/>
                <w:color w:val="auto"/>
                <w:sz w:val="21"/>
                <w:szCs w:val="21"/>
              </w:rPr>
              <w:t>，每提供一项得1分，</w:t>
            </w:r>
            <w:r>
              <w:rPr>
                <w:rFonts w:hint="eastAsia" w:ascii="宋体" w:hAnsi="宋体" w:eastAsia="宋体" w:cs="宋体"/>
                <w:b w:val="0"/>
                <w:bCs w:val="0"/>
                <w:color w:val="auto"/>
                <w:sz w:val="21"/>
                <w:szCs w:val="21"/>
                <w:lang w:val="en-US" w:eastAsia="zh-CN"/>
              </w:rPr>
              <w:t>本项</w:t>
            </w:r>
            <w:r>
              <w:rPr>
                <w:rFonts w:hint="eastAsia" w:ascii="宋体" w:hAnsi="宋体" w:eastAsia="宋体" w:cs="宋体"/>
                <w:b w:val="0"/>
                <w:bCs w:val="0"/>
                <w:color w:val="auto"/>
                <w:sz w:val="21"/>
                <w:szCs w:val="21"/>
              </w:rPr>
              <w:t>最高3分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（同时</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证书复印件</w:t>
            </w:r>
            <w:r>
              <w:rPr>
                <w:rFonts w:hint="eastAsia" w:ascii="宋体" w:hAnsi="宋体" w:eastAsia="宋体" w:cs="宋体"/>
                <w:color w:val="auto"/>
                <w:sz w:val="21"/>
                <w:szCs w:val="21"/>
              </w:rPr>
              <w:t>加盖公章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投标人为维保人员缴纳的</w:t>
            </w:r>
            <w:r>
              <w:rPr>
                <w:rFonts w:hint="eastAsia" w:ascii="宋体" w:hAnsi="宋体" w:eastAsia="宋体" w:cs="宋体"/>
                <w:color w:val="auto"/>
                <w:sz w:val="21"/>
                <w:szCs w:val="21"/>
              </w:rPr>
              <w:t>投标截止时间前3个月内任意一个月的社保证明材料复印件加盖公章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否则不得分</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highlight w:val="none"/>
                <w:lang w:eastAsia="zh-CN"/>
              </w:rPr>
              <w:t>如一人同时具备多证的，按一</w:t>
            </w:r>
            <w:r>
              <w:rPr>
                <w:rFonts w:hint="eastAsia" w:ascii="宋体" w:hAnsi="宋体" w:eastAsia="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lang w:eastAsia="zh-CN"/>
              </w:rPr>
              <w:t>计算；</w:t>
            </w:r>
            <w:r>
              <w:rPr>
                <w:rFonts w:hint="eastAsia" w:ascii="宋体" w:hAnsi="宋体" w:eastAsia="宋体" w:cs="宋体"/>
                <w:b w:val="0"/>
                <w:bCs w:val="0"/>
                <w:color w:val="auto"/>
                <w:sz w:val="21"/>
                <w:szCs w:val="21"/>
                <w:highlight w:val="none"/>
                <w:lang w:val="en-US" w:eastAsia="zh-CN"/>
              </w:rPr>
              <w:t>如多人具备同一证书的，按一项计算。</w:t>
            </w:r>
            <w:r>
              <w:rPr>
                <w:rFonts w:hint="eastAsia" w:ascii="宋体" w:hAnsi="宋体" w:eastAsia="宋体" w:cs="宋体"/>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7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5.针对本项目车辆保障：</w:t>
            </w:r>
            <w:r>
              <w:rPr>
                <w:rFonts w:hint="eastAsia" w:ascii="宋体" w:hAnsi="宋体" w:eastAsia="宋体" w:cs="宋体"/>
                <w:b w:val="0"/>
                <w:bCs w:val="0"/>
                <w:color w:val="auto"/>
                <w:sz w:val="21"/>
                <w:szCs w:val="21"/>
              </w:rPr>
              <w:t>配备</w:t>
            </w:r>
            <w:r>
              <w:rPr>
                <w:rFonts w:hint="eastAsia" w:ascii="宋体" w:hAnsi="宋体" w:eastAsia="宋体" w:cs="宋体"/>
                <w:b w:val="0"/>
                <w:bCs w:val="0"/>
                <w:color w:val="auto"/>
                <w:sz w:val="21"/>
                <w:szCs w:val="21"/>
                <w:lang w:val="en-US" w:eastAsia="zh-CN"/>
              </w:rPr>
              <w:t>3辆及以上自有维护专用</w:t>
            </w:r>
            <w:r>
              <w:rPr>
                <w:rFonts w:hint="eastAsia" w:ascii="宋体" w:hAnsi="宋体" w:eastAsia="宋体" w:cs="宋体"/>
                <w:b w:val="0"/>
                <w:bCs w:val="0"/>
                <w:color w:val="auto"/>
                <w:sz w:val="21"/>
                <w:szCs w:val="21"/>
              </w:rPr>
              <w:t>登高车辆的得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1-2辆的得1分，没有配备的不得分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配备</w:t>
            </w:r>
            <w:r>
              <w:rPr>
                <w:rFonts w:hint="eastAsia" w:ascii="宋体" w:hAnsi="宋体" w:eastAsia="宋体" w:cs="宋体"/>
                <w:b w:val="0"/>
                <w:bCs w:val="0"/>
                <w:color w:val="auto"/>
                <w:sz w:val="21"/>
                <w:szCs w:val="21"/>
                <w:lang w:val="en-US" w:eastAsia="zh-CN"/>
              </w:rPr>
              <w:t>5辆及以上其它自有维护专用车辆（除自有维护专用</w:t>
            </w:r>
            <w:r>
              <w:rPr>
                <w:rFonts w:hint="eastAsia" w:ascii="宋体" w:hAnsi="宋体" w:eastAsia="宋体" w:cs="宋体"/>
                <w:b w:val="0"/>
                <w:bCs w:val="0"/>
                <w:color w:val="auto"/>
                <w:sz w:val="21"/>
                <w:szCs w:val="21"/>
              </w:rPr>
              <w:t>登高车辆</w:t>
            </w:r>
            <w:r>
              <w:rPr>
                <w:rFonts w:hint="eastAsia" w:ascii="宋体" w:hAnsi="宋体" w:eastAsia="宋体" w:cs="宋体"/>
                <w:b w:val="0"/>
                <w:bCs w:val="0"/>
                <w:color w:val="auto"/>
                <w:sz w:val="21"/>
                <w:szCs w:val="21"/>
                <w:lang w:val="en-US" w:eastAsia="zh-CN"/>
              </w:rPr>
              <w:t>外）的得2分，1-4辆的得1分，没有配备的不得分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本项最高5分。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自有</w:t>
            </w:r>
            <w:r>
              <w:rPr>
                <w:rFonts w:hint="eastAsia" w:ascii="宋体" w:hAnsi="宋体" w:eastAsia="宋体" w:cs="宋体"/>
                <w:b w:val="0"/>
                <w:bCs w:val="0"/>
                <w:color w:val="auto"/>
                <w:sz w:val="21"/>
                <w:szCs w:val="21"/>
              </w:rPr>
              <w:t>车辆行驶证复印件</w:t>
            </w:r>
            <w:r>
              <w:rPr>
                <w:rFonts w:hint="eastAsia" w:ascii="宋体" w:hAnsi="宋体" w:eastAsia="宋体" w:cs="宋体"/>
                <w:color w:val="auto"/>
                <w:sz w:val="21"/>
                <w:szCs w:val="21"/>
              </w:rPr>
              <w:t>加盖公章</w:t>
            </w:r>
            <w:r>
              <w:rPr>
                <w:rFonts w:hint="eastAsia" w:ascii="宋体" w:hAnsi="宋体" w:eastAsia="宋体" w:cs="宋体"/>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备品备件</w:t>
            </w:r>
            <w:r>
              <w:rPr>
                <w:rFonts w:hint="eastAsia" w:ascii="宋体" w:hAnsi="宋体" w:eastAsia="宋体" w:cs="宋体"/>
                <w:b w:val="0"/>
                <w:bCs w:val="0"/>
                <w:color w:val="auto"/>
                <w:sz w:val="21"/>
                <w:szCs w:val="21"/>
                <w:lang w:val="en-US" w:eastAsia="zh-CN"/>
              </w:rPr>
              <w:t>保障</w:t>
            </w: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提供备品备件情况，由评委酌情打分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针对本项目的</w:t>
            </w:r>
            <w:r>
              <w:rPr>
                <w:rFonts w:hint="eastAsia" w:ascii="宋体" w:hAnsi="宋体" w:eastAsia="宋体" w:cs="宋体"/>
                <w:b w:val="0"/>
                <w:bCs w:val="0"/>
                <w:color w:val="auto"/>
                <w:sz w:val="21"/>
                <w:szCs w:val="21"/>
              </w:rPr>
              <w:t>备品备件</w:t>
            </w:r>
            <w:r>
              <w:rPr>
                <w:rFonts w:hint="eastAsia" w:ascii="宋体" w:hAnsi="宋体" w:eastAsia="宋体" w:cs="宋体"/>
                <w:b w:val="0"/>
                <w:bCs w:val="0"/>
                <w:color w:val="auto"/>
                <w:sz w:val="21"/>
                <w:szCs w:val="21"/>
                <w:lang w:val="en-US" w:eastAsia="zh-CN"/>
              </w:rPr>
              <w:t>数量充足、品种齐全，能完全满足正常运维工作的得2分；</w:t>
            </w:r>
            <w:r>
              <w:rPr>
                <w:rFonts w:hint="eastAsia" w:ascii="宋体" w:hAnsi="宋体" w:eastAsia="宋体" w:cs="宋体"/>
                <w:b w:val="0"/>
                <w:bCs w:val="0"/>
                <w:color w:val="auto"/>
                <w:sz w:val="21"/>
                <w:szCs w:val="21"/>
              </w:rPr>
              <w:t>备品备件</w:t>
            </w:r>
            <w:r>
              <w:rPr>
                <w:rFonts w:hint="eastAsia" w:ascii="宋体" w:hAnsi="宋体" w:eastAsia="宋体" w:cs="宋体"/>
                <w:b w:val="0"/>
                <w:bCs w:val="0"/>
                <w:color w:val="auto"/>
                <w:sz w:val="21"/>
                <w:szCs w:val="21"/>
                <w:lang w:val="en-US" w:eastAsia="zh-CN"/>
              </w:rPr>
              <w:t>数量不足、品种不齐全，不能完全满足正常运维工作的得1分；未提供不得分。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4"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培训计划</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（1分）</w:t>
            </w: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针对本项目制定的培训计划（培训的方式、地点、人数、时间等内容）的全面性、详尽性、科学性</w:t>
            </w:r>
            <w:r>
              <w:rPr>
                <w:rFonts w:hint="eastAsia" w:ascii="宋体" w:hAnsi="宋体" w:eastAsia="宋体" w:cs="宋体"/>
                <w:b w:val="0"/>
                <w:bCs w:val="0"/>
                <w:color w:val="auto"/>
                <w:sz w:val="21"/>
                <w:szCs w:val="21"/>
                <w:lang w:val="en-US" w:eastAsia="zh-CN"/>
              </w:rPr>
              <w:t>酌情</w:t>
            </w:r>
            <w:r>
              <w:rPr>
                <w:rFonts w:hint="eastAsia" w:ascii="宋体" w:hAnsi="宋体" w:eastAsia="宋体" w:cs="宋体"/>
                <w:b w:val="0"/>
                <w:bCs w:val="0"/>
                <w:color w:val="auto"/>
                <w:sz w:val="21"/>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74"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业绩</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分）</w:t>
            </w: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自20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年1月1日以来</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以合同签订时间为准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类似项目</w:t>
            </w:r>
            <w:r>
              <w:rPr>
                <w:rFonts w:hint="eastAsia" w:ascii="宋体" w:hAnsi="宋体" w:eastAsia="宋体" w:cs="宋体"/>
                <w:b w:val="0"/>
                <w:bCs w:val="0"/>
                <w:color w:val="auto"/>
                <w:sz w:val="21"/>
                <w:szCs w:val="21"/>
                <w:lang w:val="en-US" w:eastAsia="zh-CN"/>
              </w:rPr>
              <w:t>业绩</w:t>
            </w:r>
            <w:r>
              <w:rPr>
                <w:rFonts w:hint="eastAsia" w:ascii="宋体" w:hAnsi="宋体" w:eastAsia="宋体" w:cs="宋体"/>
                <w:b w:val="0"/>
                <w:bCs w:val="0"/>
                <w:color w:val="auto"/>
                <w:sz w:val="21"/>
                <w:szCs w:val="21"/>
              </w:rPr>
              <w:t>每提供一个得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分，最高得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分。（提供项目合同复印件、中标通知书复印件加盖公章，只计算</w:t>
            </w:r>
            <w:r>
              <w:rPr>
                <w:rFonts w:hint="eastAsia" w:ascii="宋体" w:hAnsi="宋体" w:eastAsia="宋体" w:cs="宋体"/>
                <w:b w:val="0"/>
                <w:bCs w:val="0"/>
                <w:color w:val="auto"/>
                <w:sz w:val="21"/>
                <w:szCs w:val="21"/>
                <w:lang w:eastAsia="zh-CN"/>
              </w:rPr>
              <w:t>投标人</w:t>
            </w:r>
            <w:r>
              <w:rPr>
                <w:rFonts w:hint="eastAsia" w:ascii="宋体" w:hAnsi="宋体" w:eastAsia="宋体" w:cs="宋体"/>
                <w:b w:val="0"/>
                <w:bCs w:val="0"/>
                <w:color w:val="auto"/>
                <w:sz w:val="21"/>
                <w:szCs w:val="21"/>
              </w:rPr>
              <w:t>业绩，其子公司、母公司业绩不计分。）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74"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p>
        </w:tc>
        <w:tc>
          <w:tcPr>
            <w:tcW w:w="1541"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政府采购政策加分（1分）</w:t>
            </w:r>
          </w:p>
        </w:tc>
        <w:tc>
          <w:tcPr>
            <w:tcW w:w="6155"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投标人是国家认定的少数民族地区企业的加1分。</w:t>
            </w: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20" w:firstLineChars="200"/>
        <w:textAlignment w:val="auto"/>
        <w:rPr>
          <w:rFonts w:hint="eastAsia" w:ascii="黑体" w:hAnsi="宋体" w:eastAsia="黑体"/>
          <w:b/>
          <w:bCs/>
          <w:color w:val="auto"/>
          <w:sz w:val="28"/>
          <w:szCs w:val="28"/>
          <w:highlight w:val="none"/>
        </w:rPr>
      </w:pPr>
      <w:r>
        <w:rPr>
          <w:rFonts w:hint="eastAsia" w:asciiTheme="minorEastAsia" w:hAnsiTheme="minorEastAsia" w:eastAsiaTheme="minorEastAsia"/>
          <w:color w:val="auto"/>
          <w:szCs w:val="21"/>
          <w:highlight w:val="none"/>
        </w:rPr>
        <w:t>本项目在评审时对小型和微型企业产品的报价给予</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0%的扣除，用扣除后的价格参与评审。投标人所</w:t>
      </w:r>
      <w:r>
        <w:rPr>
          <w:rFonts w:hint="eastAsia" w:asciiTheme="minorEastAsia" w:hAnsiTheme="minorEastAsia" w:eastAsiaTheme="minorEastAsia"/>
          <w:color w:val="auto"/>
          <w:szCs w:val="21"/>
          <w:highlight w:val="none"/>
          <w:lang w:val="en-US" w:eastAsia="zh-CN"/>
        </w:rPr>
        <w:t>提供的服务</w:t>
      </w:r>
      <w:r>
        <w:rPr>
          <w:rFonts w:hint="eastAsia" w:asciiTheme="minorEastAsia" w:hAnsiTheme="minorEastAsia" w:eastAsiaTheme="minorEastAsia"/>
          <w:color w:val="auto"/>
          <w:szCs w:val="21"/>
          <w:highlight w:val="none"/>
        </w:rPr>
        <w:t>全部为小型和微型企业</w:t>
      </w:r>
      <w:r>
        <w:rPr>
          <w:rFonts w:hint="eastAsia" w:asciiTheme="minorEastAsia" w:hAnsiTheme="minorEastAsia" w:eastAsiaTheme="minorEastAsia"/>
          <w:color w:val="auto"/>
          <w:szCs w:val="21"/>
          <w:highlight w:val="none"/>
          <w:lang w:val="en-US" w:eastAsia="zh-CN"/>
        </w:rPr>
        <w:t>承接</w:t>
      </w:r>
      <w:r>
        <w:rPr>
          <w:rFonts w:hint="eastAsia" w:asciiTheme="minorEastAsia" w:hAnsiTheme="minorEastAsia" w:eastAsiaTheme="minorEastAsia"/>
          <w:color w:val="auto"/>
          <w:szCs w:val="21"/>
          <w:highlight w:val="none"/>
        </w:rPr>
        <w:t>的享受这个折扣。</w:t>
      </w:r>
    </w:p>
    <w:p>
      <w:pPr>
        <w:pStyle w:val="12"/>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12"/>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12"/>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12"/>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w:t>
      </w:r>
      <w:r>
        <w:rPr>
          <w:rFonts w:hint="eastAsia" w:asciiTheme="minorEastAsia" w:hAnsiTheme="minorEastAsia" w:eastAsiaTheme="minorEastAsia"/>
          <w:color w:val="auto"/>
          <w:szCs w:val="21"/>
          <w:highlight w:val="none"/>
        </w:rPr>
        <w:t>采购</w:t>
      </w:r>
      <w:r>
        <w:rPr>
          <w:rFonts w:hint="eastAsia" w:asciiTheme="minorEastAsia" w:hAnsiTheme="minorEastAsia" w:eastAsiaTheme="minorEastAsia"/>
          <w:color w:val="auto"/>
          <w:szCs w:val="21"/>
          <w:highlight w:val="none"/>
          <w:lang w:val="en-US" w:eastAsia="zh-CN"/>
        </w:rPr>
        <w:t>管理</w:t>
      </w:r>
      <w:r>
        <w:rPr>
          <w:rFonts w:hint="eastAsia" w:asciiTheme="minorEastAsia" w:hAnsiTheme="minorEastAsia" w:eastAsiaTheme="minorEastAsia"/>
          <w:color w:val="auto"/>
          <w:szCs w:val="21"/>
          <w:highlight w:val="none"/>
        </w:rPr>
        <w:t>办</w:t>
      </w:r>
      <w:r>
        <w:rPr>
          <w:rFonts w:hint="eastAsia" w:asciiTheme="minorEastAsia" w:hAnsiTheme="minorEastAsia" w:eastAsiaTheme="minorEastAsia"/>
          <w:color w:val="auto"/>
          <w:szCs w:val="21"/>
          <w:highlight w:val="none"/>
          <w:lang w:val="en-US" w:eastAsia="zh-CN"/>
        </w:rPr>
        <w:t>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2"/>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keepNext w:val="0"/>
        <w:keepLines w:val="0"/>
        <w:pageBreakBefore w:val="0"/>
        <w:kinsoku/>
        <w:wordWrap/>
        <w:overflowPunct/>
        <w:topLinePunct w:val="0"/>
        <w:bidi w:val="0"/>
        <w:adjustRightInd/>
        <w:spacing w:line="380" w:lineRule="exact"/>
        <w:rPr>
          <w:rFonts w:hint="eastAsia" w:ascii="宋体" w:hAnsi="宋体"/>
          <w:color w:val="auto"/>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pStyle w:val="12"/>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color w:val="auto"/>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招标文件要求</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自查结论</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证明资料</w:t>
            </w:r>
          </w:p>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rFonts w:hint="default"/>
                <w:color w:val="auto"/>
                <w:highlight w:val="none"/>
              </w:rPr>
              <w:fldChar w:fldCharType="begin"/>
            </w:r>
            <w:r>
              <w:rPr>
                <w:rFonts w:hint="default"/>
                <w:color w:val="auto"/>
                <w:highlight w:val="none"/>
              </w:rPr>
              <w:instrText xml:space="preserve"> HYPERLINK \t "_blank" </w:instrText>
            </w:r>
            <w:r>
              <w:rPr>
                <w:rFonts w:hint="default"/>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落实政府采购政策需满足的资格要求。（如没有，则无须提供相关证明资料）</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default"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hint="default"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3"/>
      </w:pPr>
    </w:p>
    <w:p>
      <w:pPr>
        <w:pStyle w:val="2"/>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9"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招标文件要求</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自查结论</w:t>
            </w:r>
          </w:p>
        </w:tc>
        <w:tc>
          <w:tcPr>
            <w:tcW w:w="12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证明资料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5407"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1.投标函已提交并符合招标文件要求的；（格式见附件）</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法定代表人／负责人身份证明书</w:t>
            </w:r>
            <w:r>
              <w:rPr>
                <w:rFonts w:hint="default" w:cs="宋体"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已提交的；（格式见附件）</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default"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hint="default" w:cs="宋体" w:asciiTheme="minorEastAsia" w:hAnsiTheme="minorEastAsia" w:eastAsiaTheme="minorEastAsia"/>
                <w:color w:val="auto"/>
                <w:szCs w:val="21"/>
                <w:highlight w:val="none"/>
                <w:shd w:val="clear" w:color="auto" w:fill="FFFFFF"/>
              </w:rPr>
              <w:t>具备招标文件中规定的资格要求的</w:t>
            </w:r>
            <w:r>
              <w:rPr>
                <w:rFonts w:hint="eastAsia" w:asciiTheme="minorEastAsia" w:hAnsiTheme="minorEastAsia" w:eastAsiaTheme="minorEastAsia"/>
                <w:color w:val="auto"/>
                <w:szCs w:val="21"/>
                <w:highlight w:val="none"/>
              </w:rPr>
              <w:t>；</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cs="宋体" w:asciiTheme="minorEastAsia" w:hAnsiTheme="minorEastAsia" w:eastAsiaTheme="minorEastAsia"/>
                <w:color w:val="auto"/>
                <w:szCs w:val="21"/>
                <w:highlight w:val="none"/>
                <w:shd w:val="clear" w:color="auto" w:fill="FFFFFF"/>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5.不存在投标有效期不足的；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hint="default" w:cs="宋体" w:asciiTheme="minorEastAsia" w:hAnsiTheme="minorEastAsia" w:eastAsiaTheme="minorEastAsia"/>
                <w:color w:val="auto"/>
                <w:szCs w:val="21"/>
                <w:highlight w:val="none"/>
                <w:shd w:val="clear" w:color="auto" w:fill="FFFFFF"/>
              </w:rPr>
              <w:t>授权代表</w:t>
            </w:r>
            <w:r>
              <w:rPr>
                <w:rFonts w:hint="eastAsia" w:cs="宋体" w:asciiTheme="minorEastAsia" w:hAnsiTheme="minorEastAsia" w:eastAsiaTheme="minorEastAsia"/>
                <w:color w:val="auto"/>
                <w:szCs w:val="21"/>
                <w:highlight w:val="none"/>
                <w:shd w:val="clear" w:color="auto" w:fill="FFFFFF"/>
              </w:rPr>
              <w:t>有</w:t>
            </w:r>
            <w:r>
              <w:rPr>
                <w:rFonts w:hint="default" w:cs="宋体" w:asciiTheme="minorEastAsia" w:hAnsiTheme="minorEastAsia" w:eastAsiaTheme="minorEastAsia"/>
                <w:color w:val="auto"/>
                <w:szCs w:val="21"/>
                <w:highlight w:val="none"/>
                <w:shd w:val="clear" w:color="auto" w:fill="FFFFFF"/>
              </w:rPr>
              <w:t>《</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hint="default" w:cs="宋体" w:asciiTheme="minorEastAsia" w:hAnsiTheme="minorEastAsia" w:eastAsiaTheme="minorEastAsia"/>
                <w:color w:val="auto"/>
                <w:szCs w:val="21"/>
                <w:highlight w:val="none"/>
                <w:shd w:val="clear" w:color="auto" w:fill="FFFFFF"/>
              </w:rPr>
              <w:t>》的；</w:t>
            </w:r>
            <w:r>
              <w:rPr>
                <w:rFonts w:hint="eastAsia" w:cs="宋体" w:asciiTheme="minorEastAsia" w:hAnsiTheme="minorEastAsia" w:eastAsiaTheme="minorEastAsia"/>
                <w:color w:val="auto"/>
                <w:szCs w:val="21"/>
                <w:highlight w:val="none"/>
                <w:shd w:val="clear" w:color="auto" w:fill="FFFFFF"/>
              </w:rPr>
              <w:t>（格式见附件）</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hint="default"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hint="default"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8.不存在</w:t>
            </w:r>
            <w:r>
              <w:rPr>
                <w:rFonts w:hint="default"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9.与招标文件无重大偏离、满足带</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hint="default"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hint="default" w:asciiTheme="minorEastAsia" w:hAnsiTheme="minorEastAsia" w:eastAsiaTheme="minorEastAsia"/>
                <w:color w:val="auto"/>
                <w:szCs w:val="21"/>
                <w:highlight w:val="none"/>
              </w:rPr>
              <w:t>方案明确，不存在一个或一个以上备选（替代）投标方案的；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.技术商务文件中未出现投标报价内容的；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firstLine="315" w:firstLineChars="15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.投标人未被视为串通投标的；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.不存在</w:t>
            </w:r>
            <w:r>
              <w:rPr>
                <w:rFonts w:hint="default" w:cs="Cambria Math" w:asciiTheme="minorEastAsia" w:hAnsiTheme="minorEastAsia" w:eastAsiaTheme="minorEastAsia"/>
                <w:color w:val="auto"/>
                <w:szCs w:val="21"/>
                <w:highlight w:val="none"/>
              </w:rPr>
              <w:t>仅提交电子备份投标文件的；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.不存在法律、法规和招标文件规定的其他无效情形。</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商务资信</w:t>
            </w: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宋体" w:hAnsi="宋体" w:eastAsia="宋体" w:cs="宋体"/>
                <w:bCs/>
                <w:color w:val="auto"/>
                <w:sz w:val="21"/>
                <w:szCs w:val="21"/>
              </w:rPr>
              <w:t>维保期：</w:t>
            </w:r>
            <w:r>
              <w:rPr>
                <w:rFonts w:hint="eastAsia" w:ascii="宋体" w:hAnsi="宋体" w:cs="宋体"/>
                <w:color w:val="auto"/>
                <w:sz w:val="21"/>
                <w:szCs w:val="21"/>
                <w:lang w:val="en-US" w:eastAsia="zh-CN"/>
              </w:rPr>
              <w:t>本次项目涉及2019年公共安全智能化项目的设备维护期为2025年8月1日-2025年12月31日共5个月；其余设备维护期为合同签订之日-2025年12月31日。</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textAlignment w:val="auto"/>
              <w:rPr>
                <w:rFonts w:hint="eastAsia" w:eastAsia="宋体" w:asciiTheme="minorEastAsia" w:hAnsiTheme="minorEastAsia"/>
                <w:color w:val="auto"/>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rPr>
              <w:t>付款条件</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每季度支付一次，付款时间为202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年4月、202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年7月、202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年10月及维保期结束</w:t>
            </w:r>
            <w:r>
              <w:rPr>
                <w:rFonts w:hint="eastAsia" w:ascii="宋体" w:hAnsi="宋体" w:eastAsia="宋体" w:cs="宋体"/>
                <w:b w:val="0"/>
                <w:color w:val="auto"/>
                <w:kern w:val="2"/>
                <w:sz w:val="21"/>
                <w:szCs w:val="21"/>
                <w:highlight w:val="none"/>
                <w:lang w:val="en-US" w:eastAsia="zh-CN" w:bidi="ar-SA"/>
              </w:rPr>
              <w:t>且项目通过决算审计</w:t>
            </w:r>
            <w:r>
              <w:rPr>
                <w:rFonts w:hint="eastAsia" w:ascii="宋体" w:hAnsi="宋体" w:cs="宋体"/>
                <w:color w:val="auto"/>
                <w:sz w:val="21"/>
                <w:szCs w:val="21"/>
                <w:lang w:eastAsia="zh-CN"/>
              </w:rPr>
              <w:t>后。中标单位维护达到考核要求的每次支付合同</w:t>
            </w:r>
            <w:r>
              <w:rPr>
                <w:rFonts w:hint="eastAsia" w:ascii="宋体" w:hAnsi="宋体" w:cs="宋体"/>
                <w:color w:val="auto"/>
                <w:sz w:val="21"/>
                <w:szCs w:val="21"/>
                <w:lang w:val="en-US" w:eastAsia="zh-CN"/>
              </w:rPr>
              <w:t>总</w:t>
            </w:r>
            <w:r>
              <w:rPr>
                <w:rFonts w:hint="eastAsia" w:ascii="宋体" w:hAnsi="宋体" w:cs="宋体"/>
                <w:color w:val="auto"/>
                <w:sz w:val="21"/>
                <w:szCs w:val="21"/>
                <w:lang w:eastAsia="zh-CN"/>
              </w:rPr>
              <w:t>金额的25%，未达到考核要求的，按考核指标约定支付实际金额。</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报价</w:t>
            </w: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default"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default"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hint="default"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3.不存在</w:t>
            </w:r>
            <w:r>
              <w:rPr>
                <w:rFonts w:hint="default"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4.与招标文件无重大偏离、满足带</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default" w:asciiTheme="minorEastAsia" w:hAnsiTheme="minorEastAsia" w:eastAsiaTheme="minorEastAsia"/>
                <w:color w:val="auto"/>
                <w:szCs w:val="21"/>
                <w:highlight w:val="none"/>
              </w:rPr>
              <w:t>采用人民币报价或者按照招标文件标明的币种报价的；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6.报价不超过招标文件中规定的预算金额或者最高限价的；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7.投标报价不具有选择性；</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hint="default"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9.投标人对根据修正原则修正后的报价确认的；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10.投标人未被视为串通投标的；</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11.不存在法律、法规和招标文件规定的其他无效情形。</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8" w:name="_Toc372547187"/>
    </w:p>
    <w:p>
      <w:pPr>
        <w:snapToGrid w:val="0"/>
        <w:spacing w:line="400" w:lineRule="exact"/>
        <w:outlineLvl w:val="1"/>
        <w:rPr>
          <w:rFonts w:ascii="Calibri" w:hAnsi="Calibri"/>
          <w:b/>
          <w:bCs/>
          <w:color w:val="auto"/>
          <w:kern w:val="44"/>
          <w:sz w:val="44"/>
          <w:szCs w:val="44"/>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8"/>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olor w:val="auto"/>
          <w:szCs w:val="21"/>
          <w:highlight w:val="none"/>
        </w:rPr>
        <w:t>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9"/>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投标人</w:t>
      </w:r>
      <w:r>
        <w:rPr>
          <w:rFonts w:hint="eastAsia" w:ascii="宋体" w:hAnsi="宋体" w:cs="宋体"/>
          <w:color w:val="auto"/>
          <w:szCs w:val="21"/>
          <w:highlight w:val="none"/>
          <w:u w:val="single"/>
        </w:rPr>
        <w:t xml:space="preserve">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0" w:beforeLines="50" w:beforeAutospacing="0" w:after="50" w:afterAutospacing="0" w:line="200" w:lineRule="exact"/>
              <w:ind w:left="0" w:right="0"/>
              <w:jc w:val="center"/>
              <w:rPr>
                <w:rFonts w:hint="default"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0" w:beforeLines="50" w:beforeAutospacing="0" w:after="50" w:afterAutospacing="0"/>
              <w:ind w:left="0" w:right="0"/>
              <w:jc w:val="center"/>
              <w:rPr>
                <w:rFonts w:hint="default"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2"/>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hint="eastAsia"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pStyle w:val="9"/>
        <w:spacing w:line="400" w:lineRule="exact"/>
        <w:jc w:val="center"/>
        <w:rPr>
          <w:rFonts w:hint="eastAsia" w:ascii="宋体" w:hAnsi="宋体"/>
          <w:b/>
          <w:color w:val="auto"/>
          <w:sz w:val="24"/>
          <w:highlight w:val="none"/>
        </w:rPr>
      </w:pPr>
    </w:p>
    <w:p>
      <w:pPr>
        <w:pStyle w:val="9"/>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0" w:beforeLines="50" w:beforeAutospacing="0" w:after="50" w:afterAutospacing="0" w:line="200" w:lineRule="exact"/>
              <w:ind w:left="0" w:right="0"/>
              <w:jc w:val="center"/>
              <w:rPr>
                <w:rFonts w:hint="default"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0" w:beforeLines="50" w:beforeAutospacing="0" w:after="50" w:afterAutospacing="0"/>
              <w:ind w:left="0" w:right="0"/>
              <w:jc w:val="center"/>
              <w:rPr>
                <w:rFonts w:hint="default"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2"/>
        <w:snapToGrid w:val="0"/>
        <w:spacing w:beforeLines="0" w:afterLines="0"/>
        <w:jc w:val="left"/>
        <w:rPr>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int="eastAsia"/>
          <w:color w:val="auto"/>
          <w:sz w:val="21"/>
          <w:szCs w:val="21"/>
          <w:highlight w:val="none"/>
        </w:rPr>
      </w:pPr>
    </w:p>
    <w:p>
      <w:pPr>
        <w:pStyle w:val="12"/>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rPr>
              <w:t>响应情况</w:t>
            </w: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326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82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53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9"/>
        <w:spacing w:after="0" w:line="400" w:lineRule="exact"/>
        <w:rPr>
          <w:rFonts w:hAnsi="宋体"/>
          <w:color w:val="auto"/>
          <w:szCs w:val="21"/>
          <w:highlight w:val="none"/>
        </w:rPr>
      </w:pPr>
      <w:r>
        <w:rPr>
          <w:rFonts w:hint="eastAsia" w:hAnsi="宋体"/>
          <w:color w:val="auto"/>
          <w:szCs w:val="21"/>
          <w:highlight w:val="none"/>
        </w:rPr>
        <w:t>投标人（盖章）：</w:t>
      </w:r>
    </w:p>
    <w:p>
      <w:pPr>
        <w:pStyle w:val="9"/>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9"/>
        <w:spacing w:after="0" w:line="400" w:lineRule="exact"/>
        <w:rPr>
          <w:rFonts w:hAnsi="宋体"/>
          <w:color w:val="auto"/>
          <w:szCs w:val="21"/>
          <w:highlight w:val="none"/>
        </w:rPr>
      </w:pPr>
      <w:r>
        <w:rPr>
          <w:rFonts w:hint="eastAsia" w:hAnsi="宋体"/>
          <w:color w:val="auto"/>
          <w:szCs w:val="21"/>
          <w:highlight w:val="none"/>
        </w:rPr>
        <w:t>日期：</w:t>
      </w:r>
      <w:bookmarkEnd w:id="8"/>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w:t>
      </w:r>
      <w:r>
        <w:rPr>
          <w:rFonts w:hint="eastAsia" w:asciiTheme="minorEastAsia" w:hAnsiTheme="minorEastAsia" w:eastAsiaTheme="minorEastAsia" w:cstheme="minorEastAsia"/>
          <w:color w:val="auto"/>
          <w:sz w:val="21"/>
          <w:szCs w:val="21"/>
          <w:highlight w:val="none"/>
          <w:lang w:val="en-US" w:eastAsia="zh-CN"/>
        </w:rPr>
        <w:t>投标人</w:t>
      </w:r>
      <w:r>
        <w:rPr>
          <w:rFonts w:ascii="宋体" w:hAnsi="宋体"/>
          <w:color w:val="auto"/>
          <w:szCs w:val="21"/>
          <w:highlight w:val="none"/>
        </w:rPr>
        <w:t>可自行补充。</w:t>
      </w:r>
    </w:p>
    <w:p>
      <w:pPr>
        <w:pStyle w:val="9"/>
        <w:spacing w:after="0" w:line="400" w:lineRule="exact"/>
        <w:ind w:firstLine="420" w:firstLineChars="200"/>
        <w:rPr>
          <w:rFonts w:hAnsi="宋体"/>
          <w:color w:val="auto"/>
          <w:szCs w:val="21"/>
          <w:highlight w:val="none"/>
        </w:rPr>
      </w:pP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9"/>
        <w:spacing w:after="0" w:line="400" w:lineRule="exact"/>
        <w:ind w:firstLine="420" w:firstLineChars="200"/>
        <w:rPr>
          <w:rFonts w:hAnsi="宋体"/>
          <w:color w:val="auto"/>
          <w:szCs w:val="21"/>
          <w:highlight w:val="none"/>
        </w:rPr>
      </w:pPr>
      <w:r>
        <w:rPr>
          <w:rFonts w:hint="eastAsia" w:hAnsi="宋体"/>
          <w:color w:val="auto"/>
          <w:szCs w:val="21"/>
          <w:highlight w:val="none"/>
        </w:rPr>
        <w:t>日期：</w:t>
      </w:r>
    </w:p>
    <w:p>
      <w:pPr>
        <w:spacing w:line="400" w:lineRule="exact"/>
        <w:rPr>
          <w:rFonts w:ascii="宋体"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9"/>
        <w:spacing w:line="400" w:lineRule="exact"/>
        <w:ind w:firstLine="420" w:firstLineChars="200"/>
        <w:rPr>
          <w:rFonts w:hAnsi="宋体"/>
          <w:color w:val="auto"/>
          <w:szCs w:val="21"/>
          <w:highlight w:val="none"/>
        </w:rPr>
      </w:pPr>
    </w:p>
    <w:p>
      <w:pPr>
        <w:pStyle w:val="9"/>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w:t>
      </w:r>
      <w:r>
        <w:rPr>
          <w:rFonts w:hint="eastAsia" w:asciiTheme="minorEastAsia" w:hAnsiTheme="minorEastAsia" w:eastAsiaTheme="minorEastAsia"/>
          <w:color w:val="auto"/>
          <w:szCs w:val="21"/>
          <w:highlight w:val="none"/>
          <w:lang w:val="zh-CN"/>
        </w:rPr>
        <w:t>元（人民币）</w:t>
      </w:r>
    </w:p>
    <w:tbl>
      <w:tblPr>
        <w:tblStyle w:val="24"/>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单价</w:t>
            </w:r>
          </w:p>
        </w:tc>
        <w:tc>
          <w:tcPr>
            <w:tcW w:w="1417" w:type="dxa"/>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合计</w:t>
            </w:r>
          </w:p>
        </w:tc>
        <w:tc>
          <w:tcPr>
            <w:tcW w:w="137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154"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37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154"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37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2154"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c>
          <w:tcPr>
            <w:tcW w:w="1370"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olor w:val="auto"/>
                <w:szCs w:val="21"/>
                <w:highlight w:val="none"/>
              </w:rPr>
            </w:pP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p>
        </w:tc>
      </w:tr>
    </w:tbl>
    <w:p>
      <w:pPr>
        <w:pStyle w:val="9"/>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9"/>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9"/>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2.“投标总价”应与“投标分项报价表”中“投标总价”一致。</w:t>
      </w:r>
    </w:p>
    <w:p>
      <w:pPr>
        <w:pStyle w:val="9"/>
        <w:spacing w:line="400" w:lineRule="exact"/>
        <w:rPr>
          <w:rFonts w:hAnsi="宋体"/>
          <w:color w:val="auto"/>
          <w:szCs w:val="21"/>
          <w:highlight w:val="none"/>
        </w:rPr>
      </w:pPr>
    </w:p>
    <w:p>
      <w:pPr>
        <w:pStyle w:val="9"/>
        <w:spacing w:line="400" w:lineRule="exact"/>
        <w:rPr>
          <w:rFonts w:hAnsi="宋体"/>
          <w:color w:val="auto"/>
          <w:szCs w:val="21"/>
          <w:highlight w:val="none"/>
        </w:rPr>
      </w:pPr>
      <w:r>
        <w:rPr>
          <w:rFonts w:hint="eastAsia" w:hAnsi="宋体"/>
          <w:color w:val="auto"/>
          <w:szCs w:val="21"/>
          <w:highlight w:val="none"/>
        </w:rPr>
        <w:t>投标人（盖章）：</w:t>
      </w:r>
    </w:p>
    <w:p>
      <w:pPr>
        <w:pStyle w:val="9"/>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2"/>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2"/>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3040"/>
        <w:gridCol w:w="720"/>
        <w:gridCol w:w="750"/>
        <w:gridCol w:w="1588"/>
        <w:gridCol w:w="1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序号</w:t>
            </w:r>
          </w:p>
        </w:tc>
        <w:tc>
          <w:tcPr>
            <w:tcW w:w="3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服务内容</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数量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rPr>
            </w:pPr>
            <w:r>
              <w:rPr>
                <w:rFonts w:hint="eastAsia"/>
                <w:color w:val="auto"/>
              </w:rPr>
              <w:t>单位</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单价</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9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304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r>
              <w:rPr>
                <w:rFonts w:hint="default" w:ascii="宋体" w:hAnsi="宋体"/>
                <w:color w:val="auto"/>
                <w:spacing w:val="20"/>
                <w:szCs w:val="21"/>
              </w:rPr>
              <w:t>……</w:t>
            </w: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58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c>
          <w:tcPr>
            <w:tcW w:w="164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538"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left"/>
              <w:rPr>
                <w:rFonts w:hint="eastAsia" w:ascii="宋体" w:hAnsi="宋体"/>
                <w:color w:val="auto"/>
                <w:szCs w:val="21"/>
              </w:rPr>
            </w:pPr>
            <w:r>
              <w:rPr>
                <w:rFonts w:hint="eastAsia" w:ascii="宋体" w:hAnsi="宋体"/>
                <w:color w:val="auto"/>
                <w:szCs w:val="21"/>
              </w:rPr>
              <w:t>投标总价金额大写：</w:t>
            </w:r>
            <w:r>
              <w:rPr>
                <w:rFonts w:hint="eastAsia" w:ascii="宋体" w:hAnsi="宋体"/>
                <w:color w:val="auto"/>
                <w:spacing w:val="20"/>
                <w:szCs w:val="21"/>
              </w:rPr>
              <w:t xml:space="preserve">                 </w:t>
            </w:r>
            <w:r>
              <w:rPr>
                <w:rFonts w:hint="eastAsia" w:ascii="宋体" w:hAnsi="宋体"/>
                <w:color w:val="auto"/>
                <w:spacing w:val="20"/>
                <w:szCs w:val="21"/>
                <w:lang w:val="en-US" w:eastAsia="zh-CN"/>
              </w:rPr>
              <w:t xml:space="preserve">    </w:t>
            </w:r>
            <w:r>
              <w:rPr>
                <w:rFonts w:hint="eastAsia" w:ascii="宋体" w:hAnsi="宋体"/>
                <w:color w:val="auto"/>
                <w:szCs w:val="21"/>
              </w:rPr>
              <w:t>小写</w:t>
            </w:r>
            <w:r>
              <w:rPr>
                <w:rFonts w:hint="eastAsia" w:ascii="微软雅黑" w:hAnsi="微软雅黑" w:eastAsia="微软雅黑"/>
                <w:color w:val="auto"/>
                <w:szCs w:val="21"/>
                <w:shd w:val="clear" w:color="auto" w:fill="FFFFFF"/>
              </w:rPr>
              <w:t>¥</w:t>
            </w:r>
            <w:r>
              <w:rPr>
                <w:rFonts w:hint="eastAsia" w:ascii="宋体" w:hAnsi="宋体"/>
                <w:color w:val="auto"/>
                <w:szCs w:val="21"/>
              </w:rPr>
              <w:t>：</w:t>
            </w:r>
            <w:r>
              <w:rPr>
                <w:rFonts w:hint="eastAsia" w:ascii="宋体" w:hAnsi="宋体"/>
                <w:color w:val="auto"/>
                <w:spacing w:val="20"/>
                <w:szCs w:val="21"/>
              </w:rPr>
              <w:t xml:space="preserve">          </w:t>
            </w:r>
          </w:p>
        </w:tc>
      </w:tr>
    </w:tbl>
    <w:p>
      <w:pPr>
        <w:pStyle w:val="9"/>
        <w:spacing w:after="0" w:line="400" w:lineRule="exact"/>
        <w:ind w:firstLine="420" w:firstLineChars="200"/>
        <w:rPr>
          <w:rFonts w:asciiTheme="minorEastAsia" w:hAnsiTheme="minorEastAsia" w:eastAsiaTheme="minorEastAsia"/>
          <w:color w:val="auto"/>
          <w:szCs w:val="21"/>
          <w:highlight w:val="none"/>
        </w:rPr>
      </w:pPr>
    </w:p>
    <w:p>
      <w:pPr>
        <w:pStyle w:val="9"/>
        <w:spacing w:after="0" w:line="400" w:lineRule="exact"/>
        <w:ind w:firstLine="420" w:firstLineChars="200"/>
        <w:rPr>
          <w:rFonts w:asciiTheme="minorEastAsia" w:hAnsiTheme="minorEastAsia" w:eastAsiaTheme="minorEastAsia"/>
          <w:color w:val="auto"/>
          <w:szCs w:val="21"/>
          <w:highlight w:val="none"/>
        </w:rPr>
      </w:pPr>
    </w:p>
    <w:p>
      <w:pPr>
        <w:pStyle w:val="9"/>
        <w:spacing w:after="0" w:line="400" w:lineRule="exact"/>
        <w:ind w:firstLine="420" w:firstLineChars="200"/>
        <w:rPr>
          <w:rFonts w:asciiTheme="minorEastAsia" w:hAnsiTheme="minorEastAsia" w:eastAsiaTheme="minorEastAsia"/>
          <w:color w:val="auto"/>
          <w:szCs w:val="21"/>
          <w:highlight w:val="none"/>
        </w:rPr>
      </w:pPr>
    </w:p>
    <w:p>
      <w:pPr>
        <w:pStyle w:val="9"/>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9"/>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2"/>
        <w:rPr>
          <w:color w:val="auto"/>
          <w:highlight w:val="none"/>
        </w:rPr>
      </w:pPr>
    </w:p>
    <w:p>
      <w:pPr>
        <w:pStyle w:val="2"/>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附件3</w:t>
      </w: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spacing w:line="500" w:lineRule="exact"/>
        <w:rPr>
          <w:rFonts w:asciiTheme="minorEastAsia" w:hAnsiTheme="minorEastAsia"/>
          <w:color w:val="auto"/>
          <w:szCs w:val="21"/>
          <w:highlight w:val="none"/>
        </w:rPr>
      </w:pPr>
    </w:p>
    <w:p>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本公司（联合体）郑重声明，根据《政府采购促进中小企业发展管理办法》（财库﹝2020﹞46号）的规定，本公司（联合体）参加</w:t>
      </w:r>
      <w:r>
        <w:rPr>
          <w:rFonts w:asciiTheme="minorEastAsia" w:hAnsiTheme="minorEastAsia"/>
          <w:color w:val="auto"/>
          <w:szCs w:val="21"/>
          <w:highlight w:val="none"/>
          <w:u w:val="single"/>
        </w:rPr>
        <w:t>（单位名称）</w:t>
      </w:r>
      <w:r>
        <w:rPr>
          <w:rFonts w:asciiTheme="minorEastAsia" w:hAnsiTheme="minorEastAsia"/>
          <w:color w:val="auto"/>
          <w:szCs w:val="21"/>
          <w:highlight w:val="none"/>
        </w:rPr>
        <w:t>的</w:t>
      </w:r>
      <w:r>
        <w:rPr>
          <w:rFonts w:asciiTheme="minorEastAsia" w:hAnsiTheme="minorEastAsia"/>
          <w:color w:val="auto"/>
          <w:szCs w:val="21"/>
          <w:highlight w:val="none"/>
          <w:u w:val="single"/>
        </w:rPr>
        <w:t>（项目名称）</w:t>
      </w:r>
      <w:r>
        <w:rPr>
          <w:rFonts w:asciiTheme="minorEastAsia" w:hAnsiTheme="minorEastAsia"/>
          <w:color w:val="auto"/>
          <w:szCs w:val="21"/>
          <w:highlight w:val="none"/>
        </w:rPr>
        <w:t>采购活动，</w:t>
      </w:r>
      <w:r>
        <w:rPr>
          <w:rFonts w:hint="eastAsia" w:asciiTheme="minorEastAsia" w:hAnsiTheme="minorEastAsia"/>
          <w:color w:val="auto"/>
          <w:szCs w:val="21"/>
          <w:highlight w:val="none"/>
        </w:rPr>
        <w:t>服务全部由</w:t>
      </w:r>
      <w:r>
        <w:rPr>
          <w:rFonts w:asciiTheme="minorEastAsia" w:hAnsiTheme="minorEastAsia"/>
          <w:color w:val="auto"/>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w:t>
      </w:r>
      <w:r>
        <w:rPr>
          <w:rFonts w:asciiTheme="minorEastAsia" w:hAnsiTheme="minorEastAsia"/>
          <w:color w:val="auto"/>
          <w:szCs w:val="21"/>
          <w:highlight w:val="none"/>
          <w:u w:val="single"/>
        </w:rPr>
        <w:t>（标的名称）</w:t>
      </w:r>
      <w:r>
        <w:rPr>
          <w:rFonts w:asciiTheme="minorEastAsia" w:hAnsiTheme="minorEastAsia"/>
          <w:color w:val="auto"/>
          <w:szCs w:val="21"/>
          <w:highlight w:val="none"/>
        </w:rPr>
        <w:t>，属于</w:t>
      </w:r>
      <w:r>
        <w:rPr>
          <w:rFonts w:asciiTheme="minorEastAsia" w:hAnsiTheme="minorEastAsia"/>
          <w:color w:val="auto"/>
          <w:szCs w:val="21"/>
          <w:highlight w:val="none"/>
          <w:u w:val="single"/>
        </w:rPr>
        <w:t>（采购文件中明确的所属行业）</w:t>
      </w:r>
      <w:r>
        <w:rPr>
          <w:rFonts w:asciiTheme="minorEastAsia" w:hAnsiTheme="minorEastAsia"/>
          <w:color w:val="auto"/>
          <w:szCs w:val="21"/>
          <w:highlight w:val="none"/>
        </w:rPr>
        <w:t>行业；承接企业为</w:t>
      </w:r>
      <w:r>
        <w:rPr>
          <w:rFonts w:asciiTheme="minorEastAsia" w:hAnsiTheme="minorEastAsia"/>
          <w:color w:val="auto"/>
          <w:szCs w:val="21"/>
          <w:highlight w:val="none"/>
          <w:u w:val="single"/>
        </w:rPr>
        <w:t>（企业名称）</w:t>
      </w:r>
      <w:r>
        <w:rPr>
          <w:rFonts w:asciiTheme="minorEastAsia" w:hAnsiTheme="minorEastAsia"/>
          <w:color w:val="auto"/>
          <w:szCs w:val="21"/>
          <w:highlight w:val="none"/>
        </w:rPr>
        <w:t>，从业人员</w:t>
      </w:r>
      <w:r>
        <w:rPr>
          <w:rFonts w:asciiTheme="minorEastAsia" w:hAnsiTheme="minorEastAsia"/>
          <w:color w:val="auto"/>
          <w:szCs w:val="21"/>
          <w:highlight w:val="none"/>
          <w:u w:val="single"/>
        </w:rPr>
        <w:tab/>
      </w:r>
      <w:r>
        <w:rPr>
          <w:rFonts w:asciiTheme="minorEastAsia" w:hAnsiTheme="minorEastAsia"/>
          <w:color w:val="auto"/>
          <w:szCs w:val="21"/>
          <w:highlight w:val="none"/>
        </w:rPr>
        <w:t>人，营业收入为</w:t>
      </w:r>
      <w:r>
        <w:rPr>
          <w:rFonts w:asciiTheme="minorEastAsia" w:hAnsiTheme="minorEastAsia"/>
          <w:color w:val="auto"/>
          <w:szCs w:val="21"/>
          <w:highlight w:val="none"/>
          <w:u w:val="single"/>
        </w:rPr>
        <w:tab/>
      </w:r>
      <w:r>
        <w:rPr>
          <w:rFonts w:asciiTheme="minorEastAsia" w:hAnsiTheme="minorEastAsia"/>
          <w:color w:val="auto"/>
          <w:szCs w:val="21"/>
          <w:highlight w:val="none"/>
        </w:rPr>
        <w:t>万元，资产总额为</w:t>
      </w:r>
      <w:r>
        <w:rPr>
          <w:rFonts w:asciiTheme="minorEastAsia" w:hAnsiTheme="minorEastAsia"/>
          <w:color w:val="auto"/>
          <w:szCs w:val="21"/>
          <w:highlight w:val="none"/>
          <w:u w:val="single"/>
        </w:rPr>
        <w:tab/>
      </w:r>
      <w:r>
        <w:rPr>
          <w:rFonts w:asciiTheme="minorEastAsia" w:hAnsiTheme="minorEastAsia"/>
          <w:color w:val="auto"/>
          <w:szCs w:val="21"/>
          <w:highlight w:val="none"/>
        </w:rPr>
        <w:t>万元，属于</w:t>
      </w:r>
      <w:r>
        <w:rPr>
          <w:rFonts w:asciiTheme="minorEastAsia" w:hAnsiTheme="minorEastAsia"/>
          <w:color w:val="auto"/>
          <w:szCs w:val="21"/>
          <w:highlight w:val="none"/>
          <w:u w:val="single"/>
        </w:rPr>
        <w:t>（中型企业、小型企业、微型企业）</w:t>
      </w:r>
      <w:r>
        <w:rPr>
          <w:rFonts w:asciiTheme="minorEastAsia" w:hAnsiTheme="minorEastAsia"/>
          <w:color w:val="auto"/>
          <w:szCs w:val="21"/>
          <w:highlight w:val="none"/>
        </w:rPr>
        <w:t>；</w:t>
      </w:r>
    </w:p>
    <w:p>
      <w:pPr>
        <w:spacing w:line="5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w:t>
      </w:r>
      <w:r>
        <w:rPr>
          <w:rFonts w:asciiTheme="minorEastAsia" w:hAnsiTheme="minorEastAsia"/>
          <w:color w:val="auto"/>
          <w:szCs w:val="21"/>
          <w:highlight w:val="none"/>
          <w:u w:val="single"/>
        </w:rPr>
        <w:t>（标的名称）</w:t>
      </w:r>
      <w:r>
        <w:rPr>
          <w:rFonts w:asciiTheme="minorEastAsia" w:hAnsiTheme="minorEastAsia"/>
          <w:color w:val="auto"/>
          <w:szCs w:val="21"/>
          <w:highlight w:val="none"/>
        </w:rPr>
        <w:t>，属于</w:t>
      </w:r>
      <w:r>
        <w:rPr>
          <w:rFonts w:asciiTheme="minorEastAsia" w:hAnsiTheme="minorEastAsia"/>
          <w:color w:val="auto"/>
          <w:szCs w:val="21"/>
          <w:highlight w:val="none"/>
          <w:u w:val="single"/>
        </w:rPr>
        <w:t>（采购文件中明确的所属行业）</w:t>
      </w:r>
      <w:r>
        <w:rPr>
          <w:rFonts w:asciiTheme="minorEastAsia" w:hAnsiTheme="minorEastAsia"/>
          <w:color w:val="auto"/>
          <w:szCs w:val="21"/>
          <w:highlight w:val="none"/>
        </w:rPr>
        <w:t>行业；承接企业为</w:t>
      </w:r>
      <w:r>
        <w:rPr>
          <w:rFonts w:asciiTheme="minorEastAsia" w:hAnsiTheme="minorEastAsia"/>
          <w:color w:val="auto"/>
          <w:szCs w:val="21"/>
          <w:highlight w:val="none"/>
          <w:u w:val="single"/>
        </w:rPr>
        <w:t>（企业名称）</w:t>
      </w:r>
      <w:r>
        <w:rPr>
          <w:rFonts w:asciiTheme="minorEastAsia" w:hAnsiTheme="minorEastAsia"/>
          <w:color w:val="auto"/>
          <w:szCs w:val="21"/>
          <w:highlight w:val="none"/>
        </w:rPr>
        <w:t>，从业人员</w:t>
      </w:r>
      <w:r>
        <w:rPr>
          <w:rFonts w:asciiTheme="minorEastAsia" w:hAnsiTheme="minorEastAsia"/>
          <w:color w:val="auto"/>
          <w:szCs w:val="21"/>
          <w:highlight w:val="none"/>
          <w:u w:val="single"/>
        </w:rPr>
        <w:tab/>
      </w:r>
      <w:r>
        <w:rPr>
          <w:rFonts w:asciiTheme="minorEastAsia" w:hAnsiTheme="minorEastAsia"/>
          <w:color w:val="auto"/>
          <w:szCs w:val="21"/>
          <w:highlight w:val="none"/>
        </w:rPr>
        <w:t>人，营业收入为</w:t>
      </w:r>
      <w:r>
        <w:rPr>
          <w:rFonts w:asciiTheme="minorEastAsia" w:hAnsiTheme="minorEastAsia"/>
          <w:color w:val="auto"/>
          <w:szCs w:val="21"/>
          <w:highlight w:val="none"/>
          <w:u w:val="single"/>
        </w:rPr>
        <w:tab/>
      </w:r>
      <w:r>
        <w:rPr>
          <w:rFonts w:asciiTheme="minorEastAsia" w:hAnsiTheme="minorEastAsia"/>
          <w:color w:val="auto"/>
          <w:szCs w:val="21"/>
          <w:highlight w:val="none"/>
        </w:rPr>
        <w:t>万元，资产总额为</w:t>
      </w:r>
      <w:r>
        <w:rPr>
          <w:rFonts w:asciiTheme="minorEastAsia" w:hAnsiTheme="minorEastAsia"/>
          <w:color w:val="auto"/>
          <w:szCs w:val="21"/>
          <w:highlight w:val="none"/>
          <w:u w:val="single"/>
        </w:rPr>
        <w:tab/>
      </w:r>
      <w:r>
        <w:rPr>
          <w:rFonts w:asciiTheme="minorEastAsia" w:hAnsiTheme="minorEastAsia"/>
          <w:color w:val="auto"/>
          <w:szCs w:val="21"/>
          <w:highlight w:val="none"/>
        </w:rPr>
        <w:t>万元，属于</w:t>
      </w:r>
      <w:r>
        <w:rPr>
          <w:rFonts w:asciiTheme="minorEastAsia" w:hAnsiTheme="minorEastAsia"/>
          <w:color w:val="auto"/>
          <w:szCs w:val="21"/>
          <w:highlight w:val="none"/>
          <w:u w:val="single"/>
        </w:rPr>
        <w:t>（中型企业、小型企业、微型企业）</w:t>
      </w:r>
      <w:r>
        <w:rPr>
          <w:rFonts w:asciiTheme="minorEastAsia" w:hAnsiTheme="minorEastAsia"/>
          <w:color w:val="auto"/>
          <w:szCs w:val="21"/>
          <w:highlight w:val="none"/>
        </w:rPr>
        <w:t>；</w:t>
      </w:r>
    </w:p>
    <w:p>
      <w:pPr>
        <w:spacing w:line="500" w:lineRule="exact"/>
        <w:ind w:firstLine="420" w:firstLineChars="200"/>
        <w:rPr>
          <w:rFonts w:asciiTheme="minorEastAsia" w:hAnsiTheme="minorEastAsia"/>
          <w:color w:val="auto"/>
          <w:szCs w:val="21"/>
          <w:highlight w:val="none"/>
        </w:rPr>
      </w:pPr>
    </w:p>
    <w:p>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w:t>
      </w:r>
    </w:p>
    <w:p>
      <w:pPr>
        <w:spacing w:line="500" w:lineRule="exact"/>
        <w:ind w:firstLine="420" w:firstLineChars="200"/>
        <w:rPr>
          <w:rFonts w:asciiTheme="minorEastAsia" w:hAnsiTheme="minorEastAsia"/>
          <w:color w:val="auto"/>
          <w:szCs w:val="21"/>
          <w:highlight w:val="none"/>
        </w:rPr>
      </w:pPr>
    </w:p>
    <w:p>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本企业对上述声明内容的真实性负责。如有虚假，将依法承担相应责任。</w:t>
      </w:r>
    </w:p>
    <w:p>
      <w:pPr>
        <w:spacing w:line="500" w:lineRule="exact"/>
        <w:rPr>
          <w:rFonts w:asciiTheme="minorEastAsia" w:hAnsiTheme="minorEastAsia"/>
          <w:color w:val="auto"/>
          <w:szCs w:val="21"/>
          <w:highlight w:val="none"/>
        </w:rPr>
      </w:pPr>
    </w:p>
    <w:p>
      <w:pPr>
        <w:spacing w:line="500" w:lineRule="exact"/>
        <w:ind w:firstLine="3570" w:firstLineChars="1700"/>
        <w:rPr>
          <w:rFonts w:asciiTheme="minorEastAsia" w:hAnsiTheme="minorEastAsia"/>
          <w:color w:val="auto"/>
          <w:szCs w:val="21"/>
          <w:highlight w:val="none"/>
        </w:rPr>
      </w:pPr>
      <w:r>
        <w:rPr>
          <w:rFonts w:asciiTheme="minorEastAsia" w:hAnsiTheme="minorEastAsia"/>
          <w:color w:val="auto"/>
          <w:szCs w:val="21"/>
          <w:highlight w:val="none"/>
        </w:rPr>
        <w:t>企业名称（盖章）：</w:t>
      </w:r>
    </w:p>
    <w:p>
      <w:pPr>
        <w:spacing w:line="500" w:lineRule="exact"/>
        <w:ind w:firstLine="3570" w:firstLineChars="1700"/>
        <w:rPr>
          <w:rFonts w:asciiTheme="minorEastAsia" w:hAnsiTheme="minorEastAsia"/>
          <w:color w:val="auto"/>
          <w:szCs w:val="21"/>
          <w:highlight w:val="none"/>
        </w:rPr>
      </w:pPr>
      <w:r>
        <w:rPr>
          <w:rFonts w:asciiTheme="minorEastAsia" w:hAnsiTheme="minorEastAsia"/>
          <w:color w:val="auto"/>
          <w:szCs w:val="21"/>
          <w:highlight w:val="none"/>
        </w:rPr>
        <w:t>日 期：</w:t>
      </w:r>
    </w:p>
    <w:p>
      <w:pPr>
        <w:pStyle w:val="33"/>
        <w:rPr>
          <w:color w:val="auto"/>
          <w:highlight w:val="none"/>
        </w:rPr>
      </w:pPr>
    </w:p>
    <w:p>
      <w:pPr>
        <w:spacing w:line="500" w:lineRule="exact"/>
        <w:rPr>
          <w:rFonts w:hint="eastAsia" w:asciiTheme="minorEastAsia" w:hAnsiTheme="minorEastAsia"/>
          <w:color w:val="auto"/>
          <w:szCs w:val="21"/>
          <w:highlight w:val="none"/>
        </w:rPr>
      </w:pPr>
      <w:r>
        <w:rPr>
          <w:rFonts w:asciiTheme="minorEastAsia" w:hAnsiTheme="minorEastAsia"/>
          <w:color w:val="auto"/>
          <w:szCs w:val="21"/>
          <w:highlight w:val="none"/>
        </w:rPr>
        <w:t>备注：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1.从业人员、营业收入、资产总额填报上一年度数据，无上一年度数据的新成立企业可不填报。</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color w:val="auto"/>
          <w:szCs w:val="21"/>
          <w:highlight w:val="none"/>
        </w:rPr>
        <w:t>错误提交声明函的。</w:t>
      </w:r>
    </w:p>
    <w:p>
      <w:pPr>
        <w:spacing w:line="500" w:lineRule="exact"/>
        <w:rPr>
          <w:rFonts w:asciiTheme="minorEastAsia" w:hAnsiTheme="minorEastAsia"/>
          <w:color w:val="auto"/>
          <w:szCs w:val="21"/>
          <w:highlight w:val="none"/>
        </w:rPr>
      </w:pPr>
      <w:r>
        <w:rPr>
          <w:rFonts w:hint="eastAsia" w:asciiTheme="minorEastAsia" w:hAnsiTheme="minorEastAsia"/>
          <w:color w:val="auto"/>
          <w:szCs w:val="21"/>
          <w:highlight w:val="none"/>
        </w:rPr>
        <w:t>附件4</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spacing w:line="600" w:lineRule="exact"/>
        <w:ind w:firstLine="444" w:firstLineChars="200"/>
        <w:rPr>
          <w:rFonts w:ascii="宋体" w:hAnsi="宋体" w:cs="宋体"/>
          <w:color w:val="auto"/>
          <w:spacing w:val="6"/>
          <w:szCs w:val="21"/>
          <w:highlight w:val="none"/>
        </w:rPr>
      </w:pPr>
    </w:p>
    <w:p>
      <w:pPr>
        <w:pStyle w:val="9"/>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9"/>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color w:val="auto"/>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附件5</w:t>
      </w: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color w:val="auto"/>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color w:val="auto"/>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color w:val="auto"/>
          <w:highlight w:val="none"/>
        </w:rPr>
      </w:pPr>
    </w:p>
    <w:sectPr>
      <w:footerReference r:id="rId7" w:type="first"/>
      <w:headerReference r:id="rId5" w:type="default"/>
      <w:footerReference r:id="rId6" w:type="default"/>
      <w:pgSz w:w="11906" w:h="16838"/>
      <w:pgMar w:top="1440" w:right="1489" w:bottom="1440" w:left="1797" w:header="567"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eGklUCAgAAEwQAAA4AAABkcnMvZTJvRG9jLnhtbK1TQW7bMBC8F+gf&#10;CN5rWbZTtILlII3hokDaFEjyAJqiLKIil1jSltzXd0lJbppccuhFWJHL2ZnhcH3dm5adFHoNtuT5&#10;bM6ZshIqbQ8lf3rcffjEmQ/CVqIFq0p+Vp5fb96/W3euUAtooK0UMgKxvuhcyZsQXJFlXjbKCD8D&#10;pyxt1oBGBPrFQ1ah6AjdtNliPv+YdYCVQ5DKe1rdDpt8RMS3AEJda6m2II9G2TCgompFIEm+0c7z&#10;TWJb10qG+7r2KrC25KQ0pC8NoXofv9lmLYoDCtdoOVIQb6HwQpMR2tLQC9RWBMGOqF9BGS0RPNRh&#10;JsFkg5DkCKnI5y+8eWiEU0kLWe3dxXT//2Dlj9NPZLoq+XLJmRWGbvxR9YF9gZ7l88VVdKhzvqDG&#10;B0etoacdyk1S690dyF+eWbhthD2oG0ToGiUqYpjHk9mzowOOjyD77jtUNEkcAySgvkYT7SNDGKHT&#10;7ZwvtxPZyDgyX31eXnEmaStf5qtV4paJYjrs0IevCgyLRcmRLj+Bi9OdD5GMKKaWOMvCTrdtCkBr&#10;/1mgxmFFpQSNp6OUyH7QEfp9P1qzh+pMohCGdNHboqIB/M1ZR8kquaWHxFn7zZItMYRTgVOxnwph&#10;JR0seeBsKG/DENajQ31oCHcy/oas2+kkKxIbOIyGU1aS2jHXMYzP/1PX37e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d4aSVQICAAATBAAADgAAAAAAAAABACAAAAAfAQAAZHJzL2Uyb0Rv&#10;Yy54bWxQSwUGAAAAAAYABgBZAQAAkw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rPr>
                              <w:rFonts w:hint="default" w:eastAsia="宋体"/>
                              <w:lang w:val="en-US" w:eastAsia="zh-CN"/>
                            </w:rPr>
                          </w:pPr>
                          <w:r>
                            <w:rPr>
                              <w:rFonts w:hint="eastAsia"/>
                              <w:lang w:val="en-US" w:eastAsia="zh-CN"/>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JB6QDAgAAEgQAAA4AAABkcnMvZTJvRG9jLnhtbK1TTW/bMAy9D9h/&#10;EHRfHKdNWxhxiq5BhgHdB9D2ByiyHAuzRIFSYme/fpRsZ1176WEXg5bIR77Hp9Vtb1p2VOg12JLn&#10;szlnykqotN2X/Plp++mGMx+ErUQLVpX8pDy/XX/8sOpcoRbQQFspZARifdG5kjchuCLLvGyUEX4G&#10;Tlm6rAGNCPSL+6xC0RG6abPFfH6VdYCVQ5DKezrdDJd8RMT3AEJda6k2IA9G2TCgompFIEq+0c7z&#10;dZq2rpUMP+raq8DakhPTkL7UhOJd/GbrlSj2KFyj5TiCeM8IrzgZoS01PUNtRBDsgPoNlNESwUMd&#10;ZhJMNhBJihCLfP5Km8dGOJW4kNTenUX3/w9Wfj/+RKarkl8sOLPC0MafVB/YZ+hZPl9cRYU65wtK&#10;fHSUGnq6Id8ktt49gPzlmYX7Rti9ukOErlGiognzWJm9KB1wfATZdd+gok7iECAB9TWaKB8Jwgid&#10;tnM6bydOI+lweX19s+RM0k1+kV9eLlMDUUy1Dn34osCwGJQcafcJWxwffIiziGJKia0sbHXbpv23&#10;9p8DShxOVDLQWB2ZxOEHGqHf9aMyO6hOxAlhMBc9LQoawN+cdWSsklt6R5y1Xy2pEj04BTgFuykQ&#10;VlJhyQNnQ3gfBq8eHOp9Q7iT7nek3FYnWnGwYYZRb7JKYjvaOnrx5X/K+vu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FdJB6QDAgAAEgQAAA4AAAAAAAAAAQAgAAAAHwEAAGRycy9lMm9E&#10;b2MueG1sUEsFBgAAAAAGAAYAWQEAAJQFAAAAAA==&#10;">
              <v:fill on="f" focussize="0,0"/>
              <v:stroke on="f"/>
              <v:imagedata o:title=""/>
              <o:lock v:ext="edit" aspectratio="f"/>
              <v:textbox inset="0mm,0mm,0mm,0mm" style="mso-fit-shape-to-text:t;">
                <w:txbxContent>
                  <w:p>
                    <w:pPr>
                      <w:pStyle w:val="16"/>
                      <w:rPr>
                        <w:rFonts w:hint="default" w:eastAsia="宋体"/>
                        <w:lang w:val="en-US" w:eastAsia="zh-CN"/>
                      </w:rPr>
                    </w:pPr>
                    <w:r>
                      <w:rPr>
                        <w:rFonts w:hint="eastAsia"/>
                        <w:lang w:val="en-US" w:eastAsia="zh-CN"/>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21D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521E"/>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0961"/>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4DE8"/>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7EF"/>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1533D3"/>
    <w:rsid w:val="01156C56"/>
    <w:rsid w:val="01172159"/>
    <w:rsid w:val="01213882"/>
    <w:rsid w:val="0132473D"/>
    <w:rsid w:val="01555F71"/>
    <w:rsid w:val="01A21D3D"/>
    <w:rsid w:val="01C16D6E"/>
    <w:rsid w:val="01C32C79"/>
    <w:rsid w:val="01D24A8A"/>
    <w:rsid w:val="01DA25C2"/>
    <w:rsid w:val="01E07623"/>
    <w:rsid w:val="01FF0DD2"/>
    <w:rsid w:val="0201302D"/>
    <w:rsid w:val="022D3E9F"/>
    <w:rsid w:val="022E1921"/>
    <w:rsid w:val="023A7385"/>
    <w:rsid w:val="023C66B8"/>
    <w:rsid w:val="024C1A38"/>
    <w:rsid w:val="029172E9"/>
    <w:rsid w:val="02B73E03"/>
    <w:rsid w:val="02B86002"/>
    <w:rsid w:val="02C6661C"/>
    <w:rsid w:val="02CA179F"/>
    <w:rsid w:val="02D91DBA"/>
    <w:rsid w:val="02F372E3"/>
    <w:rsid w:val="02F52A77"/>
    <w:rsid w:val="0308543F"/>
    <w:rsid w:val="03276536"/>
    <w:rsid w:val="03382D5E"/>
    <w:rsid w:val="035968A3"/>
    <w:rsid w:val="035D7E14"/>
    <w:rsid w:val="03713232"/>
    <w:rsid w:val="037733E8"/>
    <w:rsid w:val="03786440"/>
    <w:rsid w:val="03820D63"/>
    <w:rsid w:val="038D715B"/>
    <w:rsid w:val="03BB5C30"/>
    <w:rsid w:val="03D900E3"/>
    <w:rsid w:val="03F32DF1"/>
    <w:rsid w:val="042807E2"/>
    <w:rsid w:val="042D51B4"/>
    <w:rsid w:val="045F7637"/>
    <w:rsid w:val="04624632"/>
    <w:rsid w:val="047108AD"/>
    <w:rsid w:val="047A14E6"/>
    <w:rsid w:val="049D0BB6"/>
    <w:rsid w:val="04B32944"/>
    <w:rsid w:val="04FF4FC2"/>
    <w:rsid w:val="051261E1"/>
    <w:rsid w:val="051B40E5"/>
    <w:rsid w:val="055659D1"/>
    <w:rsid w:val="05602044"/>
    <w:rsid w:val="059953A6"/>
    <w:rsid w:val="05A5708C"/>
    <w:rsid w:val="05D1546F"/>
    <w:rsid w:val="05ED1DF8"/>
    <w:rsid w:val="05F60EC7"/>
    <w:rsid w:val="05FC035D"/>
    <w:rsid w:val="06073EC7"/>
    <w:rsid w:val="06111547"/>
    <w:rsid w:val="0611359C"/>
    <w:rsid w:val="061C3F4A"/>
    <w:rsid w:val="063C50FC"/>
    <w:rsid w:val="063D3AC6"/>
    <w:rsid w:val="064D26E6"/>
    <w:rsid w:val="0676641E"/>
    <w:rsid w:val="06784004"/>
    <w:rsid w:val="067A44AE"/>
    <w:rsid w:val="068E4E62"/>
    <w:rsid w:val="06984953"/>
    <w:rsid w:val="06B30D89"/>
    <w:rsid w:val="06BC079B"/>
    <w:rsid w:val="06BC2999"/>
    <w:rsid w:val="06C10448"/>
    <w:rsid w:val="06C43629"/>
    <w:rsid w:val="06C46FE2"/>
    <w:rsid w:val="06C75381"/>
    <w:rsid w:val="06E42BB5"/>
    <w:rsid w:val="06EC4F1C"/>
    <w:rsid w:val="06F772FB"/>
    <w:rsid w:val="07251A70"/>
    <w:rsid w:val="074E027B"/>
    <w:rsid w:val="076B6B19"/>
    <w:rsid w:val="07B51593"/>
    <w:rsid w:val="07B973B9"/>
    <w:rsid w:val="07E865DE"/>
    <w:rsid w:val="081751D4"/>
    <w:rsid w:val="08352586"/>
    <w:rsid w:val="085A4A3F"/>
    <w:rsid w:val="08882010"/>
    <w:rsid w:val="088B3E7D"/>
    <w:rsid w:val="08977FB7"/>
    <w:rsid w:val="09112EF5"/>
    <w:rsid w:val="09305CA1"/>
    <w:rsid w:val="09367BAA"/>
    <w:rsid w:val="0969023C"/>
    <w:rsid w:val="096A6D80"/>
    <w:rsid w:val="09893DB1"/>
    <w:rsid w:val="09A84666"/>
    <w:rsid w:val="09D354AA"/>
    <w:rsid w:val="0A0C030A"/>
    <w:rsid w:val="0A166AF3"/>
    <w:rsid w:val="0A231DB1"/>
    <w:rsid w:val="0A320D47"/>
    <w:rsid w:val="0A344BEA"/>
    <w:rsid w:val="0A3F26C5"/>
    <w:rsid w:val="0A503B7A"/>
    <w:rsid w:val="0A5237FA"/>
    <w:rsid w:val="0A6B2869"/>
    <w:rsid w:val="0A8D67C9"/>
    <w:rsid w:val="0AA8200A"/>
    <w:rsid w:val="0AB737A6"/>
    <w:rsid w:val="0AB968C5"/>
    <w:rsid w:val="0AC0573B"/>
    <w:rsid w:val="0AE3696C"/>
    <w:rsid w:val="0AF21185"/>
    <w:rsid w:val="0AFE2A19"/>
    <w:rsid w:val="0B025B9C"/>
    <w:rsid w:val="0B0412E0"/>
    <w:rsid w:val="0B123C38"/>
    <w:rsid w:val="0B50371D"/>
    <w:rsid w:val="0B5459A6"/>
    <w:rsid w:val="0B664C64"/>
    <w:rsid w:val="0B7329D8"/>
    <w:rsid w:val="0B7748E2"/>
    <w:rsid w:val="0B8D3582"/>
    <w:rsid w:val="0BA27CA4"/>
    <w:rsid w:val="0BBD14E1"/>
    <w:rsid w:val="0BBD62CF"/>
    <w:rsid w:val="0BC233F8"/>
    <w:rsid w:val="0BD45DAD"/>
    <w:rsid w:val="0BF8481C"/>
    <w:rsid w:val="0C0B4721"/>
    <w:rsid w:val="0C2A4705"/>
    <w:rsid w:val="0C4D21B6"/>
    <w:rsid w:val="0C5C5D16"/>
    <w:rsid w:val="0C60355A"/>
    <w:rsid w:val="0C795920"/>
    <w:rsid w:val="0C811890"/>
    <w:rsid w:val="0C86159B"/>
    <w:rsid w:val="0C897F62"/>
    <w:rsid w:val="0C9814B6"/>
    <w:rsid w:val="0CB258E3"/>
    <w:rsid w:val="0CE44B2C"/>
    <w:rsid w:val="0CF31BCF"/>
    <w:rsid w:val="0D130CF3"/>
    <w:rsid w:val="0D136442"/>
    <w:rsid w:val="0D1A400D"/>
    <w:rsid w:val="0D8D504D"/>
    <w:rsid w:val="0E10535F"/>
    <w:rsid w:val="0E204CC0"/>
    <w:rsid w:val="0E220FBD"/>
    <w:rsid w:val="0E2D4DCF"/>
    <w:rsid w:val="0E3361E9"/>
    <w:rsid w:val="0E3C1B66"/>
    <w:rsid w:val="0E413A70"/>
    <w:rsid w:val="0E7D16D6"/>
    <w:rsid w:val="0E887A67"/>
    <w:rsid w:val="0E960F7B"/>
    <w:rsid w:val="0E985F9A"/>
    <w:rsid w:val="0F02192F"/>
    <w:rsid w:val="0F0260AC"/>
    <w:rsid w:val="0F083839"/>
    <w:rsid w:val="0F144965"/>
    <w:rsid w:val="0F1E2159"/>
    <w:rsid w:val="0F20565C"/>
    <w:rsid w:val="0F454036"/>
    <w:rsid w:val="0F46331D"/>
    <w:rsid w:val="0F4E652C"/>
    <w:rsid w:val="0F673852"/>
    <w:rsid w:val="0F6E5A6E"/>
    <w:rsid w:val="0F8F5336"/>
    <w:rsid w:val="0F96368D"/>
    <w:rsid w:val="0FB55A32"/>
    <w:rsid w:val="0FCC6DFA"/>
    <w:rsid w:val="0FE9679C"/>
    <w:rsid w:val="101F6E5F"/>
    <w:rsid w:val="1039742E"/>
    <w:rsid w:val="106B567E"/>
    <w:rsid w:val="1082242A"/>
    <w:rsid w:val="1082282A"/>
    <w:rsid w:val="109F14E1"/>
    <w:rsid w:val="10AC3D11"/>
    <w:rsid w:val="10B87CFC"/>
    <w:rsid w:val="10BE37BA"/>
    <w:rsid w:val="10D83B2D"/>
    <w:rsid w:val="10EA39CE"/>
    <w:rsid w:val="10F036D9"/>
    <w:rsid w:val="10F1115B"/>
    <w:rsid w:val="10F46325"/>
    <w:rsid w:val="10FC4F6D"/>
    <w:rsid w:val="11051722"/>
    <w:rsid w:val="11177D15"/>
    <w:rsid w:val="111A0C9A"/>
    <w:rsid w:val="117D67C0"/>
    <w:rsid w:val="119B5D70"/>
    <w:rsid w:val="11B768E9"/>
    <w:rsid w:val="11C0272D"/>
    <w:rsid w:val="11D20449"/>
    <w:rsid w:val="11D4394C"/>
    <w:rsid w:val="11F2677F"/>
    <w:rsid w:val="121E6363"/>
    <w:rsid w:val="12205FC9"/>
    <w:rsid w:val="125F51FE"/>
    <w:rsid w:val="12AC7DA9"/>
    <w:rsid w:val="12EB6997"/>
    <w:rsid w:val="12FB4A33"/>
    <w:rsid w:val="12FC46B3"/>
    <w:rsid w:val="130F3CB5"/>
    <w:rsid w:val="131348FC"/>
    <w:rsid w:val="1316525D"/>
    <w:rsid w:val="13183AEE"/>
    <w:rsid w:val="131D6F95"/>
    <w:rsid w:val="133D2F1E"/>
    <w:rsid w:val="134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al="154F23C7"/>
    <w:rsid w:val="155F3E9D"/>
    <w:rsid w:val="1564220B"/>
    <w:rsid w:val="15782848"/>
    <w:rsid w:val="15923843"/>
    <w:rsid w:val="15961DF8"/>
    <w:rsid w:val="15B83632"/>
    <w:rsid w:val="160F623F"/>
    <w:rsid w:val="162A266C"/>
    <w:rsid w:val="16313E1C"/>
    <w:rsid w:val="164668ED"/>
    <w:rsid w:val="165444BB"/>
    <w:rsid w:val="16563130"/>
    <w:rsid w:val="16A92BBA"/>
    <w:rsid w:val="16AF4AC3"/>
    <w:rsid w:val="16B17FC7"/>
    <w:rsid w:val="16B36D4D"/>
    <w:rsid w:val="16D62785"/>
    <w:rsid w:val="16D9529A"/>
    <w:rsid w:val="16DF3094"/>
    <w:rsid w:val="16E16232"/>
    <w:rsid w:val="17300A0B"/>
    <w:rsid w:val="175E3962"/>
    <w:rsid w:val="1763301C"/>
    <w:rsid w:val="17731485"/>
    <w:rsid w:val="178A0EBF"/>
    <w:rsid w:val="17A82ADD"/>
    <w:rsid w:val="17B62FD2"/>
    <w:rsid w:val="17BE0623"/>
    <w:rsid w:val="18187AC7"/>
    <w:rsid w:val="182746B0"/>
    <w:rsid w:val="183F5543"/>
    <w:rsid w:val="183F63D6"/>
    <w:rsid w:val="18413AD1"/>
    <w:rsid w:val="185041F0"/>
    <w:rsid w:val="1870083A"/>
    <w:rsid w:val="18833745"/>
    <w:rsid w:val="189439DF"/>
    <w:rsid w:val="18A04E74"/>
    <w:rsid w:val="18B0330F"/>
    <w:rsid w:val="18B10D91"/>
    <w:rsid w:val="18C61ACD"/>
    <w:rsid w:val="18F01DD7"/>
    <w:rsid w:val="18F40581"/>
    <w:rsid w:val="195927E0"/>
    <w:rsid w:val="195A5D27"/>
    <w:rsid w:val="196859EE"/>
    <w:rsid w:val="196D6F46"/>
    <w:rsid w:val="19835866"/>
    <w:rsid w:val="19B52BBD"/>
    <w:rsid w:val="19E05C00"/>
    <w:rsid w:val="19E36B84"/>
    <w:rsid w:val="1A0A69F8"/>
    <w:rsid w:val="1A4768A9"/>
    <w:rsid w:val="1A4C2D31"/>
    <w:rsid w:val="1A6159BF"/>
    <w:rsid w:val="1ABF1396"/>
    <w:rsid w:val="1AF65748"/>
    <w:rsid w:val="1AFD0956"/>
    <w:rsid w:val="1B1117F5"/>
    <w:rsid w:val="1B322F1D"/>
    <w:rsid w:val="1B3A50A4"/>
    <w:rsid w:val="1B427DC5"/>
    <w:rsid w:val="1B5416AC"/>
    <w:rsid w:val="1B554868"/>
    <w:rsid w:val="1B576FCD"/>
    <w:rsid w:val="1B884CB7"/>
    <w:rsid w:val="1B9A3CD7"/>
    <w:rsid w:val="1BA24505"/>
    <w:rsid w:val="1BBE1477"/>
    <w:rsid w:val="1BC0502C"/>
    <w:rsid w:val="1BE2639E"/>
    <w:rsid w:val="1BE62EDC"/>
    <w:rsid w:val="1BF651E0"/>
    <w:rsid w:val="1C0E75F5"/>
    <w:rsid w:val="1C1A7AA9"/>
    <w:rsid w:val="1C26713F"/>
    <w:rsid w:val="1C2C1048"/>
    <w:rsid w:val="1C3C749B"/>
    <w:rsid w:val="1C454170"/>
    <w:rsid w:val="1C4A05F8"/>
    <w:rsid w:val="1C5A2B21"/>
    <w:rsid w:val="1C695629"/>
    <w:rsid w:val="1CAF5D9E"/>
    <w:rsid w:val="1CC267D0"/>
    <w:rsid w:val="1CC57F42"/>
    <w:rsid w:val="1CCC78CC"/>
    <w:rsid w:val="1CE01DF0"/>
    <w:rsid w:val="1CE917E0"/>
    <w:rsid w:val="1D022E50"/>
    <w:rsid w:val="1D0B1D55"/>
    <w:rsid w:val="1D116D3C"/>
    <w:rsid w:val="1D194148"/>
    <w:rsid w:val="1D3849FD"/>
    <w:rsid w:val="1D6C6151"/>
    <w:rsid w:val="1D8A7328"/>
    <w:rsid w:val="1D947BB1"/>
    <w:rsid w:val="1DB41DC8"/>
    <w:rsid w:val="1DD94587"/>
    <w:rsid w:val="1E02454A"/>
    <w:rsid w:val="1E574D9E"/>
    <w:rsid w:val="1E5D315D"/>
    <w:rsid w:val="1E6D287C"/>
    <w:rsid w:val="1E753B0D"/>
    <w:rsid w:val="1E9B1054"/>
    <w:rsid w:val="1EAE7A62"/>
    <w:rsid w:val="1EAF5CA8"/>
    <w:rsid w:val="1EB606F1"/>
    <w:rsid w:val="1ECE292C"/>
    <w:rsid w:val="1EE00167"/>
    <w:rsid w:val="1EE3196B"/>
    <w:rsid w:val="1EF458E1"/>
    <w:rsid w:val="1EF53A59"/>
    <w:rsid w:val="1F125588"/>
    <w:rsid w:val="1F160235"/>
    <w:rsid w:val="1F1E1F67"/>
    <w:rsid w:val="1F2205F8"/>
    <w:rsid w:val="1F6C7DB6"/>
    <w:rsid w:val="1F753A34"/>
    <w:rsid w:val="1F7D4C37"/>
    <w:rsid w:val="1F807DBA"/>
    <w:rsid w:val="1F857AC5"/>
    <w:rsid w:val="1F8D1B58"/>
    <w:rsid w:val="1FB50614"/>
    <w:rsid w:val="1FEE4F17"/>
    <w:rsid w:val="20126F57"/>
    <w:rsid w:val="202A27D1"/>
    <w:rsid w:val="202D1408"/>
    <w:rsid w:val="20397F58"/>
    <w:rsid w:val="20633BF6"/>
    <w:rsid w:val="208C6FF3"/>
    <w:rsid w:val="20A12F09"/>
    <w:rsid w:val="20AA2072"/>
    <w:rsid w:val="20AA2CDD"/>
    <w:rsid w:val="20E701EC"/>
    <w:rsid w:val="20FC63AD"/>
    <w:rsid w:val="21177502"/>
    <w:rsid w:val="214B19AF"/>
    <w:rsid w:val="217E1DFE"/>
    <w:rsid w:val="219E0135"/>
    <w:rsid w:val="21AE03CF"/>
    <w:rsid w:val="21D01C09"/>
    <w:rsid w:val="220F4F71"/>
    <w:rsid w:val="22193302"/>
    <w:rsid w:val="22616BF8"/>
    <w:rsid w:val="22694385"/>
    <w:rsid w:val="226D7508"/>
    <w:rsid w:val="22796138"/>
    <w:rsid w:val="22E03FC4"/>
    <w:rsid w:val="22E261C0"/>
    <w:rsid w:val="22E86E52"/>
    <w:rsid w:val="22E96DEC"/>
    <w:rsid w:val="22F15563"/>
    <w:rsid w:val="22FA00B9"/>
    <w:rsid w:val="23103A2A"/>
    <w:rsid w:val="23444735"/>
    <w:rsid w:val="23562D09"/>
    <w:rsid w:val="239649BC"/>
    <w:rsid w:val="23983773"/>
    <w:rsid w:val="23AA0427"/>
    <w:rsid w:val="23BB589A"/>
    <w:rsid w:val="23C32038"/>
    <w:rsid w:val="24084D2B"/>
    <w:rsid w:val="241330BC"/>
    <w:rsid w:val="241635B9"/>
    <w:rsid w:val="242258D5"/>
    <w:rsid w:val="243461A1"/>
    <w:rsid w:val="2451303F"/>
    <w:rsid w:val="24575960"/>
    <w:rsid w:val="245E3C68"/>
    <w:rsid w:val="246A3ACB"/>
    <w:rsid w:val="24770489"/>
    <w:rsid w:val="247840E5"/>
    <w:rsid w:val="248E2A06"/>
    <w:rsid w:val="249C559F"/>
    <w:rsid w:val="24D14774"/>
    <w:rsid w:val="24DC4817"/>
    <w:rsid w:val="24E76918"/>
    <w:rsid w:val="25036460"/>
    <w:rsid w:val="2505174B"/>
    <w:rsid w:val="252D0952"/>
    <w:rsid w:val="254060AD"/>
    <w:rsid w:val="255A11A7"/>
    <w:rsid w:val="25633CE3"/>
    <w:rsid w:val="257264FC"/>
    <w:rsid w:val="257C268E"/>
    <w:rsid w:val="259941BD"/>
    <w:rsid w:val="25AE12D9"/>
    <w:rsid w:val="25B305EA"/>
    <w:rsid w:val="25CC3712"/>
    <w:rsid w:val="25D73CA2"/>
    <w:rsid w:val="25F068A6"/>
    <w:rsid w:val="25FE7C69"/>
    <w:rsid w:val="25FF2C68"/>
    <w:rsid w:val="2606757C"/>
    <w:rsid w:val="260B4CD6"/>
    <w:rsid w:val="261B6D15"/>
    <w:rsid w:val="261E4416"/>
    <w:rsid w:val="2648657F"/>
    <w:rsid w:val="26686E14"/>
    <w:rsid w:val="26773BAB"/>
    <w:rsid w:val="268341BF"/>
    <w:rsid w:val="2697098A"/>
    <w:rsid w:val="26B959DC"/>
    <w:rsid w:val="26C54199"/>
    <w:rsid w:val="26CA7DB2"/>
    <w:rsid w:val="26D410F3"/>
    <w:rsid w:val="26DD6DD3"/>
    <w:rsid w:val="26E718E0"/>
    <w:rsid w:val="2709311A"/>
    <w:rsid w:val="270A5318"/>
    <w:rsid w:val="27112725"/>
    <w:rsid w:val="272F4EEF"/>
    <w:rsid w:val="27450D9B"/>
    <w:rsid w:val="27693877"/>
    <w:rsid w:val="276F3F10"/>
    <w:rsid w:val="2796077F"/>
    <w:rsid w:val="27AC11E5"/>
    <w:rsid w:val="27C877A6"/>
    <w:rsid w:val="27D200A4"/>
    <w:rsid w:val="27D824EE"/>
    <w:rsid w:val="27F709D1"/>
    <w:rsid w:val="280F1983"/>
    <w:rsid w:val="280F3A46"/>
    <w:rsid w:val="281A67DA"/>
    <w:rsid w:val="28287CEE"/>
    <w:rsid w:val="2839380C"/>
    <w:rsid w:val="28604DA6"/>
    <w:rsid w:val="286775BB"/>
    <w:rsid w:val="28701767"/>
    <w:rsid w:val="28703966"/>
    <w:rsid w:val="28724B36"/>
    <w:rsid w:val="28726E69"/>
    <w:rsid w:val="287A4114"/>
    <w:rsid w:val="28801A02"/>
    <w:rsid w:val="288549AC"/>
    <w:rsid w:val="28885BF9"/>
    <w:rsid w:val="288A2311"/>
    <w:rsid w:val="28906419"/>
    <w:rsid w:val="28C97754"/>
    <w:rsid w:val="28DA04C9"/>
    <w:rsid w:val="28DF05D0"/>
    <w:rsid w:val="28ED0D31"/>
    <w:rsid w:val="28ED45B4"/>
    <w:rsid w:val="29016751"/>
    <w:rsid w:val="290676DC"/>
    <w:rsid w:val="29156672"/>
    <w:rsid w:val="29293BEE"/>
    <w:rsid w:val="293541AB"/>
    <w:rsid w:val="29437541"/>
    <w:rsid w:val="29521D5A"/>
    <w:rsid w:val="29560760"/>
    <w:rsid w:val="295A1365"/>
    <w:rsid w:val="29747D10"/>
    <w:rsid w:val="29AE0DEF"/>
    <w:rsid w:val="2A043D7C"/>
    <w:rsid w:val="2A0917CA"/>
    <w:rsid w:val="2A21112E"/>
    <w:rsid w:val="2A2158AB"/>
    <w:rsid w:val="2A260CB8"/>
    <w:rsid w:val="2A4F0978"/>
    <w:rsid w:val="2A557025"/>
    <w:rsid w:val="2A597D6F"/>
    <w:rsid w:val="2A642E9C"/>
    <w:rsid w:val="2A7B06BD"/>
    <w:rsid w:val="2A8F1762"/>
    <w:rsid w:val="2AA42601"/>
    <w:rsid w:val="2ACB48D4"/>
    <w:rsid w:val="2ACF474A"/>
    <w:rsid w:val="2AE568ED"/>
    <w:rsid w:val="2B3269EC"/>
    <w:rsid w:val="2B3B6596"/>
    <w:rsid w:val="2B575927"/>
    <w:rsid w:val="2B6A23CA"/>
    <w:rsid w:val="2B7608AE"/>
    <w:rsid w:val="2B8E0E5D"/>
    <w:rsid w:val="2BAD08B5"/>
    <w:rsid w:val="2BB04507"/>
    <w:rsid w:val="2BCC1169"/>
    <w:rsid w:val="2BD33847"/>
    <w:rsid w:val="2BFA427E"/>
    <w:rsid w:val="2C370747"/>
    <w:rsid w:val="2C3D4920"/>
    <w:rsid w:val="2C416BAA"/>
    <w:rsid w:val="2C592CD0"/>
    <w:rsid w:val="2C6922ED"/>
    <w:rsid w:val="2C845095"/>
    <w:rsid w:val="2CA06BC3"/>
    <w:rsid w:val="2CA7654E"/>
    <w:rsid w:val="2CC43900"/>
    <w:rsid w:val="2CDA5AA3"/>
    <w:rsid w:val="2CF51ED1"/>
    <w:rsid w:val="2CFA3DDA"/>
    <w:rsid w:val="2D126BAA"/>
    <w:rsid w:val="2D283624"/>
    <w:rsid w:val="2D2C0D79"/>
    <w:rsid w:val="2D562E6F"/>
    <w:rsid w:val="2D5E7586"/>
    <w:rsid w:val="2D657C06"/>
    <w:rsid w:val="2D925252"/>
    <w:rsid w:val="2DA11FE9"/>
    <w:rsid w:val="2DA52EF9"/>
    <w:rsid w:val="2DA97D90"/>
    <w:rsid w:val="2DC85380"/>
    <w:rsid w:val="2DDD43CD"/>
    <w:rsid w:val="2DF63245"/>
    <w:rsid w:val="2E0A1A19"/>
    <w:rsid w:val="2E103922"/>
    <w:rsid w:val="2E59596B"/>
    <w:rsid w:val="2E7745CB"/>
    <w:rsid w:val="2E997EC6"/>
    <w:rsid w:val="2EC4672C"/>
    <w:rsid w:val="2EEE1C8B"/>
    <w:rsid w:val="2F7268D5"/>
    <w:rsid w:val="2F762675"/>
    <w:rsid w:val="2F7E4D1E"/>
    <w:rsid w:val="2F9C59CE"/>
    <w:rsid w:val="2F9E402D"/>
    <w:rsid w:val="2FAA1516"/>
    <w:rsid w:val="2FB177CB"/>
    <w:rsid w:val="2FD84CE9"/>
    <w:rsid w:val="2FED1556"/>
    <w:rsid w:val="2FED7630"/>
    <w:rsid w:val="300C4661"/>
    <w:rsid w:val="303867AA"/>
    <w:rsid w:val="3068716B"/>
    <w:rsid w:val="306C12F6"/>
    <w:rsid w:val="308F13B7"/>
    <w:rsid w:val="309C2C4B"/>
    <w:rsid w:val="30A46638"/>
    <w:rsid w:val="30C41C11"/>
    <w:rsid w:val="30CF5E22"/>
    <w:rsid w:val="30FA3AB5"/>
    <w:rsid w:val="311E044B"/>
    <w:rsid w:val="313C05D6"/>
    <w:rsid w:val="31551F9A"/>
    <w:rsid w:val="316E2FA4"/>
    <w:rsid w:val="3177633A"/>
    <w:rsid w:val="318D3859"/>
    <w:rsid w:val="319B5AFB"/>
    <w:rsid w:val="31A77C86"/>
    <w:rsid w:val="31B02B14"/>
    <w:rsid w:val="31B6249E"/>
    <w:rsid w:val="31D00F30"/>
    <w:rsid w:val="31D13FE7"/>
    <w:rsid w:val="32002203"/>
    <w:rsid w:val="321D18A7"/>
    <w:rsid w:val="32293AA9"/>
    <w:rsid w:val="322B6518"/>
    <w:rsid w:val="323030F3"/>
    <w:rsid w:val="325D3F31"/>
    <w:rsid w:val="32666DBF"/>
    <w:rsid w:val="3282506A"/>
    <w:rsid w:val="328672F4"/>
    <w:rsid w:val="32994C8F"/>
    <w:rsid w:val="329E5199"/>
    <w:rsid w:val="32A4693E"/>
    <w:rsid w:val="32AE1BB2"/>
    <w:rsid w:val="32FA1831"/>
    <w:rsid w:val="33082946"/>
    <w:rsid w:val="335A65FC"/>
    <w:rsid w:val="336B2660"/>
    <w:rsid w:val="336B55EB"/>
    <w:rsid w:val="339C47C6"/>
    <w:rsid w:val="33AD4B58"/>
    <w:rsid w:val="33C22E90"/>
    <w:rsid w:val="33CF312D"/>
    <w:rsid w:val="33DC39FD"/>
    <w:rsid w:val="33F66251"/>
    <w:rsid w:val="340F4E7A"/>
    <w:rsid w:val="34645AF6"/>
    <w:rsid w:val="34655258"/>
    <w:rsid w:val="34834C6B"/>
    <w:rsid w:val="34945D4F"/>
    <w:rsid w:val="349F3360"/>
    <w:rsid w:val="34A20B41"/>
    <w:rsid w:val="34B1099D"/>
    <w:rsid w:val="34B36604"/>
    <w:rsid w:val="34B51B07"/>
    <w:rsid w:val="34C3689E"/>
    <w:rsid w:val="34D15BB4"/>
    <w:rsid w:val="34FD577E"/>
    <w:rsid w:val="350155F3"/>
    <w:rsid w:val="35152E25"/>
    <w:rsid w:val="35216C38"/>
    <w:rsid w:val="3568643F"/>
    <w:rsid w:val="356A0331"/>
    <w:rsid w:val="359777AE"/>
    <w:rsid w:val="359F2D89"/>
    <w:rsid w:val="35A35F0C"/>
    <w:rsid w:val="35A87E15"/>
    <w:rsid w:val="35A93A0E"/>
    <w:rsid w:val="35B31A2A"/>
    <w:rsid w:val="35CA164F"/>
    <w:rsid w:val="35D07CD5"/>
    <w:rsid w:val="35D81224"/>
    <w:rsid w:val="36111DC3"/>
    <w:rsid w:val="36262C62"/>
    <w:rsid w:val="36306DF5"/>
    <w:rsid w:val="366739FF"/>
    <w:rsid w:val="366D6745"/>
    <w:rsid w:val="36701DDD"/>
    <w:rsid w:val="368D2301"/>
    <w:rsid w:val="36B85A54"/>
    <w:rsid w:val="36BD0784"/>
    <w:rsid w:val="36D34080"/>
    <w:rsid w:val="36E76391"/>
    <w:rsid w:val="36F16EB3"/>
    <w:rsid w:val="37196592"/>
    <w:rsid w:val="37266088"/>
    <w:rsid w:val="37497A66"/>
    <w:rsid w:val="374D7724"/>
    <w:rsid w:val="377F0E97"/>
    <w:rsid w:val="379D4DCD"/>
    <w:rsid w:val="37C60190"/>
    <w:rsid w:val="37C96EC2"/>
    <w:rsid w:val="37CE50AB"/>
    <w:rsid w:val="37E167BB"/>
    <w:rsid w:val="3801097B"/>
    <w:rsid w:val="380C5081"/>
    <w:rsid w:val="381A4397"/>
    <w:rsid w:val="382D1EAA"/>
    <w:rsid w:val="38360698"/>
    <w:rsid w:val="384D75D2"/>
    <w:rsid w:val="385E1608"/>
    <w:rsid w:val="386E3E21"/>
    <w:rsid w:val="387C443B"/>
    <w:rsid w:val="38C03C2B"/>
    <w:rsid w:val="38D3171A"/>
    <w:rsid w:val="38E329E9"/>
    <w:rsid w:val="38F143FA"/>
    <w:rsid w:val="39196DD0"/>
    <w:rsid w:val="397401A4"/>
    <w:rsid w:val="39917588"/>
    <w:rsid w:val="399F3299"/>
    <w:rsid w:val="39AD47AD"/>
    <w:rsid w:val="39DC56B3"/>
    <w:rsid w:val="39E44E71"/>
    <w:rsid w:val="39EC6A75"/>
    <w:rsid w:val="3A052C3D"/>
    <w:rsid w:val="3A1379D5"/>
    <w:rsid w:val="3A3047B5"/>
    <w:rsid w:val="3A33658F"/>
    <w:rsid w:val="3A3804F5"/>
    <w:rsid w:val="3A584C46"/>
    <w:rsid w:val="3A5D5058"/>
    <w:rsid w:val="3A65337B"/>
    <w:rsid w:val="3A675260"/>
    <w:rsid w:val="3A880EB6"/>
    <w:rsid w:val="3AD96499"/>
    <w:rsid w:val="3AE21327"/>
    <w:rsid w:val="3AF76825"/>
    <w:rsid w:val="3AF947CF"/>
    <w:rsid w:val="3AFA69CE"/>
    <w:rsid w:val="3B092F1F"/>
    <w:rsid w:val="3B0F1056"/>
    <w:rsid w:val="3B2B2A20"/>
    <w:rsid w:val="3B5206E1"/>
    <w:rsid w:val="3B730DDD"/>
    <w:rsid w:val="3B733902"/>
    <w:rsid w:val="3BCB28B5"/>
    <w:rsid w:val="3BDC57EC"/>
    <w:rsid w:val="3BF97BF5"/>
    <w:rsid w:val="3C242124"/>
    <w:rsid w:val="3C2C0044"/>
    <w:rsid w:val="3C4B08F9"/>
    <w:rsid w:val="3C535D05"/>
    <w:rsid w:val="3C716172"/>
    <w:rsid w:val="3C7B6ECA"/>
    <w:rsid w:val="3C7C2A34"/>
    <w:rsid w:val="3C8479EF"/>
    <w:rsid w:val="3CD54FDA"/>
    <w:rsid w:val="3CD91462"/>
    <w:rsid w:val="3D2D3BDE"/>
    <w:rsid w:val="3D320BF7"/>
    <w:rsid w:val="3D3440FA"/>
    <w:rsid w:val="3D3E4A09"/>
    <w:rsid w:val="3D407F0C"/>
    <w:rsid w:val="3D440B11"/>
    <w:rsid w:val="3D47065A"/>
    <w:rsid w:val="3D5D3371"/>
    <w:rsid w:val="3D78139C"/>
    <w:rsid w:val="3DB670E4"/>
    <w:rsid w:val="3DB70E50"/>
    <w:rsid w:val="3DBC1A54"/>
    <w:rsid w:val="3DD97E37"/>
    <w:rsid w:val="3DF022AF"/>
    <w:rsid w:val="3E0456CC"/>
    <w:rsid w:val="3E087955"/>
    <w:rsid w:val="3E0A75D5"/>
    <w:rsid w:val="3E116F60"/>
    <w:rsid w:val="3E274987"/>
    <w:rsid w:val="3E3671A0"/>
    <w:rsid w:val="3E43485C"/>
    <w:rsid w:val="3E4613F4"/>
    <w:rsid w:val="3E46796D"/>
    <w:rsid w:val="3E6831F2"/>
    <w:rsid w:val="3E692E72"/>
    <w:rsid w:val="3E713B01"/>
    <w:rsid w:val="3EAE1978"/>
    <w:rsid w:val="3EB111BB"/>
    <w:rsid w:val="3EC34805"/>
    <w:rsid w:val="3EF41E2E"/>
    <w:rsid w:val="3F0F32BE"/>
    <w:rsid w:val="3F1A7F96"/>
    <w:rsid w:val="3F395AC9"/>
    <w:rsid w:val="3F4E613B"/>
    <w:rsid w:val="3F565079"/>
    <w:rsid w:val="3F62101D"/>
    <w:rsid w:val="3F6C179B"/>
    <w:rsid w:val="3F740A45"/>
    <w:rsid w:val="3F9A0FE5"/>
    <w:rsid w:val="3F9A4869"/>
    <w:rsid w:val="3F9B22EA"/>
    <w:rsid w:val="3FC6532D"/>
    <w:rsid w:val="3FD81BBC"/>
    <w:rsid w:val="3FEE64F1"/>
    <w:rsid w:val="3FF56CAB"/>
    <w:rsid w:val="3FF60492"/>
    <w:rsid w:val="40047F17"/>
    <w:rsid w:val="401044A7"/>
    <w:rsid w:val="40512F9E"/>
    <w:rsid w:val="4091157D"/>
    <w:rsid w:val="40AC7BA9"/>
    <w:rsid w:val="40DA73F3"/>
    <w:rsid w:val="40E902F5"/>
    <w:rsid w:val="40FC3D8C"/>
    <w:rsid w:val="4114603C"/>
    <w:rsid w:val="411B5C5E"/>
    <w:rsid w:val="41277BDE"/>
    <w:rsid w:val="412C397A"/>
    <w:rsid w:val="412F3D28"/>
    <w:rsid w:val="414A569D"/>
    <w:rsid w:val="41973694"/>
    <w:rsid w:val="41A249C5"/>
    <w:rsid w:val="41A40141"/>
    <w:rsid w:val="41A5335B"/>
    <w:rsid w:val="41A63644"/>
    <w:rsid w:val="41B03E09"/>
    <w:rsid w:val="41C9127A"/>
    <w:rsid w:val="41DA42F2"/>
    <w:rsid w:val="41EF1584"/>
    <w:rsid w:val="41FB5B69"/>
    <w:rsid w:val="42155FE9"/>
    <w:rsid w:val="4232304C"/>
    <w:rsid w:val="42382BB3"/>
    <w:rsid w:val="424703D0"/>
    <w:rsid w:val="4248719D"/>
    <w:rsid w:val="4252155E"/>
    <w:rsid w:val="427A5366"/>
    <w:rsid w:val="42852CB2"/>
    <w:rsid w:val="429057C0"/>
    <w:rsid w:val="429C30A7"/>
    <w:rsid w:val="42D60A09"/>
    <w:rsid w:val="42D72D86"/>
    <w:rsid w:val="42DA1B8A"/>
    <w:rsid w:val="42E27E1C"/>
    <w:rsid w:val="42F02361"/>
    <w:rsid w:val="43041002"/>
    <w:rsid w:val="43133F69"/>
    <w:rsid w:val="432A1241"/>
    <w:rsid w:val="436E712E"/>
    <w:rsid w:val="43A86695"/>
    <w:rsid w:val="43E629FB"/>
    <w:rsid w:val="43FA2813"/>
    <w:rsid w:val="44145111"/>
    <w:rsid w:val="442C0A64"/>
    <w:rsid w:val="442C42E7"/>
    <w:rsid w:val="446D72CF"/>
    <w:rsid w:val="44726FDA"/>
    <w:rsid w:val="449F0DA3"/>
    <w:rsid w:val="44C118F7"/>
    <w:rsid w:val="44D324F7"/>
    <w:rsid w:val="44DC0C08"/>
    <w:rsid w:val="44E346B1"/>
    <w:rsid w:val="44F62B6E"/>
    <w:rsid w:val="44FB7E38"/>
    <w:rsid w:val="451B19F1"/>
    <w:rsid w:val="452A6789"/>
    <w:rsid w:val="453262AE"/>
    <w:rsid w:val="454873C2"/>
    <w:rsid w:val="45531B4B"/>
    <w:rsid w:val="458F06AB"/>
    <w:rsid w:val="45934269"/>
    <w:rsid w:val="45A3734C"/>
    <w:rsid w:val="45EA0DCE"/>
    <w:rsid w:val="46022BE9"/>
    <w:rsid w:val="46117980"/>
    <w:rsid w:val="461865CE"/>
    <w:rsid w:val="464B6860"/>
    <w:rsid w:val="46884147"/>
    <w:rsid w:val="46906B4F"/>
    <w:rsid w:val="4696345C"/>
    <w:rsid w:val="469730DC"/>
    <w:rsid w:val="469C76AA"/>
    <w:rsid w:val="46D973C9"/>
    <w:rsid w:val="46F50213"/>
    <w:rsid w:val="4733022D"/>
    <w:rsid w:val="47440F4D"/>
    <w:rsid w:val="475D1BA0"/>
    <w:rsid w:val="476E3D34"/>
    <w:rsid w:val="477802D7"/>
    <w:rsid w:val="47827BE2"/>
    <w:rsid w:val="478D1B02"/>
    <w:rsid w:val="479E040B"/>
    <w:rsid w:val="47AD64A7"/>
    <w:rsid w:val="47C77051"/>
    <w:rsid w:val="47EF6F11"/>
    <w:rsid w:val="47FB336E"/>
    <w:rsid w:val="47FD4DEA"/>
    <w:rsid w:val="480F7446"/>
    <w:rsid w:val="48150707"/>
    <w:rsid w:val="482E7CFA"/>
    <w:rsid w:val="48765EF0"/>
    <w:rsid w:val="487A2F3C"/>
    <w:rsid w:val="487A70C9"/>
    <w:rsid w:val="487F1516"/>
    <w:rsid w:val="48854E86"/>
    <w:rsid w:val="489473BA"/>
    <w:rsid w:val="48B20B9D"/>
    <w:rsid w:val="48B41258"/>
    <w:rsid w:val="48DD0D98"/>
    <w:rsid w:val="48DD6B99"/>
    <w:rsid w:val="48DF209C"/>
    <w:rsid w:val="48EA4EE8"/>
    <w:rsid w:val="49272491"/>
    <w:rsid w:val="493A6F33"/>
    <w:rsid w:val="493D4449"/>
    <w:rsid w:val="495A5625"/>
    <w:rsid w:val="498446D0"/>
    <w:rsid w:val="498615B1"/>
    <w:rsid w:val="498C7C37"/>
    <w:rsid w:val="49953E7D"/>
    <w:rsid w:val="49AC016B"/>
    <w:rsid w:val="49B43282"/>
    <w:rsid w:val="49B53089"/>
    <w:rsid w:val="49C37D91"/>
    <w:rsid w:val="49E501B3"/>
    <w:rsid w:val="49EB34D3"/>
    <w:rsid w:val="4A1A65A1"/>
    <w:rsid w:val="4A3A6AD6"/>
    <w:rsid w:val="4A47036A"/>
    <w:rsid w:val="4A4C47F2"/>
    <w:rsid w:val="4A6B72A5"/>
    <w:rsid w:val="4A6C2B28"/>
    <w:rsid w:val="4AD102CE"/>
    <w:rsid w:val="4AD41253"/>
    <w:rsid w:val="4AF66E83"/>
    <w:rsid w:val="4AF7270C"/>
    <w:rsid w:val="4AF81574"/>
    <w:rsid w:val="4B2637A6"/>
    <w:rsid w:val="4B3D53FF"/>
    <w:rsid w:val="4B473790"/>
    <w:rsid w:val="4B4C4394"/>
    <w:rsid w:val="4B4E7897"/>
    <w:rsid w:val="4B55391F"/>
    <w:rsid w:val="4B5B2430"/>
    <w:rsid w:val="4B5F3132"/>
    <w:rsid w:val="4B652D40"/>
    <w:rsid w:val="4B657077"/>
    <w:rsid w:val="4B835B73"/>
    <w:rsid w:val="4BA018A0"/>
    <w:rsid w:val="4BAC0F36"/>
    <w:rsid w:val="4BC46339"/>
    <w:rsid w:val="4BCD146B"/>
    <w:rsid w:val="4BF46806"/>
    <w:rsid w:val="4BFB0CB5"/>
    <w:rsid w:val="4C016441"/>
    <w:rsid w:val="4C0515C4"/>
    <w:rsid w:val="4C054E48"/>
    <w:rsid w:val="4C0A34CE"/>
    <w:rsid w:val="4C26757B"/>
    <w:rsid w:val="4C27558D"/>
    <w:rsid w:val="4C28386A"/>
    <w:rsid w:val="4C49177D"/>
    <w:rsid w:val="4C4A14AC"/>
    <w:rsid w:val="4C5B1FD3"/>
    <w:rsid w:val="4C6D7CEF"/>
    <w:rsid w:val="4C835716"/>
    <w:rsid w:val="4CB14F60"/>
    <w:rsid w:val="4CBD45F6"/>
    <w:rsid w:val="4CC17779"/>
    <w:rsid w:val="4CD751A0"/>
    <w:rsid w:val="4CDB3BA6"/>
    <w:rsid w:val="4D227F5F"/>
    <w:rsid w:val="4D2A71A9"/>
    <w:rsid w:val="4D3245B5"/>
    <w:rsid w:val="4D5D7F57"/>
    <w:rsid w:val="4D6C2657"/>
    <w:rsid w:val="4D9664D8"/>
    <w:rsid w:val="4D9E3092"/>
    <w:rsid w:val="4DA33081"/>
    <w:rsid w:val="4DAF6EC5"/>
    <w:rsid w:val="4DB87D11"/>
    <w:rsid w:val="4DD053B8"/>
    <w:rsid w:val="4DEC4CE8"/>
    <w:rsid w:val="4E1835AE"/>
    <w:rsid w:val="4E2B0F4A"/>
    <w:rsid w:val="4E4A0881"/>
    <w:rsid w:val="4E4F2EF5"/>
    <w:rsid w:val="4E5C4F9C"/>
    <w:rsid w:val="4E5E3D22"/>
    <w:rsid w:val="4E7339BC"/>
    <w:rsid w:val="4E7B601F"/>
    <w:rsid w:val="4E8074C3"/>
    <w:rsid w:val="4E9F478C"/>
    <w:rsid w:val="4EA34CFF"/>
    <w:rsid w:val="4EB2223B"/>
    <w:rsid w:val="4EB71E32"/>
    <w:rsid w:val="4EBC40BC"/>
    <w:rsid w:val="4EC7464B"/>
    <w:rsid w:val="4ED37036"/>
    <w:rsid w:val="4EE05CB9"/>
    <w:rsid w:val="4EE6167D"/>
    <w:rsid w:val="4F083D82"/>
    <w:rsid w:val="4F1F5604"/>
    <w:rsid w:val="4F33177C"/>
    <w:rsid w:val="4F674399"/>
    <w:rsid w:val="4F7769ED"/>
    <w:rsid w:val="4F890E9C"/>
    <w:rsid w:val="4F891D97"/>
    <w:rsid w:val="4FA80021"/>
    <w:rsid w:val="4FB1204A"/>
    <w:rsid w:val="4FE57021"/>
    <w:rsid w:val="4FFB4A48"/>
    <w:rsid w:val="50246B9A"/>
    <w:rsid w:val="50484B47"/>
    <w:rsid w:val="505D7D05"/>
    <w:rsid w:val="508942AC"/>
    <w:rsid w:val="50D17F23"/>
    <w:rsid w:val="50D756B0"/>
    <w:rsid w:val="50E0053E"/>
    <w:rsid w:val="50F607A5"/>
    <w:rsid w:val="50FB06D0"/>
    <w:rsid w:val="511F0F40"/>
    <w:rsid w:val="51236F6A"/>
    <w:rsid w:val="512F57EF"/>
    <w:rsid w:val="5140185C"/>
    <w:rsid w:val="51515D19"/>
    <w:rsid w:val="516A3B30"/>
    <w:rsid w:val="51715817"/>
    <w:rsid w:val="517D38BF"/>
    <w:rsid w:val="517E1341"/>
    <w:rsid w:val="51892F55"/>
    <w:rsid w:val="51A87A94"/>
    <w:rsid w:val="51B23332"/>
    <w:rsid w:val="51F109A5"/>
    <w:rsid w:val="52085A22"/>
    <w:rsid w:val="52137636"/>
    <w:rsid w:val="5217603C"/>
    <w:rsid w:val="521F5647"/>
    <w:rsid w:val="52306627"/>
    <w:rsid w:val="527B179A"/>
    <w:rsid w:val="52CD0D1F"/>
    <w:rsid w:val="530C00B8"/>
    <w:rsid w:val="530E2D51"/>
    <w:rsid w:val="531A6B64"/>
    <w:rsid w:val="53300D07"/>
    <w:rsid w:val="53350A12"/>
    <w:rsid w:val="533F1322"/>
    <w:rsid w:val="533F6DA3"/>
    <w:rsid w:val="53485083"/>
    <w:rsid w:val="537A4E07"/>
    <w:rsid w:val="53A257C3"/>
    <w:rsid w:val="53BF72F1"/>
    <w:rsid w:val="53D870D1"/>
    <w:rsid w:val="53E00459"/>
    <w:rsid w:val="53F6304F"/>
    <w:rsid w:val="5408507F"/>
    <w:rsid w:val="54103BF9"/>
    <w:rsid w:val="542E17C6"/>
    <w:rsid w:val="54406946"/>
    <w:rsid w:val="545F71FB"/>
    <w:rsid w:val="546B5A57"/>
    <w:rsid w:val="54846A8C"/>
    <w:rsid w:val="54A156E6"/>
    <w:rsid w:val="54B642C2"/>
    <w:rsid w:val="54DD7AC9"/>
    <w:rsid w:val="55253D42"/>
    <w:rsid w:val="555121DD"/>
    <w:rsid w:val="55537607"/>
    <w:rsid w:val="55563E5A"/>
    <w:rsid w:val="55933D75"/>
    <w:rsid w:val="559A58FE"/>
    <w:rsid w:val="55A526D5"/>
    <w:rsid w:val="55AE5A0F"/>
    <w:rsid w:val="55B577AC"/>
    <w:rsid w:val="55B74D21"/>
    <w:rsid w:val="55D81A86"/>
    <w:rsid w:val="55DE130B"/>
    <w:rsid w:val="55EF6684"/>
    <w:rsid w:val="55F3268E"/>
    <w:rsid w:val="560B7411"/>
    <w:rsid w:val="561F538D"/>
    <w:rsid w:val="562F341F"/>
    <w:rsid w:val="564E514A"/>
    <w:rsid w:val="56630BCA"/>
    <w:rsid w:val="56642DC8"/>
    <w:rsid w:val="56B95D55"/>
    <w:rsid w:val="56C842A1"/>
    <w:rsid w:val="56CB3A71"/>
    <w:rsid w:val="57214480"/>
    <w:rsid w:val="5735569F"/>
    <w:rsid w:val="574127B6"/>
    <w:rsid w:val="57435CBA"/>
    <w:rsid w:val="5744373B"/>
    <w:rsid w:val="575D5B12"/>
    <w:rsid w:val="57742B5F"/>
    <w:rsid w:val="577F009D"/>
    <w:rsid w:val="578F4319"/>
    <w:rsid w:val="57AB0B61"/>
    <w:rsid w:val="57B97E77"/>
    <w:rsid w:val="57C4750C"/>
    <w:rsid w:val="57E37DC1"/>
    <w:rsid w:val="57F170D7"/>
    <w:rsid w:val="57FE63ED"/>
    <w:rsid w:val="580A43FE"/>
    <w:rsid w:val="58422359"/>
    <w:rsid w:val="585225F3"/>
    <w:rsid w:val="585358CC"/>
    <w:rsid w:val="58594131"/>
    <w:rsid w:val="5870373F"/>
    <w:rsid w:val="58767330"/>
    <w:rsid w:val="58A46B7A"/>
    <w:rsid w:val="58AC5CE9"/>
    <w:rsid w:val="58B21713"/>
    <w:rsid w:val="58C52932"/>
    <w:rsid w:val="58D97D87"/>
    <w:rsid w:val="58E761C6"/>
    <w:rsid w:val="590B7824"/>
    <w:rsid w:val="591B3341"/>
    <w:rsid w:val="592A00D8"/>
    <w:rsid w:val="59473E05"/>
    <w:rsid w:val="594A2B8C"/>
    <w:rsid w:val="596A25B6"/>
    <w:rsid w:val="59704FCA"/>
    <w:rsid w:val="59797E57"/>
    <w:rsid w:val="59867460"/>
    <w:rsid w:val="59B54439"/>
    <w:rsid w:val="59D038F6"/>
    <w:rsid w:val="59FE18A6"/>
    <w:rsid w:val="5A0554BD"/>
    <w:rsid w:val="5A194AD6"/>
    <w:rsid w:val="5A2703CF"/>
    <w:rsid w:val="5A3E4DB1"/>
    <w:rsid w:val="5A5B1879"/>
    <w:rsid w:val="5A714553"/>
    <w:rsid w:val="5A7A547C"/>
    <w:rsid w:val="5AB94067"/>
    <w:rsid w:val="5AC3199B"/>
    <w:rsid w:val="5AD34C11"/>
    <w:rsid w:val="5AD73066"/>
    <w:rsid w:val="5AEF02E7"/>
    <w:rsid w:val="5AF50649"/>
    <w:rsid w:val="5B0E27EC"/>
    <w:rsid w:val="5B2F04D8"/>
    <w:rsid w:val="5B2F7529"/>
    <w:rsid w:val="5B6F4A8F"/>
    <w:rsid w:val="5B77571F"/>
    <w:rsid w:val="5B883D6E"/>
    <w:rsid w:val="5BC16EB7"/>
    <w:rsid w:val="5BC73735"/>
    <w:rsid w:val="5BF117E5"/>
    <w:rsid w:val="5BF93998"/>
    <w:rsid w:val="5BFD3CA7"/>
    <w:rsid w:val="5C0C4088"/>
    <w:rsid w:val="5C463A79"/>
    <w:rsid w:val="5C4B3179"/>
    <w:rsid w:val="5C4E40FD"/>
    <w:rsid w:val="5C620B9F"/>
    <w:rsid w:val="5C8A64E1"/>
    <w:rsid w:val="5CE744E5"/>
    <w:rsid w:val="5D132E35"/>
    <w:rsid w:val="5D1E02B8"/>
    <w:rsid w:val="5D3C3D86"/>
    <w:rsid w:val="5D3E5492"/>
    <w:rsid w:val="5D443390"/>
    <w:rsid w:val="5D510158"/>
    <w:rsid w:val="5D5546B9"/>
    <w:rsid w:val="5D562DC6"/>
    <w:rsid w:val="5D6D4555"/>
    <w:rsid w:val="5D73652B"/>
    <w:rsid w:val="5D9A631E"/>
    <w:rsid w:val="5DA00227"/>
    <w:rsid w:val="5DAB0C20"/>
    <w:rsid w:val="5DBD1701"/>
    <w:rsid w:val="5DC21A60"/>
    <w:rsid w:val="5DE01011"/>
    <w:rsid w:val="5E1A0086"/>
    <w:rsid w:val="5E1B3A56"/>
    <w:rsid w:val="5E6437E8"/>
    <w:rsid w:val="5E7824C9"/>
    <w:rsid w:val="5E972D3D"/>
    <w:rsid w:val="5EA64F3B"/>
    <w:rsid w:val="5EC8350D"/>
    <w:rsid w:val="5ECE1AC8"/>
    <w:rsid w:val="5EE66340"/>
    <w:rsid w:val="5EEC0470"/>
    <w:rsid w:val="5EEE1FA5"/>
    <w:rsid w:val="5F011031"/>
    <w:rsid w:val="5F0458F0"/>
    <w:rsid w:val="5F33643F"/>
    <w:rsid w:val="5F420C58"/>
    <w:rsid w:val="5F51216C"/>
    <w:rsid w:val="5F9D1EC6"/>
    <w:rsid w:val="5FB54A41"/>
    <w:rsid w:val="5FE03FD9"/>
    <w:rsid w:val="5FFD2479"/>
    <w:rsid w:val="60400DD0"/>
    <w:rsid w:val="604B3CC4"/>
    <w:rsid w:val="606122A2"/>
    <w:rsid w:val="607C70EE"/>
    <w:rsid w:val="60A04417"/>
    <w:rsid w:val="60AF5838"/>
    <w:rsid w:val="60C26B4A"/>
    <w:rsid w:val="60DA7F88"/>
    <w:rsid w:val="60FC34AC"/>
    <w:rsid w:val="61094D40"/>
    <w:rsid w:val="6142350F"/>
    <w:rsid w:val="61563B11"/>
    <w:rsid w:val="61886913"/>
    <w:rsid w:val="61A85B43"/>
    <w:rsid w:val="61BB5003"/>
    <w:rsid w:val="61C2066F"/>
    <w:rsid w:val="61D63B93"/>
    <w:rsid w:val="61E7472F"/>
    <w:rsid w:val="61E91E30"/>
    <w:rsid w:val="61F43A44"/>
    <w:rsid w:val="620713E0"/>
    <w:rsid w:val="621020BF"/>
    <w:rsid w:val="6217747C"/>
    <w:rsid w:val="621E4B15"/>
    <w:rsid w:val="62267780"/>
    <w:rsid w:val="62486B40"/>
    <w:rsid w:val="625D7BF0"/>
    <w:rsid w:val="62764B13"/>
    <w:rsid w:val="627F124B"/>
    <w:rsid w:val="62805827"/>
    <w:rsid w:val="62957D4A"/>
    <w:rsid w:val="62BE0F0F"/>
    <w:rsid w:val="62D96BBE"/>
    <w:rsid w:val="62ED1D08"/>
    <w:rsid w:val="62F54485"/>
    <w:rsid w:val="62F910AC"/>
    <w:rsid w:val="63162B7D"/>
    <w:rsid w:val="635F7193"/>
    <w:rsid w:val="636154F5"/>
    <w:rsid w:val="63716434"/>
    <w:rsid w:val="63791642"/>
    <w:rsid w:val="637E354B"/>
    <w:rsid w:val="6386440B"/>
    <w:rsid w:val="63896E25"/>
    <w:rsid w:val="63973F0B"/>
    <w:rsid w:val="63990CB9"/>
    <w:rsid w:val="63A60C43"/>
    <w:rsid w:val="63BF2D5C"/>
    <w:rsid w:val="63E663F3"/>
    <w:rsid w:val="640A78AC"/>
    <w:rsid w:val="643F5B88"/>
    <w:rsid w:val="6446675C"/>
    <w:rsid w:val="644E4B1D"/>
    <w:rsid w:val="6464435F"/>
    <w:rsid w:val="647C4368"/>
    <w:rsid w:val="649609DD"/>
    <w:rsid w:val="649E6FEC"/>
    <w:rsid w:val="64A1578A"/>
    <w:rsid w:val="64AF16BF"/>
    <w:rsid w:val="64E23E10"/>
    <w:rsid w:val="64EC4B99"/>
    <w:rsid w:val="64F1308B"/>
    <w:rsid w:val="6512581D"/>
    <w:rsid w:val="65316493"/>
    <w:rsid w:val="65544EC0"/>
    <w:rsid w:val="65652284"/>
    <w:rsid w:val="6569656F"/>
    <w:rsid w:val="65A26140"/>
    <w:rsid w:val="65B11DA8"/>
    <w:rsid w:val="65B81B71"/>
    <w:rsid w:val="65C9561D"/>
    <w:rsid w:val="65CF1796"/>
    <w:rsid w:val="65D54A71"/>
    <w:rsid w:val="66146A07"/>
    <w:rsid w:val="66360241"/>
    <w:rsid w:val="663F30CF"/>
    <w:rsid w:val="66555272"/>
    <w:rsid w:val="66912F06"/>
    <w:rsid w:val="669816F7"/>
    <w:rsid w:val="669830CC"/>
    <w:rsid w:val="66B36B3A"/>
    <w:rsid w:val="66C84F3D"/>
    <w:rsid w:val="66CF38B7"/>
    <w:rsid w:val="66F74A7C"/>
    <w:rsid w:val="66FB3482"/>
    <w:rsid w:val="67173425"/>
    <w:rsid w:val="672B1A53"/>
    <w:rsid w:val="673F4E70"/>
    <w:rsid w:val="677F5C59"/>
    <w:rsid w:val="67A0506F"/>
    <w:rsid w:val="67B251AF"/>
    <w:rsid w:val="67BD79C1"/>
    <w:rsid w:val="67D30F67"/>
    <w:rsid w:val="67DA1203"/>
    <w:rsid w:val="67F5281D"/>
    <w:rsid w:val="681F6BCA"/>
    <w:rsid w:val="683B0720"/>
    <w:rsid w:val="68693658"/>
    <w:rsid w:val="688A7410"/>
    <w:rsid w:val="68981FA9"/>
    <w:rsid w:val="68B50F84"/>
    <w:rsid w:val="68D11952"/>
    <w:rsid w:val="68D4658B"/>
    <w:rsid w:val="68D7221A"/>
    <w:rsid w:val="68F71138"/>
    <w:rsid w:val="693252F2"/>
    <w:rsid w:val="69341E28"/>
    <w:rsid w:val="69393D95"/>
    <w:rsid w:val="694677C3"/>
    <w:rsid w:val="694F30D8"/>
    <w:rsid w:val="69680FB6"/>
    <w:rsid w:val="69732C11"/>
    <w:rsid w:val="697F0C22"/>
    <w:rsid w:val="699847F7"/>
    <w:rsid w:val="69B226F6"/>
    <w:rsid w:val="69D22C2B"/>
    <w:rsid w:val="69F021DB"/>
    <w:rsid w:val="6A295ED4"/>
    <w:rsid w:val="6A3C265A"/>
    <w:rsid w:val="6A465168"/>
    <w:rsid w:val="6A48066B"/>
    <w:rsid w:val="6A481C33"/>
    <w:rsid w:val="6A624C24"/>
    <w:rsid w:val="6A663BD7"/>
    <w:rsid w:val="6A6D7EDB"/>
    <w:rsid w:val="6A6E2AA9"/>
    <w:rsid w:val="6A6F052B"/>
    <w:rsid w:val="6A8B7776"/>
    <w:rsid w:val="6AAC5B78"/>
    <w:rsid w:val="6AB6657A"/>
    <w:rsid w:val="6AB8181F"/>
    <w:rsid w:val="6AE24FE6"/>
    <w:rsid w:val="6AEB2E5A"/>
    <w:rsid w:val="6B1732C2"/>
    <w:rsid w:val="6B2547D6"/>
    <w:rsid w:val="6B2A53A5"/>
    <w:rsid w:val="6B2F50E5"/>
    <w:rsid w:val="6B3063EA"/>
    <w:rsid w:val="6B4D720A"/>
    <w:rsid w:val="6B554842"/>
    <w:rsid w:val="6B650E43"/>
    <w:rsid w:val="6B656412"/>
    <w:rsid w:val="6B6B3F10"/>
    <w:rsid w:val="6B7C2AF5"/>
    <w:rsid w:val="6B7C78D7"/>
    <w:rsid w:val="6B9051ED"/>
    <w:rsid w:val="6BAF41F1"/>
    <w:rsid w:val="6BD43675"/>
    <w:rsid w:val="6BD805A3"/>
    <w:rsid w:val="6BE82E3C"/>
    <w:rsid w:val="6BF825B0"/>
    <w:rsid w:val="6C022EBF"/>
    <w:rsid w:val="6C76177A"/>
    <w:rsid w:val="6C762E7E"/>
    <w:rsid w:val="6C772D17"/>
    <w:rsid w:val="6CC11FF9"/>
    <w:rsid w:val="6CC60CA5"/>
    <w:rsid w:val="6CDB6426"/>
    <w:rsid w:val="6D04082D"/>
    <w:rsid w:val="6D124381"/>
    <w:rsid w:val="6D3348B6"/>
    <w:rsid w:val="6D4547D0"/>
    <w:rsid w:val="6D7029B4"/>
    <w:rsid w:val="6D7E5C2F"/>
    <w:rsid w:val="6D8455BA"/>
    <w:rsid w:val="6D85303B"/>
    <w:rsid w:val="6D87299A"/>
    <w:rsid w:val="6D875883"/>
    <w:rsid w:val="6DC61A61"/>
    <w:rsid w:val="6E0141C3"/>
    <w:rsid w:val="6E1A1331"/>
    <w:rsid w:val="6E1B6DB2"/>
    <w:rsid w:val="6E5B1D9A"/>
    <w:rsid w:val="6E7042BE"/>
    <w:rsid w:val="6E725242"/>
    <w:rsid w:val="6E912274"/>
    <w:rsid w:val="6EA81E99"/>
    <w:rsid w:val="6EB23262"/>
    <w:rsid w:val="6EB35C70"/>
    <w:rsid w:val="6EB7265F"/>
    <w:rsid w:val="6ECF42D7"/>
    <w:rsid w:val="6EF819DB"/>
    <w:rsid w:val="6EF957F8"/>
    <w:rsid w:val="6EFE06AA"/>
    <w:rsid w:val="6F0A66BA"/>
    <w:rsid w:val="6F157201"/>
    <w:rsid w:val="6F165D50"/>
    <w:rsid w:val="6F221B63"/>
    <w:rsid w:val="6F32657A"/>
    <w:rsid w:val="6F3E5C10"/>
    <w:rsid w:val="6F483FA1"/>
    <w:rsid w:val="6F4C29A7"/>
    <w:rsid w:val="6F525CF7"/>
    <w:rsid w:val="6F730668"/>
    <w:rsid w:val="6F7F2191"/>
    <w:rsid w:val="6F9E36AB"/>
    <w:rsid w:val="6F9F69C8"/>
    <w:rsid w:val="6FA556EE"/>
    <w:rsid w:val="6FFB3565"/>
    <w:rsid w:val="700F38B8"/>
    <w:rsid w:val="70404539"/>
    <w:rsid w:val="704B28CA"/>
    <w:rsid w:val="70531ED5"/>
    <w:rsid w:val="70621C85"/>
    <w:rsid w:val="70703A03"/>
    <w:rsid w:val="707520CA"/>
    <w:rsid w:val="709C13CF"/>
    <w:rsid w:val="70ED6050"/>
    <w:rsid w:val="71423D5C"/>
    <w:rsid w:val="716E3C04"/>
    <w:rsid w:val="7174513C"/>
    <w:rsid w:val="71767DF5"/>
    <w:rsid w:val="719802C0"/>
    <w:rsid w:val="71994237"/>
    <w:rsid w:val="71A71502"/>
    <w:rsid w:val="71C938C1"/>
    <w:rsid w:val="71FA6D8D"/>
    <w:rsid w:val="72417502"/>
    <w:rsid w:val="72771BDA"/>
    <w:rsid w:val="728467F8"/>
    <w:rsid w:val="728F637A"/>
    <w:rsid w:val="72952764"/>
    <w:rsid w:val="72A569AF"/>
    <w:rsid w:val="72C96161"/>
    <w:rsid w:val="72CB2332"/>
    <w:rsid w:val="72E2684F"/>
    <w:rsid w:val="72FF2DB8"/>
    <w:rsid w:val="730F3052"/>
    <w:rsid w:val="73193962"/>
    <w:rsid w:val="732F5B05"/>
    <w:rsid w:val="733337C8"/>
    <w:rsid w:val="73396415"/>
    <w:rsid w:val="733C2C1D"/>
    <w:rsid w:val="734C1F39"/>
    <w:rsid w:val="734E570F"/>
    <w:rsid w:val="73553B3B"/>
    <w:rsid w:val="736D33EC"/>
    <w:rsid w:val="73866514"/>
    <w:rsid w:val="73BF7973"/>
    <w:rsid w:val="73CA1587"/>
    <w:rsid w:val="73EF5F44"/>
    <w:rsid w:val="74123008"/>
    <w:rsid w:val="741A4809"/>
    <w:rsid w:val="74252B9A"/>
    <w:rsid w:val="74445FEC"/>
    <w:rsid w:val="746831C4"/>
    <w:rsid w:val="746B2700"/>
    <w:rsid w:val="749D7361"/>
    <w:rsid w:val="749D7B1B"/>
    <w:rsid w:val="74E83C2C"/>
    <w:rsid w:val="74FE6101"/>
    <w:rsid w:val="75076A10"/>
    <w:rsid w:val="750C7615"/>
    <w:rsid w:val="75173427"/>
    <w:rsid w:val="75321A53"/>
    <w:rsid w:val="757B56CA"/>
    <w:rsid w:val="75853A5B"/>
    <w:rsid w:val="758672DF"/>
    <w:rsid w:val="75B7241E"/>
    <w:rsid w:val="75BF63EA"/>
    <w:rsid w:val="75C65B4A"/>
    <w:rsid w:val="75F43968"/>
    <w:rsid w:val="75FF28EA"/>
    <w:rsid w:val="762B32F0"/>
    <w:rsid w:val="762F1CF6"/>
    <w:rsid w:val="763B5B08"/>
    <w:rsid w:val="769A13A5"/>
    <w:rsid w:val="769F132D"/>
    <w:rsid w:val="76A154AD"/>
    <w:rsid w:val="76AE0046"/>
    <w:rsid w:val="76C8536C"/>
    <w:rsid w:val="76F75EBB"/>
    <w:rsid w:val="77047750"/>
    <w:rsid w:val="77345D20"/>
    <w:rsid w:val="773D0BAE"/>
    <w:rsid w:val="775C3EE3"/>
    <w:rsid w:val="777B0693"/>
    <w:rsid w:val="779437BB"/>
    <w:rsid w:val="779F685E"/>
    <w:rsid w:val="77A47B34"/>
    <w:rsid w:val="77B030EB"/>
    <w:rsid w:val="77BB147D"/>
    <w:rsid w:val="77C3210C"/>
    <w:rsid w:val="77F77802"/>
    <w:rsid w:val="78027672"/>
    <w:rsid w:val="782045B5"/>
    <w:rsid w:val="78206C22"/>
    <w:rsid w:val="78217CF6"/>
    <w:rsid w:val="78306EBD"/>
    <w:rsid w:val="7832223B"/>
    <w:rsid w:val="7842045C"/>
    <w:rsid w:val="784E67E6"/>
    <w:rsid w:val="785173F2"/>
    <w:rsid w:val="788479DD"/>
    <w:rsid w:val="788623E0"/>
    <w:rsid w:val="789F07F6"/>
    <w:rsid w:val="78A4749A"/>
    <w:rsid w:val="78AA23D0"/>
    <w:rsid w:val="78BE1FA4"/>
    <w:rsid w:val="78F72CC7"/>
    <w:rsid w:val="78FF6291"/>
    <w:rsid w:val="790A7EA5"/>
    <w:rsid w:val="79132D33"/>
    <w:rsid w:val="79156236"/>
    <w:rsid w:val="79160434"/>
    <w:rsid w:val="79196E3A"/>
    <w:rsid w:val="79300FDE"/>
    <w:rsid w:val="794C090E"/>
    <w:rsid w:val="794C6E87"/>
    <w:rsid w:val="79520299"/>
    <w:rsid w:val="79662FDD"/>
    <w:rsid w:val="79905B80"/>
    <w:rsid w:val="79957A6C"/>
    <w:rsid w:val="79963C84"/>
    <w:rsid w:val="799C1992"/>
    <w:rsid w:val="799D1612"/>
    <w:rsid w:val="79B87458"/>
    <w:rsid w:val="79C008CD"/>
    <w:rsid w:val="79D06969"/>
    <w:rsid w:val="7A026DB8"/>
    <w:rsid w:val="7A0D09CC"/>
    <w:rsid w:val="7A2F2206"/>
    <w:rsid w:val="7A34668D"/>
    <w:rsid w:val="7A3A6520"/>
    <w:rsid w:val="7A4773C4"/>
    <w:rsid w:val="7A494638"/>
    <w:rsid w:val="7A68455E"/>
    <w:rsid w:val="7A6F196A"/>
    <w:rsid w:val="7A8160AC"/>
    <w:rsid w:val="7A831FB1"/>
    <w:rsid w:val="7A8E221F"/>
    <w:rsid w:val="7AA26CC1"/>
    <w:rsid w:val="7AB80E65"/>
    <w:rsid w:val="7AD81433"/>
    <w:rsid w:val="7AF2711A"/>
    <w:rsid w:val="7B0F3A72"/>
    <w:rsid w:val="7B263365"/>
    <w:rsid w:val="7B2A76EA"/>
    <w:rsid w:val="7B556765"/>
    <w:rsid w:val="7B9671CE"/>
    <w:rsid w:val="7B9D6B59"/>
    <w:rsid w:val="7BD51EF2"/>
    <w:rsid w:val="7BEF1933"/>
    <w:rsid w:val="7BFF337A"/>
    <w:rsid w:val="7C1803AD"/>
    <w:rsid w:val="7C1830A2"/>
    <w:rsid w:val="7C272341"/>
    <w:rsid w:val="7C30725E"/>
    <w:rsid w:val="7C3228D0"/>
    <w:rsid w:val="7C453E0E"/>
    <w:rsid w:val="7C57508E"/>
    <w:rsid w:val="7C617B9C"/>
    <w:rsid w:val="7C8C66DD"/>
    <w:rsid w:val="7C91775A"/>
    <w:rsid w:val="7CAC259A"/>
    <w:rsid w:val="7CB65BDA"/>
    <w:rsid w:val="7CD36BD6"/>
    <w:rsid w:val="7CF355B6"/>
    <w:rsid w:val="7CF77196"/>
    <w:rsid w:val="7D0D5738"/>
    <w:rsid w:val="7D191CD5"/>
    <w:rsid w:val="7D1B77CE"/>
    <w:rsid w:val="7D225826"/>
    <w:rsid w:val="7D233B36"/>
    <w:rsid w:val="7D287965"/>
    <w:rsid w:val="7D2F675E"/>
    <w:rsid w:val="7D326C64"/>
    <w:rsid w:val="7D466F9B"/>
    <w:rsid w:val="7D515334"/>
    <w:rsid w:val="7D53622B"/>
    <w:rsid w:val="7D6502A4"/>
    <w:rsid w:val="7D842909"/>
    <w:rsid w:val="7D8C3E06"/>
    <w:rsid w:val="7D9F5025"/>
    <w:rsid w:val="7DAE699B"/>
    <w:rsid w:val="7DB47273"/>
    <w:rsid w:val="7DE135A9"/>
    <w:rsid w:val="7DFE8CC6"/>
    <w:rsid w:val="7E041453"/>
    <w:rsid w:val="7E20467A"/>
    <w:rsid w:val="7E3002D4"/>
    <w:rsid w:val="7E765088"/>
    <w:rsid w:val="7E994343"/>
    <w:rsid w:val="7EA5004A"/>
    <w:rsid w:val="7EB4296F"/>
    <w:rsid w:val="7EB538D7"/>
    <w:rsid w:val="7ED21F1F"/>
    <w:rsid w:val="7EEA75C6"/>
    <w:rsid w:val="7F0B7AFA"/>
    <w:rsid w:val="7F0E6500"/>
    <w:rsid w:val="7F14040A"/>
    <w:rsid w:val="7F150229"/>
    <w:rsid w:val="7F162659"/>
    <w:rsid w:val="7F1A176A"/>
    <w:rsid w:val="7F25162F"/>
    <w:rsid w:val="7F263BA7"/>
    <w:rsid w:val="7F566A0E"/>
    <w:rsid w:val="7F5C6600"/>
    <w:rsid w:val="7F7A251D"/>
    <w:rsid w:val="7F7D695E"/>
    <w:rsid w:val="7FA73739"/>
    <w:rsid w:val="7FB048E1"/>
    <w:rsid w:val="7FB86DEC"/>
    <w:rsid w:val="7FC71C2E"/>
    <w:rsid w:val="7FE21D5C"/>
    <w:rsid w:val="7FE50AE2"/>
    <w:rsid w:val="BBFFBF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6"/>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link w:val="35"/>
    <w:qFormat/>
    <w:uiPriority w:val="0"/>
    <w:pPr>
      <w:spacing w:after="120"/>
    </w:pPr>
    <w:rPr>
      <w:rFonts w:ascii="Calibri" w:hAnsi="Calibri"/>
    </w:rPr>
  </w:style>
  <w:style w:type="paragraph" w:styleId="3">
    <w:name w:val="Body Text First Indent"/>
    <w:basedOn w:val="2"/>
    <w:next w:val="1"/>
    <w:link w:val="94"/>
    <w:qFormat/>
    <w:uiPriority w:val="0"/>
    <w:pPr>
      <w:autoSpaceDE w:val="0"/>
      <w:autoSpaceDN w:val="0"/>
      <w:adjustRightInd w:val="0"/>
      <w:spacing w:after="0"/>
      <w:jc w:val="left"/>
    </w:pPr>
    <w:rPr>
      <w:kern w:val="0"/>
      <w:szCs w:val="20"/>
    </w:rPr>
  </w:style>
  <w:style w:type="paragraph" w:styleId="7">
    <w:name w:val="Normal Indent"/>
    <w:basedOn w:val="1"/>
    <w:link w:val="46"/>
    <w:qFormat/>
    <w:uiPriority w:val="0"/>
    <w:pPr>
      <w:ind w:firstLine="420"/>
    </w:pPr>
    <w:rPr>
      <w:szCs w:val="20"/>
    </w:rPr>
  </w:style>
  <w:style w:type="paragraph" w:styleId="8">
    <w:name w:val="annotation text"/>
    <w:basedOn w:val="1"/>
    <w:link w:val="63"/>
    <w:qFormat/>
    <w:uiPriority w:val="0"/>
    <w:pPr>
      <w:jc w:val="left"/>
    </w:pPr>
    <w:rPr>
      <w:rFonts w:ascii="Tahoma" w:hAnsi="Tahoma"/>
    </w:rPr>
  </w:style>
  <w:style w:type="paragraph" w:styleId="9">
    <w:name w:val="Body Text Indent"/>
    <w:basedOn w:val="1"/>
    <w:link w:val="36"/>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7"/>
    <w:qFormat/>
    <w:uiPriority w:val="99"/>
    <w:pPr>
      <w:spacing w:beforeLines="50" w:afterLines="50" w:line="400" w:lineRule="exact"/>
    </w:pPr>
    <w:rPr>
      <w:rFonts w:ascii="宋体" w:hAnsi="Courier New"/>
      <w:sz w:val="24"/>
    </w:rPr>
  </w:style>
  <w:style w:type="paragraph" w:styleId="13">
    <w:name w:val="Date"/>
    <w:basedOn w:val="1"/>
    <w:next w:val="1"/>
    <w:qFormat/>
    <w:uiPriority w:val="0"/>
    <w:pPr>
      <w:ind w:leftChars="2500"/>
    </w:pPr>
    <w:rPr>
      <w:rFonts w:eastAsia="楷体_GB2312"/>
      <w:sz w:val="32"/>
      <w:szCs w:val="20"/>
    </w:rPr>
  </w:style>
  <w:style w:type="paragraph" w:styleId="14">
    <w:name w:val="Body Text Indent 2"/>
    <w:basedOn w:val="1"/>
    <w:link w:val="60"/>
    <w:unhideWhenUsed/>
    <w:qFormat/>
    <w:uiPriority w:val="99"/>
    <w:pPr>
      <w:spacing w:after="120" w:line="480" w:lineRule="auto"/>
      <w:ind w:left="420" w:leftChars="200"/>
    </w:pPr>
  </w:style>
  <w:style w:type="paragraph" w:styleId="15">
    <w:name w:val="Balloon Text"/>
    <w:basedOn w:val="1"/>
    <w:link w:val="44"/>
    <w:unhideWhenUsed/>
    <w:qFormat/>
    <w:uiPriority w:val="0"/>
    <w:rPr>
      <w:sz w:val="18"/>
      <w:szCs w:val="18"/>
    </w:rPr>
  </w:style>
  <w:style w:type="paragraph" w:styleId="16">
    <w:name w:val="footer"/>
    <w:basedOn w:val="1"/>
    <w:link w:val="38"/>
    <w:unhideWhenUsed/>
    <w:qFormat/>
    <w:uiPriority w:val="0"/>
    <w:pPr>
      <w:tabs>
        <w:tab w:val="center" w:pos="4153"/>
        <w:tab w:val="right" w:pos="8306"/>
      </w:tabs>
      <w:snapToGrid w:val="0"/>
      <w:jc w:val="left"/>
    </w:pPr>
    <w:rPr>
      <w:sz w:val="18"/>
      <w:szCs w:val="18"/>
    </w:rPr>
  </w:style>
  <w:style w:type="paragraph" w:styleId="17">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9"/>
    <w:link w:val="41"/>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List Paragraph"/>
    <w:basedOn w:val="1"/>
    <w:qFormat/>
    <w:uiPriority w:val="0"/>
    <w:pPr>
      <w:spacing w:line="360" w:lineRule="auto"/>
      <w:ind w:firstLine="420" w:firstLineChars="200"/>
    </w:pPr>
    <w:rPr>
      <w:rFonts w:ascii="Calibri" w:hAnsi="Calibri"/>
      <w:szCs w:val="22"/>
    </w:rPr>
  </w:style>
  <w:style w:type="character" w:customStyle="1" w:styleId="34">
    <w:name w:val="标题 2 Char"/>
    <w:basedOn w:val="26"/>
    <w:link w:val="5"/>
    <w:qFormat/>
    <w:uiPriority w:val="0"/>
    <w:rPr>
      <w:rFonts w:ascii="宋体" w:hAnsi="宋体" w:eastAsia="宋体" w:cs="Times New Roman"/>
      <w:b/>
      <w:bCs/>
      <w:sz w:val="24"/>
      <w:szCs w:val="24"/>
    </w:rPr>
  </w:style>
  <w:style w:type="character" w:customStyle="1" w:styleId="35">
    <w:name w:val="正文文本 Char"/>
    <w:basedOn w:val="26"/>
    <w:link w:val="2"/>
    <w:qFormat/>
    <w:uiPriority w:val="0"/>
    <w:rPr>
      <w:rFonts w:ascii="Calibri" w:hAnsi="Calibri" w:eastAsia="宋体" w:cs="Times New Roman"/>
      <w:szCs w:val="24"/>
    </w:rPr>
  </w:style>
  <w:style w:type="character" w:customStyle="1" w:styleId="36">
    <w:name w:val="正文文本缩进 Char"/>
    <w:basedOn w:val="26"/>
    <w:link w:val="9"/>
    <w:qFormat/>
    <w:uiPriority w:val="0"/>
    <w:rPr>
      <w:rFonts w:ascii="Calibri" w:hAnsi="Calibri" w:eastAsia="宋体" w:cs="Times New Roman"/>
      <w:szCs w:val="24"/>
    </w:rPr>
  </w:style>
  <w:style w:type="character" w:customStyle="1" w:styleId="37">
    <w:name w:val="纯文本 Char"/>
    <w:basedOn w:val="26"/>
    <w:link w:val="12"/>
    <w:qFormat/>
    <w:uiPriority w:val="99"/>
    <w:rPr>
      <w:rFonts w:ascii="宋体" w:hAnsi="Courier New" w:eastAsia="宋体" w:cs="Times New Roman"/>
      <w:sz w:val="24"/>
      <w:szCs w:val="24"/>
    </w:rPr>
  </w:style>
  <w:style w:type="character" w:customStyle="1" w:styleId="38">
    <w:name w:val="页脚 Char"/>
    <w:basedOn w:val="26"/>
    <w:link w:val="16"/>
    <w:qFormat/>
    <w:uiPriority w:val="0"/>
    <w:rPr>
      <w:rFonts w:ascii="Times New Roman" w:hAnsi="Times New Roman" w:eastAsia="宋体" w:cs="Times New Roman"/>
      <w:sz w:val="18"/>
      <w:szCs w:val="18"/>
    </w:rPr>
  </w:style>
  <w:style w:type="character" w:customStyle="1" w:styleId="39">
    <w:name w:val="页眉 Char"/>
    <w:basedOn w:val="26"/>
    <w:link w:val="17"/>
    <w:qFormat/>
    <w:uiPriority w:val="0"/>
    <w:rPr>
      <w:rFonts w:ascii="Times New Roman" w:hAnsi="Times New Roman" w:eastAsia="宋体" w:cs="Times New Roman"/>
      <w:sz w:val="18"/>
      <w:szCs w:val="18"/>
    </w:rPr>
  </w:style>
  <w:style w:type="character" w:customStyle="1" w:styleId="40">
    <w:name w:val="正文文本 2 Char"/>
    <w:basedOn w:val="26"/>
    <w:link w:val="20"/>
    <w:qFormat/>
    <w:uiPriority w:val="0"/>
    <w:rPr>
      <w:rFonts w:ascii="宋体" w:hAnsi="宋体" w:eastAsia="宋体" w:cs="Times New Roman"/>
      <w:color w:val="000000"/>
      <w:sz w:val="24"/>
      <w:szCs w:val="24"/>
    </w:rPr>
  </w:style>
  <w:style w:type="character" w:customStyle="1" w:styleId="41">
    <w:name w:val="正文首行缩进 2 Char"/>
    <w:basedOn w:val="36"/>
    <w:link w:val="23"/>
    <w:semiHidden/>
    <w:qFormat/>
    <w:uiPriority w:val="99"/>
    <w:rPr>
      <w:rFonts w:ascii="Times New Roman" w:hAnsi="Times New Roman" w:eastAsia="宋体" w:cs="Times New Roman"/>
      <w:szCs w:val="24"/>
    </w:rPr>
  </w:style>
  <w:style w:type="paragraph" w:customStyle="1" w:styleId="42">
    <w:name w:val="*正文"/>
    <w:basedOn w:val="1"/>
    <w:link w:val="89"/>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Char"/>
    <w:basedOn w:val="26"/>
    <w:link w:val="15"/>
    <w:qFormat/>
    <w:uiPriority w:val="0"/>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Char"/>
    <w:basedOn w:val="26"/>
    <w:link w:val="7"/>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customStyle="1" w:styleId="48">
    <w:name w:val="列出段落1"/>
    <w:basedOn w:val="1"/>
    <w:link w:val="90"/>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Char"/>
    <w:basedOn w:val="26"/>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6"/>
    <w:link w:val="14"/>
    <w:semiHidden/>
    <w:qFormat/>
    <w:uiPriority w:val="99"/>
    <w:rPr>
      <w:rFonts w:ascii="Times New Roman" w:hAnsi="Times New Roman" w:eastAsia="宋体" w:cs="Times New Roman"/>
      <w:szCs w:val="24"/>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3">
    <w:name w:val="批注文字 Char"/>
    <w:basedOn w:val="26"/>
    <w:link w:val="8"/>
    <w:qFormat/>
    <w:uiPriority w:val="0"/>
    <w:rPr>
      <w:rFonts w:ascii="Tahoma" w:hAnsi="Tahoma" w:eastAsia="宋体" w:cs="Times New Roman"/>
      <w:szCs w:val="24"/>
    </w:rPr>
  </w:style>
  <w:style w:type="character" w:customStyle="1" w:styleId="64">
    <w:name w:val="font11"/>
    <w:basedOn w:val="26"/>
    <w:qFormat/>
    <w:uiPriority w:val="0"/>
    <w:rPr>
      <w:rFonts w:hint="eastAsia" w:ascii="宋体" w:hAnsi="宋体" w:eastAsia="宋体" w:cs="宋体"/>
      <w:color w:val="000000"/>
      <w:sz w:val="23"/>
      <w:szCs w:val="23"/>
      <w:u w:val="none"/>
    </w:rPr>
  </w:style>
  <w:style w:type="character" w:customStyle="1" w:styleId="65">
    <w:name w:val="font31"/>
    <w:basedOn w:val="26"/>
    <w:qFormat/>
    <w:uiPriority w:val="0"/>
    <w:rPr>
      <w:rFonts w:hint="default" w:ascii="Times New Roman" w:hAnsi="Times New Roman" w:cs="Times New Roman"/>
      <w:color w:val="000000"/>
      <w:sz w:val="23"/>
      <w:szCs w:val="23"/>
      <w:u w:val="none"/>
    </w:rPr>
  </w:style>
  <w:style w:type="character" w:customStyle="1" w:styleId="66">
    <w:name w:val="标题 3 Char"/>
    <w:link w:val="6"/>
    <w:qFormat/>
    <w:locked/>
    <w:uiPriority w:val="0"/>
    <w:rPr>
      <w:rFonts w:eastAsia="楷体_GB2312"/>
      <w:b/>
      <w:bCs/>
      <w:szCs w:val="32"/>
    </w:rPr>
  </w:style>
  <w:style w:type="character" w:customStyle="1" w:styleId="67">
    <w:name w:val="font21"/>
    <w:basedOn w:val="26"/>
    <w:qFormat/>
    <w:uiPriority w:val="0"/>
    <w:rPr>
      <w:rFonts w:hint="eastAsia" w:ascii="宋体" w:hAnsi="宋体" w:eastAsia="宋体" w:cs="宋体"/>
      <w:color w:val="000000"/>
      <w:sz w:val="23"/>
      <w:szCs w:val="23"/>
      <w:u w:val="none"/>
    </w:rPr>
  </w:style>
  <w:style w:type="character" w:customStyle="1" w:styleId="68">
    <w:name w:val="font51"/>
    <w:basedOn w:val="26"/>
    <w:qFormat/>
    <w:uiPriority w:val="0"/>
    <w:rPr>
      <w:rFonts w:hint="default" w:ascii="Times New Roman" w:hAnsi="Times New Roman" w:cs="Times New Roman"/>
      <w:color w:val="000000"/>
      <w:sz w:val="23"/>
      <w:szCs w:val="23"/>
      <w:u w:val="none"/>
    </w:rPr>
  </w:style>
  <w:style w:type="character" w:customStyle="1" w:styleId="69">
    <w:name w:val="font81"/>
    <w:basedOn w:val="26"/>
    <w:qFormat/>
    <w:uiPriority w:val="0"/>
    <w:rPr>
      <w:rFonts w:hint="default" w:ascii="Times New Roman" w:hAnsi="Times New Roman" w:cs="Times New Roman"/>
      <w:b/>
      <w:color w:val="000000"/>
      <w:sz w:val="23"/>
      <w:szCs w:val="23"/>
      <w:u w:val="none"/>
    </w:rPr>
  </w:style>
  <w:style w:type="paragraph" w:customStyle="1" w:styleId="70">
    <w:name w:val="_Style 2"/>
    <w:basedOn w:val="1"/>
    <w:qFormat/>
    <w:uiPriority w:val="34"/>
    <w:pPr>
      <w:autoSpaceDE w:val="0"/>
      <w:autoSpaceDN w:val="0"/>
      <w:adjustRightInd w:val="0"/>
      <w:ind w:firstLine="420" w:firstLineChars="200"/>
    </w:pPr>
    <w:rPr>
      <w:color w:val="000000"/>
      <w:kern w:val="0"/>
      <w:szCs w:val="21"/>
    </w:rPr>
  </w:style>
  <w:style w:type="paragraph" w:customStyle="1" w:styleId="71">
    <w:name w:val="00正文"/>
    <w:basedOn w:val="1"/>
    <w:qFormat/>
    <w:uiPriority w:val="0"/>
    <w:pPr>
      <w:snapToGrid w:val="0"/>
      <w:spacing w:line="360" w:lineRule="exact"/>
      <w:ind w:firstLine="200" w:firstLineChars="200"/>
    </w:pPr>
    <w:rPr>
      <w:szCs w:val="22"/>
    </w:rPr>
  </w:style>
  <w:style w:type="character" w:customStyle="1" w:styleId="72">
    <w:name w:val="HTML 预设格式 Char"/>
    <w:basedOn w:val="26"/>
    <w:link w:val="21"/>
    <w:semiHidden/>
    <w:qFormat/>
    <w:uiPriority w:val="99"/>
    <w:rPr>
      <w:rFonts w:ascii="宋体" w:hAnsi="宋体"/>
      <w:sz w:val="24"/>
      <w:szCs w:val="24"/>
    </w:rPr>
  </w:style>
  <w:style w:type="character" w:customStyle="1" w:styleId="73">
    <w:name w:val="font01"/>
    <w:basedOn w:val="26"/>
    <w:qFormat/>
    <w:uiPriority w:val="0"/>
    <w:rPr>
      <w:rFonts w:hint="eastAsia" w:ascii="宋体" w:hAnsi="宋体" w:eastAsia="宋体" w:cs="宋体"/>
      <w:b/>
      <w:color w:val="000000"/>
      <w:sz w:val="36"/>
      <w:szCs w:val="36"/>
      <w:u w:val="none"/>
      <w:vertAlign w:val="subscript"/>
    </w:rPr>
  </w:style>
  <w:style w:type="character" w:customStyle="1" w:styleId="74">
    <w:name w:val="font122"/>
    <w:basedOn w:val="26"/>
    <w:qFormat/>
    <w:uiPriority w:val="0"/>
    <w:rPr>
      <w:rFonts w:hint="eastAsia" w:ascii="宋体" w:hAnsi="宋体" w:eastAsia="宋体" w:cs="宋体"/>
      <w:color w:val="000000"/>
      <w:sz w:val="24"/>
      <w:szCs w:val="24"/>
      <w:u w:val="none"/>
    </w:rPr>
  </w:style>
  <w:style w:type="paragraph" w:customStyle="1" w:styleId="7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列出段落111"/>
    <w:basedOn w:val="1"/>
    <w:qFormat/>
    <w:uiPriority w:val="34"/>
    <w:pPr>
      <w:ind w:firstLine="420" w:firstLineChars="200"/>
    </w:pPr>
    <w:rPr>
      <w:rFonts w:ascii="Calibri" w:hAnsi="Calibri"/>
    </w:rPr>
  </w:style>
  <w:style w:type="paragraph" w:customStyle="1" w:styleId="79">
    <w:name w:val="Table Paragraph"/>
    <w:basedOn w:val="1"/>
    <w:qFormat/>
    <w:uiPriority w:val="1"/>
    <w:rPr>
      <w:rFonts w:ascii="仿宋" w:hAnsi="仿宋" w:eastAsia="仿宋" w:cs="仿宋"/>
      <w:lang w:val="zh-CN" w:bidi="zh-CN"/>
    </w:rPr>
  </w:style>
  <w:style w:type="character" w:customStyle="1" w:styleId="80">
    <w:name w:val="font71"/>
    <w:basedOn w:val="26"/>
    <w:qFormat/>
    <w:uiPriority w:val="0"/>
    <w:rPr>
      <w:rFonts w:hint="eastAsia" w:ascii="微软雅黑" w:hAnsi="微软雅黑" w:eastAsia="微软雅黑" w:cs="微软雅黑"/>
      <w:color w:val="000000"/>
      <w:sz w:val="18"/>
      <w:szCs w:val="18"/>
      <w:u w:val="none"/>
    </w:rPr>
  </w:style>
  <w:style w:type="character" w:customStyle="1" w:styleId="81">
    <w:name w:val="font91"/>
    <w:basedOn w:val="26"/>
    <w:qFormat/>
    <w:uiPriority w:val="0"/>
    <w:rPr>
      <w:rFonts w:ascii="Arial" w:hAnsi="Arial" w:cs="Arial"/>
      <w:color w:val="000000"/>
      <w:sz w:val="22"/>
      <w:szCs w:val="22"/>
      <w:u w:val="none"/>
    </w:rPr>
  </w:style>
  <w:style w:type="paragraph" w:customStyle="1" w:styleId="82">
    <w:name w:val="段落样式"/>
    <w:basedOn w:val="1"/>
    <w:next w:val="48"/>
    <w:qFormat/>
    <w:uiPriority w:val="0"/>
    <w:pPr>
      <w:ind w:firstLine="420" w:firstLineChars="200"/>
    </w:pPr>
    <w:rPr>
      <w:rFonts w:ascii="Calibri" w:hAnsi="Calibri" w:cs="Calibri"/>
      <w:sz w:val="20"/>
      <w:szCs w:val="20"/>
    </w:rPr>
  </w:style>
  <w:style w:type="paragraph" w:customStyle="1" w:styleId="83">
    <w:name w:val="列出段落11"/>
    <w:basedOn w:val="1"/>
    <w:qFormat/>
    <w:uiPriority w:val="34"/>
    <w:pPr>
      <w:ind w:firstLine="420" w:firstLineChars="200"/>
    </w:pPr>
    <w:rPr>
      <w:rFonts w:ascii="宋体" w:hAnsi="宋体" w:cs="Calibri"/>
      <w:sz w:val="24"/>
    </w:rPr>
  </w:style>
  <w:style w:type="paragraph" w:customStyle="1" w:styleId="8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5">
    <w:name w:val="正文360首行缩进"/>
    <w:basedOn w:val="1"/>
    <w:qFormat/>
    <w:uiPriority w:val="0"/>
    <w:pPr>
      <w:widowControl/>
      <w:spacing w:before="120" w:line="300" w:lineRule="auto"/>
      <w:ind w:firstLine="200" w:firstLineChars="200"/>
      <w:jc w:val="left"/>
    </w:pPr>
    <w:rPr>
      <w:sz w:val="24"/>
      <w:szCs w:val="20"/>
    </w:rPr>
  </w:style>
  <w:style w:type="paragraph" w:customStyle="1" w:styleId="86">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7">
    <w:name w:val="Table Normal"/>
    <w:qFormat/>
    <w:uiPriority w:val="0"/>
    <w:tblPr>
      <w:tblCellMar>
        <w:top w:w="0" w:type="dxa"/>
        <w:left w:w="0" w:type="dxa"/>
        <w:bottom w:w="0" w:type="dxa"/>
        <w:right w:w="0" w:type="dxa"/>
      </w:tblCellMar>
    </w:tblPr>
  </w:style>
  <w:style w:type="character" w:customStyle="1" w:styleId="88">
    <w:name w:val="列表段落 字符"/>
    <w:qFormat/>
    <w:uiPriority w:val="34"/>
    <w:rPr>
      <w:rFonts w:ascii="Calibri" w:hAnsi="Calibri" w:eastAsia="宋体" w:cs="Times New Roman"/>
      <w:szCs w:val="22"/>
    </w:rPr>
  </w:style>
  <w:style w:type="character" w:customStyle="1" w:styleId="89">
    <w:name w:val="*正文 Char"/>
    <w:link w:val="42"/>
    <w:qFormat/>
    <w:uiPriority w:val="0"/>
    <w:rPr>
      <w:rFonts w:ascii="宋体" w:hAnsi="宋体" w:cstheme="minorBidi"/>
      <w:kern w:val="2"/>
      <w:sz w:val="22"/>
      <w:szCs w:val="24"/>
    </w:rPr>
  </w:style>
  <w:style w:type="character" w:customStyle="1" w:styleId="90">
    <w:name w:val="列出段落 Char"/>
    <w:link w:val="48"/>
    <w:qFormat/>
    <w:uiPriority w:val="34"/>
    <w:rPr>
      <w:rFonts w:ascii="Calibri" w:hAnsi="Calibri" w:cs="黑体"/>
      <w:kern w:val="2"/>
      <w:sz w:val="21"/>
      <w:szCs w:val="24"/>
    </w:rPr>
  </w:style>
  <w:style w:type="character" w:customStyle="1" w:styleId="91">
    <w:name w:val="ant-form-item-children"/>
    <w:basedOn w:val="26"/>
    <w:qFormat/>
    <w:uiPriority w:val="0"/>
  </w:style>
  <w:style w:type="paragraph" w:customStyle="1" w:styleId="92">
    <w:name w:val="段"/>
    <w:basedOn w:val="1"/>
    <w:qFormat/>
    <w:uiPriority w:val="0"/>
    <w:pPr>
      <w:widowControl/>
      <w:autoSpaceDE w:val="0"/>
      <w:autoSpaceDN w:val="0"/>
      <w:ind w:firstLine="200" w:firstLineChars="200"/>
    </w:pPr>
    <w:rPr>
      <w:rFonts w:ascii="宋体"/>
      <w:kern w:val="0"/>
    </w:rPr>
  </w:style>
  <w:style w:type="paragraph" w:customStyle="1" w:styleId="93">
    <w:name w:val="样式 正文2 + 仿宋_GB2312 黑色 段前: 0 磅 行距: 固定值 23 磅"/>
    <w:basedOn w:val="59"/>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4">
    <w:name w:val="正文首行缩进 Char"/>
    <w:link w:val="3"/>
    <w:qFormat/>
    <w:uiPriority w:val="0"/>
    <w:rPr>
      <w:rFonts w:hint="default" w:ascii="Times New Roman" w:hAnsi="Times New Roman" w:eastAsia="宋体" w:cs="Times New Roman"/>
      <w:szCs w:val="21"/>
    </w:rPr>
  </w:style>
  <w:style w:type="paragraph" w:customStyle="1" w:styleId="95">
    <w:name w:val="BodyText1I2"/>
    <w:basedOn w:val="96"/>
    <w:qFormat/>
    <w:uiPriority w:val="0"/>
    <w:pPr>
      <w:ind w:firstLine="420"/>
    </w:pPr>
  </w:style>
  <w:style w:type="paragraph" w:customStyle="1" w:styleId="96">
    <w:name w:val="BodyTextIndent"/>
    <w:basedOn w:val="1"/>
    <w:qFormat/>
    <w:uiPriority w:val="0"/>
    <w:pPr>
      <w:spacing w:before="100" w:beforeAutospacing="1" w:after="120"/>
      <w:ind w:left="420" w:leftChars="200"/>
      <w:textAlignment w:val="baseline"/>
    </w:pPr>
  </w:style>
  <w:style w:type="paragraph" w:customStyle="1" w:styleId="97">
    <w:name w:val="样式3"/>
    <w:basedOn w:val="12"/>
    <w:next w:val="1"/>
    <w:qFormat/>
    <w:uiPriority w:val="0"/>
    <w:pPr>
      <w:spacing w:line="0" w:lineRule="atLeast"/>
      <w:outlineLvl w:val="0"/>
    </w:pPr>
    <w:rPr>
      <w:sz w:val="28"/>
      <w:szCs w:val="28"/>
    </w:rPr>
  </w:style>
  <w:style w:type="paragraph" w:customStyle="1" w:styleId="9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26529</Words>
  <Characters>27683</Characters>
  <Lines>247</Lines>
  <Paragraphs>69</Paragraphs>
  <TotalTime>4</TotalTime>
  <ScaleCrop>false</ScaleCrop>
  <LinksUpToDate>false</LinksUpToDate>
  <CharactersWithSpaces>29551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2020-10-14T15:13:00Z</dcterms:created>
  <dc:creator>gf</dc:creator>
  <cp:lastModifiedBy>Administrator</cp:lastModifiedBy>
  <cp:lastPrinted>2024-12-03T02:41:00Z</cp:lastPrinted>
  <dcterms:modified xsi:type="dcterms:W3CDTF">2024-12-06T00:24:15Z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