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before="120" w:beforeLines="0" w:after="120" w:afterLines="0" w:line="360" w:lineRule="auto"/>
        <w:rPr>
          <w:rFonts w:hAnsi="宋体"/>
        </w:rPr>
      </w:pPr>
    </w:p>
    <w:p>
      <w:pPr>
        <w:pStyle w:val="26"/>
        <w:spacing w:before="120" w:beforeLines="0" w:after="120" w:afterLines="0" w:line="360" w:lineRule="auto"/>
        <w:rPr>
          <w:rFonts w:hAnsi="宋体"/>
        </w:rPr>
      </w:pPr>
      <w:r>
        <w:rPr>
          <w:rFonts w:hAnsi="宋体" w:cs="宋体"/>
          <w:kern w:val="0"/>
        </w:rPr>
        <w:drawing>
          <wp:inline distT="0" distB="0" distL="0" distR="0">
            <wp:extent cx="1637665" cy="563245"/>
            <wp:effectExtent l="0" t="0" r="635" b="8255"/>
            <wp:docPr id="2" name="图片 2" descr="X6Q53E4J}_O(ZO~VFA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X6Q53E4J}_O(ZO~VFAFS($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37665" cy="563245"/>
                    </a:xfrm>
                    <a:prstGeom prst="rect">
                      <a:avLst/>
                    </a:prstGeom>
                    <a:noFill/>
                    <a:ln>
                      <a:noFill/>
                    </a:ln>
                  </pic:spPr>
                </pic:pic>
              </a:graphicData>
            </a:graphic>
          </wp:inline>
        </w:drawing>
      </w:r>
    </w:p>
    <w:p>
      <w:pPr>
        <w:spacing w:after="120"/>
        <w:jc w:val="center"/>
        <w:rPr>
          <w:rFonts w:ascii="宋体" w:hAnsi="宋体"/>
          <w:b/>
          <w:sz w:val="72"/>
        </w:rPr>
      </w:pPr>
    </w:p>
    <w:p>
      <w:pPr>
        <w:spacing w:after="120"/>
        <w:jc w:val="center"/>
        <w:rPr>
          <w:rFonts w:ascii="宋体" w:hAnsi="宋体"/>
          <w:b/>
          <w:sz w:val="72"/>
        </w:rPr>
      </w:pPr>
      <w:r>
        <w:rPr>
          <w:rFonts w:hint="eastAsia" w:ascii="宋体" w:hAnsi="宋体"/>
          <w:b/>
          <w:sz w:val="72"/>
        </w:rPr>
        <w:t>国内公开招标文件</w:t>
      </w:r>
    </w:p>
    <w:p>
      <w:pPr>
        <w:rPr>
          <w:rFonts w:ascii="宋体" w:hAnsi="宋体"/>
          <w:b/>
          <w:sz w:val="44"/>
        </w:rPr>
      </w:pPr>
    </w:p>
    <w:p>
      <w:pPr>
        <w:rPr>
          <w:rFonts w:ascii="宋体" w:hAnsi="宋体"/>
          <w:b/>
          <w:sz w:val="44"/>
        </w:rPr>
      </w:pPr>
    </w:p>
    <w:tbl>
      <w:tblPr>
        <w:tblStyle w:val="49"/>
        <w:tblpPr w:leftFromText="180" w:rightFromText="180" w:vertAnchor="text" w:horzAnchor="page" w:tblpXSpec="center" w:tblpY="569"/>
        <w:tblW w:w="0" w:type="auto"/>
        <w:jc w:val="center"/>
        <w:tblLayout w:type="fixed"/>
        <w:tblCellMar>
          <w:top w:w="0" w:type="dxa"/>
          <w:left w:w="108" w:type="dxa"/>
          <w:bottom w:w="0" w:type="dxa"/>
          <w:right w:w="108" w:type="dxa"/>
        </w:tblCellMar>
      </w:tblPr>
      <w:tblGrid>
        <w:gridCol w:w="2268"/>
        <w:gridCol w:w="7054"/>
      </w:tblGrid>
      <w:tr>
        <w:tblPrEx>
          <w:tblCellMar>
            <w:top w:w="0" w:type="dxa"/>
            <w:left w:w="108" w:type="dxa"/>
            <w:bottom w:w="0" w:type="dxa"/>
            <w:right w:w="108" w:type="dxa"/>
          </w:tblCellMar>
        </w:tblPrEx>
        <w:trPr>
          <w:jc w:val="center"/>
        </w:trPr>
        <w:tc>
          <w:tcPr>
            <w:tcW w:w="2268" w:type="dxa"/>
          </w:tcPr>
          <w:p>
            <w:pPr>
              <w:jc w:val="right"/>
              <w:rPr>
                <w:rFonts w:ascii="宋体" w:hAnsi="宋体"/>
                <w:b/>
                <w:sz w:val="44"/>
              </w:rPr>
            </w:pPr>
            <w:r>
              <w:rPr>
                <w:rFonts w:hint="eastAsia" w:ascii="宋体" w:hAnsi="宋体"/>
                <w:b/>
                <w:sz w:val="44"/>
              </w:rPr>
              <w:t>招标编号：</w:t>
            </w:r>
          </w:p>
        </w:tc>
        <w:tc>
          <w:tcPr>
            <w:tcW w:w="7054" w:type="dxa"/>
          </w:tcPr>
          <w:p>
            <w:pPr>
              <w:rPr>
                <w:rFonts w:ascii="宋体" w:hAnsi="宋体"/>
                <w:b/>
                <w:sz w:val="44"/>
                <w:szCs w:val="44"/>
                <w:u w:val="single"/>
              </w:rPr>
            </w:pPr>
            <w:r>
              <w:rPr>
                <w:rFonts w:hint="eastAsia" w:ascii="宋体" w:hAnsi="宋体"/>
                <w:b/>
                <w:sz w:val="44"/>
                <w:szCs w:val="44"/>
                <w:u w:val="single"/>
              </w:rPr>
              <w:t>NBZG2024-CDZF011</w:t>
            </w:r>
          </w:p>
          <w:p>
            <w:pPr>
              <w:rPr>
                <w:rFonts w:ascii="宋体" w:hAnsi="宋体"/>
                <w:b/>
                <w:sz w:val="44"/>
                <w:szCs w:val="44"/>
                <w:u w:val="single"/>
              </w:rPr>
            </w:pPr>
          </w:p>
        </w:tc>
      </w:tr>
      <w:tr>
        <w:tblPrEx>
          <w:tblCellMar>
            <w:top w:w="0" w:type="dxa"/>
            <w:left w:w="108" w:type="dxa"/>
            <w:bottom w:w="0" w:type="dxa"/>
            <w:right w:w="108" w:type="dxa"/>
          </w:tblCellMar>
        </w:tblPrEx>
        <w:trPr>
          <w:trHeight w:val="1253" w:hRule="atLeast"/>
          <w:jc w:val="center"/>
        </w:trPr>
        <w:tc>
          <w:tcPr>
            <w:tcW w:w="2268" w:type="dxa"/>
            <w:vAlign w:val="center"/>
          </w:tcPr>
          <w:p>
            <w:pPr>
              <w:jc w:val="center"/>
              <w:rPr>
                <w:rFonts w:ascii="宋体" w:hAnsi="宋体"/>
                <w:b/>
                <w:sz w:val="44"/>
              </w:rPr>
            </w:pPr>
            <w:r>
              <w:rPr>
                <w:rFonts w:hint="eastAsia" w:ascii="宋体" w:hAnsi="宋体"/>
                <w:b/>
                <w:sz w:val="44"/>
              </w:rPr>
              <w:t>项目名称：</w:t>
            </w:r>
          </w:p>
        </w:tc>
        <w:tc>
          <w:tcPr>
            <w:tcW w:w="7054" w:type="dxa"/>
          </w:tcPr>
          <w:p>
            <w:pPr>
              <w:spacing w:line="800" w:lineRule="exact"/>
              <w:jc w:val="left"/>
              <w:rPr>
                <w:rFonts w:ascii="宋体" w:hAnsi="宋体"/>
                <w:b/>
                <w:sz w:val="44"/>
                <w:szCs w:val="44"/>
                <w:u w:val="single"/>
              </w:rPr>
            </w:pPr>
            <w:r>
              <w:rPr>
                <w:rFonts w:hint="eastAsia" w:ascii="宋体" w:hAnsi="宋体"/>
                <w:b/>
                <w:sz w:val="44"/>
                <w:szCs w:val="44"/>
                <w:u w:val="single"/>
              </w:rPr>
              <w:t>2024-2025年度一体化智能化公共数据平台宁海分平台整体服务采购项目</w:t>
            </w:r>
          </w:p>
        </w:tc>
      </w:tr>
    </w:tbl>
    <w:p>
      <w:pPr>
        <w:rPr>
          <w:rFonts w:ascii="宋体" w:hAnsi="宋体"/>
          <w:b/>
        </w:rPr>
      </w:pPr>
    </w:p>
    <w:p>
      <w:pPr>
        <w:rPr>
          <w:rFonts w:ascii="宋体" w:hAnsi="宋体"/>
          <w:b/>
          <w:sz w:val="34"/>
        </w:rPr>
      </w:pPr>
    </w:p>
    <w:p>
      <w:pPr>
        <w:rPr>
          <w:rFonts w:ascii="宋体" w:hAnsi="宋体"/>
          <w:b/>
          <w:sz w:val="34"/>
        </w:rPr>
      </w:pPr>
    </w:p>
    <w:p>
      <w:pPr>
        <w:rPr>
          <w:rFonts w:ascii="宋体" w:hAnsi="宋体"/>
          <w:b/>
          <w:sz w:val="34"/>
        </w:rPr>
      </w:pPr>
    </w:p>
    <w:p>
      <w:pPr>
        <w:tabs>
          <w:tab w:val="left" w:pos="7004"/>
          <w:tab w:val="left" w:pos="7313"/>
        </w:tabs>
        <w:spacing w:line="800" w:lineRule="exact"/>
        <w:ind w:firstLine="502" w:firstLineChars="147"/>
        <w:rPr>
          <w:rFonts w:hint="eastAsia" w:ascii="宋体" w:hAnsi="宋体" w:eastAsia="宋体"/>
          <w:b/>
          <w:sz w:val="44"/>
          <w:szCs w:val="44"/>
          <w:lang w:eastAsia="zh-CN"/>
        </w:rPr>
      </w:pPr>
      <w:r>
        <w:rPr>
          <w:rFonts w:hint="eastAsia" w:ascii="宋体" w:hAnsi="宋体"/>
          <w:b/>
          <w:sz w:val="34"/>
        </w:rPr>
        <w:t>采   购   人：</w:t>
      </w:r>
      <w:r>
        <w:rPr>
          <w:rFonts w:hint="eastAsia" w:ascii="宋体" w:hAnsi="宋体"/>
          <w:b/>
          <w:sz w:val="34"/>
          <w:lang w:eastAsia="zh-CN"/>
        </w:rPr>
        <w:t>宁海县数据服务中心</w:t>
      </w:r>
    </w:p>
    <w:p>
      <w:pPr>
        <w:spacing w:line="720" w:lineRule="exact"/>
        <w:ind w:firstLine="502" w:firstLineChars="147"/>
        <w:rPr>
          <w:rFonts w:ascii="宋体" w:hAnsi="宋体"/>
          <w:b/>
          <w:sz w:val="34"/>
        </w:rPr>
      </w:pPr>
      <w:r>
        <w:rPr>
          <w:rFonts w:hint="eastAsia" w:ascii="宋体" w:hAnsi="宋体"/>
          <w:b/>
          <w:sz w:val="34"/>
        </w:rPr>
        <w:t>招标代理机构：宁波中广工程管理咨询有限公司</w:t>
      </w:r>
    </w:p>
    <w:p>
      <w:pPr>
        <w:spacing w:line="720" w:lineRule="exact"/>
        <w:ind w:firstLine="898" w:firstLineChars="263"/>
        <w:rPr>
          <w:rFonts w:ascii="宋体" w:hAnsi="宋体"/>
          <w:b/>
          <w:sz w:val="34"/>
        </w:rPr>
      </w:pPr>
    </w:p>
    <w:p>
      <w:pPr>
        <w:ind w:firstLine="898" w:firstLineChars="263"/>
        <w:jc w:val="center"/>
        <w:rPr>
          <w:rFonts w:ascii="宋体" w:hAnsi="宋体"/>
          <w:b/>
          <w:sz w:val="34"/>
        </w:rPr>
      </w:pPr>
    </w:p>
    <w:p>
      <w:pPr>
        <w:jc w:val="center"/>
        <w:rPr>
          <w:rFonts w:ascii="宋体" w:hAnsi="宋体"/>
          <w:b/>
          <w:sz w:val="34"/>
        </w:rPr>
      </w:pPr>
      <w:r>
        <w:rPr>
          <w:rFonts w:hint="eastAsia" w:ascii="宋体" w:hAnsi="宋体"/>
          <w:b/>
          <w:sz w:val="34"/>
        </w:rPr>
        <w:t>二O二四年</w:t>
      </w:r>
      <w:r>
        <w:rPr>
          <w:rFonts w:hint="eastAsia" w:ascii="宋体" w:hAnsi="宋体"/>
          <w:b/>
          <w:sz w:val="34"/>
          <w:lang w:val="en-US" w:eastAsia="zh-CN"/>
        </w:rPr>
        <w:t>六</w:t>
      </w:r>
      <w:r>
        <w:rPr>
          <w:rFonts w:hint="eastAsia" w:ascii="宋体" w:hAnsi="宋体"/>
          <w:b/>
          <w:sz w:val="34"/>
        </w:rPr>
        <w:t>月</w:t>
      </w:r>
    </w:p>
    <w:p>
      <w:pPr>
        <w:pStyle w:val="26"/>
        <w:spacing w:before="120" w:beforeLines="0" w:after="120" w:afterLines="0" w:line="360" w:lineRule="auto"/>
        <w:rPr>
          <w:rFonts w:hAnsi="宋体"/>
        </w:rPr>
        <w:sectPr>
          <w:headerReference r:id="rId3" w:type="default"/>
          <w:footerReference r:id="rId4" w:type="default"/>
          <w:footerReference r:id="rId5" w:type="even"/>
          <w:pgSz w:w="11906" w:h="16838"/>
          <w:pgMar w:top="1474" w:right="1134" w:bottom="1247" w:left="1134" w:header="851" w:footer="851" w:gutter="0"/>
          <w:pgNumType w:start="1"/>
          <w:cols w:space="720" w:num="1"/>
          <w:titlePg/>
          <w:docGrid w:linePitch="312" w:charSpace="0"/>
        </w:sectPr>
      </w:pPr>
    </w:p>
    <w:p>
      <w:pPr>
        <w:spacing w:line="600" w:lineRule="exact"/>
        <w:rPr>
          <w:rFonts w:ascii="宋体" w:hAnsi="宋体"/>
          <w:sz w:val="32"/>
          <w:szCs w:val="32"/>
        </w:rPr>
      </w:pPr>
    </w:p>
    <w:p>
      <w:pPr>
        <w:jc w:val="center"/>
        <w:rPr>
          <w:sz w:val="44"/>
          <w:szCs w:val="44"/>
        </w:rPr>
      </w:pPr>
      <w:r>
        <w:rPr>
          <w:rFonts w:hint="eastAsia"/>
          <w:sz w:val="44"/>
          <w:szCs w:val="44"/>
        </w:rPr>
        <w:t>目    录</w:t>
      </w:r>
    </w:p>
    <w:p/>
    <w:p>
      <w:pPr>
        <w:pStyle w:val="33"/>
        <w:tabs>
          <w:tab w:val="right" w:leader="dot" w:pos="8312"/>
        </w:tabs>
        <w:spacing w:line="480" w:lineRule="auto"/>
        <w:rPr>
          <w:rFonts w:ascii="宋体" w:hAnsi="宋体" w:cs="宋体"/>
          <w:bCs/>
          <w:sz w:val="30"/>
          <w:szCs w:val="30"/>
        </w:rPr>
      </w:pPr>
      <w:r>
        <w:rPr>
          <w:rFonts w:ascii="宋体" w:hAnsi="宋体" w:cs="宋体"/>
          <w:b w:val="0"/>
          <w:bCs/>
          <w:sz w:val="30"/>
          <w:szCs w:val="30"/>
        </w:rPr>
        <w:fldChar w:fldCharType="begin"/>
      </w:r>
      <w:r>
        <w:rPr>
          <w:rFonts w:hint="eastAsia" w:ascii="宋体" w:hAnsi="宋体" w:cs="宋体"/>
          <w:bCs/>
          <w:sz w:val="30"/>
          <w:szCs w:val="30"/>
        </w:rPr>
        <w:instrText xml:space="preserve">TOC \o "1-1" \h \u </w:instrText>
      </w:r>
      <w:r>
        <w:rPr>
          <w:rFonts w:ascii="宋体" w:hAnsi="宋体" w:cs="宋体"/>
          <w:b w:val="0"/>
          <w:bCs/>
          <w:sz w:val="30"/>
          <w:szCs w:val="30"/>
        </w:rPr>
        <w:fldChar w:fldCharType="separate"/>
      </w:r>
      <w:r>
        <w:fldChar w:fldCharType="begin"/>
      </w:r>
      <w:r>
        <w:instrText xml:space="preserve"> HYPERLINK \l "_Toc26241" </w:instrText>
      </w:r>
      <w:r>
        <w:fldChar w:fldCharType="separate"/>
      </w:r>
      <w:r>
        <w:rPr>
          <w:rFonts w:hint="eastAsia" w:ascii="宋体" w:hAnsi="宋体" w:cs="宋体"/>
          <w:bCs/>
          <w:sz w:val="30"/>
          <w:szCs w:val="30"/>
        </w:rPr>
        <w:t>第一章  公开招标采购公告</w:t>
      </w:r>
      <w:r>
        <w:rPr>
          <w:rFonts w:hint="eastAsia" w:ascii="宋体" w:hAnsi="宋体" w:cs="宋体"/>
          <w:bCs/>
          <w:sz w:val="30"/>
          <w:szCs w:val="30"/>
        </w:rPr>
        <w:tab/>
      </w:r>
      <w:r>
        <w:rPr>
          <w:rFonts w:hint="eastAsia" w:ascii="宋体" w:hAnsi="宋体" w:cs="宋体"/>
          <w:bCs/>
          <w:sz w:val="30"/>
          <w:szCs w:val="30"/>
        </w:rPr>
        <w:t>3</w:t>
      </w:r>
      <w:r>
        <w:rPr>
          <w:rFonts w:hint="eastAsia" w:ascii="宋体" w:hAnsi="宋体" w:cs="宋体"/>
          <w:bCs/>
          <w:sz w:val="30"/>
          <w:szCs w:val="30"/>
        </w:rPr>
        <w:fldChar w:fldCharType="end"/>
      </w:r>
    </w:p>
    <w:p>
      <w:pPr>
        <w:pStyle w:val="33"/>
        <w:tabs>
          <w:tab w:val="right" w:leader="dot" w:pos="8312"/>
        </w:tabs>
        <w:spacing w:line="480" w:lineRule="auto"/>
        <w:rPr>
          <w:rFonts w:ascii="宋体" w:hAnsi="宋体" w:cs="宋体"/>
          <w:bCs/>
          <w:sz w:val="30"/>
          <w:szCs w:val="30"/>
        </w:rPr>
      </w:pPr>
      <w:r>
        <w:fldChar w:fldCharType="begin"/>
      </w:r>
      <w:r>
        <w:instrText xml:space="preserve"> HYPERLINK \l "_Toc31358" </w:instrText>
      </w:r>
      <w:r>
        <w:fldChar w:fldCharType="separate"/>
      </w:r>
      <w:r>
        <w:rPr>
          <w:rFonts w:hint="eastAsia" w:ascii="宋体" w:hAnsi="宋体" w:cs="宋体"/>
          <w:bCs/>
          <w:sz w:val="30"/>
          <w:szCs w:val="30"/>
        </w:rPr>
        <w:t>第二章  采购需求</w:t>
      </w:r>
      <w:r>
        <w:rPr>
          <w:rFonts w:hint="eastAsia" w:ascii="宋体" w:hAnsi="宋体" w:cs="宋体"/>
          <w:bCs/>
          <w:sz w:val="30"/>
          <w:szCs w:val="30"/>
        </w:rPr>
        <w:tab/>
      </w:r>
      <w:r>
        <w:rPr>
          <w:rFonts w:hint="eastAsia" w:ascii="宋体" w:hAnsi="宋体" w:cs="宋体"/>
          <w:bCs/>
          <w:sz w:val="30"/>
          <w:szCs w:val="30"/>
        </w:rPr>
        <w:fldChar w:fldCharType="begin"/>
      </w:r>
      <w:r>
        <w:rPr>
          <w:rFonts w:hint="eastAsia" w:ascii="宋体" w:hAnsi="宋体" w:cs="宋体"/>
          <w:bCs/>
          <w:sz w:val="30"/>
          <w:szCs w:val="30"/>
        </w:rPr>
        <w:instrText xml:space="preserve"> PAGEREF _Toc31358 </w:instrText>
      </w:r>
      <w:r>
        <w:rPr>
          <w:rFonts w:hint="eastAsia" w:ascii="宋体" w:hAnsi="宋体" w:cs="宋体"/>
          <w:bCs/>
          <w:sz w:val="30"/>
          <w:szCs w:val="30"/>
        </w:rPr>
        <w:fldChar w:fldCharType="separate"/>
      </w:r>
      <w:r>
        <w:rPr>
          <w:rFonts w:hint="eastAsia" w:ascii="宋体" w:hAnsi="宋体" w:cs="宋体"/>
          <w:bCs/>
          <w:sz w:val="30"/>
          <w:szCs w:val="30"/>
        </w:rPr>
        <w:t>6</w:t>
      </w:r>
      <w:r>
        <w:rPr>
          <w:rFonts w:hint="eastAsia" w:ascii="宋体" w:hAnsi="宋体" w:cs="宋体"/>
          <w:bCs/>
          <w:sz w:val="30"/>
          <w:szCs w:val="30"/>
        </w:rPr>
        <w:fldChar w:fldCharType="end"/>
      </w:r>
      <w:r>
        <w:rPr>
          <w:rFonts w:hint="eastAsia" w:ascii="宋体" w:hAnsi="宋体" w:cs="宋体"/>
          <w:bCs/>
          <w:sz w:val="30"/>
          <w:szCs w:val="30"/>
        </w:rPr>
        <w:fldChar w:fldCharType="end"/>
      </w:r>
    </w:p>
    <w:p>
      <w:pPr>
        <w:pStyle w:val="33"/>
        <w:tabs>
          <w:tab w:val="right" w:leader="dot" w:pos="8312"/>
        </w:tabs>
        <w:spacing w:line="480" w:lineRule="auto"/>
        <w:rPr>
          <w:rFonts w:ascii="宋体" w:hAnsi="宋体" w:cs="宋体"/>
          <w:b w:val="0"/>
          <w:bCs/>
          <w:sz w:val="30"/>
          <w:szCs w:val="30"/>
        </w:rPr>
      </w:pPr>
      <w:r>
        <w:fldChar w:fldCharType="begin"/>
      </w:r>
      <w:r>
        <w:instrText xml:space="preserve"> HYPERLINK \l "_Toc2172" </w:instrText>
      </w:r>
      <w:r>
        <w:fldChar w:fldCharType="separate"/>
      </w:r>
      <w:r>
        <w:rPr>
          <w:rFonts w:hint="eastAsia" w:ascii="宋体" w:hAnsi="宋体" w:cs="宋体"/>
          <w:bCs/>
          <w:sz w:val="30"/>
          <w:szCs w:val="30"/>
        </w:rPr>
        <w:t>第三章  供应商须知</w:t>
      </w:r>
      <w:r>
        <w:rPr>
          <w:rFonts w:hint="eastAsia" w:ascii="宋体" w:hAnsi="宋体" w:cs="宋体"/>
          <w:bCs/>
          <w:sz w:val="30"/>
          <w:szCs w:val="30"/>
        </w:rPr>
        <w:tab/>
      </w:r>
      <w:r>
        <w:rPr>
          <w:rFonts w:hint="eastAsia" w:ascii="宋体" w:hAnsi="宋体" w:cs="宋体"/>
          <w:bCs/>
          <w:sz w:val="30"/>
          <w:szCs w:val="30"/>
        </w:rPr>
        <w:t>8</w:t>
      </w:r>
      <w:r>
        <w:rPr>
          <w:rFonts w:hint="eastAsia" w:ascii="宋体" w:hAnsi="宋体" w:cs="宋体"/>
          <w:bCs/>
          <w:sz w:val="30"/>
          <w:szCs w:val="30"/>
        </w:rPr>
        <w:fldChar w:fldCharType="end"/>
      </w:r>
    </w:p>
    <w:p>
      <w:pPr>
        <w:pStyle w:val="33"/>
        <w:tabs>
          <w:tab w:val="right" w:leader="dot" w:pos="8312"/>
        </w:tabs>
        <w:spacing w:line="480" w:lineRule="auto"/>
        <w:rPr>
          <w:rFonts w:ascii="宋体" w:hAnsi="宋体" w:cs="宋体"/>
          <w:b w:val="0"/>
          <w:bCs/>
          <w:sz w:val="30"/>
          <w:szCs w:val="30"/>
        </w:rPr>
      </w:pPr>
      <w:r>
        <w:fldChar w:fldCharType="begin"/>
      </w:r>
      <w:r>
        <w:instrText xml:space="preserve"> HYPERLINK \l "_Toc7955" </w:instrText>
      </w:r>
      <w:r>
        <w:fldChar w:fldCharType="separate"/>
      </w:r>
      <w:r>
        <w:rPr>
          <w:rFonts w:hint="eastAsia" w:ascii="宋体" w:hAnsi="宋体" w:cs="宋体"/>
          <w:bCs/>
          <w:sz w:val="30"/>
          <w:szCs w:val="30"/>
        </w:rPr>
        <w:t>第四章  评标办法及评分标准</w:t>
      </w:r>
      <w:r>
        <w:rPr>
          <w:rFonts w:hint="eastAsia" w:ascii="宋体" w:hAnsi="宋体" w:cs="宋体"/>
          <w:bCs/>
          <w:sz w:val="30"/>
          <w:szCs w:val="30"/>
        </w:rPr>
        <w:tab/>
      </w:r>
      <w:r>
        <w:rPr>
          <w:rFonts w:hint="eastAsia" w:ascii="宋体" w:hAnsi="宋体" w:cs="宋体"/>
          <w:b w:val="0"/>
          <w:bCs/>
          <w:sz w:val="30"/>
          <w:szCs w:val="30"/>
        </w:rPr>
        <w:fldChar w:fldCharType="begin"/>
      </w:r>
      <w:r>
        <w:rPr>
          <w:rFonts w:hint="eastAsia" w:ascii="宋体" w:hAnsi="宋体" w:cs="宋体"/>
          <w:bCs/>
          <w:sz w:val="30"/>
          <w:szCs w:val="30"/>
        </w:rPr>
        <w:instrText xml:space="preserve"> PAGEREF _Toc7955 </w:instrText>
      </w:r>
      <w:r>
        <w:rPr>
          <w:rFonts w:hint="eastAsia" w:ascii="宋体" w:hAnsi="宋体" w:cs="宋体"/>
          <w:b w:val="0"/>
          <w:bCs/>
          <w:sz w:val="30"/>
          <w:szCs w:val="30"/>
        </w:rPr>
        <w:fldChar w:fldCharType="separate"/>
      </w:r>
      <w:r>
        <w:rPr>
          <w:rFonts w:hint="eastAsia" w:ascii="宋体" w:hAnsi="宋体" w:cs="宋体"/>
          <w:bCs/>
          <w:sz w:val="30"/>
          <w:szCs w:val="30"/>
        </w:rPr>
        <w:t>29</w:t>
      </w:r>
      <w:r>
        <w:rPr>
          <w:rFonts w:hint="eastAsia" w:ascii="宋体" w:hAnsi="宋体" w:cs="宋体"/>
          <w:b w:val="0"/>
          <w:bCs/>
          <w:sz w:val="30"/>
          <w:szCs w:val="30"/>
        </w:rPr>
        <w:fldChar w:fldCharType="end"/>
      </w:r>
      <w:r>
        <w:rPr>
          <w:rFonts w:hint="eastAsia" w:ascii="宋体" w:hAnsi="宋体" w:cs="宋体"/>
          <w:b w:val="0"/>
          <w:bCs/>
          <w:sz w:val="30"/>
          <w:szCs w:val="30"/>
        </w:rPr>
        <w:fldChar w:fldCharType="end"/>
      </w:r>
    </w:p>
    <w:p>
      <w:pPr>
        <w:pStyle w:val="33"/>
        <w:tabs>
          <w:tab w:val="right" w:leader="dot" w:pos="8312"/>
        </w:tabs>
        <w:spacing w:line="480" w:lineRule="auto"/>
        <w:rPr>
          <w:rFonts w:ascii="宋体" w:hAnsi="宋体" w:cs="宋体"/>
          <w:b w:val="0"/>
          <w:bCs/>
          <w:sz w:val="30"/>
          <w:szCs w:val="30"/>
        </w:rPr>
      </w:pPr>
      <w:r>
        <w:fldChar w:fldCharType="begin"/>
      </w:r>
      <w:r>
        <w:instrText xml:space="preserve"> HYPERLINK \l "_Toc32330" </w:instrText>
      </w:r>
      <w:r>
        <w:fldChar w:fldCharType="separate"/>
      </w:r>
      <w:r>
        <w:rPr>
          <w:rFonts w:hint="eastAsia" w:ascii="宋体" w:hAnsi="宋体" w:cs="宋体"/>
          <w:bCs/>
          <w:sz w:val="30"/>
          <w:szCs w:val="30"/>
        </w:rPr>
        <w:t>第五章  合同主要条款</w:t>
      </w:r>
      <w:r>
        <w:rPr>
          <w:rFonts w:hint="eastAsia" w:ascii="宋体" w:hAnsi="宋体" w:cs="宋体"/>
          <w:bCs/>
          <w:sz w:val="30"/>
          <w:szCs w:val="30"/>
        </w:rPr>
        <w:tab/>
      </w:r>
      <w:r>
        <w:rPr>
          <w:rFonts w:hint="eastAsia" w:ascii="宋体" w:hAnsi="宋体" w:cs="宋体"/>
          <w:b w:val="0"/>
          <w:bCs/>
          <w:sz w:val="30"/>
          <w:szCs w:val="30"/>
        </w:rPr>
        <w:fldChar w:fldCharType="begin"/>
      </w:r>
      <w:r>
        <w:rPr>
          <w:rFonts w:hint="eastAsia" w:ascii="宋体" w:hAnsi="宋体" w:cs="宋体"/>
          <w:bCs/>
          <w:sz w:val="30"/>
          <w:szCs w:val="30"/>
        </w:rPr>
        <w:instrText xml:space="preserve"> PAGEREF _Toc32330 </w:instrText>
      </w:r>
      <w:r>
        <w:rPr>
          <w:rFonts w:hint="eastAsia" w:ascii="宋体" w:hAnsi="宋体" w:cs="宋体"/>
          <w:b w:val="0"/>
          <w:bCs/>
          <w:sz w:val="30"/>
          <w:szCs w:val="30"/>
        </w:rPr>
        <w:fldChar w:fldCharType="separate"/>
      </w:r>
      <w:r>
        <w:rPr>
          <w:rFonts w:hint="eastAsia" w:ascii="宋体" w:hAnsi="宋体" w:cs="宋体"/>
          <w:bCs/>
          <w:sz w:val="30"/>
          <w:szCs w:val="30"/>
        </w:rPr>
        <w:t>33</w:t>
      </w:r>
      <w:r>
        <w:rPr>
          <w:rFonts w:hint="eastAsia" w:ascii="宋体" w:hAnsi="宋体" w:cs="宋体"/>
          <w:b w:val="0"/>
          <w:bCs/>
          <w:sz w:val="30"/>
          <w:szCs w:val="30"/>
        </w:rPr>
        <w:fldChar w:fldCharType="end"/>
      </w:r>
      <w:r>
        <w:rPr>
          <w:rFonts w:hint="eastAsia" w:ascii="宋体" w:hAnsi="宋体" w:cs="宋体"/>
          <w:b w:val="0"/>
          <w:bCs/>
          <w:sz w:val="30"/>
          <w:szCs w:val="30"/>
        </w:rPr>
        <w:fldChar w:fldCharType="end"/>
      </w:r>
    </w:p>
    <w:p>
      <w:pPr>
        <w:pStyle w:val="33"/>
        <w:tabs>
          <w:tab w:val="right" w:leader="dot" w:pos="8312"/>
        </w:tabs>
        <w:spacing w:line="480" w:lineRule="auto"/>
        <w:rPr>
          <w:rFonts w:ascii="宋体" w:hAnsi="宋体" w:cs="宋体"/>
          <w:b w:val="0"/>
          <w:bCs/>
          <w:sz w:val="30"/>
          <w:szCs w:val="30"/>
        </w:rPr>
      </w:pPr>
      <w:r>
        <w:fldChar w:fldCharType="begin"/>
      </w:r>
      <w:r>
        <w:instrText xml:space="preserve"> HYPERLINK \l "_Toc2464" </w:instrText>
      </w:r>
      <w:r>
        <w:fldChar w:fldCharType="separate"/>
      </w:r>
      <w:r>
        <w:rPr>
          <w:rFonts w:hint="eastAsia" w:ascii="宋体" w:hAnsi="宋体" w:cs="宋体"/>
          <w:bCs/>
          <w:sz w:val="30"/>
          <w:szCs w:val="30"/>
        </w:rPr>
        <w:t>第六章　投标文件格式</w:t>
      </w:r>
      <w:r>
        <w:rPr>
          <w:rFonts w:hint="eastAsia" w:ascii="宋体" w:hAnsi="宋体" w:cs="宋体"/>
          <w:bCs/>
          <w:sz w:val="30"/>
          <w:szCs w:val="30"/>
        </w:rPr>
        <w:tab/>
      </w:r>
      <w:r>
        <w:rPr>
          <w:rFonts w:hint="eastAsia" w:ascii="宋体" w:hAnsi="宋体" w:cs="宋体"/>
          <w:b w:val="0"/>
          <w:bCs/>
          <w:sz w:val="30"/>
          <w:szCs w:val="30"/>
        </w:rPr>
        <w:fldChar w:fldCharType="begin"/>
      </w:r>
      <w:r>
        <w:rPr>
          <w:rFonts w:hint="eastAsia" w:ascii="宋体" w:hAnsi="宋体" w:cs="宋体"/>
          <w:bCs/>
          <w:sz w:val="30"/>
          <w:szCs w:val="30"/>
        </w:rPr>
        <w:instrText xml:space="preserve"> PAGEREF _Toc2464 </w:instrText>
      </w:r>
      <w:r>
        <w:rPr>
          <w:rFonts w:hint="eastAsia" w:ascii="宋体" w:hAnsi="宋体" w:cs="宋体"/>
          <w:b w:val="0"/>
          <w:bCs/>
          <w:sz w:val="30"/>
          <w:szCs w:val="30"/>
        </w:rPr>
        <w:fldChar w:fldCharType="separate"/>
      </w:r>
      <w:r>
        <w:rPr>
          <w:rFonts w:hint="eastAsia" w:ascii="宋体" w:hAnsi="宋体" w:cs="宋体"/>
          <w:bCs/>
          <w:sz w:val="30"/>
          <w:szCs w:val="30"/>
        </w:rPr>
        <w:t>36</w:t>
      </w:r>
      <w:r>
        <w:rPr>
          <w:rFonts w:hint="eastAsia" w:ascii="宋体" w:hAnsi="宋体" w:cs="宋体"/>
          <w:b w:val="0"/>
          <w:bCs/>
          <w:sz w:val="30"/>
          <w:szCs w:val="30"/>
        </w:rPr>
        <w:fldChar w:fldCharType="end"/>
      </w:r>
      <w:r>
        <w:rPr>
          <w:rFonts w:hint="eastAsia" w:ascii="宋体" w:hAnsi="宋体" w:cs="宋体"/>
          <w:b w:val="0"/>
          <w:bCs/>
          <w:sz w:val="30"/>
          <w:szCs w:val="30"/>
        </w:rPr>
        <w:fldChar w:fldCharType="end"/>
      </w:r>
    </w:p>
    <w:p>
      <w:pPr>
        <w:spacing w:line="360" w:lineRule="auto"/>
        <w:jc w:val="right"/>
      </w:pPr>
      <w:r>
        <w:rPr>
          <w:rFonts w:hAnsi="宋体" w:cs="宋体"/>
          <w:b/>
          <w:bCs/>
          <w:sz w:val="30"/>
          <w:szCs w:val="30"/>
        </w:rPr>
        <w:fldChar w:fldCharType="end"/>
      </w:r>
    </w:p>
    <w:p>
      <w:pPr>
        <w:pStyle w:val="26"/>
        <w:snapToGrid w:val="0"/>
        <w:spacing w:before="0" w:beforeLines="0" w:after="0" w:afterLines="0"/>
        <w:jc w:val="center"/>
        <w:outlineLvl w:val="0"/>
        <w:rPr>
          <w:rFonts w:ascii="黑体" w:hAnsi="宋体" w:eastAsia="黑体"/>
          <w:b/>
          <w:bCs/>
          <w:sz w:val="28"/>
          <w:szCs w:val="28"/>
        </w:rPr>
      </w:pPr>
      <w:r>
        <w:rPr>
          <w:rFonts w:hint="eastAsia" w:ascii="黑体" w:hAnsi="宋体" w:eastAsia="黑体"/>
          <w:b/>
          <w:bCs/>
          <w:sz w:val="28"/>
          <w:szCs w:val="28"/>
        </w:rPr>
        <w:br w:type="page"/>
      </w:r>
      <w:r>
        <w:rPr>
          <w:rFonts w:hint="eastAsia" w:ascii="黑体" w:hAnsi="宋体" w:eastAsia="黑体"/>
          <w:b/>
          <w:bCs/>
          <w:sz w:val="28"/>
          <w:szCs w:val="28"/>
        </w:rPr>
        <w:t xml:space="preserve">第一章  </w:t>
      </w:r>
      <w:r>
        <w:rPr>
          <w:rFonts w:hint="eastAsia" w:ascii="黑体" w:hAnsi="黑体" w:eastAsia="黑体"/>
          <w:sz w:val="28"/>
          <w:szCs w:val="28"/>
        </w:rPr>
        <w:t>公开招标采购公告</w:t>
      </w:r>
    </w:p>
    <w:tbl>
      <w:tblPr>
        <w:tblStyle w:val="49"/>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pPr>
              <w:spacing w:line="400" w:lineRule="exact"/>
              <w:rPr>
                <w:rFonts w:ascii="宋体" w:hAnsi="宋体"/>
                <w:szCs w:val="21"/>
                <w:u w:val="single"/>
              </w:rPr>
            </w:pPr>
            <w:r>
              <w:rPr>
                <w:rFonts w:ascii="宋体" w:hAnsi="宋体"/>
                <w:szCs w:val="21"/>
              </w:rPr>
              <w:t>项目概况</w:t>
            </w:r>
          </w:p>
          <w:p>
            <w:pPr>
              <w:spacing w:line="400" w:lineRule="exact"/>
              <w:ind w:firstLine="420" w:firstLineChars="200"/>
              <w:rPr>
                <w:rFonts w:ascii="宋体" w:hAnsi="宋体"/>
                <w:kern w:val="0"/>
                <w:szCs w:val="21"/>
              </w:rPr>
            </w:pPr>
            <w:r>
              <w:rPr>
                <w:rFonts w:hint="eastAsia" w:ascii="宋体" w:hAnsi="宋体"/>
                <w:szCs w:val="21"/>
                <w:u w:val="single"/>
              </w:rPr>
              <w:t>2024-2025年度一体化智能化公共数据平台宁海分平台整体服务采购项目</w:t>
            </w:r>
            <w:r>
              <w:rPr>
                <w:rFonts w:ascii="宋体" w:hAnsi="宋体"/>
                <w:szCs w:val="21"/>
              </w:rPr>
              <w:t>招标项目的潜在投标人应在</w:t>
            </w:r>
            <w:r>
              <w:rPr>
                <w:rFonts w:ascii="宋体" w:hAnsi="宋体"/>
                <w:szCs w:val="21"/>
                <w:u w:val="single"/>
              </w:rPr>
              <w:t> 政府采购云平台（www.zcygov.cn） </w:t>
            </w:r>
            <w:r>
              <w:rPr>
                <w:rFonts w:ascii="宋体" w:hAnsi="宋体"/>
                <w:szCs w:val="21"/>
              </w:rPr>
              <w:t>获取（下载）招标文件，并于</w:t>
            </w:r>
            <w:r>
              <w:rPr>
                <w:rFonts w:hint="eastAsia" w:ascii="宋体" w:hAnsi="宋体"/>
                <w:color w:val="FF0000"/>
                <w:szCs w:val="21"/>
                <w:u w:val="single"/>
              </w:rPr>
              <w:t>2024</w:t>
            </w:r>
            <w:r>
              <w:rPr>
                <w:rFonts w:ascii="宋体" w:hAnsi="宋体"/>
                <w:color w:val="FF0000"/>
                <w:szCs w:val="21"/>
                <w:u w:val="single"/>
              </w:rPr>
              <w:t>年</w:t>
            </w:r>
            <w:r>
              <w:rPr>
                <w:rFonts w:hint="eastAsia" w:ascii="宋体" w:hAnsi="宋体"/>
                <w:color w:val="FF0000"/>
                <w:szCs w:val="21"/>
                <w:u w:val="single"/>
              </w:rPr>
              <w:t xml:space="preserve"> 6月</w:t>
            </w:r>
            <w:r>
              <w:rPr>
                <w:rFonts w:hint="eastAsia" w:ascii="宋体" w:hAnsi="宋体"/>
                <w:color w:val="FF0000"/>
                <w:szCs w:val="21"/>
                <w:u w:val="single"/>
                <w:lang w:val="en-US" w:eastAsia="zh-CN"/>
              </w:rPr>
              <w:t>28</w:t>
            </w:r>
            <w:r>
              <w:rPr>
                <w:rFonts w:hint="eastAsia" w:ascii="宋体" w:hAnsi="宋体"/>
                <w:color w:val="FF0000"/>
                <w:szCs w:val="21"/>
                <w:u w:val="single"/>
              </w:rPr>
              <w:t xml:space="preserve"> 日</w:t>
            </w:r>
            <w:r>
              <w:rPr>
                <w:rFonts w:ascii="宋体" w:hAnsi="宋体"/>
                <w:color w:val="FF0000"/>
                <w:szCs w:val="21"/>
                <w:u w:val="single"/>
              </w:rPr>
              <w:t xml:space="preserve"> </w:t>
            </w:r>
            <w:r>
              <w:rPr>
                <w:rFonts w:hint="eastAsia" w:ascii="宋体" w:hAnsi="宋体"/>
                <w:color w:val="FF0000"/>
                <w:szCs w:val="21"/>
                <w:u w:val="single"/>
              </w:rPr>
              <w:t>13</w:t>
            </w:r>
            <w:r>
              <w:rPr>
                <w:rFonts w:ascii="宋体" w:hAnsi="宋体"/>
                <w:color w:val="FF0000"/>
                <w:szCs w:val="21"/>
                <w:u w:val="single"/>
              </w:rPr>
              <w:t>:</w:t>
            </w:r>
            <w:r>
              <w:rPr>
                <w:rFonts w:hint="eastAsia" w:ascii="宋体" w:hAnsi="宋体"/>
                <w:color w:val="FF0000"/>
                <w:szCs w:val="21"/>
                <w:u w:val="single"/>
              </w:rPr>
              <w:t>3</w:t>
            </w:r>
            <w:r>
              <w:rPr>
                <w:rFonts w:ascii="宋体" w:hAnsi="宋体"/>
                <w:color w:val="FF0000"/>
                <w:szCs w:val="21"/>
                <w:u w:val="single"/>
              </w:rPr>
              <w:t>0</w:t>
            </w:r>
            <w:r>
              <w:rPr>
                <w:rFonts w:ascii="宋体" w:hAnsi="宋体"/>
                <w:szCs w:val="21"/>
                <w:u w:val="single"/>
              </w:rPr>
              <w:t> </w:t>
            </w:r>
            <w:r>
              <w:rPr>
                <w:rFonts w:ascii="宋体" w:hAnsi="宋体"/>
                <w:szCs w:val="21"/>
              </w:rPr>
              <w:t>（北京时间）前递交（上传）投标文件。</w:t>
            </w:r>
          </w:p>
        </w:tc>
      </w:tr>
    </w:tbl>
    <w:p>
      <w:pPr>
        <w:spacing w:line="400" w:lineRule="exact"/>
        <w:rPr>
          <w:rFonts w:ascii="宋体" w:hAnsi="宋体"/>
          <w:b/>
          <w:szCs w:val="21"/>
        </w:rPr>
      </w:pPr>
      <w:r>
        <w:rPr>
          <w:rFonts w:ascii="宋体" w:hAnsi="宋体"/>
          <w:b/>
          <w:szCs w:val="21"/>
        </w:rPr>
        <w:t>一、项目基本情况</w:t>
      </w:r>
    </w:p>
    <w:p>
      <w:pPr>
        <w:spacing w:line="400" w:lineRule="exact"/>
        <w:ind w:firstLine="420" w:firstLineChars="200"/>
        <w:rPr>
          <w:rFonts w:ascii="宋体" w:hAnsi="宋体"/>
          <w:szCs w:val="21"/>
        </w:rPr>
      </w:pPr>
      <w:r>
        <w:rPr>
          <w:rFonts w:ascii="宋体" w:hAnsi="宋体"/>
          <w:szCs w:val="21"/>
        </w:rPr>
        <w:t>项目编号：</w:t>
      </w:r>
      <w:r>
        <w:rPr>
          <w:rFonts w:hint="eastAsia" w:ascii="宋体" w:hAnsi="宋体"/>
        </w:rPr>
        <w:t>NBZG2024-CDZF011</w:t>
      </w:r>
    </w:p>
    <w:p>
      <w:pPr>
        <w:spacing w:line="400" w:lineRule="exact"/>
        <w:ind w:firstLine="420" w:firstLineChars="200"/>
        <w:rPr>
          <w:rFonts w:ascii="宋体" w:hAnsi="宋体"/>
          <w:szCs w:val="21"/>
        </w:rPr>
      </w:pPr>
      <w:r>
        <w:rPr>
          <w:rFonts w:ascii="宋体" w:hAnsi="宋体"/>
          <w:szCs w:val="21"/>
        </w:rPr>
        <w:t>项目名称：</w:t>
      </w:r>
      <w:r>
        <w:rPr>
          <w:rFonts w:hint="eastAsia" w:ascii="宋体" w:hAnsi="宋体"/>
          <w:szCs w:val="21"/>
        </w:rPr>
        <w:t>2024-2025年度一体化智能化公共数据平台宁海分平台整体服务采购项目</w:t>
      </w:r>
    </w:p>
    <w:p>
      <w:pPr>
        <w:spacing w:line="400" w:lineRule="exact"/>
        <w:ind w:firstLine="420" w:firstLineChars="200"/>
        <w:rPr>
          <w:rFonts w:ascii="宋体" w:hAnsi="宋体"/>
          <w:szCs w:val="21"/>
        </w:rPr>
      </w:pPr>
      <w:r>
        <w:rPr>
          <w:rFonts w:ascii="宋体" w:hAnsi="宋体"/>
          <w:szCs w:val="21"/>
        </w:rPr>
        <w:t>预算金额（元）：</w:t>
      </w:r>
      <w:r>
        <w:rPr>
          <w:rFonts w:hint="eastAsia" w:ascii="宋体" w:hAnsi="宋体"/>
          <w:szCs w:val="21"/>
        </w:rPr>
        <w:t>3450000</w:t>
      </w:r>
    </w:p>
    <w:p>
      <w:pPr>
        <w:spacing w:line="400" w:lineRule="exact"/>
        <w:ind w:firstLine="420" w:firstLineChars="200"/>
        <w:rPr>
          <w:rFonts w:ascii="宋体" w:hAnsi="宋体"/>
          <w:szCs w:val="21"/>
        </w:rPr>
      </w:pPr>
      <w:r>
        <w:rPr>
          <w:rFonts w:ascii="宋体" w:hAnsi="宋体"/>
          <w:szCs w:val="21"/>
        </w:rPr>
        <w:t>最高限价（元）：</w:t>
      </w:r>
      <w:r>
        <w:rPr>
          <w:rFonts w:hint="eastAsia" w:ascii="宋体" w:hAnsi="宋体"/>
          <w:szCs w:val="21"/>
        </w:rPr>
        <w:t>3450000</w:t>
      </w:r>
    </w:p>
    <w:p>
      <w:pPr>
        <w:spacing w:line="400" w:lineRule="exact"/>
        <w:ind w:firstLine="420" w:firstLineChars="200"/>
        <w:rPr>
          <w:rFonts w:ascii="宋体" w:hAnsi="宋体"/>
          <w:szCs w:val="21"/>
        </w:rPr>
      </w:pPr>
      <w:r>
        <w:rPr>
          <w:rFonts w:ascii="宋体" w:hAnsi="宋体"/>
          <w:szCs w:val="21"/>
        </w:rPr>
        <w:t>采购需求：</w:t>
      </w:r>
    </w:p>
    <w:p>
      <w:pPr>
        <w:spacing w:line="400" w:lineRule="exact"/>
        <w:ind w:firstLine="420" w:firstLineChars="200"/>
        <w:rPr>
          <w:rFonts w:ascii="宋体" w:hAnsi="宋体"/>
          <w:szCs w:val="21"/>
        </w:rPr>
      </w:pPr>
      <w:r>
        <w:rPr>
          <w:rFonts w:ascii="宋体" w:hAnsi="宋体"/>
          <w:szCs w:val="21"/>
        </w:rPr>
        <w:t>标项名称</w:t>
      </w:r>
      <w:r>
        <w:rPr>
          <w:rFonts w:hint="eastAsia" w:ascii="宋体" w:hAnsi="宋体"/>
          <w:szCs w:val="21"/>
        </w:rPr>
        <w:t>：2024-2025年度一体化智能化公共数据平台宁海分平台整体服务采购项目</w:t>
      </w:r>
    </w:p>
    <w:p>
      <w:pPr>
        <w:spacing w:line="400" w:lineRule="exact"/>
        <w:ind w:firstLine="420" w:firstLineChars="200"/>
        <w:rPr>
          <w:rFonts w:ascii="宋体" w:hAnsi="宋体"/>
          <w:szCs w:val="21"/>
        </w:rPr>
      </w:pPr>
      <w:r>
        <w:rPr>
          <w:rFonts w:ascii="宋体" w:hAnsi="宋体"/>
          <w:szCs w:val="21"/>
        </w:rPr>
        <w:t>预算金额（元）</w:t>
      </w:r>
      <w:r>
        <w:rPr>
          <w:rFonts w:hint="eastAsia" w:ascii="宋体" w:hAnsi="宋体"/>
          <w:szCs w:val="21"/>
        </w:rPr>
        <w:t>：3450000</w:t>
      </w:r>
    </w:p>
    <w:p>
      <w:pPr>
        <w:spacing w:line="400" w:lineRule="exact"/>
        <w:ind w:firstLine="420" w:firstLineChars="200"/>
        <w:rPr>
          <w:rFonts w:ascii="宋体" w:hAnsi="宋体"/>
          <w:szCs w:val="21"/>
        </w:rPr>
      </w:pPr>
      <w:r>
        <w:rPr>
          <w:rFonts w:ascii="宋体" w:hAnsi="宋体"/>
          <w:szCs w:val="21"/>
        </w:rPr>
        <w:t>简要规格描述或项目基本概况介绍、用途：</w:t>
      </w:r>
      <w:r>
        <w:rPr>
          <w:rFonts w:hint="eastAsia" w:ascii="宋体" w:hAnsi="宋体"/>
          <w:szCs w:val="21"/>
        </w:rPr>
        <w:t>利用省市一体化智能化公共数据平台数据运营服务能力，打造区域范围内个性化数据的采集、交换、治理、分析运营能力，满足宁海县本地应用的多样化、复杂化数据需求。（具体详见采购需求）</w:t>
      </w:r>
      <w:r>
        <w:rPr>
          <w:rFonts w:ascii="宋体" w:hAnsi="宋体"/>
          <w:szCs w:val="21"/>
        </w:rPr>
        <w:t> </w:t>
      </w:r>
    </w:p>
    <w:p>
      <w:pPr>
        <w:spacing w:line="400" w:lineRule="exact"/>
        <w:ind w:firstLine="420" w:firstLineChars="200"/>
        <w:rPr>
          <w:rFonts w:ascii="宋体" w:hAnsi="宋体"/>
          <w:szCs w:val="21"/>
        </w:rPr>
      </w:pPr>
      <w:r>
        <w:rPr>
          <w:rFonts w:ascii="宋体" w:hAnsi="宋体"/>
          <w:szCs w:val="21"/>
        </w:rPr>
        <w:t>备注：/</w:t>
      </w:r>
    </w:p>
    <w:p>
      <w:pPr>
        <w:spacing w:line="400" w:lineRule="exact"/>
        <w:ind w:firstLine="420" w:firstLineChars="200"/>
        <w:rPr>
          <w:rFonts w:ascii="宋体" w:hAnsi="宋体"/>
          <w:szCs w:val="21"/>
        </w:rPr>
      </w:pPr>
      <w:r>
        <w:rPr>
          <w:rFonts w:ascii="宋体" w:hAnsi="宋体"/>
          <w:szCs w:val="21"/>
        </w:rPr>
        <w:t>合同履</w:t>
      </w:r>
      <w:r>
        <w:rPr>
          <w:rFonts w:hint="eastAsia" w:ascii="宋体" w:hAnsi="宋体"/>
          <w:szCs w:val="21"/>
        </w:rPr>
        <w:t>约</w:t>
      </w:r>
      <w:r>
        <w:rPr>
          <w:rFonts w:ascii="宋体" w:hAnsi="宋体"/>
          <w:szCs w:val="21"/>
        </w:rPr>
        <w:t>期限：标项1，</w:t>
      </w:r>
      <w:r>
        <w:rPr>
          <w:rFonts w:hint="eastAsia" w:ascii="宋体" w:hAnsi="宋体"/>
          <w:szCs w:val="21"/>
        </w:rPr>
        <w:t>本服务项目自合同签订起1年。</w:t>
      </w:r>
    </w:p>
    <w:p>
      <w:pPr>
        <w:spacing w:line="400" w:lineRule="exact"/>
        <w:ind w:firstLine="420" w:firstLineChars="200"/>
        <w:rPr>
          <w:rFonts w:ascii="宋体" w:hAnsi="宋体"/>
          <w:szCs w:val="21"/>
        </w:rPr>
      </w:pPr>
      <w:r>
        <w:rPr>
          <w:rFonts w:ascii="宋体" w:hAnsi="宋体"/>
          <w:szCs w:val="21"/>
        </w:rPr>
        <w:t>本项目（否）接受联合体投标。</w:t>
      </w:r>
    </w:p>
    <w:p>
      <w:pPr>
        <w:spacing w:line="400" w:lineRule="exact"/>
        <w:rPr>
          <w:rFonts w:ascii="宋体" w:hAnsi="宋体"/>
          <w:szCs w:val="21"/>
        </w:rPr>
      </w:pPr>
      <w:r>
        <w:rPr>
          <w:rFonts w:ascii="宋体" w:hAnsi="宋体"/>
          <w:b/>
          <w:szCs w:val="21"/>
        </w:rPr>
        <w:t>二、申请人的资格要求</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满足《中华人民共和国政府采购法》第二十二条规定；未被“信用中国”（</w:t>
      </w:r>
      <w:r>
        <w:fldChar w:fldCharType="begin"/>
      </w:r>
      <w:r>
        <w:instrText xml:space="preserve"> HYPERLINK \t "_blank" </w:instrText>
      </w:r>
      <w:r>
        <w:fldChar w:fldCharType="separate"/>
      </w:r>
      <w:r>
        <w:rPr>
          <w:rFonts w:hint="eastAsia" w:ascii="宋体" w:hAnsi="宋体"/>
          <w:szCs w:val="21"/>
        </w:rPr>
        <w:t>www.creditchina.gov.cn)、中国政府采购网（www.ccgp.gov.cn）列入失信被执行人、重大税收违法案件当事人名单、政府采购严重违法失信行为记录名单</w:t>
      </w:r>
      <w:r>
        <w:rPr>
          <w:rFonts w:hint="eastAsia" w:ascii="宋体" w:hAnsi="宋体"/>
          <w:szCs w:val="21"/>
        </w:rPr>
        <w:fldChar w:fldCharType="end"/>
      </w:r>
      <w:r>
        <w:rPr>
          <w:rFonts w:hint="eastAsia" w:ascii="宋体" w:hAnsi="宋体"/>
          <w:szCs w:val="21"/>
          <w:shd w:val="clear" w:color="auto" w:fill="FFFFFF"/>
        </w:rPr>
        <w:t>。</w:t>
      </w:r>
    </w:p>
    <w:p>
      <w:pPr>
        <w:spacing w:line="400" w:lineRule="exact"/>
        <w:ind w:firstLine="420" w:firstLineChars="200"/>
        <w:rPr>
          <w:rFonts w:ascii="宋体" w:hAnsi="宋体"/>
          <w:szCs w:val="21"/>
        </w:rPr>
      </w:pPr>
      <w:r>
        <w:rPr>
          <w:rFonts w:ascii="宋体" w:hAnsi="宋体"/>
          <w:szCs w:val="21"/>
        </w:rPr>
        <w:t>2.落实政府采购政策需满足的资格要求：</w:t>
      </w:r>
      <w:r>
        <w:rPr>
          <w:rFonts w:hint="eastAsia" w:ascii="宋体" w:hAnsi="宋体"/>
          <w:szCs w:val="21"/>
        </w:rPr>
        <w:t>无</w:t>
      </w:r>
      <w:r>
        <w:rPr>
          <w:rFonts w:ascii="宋体" w:hAnsi="宋体"/>
          <w:szCs w:val="21"/>
        </w:rPr>
        <w:t>  </w:t>
      </w:r>
    </w:p>
    <w:p>
      <w:pPr>
        <w:spacing w:line="400" w:lineRule="exact"/>
        <w:ind w:firstLine="420" w:firstLineChars="200"/>
        <w:rPr>
          <w:rFonts w:ascii="宋体" w:hAnsi="宋体"/>
          <w:szCs w:val="21"/>
        </w:rPr>
      </w:pPr>
      <w:r>
        <w:rPr>
          <w:rFonts w:ascii="宋体" w:hAnsi="宋体"/>
          <w:szCs w:val="21"/>
        </w:rPr>
        <w:t>3.本项目的特定资格要求：</w:t>
      </w:r>
      <w:r>
        <w:rPr>
          <w:rFonts w:hint="eastAsia" w:ascii="宋体" w:hAnsi="宋体"/>
          <w:szCs w:val="21"/>
        </w:rPr>
        <w:t>无</w:t>
      </w:r>
    </w:p>
    <w:p>
      <w:pPr>
        <w:spacing w:line="400" w:lineRule="exact"/>
        <w:rPr>
          <w:rFonts w:ascii="宋体" w:hAnsi="宋体"/>
          <w:b/>
          <w:szCs w:val="21"/>
        </w:rPr>
      </w:pPr>
      <w:r>
        <w:rPr>
          <w:rFonts w:ascii="宋体" w:hAnsi="宋体"/>
          <w:b/>
          <w:szCs w:val="21"/>
        </w:rPr>
        <w:t>三、获取招标文件</w:t>
      </w:r>
    </w:p>
    <w:p>
      <w:pPr>
        <w:spacing w:line="400" w:lineRule="exact"/>
        <w:ind w:firstLine="420" w:firstLineChars="200"/>
        <w:rPr>
          <w:rFonts w:ascii="宋体" w:hAnsi="宋体"/>
          <w:szCs w:val="21"/>
        </w:rPr>
      </w:pPr>
      <w:r>
        <w:rPr>
          <w:rFonts w:ascii="宋体" w:hAnsi="宋体"/>
          <w:szCs w:val="21"/>
        </w:rPr>
        <w:t>时间：</w:t>
      </w:r>
      <w:r>
        <w:rPr>
          <w:rFonts w:hint="eastAsia" w:ascii="宋体" w:hAnsi="宋体"/>
          <w:color w:val="FF0000"/>
          <w:szCs w:val="21"/>
          <w:u w:val="single"/>
        </w:rPr>
        <w:t>2024</w:t>
      </w:r>
      <w:r>
        <w:rPr>
          <w:rFonts w:ascii="宋体" w:hAnsi="宋体"/>
          <w:color w:val="FF0000"/>
          <w:szCs w:val="21"/>
          <w:u w:val="single"/>
        </w:rPr>
        <w:t>年</w:t>
      </w:r>
      <w:r>
        <w:rPr>
          <w:rFonts w:hint="eastAsia" w:ascii="宋体" w:hAnsi="宋体"/>
          <w:color w:val="FF0000"/>
          <w:szCs w:val="21"/>
          <w:u w:val="single"/>
          <w:lang w:val="en-US" w:eastAsia="zh-CN"/>
        </w:rPr>
        <w:t>6</w:t>
      </w:r>
      <w:r>
        <w:rPr>
          <w:rFonts w:hint="eastAsia" w:ascii="宋体" w:hAnsi="宋体"/>
          <w:color w:val="FF0000"/>
          <w:szCs w:val="21"/>
          <w:u w:val="single"/>
        </w:rPr>
        <w:t>月</w:t>
      </w:r>
      <w:r>
        <w:rPr>
          <w:rFonts w:hint="eastAsia" w:ascii="宋体" w:hAnsi="宋体"/>
          <w:color w:val="FF0000"/>
          <w:szCs w:val="21"/>
          <w:u w:val="single"/>
          <w:lang w:val="en-US" w:eastAsia="zh-CN"/>
        </w:rPr>
        <w:t>7</w:t>
      </w:r>
      <w:r>
        <w:rPr>
          <w:rFonts w:hint="eastAsia" w:ascii="宋体" w:hAnsi="宋体"/>
          <w:color w:val="FF0000"/>
          <w:szCs w:val="21"/>
          <w:u w:val="single"/>
        </w:rPr>
        <w:t xml:space="preserve"> 日</w:t>
      </w:r>
      <w:r>
        <w:rPr>
          <w:rFonts w:ascii="宋体" w:hAnsi="宋体"/>
          <w:color w:val="FF0000"/>
          <w:szCs w:val="21"/>
        </w:rPr>
        <w:t>至</w:t>
      </w:r>
      <w:r>
        <w:rPr>
          <w:rFonts w:hint="eastAsia" w:ascii="宋体" w:hAnsi="宋体"/>
          <w:color w:val="FF0000"/>
          <w:szCs w:val="21"/>
          <w:u w:val="single"/>
        </w:rPr>
        <w:t>2023</w:t>
      </w:r>
      <w:r>
        <w:rPr>
          <w:rFonts w:ascii="宋体" w:hAnsi="宋体"/>
          <w:color w:val="FF0000"/>
          <w:szCs w:val="21"/>
          <w:u w:val="single"/>
        </w:rPr>
        <w:t>年</w:t>
      </w:r>
      <w:r>
        <w:rPr>
          <w:rFonts w:hint="eastAsia" w:ascii="宋体" w:hAnsi="宋体"/>
          <w:color w:val="FF0000"/>
          <w:szCs w:val="21"/>
          <w:u w:val="single"/>
          <w:lang w:val="en-US" w:eastAsia="zh-CN"/>
        </w:rPr>
        <w:t>6</w:t>
      </w:r>
      <w:r>
        <w:rPr>
          <w:rFonts w:hint="eastAsia" w:ascii="宋体" w:hAnsi="宋体"/>
          <w:color w:val="FF0000"/>
          <w:szCs w:val="21"/>
          <w:u w:val="single"/>
        </w:rPr>
        <w:t>月</w:t>
      </w:r>
      <w:r>
        <w:rPr>
          <w:rFonts w:hint="eastAsia" w:ascii="宋体" w:hAnsi="宋体"/>
          <w:color w:val="FF0000"/>
          <w:szCs w:val="21"/>
          <w:u w:val="single"/>
          <w:lang w:val="en-US" w:eastAsia="zh-CN"/>
        </w:rPr>
        <w:t>17</w:t>
      </w:r>
      <w:r>
        <w:rPr>
          <w:rFonts w:hint="eastAsia" w:ascii="宋体" w:hAnsi="宋体"/>
          <w:color w:val="FF0000"/>
          <w:szCs w:val="21"/>
          <w:u w:val="single"/>
        </w:rPr>
        <w:t>日</w:t>
      </w:r>
      <w:r>
        <w:rPr>
          <w:rFonts w:ascii="宋体" w:hAnsi="宋体"/>
          <w:szCs w:val="21"/>
        </w:rPr>
        <w:t>，每天上午</w:t>
      </w:r>
      <w:r>
        <w:rPr>
          <w:rFonts w:ascii="宋体" w:hAnsi="宋体"/>
          <w:szCs w:val="21"/>
          <w:u w:val="single"/>
        </w:rPr>
        <w:t>00:00至12:00</w:t>
      </w:r>
      <w:r>
        <w:rPr>
          <w:rFonts w:ascii="宋体" w:hAnsi="宋体"/>
          <w:szCs w:val="21"/>
        </w:rPr>
        <w:t>，下午</w:t>
      </w:r>
      <w:r>
        <w:rPr>
          <w:rFonts w:hint="eastAsia" w:ascii="宋体" w:hAnsi="宋体"/>
          <w:szCs w:val="21"/>
          <w:u w:val="single"/>
        </w:rPr>
        <w:t>1</w:t>
      </w:r>
      <w:r>
        <w:rPr>
          <w:rFonts w:ascii="宋体" w:hAnsi="宋体"/>
          <w:szCs w:val="21"/>
          <w:u w:val="single"/>
        </w:rPr>
        <w:t>2:00至23:59 </w:t>
      </w:r>
      <w:r>
        <w:rPr>
          <w:rFonts w:ascii="宋体" w:hAnsi="宋体"/>
          <w:szCs w:val="21"/>
        </w:rPr>
        <w:t>（北京时间，线上获取法定节假日均可，线下获取文件法定节假日除外）</w:t>
      </w:r>
    </w:p>
    <w:p>
      <w:pPr>
        <w:spacing w:line="400" w:lineRule="exact"/>
        <w:ind w:firstLine="420" w:firstLineChars="200"/>
        <w:rPr>
          <w:rFonts w:ascii="宋体" w:hAnsi="宋体"/>
          <w:szCs w:val="21"/>
        </w:rPr>
      </w:pPr>
      <w:r>
        <w:rPr>
          <w:rFonts w:ascii="宋体" w:hAnsi="宋体"/>
          <w:szCs w:val="21"/>
        </w:rPr>
        <w:t>地点（网址）：政采云平台线上获取 </w:t>
      </w:r>
    </w:p>
    <w:p>
      <w:pPr>
        <w:spacing w:line="400" w:lineRule="exact"/>
        <w:ind w:firstLine="420" w:firstLineChars="200"/>
        <w:rPr>
          <w:rFonts w:ascii="宋体" w:hAnsi="宋体"/>
          <w:szCs w:val="21"/>
        </w:rPr>
      </w:pPr>
      <w:r>
        <w:rPr>
          <w:rFonts w:ascii="宋体" w:hAnsi="宋体"/>
          <w:szCs w:val="21"/>
        </w:rPr>
        <w:t>方式：供应商登录政采云平台https://www.zcygov.cn/在线申请获取采购文件（进入“项目采购”应用，在获取采购文件菜单中选择项目，申请获取采购文件）</w:t>
      </w:r>
    </w:p>
    <w:p>
      <w:pPr>
        <w:spacing w:line="400" w:lineRule="exact"/>
        <w:ind w:firstLine="420" w:firstLineChars="200"/>
        <w:rPr>
          <w:rFonts w:ascii="宋体" w:hAnsi="宋体"/>
          <w:szCs w:val="21"/>
        </w:rPr>
      </w:pPr>
      <w:r>
        <w:rPr>
          <w:rFonts w:ascii="宋体" w:hAnsi="宋体"/>
          <w:szCs w:val="21"/>
        </w:rPr>
        <w:t>售价（元）：0 </w:t>
      </w:r>
    </w:p>
    <w:p>
      <w:pPr>
        <w:spacing w:line="400" w:lineRule="exact"/>
        <w:rPr>
          <w:rFonts w:ascii="宋体" w:hAnsi="宋体"/>
          <w:b/>
          <w:szCs w:val="21"/>
        </w:rPr>
      </w:pPr>
      <w:r>
        <w:rPr>
          <w:rFonts w:ascii="宋体" w:hAnsi="宋体"/>
          <w:b/>
          <w:szCs w:val="21"/>
        </w:rPr>
        <w:t>四、提交投标文件截止时间、开标时间和地点</w:t>
      </w:r>
    </w:p>
    <w:p>
      <w:pPr>
        <w:spacing w:line="400" w:lineRule="exact"/>
        <w:ind w:firstLine="420" w:firstLineChars="200"/>
        <w:rPr>
          <w:rFonts w:ascii="宋体" w:hAnsi="宋体"/>
          <w:szCs w:val="21"/>
        </w:rPr>
      </w:pPr>
      <w:r>
        <w:rPr>
          <w:rFonts w:ascii="宋体" w:hAnsi="宋体"/>
          <w:szCs w:val="21"/>
        </w:rPr>
        <w:t>提交投标文件截止时间：</w:t>
      </w:r>
      <w:r>
        <w:rPr>
          <w:rFonts w:hint="eastAsia" w:ascii="宋体" w:hAnsi="宋体"/>
          <w:color w:val="FF0000"/>
          <w:szCs w:val="21"/>
        </w:rPr>
        <w:t>2024</w:t>
      </w:r>
      <w:r>
        <w:rPr>
          <w:rFonts w:ascii="宋体" w:hAnsi="宋体"/>
          <w:color w:val="FF0000"/>
          <w:szCs w:val="21"/>
        </w:rPr>
        <w:t>年</w:t>
      </w:r>
      <w:r>
        <w:rPr>
          <w:rFonts w:hint="eastAsia" w:ascii="宋体" w:hAnsi="宋体"/>
          <w:color w:val="FF0000"/>
          <w:szCs w:val="21"/>
        </w:rPr>
        <w:t>6月</w:t>
      </w:r>
      <w:r>
        <w:rPr>
          <w:rFonts w:hint="eastAsia" w:ascii="宋体" w:hAnsi="宋体"/>
          <w:color w:val="FF0000"/>
          <w:szCs w:val="21"/>
          <w:lang w:val="en-US" w:eastAsia="zh-CN"/>
        </w:rPr>
        <w:t>28</w:t>
      </w:r>
      <w:r>
        <w:rPr>
          <w:rFonts w:hint="eastAsia" w:ascii="宋体" w:hAnsi="宋体"/>
          <w:color w:val="FF0000"/>
          <w:szCs w:val="21"/>
        </w:rPr>
        <w:t>日13</w:t>
      </w:r>
      <w:r>
        <w:rPr>
          <w:rFonts w:ascii="宋体" w:hAnsi="宋体"/>
          <w:color w:val="FF0000"/>
          <w:szCs w:val="21"/>
        </w:rPr>
        <w:t>:</w:t>
      </w:r>
      <w:r>
        <w:rPr>
          <w:rFonts w:hint="eastAsia" w:ascii="宋体" w:hAnsi="宋体"/>
          <w:color w:val="FF0000"/>
          <w:szCs w:val="21"/>
        </w:rPr>
        <w:t>3</w:t>
      </w:r>
      <w:r>
        <w:rPr>
          <w:rFonts w:ascii="宋体" w:hAnsi="宋体"/>
          <w:color w:val="FF0000"/>
          <w:szCs w:val="21"/>
        </w:rPr>
        <w:t>0</w:t>
      </w:r>
      <w:r>
        <w:rPr>
          <w:rFonts w:ascii="宋体" w:hAnsi="宋体"/>
          <w:szCs w:val="21"/>
        </w:rPr>
        <w:t>（北京时间）</w:t>
      </w:r>
    </w:p>
    <w:p>
      <w:pPr>
        <w:spacing w:line="400" w:lineRule="exact"/>
        <w:ind w:firstLine="420" w:firstLineChars="200"/>
        <w:rPr>
          <w:rFonts w:ascii="宋体" w:hAnsi="宋体"/>
          <w:szCs w:val="21"/>
        </w:rPr>
      </w:pPr>
      <w:r>
        <w:rPr>
          <w:rFonts w:ascii="宋体" w:hAnsi="宋体"/>
          <w:szCs w:val="21"/>
        </w:rPr>
        <w:t>投标地点（网址）：请登录政采云投标客户端投标</w:t>
      </w:r>
    </w:p>
    <w:p>
      <w:pPr>
        <w:spacing w:line="400" w:lineRule="exact"/>
        <w:ind w:firstLine="420" w:firstLineChars="200"/>
        <w:rPr>
          <w:rFonts w:ascii="宋体" w:hAnsi="宋体"/>
          <w:szCs w:val="21"/>
        </w:rPr>
      </w:pPr>
      <w:r>
        <w:rPr>
          <w:rFonts w:ascii="宋体" w:hAnsi="宋体"/>
          <w:szCs w:val="21"/>
        </w:rPr>
        <w:t>开标时间：</w:t>
      </w:r>
      <w:r>
        <w:rPr>
          <w:rFonts w:hint="eastAsia" w:ascii="宋体" w:hAnsi="宋体"/>
          <w:szCs w:val="21"/>
        </w:rPr>
        <w:t xml:space="preserve"> </w:t>
      </w:r>
      <w:r>
        <w:rPr>
          <w:rFonts w:hint="eastAsia" w:ascii="宋体" w:hAnsi="宋体"/>
          <w:color w:val="FF0000"/>
          <w:szCs w:val="21"/>
        </w:rPr>
        <w:t>2024</w:t>
      </w:r>
      <w:r>
        <w:rPr>
          <w:rFonts w:ascii="宋体" w:hAnsi="宋体"/>
          <w:color w:val="FF0000"/>
          <w:szCs w:val="21"/>
        </w:rPr>
        <w:t>年</w:t>
      </w:r>
      <w:r>
        <w:rPr>
          <w:rFonts w:hint="eastAsia" w:ascii="宋体" w:hAnsi="宋体"/>
          <w:color w:val="FF0000"/>
          <w:szCs w:val="21"/>
        </w:rPr>
        <w:t xml:space="preserve"> 6月</w:t>
      </w:r>
      <w:r>
        <w:rPr>
          <w:rFonts w:hint="eastAsia" w:ascii="宋体" w:hAnsi="宋体"/>
          <w:color w:val="FF0000"/>
          <w:szCs w:val="21"/>
          <w:lang w:val="en-US" w:eastAsia="zh-CN"/>
        </w:rPr>
        <w:t>28</w:t>
      </w:r>
      <w:bookmarkStart w:id="22" w:name="_GoBack"/>
      <w:bookmarkEnd w:id="22"/>
      <w:r>
        <w:rPr>
          <w:rFonts w:hint="eastAsia" w:ascii="宋体" w:hAnsi="宋体"/>
          <w:color w:val="FF0000"/>
          <w:szCs w:val="21"/>
        </w:rPr>
        <w:t>日</w:t>
      </w:r>
      <w:r>
        <w:rPr>
          <w:rFonts w:ascii="宋体" w:hAnsi="宋体"/>
          <w:color w:val="FF0000"/>
          <w:szCs w:val="21"/>
        </w:rPr>
        <w:t xml:space="preserve"> </w:t>
      </w:r>
      <w:r>
        <w:rPr>
          <w:rFonts w:hint="eastAsia" w:ascii="宋体" w:hAnsi="宋体"/>
          <w:color w:val="FF0000"/>
          <w:szCs w:val="21"/>
        </w:rPr>
        <w:t>13</w:t>
      </w:r>
      <w:r>
        <w:rPr>
          <w:rFonts w:ascii="宋体" w:hAnsi="宋体"/>
          <w:color w:val="FF0000"/>
          <w:szCs w:val="21"/>
        </w:rPr>
        <w:t>:</w:t>
      </w:r>
      <w:r>
        <w:rPr>
          <w:rFonts w:hint="eastAsia" w:ascii="宋体" w:hAnsi="宋体"/>
          <w:color w:val="FF0000"/>
          <w:szCs w:val="21"/>
        </w:rPr>
        <w:t>3</w:t>
      </w:r>
      <w:r>
        <w:rPr>
          <w:rFonts w:ascii="宋体" w:hAnsi="宋体"/>
          <w:color w:val="FF0000"/>
          <w:szCs w:val="21"/>
        </w:rPr>
        <w:t>0 </w:t>
      </w:r>
    </w:p>
    <w:p>
      <w:pPr>
        <w:spacing w:line="400" w:lineRule="exact"/>
        <w:ind w:firstLine="420" w:firstLineChars="200"/>
        <w:rPr>
          <w:rFonts w:ascii="宋体" w:hAnsi="宋体"/>
          <w:szCs w:val="21"/>
        </w:rPr>
      </w:pPr>
      <w:r>
        <w:rPr>
          <w:rFonts w:ascii="宋体" w:hAnsi="宋体"/>
          <w:szCs w:val="21"/>
        </w:rPr>
        <w:t>开标地点（网址）：宁海县桃源街道金水东路5号五楼开标室</w:t>
      </w:r>
      <w:r>
        <w:rPr>
          <w:rFonts w:hint="eastAsia" w:ascii="宋体" w:hAnsi="宋体"/>
          <w:szCs w:val="21"/>
        </w:rPr>
        <w:t>详见五楼大厅公告</w:t>
      </w:r>
    </w:p>
    <w:p>
      <w:pPr>
        <w:spacing w:line="400" w:lineRule="exact"/>
        <w:rPr>
          <w:rFonts w:ascii="宋体" w:hAnsi="宋体"/>
          <w:b/>
          <w:szCs w:val="21"/>
        </w:rPr>
      </w:pPr>
      <w:r>
        <w:rPr>
          <w:rFonts w:ascii="宋体" w:hAnsi="宋体"/>
          <w:b/>
          <w:szCs w:val="21"/>
        </w:rPr>
        <w:t>五、公告期限</w:t>
      </w:r>
    </w:p>
    <w:p>
      <w:pPr>
        <w:spacing w:line="400" w:lineRule="exact"/>
        <w:ind w:firstLine="420" w:firstLineChars="200"/>
        <w:rPr>
          <w:rFonts w:ascii="宋体" w:hAnsi="宋体"/>
          <w:szCs w:val="21"/>
        </w:rPr>
      </w:pPr>
      <w:r>
        <w:rPr>
          <w:rFonts w:ascii="宋体" w:hAnsi="宋体"/>
          <w:szCs w:val="21"/>
        </w:rPr>
        <w:t>自本公告发布之日起5个工作日。</w:t>
      </w:r>
    </w:p>
    <w:p>
      <w:pPr>
        <w:spacing w:line="400" w:lineRule="exact"/>
        <w:rPr>
          <w:rFonts w:ascii="宋体" w:hAnsi="宋体"/>
          <w:b/>
          <w:szCs w:val="21"/>
        </w:rPr>
      </w:pPr>
      <w:r>
        <w:rPr>
          <w:rFonts w:ascii="宋体" w:hAnsi="宋体"/>
          <w:b/>
          <w:szCs w:val="21"/>
        </w:rPr>
        <w:t>六、其他补充事宜</w:t>
      </w:r>
    </w:p>
    <w:p>
      <w:pPr>
        <w:spacing w:line="400" w:lineRule="exact"/>
        <w:ind w:firstLine="420" w:firstLineChars="200"/>
        <w:rPr>
          <w:rFonts w:ascii="宋体" w:hAnsi="宋体"/>
          <w:szCs w:val="21"/>
        </w:rPr>
      </w:pPr>
      <w:r>
        <w:rPr>
          <w:rFonts w:ascii="宋体" w:hAnsi="宋体"/>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ascii="宋体" w:hAnsi="宋体" w:cs="宋体"/>
          <w:color w:val="000000"/>
          <w:szCs w:val="21"/>
        </w:rPr>
      </w:pPr>
      <w:r>
        <w:rPr>
          <w:rFonts w:ascii="宋体" w:hAnsi="宋体"/>
          <w:szCs w:val="21"/>
        </w:rPr>
        <w:t>2、其他事项：</w:t>
      </w:r>
      <w:r>
        <w:rPr>
          <w:rFonts w:hint="eastAsia" w:ascii="宋体" w:hAnsi="宋体"/>
          <w:szCs w:val="21"/>
        </w:rPr>
        <w:t>（1）本项目通过“政府采购云平台（www.zcygov.cn）”实行网上投标，采用</w:t>
      </w:r>
      <w:r>
        <w:rPr>
          <w:rFonts w:hint="eastAsia" w:ascii="宋体" w:hAnsi="宋体" w:cs="宋体"/>
          <w:color w:val="000000"/>
          <w:szCs w:val="21"/>
        </w:rPr>
        <w:t>电子投标文件。若投标人参与投标，自行承担投标一切费用。（2）标前准备：各投标人应在开标前确保成为浙江政府采购网正式注册入库供应商，并完成CA数字证书办理，具体请自行前往“浙江政府采购网-下载专区-电子交易客户端-CA驱动和申领流程”进行查阅，因未注册入库供应商、未办理CA数字证书等原因造成无法投标或投标失败等后果由投标人自行承担。（操作指南链接：https://service.zcygov.cn/#/knowledges/cm2eqWwBFdiHxlNd_otq/lwV6GXABiyELHE-oVMj3?keyword=CA）。（3）投标文件制作：3.1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3.2投标人可自行选择是否在投标截止时间前将在“政采云电子投标客户端”上最后生成的具备电子签章的备份电子投标文件（以U盘为载体，投标人应当确保U盘能够打开运行并正常使用）密封递交，采用邮寄方式递交，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p>
    <w:p>
      <w:pPr>
        <w:pStyle w:val="44"/>
        <w:spacing w:before="75" w:beforeAutospacing="0" w:after="75" w:afterAutospacing="0" w:line="360" w:lineRule="auto"/>
        <w:rPr>
          <w:sz w:val="21"/>
          <w:szCs w:val="21"/>
        </w:rPr>
      </w:pPr>
      <w:r>
        <w:rPr>
          <w:rFonts w:hint="eastAsia"/>
          <w:sz w:val="21"/>
          <w:szCs w:val="21"/>
        </w:rPr>
        <w:t>拟在开标当天截止时间前一个小时到件的邮寄地址为：金桥广场15楼（宁海县时代西路128号）；</w:t>
      </w:r>
    </w:p>
    <w:p>
      <w:pPr>
        <w:pStyle w:val="44"/>
        <w:spacing w:before="75" w:beforeAutospacing="0" w:after="75" w:afterAutospacing="0" w:line="360" w:lineRule="auto"/>
        <w:rPr>
          <w:sz w:val="21"/>
          <w:szCs w:val="21"/>
        </w:rPr>
      </w:pPr>
      <w:r>
        <w:rPr>
          <w:rFonts w:hint="eastAsia"/>
          <w:sz w:val="21"/>
          <w:szCs w:val="21"/>
        </w:rPr>
        <w:t>收件人：薛丹明  联系方式：13957826696</w:t>
      </w:r>
    </w:p>
    <w:p>
      <w:pPr>
        <w:spacing w:line="400" w:lineRule="exact"/>
        <w:ind w:firstLine="420" w:firstLineChars="200"/>
        <w:rPr>
          <w:rFonts w:ascii="宋体" w:hAnsi="宋体"/>
          <w:szCs w:val="21"/>
        </w:rPr>
      </w:pPr>
      <w:r>
        <w:rPr>
          <w:rFonts w:hint="eastAsia" w:ascii="宋体" w:hAnsi="宋体" w:cs="宋体"/>
          <w:color w:val="000000"/>
          <w:szCs w:val="21"/>
        </w:rPr>
        <w:t>请各供应商确保密封包装在邮寄过程密封包装完好，因邮寄过程的密封破损造成不符合开标要求的，本采购代理及采购人概不负责。3.3采购代理机构将在投标文件规定的时间通过政府采购云平台组织开标、开启投标文件，所有投标人均应准时在线参加。开标时间后30分钟内，投标人可以登录政府采购云平台（www.zcygov.cn），用“项目采购-开标评标”功能进行解密投标文件。3.4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3.5本项目投标人的备份电子投标文件不予退还。</w:t>
      </w:r>
      <w:r>
        <w:rPr>
          <w:rFonts w:ascii="宋体" w:hAnsi="宋体"/>
          <w:szCs w:val="21"/>
        </w:rPr>
        <w:t>　　　　　　</w:t>
      </w:r>
    </w:p>
    <w:p>
      <w:pPr>
        <w:spacing w:line="400" w:lineRule="exact"/>
        <w:rPr>
          <w:rFonts w:ascii="宋体" w:hAnsi="宋体"/>
          <w:szCs w:val="21"/>
        </w:rPr>
      </w:pPr>
      <w:r>
        <w:rPr>
          <w:rFonts w:ascii="宋体" w:hAnsi="宋体"/>
          <w:b/>
          <w:szCs w:val="21"/>
        </w:rPr>
        <w:t>七、对本次</w:t>
      </w:r>
      <w:r>
        <w:rPr>
          <w:rFonts w:hint="eastAsia" w:ascii="宋体" w:hAnsi="宋体"/>
          <w:b/>
          <w:szCs w:val="21"/>
        </w:rPr>
        <w:t>采购</w:t>
      </w:r>
      <w:r>
        <w:rPr>
          <w:rFonts w:ascii="宋体" w:hAnsi="宋体"/>
          <w:b/>
          <w:szCs w:val="21"/>
        </w:rPr>
        <w:t>提出询问、质疑、投诉，请按以下方式联系。　</w:t>
      </w:r>
      <w:r>
        <w:rPr>
          <w:rFonts w:ascii="宋体" w:hAnsi="宋体"/>
          <w:szCs w:val="21"/>
        </w:rPr>
        <w:t>　　　　　　　　　　　</w:t>
      </w:r>
    </w:p>
    <w:p>
      <w:pPr>
        <w:spacing w:line="400" w:lineRule="exact"/>
        <w:ind w:firstLine="420" w:firstLineChars="200"/>
        <w:rPr>
          <w:rFonts w:ascii="宋体" w:hAnsi="宋体"/>
          <w:szCs w:val="21"/>
        </w:rPr>
      </w:pPr>
      <w:r>
        <w:rPr>
          <w:rFonts w:ascii="宋体" w:hAnsi="宋体"/>
          <w:szCs w:val="21"/>
        </w:rPr>
        <w:t>1.采购人信息</w:t>
      </w:r>
    </w:p>
    <w:p>
      <w:pPr>
        <w:spacing w:line="400" w:lineRule="exact"/>
        <w:ind w:firstLine="420" w:firstLineChars="200"/>
        <w:rPr>
          <w:rFonts w:hint="eastAsia" w:ascii="宋体" w:hAnsi="宋体" w:eastAsia="宋体"/>
          <w:szCs w:val="21"/>
          <w:lang w:eastAsia="zh-CN"/>
        </w:rPr>
      </w:pPr>
      <w:r>
        <w:rPr>
          <w:rFonts w:ascii="宋体" w:hAnsi="宋体"/>
          <w:szCs w:val="21"/>
        </w:rPr>
        <w:t>名称：</w:t>
      </w:r>
      <w:r>
        <w:rPr>
          <w:rFonts w:hint="eastAsia" w:ascii="宋体" w:hAnsi="宋体"/>
          <w:szCs w:val="21"/>
          <w:lang w:eastAsia="zh-CN"/>
        </w:rPr>
        <w:t>宁海县数据服务中心</w:t>
      </w:r>
    </w:p>
    <w:p>
      <w:pPr>
        <w:spacing w:line="400" w:lineRule="exact"/>
        <w:ind w:firstLine="420" w:firstLineChars="200"/>
        <w:rPr>
          <w:rFonts w:ascii="宋体" w:hAnsi="宋体"/>
          <w:szCs w:val="21"/>
        </w:rPr>
      </w:pPr>
      <w:r>
        <w:rPr>
          <w:rFonts w:ascii="宋体" w:hAnsi="宋体"/>
          <w:szCs w:val="21"/>
        </w:rPr>
        <w:t>地址：宁海县桃源大厦E幢5楼</w:t>
      </w:r>
    </w:p>
    <w:p>
      <w:pPr>
        <w:spacing w:line="400" w:lineRule="exact"/>
        <w:ind w:firstLine="420" w:firstLineChars="200"/>
        <w:rPr>
          <w:rFonts w:ascii="宋体" w:hAnsi="宋体"/>
          <w:szCs w:val="21"/>
        </w:rPr>
      </w:pPr>
      <w:r>
        <w:rPr>
          <w:rFonts w:ascii="宋体" w:hAnsi="宋体"/>
          <w:szCs w:val="21"/>
        </w:rPr>
        <w:t>传真：</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项目联系人（询问）：</w:t>
      </w:r>
      <w:r>
        <w:rPr>
          <w:rFonts w:hint="eastAsia" w:ascii="宋体" w:hAnsi="宋体"/>
          <w:szCs w:val="21"/>
        </w:rPr>
        <w:t>潘海山</w:t>
      </w:r>
    </w:p>
    <w:p>
      <w:pPr>
        <w:spacing w:line="400" w:lineRule="exact"/>
        <w:ind w:left="420" w:leftChars="200"/>
        <w:rPr>
          <w:rFonts w:ascii="宋体" w:hAnsi="宋体"/>
          <w:szCs w:val="21"/>
        </w:rPr>
      </w:pPr>
      <w:r>
        <w:rPr>
          <w:rFonts w:ascii="宋体" w:hAnsi="宋体"/>
          <w:szCs w:val="21"/>
        </w:rPr>
        <w:t>项目联系方式（询问）：</w:t>
      </w:r>
      <w:r>
        <w:rPr>
          <w:rFonts w:hint="eastAsia" w:ascii="宋体" w:hAnsi="宋体"/>
          <w:szCs w:val="21"/>
        </w:rPr>
        <w:t>0574-65260253</w:t>
      </w:r>
    </w:p>
    <w:p>
      <w:pPr>
        <w:spacing w:line="400" w:lineRule="exact"/>
        <w:ind w:left="420" w:leftChars="200"/>
        <w:rPr>
          <w:rFonts w:ascii="宋体" w:hAnsi="宋体"/>
          <w:szCs w:val="21"/>
        </w:rPr>
      </w:pPr>
      <w:r>
        <w:rPr>
          <w:rFonts w:ascii="宋体" w:hAnsi="宋体"/>
          <w:szCs w:val="21"/>
        </w:rPr>
        <w:t>质疑联系人：</w:t>
      </w:r>
      <w:r>
        <w:rPr>
          <w:rFonts w:hint="eastAsia" w:ascii="宋体" w:hAnsi="宋体" w:cs="宋体"/>
          <w:kern w:val="0"/>
          <w:szCs w:val="21"/>
        </w:rPr>
        <w:t>童</w:t>
      </w:r>
      <w:r>
        <w:rPr>
          <w:rFonts w:ascii="宋体" w:hAnsi="宋体" w:cs="宋体"/>
          <w:kern w:val="0"/>
          <w:szCs w:val="21"/>
        </w:rPr>
        <w:t>旭</w:t>
      </w:r>
    </w:p>
    <w:p>
      <w:pPr>
        <w:spacing w:line="400" w:lineRule="exact"/>
        <w:ind w:firstLine="420" w:firstLineChars="200"/>
        <w:rPr>
          <w:rFonts w:ascii="宋体" w:hAnsi="宋体"/>
          <w:szCs w:val="21"/>
        </w:rPr>
      </w:pPr>
      <w:r>
        <w:rPr>
          <w:rFonts w:ascii="宋体" w:hAnsi="宋体"/>
          <w:szCs w:val="21"/>
        </w:rPr>
        <w:t>质疑联系方式：</w:t>
      </w:r>
      <w:r>
        <w:rPr>
          <w:rFonts w:hint="eastAsia" w:ascii="宋体" w:hAnsi="宋体"/>
          <w:szCs w:val="21"/>
        </w:rPr>
        <w:t>0574-65260253</w:t>
      </w:r>
    </w:p>
    <w:p>
      <w:pPr>
        <w:spacing w:line="400" w:lineRule="exact"/>
        <w:ind w:firstLine="420" w:firstLineChars="200"/>
        <w:rPr>
          <w:rFonts w:ascii="宋体" w:hAnsi="宋体"/>
          <w:szCs w:val="21"/>
        </w:rPr>
      </w:pPr>
      <w:r>
        <w:rPr>
          <w:rFonts w:ascii="宋体" w:hAnsi="宋体"/>
          <w:szCs w:val="21"/>
        </w:rPr>
        <w:t>2.采购代理机构信息</w:t>
      </w:r>
    </w:p>
    <w:p>
      <w:pPr>
        <w:spacing w:line="400" w:lineRule="exact"/>
        <w:ind w:firstLine="420" w:firstLineChars="200"/>
        <w:rPr>
          <w:rFonts w:ascii="宋体" w:hAnsi="宋体"/>
          <w:szCs w:val="21"/>
        </w:rPr>
      </w:pPr>
      <w:r>
        <w:rPr>
          <w:rFonts w:ascii="宋体" w:hAnsi="宋体"/>
          <w:szCs w:val="21"/>
        </w:rPr>
        <w:t>名称：</w:t>
      </w:r>
      <w:r>
        <w:rPr>
          <w:rFonts w:hint="eastAsia" w:ascii="宋体" w:hAnsi="宋体"/>
          <w:szCs w:val="21"/>
        </w:rPr>
        <w:t>宁波中广工程管理咨询有限公司</w:t>
      </w:r>
      <w:r>
        <w:rPr>
          <w:rFonts w:ascii="宋体" w:hAnsi="宋体"/>
          <w:szCs w:val="21"/>
        </w:rPr>
        <w:t> </w:t>
      </w:r>
    </w:p>
    <w:p>
      <w:pPr>
        <w:spacing w:line="400" w:lineRule="exact"/>
        <w:ind w:firstLine="420" w:firstLineChars="200"/>
        <w:rPr>
          <w:rFonts w:ascii="宋体" w:hAnsi="宋体"/>
          <w:szCs w:val="21"/>
        </w:rPr>
      </w:pPr>
      <w:r>
        <w:rPr>
          <w:rFonts w:ascii="宋体" w:hAnsi="宋体"/>
          <w:szCs w:val="21"/>
        </w:rPr>
        <w:t>地址：</w:t>
      </w:r>
      <w:r>
        <w:rPr>
          <w:rFonts w:hint="eastAsia" w:ascii="宋体" w:hAnsi="宋体"/>
          <w:szCs w:val="21"/>
        </w:rPr>
        <w:t>金桥广场15楼（宁海县时代西路128号）</w:t>
      </w:r>
    </w:p>
    <w:p>
      <w:pPr>
        <w:spacing w:line="400" w:lineRule="exact"/>
        <w:ind w:firstLine="420" w:firstLineChars="200"/>
        <w:rPr>
          <w:rFonts w:ascii="宋体" w:hAnsi="宋体"/>
          <w:szCs w:val="21"/>
        </w:rPr>
      </w:pPr>
      <w:r>
        <w:rPr>
          <w:rFonts w:ascii="宋体" w:hAnsi="宋体"/>
          <w:szCs w:val="21"/>
        </w:rPr>
        <w:t>传真：0574-65</w:t>
      </w:r>
      <w:r>
        <w:rPr>
          <w:rFonts w:hint="eastAsia" w:ascii="宋体" w:hAnsi="宋体"/>
          <w:szCs w:val="21"/>
        </w:rPr>
        <w:t>507133</w:t>
      </w:r>
      <w:r>
        <w:rPr>
          <w:rFonts w:ascii="宋体" w:hAnsi="宋体"/>
          <w:szCs w:val="21"/>
        </w:rPr>
        <w:t>  　</w:t>
      </w:r>
    </w:p>
    <w:p>
      <w:pPr>
        <w:spacing w:line="400" w:lineRule="exact"/>
        <w:ind w:firstLine="420" w:firstLineChars="200"/>
        <w:rPr>
          <w:rFonts w:ascii="宋体" w:hAnsi="宋体"/>
          <w:szCs w:val="21"/>
        </w:rPr>
      </w:pPr>
      <w:r>
        <w:rPr>
          <w:rFonts w:ascii="宋体" w:hAnsi="宋体"/>
          <w:szCs w:val="21"/>
        </w:rPr>
        <w:t>项目联系人（询问）：</w:t>
      </w:r>
      <w:r>
        <w:rPr>
          <w:rFonts w:hint="eastAsia" w:ascii="宋体" w:hAnsi="宋体"/>
          <w:szCs w:val="21"/>
        </w:rPr>
        <w:t>薛丹明</w:t>
      </w:r>
    </w:p>
    <w:p>
      <w:pPr>
        <w:spacing w:line="400" w:lineRule="exact"/>
        <w:ind w:firstLine="420" w:firstLineChars="200"/>
        <w:rPr>
          <w:rFonts w:ascii="宋体" w:hAnsi="宋体"/>
          <w:szCs w:val="21"/>
        </w:rPr>
      </w:pPr>
      <w:r>
        <w:rPr>
          <w:rFonts w:ascii="宋体" w:hAnsi="宋体"/>
          <w:szCs w:val="21"/>
        </w:rPr>
        <w:t>项目联系方式（询问）：</w:t>
      </w:r>
      <w:r>
        <w:rPr>
          <w:rFonts w:hint="eastAsia" w:ascii="宋体" w:hAnsi="宋体"/>
          <w:szCs w:val="21"/>
        </w:rPr>
        <w:t>13957826696</w:t>
      </w:r>
      <w:r>
        <w:rPr>
          <w:rFonts w:ascii="宋体" w:hAnsi="宋体"/>
          <w:szCs w:val="21"/>
        </w:rPr>
        <w:t> </w:t>
      </w:r>
    </w:p>
    <w:p>
      <w:pPr>
        <w:spacing w:line="400" w:lineRule="exact"/>
        <w:ind w:firstLine="420" w:firstLineChars="200"/>
        <w:rPr>
          <w:rFonts w:ascii="宋体" w:hAnsi="宋体"/>
          <w:szCs w:val="21"/>
        </w:rPr>
      </w:pPr>
      <w:r>
        <w:rPr>
          <w:rFonts w:ascii="宋体" w:hAnsi="宋体"/>
          <w:szCs w:val="21"/>
        </w:rPr>
        <w:t>质疑联系人：王时伟  </w:t>
      </w:r>
    </w:p>
    <w:p>
      <w:pPr>
        <w:spacing w:line="400" w:lineRule="exact"/>
        <w:ind w:firstLine="420" w:firstLineChars="200"/>
        <w:rPr>
          <w:rFonts w:ascii="宋体" w:hAnsi="宋体"/>
          <w:szCs w:val="21"/>
        </w:rPr>
      </w:pPr>
      <w:r>
        <w:rPr>
          <w:rFonts w:ascii="宋体" w:hAnsi="宋体"/>
          <w:szCs w:val="21"/>
        </w:rPr>
        <w:t>质疑联系方式：13605786762</w:t>
      </w:r>
    </w:p>
    <w:p>
      <w:pPr>
        <w:spacing w:line="400" w:lineRule="exact"/>
        <w:ind w:firstLine="420" w:firstLineChars="200"/>
        <w:rPr>
          <w:rFonts w:ascii="宋体" w:hAnsi="宋体"/>
          <w:szCs w:val="21"/>
        </w:rPr>
      </w:pPr>
      <w:r>
        <w:rPr>
          <w:rFonts w:ascii="宋体" w:hAnsi="宋体"/>
          <w:szCs w:val="21"/>
        </w:rPr>
        <w:t>3.同级政府采购监督管理部门</w:t>
      </w:r>
    </w:p>
    <w:p>
      <w:pPr>
        <w:spacing w:line="400" w:lineRule="exact"/>
        <w:ind w:firstLine="420" w:firstLineChars="200"/>
        <w:rPr>
          <w:rFonts w:ascii="宋体" w:hAnsi="宋体"/>
          <w:szCs w:val="21"/>
        </w:rPr>
      </w:pPr>
      <w:r>
        <w:rPr>
          <w:rFonts w:ascii="宋体" w:hAnsi="宋体"/>
          <w:szCs w:val="21"/>
        </w:rPr>
        <w:t>名称：</w:t>
      </w:r>
      <w:r>
        <w:rPr>
          <w:rFonts w:hint="eastAsia" w:ascii="宋体" w:hAnsi="宋体"/>
          <w:szCs w:val="21"/>
        </w:rPr>
        <w:t>宁海县政府采购管理办公室</w:t>
      </w:r>
    </w:p>
    <w:p>
      <w:pPr>
        <w:spacing w:line="400" w:lineRule="exact"/>
        <w:ind w:firstLine="420" w:firstLineChars="200"/>
        <w:rPr>
          <w:rFonts w:ascii="宋体" w:hAnsi="宋体"/>
          <w:szCs w:val="21"/>
        </w:rPr>
      </w:pPr>
      <w:r>
        <w:rPr>
          <w:rFonts w:ascii="宋体" w:hAnsi="宋体"/>
          <w:szCs w:val="21"/>
        </w:rPr>
        <w:t>地址：</w:t>
      </w:r>
      <w:r>
        <w:rPr>
          <w:rFonts w:hint="eastAsia" w:ascii="宋体" w:hAnsi="宋体"/>
          <w:szCs w:val="21"/>
        </w:rPr>
        <w:t>宁海县跃龙街道桃源中路218号</w:t>
      </w:r>
      <w:r>
        <w:rPr>
          <w:rFonts w:ascii="宋体" w:hAnsi="宋体"/>
          <w:szCs w:val="21"/>
        </w:rPr>
        <w:t>　</w:t>
      </w:r>
    </w:p>
    <w:p>
      <w:pPr>
        <w:spacing w:line="400" w:lineRule="exact"/>
        <w:ind w:firstLine="420" w:firstLineChars="200"/>
        <w:rPr>
          <w:rFonts w:ascii="宋体" w:hAnsi="宋体"/>
          <w:szCs w:val="21"/>
        </w:rPr>
      </w:pPr>
      <w:r>
        <w:rPr>
          <w:rFonts w:ascii="宋体" w:hAnsi="宋体"/>
          <w:szCs w:val="21"/>
        </w:rPr>
        <w:t>传真：0574-65265612</w:t>
      </w:r>
    </w:p>
    <w:p>
      <w:pPr>
        <w:spacing w:line="400" w:lineRule="exact"/>
        <w:ind w:firstLine="420" w:firstLineChars="200"/>
        <w:rPr>
          <w:rFonts w:ascii="宋体" w:hAnsi="宋体"/>
          <w:szCs w:val="21"/>
        </w:rPr>
      </w:pPr>
      <w:r>
        <w:rPr>
          <w:rFonts w:ascii="宋体" w:hAnsi="宋体"/>
          <w:szCs w:val="21"/>
        </w:rPr>
        <w:t>联系人：王欢永</w:t>
      </w:r>
    </w:p>
    <w:p>
      <w:pPr>
        <w:spacing w:line="400" w:lineRule="exact"/>
        <w:ind w:firstLine="420" w:firstLineChars="200"/>
        <w:rPr>
          <w:rFonts w:ascii="宋体" w:hAnsi="宋体"/>
          <w:szCs w:val="21"/>
        </w:rPr>
      </w:pPr>
      <w:r>
        <w:rPr>
          <w:rFonts w:ascii="宋体" w:hAnsi="宋体"/>
          <w:szCs w:val="21"/>
        </w:rPr>
        <w:t>监督投诉电话：0574-65265668</w:t>
      </w:r>
    </w:p>
    <w:p>
      <w:pPr>
        <w:spacing w:line="400" w:lineRule="exact"/>
        <w:ind w:firstLine="420" w:firstLineChars="200"/>
        <w:rPr>
          <w:rFonts w:ascii="宋体" w:hAnsi="宋体"/>
          <w:szCs w:val="21"/>
        </w:rPr>
      </w:pPr>
    </w:p>
    <w:p>
      <w:pPr>
        <w:pStyle w:val="26"/>
        <w:spacing w:beforeLines="0" w:afterLines="0"/>
        <w:ind w:firstLine="420" w:firstLineChars="200"/>
        <w:rPr>
          <w:rFonts w:hAnsi="宋体"/>
          <w:sz w:val="21"/>
          <w:szCs w:val="21"/>
        </w:rPr>
      </w:pPr>
      <w:r>
        <w:rPr>
          <w:rFonts w:hAnsi="宋体"/>
          <w:sz w:val="21"/>
          <w:szCs w:val="21"/>
        </w:rPr>
        <w:t>若对项目采购电子交易系统操作有疑问，可登录政采云（https://www.zcygov.cn/），点击右侧咨询小采，获取采小蜜智能服务管家帮助，或拨打政采云服务热线400-881-7190获取热线服务帮助。</w:t>
      </w:r>
    </w:p>
    <w:p>
      <w:pPr>
        <w:pStyle w:val="26"/>
        <w:spacing w:beforeLines="0" w:afterLines="0"/>
        <w:ind w:firstLine="420" w:firstLineChars="200"/>
        <w:rPr>
          <w:rFonts w:hAnsi="宋体"/>
          <w:b/>
          <w:bCs/>
          <w:sz w:val="21"/>
          <w:szCs w:val="21"/>
        </w:rPr>
      </w:pPr>
      <w:r>
        <w:rPr>
          <w:rFonts w:hAnsi="宋体"/>
          <w:sz w:val="21"/>
          <w:szCs w:val="21"/>
        </w:rPr>
        <w:t>CA问题联系电话（人工）：汇信CA 400-888-4636；天谷CA 400-087-8198。</w:t>
      </w:r>
    </w:p>
    <w:p>
      <w:pPr>
        <w:pStyle w:val="26"/>
        <w:snapToGrid w:val="0"/>
        <w:spacing w:before="0" w:beforeLines="0" w:after="0" w:afterLines="0"/>
        <w:jc w:val="center"/>
        <w:outlineLvl w:val="0"/>
        <w:rPr>
          <w:rFonts w:hAnsi="宋体"/>
          <w:szCs w:val="21"/>
        </w:rPr>
      </w:pPr>
    </w:p>
    <w:p>
      <w:pPr>
        <w:widowControl/>
        <w:jc w:val="left"/>
        <w:rPr>
          <w:rFonts w:ascii="宋体" w:hAnsi="宋体" w:cs="宋体"/>
          <w:sz w:val="30"/>
          <w:szCs w:val="30"/>
        </w:rPr>
      </w:pPr>
      <w:bookmarkStart w:id="0" w:name="_Toc31358"/>
      <w:r>
        <w:rPr>
          <w:rFonts w:ascii="宋体" w:hAnsi="宋体" w:cs="宋体"/>
          <w:sz w:val="30"/>
          <w:szCs w:val="30"/>
        </w:rPr>
        <w:br w:type="page"/>
      </w:r>
    </w:p>
    <w:p>
      <w:pPr>
        <w:snapToGrid w:val="0"/>
        <w:spacing w:before="120" w:beforeLines="50" w:after="120" w:afterLines="50" w:line="360" w:lineRule="auto"/>
        <w:ind w:left="238"/>
        <w:jc w:val="center"/>
        <w:outlineLvl w:val="0"/>
        <w:rPr>
          <w:rFonts w:ascii="宋体" w:hAnsi="宋体" w:cs="宋体"/>
          <w:bCs/>
          <w:sz w:val="30"/>
          <w:szCs w:val="30"/>
        </w:rPr>
      </w:pPr>
      <w:r>
        <w:rPr>
          <w:rFonts w:hint="eastAsia" w:ascii="宋体" w:hAnsi="宋体" w:cs="宋体"/>
          <w:sz w:val="30"/>
          <w:szCs w:val="30"/>
        </w:rPr>
        <w:t xml:space="preserve">第二章  </w:t>
      </w:r>
      <w:bookmarkEnd w:id="0"/>
      <w:r>
        <w:rPr>
          <w:rFonts w:hint="eastAsia" w:ascii="宋体" w:hAnsi="宋体" w:cs="宋体"/>
          <w:bCs/>
          <w:sz w:val="30"/>
          <w:szCs w:val="30"/>
        </w:rPr>
        <w:t>采购需求</w:t>
      </w:r>
    </w:p>
    <w:p>
      <w:pPr>
        <w:snapToGrid w:val="0"/>
        <w:spacing w:before="120" w:beforeLines="50" w:after="120" w:afterLines="50" w:line="360" w:lineRule="auto"/>
        <w:ind w:firstLine="280" w:firstLineChars="100"/>
        <w:outlineLvl w:val="0"/>
        <w:rPr>
          <w:sz w:val="28"/>
          <w:szCs w:val="28"/>
        </w:rPr>
      </w:pPr>
      <w:r>
        <w:rPr>
          <w:rFonts w:hint="eastAsia"/>
          <w:sz w:val="28"/>
          <w:szCs w:val="28"/>
        </w:rPr>
        <w:t>一、</w:t>
      </w:r>
      <w:r>
        <w:rPr>
          <w:b/>
          <w:bCs/>
          <w:sz w:val="28"/>
          <w:szCs w:val="28"/>
        </w:rPr>
        <w:t>项目背景</w:t>
      </w:r>
    </w:p>
    <w:p>
      <w:pPr>
        <w:spacing w:line="360" w:lineRule="auto"/>
        <w:ind w:firstLine="420"/>
        <w:rPr>
          <w:rFonts w:ascii="等线" w:hAnsi="等线"/>
          <w:szCs w:val="21"/>
        </w:rPr>
      </w:pPr>
      <w:r>
        <w:rPr>
          <w:rFonts w:hint="eastAsia" w:ascii="等线" w:hAnsi="等线"/>
          <w:szCs w:val="21"/>
        </w:rPr>
        <w:t>浙江省深入学习贯彻党的二十大精神，特别是深刻把握党的二十大的重要思想、重要观点、重大战略、重大举措，迭代升级数字化理念、目标、构架、任务、机制，以数字赋能的实战实效，确保党中央大政方针和决策部署在浙江落地生根。要持续优化营商环境，把政务服务增值化改革作为全面深化改革的抓手，以浙江省一体化智能化公共数据平台为关键支撑，以现代信息技术为新引擎，推动信息化与政府履职全面深度融合，用数据说话、用数据决策、用数据管理、用数据创新，加强三支队伍数据支撑，牢牢把握以人民为中心的发展思想，通过丰富拓展场景应用，实现好、维护好、发展好人民群众的根本利益；牢牢把握问题导向，推动改革系统集成，不断提出真正解决问题的新理念新思路新办法；牢牢把握系统观念，运用综合集成方法，找到最优、最高效、最集约的路径，实现“致广大而尽精微”。</w:t>
      </w:r>
    </w:p>
    <w:p>
      <w:pPr>
        <w:spacing w:line="360" w:lineRule="auto"/>
        <w:ind w:firstLine="420"/>
        <w:rPr>
          <w:rFonts w:ascii="等线" w:hAnsi="等线"/>
          <w:szCs w:val="21"/>
        </w:rPr>
      </w:pPr>
      <w:r>
        <w:rPr>
          <w:rFonts w:hint="eastAsia" w:ascii="等线" w:hAnsi="等线"/>
          <w:szCs w:val="21"/>
        </w:rPr>
        <w:t>浙江省一体化智能化公共数据平台是打破信息孤岛、实现数据共享的重要抓手，通过数字资源供给侧改革，为全方位、全过程、全领域数字化改革提供强大动力和支撑。宁波市一体化智能化公共数据平台以云计算、大数据、人工智能、互联网等技术为支撑，是市域治理全过程数据感知、数据共享、数据计算的基础平台，是党政机关整体智治、数字政府、数字经济、数字社会、数字法治治理体制机制、组织架构、方式流程、手段工具全方位、系统性重塑的数字化实践和集成运行平台，由基础设施、数据资源、应用支撑、业务应用、政策制度、标准规范、组织保障、政务网络安全“四横四纵”体系和“浙里办”“浙政钉”两大前端组成，纵向贯通省、市、县各层级。</w:t>
      </w:r>
    </w:p>
    <w:p>
      <w:pPr>
        <w:spacing w:line="360" w:lineRule="auto"/>
        <w:ind w:firstLine="420"/>
        <w:rPr>
          <w:rFonts w:ascii="等线" w:hAnsi="等线"/>
          <w:szCs w:val="21"/>
        </w:rPr>
      </w:pPr>
      <w:r>
        <w:rPr>
          <w:rFonts w:hint="eastAsia" w:ascii="等线" w:hAnsi="等线"/>
          <w:szCs w:val="21"/>
          <w:lang w:eastAsia="zh-CN"/>
        </w:rPr>
        <w:t>宁海县数据服务中心</w:t>
      </w:r>
      <w:r>
        <w:rPr>
          <w:rFonts w:hint="eastAsia" w:ascii="等线" w:hAnsi="等线"/>
          <w:szCs w:val="21"/>
        </w:rPr>
        <w:t>作为宁海县数字化工作的责任部门之一，根据省、市相关要求，打造数字化改革“底座”，对县域政务服务应用和数据进行统一调研，统一编码，应归尽归，同时根据业务需要对现有数据进行治理，挖掘深度价值，为政务服务增值化改革和三支队伍建设提供数据支持，最终提升宁海县各级政府部门的业务能力和服务能力。</w:t>
      </w:r>
    </w:p>
    <w:p>
      <w:pPr>
        <w:snapToGrid w:val="0"/>
        <w:spacing w:before="120" w:beforeLines="50" w:after="120" w:afterLines="50" w:line="360" w:lineRule="auto"/>
        <w:ind w:left="237" w:leftChars="113" w:firstLine="281" w:firstLineChars="100"/>
        <w:outlineLvl w:val="0"/>
        <w:rPr>
          <w:b/>
          <w:sz w:val="28"/>
          <w:szCs w:val="28"/>
        </w:rPr>
      </w:pPr>
      <w:r>
        <w:rPr>
          <w:b/>
          <w:sz w:val="28"/>
          <w:szCs w:val="28"/>
        </w:rPr>
        <w:t>二、建设目标</w:t>
      </w:r>
    </w:p>
    <w:p>
      <w:pPr>
        <w:spacing w:line="360" w:lineRule="auto"/>
        <w:ind w:firstLine="420"/>
        <w:rPr>
          <w:rFonts w:ascii="等线" w:hAnsi="等线"/>
          <w:szCs w:val="21"/>
        </w:rPr>
      </w:pPr>
      <w:r>
        <w:rPr>
          <w:rFonts w:hint="eastAsia" w:ascii="等线" w:hAnsi="等线"/>
          <w:szCs w:val="21"/>
          <w:lang w:eastAsia="zh-CN"/>
        </w:rPr>
        <w:t>宁海县数据服务中心</w:t>
      </w:r>
      <w:r>
        <w:rPr>
          <w:rFonts w:hint="eastAsia" w:ascii="等线" w:hAnsi="等线"/>
          <w:szCs w:val="21"/>
        </w:rPr>
        <w:t>2024-2025年度一体化智能化公共数据平台宁海分平台项目的推进旨在，承接宁波市回流数据并充分利用宁波市一体化智能化公共数据平台数据运营服务能力，进一步构建连接</w:t>
      </w:r>
      <w:r>
        <w:rPr>
          <w:rFonts w:hint="eastAsia" w:ascii="等线" w:hAnsi="等线"/>
          <w:szCs w:val="21"/>
          <w:lang w:eastAsia="zh-CN"/>
        </w:rPr>
        <w:t>宁海县数据服务中心</w:t>
      </w:r>
      <w:r>
        <w:rPr>
          <w:rFonts w:hint="eastAsia" w:ascii="等线" w:hAnsi="等线"/>
          <w:szCs w:val="21"/>
        </w:rPr>
        <w:t>与数源单位的“数据神经网络”。同时，打造区域范围内个性化数据的采集、交换、治理、分析运营能力，满足宁海县本地应用的多样化、复杂化数据需求。</w:t>
      </w:r>
    </w:p>
    <w:p>
      <w:pPr>
        <w:spacing w:line="360" w:lineRule="auto"/>
        <w:ind w:firstLine="420"/>
        <w:rPr>
          <w:szCs w:val="21"/>
        </w:rPr>
      </w:pPr>
      <w:r>
        <w:rPr>
          <w:rFonts w:hint="eastAsia" w:ascii="等线" w:hAnsi="等线"/>
          <w:szCs w:val="21"/>
        </w:rPr>
        <w:t>充分考虑浙江省、宁波市一体化智能化公共数据平台与宁海分平台的关系，依托宁波市数据资源目录平台，积极开展系统普查、目录调研等调研工作，摸清宁海县数据资源基础。同时，建设宁海县数据交换通道，打破数据烟囱，实现区域数据资源的汇聚。根据各部门业务属性、数据应用场景，制定宁海县特色数据治理规则，通过数据治理运营服务，提高宁海县整体数据质量。最后，对</w:t>
      </w:r>
      <w:r>
        <w:rPr>
          <w:rFonts w:hint="eastAsia" w:ascii="等线" w:hAnsi="等线"/>
          <w:szCs w:val="21"/>
          <w:lang w:val="en-US" w:eastAsia="zh-CN"/>
        </w:rPr>
        <w:t>县</w:t>
      </w:r>
      <w:r>
        <w:rPr>
          <w:rFonts w:hint="eastAsia" w:ascii="等线" w:hAnsi="等线"/>
          <w:szCs w:val="21"/>
        </w:rPr>
        <w:t>数据服务中心中心库的数据进行库表现状分析、专题库方向分析、数据应用方向分析，形成综合性数据分析报告</w:t>
      </w:r>
      <w:r>
        <w:rPr>
          <w:rFonts w:hint="eastAsia"/>
          <w:szCs w:val="21"/>
        </w:rPr>
        <w:t>。</w:t>
      </w:r>
    </w:p>
    <w:p>
      <w:pPr>
        <w:snapToGrid w:val="0"/>
        <w:spacing w:before="120" w:beforeLines="50" w:after="120" w:afterLines="50" w:line="360" w:lineRule="auto"/>
        <w:ind w:firstLine="281" w:firstLineChars="100"/>
        <w:outlineLvl w:val="0"/>
        <w:rPr>
          <w:b/>
          <w:sz w:val="28"/>
          <w:szCs w:val="28"/>
        </w:rPr>
      </w:pPr>
      <w:r>
        <w:rPr>
          <w:rFonts w:hint="eastAsia"/>
          <w:b/>
          <w:sz w:val="28"/>
          <w:szCs w:val="28"/>
        </w:rPr>
        <w:t>三、</w:t>
      </w:r>
      <w:r>
        <w:rPr>
          <w:b/>
          <w:sz w:val="28"/>
          <w:szCs w:val="28"/>
        </w:rPr>
        <w:t>建设原则</w:t>
      </w:r>
    </w:p>
    <w:p>
      <w:pPr>
        <w:spacing w:line="360" w:lineRule="auto"/>
        <w:ind w:firstLine="420"/>
        <w:rPr>
          <w:b/>
          <w:bCs/>
          <w:sz w:val="24"/>
        </w:rPr>
      </w:pPr>
      <w:r>
        <w:rPr>
          <w:rFonts w:hint="eastAsia"/>
          <w:b/>
          <w:bCs/>
          <w:sz w:val="24"/>
        </w:rPr>
        <w:t>3.1</w:t>
      </w:r>
      <w:r>
        <w:rPr>
          <w:b/>
          <w:bCs/>
          <w:sz w:val="24"/>
        </w:rPr>
        <w:t>互联互通原则</w:t>
      </w:r>
    </w:p>
    <w:p>
      <w:pPr>
        <w:spacing w:line="360" w:lineRule="auto"/>
        <w:ind w:firstLine="420"/>
      </w:pPr>
      <w:r>
        <w:rPr>
          <w:rFonts w:hint="eastAsia"/>
        </w:rPr>
        <w:t>与省、市统一技术标准和管理规范，坚持一体化设计、差异化建设，合理分工，各有侧重。根据物理分散、逻辑集中、资源共享、安全可控的要求，宁海分平台基于宁波市级政务云建设，并与宁波市一体化智能化公共数据平台互联互通。</w:t>
      </w:r>
    </w:p>
    <w:p>
      <w:pPr>
        <w:spacing w:line="360" w:lineRule="auto"/>
        <w:ind w:firstLine="420"/>
        <w:rPr>
          <w:b/>
          <w:bCs/>
          <w:sz w:val="24"/>
        </w:rPr>
      </w:pPr>
      <w:r>
        <w:rPr>
          <w:rFonts w:hint="eastAsia"/>
          <w:b/>
          <w:bCs/>
          <w:sz w:val="24"/>
        </w:rPr>
        <w:t>3.2</w:t>
      </w:r>
      <w:r>
        <w:rPr>
          <w:b/>
          <w:bCs/>
          <w:sz w:val="24"/>
        </w:rPr>
        <w:t>以用促建原则</w:t>
      </w:r>
    </w:p>
    <w:p>
      <w:pPr>
        <w:spacing w:line="360" w:lineRule="auto"/>
        <w:ind w:firstLine="420"/>
      </w:pPr>
      <w:r>
        <w:rPr>
          <w:rFonts w:hint="eastAsia"/>
        </w:rPr>
        <w:t>注重平台服务的有效性和针对性，坚持需求导向，保障宁波市一体化智能化公共数据平台宁海分平台正常运行，通过数据归集、治理、共享、开放和安全管理等服务，支撑应用迭代创新，赋能全域数字化改革。</w:t>
      </w:r>
    </w:p>
    <w:p>
      <w:pPr>
        <w:spacing w:line="360" w:lineRule="auto"/>
        <w:ind w:firstLine="420"/>
        <w:rPr>
          <w:b/>
          <w:bCs/>
          <w:sz w:val="24"/>
        </w:rPr>
      </w:pPr>
      <w:r>
        <w:rPr>
          <w:rFonts w:hint="eastAsia"/>
          <w:b/>
          <w:bCs/>
          <w:sz w:val="24"/>
        </w:rPr>
        <w:t>3.3</w:t>
      </w:r>
      <w:r>
        <w:rPr>
          <w:b/>
          <w:bCs/>
          <w:sz w:val="24"/>
        </w:rPr>
        <w:t>经济适用原则</w:t>
      </w:r>
    </w:p>
    <w:p>
      <w:pPr>
        <w:spacing w:line="360" w:lineRule="auto"/>
        <w:ind w:firstLine="420"/>
      </w:pPr>
      <w:r>
        <w:rPr>
          <w:rFonts w:hint="eastAsia"/>
        </w:rPr>
        <w:t>根据自身特点，因地制宜，充分利用市级平台资源进行服务运维。服务内容及标准须符合全市统一标准规范。</w:t>
      </w:r>
    </w:p>
    <w:p>
      <w:pPr>
        <w:spacing w:line="360" w:lineRule="auto"/>
        <w:ind w:firstLine="420"/>
        <w:rPr>
          <w:b/>
          <w:bCs/>
          <w:sz w:val="24"/>
        </w:rPr>
      </w:pPr>
      <w:r>
        <w:rPr>
          <w:rFonts w:hint="eastAsia"/>
          <w:b/>
          <w:bCs/>
          <w:sz w:val="24"/>
        </w:rPr>
        <w:t>3.4</w:t>
      </w:r>
      <w:r>
        <w:rPr>
          <w:b/>
          <w:bCs/>
          <w:sz w:val="24"/>
        </w:rPr>
        <w:t>共建共享原则</w:t>
      </w:r>
    </w:p>
    <w:p>
      <w:pPr>
        <w:spacing w:line="360" w:lineRule="auto"/>
        <w:ind w:firstLine="420"/>
      </w:pPr>
      <w:r>
        <w:rPr>
          <w:rFonts w:hint="eastAsia"/>
        </w:rPr>
        <w:t>按照“应共享、尽共享”的要求，加快推进数据目录化、目录全局化、全局动态化，做到一数一源、同步更新、高效共享。</w:t>
      </w:r>
    </w:p>
    <w:p>
      <w:pPr>
        <w:spacing w:line="360" w:lineRule="auto"/>
        <w:ind w:firstLine="281" w:firstLineChars="100"/>
        <w:rPr>
          <w:b/>
          <w:sz w:val="28"/>
          <w:szCs w:val="28"/>
        </w:rPr>
      </w:pPr>
      <w:r>
        <w:rPr>
          <w:b/>
          <w:sz w:val="28"/>
          <w:szCs w:val="28"/>
        </w:rPr>
        <w:t>四、实施服务要求</w:t>
      </w:r>
    </w:p>
    <w:p>
      <w:pPr>
        <w:spacing w:line="360" w:lineRule="auto"/>
        <w:ind w:firstLine="482" w:firstLineChars="200"/>
        <w:rPr>
          <w:b/>
          <w:sz w:val="24"/>
        </w:rPr>
      </w:pPr>
      <w:r>
        <w:rPr>
          <w:rFonts w:hint="eastAsia"/>
          <w:b/>
          <w:sz w:val="24"/>
        </w:rPr>
        <w:t>4.1</w:t>
      </w:r>
      <w:r>
        <w:rPr>
          <w:b/>
          <w:sz w:val="24"/>
        </w:rPr>
        <w:t>项目实施计划及人员要求</w:t>
      </w:r>
    </w:p>
    <w:p>
      <w:pPr>
        <w:pStyle w:val="47"/>
        <w:spacing w:after="0" w:line="440" w:lineRule="exact"/>
        <w:ind w:firstLine="440" w:firstLineChars="200"/>
        <w:rPr>
          <w:rFonts w:ascii="宋体" w:hAnsi="宋体"/>
          <w:sz w:val="22"/>
          <w:szCs w:val="22"/>
        </w:rPr>
      </w:pPr>
      <w:r>
        <w:rPr>
          <w:rFonts w:hint="eastAsia" w:ascii="宋体" w:hAnsi="宋体"/>
          <w:sz w:val="22"/>
          <w:szCs w:val="22"/>
        </w:rPr>
        <w:t>1、在运营服务及管理期间中标供应商必须遵守国家的有关法律、法规及其他规定，本着为采购人负责的精神，依照规范，科学管理，使各系统运行达到采购人要求的技术标准和要求。</w:t>
      </w:r>
    </w:p>
    <w:p>
      <w:pPr>
        <w:pStyle w:val="47"/>
        <w:spacing w:after="0" w:line="440" w:lineRule="exact"/>
        <w:ind w:firstLine="440" w:firstLineChars="200"/>
        <w:rPr>
          <w:rFonts w:ascii="宋体" w:hAnsi="宋体"/>
          <w:sz w:val="22"/>
          <w:szCs w:val="22"/>
        </w:rPr>
      </w:pPr>
      <w:r>
        <w:rPr>
          <w:rFonts w:hint="eastAsia" w:ascii="宋体" w:hAnsi="宋体"/>
          <w:sz w:val="22"/>
          <w:szCs w:val="22"/>
        </w:rPr>
        <w:t>2、常驻技术服务人员工资、社会福利、后勤运行保障费用（场地、水电、耗材等）由中标供应商支付，在外包服务期内，常驻技术人员发生的事故由中标供应商自行全权负责，采购人将不负任何责任。</w:t>
      </w:r>
    </w:p>
    <w:p>
      <w:pPr>
        <w:pStyle w:val="47"/>
        <w:spacing w:after="0" w:line="440" w:lineRule="exact"/>
        <w:ind w:firstLine="440" w:firstLineChars="200"/>
        <w:rPr>
          <w:rFonts w:ascii="宋体" w:hAnsi="宋体"/>
          <w:sz w:val="22"/>
          <w:szCs w:val="22"/>
        </w:rPr>
      </w:pPr>
      <w:r>
        <w:rPr>
          <w:rFonts w:hint="eastAsia" w:ascii="宋体" w:hAnsi="宋体"/>
          <w:sz w:val="22"/>
          <w:szCs w:val="22"/>
        </w:rPr>
        <w:t>3、中标供应商外派的常驻技术人员条件一旦满足采购人的需求，上岗后不能随意更换，确有不可控的因素需要调整常驻技术人员，需提前征求采购人同意后方可更换、调整。若采购人发现常驻技术人员不合格，有权要求更换技术人员，中标供应商应在收到采购人的书面通知7个日历日内完成技术人员的更换。</w:t>
      </w:r>
    </w:p>
    <w:p>
      <w:pPr>
        <w:pStyle w:val="47"/>
        <w:spacing w:after="0" w:line="440" w:lineRule="exact"/>
        <w:ind w:firstLine="440" w:firstLineChars="200"/>
        <w:rPr>
          <w:rFonts w:ascii="宋体" w:hAnsi="宋体"/>
          <w:sz w:val="22"/>
          <w:szCs w:val="22"/>
        </w:rPr>
      </w:pPr>
      <w:r>
        <w:rPr>
          <w:rFonts w:hint="eastAsia" w:ascii="宋体" w:hAnsi="宋体"/>
          <w:sz w:val="22"/>
          <w:szCs w:val="22"/>
        </w:rPr>
        <w:t>4、投标供应商须按要求至少派驻2名技术人员常驻现场。驻场技术人员要具备相关从业经验和丰富服务经验，有较强的解决问题及沟通能力。当驻场技术人员无法解决问题时或技术力量不足时，中标供应商须提供7×24小时后援技术支持和补充。</w:t>
      </w:r>
    </w:p>
    <w:p>
      <w:pPr>
        <w:pStyle w:val="47"/>
        <w:spacing w:after="0" w:line="440" w:lineRule="exact"/>
        <w:ind w:firstLine="440" w:firstLineChars="200"/>
        <w:rPr>
          <w:rFonts w:ascii="宋体" w:hAnsi="宋体"/>
          <w:sz w:val="22"/>
          <w:szCs w:val="22"/>
        </w:rPr>
      </w:pPr>
      <w:r>
        <w:rPr>
          <w:rFonts w:hint="eastAsia" w:ascii="宋体" w:hAnsi="宋体"/>
          <w:sz w:val="22"/>
          <w:szCs w:val="22"/>
        </w:rPr>
        <w:t>5、中标供应商要加强技术人员的管理与培训，并保证核心技术人员的稳定性（核心技术人员包括：</w:t>
      </w:r>
      <w:r>
        <w:rPr>
          <w:rFonts w:hint="eastAsia" w:asciiTheme="minorEastAsia" w:hAnsiTheme="minorEastAsia"/>
        </w:rPr>
        <w:t>项目经理、技术负责人及驻场人员等</w:t>
      </w:r>
      <w:r>
        <w:rPr>
          <w:rFonts w:hint="eastAsia" w:ascii="宋体" w:hAnsi="宋体"/>
          <w:sz w:val="22"/>
          <w:szCs w:val="22"/>
        </w:rPr>
        <w:t>），未经采购人允许不得擅自更换从事核心技术服务的人员。</w:t>
      </w:r>
    </w:p>
    <w:p>
      <w:pPr>
        <w:pStyle w:val="47"/>
        <w:spacing w:after="0" w:line="360" w:lineRule="auto"/>
        <w:ind w:firstLine="440" w:firstLineChars="200"/>
        <w:rPr>
          <w:rFonts w:ascii="宋体" w:hAnsi="宋体"/>
          <w:sz w:val="22"/>
          <w:szCs w:val="22"/>
        </w:rPr>
      </w:pPr>
      <w:r>
        <w:rPr>
          <w:rFonts w:hint="eastAsia" w:ascii="宋体" w:hAnsi="宋体"/>
          <w:sz w:val="22"/>
          <w:szCs w:val="22"/>
        </w:rPr>
        <w:t>6、中标供应商要制定适合采购人技术服务工作特点的详细的工作服务流程与方案，经采购人同意后实施。运营及管理期间，中标供应商应严格按照双方确定的操作规范和规章制度。中标供应商必须接受采购人的定期或不定期检查和考核。</w:t>
      </w:r>
    </w:p>
    <w:p>
      <w:pPr>
        <w:pStyle w:val="47"/>
        <w:spacing w:after="0" w:line="360" w:lineRule="auto"/>
        <w:ind w:firstLine="440" w:firstLineChars="200"/>
        <w:rPr>
          <w:rFonts w:ascii="宋体" w:hAnsi="宋体"/>
          <w:sz w:val="22"/>
          <w:szCs w:val="22"/>
        </w:rPr>
      </w:pPr>
      <w:r>
        <w:rPr>
          <w:rFonts w:hint="eastAsia" w:ascii="宋体" w:hAnsi="宋体"/>
          <w:sz w:val="22"/>
          <w:szCs w:val="22"/>
        </w:rPr>
        <w:t>7、常驻技术人员要遵守采购人的劳动考勤纪律及其它相关规章制度，接受采购人的工作安排（包括24小时值守、节假日和汛期之间的工作安排）做好工作。考核绩效由中标供应商确定，采购人可提供中标供应商驻场人员的工作表现。</w:t>
      </w:r>
    </w:p>
    <w:p>
      <w:pPr>
        <w:pStyle w:val="47"/>
        <w:spacing w:after="0" w:line="360" w:lineRule="auto"/>
        <w:ind w:firstLine="440" w:firstLineChars="200"/>
        <w:rPr>
          <w:rFonts w:ascii="宋体" w:hAnsi="宋体"/>
          <w:sz w:val="22"/>
          <w:szCs w:val="22"/>
        </w:rPr>
      </w:pPr>
      <w:r>
        <w:rPr>
          <w:rFonts w:hint="eastAsia" w:ascii="宋体" w:hAnsi="宋体"/>
          <w:sz w:val="22"/>
          <w:szCs w:val="22"/>
        </w:rPr>
        <w:t>8、中标供应商应</w:t>
      </w:r>
      <w:r>
        <w:rPr>
          <w:rFonts w:hint="eastAsia" w:asciiTheme="minorEastAsia" w:hAnsiTheme="minorEastAsia"/>
        </w:rPr>
        <w:t>两周</w:t>
      </w:r>
      <w:r>
        <w:rPr>
          <w:rFonts w:hint="eastAsia" w:ascii="宋体" w:hAnsi="宋体"/>
          <w:sz w:val="22"/>
          <w:szCs w:val="22"/>
        </w:rPr>
        <w:t>向采购人提交</w:t>
      </w:r>
      <w:r>
        <w:rPr>
          <w:rFonts w:hint="eastAsia" w:asciiTheme="minorEastAsia" w:hAnsiTheme="minorEastAsia"/>
        </w:rPr>
        <w:t>一份宁海县分平台整体服务内容的实施工作报告</w:t>
      </w:r>
      <w:r>
        <w:rPr>
          <w:rFonts w:hint="eastAsia" w:ascii="宋体" w:hAnsi="宋体"/>
          <w:sz w:val="22"/>
          <w:szCs w:val="22"/>
        </w:rPr>
        <w:t>，指出存在的问题并提出改进方案和措施。</w:t>
      </w:r>
    </w:p>
    <w:p>
      <w:pPr>
        <w:pStyle w:val="47"/>
        <w:spacing w:after="0" w:line="360" w:lineRule="auto"/>
        <w:ind w:firstLine="440" w:firstLineChars="200"/>
        <w:rPr>
          <w:rFonts w:ascii="宋体" w:hAnsi="宋体"/>
          <w:sz w:val="22"/>
          <w:szCs w:val="22"/>
        </w:rPr>
      </w:pPr>
      <w:r>
        <w:rPr>
          <w:rFonts w:hint="eastAsia" w:ascii="宋体" w:hAnsi="宋体"/>
          <w:sz w:val="22"/>
          <w:szCs w:val="22"/>
        </w:rPr>
        <w:t>9、中标供应商必须做好相关信息数据保密工作，承担保密责任。未经允许不得对外透露采购人相关的设备、网络及系统的信息，未经允许不得复制与工作相关的数据与信息，不得以任何方式和渠道向外界传递、泄露、披露任何信息数据。</w:t>
      </w:r>
    </w:p>
    <w:p>
      <w:pPr>
        <w:pStyle w:val="47"/>
        <w:spacing w:after="0" w:line="360" w:lineRule="auto"/>
        <w:ind w:firstLine="440" w:firstLineChars="200"/>
        <w:rPr>
          <w:rFonts w:ascii="宋体" w:hAnsi="宋体"/>
          <w:sz w:val="22"/>
          <w:szCs w:val="22"/>
        </w:rPr>
      </w:pPr>
      <w:r>
        <w:rPr>
          <w:rFonts w:hint="eastAsia" w:ascii="宋体" w:hAnsi="宋体"/>
          <w:sz w:val="22"/>
          <w:szCs w:val="22"/>
        </w:rPr>
        <w:t>10、中标供营商应依据浙江省一体化智能化公共数据平台综合评价指标的相关内容，提供符合要求的服务。采购人有权依据综合评价指标的反馈结果，对供应商服务内容进行考核，并依据考核情况对剩余约定合同金额进行扣除。</w:t>
      </w:r>
    </w:p>
    <w:p>
      <w:pPr>
        <w:spacing w:line="360" w:lineRule="auto"/>
        <w:ind w:firstLine="482" w:firstLineChars="200"/>
        <w:rPr>
          <w:b/>
          <w:sz w:val="24"/>
        </w:rPr>
      </w:pPr>
      <w:r>
        <w:rPr>
          <w:rFonts w:hint="eastAsia"/>
          <w:b/>
          <w:sz w:val="24"/>
        </w:rPr>
        <w:t>4.2运营咨询服务要求</w:t>
      </w:r>
    </w:p>
    <w:p>
      <w:pPr>
        <w:spacing w:line="360" w:lineRule="auto"/>
        <w:ind w:firstLine="420" w:firstLineChars="200"/>
        <w:rPr>
          <w:rFonts w:asciiTheme="minorEastAsia" w:hAnsiTheme="minorEastAsia"/>
        </w:rPr>
      </w:pPr>
      <w:r>
        <w:rPr>
          <w:rFonts w:hint="eastAsia" w:asciiTheme="minorEastAsia" w:hAnsiTheme="minorEastAsia"/>
        </w:rPr>
        <w:t>要求中标供应商提供5</w:t>
      </w:r>
      <w:r>
        <w:rPr>
          <w:rFonts w:asciiTheme="minorEastAsia" w:hAnsiTheme="minorEastAsia"/>
        </w:rPr>
        <w:t>*8</w:t>
      </w:r>
      <w:r>
        <w:rPr>
          <w:rFonts w:hint="eastAsia" w:asciiTheme="minorEastAsia" w:hAnsiTheme="minorEastAsia"/>
        </w:rPr>
        <w:t>小时的运营咨询答疑服务，重要时期提供7*24小时服务，并帮助协调相应项目对接人员。要求收集与记录上架服务和省反馈考核结果中存在的各类问题，记录每个常见问题的回答，形成问题库或组织培训会进行问题解答。</w:t>
      </w:r>
    </w:p>
    <w:p>
      <w:pPr>
        <w:spacing w:line="360" w:lineRule="auto"/>
        <w:ind w:firstLine="482" w:firstLineChars="200"/>
        <w:rPr>
          <w:b/>
          <w:sz w:val="24"/>
        </w:rPr>
      </w:pPr>
      <w:r>
        <w:rPr>
          <w:rFonts w:hint="eastAsia"/>
          <w:b/>
          <w:sz w:val="24"/>
        </w:rPr>
        <w:t>4.3项目培训服务要求</w:t>
      </w:r>
    </w:p>
    <w:p>
      <w:pPr>
        <w:spacing w:line="360" w:lineRule="auto"/>
        <w:ind w:firstLine="420"/>
        <w:rPr>
          <w:rFonts w:asciiTheme="minorEastAsia" w:hAnsiTheme="minorEastAsia"/>
        </w:rPr>
      </w:pPr>
      <w:r>
        <w:rPr>
          <w:rFonts w:hint="eastAsia" w:asciiTheme="minorEastAsia" w:hAnsiTheme="minorEastAsia"/>
        </w:rPr>
        <w:t>中标方应根据宁海县具体场景需求或各部门应用开发相关人员提供</w:t>
      </w:r>
      <w:r>
        <w:rPr>
          <w:rFonts w:asciiTheme="minorEastAsia" w:hAnsiTheme="minorEastAsia"/>
        </w:rPr>
        <w:t>6场数字化</w:t>
      </w:r>
      <w:r>
        <w:rPr>
          <w:rFonts w:hint="eastAsia" w:asciiTheme="minorEastAsia" w:hAnsiTheme="minorEastAsia"/>
        </w:rPr>
        <w:t>相关</w:t>
      </w:r>
      <w:r>
        <w:rPr>
          <w:rFonts w:asciiTheme="minorEastAsia" w:hAnsiTheme="minorEastAsia"/>
        </w:rPr>
        <w:t>培训服务，减少各单位对数字化工作以及相关平台使用学习成本。</w:t>
      </w:r>
    </w:p>
    <w:p>
      <w:pPr>
        <w:spacing w:line="360" w:lineRule="auto"/>
        <w:ind w:firstLine="420"/>
      </w:pPr>
      <w:r>
        <w:rPr>
          <w:rFonts w:hint="eastAsia" w:asciiTheme="minorEastAsia" w:hAnsiTheme="minorEastAsia"/>
        </w:rPr>
        <w:t>中标方应根据上述要求详细说明培训计划，包括培训大纲、培训目标、培训师资安排、培训方式及场地安排和培训对象情况</w:t>
      </w:r>
      <w:r>
        <w:rPr>
          <w:rFonts w:asciiTheme="minorEastAsia" w:hAnsiTheme="minorEastAsia"/>
        </w:rPr>
        <w:t>。</w:t>
      </w:r>
    </w:p>
    <w:p>
      <w:pPr>
        <w:spacing w:line="360" w:lineRule="auto"/>
        <w:ind w:firstLine="281" w:firstLineChars="100"/>
        <w:rPr>
          <w:b/>
          <w:sz w:val="28"/>
          <w:szCs w:val="28"/>
        </w:rPr>
      </w:pPr>
      <w:r>
        <w:rPr>
          <w:b/>
          <w:sz w:val="28"/>
          <w:szCs w:val="28"/>
        </w:rPr>
        <w:t>五、分平台整体服务要求</w:t>
      </w:r>
    </w:p>
    <w:p>
      <w:pPr>
        <w:spacing w:line="360" w:lineRule="auto"/>
        <w:ind w:firstLine="482" w:firstLineChars="200"/>
        <w:rPr>
          <w:b/>
          <w:sz w:val="24"/>
        </w:rPr>
      </w:pPr>
      <w:r>
        <w:rPr>
          <w:rFonts w:hint="eastAsia"/>
          <w:b/>
          <w:sz w:val="24"/>
        </w:rPr>
        <w:t xml:space="preserve">5.1 </w:t>
      </w:r>
      <w:r>
        <w:rPr>
          <w:b/>
          <w:sz w:val="24"/>
        </w:rPr>
        <w:t>IRS应用及数据服务</w:t>
      </w:r>
    </w:p>
    <w:p>
      <w:pPr>
        <w:spacing w:line="360" w:lineRule="auto"/>
        <w:ind w:firstLine="422" w:firstLineChars="200"/>
        <w:rPr>
          <w:b/>
        </w:rPr>
      </w:pPr>
      <w:r>
        <w:rPr>
          <w:rFonts w:hint="eastAsia"/>
          <w:b/>
        </w:rPr>
        <w:t>5.1.1应用接口对接服务</w:t>
      </w:r>
    </w:p>
    <w:p>
      <w:pPr>
        <w:spacing w:line="360" w:lineRule="auto"/>
        <w:ind w:firstLine="420"/>
        <w:rPr>
          <w:rFonts w:asciiTheme="minorEastAsia" w:hAnsiTheme="minorEastAsia"/>
        </w:rPr>
      </w:pPr>
      <w:r>
        <w:rPr>
          <w:rFonts w:hint="eastAsia" w:asciiTheme="minorEastAsia" w:hAnsiTheme="minorEastAsia"/>
        </w:rPr>
        <w:t>需提供基于</w:t>
      </w:r>
      <w:r>
        <w:rPr>
          <w:rFonts w:asciiTheme="minorEastAsia" w:hAnsiTheme="minorEastAsia"/>
        </w:rPr>
        <w:t>IRS应用的接口对接服务，根据需求完成相应接口服务，服务包括应用技术调研、接口对接、接口测试，测试完成后发布至生产环境并上线到IRS平台，提供至少10个基于IRS用的接口对接服务。</w:t>
      </w:r>
    </w:p>
    <w:p>
      <w:pPr>
        <w:spacing w:line="360" w:lineRule="auto"/>
        <w:ind w:firstLine="422" w:firstLineChars="200"/>
        <w:rPr>
          <w:b/>
        </w:rPr>
      </w:pPr>
      <w:r>
        <w:rPr>
          <w:rFonts w:hint="eastAsia"/>
          <w:b/>
        </w:rPr>
        <w:t>5.1.2应用集成技术支持服务</w:t>
      </w:r>
    </w:p>
    <w:p>
      <w:pPr>
        <w:spacing w:line="360" w:lineRule="auto"/>
        <w:ind w:firstLine="420"/>
        <w:rPr>
          <w:rFonts w:asciiTheme="minorEastAsia" w:hAnsiTheme="minorEastAsia"/>
        </w:rPr>
      </w:pPr>
      <w:r>
        <w:rPr>
          <w:rFonts w:hint="eastAsia" w:asciiTheme="minorEastAsia" w:hAnsiTheme="minorEastAsia"/>
        </w:rPr>
        <w:t>在服务期内需提供</w:t>
      </w:r>
      <w:r>
        <w:rPr>
          <w:rFonts w:asciiTheme="minorEastAsia" w:hAnsiTheme="minorEastAsia"/>
        </w:rPr>
        <w:t>IRS内应用的应用集成技术指导服务，帮助客户建立统一的应用系统整合架构，支撑现在及未来建设的应用系统按照统一的标准和规范接入到整合平台，从而实现统一界面、统一管理、统一数据、统一流程。</w:t>
      </w:r>
      <w:r>
        <w:rPr>
          <w:rFonts w:hint="eastAsia" w:asciiTheme="minorEastAsia" w:hAnsiTheme="minorEastAsia"/>
        </w:rPr>
        <w:t>提供</w:t>
      </w:r>
      <w:r>
        <w:rPr>
          <w:rFonts w:asciiTheme="minorEastAsia" w:hAnsiTheme="minorEastAsia"/>
        </w:rPr>
        <w:t>IRS</w:t>
      </w:r>
      <w:r>
        <w:rPr>
          <w:rFonts w:hint="eastAsia" w:asciiTheme="minorEastAsia" w:hAnsiTheme="minorEastAsia"/>
        </w:rPr>
        <w:t>平台使用常见问题库子系统，供相关单位查询使用。</w:t>
      </w:r>
    </w:p>
    <w:p>
      <w:pPr>
        <w:spacing w:line="360" w:lineRule="auto"/>
        <w:ind w:firstLine="422" w:firstLineChars="200"/>
        <w:rPr>
          <w:b/>
        </w:rPr>
      </w:pPr>
      <w:r>
        <w:rPr>
          <w:rFonts w:hint="eastAsia"/>
          <w:b/>
        </w:rPr>
        <w:t>5.1.3数据分析运维服务</w:t>
      </w:r>
    </w:p>
    <w:p>
      <w:pPr>
        <w:spacing w:line="360" w:lineRule="auto"/>
        <w:ind w:firstLine="420"/>
        <w:rPr>
          <w:rFonts w:asciiTheme="minorEastAsia" w:hAnsiTheme="minorEastAsia"/>
        </w:rPr>
      </w:pPr>
      <w:r>
        <w:rPr>
          <w:rFonts w:hint="eastAsia" w:asciiTheme="minorEastAsia" w:hAnsiTheme="minorEastAsia"/>
        </w:rPr>
        <w:t>中标方需要提供专职负责人，根据采购方需要，按照数据分析需求整理、收集数据、分析数据、分析结果评价的流程，提供数据分析运维服务。提供数据分析子系统，对数据分析运维服务结果进行可视化展示。</w:t>
      </w:r>
    </w:p>
    <w:p>
      <w:pPr>
        <w:spacing w:line="360" w:lineRule="auto"/>
        <w:ind w:firstLine="422" w:firstLineChars="200"/>
        <w:rPr>
          <w:b/>
          <w:sz w:val="24"/>
        </w:rPr>
      </w:pPr>
      <w:r>
        <w:rPr>
          <w:rFonts w:hint="eastAsia"/>
          <w:b/>
        </w:rPr>
        <w:t>5.1.4数据建模服务</w:t>
      </w:r>
    </w:p>
    <w:p>
      <w:pPr>
        <w:spacing w:line="360" w:lineRule="auto"/>
        <w:ind w:firstLine="420"/>
        <w:rPr>
          <w:rFonts w:asciiTheme="minorEastAsia" w:hAnsiTheme="minorEastAsia"/>
        </w:rPr>
      </w:pPr>
      <w:r>
        <w:rPr>
          <w:rFonts w:hint="eastAsia" w:asciiTheme="minorEastAsia" w:hAnsiTheme="minorEastAsia"/>
        </w:rPr>
        <w:t>在服务期内应结合宁海县具体场景需求提供</w:t>
      </w:r>
      <w:r>
        <w:rPr>
          <w:rFonts w:asciiTheme="minorEastAsia" w:hAnsiTheme="minorEastAsia"/>
        </w:rPr>
        <w:t>5个数据模型的建模服务，包括模型调研、模型设计、模型开发、模型测试与调优、模型应用。</w:t>
      </w:r>
    </w:p>
    <w:p>
      <w:pPr>
        <w:spacing w:line="360" w:lineRule="auto"/>
        <w:ind w:firstLine="422" w:firstLineChars="200"/>
        <w:rPr>
          <w:b/>
        </w:rPr>
      </w:pPr>
      <w:r>
        <w:rPr>
          <w:rFonts w:hint="eastAsia"/>
          <w:b/>
        </w:rPr>
        <w:t>5.1.5其他开发支撑服务</w:t>
      </w:r>
    </w:p>
    <w:p>
      <w:pPr>
        <w:spacing w:line="360" w:lineRule="auto"/>
        <w:ind w:firstLine="420"/>
        <w:rPr>
          <w:rFonts w:asciiTheme="minorEastAsia" w:hAnsiTheme="minorEastAsia"/>
        </w:rPr>
      </w:pPr>
      <w:r>
        <w:rPr>
          <w:rFonts w:hint="eastAsia" w:asciiTheme="minorEastAsia" w:hAnsiTheme="minorEastAsia"/>
        </w:rPr>
        <w:t>根据省市县数据服务的重点要求提供支撑，包括接口开发、调试、组件开发调试、微服务开发调试、数据分析统计、安全加固、改造等类型的开发支持服务。</w:t>
      </w:r>
    </w:p>
    <w:p>
      <w:pPr>
        <w:spacing w:line="360" w:lineRule="auto"/>
        <w:ind w:firstLine="422" w:firstLineChars="200"/>
        <w:rPr>
          <w:b/>
        </w:rPr>
      </w:pPr>
      <w:r>
        <w:rPr>
          <w:rFonts w:hint="eastAsia"/>
          <w:b/>
        </w:rPr>
        <w:t>5.1.6IRS应用咨询</w:t>
      </w:r>
    </w:p>
    <w:p>
      <w:pPr>
        <w:spacing w:line="360" w:lineRule="auto"/>
        <w:ind w:firstLine="420"/>
        <w:rPr>
          <w:rFonts w:asciiTheme="minorEastAsia" w:hAnsiTheme="minorEastAsia"/>
          <w:lang w:bidi="ar"/>
        </w:rPr>
      </w:pPr>
      <w:r>
        <w:rPr>
          <w:rFonts w:hint="eastAsia" w:asciiTheme="minorEastAsia" w:hAnsiTheme="minorEastAsia"/>
        </w:rPr>
        <w:t>在服务器内应提供</w:t>
      </w:r>
      <w:r>
        <w:rPr>
          <w:rFonts w:hint="eastAsia" w:asciiTheme="minorEastAsia" w:hAnsiTheme="minorEastAsia"/>
          <w:lang w:bidi="ar"/>
        </w:rPr>
        <w:t>应用开发咨询管理服务以及配合业务部门应用开发上架IRS平台需求。提供专业的指导，确保应用开发符合最佳实践，以实现高质量的应用程序。</w:t>
      </w:r>
    </w:p>
    <w:p>
      <w:pPr>
        <w:spacing w:line="360" w:lineRule="auto"/>
        <w:ind w:firstLine="482" w:firstLineChars="200"/>
        <w:rPr>
          <w:b/>
          <w:sz w:val="24"/>
        </w:rPr>
      </w:pPr>
      <w:r>
        <w:rPr>
          <w:b/>
          <w:sz w:val="24"/>
        </w:rPr>
        <w:t>5.2  IRS</w:t>
      </w:r>
      <w:r>
        <w:rPr>
          <w:rFonts w:hint="eastAsia"/>
          <w:b/>
          <w:sz w:val="24"/>
        </w:rPr>
        <w:t>数据资源目录服务</w:t>
      </w:r>
    </w:p>
    <w:p>
      <w:pPr>
        <w:spacing w:line="360" w:lineRule="auto"/>
        <w:ind w:firstLine="420"/>
      </w:pPr>
      <w:r>
        <w:rPr>
          <w:rFonts w:hint="eastAsia"/>
        </w:rPr>
        <w:t>数据资源目录服务过程中需配合完成</w:t>
      </w:r>
      <w:r>
        <w:t>IRS资源目录梳理相关工作内容，服务内容主要包括：宁海县应用目录建档，IRS日常辅助工作</w:t>
      </w:r>
      <w:r>
        <w:rPr>
          <w:rFonts w:hint="eastAsia"/>
        </w:rPr>
        <w:t>。</w:t>
      </w:r>
    </w:p>
    <w:p>
      <w:pPr>
        <w:spacing w:line="360" w:lineRule="auto"/>
        <w:ind w:firstLine="422" w:firstLineChars="200"/>
        <w:rPr>
          <w:b/>
        </w:rPr>
      </w:pPr>
      <w:r>
        <w:rPr>
          <w:rFonts w:hint="eastAsia"/>
          <w:b/>
        </w:rPr>
        <w:t>5.2.1应用目录建档</w:t>
      </w:r>
    </w:p>
    <w:p>
      <w:pPr>
        <w:spacing w:line="360" w:lineRule="auto"/>
        <w:ind w:firstLine="422" w:firstLineChars="200"/>
        <w:rPr>
          <w:b/>
        </w:rPr>
      </w:pPr>
      <w:r>
        <w:rPr>
          <w:rFonts w:hint="eastAsia"/>
          <w:b/>
        </w:rPr>
        <w:t>5.2.1.1配合完成IRS应用目录建档</w:t>
      </w:r>
    </w:p>
    <w:p>
      <w:pPr>
        <w:spacing w:line="360" w:lineRule="auto"/>
        <w:ind w:firstLine="482"/>
        <w:rPr>
          <w:rFonts w:cs="仿宋" w:asciiTheme="minorEastAsia" w:hAnsiTheme="minorEastAsia"/>
        </w:rPr>
      </w:pPr>
      <w:r>
        <w:rPr>
          <w:rFonts w:hint="eastAsia" w:cs="仿宋" w:asciiTheme="minorEastAsia" w:hAnsiTheme="minorEastAsia"/>
        </w:rPr>
        <w:t>部门建档经过</w:t>
      </w:r>
      <w:r>
        <w:rPr>
          <w:rFonts w:hint="eastAsia" w:cs="仿宋" w:asciiTheme="minorEastAsia" w:hAnsiTheme="minorEastAsia"/>
          <w:lang w:eastAsia="zh-CN"/>
        </w:rPr>
        <w:t>宁海县数据服务中心</w:t>
      </w:r>
      <w:r>
        <w:rPr>
          <w:rFonts w:hint="eastAsia" w:cs="仿宋" w:asciiTheme="minorEastAsia" w:hAnsiTheme="minorEastAsia"/>
        </w:rPr>
        <w:t>同意后，由部门在IRS上进行应用档案的完善，需要配合部门解答应用建档要素的填写标准及要求，并跟进建档完成情况，经由</w:t>
      </w:r>
      <w:r>
        <w:rPr>
          <w:rFonts w:hint="eastAsia" w:cs="仿宋" w:asciiTheme="minorEastAsia" w:hAnsiTheme="minorEastAsia"/>
          <w:lang w:val="en-US" w:eastAsia="zh-CN"/>
        </w:rPr>
        <w:t>县</w:t>
      </w:r>
      <w:r>
        <w:rPr>
          <w:rFonts w:hint="eastAsia" w:cs="仿宋" w:asciiTheme="minorEastAsia" w:hAnsiTheme="minorEastAsia"/>
        </w:rPr>
        <w:t>数据服务中心同意后进行第一步初审工作，若终审驳回，则联系部门负责人完善后再次提交审核。</w:t>
      </w:r>
    </w:p>
    <w:p>
      <w:pPr>
        <w:spacing w:line="360" w:lineRule="auto"/>
        <w:ind w:firstLine="482"/>
        <w:rPr>
          <w:rFonts w:cs="仿宋" w:asciiTheme="minorEastAsia" w:hAnsiTheme="minorEastAsia"/>
        </w:rPr>
      </w:pPr>
      <w:r>
        <w:rPr>
          <w:rFonts w:hint="eastAsia" w:cs="仿宋" w:asciiTheme="minorEastAsia" w:hAnsiTheme="minorEastAsia"/>
        </w:rPr>
        <w:t>若部门未经过</w:t>
      </w:r>
      <w:r>
        <w:rPr>
          <w:rFonts w:hint="eastAsia" w:cs="仿宋" w:asciiTheme="minorEastAsia" w:hAnsiTheme="minorEastAsia"/>
          <w:lang w:eastAsia="zh-CN"/>
        </w:rPr>
        <w:t>宁海县数据服务中心</w:t>
      </w:r>
      <w:r>
        <w:rPr>
          <w:rFonts w:hint="eastAsia" w:cs="仿宋" w:asciiTheme="minorEastAsia" w:hAnsiTheme="minorEastAsia"/>
        </w:rPr>
        <w:t>同意建档，需及时与</w:t>
      </w:r>
      <w:r>
        <w:rPr>
          <w:rFonts w:hint="eastAsia" w:cs="仿宋" w:asciiTheme="minorEastAsia" w:hAnsiTheme="minorEastAsia"/>
          <w:lang w:eastAsia="zh-CN"/>
        </w:rPr>
        <w:t>宁海县数据服务中心</w:t>
      </w:r>
      <w:r>
        <w:rPr>
          <w:rFonts w:hint="eastAsia" w:cs="仿宋" w:asciiTheme="minorEastAsia" w:hAnsiTheme="minorEastAsia"/>
        </w:rPr>
        <w:t>负责人说明情况，根据</w:t>
      </w:r>
      <w:r>
        <w:rPr>
          <w:rFonts w:hint="eastAsia" w:cs="仿宋" w:asciiTheme="minorEastAsia" w:hAnsiTheme="minorEastAsia"/>
          <w:lang w:eastAsia="zh-CN"/>
        </w:rPr>
        <w:t>宁海县数据服务中心</w:t>
      </w:r>
      <w:r>
        <w:rPr>
          <w:rFonts w:hint="eastAsia" w:cs="仿宋" w:asciiTheme="minorEastAsia" w:hAnsiTheme="minorEastAsia"/>
        </w:rPr>
        <w:t>负责人的需求，完成建档或下架操作。</w:t>
      </w:r>
    </w:p>
    <w:p>
      <w:pPr>
        <w:spacing w:line="360" w:lineRule="auto"/>
        <w:ind w:firstLine="632" w:firstLineChars="300"/>
        <w:rPr>
          <w:b/>
        </w:rPr>
      </w:pPr>
      <w:r>
        <w:rPr>
          <w:rFonts w:hint="eastAsia"/>
          <w:b/>
        </w:rPr>
        <w:t>5.2.1.2应用目录质量排查及整改</w:t>
      </w:r>
    </w:p>
    <w:p>
      <w:pPr>
        <w:spacing w:line="360" w:lineRule="auto"/>
        <w:ind w:firstLine="482"/>
        <w:rPr>
          <w:rFonts w:cs="仿宋" w:asciiTheme="minorEastAsia" w:hAnsiTheme="minorEastAsia"/>
        </w:rPr>
      </w:pPr>
      <w:r>
        <w:rPr>
          <w:rFonts w:hint="eastAsia" w:cs="仿宋" w:asciiTheme="minorEastAsia" w:hAnsiTheme="minorEastAsia"/>
        </w:rPr>
        <w:t>根据省级建档要求，定期检查各部门应用建档规范性，若建档要素新增，及时通知及配合部门负责人完成新增要素填报；无特殊情况，1个月导出一次应用目录数据清单，排查建档问题，形成宁海县IRS建档问题清单。</w:t>
      </w:r>
    </w:p>
    <w:p>
      <w:pPr>
        <w:spacing w:line="360" w:lineRule="auto"/>
        <w:ind w:firstLine="482"/>
        <w:rPr>
          <w:rFonts w:cs="仿宋" w:asciiTheme="minorEastAsia" w:hAnsiTheme="minorEastAsia"/>
        </w:rPr>
      </w:pPr>
      <w:r>
        <w:rPr>
          <w:rFonts w:hint="eastAsia" w:cs="仿宋" w:asciiTheme="minorEastAsia" w:hAnsiTheme="minorEastAsia"/>
        </w:rPr>
        <w:t>根据宁海县IRS建档问题清单，及时与部门负责人配合整改，使所有应用都为终审通过状态，且问题清零。</w:t>
      </w:r>
    </w:p>
    <w:p>
      <w:pPr>
        <w:spacing w:line="360" w:lineRule="auto"/>
        <w:ind w:firstLine="422" w:firstLineChars="200"/>
        <w:rPr>
          <w:b/>
        </w:rPr>
      </w:pPr>
      <w:r>
        <w:rPr>
          <w:rFonts w:hint="eastAsia"/>
          <w:b/>
        </w:rPr>
        <w:t>5.2.2 IRS日常辅助工作</w:t>
      </w:r>
    </w:p>
    <w:p>
      <w:pPr>
        <w:spacing w:line="360" w:lineRule="auto"/>
        <w:ind w:firstLine="482"/>
        <w:rPr>
          <w:rFonts w:cs="仿宋" w:asciiTheme="minorEastAsia" w:hAnsiTheme="minorEastAsia"/>
        </w:rPr>
      </w:pPr>
      <w:r>
        <w:rPr>
          <w:rFonts w:hint="eastAsia" w:cs="仿宋" w:asciiTheme="minorEastAsia" w:hAnsiTheme="minorEastAsia"/>
        </w:rPr>
        <w:t>配合跟进应用厂商入驻，针对IRS中建档应用的建设厂商，若未在入驻，则需配合部门负责人完成厂商基本信息填写、保密协议签订、技术人员与应用关联、个人保密协议上传等厂商入驻工作；若已入驻，则配合部门负责人将应用与厂商关联。</w:t>
      </w:r>
    </w:p>
    <w:p>
      <w:pPr>
        <w:spacing w:line="360" w:lineRule="auto"/>
        <w:ind w:firstLine="482"/>
        <w:rPr>
          <w:rFonts w:cs="仿宋" w:asciiTheme="minorEastAsia" w:hAnsiTheme="minorEastAsia"/>
        </w:rPr>
      </w:pPr>
      <w:r>
        <w:rPr>
          <w:rFonts w:hint="eastAsia" w:cs="仿宋" w:asciiTheme="minorEastAsia" w:hAnsiTheme="minorEastAsia"/>
        </w:rPr>
        <w:t>配合跟进数据安全自查工作填报，针对IRS中已建档且运行状态为运行中的应用，需完成数据安全自查填报工作，对新增的运行中应用，需及时提醒并配合部门负责人完成填报工作，经由</w:t>
      </w:r>
      <w:r>
        <w:rPr>
          <w:rFonts w:hint="eastAsia" w:cs="仿宋" w:asciiTheme="minorEastAsia" w:hAnsiTheme="minorEastAsia"/>
          <w:lang w:eastAsia="zh-CN"/>
        </w:rPr>
        <w:t>宁海县数据服务中心</w:t>
      </w:r>
      <w:r>
        <w:rPr>
          <w:rFonts w:hint="eastAsia" w:cs="仿宋" w:asciiTheme="minorEastAsia" w:hAnsiTheme="minorEastAsia"/>
        </w:rPr>
        <w:t>同意后，对该应用进行自查。</w:t>
      </w:r>
    </w:p>
    <w:p>
      <w:pPr>
        <w:spacing w:line="360" w:lineRule="auto"/>
        <w:ind w:firstLine="482"/>
        <w:rPr>
          <w:rFonts w:cs="仿宋" w:asciiTheme="minorEastAsia" w:hAnsiTheme="minorEastAsia"/>
        </w:rPr>
      </w:pPr>
      <w:r>
        <w:rPr>
          <w:rFonts w:hint="eastAsia" w:cs="仿宋" w:asciiTheme="minorEastAsia" w:hAnsiTheme="minorEastAsia"/>
        </w:rPr>
        <w:t>配合IRS应用产生数据关联，针对新建系统的产生数据进行跟进关联。新建系统若有产生数据，则在编目后，与应用进行关联；新建系统暂未有产生数据需及时未关联申报，若该系统已有使用数据，则必须要有产生数据，需与部门联系，及时编目并关联。</w:t>
      </w:r>
    </w:p>
    <w:p>
      <w:pPr>
        <w:spacing w:line="360" w:lineRule="auto"/>
        <w:ind w:firstLine="482"/>
        <w:rPr>
          <w:rFonts w:cs="仿宋" w:asciiTheme="minorEastAsia" w:hAnsiTheme="minorEastAsia"/>
        </w:rPr>
      </w:pPr>
      <w:r>
        <w:rPr>
          <w:rFonts w:hint="eastAsia" w:cs="仿宋" w:asciiTheme="minorEastAsia" w:hAnsiTheme="minorEastAsia"/>
        </w:rPr>
        <w:t>配合IRS应用项目资源关联，关注项目资源关联情况，新建应用需及时关联项目。</w:t>
      </w:r>
    </w:p>
    <w:p>
      <w:pPr>
        <w:spacing w:line="360" w:lineRule="auto"/>
        <w:ind w:firstLine="482"/>
        <w:rPr>
          <w:rFonts w:cs="仿宋" w:asciiTheme="minorEastAsia" w:hAnsiTheme="minorEastAsia"/>
        </w:rPr>
      </w:pPr>
      <w:r>
        <w:rPr>
          <w:rFonts w:hint="eastAsia" w:cs="仿宋" w:asciiTheme="minorEastAsia" w:hAnsiTheme="minorEastAsia"/>
        </w:rPr>
        <w:t>配合IRS应用两端发布等工作。关注同源发布质量看板，若未达到100%，及时提醒部门负责人或</w:t>
      </w:r>
      <w:r>
        <w:rPr>
          <w:rFonts w:hint="eastAsia" w:cs="仿宋" w:asciiTheme="minorEastAsia" w:hAnsiTheme="minorEastAsia"/>
          <w:lang w:eastAsia="zh-CN"/>
        </w:rPr>
        <w:t>宁海县数据服务中心</w:t>
      </w:r>
      <w:r>
        <w:rPr>
          <w:rFonts w:hint="eastAsia" w:cs="仿宋" w:asciiTheme="minorEastAsia" w:hAnsiTheme="minorEastAsia"/>
        </w:rPr>
        <w:t>负责人。</w:t>
      </w:r>
    </w:p>
    <w:p>
      <w:pPr>
        <w:spacing w:line="360" w:lineRule="auto"/>
        <w:ind w:firstLine="482" w:firstLineChars="200"/>
        <w:rPr>
          <w:b/>
          <w:sz w:val="24"/>
        </w:rPr>
      </w:pPr>
      <w:r>
        <w:rPr>
          <w:b/>
          <w:sz w:val="24"/>
        </w:rPr>
        <w:t>5.3</w:t>
      </w:r>
      <w:r>
        <w:rPr>
          <w:rFonts w:hint="eastAsia"/>
          <w:b/>
          <w:sz w:val="24"/>
        </w:rPr>
        <w:t>数据资源目录梳理编制服务</w:t>
      </w:r>
    </w:p>
    <w:p>
      <w:pPr>
        <w:spacing w:line="360" w:lineRule="auto"/>
        <w:ind w:firstLine="480"/>
        <w:rPr>
          <w:rFonts w:cs="仿宋" w:asciiTheme="minorEastAsia" w:hAnsiTheme="minorEastAsia"/>
        </w:rPr>
      </w:pPr>
      <w:r>
        <w:rPr>
          <w:rFonts w:hint="eastAsia" w:cs="仿宋" w:asciiTheme="minorEastAsia" w:hAnsiTheme="minorEastAsia"/>
        </w:rPr>
        <w:t>配合完成数据资源目录梳理编制，服务内容主要包括：配合数据资源目录编制，包括但不限于本地数据、回流数据、专题库目录编制，数据目录质量整改工作，政务服务事项关联等日常配合工作。</w:t>
      </w:r>
    </w:p>
    <w:p>
      <w:pPr>
        <w:spacing w:line="360" w:lineRule="auto"/>
        <w:ind w:firstLine="422" w:firstLineChars="200"/>
        <w:rPr>
          <w:b/>
        </w:rPr>
      </w:pPr>
      <w:r>
        <w:rPr>
          <w:rFonts w:hint="eastAsia"/>
          <w:b/>
        </w:rPr>
        <w:t>5.3.1数据资源目录编制</w:t>
      </w:r>
    </w:p>
    <w:p>
      <w:pPr>
        <w:spacing w:line="360" w:lineRule="auto"/>
        <w:ind w:firstLine="422" w:firstLineChars="200"/>
        <w:rPr>
          <w:b/>
        </w:rPr>
      </w:pPr>
      <w:r>
        <w:rPr>
          <w:rFonts w:hint="eastAsia"/>
          <w:b/>
        </w:rPr>
        <w:t>5.3.1.1本地数据目录编制</w:t>
      </w:r>
    </w:p>
    <w:p>
      <w:pPr>
        <w:spacing w:line="360" w:lineRule="auto"/>
        <w:ind w:firstLine="480"/>
        <w:rPr>
          <w:rFonts w:cs="仿宋" w:asciiTheme="minorEastAsia" w:hAnsiTheme="minorEastAsia"/>
        </w:rPr>
      </w:pPr>
      <w:r>
        <w:rPr>
          <w:rFonts w:hint="eastAsia" w:cs="仿宋" w:asciiTheme="minorEastAsia" w:hAnsiTheme="minorEastAsia"/>
        </w:rPr>
        <w:t>需梳理数据库内的业务数据，并编制成目录，配合省局编目要求修改规范性，最终导入宁波市公共数据平台，进行初审以及终审后，推送至省公共数据平台，直至同步至IRS中，并在后期的工作中，根据省局以及市局要求，随时进行规范性整改。</w:t>
      </w:r>
    </w:p>
    <w:p>
      <w:pPr>
        <w:spacing w:line="360" w:lineRule="auto"/>
        <w:ind w:firstLine="422" w:firstLineChars="200"/>
        <w:rPr>
          <w:b/>
        </w:rPr>
      </w:pPr>
      <w:r>
        <w:rPr>
          <w:rFonts w:hint="eastAsia"/>
          <w:b/>
        </w:rPr>
        <w:t>5.3.1.2回流数据目录编制</w:t>
      </w:r>
    </w:p>
    <w:p>
      <w:pPr>
        <w:spacing w:line="360" w:lineRule="auto"/>
        <w:ind w:firstLine="480"/>
        <w:rPr>
          <w:rFonts w:cs="仿宋" w:asciiTheme="minorEastAsia" w:hAnsiTheme="minorEastAsia"/>
        </w:rPr>
      </w:pPr>
      <w:r>
        <w:rPr>
          <w:rFonts w:hint="eastAsia" w:cs="仿宋" w:asciiTheme="minorEastAsia" w:hAnsiTheme="minorEastAsia"/>
        </w:rPr>
        <w:t>需根据部门对省局以及市局的数据需求，提供需引用的数据目录名称，配合完成回流数据在宁波市公共数据平台的编制，待归集后进行推送。</w:t>
      </w:r>
    </w:p>
    <w:p>
      <w:pPr>
        <w:spacing w:line="360" w:lineRule="auto"/>
        <w:ind w:firstLine="422" w:firstLineChars="200"/>
        <w:rPr>
          <w:b/>
        </w:rPr>
      </w:pPr>
      <w:r>
        <w:rPr>
          <w:rFonts w:hint="eastAsia"/>
          <w:b/>
        </w:rPr>
        <w:t>5.3.1.3专题库目录编制</w:t>
      </w:r>
    </w:p>
    <w:p>
      <w:pPr>
        <w:spacing w:line="360" w:lineRule="auto"/>
        <w:ind w:firstLine="482"/>
        <w:rPr>
          <w:rFonts w:cs="仿宋" w:asciiTheme="minorEastAsia" w:hAnsiTheme="minorEastAsia"/>
        </w:rPr>
      </w:pPr>
      <w:r>
        <w:rPr>
          <w:rFonts w:hint="eastAsia" w:cs="仿宋" w:asciiTheme="minorEastAsia" w:hAnsiTheme="minorEastAsia"/>
        </w:rPr>
        <w:t>需要根据省局市局专题库编制规范性，进行修改与完善；针对新增专题目录编制，待</w:t>
      </w:r>
      <w:r>
        <w:rPr>
          <w:rFonts w:hint="eastAsia" w:cs="仿宋" w:asciiTheme="minorEastAsia" w:hAnsiTheme="minorEastAsia"/>
          <w:lang w:eastAsia="zh-CN"/>
        </w:rPr>
        <w:t>宁海县数据服务中心</w:t>
      </w:r>
      <w:r>
        <w:rPr>
          <w:rFonts w:hint="eastAsia" w:cs="仿宋" w:asciiTheme="minorEastAsia" w:hAnsiTheme="minorEastAsia"/>
        </w:rPr>
        <w:t>对接梳理好编目清单并提供专题库编制相关内容后，配合在系统内完成专题库目录编制及规范性修改。</w:t>
      </w:r>
    </w:p>
    <w:p>
      <w:pPr>
        <w:spacing w:line="360" w:lineRule="auto"/>
        <w:ind w:firstLine="422" w:firstLineChars="200"/>
        <w:rPr>
          <w:b/>
        </w:rPr>
      </w:pPr>
      <w:r>
        <w:rPr>
          <w:rFonts w:hint="eastAsia"/>
          <w:b/>
        </w:rPr>
        <w:t>5.3.2数据目录质量整改工作</w:t>
      </w:r>
    </w:p>
    <w:p>
      <w:pPr>
        <w:spacing w:line="360" w:lineRule="auto"/>
        <w:ind w:firstLine="482"/>
        <w:rPr>
          <w:rFonts w:cs="仿宋" w:asciiTheme="minorEastAsia" w:hAnsiTheme="minorEastAsia"/>
        </w:rPr>
      </w:pPr>
      <w:r>
        <w:rPr>
          <w:rFonts w:hint="eastAsia" w:cs="仿宋" w:asciiTheme="minorEastAsia" w:hAnsiTheme="minorEastAsia"/>
        </w:rPr>
        <w:t>每周需针对宁海县存量本地目录做好抽查，并提供编目指导服务，提升目录规范性；若省公共数据平台目录检测不合格，及时在宁波市平台修改该目录并推送，定期检查，形成工作闭环，避免遗漏。</w:t>
      </w:r>
    </w:p>
    <w:p>
      <w:pPr>
        <w:spacing w:line="360" w:lineRule="auto"/>
        <w:ind w:firstLine="482"/>
        <w:rPr>
          <w:rFonts w:cs="仿宋" w:asciiTheme="minorEastAsia" w:hAnsiTheme="minorEastAsia"/>
        </w:rPr>
      </w:pPr>
      <w:r>
        <w:rPr>
          <w:rFonts w:hint="eastAsia" w:cs="仿宋" w:asciiTheme="minorEastAsia" w:hAnsiTheme="minorEastAsia"/>
        </w:rPr>
        <w:t>需实时获取省局以及对数据目录的规范要求，随时进行规范性调整。</w:t>
      </w:r>
    </w:p>
    <w:p>
      <w:pPr>
        <w:spacing w:line="360" w:lineRule="auto"/>
        <w:ind w:firstLine="482"/>
        <w:rPr>
          <w:rFonts w:cs="仿宋" w:asciiTheme="minorEastAsia" w:hAnsiTheme="minorEastAsia"/>
        </w:rPr>
      </w:pPr>
      <w:r>
        <w:rPr>
          <w:rFonts w:hint="eastAsia" w:cs="仿宋" w:asciiTheme="minorEastAsia" w:hAnsiTheme="minorEastAsia"/>
        </w:rPr>
        <w:t>需提供以上工作内容的相关咨询服务。</w:t>
      </w:r>
    </w:p>
    <w:p>
      <w:pPr>
        <w:spacing w:line="360" w:lineRule="auto"/>
        <w:ind w:firstLine="422" w:firstLineChars="200"/>
        <w:rPr>
          <w:b/>
        </w:rPr>
      </w:pPr>
      <w:r>
        <w:rPr>
          <w:rFonts w:hint="eastAsia"/>
          <w:b/>
        </w:rPr>
        <w:t>5.3.3政务服务事项关联工作</w:t>
      </w:r>
    </w:p>
    <w:p>
      <w:pPr>
        <w:spacing w:line="360" w:lineRule="auto"/>
        <w:ind w:firstLine="482"/>
        <w:rPr>
          <w:rFonts w:cs="仿宋" w:asciiTheme="minorEastAsia" w:hAnsiTheme="minorEastAsia"/>
        </w:rPr>
      </w:pPr>
      <w:r>
        <w:rPr>
          <w:rFonts w:hint="eastAsia" w:cs="仿宋" w:asciiTheme="minorEastAsia" w:hAnsiTheme="minorEastAsia"/>
        </w:rPr>
        <w:t>需要保证政务服务事项关联率100%，新增政务服务事项，及时在宁波市公共数据平台新增引用目录编制后，与政务服务事项对应完成关联。若省局每周下发政务服务事项未整改通报，则及时完成关联。</w:t>
      </w:r>
    </w:p>
    <w:p>
      <w:pPr>
        <w:spacing w:line="360" w:lineRule="auto"/>
        <w:ind w:firstLine="482" w:firstLineChars="200"/>
        <w:rPr>
          <w:b/>
          <w:sz w:val="24"/>
        </w:rPr>
      </w:pPr>
      <w:r>
        <w:rPr>
          <w:rFonts w:hint="eastAsia"/>
          <w:b/>
          <w:sz w:val="24"/>
        </w:rPr>
        <w:t>5.4数据归集服务</w:t>
      </w:r>
    </w:p>
    <w:p>
      <w:pPr>
        <w:spacing w:line="360" w:lineRule="auto"/>
        <w:ind w:firstLine="422" w:firstLineChars="200"/>
        <w:rPr>
          <w:b/>
        </w:rPr>
      </w:pPr>
      <w:r>
        <w:rPr>
          <w:rFonts w:hint="eastAsia"/>
          <w:b/>
        </w:rPr>
        <w:t>5.4.1省、市数据归集</w:t>
      </w:r>
    </w:p>
    <w:p>
      <w:pPr>
        <w:spacing w:line="360" w:lineRule="auto"/>
        <w:ind w:firstLine="480"/>
        <w:rPr>
          <w:rFonts w:ascii="等线" w:hAnsi="等线" w:cs="仿宋"/>
          <w:szCs w:val="21"/>
        </w:rPr>
      </w:pPr>
      <w:r>
        <w:rPr>
          <w:rFonts w:hint="eastAsia" w:ascii="等线" w:hAnsi="等线" w:cs="仿宋"/>
          <w:szCs w:val="21"/>
        </w:rPr>
        <w:t>要求根据省、市数据提供情况，按数据需求清单与责任清单需求，协助采购方在</w:t>
      </w:r>
      <w:r>
        <w:rPr>
          <w:rFonts w:ascii="等线" w:hAnsi="等线" w:cs="仿宋"/>
          <w:szCs w:val="21"/>
        </w:rPr>
        <w:t>IRS</w:t>
      </w:r>
      <w:r>
        <w:rPr>
          <w:rFonts w:hint="eastAsia" w:ascii="等线" w:hAnsi="等线" w:cs="仿宋"/>
          <w:szCs w:val="21"/>
        </w:rPr>
        <w:t>申请所需的省、市数据，待审批通过以后，同步将数据回流到宁海县数据仓。</w:t>
      </w:r>
    </w:p>
    <w:p>
      <w:pPr>
        <w:spacing w:line="360" w:lineRule="auto"/>
        <w:ind w:firstLine="422" w:firstLineChars="200"/>
        <w:rPr>
          <w:b/>
        </w:rPr>
      </w:pPr>
      <w:r>
        <w:rPr>
          <w:rFonts w:hint="eastAsia"/>
          <w:b/>
        </w:rPr>
        <w:t>5.4.2县数据归集服务</w:t>
      </w:r>
    </w:p>
    <w:p>
      <w:pPr>
        <w:spacing w:line="360" w:lineRule="auto"/>
        <w:ind w:firstLine="480"/>
        <w:rPr>
          <w:rFonts w:ascii="等线" w:hAnsi="等线" w:cs="仿宋"/>
          <w:szCs w:val="21"/>
        </w:rPr>
      </w:pPr>
      <w:r>
        <w:rPr>
          <w:rFonts w:hint="eastAsia" w:ascii="等线" w:hAnsi="等线" w:cs="仿宋"/>
          <w:szCs w:val="21"/>
        </w:rPr>
        <w:t>要求提供部门归集任务指导服务，依托宁波市一体化智能化公共数据平台为需要对接的宁海县各数源部门提供技术支撑服务。同时提供日常归集服务工作，包括数据录入、数据统计、表单管理、库表管理、字典表管理等，全年归集不少于5亿条数据。</w:t>
      </w:r>
    </w:p>
    <w:p>
      <w:pPr>
        <w:spacing w:line="360" w:lineRule="auto"/>
        <w:ind w:firstLine="482" w:firstLineChars="200"/>
        <w:rPr>
          <w:b/>
          <w:sz w:val="24"/>
        </w:rPr>
      </w:pPr>
      <w:r>
        <w:rPr>
          <w:rFonts w:hint="eastAsia"/>
          <w:b/>
          <w:sz w:val="24"/>
        </w:rPr>
        <w:t>5.5数据治理服务</w:t>
      </w:r>
    </w:p>
    <w:p>
      <w:pPr>
        <w:spacing w:line="360" w:lineRule="auto"/>
        <w:ind w:firstLine="422" w:firstLineChars="200"/>
        <w:rPr>
          <w:b/>
        </w:rPr>
      </w:pPr>
      <w:r>
        <w:rPr>
          <w:b/>
        </w:rPr>
        <w:t>5</w:t>
      </w:r>
      <w:r>
        <w:rPr>
          <w:rFonts w:hint="eastAsia"/>
          <w:b/>
        </w:rPr>
        <w:t>.5.1 问题数据导出对接服务</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需将经过治理清洗，分类出的问题数据提供给IRS，需要协助用户方、采购方在IRS数据质量工单内进行问题数据详情的查看、问题数据清单的导出、整改问题数据的处理等工作顺利开展。</w:t>
      </w:r>
    </w:p>
    <w:p>
      <w:pPr>
        <w:spacing w:line="360" w:lineRule="auto"/>
        <w:ind w:firstLine="422" w:firstLineChars="200"/>
        <w:rPr>
          <w:b/>
        </w:rPr>
      </w:pPr>
      <w:r>
        <w:rPr>
          <w:b/>
        </w:rPr>
        <w:t>5</w:t>
      </w:r>
      <w:r>
        <w:rPr>
          <w:rFonts w:hint="eastAsia"/>
          <w:b/>
        </w:rPr>
        <w:t>.5.2 数据清洗实施服务</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为了保障数据清洗流程规范化，要求使用宁波市一体化智能化公共数据平台内数据治理系统，结合</w:t>
      </w:r>
      <w:r>
        <w:rPr>
          <w:rFonts w:hint="eastAsia" w:cs="宋体" w:asciiTheme="minorEastAsia" w:hAnsiTheme="minorEastAsia"/>
          <w:color w:val="000000"/>
          <w:kern w:val="0"/>
          <w:lang w:eastAsia="zh-CN"/>
        </w:rPr>
        <w:t>宁海县数据服务中心</w:t>
      </w:r>
      <w:r>
        <w:rPr>
          <w:rFonts w:hint="eastAsia" w:cs="宋体" w:asciiTheme="minorEastAsia" w:hAnsiTheme="minorEastAsia"/>
          <w:color w:val="000000"/>
          <w:kern w:val="0"/>
        </w:rPr>
        <w:t>及各委办局的实际需求，对宁海县数据进行清洗实施服务。</w:t>
      </w:r>
    </w:p>
    <w:p>
      <w:pPr>
        <w:spacing w:line="360" w:lineRule="auto"/>
        <w:ind w:firstLine="422" w:firstLineChars="200"/>
        <w:rPr>
          <w:b/>
        </w:rPr>
      </w:pPr>
      <w:r>
        <w:rPr>
          <w:b/>
        </w:rPr>
        <w:t>5</w:t>
      </w:r>
      <w:r>
        <w:rPr>
          <w:rFonts w:hint="eastAsia"/>
          <w:b/>
        </w:rPr>
        <w:t>.5.3 数据工单服务</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要求对回流数据、归集数据、数据接口进行问题发现，提交相应工单至irs。同时，在收到问题工单时进行及时处理，并进行反馈。</w:t>
      </w:r>
    </w:p>
    <w:p>
      <w:pPr>
        <w:spacing w:line="360" w:lineRule="auto"/>
        <w:ind w:firstLine="422" w:firstLineChars="200"/>
        <w:rPr>
          <w:b/>
        </w:rPr>
      </w:pPr>
      <w:r>
        <w:rPr>
          <w:b/>
        </w:rPr>
        <w:t>5</w:t>
      </w:r>
      <w:r>
        <w:rPr>
          <w:rFonts w:hint="eastAsia"/>
          <w:b/>
        </w:rPr>
        <w:t>.5.4 治理规则配置及运维服务</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要求使用宁波市一体化智能化公共数据平台内数据治理系统，开展宁海县数据治理规则配置及相关数据治理规则的运维服务。</w:t>
      </w:r>
    </w:p>
    <w:p>
      <w:pPr>
        <w:spacing w:line="360" w:lineRule="auto"/>
        <w:ind w:firstLine="422" w:firstLineChars="200"/>
        <w:rPr>
          <w:b/>
        </w:rPr>
      </w:pPr>
      <w:r>
        <w:rPr>
          <w:b/>
        </w:rPr>
        <w:t>5</w:t>
      </w:r>
      <w:r>
        <w:rPr>
          <w:rFonts w:hint="eastAsia"/>
          <w:b/>
        </w:rPr>
        <w:t>.5.5 高质量数据治理及分析</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要求按照省大数据局安排的高质量数据供给相关工作要求，配合进行业务场景数据需求梳理、筛选、分析工作，完成数据质量探查分析和数据治理优化工作，建设包括企业治理分析、两人库迭代建设、地理信息基础库建设、重点工程专题。配合客户需求进行二次开发和维护数据共享链路。</w:t>
      </w:r>
    </w:p>
    <w:p>
      <w:pPr>
        <w:spacing w:line="360" w:lineRule="auto"/>
        <w:ind w:firstLine="422" w:firstLineChars="200"/>
        <w:rPr>
          <w:b/>
        </w:rPr>
      </w:pPr>
      <w:r>
        <w:rPr>
          <w:b/>
        </w:rPr>
        <w:t>5</w:t>
      </w:r>
      <w:r>
        <w:rPr>
          <w:rFonts w:hint="eastAsia"/>
          <w:b/>
        </w:rPr>
        <w:t>.5.6 数据安全辅助管理</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要求完成一本账清单汇总录入省数据安全监控系统以及日常维护、市级态势感知平台每日工单运维处置，同时协助建设单位完成安全能力服务支撑工作，协助建设单位完成省级25项安全风险自查整改，应对省市数据安全飞行考核工作。</w:t>
      </w:r>
    </w:p>
    <w:p>
      <w:pPr>
        <w:spacing w:line="360" w:lineRule="auto"/>
        <w:ind w:firstLine="422" w:firstLineChars="200"/>
        <w:rPr>
          <w:b/>
        </w:rPr>
      </w:pPr>
      <w:r>
        <w:rPr>
          <w:b/>
        </w:rPr>
        <w:t>5</w:t>
      </w:r>
      <w:r>
        <w:rPr>
          <w:rFonts w:hint="eastAsia"/>
          <w:b/>
        </w:rPr>
        <w:t>.6 数据开放服务</w:t>
      </w:r>
    </w:p>
    <w:p>
      <w:pPr>
        <w:spacing w:line="360" w:lineRule="auto"/>
        <w:ind w:firstLine="422" w:firstLineChars="200"/>
        <w:rPr>
          <w:b/>
        </w:rPr>
      </w:pPr>
      <w:r>
        <w:rPr>
          <w:rFonts w:hint="eastAsia"/>
          <w:b/>
        </w:rPr>
        <w:t>5.6.1资源管理</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需要配合采购方需求对信源单位数据基于重点领域进行分类维护，在日程工作中对信息资源来源、字段以及状态进行常态化维护。调整并及时确认所有开放数据的开放状态和更新周期。</w:t>
      </w:r>
    </w:p>
    <w:p>
      <w:pPr>
        <w:spacing w:line="360" w:lineRule="auto"/>
        <w:ind w:firstLine="422" w:firstLineChars="200"/>
        <w:rPr>
          <w:b/>
        </w:rPr>
      </w:pPr>
      <w:r>
        <w:rPr>
          <w:rFonts w:hint="eastAsia"/>
          <w:b/>
        </w:rPr>
        <w:t>5.6.2开放数据评论、纠错管理</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中标方需要提供专职负责人，针对公众、法人对于开放数据评论内容和数据纠错情况进行管理反馈。</w:t>
      </w:r>
    </w:p>
    <w:p>
      <w:pPr>
        <w:spacing w:line="360" w:lineRule="auto"/>
        <w:ind w:firstLine="422" w:firstLineChars="200"/>
        <w:rPr>
          <w:b/>
        </w:rPr>
      </w:pPr>
      <w:r>
        <w:rPr>
          <w:rFonts w:hint="eastAsia"/>
          <w:b/>
        </w:rPr>
        <w:t>5.6.3开放接口评论、纠错管理</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中标方需要提供专职负责人，针对公众、法人对于数据接口评论内容和数据纠错情况进行管理反馈。</w:t>
      </w:r>
    </w:p>
    <w:p>
      <w:pPr>
        <w:spacing w:line="360" w:lineRule="auto"/>
        <w:ind w:firstLine="422" w:firstLineChars="200"/>
        <w:rPr>
          <w:b/>
        </w:rPr>
      </w:pPr>
      <w:r>
        <w:rPr>
          <w:rFonts w:hint="eastAsia"/>
          <w:b/>
        </w:rPr>
        <w:t>5.6.4数据风控管理服务</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数据风控管理服务中需要依据省、市政策要求，形成数据风险监测机制。保障数据资源上架开放前，可以自主完成相应的检测任务，生成检测报告。确保风控成果有效、稳定。</w:t>
      </w:r>
    </w:p>
    <w:p>
      <w:pPr>
        <w:spacing w:line="360" w:lineRule="auto"/>
        <w:ind w:firstLine="422" w:firstLineChars="200"/>
        <w:rPr>
          <w:b/>
        </w:rPr>
      </w:pPr>
      <w:r>
        <w:rPr>
          <w:rFonts w:hint="eastAsia"/>
          <w:b/>
        </w:rPr>
        <w:t>5.6.5数据脱敏管理服务</w:t>
      </w:r>
    </w:p>
    <w:p>
      <w:pPr>
        <w:spacing w:line="360" w:lineRule="auto"/>
        <w:ind w:firstLine="480"/>
      </w:pPr>
      <w:r>
        <w:rPr>
          <w:rFonts w:hint="eastAsia"/>
        </w:rPr>
        <w:t>需要中标方根据省、市政策规定，保障数据脱敏规则和流程优化配置的更新维护。需要针对脱敏后的数据提供一套成熟、稳定的敏感内容检查机制，保障脱敏成果有效、稳定。</w:t>
      </w:r>
    </w:p>
    <w:p>
      <w:pPr>
        <w:spacing w:line="360" w:lineRule="auto"/>
        <w:ind w:firstLine="482" w:firstLineChars="200"/>
        <w:rPr>
          <w:b/>
          <w:sz w:val="24"/>
          <w:highlight w:val="green"/>
        </w:rPr>
      </w:pPr>
      <w:r>
        <w:rPr>
          <w:b/>
          <w:sz w:val="24"/>
        </w:rPr>
        <w:t>5</w:t>
      </w:r>
      <w:r>
        <w:rPr>
          <w:rFonts w:hint="eastAsia"/>
          <w:b/>
          <w:sz w:val="24"/>
        </w:rPr>
        <w:t>.7 公共数据共享服务</w:t>
      </w:r>
    </w:p>
    <w:p>
      <w:pPr>
        <w:spacing w:line="360" w:lineRule="auto"/>
        <w:ind w:firstLine="422" w:firstLineChars="200"/>
        <w:rPr>
          <w:b/>
        </w:rPr>
      </w:pPr>
      <w:r>
        <w:rPr>
          <w:b/>
        </w:rPr>
        <w:t>5</w:t>
      </w:r>
      <w:r>
        <w:rPr>
          <w:rFonts w:hint="eastAsia"/>
          <w:b/>
        </w:rPr>
        <w:t>.7.1 新增接口运维及梳理服务</w:t>
      </w:r>
    </w:p>
    <w:p>
      <w:pPr>
        <w:spacing w:line="360" w:lineRule="auto"/>
        <w:ind w:firstLine="480"/>
        <w:rPr>
          <w:rFonts w:cs="宋体" w:asciiTheme="minorEastAsia" w:hAnsiTheme="minorEastAsia"/>
          <w:color w:val="FF0000"/>
          <w:kern w:val="0"/>
        </w:rPr>
      </w:pPr>
      <w:r>
        <w:rPr>
          <w:rFonts w:hint="eastAsia" w:cs="宋体" w:asciiTheme="minorEastAsia" w:hAnsiTheme="minorEastAsia"/>
          <w:kern w:val="0"/>
        </w:rPr>
        <w:t>要求整合各个需求方的数据服务需求，开发出通用合理的数据接口，节约平台服务的资源使用。需按照新增数据使用需求执行接口开发工作，完善接口的分类。</w:t>
      </w:r>
    </w:p>
    <w:p>
      <w:pPr>
        <w:spacing w:line="360" w:lineRule="auto"/>
        <w:ind w:firstLine="422" w:firstLineChars="200"/>
        <w:rPr>
          <w:b/>
        </w:rPr>
      </w:pPr>
      <w:r>
        <w:rPr>
          <w:b/>
        </w:rPr>
        <w:t>5</w:t>
      </w:r>
      <w:r>
        <w:rPr>
          <w:rFonts w:hint="eastAsia"/>
          <w:b/>
        </w:rPr>
        <w:t>.7.2 接口运维巡检服务</w:t>
      </w:r>
    </w:p>
    <w:p>
      <w:pPr>
        <w:spacing w:line="360" w:lineRule="auto"/>
        <w:ind w:firstLine="480"/>
        <w:rPr>
          <w:rFonts w:cs="宋体" w:asciiTheme="minorEastAsia" w:hAnsiTheme="minorEastAsia"/>
          <w:kern w:val="0"/>
        </w:rPr>
      </w:pPr>
      <w:r>
        <w:rPr>
          <w:rFonts w:hint="eastAsia" w:cs="宋体" w:asciiTheme="minorEastAsia" w:hAnsiTheme="minorEastAsia"/>
          <w:kern w:val="0"/>
        </w:rPr>
        <w:t>需建立接口运维巡检团队，在定时巡检接口调用的同时，确保问题第一时间发现，并快速跟进问题的分析和解决，提升接口问题处理的及时性，保证接口调用及提供服务的稳定性，为接口共享服务提供保障，保障网关服务运行稳定。</w:t>
      </w:r>
    </w:p>
    <w:p>
      <w:pPr>
        <w:spacing w:line="360" w:lineRule="auto"/>
        <w:ind w:firstLine="422" w:firstLineChars="200"/>
        <w:rPr>
          <w:b/>
        </w:rPr>
      </w:pPr>
      <w:r>
        <w:rPr>
          <w:b/>
        </w:rPr>
        <w:t>5</w:t>
      </w:r>
      <w:r>
        <w:rPr>
          <w:rFonts w:hint="eastAsia"/>
          <w:b/>
        </w:rPr>
        <w:t>.7.3 数据共享情况分析服务</w:t>
      </w:r>
    </w:p>
    <w:p>
      <w:pPr>
        <w:spacing w:line="360" w:lineRule="auto"/>
        <w:ind w:firstLine="480"/>
        <w:rPr>
          <w:rFonts w:cs="宋体" w:asciiTheme="minorEastAsia" w:hAnsiTheme="minorEastAsia"/>
          <w:color w:val="FF0000"/>
          <w:kern w:val="0"/>
        </w:rPr>
      </w:pPr>
      <w:r>
        <w:rPr>
          <w:rFonts w:hint="eastAsia" w:cs="宋体" w:asciiTheme="minorEastAsia" w:hAnsiTheme="minorEastAsia"/>
          <w:kern w:val="0"/>
        </w:rPr>
        <w:t>需对数据共享接口的运行情况进行分析统计，提供宁海县本级的接口调用统计清单。包括数据接口调用总量、应用调用数据接口次数、数据接口被调用次数。</w:t>
      </w:r>
    </w:p>
    <w:p>
      <w:pPr>
        <w:spacing w:line="360" w:lineRule="auto"/>
        <w:ind w:firstLine="422" w:firstLineChars="200"/>
        <w:rPr>
          <w:b/>
        </w:rPr>
      </w:pPr>
      <w:r>
        <w:rPr>
          <w:b/>
        </w:rPr>
        <w:t>5</w:t>
      </w:r>
      <w:r>
        <w:rPr>
          <w:rFonts w:hint="eastAsia"/>
          <w:b/>
        </w:rPr>
        <w:t>.7.4 共享数据运维服务</w:t>
      </w:r>
    </w:p>
    <w:p>
      <w:pPr>
        <w:spacing w:line="360" w:lineRule="auto"/>
        <w:ind w:firstLine="480"/>
        <w:rPr>
          <w:rFonts w:cs="宋体" w:asciiTheme="minorEastAsia" w:hAnsiTheme="minorEastAsia"/>
          <w:kern w:val="0"/>
        </w:rPr>
      </w:pPr>
      <w:r>
        <w:rPr>
          <w:rFonts w:hint="eastAsia" w:cs="宋体" w:asciiTheme="minorEastAsia" w:hAnsiTheme="minorEastAsia"/>
          <w:kern w:val="0"/>
        </w:rPr>
        <w:t>需对预设的共享数据按要求进行配置，配置内容包括数据项名称、数据格式、更新周期、共享属性、共享单位等，汇总形成宁海县数据共享目录，提交至数据审核人员确认后进行发布。</w:t>
      </w:r>
    </w:p>
    <w:p>
      <w:pPr>
        <w:spacing w:line="360" w:lineRule="auto"/>
        <w:ind w:firstLine="482" w:firstLineChars="200"/>
        <w:rPr>
          <w:b/>
          <w:sz w:val="24"/>
          <w:highlight w:val="green"/>
        </w:rPr>
      </w:pPr>
      <w:r>
        <w:rPr>
          <w:b/>
          <w:sz w:val="24"/>
        </w:rPr>
        <w:t>5</w:t>
      </w:r>
      <w:r>
        <w:rPr>
          <w:rFonts w:hint="eastAsia"/>
          <w:b/>
          <w:sz w:val="24"/>
        </w:rPr>
        <w:t>.8 专题库建设服务</w:t>
      </w:r>
    </w:p>
    <w:p>
      <w:pPr>
        <w:spacing w:line="360" w:lineRule="auto"/>
        <w:ind w:firstLine="480"/>
        <w:rPr>
          <w:rFonts w:cs="宋体" w:asciiTheme="minorEastAsia" w:hAnsiTheme="minorEastAsia"/>
          <w:color w:val="000000"/>
          <w:kern w:val="0"/>
        </w:rPr>
      </w:pPr>
      <w:r>
        <w:rPr>
          <w:rFonts w:hint="eastAsia" w:cs="宋体" w:asciiTheme="minorEastAsia" w:hAnsiTheme="minorEastAsia"/>
          <w:color w:val="000000"/>
          <w:kern w:val="0"/>
        </w:rPr>
        <w:t>要求规划建设至少4个业务专题库或10个专题库子集，用于支撑县域业务部门应用创新。要求围绕各业务专题库按照统一数据标标准进行相应数据资源的采集、存储、交换和共享工作。</w:t>
      </w:r>
    </w:p>
    <w:p>
      <w:pPr>
        <w:spacing w:line="360" w:lineRule="auto"/>
        <w:ind w:firstLine="482" w:firstLineChars="200"/>
        <w:rPr>
          <w:b/>
          <w:sz w:val="24"/>
        </w:rPr>
      </w:pPr>
      <w:r>
        <w:rPr>
          <w:b/>
          <w:sz w:val="24"/>
        </w:rPr>
        <w:t>5</w:t>
      </w:r>
      <w:r>
        <w:rPr>
          <w:rFonts w:hint="eastAsia"/>
          <w:b/>
          <w:sz w:val="24"/>
        </w:rPr>
        <w:t>.9 运营咨询服务</w:t>
      </w:r>
    </w:p>
    <w:p>
      <w:pPr>
        <w:spacing w:line="360" w:lineRule="auto"/>
        <w:ind w:firstLine="422" w:firstLineChars="200"/>
        <w:rPr>
          <w:b/>
        </w:rPr>
      </w:pPr>
      <w:r>
        <w:rPr>
          <w:rFonts w:hint="eastAsia"/>
          <w:b/>
        </w:rPr>
        <w:t>5.9.1浙里办上架指导服务及浙里办咨询服务</w:t>
      </w:r>
    </w:p>
    <w:p>
      <w:pPr>
        <w:spacing w:line="360" w:lineRule="auto"/>
        <w:ind w:firstLine="420" w:firstLineChars="200"/>
        <w:rPr>
          <w:rFonts w:cs="宋体" w:asciiTheme="minorEastAsia" w:hAnsiTheme="minorEastAsia"/>
          <w:color w:val="000000"/>
          <w:kern w:val="0"/>
        </w:rPr>
      </w:pPr>
      <w:r>
        <w:rPr>
          <w:rFonts w:hint="eastAsia" w:cs="宋体" w:asciiTheme="minorEastAsia" w:hAnsiTheme="minorEastAsia"/>
          <w:color w:val="000000"/>
          <w:kern w:val="0"/>
        </w:rPr>
        <w:t>该服务需承诺专职负责人，为有应用上架至浙里办需求的建设单位，提供咨询与指导的服务。提升宁海县应用上架效率同时降低流程审批驳回次数，具体咨询内容包括：上架咨询答疑与操作指导、浙里办技术问题咨询答疑、上架材料预审核与修改建议、全流程审批节点指导服务。实现成功在浙里办、浙政钉上架3个以上应用。</w:t>
      </w:r>
    </w:p>
    <w:p>
      <w:pPr>
        <w:spacing w:line="360" w:lineRule="auto"/>
        <w:ind w:firstLine="420" w:firstLineChars="200"/>
        <w:rPr>
          <w:rFonts w:cs="宋体" w:asciiTheme="minorEastAsia" w:hAnsiTheme="minorEastAsia"/>
          <w:color w:val="000000"/>
          <w:kern w:val="0"/>
        </w:rPr>
      </w:pPr>
      <w:r>
        <w:rPr>
          <w:rFonts w:hint="eastAsia" w:cs="宋体" w:asciiTheme="minorEastAsia" w:hAnsiTheme="minorEastAsia"/>
          <w:color w:val="000000"/>
          <w:kern w:val="0"/>
        </w:rPr>
        <w:t>需求提供浙里办相关的咨询指导服务，包括对于省市级浙里办工作相关政策解读，后续工作推进指导。针对上级下发相关工作落实进行协助。</w:t>
      </w:r>
    </w:p>
    <w:p>
      <w:pPr>
        <w:spacing w:line="360" w:lineRule="auto"/>
        <w:ind w:firstLine="422" w:firstLineChars="200"/>
        <w:rPr>
          <w:b/>
        </w:rPr>
      </w:pPr>
      <w:r>
        <w:rPr>
          <w:rFonts w:hint="eastAsia"/>
          <w:b/>
        </w:rPr>
        <w:t>5.9.2浙里办咨询专家培训服务</w:t>
      </w:r>
    </w:p>
    <w:p>
      <w:pPr>
        <w:spacing w:line="360" w:lineRule="auto"/>
        <w:ind w:firstLine="420" w:firstLineChars="200"/>
        <w:rPr>
          <w:rFonts w:cs="宋体" w:asciiTheme="minorEastAsia" w:hAnsiTheme="minorEastAsia"/>
          <w:color w:val="000000"/>
          <w:kern w:val="0"/>
        </w:rPr>
      </w:pPr>
      <w:r>
        <w:rPr>
          <w:rFonts w:hint="eastAsia" w:cs="宋体" w:asciiTheme="minorEastAsia" w:hAnsiTheme="minorEastAsia"/>
          <w:color w:val="000000"/>
          <w:kern w:val="0"/>
        </w:rPr>
        <w:t>要求在服务期内开展两次浙里办相关培训工作，单次培训时长不少于</w:t>
      </w:r>
      <w:r>
        <w:rPr>
          <w:rFonts w:cs="宋体" w:asciiTheme="minorEastAsia" w:hAnsiTheme="minorEastAsia"/>
          <w:color w:val="000000"/>
          <w:kern w:val="0"/>
        </w:rPr>
        <w:t>40分钟。培训内容主要针对浙里办相关工作解读、当前问题分析研讨、浙里办相关疑问解答</w:t>
      </w:r>
      <w:r>
        <w:rPr>
          <w:rFonts w:hint="eastAsia" w:cs="宋体" w:asciiTheme="minorEastAsia" w:hAnsiTheme="minorEastAsia"/>
          <w:color w:val="000000"/>
          <w:kern w:val="0"/>
        </w:rPr>
        <w:t>。</w:t>
      </w:r>
    </w:p>
    <w:p>
      <w:pPr>
        <w:spacing w:line="360" w:lineRule="auto"/>
        <w:ind w:firstLine="422" w:firstLineChars="200"/>
        <w:rPr>
          <w:b/>
          <w:lang w:bidi="ar"/>
        </w:rPr>
      </w:pPr>
      <w:r>
        <w:rPr>
          <w:rFonts w:hint="eastAsia"/>
          <w:b/>
          <w:lang w:bidi="ar"/>
        </w:rPr>
        <w:t>5.9.3公共数据平台及数据产品培训服务</w:t>
      </w:r>
    </w:p>
    <w:p>
      <w:pPr>
        <w:spacing w:line="360" w:lineRule="auto"/>
        <w:ind w:firstLine="420" w:firstLineChars="200"/>
        <w:rPr>
          <w:rFonts w:cs="宋体" w:asciiTheme="minorEastAsia" w:hAnsiTheme="minorEastAsia"/>
          <w:color w:val="000000"/>
          <w:kern w:val="0"/>
          <w:lang w:bidi="ar"/>
        </w:rPr>
      </w:pPr>
      <w:r>
        <w:rPr>
          <w:rFonts w:hint="eastAsia" w:cs="宋体" w:asciiTheme="minorEastAsia" w:hAnsiTheme="minorEastAsia"/>
          <w:color w:val="000000"/>
          <w:kern w:val="0"/>
          <w:lang w:bidi="ar"/>
        </w:rPr>
        <w:t>服务期内开展公共数据平台及数据产品相关培训工作，单次培训时长不少于40分钟。</w:t>
      </w:r>
    </w:p>
    <w:p>
      <w:pPr>
        <w:spacing w:line="360" w:lineRule="auto"/>
        <w:ind w:firstLine="482" w:firstLineChars="200"/>
        <w:rPr>
          <w:b/>
          <w:sz w:val="24"/>
        </w:rPr>
      </w:pPr>
      <w:r>
        <w:rPr>
          <w:rFonts w:hint="eastAsia"/>
          <w:b/>
          <w:sz w:val="24"/>
        </w:rPr>
        <w:t>5.10</w:t>
      </w:r>
      <w:r>
        <w:rPr>
          <w:b/>
          <w:sz w:val="24"/>
        </w:rPr>
        <w:t>数据安全服务</w:t>
      </w:r>
    </w:p>
    <w:p>
      <w:pPr>
        <w:spacing w:line="360" w:lineRule="auto"/>
        <w:ind w:firstLine="422" w:firstLineChars="200"/>
        <w:rPr>
          <w:b/>
        </w:rPr>
      </w:pPr>
      <w:r>
        <w:rPr>
          <w:b/>
        </w:rPr>
        <w:t>5.10.1</w:t>
      </w:r>
      <w:r>
        <w:rPr>
          <w:rFonts w:hint="eastAsia"/>
          <w:b/>
        </w:rPr>
        <w:t>安全检测评估服务</w:t>
      </w:r>
    </w:p>
    <w:p>
      <w:pPr>
        <w:spacing w:line="360" w:lineRule="auto"/>
        <w:ind w:firstLine="420" w:firstLineChars="200"/>
        <w:rPr>
          <w:rFonts w:cs="宋体" w:asciiTheme="minorEastAsia" w:hAnsiTheme="minorEastAsia"/>
          <w:color w:val="000000"/>
          <w:kern w:val="0"/>
        </w:rPr>
      </w:pPr>
      <w:r>
        <w:rPr>
          <w:rFonts w:hint="eastAsia" w:cs="宋体" w:asciiTheme="minorEastAsia" w:hAnsiTheme="minorEastAsia"/>
          <w:color w:val="000000"/>
          <w:kern w:val="0"/>
        </w:rPr>
        <w:t>（一）、基线核查：对重要</w:t>
      </w:r>
      <w:r>
        <w:rPr>
          <w:rFonts w:cs="宋体" w:asciiTheme="minorEastAsia" w:hAnsiTheme="minorEastAsia"/>
          <w:color w:val="000000"/>
          <w:kern w:val="0"/>
        </w:rPr>
        <w:t>web</w:t>
      </w:r>
      <w:r>
        <w:rPr>
          <w:rFonts w:hint="eastAsia" w:cs="宋体" w:asciiTheme="minorEastAsia" w:hAnsiTheme="minorEastAsia"/>
          <w:color w:val="000000"/>
          <w:kern w:val="0"/>
        </w:rPr>
        <w:t>信息系统进行每年定期的安全基线核查工作，通过对安全防护措施及安全制度体系建设的实地检查，发现其存在的不足及安全风险，并出具整改方案，协助进行整改加固。</w:t>
      </w:r>
    </w:p>
    <w:p>
      <w:pPr>
        <w:spacing w:line="360" w:lineRule="auto"/>
        <w:ind w:firstLine="420" w:firstLineChars="200"/>
        <w:rPr>
          <w:rFonts w:cs="宋体" w:asciiTheme="minorEastAsia" w:hAnsiTheme="minorEastAsia"/>
          <w:color w:val="000000"/>
          <w:kern w:val="0"/>
        </w:rPr>
      </w:pPr>
      <w:r>
        <w:rPr>
          <w:rFonts w:hint="eastAsia" w:cs="宋体" w:asciiTheme="minorEastAsia" w:hAnsiTheme="minorEastAsia"/>
          <w:color w:val="000000"/>
          <w:kern w:val="0"/>
        </w:rPr>
        <w:t>（二）、渗透测试：针对网站及</w:t>
      </w:r>
      <w:r>
        <w:rPr>
          <w:rFonts w:cs="宋体" w:asciiTheme="minorEastAsia" w:hAnsiTheme="minorEastAsia"/>
          <w:color w:val="000000"/>
          <w:kern w:val="0"/>
        </w:rPr>
        <w:t>Web</w:t>
      </w:r>
      <w:r>
        <w:rPr>
          <w:rFonts w:hint="eastAsia" w:cs="宋体" w:asciiTheme="minorEastAsia" w:hAnsiTheme="minorEastAsia"/>
          <w:color w:val="000000"/>
          <w:kern w:val="0"/>
        </w:rPr>
        <w:t>类系统模拟黑客攻击，发现应用层面可能存在的</w:t>
      </w:r>
      <w:r>
        <w:rPr>
          <w:rFonts w:cs="宋体" w:asciiTheme="minorEastAsia" w:hAnsiTheme="minorEastAsia"/>
          <w:color w:val="000000"/>
          <w:kern w:val="0"/>
        </w:rPr>
        <w:t xml:space="preserve">SQL </w:t>
      </w:r>
      <w:r>
        <w:rPr>
          <w:rFonts w:hint="eastAsia" w:cs="宋体" w:asciiTheme="minorEastAsia" w:hAnsiTheme="minorEastAsia"/>
          <w:color w:val="000000"/>
          <w:kern w:val="0"/>
        </w:rPr>
        <w:t>注入、XSS（跨站脚本）、</w:t>
      </w:r>
      <w:r>
        <w:rPr>
          <w:rFonts w:cs="宋体" w:asciiTheme="minorEastAsia" w:hAnsiTheme="minorEastAsia"/>
          <w:color w:val="000000"/>
          <w:kern w:val="0"/>
        </w:rPr>
        <w:t xml:space="preserve">CRLF </w:t>
      </w:r>
      <w:r>
        <w:rPr>
          <w:rFonts w:hint="eastAsia" w:cs="宋体" w:asciiTheme="minorEastAsia" w:hAnsiTheme="minorEastAsia"/>
          <w:color w:val="000000"/>
          <w:kern w:val="0"/>
        </w:rPr>
        <w:t>注入、命令执行、信息泄露、</w:t>
      </w:r>
      <w:r>
        <w:rPr>
          <w:rFonts w:cs="宋体" w:asciiTheme="minorEastAsia" w:hAnsiTheme="minorEastAsia"/>
          <w:color w:val="000000"/>
          <w:kern w:val="0"/>
        </w:rPr>
        <w:t>web</w:t>
      </w:r>
      <w:r>
        <w:rPr>
          <w:rFonts w:hint="eastAsia" w:cs="宋体" w:asciiTheme="minorEastAsia" w:hAnsiTheme="minorEastAsia"/>
          <w:color w:val="000000"/>
          <w:kern w:val="0"/>
        </w:rPr>
        <w:t>用户弱密码、越权访问、中间件配置缺陷、反序列化命令、操作系统</w:t>
      </w:r>
      <w:r>
        <w:rPr>
          <w:rFonts w:cs="宋体" w:asciiTheme="minorEastAsia" w:hAnsiTheme="minorEastAsia"/>
          <w:color w:val="000000"/>
          <w:kern w:val="0"/>
        </w:rPr>
        <w:t>/</w:t>
      </w:r>
      <w:r>
        <w:rPr>
          <w:rFonts w:hint="eastAsia" w:cs="宋体" w:asciiTheme="minorEastAsia" w:hAnsiTheme="minorEastAsia"/>
          <w:color w:val="000000"/>
          <w:kern w:val="0"/>
        </w:rPr>
        <w:t>数据库弱口令、本地权限提升、已存在的脚本木马等各类型已知安全漏洞和安全隐患。</w:t>
      </w:r>
    </w:p>
    <w:p>
      <w:pPr>
        <w:spacing w:line="360" w:lineRule="auto"/>
        <w:ind w:firstLine="420" w:firstLineChars="200"/>
        <w:rPr>
          <w:rFonts w:cs="宋体" w:asciiTheme="minorEastAsia" w:hAnsiTheme="minorEastAsia"/>
          <w:color w:val="000000"/>
          <w:kern w:val="0"/>
        </w:rPr>
      </w:pPr>
      <w:r>
        <w:rPr>
          <w:rFonts w:hint="eastAsia" w:cs="宋体" w:asciiTheme="minorEastAsia" w:hAnsiTheme="minorEastAsia"/>
          <w:color w:val="000000"/>
          <w:kern w:val="0"/>
        </w:rPr>
        <w:t>（三）、安全意识培训</w:t>
      </w:r>
    </w:p>
    <w:p>
      <w:pPr>
        <w:spacing w:line="360" w:lineRule="auto"/>
        <w:ind w:firstLine="420" w:firstLineChars="200"/>
        <w:rPr>
          <w:rFonts w:cs="宋体" w:asciiTheme="minorEastAsia" w:hAnsiTheme="minorEastAsia"/>
          <w:color w:val="000000"/>
          <w:kern w:val="0"/>
        </w:rPr>
      </w:pPr>
      <w:r>
        <w:rPr>
          <w:rFonts w:hint="eastAsia" w:cs="宋体" w:asciiTheme="minorEastAsia" w:hAnsiTheme="minorEastAsia"/>
          <w:color w:val="000000"/>
          <w:kern w:val="0"/>
        </w:rPr>
        <w:t>安全培训内容包括安全意识培训、数据安全意识培训，通过安全培训，能够提升单位人员的安全意识、安全技能、人员资质等，提高单位网络安全建设、运维水平。</w:t>
      </w:r>
    </w:p>
    <w:p>
      <w:pPr>
        <w:spacing w:line="360" w:lineRule="auto"/>
        <w:ind w:firstLine="422" w:firstLineChars="200"/>
        <w:rPr>
          <w:b/>
        </w:rPr>
      </w:pPr>
      <w:r>
        <w:rPr>
          <w:rFonts w:hint="eastAsia"/>
          <w:b/>
        </w:rPr>
        <w:t>5</w:t>
      </w:r>
      <w:r>
        <w:rPr>
          <w:b/>
        </w:rPr>
        <w:t xml:space="preserve">.10.2 </w:t>
      </w:r>
      <w:r>
        <w:rPr>
          <w:rFonts w:hint="eastAsia"/>
          <w:b/>
        </w:rPr>
        <w:t>数据安全管理制度检查</w:t>
      </w:r>
    </w:p>
    <w:p>
      <w:pPr>
        <w:spacing w:line="360" w:lineRule="auto"/>
        <w:ind w:firstLine="420" w:firstLineChars="200"/>
        <w:rPr>
          <w:rFonts w:cs="宋体" w:asciiTheme="minorEastAsia" w:hAnsiTheme="minorEastAsia"/>
          <w:color w:val="000000"/>
          <w:kern w:val="0"/>
        </w:rPr>
      </w:pPr>
      <w:r>
        <w:rPr>
          <w:rFonts w:hint="eastAsia" w:cs="宋体" w:asciiTheme="minorEastAsia" w:hAnsiTheme="minorEastAsia"/>
          <w:color w:val="000000"/>
          <w:kern w:val="0"/>
        </w:rPr>
        <w:t>（一）、监督检查机制，每季度提供</w:t>
      </w:r>
      <w:r>
        <w:rPr>
          <w:rFonts w:cs="宋体" w:asciiTheme="minorEastAsia" w:hAnsiTheme="minorEastAsia"/>
          <w:color w:val="000000"/>
          <w:kern w:val="0"/>
        </w:rPr>
        <w:t>1</w:t>
      </w:r>
      <w:r>
        <w:rPr>
          <w:rFonts w:hint="eastAsia" w:cs="宋体" w:asciiTheme="minorEastAsia" w:hAnsiTheme="minorEastAsia"/>
          <w:color w:val="000000"/>
          <w:kern w:val="0"/>
        </w:rPr>
        <w:t>次配合宁海</w:t>
      </w:r>
      <w:r>
        <w:rPr>
          <w:rFonts w:hint="eastAsia" w:cs="宋体" w:asciiTheme="minorEastAsia" w:hAnsiTheme="minorEastAsia"/>
          <w:color w:val="000000"/>
          <w:kern w:val="0"/>
          <w:lang w:val="en-US" w:eastAsia="zh-CN"/>
        </w:rPr>
        <w:t>县</w:t>
      </w:r>
      <w:r>
        <w:rPr>
          <w:rFonts w:hint="eastAsia" w:cs="宋体" w:asciiTheme="minorEastAsia" w:hAnsiTheme="minorEastAsia"/>
          <w:color w:val="000000"/>
          <w:kern w:val="0"/>
        </w:rPr>
        <w:t>数据</w:t>
      </w:r>
      <w:r>
        <w:rPr>
          <w:rFonts w:hint="eastAsia" w:cs="宋体" w:asciiTheme="minorEastAsia" w:hAnsiTheme="minorEastAsia"/>
          <w:color w:val="000000"/>
          <w:kern w:val="0"/>
          <w:lang w:val="en-US" w:eastAsia="zh-CN"/>
        </w:rPr>
        <w:t>服务中心</w:t>
      </w:r>
      <w:r>
        <w:rPr>
          <w:rFonts w:hint="eastAsia" w:cs="宋体" w:asciiTheme="minorEastAsia" w:hAnsiTheme="minorEastAsia"/>
          <w:color w:val="000000"/>
          <w:kern w:val="0"/>
        </w:rPr>
        <w:t>开展数字安全制度检查工作，管理制度应涵盖人员管理、数据资产管理等内容。发现各地数据安全制度落实情况，根据实际情况督促整改。并提供数据安全督察结果报告。</w:t>
      </w:r>
    </w:p>
    <w:tbl>
      <w:tblPr>
        <w:tblStyle w:val="49"/>
        <w:tblW w:w="53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147"/>
        <w:gridCol w:w="862"/>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trPr>
        <w:tc>
          <w:tcPr>
            <w:tcW w:w="614" w:type="pct"/>
            <w:shd w:val="clear" w:color="000000" w:fill="5B9BD5"/>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服务内容</w:t>
            </w:r>
          </w:p>
        </w:tc>
        <w:tc>
          <w:tcPr>
            <w:tcW w:w="548" w:type="pct"/>
            <w:shd w:val="clear" w:color="000000" w:fill="5B9BD5"/>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服务方向</w:t>
            </w:r>
          </w:p>
        </w:tc>
        <w:tc>
          <w:tcPr>
            <w:tcW w:w="412" w:type="pct"/>
            <w:shd w:val="clear" w:color="000000" w:fill="5B9BD5"/>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频次</w:t>
            </w:r>
          </w:p>
        </w:tc>
        <w:tc>
          <w:tcPr>
            <w:tcW w:w="3426" w:type="pct"/>
            <w:shd w:val="clear" w:color="000000" w:fill="5B9BD5"/>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14" w:type="pct"/>
            <w:vMerge w:val="restar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安全评估检测服务</w:t>
            </w:r>
          </w:p>
        </w:tc>
        <w:tc>
          <w:tcPr>
            <w:tcW w:w="548"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安全基线评估</w:t>
            </w:r>
          </w:p>
        </w:tc>
        <w:tc>
          <w:tcPr>
            <w:tcW w:w="412" w:type="pct"/>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4次/年</w:t>
            </w:r>
          </w:p>
        </w:tc>
        <w:tc>
          <w:tcPr>
            <w:tcW w:w="3426" w:type="pct"/>
            <w:shd w:val="clear" w:color="auto" w:fill="auto"/>
            <w:vAlign w:val="center"/>
          </w:tcPr>
          <w:p>
            <w:pPr>
              <w:widowControl/>
              <w:jc w:val="left"/>
              <w:rPr>
                <w:rFonts w:cs="宋体" w:asciiTheme="minorEastAsia" w:hAnsiTheme="minorEastAsia"/>
                <w:color w:val="000000"/>
                <w:kern w:val="0"/>
              </w:rPr>
            </w:pPr>
            <w:r>
              <w:rPr>
                <w:rFonts w:hint="eastAsia" w:cs="宋体" w:asciiTheme="minorEastAsia" w:hAnsiTheme="minorEastAsia"/>
                <w:color w:val="000000"/>
                <w:kern w:val="0"/>
              </w:rPr>
              <w:t>发现各类服务器、网络设备、安全设备等</w:t>
            </w:r>
            <w:r>
              <w:rPr>
                <w:rFonts w:cs="宋体" w:asciiTheme="minorEastAsia" w:hAnsiTheme="minorEastAsia"/>
                <w:color w:val="000000"/>
                <w:kern w:val="0"/>
              </w:rPr>
              <w:t>IT设备自身存在的安全配置缺陷和薄弱环节，并对发现的脆弱性进行识别、分析、修补、检验，消除、降低IT设备的高、中风险隐患，防范安全事件发生，避免信息系统脆弱性被非法利用，增强信息系统安全防范能力，保障业务的可持续性。</w:t>
            </w:r>
            <w:r>
              <w:rPr>
                <w:rFonts w:cs="宋体" w:asciiTheme="minorEastAsia" w:hAnsiTheme="minorEastAsia"/>
                <w:color w:val="000000"/>
                <w:kern w:val="0"/>
              </w:rPr>
              <w:br w:type="textWrapping"/>
            </w:r>
            <w:r>
              <w:rPr>
                <w:rFonts w:hint="eastAsia" w:cs="宋体" w:asciiTheme="minorEastAsia" w:hAnsiTheme="minorEastAsia"/>
                <w:color w:val="000000"/>
                <w:kern w:val="0"/>
              </w:rPr>
              <w:t>安全基线评估内容包括：操作系统、数据库、</w:t>
            </w:r>
            <w:r>
              <w:rPr>
                <w:rFonts w:cs="宋体" w:asciiTheme="minorEastAsia" w:hAnsiTheme="minorEastAsia"/>
                <w:color w:val="000000"/>
                <w:kern w:val="0"/>
              </w:rPr>
              <w:t>Web服务器、中间件等</w:t>
            </w:r>
          </w:p>
          <w:p>
            <w:pPr>
              <w:pStyle w:val="20"/>
              <w:widowControl/>
              <w:spacing w:after="0"/>
              <w:jc w:val="left"/>
              <w:rPr>
                <w:rFonts w:ascii="宋体" w:hAnsi="宋体" w:cs="宋体"/>
                <w:b/>
                <w:color w:val="000000"/>
                <w:kern w:val="0"/>
                <w:sz w:val="22"/>
              </w:rPr>
            </w:pPr>
            <w:r>
              <w:rPr>
                <w:rFonts w:hint="eastAsia" w:cs="宋体" w:asciiTheme="minorEastAsia" w:hAnsiTheme="minorEastAsia"/>
                <w:b/>
                <w:color w:val="000000"/>
                <w:kern w:val="0"/>
                <w:sz w:val="21"/>
              </w:rPr>
              <w:t>输出《基线评估报告》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14" w:type="pct"/>
            <w:vMerge w:val="continue"/>
            <w:vAlign w:val="center"/>
          </w:tcPr>
          <w:p>
            <w:pPr>
              <w:widowControl/>
              <w:jc w:val="left"/>
              <w:rPr>
                <w:rFonts w:ascii="宋体" w:hAnsi="宋体" w:cs="宋体"/>
                <w:b/>
                <w:bCs/>
                <w:color w:val="000000"/>
                <w:kern w:val="0"/>
                <w:szCs w:val="21"/>
              </w:rPr>
            </w:pPr>
          </w:p>
        </w:tc>
        <w:tc>
          <w:tcPr>
            <w:tcW w:w="548"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渗透测试</w:t>
            </w:r>
          </w:p>
        </w:tc>
        <w:tc>
          <w:tcPr>
            <w:tcW w:w="412" w:type="pct"/>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4次/年</w:t>
            </w:r>
          </w:p>
          <w:p>
            <w:pPr>
              <w:widowControl/>
              <w:jc w:val="center"/>
              <w:rPr>
                <w:rFonts w:ascii="宋体" w:hAnsi="宋体" w:cs="宋体"/>
                <w:color w:val="000000"/>
                <w:kern w:val="0"/>
                <w:szCs w:val="21"/>
              </w:rPr>
            </w:pPr>
            <w:r>
              <w:rPr>
                <w:rFonts w:hint="eastAsia" w:ascii="宋体" w:hAnsi="宋体" w:cs="宋体"/>
                <w:color w:val="000000"/>
                <w:kern w:val="0"/>
                <w:szCs w:val="21"/>
              </w:rPr>
              <w:t>（每次两个系统）</w:t>
            </w:r>
          </w:p>
        </w:tc>
        <w:tc>
          <w:tcPr>
            <w:tcW w:w="3426"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渗透测试为黑盒测试，是在不知晓系统具体运行代码的情况下，通过系统所提供的功能，安全专家采用模拟黑客攻击的技术和方法，全面检测应用系统可能存在的各类型安全漏洞和安全隐患，并提供修复建议、指导漏洞修复工作，以避免安全漏洞被黑客恶意利用、攻击，最终保障信息系统的安全、平稳、可靠运行。</w:t>
            </w:r>
            <w:r>
              <w:rPr>
                <w:rFonts w:ascii="宋体" w:hAnsi="宋体" w:cs="宋体"/>
                <w:color w:val="000000"/>
                <w:kern w:val="0"/>
                <w:szCs w:val="21"/>
              </w:rPr>
              <w:br w:type="textWrapping"/>
            </w:r>
            <w:r>
              <w:rPr>
                <w:rFonts w:hint="eastAsia" w:ascii="宋体" w:hAnsi="宋体" w:cs="宋体"/>
                <w:color w:val="000000"/>
                <w:kern w:val="0"/>
                <w:szCs w:val="21"/>
              </w:rPr>
              <w:t>具体测试内容包括如</w:t>
            </w:r>
            <w:r>
              <w:rPr>
                <w:rFonts w:ascii="宋体" w:hAnsi="宋体" w:cs="宋体"/>
                <w:color w:val="000000"/>
                <w:kern w:val="0"/>
                <w:szCs w:val="21"/>
              </w:rPr>
              <w:t xml:space="preserve">SQL </w:t>
            </w:r>
            <w:r>
              <w:rPr>
                <w:rFonts w:hint="eastAsia" w:ascii="宋体" w:hAnsi="宋体" w:cs="宋体"/>
                <w:color w:val="000000"/>
                <w:kern w:val="0"/>
                <w:szCs w:val="21"/>
              </w:rPr>
              <w:t>注入、</w:t>
            </w:r>
            <w:r>
              <w:rPr>
                <w:rFonts w:ascii="宋体" w:hAnsi="宋体" w:cs="宋体"/>
                <w:color w:val="000000"/>
                <w:kern w:val="0"/>
                <w:szCs w:val="21"/>
              </w:rPr>
              <w:t>XSS（</w:t>
            </w:r>
            <w:r>
              <w:rPr>
                <w:rFonts w:hint="eastAsia" w:ascii="宋体" w:hAnsi="宋体" w:cs="宋体"/>
                <w:color w:val="000000"/>
                <w:kern w:val="0"/>
                <w:szCs w:val="21"/>
              </w:rPr>
              <w:t>跨站脚本）、</w:t>
            </w:r>
            <w:r>
              <w:rPr>
                <w:rFonts w:ascii="宋体" w:hAnsi="宋体" w:cs="宋体"/>
                <w:color w:val="000000"/>
                <w:kern w:val="0"/>
                <w:szCs w:val="21"/>
              </w:rPr>
              <w:t xml:space="preserve">CRLF </w:t>
            </w:r>
            <w:r>
              <w:rPr>
                <w:rFonts w:hint="eastAsia" w:ascii="宋体" w:hAnsi="宋体" w:cs="宋体"/>
                <w:color w:val="000000"/>
                <w:kern w:val="0"/>
                <w:szCs w:val="21"/>
              </w:rPr>
              <w:t>注入、目录遍历、文件包含、命令执行、</w:t>
            </w:r>
            <w:r>
              <w:rPr>
                <w:rFonts w:ascii="宋体" w:hAnsi="宋体" w:cs="宋体"/>
                <w:color w:val="000000"/>
                <w:kern w:val="0"/>
                <w:szCs w:val="21"/>
              </w:rPr>
              <w:t>WebShell</w:t>
            </w:r>
            <w:r>
              <w:rPr>
                <w:rFonts w:hint="eastAsia" w:ascii="宋体" w:hAnsi="宋体" w:cs="宋体"/>
                <w:color w:val="000000"/>
                <w:kern w:val="0"/>
                <w:szCs w:val="21"/>
              </w:rPr>
              <w:t>网页木马上传等技术漏洞，以及各类如任意密码重置、越权查询、数据篡改等各类逻辑漏洞。</w:t>
            </w:r>
          </w:p>
          <w:p>
            <w:pPr>
              <w:pStyle w:val="20"/>
              <w:widowControl/>
              <w:spacing w:after="0"/>
              <w:jc w:val="left"/>
              <w:rPr>
                <w:rFonts w:ascii="宋体" w:hAnsi="宋体" w:cs="宋体"/>
                <w:color w:val="000000"/>
                <w:kern w:val="0"/>
                <w:sz w:val="22"/>
              </w:rPr>
            </w:pPr>
            <w:r>
              <w:rPr>
                <w:rFonts w:hint="eastAsia" w:cs="宋体" w:asciiTheme="minorEastAsia" w:hAnsiTheme="minorEastAsia"/>
                <w:b/>
                <w:color w:val="000000"/>
                <w:kern w:val="0"/>
                <w:sz w:val="21"/>
              </w:rPr>
              <w:t>输出</w:t>
            </w:r>
            <w:r>
              <w:rPr>
                <w:rFonts w:hint="eastAsia" w:cs="宋体" w:asciiTheme="minorEastAsia" w:hAnsiTheme="minorEastAsia"/>
                <w:b/>
                <w:color w:val="000000"/>
                <w:kern w:val="0"/>
                <w:sz w:val="21"/>
                <w:szCs w:val="21"/>
              </w:rPr>
              <w:t>《渗透测试报告》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14" w:type="pct"/>
            <w:vMerge w:val="continue"/>
            <w:vAlign w:val="center"/>
          </w:tcPr>
          <w:p>
            <w:pPr>
              <w:widowControl/>
              <w:jc w:val="left"/>
              <w:rPr>
                <w:rFonts w:ascii="宋体" w:hAnsi="宋体" w:cs="宋体"/>
                <w:b/>
                <w:bCs/>
                <w:color w:val="000000"/>
                <w:kern w:val="0"/>
                <w:szCs w:val="21"/>
              </w:rPr>
            </w:pPr>
          </w:p>
        </w:tc>
        <w:tc>
          <w:tcPr>
            <w:tcW w:w="548"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安全意识培训</w:t>
            </w:r>
          </w:p>
        </w:tc>
        <w:tc>
          <w:tcPr>
            <w:tcW w:w="412" w:type="pct"/>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2次/年</w:t>
            </w:r>
          </w:p>
        </w:tc>
        <w:tc>
          <w:tcPr>
            <w:tcW w:w="3426"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对用户指定人员进行安全意识、数据安全等意识培训，提高人员安全意识水平。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14" w:type="pct"/>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数据安全管理制度检查</w:t>
            </w:r>
          </w:p>
        </w:tc>
        <w:tc>
          <w:tcPr>
            <w:tcW w:w="548"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制度巡检</w:t>
            </w:r>
          </w:p>
        </w:tc>
        <w:tc>
          <w:tcPr>
            <w:tcW w:w="412" w:type="pct"/>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4次/年</w:t>
            </w:r>
          </w:p>
        </w:tc>
        <w:tc>
          <w:tcPr>
            <w:tcW w:w="3426"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每季度提供</w:t>
            </w:r>
            <w:r>
              <w:rPr>
                <w:rFonts w:ascii="宋体" w:hAnsi="宋体" w:cs="宋体"/>
                <w:color w:val="000000"/>
                <w:kern w:val="0"/>
                <w:szCs w:val="21"/>
              </w:rPr>
              <w:t>1次配合</w:t>
            </w:r>
            <w:r>
              <w:rPr>
                <w:rFonts w:hint="eastAsia" w:cs="宋体" w:asciiTheme="minorEastAsia" w:hAnsiTheme="minorEastAsia"/>
                <w:color w:val="000000"/>
                <w:kern w:val="0"/>
              </w:rPr>
              <w:t>宁海</w:t>
            </w:r>
            <w:r>
              <w:rPr>
                <w:rFonts w:hint="eastAsia" w:cs="宋体" w:asciiTheme="minorEastAsia" w:hAnsiTheme="minorEastAsia"/>
                <w:color w:val="000000"/>
                <w:kern w:val="0"/>
                <w:lang w:val="en-US" w:eastAsia="zh-CN"/>
              </w:rPr>
              <w:t>县</w:t>
            </w:r>
            <w:r>
              <w:rPr>
                <w:rFonts w:hint="eastAsia" w:cs="宋体" w:asciiTheme="minorEastAsia" w:hAnsiTheme="minorEastAsia"/>
                <w:color w:val="000000"/>
                <w:kern w:val="0"/>
              </w:rPr>
              <w:t>数据</w:t>
            </w:r>
            <w:r>
              <w:rPr>
                <w:rFonts w:hint="eastAsia" w:cs="宋体" w:asciiTheme="minorEastAsia" w:hAnsiTheme="minorEastAsia"/>
                <w:color w:val="000000"/>
                <w:kern w:val="0"/>
                <w:lang w:val="en-US" w:eastAsia="zh-CN"/>
              </w:rPr>
              <w:t>服务中心</w:t>
            </w:r>
            <w:r>
              <w:rPr>
                <w:rFonts w:ascii="宋体" w:hAnsi="宋体" w:cs="宋体"/>
                <w:color w:val="000000"/>
                <w:kern w:val="0"/>
                <w:szCs w:val="21"/>
              </w:rPr>
              <w:t>开展数字安全制度检查工作</w:t>
            </w:r>
          </w:p>
        </w:tc>
      </w:tr>
    </w:tbl>
    <w:p>
      <w:pPr>
        <w:spacing w:line="360" w:lineRule="auto"/>
        <w:ind w:firstLine="480" w:firstLineChars="200"/>
        <w:textAlignment w:val="baseline"/>
        <w:rPr>
          <w:rFonts w:ascii="宋体" w:hAnsi="宋体" w:cs="宋体"/>
          <w:sz w:val="24"/>
        </w:rPr>
      </w:pPr>
    </w:p>
    <w:p>
      <w:pPr>
        <w:pStyle w:val="20"/>
      </w:pPr>
    </w:p>
    <w:p>
      <w:pPr>
        <w:snapToGrid w:val="0"/>
        <w:spacing w:before="120" w:beforeLines="50" w:after="120" w:afterLines="50" w:line="360" w:lineRule="auto"/>
        <w:jc w:val="center"/>
        <w:outlineLvl w:val="0"/>
        <w:rPr>
          <w:rFonts w:ascii="宋体" w:hAnsi="宋体" w:cs="宋体"/>
          <w:b/>
          <w:sz w:val="30"/>
          <w:szCs w:val="30"/>
        </w:rPr>
      </w:pPr>
      <w:r>
        <w:rPr>
          <w:rFonts w:ascii="宋体" w:hAnsi="宋体" w:cs="宋体"/>
          <w:b/>
          <w:szCs w:val="21"/>
        </w:rPr>
        <w:br w:type="page"/>
      </w:r>
      <w:r>
        <w:rPr>
          <w:rFonts w:hint="eastAsia" w:ascii="宋体" w:hAnsi="宋体" w:cs="宋体"/>
          <w:b/>
          <w:sz w:val="30"/>
          <w:szCs w:val="30"/>
        </w:rPr>
        <w:t>商务要求表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120"/>
              <w:rPr>
                <w:lang w:val="en-US"/>
              </w:rPr>
            </w:pPr>
            <w:r>
              <w:rPr>
                <w:lang w:val="en-US"/>
              </w:rPr>
              <w:t>1</w:t>
            </w:r>
          </w:p>
        </w:tc>
        <w:tc>
          <w:tcPr>
            <w:tcW w:w="79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hAnsi="宋体" w:cs="宋体"/>
                <w:lang w:bidi="ar"/>
              </w:rPr>
              <w:t>★工期要求：</w:t>
            </w:r>
            <w:r>
              <w:rPr>
                <w:rFonts w:hint="eastAsia" w:ascii="宋体" w:hAnsi="宋体"/>
                <w:szCs w:val="21"/>
              </w:rPr>
              <w:t>本服务项目自合同签订起1年。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120"/>
              <w:rPr>
                <w:lang w:val="en-US"/>
              </w:rPr>
            </w:pPr>
            <w:r>
              <w:rPr>
                <w:lang w:val="en-US"/>
              </w:rPr>
              <w:t>2</w:t>
            </w:r>
          </w:p>
        </w:tc>
        <w:tc>
          <w:tcPr>
            <w:tcW w:w="7964" w:type="dxa"/>
            <w:tcBorders>
              <w:top w:val="single" w:color="auto" w:sz="4" w:space="0"/>
              <w:left w:val="single" w:color="auto" w:sz="4" w:space="0"/>
              <w:bottom w:val="single" w:color="auto" w:sz="4" w:space="0"/>
              <w:right w:val="single" w:color="auto" w:sz="4" w:space="0"/>
            </w:tcBorders>
          </w:tcPr>
          <w:p>
            <w:pPr>
              <w:pStyle w:val="120"/>
              <w:ind w:firstLine="0" w:firstLineChars="0"/>
              <w:jc w:val="left"/>
            </w:pPr>
            <w:r>
              <w:rPr>
                <w:rFonts w:hint="eastAsia" w:hAnsi="宋体" w:cs="宋体"/>
                <w:sz w:val="21"/>
                <w:lang w:bidi="ar"/>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120"/>
              <w:rPr>
                <w:lang w:val="en-US"/>
              </w:rPr>
            </w:pPr>
            <w:r>
              <w:rPr>
                <w:rFonts w:hint="eastAsia"/>
                <w:lang w:val="en-US"/>
              </w:rPr>
              <w:t>3</w:t>
            </w:r>
          </w:p>
        </w:tc>
        <w:tc>
          <w:tcPr>
            <w:tcW w:w="7964" w:type="dxa"/>
            <w:tcBorders>
              <w:top w:val="single" w:color="auto" w:sz="4" w:space="0"/>
              <w:left w:val="single" w:color="auto" w:sz="4" w:space="0"/>
              <w:bottom w:val="single" w:color="auto" w:sz="4" w:space="0"/>
              <w:right w:val="single" w:color="auto" w:sz="4" w:space="0"/>
            </w:tcBorders>
          </w:tcPr>
          <w:p>
            <w:pPr>
              <w:pStyle w:val="122"/>
              <w:numPr>
                <w:ilvl w:val="255"/>
                <w:numId w:val="0"/>
              </w:numPr>
              <w:spacing w:line="360" w:lineRule="auto"/>
              <w:rPr>
                <w:rFonts w:hAnsi="宋体" w:cs="宋体"/>
                <w:lang w:val="zh-CN" w:bidi="ar"/>
              </w:rPr>
            </w:pPr>
            <w:r>
              <w:rPr>
                <w:rFonts w:hint="eastAsia" w:hAnsi="宋体" w:cs="宋体"/>
                <w:lang w:val="zh-CN" w:bidi="ar"/>
              </w:rPr>
              <w:t>★付款方法和条件：</w:t>
            </w:r>
            <w:r>
              <w:rPr>
                <w:rFonts w:ascii="宋体" w:hAnsi="宋体" w:cs="宋体"/>
                <w:szCs w:val="21"/>
              </w:rPr>
              <w:t>合同签订并具备实施条件</w:t>
            </w:r>
            <w:r>
              <w:rPr>
                <w:rFonts w:hint="eastAsia" w:ascii="宋体" w:hAnsi="宋体" w:cs="宋体"/>
                <w:szCs w:val="21"/>
              </w:rPr>
              <w:t>后</w:t>
            </w:r>
            <w:r>
              <w:rPr>
                <w:rFonts w:ascii="宋体" w:hAnsi="宋体" w:cs="宋体"/>
                <w:szCs w:val="21"/>
              </w:rPr>
              <w:t>7个工作日内支付合同金额的5</w:t>
            </w:r>
            <w:r>
              <w:rPr>
                <w:rFonts w:hint="eastAsia" w:ascii="宋体" w:hAnsi="宋体" w:cs="宋体"/>
                <w:szCs w:val="21"/>
              </w:rPr>
              <w:t>0%</w:t>
            </w:r>
            <w:r>
              <w:rPr>
                <w:rFonts w:ascii="宋体" w:hAnsi="宋体" w:cs="宋体"/>
                <w:szCs w:val="21"/>
              </w:rPr>
              <w:t>作为预付款，</w:t>
            </w:r>
            <w:r>
              <w:rPr>
                <w:rFonts w:hint="eastAsia" w:ascii="宋体" w:hAnsi="宋体" w:cs="宋体"/>
                <w:szCs w:val="21"/>
                <w:lang w:val="en-US" w:eastAsia="zh-CN"/>
              </w:rPr>
              <w:t>在服务履行至12月1日时，根据服务内容和成果</w:t>
            </w:r>
            <w:r>
              <w:rPr>
                <w:rFonts w:hint="eastAsia" w:ascii="宋体" w:hAnsi="宋体" w:cs="宋体"/>
                <w:szCs w:val="21"/>
              </w:rPr>
              <w:t>支付中标人合同总价的</w:t>
            </w:r>
            <w:r>
              <w:rPr>
                <w:rFonts w:ascii="宋体" w:hAnsi="宋体" w:cs="宋体"/>
                <w:szCs w:val="21"/>
              </w:rPr>
              <w:t>30%；</w:t>
            </w:r>
            <w:r>
              <w:rPr>
                <w:rFonts w:hint="eastAsia" w:ascii="宋体" w:hAnsi="宋体" w:cs="宋体"/>
                <w:szCs w:val="21"/>
              </w:rPr>
              <w:t>合同服务结束时，根据采购人对最终服务表现向中标人支付剩余约定合同金额。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120"/>
              <w:rPr>
                <w:lang w:val="en-US"/>
              </w:rPr>
            </w:pPr>
            <w:r>
              <w:rPr>
                <w:rFonts w:hint="eastAsia"/>
                <w:lang w:val="en-US"/>
              </w:rPr>
              <w:t>4</w:t>
            </w:r>
          </w:p>
        </w:tc>
        <w:tc>
          <w:tcPr>
            <w:tcW w:w="7964" w:type="dxa"/>
            <w:tcBorders>
              <w:top w:val="single" w:color="auto" w:sz="4" w:space="0"/>
              <w:left w:val="single" w:color="auto" w:sz="4" w:space="0"/>
              <w:bottom w:val="single" w:color="auto" w:sz="4" w:space="0"/>
              <w:right w:val="single" w:color="auto" w:sz="4" w:space="0"/>
            </w:tcBorders>
          </w:tcPr>
          <w:p>
            <w:pPr>
              <w:spacing w:line="360" w:lineRule="auto"/>
              <w:rPr>
                <w:rFonts w:hAnsi="宋体"/>
                <w:szCs w:val="21"/>
              </w:rPr>
            </w:pPr>
            <w:r>
              <w:rPr>
                <w:rFonts w:hint="eastAsia" w:hAnsi="宋体" w:cs="宋体"/>
                <w:lang w:bidi="ar"/>
              </w:rPr>
              <w:t>★同意采购方对投标文件内容的真实性和有效性进行监督审查、验证。</w:t>
            </w:r>
          </w:p>
        </w:tc>
      </w:tr>
    </w:tbl>
    <w:p>
      <w:pPr>
        <w:spacing w:line="400" w:lineRule="exact"/>
        <w:jc w:val="center"/>
        <w:rPr>
          <w:rFonts w:ascii="宋体" w:hAnsi="宋体" w:cs="宋体"/>
          <w:b/>
          <w:szCs w:val="21"/>
        </w:rPr>
      </w:pPr>
    </w:p>
    <w:p>
      <w:pPr>
        <w:pStyle w:val="122"/>
        <w:spacing w:line="560" w:lineRule="exact"/>
        <w:ind w:left="1262" w:leftChars="601" w:firstLine="2085" w:firstLineChars="993"/>
        <w:rPr>
          <w:rFonts w:ascii="宋体" w:hAnsi="宋体" w:cs="宋体"/>
          <w:sz w:val="30"/>
          <w:szCs w:val="30"/>
        </w:rPr>
      </w:pPr>
      <w:r>
        <w:rPr>
          <w:rFonts w:hint="eastAsia" w:ascii="宋体" w:hAnsi="宋体"/>
          <w:szCs w:val="21"/>
        </w:rPr>
        <w:br w:type="page"/>
      </w:r>
      <w:r>
        <w:rPr>
          <w:rFonts w:hint="eastAsia" w:ascii="宋体" w:hAnsi="宋体" w:cs="宋体"/>
          <w:sz w:val="30"/>
          <w:szCs w:val="30"/>
        </w:rPr>
        <w:t>第三章  供应商须知</w:t>
      </w:r>
    </w:p>
    <w:p>
      <w:pPr>
        <w:spacing w:line="480" w:lineRule="exact"/>
        <w:jc w:val="center"/>
        <w:rPr>
          <w:rFonts w:ascii="宋体" w:hAnsi="宋体" w:cs="宋体"/>
          <w:b/>
          <w:sz w:val="24"/>
          <w:szCs w:val="36"/>
        </w:rPr>
      </w:pPr>
      <w:r>
        <w:rPr>
          <w:rFonts w:hint="eastAsia" w:ascii="宋体" w:hAnsi="宋体" w:cs="宋体"/>
          <w:b/>
          <w:sz w:val="24"/>
          <w:szCs w:val="36"/>
        </w:rPr>
        <w:t>前  附  表</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
                <w:bCs/>
                <w:szCs w:val="21"/>
              </w:rPr>
            </w:pPr>
            <w:r>
              <w:rPr>
                <w:rFonts w:hint="eastAsia" w:ascii="宋体" w:hAnsi="宋体" w:cs="宋体"/>
                <w:b/>
                <w:bCs/>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
                <w:bCs/>
                <w:szCs w:val="21"/>
              </w:rPr>
            </w:pPr>
            <w:r>
              <w:rPr>
                <w:rFonts w:hint="eastAsia" w:ascii="宋体" w:hAnsi="宋体" w:cs="宋体"/>
                <w:b/>
                <w:bCs/>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Cs w:val="21"/>
              </w:rPr>
            </w:pPr>
            <w:r>
              <w:rPr>
                <w:rFonts w:hint="eastAsia" w:ascii="宋体" w:hAnsi="宋体" w:cs="宋体"/>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left"/>
              <w:rPr>
                <w:rFonts w:ascii="宋体" w:hAnsi="宋体" w:cs="宋体"/>
                <w:szCs w:val="21"/>
              </w:rPr>
            </w:pPr>
            <w:r>
              <w:rPr>
                <w:rFonts w:hint="eastAsia" w:ascii="宋体" w:hAnsi="宋体"/>
                <w:szCs w:val="21"/>
              </w:rPr>
              <w:t>专门面向中小微企业招标：</w:t>
            </w:r>
            <w:r>
              <w:rPr>
                <w:rFonts w:hint="eastAsia" w:ascii="宋体" w:hAnsi="宋体"/>
                <w:szCs w:val="21"/>
                <w:bdr w:val="single" w:color="auto" w:sz="4" w:space="0"/>
              </w:rPr>
              <w:t xml:space="preserve">  </w:t>
            </w:r>
            <w:r>
              <w:rPr>
                <w:rFonts w:hint="eastAsia" w:ascii="宋体" w:hAnsi="宋体"/>
                <w:szCs w:val="21"/>
              </w:rPr>
              <w:t>是；</w:t>
            </w:r>
            <w:r>
              <w:rPr>
                <w:rFonts w:hint="eastAsia" w:ascii="宋体" w:hAnsi="宋体"/>
                <w:szCs w:val="21"/>
                <w:bdr w:val="single" w:color="auto" w:sz="4" w:space="0"/>
              </w:rPr>
              <w:t>√</w:t>
            </w:r>
            <w:r>
              <w:rPr>
                <w:rFonts w:hint="eastAsia" w:ascii="宋体" w:hAnsi="宋体"/>
                <w:szCs w:val="21"/>
              </w:rPr>
              <w:t>否。非专门面向中小微企业招标项目，投标人为小微企业的，其投标价格给予10%的价格扣除后参与评审。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Cs w:val="21"/>
              </w:rPr>
            </w:pPr>
            <w:r>
              <w:rPr>
                <w:rFonts w:hint="eastAsia" w:ascii="宋体" w:hAnsi="宋体" w:cs="宋体"/>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left"/>
              <w:rPr>
                <w:rFonts w:ascii="宋体" w:hAnsi="宋体" w:cs="宋体"/>
                <w:szCs w:val="21"/>
              </w:rPr>
            </w:pPr>
            <w:r>
              <w:rPr>
                <w:rFonts w:hint="eastAsia" w:ascii="宋体" w:hAnsi="宋体" w:cs="宋体"/>
                <w:szCs w:val="21"/>
              </w:rPr>
              <w:t>投标报价：</w:t>
            </w:r>
          </w:p>
          <w:p>
            <w:pPr>
              <w:spacing w:line="480" w:lineRule="exact"/>
              <w:rPr>
                <w:rFonts w:ascii="Calibri" w:hAnsi="Calibri"/>
              </w:rPr>
            </w:pPr>
            <w:r>
              <w:rPr>
                <w:rFonts w:ascii="Calibri" w:hAnsi="Calibri"/>
              </w:rPr>
              <w:t>1、本项目投标应以人民币报价；</w:t>
            </w:r>
          </w:p>
          <w:p>
            <w:pPr>
              <w:spacing w:line="480" w:lineRule="exact"/>
              <w:rPr>
                <w:rFonts w:ascii="宋体" w:hAnsi="宋体" w:cs="宋体"/>
                <w:szCs w:val="21"/>
              </w:rPr>
            </w:pPr>
            <w:r>
              <w:rPr>
                <w:rFonts w:hint="eastAsia" w:ascii="Calibri" w:hAnsi="Calibri"/>
              </w:rPr>
              <w:t>2、</w:t>
            </w:r>
            <w:r>
              <w:rPr>
                <w:rFonts w:ascii="宋体" w:hAnsi="宋体" w:cs="宋体"/>
                <w:szCs w:val="21"/>
              </w:rPr>
              <w:t>投标报价是履行合同的最终价格，应包括</w:t>
            </w:r>
            <w:r>
              <w:rPr>
                <w:rFonts w:hint="eastAsia" w:hAnsi="宋体" w:cs="宋体"/>
                <w:lang w:bidi="ar"/>
              </w:rPr>
              <w:t>但不限于</w:t>
            </w:r>
            <w:r>
              <w:rPr>
                <w:rFonts w:hint="eastAsia" w:ascii="宋体" w:hAnsi="宋体" w:cs="宋体"/>
                <w:szCs w:val="21"/>
              </w:rPr>
              <w:t>项目设计费、软件调研费、开发费、安装调试费、集成费、系统对接产生的费用、验收费、培训费、售后服务费、招标服务费、税金等一切与本次采购相关的一切费用。</w:t>
            </w:r>
          </w:p>
          <w:p>
            <w:pPr>
              <w:spacing w:line="440" w:lineRule="exact"/>
              <w:rPr>
                <w:rFonts w:ascii="宋体" w:hAnsi="宋体" w:cs="宋体"/>
                <w:szCs w:val="21"/>
              </w:rPr>
            </w:pPr>
            <w:r>
              <w:rPr>
                <w:rFonts w:hint="eastAsia" w:ascii="Calibri" w:hAnsi="Calibri"/>
              </w:rPr>
              <w:t>3</w:t>
            </w:r>
            <w:r>
              <w:rPr>
                <w:rFonts w:ascii="Calibri" w:hAnsi="Calibri"/>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Cs w:val="21"/>
              </w:rPr>
            </w:pPr>
            <w:r>
              <w:rPr>
                <w:rFonts w:hint="eastAsia" w:ascii="宋体" w:hAnsi="宋体" w:cs="宋体"/>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宋体" w:hAnsi="宋体"/>
                <w:szCs w:val="21"/>
              </w:rPr>
            </w:pPr>
            <w:r>
              <w:rPr>
                <w:rFonts w:hint="eastAsia" w:ascii="宋体" w:hAnsi="宋体" w:cs="宋体"/>
                <w:szCs w:val="21"/>
              </w:rPr>
              <w:t>讲解或演示内容详见第四章评标办法及评分标准。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Cs w:val="21"/>
              </w:rPr>
            </w:pPr>
            <w:r>
              <w:rPr>
                <w:rFonts w:hint="eastAsia" w:ascii="宋体" w:hAnsi="宋体" w:cs="宋体"/>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投标文件组成与份数：</w:t>
            </w:r>
          </w:p>
          <w:p>
            <w:pPr>
              <w:spacing w:line="440" w:lineRule="exact"/>
              <w:rPr>
                <w:rFonts w:ascii="宋体" w:hAnsi="宋体" w:cs="宋体"/>
                <w:szCs w:val="21"/>
              </w:rPr>
            </w:pPr>
            <w:r>
              <w:rPr>
                <w:rFonts w:hint="eastAsia" w:ascii="宋体" w:hAnsi="宋体" w:cs="宋体"/>
                <w:szCs w:val="21"/>
              </w:rPr>
              <w:t>1、上传到政府采购云平台的电子投标文件（含资格文件、商务技术文件、报价文件）1份。</w:t>
            </w:r>
          </w:p>
          <w:p>
            <w:pPr>
              <w:spacing w:line="440" w:lineRule="exact"/>
              <w:rPr>
                <w:rFonts w:ascii="宋体" w:hAnsi="宋体" w:cs="宋体"/>
                <w:szCs w:val="21"/>
              </w:rPr>
            </w:pPr>
            <w:r>
              <w:rPr>
                <w:rFonts w:hint="eastAsia" w:ascii="宋体" w:hAnsi="宋体" w:cs="宋体"/>
                <w:szCs w:val="21"/>
              </w:rPr>
              <w:t>2、以U盘存储的电子备份投标文件（含资格文件、商务技术文件、报价文件）1份。</w:t>
            </w:r>
          </w:p>
          <w:p>
            <w:pPr>
              <w:spacing w:line="440" w:lineRule="exact"/>
              <w:rPr>
                <w:rFonts w:ascii="宋体" w:hAnsi="宋体" w:cs="宋体"/>
                <w:szCs w:val="21"/>
              </w:rPr>
            </w:pPr>
            <w:r>
              <w:rPr>
                <w:rFonts w:hint="eastAsia" w:ascii="宋体" w:hAnsi="宋体" w:cs="宋体"/>
                <w:szCs w:val="21"/>
              </w:rPr>
              <w:t>注：1、电子备份投标文件不作实质性要求，是否提交由投标人自行决定。</w:t>
            </w:r>
          </w:p>
          <w:p>
            <w:pPr>
              <w:spacing w:line="440" w:lineRule="exact"/>
              <w:ind w:firstLine="420" w:firstLineChars="200"/>
              <w:rPr>
                <w:rFonts w:ascii="宋体" w:hAnsi="宋体" w:cs="宋体"/>
                <w:szCs w:val="21"/>
              </w:rPr>
            </w:pPr>
            <w:r>
              <w:rPr>
                <w:rFonts w:hint="eastAsia" w:ascii="宋体" w:hAnsi="宋体" w:cs="宋体"/>
                <w:szCs w:val="21"/>
              </w:rPr>
              <w:t>2、中标单位中标后在领取中标通知书时提供纸质投标文件一正二副。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bCs/>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宋体" w:hAnsi="宋体"/>
                <w:szCs w:val="21"/>
              </w:rPr>
            </w:pPr>
            <w:r>
              <w:rPr>
                <w:rFonts w:hint="eastAsia" w:ascii="宋体" w:hAnsi="宋体"/>
                <w:szCs w:val="21"/>
              </w:rPr>
              <w:t>本次招标有关信息公告在</w:t>
            </w:r>
          </w:p>
          <w:p>
            <w:pPr>
              <w:spacing w:line="400" w:lineRule="exact"/>
              <w:rPr>
                <w:rFonts w:ascii="宋体" w:hAnsi="宋体"/>
                <w:szCs w:val="21"/>
              </w:rPr>
            </w:pPr>
            <w:r>
              <w:rPr>
                <w:rFonts w:hint="eastAsia" w:ascii="宋体" w:hAnsi="宋体"/>
                <w:szCs w:val="21"/>
              </w:rPr>
              <w:t>宁波公共资源交易电子服务系统</w:t>
            </w:r>
          </w:p>
          <w:p>
            <w:pPr>
              <w:spacing w:line="400" w:lineRule="exact"/>
              <w:rPr>
                <w:rFonts w:ascii="宋体" w:hAnsi="宋体"/>
                <w:szCs w:val="21"/>
              </w:rPr>
            </w:pPr>
            <w:r>
              <w:rPr>
                <w:rFonts w:hint="eastAsia" w:ascii="宋体" w:hAnsi="宋体"/>
                <w:szCs w:val="21"/>
              </w:rPr>
              <w:t>（</w:t>
            </w:r>
            <w:r>
              <w:rPr>
                <w:rFonts w:ascii="宋体" w:hAnsi="宋体"/>
                <w:szCs w:val="21"/>
              </w:rPr>
              <w:t>https://jyxt.zwb.ningbo.gov.cn:4011/website/home</w:t>
            </w:r>
            <w:r>
              <w:rPr>
                <w:rFonts w:hint="eastAsia" w:ascii="宋体" w:hAnsi="宋体"/>
                <w:szCs w:val="21"/>
              </w:rPr>
              <w:t>)</w:t>
            </w:r>
          </w:p>
          <w:p>
            <w:pPr>
              <w:widowControl/>
              <w:spacing w:line="400" w:lineRule="exact"/>
              <w:jc w:val="left"/>
              <w:rPr>
                <w:rFonts w:ascii="宋体" w:hAnsi="宋体"/>
                <w:szCs w:val="21"/>
              </w:rPr>
            </w:pPr>
            <w:r>
              <w:rPr>
                <w:rFonts w:hint="eastAsia" w:ascii="宋体" w:hAnsi="宋体"/>
                <w:szCs w:val="21"/>
              </w:rPr>
              <w:t>宁波政府采购网（</w:t>
            </w:r>
            <w:r>
              <w:rPr>
                <w:rFonts w:ascii="宋体" w:hAnsi="宋体"/>
                <w:szCs w:val="21"/>
              </w:rPr>
              <w:t>http://www.nbzfcg.cn</w:t>
            </w:r>
            <w:r>
              <w:rPr>
                <w:rFonts w:hint="eastAsia" w:ascii="宋体" w:hAnsi="宋体"/>
                <w:szCs w:val="21"/>
              </w:rPr>
              <w:t>）</w:t>
            </w:r>
          </w:p>
          <w:p>
            <w:pPr>
              <w:spacing w:line="400" w:lineRule="exact"/>
              <w:rPr>
                <w:rFonts w:ascii="宋体" w:hAnsi="宋体"/>
                <w:szCs w:val="21"/>
              </w:rPr>
            </w:pPr>
            <w:r>
              <w:rPr>
                <w:rFonts w:hint="eastAsia" w:ascii="宋体" w:hAnsi="宋体"/>
                <w:szCs w:val="21"/>
              </w:rPr>
              <w:t>浙江政府采购网（</w:t>
            </w:r>
            <w:r>
              <w:rPr>
                <w:rFonts w:ascii="宋体" w:hAnsi="宋体"/>
                <w:szCs w:val="21"/>
              </w:rPr>
              <w:t>http://www.zjzfcg.gov.cn</w:t>
            </w:r>
            <w:r>
              <w:rPr>
                <w:rFonts w:hint="eastAsia" w:ascii="宋体" w:hAnsi="宋体"/>
                <w:szCs w:val="21"/>
              </w:rPr>
              <w:t>）</w:t>
            </w:r>
          </w:p>
          <w:p>
            <w:pPr>
              <w:spacing w:line="400" w:lineRule="exact"/>
              <w:rPr>
                <w:rFonts w:ascii="宋体" w:hAnsi="宋体" w:cs="宋体"/>
                <w:szCs w:val="21"/>
              </w:rPr>
            </w:pPr>
            <w:r>
              <w:rPr>
                <w:rFonts w:hint="eastAsia" w:ascii="宋体" w:hAnsi="宋体"/>
                <w:szCs w:val="21"/>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Cs w:val="21"/>
              </w:rPr>
            </w:pPr>
            <w:r>
              <w:rPr>
                <w:rFonts w:hint="eastAsia" w:ascii="宋体" w:hAnsi="宋体" w:cs="宋体"/>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jc w:val="left"/>
              <w:textAlignment w:val="bottom"/>
              <w:rPr>
                <w:rFonts w:ascii="宋体" w:hAnsi="宋体" w:cs="宋体"/>
                <w:szCs w:val="21"/>
              </w:rPr>
            </w:pPr>
            <w:r>
              <w:rPr>
                <w:rFonts w:hint="eastAsia" w:ascii="宋体" w:hAnsi="宋体" w:cs="宋体"/>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Cs w:val="21"/>
              </w:rPr>
            </w:pPr>
            <w:r>
              <w:rPr>
                <w:rFonts w:hint="eastAsia" w:ascii="宋体" w:hAnsi="宋体" w:cs="宋体"/>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left"/>
              <w:rPr>
                <w:rFonts w:ascii="宋体" w:hAnsi="宋体" w:cs="宋体"/>
                <w:szCs w:val="21"/>
              </w:rPr>
            </w:pPr>
            <w:r>
              <w:rPr>
                <w:rFonts w:hint="eastAsia" w:ascii="宋体" w:hAnsi="宋体" w:cs="宋体"/>
                <w:szCs w:val="21"/>
              </w:rPr>
              <w:t>合同终止：中标供应商在合同有效期内，不得以任何理由终止合同，确有特殊情况的，须提前两个月向采购人提出书面申请，经采购人同意后，方可终止合同。因中标供应商不能保证工作质量，或发生重大差错事故的，采购人有权终止合同，并由中标供应商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Cs w:val="21"/>
              </w:rPr>
            </w:pPr>
            <w:r>
              <w:rPr>
                <w:rFonts w:hint="eastAsia" w:ascii="宋体" w:hAnsi="宋体" w:cs="宋体"/>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left"/>
              <w:rPr>
                <w:rFonts w:ascii="宋体" w:hAnsi="宋体" w:cs="宋体"/>
                <w:szCs w:val="21"/>
              </w:rPr>
            </w:pPr>
            <w:r>
              <w:rPr>
                <w:rFonts w:hint="eastAsia" w:ascii="宋体" w:hAnsi="宋体" w:cs="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Cs w:val="21"/>
              </w:rPr>
            </w:pPr>
            <w:r>
              <w:rPr>
                <w:rFonts w:hint="eastAsia" w:ascii="宋体" w:hAnsi="宋体" w:cs="宋体"/>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rPr>
            </w:pPr>
            <w:r>
              <w:rPr>
                <w:rFonts w:hint="eastAsia" w:ascii="宋体" w:hAnsi="宋体" w:cs="宋体"/>
                <w:szCs w:val="21"/>
              </w:rPr>
              <w:t>招标代理服务费:</w:t>
            </w:r>
          </w:p>
          <w:p>
            <w:pPr>
              <w:spacing w:line="360" w:lineRule="auto"/>
              <w:rPr>
                <w:rFonts w:hint="default" w:ascii="宋体" w:hAnsi="宋体" w:cs="宋体"/>
                <w:sz w:val="24"/>
                <w:lang w:val="en-US" w:eastAsia="zh-CN"/>
              </w:rPr>
            </w:pPr>
            <w:r>
              <w:rPr>
                <w:rFonts w:hint="eastAsia" w:ascii="宋体" w:hAnsi="宋体" w:eastAsia="宋体" w:cs="宋体"/>
                <w:szCs w:val="21"/>
              </w:rPr>
              <w:t>1. 本招标公司向中标供应商收取招标代理服务费：根据国家发改委发改办价格【2003】857号通知和国家计委计价格【2002】1980号文件规定的货物招标费率标准，按照中标通知书确定的总金额</w:t>
            </w:r>
            <w:r>
              <w:rPr>
                <w:rFonts w:hint="eastAsia" w:ascii="宋体" w:hAnsi="宋体" w:cs="宋体"/>
                <w:sz w:val="24"/>
              </w:rPr>
              <w:t>。</w:t>
            </w:r>
          </w:p>
          <w:p>
            <w:pPr>
              <w:snapToGrid w:val="0"/>
              <w:spacing w:line="480" w:lineRule="exact"/>
              <w:jc w:val="left"/>
              <w:rPr>
                <w:rFonts w:ascii="宋体" w:hAnsi="宋体" w:cs="宋体"/>
                <w:szCs w:val="21"/>
              </w:rPr>
            </w:pPr>
            <w:r>
              <w:rPr>
                <w:rFonts w:hint="eastAsia" w:ascii="宋体" w:hAnsi="宋体" w:cs="宋体"/>
                <w:szCs w:val="21"/>
              </w:rPr>
              <w:t>2.中标供应商在领取中标通知书前向本招标公司支付招标服务费。</w:t>
            </w:r>
          </w:p>
          <w:p>
            <w:pPr>
              <w:snapToGrid w:val="0"/>
              <w:spacing w:line="480" w:lineRule="exact"/>
              <w:jc w:val="left"/>
              <w:rPr>
                <w:rFonts w:ascii="宋体" w:hAnsi="宋体" w:cs="宋体"/>
                <w:szCs w:val="21"/>
              </w:rPr>
            </w:pPr>
            <w:r>
              <w:rPr>
                <w:rFonts w:hint="eastAsia" w:ascii="宋体" w:hAnsi="宋体" w:cs="宋体"/>
                <w:szCs w:val="21"/>
              </w:rPr>
              <w:t>3.招标服务费只收现金、银行票汇款、电汇款。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Cs w:val="21"/>
              </w:rPr>
            </w:pPr>
            <w:r>
              <w:rPr>
                <w:rFonts w:hint="eastAsia" w:ascii="宋体" w:hAnsi="宋体" w:cs="宋体"/>
                <w:szCs w:val="21"/>
              </w:rPr>
              <w:t>10</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left"/>
              <w:rPr>
                <w:rFonts w:ascii="宋体" w:hAnsi="宋体" w:cs="宋体"/>
                <w:szCs w:val="21"/>
              </w:rPr>
            </w:pPr>
            <w:r>
              <w:rPr>
                <w:rFonts w:hint="eastAsia" w:ascii="宋体" w:hAnsi="宋体" w:cs="宋体"/>
                <w:szCs w:val="21"/>
              </w:rPr>
              <w:t>解释：本招标文件的解释权属于招标采购单位。</w:t>
            </w:r>
          </w:p>
        </w:tc>
      </w:tr>
    </w:tbl>
    <w:p>
      <w:pPr>
        <w:snapToGrid w:val="0"/>
        <w:spacing w:line="480" w:lineRule="exact"/>
        <w:jc w:val="left"/>
        <w:rPr>
          <w:rFonts w:ascii="宋体" w:hAnsi="宋体" w:cs="宋体"/>
          <w:sz w:val="24"/>
          <w:szCs w:val="20"/>
        </w:rPr>
      </w:pPr>
    </w:p>
    <w:p>
      <w:pPr>
        <w:snapToGrid w:val="0"/>
        <w:spacing w:line="480" w:lineRule="exact"/>
        <w:jc w:val="left"/>
        <w:rPr>
          <w:rFonts w:ascii="宋体" w:hAnsi="宋体" w:cs="宋体"/>
          <w:sz w:val="24"/>
          <w:szCs w:val="20"/>
        </w:rPr>
      </w:pPr>
    </w:p>
    <w:p>
      <w:pPr>
        <w:spacing w:line="360" w:lineRule="auto"/>
        <w:rPr>
          <w:rFonts w:ascii="宋体" w:hAnsi="宋体"/>
        </w:rPr>
      </w:pPr>
      <w:r>
        <w:rPr>
          <w:rFonts w:hAnsi="宋体" w:cs="宋体"/>
        </w:rPr>
        <w:br w:type="page"/>
      </w:r>
      <w:r>
        <w:rPr>
          <w:rFonts w:hint="eastAsia" w:ascii="宋体" w:hAnsi="宋体" w:cs="宋体"/>
          <w:b/>
          <w:bCs/>
        </w:rPr>
        <w:t>一、总则</w:t>
      </w:r>
    </w:p>
    <w:p>
      <w:pPr>
        <w:spacing w:line="360" w:lineRule="auto"/>
        <w:rPr>
          <w:rFonts w:ascii="宋体" w:hAnsi="宋体"/>
        </w:rPr>
      </w:pPr>
      <w:r>
        <w:rPr>
          <w:rFonts w:hint="eastAsia" w:ascii="宋体" w:hAnsi="宋体" w:cs="宋体"/>
        </w:rPr>
        <w:t>（一）</w:t>
      </w:r>
      <w:r>
        <w:rPr>
          <w:rFonts w:ascii="宋体" w:hAnsi="宋体" w:cs="宋体"/>
        </w:rPr>
        <w:t xml:space="preserve"> </w:t>
      </w:r>
      <w:r>
        <w:rPr>
          <w:rFonts w:hint="eastAsia" w:ascii="宋体" w:hAnsi="宋体" w:cs="宋体"/>
        </w:rPr>
        <w:t>适用范围</w:t>
      </w:r>
    </w:p>
    <w:p>
      <w:pPr>
        <w:spacing w:line="360" w:lineRule="auto"/>
        <w:ind w:firstLine="420" w:firstLineChars="200"/>
        <w:rPr>
          <w:rFonts w:ascii="宋体" w:hAnsi="宋体"/>
        </w:rPr>
      </w:pPr>
      <w:r>
        <w:rPr>
          <w:rFonts w:hint="eastAsia" w:ascii="宋体" w:hAnsi="宋体" w:cs="宋体"/>
        </w:rPr>
        <w:t>本采购文件适用于本项目的招标、投标、评标、定标、验收、合同履约、付款等行为（法律、法规另有规定的，从其规定）。</w:t>
      </w:r>
    </w:p>
    <w:p>
      <w:pPr>
        <w:spacing w:line="360" w:lineRule="auto"/>
        <w:rPr>
          <w:rFonts w:ascii="宋体" w:hAnsi="宋体"/>
        </w:rPr>
      </w:pPr>
      <w:r>
        <w:rPr>
          <w:rFonts w:hint="eastAsia" w:ascii="宋体" w:hAnsi="宋体" w:cs="宋体"/>
        </w:rPr>
        <w:t>（二）定义</w:t>
      </w:r>
    </w:p>
    <w:p>
      <w:pPr>
        <w:spacing w:line="360" w:lineRule="auto"/>
        <w:ind w:firstLine="420" w:firstLineChars="200"/>
        <w:rPr>
          <w:rFonts w:ascii="宋体" w:hAnsi="宋体"/>
        </w:rPr>
      </w:pPr>
      <w:r>
        <w:rPr>
          <w:rFonts w:ascii="宋体" w:hAnsi="宋体" w:cs="宋体"/>
        </w:rPr>
        <w:t>1.</w:t>
      </w:r>
      <w:r>
        <w:rPr>
          <w:rFonts w:hint="eastAsia" w:ascii="宋体" w:hAnsi="宋体" w:cs="宋体"/>
        </w:rPr>
        <w:t>“招标采购单位”系指组织本次招标的代理机构和采购单位（“采购人”）。</w:t>
      </w:r>
    </w:p>
    <w:p>
      <w:pPr>
        <w:spacing w:line="360" w:lineRule="auto"/>
        <w:ind w:firstLine="420" w:firstLineChars="200"/>
        <w:rPr>
          <w:rFonts w:ascii="宋体" w:hAnsi="宋体"/>
        </w:rPr>
      </w:pPr>
      <w:r>
        <w:rPr>
          <w:rFonts w:ascii="宋体" w:hAnsi="宋体" w:cs="宋体"/>
        </w:rPr>
        <w:t>2.</w:t>
      </w:r>
      <w:r>
        <w:rPr>
          <w:rFonts w:hint="eastAsia" w:ascii="宋体" w:hAnsi="宋体" w:cs="宋体"/>
        </w:rPr>
        <w:t>“供应商”系指向招标方提交投标文件的单位或个人。</w:t>
      </w:r>
    </w:p>
    <w:p>
      <w:pPr>
        <w:spacing w:line="360" w:lineRule="auto"/>
        <w:ind w:firstLine="420" w:firstLineChars="200"/>
        <w:rPr>
          <w:rFonts w:ascii="宋体" w:hAnsi="宋体"/>
        </w:rPr>
      </w:pPr>
      <w:r>
        <w:rPr>
          <w:rFonts w:ascii="宋体" w:hAnsi="宋体" w:cs="宋体"/>
        </w:rPr>
        <w:t>3.</w:t>
      </w:r>
      <w:r>
        <w:rPr>
          <w:rFonts w:hint="eastAsia" w:ascii="宋体" w:hAnsi="宋体" w:cs="宋体"/>
        </w:rPr>
        <w:t>“产品”系指供方按采购文件规定，须向采购人提供的一切设备、保险、税金、备品备件、工具、手册及其它有关技术资料和材料。</w:t>
      </w:r>
    </w:p>
    <w:p>
      <w:pPr>
        <w:spacing w:line="360" w:lineRule="auto"/>
        <w:ind w:firstLine="420" w:firstLineChars="200"/>
        <w:rPr>
          <w:rFonts w:ascii="宋体" w:hAnsi="宋体"/>
        </w:rPr>
      </w:pPr>
      <w:r>
        <w:rPr>
          <w:rFonts w:ascii="宋体" w:hAnsi="宋体" w:cs="宋体"/>
        </w:rPr>
        <w:t>4.</w:t>
      </w:r>
      <w:r>
        <w:rPr>
          <w:rFonts w:hint="eastAsia" w:ascii="宋体" w:hAnsi="宋体" w:cs="宋体"/>
        </w:rPr>
        <w:t>“服务”系指采购文件规定供应商须承担的指导安装、技术协助、校准、培训、技术指导以及其他类似的义务。</w:t>
      </w:r>
    </w:p>
    <w:p>
      <w:pPr>
        <w:spacing w:line="360" w:lineRule="auto"/>
        <w:ind w:firstLine="420" w:firstLineChars="200"/>
        <w:rPr>
          <w:rFonts w:ascii="宋体" w:hAnsi="宋体"/>
        </w:rPr>
      </w:pPr>
      <w:r>
        <w:rPr>
          <w:rFonts w:ascii="宋体" w:hAnsi="宋体" w:cs="宋体"/>
        </w:rPr>
        <w:t>5.</w:t>
      </w:r>
      <w:r>
        <w:rPr>
          <w:rFonts w:hint="eastAsia" w:ascii="宋体" w:hAnsi="宋体" w:cs="宋体"/>
        </w:rPr>
        <w:t>“项目”系指供应商按采购文件规定向采购人提供的产品和服务。</w:t>
      </w:r>
    </w:p>
    <w:p>
      <w:pPr>
        <w:spacing w:line="360" w:lineRule="auto"/>
        <w:ind w:firstLine="420" w:firstLineChars="200"/>
        <w:rPr>
          <w:rFonts w:ascii="宋体" w:hAnsi="宋体"/>
        </w:rPr>
      </w:pPr>
      <w:r>
        <w:rPr>
          <w:rFonts w:ascii="宋体" w:hAnsi="宋体" w:cs="宋体"/>
        </w:rPr>
        <w:t>6.</w:t>
      </w:r>
      <w:r>
        <w:rPr>
          <w:rFonts w:hint="eastAsia" w:ascii="宋体" w:hAnsi="宋体" w:cs="宋体"/>
        </w:rPr>
        <w:t>“书面形式”包括信函、传真、电报等。</w:t>
      </w:r>
    </w:p>
    <w:p>
      <w:pPr>
        <w:spacing w:line="360" w:lineRule="auto"/>
        <w:ind w:firstLine="422" w:firstLineChars="200"/>
        <w:rPr>
          <w:rFonts w:ascii="宋体" w:hAnsi="宋体"/>
          <w:b/>
          <w:bCs/>
        </w:rPr>
      </w:pPr>
      <w:r>
        <w:rPr>
          <w:rFonts w:ascii="宋体" w:hAnsi="宋体" w:cs="宋体"/>
          <w:b/>
          <w:bCs/>
        </w:rPr>
        <w:t>7.</w:t>
      </w:r>
      <w:r>
        <w:rPr>
          <w:rFonts w:hint="eastAsia" w:ascii="宋体" w:hAnsi="宋体" w:cs="宋体"/>
        </w:rPr>
        <w:t>“★”</w:t>
      </w:r>
      <w:r>
        <w:rPr>
          <w:rFonts w:hint="eastAsia" w:ascii="宋体" w:hAnsi="宋体" w:cs="宋体"/>
          <w:b/>
          <w:bCs/>
        </w:rPr>
        <w:t>系指实质性要求条款。</w:t>
      </w:r>
    </w:p>
    <w:p>
      <w:pPr>
        <w:spacing w:line="360" w:lineRule="auto"/>
        <w:rPr>
          <w:rFonts w:ascii="宋体" w:hAnsi="宋体"/>
        </w:rPr>
      </w:pPr>
      <w:r>
        <w:rPr>
          <w:rFonts w:hint="eastAsia" w:ascii="宋体" w:hAnsi="宋体" w:cs="宋体"/>
        </w:rPr>
        <w:t>（三）招标方式</w:t>
      </w:r>
    </w:p>
    <w:p>
      <w:pPr>
        <w:spacing w:line="360" w:lineRule="auto"/>
        <w:ind w:firstLine="420" w:firstLineChars="200"/>
        <w:rPr>
          <w:rFonts w:ascii="宋体" w:hAnsi="宋体"/>
        </w:rPr>
      </w:pPr>
      <w:r>
        <w:rPr>
          <w:rFonts w:hint="eastAsia" w:ascii="宋体" w:hAnsi="宋体" w:cs="宋体"/>
        </w:rPr>
        <w:t>本次招标采用公开招标方式进行。</w:t>
      </w:r>
    </w:p>
    <w:p>
      <w:pPr>
        <w:spacing w:line="360" w:lineRule="auto"/>
        <w:rPr>
          <w:rFonts w:ascii="宋体" w:hAnsi="宋体"/>
        </w:rPr>
      </w:pPr>
      <w:r>
        <w:rPr>
          <w:rFonts w:hint="eastAsia" w:ascii="宋体" w:hAnsi="宋体" w:cs="宋体"/>
        </w:rPr>
        <w:t>（四）投标委托</w:t>
      </w:r>
    </w:p>
    <w:p>
      <w:pPr>
        <w:snapToGrid w:val="0"/>
        <w:spacing w:line="400" w:lineRule="atLeast"/>
        <w:ind w:firstLine="420"/>
        <w:jc w:val="left"/>
        <w:rPr>
          <w:rFonts w:ascii="宋体" w:hAnsi="宋体"/>
          <w:color w:val="000000"/>
          <w:szCs w:val="21"/>
        </w:rPr>
      </w:pPr>
      <w:r>
        <w:rPr>
          <w:rFonts w:ascii="宋体" w:hAnsi="宋体"/>
          <w:color w:val="000000"/>
          <w:szCs w:val="21"/>
        </w:rPr>
        <w:t>如投标人代表不是</w:t>
      </w:r>
      <w:r>
        <w:rPr>
          <w:rFonts w:hint="eastAsia" w:ascii="宋体" w:hAnsi="宋体"/>
          <w:color w:val="000000"/>
          <w:szCs w:val="21"/>
        </w:rPr>
        <w:t>单位负责人</w:t>
      </w:r>
      <w:r>
        <w:rPr>
          <w:rFonts w:ascii="宋体" w:hAnsi="宋体"/>
          <w:color w:val="000000"/>
          <w:szCs w:val="21"/>
        </w:rPr>
        <w:t>，须有</w:t>
      </w:r>
      <w:r>
        <w:rPr>
          <w:rFonts w:hint="eastAsia" w:ascii="宋体" w:hAnsi="宋体"/>
          <w:color w:val="000000"/>
          <w:szCs w:val="21"/>
        </w:rPr>
        <w:t>单位负责人</w:t>
      </w:r>
      <w:r>
        <w:rPr>
          <w:rFonts w:ascii="宋体" w:hAnsi="宋体"/>
          <w:color w:val="000000"/>
          <w:szCs w:val="21"/>
        </w:rPr>
        <w:t>出具的授权委托书。</w:t>
      </w:r>
      <w:r>
        <w:rPr>
          <w:rFonts w:hint="eastAsia" w:ascii="宋体" w:hAnsi="宋体"/>
          <w:b/>
          <w:color w:val="000000"/>
          <w:szCs w:val="21"/>
        </w:rPr>
        <w:t>单位负责人，是指单位法定代表人或者法律、行政法规规定代表单位行使职权的主要负责人。</w:t>
      </w:r>
    </w:p>
    <w:p>
      <w:pPr>
        <w:spacing w:line="360" w:lineRule="auto"/>
        <w:rPr>
          <w:rFonts w:ascii="宋体" w:hAnsi="宋体"/>
        </w:rPr>
      </w:pPr>
      <w:r>
        <w:rPr>
          <w:rFonts w:hint="eastAsia" w:ascii="宋体" w:hAnsi="宋体" w:cs="宋体"/>
        </w:rPr>
        <w:t>（五）投标费用</w:t>
      </w:r>
    </w:p>
    <w:p>
      <w:pPr>
        <w:spacing w:line="360" w:lineRule="auto"/>
        <w:ind w:firstLine="420" w:firstLineChars="200"/>
        <w:rPr>
          <w:rFonts w:ascii="宋体" w:hAnsi="宋体"/>
        </w:rPr>
      </w:pPr>
      <w:r>
        <w:rPr>
          <w:rFonts w:hint="eastAsia" w:ascii="宋体" w:hAnsi="宋体" w:cs="宋体"/>
        </w:rPr>
        <w:t>不论投标结果如何，供应商均应自行承担所有与投标有关的全部费用（采购文件有相反规定除外）。</w:t>
      </w:r>
    </w:p>
    <w:p>
      <w:pPr>
        <w:spacing w:line="360" w:lineRule="auto"/>
        <w:rPr>
          <w:rFonts w:ascii="宋体" w:hAnsi="宋体"/>
        </w:rPr>
      </w:pPr>
      <w:r>
        <w:rPr>
          <w:rFonts w:hint="eastAsia" w:ascii="宋体" w:hAnsi="宋体" w:cs="宋体"/>
        </w:rPr>
        <w:t>（六）联合体投标</w:t>
      </w:r>
    </w:p>
    <w:p>
      <w:pPr>
        <w:spacing w:line="360" w:lineRule="auto"/>
        <w:ind w:firstLine="420" w:firstLineChars="200"/>
        <w:rPr>
          <w:rFonts w:ascii="宋体" w:hAnsi="宋体"/>
        </w:rPr>
      </w:pPr>
      <w:r>
        <w:rPr>
          <w:rFonts w:hint="eastAsia" w:ascii="宋体" w:hAnsi="宋体" w:cs="宋体"/>
        </w:rPr>
        <w:t>本项目不接受联合体投标。</w:t>
      </w:r>
    </w:p>
    <w:p>
      <w:pPr>
        <w:spacing w:line="360" w:lineRule="auto"/>
        <w:rPr>
          <w:rFonts w:ascii="宋体" w:hAnsi="宋体"/>
          <w:kern w:val="0"/>
        </w:rPr>
      </w:pPr>
      <w:r>
        <w:rPr>
          <w:rFonts w:hint="eastAsia" w:ascii="宋体" w:hAnsi="宋体" w:cs="宋体"/>
        </w:rPr>
        <w:t>（七）</w:t>
      </w:r>
      <w:r>
        <w:rPr>
          <w:rFonts w:hint="eastAsia" w:ascii="宋体" w:hAnsi="宋体" w:cs="宋体"/>
          <w:kern w:val="0"/>
        </w:rPr>
        <w:t>转包与分包</w:t>
      </w:r>
    </w:p>
    <w:p>
      <w:pPr>
        <w:spacing w:line="360" w:lineRule="auto"/>
        <w:ind w:firstLine="420" w:firstLineChars="200"/>
        <w:rPr>
          <w:rFonts w:ascii="宋体" w:hAnsi="宋体"/>
        </w:rPr>
      </w:pPr>
      <w:r>
        <w:rPr>
          <w:rFonts w:hint="eastAsia" w:ascii="宋体" w:hAnsi="宋体" w:cs="宋体"/>
        </w:rPr>
        <w:t>本项目不允许转包、</w:t>
      </w:r>
      <w:r>
        <w:rPr>
          <w:rFonts w:hint="eastAsia" w:ascii="宋体" w:hAnsi="宋体" w:cs="宋体"/>
          <w:kern w:val="0"/>
        </w:rPr>
        <w:t>未经采购单位允许，不得分包。</w:t>
      </w:r>
    </w:p>
    <w:p>
      <w:pPr>
        <w:spacing w:line="360" w:lineRule="auto"/>
        <w:rPr>
          <w:rFonts w:ascii="宋体" w:hAnsi="宋体"/>
        </w:rPr>
      </w:pPr>
      <w:r>
        <w:rPr>
          <w:rFonts w:hint="eastAsia" w:ascii="宋体" w:hAnsi="宋体" w:cs="宋体"/>
        </w:rPr>
        <w:t>（八）特别说明：</w:t>
      </w:r>
    </w:p>
    <w:p>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1. </w:t>
      </w:r>
      <w:r>
        <w:rPr>
          <w:rFonts w:hint="eastAsia" w:ascii="宋体" w:hAnsi="宋体" w:cs="宋体"/>
        </w:rPr>
        <w:t>供应商投标所使用的资格、信誉、荣誉、业绩与企业认证必须为本法人所拥有。供应商投标所使用的采购项目实施人员必须为本法人员工（或必须为本法人或控股公司正式员工）。</w:t>
      </w:r>
    </w:p>
    <w:p>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2. </w:t>
      </w:r>
      <w:r>
        <w:rPr>
          <w:rFonts w:hint="eastAsia" w:ascii="宋体" w:hAnsi="宋体" w:cs="宋体"/>
        </w:rPr>
        <w:t>供应商应仔细阅读采购文件的所有内容，按照采购文件的要求提交投标文件，并对所提供的全部资料的真实性承担法律责任。</w:t>
      </w:r>
    </w:p>
    <w:p>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3. </w:t>
      </w:r>
      <w:r>
        <w:rPr>
          <w:rFonts w:hint="eastAsia" w:ascii="宋体" w:hAnsi="宋体" w:cs="宋体"/>
        </w:rPr>
        <w:t>供应商在投标活动中提供任何虚假材料</w:t>
      </w:r>
      <w:r>
        <w:rPr>
          <w:rFonts w:ascii="宋体" w:hAnsi="宋体" w:cs="宋体"/>
        </w:rPr>
        <w:t>,</w:t>
      </w:r>
      <w:r>
        <w:rPr>
          <w:rFonts w:hint="eastAsia" w:ascii="宋体" w:hAnsi="宋体" w:cs="宋体"/>
        </w:rPr>
        <w:t>其投标无效，并报监管部门查处；中标后发现的</w:t>
      </w:r>
      <w:r>
        <w:rPr>
          <w:rFonts w:ascii="宋体" w:hAnsi="宋体" w:cs="宋体"/>
        </w:rPr>
        <w:t>,</w:t>
      </w:r>
      <w:r>
        <w:rPr>
          <w:rFonts w:hint="eastAsia" w:ascii="宋体" w:hAnsi="宋体" w:cs="宋体"/>
        </w:rPr>
        <w:t>中标供应商须依照《中华人民共和国消费者权益保护法》第</w:t>
      </w:r>
      <w:r>
        <w:rPr>
          <w:rFonts w:ascii="宋体" w:hAnsi="宋体" w:cs="宋体"/>
        </w:rPr>
        <w:t>49</w:t>
      </w:r>
      <w:r>
        <w:rPr>
          <w:rFonts w:hint="eastAsia" w:ascii="宋体" w:hAnsi="宋体" w:cs="宋体"/>
        </w:rPr>
        <w:t>条之规定双倍赔偿采购人，且民事赔偿并不免除违法供应商的行政与刑事责任。</w:t>
      </w:r>
    </w:p>
    <w:p>
      <w:pPr>
        <w:spacing w:line="360" w:lineRule="auto"/>
        <w:ind w:firstLine="420" w:firstLineChars="200"/>
        <w:rPr>
          <w:rFonts w:ascii="宋体" w:hAnsi="宋体"/>
        </w:rPr>
      </w:pPr>
      <w:r>
        <w:rPr>
          <w:rFonts w:ascii="宋体" w:hAnsi="宋体" w:cs="宋体"/>
        </w:rPr>
        <w:t>4</w:t>
      </w:r>
      <w:r>
        <w:rPr>
          <w:rFonts w:hint="eastAsia" w:ascii="宋体" w:hAnsi="宋体" w:cs="宋体"/>
        </w:rPr>
        <w:t>、单位负责人为同一人或者存在直接控股、管理关系的不同供应商，不得参加同一合同项下的政府采购活动。</w:t>
      </w:r>
    </w:p>
    <w:p>
      <w:pPr>
        <w:spacing w:line="360" w:lineRule="auto"/>
        <w:rPr>
          <w:rFonts w:ascii="宋体" w:hAnsi="宋体"/>
        </w:rPr>
      </w:pPr>
      <w:r>
        <w:rPr>
          <w:rFonts w:hint="eastAsia" w:ascii="宋体" w:hAnsi="宋体" w:cs="宋体"/>
        </w:rPr>
        <w:t>除单一来源采购项目外，为采购项目提供整体设计、规范编制或者项目管理、监理、检测等服务的供应商，不得再参加该采购项目的其他采购活动。</w:t>
      </w:r>
    </w:p>
    <w:p>
      <w:pPr>
        <w:adjustRightInd w:val="0"/>
        <w:spacing w:line="360" w:lineRule="auto"/>
        <w:ind w:firstLine="420" w:firstLineChars="200"/>
        <w:rPr>
          <w:rFonts w:ascii="宋体" w:hAnsi="宋体" w:cs="宋体"/>
        </w:rPr>
      </w:pPr>
      <w:r>
        <w:rPr>
          <w:rFonts w:ascii="宋体" w:hAnsi="宋体" w:cs="宋体"/>
        </w:rPr>
        <w:t>5</w:t>
      </w:r>
      <w:r>
        <w:rPr>
          <w:rFonts w:hint="eastAsia" w:ascii="宋体" w:hAnsi="宋体" w:cs="宋体"/>
        </w:rPr>
        <w:t>、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pPr>
        <w:adjustRightInd w:val="0"/>
        <w:spacing w:line="360" w:lineRule="auto"/>
        <w:ind w:firstLine="420" w:firstLineChars="200"/>
        <w:rPr>
          <w:rFonts w:ascii="宋体" w:hAnsi="宋体" w:cs="宋体"/>
        </w:rPr>
      </w:pPr>
      <w:r>
        <w:rPr>
          <w:rFonts w:hint="eastAsia" w:ascii="宋体" w:hAnsi="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line="360" w:lineRule="auto"/>
        <w:ind w:firstLine="420" w:firstLineChars="200"/>
        <w:rPr>
          <w:rFonts w:ascii="宋体" w:hAnsi="宋体" w:cs="宋体"/>
        </w:rPr>
      </w:pPr>
      <w:r>
        <w:rPr>
          <w:rFonts w:hint="eastAsia" w:ascii="宋体" w:hAnsi="宋体" w:cs="宋体"/>
        </w:rPr>
        <w:t>非单一产品采购项目，供应商使用相同制造产品作为其项目的一部分，按一家供应商认定。</w:t>
      </w:r>
    </w:p>
    <w:p>
      <w:pPr>
        <w:spacing w:line="360" w:lineRule="auto"/>
        <w:rPr>
          <w:rFonts w:ascii="宋体" w:hAnsi="宋体"/>
        </w:rPr>
      </w:pPr>
      <w:r>
        <w:rPr>
          <w:rFonts w:hint="eastAsia" w:ascii="宋体" w:hAnsi="宋体" w:cs="宋体"/>
        </w:rPr>
        <w:t>（九）关于分公司投标</w:t>
      </w:r>
    </w:p>
    <w:p>
      <w:pPr>
        <w:adjustRightInd w:val="0"/>
        <w:spacing w:line="360" w:lineRule="auto"/>
        <w:ind w:firstLine="420" w:firstLineChars="200"/>
        <w:rPr>
          <w:rFonts w:ascii="宋体" w:hAnsi="宋体"/>
        </w:rPr>
      </w:pPr>
      <w:r>
        <w:rPr>
          <w:rFonts w:hint="eastAsia" w:ascii="宋体" w:hAnsi="宋体" w:cs="宋体"/>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spacing w:line="360" w:lineRule="auto"/>
        <w:rPr>
          <w:rFonts w:ascii="宋体" w:hAnsi="宋体"/>
        </w:rPr>
      </w:pPr>
      <w:r>
        <w:rPr>
          <w:rFonts w:hint="eastAsia" w:ascii="宋体" w:hAnsi="宋体" w:cs="宋体"/>
        </w:rPr>
        <w:t>（十）关于知识产权</w:t>
      </w:r>
    </w:p>
    <w:p>
      <w:pPr>
        <w:adjustRightInd w:val="0"/>
        <w:spacing w:line="360" w:lineRule="auto"/>
        <w:ind w:firstLine="420" w:firstLineChars="200"/>
        <w:rPr>
          <w:rFonts w:ascii="宋体" w:hAnsi="宋体" w:cs="宋体"/>
        </w:rPr>
      </w:pPr>
      <w:r>
        <w:rPr>
          <w:rFonts w:ascii="宋体" w:hAnsi="宋体" w:cs="宋体"/>
        </w:rPr>
        <w:t>1</w:t>
      </w:r>
      <w:r>
        <w:rPr>
          <w:rFonts w:hint="eastAsia" w:ascii="宋体" w:hAnsi="宋体" w:cs="宋体"/>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adjustRightInd w:val="0"/>
        <w:spacing w:line="360" w:lineRule="auto"/>
        <w:ind w:firstLine="420" w:firstLineChars="200"/>
        <w:rPr>
          <w:rFonts w:ascii="宋体" w:hAnsi="宋体" w:cs="宋体"/>
        </w:rPr>
      </w:pPr>
      <w:r>
        <w:rPr>
          <w:rFonts w:ascii="宋体" w:hAnsi="宋体" w:cs="宋体"/>
        </w:rPr>
        <w:t>2</w:t>
      </w:r>
      <w:r>
        <w:rPr>
          <w:rFonts w:hint="eastAsia" w:ascii="宋体" w:hAnsi="宋体" w:cs="宋体"/>
        </w:rPr>
        <w:t>、投标报价应包含所有应向所有权人支付的专利权、商标权或其它知识产权的一切相关费用。</w:t>
      </w:r>
    </w:p>
    <w:p>
      <w:pPr>
        <w:adjustRightInd w:val="0"/>
        <w:spacing w:line="360" w:lineRule="auto"/>
        <w:ind w:firstLine="420" w:firstLineChars="200"/>
        <w:rPr>
          <w:rFonts w:ascii="宋体" w:hAnsi="宋体" w:cs="宋体"/>
        </w:rPr>
      </w:pPr>
      <w:r>
        <w:rPr>
          <w:rFonts w:ascii="宋体" w:hAnsi="宋体" w:cs="宋体"/>
        </w:rPr>
        <w:t>3</w:t>
      </w:r>
      <w:r>
        <w:rPr>
          <w:rFonts w:hint="eastAsia" w:ascii="宋体" w:hAnsi="宋体" w:cs="宋体"/>
        </w:rPr>
        <w:t>、系统软件、通用软件必须是具有在中国境内的合法使用权或版权的正版软件，涉及到第三方提出侵权或知识产权的起诉及支付版税等费用由供应商承担所有责任及费用。</w:t>
      </w:r>
    </w:p>
    <w:p>
      <w:pPr>
        <w:spacing w:line="360" w:lineRule="auto"/>
        <w:rPr>
          <w:rFonts w:ascii="宋体" w:hAnsi="宋体"/>
        </w:rPr>
      </w:pPr>
      <w:r>
        <w:rPr>
          <w:rFonts w:hint="eastAsia" w:ascii="宋体" w:hAnsi="宋体" w:cs="宋体"/>
        </w:rPr>
        <w:t>（十一）质疑和投诉</w:t>
      </w:r>
    </w:p>
    <w:p>
      <w:pPr>
        <w:spacing w:line="360" w:lineRule="auto"/>
        <w:ind w:firstLine="420" w:firstLineChars="200"/>
        <w:rPr>
          <w:rFonts w:ascii="宋体" w:hAnsi="宋体"/>
        </w:rPr>
      </w:pPr>
      <w:r>
        <w:rPr>
          <w:rFonts w:ascii="宋体" w:hAnsi="宋体"/>
        </w:rPr>
        <w:t xml:space="preserve">1. </w:t>
      </w:r>
      <w:r>
        <w:rPr>
          <w:rFonts w:hint="eastAsia" w:ascii="宋体" w:hAnsi="宋体" w:cs="宋体"/>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rPr>
      </w:pPr>
      <w:r>
        <w:rPr>
          <w:rFonts w:ascii="宋体" w:hAnsi="宋体"/>
        </w:rPr>
        <w:t xml:space="preserve">2. </w:t>
      </w:r>
      <w:r>
        <w:rPr>
          <w:rFonts w:hint="eastAsia" w:ascii="宋体" w:hAnsi="宋体" w:cs="宋体"/>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rPr>
      </w:pPr>
      <w:r>
        <w:rPr>
          <w:rFonts w:ascii="宋体" w:hAnsi="宋体"/>
        </w:rPr>
        <w:t>3.</w:t>
      </w:r>
      <w:r>
        <w:rPr>
          <w:rFonts w:hint="eastAsia" w:ascii="宋体" w:hAnsi="宋体" w:cs="宋体"/>
        </w:rPr>
        <w:t>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ascii="宋体" w:hAnsi="宋体"/>
        </w:rPr>
      </w:pPr>
      <w:r>
        <w:rPr>
          <w:rFonts w:ascii="宋体" w:hAnsi="宋体"/>
        </w:rPr>
        <w:t xml:space="preserve">4. </w:t>
      </w:r>
      <w:r>
        <w:rPr>
          <w:rFonts w:hint="eastAsia" w:ascii="宋体" w:hAnsi="宋体" w:cs="宋体"/>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ascii="宋体" w:hAnsi="宋体"/>
        </w:rPr>
      </w:pPr>
      <w:r>
        <w:rPr>
          <w:rFonts w:ascii="宋体" w:hAnsi="宋体"/>
        </w:rPr>
        <w:t xml:space="preserve">5. </w:t>
      </w:r>
      <w:r>
        <w:rPr>
          <w:rFonts w:hint="eastAsia" w:ascii="宋体" w:hAnsi="宋体" w:cs="宋体"/>
        </w:rPr>
        <w:t>供应商对采购人或采购代理机构的质疑答复不满意或者采购人或采购代理机构未在规定时间内作出答复的，可以在答复期满后十五个工作日内向同级采购监管部门投诉。</w:t>
      </w:r>
    </w:p>
    <w:p>
      <w:pPr>
        <w:spacing w:line="360" w:lineRule="auto"/>
        <w:rPr>
          <w:rFonts w:ascii="宋体" w:hAnsi="宋体"/>
          <w:b/>
          <w:bCs/>
        </w:rPr>
      </w:pPr>
      <w:r>
        <w:rPr>
          <w:rFonts w:hint="eastAsia" w:ascii="宋体" w:hAnsi="宋体" w:cs="宋体"/>
          <w:b/>
          <w:bCs/>
        </w:rPr>
        <w:t>二、采购文件</w:t>
      </w:r>
    </w:p>
    <w:p>
      <w:pPr>
        <w:spacing w:line="360" w:lineRule="auto"/>
        <w:rPr>
          <w:rFonts w:ascii="宋体" w:hAnsi="宋体"/>
        </w:rPr>
      </w:pPr>
      <w:r>
        <w:rPr>
          <w:rFonts w:hint="eastAsia" w:ascii="宋体" w:hAnsi="宋体" w:cs="宋体"/>
        </w:rPr>
        <w:t>（一）采购文件的构成。本采购文件由以下部份组成：</w:t>
      </w:r>
    </w:p>
    <w:p>
      <w:pPr>
        <w:spacing w:line="360" w:lineRule="auto"/>
        <w:ind w:firstLine="420" w:firstLineChars="200"/>
        <w:rPr>
          <w:rFonts w:ascii="宋体" w:hAnsi="宋体"/>
        </w:rPr>
      </w:pPr>
      <w:r>
        <w:rPr>
          <w:rFonts w:ascii="宋体" w:hAnsi="宋体" w:cs="宋体"/>
        </w:rPr>
        <w:t>1.</w:t>
      </w:r>
      <w:r>
        <w:rPr>
          <w:rFonts w:hint="eastAsia" w:ascii="宋体" w:hAnsi="宋体" w:cs="宋体"/>
        </w:rPr>
        <w:t>公开招标采购公告</w:t>
      </w:r>
    </w:p>
    <w:p>
      <w:pPr>
        <w:spacing w:line="360" w:lineRule="auto"/>
        <w:ind w:firstLine="420" w:firstLineChars="200"/>
        <w:rPr>
          <w:rFonts w:ascii="宋体" w:hAnsi="宋体"/>
        </w:rPr>
      </w:pPr>
      <w:r>
        <w:rPr>
          <w:rFonts w:ascii="宋体" w:hAnsi="宋体" w:cs="宋体"/>
        </w:rPr>
        <w:t>2.</w:t>
      </w:r>
      <w:r>
        <w:rPr>
          <w:rFonts w:hint="eastAsia" w:ascii="宋体" w:hAnsi="宋体" w:cs="宋体"/>
        </w:rPr>
        <w:t>采购需求</w:t>
      </w:r>
    </w:p>
    <w:p>
      <w:pPr>
        <w:spacing w:line="360" w:lineRule="auto"/>
        <w:ind w:firstLine="420" w:firstLineChars="200"/>
        <w:rPr>
          <w:rFonts w:ascii="宋体" w:hAnsi="宋体"/>
        </w:rPr>
      </w:pPr>
      <w:r>
        <w:rPr>
          <w:rFonts w:ascii="宋体" w:hAnsi="宋体" w:cs="宋体"/>
        </w:rPr>
        <w:t>3.</w:t>
      </w:r>
      <w:r>
        <w:rPr>
          <w:rFonts w:hint="eastAsia" w:ascii="宋体" w:hAnsi="宋体" w:cs="宋体"/>
        </w:rPr>
        <w:t>供应商须知</w:t>
      </w:r>
    </w:p>
    <w:p>
      <w:pPr>
        <w:spacing w:line="360" w:lineRule="auto"/>
        <w:ind w:firstLine="420" w:firstLineChars="200"/>
        <w:rPr>
          <w:rFonts w:ascii="宋体" w:hAnsi="宋体"/>
        </w:rPr>
      </w:pPr>
      <w:r>
        <w:rPr>
          <w:rFonts w:ascii="宋体" w:hAnsi="宋体" w:cs="宋体"/>
        </w:rPr>
        <w:t>4.</w:t>
      </w:r>
      <w:r>
        <w:rPr>
          <w:rFonts w:hint="eastAsia" w:ascii="宋体" w:hAnsi="宋体" w:cs="宋体"/>
        </w:rPr>
        <w:t>评标办法及评分标准</w:t>
      </w:r>
    </w:p>
    <w:p>
      <w:pPr>
        <w:spacing w:line="360" w:lineRule="auto"/>
        <w:ind w:firstLine="420" w:firstLineChars="200"/>
        <w:rPr>
          <w:rFonts w:ascii="宋体" w:hAnsi="宋体"/>
        </w:rPr>
      </w:pPr>
      <w:r>
        <w:rPr>
          <w:rFonts w:ascii="宋体" w:hAnsi="宋体" w:cs="宋体"/>
        </w:rPr>
        <w:t>5.</w:t>
      </w:r>
      <w:r>
        <w:rPr>
          <w:rFonts w:hint="eastAsia" w:ascii="宋体" w:hAnsi="宋体" w:cs="宋体"/>
        </w:rPr>
        <w:t>拟签订的政府采购合同</w:t>
      </w:r>
    </w:p>
    <w:p>
      <w:pPr>
        <w:spacing w:line="360" w:lineRule="auto"/>
        <w:ind w:firstLine="420" w:firstLineChars="200"/>
        <w:rPr>
          <w:rFonts w:ascii="宋体" w:hAnsi="宋体"/>
        </w:rPr>
      </w:pPr>
      <w:r>
        <w:rPr>
          <w:rFonts w:ascii="宋体" w:hAnsi="宋体" w:cs="宋体"/>
        </w:rPr>
        <w:t>6.</w:t>
      </w:r>
      <w:r>
        <w:rPr>
          <w:rFonts w:hint="eastAsia" w:ascii="宋体" w:hAnsi="宋体" w:cs="宋体"/>
        </w:rPr>
        <w:t>投标文件格式</w:t>
      </w:r>
    </w:p>
    <w:p>
      <w:pPr>
        <w:spacing w:line="360" w:lineRule="auto"/>
        <w:ind w:firstLine="420" w:firstLineChars="200"/>
        <w:rPr>
          <w:rFonts w:ascii="宋体" w:hAnsi="宋体"/>
        </w:rPr>
      </w:pPr>
      <w:r>
        <w:rPr>
          <w:rFonts w:ascii="宋体" w:hAnsi="宋体" w:cs="宋体"/>
        </w:rPr>
        <w:t>7.</w:t>
      </w:r>
      <w:r>
        <w:rPr>
          <w:rFonts w:hint="eastAsia" w:ascii="宋体" w:hAnsi="宋体" w:cs="宋体"/>
        </w:rPr>
        <w:t>本项目采购文件的澄清、答复、修改、补充的内容</w:t>
      </w:r>
    </w:p>
    <w:p>
      <w:pPr>
        <w:spacing w:line="360" w:lineRule="auto"/>
        <w:rPr>
          <w:rFonts w:ascii="宋体" w:hAnsi="宋体"/>
        </w:rPr>
      </w:pPr>
      <w:r>
        <w:rPr>
          <w:rFonts w:hint="eastAsia" w:ascii="宋体" w:hAnsi="宋体" w:cs="宋体"/>
        </w:rPr>
        <w:t>（二）供应商的风险</w:t>
      </w:r>
    </w:p>
    <w:p>
      <w:pPr>
        <w:spacing w:line="360" w:lineRule="auto"/>
        <w:ind w:firstLine="420" w:firstLineChars="200"/>
        <w:rPr>
          <w:rFonts w:ascii="宋体" w:hAnsi="宋体"/>
        </w:rPr>
      </w:pPr>
      <w:r>
        <w:rPr>
          <w:rFonts w:hint="eastAsia" w:ascii="宋体" w:hAnsi="宋体" w:cs="宋体"/>
        </w:rPr>
        <w:t>供应商没有按照采购文件要求提供全部资料，或者供应商没有对采购文件在各方面作出实质性响应是供应商的风险，并可能导致其投标被拒绝。</w:t>
      </w:r>
    </w:p>
    <w:p>
      <w:pPr>
        <w:spacing w:line="360" w:lineRule="auto"/>
        <w:rPr>
          <w:rFonts w:ascii="宋体" w:hAnsi="宋体"/>
        </w:rPr>
      </w:pPr>
      <w:r>
        <w:rPr>
          <w:rFonts w:hint="eastAsia" w:ascii="宋体" w:hAnsi="宋体" w:cs="宋体"/>
        </w:rPr>
        <w:t>（三）采购文件的澄清与修改</w:t>
      </w:r>
    </w:p>
    <w:p>
      <w:pPr>
        <w:spacing w:line="360" w:lineRule="auto"/>
        <w:ind w:firstLine="420" w:firstLineChars="200"/>
        <w:rPr>
          <w:rFonts w:ascii="宋体" w:hAnsi="宋体"/>
        </w:rPr>
      </w:pPr>
      <w:r>
        <w:rPr>
          <w:rFonts w:ascii="宋体" w:hAnsi="宋体" w:cs="宋体"/>
        </w:rPr>
        <w:t>1.</w:t>
      </w:r>
      <w:r>
        <w:rPr>
          <w:rFonts w:hint="eastAsia" w:ascii="宋体" w:hAnsi="宋体" w:cs="宋体"/>
        </w:rPr>
        <w:t>供应商应认真阅读本采购文件，发现其中有误或有不合理要求的，供应商必须在投标截止日期</w:t>
      </w:r>
      <w:r>
        <w:rPr>
          <w:rFonts w:ascii="宋体" w:hAnsi="宋体" w:cs="宋体"/>
        </w:rPr>
        <w:t>10</w:t>
      </w:r>
      <w:r>
        <w:rPr>
          <w:rFonts w:hint="eastAsia" w:ascii="宋体" w:hAnsi="宋体" w:cs="宋体"/>
        </w:rPr>
        <w:t>日以前以书面形式要求招标采购单位澄清。采购人或者采购代理机构对采购文件进行必要的澄清或者修改的，澄清或者修改在原公告发布媒体上发布澄清公告。澄清或者修改的内容可能影响投标文件编制的，将在采购公告规定的投标截止时间至少</w:t>
      </w:r>
      <w:r>
        <w:rPr>
          <w:rFonts w:ascii="宋体" w:hAnsi="宋体" w:cs="宋体"/>
        </w:rPr>
        <w:t>15</w:t>
      </w:r>
      <w:r>
        <w:rPr>
          <w:rFonts w:hint="eastAsia" w:ascii="宋体" w:hAnsi="宋体" w:cs="宋体"/>
        </w:rPr>
        <w:t>日前，以书面形式通知所有获取采购文件的潜在供应商；不足</w:t>
      </w:r>
      <w:r>
        <w:rPr>
          <w:rFonts w:ascii="宋体" w:hAnsi="宋体" w:cs="宋体"/>
        </w:rPr>
        <w:t>15</w:t>
      </w:r>
      <w:r>
        <w:rPr>
          <w:rFonts w:hint="eastAsia" w:ascii="宋体" w:hAnsi="宋体" w:cs="宋体"/>
        </w:rPr>
        <w:t>日的，顺延提交投标文件的截止时间。</w:t>
      </w:r>
    </w:p>
    <w:p>
      <w:pPr>
        <w:spacing w:line="360" w:lineRule="auto"/>
        <w:ind w:firstLine="420" w:firstLineChars="200"/>
        <w:rPr>
          <w:rFonts w:ascii="宋体" w:hAnsi="宋体"/>
        </w:rPr>
      </w:pPr>
      <w:r>
        <w:rPr>
          <w:rFonts w:ascii="宋体" w:hAnsi="宋体" w:cs="宋体"/>
        </w:rPr>
        <w:t>2.</w:t>
      </w:r>
      <w:r>
        <w:rPr>
          <w:rFonts w:hint="eastAsia" w:ascii="宋体" w:hAnsi="宋体" w:cs="宋体"/>
        </w:rPr>
        <w:t>采购代理机构必须以书面形式答复供应商要求澄清的问题，并将不包含问题来源的答复书面通知所有购买采购文件的供应商；除书面答复以外的其他澄清方式及澄清内容均无效。</w:t>
      </w:r>
    </w:p>
    <w:p>
      <w:pPr>
        <w:spacing w:line="360" w:lineRule="auto"/>
        <w:ind w:firstLine="420" w:firstLineChars="200"/>
        <w:rPr>
          <w:rFonts w:ascii="宋体" w:hAnsi="宋体"/>
        </w:rPr>
      </w:pPr>
      <w:r>
        <w:rPr>
          <w:rFonts w:ascii="宋体" w:hAnsi="宋体" w:cs="宋体"/>
        </w:rPr>
        <w:t>3.</w:t>
      </w:r>
      <w:r>
        <w:rPr>
          <w:rFonts w:hint="eastAsia" w:ascii="宋体" w:hAnsi="宋体" w:cs="宋体"/>
        </w:rPr>
        <w:t>采购文件澄清、答复、修改、补充的内容为采购文件的组成部分。当采购文件与采购文件的答复、澄清、修改、补充通知就同一内容的表述不一致时，以最后发出的书面文件为准。</w:t>
      </w:r>
    </w:p>
    <w:p>
      <w:pPr>
        <w:spacing w:line="360" w:lineRule="auto"/>
        <w:ind w:firstLine="420" w:firstLineChars="200"/>
        <w:rPr>
          <w:rFonts w:ascii="宋体" w:hAnsi="宋体"/>
        </w:rPr>
      </w:pPr>
      <w:r>
        <w:rPr>
          <w:rFonts w:ascii="宋体" w:hAnsi="宋体" w:cs="宋体"/>
        </w:rPr>
        <w:t>4.</w:t>
      </w:r>
      <w:r>
        <w:rPr>
          <w:rFonts w:hint="eastAsia" w:ascii="宋体" w:hAnsi="宋体" w:cs="宋体"/>
        </w:rPr>
        <w:t>采购文件的澄清、答复、修改或补充都应该通过本代理机构以法定形式发布，采购人非通过本机构，不得擅自澄清、答复、修改或补充采购文件。</w:t>
      </w:r>
    </w:p>
    <w:p>
      <w:pPr>
        <w:spacing w:line="360" w:lineRule="auto"/>
        <w:ind w:firstLine="420" w:firstLineChars="200"/>
        <w:rPr>
          <w:rFonts w:ascii="宋体" w:hAnsi="宋体"/>
        </w:rPr>
      </w:pPr>
      <w:r>
        <w:rPr>
          <w:rFonts w:ascii="宋体" w:hAnsi="宋体" w:cs="宋体"/>
        </w:rPr>
        <w:t xml:space="preserve">5. </w:t>
      </w:r>
      <w:r>
        <w:rPr>
          <w:rFonts w:hint="eastAsia" w:ascii="宋体" w:hAnsi="宋体" w:cs="宋体"/>
        </w:rPr>
        <w:t>延长投标截止时间和开标时间，至少应当在采购文件要求提交投标文件的截止时间三日前书面通知所有采购文件收受人。</w:t>
      </w:r>
    </w:p>
    <w:p>
      <w:pPr>
        <w:spacing w:line="360" w:lineRule="auto"/>
        <w:rPr>
          <w:rFonts w:ascii="宋体" w:hAnsi="宋体" w:cs="宋体"/>
          <w:b/>
          <w:bCs/>
        </w:rPr>
      </w:pPr>
      <w:r>
        <w:rPr>
          <w:rFonts w:hint="eastAsia" w:ascii="宋体" w:hAnsi="宋体" w:cs="宋体"/>
          <w:b/>
          <w:bCs/>
        </w:rPr>
        <w:t>三、投标文件的形式和效力</w:t>
      </w:r>
    </w:p>
    <w:p>
      <w:pPr>
        <w:snapToGrid w:val="0"/>
        <w:spacing w:line="360" w:lineRule="auto"/>
        <w:ind w:firstLine="420" w:firstLineChars="200"/>
        <w:jc w:val="left"/>
        <w:rPr>
          <w:rFonts w:ascii="宋体" w:hAnsi="宋体" w:cs="宋体"/>
        </w:rPr>
      </w:pPr>
      <w:r>
        <w:rPr>
          <w:rFonts w:hint="eastAsia" w:ascii="宋体" w:hAnsi="宋体" w:cs="宋体"/>
        </w:rPr>
        <w:t>1．投标文件分为：“电子加密投标文件”、“备份电子投标文件”。</w:t>
      </w:r>
    </w:p>
    <w:p>
      <w:pPr>
        <w:snapToGrid w:val="0"/>
        <w:spacing w:line="360" w:lineRule="auto"/>
        <w:ind w:firstLine="420" w:firstLineChars="200"/>
        <w:jc w:val="left"/>
        <w:rPr>
          <w:rFonts w:ascii="宋体" w:hAnsi="宋体" w:cs="宋体"/>
        </w:rPr>
      </w:pPr>
      <w:r>
        <w:rPr>
          <w:rFonts w:hint="eastAsia" w:ascii="宋体" w:hAnsi="宋体" w:cs="宋体"/>
        </w:rPr>
        <w:t>2．“电子加密投标文件”是指通过“政采云电子交易客户端” 及本采购文件要求制作完成投标文件编制后生成并加密的数据电文形式的投标文件（文件后缀为：jmbs）。</w:t>
      </w:r>
    </w:p>
    <w:p>
      <w:pPr>
        <w:snapToGrid w:val="0"/>
        <w:spacing w:line="360" w:lineRule="auto"/>
        <w:ind w:firstLine="420" w:firstLineChars="200"/>
        <w:jc w:val="left"/>
        <w:rPr>
          <w:rFonts w:ascii="宋体" w:hAnsi="宋体" w:cs="宋体"/>
        </w:rPr>
      </w:pPr>
      <w:r>
        <w:rPr>
          <w:rFonts w:hint="eastAsia" w:ascii="宋体" w:hAnsi="宋体" w:cs="宋体"/>
        </w:rPr>
        <w:t>3．备份电子投标文件，是指与“电子加密投标文件”同时生成的数据电文形式的电子文件文件后缀为：bfbs（备份标书），其他方式编制的备份投标文件视为无效备份投标文件。</w:t>
      </w:r>
    </w:p>
    <w:p>
      <w:pPr>
        <w:snapToGrid w:val="0"/>
        <w:spacing w:line="360" w:lineRule="auto"/>
        <w:ind w:firstLine="420" w:firstLineChars="200"/>
        <w:jc w:val="left"/>
        <w:rPr>
          <w:rFonts w:ascii="宋体" w:hAnsi="宋体" w:cs="宋体"/>
        </w:rPr>
      </w:pPr>
      <w:r>
        <w:rPr>
          <w:rFonts w:hint="eastAsia" w:ascii="宋体" w:hAnsi="宋体" w:cs="宋体"/>
        </w:rPr>
        <w:t>4、投标文件的效力：投标文件的启用，按先后顺位分别为“电子加密投标文件”、“备份电子投标文件”。在下一顺位的投标文件启用时，上一顺位的投标文件自动失效。投标文件未按时解密，投标人提供了备份电子投标文件的，以备份电子投标文件作为依据，否则视为投标无效。电子投标文件已按时解密的，备份电子投标文件自动失效。</w:t>
      </w:r>
    </w:p>
    <w:p>
      <w:pPr>
        <w:spacing w:line="360" w:lineRule="auto"/>
        <w:rPr>
          <w:rFonts w:ascii="宋体" w:hAnsi="宋体"/>
          <w:b/>
          <w:bCs/>
        </w:rPr>
      </w:pPr>
      <w:r>
        <w:rPr>
          <w:rFonts w:hint="eastAsia" w:ascii="宋体" w:hAnsi="宋体" w:cs="宋体"/>
          <w:b/>
          <w:bCs/>
        </w:rPr>
        <w:t>四、投标文件的编制</w:t>
      </w:r>
    </w:p>
    <w:p>
      <w:pPr>
        <w:spacing w:line="360" w:lineRule="auto"/>
        <w:rPr>
          <w:rFonts w:ascii="宋体" w:hAnsi="宋体"/>
        </w:rPr>
      </w:pPr>
      <w:r>
        <w:rPr>
          <w:rFonts w:hint="eastAsia" w:ascii="宋体" w:hAnsi="宋体" w:cs="宋体"/>
        </w:rPr>
        <w:t>（一）投标文件的组成</w:t>
      </w:r>
    </w:p>
    <w:p>
      <w:pPr>
        <w:snapToGrid w:val="0"/>
        <w:spacing w:line="360" w:lineRule="auto"/>
        <w:ind w:firstLine="482" w:firstLineChars="200"/>
        <w:jc w:val="left"/>
        <w:rPr>
          <w:rFonts w:ascii="宋体" w:hAnsi="宋体"/>
        </w:rPr>
      </w:pPr>
      <w:r>
        <w:rPr>
          <w:rFonts w:hint="eastAsia" w:ascii="宋体" w:hAnsi="宋体" w:cs="宋体"/>
          <w:b/>
          <w:sz w:val="24"/>
        </w:rPr>
        <w:t>★</w:t>
      </w:r>
      <w:r>
        <w:rPr>
          <w:rFonts w:hint="eastAsia" w:ascii="宋体" w:hAnsi="宋体" w:cs="宋体"/>
        </w:rPr>
        <w:t>投标文件由资格审查文件、商务技术文件和报价文件三部份组成。</w:t>
      </w:r>
    </w:p>
    <w:p>
      <w:pPr>
        <w:numPr>
          <w:ilvl w:val="0"/>
          <w:numId w:val="2"/>
        </w:numPr>
        <w:spacing w:line="360" w:lineRule="auto"/>
        <w:rPr>
          <w:rFonts w:ascii="宋体" w:hAnsi="宋体"/>
          <w:b/>
          <w:bCs/>
        </w:rPr>
      </w:pPr>
      <w:r>
        <w:rPr>
          <w:rFonts w:hint="eastAsia" w:ascii="宋体" w:hAnsi="宋体" w:cs="宋体"/>
          <w:b/>
          <w:bCs/>
        </w:rPr>
        <w:t>资格审查文件</w:t>
      </w:r>
    </w:p>
    <w:p>
      <w:pPr>
        <w:spacing w:line="360" w:lineRule="auto"/>
        <w:ind w:firstLine="420" w:firstLineChars="200"/>
        <w:rPr>
          <w:rFonts w:ascii="宋体" w:hAnsi="宋体"/>
        </w:rPr>
      </w:pPr>
      <w:r>
        <w:rPr>
          <w:rFonts w:hint="eastAsia" w:ascii="宋体" w:hAnsi="宋体" w:cs="宋体"/>
          <w:szCs w:val="21"/>
        </w:rPr>
        <w:t>（1）</w:t>
      </w:r>
      <w:r>
        <w:rPr>
          <w:rFonts w:hint="eastAsia" w:ascii="宋体" w:hAnsi="宋体" w:cs="宋体"/>
        </w:rPr>
        <w:t>投标声明书（格式附后）；</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（3）供应商特定资格条件的证明文件（如有）</w:t>
      </w:r>
      <w:r>
        <w:rPr>
          <w:rFonts w:hint="eastAsia" w:ascii="宋体" w:hAnsi="宋体" w:cs="宋体"/>
        </w:rPr>
        <w:t>；</w:t>
      </w:r>
    </w:p>
    <w:p>
      <w:pPr>
        <w:spacing w:line="360" w:lineRule="auto"/>
        <w:ind w:firstLine="420" w:firstLineChars="200"/>
        <w:rPr>
          <w:rFonts w:ascii="宋体" w:hAnsi="宋体"/>
        </w:rPr>
      </w:pPr>
      <w:r>
        <w:rPr>
          <w:rFonts w:hint="eastAsia" w:ascii="宋体" w:hAnsi="宋体" w:cs="宋体"/>
        </w:rPr>
        <w:t>（4）采购文件要求的其他资格条件证明材料（如有）</w:t>
      </w:r>
      <w:r>
        <w:rPr>
          <w:rFonts w:hint="eastAsia" w:ascii="宋体" w:hAnsi="宋体" w:cs="宋体"/>
          <w:szCs w:val="21"/>
        </w:rPr>
        <w:t>。</w:t>
      </w:r>
    </w:p>
    <w:p>
      <w:pPr>
        <w:numPr>
          <w:ilvl w:val="0"/>
          <w:numId w:val="2"/>
        </w:numPr>
        <w:spacing w:line="360" w:lineRule="auto"/>
        <w:rPr>
          <w:rFonts w:ascii="宋体" w:hAnsi="宋体" w:cs="宋体"/>
          <w:b/>
          <w:bCs/>
        </w:rPr>
      </w:pPr>
      <w:r>
        <w:rPr>
          <w:rFonts w:hint="eastAsia" w:ascii="宋体" w:hAnsi="宋体" w:cs="宋体"/>
          <w:b/>
          <w:bCs/>
        </w:rPr>
        <w:t>商务技术文件：</w:t>
      </w:r>
    </w:p>
    <w:p>
      <w:pPr>
        <w:spacing w:line="360" w:lineRule="auto"/>
        <w:ind w:left="425"/>
        <w:rPr>
          <w:rFonts w:ascii="宋体" w:hAnsi="宋体" w:cs="宋体"/>
          <w:b/>
          <w:bCs/>
        </w:rPr>
      </w:pPr>
      <w:r>
        <w:rPr>
          <w:rFonts w:hint="eastAsia" w:ascii="宋体" w:hAnsi="宋体" w:cs="宋体"/>
          <w:szCs w:val="21"/>
        </w:rPr>
        <w:t>（1）符合性自查表（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（2）供应商响应表（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（3）投标函（</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szCs w:val="21"/>
        </w:rPr>
      </w:pPr>
      <w:r>
        <w:rPr>
          <w:rFonts w:hint="eastAsia" w:ascii="宋体" w:hAnsi="宋体" w:cs="宋体"/>
          <w:szCs w:val="21"/>
        </w:rPr>
        <w:t>（4）法定代表人身份证明书（</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（5）法定代表人授权书（</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（6）服务（技术）条款偏离表（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（7）商务条款偏离表（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szCs w:val="21"/>
        </w:rPr>
      </w:pPr>
      <w:r>
        <w:rPr>
          <w:rFonts w:hint="eastAsia" w:ascii="宋体" w:hAnsi="宋体" w:cs="宋体"/>
          <w:szCs w:val="21"/>
        </w:rPr>
        <w:t>（8）供应商基本情况表（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（9）本项目拟投入人员配备汇总表（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（10）同类业绩情况一览表（如有）（</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（11）技术部分：针对本项目</w:t>
      </w:r>
      <w:r>
        <w:rPr>
          <w:rFonts w:hint="eastAsia" w:ascii="宋体" w:hAnsi="宋体"/>
        </w:rPr>
        <w:t>第二章采购需求和</w:t>
      </w:r>
      <w:r>
        <w:rPr>
          <w:rFonts w:hint="eastAsia" w:ascii="宋体" w:hAnsi="宋体" w:cs="宋体"/>
          <w:szCs w:val="21"/>
        </w:rPr>
        <w:t>第四章评分标准中的条款拟定各种方案，格式自拟；</w:t>
      </w:r>
    </w:p>
    <w:p>
      <w:pPr>
        <w:spacing w:line="360" w:lineRule="auto"/>
        <w:ind w:left="425"/>
        <w:rPr>
          <w:rFonts w:ascii="宋体" w:hAnsi="宋体" w:cs="宋体"/>
          <w:b/>
          <w:bCs/>
        </w:rPr>
      </w:pPr>
      <w:r>
        <w:rPr>
          <w:rFonts w:hint="eastAsia" w:ascii="宋体" w:hAnsi="宋体" w:cs="宋体"/>
          <w:szCs w:val="21"/>
        </w:rPr>
        <w:t>（12）第四章评标办法及评分标准中需提供的其他相关证书及合同、中标通知书等；</w:t>
      </w:r>
    </w:p>
    <w:p>
      <w:pPr>
        <w:spacing w:line="360" w:lineRule="auto"/>
        <w:ind w:left="425"/>
        <w:rPr>
          <w:rFonts w:ascii="宋体" w:hAnsi="宋体" w:cs="宋体"/>
          <w:b/>
          <w:bCs/>
        </w:rPr>
      </w:pPr>
      <w:r>
        <w:rPr>
          <w:rFonts w:hint="eastAsia" w:ascii="宋体" w:hAnsi="宋体" w:cs="宋体"/>
          <w:szCs w:val="21"/>
        </w:rPr>
        <w:t>（13）供应商认为有需要提供的其它有关证明资料。</w:t>
      </w:r>
    </w:p>
    <w:p>
      <w:pPr>
        <w:numPr>
          <w:ilvl w:val="0"/>
          <w:numId w:val="2"/>
        </w:numPr>
        <w:spacing w:line="360" w:lineRule="auto"/>
        <w:rPr>
          <w:rFonts w:ascii="宋体" w:hAnsi="宋体"/>
          <w:b/>
          <w:bCs/>
        </w:rPr>
      </w:pPr>
      <w:r>
        <w:rPr>
          <w:rFonts w:hint="eastAsia" w:ascii="宋体" w:hAnsi="宋体" w:cs="宋体"/>
          <w:b/>
          <w:bCs/>
        </w:rPr>
        <w:t>报价文件：</w:t>
      </w:r>
    </w:p>
    <w:p>
      <w:pPr>
        <w:spacing w:line="360" w:lineRule="auto"/>
        <w:ind w:left="425"/>
        <w:rPr>
          <w:rFonts w:ascii="宋体" w:hAnsi="宋体"/>
          <w:b/>
          <w:bCs/>
        </w:rPr>
      </w:pPr>
      <w:r>
        <w:rPr>
          <w:rFonts w:hint="eastAsia" w:ascii="宋体" w:hAnsi="宋体" w:cs="宋体"/>
          <w:szCs w:val="21"/>
        </w:rPr>
        <w:t>（1）开标一览表（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szCs w:val="21"/>
        </w:rPr>
      </w:pPr>
      <w:r>
        <w:rPr>
          <w:rFonts w:hint="eastAsia" w:ascii="宋体" w:hAnsi="宋体" w:cs="宋体"/>
          <w:szCs w:val="21"/>
        </w:rPr>
        <w:t>（2）投标分项报价表格式（格式附后）；</w:t>
      </w:r>
    </w:p>
    <w:p>
      <w:pPr>
        <w:pStyle w:val="20"/>
        <w:ind w:firstLine="420" w:firstLineChars="200"/>
        <w:rPr>
          <w:rFonts w:ascii="宋体" w:hAnsi="宋体" w:cs="宋体"/>
          <w:sz w:val="21"/>
        </w:rPr>
      </w:pPr>
      <w:r>
        <w:rPr>
          <w:rFonts w:hint="eastAsia" w:ascii="宋体" w:hAnsi="宋体" w:cs="宋体"/>
          <w:sz w:val="21"/>
        </w:rPr>
        <w:t>（3）中小企业声明函（格式附后。如为残疾人福利性单位，可改为提供残疾人福利性单位声明函；如为监狱企业，可改为提供由省级以上监狱管理局、戒毒管理局（含新疆生产建设兵团）出具的属于监狱企业的证明文件）；</w:t>
      </w:r>
    </w:p>
    <w:p>
      <w:pPr>
        <w:spacing w:line="360" w:lineRule="auto"/>
        <w:ind w:left="425"/>
        <w:rPr>
          <w:rFonts w:ascii="宋体" w:hAnsi="宋体" w:cs="宋体"/>
          <w:szCs w:val="21"/>
        </w:rPr>
      </w:pPr>
      <w:r>
        <w:rPr>
          <w:rFonts w:hint="eastAsia" w:ascii="宋体" w:hAnsi="宋体" w:cs="宋体"/>
          <w:szCs w:val="21"/>
        </w:rPr>
        <w:t>（4）供应商针对报价需要说明的其他文件和说明（格式自拟）。</w:t>
      </w:r>
    </w:p>
    <w:p>
      <w:pPr>
        <w:snapToGrid w:val="0"/>
        <w:spacing w:line="360" w:lineRule="auto"/>
        <w:ind w:firstLine="422" w:firstLineChars="200"/>
        <w:jc w:val="left"/>
        <w:rPr>
          <w:rFonts w:ascii="宋体" w:hAnsi="宋体"/>
          <w:b/>
          <w:bCs/>
        </w:rPr>
      </w:pPr>
      <w:r>
        <w:rPr>
          <w:rFonts w:hint="eastAsia" w:ascii="宋体" w:hAnsi="宋体" w:cs="宋体"/>
          <w:b/>
          <w:bCs/>
        </w:rPr>
        <w:t>★注：法定代表人授权委托书必须由法定代表人签名或加盖单位公章；其中商务技术文件内容中不得出现与价格有关的描述，否则将做无效标处理。</w:t>
      </w:r>
    </w:p>
    <w:p>
      <w:pPr>
        <w:spacing w:line="360" w:lineRule="auto"/>
        <w:rPr>
          <w:rFonts w:ascii="宋体" w:hAnsi="宋体"/>
        </w:rPr>
      </w:pPr>
      <w:r>
        <w:rPr>
          <w:rFonts w:hint="eastAsia" w:ascii="宋体" w:hAnsi="宋体" w:cs="宋体"/>
        </w:rPr>
        <w:t>（二）投标文件的语言及计量</w:t>
      </w:r>
    </w:p>
    <w:p>
      <w:pPr>
        <w:spacing w:line="360" w:lineRule="auto"/>
        <w:ind w:firstLine="420" w:firstLineChars="200"/>
        <w:rPr>
          <w:rFonts w:ascii="宋体" w:hAnsi="宋体"/>
        </w:rPr>
      </w:pPr>
      <w:r>
        <w:rPr>
          <w:rFonts w:hint="eastAsia" w:ascii="宋体" w:hAnsi="宋体" w:cs="宋体"/>
        </w:rPr>
        <w:t>★</w:t>
      </w:r>
      <w:r>
        <w:rPr>
          <w:rFonts w:ascii="宋体" w:hAnsi="宋体" w:cs="宋体"/>
        </w:rPr>
        <w:t>1.</w:t>
      </w:r>
      <w:r>
        <w:rPr>
          <w:rFonts w:hint="eastAsia" w:ascii="宋体" w:hAnsi="宋体" w:cs="宋体"/>
        </w:rPr>
        <w:t>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ascii="宋体" w:hAnsi="宋体"/>
        </w:rPr>
      </w:pPr>
      <w:r>
        <w:rPr>
          <w:rFonts w:hint="eastAsia" w:ascii="宋体" w:hAnsi="宋体" w:cs="宋体"/>
        </w:rPr>
        <w:t>★</w:t>
      </w:r>
      <w:r>
        <w:rPr>
          <w:rFonts w:ascii="宋体" w:hAnsi="宋体" w:cs="宋体"/>
        </w:rPr>
        <w:t>2.</w:t>
      </w:r>
      <w:r>
        <w:rPr>
          <w:rFonts w:hint="eastAsia" w:ascii="宋体" w:hAnsi="宋体" w:cs="宋体"/>
        </w:rPr>
        <w:t>投标计量单位，采购文件已有明确规定的，使用采购文件规定的计量单位；采购文件没有规定的，应采用中华人民共和国法定计量单位（货币单位：人民币元），否则视同未响应。</w:t>
      </w:r>
    </w:p>
    <w:p>
      <w:pPr>
        <w:spacing w:line="360" w:lineRule="auto"/>
        <w:rPr>
          <w:rFonts w:ascii="宋体" w:hAnsi="宋体"/>
        </w:rPr>
      </w:pPr>
      <w:r>
        <w:rPr>
          <w:rFonts w:hint="eastAsia" w:ascii="宋体" w:hAnsi="宋体" w:cs="宋体"/>
        </w:rPr>
        <w:t>（三）投标报价</w:t>
      </w:r>
    </w:p>
    <w:p>
      <w:pPr>
        <w:spacing w:line="360" w:lineRule="auto"/>
        <w:ind w:firstLine="420" w:firstLineChars="200"/>
        <w:rPr>
          <w:rFonts w:ascii="宋体" w:hAnsi="宋体"/>
        </w:rPr>
      </w:pPr>
      <w:r>
        <w:rPr>
          <w:rFonts w:ascii="宋体" w:hAnsi="宋体" w:cs="宋体"/>
        </w:rPr>
        <w:t>1.</w:t>
      </w:r>
      <w:r>
        <w:rPr>
          <w:rFonts w:hint="eastAsia" w:ascii="宋体" w:hAnsi="宋体" w:cs="宋体"/>
        </w:rPr>
        <w:t>投标报价应按采购文件中相关附表格式填写。</w:t>
      </w:r>
    </w:p>
    <w:p>
      <w:pPr>
        <w:spacing w:line="360" w:lineRule="auto"/>
        <w:ind w:firstLine="420" w:firstLineChars="200"/>
        <w:rPr>
          <w:rFonts w:ascii="宋体" w:hAnsi="宋体"/>
        </w:rPr>
      </w:pPr>
      <w:r>
        <w:rPr>
          <w:rFonts w:hint="eastAsia" w:ascii="宋体" w:hAnsi="宋体" w:cs="宋体"/>
        </w:rPr>
        <w:t>★</w:t>
      </w:r>
      <w:r>
        <w:rPr>
          <w:rFonts w:ascii="宋体" w:hAnsi="宋体" w:cs="宋体"/>
        </w:rPr>
        <w:t>2.</w:t>
      </w:r>
      <w:r>
        <w:rPr>
          <w:rFonts w:hint="eastAsia" w:ascii="宋体" w:hAnsi="宋体" w:cs="宋体"/>
        </w:rPr>
        <w:t>投标报价是履行合同的最终价格，具体详见第三章《供应商须知》。</w:t>
      </w:r>
    </w:p>
    <w:p>
      <w:pPr>
        <w:spacing w:line="360" w:lineRule="auto"/>
        <w:ind w:firstLine="420" w:firstLineChars="200"/>
        <w:rPr>
          <w:rFonts w:ascii="宋体" w:hAnsi="宋体"/>
        </w:rPr>
      </w:pPr>
      <w:r>
        <w:rPr>
          <w:rFonts w:hint="eastAsia" w:ascii="宋体" w:hAnsi="宋体" w:cs="宋体"/>
        </w:rPr>
        <w:t>★</w:t>
      </w:r>
      <w:r>
        <w:rPr>
          <w:rFonts w:ascii="宋体" w:hAnsi="宋体" w:cs="宋体"/>
        </w:rPr>
        <w:t>3.</w:t>
      </w:r>
      <w:r>
        <w:rPr>
          <w:rFonts w:hint="eastAsia" w:ascii="宋体" w:hAnsi="宋体" w:cs="宋体"/>
        </w:rPr>
        <w:t>投标文件只允许有一个报价，有选择的或有条件的报价将不予接受。</w:t>
      </w:r>
    </w:p>
    <w:p>
      <w:pPr>
        <w:spacing w:line="360" w:lineRule="auto"/>
        <w:rPr>
          <w:rFonts w:ascii="宋体" w:hAnsi="宋体"/>
        </w:rPr>
      </w:pPr>
      <w:r>
        <w:rPr>
          <w:rFonts w:hint="eastAsia" w:ascii="宋体" w:hAnsi="宋体" w:cs="宋体"/>
        </w:rPr>
        <w:t>（四）投标文件的有效期</w:t>
      </w:r>
    </w:p>
    <w:p>
      <w:pPr>
        <w:spacing w:line="360" w:lineRule="auto"/>
        <w:ind w:firstLine="420" w:firstLineChars="200"/>
        <w:rPr>
          <w:rFonts w:ascii="宋体" w:hAnsi="宋体"/>
        </w:rPr>
      </w:pPr>
      <w:r>
        <w:rPr>
          <w:rFonts w:hint="eastAsia" w:ascii="宋体" w:hAnsi="宋体" w:cs="宋体"/>
        </w:rPr>
        <w:t>★</w:t>
      </w:r>
      <w:r>
        <w:rPr>
          <w:rFonts w:ascii="宋体" w:hAnsi="宋体" w:cs="宋体"/>
        </w:rPr>
        <w:t>1.</w:t>
      </w:r>
      <w:r>
        <w:rPr>
          <w:rFonts w:hint="eastAsia" w:ascii="宋体" w:hAnsi="宋体" w:cs="宋体"/>
        </w:rPr>
        <w:t>自投标截止日起</w:t>
      </w:r>
      <w:r>
        <w:rPr>
          <w:rFonts w:ascii="宋体" w:hAnsi="宋体" w:cs="宋体"/>
        </w:rPr>
        <w:t xml:space="preserve">90 </w:t>
      </w:r>
      <w:r>
        <w:rPr>
          <w:rFonts w:hint="eastAsia" w:ascii="宋体" w:hAnsi="宋体" w:cs="宋体"/>
        </w:rPr>
        <w:t>天投标文件应保持有效。有效期不足的投标文件将被拒绝。</w:t>
      </w:r>
    </w:p>
    <w:p>
      <w:pPr>
        <w:spacing w:line="360" w:lineRule="auto"/>
        <w:ind w:firstLine="420" w:firstLineChars="200"/>
        <w:rPr>
          <w:rFonts w:ascii="宋体" w:hAnsi="宋体"/>
        </w:rPr>
      </w:pPr>
      <w:r>
        <w:rPr>
          <w:rFonts w:ascii="宋体" w:hAnsi="宋体" w:cs="宋体"/>
        </w:rPr>
        <w:t>2.</w:t>
      </w:r>
      <w:r>
        <w:rPr>
          <w:rFonts w:hint="eastAsia" w:ascii="宋体" w:hAnsi="宋体" w:cs="宋体"/>
        </w:rPr>
        <w:t>在特殊情况下，采购人可与供应商协商延长投标书的有效期，这种要求和答复均以书面形式进行。</w:t>
      </w:r>
      <w:r>
        <w:rPr>
          <w:rFonts w:ascii="宋体" w:hAnsi="宋体" w:cs="宋体"/>
        </w:rPr>
        <w:t xml:space="preserve"> </w:t>
      </w:r>
    </w:p>
    <w:p>
      <w:pPr>
        <w:spacing w:line="360" w:lineRule="auto"/>
        <w:ind w:firstLine="420" w:firstLineChars="200"/>
        <w:rPr>
          <w:rFonts w:ascii="宋体" w:hAnsi="宋体"/>
        </w:rPr>
      </w:pPr>
      <w:r>
        <w:rPr>
          <w:rFonts w:hint="eastAsia" w:ascii="宋体" w:hAnsi="宋体" w:cs="宋体"/>
        </w:rPr>
        <w:t>3</w:t>
      </w:r>
      <w:r>
        <w:rPr>
          <w:rFonts w:ascii="宋体" w:hAnsi="宋体" w:cs="宋体"/>
        </w:rPr>
        <w:t>.</w:t>
      </w:r>
      <w:r>
        <w:rPr>
          <w:rFonts w:hint="eastAsia" w:ascii="宋体" w:hAnsi="宋体" w:cs="宋体"/>
        </w:rPr>
        <w:t>中标供应商的投标文件自开标之日起至合同履行完毕止均应保持有效。</w:t>
      </w:r>
    </w:p>
    <w:p>
      <w:pPr>
        <w:spacing w:line="360" w:lineRule="auto"/>
        <w:rPr>
          <w:rFonts w:ascii="宋体" w:hAnsi="宋体"/>
        </w:rPr>
      </w:pPr>
      <w:r>
        <w:rPr>
          <w:rFonts w:hint="eastAsia" w:ascii="宋体" w:hAnsi="宋体" w:cs="宋体"/>
        </w:rPr>
        <w:t>（五）投标保证金</w:t>
      </w:r>
    </w:p>
    <w:p>
      <w:pPr>
        <w:spacing w:line="360" w:lineRule="auto"/>
        <w:ind w:firstLine="630" w:firstLineChars="300"/>
        <w:rPr>
          <w:rFonts w:ascii="宋体" w:hAnsi="宋体" w:cs="宋体"/>
        </w:rPr>
      </w:pPr>
      <w:r>
        <w:rPr>
          <w:rFonts w:hint="eastAsia" w:ascii="宋体" w:hAnsi="宋体" w:cs="宋体"/>
        </w:rPr>
        <w:t>不适用</w:t>
      </w:r>
    </w:p>
    <w:p>
      <w:pPr>
        <w:spacing w:line="360" w:lineRule="auto"/>
        <w:rPr>
          <w:rFonts w:ascii="宋体" w:hAnsi="宋体"/>
        </w:rPr>
      </w:pPr>
      <w:r>
        <w:rPr>
          <w:rFonts w:hint="eastAsia" w:ascii="宋体" w:hAnsi="宋体" w:cs="宋体"/>
        </w:rPr>
        <w:t>（六）投标文件的签署和份数</w:t>
      </w:r>
    </w:p>
    <w:p>
      <w:pPr>
        <w:spacing w:line="360" w:lineRule="auto"/>
        <w:ind w:firstLine="525" w:firstLineChars="250"/>
        <w:rPr>
          <w:rFonts w:ascii="宋体" w:hAnsi="宋体" w:cs="宋体"/>
        </w:rPr>
      </w:pPr>
      <w:r>
        <w:rPr>
          <w:rFonts w:hint="eastAsia" w:ascii="宋体" w:hAnsi="宋体" w:cs="宋体"/>
        </w:rPr>
        <w:t>1、供应商应按本采购文件规定的格式和顺序编制、装订投标文件，投标文件要求有目录并标注页码，投标文件内容不完整、编排混乱导致投标文件被误读、漏读或者查找不到相关内容的，是供应商的责任。</w:t>
      </w:r>
    </w:p>
    <w:p>
      <w:pPr>
        <w:spacing w:line="360" w:lineRule="auto"/>
        <w:ind w:firstLine="525" w:firstLineChars="250"/>
        <w:rPr>
          <w:rFonts w:ascii="宋体" w:hAnsi="宋体" w:cs="宋体"/>
        </w:rPr>
      </w:pPr>
      <w:r>
        <w:rPr>
          <w:rFonts w:hint="eastAsia" w:ascii="宋体" w:hAnsi="宋体" w:cs="宋体"/>
        </w:rPr>
        <w:t>2、投标文件的份数：</w:t>
      </w:r>
    </w:p>
    <w:p>
      <w:pPr>
        <w:snapToGrid w:val="0"/>
        <w:spacing w:line="360" w:lineRule="auto"/>
        <w:ind w:firstLine="420"/>
        <w:jc w:val="left"/>
        <w:rPr>
          <w:rFonts w:ascii="宋体" w:hAnsi="宋体" w:cs="宋体"/>
          <w:bCs/>
          <w:szCs w:val="21"/>
        </w:rPr>
      </w:pPr>
      <w:r>
        <w:rPr>
          <w:rFonts w:hint="eastAsia" w:ascii="宋体" w:hAnsi="宋体" w:cs="宋体"/>
          <w:bCs/>
          <w:szCs w:val="21"/>
        </w:rPr>
        <w:t>本项目实行网上投标，供应商应准备以下投标文件：</w:t>
      </w:r>
    </w:p>
    <w:p>
      <w:pPr>
        <w:snapToGrid w:val="0"/>
        <w:spacing w:line="360" w:lineRule="auto"/>
        <w:ind w:firstLine="420"/>
        <w:jc w:val="left"/>
        <w:rPr>
          <w:rFonts w:ascii="宋体" w:hAnsi="宋体" w:cs="宋体"/>
          <w:bCs/>
          <w:szCs w:val="21"/>
        </w:rPr>
      </w:pPr>
      <w:r>
        <w:rPr>
          <w:rFonts w:hint="eastAsia" w:ascii="宋体" w:hAnsi="宋体" w:cs="宋体"/>
          <w:bCs/>
          <w:szCs w:val="21"/>
        </w:rPr>
        <w:t>（1）上传到政府采购云平台的电子响应文件（含资格文件、商务技术文件、报价文件）1份。</w:t>
      </w:r>
    </w:p>
    <w:p>
      <w:pPr>
        <w:snapToGrid w:val="0"/>
        <w:spacing w:line="360" w:lineRule="auto"/>
        <w:ind w:firstLine="420"/>
        <w:jc w:val="left"/>
        <w:rPr>
          <w:rFonts w:ascii="宋体" w:hAnsi="宋体" w:cs="宋体"/>
          <w:bCs/>
          <w:szCs w:val="21"/>
        </w:rPr>
      </w:pPr>
      <w:r>
        <w:rPr>
          <w:rFonts w:hint="eastAsia" w:ascii="宋体" w:hAnsi="宋体" w:cs="宋体"/>
          <w:bCs/>
          <w:szCs w:val="21"/>
        </w:rPr>
        <w:t>（2）以U盘存储的电子备份响应文件（含资格文件、商务技术文件、报价文件）1份。</w:t>
      </w:r>
    </w:p>
    <w:p>
      <w:pPr>
        <w:snapToGrid w:val="0"/>
        <w:spacing w:line="360" w:lineRule="auto"/>
        <w:ind w:firstLine="420"/>
        <w:jc w:val="left"/>
        <w:rPr>
          <w:rFonts w:ascii="宋体" w:hAnsi="宋体" w:cs="宋体"/>
          <w:bCs/>
          <w:szCs w:val="21"/>
        </w:rPr>
      </w:pPr>
      <w:r>
        <w:rPr>
          <w:rFonts w:hint="eastAsia" w:ascii="宋体" w:hAnsi="宋体" w:cs="宋体"/>
          <w:bCs/>
          <w:szCs w:val="21"/>
        </w:rPr>
        <w:t>3.电子投标文件：</w:t>
      </w:r>
    </w:p>
    <w:p>
      <w:pPr>
        <w:snapToGrid w:val="0"/>
        <w:spacing w:line="360" w:lineRule="auto"/>
        <w:ind w:firstLine="420"/>
        <w:jc w:val="left"/>
        <w:rPr>
          <w:rFonts w:ascii="宋体" w:hAnsi="宋体" w:cs="宋体"/>
          <w:bCs/>
          <w:szCs w:val="21"/>
        </w:rPr>
      </w:pPr>
      <w:r>
        <w:rPr>
          <w:rFonts w:hint="eastAsia" w:ascii="宋体" w:hAnsi="宋体" w:cs="宋体"/>
          <w:bCs/>
          <w:szCs w:val="21"/>
        </w:rPr>
        <w:t>3.1供应商应根据政采云平台及本采购文件规定的格式和顺序编制电子响应文件并进行关联定位。</w:t>
      </w:r>
    </w:p>
    <w:p>
      <w:pPr>
        <w:spacing w:line="348" w:lineRule="auto"/>
        <w:ind w:firstLine="420" w:firstLineChars="200"/>
      </w:pPr>
      <w:r>
        <w:rPr>
          <w:rFonts w:hint="eastAsia" w:ascii="宋体" w:hAnsi="宋体" w:cs="宋体"/>
        </w:rPr>
        <w:t>3.2投标人应根据“政采云供应商项目采购-电子招投标操作指南”及本 招标文件规定的格式和顺序编制电子投标文件并进行关联定位；电子投标文件中须加盖供应商公 章部分均采用CA签章，签字部分可用 CA 锁法人章（如有），未申请法人章的将签名部分签好后 以扫描件形式上传至投标文件（具体操作请咨询政采云400-8817190）。</w:t>
      </w:r>
    </w:p>
    <w:p>
      <w:pPr>
        <w:snapToGrid w:val="0"/>
        <w:spacing w:line="360" w:lineRule="auto"/>
        <w:ind w:firstLine="420"/>
        <w:jc w:val="left"/>
        <w:rPr>
          <w:rFonts w:ascii="宋体" w:hAnsi="宋体" w:cs="宋体"/>
          <w:bCs/>
          <w:szCs w:val="21"/>
        </w:rPr>
      </w:pPr>
      <w:r>
        <w:rPr>
          <w:rFonts w:hint="eastAsia" w:ascii="宋体" w:hAnsi="宋体" w:cs="宋体"/>
          <w:bCs/>
          <w:szCs w:val="21"/>
        </w:rPr>
        <w:t>4.电子投标文件须由投标人在规定位置盖章并由单位负责人或单位负责人的授权委托人签署，印章、字迹清晰。</w:t>
      </w:r>
    </w:p>
    <w:p>
      <w:pPr>
        <w:snapToGrid w:val="0"/>
        <w:spacing w:line="360" w:lineRule="auto"/>
        <w:ind w:firstLine="420"/>
        <w:jc w:val="left"/>
        <w:rPr>
          <w:rFonts w:ascii="宋体" w:hAnsi="宋体" w:cs="宋体"/>
          <w:bCs/>
          <w:szCs w:val="21"/>
        </w:rPr>
      </w:pPr>
      <w:r>
        <w:rPr>
          <w:rFonts w:hint="eastAsia" w:ascii="宋体" w:hAnsi="宋体" w:cs="宋体"/>
          <w:bCs/>
          <w:szCs w:val="21"/>
        </w:rPr>
        <w:t>投标文件不得涂改，若有修改错漏处，须加盖单位公章或者单位负责人或授权委托人签字或盖章。投标文件因字迹潦草或表达不清所引起的后果由投标人负责。</w:t>
      </w:r>
    </w:p>
    <w:p>
      <w:pPr>
        <w:snapToGrid w:val="0"/>
        <w:spacing w:line="360" w:lineRule="auto"/>
        <w:ind w:firstLine="420"/>
        <w:jc w:val="left"/>
        <w:rPr>
          <w:rFonts w:ascii="宋体" w:hAnsi="宋体" w:cs="宋体"/>
          <w:bCs/>
          <w:szCs w:val="21"/>
        </w:rPr>
      </w:pPr>
      <w:r>
        <w:rPr>
          <w:rFonts w:hint="eastAsia" w:ascii="宋体" w:hAnsi="宋体" w:cs="宋体"/>
          <w:bCs/>
          <w:szCs w:val="21"/>
        </w:rPr>
        <w:t>不同标项的投标文件应分别编制。</w:t>
      </w:r>
    </w:p>
    <w:p>
      <w:pPr>
        <w:spacing w:line="360" w:lineRule="auto"/>
        <w:rPr>
          <w:rFonts w:ascii="宋体" w:hAnsi="宋体"/>
        </w:rPr>
      </w:pPr>
      <w:r>
        <w:rPr>
          <w:rFonts w:hint="eastAsia" w:ascii="宋体" w:hAnsi="宋体" w:cs="宋体"/>
        </w:rPr>
        <w:t>（七）投标文件的包装、递交、修改和撤回</w:t>
      </w:r>
    </w:p>
    <w:p>
      <w:pPr>
        <w:spacing w:line="348" w:lineRule="auto"/>
        <w:ind w:firstLine="420" w:firstLineChars="200"/>
        <w:jc w:val="left"/>
        <w:rPr>
          <w:rFonts w:ascii="宋体" w:hAnsi="宋体" w:cs="宋体"/>
          <w:szCs w:val="21"/>
        </w:rPr>
      </w:pPr>
      <w:r>
        <w:rPr>
          <w:rFonts w:hint="eastAsia" w:ascii="宋体" w:hAnsi="宋体" w:cs="宋体"/>
          <w:kern w:val="0"/>
          <w:szCs w:val="21"/>
        </w:rPr>
        <w:t>1.电子投标文件：供应商应根据“项目采购-电子招投标操作指南”及本招标文件规定的格式和顺序编制电子投标文件并进行关联定位。</w:t>
      </w:r>
    </w:p>
    <w:p>
      <w:pPr>
        <w:spacing w:line="348"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kern w:val="0"/>
          <w:szCs w:val="21"/>
        </w:rPr>
        <w:t>以U盘存储的电子备份响应文件</w:t>
      </w:r>
      <w:r>
        <w:rPr>
          <w:rFonts w:hint="eastAsia" w:ascii="宋体" w:hAnsi="宋体" w:cs="宋体"/>
          <w:szCs w:val="21"/>
        </w:rPr>
        <w:t>用封袋密封后递交。</w:t>
      </w:r>
    </w:p>
    <w:p>
      <w:pPr>
        <w:spacing w:line="348" w:lineRule="auto"/>
        <w:ind w:firstLine="420" w:firstLineChars="200"/>
        <w:jc w:val="left"/>
        <w:rPr>
          <w:rFonts w:ascii="宋体" w:hAnsi="宋体" w:cs="宋体"/>
          <w:bCs/>
        </w:rPr>
      </w:pPr>
      <w:r>
        <w:rPr>
          <w:rFonts w:hint="eastAsia" w:ascii="宋体" w:hAnsi="宋体" w:cs="宋体"/>
          <w:szCs w:val="21"/>
        </w:rPr>
        <w:t>3.</w:t>
      </w:r>
      <w:r>
        <w:rPr>
          <w:rFonts w:hint="eastAsia" w:ascii="宋体" w:hAnsi="宋体"/>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rPr>
          <w:rFonts w:ascii="宋体" w:hAnsi="宋体" w:cs="宋体"/>
          <w:b/>
          <w:bCs/>
        </w:rPr>
      </w:pPr>
    </w:p>
    <w:p>
      <w:pPr>
        <w:spacing w:line="360" w:lineRule="auto"/>
        <w:rPr>
          <w:rFonts w:ascii="宋体" w:hAnsi="宋体"/>
          <w:b/>
          <w:bCs/>
          <w:snapToGrid w:val="0"/>
        </w:rPr>
      </w:pPr>
      <w:r>
        <w:rPr>
          <w:rFonts w:hint="eastAsia" w:ascii="宋体" w:hAnsi="宋体" w:cs="宋体"/>
          <w:b/>
          <w:bCs/>
        </w:rPr>
        <w:t>五、开标</w:t>
      </w:r>
    </w:p>
    <w:p>
      <w:pPr>
        <w:spacing w:line="400" w:lineRule="exact"/>
        <w:ind w:firstLine="420" w:firstLineChars="200"/>
        <w:jc w:val="left"/>
        <w:rPr>
          <w:rFonts w:ascii="宋体" w:hAnsi="宋体" w:cs="宋体"/>
          <w:b/>
          <w:bCs/>
          <w:szCs w:val="21"/>
        </w:rPr>
      </w:pPr>
      <w:r>
        <w:rPr>
          <w:rFonts w:hint="eastAsia" w:ascii="宋体" w:hAnsi="宋体"/>
          <w:color w:val="000000"/>
          <w:szCs w:val="21"/>
        </w:rPr>
        <w:t>1、</w:t>
      </w:r>
      <w:r>
        <w:rPr>
          <w:rFonts w:ascii="宋体" w:hAnsi="宋体" w:cs="宋体"/>
          <w:szCs w:val="21"/>
        </w:rPr>
        <w:t>采购</w:t>
      </w:r>
      <w:r>
        <w:rPr>
          <w:rFonts w:hint="eastAsia" w:ascii="宋体" w:hAnsi="宋体" w:cs="宋体"/>
          <w:szCs w:val="21"/>
        </w:rPr>
        <w:t>代理</w:t>
      </w:r>
      <w:r>
        <w:rPr>
          <w:rFonts w:ascii="宋体" w:hAnsi="宋体" w:cs="宋体"/>
          <w:szCs w:val="21"/>
        </w:rPr>
        <w:t>机构按照</w:t>
      </w:r>
      <w:r>
        <w:rPr>
          <w:rFonts w:hint="eastAsia" w:ascii="宋体" w:hAnsi="宋体" w:cs="宋体"/>
          <w:szCs w:val="21"/>
        </w:rPr>
        <w:t>招标</w:t>
      </w:r>
      <w:r>
        <w:rPr>
          <w:rFonts w:ascii="宋体" w:hAnsi="宋体" w:cs="宋体"/>
          <w:szCs w:val="21"/>
        </w:rPr>
        <w:t>文件规定的时间通过电子交易平台组织开标、开启</w:t>
      </w:r>
      <w:r>
        <w:rPr>
          <w:rFonts w:hint="eastAsia" w:ascii="宋体" w:hAnsi="宋体" w:cs="宋体"/>
          <w:szCs w:val="21"/>
        </w:rPr>
        <w:t>投标</w:t>
      </w:r>
      <w:r>
        <w:rPr>
          <w:rFonts w:ascii="宋体" w:hAnsi="宋体" w:cs="宋体"/>
          <w:szCs w:val="21"/>
        </w:rPr>
        <w:t>文件，所有</w:t>
      </w:r>
      <w:r>
        <w:rPr>
          <w:rFonts w:hint="eastAsia" w:ascii="宋体" w:hAnsi="宋体" w:cs="宋体"/>
          <w:szCs w:val="21"/>
        </w:rPr>
        <w:t>投标人</w:t>
      </w:r>
      <w:r>
        <w:rPr>
          <w:rFonts w:ascii="宋体" w:hAnsi="宋体" w:cs="宋体"/>
          <w:szCs w:val="21"/>
        </w:rPr>
        <w:t>均应当准时在线参加</w:t>
      </w:r>
      <w:r>
        <w:rPr>
          <w:rFonts w:hint="eastAsia" w:ascii="宋体" w:hAnsi="宋体" w:cs="宋体"/>
          <w:szCs w:val="21"/>
        </w:rPr>
        <w:t>。</w:t>
      </w:r>
      <w:r>
        <w:rPr>
          <w:rFonts w:hint="eastAsia" w:ascii="宋体" w:hAnsi="宋体" w:cs="宋体"/>
          <w:b/>
          <w:bCs/>
          <w:szCs w:val="21"/>
        </w:rPr>
        <w:t>投标人如不在线参加开标大会的，视同认可开标结果，事后不得对采购相关人员、开标过程和开标结果提出异议。</w:t>
      </w:r>
    </w:p>
    <w:p>
      <w:pPr>
        <w:spacing w:line="400" w:lineRule="exact"/>
        <w:ind w:firstLine="420" w:firstLineChars="200"/>
        <w:jc w:val="left"/>
        <w:rPr>
          <w:rFonts w:ascii="宋体" w:hAnsi="宋体"/>
        </w:rPr>
      </w:pPr>
      <w:r>
        <w:rPr>
          <w:rFonts w:ascii="宋体" w:hAnsi="宋体"/>
        </w:rPr>
        <w:t>2</w:t>
      </w:r>
      <w:r>
        <w:rPr>
          <w:rFonts w:hint="eastAsia" w:ascii="宋体" w:hAnsi="宋体"/>
        </w:rPr>
        <w:t>、电子投标开标及评审程序：分两阶段开标。</w:t>
      </w:r>
    </w:p>
    <w:p>
      <w:pPr>
        <w:spacing w:line="400" w:lineRule="exact"/>
        <w:ind w:firstLine="420" w:firstLineChars="200"/>
        <w:jc w:val="left"/>
        <w:rPr>
          <w:rFonts w:ascii="宋体" w:hAnsi="宋体" w:cs="宋体"/>
          <w:bCs/>
          <w:lang w:bidi="ar"/>
        </w:rPr>
      </w:pPr>
      <w:r>
        <w:rPr>
          <w:rFonts w:hint="eastAsia" w:ascii="宋体" w:hAnsi="宋体" w:cs="宋体"/>
          <w:bCs/>
          <w:lang w:bidi="ar"/>
        </w:rPr>
        <w:t>1、电子招投标开标程序：</w:t>
      </w:r>
    </w:p>
    <w:p>
      <w:pPr>
        <w:spacing w:line="400" w:lineRule="exact"/>
        <w:ind w:firstLine="420" w:firstLineChars="200"/>
        <w:jc w:val="left"/>
        <w:rPr>
          <w:rFonts w:ascii="宋体" w:hAnsi="宋体"/>
          <w:szCs w:val="21"/>
        </w:rPr>
      </w:pPr>
      <w:r>
        <w:rPr>
          <w:rFonts w:hint="eastAsia" w:ascii="宋体" w:hAnsi="宋体"/>
          <w:szCs w:val="21"/>
        </w:rPr>
        <w:t>第一阶段：</w:t>
      </w:r>
    </w:p>
    <w:p>
      <w:pPr>
        <w:numPr>
          <w:ilvl w:val="0"/>
          <w:numId w:val="3"/>
        </w:numPr>
        <w:spacing w:line="400" w:lineRule="exact"/>
        <w:ind w:firstLine="420" w:firstLineChars="200"/>
        <w:jc w:val="left"/>
        <w:rPr>
          <w:rFonts w:ascii="宋体" w:hAnsi="宋体"/>
          <w:szCs w:val="21"/>
        </w:rPr>
      </w:pPr>
      <w:r>
        <w:rPr>
          <w:rFonts w:hint="eastAsia" w:ascii="宋体" w:hAnsi="宋体"/>
          <w:szCs w:val="21"/>
        </w:rPr>
        <w:t>投标截止时间后，供应商登录政府采购云平台，用“项目采购-开标评标”功能对电子投标文件进行在线解密，在线解密电子投标文件时间为开标时间后30分钟内。</w:t>
      </w:r>
    </w:p>
    <w:p>
      <w:pPr>
        <w:spacing w:line="348" w:lineRule="auto"/>
        <w:ind w:left="420" w:leftChars="200"/>
        <w:jc w:val="left"/>
      </w:pPr>
      <w:r>
        <w:rPr>
          <w:rFonts w:hint="eastAsia" w:ascii="宋体" w:hAnsi="宋体" w:cs="宋体"/>
          <w:szCs w:val="21"/>
        </w:rPr>
        <w:t>（2）</w:t>
      </w:r>
      <w:r>
        <w:rPr>
          <w:rFonts w:hint="eastAsia" w:ascii="宋体" w:hAnsi="宋体"/>
          <w:szCs w:val="21"/>
        </w:rPr>
        <w:t>投标人应当在解密时限内完成解密，如所有投标人的电子投标文件都已经解密完成的，则电子交易平台自动结束解密。如有任一投标人未解密，电子交易平台会在解密时限截止时自动结束解密。解密时限内未完成解密且按规定提供了备份投标文件的，采购代理机构将拆封其备份投标文件，并导入电子交易平台。</w:t>
      </w:r>
    </w:p>
    <w:p>
      <w:pPr>
        <w:spacing w:line="400" w:lineRule="exact"/>
        <w:ind w:firstLine="420" w:firstLineChars="200"/>
        <w:jc w:val="left"/>
        <w:rPr>
          <w:rFonts w:ascii="宋体" w:hAnsi="宋体"/>
          <w:szCs w:val="21"/>
        </w:rPr>
      </w:pPr>
      <w:r>
        <w:rPr>
          <w:rFonts w:hint="eastAsia" w:ascii="宋体" w:hAnsi="宋体"/>
          <w:szCs w:val="21"/>
        </w:rPr>
        <w:t>（3）在政府采购云平台开启已解密供应商的“资格文件、商务技术文件”，并做开标记录；</w:t>
      </w:r>
    </w:p>
    <w:p>
      <w:pPr>
        <w:spacing w:line="400" w:lineRule="exact"/>
        <w:ind w:firstLine="420" w:firstLineChars="200"/>
        <w:jc w:val="left"/>
        <w:rPr>
          <w:rFonts w:ascii="宋体" w:hAnsi="宋体"/>
          <w:szCs w:val="21"/>
        </w:rPr>
      </w:pPr>
      <w:r>
        <w:rPr>
          <w:rFonts w:hint="eastAsia" w:ascii="宋体" w:hAnsi="宋体"/>
          <w:szCs w:val="21"/>
        </w:rPr>
        <w:t>第二阶段：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宣告第一阶段评审无效供应商名单及理由；</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）公布经第一阶段评审符合采购文件要求的供应商的商务技术得分情况；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开启除第一阶段无效标外的供应商的“报价文件”，并做开标记录；</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公布评审结果。</w:t>
      </w:r>
    </w:p>
    <w:p>
      <w:pPr>
        <w:spacing w:line="400" w:lineRule="exact"/>
        <w:ind w:firstLine="420" w:firstLineChars="200"/>
        <w:jc w:val="left"/>
      </w:pPr>
      <w:r>
        <w:rPr>
          <w:rFonts w:hint="eastAsia" w:ascii="宋体" w:hAnsi="宋体"/>
          <w:szCs w:val="21"/>
        </w:rPr>
        <w:t>（5）开标会议结束。</w:t>
      </w:r>
    </w:p>
    <w:p>
      <w:pPr>
        <w:spacing w:line="400" w:lineRule="exact"/>
        <w:ind w:firstLine="420" w:firstLineChars="200"/>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lang w:bidi="ar"/>
        </w:rPr>
        <w:t>电子招投标开标程序</w:t>
      </w:r>
      <w:r>
        <w:rPr>
          <w:rFonts w:hint="eastAsia" w:ascii="宋体" w:hAnsi="宋体"/>
          <w:szCs w:val="21"/>
        </w:rPr>
        <w:t>，但有下情形之一的，按以下情况处理：</w:t>
      </w:r>
    </w:p>
    <w:p>
      <w:pPr>
        <w:snapToGrid w:val="0"/>
        <w:spacing w:line="400" w:lineRule="atLeast"/>
        <w:ind w:firstLine="420"/>
        <w:jc w:val="left"/>
        <w:rPr>
          <w:rFonts w:ascii="宋体" w:hAnsi="宋体"/>
          <w:color w:val="000000"/>
          <w:szCs w:val="21"/>
        </w:rPr>
      </w:pPr>
      <w:r>
        <w:rPr>
          <w:rFonts w:hint="eastAsia" w:ascii="宋体" w:hAnsi="宋体"/>
          <w:color w:val="000000"/>
          <w:szCs w:val="21"/>
        </w:rPr>
        <w:t>1．只有</w:t>
      </w:r>
      <w:r>
        <w:rPr>
          <w:rFonts w:ascii="宋体" w:hAnsi="宋体"/>
          <w:color w:val="000000"/>
          <w:szCs w:val="21"/>
        </w:rPr>
        <w:t>在</w:t>
      </w:r>
      <w:r>
        <w:rPr>
          <w:rFonts w:hint="eastAsia" w:ascii="宋体" w:hAnsi="宋体"/>
          <w:color w:val="000000"/>
          <w:szCs w:val="21"/>
        </w:rPr>
        <w:t>投标人成功</w:t>
      </w:r>
      <w:r>
        <w:rPr>
          <w:rFonts w:ascii="宋体" w:hAnsi="宋体"/>
          <w:color w:val="000000"/>
          <w:szCs w:val="21"/>
        </w:rPr>
        <w:t>上传</w:t>
      </w:r>
      <w:r>
        <w:rPr>
          <w:rFonts w:hint="eastAsia" w:ascii="宋体" w:hAnsi="宋体"/>
          <w:color w:val="000000"/>
          <w:szCs w:val="21"/>
        </w:rPr>
        <w:t>电子</w:t>
      </w:r>
      <w:r>
        <w:rPr>
          <w:rFonts w:ascii="宋体" w:hAnsi="宋体"/>
          <w:color w:val="000000"/>
          <w:szCs w:val="21"/>
        </w:rPr>
        <w:t>加密投标文件，</w:t>
      </w:r>
      <w:r>
        <w:rPr>
          <w:rFonts w:hint="eastAsia" w:ascii="宋体" w:hAnsi="宋体"/>
          <w:color w:val="000000"/>
          <w:szCs w:val="21"/>
        </w:rPr>
        <w:t>但无法</w:t>
      </w:r>
      <w:r>
        <w:rPr>
          <w:rFonts w:ascii="宋体" w:hAnsi="宋体"/>
          <w:color w:val="000000"/>
          <w:szCs w:val="21"/>
        </w:rPr>
        <w:t>读取或</w:t>
      </w:r>
      <w:r>
        <w:rPr>
          <w:rFonts w:hint="eastAsia" w:ascii="宋体" w:hAnsi="宋体"/>
          <w:color w:val="000000"/>
          <w:szCs w:val="21"/>
        </w:rPr>
        <w:t>在规定时间内无法解密或解密失败，采购代理机构方可调用以U盘介质存储的数据电文形式的备份电子投标文件（备份电子投标文件损坏、格式不符等致使异常情况处理失败的责任由投标人自行承担），上传至政采云平台项目采购模块，并对“备份电子投标文件”进行解密，以完成开标， CA加密的电子投标文件自动失效。未在投标截止时间之前递交“备份电子投标文件”的视为投标文件撤回。其余通过“政府采购云平台”上传递交的已按时解密的“电子加密投标文件”继续有效，其“备份电子投标文件”自动失效。</w:t>
      </w:r>
    </w:p>
    <w:p>
      <w:pPr>
        <w:snapToGrid w:val="0"/>
        <w:spacing w:line="400" w:lineRule="atLeast"/>
        <w:ind w:firstLine="417" w:firstLineChars="199"/>
        <w:jc w:val="left"/>
        <w:rPr>
          <w:rFonts w:ascii="宋体" w:hAnsi="宋体"/>
          <w:color w:val="000000"/>
          <w:szCs w:val="21"/>
        </w:rPr>
      </w:pPr>
      <w:r>
        <w:rPr>
          <w:rFonts w:hint="eastAsia" w:ascii="宋体" w:hAnsi="宋体"/>
          <w:color w:val="000000"/>
          <w:szCs w:val="21"/>
        </w:rPr>
        <w:t>2．若出现投标人的电子投标文件和备份电子投标文件都无法读取的情况，则该投标人作无效投标处理。</w:t>
      </w:r>
    </w:p>
    <w:p>
      <w:pPr>
        <w:snapToGrid w:val="0"/>
        <w:spacing w:line="400" w:lineRule="atLeast"/>
        <w:ind w:firstLine="420"/>
        <w:jc w:val="left"/>
        <w:rPr>
          <w:rFonts w:ascii="宋体" w:hAnsi="宋体"/>
          <w:color w:val="000000"/>
          <w:szCs w:val="21"/>
        </w:rPr>
      </w:pPr>
      <w:r>
        <w:rPr>
          <w:rFonts w:ascii="宋体" w:hAnsi="宋体"/>
          <w:color w:val="000000"/>
          <w:szCs w:val="21"/>
        </w:rPr>
        <w:t xml:space="preserve">3. </w:t>
      </w:r>
      <w:r>
        <w:rPr>
          <w:rFonts w:hint="eastAsia" w:ascii="宋体" w:hAnsi="宋体"/>
          <w:color w:val="000000"/>
          <w:szCs w:val="21"/>
        </w:rPr>
        <w:t>采购过程中出现以下情形，导致电子交易平台无法正常运行，或者无法保证电子交易的公平、公正和安全时，经监管单位同意后，采购代理机构可中止电子交易活动。</w:t>
      </w:r>
    </w:p>
    <w:p>
      <w:pPr>
        <w:snapToGrid w:val="0"/>
        <w:spacing w:line="400" w:lineRule="atLeast"/>
        <w:ind w:firstLine="420"/>
        <w:jc w:val="left"/>
        <w:rPr>
          <w:rFonts w:ascii="宋体" w:hAnsi="宋体"/>
          <w:color w:val="000000"/>
          <w:szCs w:val="21"/>
        </w:rPr>
      </w:pPr>
      <w:r>
        <w:rPr>
          <w:rFonts w:hint="eastAsia" w:ascii="宋体" w:hAnsi="宋体"/>
          <w:color w:val="000000"/>
          <w:szCs w:val="21"/>
        </w:rPr>
        <w:t xml:space="preserve">（1）电子交易平台发生故障而无法登录访问的； </w:t>
      </w:r>
    </w:p>
    <w:p>
      <w:pPr>
        <w:snapToGrid w:val="0"/>
        <w:spacing w:line="400" w:lineRule="atLeast"/>
        <w:ind w:firstLine="420"/>
        <w:jc w:val="left"/>
        <w:rPr>
          <w:rFonts w:ascii="宋体" w:hAnsi="宋体"/>
          <w:color w:val="000000"/>
          <w:szCs w:val="21"/>
        </w:rPr>
      </w:pPr>
      <w:r>
        <w:rPr>
          <w:rFonts w:hint="eastAsia" w:ascii="宋体" w:hAnsi="宋体"/>
          <w:color w:val="000000"/>
          <w:szCs w:val="21"/>
        </w:rPr>
        <w:t>（2）电子交易平台应用或数据库出现错误，不能进行正常操作的；</w:t>
      </w:r>
    </w:p>
    <w:p>
      <w:pPr>
        <w:snapToGrid w:val="0"/>
        <w:spacing w:line="400" w:lineRule="atLeast"/>
        <w:ind w:firstLine="420"/>
        <w:jc w:val="left"/>
        <w:rPr>
          <w:rFonts w:ascii="宋体" w:hAnsi="宋体"/>
          <w:color w:val="000000"/>
          <w:szCs w:val="21"/>
        </w:rPr>
      </w:pPr>
      <w:r>
        <w:rPr>
          <w:rFonts w:hint="eastAsia" w:ascii="宋体" w:hAnsi="宋体"/>
          <w:color w:val="000000"/>
          <w:szCs w:val="21"/>
        </w:rPr>
        <w:t>（3）电子交易平台发现严重安全漏洞，有潜在泄密危险的；</w:t>
      </w:r>
    </w:p>
    <w:p>
      <w:pPr>
        <w:snapToGrid w:val="0"/>
        <w:spacing w:line="400" w:lineRule="atLeast"/>
        <w:ind w:firstLine="420"/>
        <w:jc w:val="left"/>
        <w:rPr>
          <w:rFonts w:ascii="宋体" w:hAnsi="宋体"/>
          <w:color w:val="000000"/>
          <w:szCs w:val="21"/>
        </w:rPr>
      </w:pPr>
      <w:r>
        <w:rPr>
          <w:rFonts w:hint="eastAsia" w:ascii="宋体" w:hAnsi="宋体"/>
          <w:color w:val="000000"/>
          <w:szCs w:val="21"/>
        </w:rPr>
        <w:t xml:space="preserve">（4）病毒发作导致不能进行正常操作的； </w:t>
      </w:r>
    </w:p>
    <w:p>
      <w:pPr>
        <w:snapToGrid w:val="0"/>
        <w:spacing w:line="400" w:lineRule="atLeast"/>
        <w:ind w:firstLine="420"/>
        <w:jc w:val="left"/>
        <w:rPr>
          <w:rFonts w:ascii="宋体" w:hAnsi="宋体"/>
          <w:color w:val="000000"/>
          <w:szCs w:val="21"/>
        </w:rPr>
      </w:pPr>
      <w:r>
        <w:rPr>
          <w:rFonts w:hint="eastAsia" w:ascii="宋体" w:hAnsi="宋体"/>
          <w:color w:val="000000"/>
          <w:szCs w:val="21"/>
        </w:rPr>
        <w:t>（5）其他无法保证电子交易的公平、公正和安全的情况。</w:t>
      </w:r>
    </w:p>
    <w:p>
      <w:pPr>
        <w:snapToGrid w:val="0"/>
        <w:spacing w:line="400" w:lineRule="atLeast"/>
        <w:ind w:firstLine="420"/>
        <w:jc w:val="left"/>
        <w:rPr>
          <w:rFonts w:ascii="宋体" w:hAnsi="宋体"/>
          <w:color w:val="000000"/>
          <w:szCs w:val="21"/>
        </w:rPr>
      </w:pPr>
      <w:r>
        <w:rPr>
          <w:rFonts w:hint="eastAsia" w:ascii="宋体" w:hAnsi="宋体"/>
          <w:color w:val="000000"/>
          <w:szCs w:val="21"/>
        </w:rPr>
        <w:t>出现前款规定情形，不影响采购公平、公正性的，采购代理机构可以待上述情形消除后继续组织电子交易活动；影响或可能影响采购公平、公正性的，应当重新采购。</w:t>
      </w:r>
    </w:p>
    <w:p>
      <w:pPr>
        <w:spacing w:line="360" w:lineRule="auto"/>
        <w:rPr>
          <w:rFonts w:ascii="宋体" w:hAnsi="宋体"/>
          <w:b/>
          <w:bCs/>
        </w:rPr>
      </w:pPr>
      <w:r>
        <w:rPr>
          <w:rFonts w:hint="eastAsia" w:ascii="宋体" w:hAnsi="宋体" w:cs="宋体"/>
          <w:b/>
          <w:bCs/>
        </w:rPr>
        <w:t>六、评标</w:t>
      </w:r>
    </w:p>
    <w:p>
      <w:pPr>
        <w:spacing w:line="360" w:lineRule="auto"/>
        <w:rPr>
          <w:rFonts w:ascii="宋体" w:hAnsi="宋体"/>
        </w:rPr>
      </w:pPr>
      <w:r>
        <w:rPr>
          <w:rFonts w:hint="eastAsia" w:ascii="宋体" w:hAnsi="宋体" w:cs="宋体"/>
        </w:rPr>
        <w:t>（一）组建评标委员会</w:t>
      </w:r>
    </w:p>
    <w:p>
      <w:pPr>
        <w:spacing w:line="360" w:lineRule="auto"/>
        <w:ind w:firstLine="420" w:firstLineChars="200"/>
        <w:rPr>
          <w:rFonts w:ascii="宋体" w:hAnsi="宋体"/>
        </w:rPr>
      </w:pPr>
      <w:r>
        <w:rPr>
          <w:rFonts w:hint="eastAsia" w:ascii="宋体" w:hAnsi="宋体" w:cs="宋体"/>
        </w:rPr>
        <w:t>本项目评标委员会依法组建。</w:t>
      </w:r>
    </w:p>
    <w:p>
      <w:pPr>
        <w:spacing w:line="360" w:lineRule="auto"/>
        <w:rPr>
          <w:rFonts w:ascii="宋体" w:hAnsi="宋体"/>
        </w:rPr>
      </w:pPr>
      <w:r>
        <w:rPr>
          <w:rFonts w:hint="eastAsia" w:ascii="宋体" w:hAnsi="宋体" w:cs="宋体"/>
        </w:rPr>
        <w:t>（二）评标的方式</w:t>
      </w:r>
    </w:p>
    <w:p>
      <w:pPr>
        <w:spacing w:line="360" w:lineRule="auto"/>
        <w:ind w:firstLine="420" w:firstLineChars="200"/>
        <w:rPr>
          <w:rFonts w:ascii="宋体" w:hAnsi="宋体"/>
        </w:rPr>
      </w:pPr>
      <w:r>
        <w:rPr>
          <w:rFonts w:hint="eastAsia" w:ascii="宋体" w:hAnsi="宋体" w:cs="宋体"/>
        </w:rPr>
        <w:t>本项目采用不公开方式评标，评标的依据为采购文件和投标文件。</w:t>
      </w:r>
    </w:p>
    <w:p>
      <w:pPr>
        <w:spacing w:line="360" w:lineRule="auto"/>
        <w:rPr>
          <w:rFonts w:ascii="宋体" w:hAnsi="宋体"/>
        </w:rPr>
      </w:pPr>
      <w:r>
        <w:rPr>
          <w:rFonts w:hint="eastAsia" w:ascii="宋体" w:hAnsi="宋体" w:cs="宋体"/>
        </w:rPr>
        <w:t>（三）评标程序</w:t>
      </w:r>
    </w:p>
    <w:p>
      <w:pPr>
        <w:spacing w:line="360" w:lineRule="auto"/>
        <w:ind w:firstLine="420" w:firstLineChars="200"/>
        <w:rPr>
          <w:rFonts w:ascii="宋体" w:hAnsi="宋体"/>
          <w:b/>
          <w:bCs/>
        </w:rPr>
      </w:pPr>
      <w:r>
        <w:rPr>
          <w:rFonts w:ascii="宋体" w:hAnsi="宋体"/>
        </w:rPr>
        <w:t>1.</w:t>
      </w:r>
      <w:r>
        <w:rPr>
          <w:rFonts w:hint="eastAsia" w:ascii="宋体" w:hAnsi="宋体" w:cs="宋体"/>
          <w:b/>
          <w:bCs/>
        </w:rPr>
        <w:t>资格条件审查</w:t>
      </w:r>
    </w:p>
    <w:p>
      <w:pPr>
        <w:spacing w:line="360" w:lineRule="auto"/>
        <w:ind w:firstLine="522" w:firstLineChars="249"/>
        <w:rPr>
          <w:rFonts w:ascii="宋体" w:hAnsi="宋体"/>
        </w:rPr>
      </w:pPr>
      <w:r>
        <w:rPr>
          <w:rFonts w:hint="eastAsia" w:ascii="宋体" w:hAnsi="宋体" w:cs="宋体"/>
        </w:rPr>
        <w:t>由评标委员会对供应商的资格进行审查。</w:t>
      </w:r>
    </w:p>
    <w:tbl>
      <w:tblPr>
        <w:tblStyle w:val="49"/>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spacing w:line="360" w:lineRule="auto"/>
              <w:jc w:val="center"/>
              <w:rPr>
                <w:rFonts w:ascii="宋体" w:hAnsi="宋体"/>
              </w:rPr>
            </w:pPr>
            <w:r>
              <w:rPr>
                <w:rFonts w:hint="eastAsia" w:ascii="宋体" w:hAnsi="宋体" w:cs="宋体"/>
              </w:rPr>
              <w:t>审查类别</w:t>
            </w:r>
          </w:p>
        </w:tc>
        <w:tc>
          <w:tcPr>
            <w:tcW w:w="7584" w:type="dxa"/>
          </w:tcPr>
          <w:p>
            <w:pPr>
              <w:spacing w:line="360" w:lineRule="auto"/>
              <w:ind w:firstLine="420" w:firstLineChars="200"/>
              <w:jc w:val="center"/>
              <w:rPr>
                <w:rFonts w:ascii="宋体" w:hAnsi="宋体"/>
              </w:rPr>
            </w:pPr>
            <w:r>
              <w:rPr>
                <w:rFonts w:hint="eastAsia" w:ascii="宋体" w:hAnsi="宋体" w:cs="宋体"/>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pPr>
              <w:spacing w:line="360" w:lineRule="auto"/>
              <w:rPr>
                <w:rFonts w:ascii="宋体" w:hAnsi="宋体"/>
              </w:rPr>
            </w:pPr>
            <w:r>
              <w:rPr>
                <w:rFonts w:hint="eastAsia" w:ascii="宋体" w:hAnsi="宋体" w:cs="宋体"/>
              </w:rPr>
              <w:t>资格条件审查</w:t>
            </w:r>
          </w:p>
        </w:tc>
        <w:tc>
          <w:tcPr>
            <w:tcW w:w="7584" w:type="dxa"/>
          </w:tcPr>
          <w:p>
            <w:pPr>
              <w:spacing w:line="360" w:lineRule="auto"/>
              <w:rPr>
                <w:rFonts w:ascii="宋体" w:hAnsi="宋体"/>
              </w:rPr>
            </w:pPr>
            <w:r>
              <w:rPr>
                <w:rFonts w:hint="eastAsia" w:ascii="宋体" w:hAnsi="宋体" w:cs="宋体"/>
              </w:rPr>
              <w:t>（一）符合《中华人民共和国政府采购法》第二十二条规定的供应商资格条件；</w:t>
            </w:r>
            <w:r>
              <w:rPr>
                <w:rFonts w:hint="eastAsia" w:ascii="宋体" w:hAnsi="宋体" w:cs="宋体"/>
                <w:szCs w:val="21"/>
              </w:rPr>
              <w:t>未被“信用中国”（www.creditchina.gov.cn)、中国政府采购网（www.ccgp.gov.cn）列入失信被执行人、重大税收违法案件当事人名单（</w:t>
            </w:r>
            <w:r>
              <w:rPr>
                <w:rFonts w:hint="eastAsia" w:ascii="宋体" w:hAnsi="宋体" w:cs="宋体"/>
                <w:bCs/>
                <w:szCs w:val="21"/>
              </w:rPr>
              <w:t>重大税收违法失信主体</w:t>
            </w:r>
            <w:r>
              <w:rPr>
                <w:rFonts w:hint="eastAsia" w:ascii="宋体" w:hAnsi="宋体" w:cs="宋体"/>
                <w:szCs w:val="21"/>
              </w:rPr>
              <w:t>）、政府采购严重违法失信行为记录名单。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center"/>
          </w:tcPr>
          <w:p>
            <w:pPr>
              <w:spacing w:line="360" w:lineRule="auto"/>
              <w:rPr>
                <w:rFonts w:ascii="宋体" w:hAnsi="宋体" w:cs="宋体"/>
              </w:rPr>
            </w:pPr>
          </w:p>
        </w:tc>
        <w:tc>
          <w:tcPr>
            <w:tcW w:w="7584" w:type="dxa"/>
          </w:tcPr>
          <w:p>
            <w:pPr>
              <w:spacing w:line="360" w:lineRule="auto"/>
              <w:rPr>
                <w:rFonts w:ascii="宋体" w:hAnsi="宋体" w:cs="宋体"/>
              </w:rPr>
            </w:pPr>
            <w:r>
              <w:rPr>
                <w:rFonts w:hint="eastAsia" w:ascii="宋体" w:hAnsi="宋体" w:cs="宋体"/>
                <w:szCs w:val="21"/>
              </w:rPr>
              <w:t>（二）</w:t>
            </w:r>
            <w:r>
              <w:rPr>
                <w:rFonts w:ascii="宋体" w:hAnsi="宋体"/>
                <w:szCs w:val="21"/>
              </w:rPr>
              <w:t>落实政府采购政策需满足的资格要求：</w:t>
            </w:r>
            <w:r>
              <w:rPr>
                <w:rFonts w:hint="eastAsia" w:ascii="宋体" w:hAnsi="宋体" w:cs="宋体"/>
              </w:rPr>
              <w:t>详见“第一章  公开招标采购公告 二、申请人的资格要求：</w:t>
            </w:r>
            <w:r>
              <w:rPr>
                <w:rFonts w:hint="eastAsia" w:ascii="宋体" w:hAnsi="宋体" w:cs="宋体"/>
                <w:szCs w:val="21"/>
              </w:rPr>
              <w:t>2.落实政府采购政策需满足的资格要求”。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21" w:type="dxa"/>
            <w:vMerge w:val="continue"/>
          </w:tcPr>
          <w:p>
            <w:pPr>
              <w:spacing w:line="360" w:lineRule="auto"/>
              <w:ind w:firstLine="420" w:firstLineChars="200"/>
              <w:rPr>
                <w:rFonts w:ascii="宋体" w:hAnsi="宋体"/>
              </w:rPr>
            </w:pPr>
          </w:p>
        </w:tc>
        <w:tc>
          <w:tcPr>
            <w:tcW w:w="7584" w:type="dxa"/>
          </w:tcPr>
          <w:p>
            <w:pPr>
              <w:pStyle w:val="44"/>
              <w:spacing w:before="75" w:beforeAutospacing="0" w:after="75" w:afterAutospacing="0" w:line="300" w:lineRule="atLeast"/>
            </w:pPr>
            <w:r>
              <w:rPr>
                <w:rFonts w:hint="eastAsia"/>
              </w:rPr>
              <w:t>（三）</w:t>
            </w:r>
            <w:r>
              <w:rPr>
                <w:rFonts w:hint="eastAsia"/>
                <w:kern w:val="2"/>
                <w:sz w:val="21"/>
                <w:szCs w:val="21"/>
              </w:rPr>
              <w:t>特定资格要求：详见“第一章  公开招标采购公告 二、申请人的资格要求：3.</w:t>
            </w:r>
            <w:r>
              <w:rPr>
                <w:kern w:val="2"/>
                <w:sz w:val="21"/>
                <w:szCs w:val="21"/>
              </w:rPr>
              <w:t xml:space="preserve"> 本项目的特定资格要求</w:t>
            </w:r>
            <w:r>
              <w:rPr>
                <w:rFonts w:hint="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spacing w:line="360" w:lineRule="auto"/>
              <w:ind w:firstLine="420" w:firstLineChars="200"/>
              <w:rPr>
                <w:rFonts w:ascii="宋体" w:hAnsi="宋体"/>
              </w:rPr>
            </w:pPr>
          </w:p>
        </w:tc>
        <w:tc>
          <w:tcPr>
            <w:tcW w:w="7584" w:type="dxa"/>
          </w:tcPr>
          <w:p>
            <w:pPr>
              <w:spacing w:line="360" w:lineRule="auto"/>
              <w:rPr>
                <w:rFonts w:ascii="宋体" w:hAnsi="宋体"/>
              </w:rPr>
            </w:pPr>
            <w:r>
              <w:rPr>
                <w:rFonts w:hint="eastAsia" w:ascii="宋体" w:hAnsi="宋体" w:cs="宋体"/>
              </w:rPr>
              <w:t>（四）本项目不接受联合体投标。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spacing w:line="360" w:lineRule="auto"/>
              <w:ind w:firstLine="420" w:firstLineChars="200"/>
              <w:rPr>
                <w:rFonts w:ascii="宋体" w:hAnsi="宋体"/>
              </w:rPr>
            </w:pPr>
          </w:p>
        </w:tc>
        <w:tc>
          <w:tcPr>
            <w:tcW w:w="7584" w:type="dxa"/>
          </w:tcPr>
          <w:p>
            <w:pPr>
              <w:spacing w:line="360" w:lineRule="auto"/>
              <w:rPr>
                <w:rFonts w:ascii="宋体" w:hAnsi="宋体"/>
              </w:rPr>
            </w:pPr>
            <w:r>
              <w:rPr>
                <w:rFonts w:hint="eastAsia" w:ascii="宋体" w:hAnsi="宋体" w:cs="宋体"/>
              </w:rPr>
              <w:t>（五）采购文件要求的其他资格条件（如有）；</w:t>
            </w:r>
          </w:p>
        </w:tc>
      </w:tr>
    </w:tbl>
    <w:p>
      <w:pPr>
        <w:snapToGrid w:val="0"/>
        <w:spacing w:before="120" w:beforeLines="50" w:line="360" w:lineRule="auto"/>
        <w:ind w:firstLine="413" w:firstLineChars="196"/>
        <w:outlineLvl w:val="2"/>
        <w:rPr>
          <w:rFonts w:ascii="宋体" w:hAnsi="宋体" w:cs="宋体"/>
          <w:b/>
          <w:bCs/>
        </w:rPr>
      </w:pPr>
      <w:r>
        <w:rPr>
          <w:rFonts w:ascii="宋体" w:hAnsi="宋体" w:cs="宋体"/>
          <w:b/>
          <w:bCs/>
        </w:rPr>
        <w:t>2.</w:t>
      </w:r>
      <w:r>
        <w:rPr>
          <w:rFonts w:hint="eastAsia" w:ascii="宋体" w:hAnsi="宋体" w:cs="宋体"/>
          <w:b/>
          <w:bCs/>
        </w:rPr>
        <w:t>符合性审查</w:t>
      </w:r>
    </w:p>
    <w:p>
      <w:pPr>
        <w:spacing w:line="360" w:lineRule="auto"/>
        <w:ind w:firstLine="420" w:firstLineChars="200"/>
        <w:rPr>
          <w:rFonts w:ascii="宋体" w:hAnsi="宋体"/>
        </w:rPr>
      </w:pPr>
      <w:r>
        <w:rPr>
          <w:rFonts w:hint="eastAsia" w:ascii="宋体" w:hAnsi="宋体" w:cs="宋体"/>
          <w:kern w:val="0"/>
        </w:rPr>
        <w:t>评标委员会应当对符合资格的供应商的投标文件进行符合性审查，以确定其是否满足采购文件的实质性要求。</w:t>
      </w:r>
    </w:p>
    <w:tbl>
      <w:tblPr>
        <w:tblStyle w:val="4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spacing w:line="360" w:lineRule="auto"/>
              <w:jc w:val="center"/>
              <w:rPr>
                <w:rFonts w:ascii="宋体" w:hAnsi="宋体"/>
              </w:rPr>
            </w:pPr>
            <w:r>
              <w:rPr>
                <w:rFonts w:hint="eastAsia" w:ascii="宋体" w:hAnsi="宋体" w:cs="宋体"/>
              </w:rPr>
              <w:t>审查类别</w:t>
            </w:r>
          </w:p>
        </w:tc>
        <w:tc>
          <w:tcPr>
            <w:tcW w:w="7573" w:type="dxa"/>
          </w:tcPr>
          <w:p>
            <w:pPr>
              <w:spacing w:line="360" w:lineRule="auto"/>
              <w:jc w:val="center"/>
              <w:rPr>
                <w:rFonts w:ascii="宋体" w:hAnsi="宋体"/>
              </w:rPr>
            </w:pPr>
            <w:r>
              <w:rPr>
                <w:rFonts w:hint="eastAsia" w:ascii="宋体" w:hAnsi="宋体" w:cs="宋体"/>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32" w:type="dxa"/>
            <w:vMerge w:val="restart"/>
            <w:vAlign w:val="center"/>
          </w:tcPr>
          <w:p>
            <w:pPr>
              <w:spacing w:line="360" w:lineRule="auto"/>
              <w:rPr>
                <w:rFonts w:ascii="宋体" w:hAnsi="宋体"/>
              </w:rPr>
            </w:pPr>
            <w:r>
              <w:rPr>
                <w:rFonts w:hint="eastAsia" w:ascii="宋体" w:hAnsi="宋体" w:cs="宋体"/>
              </w:rPr>
              <w:t>符合性审查</w:t>
            </w:r>
          </w:p>
        </w:tc>
        <w:tc>
          <w:tcPr>
            <w:tcW w:w="7573" w:type="dxa"/>
            <w:vAlign w:val="center"/>
          </w:tcPr>
          <w:p>
            <w:pPr>
              <w:spacing w:line="360" w:lineRule="auto"/>
              <w:rPr>
                <w:rFonts w:ascii="宋体" w:hAnsi="宋体"/>
              </w:rPr>
            </w:pPr>
            <w:r>
              <w:rPr>
                <w:rFonts w:hint="eastAsia" w:ascii="宋体" w:hAnsi="宋体" w:cs="宋体"/>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360" w:lineRule="auto"/>
              <w:rPr>
                <w:rFonts w:ascii="宋体" w:hAnsi="宋体"/>
              </w:rPr>
            </w:pPr>
          </w:p>
        </w:tc>
        <w:tc>
          <w:tcPr>
            <w:tcW w:w="7573" w:type="dxa"/>
            <w:vAlign w:val="center"/>
          </w:tcPr>
          <w:p>
            <w:pPr>
              <w:spacing w:line="360" w:lineRule="auto"/>
              <w:rPr>
                <w:rFonts w:ascii="宋体" w:hAnsi="宋体"/>
              </w:rPr>
            </w:pPr>
            <w:r>
              <w:rPr>
                <w:rFonts w:hint="eastAsia" w:ascii="宋体" w:hAnsi="宋体" w:cs="宋体"/>
              </w:rPr>
              <w:t>按照采购文件规定要求签署、盖章且投标文件有法定代表人</w:t>
            </w:r>
            <w:r>
              <w:rPr>
                <w:rFonts w:hint="eastAsia" w:ascii="宋体" w:hAnsi="宋体" w:cs="宋体"/>
                <w:lang w:eastAsia="zh-TW"/>
              </w:rPr>
              <w:t>签署本人姓名（或印盖本人姓名章）</w:t>
            </w:r>
            <w:r>
              <w:rPr>
                <w:rFonts w:hint="eastAsia" w:ascii="宋体" w:hAnsi="宋体" w:cs="宋体"/>
              </w:rPr>
              <w:t>，或</w:t>
            </w:r>
            <w:r>
              <w:rPr>
                <w:rFonts w:hint="eastAsia" w:ascii="宋体" w:hAnsi="宋体" w:cs="宋体"/>
                <w:lang w:eastAsia="zh-TW"/>
              </w:rPr>
              <w:t>签署</w:t>
            </w:r>
            <w:r>
              <w:rPr>
                <w:rFonts w:hint="eastAsia" w:ascii="宋体" w:hAnsi="宋体" w:cs="宋体"/>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360" w:lineRule="auto"/>
              <w:rPr>
                <w:rFonts w:ascii="宋体" w:hAnsi="宋体"/>
              </w:rPr>
            </w:pPr>
          </w:p>
        </w:tc>
        <w:tc>
          <w:tcPr>
            <w:tcW w:w="7573" w:type="dxa"/>
            <w:vAlign w:val="center"/>
          </w:tcPr>
          <w:p>
            <w:pPr>
              <w:spacing w:line="360" w:lineRule="auto"/>
              <w:rPr>
                <w:rFonts w:ascii="宋体" w:hAnsi="宋体"/>
              </w:rPr>
            </w:pPr>
            <w:r>
              <w:rPr>
                <w:rFonts w:hint="eastAsia" w:ascii="宋体" w:hAnsi="宋体" w:cs="宋体"/>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360" w:lineRule="auto"/>
              <w:rPr>
                <w:rFonts w:ascii="宋体" w:hAnsi="宋体"/>
              </w:rPr>
            </w:pPr>
          </w:p>
        </w:tc>
        <w:tc>
          <w:tcPr>
            <w:tcW w:w="7573" w:type="dxa"/>
            <w:vAlign w:val="center"/>
          </w:tcPr>
          <w:p>
            <w:pPr>
              <w:spacing w:line="360" w:lineRule="auto"/>
              <w:rPr>
                <w:rFonts w:ascii="宋体" w:hAnsi="宋体"/>
              </w:rPr>
            </w:pPr>
            <w:r>
              <w:rPr>
                <w:rFonts w:hint="eastAsia" w:ascii="宋体" w:hAnsi="宋体" w:cs="宋体"/>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360" w:lineRule="auto"/>
              <w:rPr>
                <w:rFonts w:ascii="宋体" w:hAnsi="宋体"/>
              </w:rPr>
            </w:pPr>
          </w:p>
        </w:tc>
        <w:tc>
          <w:tcPr>
            <w:tcW w:w="7573" w:type="dxa"/>
            <w:vAlign w:val="center"/>
          </w:tcPr>
          <w:p>
            <w:pPr>
              <w:spacing w:line="360" w:lineRule="auto"/>
              <w:rPr>
                <w:rFonts w:ascii="宋体" w:hAnsi="宋体"/>
              </w:rPr>
            </w:pPr>
            <w:r>
              <w:rPr>
                <w:rFonts w:hint="eastAsia" w:ascii="宋体" w:hAnsi="宋体" w:cs="宋体"/>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360" w:lineRule="auto"/>
              <w:rPr>
                <w:rFonts w:ascii="宋体" w:hAnsi="宋体"/>
              </w:rPr>
            </w:pPr>
          </w:p>
        </w:tc>
        <w:tc>
          <w:tcPr>
            <w:tcW w:w="7573" w:type="dxa"/>
            <w:vAlign w:val="center"/>
          </w:tcPr>
          <w:p>
            <w:pPr>
              <w:spacing w:line="360" w:lineRule="auto"/>
              <w:rPr>
                <w:rFonts w:ascii="宋体" w:hAnsi="宋体"/>
              </w:rPr>
            </w:pPr>
            <w:r>
              <w:rPr>
                <w:rFonts w:hint="eastAsia" w:ascii="宋体" w:hAnsi="宋体" w:cs="宋体"/>
              </w:rPr>
              <w:t>按照采购文件要求提供其他证明材料（如有）。</w:t>
            </w:r>
          </w:p>
        </w:tc>
      </w:tr>
    </w:tbl>
    <w:p>
      <w:pPr>
        <w:snapToGrid w:val="0"/>
        <w:spacing w:before="120" w:beforeLines="50" w:line="360" w:lineRule="auto"/>
        <w:ind w:firstLine="413" w:firstLineChars="196"/>
        <w:outlineLvl w:val="2"/>
        <w:rPr>
          <w:rFonts w:ascii="宋体" w:hAnsi="宋体" w:cs="宋体"/>
          <w:b/>
          <w:bCs/>
        </w:rPr>
      </w:pPr>
      <w:r>
        <w:rPr>
          <w:rFonts w:ascii="宋体" w:hAnsi="宋体" w:cs="宋体"/>
          <w:b/>
          <w:bCs/>
        </w:rPr>
        <w:t>3.</w:t>
      </w:r>
      <w:r>
        <w:rPr>
          <w:rFonts w:hint="eastAsia" w:ascii="宋体" w:hAnsi="宋体" w:cs="宋体"/>
          <w:b/>
          <w:bCs/>
        </w:rPr>
        <w:t>详细评审</w:t>
      </w:r>
    </w:p>
    <w:p>
      <w:pPr>
        <w:spacing w:line="360" w:lineRule="auto"/>
        <w:ind w:firstLine="420" w:firstLineChars="200"/>
        <w:rPr>
          <w:rFonts w:ascii="宋体" w:hAnsi="宋体"/>
        </w:rPr>
      </w:pPr>
      <w:r>
        <w:rPr>
          <w:rFonts w:hint="eastAsia" w:ascii="宋体" w:hAnsi="宋体" w:cs="宋体"/>
        </w:rPr>
        <w:t>评标委员会对资格审查、符合性审查合格的投标文件，依照本办法对投标文件作进一步评审、比较。评标委员会成员经过阅标、审标和询标，对各供应商进行打分。</w:t>
      </w:r>
    </w:p>
    <w:p>
      <w:pPr>
        <w:spacing w:line="360" w:lineRule="auto"/>
        <w:ind w:firstLine="420" w:firstLineChars="200"/>
        <w:rPr>
          <w:rFonts w:ascii="宋体" w:hAnsi="宋体"/>
        </w:rPr>
      </w:pPr>
      <w:r>
        <w:rPr>
          <w:rFonts w:hint="eastAsia" w:ascii="宋体" w:hAnsi="宋体" w:cs="宋体"/>
        </w:rPr>
        <w:t>评委打分参照本部分附表《评分标准表》。由各评标委员会成员根据供应商的投标文件及相关澄清文件，进行独立打分。评委打分采用记名方式，取算术平均分（小数点后保留两位小数）。对明显畸高、畸低的评分（其总评分偏离平均分</w:t>
      </w:r>
      <w:r>
        <w:rPr>
          <w:rFonts w:ascii="宋体" w:hAnsi="宋体"/>
        </w:rPr>
        <w:t>30%</w:t>
      </w:r>
      <w:r>
        <w:rPr>
          <w:rFonts w:hint="eastAsia" w:ascii="宋体" w:hAnsi="宋体" w:cs="宋体"/>
        </w:rPr>
        <w:t>以上的），评标委员会主任委员提醒相关评审人员进行复核或书面说明理由。</w:t>
      </w:r>
    </w:p>
    <w:p>
      <w:pPr>
        <w:snapToGrid w:val="0"/>
        <w:spacing w:before="120" w:beforeLines="50" w:line="360" w:lineRule="auto"/>
        <w:ind w:firstLine="413" w:firstLineChars="196"/>
        <w:outlineLvl w:val="2"/>
        <w:rPr>
          <w:rFonts w:ascii="宋体" w:hAnsi="宋体"/>
          <w:b/>
          <w:bCs/>
        </w:rPr>
      </w:pPr>
      <w:bookmarkStart w:id="1" w:name="_Toc512554440"/>
      <w:bookmarkStart w:id="2" w:name="_Toc13921"/>
      <w:r>
        <w:rPr>
          <w:rFonts w:ascii="宋体" w:hAnsi="宋体" w:cs="宋体"/>
          <w:b/>
          <w:bCs/>
        </w:rPr>
        <w:t>4.</w:t>
      </w:r>
      <w:r>
        <w:rPr>
          <w:rFonts w:hint="eastAsia" w:ascii="宋体" w:hAnsi="宋体" w:cs="宋体"/>
          <w:b/>
          <w:bCs/>
        </w:rPr>
        <w:t>投标无效的情形</w:t>
      </w:r>
      <w:bookmarkEnd w:id="1"/>
      <w:bookmarkEnd w:id="2"/>
    </w:p>
    <w:p>
      <w:pPr>
        <w:spacing w:line="360" w:lineRule="auto"/>
        <w:ind w:firstLine="420" w:firstLineChars="200"/>
        <w:rPr>
          <w:rFonts w:ascii="宋体" w:hAnsi="宋体"/>
        </w:rPr>
      </w:pPr>
      <w:r>
        <w:rPr>
          <w:rFonts w:hint="eastAsia" w:ascii="宋体" w:hAnsi="宋体" w:cs="宋体"/>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pStyle w:val="21"/>
        <w:numPr>
          <w:ilvl w:val="0"/>
          <w:numId w:val="4"/>
        </w:numPr>
        <w:snapToGrid w:val="0"/>
        <w:spacing w:after="120" w:line="360" w:lineRule="auto"/>
        <w:ind w:left="845"/>
        <w:rPr>
          <w:rFonts w:hAnsi="宋体"/>
          <w:b/>
          <w:bCs/>
          <w:sz w:val="21"/>
          <w:szCs w:val="21"/>
        </w:rPr>
      </w:pPr>
      <w:r>
        <w:rPr>
          <w:rFonts w:hint="eastAsia" w:hAnsi="宋体"/>
          <w:b/>
          <w:bCs/>
          <w:sz w:val="21"/>
          <w:szCs w:val="21"/>
        </w:rPr>
        <w:t>在资格审查中，如发现下列情形之一的，投标文件将被视为无效：</w:t>
      </w:r>
    </w:p>
    <w:p>
      <w:pPr>
        <w:pStyle w:val="122"/>
        <w:numPr>
          <w:ilvl w:val="0"/>
          <w:numId w:val="5"/>
        </w:numPr>
        <w:spacing w:line="360" w:lineRule="auto"/>
        <w:ind w:firstLineChars="0"/>
        <w:rPr>
          <w:rFonts w:ascii="宋体" w:hAnsi="宋体" w:cs="宋体"/>
        </w:rPr>
      </w:pPr>
      <w:r>
        <w:rPr>
          <w:rFonts w:hint="eastAsia" w:ascii="宋体" w:hAnsi="宋体" w:cs="宋体"/>
        </w:rPr>
        <w:t>资格证明文件不全的，或者不符合采购文件标明的资格要求的；</w:t>
      </w:r>
    </w:p>
    <w:p>
      <w:pPr>
        <w:pStyle w:val="21"/>
        <w:numPr>
          <w:ilvl w:val="0"/>
          <w:numId w:val="4"/>
        </w:numPr>
        <w:snapToGrid w:val="0"/>
        <w:spacing w:after="120" w:line="360" w:lineRule="auto"/>
        <w:ind w:left="845"/>
        <w:rPr>
          <w:rFonts w:hAnsi="宋体"/>
          <w:b/>
          <w:bCs/>
          <w:sz w:val="21"/>
          <w:szCs w:val="21"/>
        </w:rPr>
      </w:pPr>
      <w:r>
        <w:rPr>
          <w:rFonts w:hint="eastAsia" w:hAnsi="宋体"/>
          <w:b/>
          <w:bCs/>
          <w:sz w:val="21"/>
          <w:szCs w:val="21"/>
        </w:rPr>
        <w:t>在符合性审查和商务评审时，如发现下列情形之一的，投标文件将被视为无效：</w:t>
      </w:r>
    </w:p>
    <w:p>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）投标文件无法定代表人签字</w:t>
      </w:r>
      <w:r>
        <w:rPr>
          <w:rFonts w:ascii="宋体" w:hAnsi="宋体"/>
        </w:rPr>
        <w:t>,</w:t>
      </w:r>
      <w:r>
        <w:rPr>
          <w:rFonts w:hint="eastAsia" w:ascii="宋体" w:hAnsi="宋体" w:cs="宋体"/>
        </w:rPr>
        <w:t>或未提供法定代表人授权委托书、投标声明书或者填写项目不齐全的；</w:t>
      </w:r>
    </w:p>
    <w:p>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）投标代表人未能出具身份证明或与法定代表人授权委托人身份不符的；</w:t>
      </w:r>
      <w:r>
        <w:rPr>
          <w:rFonts w:ascii="宋体" w:hAnsi="宋体"/>
        </w:rPr>
        <w:t xml:space="preserve"> </w:t>
      </w:r>
    </w:p>
    <w:p>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）投标文件格式不规范、项目不齐全或者内容虚假的；</w:t>
      </w:r>
    </w:p>
    <w:p>
      <w:pPr>
        <w:spacing w:line="360" w:lineRule="auto"/>
        <w:ind w:firstLine="420" w:firstLineChars="200"/>
        <w:rPr>
          <w:rFonts w:ascii="宋体" w:hAnsi="宋体"/>
        </w:rPr>
      </w:pPr>
      <w:r>
        <w:rPr>
          <w:rFonts w:hint="eastAsia" w:ascii="宋体" w:hAnsi="宋体" w:cs="宋体"/>
        </w:rPr>
        <w:t>（</w:t>
      </w:r>
      <w:r>
        <w:rPr>
          <w:rFonts w:ascii="宋体" w:hAnsi="宋体"/>
        </w:rPr>
        <w:t>4</w:t>
      </w:r>
      <w:r>
        <w:rPr>
          <w:rFonts w:hint="eastAsia" w:ascii="宋体" w:hAnsi="宋体" w:cs="宋体"/>
        </w:rPr>
        <w:t>）投标文件的实质性内容未使用中文表述、意思表述不明确、前后矛盾或者使用计量单位不符合采购文件要求的（经评标委员会认定并允许其当场更正的笔误除外）；</w:t>
      </w:r>
    </w:p>
    <w:p>
      <w:pPr>
        <w:pStyle w:val="21"/>
        <w:snapToGrid w:val="0"/>
        <w:spacing w:after="120" w:line="360" w:lineRule="auto"/>
        <w:ind w:firstLine="411" w:firstLineChars="196"/>
        <w:rPr>
          <w:rFonts w:hAnsi="宋体"/>
          <w:spacing w:val="0"/>
          <w:sz w:val="21"/>
          <w:szCs w:val="21"/>
        </w:rPr>
      </w:pPr>
      <w:r>
        <w:rPr>
          <w:rFonts w:hint="eastAsia" w:hAnsi="宋体"/>
          <w:spacing w:val="0"/>
          <w:sz w:val="21"/>
          <w:szCs w:val="21"/>
        </w:rPr>
        <w:t>（</w:t>
      </w:r>
      <w:r>
        <w:rPr>
          <w:rFonts w:hAnsi="宋体"/>
          <w:spacing w:val="0"/>
          <w:sz w:val="21"/>
          <w:szCs w:val="21"/>
        </w:rPr>
        <w:t>5</w:t>
      </w:r>
      <w:r>
        <w:rPr>
          <w:rFonts w:hint="eastAsia" w:hAnsi="宋体"/>
          <w:spacing w:val="0"/>
          <w:sz w:val="21"/>
          <w:szCs w:val="21"/>
        </w:rPr>
        <w:t>）投标有效期等商务条款不能满足采购文件要求的；</w:t>
      </w:r>
    </w:p>
    <w:p>
      <w:pPr>
        <w:spacing w:line="360" w:lineRule="auto"/>
        <w:ind w:firstLine="420" w:firstLineChars="200"/>
        <w:rPr>
          <w:rFonts w:ascii="宋体" w:hAnsi="宋体"/>
        </w:rPr>
      </w:pPr>
      <w:r>
        <w:rPr>
          <w:rFonts w:hint="eastAsia" w:ascii="宋体" w:hAnsi="宋体" w:cs="宋体"/>
        </w:rPr>
        <w:t>（</w:t>
      </w:r>
      <w:r>
        <w:rPr>
          <w:rFonts w:ascii="宋体" w:hAnsi="宋体"/>
        </w:rPr>
        <w:t>6</w:t>
      </w:r>
      <w:r>
        <w:rPr>
          <w:rFonts w:hint="eastAsia" w:ascii="宋体" w:hAnsi="宋体" w:cs="宋体"/>
        </w:rPr>
        <w:t>）未实质性响应采购文件要求或者投标文件有招标方不能接受的附加条件的；</w:t>
      </w:r>
    </w:p>
    <w:p>
      <w:pPr>
        <w:spacing w:line="360" w:lineRule="auto"/>
        <w:ind w:firstLine="420" w:firstLineChars="200"/>
        <w:rPr>
          <w:rFonts w:ascii="宋体" w:hAnsi="宋体"/>
        </w:rPr>
      </w:pPr>
      <w:r>
        <w:rPr>
          <w:rFonts w:hint="eastAsia" w:ascii="宋体" w:hAnsi="宋体" w:cs="宋体"/>
        </w:rPr>
        <w:t>（</w:t>
      </w:r>
      <w:r>
        <w:rPr>
          <w:rFonts w:hint="eastAsia" w:ascii="宋体" w:hAnsi="宋体"/>
        </w:rPr>
        <w:t>7</w:t>
      </w:r>
      <w:r>
        <w:rPr>
          <w:rFonts w:hint="eastAsia" w:ascii="宋体" w:hAnsi="宋体" w:cs="宋体"/>
        </w:rPr>
        <w:t>）未按规定签章的；</w:t>
      </w:r>
    </w:p>
    <w:p>
      <w:pPr>
        <w:spacing w:line="360" w:lineRule="auto"/>
        <w:ind w:firstLine="420" w:firstLineChars="200"/>
        <w:rPr>
          <w:rFonts w:ascii="宋体" w:hAnsi="宋体"/>
        </w:rPr>
      </w:pPr>
      <w:r>
        <w:rPr>
          <w:rFonts w:hint="eastAsia" w:ascii="宋体" w:hAnsi="宋体" w:cs="宋体"/>
        </w:rPr>
        <w:t>（</w:t>
      </w:r>
      <w:r>
        <w:rPr>
          <w:rFonts w:hint="eastAsia" w:ascii="宋体" w:hAnsi="宋体"/>
        </w:rPr>
        <w:t>8</w:t>
      </w:r>
      <w:r>
        <w:rPr>
          <w:rFonts w:hint="eastAsia" w:ascii="宋体" w:hAnsi="宋体" w:cs="宋体"/>
        </w:rPr>
        <w:t>）投标文件的关键内容字迹模糊、无法辨认的</w:t>
      </w:r>
      <w:r>
        <w:rPr>
          <w:rFonts w:ascii="宋体" w:hAnsi="宋体"/>
        </w:rPr>
        <w:t>,</w:t>
      </w:r>
      <w:r>
        <w:rPr>
          <w:rFonts w:hint="eastAsia" w:ascii="宋体" w:hAnsi="宋体" w:cs="宋体"/>
        </w:rPr>
        <w:t>或者投标文件中经修正的内容字迹模糊难以辩认或者修改处未按规定签名盖章的；</w:t>
      </w:r>
      <w:r>
        <w:rPr>
          <w:rFonts w:ascii="宋体" w:hAnsi="宋体"/>
        </w:rPr>
        <w:t xml:space="preserve"> </w:t>
      </w:r>
    </w:p>
    <w:p>
      <w:pPr>
        <w:pStyle w:val="21"/>
        <w:numPr>
          <w:ilvl w:val="0"/>
          <w:numId w:val="4"/>
        </w:numPr>
        <w:snapToGrid w:val="0"/>
        <w:spacing w:after="120" w:line="360" w:lineRule="auto"/>
        <w:ind w:left="845"/>
        <w:rPr>
          <w:rFonts w:hAnsi="宋体"/>
          <w:b/>
          <w:bCs/>
          <w:sz w:val="21"/>
          <w:szCs w:val="21"/>
        </w:rPr>
      </w:pPr>
      <w:r>
        <w:rPr>
          <w:rFonts w:hint="eastAsia" w:hAnsi="宋体"/>
          <w:b/>
          <w:bCs/>
          <w:sz w:val="21"/>
          <w:szCs w:val="21"/>
        </w:rPr>
        <w:t>在技术评审时，如发现下列情形之一的，投标文件将被视为无效：</w:t>
      </w:r>
    </w:p>
    <w:p>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）未提供或未如实提供投标货物或服务的技术参数，或者投标文件标明的响应或偏离与事实不符或虚假投标的；</w:t>
      </w:r>
    </w:p>
    <w:p>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）明显不符合采购文件要求的规格型号、质量标准，或者与采购文件中标“★”的技术指标、主要功能项目发生实质性偏离的；</w:t>
      </w:r>
    </w:p>
    <w:p>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）投标技术方案不明确，存在一个或一个以上备选（替代）投标方案的；</w:t>
      </w:r>
    </w:p>
    <w:p>
      <w:pPr>
        <w:pStyle w:val="21"/>
        <w:numPr>
          <w:ilvl w:val="0"/>
          <w:numId w:val="4"/>
        </w:numPr>
        <w:snapToGrid w:val="0"/>
        <w:spacing w:after="120" w:line="360" w:lineRule="auto"/>
        <w:ind w:left="845"/>
        <w:rPr>
          <w:rFonts w:hAnsi="宋体"/>
          <w:b/>
          <w:bCs/>
          <w:sz w:val="21"/>
          <w:szCs w:val="21"/>
        </w:rPr>
      </w:pPr>
      <w:r>
        <w:rPr>
          <w:rFonts w:hint="eastAsia" w:hAnsi="宋体"/>
          <w:b/>
          <w:bCs/>
          <w:sz w:val="21"/>
          <w:szCs w:val="21"/>
        </w:rPr>
        <w:t>在报价评审时，如发现下列情形之一的，投标文件将被视为无效：</w:t>
      </w:r>
    </w:p>
    <w:p>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）未采用人民币报价或者未按照采购文件标明的币种报价的；</w:t>
      </w:r>
    </w:p>
    <w:p>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）报价超出最高限价，或者超出采购预算金额</w:t>
      </w:r>
      <w:r>
        <w:rPr>
          <w:rFonts w:ascii="宋体" w:hAnsi="宋体"/>
        </w:rPr>
        <w:t>(</w:t>
      </w:r>
      <w:r>
        <w:rPr>
          <w:rFonts w:hint="eastAsia" w:ascii="宋体" w:hAnsi="宋体" w:cs="宋体"/>
        </w:rPr>
        <w:t>自主创新产品除外</w:t>
      </w:r>
      <w:r>
        <w:rPr>
          <w:rFonts w:ascii="宋体" w:hAnsi="宋体"/>
        </w:rPr>
        <w:t>)</w:t>
      </w:r>
      <w:r>
        <w:rPr>
          <w:rFonts w:hint="eastAsia" w:ascii="宋体" w:hAnsi="宋体" w:cs="宋体"/>
        </w:rPr>
        <w:t>，采购人不能支付的；</w:t>
      </w:r>
    </w:p>
    <w:p>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）投标报价具有选择性；</w:t>
      </w:r>
    </w:p>
    <w:p>
      <w:pPr>
        <w:spacing w:line="360" w:lineRule="auto"/>
        <w:ind w:firstLine="420" w:firstLineChars="200"/>
        <w:rPr>
          <w:rFonts w:ascii="宋体" w:hAnsi="宋体"/>
        </w:rPr>
      </w:pPr>
      <w:r>
        <w:rPr>
          <w:rFonts w:hint="eastAsia" w:ascii="宋体" w:hAnsi="宋体" w:cs="宋体"/>
        </w:rPr>
        <w:t>（</w:t>
      </w:r>
      <w:r>
        <w:rPr>
          <w:rFonts w:ascii="宋体" w:hAnsi="宋体"/>
        </w:rPr>
        <w:t>4</w:t>
      </w:r>
      <w:r>
        <w:rPr>
          <w:rFonts w:hint="eastAsia" w:ascii="宋体" w:hAnsi="宋体" w:cs="宋体"/>
        </w:rPr>
        <w:t>）投标报价中出现重大缺项、漏项；</w:t>
      </w:r>
    </w:p>
    <w:p>
      <w:pPr>
        <w:spacing w:line="360" w:lineRule="auto"/>
        <w:ind w:firstLine="420" w:firstLineChars="200"/>
        <w:rPr>
          <w:rFonts w:ascii="宋体" w:hAnsi="宋体"/>
        </w:rPr>
      </w:pPr>
      <w:r>
        <w:rPr>
          <w:rFonts w:hint="eastAsia" w:ascii="宋体" w:hAnsi="宋体" w:cs="宋体"/>
        </w:rPr>
        <w:t>（</w:t>
      </w:r>
      <w:r>
        <w:rPr>
          <w:rFonts w:ascii="宋体" w:hAnsi="宋体"/>
        </w:rPr>
        <w:t>5</w:t>
      </w:r>
      <w:r>
        <w:rPr>
          <w:rFonts w:hint="eastAsia" w:ascii="宋体" w:hAnsi="宋体" w:cs="宋体"/>
        </w:rPr>
        <w:t>）评标委员会认为供应商的报价明显低于其他通过符合性审查供应商的报价，有可能影响产品质量或者不能诚信履约的，且不能在评标现场合理时间内提供相关证明材料说明其报价的合理性的。</w:t>
      </w:r>
    </w:p>
    <w:p>
      <w:pPr>
        <w:pStyle w:val="21"/>
        <w:numPr>
          <w:ilvl w:val="0"/>
          <w:numId w:val="4"/>
        </w:numPr>
        <w:snapToGrid w:val="0"/>
        <w:spacing w:after="120" w:line="360" w:lineRule="auto"/>
        <w:ind w:left="845"/>
        <w:rPr>
          <w:rFonts w:hAnsi="宋体"/>
          <w:b/>
          <w:bCs/>
          <w:sz w:val="21"/>
          <w:szCs w:val="21"/>
        </w:rPr>
      </w:pPr>
      <w:r>
        <w:rPr>
          <w:rFonts w:hint="eastAsia" w:hAnsi="宋体"/>
          <w:b/>
          <w:bCs/>
          <w:sz w:val="21"/>
          <w:szCs w:val="21"/>
        </w:rPr>
        <w:t>法律、法规和采购文件规定的其他无效情形。</w:t>
      </w:r>
    </w:p>
    <w:p>
      <w:pPr>
        <w:spacing w:line="360" w:lineRule="auto"/>
        <w:ind w:firstLine="422" w:firstLineChars="200"/>
        <w:rPr>
          <w:rFonts w:ascii="宋体" w:hAnsi="宋体"/>
          <w:b/>
          <w:bCs/>
        </w:rPr>
      </w:pPr>
      <w:r>
        <w:rPr>
          <w:rFonts w:ascii="宋体" w:hAnsi="宋体"/>
          <w:b/>
          <w:bCs/>
        </w:rPr>
        <w:t>5.</w:t>
      </w:r>
      <w:r>
        <w:rPr>
          <w:rFonts w:hint="eastAsia" w:ascii="宋体" w:hAnsi="宋体" w:cs="宋体"/>
          <w:b/>
          <w:bCs/>
        </w:rPr>
        <w:t>中标原则</w:t>
      </w:r>
    </w:p>
    <w:p>
      <w:pPr>
        <w:spacing w:line="360" w:lineRule="auto"/>
        <w:ind w:firstLine="420" w:firstLineChars="200"/>
        <w:rPr>
          <w:rFonts w:ascii="宋体" w:hAnsi="宋体"/>
        </w:rPr>
      </w:pPr>
      <w:r>
        <w:rPr>
          <w:rFonts w:hint="eastAsia" w:ascii="宋体" w:hAnsi="宋体" w:cs="宋体"/>
        </w:rPr>
        <w:t>评标委员会根据供应商的投标文件的总得分高低排定顺序，推荐综合得分最高的为中标候选人；若综合得分相同，则报价低者为中标候选人；若报价也相同则由抽签决定中标候选人。评标委员会推荐综合得分排名第一的供应商为本项目的第一中标候选人。</w:t>
      </w:r>
    </w:p>
    <w:p>
      <w:pPr>
        <w:spacing w:line="360" w:lineRule="auto"/>
        <w:ind w:firstLine="420" w:firstLineChars="200"/>
        <w:rPr>
          <w:rFonts w:ascii="宋体" w:hAnsi="宋体"/>
        </w:rPr>
      </w:pPr>
      <w:r>
        <w:rPr>
          <w:rFonts w:hint="eastAsia" w:ascii="宋体" w:hAnsi="宋体" w:cs="宋体"/>
        </w:rPr>
        <w:t>若中标供应商因投标过程中所提供的资料有失实或弄虚作假的或放弃中标或因不可抗力提出不能履行合同或未按规定提交履约保证金的，则采购人可确定排名次之的中标候选人为中标供应商或重新组织招标。</w:t>
      </w:r>
    </w:p>
    <w:p>
      <w:pPr>
        <w:spacing w:line="360" w:lineRule="auto"/>
        <w:ind w:firstLine="422" w:firstLineChars="200"/>
        <w:rPr>
          <w:rFonts w:ascii="宋体" w:hAnsi="宋体"/>
          <w:b/>
          <w:bCs/>
        </w:rPr>
      </w:pPr>
      <w:r>
        <w:rPr>
          <w:rFonts w:ascii="宋体" w:hAnsi="宋体"/>
          <w:b/>
          <w:bCs/>
        </w:rPr>
        <w:t>6.</w:t>
      </w:r>
      <w:r>
        <w:rPr>
          <w:rFonts w:hint="eastAsia" w:ascii="宋体" w:hAnsi="宋体" w:cs="宋体"/>
          <w:b/>
          <w:bCs/>
        </w:rPr>
        <w:t>中标结果</w:t>
      </w:r>
    </w:p>
    <w:p>
      <w:pPr>
        <w:snapToGrid w:val="0"/>
        <w:spacing w:line="360" w:lineRule="auto"/>
        <w:ind w:firstLine="420" w:firstLineChars="200"/>
        <w:rPr>
          <w:rFonts w:ascii="宋体" w:hAnsi="宋体"/>
        </w:rPr>
      </w:pPr>
      <w:r>
        <w:rPr>
          <w:rFonts w:hint="eastAsia" w:ascii="宋体" w:hAnsi="宋体" w:cs="宋体"/>
        </w:rPr>
        <w:t>采购机构将中标结果在政府采购指定媒体上公示，根据公示和决标结果，向中标人发出中标通知书。</w:t>
      </w:r>
    </w:p>
    <w:p>
      <w:pPr>
        <w:snapToGrid w:val="0"/>
        <w:spacing w:line="360" w:lineRule="auto"/>
        <w:ind w:firstLine="422" w:firstLineChars="200"/>
        <w:rPr>
          <w:rFonts w:ascii="宋体" w:hAnsi="宋体"/>
          <w:b/>
          <w:bCs/>
        </w:rPr>
      </w:pPr>
      <w:r>
        <w:rPr>
          <w:rFonts w:hint="eastAsia" w:ascii="宋体" w:hAnsi="宋体" w:cs="宋体"/>
          <w:b/>
          <w:bCs/>
        </w:rPr>
        <w:t>（四）澄清问题的形式</w:t>
      </w:r>
    </w:p>
    <w:p>
      <w:pPr>
        <w:spacing w:line="360" w:lineRule="auto"/>
        <w:ind w:firstLine="420" w:firstLineChars="200"/>
        <w:rPr>
          <w:rFonts w:ascii="宋体" w:hAnsi="宋体"/>
          <w:b/>
          <w:bCs/>
        </w:rPr>
      </w:pPr>
      <w:r>
        <w:rPr>
          <w:rFonts w:hint="eastAsia" w:ascii="宋体" w:hAnsi="宋体" w:cs="宋体"/>
        </w:rPr>
        <w:t>对于投标文件中含义不明确、同类问题表述不一致或者有明显文字和计算错误的内容，</w:t>
      </w:r>
      <w:r>
        <w:rPr>
          <w:rFonts w:hint="eastAsia" w:ascii="宋体" w:hAnsi="宋体" w:cs="宋体"/>
          <w:b/>
          <w:bCs/>
        </w:rPr>
        <w:t>评标委员会应当以书面形式要求供应商作出必要的澄清、说明或者补正。</w:t>
      </w:r>
      <w:r>
        <w:rPr>
          <w:rFonts w:hint="eastAsia" w:ascii="宋体" w:hAnsi="宋体" w:cs="宋体"/>
        </w:rPr>
        <w:t>供应商的澄清、说明或者补正应当采用书面形式，并加盖公章，或者由法定代表人或其授权的代表签字。</w:t>
      </w:r>
      <w:r>
        <w:rPr>
          <w:rFonts w:hint="eastAsia" w:ascii="宋体" w:hAnsi="宋体" w:cs="宋体"/>
          <w:b/>
          <w:bCs/>
        </w:rPr>
        <w:t>供应商的澄清、说明或者补正不得超出投标文件的范围或者改变投标文件的实质性内容。</w:t>
      </w:r>
    </w:p>
    <w:p>
      <w:pPr>
        <w:spacing w:line="360" w:lineRule="auto"/>
        <w:ind w:firstLine="422" w:firstLineChars="200"/>
        <w:rPr>
          <w:rFonts w:ascii="宋体" w:hAnsi="宋体"/>
          <w:b/>
          <w:bCs/>
        </w:rPr>
      </w:pPr>
      <w:r>
        <w:rPr>
          <w:rFonts w:hint="eastAsia" w:ascii="宋体" w:hAnsi="宋体" w:cs="宋体"/>
          <w:b/>
          <w:bCs/>
        </w:rPr>
        <w:t>（五）错误修正</w:t>
      </w:r>
    </w:p>
    <w:p>
      <w:pPr>
        <w:spacing w:line="360" w:lineRule="auto"/>
        <w:ind w:firstLine="420" w:firstLineChars="200"/>
        <w:rPr>
          <w:rFonts w:ascii="宋体" w:hAnsi="宋体"/>
        </w:rPr>
      </w:pPr>
      <w:r>
        <w:rPr>
          <w:rFonts w:hint="eastAsia" w:ascii="宋体" w:hAnsi="宋体" w:cs="宋体"/>
        </w:rPr>
        <w:t>投标文件报价出现前后不一致的，除采购文件另有规定外，按照下列规定修正：</w:t>
      </w:r>
    </w:p>
    <w:p>
      <w:pPr>
        <w:spacing w:line="360" w:lineRule="auto"/>
        <w:ind w:firstLine="420" w:firstLineChars="200"/>
        <w:rPr>
          <w:rFonts w:ascii="宋体" w:hAnsi="宋体"/>
        </w:rPr>
      </w:pPr>
      <w:r>
        <w:rPr>
          <w:rFonts w:ascii="宋体" w:hAnsi="宋体" w:cs="宋体"/>
        </w:rPr>
        <w:t>1.</w:t>
      </w:r>
      <w:r>
        <w:rPr>
          <w:rFonts w:hint="eastAsia" w:ascii="宋体" w:hAnsi="宋体" w:cs="宋体"/>
        </w:rPr>
        <w:t>投标文件中开标一览表（报价表）内容与投标文件中相应内容不一致的，以开标一览表（报价表）为准；</w:t>
      </w:r>
    </w:p>
    <w:p>
      <w:pPr>
        <w:spacing w:line="360" w:lineRule="auto"/>
        <w:ind w:firstLine="420" w:firstLineChars="200"/>
        <w:rPr>
          <w:rFonts w:ascii="宋体" w:hAnsi="宋体"/>
        </w:rPr>
      </w:pPr>
      <w:r>
        <w:rPr>
          <w:rFonts w:ascii="宋体" w:hAnsi="宋体" w:cs="宋体"/>
        </w:rPr>
        <w:t>2.</w:t>
      </w:r>
      <w:r>
        <w:rPr>
          <w:rFonts w:hint="eastAsia" w:ascii="宋体" w:hAnsi="宋体" w:cs="宋体"/>
        </w:rPr>
        <w:t>大写金额和小写金额不一致的，以大写金额为准；</w:t>
      </w:r>
    </w:p>
    <w:p>
      <w:pPr>
        <w:spacing w:line="360" w:lineRule="auto"/>
        <w:ind w:firstLine="420" w:firstLineChars="200"/>
        <w:rPr>
          <w:rFonts w:ascii="宋体" w:hAnsi="宋体"/>
        </w:rPr>
      </w:pPr>
      <w:r>
        <w:rPr>
          <w:rFonts w:ascii="宋体" w:hAnsi="宋体" w:cs="宋体"/>
        </w:rPr>
        <w:t>3.</w:t>
      </w:r>
      <w:r>
        <w:rPr>
          <w:rFonts w:hint="eastAsia" w:ascii="宋体" w:hAnsi="宋体" w:cs="宋体"/>
        </w:rPr>
        <w:t>单价金额小数点或者百分比有明显错位的，以开标一览表的总价为准，并修改单价；</w:t>
      </w:r>
    </w:p>
    <w:p>
      <w:pPr>
        <w:spacing w:line="360" w:lineRule="auto"/>
        <w:ind w:firstLine="420" w:firstLineChars="200"/>
        <w:rPr>
          <w:rFonts w:ascii="宋体" w:hAnsi="宋体"/>
        </w:rPr>
      </w:pPr>
      <w:r>
        <w:rPr>
          <w:rFonts w:ascii="宋体" w:hAnsi="宋体" w:cs="宋体"/>
        </w:rPr>
        <w:t>4.</w:t>
      </w:r>
      <w:r>
        <w:rPr>
          <w:rFonts w:hint="eastAsia" w:ascii="宋体" w:hAnsi="宋体" w:cs="宋体"/>
        </w:rPr>
        <w:t>总价金额与按单价汇总金额不一致的，以单价金额计算结果为准。</w:t>
      </w:r>
    </w:p>
    <w:p>
      <w:pPr>
        <w:spacing w:line="360" w:lineRule="auto"/>
        <w:ind w:firstLine="422" w:firstLineChars="200"/>
        <w:rPr>
          <w:rFonts w:ascii="宋体" w:hAnsi="宋体"/>
          <w:b/>
          <w:bCs/>
        </w:rPr>
      </w:pPr>
      <w:r>
        <w:rPr>
          <w:rFonts w:hint="eastAsia" w:ascii="宋体" w:hAnsi="宋体" w:cs="宋体"/>
          <w:b/>
          <w:bCs/>
        </w:rPr>
        <w:t>同时出现两种以上不一致的，按照前款规定的顺序修正。修正后的报价经供应商确认后产生约束力，供应商不确认的，其投标无效。</w:t>
      </w:r>
    </w:p>
    <w:p>
      <w:pPr>
        <w:snapToGrid w:val="0"/>
        <w:spacing w:line="360" w:lineRule="auto"/>
        <w:ind w:firstLine="422" w:firstLineChars="200"/>
        <w:rPr>
          <w:rFonts w:ascii="宋体" w:hAnsi="宋体"/>
          <w:b/>
          <w:bCs/>
        </w:rPr>
      </w:pPr>
      <w:r>
        <w:rPr>
          <w:rFonts w:hint="eastAsia" w:ascii="宋体" w:hAnsi="宋体" w:cs="宋体"/>
          <w:b/>
          <w:bCs/>
        </w:rPr>
        <w:t>（六）评标原则和评标办法</w:t>
      </w:r>
    </w:p>
    <w:p>
      <w:pPr>
        <w:spacing w:line="360" w:lineRule="auto"/>
        <w:ind w:firstLine="420" w:firstLineChars="200"/>
        <w:rPr>
          <w:rFonts w:ascii="宋体" w:hAnsi="宋体"/>
        </w:rPr>
      </w:pPr>
      <w:r>
        <w:rPr>
          <w:rFonts w:ascii="宋体" w:hAnsi="宋体" w:cs="宋体"/>
        </w:rPr>
        <w:t>1.</w:t>
      </w:r>
      <w:r>
        <w:rPr>
          <w:rFonts w:hint="eastAsia" w:ascii="宋体" w:hAnsi="宋体" w:cs="宋体"/>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20" w:firstLineChars="200"/>
        <w:rPr>
          <w:rFonts w:ascii="宋体" w:hAnsi="宋体"/>
        </w:rPr>
      </w:pPr>
      <w:r>
        <w:rPr>
          <w:rFonts w:ascii="宋体" w:hAnsi="宋体" w:cs="宋体"/>
        </w:rPr>
        <w:t>2.</w:t>
      </w:r>
      <w:r>
        <w:rPr>
          <w:rFonts w:hint="eastAsia" w:ascii="宋体" w:hAnsi="宋体" w:cs="宋体"/>
        </w:rPr>
        <w:t>评标办法。本项目评标办法是综合评分法</w:t>
      </w:r>
      <w:r>
        <w:rPr>
          <w:rFonts w:ascii="宋体" w:hAnsi="宋体" w:cs="宋体"/>
        </w:rPr>
        <w:t xml:space="preserve"> </w:t>
      </w:r>
      <w:r>
        <w:rPr>
          <w:rFonts w:hint="eastAsia" w:ascii="宋体" w:hAnsi="宋体" w:cs="宋体"/>
        </w:rPr>
        <w:t>，具体评标内容及评分标准等详见《第四章：评标办法及评分标准》。</w:t>
      </w:r>
    </w:p>
    <w:p>
      <w:pPr>
        <w:snapToGrid w:val="0"/>
        <w:spacing w:line="360" w:lineRule="auto"/>
        <w:ind w:firstLine="422" w:firstLineChars="200"/>
        <w:rPr>
          <w:rFonts w:ascii="宋体" w:hAnsi="宋体"/>
          <w:b/>
          <w:bCs/>
        </w:rPr>
      </w:pPr>
      <w:r>
        <w:rPr>
          <w:rFonts w:hint="eastAsia" w:ascii="宋体" w:hAnsi="宋体" w:cs="宋体"/>
          <w:b/>
          <w:bCs/>
        </w:rPr>
        <w:t>（七）评审专家有下列情形之一的，受到邀请应主动提出回避，采购当事人也可以要求该评审专家回避：</w:t>
      </w:r>
    </w:p>
    <w:p>
      <w:pPr>
        <w:spacing w:line="360" w:lineRule="auto"/>
        <w:ind w:firstLine="420" w:firstLineChars="200"/>
        <w:rPr>
          <w:rFonts w:ascii="宋体" w:hAnsi="宋体"/>
        </w:rPr>
      </w:pPr>
      <w:r>
        <w:rPr>
          <w:rFonts w:ascii="宋体" w:hAnsi="宋体" w:cs="宋体"/>
        </w:rPr>
        <w:t>1</w:t>
      </w:r>
      <w:r>
        <w:rPr>
          <w:rFonts w:hint="eastAsia" w:ascii="宋体" w:hAnsi="宋体" w:cs="宋体"/>
        </w:rPr>
        <w:t>、本人、配偶或直系亲属</w:t>
      </w:r>
      <w:r>
        <w:rPr>
          <w:rFonts w:ascii="宋体" w:hAnsi="宋体" w:cs="宋体"/>
        </w:rPr>
        <w:t>3</w:t>
      </w:r>
      <w:r>
        <w:rPr>
          <w:rFonts w:hint="eastAsia" w:ascii="宋体" w:hAnsi="宋体" w:cs="宋体"/>
        </w:rPr>
        <w:t>年内曾在参加该采购项目的供应商中任职（包括一般工作）或担任顾问，或与参加该采购项目的供应商发生过法律纠纷；</w:t>
      </w:r>
    </w:p>
    <w:p>
      <w:pPr>
        <w:spacing w:line="360" w:lineRule="auto"/>
        <w:ind w:firstLine="420" w:firstLineChars="200"/>
        <w:rPr>
          <w:rFonts w:ascii="宋体" w:hAnsi="宋体"/>
        </w:rPr>
      </w:pPr>
      <w:r>
        <w:rPr>
          <w:rFonts w:ascii="宋体" w:hAnsi="宋体" w:cs="宋体"/>
        </w:rPr>
        <w:t>2</w:t>
      </w:r>
      <w:r>
        <w:rPr>
          <w:rFonts w:hint="eastAsia" w:ascii="宋体" w:hAnsi="宋体" w:cs="宋体"/>
        </w:rPr>
        <w:t>、任职单位与采购人或参加该采购项目供应商存在行政隶属关系；</w:t>
      </w:r>
    </w:p>
    <w:p>
      <w:pPr>
        <w:spacing w:line="360" w:lineRule="auto"/>
        <w:ind w:firstLine="420" w:firstLineChars="200"/>
        <w:rPr>
          <w:rFonts w:ascii="宋体" w:hAnsi="宋体"/>
        </w:rPr>
      </w:pPr>
      <w:r>
        <w:rPr>
          <w:rFonts w:ascii="宋体" w:hAnsi="宋体" w:cs="宋体"/>
        </w:rPr>
        <w:t>3</w:t>
      </w:r>
      <w:r>
        <w:rPr>
          <w:rFonts w:hint="eastAsia" w:ascii="宋体" w:hAnsi="宋体" w:cs="宋体"/>
        </w:rPr>
        <w:t>、曾经参加过该采购项目的进口产品或采购文件、采购需求、采购方式的论证和咨询服务工作；</w:t>
      </w:r>
    </w:p>
    <w:p>
      <w:pPr>
        <w:spacing w:line="360" w:lineRule="auto"/>
        <w:ind w:firstLine="420" w:firstLineChars="200"/>
        <w:rPr>
          <w:rFonts w:ascii="宋体" w:hAnsi="宋体"/>
        </w:rPr>
      </w:pPr>
      <w:r>
        <w:rPr>
          <w:rFonts w:ascii="宋体" w:hAnsi="宋体" w:cs="宋体"/>
        </w:rPr>
        <w:t>4</w:t>
      </w:r>
      <w:r>
        <w:rPr>
          <w:rFonts w:hint="eastAsia" w:ascii="宋体" w:hAnsi="宋体" w:cs="宋体"/>
        </w:rPr>
        <w:t>、是参加该采购项目供应商的上级主管部门、控股或参股单位的工作人员，或与该供应商存在其他经济利益关系；</w:t>
      </w:r>
    </w:p>
    <w:p>
      <w:pPr>
        <w:spacing w:line="360" w:lineRule="auto"/>
        <w:ind w:firstLine="420" w:firstLineChars="200"/>
        <w:rPr>
          <w:rFonts w:ascii="宋体" w:hAnsi="宋体"/>
        </w:rPr>
      </w:pPr>
      <w:r>
        <w:rPr>
          <w:rFonts w:ascii="宋体" w:hAnsi="宋体" w:cs="宋体"/>
        </w:rPr>
        <w:t>5</w:t>
      </w:r>
      <w:r>
        <w:rPr>
          <w:rFonts w:hint="eastAsia" w:ascii="宋体" w:hAnsi="宋体" w:cs="宋体"/>
        </w:rPr>
        <w:t>、评审委员会成员之间具有配偶、近亲属关系；</w:t>
      </w:r>
    </w:p>
    <w:p>
      <w:pPr>
        <w:spacing w:line="360" w:lineRule="auto"/>
        <w:ind w:firstLine="420" w:firstLineChars="200"/>
        <w:rPr>
          <w:rFonts w:ascii="宋体" w:hAnsi="宋体"/>
        </w:rPr>
      </w:pPr>
      <w:r>
        <w:rPr>
          <w:rFonts w:ascii="宋体" w:hAnsi="宋体" w:cs="宋体"/>
        </w:rPr>
        <w:t>6</w:t>
      </w:r>
      <w:r>
        <w:rPr>
          <w:rFonts w:hint="eastAsia" w:ascii="宋体" w:hAnsi="宋体" w:cs="宋体"/>
        </w:rPr>
        <w:t>、同一单位的评审专家在同一项目评审委员会成员中超过一名；</w:t>
      </w:r>
    </w:p>
    <w:p>
      <w:pPr>
        <w:spacing w:line="360" w:lineRule="auto"/>
        <w:ind w:firstLine="420" w:firstLineChars="200"/>
        <w:rPr>
          <w:rFonts w:ascii="宋体" w:hAnsi="宋体"/>
        </w:rPr>
      </w:pPr>
      <w:r>
        <w:rPr>
          <w:rFonts w:ascii="宋体" w:hAnsi="宋体" w:cs="宋体"/>
        </w:rPr>
        <w:t>7</w:t>
      </w:r>
      <w:r>
        <w:rPr>
          <w:rFonts w:hint="eastAsia" w:ascii="宋体" w:hAnsi="宋体" w:cs="宋体"/>
        </w:rPr>
        <w:t>、法律、法规、规章规定应当回避以及其他可能影响公正评审的。</w:t>
      </w:r>
    </w:p>
    <w:p>
      <w:pPr>
        <w:spacing w:line="360" w:lineRule="auto"/>
        <w:ind w:firstLine="422" w:firstLineChars="200"/>
        <w:rPr>
          <w:rFonts w:ascii="宋体" w:hAnsi="宋体"/>
          <w:b/>
          <w:bCs/>
        </w:rPr>
      </w:pPr>
      <w:r>
        <w:rPr>
          <w:rFonts w:hint="eastAsia" w:ascii="宋体" w:hAnsi="宋体" w:cs="宋体"/>
          <w:b/>
          <w:bCs/>
        </w:rPr>
        <w:t>（八）评标委员会判断投标文件的有效性、合格性和响应情况，仅依据供应商所递交一切文件的真实表述，不受与本项目无直接关联的外部信息、传言而影响自身的专业判断。</w:t>
      </w:r>
    </w:p>
    <w:p>
      <w:pPr>
        <w:spacing w:line="360" w:lineRule="auto"/>
        <w:ind w:firstLine="422" w:firstLineChars="200"/>
        <w:rPr>
          <w:rFonts w:ascii="宋体" w:hAnsi="宋体"/>
          <w:b/>
          <w:bCs/>
        </w:rPr>
      </w:pPr>
      <w:r>
        <w:rPr>
          <w:rFonts w:hint="eastAsia" w:ascii="宋体" w:hAnsi="宋体" w:cs="宋体"/>
          <w:b/>
          <w:bCs/>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spacing w:line="360" w:lineRule="auto"/>
        <w:ind w:firstLine="422" w:firstLineChars="200"/>
        <w:rPr>
          <w:rFonts w:ascii="宋体" w:hAnsi="宋体"/>
          <w:b/>
          <w:bCs/>
        </w:rPr>
      </w:pPr>
      <w:r>
        <w:rPr>
          <w:rFonts w:hint="eastAsia" w:ascii="宋体" w:hAnsi="宋体" w:cs="宋体"/>
          <w:b/>
          <w:bCs/>
        </w:rPr>
        <w:t>（十）评标过程的监控</w:t>
      </w:r>
    </w:p>
    <w:p>
      <w:pPr>
        <w:spacing w:line="360" w:lineRule="auto"/>
        <w:ind w:firstLine="420" w:firstLineChars="200"/>
        <w:rPr>
          <w:rFonts w:ascii="宋体" w:hAnsi="宋体"/>
        </w:rPr>
      </w:pPr>
      <w:r>
        <w:rPr>
          <w:rFonts w:ascii="宋体" w:hAnsi="宋体" w:cs="宋体"/>
        </w:rPr>
        <w:t>1.</w:t>
      </w:r>
      <w:r>
        <w:rPr>
          <w:rFonts w:hint="eastAsia" w:ascii="宋体" w:hAnsi="宋体" w:cs="宋体"/>
        </w:rPr>
        <w:t>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rPr>
      </w:pPr>
      <w:r>
        <w:rPr>
          <w:rFonts w:ascii="宋体" w:hAnsi="宋体" w:cs="宋体"/>
        </w:rPr>
        <w:t>2.</w:t>
      </w:r>
      <w:r>
        <w:rPr>
          <w:rFonts w:hint="eastAsia" w:ascii="宋体" w:hAnsi="宋体" w:cs="宋体"/>
        </w:rPr>
        <w:t>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rPr>
          <w:rFonts w:ascii="宋体" w:hAnsi="宋体"/>
          <w:b/>
          <w:bCs/>
        </w:rPr>
      </w:pPr>
      <w:bookmarkStart w:id="3" w:name="_Toc16897"/>
      <w:bookmarkStart w:id="4" w:name="_Toc317685590"/>
      <w:r>
        <w:rPr>
          <w:rFonts w:hint="eastAsia" w:ascii="宋体" w:hAnsi="宋体" w:cs="宋体"/>
          <w:b/>
          <w:bCs/>
        </w:rPr>
        <w:t>七、采购方式变更</w:t>
      </w:r>
      <w:bookmarkEnd w:id="3"/>
      <w:bookmarkEnd w:id="4"/>
    </w:p>
    <w:p>
      <w:pPr>
        <w:spacing w:line="360" w:lineRule="auto"/>
        <w:ind w:firstLine="420" w:firstLineChars="200"/>
        <w:rPr>
          <w:rFonts w:ascii="宋体" w:hAnsi="宋体"/>
        </w:rPr>
      </w:pPr>
      <w:r>
        <w:rPr>
          <w:rFonts w:ascii="宋体" w:hAnsi="宋体" w:cs="宋体"/>
        </w:rPr>
        <w:t>1</w:t>
      </w:r>
      <w:r>
        <w:rPr>
          <w:rFonts w:hint="eastAsia" w:ascii="宋体" w:hAnsi="宋体" w:cs="宋体"/>
        </w:rPr>
        <w:t>．政府采购的国内公开招标，采购响应截至时间至或评审期间，出现参与采购响应或者对采购文件作出实质性响应的供应商不足</w:t>
      </w:r>
      <w:r>
        <w:rPr>
          <w:rFonts w:ascii="宋体" w:hAnsi="宋体" w:cs="宋体"/>
        </w:rPr>
        <w:t>3</w:t>
      </w:r>
      <w:r>
        <w:rPr>
          <w:rFonts w:hint="eastAsia" w:ascii="宋体" w:hAnsi="宋体" w:cs="宋体"/>
        </w:rPr>
        <w:t>家的情况，则请示主管部门后再定。</w:t>
      </w:r>
    </w:p>
    <w:p>
      <w:pPr>
        <w:spacing w:line="360" w:lineRule="auto"/>
        <w:rPr>
          <w:rFonts w:ascii="宋体" w:hAnsi="宋体"/>
          <w:b/>
          <w:bCs/>
        </w:rPr>
      </w:pPr>
      <w:r>
        <w:rPr>
          <w:rFonts w:hint="eastAsia" w:ascii="宋体" w:hAnsi="宋体" w:cs="宋体"/>
          <w:b/>
          <w:bCs/>
        </w:rPr>
        <w:t>八、定标</w:t>
      </w:r>
    </w:p>
    <w:p>
      <w:pPr>
        <w:spacing w:line="360" w:lineRule="auto"/>
        <w:ind w:firstLine="422" w:firstLineChars="200"/>
        <w:rPr>
          <w:rFonts w:ascii="宋体" w:hAnsi="宋体"/>
          <w:b/>
          <w:bCs/>
        </w:rPr>
      </w:pPr>
      <w:r>
        <w:rPr>
          <w:rFonts w:hint="eastAsia" w:ascii="宋体" w:hAnsi="宋体" w:cs="宋体"/>
          <w:b/>
          <w:bCs/>
        </w:rPr>
        <w:t>（一）确定中标供应商。本项目由采购人（或采购人事先授权评标委员会）确定中标供应商。</w:t>
      </w:r>
    </w:p>
    <w:p>
      <w:pPr>
        <w:spacing w:line="360" w:lineRule="auto"/>
        <w:ind w:firstLine="420" w:firstLineChars="200"/>
        <w:rPr>
          <w:rFonts w:ascii="宋体" w:hAnsi="宋体"/>
        </w:rPr>
      </w:pPr>
      <w:r>
        <w:rPr>
          <w:rFonts w:ascii="宋体" w:hAnsi="宋体" w:cs="宋体"/>
        </w:rPr>
        <w:t>1.</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w:t>
      </w:r>
    </w:p>
    <w:p>
      <w:pPr>
        <w:spacing w:line="360" w:lineRule="auto"/>
        <w:ind w:firstLine="420" w:firstLineChars="200"/>
        <w:rPr>
          <w:rFonts w:ascii="宋体" w:hAnsi="宋体"/>
        </w:rPr>
      </w:pPr>
      <w:r>
        <w:rPr>
          <w:rFonts w:ascii="宋体" w:hAnsi="宋体" w:cs="宋体"/>
        </w:rPr>
        <w:t>2.</w:t>
      </w:r>
      <w:r>
        <w:rPr>
          <w:rFonts w:hint="eastAsia" w:ascii="宋体" w:hAnsi="宋体" w:cs="宋体"/>
        </w:rPr>
        <w:t>采购人应当自收到评标报告之日起</w:t>
      </w:r>
      <w:r>
        <w:rPr>
          <w:rFonts w:ascii="宋体" w:hAnsi="宋体" w:cs="宋体"/>
        </w:rPr>
        <w:t>5</w:t>
      </w:r>
      <w:r>
        <w:rPr>
          <w:rFonts w:hint="eastAsia" w:ascii="宋体" w:hAnsi="宋体" w:cs="宋体"/>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360" w:lineRule="auto"/>
        <w:ind w:firstLine="420" w:firstLineChars="200"/>
        <w:rPr>
          <w:rFonts w:ascii="宋体" w:hAnsi="宋体"/>
        </w:rPr>
      </w:pPr>
      <w:r>
        <w:rPr>
          <w:rFonts w:ascii="宋体" w:hAnsi="宋体" w:cs="宋体"/>
        </w:rPr>
        <w:t>3.</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ascii="宋体" w:hAnsi="宋体"/>
        </w:rPr>
      </w:pPr>
      <w:r>
        <w:rPr>
          <w:rFonts w:ascii="宋体" w:hAnsi="宋体" w:cs="宋体"/>
        </w:rPr>
        <w:t>4.</w:t>
      </w:r>
      <w:r>
        <w:rPr>
          <w:rFonts w:hint="eastAsia" w:ascii="宋体" w:hAnsi="宋体" w:cs="宋体"/>
        </w:rPr>
        <w:t>采购人依法确定中标人后</w:t>
      </w:r>
      <w:r>
        <w:rPr>
          <w:rFonts w:ascii="宋体" w:hAnsi="宋体" w:cs="宋体"/>
        </w:rPr>
        <w:t>2</w:t>
      </w:r>
      <w:r>
        <w:rPr>
          <w:rFonts w:hint="eastAsia" w:ascii="宋体" w:hAnsi="宋体" w:cs="宋体"/>
        </w:rPr>
        <w:t>个工作日内，采购代理机构以书面形式发出《中标通知书》</w:t>
      </w:r>
      <w:r>
        <w:rPr>
          <w:rFonts w:ascii="宋体" w:hAnsi="宋体" w:cs="宋体"/>
        </w:rPr>
        <w:t>,</w:t>
      </w:r>
      <w:r>
        <w:rPr>
          <w:rFonts w:hint="eastAsia" w:ascii="宋体" w:hAnsi="宋体" w:cs="宋体"/>
        </w:rPr>
        <w:t>并同时在相关网站上发布中标公告。不在中标名单之列者即为落标人，采购代理机构不再以其它方式另行通知。</w:t>
      </w:r>
    </w:p>
    <w:p>
      <w:pPr>
        <w:spacing w:line="360" w:lineRule="auto"/>
        <w:ind w:firstLine="420" w:firstLineChars="200"/>
        <w:rPr>
          <w:rFonts w:ascii="宋体" w:hAnsi="宋体"/>
        </w:rPr>
      </w:pPr>
      <w:r>
        <w:rPr>
          <w:rFonts w:ascii="宋体" w:hAnsi="宋体" w:cs="宋体"/>
        </w:rPr>
        <w:t>5.</w:t>
      </w:r>
      <w:r>
        <w:rPr>
          <w:rFonts w:hint="eastAsia" w:ascii="宋体" w:hAnsi="宋体" w:cs="宋体"/>
        </w:rPr>
        <w:t>各参加政府采购活动的供应商认为该中标结果和采购过程等使自己的权益受到损害的，可以自本公告期限届满之日起</w:t>
      </w:r>
      <w:r>
        <w:rPr>
          <w:rFonts w:ascii="宋体" w:hAnsi="宋体" w:cs="宋体"/>
        </w:rPr>
        <w:t>7</w:t>
      </w:r>
      <w:r>
        <w:rPr>
          <w:rFonts w:hint="eastAsia" w:ascii="宋体" w:hAnsi="宋体" w:cs="宋体"/>
        </w:rPr>
        <w:t>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pPr>
        <w:spacing w:line="360" w:lineRule="auto"/>
        <w:ind w:firstLine="420" w:firstLineChars="200"/>
        <w:rPr>
          <w:rFonts w:ascii="宋体" w:hAnsi="宋体"/>
        </w:rPr>
      </w:pPr>
      <w:r>
        <w:rPr>
          <w:rFonts w:ascii="宋体" w:hAnsi="宋体" w:cs="宋体"/>
        </w:rPr>
        <w:t>6.</w:t>
      </w:r>
      <w:r>
        <w:rPr>
          <w:rFonts w:hint="eastAsia" w:ascii="宋体" w:hAnsi="宋体" w:cs="宋体"/>
        </w:rPr>
        <w:t>若中标供应商放弃中标，或因不可抗力提出不能履行合同，或不按采购文件规定提交履约保证金，或其它原因被依法撤销中标资格，则采购人重新组织招标。</w:t>
      </w:r>
    </w:p>
    <w:p>
      <w:pPr>
        <w:spacing w:line="360" w:lineRule="auto"/>
        <w:rPr>
          <w:rFonts w:ascii="宋体" w:hAnsi="宋体"/>
          <w:b/>
          <w:bCs/>
        </w:rPr>
      </w:pPr>
      <w:r>
        <w:rPr>
          <w:rFonts w:hint="eastAsia" w:ascii="宋体" w:hAnsi="宋体" w:cs="宋体"/>
          <w:b/>
          <w:bCs/>
        </w:rPr>
        <w:t>九、合同授予</w:t>
      </w:r>
    </w:p>
    <w:p>
      <w:pPr>
        <w:spacing w:line="360" w:lineRule="auto"/>
        <w:ind w:firstLine="420" w:firstLineChars="200"/>
        <w:rPr>
          <w:rFonts w:ascii="宋体" w:hAnsi="宋体"/>
        </w:rPr>
      </w:pPr>
      <w:r>
        <w:rPr>
          <w:rFonts w:hint="eastAsia" w:ascii="宋体" w:hAnsi="宋体" w:cs="宋体"/>
        </w:rPr>
        <w:t>（一）签订合同</w:t>
      </w:r>
    </w:p>
    <w:p>
      <w:pPr>
        <w:spacing w:line="360" w:lineRule="auto"/>
        <w:ind w:firstLine="420" w:firstLineChars="200"/>
        <w:rPr>
          <w:rFonts w:ascii="宋体" w:hAnsi="宋体"/>
        </w:rPr>
      </w:pPr>
      <w:r>
        <w:rPr>
          <w:rFonts w:ascii="宋体" w:hAnsi="宋体" w:cs="宋体"/>
        </w:rPr>
        <w:t>1.</w:t>
      </w:r>
      <w:r>
        <w:rPr>
          <w:rFonts w:hint="eastAsia" w:ascii="宋体" w:hAnsi="宋体" w:cs="宋体"/>
        </w:rPr>
        <w:t>采购人与中标供应商应当在《中标通知书》发出之日起</w:t>
      </w:r>
      <w:r>
        <w:rPr>
          <w:rFonts w:ascii="宋体" w:hAnsi="宋体" w:cs="宋体"/>
        </w:rPr>
        <w:t>30</w:t>
      </w:r>
      <w:r>
        <w:rPr>
          <w:rFonts w:hint="eastAsia" w:ascii="宋体" w:hAnsi="宋体" w:cs="宋体"/>
        </w:rPr>
        <w:t>日内签订政府采购合同。同时，采购代理机构对合同内容进行审查，如发现与采购结果和投标承诺内容不一致的，应予以纠正。</w:t>
      </w:r>
    </w:p>
    <w:p>
      <w:pPr>
        <w:spacing w:line="360" w:lineRule="auto"/>
        <w:ind w:firstLine="420" w:firstLineChars="200"/>
        <w:rPr>
          <w:rFonts w:ascii="宋体" w:hAnsi="宋体"/>
        </w:rPr>
      </w:pPr>
      <w:r>
        <w:rPr>
          <w:rFonts w:ascii="宋体" w:hAnsi="宋体" w:cs="宋体"/>
        </w:rPr>
        <w:t>2.</w:t>
      </w:r>
      <w:r>
        <w:rPr>
          <w:rFonts w:hint="eastAsia" w:ascii="宋体" w:hAnsi="宋体" w:cs="宋体"/>
        </w:rPr>
        <w:t>中标供应商拖延、拒签合同的</w:t>
      </w:r>
      <w:r>
        <w:rPr>
          <w:rFonts w:ascii="宋体" w:hAnsi="宋体" w:cs="宋体"/>
        </w:rPr>
        <w:t>,</w:t>
      </w:r>
      <w:r>
        <w:rPr>
          <w:rFonts w:hint="eastAsia" w:ascii="宋体" w:hAnsi="宋体" w:cs="宋体"/>
        </w:rPr>
        <w:t>将被取消中标资格。</w:t>
      </w:r>
    </w:p>
    <w:p>
      <w:pPr>
        <w:spacing w:line="360" w:lineRule="auto"/>
        <w:ind w:firstLine="420" w:firstLineChars="200"/>
        <w:rPr>
          <w:rFonts w:ascii="宋体" w:hAnsi="宋体"/>
        </w:rPr>
      </w:pPr>
      <w:r>
        <w:rPr>
          <w:rFonts w:hint="eastAsia" w:ascii="宋体" w:hAnsi="宋体" w:cs="宋体"/>
        </w:rPr>
        <w:t>（二）履约保证金</w:t>
      </w:r>
    </w:p>
    <w:p>
      <w:pPr>
        <w:spacing w:line="360" w:lineRule="auto"/>
        <w:ind w:firstLine="420" w:firstLineChars="200"/>
        <w:rPr>
          <w:rFonts w:ascii="宋体" w:hAnsi="宋体"/>
        </w:rPr>
      </w:pPr>
      <w:r>
        <w:rPr>
          <w:rFonts w:hint="eastAsia" w:ascii="宋体" w:hAnsi="宋体" w:cs="宋体"/>
        </w:rPr>
        <w:t>1</w:t>
      </w:r>
      <w:r>
        <w:rPr>
          <w:rFonts w:ascii="宋体" w:hAnsi="宋体" w:cs="宋体"/>
        </w:rPr>
        <w:t>.</w:t>
      </w:r>
      <w:r>
        <w:rPr>
          <w:rFonts w:hint="eastAsia" w:ascii="宋体" w:hAnsi="宋体" w:cs="宋体"/>
        </w:rPr>
        <w:t>签订合同后，如中标供应商不按双方合同约定履约，则没收其全部履约保证金，履约保证金不足以赔偿损失的，按实际损失赔偿。</w:t>
      </w:r>
    </w:p>
    <w:p>
      <w:pPr>
        <w:spacing w:line="360" w:lineRule="auto"/>
        <w:rPr>
          <w:rFonts w:ascii="宋体" w:hAnsi="宋体" w:cs="宋体"/>
          <w:b/>
          <w:bCs/>
        </w:rPr>
      </w:pPr>
      <w:r>
        <w:rPr>
          <w:rFonts w:hint="eastAsia" w:ascii="宋体" w:hAnsi="宋体" w:cs="宋体"/>
          <w:b/>
          <w:bCs/>
        </w:rPr>
        <w:t>十、履约验收</w:t>
      </w:r>
    </w:p>
    <w:p>
      <w:pPr>
        <w:pStyle w:val="26"/>
        <w:snapToGrid w:val="0"/>
        <w:spacing w:beforeLines="0" w:afterLines="0" w:line="360" w:lineRule="auto"/>
        <w:ind w:left="420" w:firstLine="420"/>
        <w:rPr>
          <w:rFonts w:hAnsi="宋体" w:cs="宋体"/>
          <w:sz w:val="21"/>
          <w:szCs w:val="21"/>
          <w:lang w:val="zh-CN"/>
        </w:rPr>
      </w:pPr>
      <w:r>
        <w:rPr>
          <w:rFonts w:hint="eastAsia" w:hAnsi="宋体" w:cs="宋体"/>
          <w:sz w:val="21"/>
          <w:szCs w:val="21"/>
          <w:lang w:val="zh-CN"/>
        </w:rPr>
        <w:t>采购人负责对中标供应商的履约行为进行验收。</w:t>
      </w:r>
    </w:p>
    <w:p>
      <w:pPr>
        <w:spacing w:line="360" w:lineRule="auto"/>
        <w:rPr>
          <w:rFonts w:ascii="宋体" w:hAnsi="宋体"/>
          <w:b/>
          <w:bCs/>
        </w:rPr>
      </w:pPr>
      <w:r>
        <w:rPr>
          <w:rFonts w:hint="eastAsia" w:ascii="宋体" w:hAnsi="宋体" w:cs="宋体"/>
          <w:b/>
          <w:bCs/>
        </w:rPr>
        <w:t>十一、特别说明</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1、本项目</w:t>
      </w:r>
      <w:r>
        <w:rPr>
          <w:rFonts w:hint="eastAsia" w:ascii="宋体" w:hAnsi="宋体" w:cs="宋体"/>
          <w:szCs w:val="21"/>
          <w:u w:val="single"/>
          <w:lang w:val="zh-CN"/>
        </w:rPr>
        <w:t xml:space="preserve"> 否</w:t>
      </w:r>
      <w:r>
        <w:rPr>
          <w:rFonts w:hint="eastAsia" w:ascii="宋体" w:hAnsi="宋体" w:cs="宋体"/>
          <w:b/>
          <w:bCs/>
          <w:szCs w:val="21"/>
          <w:u w:val="single"/>
        </w:rPr>
        <w:t xml:space="preserve"> </w:t>
      </w:r>
      <w:r>
        <w:rPr>
          <w:rFonts w:hint="eastAsia" w:ascii="宋体" w:hAnsi="宋体" w:cs="宋体"/>
          <w:szCs w:val="21"/>
          <w:lang w:val="zh-CN"/>
        </w:rPr>
        <w:t>专门面向中小企业采购。</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2、本项目对应的中小企业划分标准所属行业：</w:t>
      </w:r>
      <w:r>
        <w:rPr>
          <w:rFonts w:hint="eastAsia" w:ascii="宋体" w:hAnsi="宋体" w:cs="宋体"/>
          <w:szCs w:val="21"/>
          <w:u w:val="single"/>
        </w:rPr>
        <w:t>软件和信息技术服务业</w:t>
      </w:r>
      <w:r>
        <w:rPr>
          <w:rFonts w:hint="eastAsia" w:ascii="宋体" w:hAnsi="宋体" w:cs="宋体"/>
          <w:szCs w:val="21"/>
          <w:u w:val="single"/>
          <w:lang w:val="zh-CN"/>
        </w:rPr>
        <w:t xml:space="preserve"> </w:t>
      </w:r>
      <w:r>
        <w:rPr>
          <w:rFonts w:hint="eastAsia" w:hAnsi="宋体" w:cs="宋体"/>
          <w:szCs w:val="21"/>
          <w:u w:val="single"/>
        </w:rPr>
        <w:t xml:space="preserve"> </w:t>
      </w:r>
      <w:r>
        <w:rPr>
          <w:rFonts w:hint="eastAsia" w:ascii="宋体" w:hAnsi="宋体" w:cs="宋体"/>
          <w:szCs w:val="21"/>
          <w:lang w:val="zh-CN"/>
        </w:rPr>
        <w:t xml:space="preserve">。 </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3、小微企业是指中华人民共和国境内依法设立，依据国务院批准的中小企业划分标准确定的小型企业和微型企业，但与大企业的负责人为同一人，或者与大企业存在直接控股、管理关系的除外。</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符合中小企业划分标准的个体工商户，在政府采购活动中视同中小企业。</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国务院批准的中小企业划分标准：具体见工信部联企业[2011]300号。</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4、在政府采购活动中，供应商提供的货物、工程或者服务符合下列情形的，可享受小型、微型企业（以下简称小微企业）的价格扣除：</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（1）在货物采购项目中，货物由小微企业制造，即货物由小微企业生产且使用该小微企业商号或者注册商标；</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（2）在工程采购项目中，工程由小微企业承建，即工程施工单位为小微企业；</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（3）在服务采购项目中，服务由小微企业承接，即提供服务的人员为小微企业依照《中华人民共和国劳动合同法》订立劳动合同的从业人员。</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以联合体形式参加政府采购活动，联合体各方均为小微企业的，联合体视同小微企业。</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5、在货物采购项目中，供应商提供的货物既有中小企业制造货物，也有大型企业制造货物的，不享受的小微企业价格扣除。</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6、本项目对符合《政府采购促进中小企业发展管理办法》（财库﹝2020﹞46号）规定的小微企业报价给予</w:t>
      </w:r>
      <w:r>
        <w:rPr>
          <w:rFonts w:hint="eastAsia" w:ascii="宋体" w:hAnsi="宋体" w:cs="宋体"/>
          <w:szCs w:val="21"/>
        </w:rPr>
        <w:t>10</w:t>
      </w:r>
      <w:r>
        <w:rPr>
          <w:rFonts w:hint="eastAsia" w:ascii="宋体" w:hAnsi="宋体" w:cs="宋体"/>
          <w:szCs w:val="21"/>
          <w:lang w:val="zh-CN"/>
        </w:rPr>
        <w:t>%（工程项目为</w:t>
      </w:r>
      <w:r>
        <w:rPr>
          <w:rFonts w:hint="eastAsia" w:ascii="宋体" w:hAnsi="宋体" w:cs="宋体"/>
          <w:szCs w:val="21"/>
        </w:rPr>
        <w:t>5</w:t>
      </w:r>
      <w:r>
        <w:rPr>
          <w:rFonts w:hint="eastAsia" w:ascii="宋体" w:hAnsi="宋体" w:cs="宋体"/>
          <w:szCs w:val="21"/>
          <w:lang w:val="zh-CN"/>
        </w:rPr>
        <w:t>%）的扣除，用扣除后的价格参加评审。</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Cs w:val="21"/>
        </w:rPr>
        <w:t>6</w:t>
      </w:r>
      <w:r>
        <w:rPr>
          <w:rFonts w:hint="eastAsia" w:ascii="宋体" w:hAnsi="宋体" w:cs="宋体"/>
          <w:szCs w:val="21"/>
          <w:lang w:val="zh-CN"/>
        </w:rPr>
        <w:t>%（工程项目为</w:t>
      </w:r>
      <w:r>
        <w:rPr>
          <w:rFonts w:hint="eastAsia" w:ascii="宋体" w:hAnsi="宋体" w:cs="宋体"/>
          <w:szCs w:val="21"/>
        </w:rPr>
        <w:t>2</w:t>
      </w:r>
      <w:r>
        <w:rPr>
          <w:rFonts w:hint="eastAsia" w:ascii="宋体" w:hAnsi="宋体" w:cs="宋体"/>
          <w:szCs w:val="21"/>
          <w:lang w:val="zh-CN"/>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7、小微企业应按照招标文件格式要求提供《中小企业声明函》。</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line="360" w:lineRule="auto"/>
        <w:ind w:firstLine="420"/>
        <w:jc w:val="left"/>
        <w:rPr>
          <w:rFonts w:ascii="宋体" w:hAnsi="宋体" w:cs="宋体"/>
          <w:szCs w:val="21"/>
          <w:lang w:val="zh-CN"/>
        </w:rPr>
      </w:pPr>
      <w:r>
        <w:rPr>
          <w:rFonts w:hint="eastAsia" w:ascii="宋体" w:hAnsi="宋体" w:cs="宋体"/>
          <w:szCs w:val="21"/>
          <w:lang w:val="zh-CN"/>
        </w:rPr>
        <w:t>10、按规定享受扶持政策获得政府采购合同的，小微企业不得将合同分包给大中型企业，中型企业不得将合同分包给大型企业。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szCs w:val="21"/>
          <w:lang w:bidi="ar"/>
        </w:rPr>
      </w:pPr>
      <w:r>
        <w:rPr>
          <w:rFonts w:hint="eastAsia" w:ascii="宋体" w:hAnsi="宋体" w:cs="宋体"/>
          <w:szCs w:val="21"/>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widowControl/>
        <w:jc w:val="left"/>
        <w:rPr>
          <w:rFonts w:ascii="宋体" w:hAnsi="宋体" w:cs="宋体"/>
          <w:sz w:val="30"/>
          <w:szCs w:val="30"/>
        </w:rPr>
      </w:pPr>
      <w:bookmarkStart w:id="5" w:name="_Toc7955"/>
      <w:r>
        <w:rPr>
          <w:rFonts w:hAnsi="宋体" w:cs="宋体"/>
          <w:sz w:val="30"/>
          <w:szCs w:val="30"/>
        </w:rPr>
        <w:br w:type="page"/>
      </w:r>
    </w:p>
    <w:p>
      <w:pPr>
        <w:pStyle w:val="26"/>
        <w:snapToGrid w:val="0"/>
        <w:spacing w:beforeLines="0" w:afterLines="0" w:line="480" w:lineRule="exact"/>
        <w:jc w:val="center"/>
        <w:rPr>
          <w:rFonts w:hAnsi="宋体" w:cs="宋体"/>
          <w:sz w:val="30"/>
          <w:szCs w:val="30"/>
        </w:rPr>
      </w:pPr>
      <w:r>
        <w:rPr>
          <w:rFonts w:hint="eastAsia" w:hAnsi="宋体" w:cs="宋体"/>
          <w:sz w:val="30"/>
          <w:szCs w:val="30"/>
        </w:rPr>
        <w:t>第四章  评标办法及评分标准</w:t>
      </w:r>
      <w:bookmarkEnd w:id="5"/>
    </w:p>
    <w:p>
      <w:pPr>
        <w:pStyle w:val="29"/>
        <w:spacing w:before="120" w:beforeLines="50" w:after="120" w:afterLines="50" w:line="360" w:lineRule="auto"/>
        <w:ind w:firstLine="420" w:firstLineChars="200"/>
        <w:rPr>
          <w:rFonts w:ascii="宋体" w:cs="宋体"/>
          <w:b w:val="0"/>
          <w:bCs w:val="0"/>
          <w:sz w:val="21"/>
          <w:szCs w:val="21"/>
        </w:rPr>
      </w:pPr>
      <w:r>
        <w:rPr>
          <w:rFonts w:hint="eastAsia" w:ascii="宋体" w:cs="宋体"/>
          <w:b w:val="0"/>
          <w:bCs w:val="0"/>
          <w:sz w:val="21"/>
          <w:szCs w:val="21"/>
        </w:rPr>
        <w:t>本办法严格遵照《中华人民共和国政府采购法》、《政府采购货物和服务招标投标管理办法》，结合项目所在地政府有关政府采购规定和项目的实际情况制定。</w:t>
      </w:r>
    </w:p>
    <w:p>
      <w:pPr>
        <w:tabs>
          <w:tab w:val="left" w:pos="0"/>
          <w:tab w:val="left" w:pos="723"/>
        </w:tabs>
        <w:spacing w:line="360" w:lineRule="auto"/>
        <w:rPr>
          <w:rFonts w:ascii="宋体" w:hAnsi="宋体"/>
          <w:b/>
          <w:bCs/>
        </w:rPr>
      </w:pPr>
      <w:r>
        <w:rPr>
          <w:rFonts w:hint="eastAsia" w:ascii="宋体" w:hAnsi="宋体" w:cs="宋体"/>
          <w:b/>
          <w:bCs/>
          <w:kern w:val="0"/>
          <w:szCs w:val="21"/>
        </w:rPr>
        <w:t>（一）</w:t>
      </w:r>
      <w:r>
        <w:rPr>
          <w:rFonts w:hint="eastAsia" w:ascii="宋体" w:hAnsi="宋体" w:cs="宋体"/>
          <w:b/>
          <w:bCs/>
        </w:rPr>
        <w:t>总则</w:t>
      </w:r>
    </w:p>
    <w:p>
      <w:pPr>
        <w:spacing w:line="360" w:lineRule="auto"/>
        <w:ind w:firstLine="420" w:firstLineChars="200"/>
        <w:rPr>
          <w:rFonts w:ascii="宋体" w:hAnsi="宋体"/>
        </w:rPr>
      </w:pPr>
      <w:r>
        <w:rPr>
          <w:rFonts w:hint="eastAsia" w:ascii="宋体" w:hAnsi="宋体" w:cs="宋体"/>
        </w:rPr>
        <w:t>招标活动遵循公平、公正、科学、择优的原则依法进行，招标活动及当事人接受依法实施的监督。本次招标采用综合评分法。</w:t>
      </w:r>
    </w:p>
    <w:p>
      <w:pPr>
        <w:tabs>
          <w:tab w:val="left" w:pos="0"/>
          <w:tab w:val="left" w:pos="723"/>
        </w:tabs>
        <w:spacing w:line="360" w:lineRule="auto"/>
        <w:rPr>
          <w:rFonts w:ascii="宋体" w:hAnsi="宋体"/>
          <w:b/>
          <w:bCs/>
        </w:rPr>
      </w:pPr>
      <w:r>
        <w:rPr>
          <w:rFonts w:hint="eastAsia" w:ascii="宋体" w:hAnsi="宋体" w:cs="宋体"/>
          <w:b/>
          <w:bCs/>
          <w:kern w:val="0"/>
          <w:szCs w:val="21"/>
        </w:rPr>
        <w:t>（二）</w:t>
      </w:r>
      <w:r>
        <w:rPr>
          <w:rFonts w:hint="eastAsia" w:ascii="宋体" w:hAnsi="宋体" w:cs="宋体"/>
          <w:b/>
          <w:bCs/>
        </w:rPr>
        <w:t>评标组织</w:t>
      </w:r>
    </w:p>
    <w:p>
      <w:pPr>
        <w:spacing w:line="360" w:lineRule="auto"/>
        <w:ind w:firstLine="420" w:firstLineChars="200"/>
        <w:rPr>
          <w:rFonts w:ascii="宋体" w:hAnsi="宋体"/>
        </w:rPr>
      </w:pPr>
      <w:r>
        <w:rPr>
          <w:rFonts w:hint="eastAsia" w:ascii="宋体" w:hAnsi="宋体" w:cs="宋体"/>
        </w:rPr>
        <w:t>评标委员会：采购人和采购机构根据采购项目的内容特点按照规定组建评标委员会。评标委员会由技术、经济方面专家等有关人员组成。</w:t>
      </w:r>
    </w:p>
    <w:p>
      <w:pPr>
        <w:spacing w:line="360" w:lineRule="auto"/>
        <w:rPr>
          <w:rFonts w:ascii="宋体" w:hAnsi="宋体"/>
          <w:b/>
          <w:bCs/>
        </w:rPr>
      </w:pPr>
      <w:r>
        <w:rPr>
          <w:rFonts w:hint="eastAsia" w:ascii="宋体" w:hAnsi="宋体" w:cs="宋体"/>
          <w:b/>
          <w:bCs/>
        </w:rPr>
        <w:t>（三）开标程序</w:t>
      </w:r>
    </w:p>
    <w:p>
      <w:pPr>
        <w:spacing w:line="360" w:lineRule="auto"/>
        <w:rPr>
          <w:rFonts w:ascii="宋体" w:hAnsi="宋体"/>
          <w:b/>
          <w:bCs/>
        </w:rPr>
      </w:pPr>
      <w:r>
        <w:rPr>
          <w:rFonts w:ascii="宋体" w:hAnsi="宋体" w:cs="宋体"/>
          <w:b/>
          <w:bCs/>
        </w:rPr>
        <w:t xml:space="preserve">    </w:t>
      </w:r>
      <w:r>
        <w:rPr>
          <w:rFonts w:hint="eastAsia" w:ascii="宋体" w:hAnsi="宋体" w:cs="宋体"/>
        </w:rPr>
        <w:t>详见第三章《供应商须知》</w:t>
      </w:r>
    </w:p>
    <w:p>
      <w:pPr>
        <w:spacing w:line="360" w:lineRule="auto"/>
        <w:rPr>
          <w:rFonts w:ascii="宋体" w:hAnsi="宋体"/>
          <w:b/>
          <w:bCs/>
        </w:rPr>
      </w:pPr>
      <w:r>
        <w:rPr>
          <w:rFonts w:hint="eastAsia" w:ascii="宋体" w:hAnsi="宋体" w:cs="宋体"/>
          <w:b/>
          <w:bCs/>
        </w:rPr>
        <w:t>（四）评标程序</w:t>
      </w:r>
    </w:p>
    <w:p>
      <w:pPr>
        <w:spacing w:line="360" w:lineRule="auto"/>
        <w:ind w:firstLine="420" w:firstLineChars="200"/>
        <w:rPr>
          <w:rFonts w:ascii="宋体" w:hAnsi="宋体"/>
          <w:b/>
          <w:bCs/>
        </w:rPr>
      </w:pPr>
      <w:r>
        <w:rPr>
          <w:rFonts w:hint="eastAsia" w:ascii="宋体" w:hAnsi="宋体" w:cs="宋体"/>
        </w:rPr>
        <w:t>详见第三章《供应商须知》</w:t>
      </w:r>
    </w:p>
    <w:p>
      <w:pPr>
        <w:widowControl/>
        <w:spacing w:line="480" w:lineRule="exact"/>
        <w:jc w:val="left"/>
        <w:rPr>
          <w:rFonts w:ascii="宋体" w:hAnsi="宋体" w:cs="宋体"/>
          <w:b/>
          <w:bCs/>
          <w:kern w:val="0"/>
          <w:szCs w:val="21"/>
        </w:rPr>
      </w:pPr>
      <w:r>
        <w:rPr>
          <w:rFonts w:hint="eastAsia" w:ascii="宋体" w:hAnsi="宋体" w:cs="宋体"/>
          <w:b/>
          <w:bCs/>
          <w:kern w:val="0"/>
          <w:szCs w:val="21"/>
        </w:rPr>
        <w:t>（五）评分标准</w:t>
      </w:r>
    </w:p>
    <w:p>
      <w:pPr>
        <w:spacing w:line="390" w:lineRule="exact"/>
        <w:jc w:val="center"/>
        <w:rPr>
          <w:rFonts w:ascii="宋体" w:hAnsi="宋体" w:cs="宋体"/>
          <w:b/>
          <w:szCs w:val="21"/>
        </w:rPr>
      </w:pPr>
    </w:p>
    <w:p>
      <w:pPr>
        <w:spacing w:line="390" w:lineRule="exact"/>
        <w:jc w:val="center"/>
        <w:rPr>
          <w:rFonts w:ascii="宋体" w:hAnsi="宋体" w:cs="宋体"/>
          <w:b/>
          <w:szCs w:val="21"/>
        </w:rPr>
      </w:pPr>
      <w:r>
        <w:rPr>
          <w:rFonts w:hint="eastAsia" w:ascii="宋体" w:hAnsi="宋体" w:cs="宋体"/>
          <w:b/>
          <w:szCs w:val="21"/>
        </w:rPr>
        <w:t>评分标准（兼评委打分表）</w:t>
      </w:r>
    </w:p>
    <w:tbl>
      <w:tblPr>
        <w:tblStyle w:val="4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1134"/>
        <w:gridCol w:w="63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217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考核项目</w:t>
            </w:r>
          </w:p>
        </w:tc>
        <w:tc>
          <w:tcPr>
            <w:tcW w:w="6300" w:type="dxa"/>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037" w:type="dxa"/>
            <w:vAlign w:val="center"/>
          </w:tcPr>
          <w:p>
            <w:pPr>
              <w:widowControl/>
              <w:jc w:val="center"/>
              <w:rPr>
                <w:rFonts w:ascii="宋体" w:hAnsi="宋体" w:cs="宋体"/>
                <w:szCs w:val="21"/>
              </w:rPr>
            </w:pPr>
            <w:r>
              <w:rPr>
                <w:rFonts w:hint="eastAsia" w:ascii="宋体" w:hAnsi="宋体" w:cs="宋体"/>
                <w:szCs w:val="21"/>
              </w:rPr>
              <w:t>投标</w:t>
            </w:r>
          </w:p>
          <w:p>
            <w:pPr>
              <w:widowControl/>
              <w:jc w:val="center"/>
              <w:rPr>
                <w:rFonts w:ascii="宋体" w:hAnsi="宋体" w:cs="宋体"/>
                <w:szCs w:val="21"/>
              </w:rPr>
            </w:pPr>
            <w:r>
              <w:rPr>
                <w:rFonts w:hint="eastAsia" w:ascii="宋体" w:hAnsi="宋体" w:cs="宋体"/>
                <w:szCs w:val="21"/>
              </w:rPr>
              <w:t>报价</w:t>
            </w:r>
          </w:p>
          <w:p>
            <w:pPr>
              <w:widowControl/>
              <w:jc w:val="center"/>
              <w:rPr>
                <w:rFonts w:ascii="宋体" w:hAnsi="宋体" w:cs="宋体"/>
                <w:szCs w:val="21"/>
              </w:rPr>
            </w:pPr>
            <w:r>
              <w:rPr>
                <w:rFonts w:hint="eastAsia" w:ascii="宋体" w:hAnsi="宋体" w:cs="宋体"/>
                <w:szCs w:val="21"/>
              </w:rPr>
              <w:t>（20分）</w:t>
            </w:r>
          </w:p>
        </w:tc>
        <w:tc>
          <w:tcPr>
            <w:tcW w:w="1134" w:type="dxa"/>
            <w:vAlign w:val="center"/>
          </w:tcPr>
          <w:p>
            <w:pPr>
              <w:widowControl/>
              <w:jc w:val="center"/>
              <w:rPr>
                <w:rFonts w:ascii="宋体" w:hAnsi="宋体" w:cs="宋体"/>
                <w:szCs w:val="21"/>
              </w:rPr>
            </w:pPr>
            <w:r>
              <w:rPr>
                <w:rFonts w:hint="eastAsia" w:ascii="宋体" w:hAnsi="宋体" w:cs="宋体"/>
                <w:szCs w:val="21"/>
              </w:rPr>
              <w:t>投标报价</w:t>
            </w:r>
          </w:p>
        </w:tc>
        <w:tc>
          <w:tcPr>
            <w:tcW w:w="63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评标基准价指的是满足采购文件要求且最低的参与评审的价格。 </w:t>
            </w:r>
          </w:p>
          <w:p>
            <w:pPr>
              <w:widowControl/>
              <w:jc w:val="left"/>
              <w:rPr>
                <w:rFonts w:ascii="宋体" w:hAnsi="宋体" w:cs="宋体"/>
                <w:color w:val="000000"/>
                <w:kern w:val="0"/>
                <w:szCs w:val="21"/>
              </w:rPr>
            </w:pPr>
            <w:r>
              <w:rPr>
                <w:rFonts w:hint="eastAsia" w:ascii="宋体" w:hAnsi="宋体" w:cs="宋体"/>
                <w:color w:val="000000"/>
                <w:kern w:val="0"/>
                <w:szCs w:val="21"/>
              </w:rPr>
              <w:t>参与评审的价格=投标报价-小微企业价格扣除优惠值10%（如有）。</w:t>
            </w:r>
          </w:p>
          <w:p>
            <w:pPr>
              <w:widowControl/>
              <w:jc w:val="left"/>
              <w:rPr>
                <w:rFonts w:ascii="宋体" w:hAnsi="宋体" w:cs="宋体"/>
                <w:color w:val="000000"/>
                <w:kern w:val="0"/>
                <w:szCs w:val="21"/>
              </w:rPr>
            </w:pPr>
            <w:r>
              <w:rPr>
                <w:rFonts w:hint="eastAsia" w:ascii="宋体" w:hAnsi="宋体" w:cs="宋体"/>
                <w:color w:val="000000"/>
                <w:kern w:val="0"/>
                <w:szCs w:val="21"/>
              </w:rPr>
              <w:t>参与评审的价格为评标基准价的其价格得分得满分20分。</w:t>
            </w:r>
          </w:p>
          <w:p>
            <w:pPr>
              <w:widowControl/>
              <w:jc w:val="left"/>
              <w:rPr>
                <w:b/>
              </w:rPr>
            </w:pPr>
            <w:r>
              <w:rPr>
                <w:rFonts w:hint="eastAsia" w:ascii="宋体" w:hAnsi="宋体" w:cs="宋体"/>
                <w:color w:val="000000"/>
                <w:kern w:val="0"/>
                <w:szCs w:val="21"/>
              </w:rPr>
              <w:t>其他投标人的价格分计算公式如下：价格得分=（评标基准价/参与评审的价格）×20%×100。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037" w:type="dxa"/>
            <w:vMerge w:val="restart"/>
            <w:vAlign w:val="center"/>
          </w:tcPr>
          <w:p>
            <w:pPr>
              <w:widowControl/>
              <w:jc w:val="center"/>
              <w:rPr>
                <w:rFonts w:ascii="宋体" w:hAnsi="宋体" w:cs="宋体"/>
                <w:szCs w:val="21"/>
              </w:rPr>
            </w:pPr>
            <w:r>
              <w:rPr>
                <w:rFonts w:ascii="宋体" w:hAnsi="宋体" w:cs="宋体"/>
                <w:szCs w:val="21"/>
              </w:rPr>
              <w:t>商务技术分</w:t>
            </w:r>
          </w:p>
          <w:p>
            <w:pPr>
              <w:jc w:val="center"/>
              <w:rPr>
                <w:rFonts w:ascii="宋体" w:hAnsi="宋体" w:cs="宋体"/>
                <w:szCs w:val="21"/>
              </w:rPr>
            </w:pPr>
            <w:r>
              <w:rPr>
                <w:rFonts w:hint="eastAsia" w:ascii="宋体" w:hAnsi="宋体" w:cs="宋体"/>
                <w:szCs w:val="21"/>
              </w:rPr>
              <w:t>（80分）</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对项目理解程度</w:t>
            </w:r>
          </w:p>
          <w:p>
            <w:pPr>
              <w:pStyle w:val="20"/>
              <w:jc w:val="left"/>
              <w:rPr>
                <w:rFonts w:ascii="宋体" w:hAnsi="宋体" w:cs="宋体"/>
                <w:color w:val="000000"/>
                <w:kern w:val="0"/>
                <w:sz w:val="21"/>
                <w:szCs w:val="21"/>
              </w:rPr>
            </w:pPr>
            <w:r>
              <w:rPr>
                <w:rFonts w:hint="eastAsia" w:ascii="宋体" w:hAnsi="宋体" w:cs="宋体"/>
                <w:color w:val="000000"/>
                <w:kern w:val="0"/>
                <w:sz w:val="21"/>
                <w:szCs w:val="21"/>
              </w:rPr>
              <w:t>（5分）</w:t>
            </w:r>
          </w:p>
        </w:tc>
        <w:tc>
          <w:tcPr>
            <w:tcW w:w="630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根据投标人对本项目数据现状、数据服务需求、数据服务重点工作的理解程度进行综合评议（5分）：</w:t>
            </w:r>
          </w:p>
          <w:p>
            <w:pPr>
              <w:jc w:val="left"/>
              <w:rPr>
                <w:rFonts w:ascii="宋体" w:hAnsi="宋体" w:cs="宋体"/>
                <w:bCs/>
                <w:szCs w:val="21"/>
              </w:rPr>
            </w:pPr>
            <w:r>
              <w:rPr>
                <w:rFonts w:hint="eastAsia" w:ascii="宋体" w:hAnsi="宋体" w:cs="宋体"/>
                <w:bCs/>
                <w:szCs w:val="21"/>
              </w:rPr>
              <w:t>现状分析及理解透彻、明确，能完全覆盖用户提出的服务要求的得</w:t>
            </w:r>
            <w:r>
              <w:rPr>
                <w:rFonts w:ascii="宋体" w:hAnsi="宋体" w:cs="宋体"/>
                <w:bCs/>
                <w:szCs w:val="21"/>
              </w:rPr>
              <w:t>5</w:t>
            </w:r>
            <w:r>
              <w:rPr>
                <w:rFonts w:hint="eastAsia" w:ascii="宋体" w:hAnsi="宋体" w:cs="宋体"/>
                <w:bCs/>
                <w:szCs w:val="21"/>
              </w:rPr>
              <w:t>分；</w:t>
            </w:r>
          </w:p>
          <w:p>
            <w:pPr>
              <w:jc w:val="left"/>
              <w:rPr>
                <w:rFonts w:ascii="宋体" w:hAnsi="宋体" w:cs="宋体"/>
                <w:bCs/>
                <w:szCs w:val="21"/>
              </w:rPr>
            </w:pPr>
            <w:r>
              <w:rPr>
                <w:rFonts w:hint="eastAsia" w:ascii="宋体" w:hAnsi="宋体" w:cs="宋体"/>
                <w:bCs/>
                <w:szCs w:val="21"/>
              </w:rPr>
              <w:t>现状分析及理解较透彻、较明确，较能覆盖用户提出的服务要求得4分；</w:t>
            </w:r>
          </w:p>
          <w:p>
            <w:pPr>
              <w:jc w:val="left"/>
              <w:rPr>
                <w:rFonts w:ascii="宋体" w:hAnsi="宋体" w:cs="宋体"/>
                <w:bCs/>
                <w:szCs w:val="21"/>
              </w:rPr>
            </w:pPr>
            <w:r>
              <w:rPr>
                <w:rFonts w:hint="eastAsia" w:ascii="宋体" w:hAnsi="宋体" w:cs="宋体"/>
                <w:bCs/>
                <w:szCs w:val="21"/>
              </w:rPr>
              <w:t>现状分析及理解基本明确的，基本能满足服务需求的得3分；</w:t>
            </w:r>
          </w:p>
          <w:p>
            <w:pPr>
              <w:jc w:val="left"/>
              <w:rPr>
                <w:rFonts w:ascii="宋体" w:hAnsi="宋体" w:cs="宋体"/>
                <w:bCs/>
                <w:szCs w:val="21"/>
              </w:rPr>
            </w:pPr>
            <w:r>
              <w:rPr>
                <w:rFonts w:hint="eastAsia" w:ascii="宋体" w:hAnsi="宋体" w:cs="宋体"/>
                <w:bCs/>
                <w:szCs w:val="21"/>
              </w:rPr>
              <w:t>现状分析及理解有欠缺的，用户需求有缺陷的得2分；</w:t>
            </w:r>
          </w:p>
          <w:p>
            <w:pPr>
              <w:jc w:val="left"/>
              <w:rPr>
                <w:rFonts w:ascii="宋体" w:hAnsi="宋体" w:cs="宋体"/>
                <w:bCs/>
                <w:szCs w:val="21"/>
              </w:rPr>
            </w:pPr>
            <w:r>
              <w:rPr>
                <w:rFonts w:hint="eastAsia" w:ascii="宋体" w:hAnsi="宋体" w:cs="宋体"/>
                <w:bCs/>
                <w:szCs w:val="21"/>
              </w:rPr>
              <w:t>现状分析及理解不明确的，用户需求完全不满足的得1分；</w:t>
            </w:r>
          </w:p>
          <w:p>
            <w:pPr>
              <w:jc w:val="left"/>
              <w:rPr>
                <w:rFonts w:ascii="宋体" w:hAnsi="宋体" w:cs="宋体"/>
                <w:color w:val="000000"/>
                <w:kern w:val="0"/>
                <w:szCs w:val="21"/>
              </w:rPr>
            </w:pPr>
            <w:r>
              <w:rPr>
                <w:rFonts w:hint="eastAsia" w:ascii="宋体" w:hAnsi="宋体" w:cs="宋体"/>
                <w:bCs/>
                <w:szCs w:val="21"/>
              </w:rPr>
              <w:t>未提供本项不得分。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037" w:type="dxa"/>
            <w:vMerge w:val="continue"/>
            <w:vAlign w:val="center"/>
          </w:tcPr>
          <w:p>
            <w:pPr>
              <w:jc w:val="center"/>
              <w:rPr>
                <w:rFonts w:ascii="宋体" w:hAnsi="宋体" w:cs="宋体"/>
                <w:szCs w:val="21"/>
              </w:rPr>
            </w:pPr>
          </w:p>
        </w:tc>
        <w:tc>
          <w:tcPr>
            <w:tcW w:w="1134" w:type="dxa"/>
            <w:vMerge w:val="restart"/>
            <w:tcBorders>
              <w:top w:val="single" w:color="auto" w:sz="6" w:space="0"/>
              <w:right w:val="single" w:color="auto" w:sz="6" w:space="0"/>
            </w:tcBorders>
            <w:vAlign w:val="center"/>
          </w:tcPr>
          <w:p>
            <w:pPr>
              <w:rPr>
                <w:rFonts w:ascii="宋体" w:hAnsi="宋体" w:cs="宋体"/>
                <w:kern w:val="0"/>
                <w:szCs w:val="21"/>
              </w:rPr>
            </w:pPr>
            <w:r>
              <w:rPr>
                <w:rFonts w:hint="eastAsia" w:ascii="宋体" w:hAnsi="宋体" w:cs="宋体"/>
                <w:kern w:val="0"/>
                <w:szCs w:val="21"/>
              </w:rPr>
              <w:t>服务方案（50分）</w:t>
            </w:r>
          </w:p>
          <w:p>
            <w:pPr>
              <w:rPr>
                <w:rFonts w:ascii="宋体" w:hAnsi="宋体" w:cs="宋体"/>
                <w:kern w:val="0"/>
                <w:szCs w:val="21"/>
              </w:rPr>
            </w:pPr>
          </w:p>
        </w:tc>
        <w:tc>
          <w:tcPr>
            <w:tcW w:w="6300" w:type="dxa"/>
            <w:tcBorders>
              <w:top w:val="single" w:color="auto" w:sz="6" w:space="0"/>
              <w:left w:val="single" w:color="auto" w:sz="6" w:space="0"/>
              <w:right w:val="double" w:color="auto" w:sz="4" w:space="0"/>
            </w:tcBorders>
            <w:vAlign w:val="center"/>
          </w:tcPr>
          <w:p>
            <w:pPr>
              <w:jc w:val="left"/>
              <w:rPr>
                <w:rFonts w:ascii="宋体" w:hAnsi="宋体" w:cs="宋体"/>
                <w:kern w:val="0"/>
                <w:szCs w:val="21"/>
              </w:rPr>
            </w:pPr>
            <w:r>
              <w:rPr>
                <w:rFonts w:hint="eastAsia" w:ascii="宋体" w:hAnsi="宋体" w:cs="宋体"/>
                <w:kern w:val="0"/>
                <w:szCs w:val="21"/>
              </w:rPr>
              <w:t>根据投标人提供的IRS应用及数据服务内容评分，应包含应用接口对接、应用集成技术、数据分析运维、数据建模、其他开发支撑、IRS应用咨询；对上述服务方案是否全面完整、合理可行性进行综合评分（5分）:方案合理、可行、针对性强，且符合采购人需求的得5分；</w:t>
            </w:r>
          </w:p>
          <w:p>
            <w:pPr>
              <w:jc w:val="left"/>
              <w:rPr>
                <w:rFonts w:ascii="宋体" w:hAnsi="宋体" w:cs="宋体"/>
                <w:kern w:val="0"/>
                <w:szCs w:val="21"/>
              </w:rPr>
            </w:pPr>
            <w:r>
              <w:rPr>
                <w:rFonts w:hint="eastAsia" w:ascii="宋体" w:hAnsi="宋体" w:cs="宋体"/>
                <w:kern w:val="0"/>
                <w:szCs w:val="21"/>
              </w:rPr>
              <w:t>方案较合理可行，较符合采购人需求的得4分；</w:t>
            </w:r>
          </w:p>
          <w:p>
            <w:pPr>
              <w:jc w:val="left"/>
              <w:rPr>
                <w:rFonts w:ascii="宋体" w:hAnsi="宋体" w:cs="宋体"/>
                <w:kern w:val="0"/>
                <w:szCs w:val="21"/>
              </w:rPr>
            </w:pPr>
            <w:r>
              <w:rPr>
                <w:rFonts w:hint="eastAsia" w:ascii="宋体" w:hAnsi="宋体" w:cs="宋体"/>
                <w:kern w:val="0"/>
                <w:szCs w:val="21"/>
              </w:rPr>
              <w:t>方案基本合理可行，基本符合采购人需求的得3分；</w:t>
            </w:r>
          </w:p>
          <w:p>
            <w:pPr>
              <w:widowControl/>
              <w:jc w:val="left"/>
              <w:rPr>
                <w:rFonts w:ascii="宋体" w:hAnsi="宋体" w:cs="宋体"/>
                <w:kern w:val="0"/>
                <w:szCs w:val="21"/>
              </w:rPr>
            </w:pPr>
            <w:r>
              <w:rPr>
                <w:rFonts w:hint="eastAsia" w:ascii="宋体" w:hAnsi="宋体" w:cs="宋体"/>
                <w:kern w:val="0"/>
                <w:szCs w:val="21"/>
              </w:rPr>
              <w:t>方案存在一定缺陷，合理可行存疑的，部分无法满足采购人需求的得2分；</w:t>
            </w:r>
          </w:p>
          <w:p>
            <w:pPr>
              <w:widowControl/>
              <w:jc w:val="left"/>
              <w:rPr>
                <w:rFonts w:ascii="宋体" w:hAnsi="宋体" w:cs="宋体"/>
                <w:kern w:val="0"/>
                <w:szCs w:val="21"/>
              </w:rPr>
            </w:pPr>
            <w:r>
              <w:rPr>
                <w:rFonts w:hint="eastAsia" w:ascii="宋体" w:hAnsi="宋体" w:cs="宋体"/>
                <w:kern w:val="0"/>
                <w:szCs w:val="21"/>
              </w:rPr>
              <w:t>方案存在明显缺陷，不合理且完全无法满足采购需求的得1分；</w:t>
            </w:r>
          </w:p>
          <w:p>
            <w:pPr>
              <w:rPr>
                <w:rFonts w:ascii="宋体" w:hAnsi="宋体" w:cs="宋体"/>
                <w:kern w:val="0"/>
                <w:szCs w:val="21"/>
              </w:rPr>
            </w:pPr>
            <w:r>
              <w:rPr>
                <w:rFonts w:hint="eastAsia" w:ascii="宋体" w:hAnsi="宋体" w:cs="宋体"/>
                <w:kern w:val="0"/>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widowControl/>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jc w:val="left"/>
              <w:rPr>
                <w:rFonts w:ascii="宋体" w:hAnsi="宋体" w:cs="宋体"/>
                <w:kern w:val="0"/>
                <w:szCs w:val="21"/>
              </w:rPr>
            </w:pPr>
            <w:r>
              <w:rPr>
                <w:rFonts w:hint="eastAsia" w:ascii="宋体" w:hAnsi="宋体" w:cs="宋体"/>
                <w:kern w:val="0"/>
                <w:szCs w:val="21"/>
              </w:rPr>
              <w:t>根据投标人提供的IRS数据资源目录服务内容评分，应包含应用目录建档、IRS日常辅助工作，对上述服务方案是否全面完整、合理可行性进行综合评分（5分）:</w:t>
            </w:r>
          </w:p>
          <w:p>
            <w:pPr>
              <w:jc w:val="left"/>
              <w:rPr>
                <w:rFonts w:ascii="宋体" w:hAnsi="宋体" w:cs="宋体"/>
                <w:kern w:val="0"/>
                <w:szCs w:val="21"/>
              </w:rPr>
            </w:pPr>
            <w:r>
              <w:rPr>
                <w:rFonts w:hint="eastAsia" w:ascii="宋体" w:hAnsi="宋体" w:cs="宋体"/>
                <w:kern w:val="0"/>
                <w:szCs w:val="21"/>
              </w:rPr>
              <w:t>方案合理、可行、针对性强，且符合采购人需求的得5分；</w:t>
            </w:r>
          </w:p>
          <w:p>
            <w:pPr>
              <w:jc w:val="left"/>
              <w:rPr>
                <w:rFonts w:ascii="宋体" w:hAnsi="宋体" w:cs="宋体"/>
                <w:kern w:val="0"/>
                <w:szCs w:val="21"/>
              </w:rPr>
            </w:pPr>
            <w:r>
              <w:rPr>
                <w:rFonts w:hint="eastAsia" w:ascii="宋体" w:hAnsi="宋体" w:cs="宋体"/>
                <w:kern w:val="0"/>
                <w:szCs w:val="21"/>
              </w:rPr>
              <w:t>方案较合理可行，较符合采购人需求的得4分；</w:t>
            </w:r>
          </w:p>
          <w:p>
            <w:pPr>
              <w:jc w:val="left"/>
              <w:rPr>
                <w:rFonts w:ascii="宋体" w:hAnsi="宋体" w:cs="宋体"/>
                <w:kern w:val="0"/>
                <w:szCs w:val="21"/>
              </w:rPr>
            </w:pPr>
            <w:r>
              <w:rPr>
                <w:rFonts w:hint="eastAsia" w:ascii="宋体" w:hAnsi="宋体" w:cs="宋体"/>
                <w:kern w:val="0"/>
                <w:szCs w:val="21"/>
              </w:rPr>
              <w:t>方案基本合理可行，基本符合采购人需求的得3分；</w:t>
            </w:r>
          </w:p>
          <w:p>
            <w:pPr>
              <w:widowControl/>
              <w:jc w:val="left"/>
              <w:rPr>
                <w:rFonts w:ascii="宋体" w:hAnsi="宋体" w:cs="宋体"/>
                <w:kern w:val="0"/>
                <w:szCs w:val="21"/>
              </w:rPr>
            </w:pPr>
            <w:r>
              <w:rPr>
                <w:rFonts w:hint="eastAsia" w:ascii="宋体" w:hAnsi="宋体" w:cs="宋体"/>
                <w:kern w:val="0"/>
                <w:szCs w:val="21"/>
              </w:rPr>
              <w:t>方案存在一定缺陷，合理可行存疑的，部分无法满足采购人需求的得2分；</w:t>
            </w:r>
          </w:p>
          <w:p>
            <w:pPr>
              <w:widowControl/>
              <w:jc w:val="left"/>
              <w:rPr>
                <w:rFonts w:ascii="宋体" w:hAnsi="宋体" w:cs="宋体"/>
                <w:kern w:val="0"/>
                <w:szCs w:val="21"/>
              </w:rPr>
            </w:pPr>
            <w:r>
              <w:rPr>
                <w:rFonts w:hint="eastAsia" w:ascii="宋体" w:hAnsi="宋体" w:cs="宋体"/>
                <w:kern w:val="0"/>
                <w:szCs w:val="21"/>
              </w:rPr>
              <w:t>方案存在明显缺陷，不合理且完全无法满足采购需求的得1分；</w:t>
            </w:r>
          </w:p>
          <w:p>
            <w:pPr>
              <w:widowControl/>
              <w:jc w:val="left"/>
              <w:rPr>
                <w:rFonts w:ascii="宋体" w:hAnsi="宋体" w:cs="宋体"/>
                <w:color w:val="000000"/>
                <w:kern w:val="0"/>
                <w:szCs w:val="21"/>
              </w:rPr>
            </w:pPr>
            <w:r>
              <w:rPr>
                <w:rFonts w:hint="eastAsia" w:ascii="宋体" w:hAnsi="宋体" w:cs="宋体"/>
                <w:kern w:val="0"/>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widowControl/>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jc w:val="left"/>
              <w:rPr>
                <w:rFonts w:ascii="宋体" w:hAnsi="宋体" w:cs="宋体"/>
                <w:kern w:val="0"/>
                <w:szCs w:val="21"/>
              </w:rPr>
            </w:pPr>
            <w:r>
              <w:rPr>
                <w:rFonts w:hint="eastAsia" w:ascii="宋体" w:hAnsi="宋体" w:cs="宋体"/>
                <w:kern w:val="0"/>
                <w:szCs w:val="21"/>
              </w:rPr>
              <w:t>根据投标人提供的数据资源目录梳理编制服务内容评分，应包含数据目录编制、数据目录质量整改工作、政务服务事项关联，对上述服务方案是否全面完整、合理可行性进行综合评分（5分）:</w:t>
            </w:r>
          </w:p>
          <w:p>
            <w:pPr>
              <w:jc w:val="left"/>
              <w:rPr>
                <w:rFonts w:ascii="宋体" w:hAnsi="宋体" w:cs="宋体"/>
                <w:kern w:val="0"/>
                <w:szCs w:val="21"/>
              </w:rPr>
            </w:pPr>
            <w:r>
              <w:rPr>
                <w:rFonts w:hint="eastAsia" w:ascii="宋体" w:hAnsi="宋体" w:cs="宋体"/>
                <w:kern w:val="0"/>
                <w:szCs w:val="21"/>
              </w:rPr>
              <w:t>方案合理、可行、针对性强，且符合采购人需求的得5分；</w:t>
            </w:r>
          </w:p>
          <w:p>
            <w:pPr>
              <w:jc w:val="left"/>
              <w:rPr>
                <w:rFonts w:ascii="宋体" w:hAnsi="宋体" w:cs="宋体"/>
                <w:kern w:val="0"/>
                <w:szCs w:val="21"/>
              </w:rPr>
            </w:pPr>
            <w:r>
              <w:rPr>
                <w:rFonts w:hint="eastAsia" w:ascii="宋体" w:hAnsi="宋体" w:cs="宋体"/>
                <w:kern w:val="0"/>
                <w:szCs w:val="21"/>
              </w:rPr>
              <w:t>方案较合理可行，较符合采购人需求的得4分；</w:t>
            </w:r>
          </w:p>
          <w:p>
            <w:pPr>
              <w:jc w:val="left"/>
              <w:rPr>
                <w:rFonts w:ascii="宋体" w:hAnsi="宋体" w:cs="宋体"/>
                <w:kern w:val="0"/>
                <w:szCs w:val="21"/>
              </w:rPr>
            </w:pPr>
            <w:r>
              <w:rPr>
                <w:rFonts w:hint="eastAsia" w:ascii="宋体" w:hAnsi="宋体" w:cs="宋体"/>
                <w:kern w:val="0"/>
                <w:szCs w:val="21"/>
              </w:rPr>
              <w:t>方案基本合理可行，基本符合采购人需求的得3分；</w:t>
            </w:r>
          </w:p>
          <w:p>
            <w:pPr>
              <w:widowControl/>
              <w:jc w:val="left"/>
              <w:rPr>
                <w:rFonts w:ascii="宋体" w:hAnsi="宋体" w:cs="宋体"/>
                <w:kern w:val="0"/>
                <w:szCs w:val="21"/>
              </w:rPr>
            </w:pPr>
            <w:r>
              <w:rPr>
                <w:rFonts w:hint="eastAsia" w:ascii="宋体" w:hAnsi="宋体" w:cs="宋体"/>
                <w:kern w:val="0"/>
                <w:szCs w:val="21"/>
              </w:rPr>
              <w:t>方案存在一定缺陷，合理可行存疑的，部分无法满足采购人需求的得2分；</w:t>
            </w:r>
          </w:p>
          <w:p>
            <w:pPr>
              <w:widowControl/>
              <w:jc w:val="left"/>
              <w:rPr>
                <w:rFonts w:ascii="宋体" w:hAnsi="宋体" w:cs="宋体"/>
                <w:kern w:val="0"/>
                <w:szCs w:val="21"/>
              </w:rPr>
            </w:pPr>
            <w:r>
              <w:rPr>
                <w:rFonts w:hint="eastAsia" w:ascii="宋体" w:hAnsi="宋体" w:cs="宋体"/>
                <w:kern w:val="0"/>
                <w:szCs w:val="21"/>
              </w:rPr>
              <w:t>方案存在明显缺陷，不合理且完全无法满足采购需求的得1分；</w:t>
            </w:r>
          </w:p>
          <w:p>
            <w:pPr>
              <w:widowControl/>
              <w:jc w:val="left"/>
              <w:rPr>
                <w:rFonts w:ascii="宋体" w:hAnsi="宋体" w:cs="宋体"/>
                <w:color w:val="000000"/>
                <w:kern w:val="0"/>
                <w:szCs w:val="21"/>
              </w:rPr>
            </w:pPr>
            <w:r>
              <w:rPr>
                <w:rFonts w:hint="eastAsia" w:ascii="宋体" w:hAnsi="宋体" w:cs="宋体"/>
                <w:kern w:val="0"/>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widowControl/>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jc w:val="left"/>
              <w:rPr>
                <w:rFonts w:ascii="宋体" w:hAnsi="宋体" w:cs="宋体"/>
                <w:kern w:val="0"/>
                <w:szCs w:val="21"/>
              </w:rPr>
            </w:pPr>
            <w:r>
              <w:rPr>
                <w:rFonts w:hint="eastAsia" w:ascii="宋体" w:hAnsi="宋体" w:cs="宋体"/>
                <w:kern w:val="0"/>
                <w:szCs w:val="21"/>
              </w:rPr>
              <w:t>根据投标人提供的数据归集服务内容评分，应包含省、市数据归集和宁海县数据归集服务，对上述服务方案是否全面完整、合理可行性进行综合评分（5分）:</w:t>
            </w:r>
          </w:p>
          <w:p>
            <w:pPr>
              <w:jc w:val="left"/>
              <w:rPr>
                <w:rFonts w:ascii="宋体" w:hAnsi="宋体" w:cs="宋体"/>
                <w:kern w:val="0"/>
                <w:szCs w:val="21"/>
              </w:rPr>
            </w:pPr>
            <w:r>
              <w:rPr>
                <w:rFonts w:hint="eastAsia" w:ascii="宋体" w:hAnsi="宋体" w:cs="宋体"/>
                <w:kern w:val="0"/>
                <w:szCs w:val="21"/>
              </w:rPr>
              <w:t>方案合理、可行、针对性强，且符合采购人需求的得5分；</w:t>
            </w:r>
          </w:p>
          <w:p>
            <w:pPr>
              <w:jc w:val="left"/>
              <w:rPr>
                <w:rFonts w:ascii="宋体" w:hAnsi="宋体" w:cs="宋体"/>
                <w:kern w:val="0"/>
                <w:szCs w:val="21"/>
              </w:rPr>
            </w:pPr>
            <w:r>
              <w:rPr>
                <w:rFonts w:hint="eastAsia" w:ascii="宋体" w:hAnsi="宋体" w:cs="宋体"/>
                <w:kern w:val="0"/>
                <w:szCs w:val="21"/>
              </w:rPr>
              <w:t>方案较合理可行，较符合采购人需求的得4分；</w:t>
            </w:r>
          </w:p>
          <w:p>
            <w:pPr>
              <w:jc w:val="left"/>
              <w:rPr>
                <w:rFonts w:ascii="宋体" w:hAnsi="宋体" w:cs="宋体"/>
                <w:kern w:val="0"/>
                <w:szCs w:val="21"/>
              </w:rPr>
            </w:pPr>
            <w:r>
              <w:rPr>
                <w:rFonts w:hint="eastAsia" w:ascii="宋体" w:hAnsi="宋体" w:cs="宋体"/>
                <w:kern w:val="0"/>
                <w:szCs w:val="21"/>
              </w:rPr>
              <w:t>方案基本合理可行，基本符合采购人需求的得3分；</w:t>
            </w:r>
          </w:p>
          <w:p>
            <w:pPr>
              <w:widowControl/>
              <w:jc w:val="left"/>
              <w:rPr>
                <w:rFonts w:ascii="宋体" w:hAnsi="宋体" w:cs="宋体"/>
                <w:kern w:val="0"/>
                <w:szCs w:val="21"/>
              </w:rPr>
            </w:pPr>
            <w:r>
              <w:rPr>
                <w:rFonts w:hint="eastAsia" w:ascii="宋体" w:hAnsi="宋体" w:cs="宋体"/>
                <w:kern w:val="0"/>
                <w:szCs w:val="21"/>
              </w:rPr>
              <w:t>方案存在一定缺陷，合理可行存疑的，部分无法满足采购人需求的得2分；</w:t>
            </w:r>
          </w:p>
          <w:p>
            <w:pPr>
              <w:widowControl/>
              <w:jc w:val="left"/>
              <w:rPr>
                <w:rFonts w:ascii="宋体" w:hAnsi="宋体" w:cs="宋体"/>
                <w:kern w:val="0"/>
                <w:szCs w:val="21"/>
              </w:rPr>
            </w:pPr>
            <w:r>
              <w:rPr>
                <w:rFonts w:hint="eastAsia" w:ascii="宋体" w:hAnsi="宋体" w:cs="宋体"/>
                <w:kern w:val="0"/>
                <w:szCs w:val="21"/>
              </w:rPr>
              <w:t>方案存在明显缺陷，不合理且完全无法满足采购需求的得1分；</w:t>
            </w:r>
          </w:p>
          <w:p>
            <w:pPr>
              <w:widowControl/>
              <w:jc w:val="left"/>
              <w:rPr>
                <w:rFonts w:ascii="宋体" w:hAnsi="宋体" w:cs="宋体"/>
                <w:color w:val="000000"/>
                <w:kern w:val="0"/>
                <w:szCs w:val="21"/>
              </w:rPr>
            </w:pPr>
            <w:r>
              <w:rPr>
                <w:rFonts w:hint="eastAsia" w:ascii="宋体" w:hAnsi="宋体" w:cs="宋体"/>
                <w:kern w:val="0"/>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widowControl/>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jc w:val="left"/>
              <w:rPr>
                <w:rFonts w:ascii="宋体" w:hAnsi="宋体" w:cs="宋体"/>
                <w:kern w:val="0"/>
                <w:szCs w:val="21"/>
              </w:rPr>
            </w:pPr>
            <w:r>
              <w:rPr>
                <w:rFonts w:hint="eastAsia" w:ascii="宋体" w:hAnsi="宋体" w:cs="宋体"/>
                <w:kern w:val="0"/>
                <w:szCs w:val="21"/>
              </w:rPr>
              <w:t>根据投标人提供的数据治理服务内容评分，应包含问题数据导出对接、数据清洗实施、数据工单、治理规则配置及运维、高质量数据治理及分析、数据安全辅助管理，对上述服务方案是否全面完整、合理可行性进行综合评分（5分）:</w:t>
            </w:r>
          </w:p>
          <w:p>
            <w:pPr>
              <w:jc w:val="left"/>
              <w:rPr>
                <w:rFonts w:ascii="宋体" w:hAnsi="宋体" w:cs="宋体"/>
                <w:kern w:val="0"/>
                <w:szCs w:val="21"/>
              </w:rPr>
            </w:pPr>
            <w:r>
              <w:rPr>
                <w:rFonts w:hint="eastAsia" w:ascii="宋体" w:hAnsi="宋体" w:cs="宋体"/>
                <w:kern w:val="0"/>
                <w:szCs w:val="21"/>
              </w:rPr>
              <w:t>方案合理、可行、针对性强，且符合采购人需求的得5分；</w:t>
            </w:r>
          </w:p>
          <w:p>
            <w:pPr>
              <w:jc w:val="left"/>
              <w:rPr>
                <w:rFonts w:ascii="宋体" w:hAnsi="宋体" w:cs="宋体"/>
                <w:kern w:val="0"/>
                <w:szCs w:val="21"/>
              </w:rPr>
            </w:pPr>
            <w:r>
              <w:rPr>
                <w:rFonts w:hint="eastAsia" w:ascii="宋体" w:hAnsi="宋体" w:cs="宋体"/>
                <w:kern w:val="0"/>
                <w:szCs w:val="21"/>
              </w:rPr>
              <w:t>方案较合理可行，较符合采购人需求的得4分；</w:t>
            </w:r>
          </w:p>
          <w:p>
            <w:pPr>
              <w:jc w:val="left"/>
              <w:rPr>
                <w:rFonts w:ascii="宋体" w:hAnsi="宋体" w:cs="宋体"/>
                <w:kern w:val="0"/>
                <w:szCs w:val="21"/>
              </w:rPr>
            </w:pPr>
            <w:r>
              <w:rPr>
                <w:rFonts w:hint="eastAsia" w:ascii="宋体" w:hAnsi="宋体" w:cs="宋体"/>
                <w:kern w:val="0"/>
                <w:szCs w:val="21"/>
              </w:rPr>
              <w:t>方案基本合理可行，基本符合采购人需求的得3分；</w:t>
            </w:r>
          </w:p>
          <w:p>
            <w:pPr>
              <w:widowControl/>
              <w:jc w:val="left"/>
              <w:rPr>
                <w:rFonts w:ascii="宋体" w:hAnsi="宋体" w:cs="宋体"/>
                <w:kern w:val="0"/>
                <w:szCs w:val="21"/>
              </w:rPr>
            </w:pPr>
            <w:r>
              <w:rPr>
                <w:rFonts w:hint="eastAsia" w:ascii="宋体" w:hAnsi="宋体" w:cs="宋体"/>
                <w:kern w:val="0"/>
                <w:szCs w:val="21"/>
              </w:rPr>
              <w:t>方案存在一定缺陷，合理可行存疑的，部分无法满足采购人需求的得2分；</w:t>
            </w:r>
          </w:p>
          <w:p>
            <w:pPr>
              <w:widowControl/>
              <w:jc w:val="left"/>
              <w:rPr>
                <w:rFonts w:ascii="宋体" w:hAnsi="宋体" w:cs="宋体"/>
                <w:kern w:val="0"/>
                <w:szCs w:val="21"/>
              </w:rPr>
            </w:pPr>
            <w:r>
              <w:rPr>
                <w:rFonts w:hint="eastAsia" w:ascii="宋体" w:hAnsi="宋体" w:cs="宋体"/>
                <w:kern w:val="0"/>
                <w:szCs w:val="21"/>
              </w:rPr>
              <w:t>方案存在明显缺陷，不合理且完全无法满足采购需求的得1分；</w:t>
            </w:r>
          </w:p>
          <w:p>
            <w:pPr>
              <w:spacing w:after="120"/>
              <w:rPr>
                <w:sz w:val="28"/>
              </w:rPr>
            </w:pPr>
            <w:r>
              <w:rPr>
                <w:rFonts w:hint="eastAsia" w:ascii="宋体" w:hAnsi="宋体" w:cs="宋体"/>
                <w:kern w:val="0"/>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widowControl/>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jc w:val="left"/>
              <w:rPr>
                <w:rFonts w:ascii="宋体" w:hAnsi="宋体" w:cs="宋体"/>
                <w:kern w:val="0"/>
                <w:szCs w:val="21"/>
              </w:rPr>
            </w:pPr>
            <w:r>
              <w:rPr>
                <w:rFonts w:hint="eastAsia" w:ascii="宋体" w:hAnsi="宋体" w:cs="宋体"/>
                <w:kern w:val="0"/>
                <w:szCs w:val="21"/>
              </w:rPr>
              <w:t>根据投标人提供的数据开放服务内容评分，应包含资源管理、开放数据评论纠错管理、开放接口评论纠错管理、数据风控管理、数据脱敏管理，对上述服务方案是否全面完整、合理可行性进行综合评分（5分）:</w:t>
            </w:r>
          </w:p>
          <w:p>
            <w:pPr>
              <w:jc w:val="left"/>
              <w:rPr>
                <w:rFonts w:ascii="宋体" w:hAnsi="宋体" w:cs="宋体"/>
                <w:kern w:val="0"/>
                <w:szCs w:val="21"/>
              </w:rPr>
            </w:pPr>
            <w:r>
              <w:rPr>
                <w:rFonts w:hint="eastAsia" w:ascii="宋体" w:hAnsi="宋体" w:cs="宋体"/>
                <w:kern w:val="0"/>
                <w:szCs w:val="21"/>
              </w:rPr>
              <w:t>方案合理、可行、针对性强，且符合采购人需求的得5分；</w:t>
            </w:r>
          </w:p>
          <w:p>
            <w:pPr>
              <w:jc w:val="left"/>
              <w:rPr>
                <w:rFonts w:ascii="宋体" w:hAnsi="宋体" w:cs="宋体"/>
                <w:kern w:val="0"/>
                <w:szCs w:val="21"/>
              </w:rPr>
            </w:pPr>
            <w:r>
              <w:rPr>
                <w:rFonts w:hint="eastAsia" w:ascii="宋体" w:hAnsi="宋体" w:cs="宋体"/>
                <w:kern w:val="0"/>
                <w:szCs w:val="21"/>
              </w:rPr>
              <w:t>方案较合理可行，较符合采购人需求的得4分；</w:t>
            </w:r>
          </w:p>
          <w:p>
            <w:pPr>
              <w:jc w:val="left"/>
              <w:rPr>
                <w:rFonts w:ascii="宋体" w:hAnsi="宋体" w:cs="宋体"/>
                <w:kern w:val="0"/>
                <w:szCs w:val="21"/>
              </w:rPr>
            </w:pPr>
            <w:r>
              <w:rPr>
                <w:rFonts w:hint="eastAsia" w:ascii="宋体" w:hAnsi="宋体" w:cs="宋体"/>
                <w:kern w:val="0"/>
                <w:szCs w:val="21"/>
              </w:rPr>
              <w:t>方案基本合理可行，基本符合采购人需求的得3分；</w:t>
            </w:r>
          </w:p>
          <w:p>
            <w:pPr>
              <w:widowControl/>
              <w:jc w:val="left"/>
              <w:rPr>
                <w:rFonts w:ascii="宋体" w:hAnsi="宋体" w:cs="宋体"/>
                <w:kern w:val="0"/>
                <w:szCs w:val="21"/>
              </w:rPr>
            </w:pPr>
            <w:r>
              <w:rPr>
                <w:rFonts w:hint="eastAsia" w:ascii="宋体" w:hAnsi="宋体" w:cs="宋体"/>
                <w:kern w:val="0"/>
                <w:szCs w:val="21"/>
              </w:rPr>
              <w:t>方案存在一定缺陷，合理可行存疑的，部分无法满足采购人需求的得2分；</w:t>
            </w:r>
          </w:p>
          <w:p>
            <w:pPr>
              <w:widowControl/>
              <w:jc w:val="left"/>
              <w:rPr>
                <w:rFonts w:ascii="宋体" w:hAnsi="宋体" w:cs="宋体"/>
                <w:kern w:val="0"/>
                <w:szCs w:val="21"/>
              </w:rPr>
            </w:pPr>
            <w:r>
              <w:rPr>
                <w:rFonts w:hint="eastAsia" w:ascii="宋体" w:hAnsi="宋体" w:cs="宋体"/>
                <w:kern w:val="0"/>
                <w:szCs w:val="21"/>
              </w:rPr>
              <w:t>方案存在明显缺陷，不合理且完全无法满足采购需求的得1分；</w:t>
            </w:r>
          </w:p>
          <w:p>
            <w:pPr>
              <w:widowControl/>
              <w:jc w:val="left"/>
              <w:rPr>
                <w:rFonts w:ascii="宋体" w:hAnsi="宋体"/>
                <w:kern w:val="0"/>
                <w:szCs w:val="21"/>
              </w:rPr>
            </w:pPr>
            <w:r>
              <w:rPr>
                <w:rFonts w:hint="eastAsia" w:ascii="宋体" w:hAnsi="宋体" w:cs="宋体"/>
                <w:kern w:val="0"/>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widowControl/>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jc w:val="left"/>
              <w:rPr>
                <w:rFonts w:ascii="宋体" w:hAnsi="宋体" w:cs="宋体"/>
                <w:kern w:val="0"/>
                <w:szCs w:val="21"/>
              </w:rPr>
            </w:pPr>
            <w:r>
              <w:rPr>
                <w:rFonts w:hint="eastAsia" w:ascii="宋体" w:hAnsi="宋体" w:cs="宋体"/>
                <w:kern w:val="0"/>
                <w:szCs w:val="21"/>
              </w:rPr>
              <w:t>根据投标人提供的公共数据共享服务内容评分，应包含新增接口运维及梳理、接口运维巡检、数据共享情况分析服务、共享数据运维，对上述服务方案是否全面完整、合理可行性进行综合评分（5分）:</w:t>
            </w:r>
          </w:p>
          <w:p>
            <w:pPr>
              <w:jc w:val="left"/>
              <w:rPr>
                <w:rFonts w:ascii="宋体" w:hAnsi="宋体" w:cs="宋体"/>
                <w:kern w:val="0"/>
                <w:szCs w:val="21"/>
              </w:rPr>
            </w:pPr>
            <w:r>
              <w:rPr>
                <w:rFonts w:hint="eastAsia" w:ascii="宋体" w:hAnsi="宋体" w:cs="宋体"/>
                <w:kern w:val="0"/>
                <w:szCs w:val="21"/>
              </w:rPr>
              <w:t>方案合理、可行、针对性强，且符合采购人需求的得5分；</w:t>
            </w:r>
          </w:p>
          <w:p>
            <w:pPr>
              <w:jc w:val="left"/>
              <w:rPr>
                <w:rFonts w:ascii="宋体" w:hAnsi="宋体" w:cs="宋体"/>
                <w:kern w:val="0"/>
                <w:szCs w:val="21"/>
              </w:rPr>
            </w:pPr>
            <w:r>
              <w:rPr>
                <w:rFonts w:hint="eastAsia" w:ascii="宋体" w:hAnsi="宋体" w:cs="宋体"/>
                <w:kern w:val="0"/>
                <w:szCs w:val="21"/>
              </w:rPr>
              <w:t>方案较合理可行，较符合采购人需求的得4分；</w:t>
            </w:r>
          </w:p>
          <w:p>
            <w:pPr>
              <w:jc w:val="left"/>
              <w:rPr>
                <w:rFonts w:ascii="宋体" w:hAnsi="宋体" w:cs="宋体"/>
                <w:kern w:val="0"/>
                <w:szCs w:val="21"/>
              </w:rPr>
            </w:pPr>
            <w:r>
              <w:rPr>
                <w:rFonts w:hint="eastAsia" w:ascii="宋体" w:hAnsi="宋体" w:cs="宋体"/>
                <w:kern w:val="0"/>
                <w:szCs w:val="21"/>
              </w:rPr>
              <w:t>方案基本合理可行，基本符合采购人需求的得3分；</w:t>
            </w:r>
          </w:p>
          <w:p>
            <w:pPr>
              <w:widowControl/>
              <w:jc w:val="left"/>
              <w:rPr>
                <w:rFonts w:ascii="宋体" w:hAnsi="宋体" w:cs="宋体"/>
                <w:kern w:val="0"/>
                <w:szCs w:val="21"/>
              </w:rPr>
            </w:pPr>
            <w:r>
              <w:rPr>
                <w:rFonts w:hint="eastAsia" w:ascii="宋体" w:hAnsi="宋体" w:cs="宋体"/>
                <w:kern w:val="0"/>
                <w:szCs w:val="21"/>
              </w:rPr>
              <w:t>方案存在一定缺陷，合理可行存疑的，部分无法满足采购人需求的得2分；</w:t>
            </w:r>
          </w:p>
          <w:p>
            <w:pPr>
              <w:widowControl/>
              <w:jc w:val="left"/>
              <w:rPr>
                <w:rFonts w:ascii="宋体" w:hAnsi="宋体" w:cs="宋体"/>
                <w:kern w:val="0"/>
                <w:szCs w:val="21"/>
              </w:rPr>
            </w:pPr>
            <w:r>
              <w:rPr>
                <w:rFonts w:hint="eastAsia" w:ascii="宋体" w:hAnsi="宋体" w:cs="宋体"/>
                <w:kern w:val="0"/>
                <w:szCs w:val="21"/>
              </w:rPr>
              <w:t>方案存在明显缺陷，不合理且完全无法满足采购需求的得1分；</w:t>
            </w:r>
          </w:p>
          <w:p>
            <w:pPr>
              <w:widowControl/>
              <w:jc w:val="left"/>
              <w:rPr>
                <w:rFonts w:ascii="宋体" w:hAnsi="宋体"/>
                <w:kern w:val="0"/>
                <w:szCs w:val="21"/>
              </w:rPr>
            </w:pPr>
            <w:r>
              <w:rPr>
                <w:rFonts w:hint="eastAsia" w:ascii="宋体" w:hAnsi="宋体" w:cs="宋体"/>
                <w:kern w:val="0"/>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widowControl/>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jc w:val="left"/>
              <w:rPr>
                <w:rFonts w:ascii="宋体" w:hAnsi="宋体" w:cs="宋体"/>
                <w:kern w:val="0"/>
                <w:szCs w:val="21"/>
              </w:rPr>
            </w:pPr>
            <w:r>
              <w:rPr>
                <w:rFonts w:hint="eastAsia" w:ascii="宋体" w:hAnsi="宋体" w:cs="宋体"/>
                <w:kern w:val="0"/>
                <w:szCs w:val="21"/>
              </w:rPr>
              <w:t>根据投标人提供的专题库建库服务内容评分，对上述服务方案是否全面完整、合理可行性进行综合评分（5分）:方案合理、可行、针对性强，且符合采购人需求的得5分；</w:t>
            </w:r>
          </w:p>
          <w:p>
            <w:pPr>
              <w:jc w:val="left"/>
              <w:rPr>
                <w:rFonts w:ascii="宋体" w:hAnsi="宋体" w:cs="宋体"/>
                <w:kern w:val="0"/>
                <w:szCs w:val="21"/>
              </w:rPr>
            </w:pPr>
            <w:r>
              <w:rPr>
                <w:rFonts w:hint="eastAsia" w:ascii="宋体" w:hAnsi="宋体" w:cs="宋体"/>
                <w:kern w:val="0"/>
                <w:szCs w:val="21"/>
              </w:rPr>
              <w:t>方案较合理可行，较符合采购人需求的得4分；</w:t>
            </w:r>
          </w:p>
          <w:p>
            <w:pPr>
              <w:jc w:val="left"/>
              <w:rPr>
                <w:rFonts w:ascii="宋体" w:hAnsi="宋体" w:cs="宋体"/>
                <w:kern w:val="0"/>
                <w:szCs w:val="21"/>
              </w:rPr>
            </w:pPr>
            <w:r>
              <w:rPr>
                <w:rFonts w:hint="eastAsia" w:ascii="宋体" w:hAnsi="宋体" w:cs="宋体"/>
                <w:kern w:val="0"/>
                <w:szCs w:val="21"/>
              </w:rPr>
              <w:t>方案基本合理可行，基本符合采购人需求的得3分；</w:t>
            </w:r>
          </w:p>
          <w:p>
            <w:pPr>
              <w:widowControl/>
              <w:jc w:val="left"/>
              <w:rPr>
                <w:rFonts w:ascii="宋体" w:hAnsi="宋体" w:cs="宋体"/>
                <w:kern w:val="0"/>
                <w:szCs w:val="21"/>
              </w:rPr>
            </w:pPr>
            <w:r>
              <w:rPr>
                <w:rFonts w:hint="eastAsia" w:ascii="宋体" w:hAnsi="宋体" w:cs="宋体"/>
                <w:kern w:val="0"/>
                <w:szCs w:val="21"/>
              </w:rPr>
              <w:t>方案存在一定缺陷，合理可行存疑的，部分无法满足采购人需求的得2分；</w:t>
            </w:r>
          </w:p>
          <w:p>
            <w:pPr>
              <w:widowControl/>
              <w:jc w:val="left"/>
              <w:rPr>
                <w:rFonts w:ascii="宋体" w:hAnsi="宋体" w:cs="宋体"/>
                <w:kern w:val="0"/>
                <w:szCs w:val="21"/>
              </w:rPr>
            </w:pPr>
            <w:r>
              <w:rPr>
                <w:rFonts w:hint="eastAsia" w:ascii="宋体" w:hAnsi="宋体" w:cs="宋体"/>
                <w:kern w:val="0"/>
                <w:szCs w:val="21"/>
              </w:rPr>
              <w:t>方案存在明显缺陷，不合理且完全无法满足采购需求的得1分；</w:t>
            </w:r>
          </w:p>
          <w:p>
            <w:pPr>
              <w:widowControl/>
              <w:jc w:val="left"/>
              <w:rPr>
                <w:rFonts w:ascii="宋体" w:hAnsi="宋体"/>
                <w:kern w:val="0"/>
                <w:szCs w:val="21"/>
              </w:rPr>
            </w:pPr>
            <w:r>
              <w:rPr>
                <w:rFonts w:hint="eastAsia" w:ascii="宋体" w:hAnsi="宋体" w:cs="宋体"/>
                <w:kern w:val="0"/>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widowControl/>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jc w:val="left"/>
              <w:rPr>
                <w:rFonts w:ascii="宋体" w:hAnsi="宋体" w:cs="宋体"/>
                <w:kern w:val="0"/>
                <w:szCs w:val="21"/>
              </w:rPr>
            </w:pPr>
            <w:r>
              <w:rPr>
                <w:rFonts w:hint="eastAsia" w:cs="宋体"/>
                <w:kern w:val="0"/>
              </w:rPr>
              <w:t>根据投标人提供数据安全服务内容评分，应包含安全检测评估服务和数据安全管理制度检查，是否全面完整、合理可行性进行综合评分</w:t>
            </w:r>
            <w:r>
              <w:rPr>
                <w:rFonts w:hint="eastAsia" w:ascii="宋体" w:hAnsi="宋体" w:cs="宋体"/>
                <w:kern w:val="0"/>
                <w:szCs w:val="21"/>
              </w:rPr>
              <w:t>（5分）:方案合理、可行、针对性强，且符合采购人需求的得5分；</w:t>
            </w:r>
          </w:p>
          <w:p>
            <w:pPr>
              <w:jc w:val="left"/>
              <w:rPr>
                <w:rFonts w:ascii="宋体" w:hAnsi="宋体" w:cs="宋体"/>
                <w:kern w:val="0"/>
                <w:szCs w:val="21"/>
              </w:rPr>
            </w:pPr>
            <w:r>
              <w:rPr>
                <w:rFonts w:hint="eastAsia" w:ascii="宋体" w:hAnsi="宋体" w:cs="宋体"/>
                <w:kern w:val="0"/>
                <w:szCs w:val="21"/>
              </w:rPr>
              <w:t>方案较合理可行，较符合采购人需求的得4分；</w:t>
            </w:r>
          </w:p>
          <w:p>
            <w:pPr>
              <w:jc w:val="left"/>
              <w:rPr>
                <w:rFonts w:ascii="宋体" w:hAnsi="宋体" w:cs="宋体"/>
                <w:kern w:val="0"/>
                <w:szCs w:val="21"/>
              </w:rPr>
            </w:pPr>
            <w:r>
              <w:rPr>
                <w:rFonts w:hint="eastAsia" w:ascii="宋体" w:hAnsi="宋体" w:cs="宋体"/>
                <w:kern w:val="0"/>
                <w:szCs w:val="21"/>
              </w:rPr>
              <w:t>方案基本合理可行，基本符合采购人需求的得3分；</w:t>
            </w:r>
          </w:p>
          <w:p>
            <w:pPr>
              <w:widowControl/>
              <w:jc w:val="left"/>
              <w:rPr>
                <w:rFonts w:ascii="宋体" w:hAnsi="宋体" w:cs="宋体"/>
                <w:kern w:val="0"/>
                <w:szCs w:val="21"/>
              </w:rPr>
            </w:pPr>
            <w:r>
              <w:rPr>
                <w:rFonts w:hint="eastAsia" w:ascii="宋体" w:hAnsi="宋体" w:cs="宋体"/>
                <w:kern w:val="0"/>
                <w:szCs w:val="21"/>
              </w:rPr>
              <w:t>方案存在一定缺陷，合理可行存疑的，部分无法满足采购人需求的得2分；</w:t>
            </w:r>
          </w:p>
          <w:p>
            <w:pPr>
              <w:widowControl/>
              <w:jc w:val="left"/>
              <w:rPr>
                <w:rFonts w:ascii="宋体" w:hAnsi="宋体" w:cs="宋体"/>
                <w:kern w:val="0"/>
                <w:szCs w:val="21"/>
              </w:rPr>
            </w:pPr>
            <w:r>
              <w:rPr>
                <w:rFonts w:hint="eastAsia" w:ascii="宋体" w:hAnsi="宋体" w:cs="宋体"/>
                <w:kern w:val="0"/>
                <w:szCs w:val="21"/>
              </w:rPr>
              <w:t>方案存在明显缺陷，不合理且完全无法满足采购需求的得1分；</w:t>
            </w:r>
          </w:p>
          <w:p>
            <w:pPr>
              <w:widowControl/>
              <w:jc w:val="left"/>
              <w:rPr>
                <w:rFonts w:ascii="宋体" w:hAnsi="宋体"/>
                <w:kern w:val="0"/>
                <w:szCs w:val="21"/>
              </w:rPr>
            </w:pPr>
            <w:r>
              <w:rPr>
                <w:rFonts w:hint="eastAsia" w:ascii="宋体" w:hAnsi="宋体" w:cs="宋体"/>
                <w:kern w:val="0"/>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widowControl/>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jc w:val="left"/>
              <w:rPr>
                <w:rFonts w:ascii="宋体" w:hAnsi="宋体" w:cs="宋体"/>
                <w:kern w:val="0"/>
                <w:szCs w:val="21"/>
              </w:rPr>
            </w:pPr>
            <w:r>
              <w:rPr>
                <w:rFonts w:hint="eastAsia" w:cs="宋体"/>
                <w:kern w:val="0"/>
              </w:rPr>
              <w:t>根据投标人提供的运营咨询服务内容评分，应包含浙里办上架指导服务及浙里办咨询服务、浙里办咨询专家培训服务、公共数据平台及数据产品培训服务等。对上述服务方案全面完整程度、合理可行性进行评分</w:t>
            </w:r>
            <w:r>
              <w:rPr>
                <w:rFonts w:hint="eastAsia" w:ascii="宋体" w:hAnsi="宋体" w:cs="宋体"/>
                <w:kern w:val="0"/>
                <w:szCs w:val="21"/>
              </w:rPr>
              <w:t>（5分）:</w:t>
            </w:r>
          </w:p>
          <w:p>
            <w:pPr>
              <w:jc w:val="left"/>
              <w:rPr>
                <w:rFonts w:ascii="宋体" w:hAnsi="宋体" w:cs="宋体"/>
                <w:kern w:val="0"/>
                <w:szCs w:val="21"/>
              </w:rPr>
            </w:pPr>
            <w:r>
              <w:rPr>
                <w:rFonts w:hint="eastAsia" w:ascii="宋体" w:hAnsi="宋体" w:cs="宋体"/>
                <w:kern w:val="0"/>
                <w:szCs w:val="21"/>
              </w:rPr>
              <w:t>方案合理、可行、针对性强，且符合采购人需求的得5分；</w:t>
            </w:r>
          </w:p>
          <w:p>
            <w:pPr>
              <w:jc w:val="left"/>
              <w:rPr>
                <w:rFonts w:ascii="宋体" w:hAnsi="宋体" w:cs="宋体"/>
                <w:kern w:val="0"/>
                <w:szCs w:val="21"/>
              </w:rPr>
            </w:pPr>
            <w:r>
              <w:rPr>
                <w:rFonts w:hint="eastAsia" w:ascii="宋体" w:hAnsi="宋体" w:cs="宋体"/>
                <w:kern w:val="0"/>
                <w:szCs w:val="21"/>
              </w:rPr>
              <w:t>方案较合理可行，较符合采购人需求的得4分；</w:t>
            </w:r>
          </w:p>
          <w:p>
            <w:pPr>
              <w:jc w:val="left"/>
              <w:rPr>
                <w:rFonts w:ascii="宋体" w:hAnsi="宋体" w:cs="宋体"/>
                <w:kern w:val="0"/>
                <w:szCs w:val="21"/>
              </w:rPr>
            </w:pPr>
            <w:r>
              <w:rPr>
                <w:rFonts w:hint="eastAsia" w:ascii="宋体" w:hAnsi="宋体" w:cs="宋体"/>
                <w:kern w:val="0"/>
                <w:szCs w:val="21"/>
              </w:rPr>
              <w:t>方案基本合理可行，基本符合采购人需求的得3分；</w:t>
            </w:r>
          </w:p>
          <w:p>
            <w:pPr>
              <w:widowControl/>
              <w:jc w:val="left"/>
              <w:rPr>
                <w:rFonts w:ascii="宋体" w:hAnsi="宋体" w:cs="宋体"/>
                <w:kern w:val="0"/>
                <w:szCs w:val="21"/>
              </w:rPr>
            </w:pPr>
            <w:r>
              <w:rPr>
                <w:rFonts w:hint="eastAsia" w:ascii="宋体" w:hAnsi="宋体" w:cs="宋体"/>
                <w:kern w:val="0"/>
                <w:szCs w:val="21"/>
              </w:rPr>
              <w:t>方案存在一定缺陷，合理可行存疑的，部分无法满足采购人需求的得2分；</w:t>
            </w:r>
          </w:p>
          <w:p>
            <w:pPr>
              <w:widowControl/>
              <w:jc w:val="left"/>
              <w:rPr>
                <w:rFonts w:ascii="宋体" w:hAnsi="宋体" w:cs="宋体"/>
                <w:kern w:val="0"/>
                <w:szCs w:val="21"/>
              </w:rPr>
            </w:pPr>
            <w:r>
              <w:rPr>
                <w:rFonts w:hint="eastAsia" w:ascii="宋体" w:hAnsi="宋体" w:cs="宋体"/>
                <w:kern w:val="0"/>
                <w:szCs w:val="21"/>
              </w:rPr>
              <w:t>方案存在明显缺陷，不合理且完全无法满足采购需求的得1分；</w:t>
            </w:r>
          </w:p>
          <w:p>
            <w:pPr>
              <w:widowControl/>
              <w:jc w:val="left"/>
              <w:rPr>
                <w:rFonts w:ascii="宋体" w:hAnsi="宋体"/>
                <w:kern w:val="0"/>
                <w:szCs w:val="21"/>
              </w:rPr>
            </w:pPr>
            <w:r>
              <w:rPr>
                <w:rFonts w:hint="eastAsia" w:ascii="宋体" w:hAnsi="宋体" w:cs="宋体"/>
                <w:kern w:val="0"/>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2" w:hRule="atLeast"/>
          <w:jc w:val="center"/>
        </w:trPr>
        <w:tc>
          <w:tcPr>
            <w:tcW w:w="1037" w:type="dxa"/>
            <w:vMerge w:val="continue"/>
            <w:vAlign w:val="center"/>
          </w:tcPr>
          <w:p>
            <w:pPr>
              <w:widowControl/>
              <w:jc w:val="center"/>
            </w:pPr>
          </w:p>
        </w:tc>
        <w:tc>
          <w:tcPr>
            <w:tcW w:w="1134" w:type="dxa"/>
            <w:tcBorders>
              <w:top w:val="single" w:color="auto" w:sz="6" w:space="0"/>
              <w:right w:val="single" w:color="auto" w:sz="6" w:space="0"/>
            </w:tcBorders>
            <w:vAlign w:val="center"/>
          </w:tcPr>
          <w:p>
            <w:pPr>
              <w:jc w:val="center"/>
              <w:rPr>
                <w:rFonts w:ascii="宋体" w:hAnsi="宋体" w:cs="宋体"/>
                <w:bCs/>
                <w:szCs w:val="21"/>
              </w:rPr>
            </w:pPr>
            <w:r>
              <w:rPr>
                <w:rFonts w:hint="eastAsia" w:ascii="宋体" w:hAnsi="宋体" w:cs="宋体"/>
                <w:bCs/>
                <w:szCs w:val="21"/>
              </w:rPr>
              <w:t>项目实施小组</w:t>
            </w:r>
          </w:p>
          <w:p>
            <w:pPr>
              <w:jc w:val="center"/>
              <w:rPr>
                <w:rFonts w:ascii="宋体" w:hAnsi="宋体" w:cs="宋体"/>
                <w:bCs/>
                <w:szCs w:val="21"/>
              </w:rPr>
            </w:pPr>
            <w:r>
              <w:rPr>
                <w:rFonts w:hint="eastAsia" w:ascii="宋体" w:hAnsi="宋体" w:cs="宋体"/>
                <w:bCs/>
                <w:szCs w:val="21"/>
              </w:rPr>
              <w:t>（8分）</w:t>
            </w:r>
          </w:p>
        </w:tc>
        <w:tc>
          <w:tcPr>
            <w:tcW w:w="6300" w:type="dxa"/>
            <w:tcBorders>
              <w:top w:val="single" w:color="auto" w:sz="6" w:space="0"/>
              <w:left w:val="single" w:color="auto" w:sz="6" w:space="0"/>
              <w:right w:val="double" w:color="auto" w:sz="4" w:space="0"/>
            </w:tcBorders>
            <w:vAlign w:val="center"/>
          </w:tcPr>
          <w:p>
            <w:pPr>
              <w:pStyle w:val="20"/>
              <w:rPr>
                <w:rFonts w:ascii="宋体" w:hAnsi="宋体" w:cs="宋体"/>
                <w:sz w:val="21"/>
                <w:szCs w:val="21"/>
              </w:rPr>
            </w:pPr>
            <w:r>
              <w:rPr>
                <w:rFonts w:hint="eastAsia" w:ascii="宋体" w:hAnsi="宋体" w:cs="宋体"/>
                <w:sz w:val="21"/>
                <w:szCs w:val="21"/>
              </w:rPr>
              <w:t>1、本项目的项目经理具备信息系统项目管理师证书、C</w:t>
            </w:r>
            <w:r>
              <w:rPr>
                <w:rFonts w:ascii="宋体" w:hAnsi="宋体" w:cs="宋体"/>
                <w:sz w:val="21"/>
                <w:szCs w:val="21"/>
              </w:rPr>
              <w:t>CSK</w:t>
            </w:r>
            <w:r>
              <w:rPr>
                <w:rFonts w:hint="eastAsia" w:ascii="宋体" w:hAnsi="宋体" w:cs="宋体"/>
                <w:sz w:val="21"/>
                <w:szCs w:val="21"/>
              </w:rPr>
              <w:t>证书、高级工程师证书</w:t>
            </w:r>
            <w:r>
              <w:rPr>
                <w:rFonts w:hint="eastAsia" w:ascii="宋体" w:hAnsi="宋体" w:cs="宋体"/>
                <w:sz w:val="21"/>
                <w:szCs w:val="21"/>
                <w:lang w:eastAsia="zh-CN"/>
              </w:rPr>
              <w:t>，</w:t>
            </w:r>
            <w:r>
              <w:rPr>
                <w:rFonts w:hint="eastAsia" w:ascii="宋体" w:hAnsi="宋体" w:cs="宋体"/>
                <w:sz w:val="21"/>
                <w:szCs w:val="21"/>
              </w:rPr>
              <w:t>每提供一项得1分，最高</w:t>
            </w:r>
            <w:r>
              <w:rPr>
                <w:rFonts w:hint="eastAsia" w:ascii="宋体" w:hAnsi="宋体" w:cs="宋体"/>
                <w:sz w:val="21"/>
                <w:szCs w:val="21"/>
                <w:lang w:val="en-US" w:eastAsia="zh-CN"/>
              </w:rPr>
              <w:t>3</w:t>
            </w:r>
            <w:r>
              <w:rPr>
                <w:rFonts w:hint="eastAsia" w:ascii="宋体" w:hAnsi="宋体" w:cs="宋体"/>
                <w:sz w:val="21"/>
                <w:szCs w:val="21"/>
              </w:rPr>
              <w:t>分。</w:t>
            </w:r>
          </w:p>
          <w:p>
            <w:pPr>
              <w:pStyle w:val="20"/>
              <w:rPr>
                <w:rFonts w:ascii="宋体" w:hAnsi="宋体" w:cs="宋体"/>
                <w:sz w:val="21"/>
                <w:szCs w:val="21"/>
              </w:rPr>
            </w:pPr>
            <w:r>
              <w:rPr>
                <w:rFonts w:hint="eastAsia" w:ascii="宋体" w:hAnsi="宋体" w:cs="宋体"/>
                <w:sz w:val="21"/>
                <w:szCs w:val="21"/>
              </w:rPr>
              <w:t>2、拟投入项目的服务人员（项目经理除外）具备信息系统项目管理师证书、PMP 认证、系统集成项目管理师证书、系统架构设计师、IT服务项目经理证书，每提供一项得1分，最高5分(同类证书、同一人员不重复得分)。</w:t>
            </w:r>
          </w:p>
          <w:p>
            <w:pPr>
              <w:pStyle w:val="20"/>
              <w:rPr>
                <w:rFonts w:ascii="宋体" w:hAnsi="宋体" w:cs="宋体"/>
                <w:sz w:val="21"/>
                <w:szCs w:val="21"/>
              </w:rPr>
            </w:pPr>
            <w:r>
              <w:rPr>
                <w:rFonts w:hint="eastAsia" w:ascii="宋体" w:hAnsi="宋体" w:cs="宋体"/>
                <w:sz w:val="21"/>
                <w:szCs w:val="21"/>
              </w:rPr>
              <w:t>注：需提供相关证书及投标人为该人员缴纳开标前三个月任意一个月的社保证明材料。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037" w:type="dxa"/>
            <w:vMerge w:val="continue"/>
            <w:vAlign w:val="center"/>
          </w:tcPr>
          <w:p>
            <w:pPr>
              <w:widowControl/>
              <w:jc w:val="center"/>
              <w:rPr>
                <w:rFonts w:ascii="宋体" w:hAnsi="宋体" w:cs="宋体"/>
                <w:kern w:val="0"/>
                <w:szCs w:val="21"/>
              </w:rPr>
            </w:pPr>
          </w:p>
        </w:tc>
        <w:tc>
          <w:tcPr>
            <w:tcW w:w="1134" w:type="dxa"/>
            <w:tcBorders>
              <w:top w:val="single" w:color="auto" w:sz="6" w:space="0"/>
              <w:right w:val="single" w:color="auto" w:sz="6" w:space="0"/>
            </w:tcBorders>
            <w:vAlign w:val="center"/>
          </w:tcPr>
          <w:p>
            <w:pPr>
              <w:jc w:val="center"/>
              <w:rPr>
                <w:rFonts w:ascii="宋体" w:hAnsi="宋体" w:cs="宋体"/>
                <w:bCs/>
                <w:szCs w:val="21"/>
              </w:rPr>
            </w:pPr>
            <w:r>
              <w:rPr>
                <w:rFonts w:hint="eastAsia" w:ascii="宋体" w:hAnsi="宋体" w:cs="宋体"/>
                <w:bCs/>
                <w:szCs w:val="21"/>
              </w:rPr>
              <w:t>综合实力</w:t>
            </w:r>
          </w:p>
          <w:p>
            <w:pPr>
              <w:jc w:val="center"/>
              <w:rPr>
                <w:rFonts w:ascii="宋体" w:hAns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分）</w:t>
            </w:r>
          </w:p>
        </w:tc>
        <w:tc>
          <w:tcPr>
            <w:tcW w:w="6300" w:type="dxa"/>
            <w:tcBorders>
              <w:top w:val="single" w:color="auto" w:sz="6" w:space="0"/>
              <w:left w:val="single" w:color="auto" w:sz="6" w:space="0"/>
              <w:right w:val="double" w:color="auto" w:sz="4" w:space="0"/>
            </w:tcBorders>
            <w:vAlign w:val="center"/>
          </w:tcPr>
          <w:p>
            <w:pPr>
              <w:pStyle w:val="161"/>
              <w:ind w:firstLine="0" w:firstLineChars="0"/>
              <w:rPr>
                <w:rFonts w:ascii="宋体" w:hAnsi="宋体" w:cs="宋体"/>
                <w:szCs w:val="21"/>
              </w:rPr>
            </w:pPr>
            <w:r>
              <w:rPr>
                <w:rFonts w:hint="eastAsia" w:ascii="宋体" w:hAnsi="宋体" w:cs="宋体"/>
                <w:szCs w:val="21"/>
              </w:rPr>
              <w:t>投标人具备CCRC信息安全服务资质认证证书（信息系统安全运维）、数据存储安全管理体系（ISO/IEC 27040）、隐私信息管理体系（ISO/IEC 27701），每提供一项证书得</w:t>
            </w:r>
            <w:r>
              <w:rPr>
                <w:rFonts w:ascii="宋体" w:hAnsi="宋体" w:cs="宋体"/>
                <w:szCs w:val="21"/>
              </w:rPr>
              <w:t>1</w:t>
            </w:r>
            <w:r>
              <w:rPr>
                <w:rFonts w:hint="eastAsia" w:ascii="宋体" w:hAnsi="宋体" w:cs="宋体"/>
                <w:szCs w:val="21"/>
              </w:rPr>
              <w:t>分，最高3分。</w:t>
            </w:r>
          </w:p>
          <w:p>
            <w:pPr>
              <w:pStyle w:val="161"/>
              <w:ind w:firstLine="0" w:firstLineChars="0"/>
              <w:rPr>
                <w:rFonts w:ascii="宋体" w:hAnsi="宋体" w:cs="宋体"/>
                <w:szCs w:val="21"/>
              </w:rPr>
            </w:pPr>
            <w:r>
              <w:rPr>
                <w:rFonts w:hint="eastAsia" w:ascii="宋体" w:hAnsi="宋体" w:cs="宋体"/>
                <w:szCs w:val="21"/>
              </w:rPr>
              <w:t>注：需提供相关证书。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037" w:type="dxa"/>
            <w:vMerge w:val="continue"/>
            <w:vAlign w:val="center"/>
          </w:tcPr>
          <w:p>
            <w:pPr>
              <w:widowControl/>
              <w:jc w:val="center"/>
              <w:rPr>
                <w:rFonts w:ascii="宋体" w:hAnsi="宋体" w:cs="宋体"/>
                <w:szCs w:val="21"/>
              </w:rPr>
            </w:pPr>
          </w:p>
        </w:tc>
        <w:tc>
          <w:tcPr>
            <w:tcW w:w="1134" w:type="dxa"/>
            <w:tcBorders>
              <w:top w:val="single" w:color="auto" w:sz="6" w:space="0"/>
              <w:right w:val="single" w:color="auto" w:sz="6" w:space="0"/>
            </w:tcBorders>
            <w:vAlign w:val="center"/>
          </w:tcPr>
          <w:p>
            <w:pPr>
              <w:jc w:val="center"/>
              <w:rPr>
                <w:rFonts w:ascii="宋体" w:hAnsi="宋体" w:cs="宋体"/>
                <w:bCs/>
                <w:szCs w:val="21"/>
              </w:rPr>
            </w:pPr>
            <w:r>
              <w:rPr>
                <w:rFonts w:hint="eastAsia" w:ascii="宋体" w:hAnsi="宋体" w:cs="宋体"/>
                <w:bCs/>
                <w:szCs w:val="21"/>
              </w:rPr>
              <w:t>培训方案（3分）</w:t>
            </w:r>
          </w:p>
        </w:tc>
        <w:tc>
          <w:tcPr>
            <w:tcW w:w="6300" w:type="dxa"/>
            <w:tcBorders>
              <w:top w:val="single" w:color="auto" w:sz="6" w:space="0"/>
              <w:left w:val="single" w:color="auto" w:sz="6" w:space="0"/>
              <w:right w:val="double" w:color="auto" w:sz="4" w:space="0"/>
            </w:tcBorders>
            <w:vAlign w:val="center"/>
          </w:tcPr>
          <w:p>
            <w:pPr>
              <w:rPr>
                <w:rFonts w:ascii="宋体" w:hAnsi="宋体" w:cs="宋体"/>
                <w:szCs w:val="21"/>
              </w:rPr>
            </w:pPr>
            <w:r>
              <w:rPr>
                <w:rFonts w:hint="eastAsia" w:ascii="宋体" w:hAnsi="宋体" w:cs="宋体"/>
                <w:szCs w:val="21"/>
              </w:rPr>
              <w:t>根据培训目标、培训人员配备、培训课程介绍等内容的详细程度、合理性和可行性综合评分（3分）：</w:t>
            </w:r>
          </w:p>
          <w:p>
            <w:pPr>
              <w:widowControl/>
              <w:jc w:val="left"/>
              <w:rPr>
                <w:rFonts w:ascii="宋体" w:hAnsi="宋体" w:cs="宋体"/>
                <w:szCs w:val="21"/>
              </w:rPr>
            </w:pPr>
            <w:r>
              <w:rPr>
                <w:rFonts w:hint="eastAsia" w:ascii="宋体" w:hAnsi="宋体" w:cs="宋体"/>
                <w:szCs w:val="21"/>
              </w:rPr>
              <w:t>培训方案内容完整，措施得当，响应时间及时，承诺切实可行，满足项目质量要求的得3分；</w:t>
            </w:r>
          </w:p>
          <w:p>
            <w:pPr>
              <w:widowControl/>
              <w:jc w:val="left"/>
              <w:rPr>
                <w:rFonts w:ascii="宋体" w:hAnsi="宋体" w:cs="宋体"/>
                <w:szCs w:val="21"/>
              </w:rPr>
            </w:pPr>
            <w:r>
              <w:rPr>
                <w:rFonts w:hint="eastAsia" w:ascii="宋体" w:hAnsi="宋体" w:cs="宋体"/>
                <w:szCs w:val="21"/>
              </w:rPr>
              <w:t>培训方案内容较完整，响应时间较及时，无重大缺陷的得2分；</w:t>
            </w:r>
          </w:p>
          <w:p>
            <w:pPr>
              <w:widowControl/>
              <w:jc w:val="left"/>
              <w:rPr>
                <w:rFonts w:ascii="宋体" w:hAnsi="宋体" w:cs="宋体"/>
                <w:szCs w:val="21"/>
              </w:rPr>
            </w:pPr>
            <w:r>
              <w:rPr>
                <w:rFonts w:hint="eastAsia" w:ascii="宋体" w:hAnsi="宋体" w:cs="宋体"/>
                <w:szCs w:val="21"/>
              </w:rPr>
              <w:t>培训方案内容欠完整，考虑不全面，对工作内容的响应存在一定的不足，与采购需求有偏离的得1分；</w:t>
            </w:r>
          </w:p>
          <w:p>
            <w:pPr>
              <w:pStyle w:val="20"/>
            </w:pPr>
            <w:r>
              <w:rPr>
                <w:rFonts w:hint="eastAsia" w:ascii="宋体" w:hAnsi="宋体" w:cs="宋体"/>
                <w:sz w:val="21"/>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37" w:type="dxa"/>
            <w:vMerge w:val="continue"/>
            <w:vAlign w:val="center"/>
          </w:tcPr>
          <w:p>
            <w:pPr>
              <w:widowControl/>
              <w:jc w:val="center"/>
              <w:rPr>
                <w:rFonts w:ascii="宋体" w:hAnsi="宋体" w:cs="宋体"/>
                <w:szCs w:val="21"/>
              </w:rPr>
            </w:pPr>
          </w:p>
        </w:tc>
        <w:tc>
          <w:tcPr>
            <w:tcW w:w="1134" w:type="dxa"/>
            <w:vMerge w:val="restart"/>
            <w:tcBorders>
              <w:top w:val="single" w:color="auto" w:sz="6" w:space="0"/>
              <w:right w:val="single" w:color="auto" w:sz="6" w:space="0"/>
            </w:tcBorders>
            <w:vAlign w:val="center"/>
          </w:tcPr>
          <w:p>
            <w:pPr>
              <w:jc w:val="center"/>
              <w:rPr>
                <w:rFonts w:ascii="宋体" w:hAnsi="宋体" w:cs="宋体"/>
                <w:bCs/>
                <w:szCs w:val="21"/>
              </w:rPr>
            </w:pPr>
            <w:r>
              <w:rPr>
                <w:rFonts w:hint="eastAsia" w:ascii="宋体" w:hAnsi="宋体" w:cs="宋体"/>
                <w:bCs/>
                <w:szCs w:val="21"/>
              </w:rPr>
              <w:t>服务保障（9分）</w:t>
            </w:r>
          </w:p>
        </w:tc>
        <w:tc>
          <w:tcPr>
            <w:tcW w:w="6300" w:type="dxa"/>
            <w:tcBorders>
              <w:top w:val="single" w:color="auto" w:sz="6" w:space="0"/>
              <w:left w:val="single" w:color="auto" w:sz="6" w:space="0"/>
              <w:right w:val="doub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评委根据供应商针对本项目提供的售后服务方案（包括但不限于服务响应时间、响应程度、服务内容、解决问题的能力、技术指导等）进行综合评议。（3分）</w:t>
            </w:r>
          </w:p>
          <w:p>
            <w:pPr>
              <w:widowControl/>
              <w:jc w:val="left"/>
              <w:rPr>
                <w:rFonts w:ascii="宋体" w:hAnsi="宋体" w:cs="宋体"/>
                <w:color w:val="000000"/>
                <w:kern w:val="0"/>
                <w:szCs w:val="21"/>
              </w:rPr>
            </w:pPr>
            <w:r>
              <w:rPr>
                <w:rFonts w:hint="eastAsia" w:ascii="宋体" w:hAnsi="宋体" w:cs="宋体"/>
                <w:color w:val="000000"/>
                <w:kern w:val="0"/>
                <w:szCs w:val="21"/>
              </w:rPr>
              <w:t>售后服务方案内容完整，措施得当，响应时间及时，承诺切实可行，满足项目质量要求的得3分；</w:t>
            </w:r>
          </w:p>
          <w:p>
            <w:pPr>
              <w:widowControl/>
              <w:jc w:val="left"/>
              <w:rPr>
                <w:rFonts w:ascii="宋体" w:hAnsi="宋体" w:cs="宋体"/>
                <w:color w:val="000000"/>
                <w:kern w:val="0"/>
                <w:szCs w:val="21"/>
              </w:rPr>
            </w:pPr>
            <w:r>
              <w:rPr>
                <w:rFonts w:hint="eastAsia" w:ascii="宋体" w:hAnsi="宋体" w:cs="宋体"/>
                <w:color w:val="000000"/>
                <w:kern w:val="0"/>
                <w:szCs w:val="21"/>
              </w:rPr>
              <w:t>售后服务方案内容较完整，响应时间较及时，无重大缺陷的得2分；</w:t>
            </w:r>
          </w:p>
          <w:p>
            <w:pPr>
              <w:widowControl/>
              <w:jc w:val="left"/>
              <w:rPr>
                <w:rFonts w:ascii="宋体" w:hAnsi="宋体" w:cs="宋体"/>
                <w:color w:val="000000"/>
                <w:kern w:val="0"/>
                <w:szCs w:val="21"/>
              </w:rPr>
            </w:pPr>
            <w:r>
              <w:rPr>
                <w:rFonts w:hint="eastAsia" w:ascii="宋体" w:hAnsi="宋体" w:cs="宋体"/>
                <w:color w:val="000000"/>
                <w:kern w:val="0"/>
                <w:szCs w:val="21"/>
              </w:rPr>
              <w:t>售后服务方案内容欠完整，考虑不全面，对工作内容的响应存在一定的不足，与采购需求有偏离的得1分；</w:t>
            </w:r>
          </w:p>
          <w:p>
            <w:pPr>
              <w:widowControl/>
              <w:rPr>
                <w:rFonts w:ascii="宋体" w:hAnsi="宋体" w:cs="宋体"/>
                <w:szCs w:val="21"/>
              </w:rPr>
            </w:pPr>
            <w:r>
              <w:rPr>
                <w:rFonts w:hint="eastAsia" w:ascii="宋体" w:hAnsi="宋体" w:cs="宋体"/>
                <w:bCs/>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评委根据供应商提供的针对本项目出现紧急状况时的处理措施及应急预案的合理性、科学性进行综合评议。（3分）</w:t>
            </w:r>
          </w:p>
          <w:p>
            <w:pPr>
              <w:widowControl/>
              <w:jc w:val="left"/>
              <w:rPr>
                <w:rFonts w:ascii="宋体" w:hAnsi="宋体" w:cs="宋体"/>
                <w:color w:val="000000"/>
                <w:kern w:val="0"/>
                <w:szCs w:val="21"/>
              </w:rPr>
            </w:pPr>
            <w:r>
              <w:rPr>
                <w:rFonts w:hint="eastAsia" w:ascii="宋体" w:hAnsi="宋体" w:cs="宋体"/>
                <w:color w:val="000000"/>
                <w:kern w:val="0"/>
                <w:szCs w:val="21"/>
              </w:rPr>
              <w:t>措施内容计划全面性且合理，预案内容具有针对性及可操作性的得3分；</w:t>
            </w:r>
          </w:p>
          <w:p>
            <w:pPr>
              <w:widowControl/>
              <w:jc w:val="left"/>
              <w:rPr>
                <w:rFonts w:ascii="宋体" w:hAnsi="宋体" w:cs="宋体"/>
                <w:color w:val="000000"/>
                <w:kern w:val="0"/>
                <w:szCs w:val="21"/>
              </w:rPr>
            </w:pPr>
            <w:r>
              <w:rPr>
                <w:rFonts w:hint="eastAsia" w:ascii="宋体" w:hAnsi="宋体" w:cs="宋体"/>
                <w:color w:val="000000"/>
                <w:kern w:val="0"/>
                <w:szCs w:val="21"/>
              </w:rPr>
              <w:t>措施内容计划全面性及合理性一般，针对性及可操作性基本满足运维服务，可基本保障项目实施的得2分；</w:t>
            </w:r>
          </w:p>
          <w:p>
            <w:pPr>
              <w:widowControl/>
              <w:jc w:val="left"/>
              <w:rPr>
                <w:rFonts w:ascii="宋体" w:hAnsi="宋体" w:cs="宋体"/>
                <w:color w:val="000000"/>
                <w:kern w:val="0"/>
                <w:szCs w:val="21"/>
              </w:rPr>
            </w:pPr>
            <w:r>
              <w:rPr>
                <w:rFonts w:hint="eastAsia" w:ascii="宋体" w:hAnsi="宋体" w:cs="宋体"/>
                <w:color w:val="000000"/>
                <w:kern w:val="0"/>
                <w:szCs w:val="21"/>
              </w:rPr>
              <w:t>内容计划不明确，方案无针对性，可操作性无法实现，措施不明确且不到位的得1分；</w:t>
            </w:r>
          </w:p>
          <w:p>
            <w:pPr>
              <w:widowControl/>
              <w:jc w:val="left"/>
              <w:rPr>
                <w:rFonts w:ascii="宋体" w:hAnsi="宋体" w:cs="宋体"/>
                <w:color w:val="000000"/>
                <w:kern w:val="0"/>
                <w:szCs w:val="21"/>
              </w:rPr>
            </w:pPr>
            <w:r>
              <w:rPr>
                <w:rFonts w:hint="eastAsia" w:ascii="宋体" w:hAnsi="宋体" w:cs="宋体"/>
                <w:bCs/>
                <w:szCs w:val="21"/>
              </w:rPr>
              <w:t>未提供相关内容不得分。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69" w:hRule="atLeast"/>
          <w:jc w:val="center"/>
        </w:trPr>
        <w:tc>
          <w:tcPr>
            <w:tcW w:w="1037" w:type="dxa"/>
            <w:vMerge w:val="continue"/>
            <w:vAlign w:val="center"/>
          </w:tcPr>
          <w:p>
            <w:pPr>
              <w:widowControl/>
              <w:jc w:val="center"/>
              <w:rPr>
                <w:rFonts w:ascii="宋体" w:hAnsi="宋体" w:cs="宋体"/>
                <w:szCs w:val="21"/>
              </w:rPr>
            </w:pPr>
          </w:p>
        </w:tc>
        <w:tc>
          <w:tcPr>
            <w:tcW w:w="1134" w:type="dxa"/>
            <w:vMerge w:val="continue"/>
            <w:tcBorders>
              <w:right w:val="single" w:color="auto" w:sz="6" w:space="0"/>
            </w:tcBorders>
            <w:vAlign w:val="center"/>
          </w:tcPr>
          <w:p>
            <w:pPr>
              <w:jc w:val="center"/>
              <w:rPr>
                <w:rFonts w:ascii="宋体" w:hAnsi="宋体" w:cs="宋体"/>
                <w:color w:val="000000"/>
                <w:kern w:val="0"/>
                <w:szCs w:val="21"/>
              </w:rPr>
            </w:pPr>
          </w:p>
        </w:tc>
        <w:tc>
          <w:tcPr>
            <w:tcW w:w="6300" w:type="dxa"/>
            <w:tcBorders>
              <w:top w:val="single" w:color="auto" w:sz="6" w:space="0"/>
              <w:left w:val="single" w:color="auto" w:sz="6" w:space="0"/>
              <w:right w:val="double" w:color="auto" w:sz="4" w:space="0"/>
            </w:tcBorders>
            <w:vAlign w:val="center"/>
          </w:tcPr>
          <w:p>
            <w:pPr>
              <w:widowControl/>
              <w:rPr>
                <w:rFonts w:ascii="宋体" w:hAnsi="宋体" w:cs="宋体"/>
                <w:kern w:val="0"/>
                <w:szCs w:val="21"/>
              </w:rPr>
            </w:pPr>
            <w:r>
              <w:rPr>
                <w:rFonts w:hint="eastAsia" w:ascii="宋体" w:hAnsi="宋体" w:cs="宋体"/>
                <w:sz w:val="22"/>
                <w:szCs w:val="22"/>
              </w:rPr>
              <w:t>根据投标人提供的驻场人员的证书及相关工作经验</w:t>
            </w:r>
            <w:r>
              <w:rPr>
                <w:rFonts w:hint="eastAsia" w:ascii="宋体" w:hAnsi="宋体" w:cs="宋体"/>
                <w:kern w:val="0"/>
                <w:szCs w:val="21"/>
              </w:rPr>
              <w:t>进行综合评分（3分）：</w:t>
            </w:r>
          </w:p>
          <w:p>
            <w:pPr>
              <w:widowControl/>
              <w:rPr>
                <w:rFonts w:ascii="宋体" w:hAnsi="宋体" w:cs="宋体"/>
                <w:kern w:val="0"/>
                <w:szCs w:val="21"/>
              </w:rPr>
            </w:pPr>
            <w:r>
              <w:rPr>
                <w:rFonts w:hint="eastAsia" w:ascii="宋体" w:hAnsi="宋体" w:cs="宋体"/>
                <w:kern w:val="0"/>
                <w:szCs w:val="21"/>
              </w:rPr>
              <w:t>驻场人员证书符合本项目需求且相关工作经验丰富的得3分；</w:t>
            </w:r>
          </w:p>
          <w:p>
            <w:pPr>
              <w:widowControl/>
              <w:rPr>
                <w:rFonts w:ascii="宋体" w:hAnsi="宋体" w:cs="宋体"/>
                <w:kern w:val="0"/>
                <w:szCs w:val="21"/>
              </w:rPr>
            </w:pPr>
            <w:r>
              <w:rPr>
                <w:rFonts w:hint="eastAsia" w:ascii="宋体" w:hAnsi="宋体" w:cs="宋体"/>
                <w:kern w:val="0"/>
                <w:szCs w:val="21"/>
              </w:rPr>
              <w:t>驻场人员证书基本符合本项目需求但有缺陷且相关工作经验一般的得2分；</w:t>
            </w:r>
          </w:p>
          <w:p>
            <w:pPr>
              <w:widowControl/>
              <w:rPr>
                <w:rFonts w:ascii="宋体" w:hAnsi="宋体" w:cs="宋体"/>
                <w:kern w:val="0"/>
                <w:szCs w:val="21"/>
              </w:rPr>
            </w:pPr>
            <w:r>
              <w:rPr>
                <w:rFonts w:hint="eastAsia" w:ascii="宋体" w:hAnsi="宋体" w:cs="宋体"/>
                <w:kern w:val="0"/>
                <w:szCs w:val="21"/>
              </w:rPr>
              <w:t>驻场人员证书不太符合本项目需求且相关工作经验不足的得1分；</w:t>
            </w:r>
          </w:p>
          <w:p>
            <w:pPr>
              <w:widowControl/>
              <w:rPr>
                <w:rFonts w:ascii="宋体" w:hAnsi="宋体" w:cs="宋体"/>
                <w:kern w:val="0"/>
                <w:szCs w:val="21"/>
              </w:rPr>
            </w:pPr>
            <w:r>
              <w:rPr>
                <w:rFonts w:hint="eastAsia" w:ascii="宋体" w:hAnsi="宋体" w:cs="宋体"/>
                <w:bCs/>
                <w:szCs w:val="21"/>
              </w:rPr>
              <w:t>未提供相关内容不得分。</w:t>
            </w:r>
          </w:p>
          <w:p>
            <w:pPr>
              <w:widowControl/>
              <w:jc w:val="left"/>
              <w:rPr>
                <w:rFonts w:ascii="宋体" w:hAnsi="宋体" w:cs="宋体"/>
                <w:color w:val="000000"/>
                <w:kern w:val="0"/>
                <w:szCs w:val="21"/>
              </w:rPr>
            </w:pPr>
            <w:r>
              <w:rPr>
                <w:rFonts w:hint="eastAsia" w:ascii="宋体" w:hAnsi="宋体" w:cs="宋体"/>
                <w:sz w:val="22"/>
                <w:szCs w:val="22"/>
              </w:rPr>
              <w:t>注:提供驻场人员证书及相关证明材料。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5" w:hRule="atLeast"/>
          <w:jc w:val="center"/>
        </w:trPr>
        <w:tc>
          <w:tcPr>
            <w:tcW w:w="1037" w:type="dxa"/>
            <w:vMerge w:val="continue"/>
            <w:vAlign w:val="center"/>
          </w:tcPr>
          <w:p>
            <w:pPr>
              <w:widowControl/>
              <w:jc w:val="center"/>
              <w:rPr>
                <w:rFonts w:ascii="宋体" w:hAnsi="宋体" w:cs="宋体"/>
                <w:szCs w:val="21"/>
              </w:rPr>
            </w:pPr>
          </w:p>
        </w:tc>
        <w:tc>
          <w:tcPr>
            <w:tcW w:w="1134" w:type="dxa"/>
            <w:tcBorders>
              <w:right w:val="single" w:color="auto" w:sz="6" w:space="0"/>
            </w:tcBorders>
            <w:vAlign w:val="center"/>
          </w:tcPr>
          <w:p>
            <w:pPr>
              <w:jc w:val="center"/>
              <w:rPr>
                <w:rFonts w:ascii="宋体" w:hAnsi="宋体" w:cs="宋体"/>
                <w:bCs/>
                <w:szCs w:val="21"/>
              </w:rPr>
            </w:pPr>
            <w:r>
              <w:rPr>
                <w:rFonts w:hint="eastAsia" w:ascii="宋体" w:hAnsi="宋体" w:cs="宋体"/>
                <w:bCs/>
                <w:szCs w:val="21"/>
              </w:rPr>
              <w:t>业绩</w:t>
            </w:r>
          </w:p>
          <w:p>
            <w:pPr>
              <w:jc w:val="center"/>
              <w:rPr>
                <w:rFonts w:ascii="宋体" w:hAnsi="宋体" w:cs="宋体"/>
                <w:bCs/>
                <w:szCs w:val="21"/>
              </w:rPr>
            </w:pPr>
            <w:r>
              <w:rPr>
                <w:rFonts w:hint="eastAsia" w:ascii="宋体" w:hAnsi="宋体" w:cs="宋体"/>
                <w:bCs/>
                <w:szCs w:val="21"/>
              </w:rPr>
              <w:t>（2分）</w:t>
            </w:r>
          </w:p>
        </w:tc>
        <w:tc>
          <w:tcPr>
            <w:tcW w:w="6300" w:type="dxa"/>
            <w:tcBorders>
              <w:top w:val="single" w:color="auto" w:sz="6" w:space="0"/>
              <w:left w:val="single" w:color="auto" w:sz="6" w:space="0"/>
              <w:right w:val="double" w:color="auto" w:sz="4" w:space="0"/>
            </w:tcBorders>
          </w:tcPr>
          <w:p>
            <w:pPr>
              <w:widowControl/>
              <w:jc w:val="left"/>
              <w:rPr>
                <w:rFonts w:ascii="宋体" w:hAnsi="宋体" w:cs="宋体"/>
                <w:szCs w:val="21"/>
              </w:rPr>
            </w:pPr>
            <w:r>
              <w:rPr>
                <w:rFonts w:hint="eastAsia" w:ascii="宋体" w:hAnsi="宋体" w:cs="宋体"/>
                <w:szCs w:val="21"/>
              </w:rPr>
              <w:t>2022年</w:t>
            </w:r>
            <w:r>
              <w:rPr>
                <w:rFonts w:ascii="宋体" w:hAnsi="宋体" w:cs="宋体"/>
                <w:szCs w:val="21"/>
              </w:rPr>
              <w:t>1</w:t>
            </w:r>
            <w:r>
              <w:rPr>
                <w:rFonts w:hint="eastAsia" w:ascii="宋体" w:hAnsi="宋体" w:cs="宋体"/>
                <w:szCs w:val="21"/>
              </w:rPr>
              <w:t>月1日以来</w:t>
            </w:r>
            <w:r>
              <w:rPr>
                <w:rFonts w:hint="eastAsia" w:ascii="宋体" w:hAnsi="宋体"/>
                <w:szCs w:val="21"/>
              </w:rPr>
              <w:t>具</w:t>
            </w:r>
            <w:r>
              <w:rPr>
                <w:rFonts w:hint="eastAsia" w:ascii="宋体" w:hAnsi="宋体" w:cs="宋体"/>
                <w:szCs w:val="21"/>
              </w:rPr>
              <w:t>有类似公共数据服务项目经验的每个得1分；最高2分。</w:t>
            </w:r>
          </w:p>
          <w:p>
            <w:pPr>
              <w:widowControl/>
              <w:jc w:val="left"/>
              <w:rPr>
                <w:rFonts w:ascii="宋体" w:hAnsi="宋体" w:cs="宋体"/>
                <w:szCs w:val="21"/>
              </w:rPr>
            </w:pPr>
            <w:r>
              <w:rPr>
                <w:rFonts w:hint="eastAsia" w:ascii="宋体" w:hAnsi="宋体" w:cs="宋体"/>
                <w:szCs w:val="21"/>
              </w:rPr>
              <w:t>注：投标文件</w:t>
            </w:r>
            <w:r>
              <w:rPr>
                <w:rFonts w:hint="eastAsia" w:ascii="宋体" w:hAnsi="宋体"/>
                <w:szCs w:val="21"/>
              </w:rPr>
              <w:t>中提供合同及中标</w:t>
            </w:r>
            <w:r>
              <w:rPr>
                <w:rFonts w:hint="eastAsia" w:ascii="宋体" w:hAnsi="宋体" w:cs="宋体"/>
                <w:szCs w:val="21"/>
              </w:rPr>
              <w:t>通知书复印件。</w:t>
            </w:r>
          </w:p>
        </w:tc>
      </w:tr>
    </w:tbl>
    <w:p>
      <w:pPr>
        <w:spacing w:before="120" w:beforeLines="50" w:after="120" w:afterLines="50" w:line="360" w:lineRule="auto"/>
        <w:jc w:val="center"/>
        <w:outlineLvl w:val="0"/>
        <w:rPr>
          <w:rFonts w:ascii="宋体" w:hAnsi="宋体" w:cs="宋体"/>
          <w:bCs/>
          <w:sz w:val="30"/>
          <w:szCs w:val="30"/>
        </w:rPr>
      </w:pPr>
      <w:bookmarkStart w:id="6" w:name="_Toc32330"/>
      <w:r>
        <w:rPr>
          <w:rFonts w:ascii="宋体" w:hAnsi="宋体" w:cs="宋体"/>
          <w:sz w:val="30"/>
          <w:szCs w:val="30"/>
        </w:rPr>
        <w:br w:type="page"/>
      </w:r>
      <w:r>
        <w:rPr>
          <w:rFonts w:hint="eastAsia" w:ascii="宋体" w:hAnsi="宋体" w:cs="宋体"/>
          <w:sz w:val="30"/>
          <w:szCs w:val="30"/>
        </w:rPr>
        <w:t xml:space="preserve">第五章  </w:t>
      </w:r>
      <w:r>
        <w:rPr>
          <w:rFonts w:hint="eastAsia" w:ascii="宋体" w:hAnsi="宋体" w:cs="宋体"/>
          <w:bCs/>
          <w:sz w:val="30"/>
          <w:szCs w:val="30"/>
        </w:rPr>
        <w:t>合同主要条款</w:t>
      </w:r>
      <w:bookmarkEnd w:id="6"/>
    </w:p>
    <w:p>
      <w:pPr>
        <w:spacing w:line="480" w:lineRule="exact"/>
        <w:rPr>
          <w:rFonts w:ascii="宋体" w:hAnsi="宋体"/>
          <w:szCs w:val="21"/>
        </w:rPr>
      </w:pPr>
    </w:p>
    <w:p>
      <w:pPr>
        <w:snapToGrid w:val="0"/>
        <w:spacing w:before="120" w:beforeLines="50" w:after="120" w:afterLines="50" w:line="400" w:lineRule="exact"/>
        <w:jc w:val="center"/>
        <w:outlineLvl w:val="0"/>
        <w:rPr>
          <w:rFonts w:ascii="宋体" w:hAnsi="宋体" w:cs="宋体"/>
          <w:b/>
          <w:sz w:val="30"/>
        </w:rPr>
      </w:pPr>
      <w:r>
        <w:rPr>
          <w:rFonts w:hint="eastAsia" w:ascii="宋体" w:hAnsi="宋体" w:cs="宋体"/>
          <w:b/>
          <w:sz w:val="30"/>
        </w:rPr>
        <w:t>采 购 合 同</w:t>
      </w:r>
    </w:p>
    <w:p>
      <w:pPr>
        <w:keepNext/>
        <w:keepLines/>
        <w:tabs>
          <w:tab w:val="center" w:pos="4819"/>
        </w:tabs>
        <w:spacing w:before="200" w:after="200" w:line="360" w:lineRule="auto"/>
        <w:jc w:val="center"/>
      </w:pPr>
      <w:bookmarkStart w:id="7" w:name="_Toc460356672"/>
      <w:r>
        <w:rPr>
          <w:rFonts w:hint="eastAsia"/>
        </w:rPr>
        <w:t>（</w:t>
      </w:r>
      <w:r>
        <w:rPr>
          <w:rFonts w:hint="eastAsia"/>
          <w:sz w:val="28"/>
          <w:szCs w:val="28"/>
        </w:rPr>
        <w:t>仅供参考，可以另行拟定</w:t>
      </w:r>
      <w:r>
        <w:rPr>
          <w:rFonts w:hint="eastAsia"/>
        </w:rPr>
        <w:t>）</w:t>
      </w:r>
      <w:bookmarkEnd w:id="7"/>
    </w:p>
    <w:p>
      <w:pPr>
        <w:snapToGrid w:val="0"/>
        <w:spacing w:line="380" w:lineRule="exact"/>
        <w:rPr>
          <w:rFonts w:ascii="宋体" w:hAnsi="宋体"/>
          <w:b/>
          <w:bCs/>
          <w:sz w:val="28"/>
          <w:szCs w:val="28"/>
        </w:rPr>
      </w:pPr>
    </w:p>
    <w:p>
      <w:pPr>
        <w:snapToGrid w:val="0"/>
        <w:spacing w:line="380" w:lineRule="exact"/>
        <w:rPr>
          <w:rFonts w:ascii="宋体" w:hAnsi="宋体"/>
          <w:b/>
          <w:bCs/>
          <w:sz w:val="28"/>
          <w:szCs w:val="28"/>
        </w:rPr>
      </w:pPr>
    </w:p>
    <w:p>
      <w:pPr>
        <w:spacing w:line="360" w:lineRule="auto"/>
        <w:rPr>
          <w:rFonts w:ascii="宋体" w:hAnsi="宋体" w:cs="宋体"/>
          <w:b/>
          <w:szCs w:val="21"/>
        </w:rPr>
      </w:pPr>
      <w:r>
        <w:rPr>
          <w:rFonts w:hint="eastAsia" w:ascii="宋体" w:hAnsi="宋体" w:cs="宋体"/>
          <w:b/>
          <w:szCs w:val="21"/>
        </w:rPr>
        <w:t>甲    方</w:t>
      </w:r>
      <w:r>
        <w:rPr>
          <w:rFonts w:hint="eastAsia" w:ascii="宋体" w:hAnsi="宋体" w:cs="宋体"/>
          <w:szCs w:val="21"/>
        </w:rPr>
        <w:t>（采购人）</w:t>
      </w:r>
      <w:r>
        <w:rPr>
          <w:rFonts w:hint="eastAsia" w:ascii="宋体" w:hAnsi="宋体" w:cs="宋体"/>
          <w:b/>
          <w:szCs w:val="21"/>
        </w:rPr>
        <w:t>：</w:t>
      </w:r>
      <w:r>
        <w:rPr>
          <w:rFonts w:hint="eastAsia" w:ascii="宋体" w:hAnsi="宋体" w:cs="宋体"/>
          <w:b/>
          <w:szCs w:val="21"/>
          <w:u w:val="single"/>
        </w:rPr>
        <w:t xml:space="preserve">                 </w:t>
      </w:r>
    </w:p>
    <w:p>
      <w:pPr>
        <w:spacing w:line="360" w:lineRule="auto"/>
        <w:rPr>
          <w:rFonts w:ascii="宋体" w:hAnsi="宋体" w:cs="宋体"/>
          <w:szCs w:val="21"/>
        </w:rPr>
      </w:pPr>
      <w:r>
        <w:rPr>
          <w:rFonts w:hint="eastAsia" w:ascii="宋体" w:hAnsi="宋体" w:cs="宋体"/>
          <w:szCs w:val="21"/>
        </w:rPr>
        <w:t>电    话：           　   传  真：           地  址：</w:t>
      </w:r>
    </w:p>
    <w:p>
      <w:pPr>
        <w:spacing w:line="360" w:lineRule="auto"/>
        <w:rPr>
          <w:rFonts w:ascii="宋体" w:hAnsi="宋体" w:cs="宋体"/>
          <w:b/>
          <w:szCs w:val="21"/>
        </w:rPr>
      </w:pPr>
    </w:p>
    <w:p>
      <w:pPr>
        <w:spacing w:line="360" w:lineRule="auto"/>
        <w:rPr>
          <w:rFonts w:ascii="宋体" w:hAnsi="宋体" w:cs="宋体"/>
          <w:b/>
          <w:szCs w:val="21"/>
          <w:u w:val="single"/>
        </w:rPr>
      </w:pPr>
      <w:r>
        <w:rPr>
          <w:rFonts w:hint="eastAsia" w:ascii="宋体" w:hAnsi="宋体" w:cs="宋体"/>
          <w:b/>
          <w:szCs w:val="21"/>
        </w:rPr>
        <w:t>乙    方</w:t>
      </w:r>
      <w:r>
        <w:rPr>
          <w:rFonts w:hint="eastAsia" w:ascii="宋体" w:hAnsi="宋体" w:cs="宋体"/>
          <w:szCs w:val="21"/>
        </w:rPr>
        <w:t>（中标人）</w:t>
      </w:r>
      <w:r>
        <w:rPr>
          <w:rFonts w:hint="eastAsia" w:ascii="宋体" w:hAnsi="宋体" w:cs="宋体"/>
          <w:b/>
          <w:szCs w:val="21"/>
        </w:rPr>
        <w:t>：</w:t>
      </w:r>
      <w:r>
        <w:rPr>
          <w:rFonts w:hint="eastAsia" w:ascii="宋体" w:hAnsi="宋体" w:cs="宋体"/>
          <w:b/>
          <w:szCs w:val="21"/>
          <w:u w:val="single"/>
        </w:rPr>
        <w:t xml:space="preserve">                  </w:t>
      </w:r>
    </w:p>
    <w:p>
      <w:pPr>
        <w:spacing w:line="360" w:lineRule="auto"/>
        <w:rPr>
          <w:rFonts w:ascii="宋体" w:hAnsi="宋体" w:cs="宋体"/>
          <w:szCs w:val="21"/>
        </w:rPr>
      </w:pPr>
      <w:r>
        <w:rPr>
          <w:rFonts w:hint="eastAsia" w:ascii="宋体" w:hAnsi="宋体" w:cs="宋体"/>
          <w:szCs w:val="21"/>
        </w:rPr>
        <w:t xml:space="preserve">电    话：                传  真：           地  址：   </w:t>
      </w:r>
    </w:p>
    <w:p>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（项目名称）  </w:t>
      </w:r>
      <w:r>
        <w:rPr>
          <w:rFonts w:hint="eastAsia" w:ascii="宋体" w:hAnsi="宋体" w:cs="宋体"/>
          <w:szCs w:val="21"/>
        </w:rPr>
        <w:t>（项目编号：（项目编号））的采购结果，按照《中华人民共和国政府采购法》及其实施条例、87号令、《中华人民共和国合同法》的规定，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r>
        <w:rPr>
          <w:rFonts w:hint="eastAsia" w:ascii="宋体" w:hAnsi="宋体" w:cs="宋体"/>
          <w:szCs w:val="21"/>
        </w:rPr>
        <w:t>。</w:t>
      </w:r>
    </w:p>
    <w:p>
      <w:pPr>
        <w:rPr>
          <w:rFonts w:ascii="宋体" w:hAnsi="宋体" w:cs="宋体"/>
          <w:szCs w:val="21"/>
        </w:rPr>
      </w:pPr>
      <w:r>
        <w:rPr>
          <w:rFonts w:hint="eastAsia" w:ascii="宋体" w:hAnsi="宋体" w:cs="宋体"/>
          <w:szCs w:val="21"/>
        </w:rPr>
        <w:t>一、</w:t>
      </w:r>
      <w:bookmarkStart w:id="8" w:name="_Toc435540759"/>
      <w:r>
        <w:rPr>
          <w:rFonts w:hint="eastAsia" w:ascii="宋体" w:hAnsi="宋体" w:cs="宋体"/>
          <w:szCs w:val="21"/>
        </w:rPr>
        <w:t>合同金额</w:t>
      </w:r>
      <w:bookmarkEnd w:id="8"/>
    </w:p>
    <w:p>
      <w:pPr>
        <w:pStyle w:val="26"/>
        <w:spacing w:before="120" w:after="120" w:line="360" w:lineRule="auto"/>
        <w:ind w:firstLine="480" w:firstLineChars="200"/>
        <w:rPr>
          <w:rFonts w:hAnsi="宋体" w:cs="宋体"/>
        </w:rPr>
      </w:pPr>
      <w:r>
        <w:rPr>
          <w:rFonts w:hAnsi="宋体" w:cs="宋体"/>
        </w:rPr>
        <w:t>合同金额为（大写）：_________________元（￥_______________元）。</w:t>
      </w:r>
    </w:p>
    <w:p>
      <w:pPr>
        <w:rPr>
          <w:rFonts w:ascii="宋体" w:hAnsi="宋体" w:cs="宋体"/>
          <w:szCs w:val="21"/>
        </w:rPr>
      </w:pPr>
      <w:bookmarkStart w:id="9" w:name="_Toc435540760"/>
      <w:r>
        <w:rPr>
          <w:rFonts w:hint="eastAsia" w:ascii="宋体" w:hAnsi="宋体" w:cs="宋体"/>
          <w:szCs w:val="21"/>
        </w:rPr>
        <w:t>二、服务范围</w:t>
      </w:r>
      <w:bookmarkEnd w:id="9"/>
    </w:p>
    <w:p>
      <w:pPr>
        <w:spacing w:line="360" w:lineRule="auto"/>
        <w:rPr>
          <w:rFonts w:ascii="宋体" w:hAnsi="宋体" w:cs="宋体"/>
          <w:szCs w:val="21"/>
          <w:u w:val="single"/>
        </w:rPr>
      </w:pPr>
      <w:r>
        <w:rPr>
          <w:rFonts w:hint="eastAsia" w:ascii="宋体" w:hAnsi="宋体" w:cs="宋体"/>
          <w:szCs w:val="21"/>
        </w:rPr>
        <w:t>　　1．本合同项下的服务指</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2．……</w:t>
      </w:r>
    </w:p>
    <w:p>
      <w:pPr>
        <w:spacing w:line="360" w:lineRule="auto"/>
        <w:ind w:firstLine="420" w:firstLineChars="200"/>
        <w:rPr>
          <w:rFonts w:ascii="宋体" w:hAnsi="宋体" w:cs="宋体"/>
          <w:szCs w:val="21"/>
        </w:rPr>
      </w:pPr>
      <w:r>
        <w:rPr>
          <w:rFonts w:hint="eastAsia" w:ascii="宋体" w:hAnsi="宋体" w:cs="宋体"/>
          <w:szCs w:val="21"/>
        </w:rPr>
        <w:t>3．……</w:t>
      </w:r>
    </w:p>
    <w:p>
      <w:pPr>
        <w:spacing w:line="360" w:lineRule="auto"/>
        <w:rPr>
          <w:rFonts w:ascii="宋体" w:hAnsi="宋体" w:cs="宋体"/>
          <w:szCs w:val="21"/>
        </w:rPr>
      </w:pPr>
      <w:r>
        <w:rPr>
          <w:rFonts w:hint="eastAsia" w:ascii="宋体" w:hAnsi="宋体" w:cs="宋体"/>
          <w:szCs w:val="21"/>
        </w:rPr>
        <w:t>三、采购需求实质性条款：</w:t>
      </w:r>
    </w:p>
    <w:p>
      <w:pPr>
        <w:spacing w:line="360" w:lineRule="auto"/>
        <w:rPr>
          <w:rFonts w:ascii="宋体" w:hAnsi="宋体" w:cs="宋体"/>
          <w:szCs w:val="21"/>
        </w:rPr>
      </w:pPr>
      <w:r>
        <w:rPr>
          <w:rFonts w:hint="eastAsia" w:ascii="宋体" w:hAnsi="宋体" w:cs="宋体"/>
          <w:szCs w:val="21"/>
        </w:rPr>
        <w:t>1、…..</w:t>
      </w:r>
    </w:p>
    <w:p>
      <w:pPr>
        <w:spacing w:line="360" w:lineRule="auto"/>
        <w:rPr>
          <w:rFonts w:ascii="宋体" w:hAnsi="宋体" w:cs="宋体"/>
          <w:szCs w:val="21"/>
        </w:rPr>
      </w:pPr>
      <w:r>
        <w:rPr>
          <w:rFonts w:hint="eastAsia" w:ascii="宋体" w:hAnsi="宋体" w:cs="宋体"/>
          <w:szCs w:val="21"/>
        </w:rPr>
        <w:t>2、…..</w:t>
      </w:r>
    </w:p>
    <w:p>
      <w:pPr>
        <w:spacing w:line="360" w:lineRule="auto"/>
        <w:rPr>
          <w:rFonts w:ascii="宋体" w:hAnsi="宋体" w:cs="宋体"/>
          <w:szCs w:val="21"/>
        </w:rPr>
      </w:pPr>
    </w:p>
    <w:p>
      <w:pPr>
        <w:rPr>
          <w:rFonts w:ascii="宋体" w:hAnsi="宋体" w:cs="宋体"/>
          <w:szCs w:val="21"/>
        </w:rPr>
      </w:pPr>
      <w:bookmarkStart w:id="10" w:name="_Toc435540761"/>
      <w:r>
        <w:rPr>
          <w:rFonts w:hint="eastAsia" w:ascii="宋体" w:hAnsi="宋体" w:cs="宋体"/>
          <w:szCs w:val="21"/>
        </w:rPr>
        <w:t>四、甲方乙方的权利和义务</w:t>
      </w:r>
      <w:bookmarkEnd w:id="10"/>
    </w:p>
    <w:p>
      <w:pPr>
        <w:spacing w:line="360" w:lineRule="auto"/>
        <w:rPr>
          <w:rFonts w:ascii="宋体" w:hAnsi="宋体" w:cs="宋体"/>
          <w:szCs w:val="21"/>
        </w:rPr>
      </w:pPr>
      <w:r>
        <w:rPr>
          <w:rFonts w:hint="eastAsia" w:ascii="宋体" w:hAnsi="宋体" w:cs="宋体"/>
          <w:szCs w:val="21"/>
        </w:rPr>
        <w:t>　　（一）甲方的权利和义务</w:t>
      </w:r>
    </w:p>
    <w:p>
      <w:pPr>
        <w:spacing w:line="360" w:lineRule="auto"/>
        <w:rPr>
          <w:rFonts w:ascii="宋体" w:hAnsi="宋体" w:cs="宋体"/>
          <w:szCs w:val="21"/>
        </w:rPr>
      </w:pPr>
    </w:p>
    <w:p>
      <w:pPr>
        <w:spacing w:line="360" w:lineRule="auto"/>
        <w:ind w:left="405"/>
        <w:rPr>
          <w:rFonts w:ascii="宋体" w:hAnsi="宋体" w:cs="宋体"/>
          <w:szCs w:val="21"/>
        </w:rPr>
      </w:pPr>
      <w:r>
        <w:rPr>
          <w:rFonts w:hint="eastAsia" w:ascii="宋体" w:hAnsi="宋体" w:cs="宋体"/>
          <w:szCs w:val="21"/>
        </w:rPr>
        <w:t>（二）乙方的权利和义务.</w:t>
      </w:r>
    </w:p>
    <w:p>
      <w:pPr>
        <w:spacing w:line="360" w:lineRule="auto"/>
        <w:ind w:left="405"/>
        <w:rPr>
          <w:rFonts w:ascii="宋体" w:hAnsi="宋体" w:cs="宋体"/>
          <w:szCs w:val="21"/>
        </w:rPr>
      </w:pPr>
    </w:p>
    <w:p>
      <w:pPr>
        <w:rPr>
          <w:rFonts w:ascii="宋体" w:hAnsi="宋体" w:cs="宋体"/>
          <w:szCs w:val="21"/>
        </w:rPr>
      </w:pPr>
      <w:bookmarkStart w:id="11" w:name="_Toc435540762"/>
      <w:r>
        <w:rPr>
          <w:rFonts w:hint="eastAsia" w:ascii="宋体" w:hAnsi="宋体" w:cs="宋体"/>
          <w:szCs w:val="21"/>
        </w:rPr>
        <w:t>五、服务期间（项目完成期限）</w:t>
      </w:r>
      <w:bookmarkEnd w:id="11"/>
    </w:p>
    <w:p>
      <w:pPr>
        <w:spacing w:line="360" w:lineRule="auto"/>
        <w:ind w:firstLine="435"/>
        <w:rPr>
          <w:rFonts w:ascii="宋体" w:hAnsi="宋体" w:cs="宋体"/>
          <w:szCs w:val="21"/>
        </w:rPr>
      </w:pPr>
      <w:r>
        <w:rPr>
          <w:rFonts w:hint="eastAsia" w:ascii="宋体" w:hAnsi="宋体" w:cs="宋体"/>
          <w:szCs w:val="21"/>
        </w:rPr>
        <w:t>委托服务期间自______年______月至______年______月止。</w:t>
      </w:r>
    </w:p>
    <w:p>
      <w:pPr>
        <w:rPr>
          <w:rFonts w:ascii="宋体" w:hAnsi="宋体" w:cs="宋体"/>
          <w:szCs w:val="21"/>
        </w:rPr>
      </w:pPr>
      <w:r>
        <w:rPr>
          <w:rFonts w:hint="eastAsia" w:ascii="宋体" w:hAnsi="宋体" w:cs="宋体"/>
          <w:szCs w:val="21"/>
        </w:rPr>
        <w:t>六、</w:t>
      </w:r>
      <w:bookmarkStart w:id="12" w:name="_Toc435540763"/>
      <w:r>
        <w:rPr>
          <w:rFonts w:hint="eastAsia" w:ascii="宋体" w:hAnsi="宋体" w:cs="宋体"/>
          <w:szCs w:val="21"/>
        </w:rPr>
        <w:t>付款方式</w:t>
      </w:r>
      <w:bookmarkEnd w:id="12"/>
    </w:p>
    <w:p>
      <w:pPr>
        <w:spacing w:line="360" w:lineRule="auto"/>
        <w:ind w:firstLine="420" w:firstLineChars="200"/>
        <w:rPr>
          <w:rFonts w:ascii="宋体" w:hAnsi="宋体" w:cs="宋体"/>
          <w:szCs w:val="21"/>
        </w:rPr>
      </w:pPr>
      <w:bookmarkStart w:id="13" w:name="_Toc435540764"/>
      <w:r>
        <w:rPr>
          <w:rFonts w:hint="eastAsia" w:ascii="宋体" w:hAnsi="宋体" w:cs="宋体"/>
          <w:szCs w:val="21"/>
        </w:rPr>
        <w:t>按采购文件第二章要求中的规定执行。</w:t>
      </w:r>
    </w:p>
    <w:p>
      <w:pPr>
        <w:rPr>
          <w:rFonts w:ascii="宋体" w:hAnsi="宋体" w:cs="宋体"/>
          <w:szCs w:val="21"/>
        </w:rPr>
      </w:pPr>
      <w:r>
        <w:rPr>
          <w:rFonts w:hint="eastAsia" w:ascii="宋体" w:hAnsi="宋体" w:cs="宋体"/>
          <w:szCs w:val="21"/>
        </w:rPr>
        <w:t>七、知识产权产权归属</w:t>
      </w:r>
      <w:bookmarkEnd w:id="13"/>
    </w:p>
    <w:p>
      <w:pPr>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14" w:name="_Toc435540765"/>
    </w:p>
    <w:p>
      <w:pPr>
        <w:rPr>
          <w:rFonts w:ascii="宋体" w:hAnsi="宋体" w:cs="宋体"/>
          <w:szCs w:val="21"/>
        </w:rPr>
      </w:pPr>
      <w:r>
        <w:rPr>
          <w:rFonts w:hint="eastAsia" w:ascii="宋体" w:hAnsi="宋体" w:cs="宋体"/>
          <w:szCs w:val="21"/>
        </w:rPr>
        <w:t>八、保密</w:t>
      </w:r>
      <w:bookmarkEnd w:id="14"/>
    </w:p>
    <w:p>
      <w:pPr>
        <w:spacing w:line="360" w:lineRule="auto"/>
        <w:ind w:firstLine="420" w:firstLineChars="200"/>
        <w:rPr>
          <w:rFonts w:ascii="宋体" w:hAnsi="宋体" w:cs="宋体"/>
          <w:szCs w:val="21"/>
        </w:rPr>
      </w:pPr>
      <w:r>
        <w:rPr>
          <w:rFonts w:hint="eastAsia" w:ascii="宋体" w:hAnsi="宋体" w:cs="宋体"/>
          <w:szCs w:val="21"/>
        </w:rPr>
        <w:t>乙方必须采取措施对本项目实施过程中的技术资料保密，否则，由于乙方过错导致的上述资料泄密的，乙方必须承担一切责任。项目完成后，甲、乙双方均有责任对本项目的技术保密承担责任。</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2）如果甲方有要求，乙方在完成合同后应将有关资料还给甲方。</w:t>
      </w:r>
    </w:p>
    <w:p>
      <w:pPr>
        <w:rPr>
          <w:rFonts w:ascii="宋体" w:hAnsi="宋体" w:cs="宋体"/>
          <w:szCs w:val="21"/>
        </w:rPr>
      </w:pPr>
      <w:bookmarkStart w:id="15" w:name="_Toc435540766"/>
      <w:r>
        <w:rPr>
          <w:rFonts w:hint="eastAsia" w:ascii="宋体" w:hAnsi="宋体" w:cs="宋体"/>
          <w:szCs w:val="21"/>
        </w:rPr>
        <w:t>九、违约责任与赔偿损失</w:t>
      </w:r>
      <w:bookmarkEnd w:id="15"/>
    </w:p>
    <w:p>
      <w:pPr>
        <w:spacing w:line="360" w:lineRule="auto"/>
        <w:ind w:firstLine="420" w:firstLineChars="200"/>
        <w:rPr>
          <w:rFonts w:ascii="宋体" w:hAnsi="宋体" w:cs="宋体"/>
          <w:szCs w:val="21"/>
        </w:rPr>
      </w:pPr>
      <w:r>
        <w:rPr>
          <w:rFonts w:hint="eastAsia" w:ascii="宋体" w:hAnsi="宋体" w:cs="宋体"/>
          <w:szCs w:val="21"/>
        </w:rPr>
        <w:t>1）乙方提供的服务不符合采购文件、响应文件或本合同规定的，甲方有权拒收，并且乙方须向甲方方支付本合同总价5%的违约金。</w:t>
      </w:r>
    </w:p>
    <w:p>
      <w:pPr>
        <w:tabs>
          <w:tab w:val="left" w:pos="720"/>
          <w:tab w:val="left" w:pos="900"/>
        </w:tabs>
        <w:spacing w:line="360" w:lineRule="auto"/>
        <w:ind w:right="51" w:firstLine="420" w:firstLineChars="200"/>
        <w:rPr>
          <w:rFonts w:ascii="宋体" w:hAnsi="宋体" w:cs="宋体"/>
          <w:szCs w:val="21"/>
        </w:rPr>
      </w:pPr>
      <w:r>
        <w:rPr>
          <w:rFonts w:hint="eastAsia" w:ascii="宋体" w:hAnsi="宋体" w:cs="宋体"/>
          <w:szCs w:val="21"/>
        </w:rPr>
        <w:t>2）乙方未能按本合同规定的交货时间交付货物的/提供服务，从逾期之日起每日按本</w:t>
      </w:r>
      <w:r>
        <w:rPr>
          <w:rFonts w:hint="eastAsia" w:ascii="宋体" w:hAnsi="宋体" w:cs="宋体"/>
          <w:b/>
          <w:bCs/>
          <w:szCs w:val="21"/>
        </w:rPr>
        <w:t>合同总价0.02%</w:t>
      </w:r>
      <w:r>
        <w:rPr>
          <w:rFonts w:hint="eastAsia" w:ascii="宋体" w:hAnsi="宋体" w:cs="宋体"/>
          <w:szCs w:val="21"/>
        </w:rPr>
        <w:t>的数额向甲方支付违约金；逾期15天以上（含15天）的，甲方有权终止合同，要求乙方支付违约金，并且给甲方造成的经济损失由乙方承担赔偿责任。</w:t>
      </w:r>
    </w:p>
    <w:p>
      <w:pPr>
        <w:spacing w:line="360" w:lineRule="auto"/>
        <w:ind w:firstLine="420" w:firstLineChars="200"/>
        <w:rPr>
          <w:rFonts w:ascii="宋体" w:hAnsi="宋体" w:cs="宋体"/>
          <w:szCs w:val="21"/>
        </w:rPr>
      </w:pPr>
      <w:r>
        <w:rPr>
          <w:rFonts w:hint="eastAsia" w:ascii="宋体" w:hAnsi="宋体" w:cs="宋体"/>
          <w:szCs w:val="21"/>
        </w:rPr>
        <w:t>3）甲方无正当理由拒收接受服务，到期拒付服务款项的，甲方向乙方偿付本</w:t>
      </w:r>
      <w:r>
        <w:rPr>
          <w:rFonts w:hint="eastAsia" w:ascii="宋体" w:hAnsi="宋体" w:cs="宋体"/>
          <w:b/>
          <w:bCs/>
          <w:szCs w:val="21"/>
        </w:rPr>
        <w:t>合同总价0.02%</w:t>
      </w:r>
      <w:r>
        <w:rPr>
          <w:rFonts w:hint="eastAsia" w:ascii="宋体" w:hAnsi="宋体" w:cs="宋体"/>
          <w:szCs w:val="21"/>
        </w:rPr>
        <w:t>的违约金。甲方逾期付款，则每日按本合同总价的3‰向乙方偿付违约金。</w:t>
      </w:r>
    </w:p>
    <w:p>
      <w:pPr>
        <w:spacing w:line="360" w:lineRule="auto"/>
        <w:ind w:firstLine="420" w:firstLineChars="200"/>
        <w:rPr>
          <w:rFonts w:ascii="宋体" w:hAnsi="宋体" w:cs="宋体"/>
          <w:bCs/>
          <w:szCs w:val="21"/>
        </w:rPr>
      </w:pPr>
      <w:r>
        <w:rPr>
          <w:rFonts w:hint="eastAsia" w:ascii="宋体" w:hAnsi="宋体" w:cs="宋体"/>
          <w:bCs/>
          <w:szCs w:val="21"/>
        </w:rPr>
        <w:t>4）其它违约责任按《中华人民共和国合同法》处理。</w:t>
      </w:r>
    </w:p>
    <w:p>
      <w:pPr>
        <w:rPr>
          <w:rFonts w:ascii="宋体" w:hAnsi="宋体" w:cs="宋体"/>
          <w:szCs w:val="21"/>
        </w:rPr>
      </w:pPr>
      <w:bookmarkStart w:id="16" w:name="_Toc435540767"/>
      <w:r>
        <w:rPr>
          <w:rFonts w:hint="eastAsia" w:ascii="宋体" w:hAnsi="宋体" w:cs="宋体"/>
          <w:szCs w:val="21"/>
        </w:rPr>
        <w:t>十、争端的解决</w:t>
      </w:r>
      <w:bookmarkEnd w:id="16"/>
    </w:p>
    <w:p>
      <w:pPr>
        <w:spacing w:line="360" w:lineRule="auto"/>
        <w:ind w:firstLine="420" w:firstLineChars="200"/>
        <w:rPr>
          <w:rFonts w:ascii="宋体" w:hAnsi="宋体" w:cs="宋体"/>
          <w:szCs w:val="21"/>
        </w:rPr>
      </w:pPr>
      <w:r>
        <w:rPr>
          <w:rFonts w:hint="eastAsia" w:ascii="宋体" w:hAnsi="宋体" w:cs="宋体"/>
          <w:szCs w:val="21"/>
        </w:rPr>
        <w:t>合同执行过程中发生的任何争议，如双方不能通过友好协商解决，甲、乙双方一致同意向甲方所在地人民法院提起诉讼。</w:t>
      </w:r>
    </w:p>
    <w:p>
      <w:pPr>
        <w:rPr>
          <w:rFonts w:ascii="宋体" w:hAnsi="宋体" w:cs="宋体"/>
          <w:szCs w:val="21"/>
        </w:rPr>
      </w:pPr>
      <w:bookmarkStart w:id="17" w:name="_Toc435540768"/>
      <w:r>
        <w:rPr>
          <w:rFonts w:hint="eastAsia" w:ascii="宋体" w:hAnsi="宋体" w:cs="宋体"/>
          <w:szCs w:val="21"/>
        </w:rPr>
        <w:t>十一、不可抗力</w:t>
      </w:r>
      <w:bookmarkEnd w:id="17"/>
    </w:p>
    <w:p>
      <w:pPr>
        <w:spacing w:line="360" w:lineRule="auto"/>
        <w:ind w:firstLine="420" w:firstLineChars="200"/>
        <w:rPr>
          <w:rFonts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rFonts w:ascii="宋体" w:hAnsi="宋体" w:cs="宋体"/>
          <w:szCs w:val="21"/>
        </w:rPr>
      </w:pPr>
      <w:bookmarkStart w:id="18" w:name="_Toc435540769"/>
      <w:r>
        <w:rPr>
          <w:rFonts w:hint="eastAsia" w:ascii="宋体" w:hAnsi="宋体" w:cs="宋体"/>
          <w:szCs w:val="21"/>
        </w:rPr>
        <w:t>十二、税费</w:t>
      </w:r>
      <w:bookmarkEnd w:id="18"/>
    </w:p>
    <w:p>
      <w:pPr>
        <w:spacing w:line="360" w:lineRule="auto"/>
        <w:ind w:firstLine="420" w:firstLineChars="200"/>
        <w:rPr>
          <w:rFonts w:ascii="宋体" w:hAnsi="宋体" w:cs="宋体"/>
          <w:szCs w:val="21"/>
        </w:rPr>
      </w:pPr>
      <w:r>
        <w:rPr>
          <w:rFonts w:hint="eastAsia" w:ascii="宋体" w:hAnsi="宋体" w:cs="宋体"/>
          <w:szCs w:val="21"/>
        </w:rPr>
        <w:t>在中国境内、外发生的与本合同执行有关的一切税费均由乙方负担。</w:t>
      </w:r>
    </w:p>
    <w:p>
      <w:pPr>
        <w:rPr>
          <w:rFonts w:ascii="宋体" w:hAnsi="宋体" w:cs="宋体"/>
          <w:szCs w:val="21"/>
        </w:rPr>
      </w:pPr>
      <w:bookmarkStart w:id="19" w:name="_Toc435540770"/>
      <w:r>
        <w:rPr>
          <w:rFonts w:hint="eastAsia" w:ascii="宋体" w:hAnsi="宋体" w:cs="宋体"/>
          <w:szCs w:val="21"/>
        </w:rPr>
        <w:t>十三、其它</w:t>
      </w:r>
      <w:bookmarkEnd w:id="19"/>
    </w:p>
    <w:p>
      <w:pPr>
        <w:spacing w:line="360" w:lineRule="auto"/>
        <w:ind w:firstLine="420" w:firstLineChars="200"/>
        <w:rPr>
          <w:rFonts w:ascii="宋体" w:hAnsi="宋体" w:cs="宋体"/>
          <w:b/>
          <w:szCs w:val="21"/>
        </w:rPr>
      </w:pPr>
      <w:r>
        <w:rPr>
          <w:rFonts w:hint="eastAsia" w:ascii="宋体" w:hAnsi="宋体" w:cs="宋体"/>
          <w:szCs w:val="21"/>
        </w:rPr>
        <w:t>1）本合同所有附件、采购文件、响应文件、中标通知书均为合同的有效组成部分，与本合同具有同等法律效力。</w:t>
      </w:r>
    </w:p>
    <w:p>
      <w:pPr>
        <w:spacing w:line="360" w:lineRule="auto"/>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）在执行本合同的过程中，所有经双方签署确认的文件（包括会议纪要、补充协议、往来信函）即成为本合同的有效组成部分。</w:t>
      </w:r>
    </w:p>
    <w:p>
      <w:pPr>
        <w:spacing w:line="360" w:lineRule="auto"/>
        <w:ind w:firstLine="420" w:firstLineChars="200"/>
        <w:rPr>
          <w:rFonts w:ascii="宋体" w:hAnsi="宋体" w:cs="宋体"/>
          <w:szCs w:val="21"/>
        </w:rPr>
      </w:pPr>
      <w:r>
        <w:rPr>
          <w:rFonts w:hint="eastAsia" w:ascii="宋体" w:hAnsi="宋体" w:cs="宋体"/>
          <w:szCs w:val="21"/>
        </w:rPr>
        <w:t>3）如一方地址、电话、传真号码有变更，应在变更当日内书面</w:t>
      </w:r>
      <w:r>
        <w:rPr>
          <w:rFonts w:hint="eastAsia" w:ascii="宋体" w:hAnsi="宋体" w:cs="宋体"/>
          <w:b/>
          <w:bCs/>
          <w:szCs w:val="21"/>
        </w:rPr>
        <w:t>2日内</w:t>
      </w:r>
      <w:r>
        <w:rPr>
          <w:rFonts w:hint="eastAsia" w:ascii="宋体" w:hAnsi="宋体" w:cs="宋体"/>
          <w:szCs w:val="21"/>
        </w:rPr>
        <w:t xml:space="preserve">通知对方，否则，应承担相应责任。 </w:t>
      </w:r>
    </w:p>
    <w:p>
      <w:pPr>
        <w:spacing w:line="360" w:lineRule="auto"/>
        <w:ind w:firstLine="420" w:firstLineChars="200"/>
        <w:rPr>
          <w:rFonts w:ascii="宋体" w:hAnsi="宋体" w:cs="宋体"/>
          <w:szCs w:val="21"/>
        </w:rPr>
      </w:pPr>
      <w:r>
        <w:rPr>
          <w:rFonts w:hint="eastAsia" w:ascii="宋体" w:hAnsi="宋体" w:cs="宋体"/>
          <w:szCs w:val="21"/>
        </w:rPr>
        <w:t>4）除甲方事先书面同意外，乙方不得部分或全部转让其应履行的合同项下的义务。</w:t>
      </w:r>
    </w:p>
    <w:p>
      <w:pPr>
        <w:rPr>
          <w:rFonts w:ascii="宋体" w:hAnsi="宋体" w:cs="宋体"/>
          <w:szCs w:val="21"/>
        </w:rPr>
      </w:pPr>
      <w:bookmarkStart w:id="20" w:name="_Toc435540771"/>
      <w:r>
        <w:rPr>
          <w:rFonts w:hint="eastAsia" w:ascii="宋体" w:hAnsi="宋体" w:cs="宋体"/>
          <w:szCs w:val="21"/>
        </w:rPr>
        <w:t>十四、合同生效</w:t>
      </w:r>
      <w:bookmarkEnd w:id="20"/>
    </w:p>
    <w:p>
      <w:pPr>
        <w:spacing w:line="360" w:lineRule="auto"/>
        <w:ind w:firstLine="420" w:firstLineChars="200"/>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ind w:firstLine="420" w:firstLineChars="200"/>
        <w:rPr>
          <w:rFonts w:ascii="宋体" w:hAnsi="宋体" w:cs="宋体"/>
          <w:szCs w:val="21"/>
        </w:rPr>
      </w:pPr>
      <w:r>
        <w:rPr>
          <w:rFonts w:hint="eastAsia" w:ascii="宋体" w:hAnsi="宋体" w:cs="宋体"/>
          <w:szCs w:val="21"/>
        </w:rPr>
        <w:t>2）合同壹式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份，采购代理机构执壹份，政府采购监督管理部门壹份。</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cs="宋体"/>
          <w:szCs w:val="21"/>
        </w:rPr>
      </w:pPr>
      <w:r>
        <w:rPr>
          <w:rFonts w:hint="eastAsia" w:ascii="宋体" w:hAnsi="宋体" w:cs="宋体"/>
          <w:szCs w:val="21"/>
        </w:rPr>
        <w:t>开 户 行：</w:t>
      </w:r>
    </w:p>
    <w:p>
      <w:pPr>
        <w:pStyle w:val="26"/>
        <w:snapToGrid w:val="0"/>
        <w:spacing w:before="120" w:beforeLines="0" w:after="120" w:afterLines="0" w:line="480" w:lineRule="exact"/>
        <w:rPr>
          <w:rFonts w:hAnsi="宋体" w:cs="宋体"/>
          <w:sz w:val="21"/>
          <w:szCs w:val="21"/>
        </w:rPr>
      </w:pPr>
      <w:r>
        <w:rPr>
          <w:rFonts w:hint="eastAsia" w:hAnsi="宋体" w:cs="宋体"/>
          <w:sz w:val="21"/>
          <w:szCs w:val="21"/>
        </w:rPr>
        <w:t xml:space="preserve">  </w:t>
      </w:r>
    </w:p>
    <w:p>
      <w:pPr>
        <w:pStyle w:val="26"/>
        <w:snapToGrid w:val="0"/>
        <w:spacing w:before="120" w:beforeLines="0" w:after="120" w:afterLines="0" w:line="480" w:lineRule="exact"/>
        <w:rPr>
          <w:rFonts w:hAnsi="宋体" w:cs="宋体"/>
          <w:sz w:val="21"/>
          <w:szCs w:val="21"/>
        </w:rPr>
      </w:pPr>
    </w:p>
    <w:p>
      <w:pPr>
        <w:pStyle w:val="26"/>
        <w:snapToGrid w:val="0"/>
        <w:spacing w:before="120" w:beforeLines="0" w:after="120" w:afterLines="0" w:line="480" w:lineRule="exact"/>
        <w:rPr>
          <w:rFonts w:hAnsi="宋体" w:cs="宋体"/>
          <w:sz w:val="21"/>
          <w:szCs w:val="21"/>
        </w:rPr>
      </w:pPr>
    </w:p>
    <w:p>
      <w:pPr>
        <w:pStyle w:val="26"/>
        <w:snapToGrid w:val="0"/>
        <w:spacing w:before="120" w:beforeLines="0" w:after="120" w:afterLines="0" w:line="480" w:lineRule="exact"/>
        <w:ind w:firstLine="210" w:firstLineChars="100"/>
        <w:rPr>
          <w:rFonts w:hAnsi="宋体" w:cs="宋体"/>
          <w:sz w:val="21"/>
          <w:szCs w:val="21"/>
        </w:rPr>
      </w:pPr>
      <w:r>
        <w:rPr>
          <w:rFonts w:hint="eastAsia" w:hAnsi="宋体" w:cs="宋体"/>
          <w:sz w:val="21"/>
          <w:szCs w:val="21"/>
        </w:rPr>
        <w:t>合同见证方:宁波中广工程管理咨询有限公司</w:t>
      </w:r>
    </w:p>
    <w:p>
      <w:pPr>
        <w:pStyle w:val="26"/>
        <w:snapToGrid w:val="0"/>
        <w:spacing w:before="120" w:beforeLines="0" w:after="120" w:afterLines="0" w:line="480" w:lineRule="exact"/>
        <w:ind w:firstLine="105" w:firstLineChars="50"/>
        <w:rPr>
          <w:rFonts w:hAnsi="宋体" w:cs="宋体"/>
          <w:sz w:val="21"/>
          <w:szCs w:val="21"/>
        </w:rPr>
      </w:pPr>
      <w:r>
        <w:rPr>
          <w:rFonts w:hint="eastAsia" w:hAnsi="宋体" w:cs="宋体"/>
          <w:sz w:val="21"/>
          <w:szCs w:val="21"/>
        </w:rPr>
        <w:t xml:space="preserve"> 法定代表人或主要负责人:</w:t>
      </w:r>
    </w:p>
    <w:p>
      <w:pPr>
        <w:pStyle w:val="26"/>
        <w:snapToGrid w:val="0"/>
        <w:spacing w:before="120" w:beforeLines="0" w:after="120" w:afterLines="0" w:line="480" w:lineRule="exact"/>
        <w:ind w:firstLine="105" w:firstLineChars="50"/>
        <w:rPr>
          <w:rFonts w:hAnsi="宋体" w:cs="宋体"/>
          <w:sz w:val="21"/>
          <w:szCs w:val="21"/>
        </w:rPr>
      </w:pPr>
      <w:r>
        <w:rPr>
          <w:rFonts w:hint="eastAsia" w:hAnsi="宋体" w:cs="宋体"/>
          <w:sz w:val="21"/>
          <w:szCs w:val="21"/>
        </w:rPr>
        <w:t xml:space="preserve"> 日期:</w:t>
      </w:r>
    </w:p>
    <w:p>
      <w:pPr>
        <w:pStyle w:val="26"/>
        <w:tabs>
          <w:tab w:val="left" w:pos="2472"/>
        </w:tabs>
        <w:snapToGrid w:val="0"/>
        <w:spacing w:beforeLines="0" w:afterLines="0" w:line="360" w:lineRule="auto"/>
        <w:jc w:val="center"/>
        <w:outlineLvl w:val="0"/>
        <w:rPr>
          <w:rFonts w:hAnsi="宋体" w:cs="宋体"/>
          <w:sz w:val="30"/>
          <w:szCs w:val="30"/>
        </w:rPr>
      </w:pPr>
      <w:r>
        <w:rPr>
          <w:rFonts w:hint="eastAsia" w:hAnsi="宋体" w:cs="宋体"/>
          <w:sz w:val="21"/>
          <w:szCs w:val="21"/>
        </w:rPr>
        <w:br w:type="page"/>
      </w:r>
      <w:bookmarkStart w:id="21" w:name="_Toc2464"/>
      <w:r>
        <w:rPr>
          <w:rFonts w:hAnsi="宋体" w:cs="宋体"/>
          <w:sz w:val="30"/>
          <w:szCs w:val="30"/>
        </w:rPr>
        <w:t>第六章　投标文件格式</w:t>
      </w:r>
      <w:bookmarkEnd w:id="21"/>
    </w:p>
    <w:p>
      <w:pPr>
        <w:snapToGrid w:val="0"/>
        <w:spacing w:line="380" w:lineRule="exact"/>
        <w:jc w:val="left"/>
        <w:rPr>
          <w:rFonts w:ascii="宋体" w:hAnsi="宋体" w:cs="宋体"/>
          <w:b/>
          <w:sz w:val="24"/>
        </w:rPr>
      </w:pPr>
    </w:p>
    <w:p>
      <w:pPr>
        <w:snapToGrid w:val="0"/>
        <w:spacing w:line="380" w:lineRule="exact"/>
        <w:jc w:val="left"/>
        <w:rPr>
          <w:rFonts w:ascii="宋体" w:hAnsi="宋体" w:cs="宋体"/>
          <w:b/>
          <w:sz w:val="24"/>
        </w:rPr>
      </w:pPr>
      <w:r>
        <w:rPr>
          <w:rFonts w:hint="eastAsia" w:ascii="宋体" w:hAnsi="宋体" w:cs="宋体"/>
          <w:b/>
          <w:sz w:val="24"/>
        </w:rPr>
        <w:t>★本项目投标文件由资格审查文件、商务技术文件和报价文件三部分组成。</w:t>
      </w: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rPr>
      </w:pPr>
      <w:r>
        <w:rPr>
          <w:rFonts w:hint="eastAsia" w:ascii="宋体" w:hAnsi="宋体" w:cs="宋体"/>
          <w:kern w:val="0"/>
          <w:sz w:val="22"/>
          <w:szCs w:val="22"/>
        </w:rPr>
        <w:t xml:space="preserve">一、资格审查文件封面格式： </w:t>
      </w:r>
    </w:p>
    <w:p>
      <w:pPr>
        <w:widowControl/>
        <w:spacing w:line="276" w:lineRule="auto"/>
        <w:jc w:val="left"/>
        <w:rPr>
          <w:rFonts w:ascii="宋体" w:hAnsi="宋体" w:cs="宋体"/>
        </w:rPr>
      </w:pPr>
      <w:r>
        <w:rPr>
          <w:rFonts w:hint="eastAsia" w:ascii="宋体" w:hAnsi="宋体" w:cs="宋体"/>
          <w:kern w:val="0"/>
          <w:sz w:val="22"/>
          <w:szCs w:val="22"/>
        </w:rPr>
        <w:t xml:space="preserve">                                                       正本/或副本</w:t>
      </w:r>
    </w:p>
    <w:p>
      <w:pPr>
        <w:widowControl/>
        <w:spacing w:line="276" w:lineRule="auto"/>
        <w:jc w:val="center"/>
        <w:rPr>
          <w:rFonts w:ascii="宋体" w:hAnsi="宋体" w:cs="宋体"/>
          <w:kern w:val="0"/>
          <w:sz w:val="44"/>
          <w:szCs w:val="44"/>
        </w:rPr>
      </w:pPr>
    </w:p>
    <w:p>
      <w:pPr>
        <w:widowControl/>
        <w:spacing w:line="276" w:lineRule="auto"/>
        <w:jc w:val="center"/>
        <w:rPr>
          <w:rFonts w:ascii="宋体" w:hAnsi="宋体" w:cs="宋体"/>
          <w:sz w:val="44"/>
          <w:szCs w:val="44"/>
        </w:rPr>
      </w:pPr>
      <w:r>
        <w:rPr>
          <w:rFonts w:hint="eastAsia" w:ascii="宋体" w:hAnsi="宋体" w:cs="宋体"/>
          <w:kern w:val="0"/>
          <w:sz w:val="44"/>
          <w:szCs w:val="44"/>
        </w:rPr>
        <w:t>资格审查文件</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项目名称：                        项目</w:t>
      </w:r>
    </w:p>
    <w:p>
      <w:pPr>
        <w:widowControl/>
        <w:spacing w:line="276" w:lineRule="auto"/>
        <w:jc w:val="left"/>
        <w:rPr>
          <w:rFonts w:ascii="宋体" w:hAnsi="宋体" w:cs="宋体"/>
          <w:kern w:val="0"/>
          <w:sz w:val="22"/>
          <w:szCs w:val="22"/>
        </w:rPr>
      </w:pPr>
      <w:r>
        <w:rPr>
          <w:rFonts w:hint="eastAsia" w:ascii="宋体" w:hAnsi="宋体" w:cs="宋体"/>
          <w:kern w:val="0"/>
          <w:sz w:val="22"/>
          <w:szCs w:val="22"/>
        </w:rPr>
        <w:t xml:space="preserve">项目编号： </w:t>
      </w:r>
    </w:p>
    <w:p>
      <w:pPr>
        <w:widowControl/>
        <w:spacing w:line="276" w:lineRule="auto"/>
        <w:jc w:val="left"/>
        <w:rPr>
          <w:rFonts w:ascii="宋体" w:hAnsi="宋体" w:cs="宋体"/>
        </w:rPr>
      </w:pPr>
      <w:r>
        <w:rPr>
          <w:rFonts w:hint="eastAsia" w:ascii="宋体" w:hAnsi="宋体" w:cs="宋体"/>
        </w:rPr>
        <w:t>子包号：</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供应商名称：</w:t>
      </w:r>
    </w:p>
    <w:p>
      <w:pPr>
        <w:widowControl/>
        <w:spacing w:line="276" w:lineRule="auto"/>
        <w:jc w:val="left"/>
        <w:rPr>
          <w:rFonts w:ascii="宋体" w:hAnsi="宋体" w:cs="宋体"/>
        </w:rPr>
      </w:pPr>
      <w:r>
        <w:rPr>
          <w:rFonts w:hint="eastAsia" w:ascii="宋体" w:hAnsi="宋体" w:cs="宋体"/>
          <w:kern w:val="0"/>
          <w:sz w:val="22"/>
          <w:szCs w:val="22"/>
        </w:rPr>
        <w:t>供应商地址：</w:t>
      </w:r>
    </w:p>
    <w:p>
      <w:pPr>
        <w:widowControl/>
        <w:spacing w:line="276" w:lineRule="auto"/>
        <w:jc w:val="left"/>
        <w:rPr>
          <w:rFonts w:ascii="宋体" w:hAnsi="宋体" w:cs="宋体"/>
        </w:rPr>
      </w:pPr>
    </w:p>
    <w:p>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pPr>
        <w:widowControl/>
        <w:spacing w:line="276" w:lineRule="auto"/>
        <w:jc w:val="left"/>
        <w:rPr>
          <w:rFonts w:ascii="宋体" w:hAnsi="宋体" w:cs="宋体"/>
        </w:rPr>
      </w:pPr>
      <w:r>
        <w:rPr>
          <w:rFonts w:hint="eastAsia" w:ascii="宋体" w:hAnsi="宋体" w:cs="宋体"/>
          <w:kern w:val="0"/>
          <w:sz w:val="22"/>
          <w:szCs w:val="22"/>
        </w:rPr>
        <w:t xml:space="preserve">                                                       年  月  日</w:t>
      </w:r>
    </w:p>
    <w:p>
      <w:pPr>
        <w:widowControl/>
        <w:spacing w:line="276" w:lineRule="auto"/>
        <w:jc w:val="left"/>
        <w:rPr>
          <w:rFonts w:ascii="宋体" w:hAnsi="宋体" w:cs="宋体"/>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left"/>
        <w:rPr>
          <w:rFonts w:ascii="宋体" w:hAnsi="宋体" w:cs="宋体"/>
          <w:szCs w:val="21"/>
        </w:rPr>
      </w:pPr>
    </w:p>
    <w:p>
      <w:pPr>
        <w:widowControl/>
        <w:spacing w:line="480" w:lineRule="exact"/>
        <w:jc w:val="left"/>
        <w:rPr>
          <w:rFonts w:ascii="宋体" w:hAnsi="宋体" w:cs="宋体"/>
          <w:b/>
        </w:rPr>
      </w:pPr>
      <w:r>
        <w:rPr>
          <w:rFonts w:hint="eastAsia" w:ascii="宋体" w:hAnsi="宋体" w:cs="宋体"/>
          <w:b/>
          <w:kern w:val="0"/>
          <w:sz w:val="22"/>
          <w:szCs w:val="22"/>
        </w:rPr>
        <w:t>资格审查文件内容包括：</w:t>
      </w:r>
    </w:p>
    <w:p>
      <w:pPr>
        <w:snapToGrid w:val="0"/>
        <w:spacing w:line="48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投标声明书（格式附后）</w:t>
      </w:r>
      <w:r>
        <w:rPr>
          <w:rFonts w:hint="eastAsia" w:ascii="宋体" w:hAnsi="宋体" w:cs="宋体"/>
          <w:szCs w:val="21"/>
        </w:rPr>
        <w:t>；</w:t>
      </w:r>
    </w:p>
    <w:p>
      <w:pPr>
        <w:snapToGrid w:val="0"/>
        <w:spacing w:line="48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szCs w:val="21"/>
        </w:rPr>
        <w:t>；（格式见附件）；</w:t>
      </w:r>
    </w:p>
    <w:p>
      <w:pPr>
        <w:snapToGrid w:val="0"/>
        <w:spacing w:line="480" w:lineRule="exact"/>
        <w:ind w:firstLine="420" w:firstLineChars="200"/>
        <w:jc w:val="left"/>
        <w:rPr>
          <w:rFonts w:ascii="宋体" w:hAnsi="宋体" w:cs="宋体"/>
          <w:szCs w:val="21"/>
        </w:rPr>
      </w:pPr>
      <w:r>
        <w:rPr>
          <w:rFonts w:hint="eastAsia" w:ascii="宋体" w:hAnsi="宋体" w:cs="宋体"/>
          <w:szCs w:val="21"/>
        </w:rPr>
        <w:t>3、供应商特定资格条件的证明文件（如有）；</w:t>
      </w:r>
    </w:p>
    <w:p>
      <w:pPr>
        <w:snapToGrid w:val="0"/>
        <w:spacing w:line="480" w:lineRule="exact"/>
        <w:ind w:firstLine="420" w:firstLineChars="200"/>
        <w:jc w:val="left"/>
        <w:rPr>
          <w:rFonts w:ascii="宋体" w:hAnsi="宋体" w:cs="宋体"/>
          <w:szCs w:val="21"/>
        </w:rPr>
      </w:pPr>
      <w:r>
        <w:rPr>
          <w:rFonts w:hint="eastAsia" w:ascii="宋体" w:hAnsi="宋体" w:cs="宋体"/>
        </w:rPr>
        <w:t>4、采购文件要求的其他资格条件证明材料（如有）。</w:t>
      </w: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left"/>
        <w:rPr>
          <w:rFonts w:ascii="宋体" w:hAnsi="宋体" w:cs="宋体"/>
          <w:szCs w:val="21"/>
        </w:rPr>
      </w:pPr>
      <w:r>
        <w:rPr>
          <w:rFonts w:hint="eastAsia" w:ascii="宋体" w:hAnsi="宋体" w:cs="宋体"/>
          <w:szCs w:val="21"/>
        </w:rPr>
        <w:br w:type="page"/>
      </w:r>
    </w:p>
    <w:p>
      <w:pPr>
        <w:widowControl/>
        <w:spacing w:line="276" w:lineRule="auto"/>
        <w:ind w:firstLine="105" w:firstLineChars="50"/>
        <w:jc w:val="left"/>
        <w:rPr>
          <w:rFonts w:ascii="宋体" w:hAnsi="宋体" w:cs="宋体"/>
          <w:b/>
          <w:bCs/>
          <w:color w:val="000000"/>
        </w:rPr>
      </w:pPr>
      <w:r>
        <w:rPr>
          <w:rFonts w:hint="eastAsia" w:ascii="宋体" w:hAnsi="宋体" w:cs="宋体"/>
          <w:b/>
          <w:bCs/>
          <w:color w:val="000000"/>
        </w:rPr>
        <w:t>1、投标声明书</w:t>
      </w:r>
    </w:p>
    <w:p>
      <w:pPr>
        <w:pStyle w:val="20"/>
      </w:pPr>
    </w:p>
    <w:p>
      <w:pPr>
        <w:spacing w:line="360" w:lineRule="auto"/>
        <w:jc w:val="center"/>
        <w:rPr>
          <w:rFonts w:ascii="宋体" w:hAnsi="宋体"/>
          <w:b/>
          <w:bCs/>
          <w:sz w:val="28"/>
          <w:szCs w:val="28"/>
        </w:rPr>
      </w:pPr>
      <w:r>
        <w:rPr>
          <w:rFonts w:hint="eastAsia" w:ascii="宋体" w:hAnsi="宋体" w:cs="宋体"/>
          <w:b/>
          <w:bCs/>
          <w:sz w:val="28"/>
          <w:szCs w:val="28"/>
        </w:rPr>
        <w:t>投标声明书</w:t>
      </w:r>
    </w:p>
    <w:p>
      <w:pPr>
        <w:spacing w:line="360" w:lineRule="auto"/>
        <w:rPr>
          <w:rFonts w:ascii="宋体" w:hAnsi="宋体"/>
          <w:b/>
          <w:bCs/>
        </w:rPr>
      </w:pPr>
    </w:p>
    <w:p>
      <w:pPr>
        <w:spacing w:line="360" w:lineRule="auto"/>
        <w:rPr>
          <w:rFonts w:ascii="宋体" w:hAnsi="宋体"/>
          <w:b/>
        </w:rPr>
      </w:pPr>
      <w:r>
        <w:rPr>
          <w:rFonts w:hint="eastAsia" w:ascii="宋体" w:hAnsi="宋体"/>
          <w:b/>
        </w:rPr>
        <w:t>宁波中广工程管理咨询有限公司：</w:t>
      </w:r>
    </w:p>
    <w:p>
      <w:pPr>
        <w:snapToGrid w:val="0"/>
        <w:spacing w:before="120" w:beforeLines="50" w:line="360" w:lineRule="auto"/>
        <w:ind w:firstLine="424" w:firstLineChars="202"/>
        <w:rPr>
          <w:rFonts w:ascii="宋体" w:hAnsi="宋体"/>
        </w:rPr>
      </w:pPr>
      <w:r>
        <w:rPr>
          <w:rFonts w:hint="eastAsia" w:ascii="宋体" w:hAnsi="宋体" w:cs="宋体"/>
        </w:rPr>
        <w:t>关于你贵司发布</w:t>
      </w:r>
      <w:r>
        <w:rPr>
          <w:rFonts w:ascii="宋体" w:hAnsi="宋体" w:cs="宋体"/>
          <w:u w:val="single"/>
        </w:rPr>
        <w:t xml:space="preserve">  </w:t>
      </w:r>
      <w:r>
        <w:rPr>
          <w:rFonts w:ascii="宋体" w:hAnsi="宋体" w:cs="宋体"/>
          <w:kern w:val="28"/>
          <w:u w:val="single"/>
        </w:rPr>
        <w:t>XXXXXXXXXXXXXXXXXXXXXXXXXXXX</w:t>
      </w:r>
      <w:r>
        <w:rPr>
          <w:rFonts w:ascii="宋体" w:hAnsi="宋体" w:cs="宋体"/>
          <w:u w:val="single"/>
        </w:rPr>
        <w:t xml:space="preserve">  </w:t>
      </w:r>
      <w:r>
        <w:rPr>
          <w:rFonts w:hint="eastAsia" w:ascii="宋体" w:hAnsi="宋体" w:cs="宋体"/>
        </w:rPr>
        <w:t>项目（项目编号：　　　）的采购公告，本公司（企业）愿意参加投标，并声明：</w:t>
      </w:r>
    </w:p>
    <w:p>
      <w:pPr>
        <w:snapToGrid w:val="0"/>
        <w:spacing w:line="360" w:lineRule="auto"/>
        <w:ind w:firstLine="424" w:firstLineChars="202"/>
        <w:rPr>
          <w:rFonts w:ascii="宋体" w:hAnsi="宋体"/>
        </w:rPr>
      </w:pPr>
      <w:r>
        <w:rPr>
          <w:rFonts w:hint="eastAsia" w:ascii="宋体" w:hAnsi="宋体" w:cs="宋体"/>
        </w:rPr>
        <w:t>本公司（企业）具备《中华人民共和国政府采购法》第二十二条资格条件，并已清楚采购文件的要求及有关文件规定。</w:t>
      </w:r>
    </w:p>
    <w:p>
      <w:pPr>
        <w:snapToGrid w:val="0"/>
        <w:spacing w:line="360" w:lineRule="auto"/>
        <w:ind w:firstLine="424" w:firstLineChars="202"/>
        <w:rPr>
          <w:rFonts w:ascii="宋体" w:hAnsi="宋体"/>
        </w:rPr>
      </w:pPr>
      <w:r>
        <w:rPr>
          <w:rFonts w:hint="eastAsia" w:ascii="宋体" w:hAnsi="宋体" w:cs="宋体"/>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rPr>
      </w:pPr>
      <w:r>
        <w:rPr>
          <w:rFonts w:hint="eastAsia" w:ascii="宋体" w:hAnsi="宋体" w:cs="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ascii="宋体" w:hAnsi="宋体"/>
        </w:rPr>
      </w:pPr>
      <w:r>
        <w:rPr>
          <w:rFonts w:hint="eastAsia" w:ascii="宋体" w:hAnsi="宋体" w:cs="宋体"/>
          <w:b/>
          <w:bCs/>
        </w:rPr>
        <w:t>本公司（企业）具有履行合同所必需的设备和专业技术能力，且本公司（企业）参加政府采购活动前</w:t>
      </w:r>
      <w:r>
        <w:rPr>
          <w:rFonts w:ascii="宋体" w:hAnsi="宋体" w:cs="宋体"/>
          <w:b/>
          <w:bCs/>
        </w:rPr>
        <w:t>3</w:t>
      </w:r>
      <w:r>
        <w:rPr>
          <w:rFonts w:hint="eastAsia" w:ascii="宋体" w:hAnsi="宋体" w:cs="宋体"/>
          <w:b/>
          <w:bCs/>
        </w:rPr>
        <w:t>年内在经营活动中没有重大违法记录。</w:t>
      </w:r>
      <w:r>
        <w:rPr>
          <w:rFonts w:hint="eastAsia" w:ascii="宋体" w:hAnsi="宋体" w:cs="宋体"/>
        </w:rPr>
        <w:t>否则，由此所造成的损失、不良后果及法律责任，一律由我公司（企业）承担。</w:t>
      </w:r>
    </w:p>
    <w:p>
      <w:pPr>
        <w:snapToGrid w:val="0"/>
        <w:spacing w:line="360" w:lineRule="auto"/>
        <w:ind w:firstLine="426" w:firstLineChars="202"/>
        <w:rPr>
          <w:rFonts w:ascii="宋体" w:hAnsi="宋体" w:cs="宋体"/>
          <w:b/>
          <w:bCs/>
        </w:rPr>
      </w:pPr>
      <w:r>
        <w:rPr>
          <w:rFonts w:hint="eastAsia" w:ascii="宋体" w:hAnsi="宋体" w:cs="宋体"/>
          <w:b/>
          <w:bCs/>
        </w:rPr>
        <w:t>本公司（企业）未被列入“信用中国”网站</w:t>
      </w:r>
      <w:r>
        <w:rPr>
          <w:rFonts w:ascii="宋体" w:hAnsi="宋体" w:cs="宋体"/>
          <w:b/>
          <w:bCs/>
        </w:rPr>
        <w:t>(www.creditchina.gov.cn)</w:t>
      </w:r>
      <w:r>
        <w:rPr>
          <w:rFonts w:hint="eastAsia" w:ascii="宋体" w:hAnsi="宋体" w:cs="宋体"/>
          <w:b/>
          <w:bCs/>
        </w:rPr>
        <w:t>“记录失信被执行人或重大税收违法案件当事人名单或政府采购严重违法失信行为”记录名单；不处于中国政府采购网</w:t>
      </w:r>
      <w:r>
        <w:rPr>
          <w:rFonts w:ascii="宋体" w:hAnsi="宋体" w:cs="宋体"/>
          <w:b/>
          <w:bCs/>
        </w:rPr>
        <w:t>(www.ccgp.gov.cn)</w:t>
      </w:r>
      <w:r>
        <w:rPr>
          <w:rFonts w:hint="eastAsia" w:ascii="宋体" w:hAnsi="宋体" w:cs="宋体"/>
          <w:b/>
          <w:bCs/>
        </w:rPr>
        <w:t>“政府采购严重违法失信行为信息记录”中的禁止参加政府采购活动期间。</w:t>
      </w:r>
      <w:r>
        <w:rPr>
          <w:rFonts w:hint="eastAsia" w:ascii="宋体" w:hAnsi="宋体" w:cs="宋体"/>
          <w:b/>
          <w:bCs/>
          <w:szCs w:val="21"/>
        </w:rPr>
        <w:t>未在中国裁判文书网有行贿犯罪相关记录。</w:t>
      </w:r>
      <w:r>
        <w:rPr>
          <w:rFonts w:hint="eastAsia" w:ascii="宋体" w:hAnsi="宋体" w:cs="宋体"/>
          <w:b/>
          <w:bCs/>
        </w:rPr>
        <w:t>否则，由此所造成的损失、不良后果及法律责任，一律由我公司（企业）承担。</w:t>
      </w:r>
    </w:p>
    <w:p>
      <w:pPr>
        <w:snapToGrid w:val="0"/>
        <w:spacing w:line="360" w:lineRule="auto"/>
        <w:ind w:firstLine="426" w:firstLineChars="202"/>
      </w:pPr>
      <w:r>
        <w:rPr>
          <w:rFonts w:hint="eastAsia" w:ascii="宋体" w:hAnsi="宋体" w:cs="宋体"/>
          <w:b/>
          <w:bCs/>
        </w:rPr>
        <w:t>本项目不接受联合体。</w:t>
      </w:r>
    </w:p>
    <w:p>
      <w:pPr>
        <w:snapToGrid w:val="0"/>
        <w:spacing w:line="360" w:lineRule="auto"/>
        <w:ind w:firstLine="424" w:firstLineChars="202"/>
        <w:rPr>
          <w:rFonts w:ascii="宋体" w:hAnsi="宋体"/>
        </w:rPr>
      </w:pPr>
      <w:r>
        <w:rPr>
          <w:rFonts w:hint="eastAsia" w:ascii="宋体" w:hAnsi="宋体" w:cs="宋体"/>
        </w:rPr>
        <w:t>本次招标采购活动中，如有违法、违规、弄虚作假行为，所造成的损失、不良后果及法律责任，一律由我公司（企业）承担。</w:t>
      </w:r>
    </w:p>
    <w:p>
      <w:pPr>
        <w:spacing w:line="360" w:lineRule="auto"/>
        <w:ind w:firstLine="420"/>
        <w:rPr>
          <w:rFonts w:ascii="宋体" w:hAnsi="宋体"/>
          <w:b/>
          <w:bCs/>
        </w:rPr>
      </w:pPr>
      <w:r>
        <w:rPr>
          <w:rFonts w:hint="eastAsia" w:ascii="宋体" w:hAnsi="宋体" w:cs="宋体"/>
          <w:b/>
          <w:bCs/>
        </w:rPr>
        <w:t>特此声明！</w:t>
      </w:r>
    </w:p>
    <w:p>
      <w:pPr>
        <w:adjustRightInd w:val="0"/>
        <w:snapToGrid w:val="0"/>
        <w:spacing w:line="360" w:lineRule="auto"/>
        <w:ind w:left="425"/>
        <w:rPr>
          <w:rFonts w:ascii="宋体" w:hAnsi="宋体"/>
          <w:spacing w:val="4"/>
        </w:rPr>
      </w:pPr>
    </w:p>
    <w:p>
      <w:pPr>
        <w:spacing w:line="360" w:lineRule="auto"/>
        <w:ind w:right="420" w:firstLine="3150" w:firstLineChars="1500"/>
        <w:rPr>
          <w:rFonts w:ascii="宋体" w:hAnsi="宋体"/>
        </w:rPr>
      </w:pPr>
      <w:r>
        <w:rPr>
          <w:rFonts w:hint="eastAsia" w:ascii="宋体" w:hAnsi="宋体" w:cs="宋体"/>
        </w:rPr>
        <w:t>法定代表人或授权代表（签名或印章）：</w:t>
      </w:r>
      <w:r>
        <w:rPr>
          <w:rFonts w:ascii="宋体" w:hAnsi="宋体"/>
        </w:rPr>
        <w:t xml:space="preserve">     </w:t>
      </w:r>
    </w:p>
    <w:p>
      <w:pPr>
        <w:spacing w:line="360" w:lineRule="auto"/>
        <w:ind w:right="420" w:firstLine="3150" w:firstLineChars="1500"/>
        <w:rPr>
          <w:rFonts w:ascii="宋体" w:hAnsi="宋体"/>
        </w:rPr>
      </w:pPr>
      <w:r>
        <w:rPr>
          <w:rFonts w:hint="eastAsia" w:ascii="宋体" w:hAnsi="宋体" w:cs="宋体"/>
        </w:rPr>
        <w:t>供应商公章：</w:t>
      </w:r>
      <w:r>
        <w:rPr>
          <w:rFonts w:ascii="宋体" w:hAnsi="宋体"/>
        </w:rPr>
        <w:t xml:space="preserve">                               </w:t>
      </w:r>
    </w:p>
    <w:p>
      <w:pPr>
        <w:spacing w:line="360" w:lineRule="auto"/>
        <w:ind w:right="420" w:firstLine="3045" w:firstLineChars="1450"/>
        <w:rPr>
          <w:rFonts w:ascii="宋体" w:hAnsi="宋体"/>
        </w:rPr>
      </w:pP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widowControl/>
        <w:snapToGrid w:val="0"/>
        <w:spacing w:line="276" w:lineRule="auto"/>
        <w:jc w:val="center"/>
        <w:rPr>
          <w:rFonts w:ascii="宋体" w:hAnsi="宋体" w:cs="宋体"/>
          <w:b/>
          <w:kern w:val="0"/>
          <w:sz w:val="24"/>
          <w:szCs w:val="22"/>
        </w:rPr>
      </w:pPr>
    </w:p>
    <w:p>
      <w:pPr>
        <w:widowControl/>
        <w:snapToGrid w:val="0"/>
        <w:spacing w:line="276" w:lineRule="auto"/>
        <w:jc w:val="center"/>
        <w:rPr>
          <w:rFonts w:ascii="宋体" w:hAnsi="宋体" w:cs="宋体"/>
          <w:b/>
          <w:kern w:val="0"/>
          <w:sz w:val="24"/>
          <w:szCs w:val="22"/>
        </w:rPr>
      </w:pPr>
    </w:p>
    <w:p>
      <w:pPr>
        <w:widowControl/>
        <w:snapToGrid w:val="0"/>
        <w:spacing w:line="276" w:lineRule="auto"/>
        <w:jc w:val="center"/>
        <w:rPr>
          <w:rFonts w:ascii="宋体" w:hAnsi="宋体" w:cs="宋体"/>
          <w:b/>
          <w:kern w:val="0"/>
          <w:sz w:val="24"/>
          <w:szCs w:val="22"/>
        </w:rPr>
      </w:pPr>
    </w:p>
    <w:p>
      <w:pPr>
        <w:widowControl/>
        <w:spacing w:line="276" w:lineRule="auto"/>
        <w:jc w:val="left"/>
        <w:rPr>
          <w:rFonts w:ascii="宋体" w:hAnsi="宋体" w:cs="宋体"/>
        </w:rPr>
      </w:pPr>
    </w:p>
    <w:p>
      <w:pPr>
        <w:snapToGrid w:val="0"/>
      </w:pPr>
      <w:r>
        <w:rPr>
          <w:rFonts w:hint="eastAsia" w:ascii="宋体" w:hAnsi="宋体" w:cs="宋体"/>
          <w:b/>
          <w:kern w:val="0"/>
          <w:sz w:val="22"/>
          <w:szCs w:val="22"/>
        </w:rPr>
        <w:t>2、</w:t>
      </w:r>
      <w:r>
        <w:rPr>
          <w:rFonts w:hint="eastAsia" w:ascii="宋体" w:hAnsi="宋体" w:cs="宋体"/>
        </w:rPr>
        <w:t>有效的企业法人营业执照（或事业法人登记证）、其他组织（个体工商户）的营业执照或者民办非企业单位登记证书复印件；</w:t>
      </w:r>
      <w:r>
        <w:rPr>
          <w:rFonts w:hint="eastAsia" w:ascii="宋体" w:hAnsi="宋体" w:cs="宋体"/>
          <w:szCs w:val="21"/>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rPr>
        <w:t>；</w:t>
      </w:r>
    </w:p>
    <w:p>
      <w:pPr>
        <w:widowControl/>
        <w:jc w:val="left"/>
        <w:rPr>
          <w:rFonts w:ascii="宋体" w:hAnsi="宋体" w:cs="宋体"/>
          <w:b/>
          <w:kern w:val="0"/>
          <w:sz w:val="22"/>
          <w:szCs w:val="22"/>
        </w:rPr>
      </w:pPr>
    </w:p>
    <w:p>
      <w:pPr>
        <w:widowControl/>
        <w:jc w:val="left"/>
        <w:rPr>
          <w:rFonts w:ascii="宋体" w:hAnsi="宋体" w:cs="宋体"/>
          <w:b/>
          <w:kern w:val="0"/>
          <w:sz w:val="22"/>
          <w:szCs w:val="22"/>
        </w:rPr>
      </w:pPr>
    </w:p>
    <w:p>
      <w:pPr>
        <w:widowControl/>
        <w:jc w:val="left"/>
        <w:rPr>
          <w:rFonts w:ascii="宋体" w:hAnsi="宋体" w:cs="宋体"/>
          <w:b/>
          <w:kern w:val="0"/>
          <w:sz w:val="22"/>
          <w:szCs w:val="22"/>
        </w:rPr>
      </w:pPr>
    </w:p>
    <w:p>
      <w:pPr>
        <w:widowControl/>
        <w:jc w:val="left"/>
        <w:rPr>
          <w:rFonts w:ascii="宋体" w:hAnsi="宋体" w:cs="宋体"/>
          <w:b/>
          <w:kern w:val="0"/>
          <w:sz w:val="22"/>
          <w:szCs w:val="22"/>
        </w:rPr>
      </w:pPr>
    </w:p>
    <w:p>
      <w:pPr>
        <w:widowControl/>
        <w:jc w:val="left"/>
        <w:rPr>
          <w:rFonts w:ascii="宋体" w:hAnsi="宋体" w:cs="宋体"/>
          <w:b/>
          <w:kern w:val="0"/>
          <w:sz w:val="22"/>
          <w:szCs w:val="22"/>
        </w:rPr>
      </w:pPr>
    </w:p>
    <w:p>
      <w:pPr>
        <w:widowControl/>
        <w:jc w:val="left"/>
        <w:rPr>
          <w:rFonts w:ascii="宋体" w:hAnsi="宋体" w:cs="宋体"/>
          <w:b/>
          <w:kern w:val="0"/>
          <w:sz w:val="22"/>
          <w:szCs w:val="22"/>
        </w:rPr>
      </w:pPr>
    </w:p>
    <w:p>
      <w:pPr>
        <w:widowControl/>
        <w:jc w:val="left"/>
        <w:rPr>
          <w:rFonts w:ascii="宋体" w:hAnsi="宋体" w:cs="宋体"/>
          <w:b/>
          <w:kern w:val="0"/>
          <w:sz w:val="22"/>
          <w:szCs w:val="22"/>
        </w:rPr>
      </w:pPr>
    </w:p>
    <w:p>
      <w:pPr>
        <w:widowControl/>
        <w:jc w:val="left"/>
        <w:rPr>
          <w:rFonts w:ascii="宋体" w:hAnsi="宋体" w:cs="宋体"/>
          <w:b/>
          <w:kern w:val="0"/>
          <w:sz w:val="22"/>
          <w:szCs w:val="22"/>
        </w:rPr>
      </w:pPr>
    </w:p>
    <w:p>
      <w:pPr>
        <w:widowControl/>
        <w:jc w:val="left"/>
        <w:rPr>
          <w:rFonts w:ascii="宋体" w:hAnsi="宋体" w:cs="宋体"/>
          <w:b/>
          <w:kern w:val="0"/>
          <w:sz w:val="22"/>
          <w:szCs w:val="22"/>
        </w:rPr>
      </w:pPr>
      <w:r>
        <w:rPr>
          <w:rFonts w:hint="eastAsia" w:ascii="宋体" w:hAnsi="宋体" w:cs="宋体"/>
          <w:b/>
          <w:kern w:val="0"/>
          <w:sz w:val="22"/>
          <w:szCs w:val="22"/>
        </w:rPr>
        <w:t>3、供应商特定资格条件的证明文件（如有）；</w:t>
      </w:r>
    </w:p>
    <w:p>
      <w:pPr>
        <w:pStyle w:val="20"/>
      </w:pPr>
    </w:p>
    <w:p>
      <w:pPr>
        <w:pStyle w:val="20"/>
      </w:pPr>
    </w:p>
    <w:p>
      <w:pPr>
        <w:pStyle w:val="20"/>
      </w:pPr>
    </w:p>
    <w:p>
      <w:pPr>
        <w:pStyle w:val="20"/>
        <w:rPr>
          <w:rFonts w:ascii="宋体" w:hAnsi="宋体" w:cs="宋体"/>
          <w:b/>
          <w:kern w:val="0"/>
          <w:sz w:val="22"/>
          <w:szCs w:val="22"/>
        </w:rPr>
      </w:pPr>
      <w:r>
        <w:rPr>
          <w:rFonts w:hint="eastAsia" w:ascii="宋体" w:hAnsi="宋体" w:cs="宋体"/>
          <w:b/>
          <w:kern w:val="0"/>
          <w:sz w:val="22"/>
          <w:szCs w:val="22"/>
        </w:rPr>
        <w:t>4、采购文件要求的其他资格条件证明材料（如有）。</w:t>
      </w:r>
    </w:p>
    <w:p>
      <w:pPr>
        <w:widowControl/>
        <w:jc w:val="left"/>
        <w:rPr>
          <w:rFonts w:ascii="宋体" w:hAnsi="宋体" w:cs="宋体"/>
          <w:b/>
        </w:rPr>
      </w:pPr>
      <w:r>
        <w:rPr>
          <w:rFonts w:ascii="宋体" w:hAnsi="宋体" w:cs="宋体"/>
          <w:b/>
        </w:rPr>
        <w:br w:type="page"/>
      </w:r>
    </w:p>
    <w:p>
      <w:pPr>
        <w:widowControl/>
        <w:spacing w:line="276" w:lineRule="auto"/>
        <w:jc w:val="left"/>
        <w:rPr>
          <w:rFonts w:ascii="宋体" w:hAnsi="宋体" w:cs="宋体"/>
          <w:kern w:val="0"/>
          <w:sz w:val="22"/>
          <w:szCs w:val="22"/>
        </w:rPr>
      </w:pPr>
    </w:p>
    <w:p>
      <w:pPr>
        <w:widowControl/>
        <w:spacing w:line="276" w:lineRule="auto"/>
        <w:jc w:val="left"/>
        <w:rPr>
          <w:rFonts w:ascii="宋体" w:hAnsi="宋体" w:cs="宋体"/>
        </w:rPr>
      </w:pPr>
      <w:r>
        <w:rPr>
          <w:rFonts w:hint="eastAsia" w:ascii="宋体" w:hAnsi="宋体" w:cs="宋体"/>
          <w:kern w:val="0"/>
          <w:sz w:val="22"/>
          <w:szCs w:val="22"/>
        </w:rPr>
        <w:t xml:space="preserve">一、商务技术文件封面格式： </w:t>
      </w:r>
    </w:p>
    <w:p>
      <w:pPr>
        <w:widowControl/>
        <w:spacing w:line="276" w:lineRule="auto"/>
        <w:jc w:val="left"/>
        <w:rPr>
          <w:rFonts w:ascii="宋体" w:hAnsi="宋体" w:cs="宋体"/>
        </w:rPr>
      </w:pPr>
      <w:r>
        <w:rPr>
          <w:rFonts w:hint="eastAsia" w:ascii="宋体" w:hAnsi="宋体" w:cs="宋体"/>
          <w:kern w:val="0"/>
          <w:sz w:val="22"/>
          <w:szCs w:val="22"/>
        </w:rPr>
        <w:t xml:space="preserve">                                                        正本/或副本</w:t>
      </w:r>
    </w:p>
    <w:p>
      <w:pPr>
        <w:widowControl/>
        <w:spacing w:line="276" w:lineRule="auto"/>
        <w:jc w:val="left"/>
        <w:rPr>
          <w:rFonts w:ascii="宋体" w:hAnsi="宋体" w:cs="宋体"/>
        </w:rPr>
      </w:pPr>
    </w:p>
    <w:p>
      <w:pPr>
        <w:widowControl/>
        <w:spacing w:line="276" w:lineRule="auto"/>
        <w:jc w:val="center"/>
        <w:rPr>
          <w:rFonts w:ascii="宋体" w:hAnsi="宋体" w:cs="宋体"/>
          <w:sz w:val="44"/>
          <w:szCs w:val="44"/>
        </w:rPr>
      </w:pPr>
      <w:r>
        <w:rPr>
          <w:rFonts w:hint="eastAsia" w:ascii="宋体" w:hAnsi="宋体" w:cs="宋体"/>
          <w:kern w:val="0"/>
          <w:sz w:val="44"/>
          <w:szCs w:val="44"/>
        </w:rPr>
        <w:t>商务技术文件</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项目名称：                        项目</w:t>
      </w:r>
    </w:p>
    <w:p>
      <w:pPr>
        <w:widowControl/>
        <w:spacing w:line="276" w:lineRule="auto"/>
        <w:jc w:val="left"/>
        <w:rPr>
          <w:rFonts w:ascii="宋体" w:hAnsi="宋体" w:cs="宋体"/>
        </w:rPr>
      </w:pPr>
      <w:r>
        <w:rPr>
          <w:rFonts w:hint="eastAsia" w:ascii="宋体" w:hAnsi="宋体" w:cs="宋体"/>
          <w:kern w:val="0"/>
          <w:sz w:val="22"/>
          <w:szCs w:val="22"/>
        </w:rPr>
        <w:t xml:space="preserve">项目编号： </w:t>
      </w:r>
    </w:p>
    <w:p>
      <w:pPr>
        <w:widowControl/>
        <w:spacing w:line="276" w:lineRule="auto"/>
        <w:jc w:val="left"/>
        <w:rPr>
          <w:rFonts w:ascii="宋体" w:hAnsi="宋体" w:cs="宋体"/>
        </w:rPr>
      </w:pPr>
      <w:r>
        <w:rPr>
          <w:rFonts w:hint="eastAsia" w:ascii="宋体" w:hAnsi="宋体" w:cs="宋体"/>
        </w:rPr>
        <w:t>子包号：</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供应商名称：</w:t>
      </w:r>
    </w:p>
    <w:p>
      <w:pPr>
        <w:widowControl/>
        <w:spacing w:line="276" w:lineRule="auto"/>
        <w:jc w:val="left"/>
        <w:rPr>
          <w:rFonts w:ascii="宋体" w:hAnsi="宋体" w:cs="宋体"/>
        </w:rPr>
      </w:pPr>
      <w:r>
        <w:rPr>
          <w:rFonts w:hint="eastAsia" w:ascii="宋体" w:hAnsi="宋体" w:cs="宋体"/>
          <w:kern w:val="0"/>
          <w:sz w:val="22"/>
          <w:szCs w:val="22"/>
        </w:rPr>
        <w:t>供应商地址：</w:t>
      </w:r>
    </w:p>
    <w:p>
      <w:pPr>
        <w:widowControl/>
        <w:spacing w:line="276" w:lineRule="auto"/>
        <w:jc w:val="left"/>
        <w:rPr>
          <w:rFonts w:ascii="宋体" w:hAnsi="宋体" w:cs="宋体"/>
        </w:rPr>
      </w:pPr>
    </w:p>
    <w:p>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pPr>
        <w:widowControl/>
        <w:spacing w:line="276" w:lineRule="auto"/>
        <w:jc w:val="left"/>
        <w:rPr>
          <w:rFonts w:ascii="宋体" w:hAnsi="宋体" w:cs="宋体"/>
        </w:rPr>
      </w:pPr>
      <w:r>
        <w:rPr>
          <w:rFonts w:hint="eastAsia" w:ascii="宋体" w:hAnsi="宋体" w:cs="宋体"/>
          <w:kern w:val="0"/>
          <w:sz w:val="22"/>
          <w:szCs w:val="22"/>
        </w:rPr>
        <w:t xml:space="preserve">                                                       年  月  日</w:t>
      </w: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tabs>
          <w:tab w:val="left" w:pos="312"/>
        </w:tabs>
        <w:snapToGrid w:val="0"/>
        <w:spacing w:line="480" w:lineRule="exact"/>
        <w:ind w:firstLine="472" w:firstLineChars="196"/>
        <w:jc w:val="left"/>
        <w:rPr>
          <w:rFonts w:ascii="宋体" w:hAnsi="宋体" w:cs="宋体"/>
          <w:b/>
          <w:sz w:val="24"/>
        </w:rPr>
      </w:pPr>
    </w:p>
    <w:p>
      <w:pPr>
        <w:tabs>
          <w:tab w:val="left" w:pos="312"/>
        </w:tabs>
        <w:snapToGrid w:val="0"/>
        <w:spacing w:line="480" w:lineRule="exact"/>
        <w:ind w:firstLine="472" w:firstLineChars="196"/>
        <w:jc w:val="left"/>
        <w:rPr>
          <w:rFonts w:ascii="宋体" w:hAnsi="宋体" w:cs="宋体"/>
          <w:b/>
          <w:sz w:val="24"/>
        </w:rPr>
      </w:pPr>
      <w:r>
        <w:rPr>
          <w:rFonts w:hint="eastAsia" w:ascii="宋体" w:hAnsi="宋体" w:cs="宋体"/>
          <w:b/>
          <w:sz w:val="24"/>
        </w:rPr>
        <w:t>商务技术文件内容包括：</w:t>
      </w:r>
    </w:p>
    <w:p>
      <w:pPr>
        <w:spacing w:line="360" w:lineRule="auto"/>
        <w:ind w:left="425"/>
        <w:rPr>
          <w:rFonts w:ascii="宋体" w:hAnsi="宋体" w:cs="宋体"/>
          <w:szCs w:val="21"/>
        </w:rPr>
      </w:pPr>
    </w:p>
    <w:p>
      <w:pPr>
        <w:spacing w:line="360" w:lineRule="auto"/>
        <w:ind w:left="425"/>
        <w:rPr>
          <w:rFonts w:ascii="宋体" w:hAnsi="宋体" w:cs="宋体"/>
          <w:b/>
          <w:bCs/>
        </w:rPr>
      </w:pPr>
      <w:r>
        <w:rPr>
          <w:rFonts w:hint="eastAsia" w:ascii="宋体" w:hAnsi="宋体" w:cs="宋体"/>
          <w:szCs w:val="21"/>
        </w:rPr>
        <w:t>（1）符合性自查表（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（2）供应商响应表（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（3）投标函（</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szCs w:val="21"/>
        </w:rPr>
      </w:pPr>
      <w:r>
        <w:rPr>
          <w:rFonts w:hint="eastAsia" w:ascii="宋体" w:hAnsi="宋体" w:cs="宋体"/>
          <w:szCs w:val="21"/>
        </w:rPr>
        <w:t>（4）法定代表人身份证明书（</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（5）法定代表人授权书（</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（6）服务（技术）条款偏离表（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（7）商务条款偏离表（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szCs w:val="21"/>
        </w:rPr>
      </w:pPr>
      <w:r>
        <w:rPr>
          <w:rFonts w:hint="eastAsia" w:ascii="宋体" w:hAnsi="宋体" w:cs="宋体"/>
          <w:szCs w:val="21"/>
        </w:rPr>
        <w:t>（8）供应商基本情况表（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（9）本项目拟投入人员配备汇总表（</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（10）同类业绩情况一览表（如有）（</w:t>
      </w:r>
      <w:r>
        <w:rPr>
          <w:rFonts w:hint="eastAsia" w:ascii="宋体" w:hAnsi="宋体" w:cs="宋体"/>
        </w:rPr>
        <w:t>格式附后</w:t>
      </w:r>
      <w:r>
        <w:rPr>
          <w:rFonts w:hint="eastAsia" w:ascii="宋体" w:hAnsi="宋体" w:cs="宋体"/>
          <w:szCs w:val="21"/>
        </w:rPr>
        <w:t>）；</w:t>
      </w:r>
    </w:p>
    <w:p>
      <w:pPr>
        <w:spacing w:line="360" w:lineRule="auto"/>
        <w:ind w:left="425"/>
        <w:rPr>
          <w:rFonts w:ascii="宋体" w:hAnsi="宋体" w:cs="宋体"/>
          <w:b/>
          <w:bCs/>
        </w:rPr>
      </w:pPr>
      <w:r>
        <w:rPr>
          <w:rFonts w:hint="eastAsia" w:ascii="宋体" w:hAnsi="宋体" w:cs="宋体"/>
          <w:szCs w:val="21"/>
        </w:rPr>
        <w:t>（11）技术部分：针对本项目</w:t>
      </w:r>
      <w:r>
        <w:rPr>
          <w:rFonts w:hint="eastAsia" w:ascii="宋体" w:hAnsi="宋体"/>
        </w:rPr>
        <w:t>第二章采购需求和</w:t>
      </w:r>
      <w:r>
        <w:rPr>
          <w:rFonts w:hint="eastAsia" w:ascii="宋体" w:hAnsi="宋体" w:cs="宋体"/>
          <w:szCs w:val="21"/>
        </w:rPr>
        <w:t>第四章评分标准中的条款拟定各种方案，格式自拟；</w:t>
      </w:r>
    </w:p>
    <w:p>
      <w:pPr>
        <w:spacing w:line="360" w:lineRule="auto"/>
        <w:ind w:left="425"/>
        <w:rPr>
          <w:rFonts w:ascii="宋体" w:hAnsi="宋体" w:cs="宋体"/>
          <w:b/>
          <w:bCs/>
        </w:rPr>
      </w:pPr>
      <w:r>
        <w:rPr>
          <w:rFonts w:hint="eastAsia" w:ascii="宋体" w:hAnsi="宋体" w:cs="宋体"/>
          <w:szCs w:val="21"/>
        </w:rPr>
        <w:t>（12）第四章评标办法及评分标准中需提供的其他相关证书及合同、中标通知书等；</w:t>
      </w:r>
    </w:p>
    <w:p>
      <w:pPr>
        <w:spacing w:line="360" w:lineRule="auto"/>
        <w:ind w:left="425"/>
        <w:rPr>
          <w:rFonts w:ascii="宋体" w:hAnsi="宋体" w:cs="宋体"/>
          <w:b/>
          <w:bCs/>
        </w:rPr>
      </w:pPr>
      <w:r>
        <w:rPr>
          <w:rFonts w:hint="eastAsia" w:ascii="宋体" w:hAnsi="宋体" w:cs="宋体"/>
          <w:szCs w:val="21"/>
        </w:rPr>
        <w:t>（13）供应商认为有需要提供的其它有关证明资料。</w:t>
      </w:r>
    </w:p>
    <w:p>
      <w:pPr>
        <w:snapToGrid w:val="0"/>
        <w:spacing w:line="480" w:lineRule="exact"/>
        <w:ind w:firstLine="420" w:firstLineChars="200"/>
        <w:jc w:val="left"/>
        <w:rPr>
          <w:rFonts w:ascii="宋体" w:hAnsi="宋体" w:cs="宋体"/>
          <w:szCs w:val="21"/>
        </w:rPr>
      </w:pPr>
    </w:p>
    <w:p>
      <w:pPr>
        <w:pStyle w:val="122"/>
        <w:adjustRightInd w:val="0"/>
        <w:snapToGrid w:val="0"/>
        <w:spacing w:line="480" w:lineRule="exact"/>
        <w:ind w:firstLineChars="0"/>
        <w:jc w:val="left"/>
        <w:textAlignment w:val="baseline"/>
        <w:rPr>
          <w:rFonts w:ascii="宋体" w:hAnsi="宋体" w:cs="宋体"/>
          <w:szCs w:val="21"/>
        </w:rPr>
      </w:pPr>
    </w:p>
    <w:p>
      <w:pPr>
        <w:spacing w:line="360" w:lineRule="auto"/>
        <w:ind w:left="420" w:leftChars="200"/>
        <w:rPr>
          <w:rFonts w:ascii="宋体" w:hAnsi="宋体" w:cs="宋体"/>
          <w:b/>
          <w:u w:val="double"/>
        </w:rPr>
      </w:pPr>
    </w:p>
    <w:p>
      <w:pPr>
        <w:snapToGrid w:val="0"/>
        <w:rPr>
          <w:rFonts w:ascii="宋体" w:hAnsi="宋体" w:cs="宋体"/>
          <w:b/>
          <w:color w:val="000000"/>
          <w:szCs w:val="21"/>
        </w:rPr>
      </w:pPr>
    </w:p>
    <w:p>
      <w:pPr>
        <w:numPr>
          <w:ilvl w:val="0"/>
          <w:numId w:val="6"/>
        </w:numPr>
        <w:snapToGrid w:val="0"/>
        <w:rPr>
          <w:rFonts w:ascii="宋体" w:hAnsi="宋体" w:cs="宋体"/>
          <w:b/>
          <w:color w:val="000000"/>
          <w:szCs w:val="21"/>
        </w:rPr>
      </w:pPr>
      <w:r>
        <w:rPr>
          <w:rFonts w:hint="eastAsia" w:ascii="宋体" w:hAnsi="宋体" w:cs="宋体"/>
          <w:b/>
          <w:color w:val="000000"/>
          <w:szCs w:val="21"/>
        </w:rPr>
        <w:t>符合性自查表格式</w:t>
      </w:r>
    </w:p>
    <w:p>
      <w:pPr>
        <w:widowControl/>
        <w:snapToGrid w:val="0"/>
        <w:spacing w:line="276" w:lineRule="auto"/>
        <w:jc w:val="center"/>
        <w:rPr>
          <w:rFonts w:ascii="宋体" w:hAnsi="宋体" w:cs="宋体"/>
          <w:b/>
          <w:kern w:val="0"/>
          <w:sz w:val="24"/>
          <w:szCs w:val="22"/>
        </w:rPr>
      </w:pP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符合性自查表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08"/>
        <w:gridCol w:w="127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1149" w:type="dxa"/>
            <w:vAlign w:val="center"/>
          </w:tcPr>
          <w:p>
            <w:pPr>
              <w:spacing w:line="240" w:lineRule="exact"/>
              <w:jc w:val="center"/>
              <w:rPr>
                <w:rFonts w:ascii="宋体" w:hAnsi="宋体" w:cs="宋体"/>
                <w:color w:val="000000"/>
              </w:rPr>
            </w:pPr>
            <w:r>
              <w:rPr>
                <w:rFonts w:hint="eastAsia" w:ascii="宋体" w:hAnsi="宋体" w:cs="宋体"/>
                <w:color w:val="000000"/>
              </w:rPr>
              <w:t>评审内容</w:t>
            </w:r>
          </w:p>
        </w:tc>
        <w:tc>
          <w:tcPr>
            <w:tcW w:w="3408" w:type="dxa"/>
            <w:vAlign w:val="center"/>
          </w:tcPr>
          <w:p>
            <w:pPr>
              <w:spacing w:line="240" w:lineRule="exact"/>
              <w:jc w:val="center"/>
              <w:rPr>
                <w:rFonts w:ascii="宋体" w:hAnsi="宋体" w:cs="宋体"/>
                <w:color w:val="000000"/>
              </w:rPr>
            </w:pPr>
            <w:r>
              <w:rPr>
                <w:rFonts w:hint="eastAsia" w:ascii="宋体" w:hAnsi="宋体" w:cs="宋体"/>
                <w:color w:val="000000"/>
              </w:rPr>
              <w:t>采购文件要求</w:t>
            </w:r>
          </w:p>
        </w:tc>
        <w:tc>
          <w:tcPr>
            <w:tcW w:w="1270" w:type="dxa"/>
            <w:vAlign w:val="center"/>
          </w:tcPr>
          <w:p>
            <w:pPr>
              <w:spacing w:line="240" w:lineRule="exact"/>
              <w:jc w:val="center"/>
              <w:rPr>
                <w:rFonts w:ascii="宋体" w:hAnsi="宋体" w:cs="宋体"/>
                <w:color w:val="000000"/>
              </w:rPr>
            </w:pPr>
            <w:r>
              <w:rPr>
                <w:rFonts w:hint="eastAsia" w:ascii="宋体" w:hAnsi="宋体" w:cs="宋体"/>
                <w:color w:val="000000"/>
              </w:rPr>
              <w:t>自查结论</w:t>
            </w:r>
          </w:p>
        </w:tc>
        <w:tc>
          <w:tcPr>
            <w:tcW w:w="2611" w:type="dxa"/>
            <w:vAlign w:val="center"/>
          </w:tcPr>
          <w:p>
            <w:pPr>
              <w:spacing w:line="240" w:lineRule="exact"/>
              <w:jc w:val="center"/>
              <w:rPr>
                <w:rFonts w:ascii="宋体" w:hAnsi="宋体" w:cs="宋体"/>
                <w:color w:val="000000"/>
              </w:rPr>
            </w:pPr>
            <w:r>
              <w:rPr>
                <w:rFonts w:hint="eastAsia" w:ascii="宋体" w:hAnsi="宋体" w:cs="宋体"/>
                <w:color w:val="000000"/>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1149" w:type="dxa"/>
            <w:vMerge w:val="restart"/>
            <w:vAlign w:val="center"/>
          </w:tcPr>
          <w:p>
            <w:pPr>
              <w:spacing w:line="240" w:lineRule="exact"/>
              <w:rPr>
                <w:rFonts w:ascii="宋体" w:hAnsi="宋体" w:cs="宋体"/>
                <w:color w:val="000000"/>
              </w:rPr>
            </w:pPr>
            <w:r>
              <w:rPr>
                <w:rFonts w:hint="eastAsia" w:ascii="宋体" w:hAnsi="宋体" w:cs="宋体"/>
                <w:color w:val="000000"/>
              </w:rPr>
              <w:t>符合</w:t>
            </w:r>
          </w:p>
          <w:p>
            <w:pPr>
              <w:spacing w:line="240" w:lineRule="exact"/>
              <w:rPr>
                <w:rFonts w:ascii="宋体" w:hAnsi="宋体" w:cs="宋体"/>
                <w:color w:val="000000"/>
              </w:rPr>
            </w:pPr>
            <w:r>
              <w:rPr>
                <w:rFonts w:hint="eastAsia" w:ascii="宋体" w:hAnsi="宋体" w:cs="宋体"/>
                <w:color w:val="000000"/>
              </w:rPr>
              <w:t>性审</w:t>
            </w:r>
          </w:p>
          <w:p>
            <w:pPr>
              <w:spacing w:line="240" w:lineRule="exact"/>
              <w:rPr>
                <w:rFonts w:ascii="宋体" w:hAnsi="宋体" w:cs="宋体"/>
                <w:color w:val="000000"/>
              </w:rPr>
            </w:pPr>
            <w:r>
              <w:rPr>
                <w:rFonts w:hint="eastAsia" w:ascii="宋体" w:hAnsi="宋体" w:cs="宋体"/>
                <w:color w:val="000000"/>
              </w:rPr>
              <w:t>查</w:t>
            </w:r>
          </w:p>
        </w:tc>
        <w:tc>
          <w:tcPr>
            <w:tcW w:w="3408" w:type="dxa"/>
            <w:vAlign w:val="center"/>
          </w:tcPr>
          <w:p>
            <w:pPr>
              <w:spacing w:line="240" w:lineRule="exact"/>
              <w:rPr>
                <w:rFonts w:ascii="宋体" w:hAnsi="宋体" w:cs="宋体"/>
                <w:color w:val="000000"/>
              </w:rPr>
            </w:pPr>
            <w:r>
              <w:rPr>
                <w:rFonts w:hint="eastAsia" w:ascii="宋体" w:hAnsi="宋体" w:cs="宋体"/>
                <w:color w:val="000000"/>
              </w:rPr>
              <w:t>1、投标函；</w:t>
            </w:r>
          </w:p>
        </w:tc>
        <w:tc>
          <w:tcPr>
            <w:tcW w:w="1270" w:type="dxa"/>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1149" w:type="dxa"/>
            <w:vMerge w:val="continue"/>
            <w:vAlign w:val="center"/>
          </w:tcPr>
          <w:p>
            <w:pPr>
              <w:spacing w:line="240" w:lineRule="exact"/>
              <w:rPr>
                <w:rFonts w:ascii="宋体" w:hAnsi="宋体" w:cs="宋体"/>
                <w:color w:val="000000"/>
              </w:rPr>
            </w:pPr>
          </w:p>
        </w:tc>
        <w:tc>
          <w:tcPr>
            <w:tcW w:w="3408" w:type="dxa"/>
            <w:vAlign w:val="center"/>
          </w:tcPr>
          <w:p>
            <w:pPr>
              <w:spacing w:line="240" w:lineRule="exact"/>
              <w:rPr>
                <w:rFonts w:ascii="宋体" w:hAnsi="宋体" w:cs="宋体"/>
                <w:color w:val="000000"/>
              </w:rPr>
            </w:pPr>
            <w:r>
              <w:rPr>
                <w:rFonts w:hint="eastAsia" w:ascii="宋体" w:hAnsi="宋体" w:cs="宋体"/>
                <w:color w:val="000000"/>
              </w:rPr>
              <w:t>2、</w:t>
            </w:r>
            <w:r>
              <w:rPr>
                <w:rFonts w:hint="eastAsia" w:ascii="宋体" w:hAnsi="宋体" w:cs="宋体"/>
              </w:rPr>
              <w:t>投标文件完全满足采购文件的实质性条款（即标注★号条款）无负偏离的；</w:t>
            </w:r>
          </w:p>
        </w:tc>
        <w:tc>
          <w:tcPr>
            <w:tcW w:w="1270" w:type="dxa"/>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1149" w:type="dxa"/>
            <w:vMerge w:val="continue"/>
            <w:vAlign w:val="center"/>
          </w:tcPr>
          <w:p>
            <w:pPr>
              <w:spacing w:line="240" w:lineRule="exact"/>
              <w:rPr>
                <w:rFonts w:ascii="宋体" w:hAnsi="宋体" w:cs="宋体"/>
                <w:color w:val="000000"/>
              </w:rPr>
            </w:pPr>
          </w:p>
        </w:tc>
        <w:tc>
          <w:tcPr>
            <w:tcW w:w="3408" w:type="dxa"/>
            <w:vAlign w:val="center"/>
          </w:tcPr>
          <w:p>
            <w:pPr>
              <w:spacing w:line="240" w:lineRule="exact"/>
              <w:rPr>
                <w:rFonts w:ascii="宋体" w:hAnsi="宋体" w:cs="宋体"/>
                <w:color w:val="000000"/>
              </w:rPr>
            </w:pPr>
            <w:r>
              <w:rPr>
                <w:rFonts w:hint="eastAsia" w:ascii="宋体" w:hAnsi="宋体" w:cs="宋体"/>
                <w:color w:val="000000"/>
              </w:rPr>
              <w:t>3、</w:t>
            </w:r>
            <w:r>
              <w:rPr>
                <w:rFonts w:hint="eastAsia" w:ascii="宋体" w:hAnsi="宋体" w:cs="宋体"/>
              </w:rPr>
              <w:t>法定代表人证明书</w:t>
            </w:r>
            <w:r>
              <w:rPr>
                <w:rFonts w:ascii="宋体" w:hAnsi="宋体" w:cs="宋体"/>
              </w:rPr>
              <w:t>/</w:t>
            </w:r>
            <w:r>
              <w:rPr>
                <w:rFonts w:hint="eastAsia" w:ascii="宋体" w:hAnsi="宋体" w:cs="宋体"/>
              </w:rPr>
              <w:t>法定代表人授权委托书</w:t>
            </w:r>
            <w:r>
              <w:rPr>
                <w:rFonts w:hint="eastAsia" w:ascii="宋体" w:hAnsi="宋体" w:cs="宋体"/>
                <w:color w:val="000000"/>
              </w:rPr>
              <w:t>；</w:t>
            </w:r>
          </w:p>
        </w:tc>
        <w:tc>
          <w:tcPr>
            <w:tcW w:w="1270" w:type="dxa"/>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pPr>
              <w:spacing w:line="240" w:lineRule="exact"/>
              <w:rPr>
                <w:rFonts w:ascii="宋体" w:hAnsi="宋体" w:cs="宋体"/>
                <w:color w:val="000000"/>
              </w:rPr>
            </w:pPr>
          </w:p>
        </w:tc>
        <w:tc>
          <w:tcPr>
            <w:tcW w:w="3408" w:type="dxa"/>
            <w:vAlign w:val="center"/>
          </w:tcPr>
          <w:p>
            <w:pPr>
              <w:spacing w:line="240" w:lineRule="exact"/>
              <w:rPr>
                <w:rFonts w:ascii="宋体" w:hAnsi="宋体" w:cs="宋体"/>
                <w:color w:val="000000"/>
              </w:rPr>
            </w:pPr>
            <w:r>
              <w:rPr>
                <w:rFonts w:hint="eastAsia" w:ascii="宋体" w:hAnsi="宋体" w:cs="宋体"/>
                <w:color w:val="000000"/>
              </w:rPr>
              <w:t>4、</w:t>
            </w:r>
            <w:r>
              <w:rPr>
                <w:rFonts w:hint="eastAsia" w:ascii="宋体" w:hAnsi="宋体" w:cs="宋体"/>
              </w:rPr>
              <w:t>没有其他未实质性投标文件要求的</w:t>
            </w:r>
            <w:r>
              <w:rPr>
                <w:rFonts w:hint="eastAsia" w:ascii="宋体" w:hAnsi="宋体" w:cs="宋体"/>
                <w:color w:val="000000"/>
              </w:rPr>
              <w:t>。</w:t>
            </w:r>
          </w:p>
        </w:tc>
        <w:tc>
          <w:tcPr>
            <w:tcW w:w="1270" w:type="dxa"/>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pPr>
              <w:spacing w:line="240" w:lineRule="exact"/>
              <w:rPr>
                <w:rFonts w:ascii="宋体" w:hAnsi="宋体" w:cs="宋体"/>
                <w:color w:val="000000"/>
              </w:rPr>
            </w:pPr>
          </w:p>
        </w:tc>
        <w:tc>
          <w:tcPr>
            <w:tcW w:w="3408" w:type="dxa"/>
            <w:vAlign w:val="center"/>
          </w:tcPr>
          <w:p>
            <w:pPr>
              <w:spacing w:line="240" w:lineRule="exact"/>
              <w:rPr>
                <w:rFonts w:ascii="宋体" w:hAnsi="宋体" w:cs="宋体"/>
                <w:color w:val="000000"/>
              </w:rPr>
            </w:pPr>
            <w:r>
              <w:rPr>
                <w:rFonts w:hint="eastAsia" w:ascii="宋体" w:hAnsi="宋体" w:cs="宋体"/>
                <w:color w:val="000000"/>
              </w:rPr>
              <w:t>5、</w:t>
            </w:r>
            <w:r>
              <w:rPr>
                <w:rFonts w:hint="eastAsia" w:ascii="宋体" w:hAnsi="宋体" w:cs="宋体"/>
              </w:rPr>
              <w:t>投标文件没有采购文件中规定的其它无效投标条款的</w:t>
            </w:r>
            <w:r>
              <w:rPr>
                <w:rFonts w:hint="eastAsia" w:ascii="宋体" w:hAnsi="宋体" w:cs="宋体"/>
                <w:color w:val="000000"/>
              </w:rPr>
              <w:t>；</w:t>
            </w:r>
          </w:p>
        </w:tc>
        <w:tc>
          <w:tcPr>
            <w:tcW w:w="1270" w:type="dxa"/>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pPr>
              <w:spacing w:line="240" w:lineRule="exact"/>
              <w:rPr>
                <w:rFonts w:ascii="宋体" w:hAnsi="宋体" w:cs="宋体"/>
                <w:color w:val="000000"/>
              </w:rPr>
            </w:pPr>
          </w:p>
        </w:tc>
        <w:tc>
          <w:tcPr>
            <w:tcW w:w="3408" w:type="dxa"/>
            <w:vAlign w:val="center"/>
          </w:tcPr>
          <w:p>
            <w:pPr>
              <w:spacing w:line="240" w:lineRule="exact"/>
              <w:rPr>
                <w:rFonts w:ascii="宋体" w:hAnsi="宋体" w:cs="宋体"/>
                <w:color w:val="000000"/>
              </w:rPr>
            </w:pPr>
            <w:r>
              <w:rPr>
                <w:rFonts w:hint="eastAsia" w:ascii="宋体" w:hAnsi="宋体" w:cs="宋体"/>
                <w:color w:val="000000"/>
              </w:rPr>
              <w:t>6、不存在按有关法律、法规、规章属于投标无效情形的。</w:t>
            </w:r>
          </w:p>
        </w:tc>
        <w:tc>
          <w:tcPr>
            <w:tcW w:w="1270" w:type="dxa"/>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pPr>
              <w:spacing w:line="240" w:lineRule="exact"/>
              <w:rPr>
                <w:rFonts w:ascii="宋体" w:hAnsi="宋体" w:cs="宋体"/>
                <w:color w:val="000000"/>
              </w:rPr>
            </w:pPr>
            <w:r>
              <w:rPr>
                <w:rFonts w:hint="eastAsia" w:ascii="宋体" w:hAnsi="宋体" w:cs="宋体"/>
                <w:color w:val="00000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1" w:hRule="atLeast"/>
          <w:jc w:val="center"/>
        </w:trPr>
        <w:tc>
          <w:tcPr>
            <w:tcW w:w="1149" w:type="dxa"/>
            <w:vMerge w:val="continue"/>
            <w:vAlign w:val="center"/>
          </w:tcPr>
          <w:p>
            <w:pPr>
              <w:spacing w:line="240" w:lineRule="exact"/>
              <w:rPr>
                <w:rFonts w:ascii="宋体" w:hAnsi="宋体" w:cs="宋体"/>
                <w:color w:val="000000"/>
              </w:rPr>
            </w:pPr>
          </w:p>
        </w:tc>
        <w:tc>
          <w:tcPr>
            <w:tcW w:w="3408" w:type="dxa"/>
            <w:vAlign w:val="center"/>
          </w:tcPr>
          <w:p>
            <w:pPr>
              <w:adjustRightInd w:val="0"/>
              <w:snapToGrid w:val="0"/>
              <w:spacing w:line="360" w:lineRule="auto"/>
              <w:rPr>
                <w:rFonts w:ascii="宋体" w:hAnsi="宋体"/>
              </w:rPr>
            </w:pPr>
            <w:r>
              <w:rPr>
                <w:rFonts w:hint="eastAsia" w:ascii="宋体" w:hAnsi="宋体" w:cs="宋体"/>
              </w:rPr>
              <w:t>7、按照采购文件要求提供其他证明材料。</w:t>
            </w:r>
          </w:p>
        </w:tc>
        <w:tc>
          <w:tcPr>
            <w:tcW w:w="1270" w:type="dxa"/>
            <w:vAlign w:val="center"/>
          </w:tcPr>
          <w:p>
            <w:pPr>
              <w:adjustRightInd w:val="0"/>
              <w:snapToGrid w:val="0"/>
              <w:spacing w:line="360" w:lineRule="auto"/>
              <w:rPr>
                <w:rFonts w:ascii="宋体" w:hAnsi="宋体"/>
              </w:rPr>
            </w:pPr>
            <w:r>
              <w:rPr>
                <w:rFonts w:hint="eastAsia" w:ascii="宋体" w:hAnsi="宋体" w:cs="宋体"/>
              </w:rPr>
              <w:t>□通过</w:t>
            </w:r>
            <w:r>
              <w:rPr>
                <w:rFonts w:ascii="宋体" w:hAnsi="宋体" w:cs="宋体"/>
              </w:rPr>
              <w:t xml:space="preserve"> </w:t>
            </w:r>
          </w:p>
          <w:p>
            <w:pPr>
              <w:adjustRightInd w:val="0"/>
              <w:snapToGrid w:val="0"/>
              <w:spacing w:line="360" w:lineRule="auto"/>
              <w:rPr>
                <w:rFonts w:ascii="宋体" w:hAnsi="宋体"/>
              </w:rPr>
            </w:pPr>
            <w:r>
              <w:rPr>
                <w:rFonts w:hint="eastAsia" w:ascii="宋体" w:hAnsi="宋体" w:cs="宋体"/>
              </w:rPr>
              <w:t>□不通过</w:t>
            </w:r>
          </w:p>
        </w:tc>
        <w:tc>
          <w:tcPr>
            <w:tcW w:w="2611" w:type="dxa"/>
            <w:vAlign w:val="center"/>
          </w:tcPr>
          <w:p>
            <w:pPr>
              <w:adjustRightInd w:val="0"/>
              <w:snapToGrid w:val="0"/>
              <w:spacing w:line="360" w:lineRule="auto"/>
              <w:rPr>
                <w:rFonts w:ascii="宋体" w:hAnsi="宋体"/>
              </w:rPr>
            </w:pPr>
            <w:r>
              <w:rPr>
                <w:rFonts w:hint="eastAsia" w:ascii="宋体" w:hAnsi="宋体" w:cs="宋体"/>
              </w:rPr>
              <w:t>第（</w:t>
            </w:r>
            <w:r>
              <w:rPr>
                <w:rFonts w:ascii="宋体" w:hAnsi="宋体" w:cs="宋体"/>
              </w:rPr>
              <w:t xml:space="preserve"> </w:t>
            </w:r>
            <w:r>
              <w:rPr>
                <w:rFonts w:hint="eastAsia" w:ascii="宋体" w:hAnsi="宋体" w:cs="宋体"/>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pPr>
              <w:spacing w:line="240" w:lineRule="exact"/>
              <w:rPr>
                <w:rFonts w:ascii="宋体" w:hAnsi="宋体" w:cs="宋体"/>
                <w:color w:val="000000"/>
              </w:rPr>
            </w:pPr>
          </w:p>
        </w:tc>
        <w:tc>
          <w:tcPr>
            <w:tcW w:w="3408" w:type="dxa"/>
            <w:vAlign w:val="center"/>
          </w:tcPr>
          <w:p>
            <w:pPr>
              <w:spacing w:line="240" w:lineRule="exact"/>
              <w:rPr>
                <w:rFonts w:ascii="宋体" w:hAnsi="宋体" w:cs="宋体"/>
                <w:color w:val="000000"/>
              </w:rPr>
            </w:pPr>
            <w:r>
              <w:rPr>
                <w:rFonts w:hint="eastAsia" w:ascii="宋体" w:hAnsi="宋体" w:cs="宋体"/>
                <w:color w:val="000000"/>
              </w:rPr>
              <w:t>8、不存在投标文件的有效期不满足采购文件要求情形</w:t>
            </w:r>
          </w:p>
        </w:tc>
        <w:tc>
          <w:tcPr>
            <w:tcW w:w="1270" w:type="dxa"/>
            <w:vAlign w:val="center"/>
          </w:tcPr>
          <w:p>
            <w:pPr>
              <w:spacing w:line="240" w:lineRule="exact"/>
              <w:rPr>
                <w:rFonts w:ascii="宋体" w:hAnsi="宋体" w:cs="宋体"/>
                <w:color w:val="000000"/>
              </w:rPr>
            </w:pPr>
            <w:r>
              <w:rPr>
                <w:rFonts w:hint="eastAsia" w:ascii="宋体" w:hAnsi="宋体" w:cs="宋体"/>
                <w:color w:val="000000"/>
              </w:rPr>
              <w:t xml:space="preserve">□通过 </w:t>
            </w:r>
          </w:p>
          <w:p>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pPr>
              <w:spacing w:line="240" w:lineRule="exact"/>
              <w:rPr>
                <w:rFonts w:ascii="宋体" w:hAnsi="宋体" w:cs="宋体"/>
                <w:color w:val="000000"/>
              </w:rPr>
            </w:pPr>
            <w:r>
              <w:rPr>
                <w:rFonts w:hint="eastAsia" w:ascii="宋体" w:hAnsi="宋体" w:cs="宋体"/>
                <w:color w:val="000000"/>
              </w:rPr>
              <w:t>第（ ）页</w:t>
            </w:r>
          </w:p>
        </w:tc>
      </w:tr>
    </w:tbl>
    <w:p>
      <w:pPr>
        <w:snapToGrid w:val="0"/>
        <w:rPr>
          <w:rFonts w:ascii="宋体" w:hAnsi="宋体" w:cs="宋体"/>
          <w:b/>
          <w:color w:val="000000"/>
          <w:szCs w:val="21"/>
        </w:rPr>
      </w:pPr>
      <w:r>
        <w:rPr>
          <w:rFonts w:hint="eastAsia" w:ascii="宋体" w:hAnsi="宋体" w:cs="宋体"/>
          <w:b/>
          <w:color w:val="000000"/>
          <w:szCs w:val="21"/>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pPr>
        <w:snapToGrid w:val="0"/>
        <w:rPr>
          <w:rFonts w:ascii="宋体" w:hAnsi="宋体" w:cs="宋体"/>
          <w:b/>
          <w:color w:val="000000"/>
          <w:szCs w:val="21"/>
        </w:rPr>
      </w:pPr>
    </w:p>
    <w:p>
      <w:pPr>
        <w:snapToGrid w:val="0"/>
        <w:rPr>
          <w:rFonts w:ascii="宋体" w:hAnsi="宋体" w:cs="宋体"/>
          <w:b/>
          <w:color w:val="000000"/>
          <w:szCs w:val="21"/>
        </w:rPr>
      </w:pPr>
    </w:p>
    <w:p>
      <w:pPr>
        <w:snapToGrid w:val="0"/>
        <w:rPr>
          <w:rFonts w:ascii="宋体" w:hAnsi="宋体" w:cs="宋体"/>
          <w:b/>
          <w:color w:val="000000"/>
          <w:szCs w:val="21"/>
        </w:rPr>
      </w:pPr>
      <w:r>
        <w:rPr>
          <w:rFonts w:hint="eastAsia" w:ascii="宋体" w:hAnsi="宋体" w:cs="宋体"/>
          <w:b/>
          <w:color w:val="000000"/>
          <w:szCs w:val="21"/>
        </w:rPr>
        <w:br w:type="page"/>
      </w:r>
    </w:p>
    <w:p>
      <w:pPr>
        <w:snapToGrid w:val="0"/>
        <w:rPr>
          <w:rFonts w:ascii="宋体" w:hAnsi="宋体" w:cs="宋体"/>
          <w:b/>
          <w:color w:val="000000"/>
          <w:szCs w:val="21"/>
        </w:rPr>
      </w:pPr>
      <w:r>
        <w:rPr>
          <w:rFonts w:hint="eastAsia" w:ascii="宋体" w:hAnsi="宋体" w:cs="宋体"/>
          <w:b/>
          <w:color w:val="000000"/>
          <w:szCs w:val="21"/>
        </w:rPr>
        <w:t>（2）供应商响应表格式</w:t>
      </w:r>
    </w:p>
    <w:p>
      <w:pPr>
        <w:jc w:val="center"/>
        <w:rPr>
          <w:rFonts w:ascii="宋体" w:hAnsi="宋体" w:cs="宋体"/>
          <w:b/>
          <w:color w:val="000000"/>
          <w:sz w:val="32"/>
          <w:szCs w:val="32"/>
        </w:rPr>
      </w:pPr>
      <w:r>
        <w:rPr>
          <w:rFonts w:hint="eastAsia" w:ascii="宋体" w:hAnsi="宋体" w:cs="宋体"/>
          <w:b/>
          <w:color w:val="000000"/>
          <w:sz w:val="32"/>
          <w:szCs w:val="32"/>
        </w:rPr>
        <w:t>供应商响应表</w:t>
      </w:r>
    </w:p>
    <w:p>
      <w:pPr>
        <w:rPr>
          <w:rFonts w:ascii="宋体" w:hAnsi="宋体" w:cs="宋体"/>
          <w:color w:val="000000"/>
        </w:rPr>
      </w:pPr>
    </w:p>
    <w:p>
      <w:pPr>
        <w:rPr>
          <w:rFonts w:ascii="宋体" w:hAnsi="宋体" w:cs="宋体"/>
          <w:color w:val="000000"/>
        </w:rPr>
      </w:pPr>
      <w:r>
        <w:rPr>
          <w:rFonts w:hint="eastAsia" w:ascii="宋体" w:hAnsi="宋体" w:cs="宋体"/>
          <w:color w:val="000000"/>
        </w:rPr>
        <w:t>采购项目：</w:t>
      </w:r>
    </w:p>
    <w:p>
      <w:pPr>
        <w:rPr>
          <w:rFonts w:ascii="宋体" w:hAnsi="宋体" w:cs="宋体"/>
          <w:color w:val="000000"/>
        </w:rPr>
      </w:pPr>
      <w:r>
        <w:rPr>
          <w:rFonts w:hint="eastAsia" w:ascii="宋体" w:hAnsi="宋体" w:cs="宋体"/>
          <w:color w:val="000000"/>
        </w:rPr>
        <w:t>项目编号：</w:t>
      </w:r>
    </w:p>
    <w:p>
      <w:pPr>
        <w:rPr>
          <w:rFonts w:ascii="宋体" w:hAnsi="宋体" w:cs="宋体"/>
          <w:color w:val="000000"/>
        </w:rPr>
      </w:pPr>
      <w:r>
        <w:rPr>
          <w:rFonts w:hint="eastAsia" w:ascii="宋体" w:hAnsi="宋体" w:cs="宋体"/>
          <w:color w:val="000000"/>
        </w:rPr>
        <w:t>子包号：</w:t>
      </w:r>
    </w:p>
    <w:tbl>
      <w:tblPr>
        <w:tblStyle w:val="49"/>
        <w:tblW w:w="0" w:type="auto"/>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评审内容</w:t>
            </w: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自评分</w:t>
            </w: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见（  ）页</w:t>
            </w:r>
          </w:p>
        </w:tc>
      </w:tr>
    </w:tbl>
    <w:p>
      <w:pPr>
        <w:rPr>
          <w:rFonts w:ascii="宋体" w:hAnsi="宋体" w:cs="宋体"/>
          <w:b/>
          <w:color w:val="000000"/>
        </w:rPr>
      </w:pPr>
      <w:r>
        <w:rPr>
          <w:rFonts w:hint="eastAsia" w:ascii="宋体" w:hAnsi="宋体" w:cs="宋体"/>
          <w:b/>
          <w:color w:val="000000"/>
        </w:rPr>
        <w:t>注：根据评分标准内容逐条填写并自行评分。</w:t>
      </w:r>
    </w:p>
    <w:p>
      <w:pPr>
        <w:rPr>
          <w:rFonts w:ascii="宋体" w:hAnsi="宋体" w:cs="宋体"/>
          <w:color w:val="000000"/>
        </w:rPr>
      </w:pPr>
    </w:p>
    <w:p>
      <w:pPr>
        <w:ind w:firstLine="6090" w:firstLineChars="2900"/>
        <w:rPr>
          <w:rFonts w:ascii="宋体" w:hAnsi="宋体" w:cs="宋体"/>
          <w:color w:val="000000"/>
        </w:rPr>
      </w:pPr>
      <w:r>
        <w:rPr>
          <w:rFonts w:hint="eastAsia" w:ascii="宋体" w:hAnsi="宋体" w:cs="宋体"/>
          <w:color w:val="000000"/>
        </w:rPr>
        <w:t>供应商名称：</w:t>
      </w:r>
    </w:p>
    <w:p>
      <w:pPr>
        <w:rPr>
          <w:rFonts w:ascii="宋体" w:hAnsi="宋体" w:cs="宋体"/>
          <w:color w:val="000000"/>
        </w:rPr>
      </w:pPr>
    </w:p>
    <w:p>
      <w:pPr>
        <w:ind w:firstLine="6090" w:firstLineChars="2900"/>
        <w:rPr>
          <w:rFonts w:ascii="宋体" w:hAnsi="宋体" w:cs="宋体"/>
          <w:color w:val="000000"/>
        </w:rPr>
      </w:pPr>
      <w:r>
        <w:rPr>
          <w:rFonts w:hint="eastAsia" w:ascii="宋体" w:hAnsi="宋体" w:cs="宋体"/>
          <w:color w:val="000000"/>
        </w:rPr>
        <w:t>年  月  日</w:t>
      </w:r>
    </w:p>
    <w:p>
      <w:pPr>
        <w:snapToGrid w:val="0"/>
        <w:spacing w:before="120" w:beforeLines="50" w:after="50"/>
        <w:rPr>
          <w:rFonts w:ascii="宋体" w:hAnsi="宋体"/>
          <w:color w:val="000000"/>
          <w:szCs w:val="21"/>
        </w:rPr>
      </w:pPr>
      <w:r>
        <w:rPr>
          <w:rFonts w:ascii="宋体" w:hAnsi="宋体" w:cs="宋体"/>
          <w:b/>
          <w:color w:val="000000"/>
          <w:szCs w:val="21"/>
        </w:rPr>
        <w:br w:type="page"/>
      </w:r>
      <w:r>
        <w:rPr>
          <w:rFonts w:hint="eastAsia" w:ascii="宋体" w:hAnsi="宋体" w:cs="宋体"/>
          <w:b/>
          <w:color w:val="000000"/>
          <w:szCs w:val="21"/>
        </w:rPr>
        <w:t>（3）</w:t>
      </w:r>
      <w:r>
        <w:rPr>
          <w:rFonts w:hint="eastAsia" w:ascii="宋体" w:hAnsi="宋体"/>
          <w:b/>
          <w:bCs/>
          <w:color w:val="000000"/>
          <w:szCs w:val="21"/>
        </w:rPr>
        <w:t>投标函格式</w:t>
      </w:r>
    </w:p>
    <w:p>
      <w:pPr>
        <w:jc w:val="center"/>
        <w:rPr>
          <w:rFonts w:ascii="宋体" w:hAnsi="宋体" w:cs="宋体"/>
          <w:b/>
          <w:color w:val="000000"/>
          <w:sz w:val="32"/>
          <w:szCs w:val="32"/>
        </w:rPr>
      </w:pPr>
      <w:r>
        <w:rPr>
          <w:rFonts w:hint="eastAsia" w:ascii="宋体" w:hAnsi="宋体" w:cs="宋体"/>
          <w:b/>
          <w:color w:val="000000"/>
          <w:sz w:val="32"/>
          <w:szCs w:val="32"/>
        </w:rPr>
        <w:t>投 标 函</w:t>
      </w:r>
    </w:p>
    <w:p>
      <w:pPr>
        <w:snapToGrid w:val="0"/>
        <w:spacing w:before="120" w:beforeLines="50" w:after="50"/>
        <w:jc w:val="center"/>
        <w:rPr>
          <w:rFonts w:ascii="宋体" w:hAnsi="宋体"/>
          <w:b/>
          <w:color w:val="000000"/>
          <w:szCs w:val="21"/>
        </w:rPr>
      </w:pPr>
    </w:p>
    <w:p>
      <w:pPr>
        <w:snapToGrid w:val="0"/>
        <w:spacing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                  </w:t>
      </w:r>
      <w:r>
        <w:rPr>
          <w:rFonts w:hint="eastAsia" w:ascii="宋体" w:hAnsi="宋体"/>
          <w:color w:val="000000"/>
          <w:szCs w:val="21"/>
        </w:rPr>
        <w:t>（招标采购单位名称）：</w:t>
      </w:r>
    </w:p>
    <w:p>
      <w:pPr>
        <w:snapToGrid w:val="0"/>
        <w:spacing w:line="360" w:lineRule="auto"/>
        <w:ind w:firstLine="480"/>
        <w:rPr>
          <w:rFonts w:ascii="宋体" w:hAnsi="宋体"/>
          <w:color w:val="000000"/>
          <w:szCs w:val="21"/>
        </w:rPr>
      </w:pPr>
      <w:r>
        <w:rPr>
          <w:rFonts w:hint="eastAsia" w:ascii="宋体" w:hAnsi="宋体"/>
          <w:color w:val="000000"/>
          <w:szCs w:val="21"/>
        </w:rPr>
        <w:t>根据贵方为</w:t>
      </w:r>
      <w:r>
        <w:rPr>
          <w:rFonts w:ascii="宋体" w:hAnsi="宋体"/>
          <w:color w:val="000000"/>
          <w:szCs w:val="21"/>
          <w:u w:val="single"/>
        </w:rPr>
        <w:t xml:space="preserve">                       </w:t>
      </w:r>
      <w:r>
        <w:rPr>
          <w:rFonts w:hint="eastAsia" w:ascii="宋体" w:hAnsi="宋体"/>
          <w:color w:val="000000"/>
          <w:szCs w:val="21"/>
        </w:rPr>
        <w:t>项目的采购公告</w:t>
      </w:r>
      <w:r>
        <w:rPr>
          <w:rFonts w:ascii="宋体" w:hAnsi="宋体"/>
          <w:color w:val="000000"/>
          <w:szCs w:val="21"/>
        </w:rPr>
        <w:t>/</w:t>
      </w:r>
      <w:r>
        <w:rPr>
          <w:rFonts w:hint="eastAsia" w:ascii="宋体" w:hAnsi="宋体"/>
          <w:color w:val="000000"/>
          <w:szCs w:val="21"/>
        </w:rPr>
        <w:t>投标邀请书（项目编号：</w:t>
      </w:r>
      <w:r>
        <w:rPr>
          <w:rFonts w:hint="eastAsia" w:ascii="宋体" w:hAnsi="宋体"/>
          <w:color w:val="000000"/>
          <w:szCs w:val="21"/>
          <w:u w:val="single"/>
        </w:rPr>
        <w:t xml:space="preserve">        </w:t>
      </w:r>
      <w:r>
        <w:rPr>
          <w:rFonts w:hint="eastAsia" w:ascii="宋体" w:hAnsi="宋体"/>
          <w:color w:val="000000"/>
          <w:szCs w:val="21"/>
        </w:rPr>
        <w:t>，子包号：</w:t>
      </w:r>
      <w:r>
        <w:rPr>
          <w:rFonts w:hint="eastAsia" w:ascii="宋体" w:hAnsi="宋体"/>
          <w:color w:val="000000"/>
          <w:szCs w:val="21"/>
          <w:u w:val="single"/>
        </w:rPr>
        <w:t xml:space="preserve">    </w:t>
      </w:r>
      <w:r>
        <w:rPr>
          <w:rFonts w:hint="eastAsia" w:ascii="宋体" w:hAnsi="宋体"/>
          <w:color w:val="000000"/>
          <w:szCs w:val="21"/>
        </w:rPr>
        <w:t>），签字代表</w:t>
      </w:r>
      <w:r>
        <w:rPr>
          <w:rFonts w:hint="eastAsia" w:ascii="宋体" w:hAnsi="宋体"/>
          <w:color w:val="000000"/>
          <w:szCs w:val="21"/>
          <w:u w:val="single"/>
        </w:rPr>
        <w:t xml:space="preserve">         </w:t>
      </w:r>
      <w:r>
        <w:rPr>
          <w:rFonts w:hint="eastAsia" w:ascii="宋体" w:hAnsi="宋体"/>
          <w:color w:val="000000"/>
          <w:szCs w:val="21"/>
        </w:rPr>
        <w:t>（全名）经正式授权并代表供应商</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（供应商名称）提交投标文件。</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据此函，签字代表宣布同意如下：</w:t>
      </w:r>
    </w:p>
    <w:p>
      <w:pPr>
        <w:snapToGri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.本投标有效期自开标日起90个日历日。</w:t>
      </w:r>
    </w:p>
    <w:p>
      <w:pPr>
        <w:snapToGri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.如中标，本投标文件至本项目合同履行完毕止均保持有效，本供应商将按“采购文件”及政府采购法律、法规的规定履行合同责任和义务。</w:t>
      </w:r>
    </w:p>
    <w:p>
      <w:pPr>
        <w:snapToGri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.供应商同意按照贵方要求提供与投标有关的一切数据或资料。</w:t>
      </w:r>
    </w:p>
    <w:p>
      <w:pPr>
        <w:snapToGrid w:val="0"/>
        <w:spacing w:line="360" w:lineRule="auto"/>
        <w:ind w:firstLine="420" w:firstLineChars="200"/>
        <w:rPr>
          <w:rFonts w:ascii="宋体" w:hAnsi="宋体" w:cs="宋体"/>
          <w:lang w:val="zh-CN"/>
        </w:rPr>
      </w:pPr>
      <w:r>
        <w:rPr>
          <w:rFonts w:hint="eastAsia" w:ascii="宋体" w:hAnsi="宋体"/>
          <w:szCs w:val="21"/>
        </w:rPr>
        <w:t>6.</w:t>
      </w:r>
      <w:r>
        <w:rPr>
          <w:rFonts w:hint="eastAsia" w:ascii="宋体" w:hAnsi="宋体" w:cs="宋体"/>
          <w:lang w:val="zh-CN"/>
        </w:rPr>
        <w:t>我们郑重声明：本投标文件提供的情况和文件完全是真实的。</w:t>
      </w:r>
    </w:p>
    <w:p>
      <w:pPr>
        <w:snapToGrid w:val="0"/>
        <w:spacing w:line="360" w:lineRule="auto"/>
        <w:ind w:firstLine="420" w:firstLineChars="200"/>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按照</w:t>
      </w:r>
      <w:r>
        <w:rPr>
          <w:rFonts w:hint="eastAsia" w:ascii="宋体" w:hAnsi="宋体" w:cs="宋体"/>
          <w:szCs w:val="21"/>
        </w:rPr>
        <w:t>采购</w:t>
      </w:r>
      <w:r>
        <w:rPr>
          <w:rFonts w:hint="eastAsia" w:ascii="宋体" w:hAnsi="宋体" w:cs="宋体"/>
          <w:szCs w:val="21"/>
          <w:lang w:val="zh-CN"/>
        </w:rPr>
        <w:t>文件的规定，在中标后向</w:t>
      </w:r>
      <w:r>
        <w:rPr>
          <w:rFonts w:hint="eastAsia" w:ascii="宋体" w:hAnsi="宋体" w:cs="宋体"/>
          <w:szCs w:val="21"/>
        </w:rPr>
        <w:t>采购代理机构</w:t>
      </w:r>
      <w:r>
        <w:rPr>
          <w:rFonts w:hint="eastAsia" w:ascii="宋体" w:hAnsi="宋体" w:cs="宋体"/>
          <w:szCs w:val="21"/>
          <w:lang w:val="zh-CN"/>
        </w:rPr>
        <w:t>一次性支付招标代理费。</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ascii="宋体" w:hAnsi="宋体"/>
          <w:color w:val="000000"/>
          <w:szCs w:val="21"/>
        </w:rPr>
        <w:t xml:space="preserve">__________   </w:t>
      </w:r>
      <w:r>
        <w:rPr>
          <w:rFonts w:hint="eastAsia" w:ascii="宋体" w:hAnsi="宋体"/>
          <w:color w:val="000000"/>
          <w:szCs w:val="21"/>
        </w:rPr>
        <w:t>电话：</w:t>
      </w:r>
      <w:r>
        <w:rPr>
          <w:rFonts w:ascii="宋体" w:hAnsi="宋体"/>
          <w:color w:val="000000"/>
          <w:szCs w:val="21"/>
        </w:rPr>
        <w:t>______________</w:t>
      </w:r>
    </w:p>
    <w:p>
      <w:pPr>
        <w:snapToGrid w:val="0"/>
        <w:spacing w:line="360" w:lineRule="auto"/>
        <w:rPr>
          <w:rFonts w:ascii="宋体" w:hAnsi="宋体"/>
          <w:color w:val="000000"/>
          <w:szCs w:val="21"/>
        </w:rPr>
      </w:pPr>
      <w:r>
        <w:rPr>
          <w:rFonts w:hint="eastAsia" w:ascii="宋体" w:hAnsi="宋体"/>
          <w:color w:val="000000"/>
          <w:szCs w:val="21"/>
        </w:rPr>
        <w:t>传真：</w:t>
      </w:r>
      <w:r>
        <w:rPr>
          <w:rFonts w:ascii="宋体" w:hAnsi="宋体"/>
          <w:color w:val="000000"/>
          <w:szCs w:val="21"/>
        </w:rPr>
        <w:t>______________</w:t>
      </w:r>
      <w:r>
        <w:rPr>
          <w:rFonts w:hint="eastAsia" w:ascii="宋体" w:hAnsi="宋体"/>
          <w:color w:val="000000"/>
          <w:szCs w:val="21"/>
        </w:rPr>
        <w:t>供应商代表姓名</w:t>
      </w:r>
      <w:r>
        <w:rPr>
          <w:rFonts w:ascii="宋体" w:hAnsi="宋体"/>
          <w:color w:val="000000"/>
          <w:szCs w:val="21"/>
        </w:rPr>
        <w:t xml:space="preserve"> ___________  </w:t>
      </w:r>
      <w:r>
        <w:rPr>
          <w:rFonts w:hint="eastAsia" w:ascii="宋体" w:hAnsi="宋体"/>
          <w:color w:val="000000"/>
          <w:szCs w:val="21"/>
        </w:rPr>
        <w:t>职务：</w:t>
      </w:r>
      <w:r>
        <w:rPr>
          <w:rFonts w:ascii="宋体" w:hAnsi="宋体"/>
          <w:color w:val="000000"/>
          <w:szCs w:val="21"/>
        </w:rPr>
        <w:t>______</w:t>
      </w:r>
      <w:r>
        <w:rPr>
          <w:rFonts w:ascii="宋体" w:hAnsi="宋体"/>
          <w:color w:val="000000"/>
          <w:szCs w:val="21"/>
          <w:u w:val="single"/>
        </w:rPr>
        <w:t xml:space="preserve"> </w:t>
      </w:r>
      <w:r>
        <w:rPr>
          <w:rFonts w:ascii="宋体" w:hAnsi="宋体"/>
          <w:color w:val="000000"/>
          <w:szCs w:val="21"/>
        </w:rPr>
        <w:t>_______</w:t>
      </w:r>
    </w:p>
    <w:p>
      <w:pPr>
        <w:snapToGrid w:val="0"/>
        <w:spacing w:line="360" w:lineRule="auto"/>
        <w:rPr>
          <w:rFonts w:ascii="宋体" w:hAnsi="宋体"/>
          <w:color w:val="000000"/>
          <w:szCs w:val="21"/>
        </w:rPr>
      </w:pPr>
      <w:r>
        <w:rPr>
          <w:rFonts w:hint="eastAsia" w:ascii="宋体" w:hAnsi="宋体"/>
          <w:color w:val="000000"/>
          <w:szCs w:val="21"/>
        </w:rPr>
        <w:t>供应商名称</w:t>
      </w:r>
      <w:r>
        <w:rPr>
          <w:rFonts w:ascii="宋体" w:hAnsi="宋体"/>
          <w:color w:val="000000"/>
          <w:szCs w:val="21"/>
        </w:rPr>
        <w:t>(</w:t>
      </w:r>
      <w:r>
        <w:rPr>
          <w:rFonts w:hint="eastAsia" w:ascii="宋体" w:hAnsi="宋体"/>
          <w:color w:val="000000"/>
          <w:szCs w:val="21"/>
        </w:rPr>
        <w:t>公章</w:t>
      </w:r>
      <w:r>
        <w:rPr>
          <w:rFonts w:ascii="宋体" w:hAnsi="宋体"/>
          <w:color w:val="000000"/>
          <w:szCs w:val="21"/>
        </w:rPr>
        <w:t>):___________________</w:t>
      </w:r>
    </w:p>
    <w:p>
      <w:pPr>
        <w:snapToGrid w:val="0"/>
        <w:spacing w:line="360" w:lineRule="auto"/>
        <w:rPr>
          <w:rFonts w:ascii="宋体" w:hAnsi="宋体"/>
          <w:color w:val="000000"/>
          <w:szCs w:val="21"/>
        </w:rPr>
      </w:pPr>
      <w:r>
        <w:rPr>
          <w:rFonts w:hint="eastAsia"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银行帐号：</w:t>
      </w:r>
      <w:r>
        <w:rPr>
          <w:rFonts w:ascii="宋体" w:hAnsi="宋体"/>
          <w:color w:val="000000"/>
          <w:szCs w:val="21"/>
          <w:u w:val="single"/>
        </w:rPr>
        <w:t xml:space="preserve">                    </w:t>
      </w:r>
      <w:r>
        <w:rPr>
          <w:rFonts w:ascii="宋体" w:hAnsi="宋体"/>
          <w:color w:val="000000"/>
          <w:szCs w:val="21"/>
        </w:rPr>
        <w:t xml:space="preserve"> </w:t>
      </w:r>
    </w:p>
    <w:p>
      <w:pPr>
        <w:snapToGrid w:val="0"/>
        <w:spacing w:before="50" w:after="120" w:afterLines="50"/>
        <w:rPr>
          <w:rFonts w:ascii="宋体" w:hAnsi="宋体"/>
          <w:color w:val="000000"/>
          <w:szCs w:val="21"/>
        </w:rPr>
      </w:pPr>
      <w:r>
        <w:rPr>
          <w:rFonts w:hint="eastAsia" w:ascii="宋体" w:hAnsi="宋体"/>
          <w:color w:val="000000"/>
          <w:szCs w:val="21"/>
        </w:rPr>
        <w:t>授权代表签字</w:t>
      </w:r>
      <w:r>
        <w:rPr>
          <w:rFonts w:ascii="宋体" w:hAnsi="宋体"/>
          <w:color w:val="000000"/>
          <w:szCs w:val="21"/>
        </w:rPr>
        <w:t xml:space="preserve">:___________                      </w:t>
      </w:r>
      <w:r>
        <w:rPr>
          <w:rFonts w:hint="eastAsia" w:ascii="宋体" w:hAnsi="宋体"/>
          <w:color w:val="000000"/>
          <w:szCs w:val="21"/>
        </w:rPr>
        <w:t>日期</w:t>
      </w:r>
      <w:r>
        <w:rPr>
          <w:rFonts w:ascii="宋体" w:hAnsi="宋体"/>
          <w:color w:val="000000"/>
          <w:szCs w:val="21"/>
        </w:rPr>
        <w:t>:_____</w:t>
      </w:r>
      <w:r>
        <w:rPr>
          <w:rFonts w:hint="eastAsia" w:ascii="宋体" w:hAnsi="宋体"/>
          <w:color w:val="000000"/>
          <w:szCs w:val="21"/>
        </w:rPr>
        <w:t>年</w:t>
      </w:r>
      <w:r>
        <w:rPr>
          <w:rFonts w:ascii="宋体" w:hAnsi="宋体"/>
          <w:color w:val="000000"/>
          <w:szCs w:val="21"/>
        </w:rPr>
        <w:t>___</w:t>
      </w:r>
      <w:r>
        <w:rPr>
          <w:rFonts w:hint="eastAsia" w:ascii="宋体" w:hAnsi="宋体"/>
          <w:color w:val="000000"/>
          <w:szCs w:val="21"/>
        </w:rPr>
        <w:t>月</w:t>
      </w:r>
      <w:r>
        <w:rPr>
          <w:rFonts w:ascii="宋体" w:hAnsi="宋体"/>
          <w:color w:val="000000"/>
          <w:szCs w:val="21"/>
        </w:rPr>
        <w:t>___</w:t>
      </w:r>
      <w:r>
        <w:rPr>
          <w:rFonts w:hint="eastAsia" w:ascii="宋体" w:hAnsi="宋体"/>
          <w:color w:val="000000"/>
          <w:szCs w:val="21"/>
        </w:rPr>
        <w:t>日</w:t>
      </w:r>
    </w:p>
    <w:p>
      <w:pPr>
        <w:widowControl/>
        <w:jc w:val="left"/>
        <w:rPr>
          <w:rFonts w:ascii="宋体" w:hAnsi="宋体" w:cs="宋体"/>
          <w:b/>
          <w:color w:val="000000"/>
          <w:szCs w:val="21"/>
        </w:rPr>
      </w:pPr>
    </w:p>
    <w:p>
      <w:pPr>
        <w:snapToGrid w:val="0"/>
        <w:rPr>
          <w:rFonts w:ascii="宋体" w:hAnsi="宋体" w:cs="宋体"/>
          <w:b/>
          <w:color w:val="000000"/>
          <w:szCs w:val="21"/>
        </w:rPr>
      </w:pPr>
      <w:r>
        <w:rPr>
          <w:rFonts w:ascii="宋体" w:hAnsi="宋体" w:cs="宋体"/>
          <w:b/>
          <w:color w:val="000000"/>
          <w:szCs w:val="21"/>
        </w:rPr>
        <w:br w:type="page"/>
      </w:r>
      <w:r>
        <w:rPr>
          <w:rFonts w:hint="eastAsia" w:ascii="宋体" w:hAnsi="宋体" w:cs="宋体"/>
          <w:b/>
          <w:color w:val="000000"/>
          <w:szCs w:val="21"/>
        </w:rPr>
        <w:t>（4）法定代表人身份证明格式</w:t>
      </w:r>
    </w:p>
    <w:p>
      <w:pPr>
        <w:jc w:val="center"/>
        <w:rPr>
          <w:rFonts w:ascii="宋体" w:hAnsi="宋体" w:cs="宋体"/>
          <w:b/>
          <w:color w:val="000000"/>
          <w:sz w:val="32"/>
          <w:szCs w:val="32"/>
        </w:rPr>
      </w:pPr>
    </w:p>
    <w:p>
      <w:pPr>
        <w:jc w:val="center"/>
        <w:rPr>
          <w:rFonts w:ascii="宋体" w:hAnsi="宋体" w:cs="宋体"/>
          <w:b/>
          <w:color w:val="000000"/>
          <w:sz w:val="32"/>
          <w:szCs w:val="32"/>
        </w:rPr>
      </w:pPr>
      <w:r>
        <w:rPr>
          <w:rFonts w:hint="eastAsia" w:ascii="宋体" w:hAnsi="宋体" w:cs="宋体"/>
          <w:b/>
          <w:color w:val="000000"/>
          <w:sz w:val="32"/>
          <w:szCs w:val="32"/>
        </w:rPr>
        <w:t>法定代表人身份证明</w:t>
      </w:r>
    </w:p>
    <w:p>
      <w:pPr>
        <w:spacing w:line="480" w:lineRule="auto"/>
        <w:ind w:firstLine="420" w:firstLineChars="200"/>
        <w:rPr>
          <w:rFonts w:ascii="宋体" w:hAnsi="宋体" w:cs="宋体"/>
          <w:color w:val="000000"/>
          <w:szCs w:val="21"/>
        </w:rPr>
      </w:pPr>
    </w:p>
    <w:p>
      <w:pPr>
        <w:spacing w:line="48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周岁  </w:t>
      </w: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_</w:t>
      </w:r>
    </w:p>
    <w:p>
      <w:pPr>
        <w:spacing w:line="480" w:lineRule="auto"/>
        <w:ind w:firstLine="420" w:firstLineChars="2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（供应商名称）的法定代表人。</w:t>
      </w:r>
    </w:p>
    <w:p>
      <w:pPr>
        <w:spacing w:line="480" w:lineRule="auto"/>
        <w:ind w:firstLine="840" w:firstLineChars="400"/>
        <w:rPr>
          <w:rFonts w:ascii="宋体" w:hAnsi="宋体" w:cs="宋体"/>
          <w:color w:val="000000"/>
          <w:szCs w:val="21"/>
        </w:rPr>
      </w:pPr>
      <w:r>
        <w:rPr>
          <w:rFonts w:hint="eastAsia" w:ascii="宋体" w:hAnsi="宋体" w:cs="宋体"/>
          <w:color w:val="000000"/>
          <w:szCs w:val="21"/>
        </w:rPr>
        <w:t>特此证明。</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wordWrap w:val="0"/>
        <w:spacing w:line="360" w:lineRule="auto"/>
        <w:jc w:val="right"/>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pPr>
        <w:spacing w:line="360" w:lineRule="auto"/>
        <w:ind w:firstLine="4515" w:firstLineChars="2150"/>
        <w:rPr>
          <w:rFonts w:ascii="宋体" w:hAnsi="宋体" w:cs="宋体"/>
          <w:color w:val="000000"/>
          <w:szCs w:val="21"/>
          <w:u w:val="single"/>
        </w:rPr>
      </w:pPr>
    </w:p>
    <w:p>
      <w:pPr>
        <w:spacing w:line="360" w:lineRule="auto"/>
        <w:ind w:firstLine="3675" w:firstLineChars="175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360" w:lineRule="auto"/>
        <w:rPr>
          <w:rFonts w:ascii="宋体" w:hAnsi="宋体" w:cs="宋体"/>
          <w:color w:val="000000"/>
          <w:sz w:val="24"/>
        </w:rPr>
      </w:pPr>
    </w:p>
    <w:p>
      <w:pPr>
        <w:spacing w:line="360" w:lineRule="auto"/>
        <w:rPr>
          <w:rFonts w:ascii="宋体" w:hAnsi="宋体" w:cs="宋体"/>
          <w:b/>
          <w:color w:val="000000"/>
          <w:szCs w:val="21"/>
        </w:rPr>
      </w:pPr>
    </w:p>
    <w:p>
      <w:pPr>
        <w:spacing w:line="360" w:lineRule="auto"/>
        <w:rPr>
          <w:rFonts w:ascii="宋体" w:hAnsi="宋体" w:cs="宋体"/>
          <w:b/>
          <w:color w:val="000000"/>
          <w:szCs w:val="21"/>
        </w:rPr>
      </w:pPr>
    </w:p>
    <w:p>
      <w:pPr>
        <w:snapToGrid w:val="0"/>
        <w:rPr>
          <w:rFonts w:ascii="宋体" w:hAnsi="宋体" w:cs="宋体"/>
          <w:b/>
          <w:color w:val="000000"/>
          <w:szCs w:val="21"/>
        </w:rPr>
      </w:pPr>
      <w:r>
        <w:rPr>
          <w:rFonts w:hint="eastAsia" w:ascii="宋体" w:hAnsi="宋体" w:cs="宋体"/>
          <w:b/>
          <w:color w:val="000000"/>
          <w:szCs w:val="21"/>
        </w:rPr>
        <w:t>附法定代表人身份证复印件（正反面）：</w:t>
      </w:r>
    </w:p>
    <w:p>
      <w:pPr>
        <w:jc w:val="center"/>
        <w:rPr>
          <w:rFonts w:ascii="宋体" w:hAnsi="宋体" w:cs="宋体"/>
          <w:b/>
          <w:color w:val="000000"/>
          <w:szCs w:val="21"/>
        </w:rPr>
      </w:pPr>
      <w:r>
        <w:rPr>
          <w:rFonts w:hint="eastAsia" w:ascii="宋体" w:hAnsi="宋体" w:cs="宋体"/>
          <w:b/>
          <w:color w:val="000000"/>
          <w:szCs w:val="21"/>
        </w:rPr>
        <w:br w:type="page"/>
      </w:r>
    </w:p>
    <w:p>
      <w:pPr>
        <w:snapToGrid w:val="0"/>
        <w:rPr>
          <w:rFonts w:ascii="宋体" w:hAnsi="宋体" w:cs="宋体"/>
          <w:b/>
          <w:color w:val="000000"/>
          <w:szCs w:val="21"/>
        </w:rPr>
      </w:pPr>
      <w:r>
        <w:rPr>
          <w:rFonts w:hint="eastAsia" w:ascii="宋体" w:hAnsi="宋体" w:cs="宋体"/>
          <w:b/>
          <w:color w:val="000000"/>
          <w:szCs w:val="21"/>
        </w:rPr>
        <w:t>（5）法定代表人授权委托书格式</w:t>
      </w:r>
    </w:p>
    <w:p>
      <w:pPr>
        <w:jc w:val="center"/>
        <w:rPr>
          <w:rFonts w:ascii="宋体" w:hAnsi="宋体" w:cs="宋体"/>
          <w:b/>
          <w:color w:val="000000"/>
          <w:szCs w:val="21"/>
        </w:rPr>
      </w:pPr>
    </w:p>
    <w:p>
      <w:pPr>
        <w:jc w:val="center"/>
        <w:rPr>
          <w:rFonts w:ascii="宋体" w:hAnsi="宋体" w:cs="宋体"/>
          <w:b/>
          <w:color w:val="000000"/>
          <w:sz w:val="32"/>
          <w:szCs w:val="32"/>
        </w:rPr>
      </w:pPr>
      <w:r>
        <w:rPr>
          <w:rFonts w:hint="eastAsia" w:ascii="宋体" w:hAnsi="宋体" w:cs="宋体"/>
          <w:b/>
          <w:color w:val="000000"/>
          <w:sz w:val="32"/>
          <w:szCs w:val="32"/>
        </w:rPr>
        <w:t>法定代表人授权委托书</w:t>
      </w:r>
    </w:p>
    <w:p>
      <w:pPr>
        <w:jc w:val="center"/>
        <w:rPr>
          <w:rFonts w:ascii="宋体" w:hAnsi="宋体" w:cs="宋体"/>
          <w:b/>
          <w:color w:val="000000"/>
          <w:sz w:val="32"/>
          <w:szCs w:val="32"/>
        </w:rPr>
      </w:pPr>
      <w:r>
        <w:rPr>
          <w:rFonts w:hint="eastAsia" w:ascii="宋体" w:hAnsi="宋体" w:cs="宋体"/>
          <w:bCs/>
          <w:color w:val="000000"/>
          <w:sz w:val="24"/>
        </w:rPr>
        <w:t>（法定代表人来投标的，此表不用）</w:t>
      </w:r>
    </w:p>
    <w:p>
      <w:pPr>
        <w:snapToGrid w:val="0"/>
        <w:spacing w:line="360" w:lineRule="auto"/>
        <w:rPr>
          <w:rFonts w:ascii="宋体" w:hAnsi="宋体" w:cs="宋体"/>
          <w:bCs/>
          <w:color w:val="000000"/>
          <w:sz w:val="24"/>
        </w:rPr>
      </w:pPr>
    </w:p>
    <w:p>
      <w:pPr>
        <w:snapToGrid w:val="0"/>
        <w:spacing w:line="360" w:lineRule="auto"/>
        <w:rPr>
          <w:rFonts w:ascii="宋体" w:hAnsi="宋体" w:cs="宋体"/>
          <w:color w:val="000000"/>
          <w:szCs w:val="21"/>
        </w:rPr>
      </w:pPr>
      <w:r>
        <w:rPr>
          <w:rFonts w:hint="eastAsia" w:ascii="宋体" w:hAnsi="宋体" w:cs="宋体"/>
          <w:bCs/>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（采购单位名称）</w:t>
      </w:r>
      <w:r>
        <w:rPr>
          <w:rFonts w:hint="eastAsia" w:ascii="宋体" w:hAnsi="宋体" w:cs="宋体"/>
          <w:b/>
          <w:bCs/>
          <w:color w:val="000000"/>
          <w:szCs w:val="21"/>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 xml:space="preserve">（供应商名称）的法定代表人，现授权委托本单位在职职工 </w:t>
      </w:r>
      <w:r>
        <w:rPr>
          <w:rFonts w:hint="eastAsia" w:ascii="宋体" w:hAnsi="宋体" w:cs="宋体"/>
          <w:color w:val="000000"/>
          <w:szCs w:val="21"/>
          <w:u w:val="single"/>
        </w:rPr>
        <w:t xml:space="preserve">           </w:t>
      </w:r>
      <w:r>
        <w:rPr>
          <w:rFonts w:hint="eastAsia" w:ascii="宋体" w:hAnsi="宋体" w:cs="宋体"/>
          <w:color w:val="000000"/>
          <w:szCs w:val="21"/>
        </w:rPr>
        <w:t>（姓名）以我方的名义参加</w:t>
      </w:r>
      <w:r>
        <w:rPr>
          <w:rFonts w:hint="eastAsia" w:ascii="宋体" w:hAnsi="宋体" w:cs="宋体"/>
          <w:color w:val="000000"/>
          <w:szCs w:val="21"/>
          <w:u w:val="single"/>
        </w:rPr>
        <w:t xml:space="preserve">                       政府采购 </w:t>
      </w:r>
      <w:r>
        <w:rPr>
          <w:rFonts w:hint="eastAsia" w:ascii="宋体" w:hAnsi="宋体" w:cs="宋体"/>
          <w:color w:val="000000"/>
          <w:szCs w:val="21"/>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我方对授权代表的签名事项负全部责任。</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在撤销授权的书面通知以前，本授权书一直有效。授权代表在授权书有效期内签署的所有文件不因授权的撤销而失效。</w:t>
      </w:r>
    </w:p>
    <w:p>
      <w:pPr>
        <w:snapToGrid w:val="0"/>
        <w:spacing w:line="360" w:lineRule="auto"/>
        <w:ind w:firstLine="480"/>
        <w:rPr>
          <w:rFonts w:ascii="宋体" w:hAnsi="宋体" w:cs="宋体"/>
          <w:color w:val="000000"/>
          <w:szCs w:val="21"/>
        </w:rPr>
      </w:pPr>
      <w:r>
        <w:rPr>
          <w:rFonts w:hint="eastAsia" w:ascii="宋体" w:hAnsi="宋体" w:cs="宋体"/>
          <w:color w:val="000000"/>
          <w:szCs w:val="21"/>
        </w:rPr>
        <w:t>授权代表无转委托权，特此委托。</w:t>
      </w:r>
    </w:p>
    <w:p>
      <w:pPr>
        <w:snapToGrid w:val="0"/>
        <w:spacing w:line="360" w:lineRule="auto"/>
        <w:rPr>
          <w:rFonts w:ascii="宋体" w:hAnsi="宋体" w:cs="宋体"/>
          <w:color w:val="000000"/>
          <w:szCs w:val="21"/>
        </w:rPr>
      </w:pPr>
    </w:p>
    <w:p>
      <w:pPr>
        <w:snapToGrid w:val="0"/>
        <w:spacing w:line="360" w:lineRule="auto"/>
        <w:rPr>
          <w:rFonts w:ascii="宋体" w:hAnsi="宋体" w:cs="宋体"/>
          <w:color w:val="000000"/>
          <w:szCs w:val="21"/>
        </w:rPr>
      </w:pPr>
    </w:p>
    <w:p>
      <w:pPr>
        <w:snapToGrid w:val="0"/>
        <w:spacing w:line="360" w:lineRule="auto"/>
        <w:rPr>
          <w:rFonts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法定代表人签名：</w:t>
      </w:r>
      <w:r>
        <w:rPr>
          <w:rFonts w:hint="eastAsia" w:ascii="宋体" w:hAnsi="宋体" w:cs="宋体"/>
          <w:color w:val="000000"/>
          <w:szCs w:val="21"/>
          <w:u w:val="single"/>
        </w:rPr>
        <w:t xml:space="preserve">          </w:t>
      </w:r>
    </w:p>
    <w:p>
      <w:pPr>
        <w:snapToGrid w:val="0"/>
        <w:spacing w:line="360" w:lineRule="auto"/>
        <w:ind w:firstLine="840" w:firstLineChars="400"/>
        <w:rPr>
          <w:rFonts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 xml:space="preserve">                          职务：</w:t>
      </w:r>
      <w:r>
        <w:rPr>
          <w:rFonts w:hint="eastAsia" w:ascii="宋体" w:hAnsi="宋体" w:cs="宋体"/>
          <w:color w:val="000000"/>
          <w:szCs w:val="21"/>
          <w:u w:val="single"/>
        </w:rPr>
        <w:t xml:space="preserve">           </w:t>
      </w:r>
    </w:p>
    <w:p>
      <w:pPr>
        <w:snapToGrid w:val="0"/>
        <w:spacing w:line="360" w:lineRule="auto"/>
        <w:rPr>
          <w:rFonts w:ascii="宋体" w:hAnsi="宋体" w:cs="宋体"/>
          <w:color w:val="000000"/>
          <w:szCs w:val="21"/>
        </w:rPr>
      </w:pPr>
      <w:r>
        <w:rPr>
          <w:rFonts w:hint="eastAsia" w:ascii="宋体" w:hAnsi="宋体" w:cs="宋体"/>
          <w:color w:val="000000"/>
          <w:szCs w:val="21"/>
        </w:rPr>
        <w:t>授权代表身份证号码：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line="360" w:lineRule="auto"/>
        <w:rPr>
          <w:rFonts w:ascii="宋体" w:hAnsi="宋体" w:cs="宋体"/>
          <w:color w:val="000000"/>
          <w:szCs w:val="21"/>
        </w:rPr>
      </w:pPr>
      <w:r>
        <w:rPr>
          <w:rFonts w:hint="eastAsia" w:ascii="宋体" w:hAnsi="宋体" w:cs="宋体"/>
          <w:color w:val="000000"/>
          <w:szCs w:val="21"/>
        </w:rPr>
        <w:t xml:space="preserve">                                    </w:t>
      </w:r>
    </w:p>
    <w:p>
      <w:pPr>
        <w:snapToGrid w:val="0"/>
        <w:spacing w:line="360" w:lineRule="auto"/>
        <w:rPr>
          <w:rFonts w:ascii="宋体" w:hAnsi="宋体" w:cs="宋体"/>
          <w:color w:val="000000"/>
          <w:szCs w:val="21"/>
        </w:rPr>
      </w:pPr>
    </w:p>
    <w:p>
      <w:pPr>
        <w:snapToGrid w:val="0"/>
        <w:spacing w:line="360" w:lineRule="auto"/>
        <w:ind w:firstLine="4830" w:firstLineChars="2300"/>
        <w:rPr>
          <w:rFonts w:ascii="宋体" w:hAnsi="宋体" w:cs="宋体"/>
          <w:color w:val="000000"/>
          <w:szCs w:val="21"/>
        </w:rPr>
      </w:pPr>
      <w:r>
        <w:rPr>
          <w:rFonts w:hint="eastAsia" w:ascii="宋体" w:hAnsi="宋体" w:cs="宋体"/>
          <w:color w:val="000000"/>
          <w:szCs w:val="21"/>
        </w:rPr>
        <w:t>供应商公章：</w:t>
      </w:r>
    </w:p>
    <w:p>
      <w:pPr>
        <w:snapToGrid w:val="0"/>
        <w:spacing w:line="360" w:lineRule="auto"/>
        <w:ind w:firstLine="4830" w:firstLineChars="2300"/>
        <w:rPr>
          <w:rFonts w:ascii="宋体" w:hAnsi="宋体" w:cs="宋体"/>
          <w:color w:val="000000"/>
          <w:szCs w:val="21"/>
        </w:rPr>
      </w:pPr>
    </w:p>
    <w:p>
      <w:pPr>
        <w:snapToGrid w:val="0"/>
        <w:spacing w:line="360" w:lineRule="auto"/>
        <w:jc w:val="center"/>
        <w:rPr>
          <w:rFonts w:ascii="宋体" w:hAnsi="宋体" w:cs="宋体"/>
          <w:color w:val="000000"/>
          <w:szCs w:val="21"/>
        </w:rPr>
      </w:pPr>
      <w:r>
        <w:rPr>
          <w:rFonts w:hint="eastAsia" w:ascii="宋体" w:hAnsi="宋体" w:cs="宋体"/>
          <w:color w:val="000000"/>
          <w:szCs w:val="21"/>
        </w:rPr>
        <w:t xml:space="preserve">                                        年    月    日</w:t>
      </w:r>
    </w:p>
    <w:p>
      <w:pPr>
        <w:spacing w:line="360" w:lineRule="auto"/>
        <w:rPr>
          <w:rFonts w:ascii="宋体" w:hAnsi="宋体" w:cs="宋体"/>
          <w:b/>
          <w:color w:val="000000"/>
          <w:szCs w:val="21"/>
        </w:rPr>
      </w:pPr>
    </w:p>
    <w:p>
      <w:pPr>
        <w:spacing w:line="360" w:lineRule="auto"/>
        <w:rPr>
          <w:rFonts w:ascii="宋体" w:hAnsi="宋体" w:cs="宋体"/>
          <w:b/>
          <w:color w:val="000000"/>
          <w:szCs w:val="21"/>
        </w:rPr>
      </w:pPr>
    </w:p>
    <w:p>
      <w:pPr>
        <w:snapToGrid w:val="0"/>
        <w:spacing w:before="50" w:after="50"/>
        <w:rPr>
          <w:rFonts w:ascii="宋体" w:hAnsi="宋体"/>
          <w:b/>
          <w:szCs w:val="21"/>
        </w:rPr>
      </w:pPr>
      <w:r>
        <w:rPr>
          <w:rFonts w:hint="eastAsia" w:ascii="宋体" w:hAnsi="宋体" w:cs="宋体"/>
          <w:b/>
          <w:color w:val="000000"/>
          <w:szCs w:val="21"/>
        </w:rPr>
        <w:t>附：</w:t>
      </w:r>
      <w:r>
        <w:rPr>
          <w:rFonts w:hint="eastAsia" w:ascii="宋体" w:hAnsi="宋体"/>
          <w:b/>
          <w:szCs w:val="21"/>
        </w:rPr>
        <w:t>授权代表身份证复印件（正反面）及开标日前近三个月内当地相关部门出具的社保证明。</w:t>
      </w:r>
    </w:p>
    <w:p>
      <w:pPr>
        <w:snapToGrid w:val="0"/>
        <w:rPr>
          <w:rFonts w:ascii="宋体" w:hAnsi="宋体" w:cs="宋体"/>
          <w:b/>
          <w:color w:val="000000"/>
          <w:szCs w:val="21"/>
        </w:rPr>
      </w:pPr>
    </w:p>
    <w:p>
      <w:pPr>
        <w:snapToGrid w:val="0"/>
        <w:rPr>
          <w:rFonts w:ascii="宋体" w:hAnsi="宋体" w:cs="宋体"/>
          <w:b/>
          <w:color w:val="000000"/>
          <w:szCs w:val="21"/>
        </w:rPr>
      </w:pPr>
    </w:p>
    <w:p>
      <w:pPr>
        <w:snapToGrid w:val="0"/>
        <w:rPr>
          <w:rFonts w:ascii="宋体" w:hAnsi="宋体" w:cs="宋体"/>
          <w:b/>
          <w:color w:val="000000"/>
          <w:szCs w:val="21"/>
        </w:rPr>
      </w:pPr>
    </w:p>
    <w:p>
      <w:pPr>
        <w:widowControl/>
        <w:jc w:val="left"/>
        <w:rPr>
          <w:rFonts w:ascii="宋体" w:hAnsi="宋体" w:cs="宋体"/>
          <w:b/>
          <w:color w:val="000000"/>
          <w:szCs w:val="21"/>
        </w:rPr>
      </w:pPr>
      <w:r>
        <w:rPr>
          <w:rFonts w:ascii="宋体" w:hAnsi="宋体" w:cs="宋体"/>
          <w:b/>
          <w:color w:val="000000"/>
          <w:szCs w:val="21"/>
        </w:rPr>
        <w:br w:type="page"/>
      </w:r>
    </w:p>
    <w:p>
      <w:pPr>
        <w:snapToGrid w:val="0"/>
        <w:rPr>
          <w:rFonts w:ascii="宋体" w:hAnsi="宋体" w:cs="宋体"/>
          <w:color w:val="000000"/>
        </w:rPr>
      </w:pPr>
      <w:r>
        <w:rPr>
          <w:rFonts w:hint="eastAsia" w:ascii="宋体" w:hAnsi="宋体" w:cs="宋体"/>
          <w:b/>
          <w:color w:val="000000"/>
          <w:szCs w:val="21"/>
        </w:rPr>
        <w:t>（6）服务（技术）条款偏离表格式</w:t>
      </w:r>
    </w:p>
    <w:p>
      <w:pPr>
        <w:widowControl/>
        <w:snapToGrid w:val="0"/>
        <w:spacing w:line="276" w:lineRule="auto"/>
        <w:jc w:val="center"/>
        <w:rPr>
          <w:rFonts w:ascii="宋体" w:hAnsi="宋体" w:cs="宋体"/>
          <w:b/>
          <w:kern w:val="0"/>
          <w:sz w:val="24"/>
          <w:szCs w:val="22"/>
        </w:rPr>
      </w:pP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服务（技术）条款偏离表</w:t>
      </w:r>
    </w:p>
    <w:p>
      <w:pPr>
        <w:widowControl/>
        <w:snapToGrid w:val="0"/>
        <w:spacing w:line="276" w:lineRule="auto"/>
        <w:jc w:val="left"/>
        <w:rPr>
          <w:rFonts w:ascii="宋体" w:hAnsi="宋体" w:cs="宋体"/>
          <w:kern w:val="0"/>
          <w:szCs w:val="21"/>
        </w:rPr>
      </w:pPr>
    </w:p>
    <w:p>
      <w:pPr>
        <w:rPr>
          <w:rFonts w:ascii="宋体" w:hAnsi="宋体" w:cs="宋体"/>
          <w:color w:val="000000"/>
        </w:rPr>
      </w:pPr>
      <w:r>
        <w:rPr>
          <w:rFonts w:hint="eastAsia" w:ascii="宋体" w:hAnsi="宋体" w:cs="宋体"/>
          <w:color w:val="000000"/>
        </w:rPr>
        <w:t>采购项目：</w:t>
      </w:r>
    </w:p>
    <w:p>
      <w:pPr>
        <w:rPr>
          <w:rFonts w:ascii="宋体" w:hAnsi="宋体" w:cs="宋体"/>
          <w:color w:val="000000"/>
        </w:rPr>
      </w:pPr>
      <w:r>
        <w:rPr>
          <w:rFonts w:hint="eastAsia" w:ascii="宋体" w:hAnsi="宋体" w:cs="宋体"/>
          <w:color w:val="000000"/>
        </w:rPr>
        <w:t>项目编号：</w:t>
      </w:r>
    </w:p>
    <w:p>
      <w:pPr>
        <w:rPr>
          <w:rFonts w:ascii="宋体" w:hAnsi="宋体" w:cs="宋体"/>
          <w:szCs w:val="21"/>
          <w:u w:val="single"/>
        </w:rPr>
      </w:pPr>
      <w:r>
        <w:rPr>
          <w:rFonts w:hint="eastAsia" w:ascii="宋体" w:hAnsi="宋体" w:cs="宋体"/>
          <w:color w:val="000000"/>
        </w:rPr>
        <w:t>子包号：</w:t>
      </w:r>
      <w:r>
        <w:rPr>
          <w:rFonts w:hint="eastAsia" w:ascii="宋体" w:hAnsi="宋体" w:cs="宋体"/>
          <w:kern w:val="0"/>
          <w:szCs w:val="21"/>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29"/>
        <w:gridCol w:w="3059"/>
        <w:gridCol w:w="1455"/>
        <w:gridCol w:w="279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left"/>
              <w:rPr>
                <w:rFonts w:ascii="宋体" w:hAnsi="宋体" w:cs="宋体"/>
                <w:szCs w:val="21"/>
              </w:rPr>
            </w:pPr>
            <w:r>
              <w:rPr>
                <w:rFonts w:hint="eastAsia" w:ascii="宋体" w:hAnsi="宋体" w:cs="宋体"/>
                <w:kern w:val="0"/>
                <w:szCs w:val="21"/>
              </w:rPr>
              <w:t>序号</w:t>
            </w:r>
          </w:p>
        </w:tc>
        <w:tc>
          <w:tcPr>
            <w:tcW w:w="30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ascii="宋体" w:hAnsi="宋体" w:cs="宋体"/>
                <w:szCs w:val="21"/>
              </w:rPr>
            </w:pPr>
            <w:r>
              <w:rPr>
                <w:rFonts w:hint="eastAsia" w:ascii="宋体" w:hAnsi="宋体" w:cs="宋体"/>
                <w:kern w:val="0"/>
                <w:szCs w:val="21"/>
              </w:rPr>
              <w:t>采购文件要求的服务（技术）</w:t>
            </w:r>
            <w:r>
              <w:rPr>
                <w:rFonts w:hint="eastAsia" w:ascii="宋体" w:hAnsi="宋体" w:cs="宋体"/>
                <w:kern w:val="0"/>
                <w:szCs w:val="21"/>
                <w:lang w:val="zh-CN"/>
              </w:rPr>
              <w:t>技术条款</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ascii="宋体" w:hAnsi="宋体" w:cs="宋体"/>
                <w:szCs w:val="21"/>
              </w:rPr>
            </w:pPr>
            <w:r>
              <w:rPr>
                <w:rFonts w:hint="eastAsia" w:ascii="宋体" w:hAnsi="宋体" w:cs="宋体"/>
                <w:kern w:val="0"/>
                <w:szCs w:val="21"/>
              </w:rPr>
              <w:t>投标文件的响应（偏离）情况</w:t>
            </w:r>
          </w:p>
        </w:tc>
        <w:tc>
          <w:tcPr>
            <w:tcW w:w="2796"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ascii="宋体" w:hAnsi="宋体" w:cs="宋体"/>
                <w:szCs w:val="21"/>
              </w:rPr>
            </w:pPr>
            <w:r>
              <w:rPr>
                <w:rFonts w:hint="eastAsia" w:ascii="宋体" w:hAnsi="宋体" w:cs="宋体"/>
                <w:kern w:val="0"/>
                <w:szCs w:val="21"/>
              </w:rPr>
              <w:t>供应商的承诺和说明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pPr>
              <w:widowControl/>
              <w:snapToGrid w:val="0"/>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2" w:hRule="atLeast"/>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pPr>
              <w:widowControl/>
              <w:snapToGrid w:val="0"/>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0" w:hRule="atLeast"/>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pPr>
              <w:widowControl/>
              <w:snapToGrid w:val="0"/>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pPr>
              <w:widowControl/>
              <w:snapToGrid w:val="0"/>
              <w:spacing w:line="276" w:lineRule="auto"/>
              <w:jc w:val="left"/>
              <w:rPr>
                <w:rFonts w:ascii="宋体" w:hAnsi="宋体" w:cs="宋体"/>
                <w:szCs w:val="21"/>
              </w:rPr>
            </w:pPr>
          </w:p>
        </w:tc>
      </w:tr>
    </w:tbl>
    <w:p>
      <w:pPr>
        <w:widowControl/>
        <w:spacing w:line="360" w:lineRule="auto"/>
        <w:jc w:val="left"/>
        <w:rPr>
          <w:rFonts w:ascii="宋体" w:hAnsi="宋体" w:cs="宋体"/>
          <w:szCs w:val="21"/>
        </w:rPr>
      </w:pPr>
      <w:r>
        <w:rPr>
          <w:rFonts w:hint="eastAsia" w:ascii="宋体" w:hAnsi="宋体" w:cs="宋体"/>
          <w:kern w:val="0"/>
          <w:szCs w:val="21"/>
        </w:rPr>
        <w:t xml:space="preserve">注：1、采购文件要求具体见采购文件“第二章  采购需求”中关于服务（技术）要求内容进行响应； </w:t>
      </w:r>
    </w:p>
    <w:p>
      <w:pPr>
        <w:widowControl/>
        <w:spacing w:line="360" w:lineRule="auto"/>
        <w:jc w:val="left"/>
        <w:rPr>
          <w:rFonts w:ascii="宋体" w:hAnsi="宋体" w:cs="宋体"/>
          <w:szCs w:val="21"/>
        </w:rPr>
      </w:pPr>
      <w:r>
        <w:rPr>
          <w:rFonts w:hint="eastAsia" w:ascii="宋体" w:hAnsi="宋体" w:cs="宋体"/>
          <w:kern w:val="0"/>
          <w:szCs w:val="21"/>
        </w:rPr>
        <w:t>2、若无偏离应在本表空白处醒目地注明“无服务（技术）条款偏离”的字样。</w:t>
      </w:r>
    </w:p>
    <w:p>
      <w:pPr>
        <w:widowControl/>
        <w:snapToGrid w:val="0"/>
        <w:spacing w:line="276" w:lineRule="auto"/>
        <w:jc w:val="left"/>
        <w:rPr>
          <w:rFonts w:ascii="宋体" w:hAnsi="宋体" w:cs="宋体"/>
          <w:szCs w:val="21"/>
        </w:rPr>
      </w:pPr>
    </w:p>
    <w:p>
      <w:pPr>
        <w:spacing w:line="360" w:lineRule="auto"/>
        <w:ind w:firstLine="4095" w:firstLineChars="1950"/>
        <w:rPr>
          <w:rFonts w:ascii="宋体" w:hAnsi="宋体" w:cs="宋体"/>
          <w:color w:val="000000"/>
        </w:rPr>
      </w:pPr>
    </w:p>
    <w:p>
      <w:pPr>
        <w:spacing w:line="360" w:lineRule="auto"/>
        <w:ind w:firstLine="4095" w:firstLineChars="1950"/>
        <w:rPr>
          <w:rFonts w:ascii="宋体" w:hAnsi="宋体" w:cs="宋体"/>
          <w:color w:val="000000"/>
        </w:rPr>
      </w:pPr>
    </w:p>
    <w:p>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pPr>
        <w:snapToGrid w:val="0"/>
        <w:ind w:firstLine="5460" w:firstLineChars="2600"/>
        <w:rPr>
          <w:rFonts w:ascii="宋体" w:hAnsi="宋体" w:cs="宋体"/>
          <w:b/>
          <w:color w:val="000000"/>
          <w:szCs w:val="21"/>
        </w:rPr>
      </w:pPr>
      <w:r>
        <w:rPr>
          <w:rFonts w:hint="eastAsia" w:ascii="宋体" w:hAnsi="宋体" w:cs="宋体"/>
          <w:color w:val="000000"/>
        </w:rPr>
        <w:t xml:space="preserve">日  期： </w:t>
      </w:r>
    </w:p>
    <w:p>
      <w:pPr>
        <w:snapToGrid w:val="0"/>
        <w:rPr>
          <w:rFonts w:ascii="宋体" w:hAnsi="宋体" w:cs="宋体"/>
          <w:b/>
          <w:color w:val="000000"/>
          <w:szCs w:val="21"/>
        </w:rPr>
      </w:pPr>
    </w:p>
    <w:p>
      <w:pPr>
        <w:snapToGrid w:val="0"/>
        <w:rPr>
          <w:rFonts w:ascii="宋体" w:hAnsi="宋体" w:cs="宋体"/>
          <w:b/>
          <w:color w:val="000000"/>
          <w:szCs w:val="21"/>
        </w:rPr>
      </w:pPr>
    </w:p>
    <w:p>
      <w:pPr>
        <w:widowControl/>
        <w:jc w:val="left"/>
        <w:rPr>
          <w:rFonts w:ascii="宋体" w:hAnsi="宋体" w:cs="宋体"/>
          <w:b/>
          <w:color w:val="000000"/>
          <w:szCs w:val="21"/>
        </w:rPr>
      </w:pPr>
      <w:r>
        <w:rPr>
          <w:rFonts w:ascii="宋体" w:hAnsi="宋体" w:cs="宋体"/>
          <w:b/>
          <w:color w:val="000000"/>
          <w:szCs w:val="21"/>
        </w:rPr>
        <w:br w:type="page"/>
      </w:r>
    </w:p>
    <w:p>
      <w:pPr>
        <w:snapToGrid w:val="0"/>
        <w:rPr>
          <w:rFonts w:ascii="宋体" w:hAnsi="宋体" w:cs="宋体"/>
          <w:b/>
          <w:color w:val="000000"/>
          <w:szCs w:val="21"/>
        </w:rPr>
      </w:pPr>
      <w:r>
        <w:rPr>
          <w:rFonts w:hint="eastAsia" w:ascii="宋体" w:hAnsi="宋体" w:cs="宋体"/>
          <w:b/>
          <w:color w:val="000000"/>
          <w:szCs w:val="21"/>
        </w:rPr>
        <w:t>（7）商务条款偏离表格式</w:t>
      </w:r>
    </w:p>
    <w:p>
      <w:pPr>
        <w:widowControl/>
        <w:snapToGrid w:val="0"/>
        <w:spacing w:line="276" w:lineRule="auto"/>
        <w:jc w:val="center"/>
        <w:rPr>
          <w:rFonts w:ascii="宋体" w:hAnsi="宋体" w:cs="宋体"/>
          <w:b/>
          <w:kern w:val="0"/>
          <w:sz w:val="24"/>
          <w:szCs w:val="22"/>
        </w:rPr>
      </w:pP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商务条款偏离表</w:t>
      </w:r>
    </w:p>
    <w:p>
      <w:pPr>
        <w:rPr>
          <w:rFonts w:ascii="宋体" w:hAnsi="宋体" w:cs="宋体"/>
          <w:color w:val="000000"/>
        </w:rPr>
      </w:pPr>
      <w:r>
        <w:rPr>
          <w:rFonts w:hint="eastAsia" w:ascii="宋体" w:hAnsi="宋体" w:cs="宋体"/>
          <w:color w:val="000000"/>
        </w:rPr>
        <w:t>采购项目：</w:t>
      </w:r>
    </w:p>
    <w:p>
      <w:pPr>
        <w:rPr>
          <w:rFonts w:ascii="宋体" w:hAnsi="宋体" w:cs="宋体"/>
          <w:color w:val="000000"/>
        </w:rPr>
      </w:pPr>
      <w:r>
        <w:rPr>
          <w:rFonts w:hint="eastAsia" w:ascii="宋体" w:hAnsi="宋体" w:cs="宋体"/>
          <w:color w:val="000000"/>
        </w:rPr>
        <w:t>项目编号：</w:t>
      </w:r>
    </w:p>
    <w:p>
      <w:pPr>
        <w:rPr>
          <w:rFonts w:ascii="宋体" w:hAnsi="宋体" w:cs="宋体"/>
          <w:color w:val="000000"/>
        </w:rPr>
      </w:pPr>
      <w:r>
        <w:rPr>
          <w:rFonts w:hint="eastAsia" w:ascii="宋体" w:hAnsi="宋体" w:cs="宋体"/>
          <w:color w:val="000000"/>
        </w:rPr>
        <w:t>子包号：</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jc w:val="center"/>
              <w:rPr>
                <w:rFonts w:ascii="宋体" w:hAnsi="Calibri"/>
              </w:rPr>
            </w:pPr>
            <w:r>
              <w:rPr>
                <w:rFonts w:hint="eastAsia" w:ascii="宋体" w:hAnsi="宋体" w:cs="宋体"/>
              </w:rPr>
              <w:t>条款号</w:t>
            </w:r>
          </w:p>
        </w:tc>
        <w:tc>
          <w:tcPr>
            <w:tcW w:w="4647" w:type="dxa"/>
            <w:vAlign w:val="center"/>
          </w:tcPr>
          <w:p>
            <w:pPr>
              <w:spacing w:line="360" w:lineRule="auto"/>
              <w:jc w:val="center"/>
              <w:rPr>
                <w:rFonts w:ascii="宋体" w:hAnsi="Calibri"/>
              </w:rPr>
            </w:pPr>
            <w:r>
              <w:rPr>
                <w:rFonts w:hint="eastAsia" w:ascii="宋体" w:hAnsi="宋体" w:cs="宋体"/>
              </w:rPr>
              <w:t>采购文件的商务条款</w:t>
            </w:r>
          </w:p>
        </w:tc>
        <w:tc>
          <w:tcPr>
            <w:tcW w:w="1575" w:type="dxa"/>
            <w:vAlign w:val="center"/>
          </w:tcPr>
          <w:p>
            <w:pPr>
              <w:spacing w:line="360" w:lineRule="auto"/>
              <w:jc w:val="center"/>
              <w:rPr>
                <w:rFonts w:ascii="宋体" w:hAnsi="Calibri"/>
              </w:rPr>
            </w:pPr>
            <w:r>
              <w:rPr>
                <w:rFonts w:hint="eastAsia" w:ascii="宋体" w:hAnsi="宋体" w:cs="宋体"/>
              </w:rPr>
              <w:t>投标文件的</w:t>
            </w:r>
          </w:p>
          <w:p>
            <w:pPr>
              <w:spacing w:line="360" w:lineRule="auto"/>
              <w:jc w:val="center"/>
              <w:rPr>
                <w:rFonts w:ascii="宋体" w:hAnsi="Calibri"/>
              </w:rPr>
            </w:pPr>
            <w:r>
              <w:rPr>
                <w:rFonts w:hint="eastAsia" w:ascii="宋体" w:hAnsi="宋体" w:cs="宋体"/>
              </w:rPr>
              <w:t>响应情况</w:t>
            </w:r>
          </w:p>
        </w:tc>
        <w:tc>
          <w:tcPr>
            <w:tcW w:w="1185" w:type="dxa"/>
            <w:vAlign w:val="center"/>
          </w:tcPr>
          <w:p>
            <w:pPr>
              <w:spacing w:line="360" w:lineRule="auto"/>
              <w:jc w:val="center"/>
              <w:rPr>
                <w:rFonts w:ascii="宋体" w:hAnsi="Calibri"/>
              </w:rPr>
            </w:pPr>
            <w:r>
              <w:rPr>
                <w:rFonts w:hint="eastAsia" w:ascii="宋体" w:hAnsi="宋体" w:cs="宋体"/>
              </w:rPr>
              <w:t>说明（偏离</w:t>
            </w:r>
            <w:r>
              <w:rPr>
                <w:rFonts w:ascii="宋体" w:hAnsi="宋体" w:cs="宋体"/>
              </w:rPr>
              <w:t>/</w:t>
            </w:r>
            <w:r>
              <w:rPr>
                <w:rFonts w:hint="eastAsia" w:ascii="宋体" w:hAnsi="宋体" w:cs="宋体"/>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b/>
                <w:bCs/>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b/>
                <w:bCs/>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b/>
                <w:bCs/>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b/>
                <w:bCs/>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Calibri" w:hAnsi="Calibri"/>
              </w:rPr>
            </w:pPr>
          </w:p>
        </w:tc>
        <w:tc>
          <w:tcPr>
            <w:tcW w:w="4647" w:type="dxa"/>
            <w:vAlign w:val="center"/>
          </w:tcPr>
          <w:p>
            <w:pPr>
              <w:spacing w:line="360" w:lineRule="auto"/>
              <w:rPr>
                <w:rFonts w:ascii="Calibri" w:hAnsi="Calibri"/>
              </w:rPr>
            </w:pPr>
          </w:p>
        </w:tc>
        <w:tc>
          <w:tcPr>
            <w:tcW w:w="1575" w:type="dxa"/>
            <w:vAlign w:val="center"/>
          </w:tcPr>
          <w:p>
            <w:pPr>
              <w:spacing w:line="360" w:lineRule="auto"/>
              <w:jc w:val="center"/>
              <w:rPr>
                <w:rFonts w:ascii="宋体" w:hAnsi="Calibri"/>
                <w:sz w:val="24"/>
              </w:rPr>
            </w:pPr>
          </w:p>
        </w:tc>
        <w:tc>
          <w:tcPr>
            <w:tcW w:w="1185" w:type="dxa"/>
            <w:vAlign w:val="center"/>
          </w:tcPr>
          <w:p>
            <w:pPr>
              <w:spacing w:line="360" w:lineRule="auto"/>
              <w:jc w:val="center"/>
              <w:rPr>
                <w:rFonts w:ascii="宋体" w:hAnsi="Calibri"/>
                <w:sz w:val="24"/>
              </w:rPr>
            </w:pPr>
          </w:p>
        </w:tc>
      </w:tr>
    </w:tbl>
    <w:p>
      <w:pPr>
        <w:rPr>
          <w:rFonts w:ascii="宋体" w:hAnsi="宋体" w:cs="宋体"/>
          <w:color w:val="000000"/>
        </w:rPr>
      </w:pPr>
      <w:r>
        <w:rPr>
          <w:rFonts w:hint="eastAsia" w:ascii="宋体" w:hAnsi="宋体" w:cs="宋体"/>
          <w:color w:val="000000"/>
        </w:rPr>
        <w:t>按第二章《采购需求》</w:t>
      </w:r>
      <w:r>
        <w:rPr>
          <w:rFonts w:hint="eastAsia" w:ascii="宋体" w:hAnsi="宋体" w:cs="宋体"/>
          <w:color w:val="000000"/>
          <w:szCs w:val="21"/>
        </w:rPr>
        <w:t>“</w:t>
      </w:r>
      <w:r>
        <w:rPr>
          <w:rFonts w:hint="eastAsia" w:ascii="宋体" w:hAnsi="宋体" w:cs="宋体"/>
          <w:color w:val="000000"/>
        </w:rPr>
        <w:t>一、商务要求表”逐项填写，供应商可自行补充。</w:t>
      </w:r>
    </w:p>
    <w:p>
      <w:pPr>
        <w:rPr>
          <w:rFonts w:ascii="宋体" w:hAnsi="宋体" w:cs="宋体"/>
          <w:color w:val="000000"/>
        </w:rPr>
      </w:pPr>
    </w:p>
    <w:p>
      <w:pPr>
        <w:spacing w:line="360" w:lineRule="auto"/>
        <w:rPr>
          <w:rFonts w:ascii="宋体" w:hAnsi="宋体" w:cs="宋体"/>
          <w:color w:val="000000"/>
        </w:rPr>
      </w:pPr>
    </w:p>
    <w:p>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pPr>
        <w:spacing w:line="360" w:lineRule="auto"/>
        <w:ind w:firstLine="5460" w:firstLineChars="2600"/>
        <w:rPr>
          <w:rFonts w:ascii="宋体" w:hAnsi="宋体" w:cs="宋体"/>
          <w:color w:val="000000"/>
        </w:rPr>
      </w:pPr>
      <w:r>
        <w:rPr>
          <w:rFonts w:hint="eastAsia" w:ascii="宋体" w:hAnsi="宋体" w:cs="宋体"/>
          <w:color w:val="000000"/>
        </w:rPr>
        <w:t xml:space="preserve">日  期：        </w:t>
      </w:r>
    </w:p>
    <w:p>
      <w:pPr>
        <w:snapToGrid w:val="0"/>
        <w:rPr>
          <w:rFonts w:ascii="宋体" w:hAnsi="宋体" w:cs="宋体"/>
          <w:b/>
          <w:color w:val="000000"/>
          <w:szCs w:val="21"/>
        </w:rPr>
      </w:pPr>
    </w:p>
    <w:p>
      <w:pPr>
        <w:widowControl/>
        <w:jc w:val="left"/>
        <w:rPr>
          <w:rFonts w:ascii="宋体" w:hAnsi="宋体" w:cs="宋体"/>
          <w:b/>
          <w:color w:val="000000"/>
          <w:szCs w:val="21"/>
        </w:rPr>
      </w:pPr>
      <w:r>
        <w:rPr>
          <w:rFonts w:ascii="宋体" w:hAnsi="宋体" w:cs="宋体"/>
          <w:b/>
          <w:color w:val="000000"/>
          <w:szCs w:val="21"/>
        </w:rPr>
        <w:br w:type="page"/>
      </w:r>
    </w:p>
    <w:p>
      <w:pPr>
        <w:snapToGrid w:val="0"/>
        <w:rPr>
          <w:rFonts w:ascii="宋体" w:hAnsi="宋体" w:cs="宋体"/>
          <w:b/>
          <w:color w:val="000000"/>
          <w:szCs w:val="21"/>
        </w:rPr>
      </w:pPr>
      <w:r>
        <w:rPr>
          <w:rFonts w:hint="eastAsia" w:ascii="宋体" w:hAnsi="宋体" w:cs="宋体"/>
          <w:b/>
          <w:color w:val="000000"/>
          <w:szCs w:val="21"/>
        </w:rPr>
        <w:t>（8）供应商基本情况表格式</w:t>
      </w: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供应商基本情况表</w:t>
      </w:r>
    </w:p>
    <w:tbl>
      <w:tblPr>
        <w:tblStyle w:val="49"/>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单位名称</w:t>
            </w:r>
          </w:p>
        </w:tc>
        <w:tc>
          <w:tcPr>
            <w:tcW w:w="2499" w:type="dxa"/>
            <w:gridSpan w:val="3"/>
            <w:vAlign w:val="center"/>
          </w:tcPr>
          <w:p>
            <w:pPr>
              <w:spacing w:line="360" w:lineRule="auto"/>
              <w:jc w:val="center"/>
              <w:rPr>
                <w:rFonts w:ascii="宋体" w:hAnsi="宋体" w:cs="宋体"/>
                <w:color w:val="000000"/>
                <w:szCs w:val="21"/>
              </w:rPr>
            </w:pPr>
          </w:p>
        </w:tc>
        <w:tc>
          <w:tcPr>
            <w:tcW w:w="214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组织机构代码</w:t>
            </w:r>
          </w:p>
        </w:tc>
        <w:tc>
          <w:tcPr>
            <w:tcW w:w="210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注册地址</w:t>
            </w:r>
          </w:p>
        </w:tc>
        <w:tc>
          <w:tcPr>
            <w:tcW w:w="2499" w:type="dxa"/>
            <w:gridSpan w:val="3"/>
            <w:vAlign w:val="center"/>
          </w:tcPr>
          <w:p>
            <w:pPr>
              <w:spacing w:line="360" w:lineRule="auto"/>
              <w:jc w:val="center"/>
              <w:rPr>
                <w:rFonts w:ascii="宋体" w:hAnsi="宋体" w:cs="宋体"/>
                <w:color w:val="000000"/>
                <w:szCs w:val="21"/>
              </w:rPr>
            </w:pPr>
          </w:p>
        </w:tc>
        <w:tc>
          <w:tcPr>
            <w:tcW w:w="214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注册登记号</w:t>
            </w:r>
          </w:p>
        </w:tc>
        <w:tc>
          <w:tcPr>
            <w:tcW w:w="210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经营地址</w:t>
            </w:r>
          </w:p>
        </w:tc>
        <w:tc>
          <w:tcPr>
            <w:tcW w:w="2499" w:type="dxa"/>
            <w:gridSpan w:val="3"/>
            <w:vAlign w:val="center"/>
          </w:tcPr>
          <w:p>
            <w:pPr>
              <w:spacing w:line="360" w:lineRule="auto"/>
              <w:jc w:val="center"/>
              <w:rPr>
                <w:rFonts w:ascii="宋体" w:hAnsi="宋体" w:cs="宋体"/>
                <w:color w:val="000000"/>
                <w:szCs w:val="21"/>
              </w:rPr>
            </w:pPr>
          </w:p>
        </w:tc>
        <w:tc>
          <w:tcPr>
            <w:tcW w:w="2141" w:type="dxa"/>
            <w:vAlign w:val="center"/>
          </w:tcPr>
          <w:p>
            <w:pPr>
              <w:spacing w:line="360" w:lineRule="auto"/>
              <w:jc w:val="center"/>
              <w:rPr>
                <w:rFonts w:ascii="宋体" w:hAnsi="宋体" w:cs="宋体"/>
                <w:color w:val="000000"/>
                <w:spacing w:val="30"/>
                <w:szCs w:val="21"/>
              </w:rPr>
            </w:pPr>
            <w:r>
              <w:rPr>
                <w:rFonts w:hint="eastAsia" w:ascii="宋体" w:hAnsi="宋体" w:cs="宋体"/>
                <w:color w:val="000000"/>
                <w:szCs w:val="21"/>
              </w:rPr>
              <w:t>税务登记证号</w:t>
            </w:r>
          </w:p>
        </w:tc>
        <w:tc>
          <w:tcPr>
            <w:tcW w:w="210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单位性质</w:t>
            </w:r>
          </w:p>
        </w:tc>
        <w:tc>
          <w:tcPr>
            <w:tcW w:w="2499" w:type="dxa"/>
            <w:gridSpan w:val="3"/>
            <w:vAlign w:val="center"/>
          </w:tcPr>
          <w:p>
            <w:pPr>
              <w:pStyle w:val="165"/>
              <w:widowControl w:val="0"/>
              <w:spacing w:before="0" w:beforeAutospacing="0" w:after="0" w:afterAutospacing="0" w:line="360" w:lineRule="auto"/>
              <w:ind w:left="2160" w:hanging="480"/>
              <w:rPr>
                <w:rFonts w:cs="宋体"/>
                <w:color w:val="000000"/>
                <w:kern w:val="2"/>
                <w:sz w:val="21"/>
                <w:szCs w:val="21"/>
              </w:rPr>
            </w:pPr>
          </w:p>
        </w:tc>
        <w:tc>
          <w:tcPr>
            <w:tcW w:w="2141" w:type="dxa"/>
            <w:vAlign w:val="center"/>
          </w:tcPr>
          <w:p>
            <w:pPr>
              <w:spacing w:line="360" w:lineRule="auto"/>
              <w:jc w:val="center"/>
              <w:rPr>
                <w:rFonts w:ascii="宋体" w:hAnsi="宋体" w:cs="宋体"/>
                <w:color w:val="000000"/>
                <w:spacing w:val="34"/>
                <w:szCs w:val="21"/>
              </w:rPr>
            </w:pPr>
            <w:r>
              <w:rPr>
                <w:rFonts w:hint="eastAsia" w:ascii="宋体" w:hAnsi="宋体" w:cs="宋体"/>
                <w:color w:val="000000"/>
                <w:spacing w:val="34"/>
                <w:szCs w:val="21"/>
              </w:rPr>
              <w:t>注册资本</w:t>
            </w:r>
          </w:p>
        </w:tc>
        <w:tc>
          <w:tcPr>
            <w:tcW w:w="210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经营范围</w:t>
            </w:r>
          </w:p>
        </w:tc>
        <w:tc>
          <w:tcPr>
            <w:tcW w:w="2499" w:type="dxa"/>
            <w:gridSpan w:val="3"/>
            <w:vAlign w:val="center"/>
          </w:tcPr>
          <w:p>
            <w:pPr>
              <w:spacing w:line="360" w:lineRule="auto"/>
              <w:jc w:val="center"/>
              <w:rPr>
                <w:rFonts w:ascii="宋体" w:hAnsi="宋体" w:cs="宋体"/>
                <w:color w:val="000000"/>
                <w:szCs w:val="21"/>
              </w:rPr>
            </w:pPr>
          </w:p>
        </w:tc>
        <w:tc>
          <w:tcPr>
            <w:tcW w:w="214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营业期限</w:t>
            </w:r>
          </w:p>
        </w:tc>
        <w:tc>
          <w:tcPr>
            <w:tcW w:w="210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资质情况</w:t>
            </w:r>
          </w:p>
        </w:tc>
        <w:tc>
          <w:tcPr>
            <w:tcW w:w="6740" w:type="dxa"/>
            <w:gridSpan w:val="5"/>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员工数量</w:t>
            </w:r>
          </w:p>
        </w:tc>
        <w:tc>
          <w:tcPr>
            <w:tcW w:w="6740" w:type="dxa"/>
            <w:gridSpan w:val="5"/>
            <w:vAlign w:val="center"/>
          </w:tcPr>
          <w:p>
            <w:pPr>
              <w:spacing w:line="360" w:lineRule="auto"/>
              <w:rPr>
                <w:rFonts w:ascii="宋体" w:hAnsi="宋体" w:cs="宋体"/>
                <w:color w:val="000000"/>
                <w:szCs w:val="21"/>
              </w:rPr>
            </w:pPr>
            <w:r>
              <w:rPr>
                <w:rFonts w:hint="eastAsia" w:ascii="宋体" w:hAnsi="宋体" w:cs="宋体"/>
                <w:color w:val="000000"/>
                <w:szCs w:val="21"/>
              </w:rPr>
              <w:t>共</w:t>
            </w:r>
            <w:r>
              <w:rPr>
                <w:rFonts w:hint="eastAsia" w:ascii="宋体" w:hAnsi="宋体" w:cs="宋体"/>
                <w:color w:val="000000"/>
                <w:szCs w:val="21"/>
                <w:u w:val="single"/>
              </w:rPr>
              <w:t xml:space="preserve">  </w:t>
            </w:r>
            <w:r>
              <w:rPr>
                <w:rFonts w:hint="eastAsia" w:ascii="宋体" w:hAnsi="宋体" w:cs="宋体"/>
                <w:color w:val="000000"/>
                <w:szCs w:val="21"/>
              </w:rPr>
              <w:t>人，其中，高级职称</w:t>
            </w:r>
            <w:r>
              <w:rPr>
                <w:rFonts w:hint="eastAsia" w:ascii="宋体" w:hAnsi="宋体" w:cs="宋体"/>
                <w:color w:val="000000"/>
                <w:szCs w:val="21"/>
                <w:u w:val="single"/>
              </w:rPr>
              <w:t xml:space="preserve">   </w:t>
            </w:r>
            <w:r>
              <w:rPr>
                <w:rFonts w:hint="eastAsia" w:ascii="宋体" w:hAnsi="宋体" w:cs="宋体"/>
                <w:color w:val="000000"/>
                <w:szCs w:val="21"/>
              </w:rPr>
              <w:t>人，中级职称</w:t>
            </w:r>
            <w:r>
              <w:rPr>
                <w:rFonts w:hint="eastAsia" w:ascii="宋体" w:hAnsi="宋体" w:cs="宋体"/>
                <w:color w:val="000000"/>
                <w:szCs w:val="21"/>
                <w:u w:val="single"/>
              </w:rPr>
              <w:t xml:space="preserve">  </w:t>
            </w:r>
            <w:r>
              <w:rPr>
                <w:rFonts w:hint="eastAsia" w:ascii="宋体" w:hAns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联系电话</w:t>
            </w:r>
          </w:p>
        </w:tc>
        <w:tc>
          <w:tcPr>
            <w:tcW w:w="2499" w:type="dxa"/>
            <w:gridSpan w:val="3"/>
            <w:vAlign w:val="center"/>
          </w:tcPr>
          <w:p>
            <w:pPr>
              <w:spacing w:line="360" w:lineRule="auto"/>
              <w:jc w:val="center"/>
              <w:rPr>
                <w:rFonts w:ascii="宋体" w:hAnsi="宋体" w:cs="宋体"/>
                <w:color w:val="000000"/>
                <w:szCs w:val="21"/>
              </w:rPr>
            </w:pPr>
          </w:p>
        </w:tc>
        <w:tc>
          <w:tcPr>
            <w:tcW w:w="214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传真</w:t>
            </w:r>
          </w:p>
        </w:tc>
        <w:tc>
          <w:tcPr>
            <w:tcW w:w="210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主要业绩</w:t>
            </w:r>
          </w:p>
        </w:tc>
        <w:tc>
          <w:tcPr>
            <w:tcW w:w="6740" w:type="dxa"/>
            <w:gridSpan w:val="5"/>
            <w:vAlign w:val="center"/>
          </w:tcPr>
          <w:p>
            <w:pPr>
              <w:spacing w:line="360" w:lineRule="auto"/>
              <w:rPr>
                <w:rFonts w:ascii="宋体" w:hAnsi="宋体" w:cs="宋体"/>
                <w:color w:val="000000"/>
                <w:szCs w:val="21"/>
              </w:rPr>
            </w:pPr>
          </w:p>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vAlign w:val="center"/>
          </w:tcPr>
          <w:p>
            <w:pPr>
              <w:spacing w:line="360" w:lineRule="auto"/>
              <w:jc w:val="center"/>
              <w:rPr>
                <w:rFonts w:ascii="宋体" w:hAnsi="宋体" w:cs="宋体"/>
                <w:color w:val="000000"/>
                <w:szCs w:val="21"/>
              </w:rPr>
            </w:pPr>
            <w:r>
              <w:rPr>
                <w:rFonts w:hint="eastAsia" w:ascii="宋体" w:hAnsi="宋体" w:cs="宋体"/>
                <w:color w:val="000000"/>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姓  名</w:t>
            </w:r>
          </w:p>
        </w:tc>
        <w:tc>
          <w:tcPr>
            <w:tcW w:w="2499" w:type="dxa"/>
            <w:gridSpan w:val="3"/>
            <w:vAlign w:val="center"/>
          </w:tcPr>
          <w:p>
            <w:pPr>
              <w:spacing w:line="360" w:lineRule="auto"/>
              <w:jc w:val="center"/>
              <w:rPr>
                <w:rFonts w:ascii="宋体" w:hAnsi="宋体" w:cs="宋体"/>
                <w:color w:val="000000"/>
                <w:szCs w:val="21"/>
              </w:rPr>
            </w:pPr>
          </w:p>
        </w:tc>
        <w:tc>
          <w:tcPr>
            <w:tcW w:w="214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身份证号码</w:t>
            </w:r>
          </w:p>
        </w:tc>
        <w:tc>
          <w:tcPr>
            <w:tcW w:w="210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职  务</w:t>
            </w:r>
          </w:p>
        </w:tc>
        <w:tc>
          <w:tcPr>
            <w:tcW w:w="835" w:type="dxa"/>
            <w:vAlign w:val="center"/>
          </w:tcPr>
          <w:p>
            <w:pPr>
              <w:spacing w:line="360" w:lineRule="auto"/>
              <w:jc w:val="center"/>
              <w:rPr>
                <w:rFonts w:ascii="宋体" w:hAnsi="宋体" w:cs="宋体"/>
                <w:color w:val="000000"/>
                <w:szCs w:val="21"/>
              </w:rPr>
            </w:pPr>
          </w:p>
        </w:tc>
        <w:tc>
          <w:tcPr>
            <w:tcW w:w="9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职   称</w:t>
            </w:r>
          </w:p>
        </w:tc>
        <w:tc>
          <w:tcPr>
            <w:tcW w:w="695" w:type="dxa"/>
            <w:vAlign w:val="center"/>
          </w:tcPr>
          <w:p>
            <w:pPr>
              <w:spacing w:line="360" w:lineRule="auto"/>
              <w:jc w:val="center"/>
              <w:rPr>
                <w:rFonts w:ascii="宋体" w:hAnsi="宋体" w:cs="宋体"/>
                <w:color w:val="000000"/>
                <w:szCs w:val="21"/>
              </w:rPr>
            </w:pPr>
          </w:p>
        </w:tc>
        <w:tc>
          <w:tcPr>
            <w:tcW w:w="214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学    历</w:t>
            </w:r>
          </w:p>
        </w:tc>
        <w:tc>
          <w:tcPr>
            <w:tcW w:w="210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tcPr>
          <w:p>
            <w:pPr>
              <w:spacing w:line="360" w:lineRule="auto"/>
              <w:rPr>
                <w:rFonts w:ascii="宋体" w:hAnsi="宋体" w:cs="宋体"/>
                <w:color w:val="000000"/>
                <w:szCs w:val="21"/>
              </w:rPr>
            </w:pPr>
            <w:r>
              <w:rPr>
                <w:rFonts w:hint="eastAsia" w:ascii="宋体" w:hAnsi="宋体" w:cs="宋体"/>
                <w:color w:val="000000"/>
                <w:szCs w:val="21"/>
              </w:rPr>
              <w:t>备注:</w:t>
            </w:r>
          </w:p>
        </w:tc>
      </w:tr>
    </w:tbl>
    <w:p>
      <w:pPr>
        <w:spacing w:line="360" w:lineRule="auto"/>
        <w:rPr>
          <w:rFonts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兹证明上述声明是真实、正确的，并提供了全部能提供的资料和数据，我们同意遵照贵方要求出示有关证明文件。</w:t>
      </w:r>
    </w:p>
    <w:p>
      <w:pPr>
        <w:spacing w:line="360" w:lineRule="auto"/>
        <w:rPr>
          <w:rFonts w:ascii="宋体" w:hAnsi="宋体" w:cs="宋体"/>
          <w:b/>
          <w:color w:val="000000"/>
        </w:rPr>
      </w:pPr>
    </w:p>
    <w:p>
      <w:pPr>
        <w:rPr>
          <w:rFonts w:ascii="宋体" w:hAnsi="宋体" w:cs="宋体"/>
          <w:color w:val="000000"/>
        </w:rPr>
      </w:pPr>
    </w:p>
    <w:p>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pPr>
        <w:snapToGrid w:val="0"/>
        <w:spacing w:line="480" w:lineRule="exact"/>
        <w:ind w:firstLine="5670" w:firstLineChars="2700"/>
        <w:jc w:val="left"/>
        <w:rPr>
          <w:rFonts w:ascii="宋体" w:hAnsi="宋体"/>
        </w:rPr>
      </w:pPr>
      <w:r>
        <w:rPr>
          <w:rFonts w:hint="eastAsia" w:ascii="宋体" w:hAnsi="宋体" w:cs="宋体"/>
          <w:color w:val="000000"/>
        </w:rPr>
        <w:t xml:space="preserve">日  期： </w:t>
      </w:r>
      <w:r>
        <w:rPr>
          <w:rFonts w:ascii="宋体" w:hAnsi="宋体" w:cs="宋体"/>
          <w:b/>
          <w:kern w:val="0"/>
          <w:szCs w:val="21"/>
        </w:rPr>
        <w:br w:type="page"/>
      </w:r>
    </w:p>
    <w:p>
      <w:pPr>
        <w:widowControl/>
        <w:jc w:val="left"/>
        <w:rPr>
          <w:rFonts w:ascii="宋体" w:hAnsi="宋体" w:cs="宋体"/>
          <w:szCs w:val="21"/>
        </w:rPr>
      </w:pPr>
      <w:r>
        <w:rPr>
          <w:rFonts w:hint="eastAsia" w:ascii="宋体" w:hAnsi="宋体" w:cs="宋体"/>
          <w:b/>
          <w:kern w:val="0"/>
          <w:szCs w:val="21"/>
        </w:rPr>
        <w:t>（9</w:t>
      </w:r>
      <w:r>
        <w:rPr>
          <w:rFonts w:hint="eastAsia" w:ascii="宋体" w:hAnsi="宋体" w:cs="宋体"/>
          <w:b/>
          <w:color w:val="000000"/>
          <w:szCs w:val="21"/>
        </w:rPr>
        <w:t>）本项目拟投入人员配备汇总表格式</w:t>
      </w:r>
    </w:p>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lang w:bidi="ar"/>
        </w:rPr>
        <w:t>本项目拟投入人员配备汇总表</w:t>
      </w:r>
    </w:p>
    <w:p>
      <w:pPr>
        <w:rPr>
          <w:rFonts w:ascii="宋体" w:hAnsi="宋体" w:cs="宋体"/>
          <w:color w:val="000000"/>
        </w:rPr>
      </w:pPr>
      <w:r>
        <w:rPr>
          <w:rFonts w:hint="eastAsia" w:ascii="宋体" w:hAnsi="宋体" w:cs="宋体"/>
          <w:color w:val="000000"/>
        </w:rPr>
        <w:t>采购项目：</w:t>
      </w:r>
    </w:p>
    <w:p>
      <w:pPr>
        <w:rPr>
          <w:rFonts w:ascii="宋体" w:hAnsi="宋体" w:cs="宋体"/>
          <w:color w:val="000000"/>
        </w:rPr>
      </w:pPr>
      <w:r>
        <w:rPr>
          <w:rFonts w:hint="eastAsia" w:ascii="宋体" w:hAnsi="宋体" w:cs="宋体"/>
          <w:color w:val="000000"/>
        </w:rPr>
        <w:t>项目编号：</w:t>
      </w:r>
    </w:p>
    <w:p>
      <w:pPr>
        <w:rPr>
          <w:rFonts w:eastAsia="华文细黑"/>
          <w:w w:val="80"/>
        </w:rPr>
      </w:pPr>
      <w:r>
        <w:rPr>
          <w:rFonts w:hint="eastAsia" w:ascii="宋体" w:hAnsi="宋体" w:cs="宋体"/>
          <w:color w:val="000000"/>
        </w:rPr>
        <w:t>子包号：</w:t>
      </w:r>
    </w:p>
    <w:tbl>
      <w:tblPr>
        <w:tblStyle w:val="49"/>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30"/>
        <w:gridCol w:w="1275"/>
        <w:gridCol w:w="690"/>
        <w:gridCol w:w="1305"/>
        <w:gridCol w:w="1500"/>
        <w:gridCol w:w="1335"/>
        <w:gridCol w:w="116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2" w:space="0"/>
            </w:tcBorders>
            <w:tcMar>
              <w:left w:w="28" w:type="dxa"/>
              <w:right w:w="28" w:type="dxa"/>
            </w:tcMar>
            <w:vAlign w:val="center"/>
          </w:tcPr>
          <w:p>
            <w:pPr>
              <w:jc w:val="center"/>
              <w:rPr>
                <w:rFonts w:ascii="Calibri" w:hAnsi="Calibri" w:eastAsia="华文细黑"/>
                <w:w w:val="80"/>
                <w:szCs w:val="21"/>
              </w:rPr>
            </w:pPr>
            <w:r>
              <w:rPr>
                <w:rFonts w:hint="eastAsia" w:ascii="Calibri" w:hAnsi="Calibri" w:eastAsia="华文细黑" w:cs="华文细黑"/>
                <w:w w:val="80"/>
                <w:szCs w:val="21"/>
                <w:lang w:bidi="ar"/>
              </w:rPr>
              <w:t>职务</w:t>
            </w:r>
          </w:p>
        </w:tc>
        <w:tc>
          <w:tcPr>
            <w:tcW w:w="1275"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pPr>
              <w:jc w:val="center"/>
              <w:rPr>
                <w:rFonts w:ascii="Calibri" w:hAnsi="Calibri" w:eastAsia="华文细黑"/>
                <w:w w:val="80"/>
                <w:szCs w:val="21"/>
              </w:rPr>
            </w:pPr>
            <w:r>
              <w:rPr>
                <w:rFonts w:hint="eastAsia" w:ascii="Calibri" w:hAnsi="Calibri" w:eastAsia="华文细黑" w:cs="华文细黑"/>
                <w:w w:val="80"/>
                <w:szCs w:val="21"/>
                <w:lang w:bidi="ar"/>
              </w:rPr>
              <w:t>姓名</w:t>
            </w:r>
          </w:p>
        </w:tc>
        <w:tc>
          <w:tcPr>
            <w:tcW w:w="690"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pPr>
              <w:jc w:val="center"/>
              <w:rPr>
                <w:rFonts w:ascii="Calibri" w:hAnsi="Calibri" w:eastAsia="华文细黑"/>
                <w:w w:val="80"/>
                <w:szCs w:val="21"/>
              </w:rPr>
            </w:pPr>
            <w:r>
              <w:rPr>
                <w:rFonts w:hint="eastAsia" w:ascii="Calibri" w:hAnsi="Calibri" w:eastAsia="华文细黑" w:cs="华文细黑"/>
                <w:w w:val="80"/>
                <w:szCs w:val="21"/>
                <w:lang w:bidi="ar"/>
              </w:rPr>
              <w:t>性别</w:t>
            </w:r>
          </w:p>
        </w:tc>
        <w:tc>
          <w:tcPr>
            <w:tcW w:w="1305"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pPr>
              <w:jc w:val="center"/>
              <w:rPr>
                <w:rFonts w:ascii="Calibri" w:hAnsi="Calibri" w:eastAsia="华文细黑"/>
                <w:w w:val="80"/>
                <w:szCs w:val="21"/>
              </w:rPr>
            </w:pPr>
            <w:r>
              <w:rPr>
                <w:rFonts w:hint="eastAsia" w:ascii="Calibri" w:hAnsi="Calibri" w:eastAsia="华文细黑" w:cs="华文细黑"/>
                <w:w w:val="80"/>
                <w:szCs w:val="21"/>
                <w:lang w:bidi="ar"/>
              </w:rPr>
              <w:t>专业</w:t>
            </w:r>
          </w:p>
        </w:tc>
        <w:tc>
          <w:tcPr>
            <w:tcW w:w="1500"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pPr>
              <w:jc w:val="center"/>
              <w:rPr>
                <w:rFonts w:ascii="Calibri" w:hAnsi="Calibri" w:eastAsia="华文细黑"/>
                <w:w w:val="80"/>
                <w:szCs w:val="21"/>
              </w:rPr>
            </w:pPr>
            <w:r>
              <w:rPr>
                <w:rFonts w:hint="eastAsia" w:ascii="Calibri" w:hAnsi="Calibri" w:eastAsia="华文细黑" w:cs="华文细黑"/>
                <w:w w:val="80"/>
                <w:szCs w:val="21"/>
                <w:lang w:bidi="ar"/>
              </w:rPr>
              <w:t>联系电话</w:t>
            </w:r>
          </w:p>
        </w:tc>
        <w:tc>
          <w:tcPr>
            <w:tcW w:w="1335"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pPr>
              <w:ind w:left="-68" w:right="-47"/>
              <w:jc w:val="center"/>
              <w:rPr>
                <w:rFonts w:ascii="Calibri" w:hAnsi="Calibri" w:eastAsia="华文细黑"/>
                <w:w w:val="80"/>
                <w:szCs w:val="21"/>
              </w:rPr>
            </w:pPr>
            <w:r>
              <w:rPr>
                <w:rFonts w:hint="eastAsia" w:ascii="Calibri" w:hAnsi="Calibri" w:eastAsia="华文细黑" w:cs="华文细黑"/>
                <w:w w:val="80"/>
                <w:szCs w:val="21"/>
                <w:lang w:bidi="ar"/>
              </w:rPr>
              <w:t>从事类似</w:t>
            </w:r>
          </w:p>
          <w:p>
            <w:pPr>
              <w:ind w:left="-68" w:right="-47"/>
              <w:jc w:val="center"/>
              <w:rPr>
                <w:rFonts w:ascii="Calibri" w:hAnsi="Calibri" w:eastAsia="华文细黑"/>
                <w:w w:val="80"/>
                <w:szCs w:val="21"/>
              </w:rPr>
            </w:pPr>
            <w:r>
              <w:rPr>
                <w:rFonts w:hint="eastAsia" w:ascii="Calibri" w:hAnsi="Calibri" w:eastAsia="华文细黑" w:cs="华文细黑"/>
                <w:w w:val="80"/>
                <w:szCs w:val="21"/>
                <w:lang w:bidi="ar"/>
              </w:rPr>
              <w:t>工作时间</w:t>
            </w:r>
          </w:p>
        </w:tc>
        <w:tc>
          <w:tcPr>
            <w:tcW w:w="1165" w:type="dxa"/>
            <w:tcBorders>
              <w:top w:val="single" w:color="auto" w:sz="4" w:space="0"/>
              <w:left w:val="single" w:color="auto" w:sz="2" w:space="0"/>
              <w:bottom w:val="single" w:color="auto" w:sz="4" w:space="0"/>
              <w:right w:val="single" w:color="auto" w:sz="4" w:space="0"/>
            </w:tcBorders>
            <w:tcMar>
              <w:left w:w="28" w:type="dxa"/>
              <w:right w:w="28" w:type="dxa"/>
            </w:tcMar>
            <w:vAlign w:val="center"/>
          </w:tcPr>
          <w:p>
            <w:pPr>
              <w:jc w:val="center"/>
              <w:rPr>
                <w:rFonts w:ascii="Calibri" w:hAnsi="Calibri" w:eastAsia="华文细黑"/>
                <w:w w:val="80"/>
                <w:szCs w:val="21"/>
              </w:rPr>
            </w:pPr>
            <w:r>
              <w:rPr>
                <w:rFonts w:hint="eastAsia" w:ascii="Calibri" w:hAnsi="Calibri" w:eastAsia="华文细黑" w:cs="华文细黑"/>
                <w:w w:val="8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4"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华文细黑" w:cs="华文细黑"/>
                <w:w w:val="80"/>
                <w:szCs w:val="21"/>
                <w:lang w:bidi="ar"/>
              </w:rPr>
            </w:pPr>
          </w:p>
        </w:tc>
        <w:tc>
          <w:tcPr>
            <w:tcW w:w="1275"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4"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华文细黑" w:cs="华文细黑"/>
                <w:w w:val="80"/>
                <w:szCs w:val="21"/>
                <w:lang w:bidi="ar"/>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pPr>
              <w:jc w:val="center"/>
              <w:rPr>
                <w:rFonts w:ascii="Calibri" w:hAnsi="Calibri"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4" w:space="0"/>
              <w:right w:val="single" w:color="auto" w:sz="2" w:space="0"/>
            </w:tcBorders>
            <w:tcMar>
              <w:left w:w="28" w:type="dxa"/>
              <w:right w:w="28" w:type="dxa"/>
            </w:tcMar>
            <w:vAlign w:val="center"/>
          </w:tcPr>
          <w:p>
            <w:pPr>
              <w:jc w:val="center"/>
              <w:rPr>
                <w:rFonts w:ascii="Calibri" w:hAnsi="Calibri" w:eastAsia="仿宋_GB2312"/>
                <w:w w:val="80"/>
              </w:rPr>
            </w:pPr>
          </w:p>
        </w:tc>
        <w:tc>
          <w:tcPr>
            <w:tcW w:w="1275"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pPr>
              <w:jc w:val="center"/>
              <w:rPr>
                <w:rFonts w:ascii="Calibri" w:hAnsi="Calibri" w:eastAsia="仿宋_GB2312"/>
                <w:w w:val="80"/>
              </w:rPr>
            </w:pPr>
          </w:p>
        </w:tc>
        <w:tc>
          <w:tcPr>
            <w:tcW w:w="690"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pPr>
              <w:jc w:val="center"/>
              <w:rPr>
                <w:rFonts w:ascii="Calibri" w:hAnsi="Calibri" w:eastAsia="仿宋_GB2312"/>
                <w:w w:val="80"/>
              </w:rPr>
            </w:pPr>
          </w:p>
        </w:tc>
        <w:tc>
          <w:tcPr>
            <w:tcW w:w="1305"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pPr>
              <w:jc w:val="center"/>
              <w:rPr>
                <w:rFonts w:ascii="Calibri" w:hAnsi="Calibri" w:eastAsia="仿宋_GB2312"/>
                <w:w w:val="80"/>
              </w:rPr>
            </w:pPr>
          </w:p>
        </w:tc>
        <w:tc>
          <w:tcPr>
            <w:tcW w:w="1500"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pPr>
              <w:jc w:val="center"/>
              <w:rPr>
                <w:rFonts w:ascii="Calibri" w:hAnsi="Calibri" w:eastAsia="仿宋_GB2312"/>
                <w:w w:val="80"/>
              </w:rPr>
            </w:pPr>
          </w:p>
        </w:tc>
        <w:tc>
          <w:tcPr>
            <w:tcW w:w="1335"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pPr>
              <w:jc w:val="center"/>
              <w:rPr>
                <w:rFonts w:ascii="Calibri" w:hAnsi="Calibri" w:eastAsia="仿宋_GB2312"/>
                <w:w w:val="80"/>
              </w:rPr>
            </w:pPr>
          </w:p>
        </w:tc>
        <w:tc>
          <w:tcPr>
            <w:tcW w:w="1165" w:type="dxa"/>
            <w:tcBorders>
              <w:top w:val="single" w:color="auto" w:sz="2" w:space="0"/>
              <w:left w:val="single" w:color="auto" w:sz="2" w:space="0"/>
              <w:bottom w:val="single" w:color="auto" w:sz="4" w:space="0"/>
              <w:right w:val="single" w:color="auto" w:sz="4" w:space="0"/>
            </w:tcBorders>
            <w:tcMar>
              <w:left w:w="28" w:type="dxa"/>
              <w:right w:w="28" w:type="dxa"/>
            </w:tcMar>
            <w:vAlign w:val="center"/>
          </w:tcPr>
          <w:p>
            <w:pPr>
              <w:jc w:val="center"/>
              <w:rPr>
                <w:rFonts w:ascii="Calibri" w:hAnsi="Calibri" w:eastAsia="仿宋_GB2312"/>
                <w:w w:val="80"/>
              </w:rPr>
            </w:pPr>
          </w:p>
        </w:tc>
      </w:tr>
    </w:tbl>
    <w:p/>
    <w:p>
      <w:pPr>
        <w:rPr>
          <w:rFonts w:ascii="宋体" w:hAnsi="宋体" w:cs="宋体"/>
          <w:color w:val="000000"/>
        </w:rPr>
      </w:pPr>
    </w:p>
    <w:p>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pPr>
        <w:snapToGrid w:val="0"/>
        <w:ind w:firstLine="5670" w:firstLineChars="2700"/>
        <w:rPr>
          <w:rFonts w:ascii="宋体" w:hAnsi="宋体" w:cs="宋体"/>
          <w:b/>
          <w:szCs w:val="21"/>
        </w:rPr>
      </w:pPr>
      <w:r>
        <w:rPr>
          <w:rFonts w:hint="eastAsia" w:ascii="宋体" w:hAnsi="宋体" w:cs="宋体"/>
          <w:color w:val="000000"/>
        </w:rPr>
        <w:t xml:space="preserve">日  期： </w:t>
      </w:r>
      <w:r>
        <w:rPr>
          <w:rFonts w:ascii="宋体" w:hAnsi="宋体" w:cs="宋体"/>
          <w:b/>
          <w:kern w:val="0"/>
          <w:szCs w:val="21"/>
        </w:rPr>
        <w:br w:type="page"/>
      </w:r>
      <w:r>
        <w:rPr>
          <w:rFonts w:hint="eastAsia" w:ascii="宋体" w:hAnsi="宋体" w:cs="宋体"/>
          <w:b/>
          <w:kern w:val="0"/>
          <w:szCs w:val="21"/>
        </w:rPr>
        <w:t>（10）</w:t>
      </w:r>
      <w:r>
        <w:rPr>
          <w:rFonts w:hint="eastAsia" w:ascii="宋体" w:hAnsi="宋体" w:cs="宋体"/>
          <w:b/>
          <w:szCs w:val="21"/>
        </w:rPr>
        <w:t>同类业绩情况一览表格式</w:t>
      </w:r>
    </w:p>
    <w:p>
      <w:pPr>
        <w:jc w:val="center"/>
        <w:rPr>
          <w:rFonts w:ascii="宋体" w:hAnsi="宋体" w:cs="宋体"/>
          <w:b/>
          <w:szCs w:val="21"/>
        </w:rPr>
      </w:pPr>
    </w:p>
    <w:p>
      <w:pPr>
        <w:spacing w:line="360" w:lineRule="auto"/>
        <w:ind w:right="25" w:rightChars="12"/>
        <w:jc w:val="center"/>
        <w:rPr>
          <w:rFonts w:ascii="宋体" w:hAnsi="宋体" w:cs="宋体"/>
          <w:b/>
          <w:sz w:val="28"/>
          <w:szCs w:val="28"/>
          <w:lang w:val="zh-CN" w:bidi="ar"/>
        </w:rPr>
      </w:pPr>
      <w:r>
        <w:rPr>
          <w:rFonts w:hint="eastAsia" w:ascii="宋体" w:hAnsi="宋体" w:cs="宋体"/>
          <w:b/>
          <w:sz w:val="28"/>
          <w:szCs w:val="28"/>
          <w:lang w:bidi="ar"/>
        </w:rPr>
        <w:t>同类业绩情况一览表</w:t>
      </w:r>
    </w:p>
    <w:p>
      <w:pPr>
        <w:rPr>
          <w:rFonts w:ascii="宋体" w:hAnsi="宋体" w:cs="宋体"/>
          <w:color w:val="000000"/>
        </w:rPr>
      </w:pPr>
      <w:r>
        <w:rPr>
          <w:rFonts w:hint="eastAsia" w:ascii="宋体" w:hAnsi="宋体" w:cs="宋体"/>
          <w:color w:val="000000"/>
        </w:rPr>
        <w:t>采购项目：</w:t>
      </w:r>
    </w:p>
    <w:p>
      <w:pPr>
        <w:rPr>
          <w:rFonts w:ascii="宋体" w:hAnsi="宋体" w:cs="宋体"/>
          <w:color w:val="000000"/>
        </w:rPr>
      </w:pPr>
      <w:r>
        <w:rPr>
          <w:rFonts w:hint="eastAsia" w:ascii="宋体" w:hAnsi="宋体" w:cs="宋体"/>
          <w:color w:val="000000"/>
        </w:rPr>
        <w:t>项目编号：</w:t>
      </w:r>
    </w:p>
    <w:p>
      <w:pPr>
        <w:rPr>
          <w:rFonts w:hAnsi="宋体" w:cs="宋体"/>
          <w:bCs/>
          <w:u w:val="single"/>
        </w:rPr>
      </w:pPr>
      <w:r>
        <w:rPr>
          <w:rFonts w:hint="eastAsia" w:ascii="宋体" w:hAnsi="宋体" w:cs="宋体"/>
          <w:color w:val="000000"/>
        </w:rPr>
        <w:t>子包号：</w:t>
      </w:r>
    </w:p>
    <w:tbl>
      <w:tblPr>
        <w:tblStyle w:val="49"/>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vAlign w:val="center"/>
          </w:tcPr>
          <w:p>
            <w:pPr>
              <w:spacing w:line="400" w:lineRule="exact"/>
              <w:ind w:right="23" w:rightChars="11"/>
              <w:jc w:val="center"/>
              <w:rPr>
                <w:rFonts w:ascii="Calibri" w:hAnsi="宋体" w:cs="宋体"/>
              </w:rPr>
            </w:pPr>
            <w:r>
              <w:rPr>
                <w:rFonts w:hint="eastAsia" w:ascii="Calibri" w:hAnsi="宋体" w:cs="宋体"/>
              </w:rPr>
              <w:t>序号</w:t>
            </w:r>
          </w:p>
        </w:tc>
        <w:tc>
          <w:tcPr>
            <w:tcW w:w="1246" w:type="dxa"/>
            <w:vAlign w:val="center"/>
          </w:tcPr>
          <w:p>
            <w:pPr>
              <w:spacing w:line="400" w:lineRule="exact"/>
              <w:ind w:right="23" w:rightChars="11"/>
              <w:jc w:val="center"/>
              <w:rPr>
                <w:rFonts w:ascii="Calibri" w:hAnsi="宋体" w:cs="宋体"/>
              </w:rPr>
            </w:pPr>
            <w:r>
              <w:rPr>
                <w:rFonts w:hint="eastAsia" w:ascii="Calibri" w:hAnsi="宋体" w:cs="宋体"/>
              </w:rPr>
              <w:t>业主单位</w:t>
            </w:r>
          </w:p>
        </w:tc>
        <w:tc>
          <w:tcPr>
            <w:tcW w:w="1607" w:type="dxa"/>
            <w:vAlign w:val="center"/>
          </w:tcPr>
          <w:p>
            <w:pPr>
              <w:spacing w:line="400" w:lineRule="exact"/>
              <w:ind w:right="23" w:rightChars="11"/>
              <w:jc w:val="center"/>
              <w:rPr>
                <w:rFonts w:ascii="Calibri" w:hAnsi="宋体" w:cs="宋体"/>
              </w:rPr>
            </w:pPr>
            <w:r>
              <w:rPr>
                <w:rFonts w:hint="eastAsia" w:ascii="Calibri" w:hAnsi="宋体" w:cs="宋体"/>
              </w:rPr>
              <w:t>项目名称</w:t>
            </w:r>
          </w:p>
        </w:tc>
        <w:tc>
          <w:tcPr>
            <w:tcW w:w="1291" w:type="dxa"/>
            <w:vAlign w:val="center"/>
          </w:tcPr>
          <w:p>
            <w:pPr>
              <w:spacing w:line="400" w:lineRule="exact"/>
              <w:ind w:right="23" w:rightChars="11"/>
              <w:jc w:val="center"/>
              <w:rPr>
                <w:rFonts w:ascii="Calibri" w:hAnsi="宋体" w:cs="宋体"/>
              </w:rPr>
            </w:pPr>
            <w:r>
              <w:rPr>
                <w:rFonts w:hint="eastAsia" w:ascii="Calibri" w:hAnsi="宋体" w:cs="宋体"/>
              </w:rPr>
              <w:t>供货地点</w:t>
            </w:r>
          </w:p>
        </w:tc>
        <w:tc>
          <w:tcPr>
            <w:tcW w:w="1216" w:type="dxa"/>
            <w:vAlign w:val="center"/>
          </w:tcPr>
          <w:p>
            <w:pPr>
              <w:spacing w:line="400" w:lineRule="exact"/>
              <w:ind w:right="23" w:rightChars="11"/>
              <w:jc w:val="center"/>
              <w:rPr>
                <w:rFonts w:ascii="Calibri" w:hAnsi="宋体" w:cs="宋体"/>
              </w:rPr>
            </w:pPr>
            <w:r>
              <w:rPr>
                <w:rFonts w:hint="eastAsia" w:ascii="Calibri" w:hAnsi="宋体" w:cs="宋体"/>
              </w:rPr>
              <w:t>交货期</w:t>
            </w:r>
          </w:p>
        </w:tc>
        <w:tc>
          <w:tcPr>
            <w:tcW w:w="1216" w:type="dxa"/>
            <w:vAlign w:val="center"/>
          </w:tcPr>
          <w:p>
            <w:pPr>
              <w:spacing w:line="400" w:lineRule="exact"/>
              <w:ind w:right="23" w:rightChars="11"/>
              <w:jc w:val="center"/>
              <w:rPr>
                <w:rFonts w:ascii="Calibri" w:hAnsi="宋体" w:cs="宋体"/>
              </w:rPr>
            </w:pPr>
            <w:r>
              <w:rPr>
                <w:rFonts w:hint="eastAsia" w:ascii="Calibri" w:hAnsi="宋体" w:cs="宋体"/>
              </w:rPr>
              <w:t>合同价格（元）</w:t>
            </w:r>
          </w:p>
        </w:tc>
        <w:tc>
          <w:tcPr>
            <w:tcW w:w="1697" w:type="dxa"/>
            <w:vAlign w:val="center"/>
          </w:tcPr>
          <w:p>
            <w:pPr>
              <w:spacing w:line="400" w:lineRule="exact"/>
              <w:ind w:right="23" w:rightChars="11"/>
              <w:jc w:val="center"/>
              <w:rPr>
                <w:rFonts w:ascii="Calibri" w:hAnsi="宋体" w:cs="宋体"/>
              </w:rPr>
            </w:pPr>
            <w:r>
              <w:rPr>
                <w:rFonts w:hint="eastAsia" w:ascii="Calibri" w:hAnsi="宋体" w:cs="宋体"/>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Calibri" w:hAnsi="宋体" w:cs="宋体"/>
              </w:rPr>
            </w:pPr>
            <w:r>
              <w:rPr>
                <w:rFonts w:hint="eastAsia" w:ascii="Calibri" w:hAnsi="宋体" w:cs="宋体"/>
              </w:rPr>
              <w:t>1</w:t>
            </w:r>
          </w:p>
        </w:tc>
        <w:tc>
          <w:tcPr>
            <w:tcW w:w="1246" w:type="dxa"/>
          </w:tcPr>
          <w:p>
            <w:pPr>
              <w:spacing w:line="400" w:lineRule="exact"/>
              <w:ind w:right="25" w:rightChars="12"/>
              <w:jc w:val="center"/>
              <w:rPr>
                <w:rFonts w:ascii="Calibri" w:hAnsi="宋体" w:cs="宋体"/>
                <w:b/>
              </w:rPr>
            </w:pPr>
          </w:p>
        </w:tc>
        <w:tc>
          <w:tcPr>
            <w:tcW w:w="1607" w:type="dxa"/>
          </w:tcPr>
          <w:p>
            <w:pPr>
              <w:spacing w:line="400" w:lineRule="exact"/>
              <w:ind w:right="25" w:rightChars="12"/>
              <w:jc w:val="center"/>
              <w:rPr>
                <w:rFonts w:ascii="Calibri" w:hAnsi="宋体" w:cs="宋体"/>
                <w:b/>
              </w:rPr>
            </w:pPr>
          </w:p>
        </w:tc>
        <w:tc>
          <w:tcPr>
            <w:tcW w:w="1291"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697" w:type="dxa"/>
          </w:tcPr>
          <w:p>
            <w:pPr>
              <w:spacing w:line="400" w:lineRule="exact"/>
              <w:ind w:right="25" w:rightChars="12"/>
              <w:jc w:val="center"/>
              <w:rPr>
                <w:rFonts w:ascii="Calibri"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Calibri" w:hAnsi="宋体" w:cs="宋体"/>
              </w:rPr>
            </w:pPr>
            <w:r>
              <w:rPr>
                <w:rFonts w:hint="eastAsia" w:ascii="Calibri" w:hAnsi="宋体" w:cs="宋体"/>
              </w:rPr>
              <w:t>2</w:t>
            </w:r>
          </w:p>
        </w:tc>
        <w:tc>
          <w:tcPr>
            <w:tcW w:w="1246" w:type="dxa"/>
          </w:tcPr>
          <w:p>
            <w:pPr>
              <w:spacing w:line="400" w:lineRule="exact"/>
              <w:ind w:right="25" w:rightChars="12"/>
              <w:jc w:val="center"/>
              <w:rPr>
                <w:rFonts w:ascii="Calibri" w:hAnsi="宋体" w:cs="宋体"/>
                <w:b/>
              </w:rPr>
            </w:pPr>
          </w:p>
        </w:tc>
        <w:tc>
          <w:tcPr>
            <w:tcW w:w="1607" w:type="dxa"/>
          </w:tcPr>
          <w:p>
            <w:pPr>
              <w:spacing w:line="400" w:lineRule="exact"/>
              <w:ind w:right="25" w:rightChars="12"/>
              <w:jc w:val="center"/>
              <w:rPr>
                <w:rFonts w:ascii="Calibri" w:hAnsi="宋体" w:cs="宋体"/>
                <w:b/>
              </w:rPr>
            </w:pPr>
          </w:p>
        </w:tc>
        <w:tc>
          <w:tcPr>
            <w:tcW w:w="1291"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697" w:type="dxa"/>
          </w:tcPr>
          <w:p>
            <w:pPr>
              <w:spacing w:line="400" w:lineRule="exact"/>
              <w:ind w:right="25" w:rightChars="12"/>
              <w:jc w:val="center"/>
              <w:rPr>
                <w:rFonts w:ascii="Calibri"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Calibri" w:hAnsi="宋体" w:cs="宋体"/>
              </w:rPr>
            </w:pPr>
            <w:r>
              <w:rPr>
                <w:rFonts w:hint="eastAsia" w:ascii="Calibri" w:hAnsi="宋体" w:cs="宋体"/>
              </w:rPr>
              <w:t>3</w:t>
            </w:r>
          </w:p>
        </w:tc>
        <w:tc>
          <w:tcPr>
            <w:tcW w:w="1246" w:type="dxa"/>
          </w:tcPr>
          <w:p>
            <w:pPr>
              <w:spacing w:line="400" w:lineRule="exact"/>
              <w:ind w:right="25" w:rightChars="12"/>
              <w:jc w:val="center"/>
              <w:rPr>
                <w:rFonts w:ascii="Calibri" w:hAnsi="宋体" w:cs="宋体"/>
                <w:b/>
              </w:rPr>
            </w:pPr>
          </w:p>
        </w:tc>
        <w:tc>
          <w:tcPr>
            <w:tcW w:w="1607" w:type="dxa"/>
          </w:tcPr>
          <w:p>
            <w:pPr>
              <w:spacing w:line="400" w:lineRule="exact"/>
              <w:ind w:right="25" w:rightChars="12"/>
              <w:jc w:val="center"/>
              <w:rPr>
                <w:rFonts w:ascii="Calibri" w:hAnsi="宋体" w:cs="宋体"/>
                <w:b/>
              </w:rPr>
            </w:pPr>
          </w:p>
        </w:tc>
        <w:tc>
          <w:tcPr>
            <w:tcW w:w="1291"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697" w:type="dxa"/>
          </w:tcPr>
          <w:p>
            <w:pPr>
              <w:spacing w:line="400" w:lineRule="exact"/>
              <w:ind w:right="25" w:rightChars="12"/>
              <w:jc w:val="center"/>
              <w:rPr>
                <w:rFonts w:ascii="Calibri"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Calibri" w:hAnsi="宋体" w:cs="宋体"/>
              </w:rPr>
            </w:pPr>
            <w:r>
              <w:rPr>
                <w:rFonts w:hint="eastAsia" w:ascii="Calibri" w:hAnsi="宋体" w:cs="宋体"/>
              </w:rPr>
              <w:t>…</w:t>
            </w:r>
          </w:p>
        </w:tc>
        <w:tc>
          <w:tcPr>
            <w:tcW w:w="1246" w:type="dxa"/>
          </w:tcPr>
          <w:p>
            <w:pPr>
              <w:spacing w:line="400" w:lineRule="exact"/>
              <w:ind w:right="25" w:rightChars="12"/>
              <w:jc w:val="center"/>
              <w:rPr>
                <w:rFonts w:ascii="Calibri" w:hAnsi="宋体" w:cs="宋体"/>
                <w:b/>
              </w:rPr>
            </w:pPr>
          </w:p>
        </w:tc>
        <w:tc>
          <w:tcPr>
            <w:tcW w:w="1607" w:type="dxa"/>
          </w:tcPr>
          <w:p>
            <w:pPr>
              <w:spacing w:line="400" w:lineRule="exact"/>
              <w:ind w:right="25" w:rightChars="12"/>
              <w:jc w:val="center"/>
              <w:rPr>
                <w:rFonts w:ascii="Calibri" w:hAnsi="宋体" w:cs="宋体"/>
                <w:b/>
              </w:rPr>
            </w:pPr>
          </w:p>
        </w:tc>
        <w:tc>
          <w:tcPr>
            <w:tcW w:w="1291"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697" w:type="dxa"/>
          </w:tcPr>
          <w:p>
            <w:pPr>
              <w:spacing w:line="400" w:lineRule="exact"/>
              <w:ind w:right="25" w:rightChars="12"/>
              <w:jc w:val="center"/>
              <w:rPr>
                <w:rFonts w:ascii="Calibri"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Calibri" w:hAnsi="宋体" w:cs="宋体"/>
              </w:rPr>
            </w:pPr>
          </w:p>
        </w:tc>
        <w:tc>
          <w:tcPr>
            <w:tcW w:w="1246" w:type="dxa"/>
          </w:tcPr>
          <w:p>
            <w:pPr>
              <w:spacing w:line="400" w:lineRule="exact"/>
              <w:ind w:right="25" w:rightChars="12"/>
              <w:jc w:val="center"/>
              <w:rPr>
                <w:rFonts w:ascii="Calibri" w:hAnsi="宋体" w:cs="宋体"/>
                <w:b/>
              </w:rPr>
            </w:pPr>
          </w:p>
        </w:tc>
        <w:tc>
          <w:tcPr>
            <w:tcW w:w="1607" w:type="dxa"/>
          </w:tcPr>
          <w:p>
            <w:pPr>
              <w:spacing w:line="400" w:lineRule="exact"/>
              <w:ind w:right="25" w:rightChars="12"/>
              <w:jc w:val="center"/>
              <w:rPr>
                <w:rFonts w:ascii="Calibri" w:hAnsi="宋体" w:cs="宋体"/>
                <w:b/>
              </w:rPr>
            </w:pPr>
          </w:p>
        </w:tc>
        <w:tc>
          <w:tcPr>
            <w:tcW w:w="1291"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697" w:type="dxa"/>
          </w:tcPr>
          <w:p>
            <w:pPr>
              <w:spacing w:line="400" w:lineRule="exact"/>
              <w:ind w:right="25" w:rightChars="12"/>
              <w:jc w:val="center"/>
              <w:rPr>
                <w:rFonts w:ascii="Calibri"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vAlign w:val="center"/>
          </w:tcPr>
          <w:p>
            <w:pPr>
              <w:spacing w:line="400" w:lineRule="exact"/>
              <w:ind w:right="25" w:rightChars="12"/>
              <w:jc w:val="center"/>
              <w:rPr>
                <w:rFonts w:ascii="Calibri" w:hAnsi="宋体" w:cs="宋体"/>
              </w:rPr>
            </w:pPr>
          </w:p>
        </w:tc>
        <w:tc>
          <w:tcPr>
            <w:tcW w:w="1246" w:type="dxa"/>
          </w:tcPr>
          <w:p>
            <w:pPr>
              <w:spacing w:line="400" w:lineRule="exact"/>
              <w:ind w:right="25" w:rightChars="12"/>
              <w:jc w:val="center"/>
              <w:rPr>
                <w:rFonts w:ascii="Calibri" w:hAnsi="宋体" w:cs="宋体"/>
                <w:b/>
              </w:rPr>
            </w:pPr>
          </w:p>
        </w:tc>
        <w:tc>
          <w:tcPr>
            <w:tcW w:w="1607" w:type="dxa"/>
          </w:tcPr>
          <w:p>
            <w:pPr>
              <w:spacing w:line="400" w:lineRule="exact"/>
              <w:ind w:right="25" w:rightChars="12"/>
              <w:jc w:val="center"/>
              <w:rPr>
                <w:rFonts w:ascii="Calibri" w:hAnsi="宋体" w:cs="宋体"/>
                <w:b/>
              </w:rPr>
            </w:pPr>
          </w:p>
        </w:tc>
        <w:tc>
          <w:tcPr>
            <w:tcW w:w="1291"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216" w:type="dxa"/>
          </w:tcPr>
          <w:p>
            <w:pPr>
              <w:spacing w:line="400" w:lineRule="exact"/>
              <w:ind w:right="25" w:rightChars="12"/>
              <w:jc w:val="center"/>
              <w:rPr>
                <w:rFonts w:ascii="Calibri" w:hAnsi="宋体" w:cs="宋体"/>
                <w:b/>
              </w:rPr>
            </w:pPr>
          </w:p>
        </w:tc>
        <w:tc>
          <w:tcPr>
            <w:tcW w:w="1697" w:type="dxa"/>
          </w:tcPr>
          <w:p>
            <w:pPr>
              <w:spacing w:line="400" w:lineRule="exact"/>
              <w:ind w:right="25" w:rightChars="12"/>
              <w:jc w:val="center"/>
              <w:rPr>
                <w:rFonts w:ascii="Calibri" w:hAnsi="宋体" w:cs="宋体"/>
                <w:b/>
              </w:rPr>
            </w:pPr>
          </w:p>
        </w:tc>
      </w:tr>
    </w:tbl>
    <w:p>
      <w:pPr>
        <w:widowControl/>
        <w:jc w:val="left"/>
        <w:rPr>
          <w:rFonts w:ascii="宋体" w:hAnsi="宋体" w:cs="宋体"/>
          <w:b/>
          <w:kern w:val="0"/>
          <w:sz w:val="24"/>
          <w:szCs w:val="22"/>
        </w:rPr>
      </w:pPr>
    </w:p>
    <w:p>
      <w:pPr>
        <w:widowControl/>
        <w:jc w:val="left"/>
        <w:rPr>
          <w:rFonts w:ascii="宋体" w:hAnsi="宋体" w:cs="宋体"/>
          <w:b/>
          <w:szCs w:val="21"/>
        </w:rPr>
      </w:pPr>
      <w:r>
        <w:rPr>
          <w:rFonts w:ascii="宋体" w:hAnsi="宋体" w:cs="宋体"/>
          <w:b/>
          <w:kern w:val="0"/>
          <w:sz w:val="24"/>
          <w:szCs w:val="22"/>
        </w:rPr>
        <w:br w:type="page"/>
      </w:r>
    </w:p>
    <w:p>
      <w:pPr>
        <w:spacing w:line="360" w:lineRule="auto"/>
        <w:jc w:val="left"/>
        <w:rPr>
          <w:rFonts w:ascii="宋体" w:hAnsi="宋体" w:cs="宋体"/>
          <w:b/>
          <w:szCs w:val="21"/>
        </w:rPr>
      </w:pPr>
      <w:r>
        <w:rPr>
          <w:rFonts w:hint="eastAsia" w:ascii="宋体" w:hAnsi="宋体" w:cs="宋体"/>
          <w:b/>
          <w:szCs w:val="21"/>
        </w:rPr>
        <w:t>（11）技术部分：针对本项目第二章采购需求和第四章评分标准中的条款拟定各种方案，格式自拟；</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r>
        <w:rPr>
          <w:rFonts w:hint="eastAsia" w:ascii="宋体" w:hAnsi="宋体" w:cs="宋体"/>
          <w:b/>
          <w:szCs w:val="21"/>
        </w:rPr>
        <w:t>（12）第四章评标办法及评分标准中需提供的其他相关证书及合同、中标通知书等；</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r>
        <w:rPr>
          <w:rFonts w:hint="eastAsia" w:ascii="宋体" w:hAnsi="宋体" w:cs="宋体"/>
          <w:b/>
          <w:szCs w:val="21"/>
        </w:rPr>
        <w:t>（13）供应商认为有需要提供的其它有关证明资料。</w:t>
      </w:r>
    </w:p>
    <w:p>
      <w:pPr>
        <w:spacing w:line="360" w:lineRule="auto"/>
        <w:jc w:val="left"/>
        <w:rPr>
          <w:rFonts w:ascii="宋体" w:hAnsi="宋体" w:cs="宋体"/>
          <w:b/>
          <w:szCs w:val="21"/>
        </w:rPr>
      </w:pPr>
    </w:p>
    <w:p>
      <w:pPr>
        <w:spacing w:line="360" w:lineRule="auto"/>
        <w:jc w:val="center"/>
        <w:rPr>
          <w:rFonts w:ascii="宋体" w:hAnsi="宋体" w:cs="宋体"/>
          <w:b/>
          <w:szCs w:val="21"/>
        </w:rPr>
      </w:pPr>
    </w:p>
    <w:p>
      <w:pPr>
        <w:widowControl/>
        <w:jc w:val="left"/>
        <w:rPr>
          <w:rFonts w:ascii="宋体" w:hAnsi="宋体" w:cs="宋体"/>
          <w:b/>
          <w:szCs w:val="21"/>
        </w:rPr>
      </w:pPr>
      <w:r>
        <w:rPr>
          <w:rFonts w:ascii="宋体" w:hAnsi="宋体" w:cs="宋体"/>
          <w:b/>
          <w:szCs w:val="21"/>
        </w:rPr>
        <w:br w:type="page"/>
      </w:r>
    </w:p>
    <w:p>
      <w:pPr>
        <w:widowControl/>
        <w:spacing w:line="276" w:lineRule="auto"/>
        <w:jc w:val="left"/>
        <w:rPr>
          <w:rFonts w:ascii="宋体" w:hAnsi="宋体" w:cs="宋体"/>
        </w:rPr>
      </w:pPr>
      <w:r>
        <w:rPr>
          <w:rFonts w:hint="eastAsia" w:ascii="宋体" w:hAnsi="宋体" w:cs="宋体"/>
          <w:kern w:val="0"/>
          <w:sz w:val="22"/>
          <w:szCs w:val="22"/>
        </w:rPr>
        <w:t xml:space="preserve">一、报价文件封面格式： </w:t>
      </w:r>
    </w:p>
    <w:p>
      <w:pPr>
        <w:widowControl/>
        <w:spacing w:line="276" w:lineRule="auto"/>
        <w:jc w:val="left"/>
        <w:rPr>
          <w:rFonts w:ascii="宋体" w:hAnsi="宋体" w:cs="宋体"/>
        </w:rPr>
      </w:pPr>
      <w:r>
        <w:rPr>
          <w:rFonts w:hint="eastAsia" w:ascii="宋体" w:hAnsi="宋体" w:cs="宋体"/>
          <w:kern w:val="0"/>
          <w:sz w:val="22"/>
          <w:szCs w:val="22"/>
        </w:rPr>
        <w:t xml:space="preserve">                                                        正本/或副本</w:t>
      </w:r>
    </w:p>
    <w:p>
      <w:pPr>
        <w:widowControl/>
        <w:spacing w:line="276" w:lineRule="auto"/>
        <w:jc w:val="left"/>
        <w:rPr>
          <w:rFonts w:ascii="宋体" w:hAnsi="宋体" w:cs="宋体"/>
        </w:rPr>
      </w:pPr>
    </w:p>
    <w:p>
      <w:pPr>
        <w:widowControl/>
        <w:spacing w:line="276" w:lineRule="auto"/>
        <w:jc w:val="center"/>
        <w:rPr>
          <w:rFonts w:ascii="宋体" w:hAnsi="宋体" w:cs="宋体"/>
          <w:sz w:val="44"/>
          <w:szCs w:val="44"/>
        </w:rPr>
      </w:pPr>
      <w:r>
        <w:rPr>
          <w:rFonts w:hint="eastAsia" w:ascii="宋体" w:hAnsi="宋体" w:cs="宋体"/>
          <w:kern w:val="0"/>
          <w:sz w:val="44"/>
          <w:szCs w:val="44"/>
        </w:rPr>
        <w:t>报价文件</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项目名称：                        项目</w:t>
      </w:r>
    </w:p>
    <w:p>
      <w:pPr>
        <w:widowControl/>
        <w:spacing w:line="276" w:lineRule="auto"/>
        <w:jc w:val="left"/>
        <w:rPr>
          <w:rFonts w:ascii="宋体" w:hAnsi="宋体" w:cs="宋体"/>
        </w:rPr>
      </w:pPr>
      <w:r>
        <w:rPr>
          <w:rFonts w:hint="eastAsia" w:ascii="宋体" w:hAnsi="宋体" w:cs="宋体"/>
          <w:kern w:val="0"/>
          <w:sz w:val="22"/>
          <w:szCs w:val="22"/>
        </w:rPr>
        <w:t xml:space="preserve">项目编号： </w:t>
      </w:r>
    </w:p>
    <w:p>
      <w:pPr>
        <w:rPr>
          <w:rFonts w:hAnsi="宋体" w:cs="宋体"/>
          <w:bCs/>
          <w:u w:val="single"/>
        </w:rPr>
      </w:pPr>
      <w:r>
        <w:rPr>
          <w:rFonts w:hint="eastAsia" w:ascii="宋体" w:hAnsi="宋体" w:cs="宋体"/>
          <w:color w:val="000000"/>
        </w:rPr>
        <w:t>子包号：</w:t>
      </w:r>
    </w:p>
    <w:p>
      <w:pPr>
        <w:widowControl/>
        <w:spacing w:line="276" w:lineRule="auto"/>
        <w:jc w:val="left"/>
        <w:rPr>
          <w:rFonts w:ascii="宋体" w:hAnsi="宋体" w:cs="宋体"/>
        </w:rPr>
      </w:pPr>
    </w:p>
    <w:p>
      <w:pPr>
        <w:widowControl/>
        <w:spacing w:line="276" w:lineRule="auto"/>
        <w:jc w:val="left"/>
        <w:rPr>
          <w:rFonts w:ascii="宋体" w:hAnsi="宋体" w:cs="宋体"/>
        </w:rPr>
      </w:pPr>
      <w:r>
        <w:rPr>
          <w:rFonts w:hint="eastAsia" w:ascii="宋体" w:hAnsi="宋体" w:cs="宋体"/>
          <w:kern w:val="0"/>
          <w:sz w:val="22"/>
          <w:szCs w:val="22"/>
        </w:rPr>
        <w:t>供应商名称：</w:t>
      </w:r>
    </w:p>
    <w:p>
      <w:pPr>
        <w:widowControl/>
        <w:spacing w:line="276" w:lineRule="auto"/>
        <w:jc w:val="left"/>
        <w:rPr>
          <w:rFonts w:ascii="宋体" w:hAnsi="宋体" w:cs="宋体"/>
        </w:rPr>
      </w:pPr>
      <w:r>
        <w:rPr>
          <w:rFonts w:hint="eastAsia" w:ascii="宋体" w:hAnsi="宋体" w:cs="宋体"/>
          <w:kern w:val="0"/>
          <w:sz w:val="22"/>
          <w:szCs w:val="22"/>
        </w:rPr>
        <w:t>供应商地址：</w:t>
      </w:r>
    </w:p>
    <w:p>
      <w:pPr>
        <w:widowControl/>
        <w:spacing w:line="276" w:lineRule="auto"/>
        <w:jc w:val="left"/>
        <w:rPr>
          <w:rFonts w:ascii="宋体" w:hAnsi="宋体" w:cs="宋体"/>
        </w:rPr>
      </w:pPr>
    </w:p>
    <w:p>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pPr>
        <w:widowControl/>
        <w:spacing w:line="276" w:lineRule="auto"/>
        <w:jc w:val="left"/>
        <w:rPr>
          <w:rFonts w:ascii="宋体" w:hAnsi="宋体" w:cs="宋体"/>
        </w:rPr>
      </w:pPr>
      <w:r>
        <w:rPr>
          <w:rFonts w:hint="eastAsia" w:ascii="宋体" w:hAnsi="宋体" w:cs="宋体"/>
          <w:kern w:val="0"/>
          <w:sz w:val="22"/>
          <w:szCs w:val="22"/>
        </w:rPr>
        <w:t xml:space="preserve">                                                       年  月  日</w:t>
      </w: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widowControl/>
        <w:snapToGrid w:val="0"/>
        <w:spacing w:line="276" w:lineRule="auto"/>
        <w:jc w:val="center"/>
        <w:rPr>
          <w:rFonts w:ascii="宋体" w:hAnsi="宋体" w:cs="宋体"/>
          <w:szCs w:val="21"/>
        </w:rPr>
      </w:pP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4"/>
        </w:rPr>
      </w:pPr>
      <w:r>
        <w:rPr>
          <w:rFonts w:hint="eastAsia" w:ascii="宋体" w:hAnsi="宋体" w:cs="宋体"/>
          <w:b/>
          <w:sz w:val="24"/>
        </w:rPr>
        <w:t>报价文件内容包括：</w:t>
      </w:r>
    </w:p>
    <w:p>
      <w:pPr>
        <w:spacing w:line="360" w:lineRule="auto"/>
        <w:rPr>
          <w:rFonts w:ascii="宋体" w:hAnsi="宋体"/>
          <w:b/>
          <w:bCs/>
        </w:rPr>
      </w:pPr>
      <w:r>
        <w:rPr>
          <w:rFonts w:hint="eastAsia" w:ascii="宋体" w:hAnsi="宋体" w:cs="宋体"/>
          <w:szCs w:val="21"/>
        </w:rPr>
        <w:t>（1）开标一览表（</w:t>
      </w:r>
      <w:r>
        <w:rPr>
          <w:rFonts w:hint="eastAsia" w:ascii="宋体" w:hAnsi="宋体" w:cs="宋体"/>
        </w:rPr>
        <w:t>格式附后</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（2）投标分项报价表格式（格式附后）；</w:t>
      </w:r>
    </w:p>
    <w:p>
      <w:pPr>
        <w:spacing w:line="360" w:lineRule="auto"/>
        <w:rPr>
          <w:rFonts w:ascii="宋体" w:hAnsi="宋体" w:cs="宋体"/>
          <w:szCs w:val="21"/>
        </w:rPr>
      </w:pPr>
      <w:r>
        <w:rPr>
          <w:rFonts w:hint="eastAsia" w:ascii="宋体" w:hAnsi="宋体" w:cs="宋体"/>
          <w:szCs w:val="21"/>
        </w:rPr>
        <w:t>（3）中小企业声明函（格式附后。如为残疾人福利性单位，可改为提供残疾人福利性单位声明函；如为监狱企业，可改为提供由省级以上监狱管理局、戒毒管理局（含新疆生产建设兵团）出具的属于监狱企业的证明文件）；</w:t>
      </w:r>
    </w:p>
    <w:p>
      <w:pPr>
        <w:spacing w:line="360" w:lineRule="auto"/>
        <w:rPr>
          <w:rFonts w:ascii="宋体" w:hAnsi="宋体" w:cs="宋体"/>
          <w:szCs w:val="21"/>
        </w:rPr>
      </w:pPr>
      <w:r>
        <w:rPr>
          <w:rFonts w:hint="eastAsia" w:ascii="宋体" w:hAnsi="宋体" w:cs="宋体"/>
          <w:szCs w:val="21"/>
        </w:rPr>
        <w:t>（4）供应商针对报价需要说明的其他文件和说明（格式自拟）。</w:t>
      </w:r>
    </w:p>
    <w:p>
      <w:pPr>
        <w:snapToGrid w:val="0"/>
        <w:spacing w:line="360" w:lineRule="auto"/>
        <w:ind w:firstLine="630" w:firstLineChars="300"/>
        <w:jc w:val="left"/>
        <w:rPr>
          <w:rFonts w:ascii="宋体" w:hAnsi="宋体" w:cs="宋体"/>
        </w:rPr>
      </w:pPr>
    </w:p>
    <w:p>
      <w:pPr>
        <w:snapToGrid w:val="0"/>
        <w:spacing w:line="360" w:lineRule="auto"/>
        <w:ind w:firstLine="420" w:firstLineChars="200"/>
        <w:jc w:val="left"/>
        <w:rPr>
          <w:rFonts w:ascii="宋体" w:hAnsi="宋体" w:cs="宋体"/>
          <w:szCs w:val="21"/>
        </w:rPr>
      </w:pPr>
    </w:p>
    <w:p>
      <w:pPr>
        <w:widowControl/>
        <w:spacing w:line="276" w:lineRule="auto"/>
        <w:jc w:val="left"/>
        <w:rPr>
          <w:rFonts w:ascii="宋体" w:hAnsi="宋体" w:cs="宋体"/>
          <w:sz w:val="32"/>
          <w:szCs w:val="20"/>
        </w:rPr>
      </w:pPr>
    </w:p>
    <w:p>
      <w:pPr>
        <w:snapToGrid w:val="0"/>
        <w:spacing w:before="120" w:beforeLines="50" w:after="50"/>
        <w:rPr>
          <w:rFonts w:ascii="宋体" w:hAnsi="宋体" w:cs="宋体"/>
          <w:b/>
          <w:kern w:val="0"/>
          <w:szCs w:val="21"/>
        </w:rPr>
      </w:pPr>
      <w:r>
        <w:rPr>
          <w:rFonts w:ascii="宋体" w:hAnsi="宋体" w:cs="宋体"/>
          <w:b/>
          <w:kern w:val="0"/>
          <w:szCs w:val="21"/>
        </w:rPr>
        <w:br w:type="page"/>
      </w:r>
      <w:r>
        <w:rPr>
          <w:rFonts w:hint="eastAsia" w:ascii="宋体" w:hAnsi="宋体" w:cs="宋体"/>
          <w:b/>
          <w:kern w:val="0"/>
          <w:szCs w:val="21"/>
        </w:rPr>
        <w:t>(1)开标一览表格式</w:t>
      </w:r>
    </w:p>
    <w:p>
      <w:pPr>
        <w:snapToGrid w:val="0"/>
        <w:spacing w:before="120" w:beforeLines="50" w:after="50" w:line="360" w:lineRule="auto"/>
        <w:jc w:val="center"/>
        <w:rPr>
          <w:rFonts w:ascii="宋体" w:hAnsi="宋体"/>
          <w:b/>
          <w:bCs/>
        </w:rPr>
      </w:pPr>
      <w:r>
        <w:rPr>
          <w:rFonts w:hint="eastAsia" w:ascii="宋体" w:hAnsi="宋体" w:cs="宋体"/>
          <w:b/>
          <w:bCs/>
        </w:rPr>
        <w:t>开标一览表</w:t>
      </w:r>
    </w:p>
    <w:p>
      <w:pPr>
        <w:snapToGrid w:val="0"/>
        <w:spacing w:before="50" w:after="50" w:line="360" w:lineRule="auto"/>
        <w:jc w:val="center"/>
        <w:rPr>
          <w:rFonts w:ascii="宋体" w:hAnsi="宋体"/>
          <w:b/>
          <w:bCs/>
        </w:rPr>
      </w:pPr>
    </w:p>
    <w:p>
      <w:pPr>
        <w:snapToGrid w:val="0"/>
        <w:spacing w:before="50" w:after="50" w:line="360" w:lineRule="auto"/>
        <w:rPr>
          <w:rFonts w:ascii="宋体" w:hAnsi="宋体"/>
        </w:rPr>
      </w:pPr>
      <w:r>
        <w:rPr>
          <w:rFonts w:hint="eastAsia" w:ascii="宋体" w:hAnsi="宋体" w:cs="宋体"/>
        </w:rPr>
        <w:t>项目编号：</w:t>
      </w:r>
      <w:r>
        <w:rPr>
          <w:rFonts w:ascii="宋体" w:hAnsi="宋体" w:cs="宋体"/>
          <w:u w:val="single"/>
        </w:rPr>
        <w:t xml:space="preserve">                  </w:t>
      </w:r>
      <w:r>
        <w:rPr>
          <w:rFonts w:hint="eastAsia" w:ascii="宋体" w:hAnsi="宋体" w:cs="宋体"/>
        </w:rPr>
        <w:t>项目名称：</w:t>
      </w:r>
      <w:r>
        <w:rPr>
          <w:rFonts w:ascii="宋体" w:hAnsi="宋体" w:cs="宋体"/>
          <w:u w:val="single"/>
        </w:rPr>
        <w:t xml:space="preserve">                    </w:t>
      </w:r>
      <w:r>
        <w:rPr>
          <w:rFonts w:ascii="宋体" w:hAnsi="宋体" w:cs="宋体"/>
        </w:rPr>
        <w:t xml:space="preserve">   </w:t>
      </w:r>
      <w:r>
        <w:rPr>
          <w:rFonts w:hint="eastAsia" w:ascii="宋体" w:hAnsi="宋体" w:cs="宋体"/>
        </w:rPr>
        <w:t>单位：元</w:t>
      </w:r>
      <w:r>
        <w:rPr>
          <w:rFonts w:ascii="宋体" w:hAnsi="宋体" w:cs="宋体"/>
        </w:rPr>
        <w:t xml:space="preserve"> </w:t>
      </w:r>
    </w:p>
    <w:tbl>
      <w:tblPr>
        <w:tblStyle w:val="49"/>
        <w:tblW w:w="0" w:type="auto"/>
        <w:jc w:val="center"/>
        <w:tblLayout w:type="fixed"/>
        <w:tblCellMar>
          <w:top w:w="0" w:type="dxa"/>
          <w:left w:w="108" w:type="dxa"/>
          <w:bottom w:w="0" w:type="dxa"/>
          <w:right w:w="108" w:type="dxa"/>
        </w:tblCellMar>
      </w:tblPr>
      <w:tblGrid>
        <w:gridCol w:w="1049"/>
        <w:gridCol w:w="1969"/>
        <w:gridCol w:w="1038"/>
        <w:gridCol w:w="2214"/>
        <w:gridCol w:w="2568"/>
      </w:tblGrid>
      <w:tr>
        <w:trPr>
          <w:trHeight w:val="514"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bCs/>
              </w:rPr>
            </w:pPr>
            <w:r>
              <w:rPr>
                <w:rFonts w:hint="eastAsia" w:ascii="宋体" w:hAnsi="宋体" w:cs="宋体"/>
                <w:b/>
                <w:bCs/>
              </w:rPr>
              <w:t>序号</w:t>
            </w:r>
          </w:p>
        </w:tc>
        <w:tc>
          <w:tcPr>
            <w:tcW w:w="1969"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b/>
                <w:bCs/>
              </w:rPr>
            </w:pPr>
            <w:r>
              <w:rPr>
                <w:rFonts w:hint="eastAsia" w:ascii="宋体" w:hAnsi="宋体" w:cs="宋体"/>
                <w:b/>
                <w:bCs/>
              </w:rPr>
              <w:t>采购内容</w:t>
            </w: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b/>
                <w:bCs/>
              </w:rPr>
            </w:pPr>
            <w:r>
              <w:rPr>
                <w:rFonts w:hint="eastAsia" w:ascii="宋体" w:hAnsi="宋体" w:cs="宋体"/>
                <w:b/>
                <w:bCs/>
              </w:rPr>
              <w:t>数量</w:t>
            </w:r>
          </w:p>
        </w:tc>
        <w:tc>
          <w:tcPr>
            <w:tcW w:w="2214"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b/>
                <w:bCs/>
              </w:rPr>
            </w:pPr>
            <w:r>
              <w:rPr>
                <w:rFonts w:hint="eastAsia" w:ascii="宋体" w:hAnsi="宋体" w:cs="宋体"/>
                <w:b/>
                <w:bCs/>
              </w:rPr>
              <w:t>投标</w:t>
            </w:r>
            <w:r>
              <w:rPr>
                <w:rFonts w:hint="eastAsia" w:hAnsi="宋体" w:cs="宋体"/>
                <w:b/>
                <w:bCs/>
              </w:rPr>
              <w:t>单</w:t>
            </w:r>
            <w:r>
              <w:rPr>
                <w:rFonts w:hint="eastAsia" w:ascii="宋体" w:hAnsi="宋体" w:cs="宋体"/>
                <w:b/>
                <w:bCs/>
              </w:rPr>
              <w:t>价</w:t>
            </w:r>
            <w:r>
              <w:rPr>
                <w:b/>
                <w:bCs/>
                <w:szCs w:val="21"/>
              </w:rPr>
              <w:t>（</w:t>
            </w:r>
            <w:r>
              <w:rPr>
                <w:rFonts w:hint="eastAsia" w:ascii="宋体" w:hAnsi="宋体" w:cs="宋体"/>
                <w:b/>
                <w:bCs/>
              </w:rPr>
              <w:t>人民币</w:t>
            </w:r>
            <w:r>
              <w:rPr>
                <w:b/>
                <w:bCs/>
                <w:szCs w:val="21"/>
              </w:rPr>
              <w:t>元）</w:t>
            </w:r>
          </w:p>
        </w:tc>
        <w:tc>
          <w:tcPr>
            <w:tcW w:w="2568"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b/>
                <w:bCs/>
              </w:rPr>
            </w:pPr>
            <w:r>
              <w:rPr>
                <w:rFonts w:hint="eastAsia" w:hAnsi="宋体" w:cs="宋体"/>
                <w:b/>
                <w:bCs/>
              </w:rPr>
              <w:t>备注</w:t>
            </w:r>
          </w:p>
        </w:tc>
      </w:tr>
      <w:tr>
        <w:tblPrEx>
          <w:tblCellMar>
            <w:top w:w="0" w:type="dxa"/>
            <w:left w:w="108" w:type="dxa"/>
            <w:bottom w:w="0" w:type="dxa"/>
            <w:right w:w="108" w:type="dxa"/>
          </w:tblCellMar>
        </w:tblPrEx>
        <w:trPr>
          <w:cantSplit/>
          <w:trHeight w:val="1307" w:hRule="atLeast"/>
          <w:jc w:val="center"/>
        </w:trPr>
        <w:tc>
          <w:tcPr>
            <w:tcW w:w="1049" w:type="dxa"/>
            <w:tcBorders>
              <w:top w:val="single" w:color="auto" w:sz="4" w:space="0"/>
              <w:left w:val="single" w:color="auto" w:sz="4" w:space="0"/>
              <w:right w:val="single" w:color="auto" w:sz="4" w:space="0"/>
            </w:tcBorders>
            <w:vAlign w:val="center"/>
          </w:tcPr>
          <w:p>
            <w:pPr>
              <w:snapToGrid w:val="0"/>
              <w:spacing w:before="50" w:after="50"/>
              <w:jc w:val="center"/>
              <w:rPr>
                <w:rFonts w:ascii="宋体" w:hAnsi="宋体" w:cs="宋体"/>
              </w:rPr>
            </w:pPr>
            <w:r>
              <w:rPr>
                <w:rFonts w:hint="eastAsia" w:ascii="宋体" w:hAnsi="宋体" w:cs="宋体"/>
              </w:rPr>
              <w:t>一</w:t>
            </w:r>
          </w:p>
        </w:tc>
        <w:tc>
          <w:tcPr>
            <w:tcW w:w="1969" w:type="dxa"/>
            <w:tcBorders>
              <w:top w:val="single" w:color="auto" w:sz="4" w:space="0"/>
              <w:left w:val="nil"/>
              <w:right w:val="single" w:color="auto" w:sz="4" w:space="0"/>
            </w:tcBorders>
            <w:vAlign w:val="center"/>
          </w:tcPr>
          <w:p>
            <w:pPr>
              <w:snapToGrid w:val="0"/>
              <w:spacing w:before="50" w:after="50"/>
              <w:jc w:val="center"/>
              <w:rPr>
                <w:rFonts w:ascii="宋体" w:hAnsi="宋体" w:cs="宋体"/>
              </w:rPr>
            </w:pPr>
          </w:p>
        </w:tc>
        <w:tc>
          <w:tcPr>
            <w:tcW w:w="1038" w:type="dxa"/>
            <w:tcBorders>
              <w:top w:val="single" w:color="auto" w:sz="4" w:space="0"/>
              <w:left w:val="nil"/>
              <w:right w:val="single" w:color="auto" w:sz="4" w:space="0"/>
            </w:tcBorders>
            <w:vAlign w:val="center"/>
          </w:tcPr>
          <w:p>
            <w:pPr>
              <w:snapToGrid w:val="0"/>
              <w:spacing w:before="50" w:after="50"/>
              <w:jc w:val="center"/>
              <w:rPr>
                <w:rFonts w:ascii="宋体" w:hAnsi="宋体" w:cs="宋体"/>
              </w:rPr>
            </w:pPr>
          </w:p>
        </w:tc>
        <w:tc>
          <w:tcPr>
            <w:tcW w:w="2214" w:type="dxa"/>
            <w:tcBorders>
              <w:top w:val="single" w:color="auto" w:sz="4" w:space="0"/>
              <w:left w:val="nil"/>
              <w:right w:val="single" w:color="auto" w:sz="4" w:space="0"/>
            </w:tcBorders>
            <w:vAlign w:val="center"/>
          </w:tcPr>
          <w:p>
            <w:pPr>
              <w:snapToGrid w:val="0"/>
              <w:spacing w:before="50" w:after="50"/>
              <w:rPr>
                <w:rFonts w:ascii="宋体" w:hAnsi="宋体" w:cs="宋体"/>
              </w:rPr>
            </w:pPr>
          </w:p>
        </w:tc>
        <w:tc>
          <w:tcPr>
            <w:tcW w:w="2568" w:type="dxa"/>
            <w:tcBorders>
              <w:top w:val="single" w:color="auto" w:sz="4" w:space="0"/>
              <w:left w:val="nil"/>
              <w:right w:val="single" w:color="auto" w:sz="4" w:space="0"/>
            </w:tcBorders>
            <w:vAlign w:val="center"/>
          </w:tcPr>
          <w:p>
            <w:pPr>
              <w:snapToGrid w:val="0"/>
              <w:spacing w:before="50" w:after="50"/>
              <w:rPr>
                <w:rFonts w:ascii="宋体" w:hAnsi="宋体" w:cs="宋体"/>
              </w:rPr>
            </w:pPr>
          </w:p>
        </w:tc>
      </w:tr>
      <w:tr>
        <w:tblPrEx>
          <w:tblCellMar>
            <w:top w:w="0" w:type="dxa"/>
            <w:left w:w="108" w:type="dxa"/>
            <w:bottom w:w="0" w:type="dxa"/>
            <w:right w:w="108" w:type="dxa"/>
          </w:tblCellMar>
        </w:tblPrEx>
        <w:trPr>
          <w:trHeight w:val="969" w:hRule="atLeast"/>
          <w:jc w:val="center"/>
        </w:trPr>
        <w:tc>
          <w:tcPr>
            <w:tcW w:w="301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u w:val="single"/>
              </w:rPr>
            </w:pPr>
            <w:r>
              <w:rPr>
                <w:rFonts w:hint="eastAsia" w:ascii="宋体" w:hAnsi="宋体" w:cs="宋体"/>
                <w:b/>
                <w:bCs/>
              </w:rPr>
              <w:t>投标总价（人民币元）</w:t>
            </w:r>
          </w:p>
        </w:tc>
        <w:tc>
          <w:tcPr>
            <w:tcW w:w="5820"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rPr>
            </w:pPr>
            <w:r>
              <w:rPr>
                <w:rFonts w:hint="eastAsia" w:ascii="宋体" w:hAnsi="宋体" w:cs="宋体"/>
              </w:rPr>
              <w:t>小写：</w:t>
            </w:r>
          </w:p>
          <w:p>
            <w:pPr>
              <w:snapToGrid w:val="0"/>
              <w:spacing w:before="50" w:after="50"/>
              <w:jc w:val="left"/>
              <w:rPr>
                <w:rFonts w:ascii="宋体" w:hAnsi="宋体" w:cs="宋体"/>
              </w:rPr>
            </w:pPr>
            <w:r>
              <w:rPr>
                <w:rFonts w:hint="eastAsia" w:ascii="宋体" w:hAnsi="宋体" w:cs="宋体"/>
              </w:rPr>
              <w:t>大写：</w:t>
            </w:r>
          </w:p>
        </w:tc>
      </w:tr>
      <w:tr>
        <w:tblPrEx>
          <w:tblCellMar>
            <w:top w:w="0" w:type="dxa"/>
            <w:left w:w="108" w:type="dxa"/>
            <w:bottom w:w="0" w:type="dxa"/>
            <w:right w:w="108" w:type="dxa"/>
          </w:tblCellMar>
        </w:tblPrEx>
        <w:trPr>
          <w:trHeight w:val="1386" w:hRule="atLeast"/>
          <w:jc w:val="center"/>
        </w:trPr>
        <w:tc>
          <w:tcPr>
            <w:tcW w:w="301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bCs/>
              </w:rPr>
            </w:pPr>
            <w:r>
              <w:rPr>
                <w:rFonts w:hint="eastAsia" w:ascii="宋体" w:hAnsi="宋体" w:cs="宋体"/>
                <w:b/>
                <w:bCs/>
              </w:rPr>
              <w:t>投标声明</w:t>
            </w:r>
          </w:p>
        </w:tc>
        <w:tc>
          <w:tcPr>
            <w:tcW w:w="5820" w:type="dxa"/>
            <w:gridSpan w:val="3"/>
            <w:tcBorders>
              <w:top w:val="single" w:color="auto" w:sz="4" w:space="0"/>
              <w:left w:val="nil"/>
              <w:bottom w:val="single" w:color="auto" w:sz="4" w:space="0"/>
              <w:right w:val="single" w:color="auto" w:sz="4" w:space="0"/>
            </w:tcBorders>
            <w:vAlign w:val="center"/>
          </w:tcPr>
          <w:p>
            <w:pPr>
              <w:snapToGrid w:val="0"/>
              <w:spacing w:before="50" w:after="50"/>
              <w:jc w:val="left"/>
              <w:rPr>
                <w:rFonts w:ascii="宋体" w:hAnsi="宋体" w:cs="宋体"/>
              </w:rPr>
            </w:pPr>
          </w:p>
        </w:tc>
      </w:tr>
    </w:tbl>
    <w:p>
      <w:pPr>
        <w:snapToGrid w:val="0"/>
        <w:spacing w:before="50" w:after="50" w:line="360" w:lineRule="auto"/>
        <w:jc w:val="left"/>
        <w:rPr>
          <w:rFonts w:ascii="宋体" w:hAnsi="宋体"/>
        </w:rPr>
      </w:pPr>
      <w:r>
        <w:rPr>
          <w:rFonts w:hint="eastAsia" w:ascii="宋体" w:hAnsi="宋体" w:cs="宋体"/>
        </w:rPr>
        <w:t>注</w:t>
      </w:r>
      <w:r>
        <w:rPr>
          <w:rFonts w:ascii="宋体" w:hAnsi="宋体" w:cs="宋体"/>
        </w:rPr>
        <w:t>: 1</w:t>
      </w:r>
      <w:r>
        <w:rPr>
          <w:rFonts w:hint="eastAsia" w:ascii="宋体" w:hAnsi="宋体" w:cs="宋体"/>
        </w:rPr>
        <w:t>、报价一经涂改，应在涂改处加盖单位公章或者由法定代表人或授权代表签字或盖章，否则其投标作无效标处理。</w:t>
      </w:r>
    </w:p>
    <w:p>
      <w:pPr>
        <w:snapToGrid w:val="0"/>
        <w:spacing w:before="50" w:after="50" w:line="360" w:lineRule="auto"/>
        <w:ind w:firstLine="420" w:firstLineChars="200"/>
        <w:jc w:val="left"/>
        <w:rPr>
          <w:rFonts w:ascii="宋体" w:hAnsi="宋体"/>
        </w:rPr>
      </w:pPr>
      <w:r>
        <w:rPr>
          <w:rFonts w:ascii="宋体" w:hAnsi="宋体" w:cs="宋体"/>
        </w:rPr>
        <w:t>2</w:t>
      </w:r>
      <w:r>
        <w:rPr>
          <w:rFonts w:hint="eastAsia" w:ascii="宋体" w:hAnsi="宋体" w:cs="宋体"/>
        </w:rPr>
        <w:t>、以上报价合计应与“投标报价明细表”中的“投标总价”相一致。</w:t>
      </w:r>
    </w:p>
    <w:p>
      <w:pPr>
        <w:snapToGrid w:val="0"/>
        <w:spacing w:before="50" w:after="50" w:line="360" w:lineRule="auto"/>
        <w:ind w:firstLine="420" w:firstLineChars="200"/>
        <w:jc w:val="left"/>
        <w:rPr>
          <w:rFonts w:ascii="宋体" w:hAnsi="宋体"/>
        </w:rPr>
      </w:pPr>
      <w:r>
        <w:rPr>
          <w:rFonts w:ascii="宋体" w:hAnsi="宋体" w:cs="宋体"/>
        </w:rPr>
        <w:t>3</w:t>
      </w:r>
      <w:r>
        <w:rPr>
          <w:rFonts w:hint="eastAsia" w:ascii="宋体" w:hAnsi="宋体" w:cs="宋体"/>
        </w:rPr>
        <w:t>、若不提供此表，视为实质上不响应采购文件。</w:t>
      </w:r>
    </w:p>
    <w:p>
      <w:pPr>
        <w:snapToGrid w:val="0"/>
        <w:spacing w:before="50" w:after="50" w:line="360" w:lineRule="auto"/>
        <w:ind w:firstLine="420" w:firstLineChars="200"/>
        <w:rPr>
          <w:rFonts w:ascii="宋体" w:hAnsi="宋体"/>
        </w:rPr>
      </w:pPr>
    </w:p>
    <w:p>
      <w:pPr>
        <w:snapToGrid w:val="0"/>
        <w:spacing w:before="50" w:after="50" w:line="360" w:lineRule="auto"/>
        <w:ind w:firstLine="420" w:firstLineChars="200"/>
        <w:rPr>
          <w:rFonts w:ascii="宋体" w:hAnsi="宋体"/>
        </w:rPr>
      </w:pPr>
    </w:p>
    <w:p>
      <w:pPr>
        <w:snapToGrid w:val="0"/>
        <w:spacing w:before="50" w:after="50" w:line="360" w:lineRule="auto"/>
        <w:ind w:firstLine="420" w:firstLineChars="200"/>
        <w:rPr>
          <w:rFonts w:ascii="宋体" w:hAnsi="宋体"/>
        </w:rPr>
      </w:pPr>
    </w:p>
    <w:p>
      <w:pPr>
        <w:snapToGrid w:val="0"/>
        <w:spacing w:before="50" w:after="50" w:line="360" w:lineRule="auto"/>
        <w:rPr>
          <w:rFonts w:ascii="宋体" w:hAnsi="宋体"/>
          <w:spacing w:val="20"/>
          <w:u w:val="single"/>
        </w:rPr>
      </w:pPr>
      <w:r>
        <w:rPr>
          <w:rFonts w:hint="eastAsia" w:ascii="宋体" w:hAnsi="宋体" w:cs="宋体"/>
          <w:snapToGrid w:val="0"/>
          <w:kern w:val="0"/>
        </w:rPr>
        <w:t>法定代表或授权代表（</w:t>
      </w:r>
      <w:r>
        <w:rPr>
          <w:rFonts w:hint="eastAsia" w:ascii="宋体" w:hAnsi="宋体" w:cs="宋体"/>
        </w:rPr>
        <w:t>签字或印章</w:t>
      </w:r>
      <w:r>
        <w:rPr>
          <w:rFonts w:hint="eastAsia" w:ascii="宋体" w:hAnsi="宋体" w:cs="宋体"/>
          <w:snapToGrid w:val="0"/>
          <w:kern w:val="0"/>
        </w:rPr>
        <w:t>）：</w:t>
      </w:r>
      <w:r>
        <w:rPr>
          <w:rFonts w:ascii="宋体" w:hAnsi="宋体" w:cs="宋体"/>
          <w:spacing w:val="20"/>
          <w:u w:val="single"/>
        </w:rPr>
        <w:t xml:space="preserve">            </w:t>
      </w:r>
    </w:p>
    <w:p>
      <w:pPr>
        <w:snapToGrid w:val="0"/>
        <w:spacing w:before="50" w:after="50" w:line="360" w:lineRule="auto"/>
        <w:rPr>
          <w:rFonts w:ascii="宋体" w:hAnsi="宋体"/>
          <w:spacing w:val="20"/>
          <w:u w:val="single"/>
        </w:rPr>
      </w:pPr>
    </w:p>
    <w:p>
      <w:pPr>
        <w:snapToGrid w:val="0"/>
        <w:spacing w:before="50" w:after="50" w:line="360" w:lineRule="auto"/>
        <w:rPr>
          <w:rFonts w:ascii="宋体" w:hAnsi="宋体"/>
          <w:spacing w:val="20"/>
          <w:u w:val="single"/>
        </w:rPr>
      </w:pPr>
      <w:r>
        <w:rPr>
          <w:rFonts w:hint="eastAsia" w:ascii="宋体" w:hAnsi="宋体" w:cs="宋体"/>
          <w:spacing w:val="20"/>
        </w:rPr>
        <w:t>供应商盖章：</w:t>
      </w:r>
      <w:r>
        <w:rPr>
          <w:rFonts w:ascii="宋体" w:hAnsi="宋体" w:cs="宋体"/>
          <w:spacing w:val="20"/>
          <w:u w:val="single"/>
        </w:rPr>
        <w:t xml:space="preserve">               </w:t>
      </w:r>
      <w:r>
        <w:rPr>
          <w:rFonts w:ascii="宋体" w:hAnsi="宋体" w:cs="宋体"/>
          <w:spacing w:val="20"/>
        </w:rPr>
        <w:t xml:space="preserve">           </w:t>
      </w:r>
      <w:r>
        <w:rPr>
          <w:rFonts w:hint="eastAsia" w:ascii="宋体" w:hAnsi="宋体" w:cs="宋体"/>
          <w:spacing w:val="20"/>
        </w:rPr>
        <w:t>日</w:t>
      </w:r>
      <w:r>
        <w:rPr>
          <w:rFonts w:ascii="宋体" w:hAnsi="宋体" w:cs="宋体"/>
          <w:spacing w:val="20"/>
        </w:rPr>
        <w:t xml:space="preserve">  </w:t>
      </w:r>
      <w:r>
        <w:rPr>
          <w:rFonts w:hint="eastAsia" w:ascii="宋体" w:hAnsi="宋体" w:cs="宋体"/>
          <w:spacing w:val="20"/>
        </w:rPr>
        <w:t>期：</w:t>
      </w:r>
      <w:r>
        <w:rPr>
          <w:rFonts w:ascii="宋体" w:hAnsi="宋体" w:cs="宋体"/>
          <w:spacing w:val="20"/>
          <w:u w:val="single"/>
        </w:rPr>
        <w:t xml:space="preserve">           </w:t>
      </w:r>
    </w:p>
    <w:p>
      <w:pPr>
        <w:snapToGrid w:val="0"/>
        <w:spacing w:before="120" w:beforeLines="50" w:after="50"/>
        <w:rPr>
          <w:rFonts w:ascii="宋体" w:hAnsi="宋体" w:cs="宋体"/>
          <w:szCs w:val="21"/>
        </w:rPr>
      </w:pPr>
    </w:p>
    <w:p>
      <w:pPr>
        <w:snapToGrid w:val="0"/>
        <w:spacing w:before="120" w:beforeLines="50" w:after="50"/>
        <w:rPr>
          <w:rFonts w:ascii="宋体" w:hAnsi="宋体" w:cs="宋体"/>
          <w:b/>
          <w:kern w:val="0"/>
          <w:szCs w:val="21"/>
        </w:rPr>
      </w:pPr>
      <w:r>
        <w:rPr>
          <w:rFonts w:ascii="宋体" w:hAnsi="宋体" w:cs="宋体"/>
          <w:b/>
          <w:kern w:val="0"/>
          <w:szCs w:val="21"/>
        </w:rPr>
        <w:br w:type="page"/>
      </w:r>
      <w:r>
        <w:rPr>
          <w:rFonts w:hint="eastAsia" w:ascii="宋体" w:hAnsi="宋体" w:cs="宋体"/>
          <w:b/>
          <w:kern w:val="0"/>
          <w:szCs w:val="21"/>
        </w:rPr>
        <w:t>(2) 投标分项报价表格式</w:t>
      </w:r>
    </w:p>
    <w:p>
      <w:pPr>
        <w:snapToGrid w:val="0"/>
        <w:spacing w:before="120" w:beforeLines="50" w:after="50" w:line="360" w:lineRule="auto"/>
        <w:jc w:val="center"/>
        <w:rPr>
          <w:rFonts w:ascii="宋体" w:hAnsi="宋体"/>
          <w:b/>
          <w:bCs/>
          <w:sz w:val="24"/>
        </w:rPr>
      </w:pPr>
      <w:r>
        <w:rPr>
          <w:rFonts w:hint="eastAsia" w:ascii="宋体" w:hAnsi="宋体" w:cs="宋体"/>
          <w:b/>
          <w:bCs/>
          <w:sz w:val="24"/>
        </w:rPr>
        <w:t>投标报价明细表</w:t>
      </w:r>
    </w:p>
    <w:p>
      <w:pPr>
        <w:pStyle w:val="26"/>
        <w:snapToGrid w:val="0"/>
        <w:spacing w:before="120" w:after="120" w:line="360" w:lineRule="auto"/>
        <w:rPr>
          <w:rFonts w:hAnsi="宋体"/>
          <w:u w:val="single"/>
        </w:rPr>
      </w:pPr>
      <w:r>
        <w:rPr>
          <w:rFonts w:hint="eastAsia" w:hAnsi="宋体"/>
        </w:rPr>
        <w:t>项目编号：</w:t>
      </w:r>
      <w:r>
        <w:rPr>
          <w:rFonts w:hAnsi="宋体"/>
          <w:u w:val="single"/>
        </w:rPr>
        <w:t xml:space="preserve">             </w:t>
      </w:r>
      <w:r>
        <w:rPr>
          <w:rFonts w:hAnsi="宋体"/>
        </w:rPr>
        <w:t xml:space="preserve">     </w:t>
      </w:r>
      <w:r>
        <w:rPr>
          <w:rFonts w:hint="eastAsia" w:hAnsi="宋体"/>
        </w:rPr>
        <w:t>项目名称：</w:t>
      </w:r>
      <w:r>
        <w:rPr>
          <w:rFonts w:hAnsi="宋体"/>
          <w:u w:val="single"/>
        </w:rPr>
        <w:t xml:space="preserve">                   </w:t>
      </w:r>
    </w:p>
    <w:p>
      <w:pPr>
        <w:pStyle w:val="26"/>
        <w:snapToGrid w:val="0"/>
        <w:spacing w:before="120" w:after="120" w:line="360" w:lineRule="auto"/>
        <w:rPr>
          <w:rFonts w:hAnsi="宋体"/>
        </w:rPr>
      </w:pPr>
      <w:r>
        <w:rPr>
          <w:rFonts w:hint="eastAsia" w:hAnsi="宋体"/>
        </w:rPr>
        <w:t>金额单位： 人民币（元）</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47"/>
        <w:gridCol w:w="1273"/>
        <w:gridCol w:w="1843"/>
        <w:gridCol w:w="207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908" w:type="dxa"/>
            <w:vAlign w:val="center"/>
          </w:tcPr>
          <w:p>
            <w:pPr>
              <w:spacing w:line="600" w:lineRule="exact"/>
              <w:jc w:val="center"/>
              <w:rPr>
                <w:b/>
                <w:bCs/>
                <w:szCs w:val="21"/>
              </w:rPr>
            </w:pPr>
            <w:r>
              <w:rPr>
                <w:b/>
                <w:bCs/>
                <w:szCs w:val="21"/>
              </w:rPr>
              <w:t>序号</w:t>
            </w:r>
          </w:p>
        </w:tc>
        <w:tc>
          <w:tcPr>
            <w:tcW w:w="2747" w:type="dxa"/>
            <w:vAlign w:val="center"/>
          </w:tcPr>
          <w:p>
            <w:pPr>
              <w:spacing w:line="600" w:lineRule="exact"/>
              <w:jc w:val="center"/>
              <w:rPr>
                <w:b/>
                <w:bCs/>
                <w:szCs w:val="21"/>
              </w:rPr>
            </w:pPr>
            <w:r>
              <w:rPr>
                <w:rFonts w:hint="eastAsia"/>
                <w:b/>
                <w:bCs/>
                <w:szCs w:val="21"/>
              </w:rPr>
              <w:t>名称</w:t>
            </w:r>
          </w:p>
        </w:tc>
        <w:tc>
          <w:tcPr>
            <w:tcW w:w="1273" w:type="dxa"/>
            <w:vAlign w:val="center"/>
          </w:tcPr>
          <w:p>
            <w:pPr>
              <w:spacing w:line="600" w:lineRule="exact"/>
              <w:jc w:val="center"/>
              <w:rPr>
                <w:b/>
                <w:bCs/>
                <w:szCs w:val="21"/>
              </w:rPr>
            </w:pPr>
            <w:r>
              <w:rPr>
                <w:rFonts w:hint="eastAsia"/>
                <w:b/>
                <w:bCs/>
                <w:szCs w:val="21"/>
              </w:rPr>
              <w:t>数量和单位</w:t>
            </w:r>
          </w:p>
        </w:tc>
        <w:tc>
          <w:tcPr>
            <w:tcW w:w="1843" w:type="dxa"/>
            <w:vAlign w:val="center"/>
          </w:tcPr>
          <w:p>
            <w:pPr>
              <w:spacing w:line="460" w:lineRule="exact"/>
              <w:jc w:val="center"/>
              <w:rPr>
                <w:b/>
                <w:bCs/>
                <w:szCs w:val="21"/>
              </w:rPr>
            </w:pPr>
            <w:r>
              <w:rPr>
                <w:b/>
                <w:bCs/>
                <w:szCs w:val="21"/>
              </w:rPr>
              <w:t>单价（元）</w:t>
            </w:r>
          </w:p>
        </w:tc>
        <w:tc>
          <w:tcPr>
            <w:tcW w:w="2089" w:type="dxa"/>
            <w:gridSpan w:val="2"/>
            <w:vAlign w:val="center"/>
          </w:tcPr>
          <w:p>
            <w:pPr>
              <w:spacing w:line="600" w:lineRule="exact"/>
              <w:jc w:val="center"/>
              <w:rPr>
                <w:b/>
                <w:bCs/>
                <w:szCs w:val="21"/>
              </w:rPr>
            </w:pPr>
            <w:r>
              <w:rPr>
                <w:rFonts w:hint="eastAsia"/>
                <w:b/>
                <w:bCs/>
                <w:szCs w:val="21"/>
              </w:rPr>
              <w:t>综合</w:t>
            </w:r>
            <w:r>
              <w:rPr>
                <w:b/>
                <w:bCs/>
                <w:szCs w:val="21"/>
              </w:rPr>
              <w:t>总价（</w:t>
            </w:r>
            <w:r>
              <w:rPr>
                <w:rFonts w:hint="eastAsia"/>
                <w:b/>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8" w:type="dxa"/>
            <w:vAlign w:val="center"/>
          </w:tcPr>
          <w:p>
            <w:pPr>
              <w:spacing w:line="600" w:lineRule="exact"/>
              <w:jc w:val="center"/>
              <w:rPr>
                <w:caps/>
                <w:szCs w:val="21"/>
              </w:rPr>
            </w:pPr>
            <w:r>
              <w:rPr>
                <w:rFonts w:hint="eastAsia"/>
                <w:caps/>
                <w:szCs w:val="21"/>
              </w:rPr>
              <w:t>1</w:t>
            </w:r>
          </w:p>
        </w:tc>
        <w:tc>
          <w:tcPr>
            <w:tcW w:w="2747" w:type="dxa"/>
            <w:vAlign w:val="center"/>
          </w:tcPr>
          <w:p>
            <w:pPr>
              <w:spacing w:line="360" w:lineRule="auto"/>
              <w:jc w:val="center"/>
              <w:rPr>
                <w:iCs/>
                <w:szCs w:val="21"/>
              </w:rPr>
            </w:pPr>
          </w:p>
        </w:tc>
        <w:tc>
          <w:tcPr>
            <w:tcW w:w="1273" w:type="dxa"/>
            <w:vAlign w:val="center"/>
          </w:tcPr>
          <w:p>
            <w:pPr>
              <w:spacing w:line="360" w:lineRule="auto"/>
              <w:jc w:val="center"/>
              <w:rPr>
                <w:iCs/>
                <w:szCs w:val="21"/>
              </w:rPr>
            </w:pPr>
          </w:p>
        </w:tc>
        <w:tc>
          <w:tcPr>
            <w:tcW w:w="1843" w:type="dxa"/>
            <w:vAlign w:val="center"/>
          </w:tcPr>
          <w:p>
            <w:pPr>
              <w:spacing w:line="600" w:lineRule="exact"/>
              <w:jc w:val="center"/>
              <w:rPr>
                <w:iCs/>
                <w:szCs w:val="21"/>
              </w:rPr>
            </w:pPr>
          </w:p>
        </w:tc>
        <w:tc>
          <w:tcPr>
            <w:tcW w:w="2089" w:type="dxa"/>
            <w:gridSpan w:val="2"/>
            <w:vAlign w:val="center"/>
          </w:tcPr>
          <w:p>
            <w:pPr>
              <w:spacing w:line="600" w:lineRule="exact"/>
              <w:jc w:val="center"/>
              <w:rPr>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08" w:type="dxa"/>
            <w:vAlign w:val="center"/>
          </w:tcPr>
          <w:p>
            <w:pPr>
              <w:spacing w:line="600" w:lineRule="exact"/>
              <w:jc w:val="center"/>
              <w:rPr>
                <w:szCs w:val="21"/>
              </w:rPr>
            </w:pPr>
            <w:r>
              <w:rPr>
                <w:rFonts w:hint="eastAsia"/>
                <w:szCs w:val="21"/>
              </w:rPr>
              <w:t>2</w:t>
            </w:r>
          </w:p>
        </w:tc>
        <w:tc>
          <w:tcPr>
            <w:tcW w:w="2747" w:type="dxa"/>
            <w:vAlign w:val="center"/>
          </w:tcPr>
          <w:p>
            <w:pPr>
              <w:spacing w:line="360" w:lineRule="auto"/>
              <w:jc w:val="center"/>
              <w:rPr>
                <w:iCs/>
                <w:szCs w:val="21"/>
              </w:rPr>
            </w:pPr>
          </w:p>
        </w:tc>
        <w:tc>
          <w:tcPr>
            <w:tcW w:w="1273" w:type="dxa"/>
            <w:vAlign w:val="center"/>
          </w:tcPr>
          <w:p>
            <w:pPr>
              <w:spacing w:line="600" w:lineRule="exact"/>
              <w:jc w:val="center"/>
              <w:rPr>
                <w:iCs/>
                <w:szCs w:val="21"/>
              </w:rPr>
            </w:pPr>
          </w:p>
        </w:tc>
        <w:tc>
          <w:tcPr>
            <w:tcW w:w="1843" w:type="dxa"/>
            <w:vAlign w:val="center"/>
          </w:tcPr>
          <w:p>
            <w:pPr>
              <w:spacing w:line="600" w:lineRule="exact"/>
              <w:jc w:val="center"/>
              <w:rPr>
                <w:iCs/>
                <w:szCs w:val="21"/>
              </w:rPr>
            </w:pPr>
          </w:p>
        </w:tc>
        <w:tc>
          <w:tcPr>
            <w:tcW w:w="2089" w:type="dxa"/>
            <w:gridSpan w:val="2"/>
            <w:vAlign w:val="center"/>
          </w:tcPr>
          <w:p>
            <w:pPr>
              <w:spacing w:line="600" w:lineRule="exact"/>
              <w:jc w:val="center"/>
              <w:rPr>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8" w:type="dxa"/>
            <w:vAlign w:val="center"/>
          </w:tcPr>
          <w:p>
            <w:pPr>
              <w:spacing w:line="600" w:lineRule="exact"/>
              <w:jc w:val="center"/>
              <w:rPr>
                <w:szCs w:val="21"/>
              </w:rPr>
            </w:pPr>
            <w:r>
              <w:rPr>
                <w:rFonts w:hint="eastAsia"/>
                <w:szCs w:val="21"/>
              </w:rPr>
              <w:t>3</w:t>
            </w:r>
          </w:p>
        </w:tc>
        <w:tc>
          <w:tcPr>
            <w:tcW w:w="2747" w:type="dxa"/>
            <w:vAlign w:val="center"/>
          </w:tcPr>
          <w:p>
            <w:pPr>
              <w:spacing w:line="360" w:lineRule="auto"/>
              <w:jc w:val="center"/>
              <w:rPr>
                <w:iCs/>
                <w:szCs w:val="21"/>
              </w:rPr>
            </w:pPr>
          </w:p>
        </w:tc>
        <w:tc>
          <w:tcPr>
            <w:tcW w:w="1273" w:type="dxa"/>
            <w:vAlign w:val="center"/>
          </w:tcPr>
          <w:p>
            <w:pPr>
              <w:spacing w:line="600" w:lineRule="exact"/>
              <w:jc w:val="center"/>
              <w:rPr>
                <w:iCs/>
                <w:szCs w:val="21"/>
              </w:rPr>
            </w:pPr>
          </w:p>
        </w:tc>
        <w:tc>
          <w:tcPr>
            <w:tcW w:w="1843" w:type="dxa"/>
            <w:vAlign w:val="center"/>
          </w:tcPr>
          <w:p>
            <w:pPr>
              <w:spacing w:line="600" w:lineRule="exact"/>
              <w:jc w:val="center"/>
              <w:rPr>
                <w:iCs/>
                <w:szCs w:val="21"/>
              </w:rPr>
            </w:pPr>
          </w:p>
        </w:tc>
        <w:tc>
          <w:tcPr>
            <w:tcW w:w="2089" w:type="dxa"/>
            <w:gridSpan w:val="2"/>
            <w:vAlign w:val="center"/>
          </w:tcPr>
          <w:p>
            <w:pPr>
              <w:spacing w:line="600" w:lineRule="exact"/>
              <w:jc w:val="center"/>
              <w:rPr>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8" w:type="dxa"/>
            <w:vAlign w:val="center"/>
          </w:tcPr>
          <w:p>
            <w:pPr>
              <w:spacing w:line="600" w:lineRule="exact"/>
              <w:jc w:val="center"/>
              <w:rPr>
                <w:szCs w:val="21"/>
              </w:rPr>
            </w:pPr>
            <w:r>
              <w:rPr>
                <w:rFonts w:hint="eastAsia"/>
                <w:szCs w:val="21"/>
              </w:rPr>
              <w:t>4</w:t>
            </w:r>
          </w:p>
        </w:tc>
        <w:tc>
          <w:tcPr>
            <w:tcW w:w="2747" w:type="dxa"/>
            <w:vAlign w:val="center"/>
          </w:tcPr>
          <w:p>
            <w:pPr>
              <w:spacing w:line="360" w:lineRule="auto"/>
              <w:jc w:val="center"/>
              <w:rPr>
                <w:iCs/>
                <w:szCs w:val="21"/>
              </w:rPr>
            </w:pPr>
          </w:p>
        </w:tc>
        <w:tc>
          <w:tcPr>
            <w:tcW w:w="1273" w:type="dxa"/>
            <w:vAlign w:val="center"/>
          </w:tcPr>
          <w:p>
            <w:pPr>
              <w:spacing w:line="600" w:lineRule="exact"/>
              <w:jc w:val="center"/>
              <w:rPr>
                <w:iCs/>
                <w:szCs w:val="21"/>
              </w:rPr>
            </w:pPr>
          </w:p>
        </w:tc>
        <w:tc>
          <w:tcPr>
            <w:tcW w:w="1843" w:type="dxa"/>
            <w:vAlign w:val="center"/>
          </w:tcPr>
          <w:p>
            <w:pPr>
              <w:spacing w:line="600" w:lineRule="exact"/>
              <w:jc w:val="center"/>
              <w:rPr>
                <w:iCs/>
                <w:szCs w:val="21"/>
              </w:rPr>
            </w:pPr>
          </w:p>
        </w:tc>
        <w:tc>
          <w:tcPr>
            <w:tcW w:w="2089" w:type="dxa"/>
            <w:gridSpan w:val="2"/>
            <w:vAlign w:val="center"/>
          </w:tcPr>
          <w:p>
            <w:pPr>
              <w:spacing w:line="600" w:lineRule="exact"/>
              <w:jc w:val="center"/>
              <w:rPr>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8" w:type="dxa"/>
            <w:vAlign w:val="center"/>
          </w:tcPr>
          <w:p>
            <w:pPr>
              <w:spacing w:line="600" w:lineRule="exact"/>
              <w:jc w:val="center"/>
              <w:rPr>
                <w:szCs w:val="21"/>
              </w:rPr>
            </w:pPr>
          </w:p>
        </w:tc>
        <w:tc>
          <w:tcPr>
            <w:tcW w:w="2747" w:type="dxa"/>
            <w:vAlign w:val="center"/>
          </w:tcPr>
          <w:p>
            <w:pPr>
              <w:spacing w:line="600" w:lineRule="exact"/>
              <w:jc w:val="center"/>
              <w:rPr>
                <w:iCs/>
                <w:szCs w:val="21"/>
              </w:rPr>
            </w:pPr>
          </w:p>
        </w:tc>
        <w:tc>
          <w:tcPr>
            <w:tcW w:w="1273" w:type="dxa"/>
            <w:vAlign w:val="center"/>
          </w:tcPr>
          <w:p>
            <w:pPr>
              <w:spacing w:line="600" w:lineRule="exact"/>
              <w:jc w:val="center"/>
              <w:rPr>
                <w:iCs/>
                <w:szCs w:val="21"/>
              </w:rPr>
            </w:pPr>
          </w:p>
        </w:tc>
        <w:tc>
          <w:tcPr>
            <w:tcW w:w="1843" w:type="dxa"/>
            <w:vAlign w:val="center"/>
          </w:tcPr>
          <w:p>
            <w:pPr>
              <w:spacing w:line="600" w:lineRule="exact"/>
              <w:jc w:val="center"/>
              <w:rPr>
                <w:iCs/>
                <w:szCs w:val="21"/>
              </w:rPr>
            </w:pPr>
          </w:p>
        </w:tc>
        <w:tc>
          <w:tcPr>
            <w:tcW w:w="2089" w:type="dxa"/>
            <w:gridSpan w:val="2"/>
            <w:vAlign w:val="center"/>
          </w:tcPr>
          <w:p>
            <w:pPr>
              <w:spacing w:line="600" w:lineRule="exact"/>
              <w:jc w:val="center"/>
              <w:rPr>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36" w:hRule="atLeast"/>
        </w:trPr>
        <w:tc>
          <w:tcPr>
            <w:tcW w:w="8845" w:type="dxa"/>
            <w:gridSpan w:val="5"/>
          </w:tcPr>
          <w:p>
            <w:pPr>
              <w:spacing w:line="600" w:lineRule="exact"/>
              <w:rPr>
                <w:b/>
                <w:bCs/>
                <w:szCs w:val="21"/>
              </w:rPr>
            </w:pPr>
            <w:r>
              <w:rPr>
                <w:rFonts w:hint="eastAsia"/>
                <w:b/>
                <w:szCs w:val="21"/>
              </w:rPr>
              <w:t>投标总价</w:t>
            </w:r>
            <w:r>
              <w:rPr>
                <w:rFonts w:hint="eastAsia"/>
                <w:b/>
                <w:bCs/>
                <w:szCs w:val="21"/>
              </w:rPr>
              <w:t>大写：                                小写：</w:t>
            </w:r>
          </w:p>
        </w:tc>
      </w:tr>
    </w:tbl>
    <w:p>
      <w:pPr>
        <w:tabs>
          <w:tab w:val="left" w:pos="1418"/>
        </w:tabs>
        <w:snapToGrid w:val="0"/>
        <w:spacing w:before="50" w:after="50" w:line="360" w:lineRule="auto"/>
        <w:ind w:left="1418" w:hanging="567"/>
        <w:jc w:val="center"/>
        <w:rPr>
          <w:rFonts w:ascii="宋体" w:hAnsi="宋体"/>
          <w:spacing w:val="20"/>
          <w:u w:val="single"/>
        </w:rPr>
      </w:pPr>
    </w:p>
    <w:p>
      <w:pPr>
        <w:snapToGrid w:val="0"/>
        <w:spacing w:before="50" w:after="50" w:line="360" w:lineRule="auto"/>
        <w:rPr>
          <w:rFonts w:ascii="宋体" w:hAnsi="宋体"/>
          <w:spacing w:val="20"/>
          <w:u w:val="single"/>
        </w:rPr>
      </w:pPr>
      <w:r>
        <w:rPr>
          <w:rFonts w:hint="eastAsia" w:ascii="宋体" w:hAnsi="宋体" w:cs="宋体"/>
          <w:snapToGrid w:val="0"/>
          <w:kern w:val="0"/>
        </w:rPr>
        <w:t>法定代表或授权代表（</w:t>
      </w:r>
      <w:r>
        <w:rPr>
          <w:rFonts w:hint="eastAsia" w:ascii="宋体" w:hAnsi="宋体" w:cs="宋体"/>
        </w:rPr>
        <w:t>签字或印章</w:t>
      </w:r>
      <w:r>
        <w:rPr>
          <w:rFonts w:hint="eastAsia" w:ascii="宋体" w:hAnsi="宋体" w:cs="宋体"/>
          <w:snapToGrid w:val="0"/>
          <w:kern w:val="0"/>
        </w:rPr>
        <w:t>）：</w:t>
      </w:r>
      <w:r>
        <w:rPr>
          <w:rFonts w:ascii="宋体" w:hAnsi="宋体" w:cs="宋体"/>
          <w:spacing w:val="20"/>
          <w:u w:val="single"/>
        </w:rPr>
        <w:t xml:space="preserve">            </w:t>
      </w:r>
    </w:p>
    <w:p>
      <w:pPr>
        <w:snapToGrid w:val="0"/>
        <w:spacing w:before="50" w:after="50" w:line="360" w:lineRule="auto"/>
        <w:rPr>
          <w:rFonts w:ascii="宋体" w:hAnsi="宋体"/>
          <w:spacing w:val="20"/>
          <w:u w:val="single"/>
        </w:rPr>
      </w:pPr>
    </w:p>
    <w:p>
      <w:pPr>
        <w:snapToGrid w:val="0"/>
        <w:spacing w:before="50" w:after="50" w:line="360" w:lineRule="auto"/>
        <w:rPr>
          <w:rFonts w:ascii="宋体" w:hAnsi="宋体"/>
          <w:spacing w:val="20"/>
          <w:u w:val="single"/>
        </w:rPr>
      </w:pPr>
      <w:r>
        <w:rPr>
          <w:rFonts w:hint="eastAsia" w:ascii="宋体" w:hAnsi="宋体" w:cs="宋体"/>
          <w:spacing w:val="20"/>
        </w:rPr>
        <w:t>供应商盖章：</w:t>
      </w:r>
      <w:r>
        <w:rPr>
          <w:rFonts w:ascii="宋体" w:hAnsi="宋体" w:cs="宋体"/>
          <w:spacing w:val="20"/>
          <w:u w:val="single"/>
        </w:rPr>
        <w:t xml:space="preserve">               </w:t>
      </w:r>
      <w:r>
        <w:rPr>
          <w:rFonts w:ascii="宋体" w:hAnsi="宋体" w:cs="宋体"/>
          <w:spacing w:val="20"/>
        </w:rPr>
        <w:t xml:space="preserve">           </w:t>
      </w:r>
      <w:r>
        <w:rPr>
          <w:rFonts w:hint="eastAsia" w:ascii="宋体" w:hAnsi="宋体" w:cs="宋体"/>
          <w:spacing w:val="20"/>
        </w:rPr>
        <w:t>日</w:t>
      </w:r>
      <w:r>
        <w:rPr>
          <w:rFonts w:ascii="宋体" w:hAnsi="宋体" w:cs="宋体"/>
          <w:spacing w:val="20"/>
        </w:rPr>
        <w:t xml:space="preserve">  </w:t>
      </w:r>
      <w:r>
        <w:rPr>
          <w:rFonts w:hint="eastAsia" w:ascii="宋体" w:hAnsi="宋体" w:cs="宋体"/>
          <w:spacing w:val="20"/>
        </w:rPr>
        <w:t>期：</w:t>
      </w:r>
      <w:r>
        <w:rPr>
          <w:rFonts w:ascii="宋体" w:hAnsi="宋体" w:cs="宋体"/>
          <w:spacing w:val="20"/>
          <w:u w:val="single"/>
        </w:rPr>
        <w:t xml:space="preserve">           </w:t>
      </w:r>
    </w:p>
    <w:p>
      <w:pPr>
        <w:widowControl/>
        <w:jc w:val="left"/>
        <w:rPr>
          <w:rFonts w:ascii="宋体" w:hAnsi="宋体" w:cs="宋体"/>
          <w:b/>
          <w:bCs/>
          <w:color w:val="000000"/>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kern w:val="0"/>
          <w:szCs w:val="21"/>
        </w:rPr>
      </w:pPr>
      <w:r>
        <w:rPr>
          <w:rFonts w:ascii="宋体" w:hAnsi="宋体" w:cs="宋体"/>
          <w:b/>
          <w:kern w:val="0"/>
          <w:szCs w:val="21"/>
        </w:rPr>
        <w:br w:type="page"/>
      </w:r>
    </w:p>
    <w:p>
      <w:pPr>
        <w:widowControl/>
        <w:spacing w:line="276" w:lineRule="auto"/>
        <w:ind w:firstLine="105" w:firstLineChars="50"/>
        <w:jc w:val="left"/>
        <w:rPr>
          <w:rFonts w:ascii="宋体" w:hAnsi="宋体" w:cs="宋体"/>
          <w:b/>
          <w:bCs/>
          <w:color w:val="000000"/>
        </w:rPr>
      </w:pPr>
      <w:r>
        <w:rPr>
          <w:rFonts w:hint="eastAsia" w:ascii="宋体" w:hAnsi="宋体" w:cs="宋体"/>
          <w:b/>
          <w:bCs/>
          <w:color w:val="000000"/>
        </w:rPr>
        <w:t>（3）中小企业声明函格式</w:t>
      </w: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b/>
          <w:bCs/>
          <w:sz w:val="28"/>
          <w:szCs w:val="28"/>
        </w:rPr>
      </w:pPr>
      <w:r>
        <w:rPr>
          <w:rFonts w:hint="eastAsia" w:ascii="宋体" w:hAnsi="宋体" w:cs="宋体"/>
          <w:b/>
          <w:bCs/>
          <w:sz w:val="32"/>
          <w:szCs w:val="32"/>
        </w:rPr>
        <w:t>中小企业声明函</w:t>
      </w:r>
    </w:p>
    <w:p>
      <w:pPr>
        <w:spacing w:line="5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i/>
          <w:szCs w:val="21"/>
          <w:u w:val="single"/>
        </w:rPr>
        <w:t>（采购文件中明确的所属行业）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（中型企业、小型企业、微型企业）</w:t>
      </w: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spacing w:line="500" w:lineRule="exact"/>
        <w:rPr>
          <w:rFonts w:ascii="宋体" w:hAnsi="宋体" w:cs="宋体"/>
          <w:szCs w:val="21"/>
        </w:rPr>
      </w:pPr>
      <w:r>
        <w:rPr>
          <w:rFonts w:hint="eastAsia" w:ascii="宋体" w:hAnsi="宋体" w:cs="宋体"/>
          <w:szCs w:val="21"/>
        </w:rPr>
        <w:t xml:space="preserve">                        企业名称（盖章）：</w:t>
      </w:r>
    </w:p>
    <w:p>
      <w:pPr>
        <w:spacing w:line="360" w:lineRule="auto"/>
        <w:rPr>
          <w:rFonts w:ascii="宋体" w:hAnsi="宋体" w:cs="宋体"/>
          <w:szCs w:val="21"/>
        </w:rPr>
      </w:pPr>
      <w:r>
        <w:rPr>
          <w:rFonts w:hint="eastAsia" w:ascii="宋体" w:hAnsi="宋体" w:cs="宋体"/>
          <w:szCs w:val="21"/>
        </w:rPr>
        <w:t xml:space="preserve">                        日期：</w:t>
      </w:r>
    </w:p>
    <w:p>
      <w:pPr>
        <w:spacing w:line="360" w:lineRule="auto"/>
        <w:rPr>
          <w:rFonts w:ascii="宋体" w:hAnsi="宋体" w:cs="宋体"/>
          <w:szCs w:val="21"/>
        </w:rPr>
      </w:pPr>
      <w:r>
        <w:rPr>
          <w:rFonts w:hint="eastAsia" w:ascii="宋体" w:hAnsi="宋体" w:cs="宋体"/>
          <w:szCs w:val="21"/>
        </w:rPr>
        <w:t>说明：</w:t>
      </w:r>
    </w:p>
    <w:p>
      <w:pPr>
        <w:spacing w:line="360" w:lineRule="auto"/>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pPr>
        <w:spacing w:line="360" w:lineRule="auto"/>
        <w:rPr>
          <w:rFonts w:ascii="宋体" w:hAnsi="宋体" w:cs="宋体"/>
          <w:szCs w:val="21"/>
        </w:rPr>
      </w:pPr>
      <w:r>
        <w:rPr>
          <w:rFonts w:hint="eastAsia" w:ascii="宋体" w:hAnsi="宋体" w:cs="宋体"/>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widowControl/>
        <w:jc w:val="left"/>
        <w:rPr>
          <w:rFonts w:ascii="宋体" w:hAnsi="宋体" w:cs="宋体"/>
          <w:b/>
          <w:bCs/>
          <w:sz w:val="24"/>
        </w:rPr>
      </w:pPr>
      <w:r>
        <w:rPr>
          <w:rFonts w:ascii="宋体" w:hAnsi="宋体" w:cs="宋体"/>
          <w:b/>
          <w:bCs/>
          <w:sz w:val="24"/>
        </w:rPr>
        <w:br w:type="page"/>
      </w:r>
    </w:p>
    <w:p>
      <w:pPr>
        <w:widowControl/>
        <w:jc w:val="left"/>
        <w:rPr>
          <w:rFonts w:ascii="宋体" w:hAnsi="宋体" w:cs="宋体"/>
          <w:b/>
          <w:kern w:val="0"/>
          <w:sz w:val="22"/>
          <w:szCs w:val="22"/>
        </w:rPr>
      </w:pPr>
      <w:r>
        <w:rPr>
          <w:rFonts w:hint="eastAsia" w:ascii="宋体" w:hAnsi="宋体" w:cs="宋体"/>
          <w:b/>
          <w:kern w:val="0"/>
          <w:sz w:val="22"/>
          <w:szCs w:val="22"/>
        </w:rPr>
        <w:t>残疾人福利性单位声明函格式（如有）</w:t>
      </w:r>
    </w:p>
    <w:p>
      <w:pPr>
        <w:spacing w:line="360" w:lineRule="auto"/>
        <w:jc w:val="center"/>
        <w:rPr>
          <w:rFonts w:ascii="宋体" w:hAnsi="宋体" w:cs="宋体"/>
          <w:b/>
          <w:bCs/>
          <w:spacing w:val="6"/>
          <w:sz w:val="24"/>
        </w:rPr>
      </w:pPr>
    </w:p>
    <w:p>
      <w:pPr>
        <w:spacing w:line="360" w:lineRule="auto"/>
        <w:jc w:val="center"/>
        <w:rPr>
          <w:rFonts w:ascii="宋体" w:hAnsi="宋体" w:cs="宋体"/>
          <w:b/>
          <w:bCs/>
          <w:spacing w:val="6"/>
          <w:sz w:val="24"/>
        </w:rPr>
      </w:pPr>
    </w:p>
    <w:p>
      <w:pPr>
        <w:spacing w:line="360" w:lineRule="auto"/>
        <w:jc w:val="center"/>
        <w:rPr>
          <w:rFonts w:ascii="宋体" w:hAnsi="宋体"/>
          <w:b/>
          <w:bCs/>
          <w:spacing w:val="6"/>
          <w:sz w:val="24"/>
        </w:rPr>
      </w:pPr>
      <w:r>
        <w:rPr>
          <w:rFonts w:hint="eastAsia" w:ascii="宋体" w:hAnsi="宋体" w:cs="宋体"/>
          <w:b/>
          <w:bCs/>
          <w:spacing w:val="6"/>
          <w:sz w:val="24"/>
        </w:rPr>
        <w:t>残疾人福利性单位声明函</w:t>
      </w:r>
    </w:p>
    <w:p>
      <w:pPr>
        <w:spacing w:line="360" w:lineRule="auto"/>
        <w:rPr>
          <w:rFonts w:ascii="宋体" w:hAnsi="宋体"/>
          <w:b/>
          <w:bCs/>
          <w:spacing w:val="6"/>
        </w:rPr>
      </w:pPr>
    </w:p>
    <w:p>
      <w:pPr>
        <w:spacing w:line="360" w:lineRule="auto"/>
        <w:ind w:firstLine="444" w:firstLineChars="200"/>
        <w:rPr>
          <w:rFonts w:ascii="宋体" w:hAnsi="宋体"/>
          <w:spacing w:val="6"/>
        </w:rPr>
      </w:pPr>
      <w:r>
        <w:rPr>
          <w:rFonts w:hint="eastAsia" w:ascii="宋体" w:hAnsi="宋体" w:cs="宋体"/>
          <w:spacing w:val="6"/>
        </w:rPr>
        <w:t>本单位郑重声明，根据《财政部</w:t>
      </w:r>
      <w:r>
        <w:rPr>
          <w:rFonts w:ascii="宋体" w:hAnsi="宋体" w:cs="宋体"/>
          <w:spacing w:val="6"/>
        </w:rPr>
        <w:t xml:space="preserve"> </w:t>
      </w:r>
      <w:r>
        <w:rPr>
          <w:rFonts w:hint="eastAsia" w:ascii="宋体" w:hAnsi="宋体" w:cs="宋体"/>
          <w:spacing w:val="6"/>
        </w:rPr>
        <w:t>民政部</w:t>
      </w:r>
      <w:r>
        <w:rPr>
          <w:rFonts w:ascii="宋体" w:hAnsi="宋体" w:cs="宋体"/>
          <w:spacing w:val="6"/>
        </w:rPr>
        <w:t xml:space="preserve"> </w:t>
      </w:r>
      <w:r>
        <w:rPr>
          <w:rFonts w:hint="eastAsia" w:ascii="宋体" w:hAnsi="宋体" w:cs="宋体"/>
          <w:spacing w:val="6"/>
        </w:rPr>
        <w:t>中国残疾人联合会关于促进残疾人就业政府采购政策的通知》（财库</w:t>
      </w:r>
      <w:r>
        <w:rPr>
          <w:rFonts w:hint="eastAsia" w:ascii="宋体" w:hAnsi="宋体" w:cs="宋体"/>
        </w:rPr>
        <w:t>〔</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spacing w:val="6"/>
        </w:rPr>
        <w:t>号）的规定，本单位为符合条件的残疾人福利性单位，且本单位参加</w:t>
      </w:r>
      <w:r>
        <w:rPr>
          <w:rFonts w:ascii="宋体" w:hAnsi="宋体" w:cs="宋体"/>
          <w:spacing w:val="6"/>
        </w:rPr>
        <w:t>______</w:t>
      </w:r>
      <w:r>
        <w:rPr>
          <w:rFonts w:hint="eastAsia" w:ascii="宋体" w:hAnsi="宋体" w:cs="宋体"/>
          <w:spacing w:val="6"/>
        </w:rPr>
        <w:t>单位的</w:t>
      </w:r>
      <w:r>
        <w:rPr>
          <w:rFonts w:ascii="宋体" w:hAnsi="宋体" w:cs="宋体"/>
          <w:spacing w:val="6"/>
        </w:rPr>
        <w:t>______</w:t>
      </w:r>
      <w:r>
        <w:rPr>
          <w:rFonts w:hint="eastAsia" w:ascii="宋体" w:hAnsi="宋体" w:cs="宋体"/>
          <w:spacing w:val="6"/>
        </w:rPr>
        <w:t>项目采购活动提供本单位制造的货物（由本单位承担工程</w:t>
      </w:r>
      <w:r>
        <w:rPr>
          <w:rFonts w:ascii="宋体" w:hAnsi="宋体" w:cs="宋体"/>
          <w:spacing w:val="6"/>
        </w:rPr>
        <w:t>/</w:t>
      </w:r>
      <w:r>
        <w:rPr>
          <w:rFonts w:hint="eastAsia" w:ascii="宋体" w:hAnsi="宋体" w:cs="宋体"/>
          <w:spacing w:val="6"/>
        </w:rPr>
        <w:t>提供服务），或者提供其他残疾人福利性单位制造的货物（不包括使用非残疾人福利性单位注册商标的货物）。</w:t>
      </w:r>
    </w:p>
    <w:p>
      <w:pPr>
        <w:spacing w:line="360" w:lineRule="auto"/>
        <w:ind w:firstLine="444" w:firstLineChars="200"/>
        <w:rPr>
          <w:rFonts w:ascii="宋体" w:hAnsi="宋体"/>
          <w:spacing w:val="6"/>
        </w:rPr>
      </w:pPr>
      <w:r>
        <w:rPr>
          <w:rFonts w:hint="eastAsia" w:ascii="宋体" w:hAnsi="宋体" w:cs="宋体"/>
          <w:spacing w:val="6"/>
        </w:rPr>
        <w:t>本单位对上述声明的真实性负责。如有虚假，将依法承担相应责任。</w:t>
      </w:r>
    </w:p>
    <w:p>
      <w:pPr>
        <w:spacing w:line="360" w:lineRule="auto"/>
        <w:ind w:firstLine="444" w:firstLineChars="200"/>
        <w:rPr>
          <w:rFonts w:ascii="宋体" w:hAnsi="宋体"/>
          <w:spacing w:val="6"/>
        </w:rPr>
      </w:pPr>
    </w:p>
    <w:p>
      <w:pPr>
        <w:spacing w:line="360" w:lineRule="auto"/>
        <w:ind w:firstLine="444" w:firstLineChars="200"/>
        <w:rPr>
          <w:rFonts w:ascii="宋体" w:hAnsi="宋体"/>
          <w:spacing w:val="6"/>
        </w:rPr>
      </w:pPr>
    </w:p>
    <w:p>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单位名称（盖章）：</w:t>
      </w:r>
    </w:p>
    <w:p>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日</w:t>
      </w:r>
      <w:r>
        <w:rPr>
          <w:rFonts w:ascii="宋体" w:hAnsi="宋体" w:cs="宋体"/>
          <w:spacing w:val="6"/>
        </w:rPr>
        <w:t xml:space="preserve">  </w:t>
      </w:r>
      <w:r>
        <w:rPr>
          <w:rFonts w:hint="eastAsia" w:ascii="宋体" w:hAnsi="宋体" w:cs="宋体"/>
          <w:spacing w:val="6"/>
        </w:rPr>
        <w:t>期：</w:t>
      </w:r>
    </w:p>
    <w:p>
      <w:pPr>
        <w:tabs>
          <w:tab w:val="left" w:pos="4860"/>
        </w:tabs>
        <w:rPr>
          <w:rFonts w:ascii="宋体" w:hAnsi="宋体"/>
          <w:spacing w:val="6"/>
        </w:rPr>
      </w:pPr>
      <w:r>
        <w:rPr>
          <w:rFonts w:hint="eastAsia" w:ascii="宋体" w:hAnsi="宋体" w:cs="宋体"/>
          <w:spacing w:val="6"/>
        </w:rPr>
        <w:t>注：</w:t>
      </w:r>
      <w:r>
        <w:rPr>
          <w:rFonts w:ascii="宋体" w:hAnsi="宋体" w:cs="宋体"/>
          <w:spacing w:val="6"/>
        </w:rPr>
        <w:t>1</w:t>
      </w:r>
      <w:r>
        <w:rPr>
          <w:rFonts w:hint="eastAsia" w:ascii="宋体" w:hAnsi="宋体" w:cs="宋体"/>
          <w:spacing w:val="6"/>
        </w:rPr>
        <w:t>、如供应商为非残疾人福利性单位的可不提供本声明函。</w:t>
      </w:r>
    </w:p>
    <w:p>
      <w:pPr>
        <w:tabs>
          <w:tab w:val="left" w:pos="4860"/>
        </w:tabs>
        <w:ind w:firstLine="444" w:firstLineChars="200"/>
        <w:rPr>
          <w:rFonts w:ascii="宋体" w:hAnsi="宋体"/>
          <w:spacing w:val="6"/>
        </w:rPr>
      </w:pPr>
      <w:r>
        <w:rPr>
          <w:rFonts w:ascii="宋体" w:hAnsi="宋体" w:cs="宋体"/>
          <w:spacing w:val="6"/>
        </w:rPr>
        <w:t>2</w:t>
      </w:r>
      <w:r>
        <w:rPr>
          <w:rFonts w:hint="eastAsia" w:ascii="宋体" w:hAnsi="宋体" w:cs="宋体"/>
          <w:spacing w:val="6"/>
        </w:rPr>
        <w:t>、享受政府采购支持政策的残疾人福利性单位应当同时满足以下条件：</w:t>
      </w:r>
    </w:p>
    <w:p>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1</w:t>
      </w:r>
      <w:r>
        <w:rPr>
          <w:rFonts w:hint="eastAsia" w:ascii="宋体" w:hAnsi="宋体" w:cs="宋体"/>
          <w:spacing w:val="6"/>
        </w:rPr>
        <w:t>）安置的残疾人占本单位在职职工人数的比例不低于</w:t>
      </w:r>
      <w:r>
        <w:rPr>
          <w:rFonts w:ascii="宋体" w:hAnsi="宋体" w:cs="宋体"/>
          <w:spacing w:val="6"/>
        </w:rPr>
        <w:t>25%</w:t>
      </w:r>
      <w:r>
        <w:rPr>
          <w:rFonts w:hint="eastAsia" w:ascii="宋体" w:hAnsi="宋体" w:cs="宋体"/>
          <w:spacing w:val="6"/>
        </w:rPr>
        <w:t>（含</w:t>
      </w:r>
      <w:r>
        <w:rPr>
          <w:rFonts w:ascii="宋体" w:hAnsi="宋体" w:cs="宋体"/>
          <w:spacing w:val="6"/>
        </w:rPr>
        <w:t>25%</w:t>
      </w:r>
      <w:r>
        <w:rPr>
          <w:rFonts w:hint="eastAsia" w:ascii="宋体" w:hAnsi="宋体" w:cs="宋体"/>
          <w:spacing w:val="6"/>
        </w:rPr>
        <w:t>），并且安置的残疾人人数不少于</w:t>
      </w:r>
      <w:r>
        <w:rPr>
          <w:rFonts w:ascii="宋体" w:hAnsi="宋体" w:cs="宋体"/>
          <w:spacing w:val="6"/>
        </w:rPr>
        <w:t>10</w:t>
      </w:r>
      <w:r>
        <w:rPr>
          <w:rFonts w:hint="eastAsia" w:ascii="宋体" w:hAnsi="宋体" w:cs="宋体"/>
          <w:spacing w:val="6"/>
        </w:rPr>
        <w:t>人（含</w:t>
      </w:r>
      <w:r>
        <w:rPr>
          <w:rFonts w:ascii="宋体" w:hAnsi="宋体" w:cs="宋体"/>
          <w:spacing w:val="6"/>
        </w:rPr>
        <w:t>10</w:t>
      </w:r>
      <w:r>
        <w:rPr>
          <w:rFonts w:hint="eastAsia" w:ascii="宋体" w:hAnsi="宋体" w:cs="宋体"/>
          <w:spacing w:val="6"/>
        </w:rPr>
        <w:t>人）；</w:t>
      </w:r>
    </w:p>
    <w:p>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2</w:t>
      </w:r>
      <w:r>
        <w:rPr>
          <w:rFonts w:hint="eastAsia" w:ascii="宋体" w:hAnsi="宋体" w:cs="宋体"/>
          <w:spacing w:val="6"/>
        </w:rPr>
        <w:t>）依法与安置的每位残疾人签订了一年以上（含一年）的劳动合同或服务协议；</w:t>
      </w:r>
    </w:p>
    <w:p>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3</w:t>
      </w:r>
      <w:r>
        <w:rPr>
          <w:rFonts w:hint="eastAsia" w:ascii="宋体" w:hAnsi="宋体" w:cs="宋体"/>
          <w:spacing w:val="6"/>
        </w:rPr>
        <w:t>）为安置的每位残疾人按月足额缴纳了基本养老保险、基本医疗保险、失业保险、工伤保险和生育保险等社会保险费；</w:t>
      </w:r>
    </w:p>
    <w:p>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4</w:t>
      </w:r>
      <w:r>
        <w:rPr>
          <w:rFonts w:hint="eastAsia" w:ascii="宋体" w:hAnsi="宋体" w:cs="宋体"/>
          <w:spacing w:val="6"/>
        </w:rPr>
        <w:t>）通过银行等金融机构向安置的每位残疾人，按月支付了不低于单位所在区县适用的经省级人民政府批准的月最低工资标准的工资；</w:t>
      </w:r>
    </w:p>
    <w:p>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5</w:t>
      </w:r>
      <w:r>
        <w:rPr>
          <w:rFonts w:hint="eastAsia" w:ascii="宋体" w:hAnsi="宋体" w:cs="宋体"/>
          <w:spacing w:val="6"/>
        </w:rPr>
        <w:t>）提供本单位制造的货物、承担的工程或者服务（以下简称产品），或者提供其他残疾人福利性单位制造的货物（不包括使用非残疾人福利性单位注册商标的货物）。</w:t>
      </w:r>
    </w:p>
    <w:p>
      <w:pPr>
        <w:tabs>
          <w:tab w:val="left" w:pos="4860"/>
        </w:tabs>
        <w:ind w:firstLine="444" w:firstLineChars="200"/>
        <w:rPr>
          <w:rFonts w:ascii="宋体" w:hAnsi="宋体"/>
          <w:spacing w:val="6"/>
        </w:rPr>
      </w:pPr>
      <w:r>
        <w:rPr>
          <w:rFonts w:hint="eastAsia" w:ascii="宋体" w:hAnsi="宋体" w:cs="宋体"/>
          <w:spacing w:val="6"/>
        </w:rPr>
        <w:t>前款所称残疾人是指法定劳动年龄内，持有《中华人民共和国残疾人证》或者《中华人民共和国残疾军人证（</w:t>
      </w:r>
      <w:r>
        <w:rPr>
          <w:rFonts w:ascii="宋体" w:hAnsi="宋体" w:cs="宋体"/>
          <w:spacing w:val="6"/>
        </w:rPr>
        <w:t>1</w:t>
      </w:r>
      <w:r>
        <w:rPr>
          <w:rFonts w:hint="eastAsia" w:ascii="宋体" w:hAnsi="宋体" w:cs="宋体"/>
          <w:spacing w:val="6"/>
        </w:rPr>
        <w:t>至</w:t>
      </w:r>
      <w:r>
        <w:rPr>
          <w:rFonts w:ascii="宋体" w:hAnsi="宋体" w:cs="宋体"/>
          <w:spacing w:val="6"/>
        </w:rPr>
        <w:t>8</w:t>
      </w:r>
      <w:r>
        <w:rPr>
          <w:rFonts w:hint="eastAsia" w:ascii="宋体" w:hAnsi="宋体" w:cs="宋体"/>
          <w:spacing w:val="6"/>
        </w:rPr>
        <w:t>级）》的自然人，包括具有劳动条件和劳动意愿的精神残疾人。在职职工人数是指与残疾人福利性单位建立劳动关系并依法签订劳动合同或者服务协议的雇员人数。</w:t>
      </w:r>
    </w:p>
    <w:p>
      <w:pPr>
        <w:snapToGrid w:val="0"/>
        <w:spacing w:before="120" w:beforeLines="50" w:after="50"/>
        <w:rPr>
          <w:rFonts w:ascii="宋体" w:hAnsi="宋体" w:cs="宋体"/>
          <w:b/>
          <w:kern w:val="0"/>
          <w:szCs w:val="21"/>
        </w:rPr>
      </w:pPr>
    </w:p>
    <w:p>
      <w:pPr>
        <w:snapToGrid w:val="0"/>
        <w:spacing w:before="120" w:beforeLines="50" w:after="50"/>
        <w:rPr>
          <w:rFonts w:ascii="宋体" w:hAnsi="宋体" w:cs="宋体"/>
          <w:b/>
          <w:kern w:val="0"/>
          <w:szCs w:val="21"/>
        </w:rPr>
      </w:pPr>
    </w:p>
    <w:p>
      <w:pPr>
        <w:snapToGrid w:val="0"/>
        <w:spacing w:before="120" w:beforeLines="50" w:after="50"/>
        <w:rPr>
          <w:rFonts w:ascii="宋体" w:hAnsi="宋体" w:cs="宋体"/>
          <w:b/>
          <w:kern w:val="0"/>
          <w:szCs w:val="21"/>
        </w:rPr>
      </w:pPr>
    </w:p>
    <w:p>
      <w:pPr>
        <w:snapToGrid w:val="0"/>
        <w:spacing w:before="120" w:beforeLines="50" w:after="50"/>
        <w:rPr>
          <w:rFonts w:ascii="宋体" w:hAnsi="宋体" w:cs="宋体"/>
          <w:b/>
          <w:kern w:val="0"/>
          <w:szCs w:val="21"/>
        </w:rPr>
      </w:pPr>
    </w:p>
    <w:p>
      <w:pPr>
        <w:snapToGrid w:val="0"/>
        <w:spacing w:before="120" w:beforeLines="50" w:after="50"/>
        <w:rPr>
          <w:rFonts w:ascii="宋体" w:hAnsi="宋体" w:cs="宋体"/>
          <w:b/>
          <w:kern w:val="0"/>
          <w:szCs w:val="21"/>
        </w:rPr>
      </w:pPr>
    </w:p>
    <w:p>
      <w:pPr>
        <w:snapToGrid w:val="0"/>
        <w:spacing w:before="120" w:beforeLines="50" w:after="50"/>
        <w:rPr>
          <w:rFonts w:ascii="宋体" w:hAnsi="宋体" w:cs="宋体"/>
          <w:b/>
          <w:kern w:val="0"/>
          <w:szCs w:val="21"/>
        </w:rPr>
      </w:pPr>
    </w:p>
    <w:p>
      <w:pPr>
        <w:snapToGrid w:val="0"/>
        <w:spacing w:before="120" w:beforeLines="50" w:after="50"/>
        <w:rPr>
          <w:rFonts w:ascii="宋体" w:hAnsi="宋体" w:cs="宋体"/>
          <w:b/>
          <w:kern w:val="0"/>
          <w:szCs w:val="21"/>
        </w:rPr>
      </w:pPr>
    </w:p>
    <w:p>
      <w:pPr>
        <w:snapToGrid w:val="0"/>
        <w:spacing w:before="120" w:beforeLines="50" w:after="50"/>
        <w:rPr>
          <w:rFonts w:ascii="宋体" w:hAnsi="宋体" w:cs="宋体"/>
          <w:b/>
          <w:kern w:val="0"/>
          <w:szCs w:val="21"/>
        </w:rPr>
      </w:pPr>
    </w:p>
    <w:p>
      <w:pPr>
        <w:snapToGrid w:val="0"/>
        <w:spacing w:before="120" w:beforeLines="50" w:after="50"/>
        <w:rPr>
          <w:rFonts w:ascii="宋体" w:hAnsi="宋体" w:cs="宋体"/>
          <w:b/>
          <w:kern w:val="0"/>
          <w:szCs w:val="21"/>
        </w:rPr>
      </w:pPr>
    </w:p>
    <w:p>
      <w:pPr>
        <w:snapToGrid w:val="0"/>
        <w:spacing w:before="120" w:beforeLines="50" w:after="50"/>
        <w:rPr>
          <w:rFonts w:ascii="宋体" w:hAnsi="宋体" w:cs="宋体"/>
          <w:b/>
          <w:bCs/>
          <w:color w:val="000000"/>
          <w:szCs w:val="21"/>
        </w:rPr>
      </w:pPr>
      <w:r>
        <w:rPr>
          <w:rFonts w:hint="eastAsia" w:ascii="宋体" w:hAnsi="宋体" w:cs="宋体"/>
          <w:b/>
          <w:kern w:val="0"/>
          <w:szCs w:val="21"/>
        </w:rPr>
        <w:t>（4）供应商针对报价需要说明的其他文件和说明（格式自拟）</w:t>
      </w:r>
      <w:r>
        <w:rPr>
          <w:rFonts w:ascii="宋体" w:hAnsi="宋体" w:cs="宋体"/>
          <w:b/>
          <w:bCs/>
          <w:color w:val="000000"/>
          <w:szCs w:val="21"/>
        </w:rPr>
        <w:br w:type="page"/>
      </w:r>
    </w:p>
    <w:p>
      <w:pPr>
        <w:snapToGrid w:val="0"/>
        <w:spacing w:line="360" w:lineRule="auto"/>
        <w:jc w:val="center"/>
        <w:rPr>
          <w:rFonts w:ascii="宋体" w:hAnsi="宋体" w:cs="宋体"/>
          <w:b/>
          <w:bCs/>
          <w:sz w:val="28"/>
          <w:szCs w:val="28"/>
        </w:rPr>
      </w:pPr>
      <w:r>
        <w:rPr>
          <w:rFonts w:hint="eastAsia" w:ascii="宋体" w:hAnsi="宋体" w:cs="宋体"/>
          <w:b/>
          <w:bCs/>
          <w:sz w:val="28"/>
          <w:szCs w:val="28"/>
        </w:rPr>
        <w:t>电子备份响应文件</w:t>
      </w:r>
    </w:p>
    <w:p>
      <w:pPr>
        <w:snapToGrid w:val="0"/>
        <w:spacing w:line="360" w:lineRule="auto"/>
        <w:ind w:firstLine="210" w:firstLineChars="100"/>
        <w:rPr>
          <w:rFonts w:ascii="宋体" w:hAnsi="宋体" w:cs="宋体"/>
          <w:szCs w:val="21"/>
        </w:rPr>
      </w:pPr>
    </w:p>
    <w:p>
      <w:pPr>
        <w:snapToGrid w:val="0"/>
        <w:spacing w:line="360" w:lineRule="auto"/>
        <w:ind w:firstLine="210" w:firstLineChars="100"/>
        <w:rPr>
          <w:rFonts w:ascii="宋体" w:hAnsi="宋体" w:cs="宋体"/>
          <w:b/>
          <w:sz w:val="28"/>
          <w:szCs w:val="28"/>
          <w:lang w:bidi="ar"/>
        </w:rPr>
      </w:pPr>
      <w:r>
        <w:rPr>
          <w:rFonts w:hint="eastAsia" w:ascii="宋体" w:hAnsi="宋体" w:cs="宋体"/>
          <w:szCs w:val="21"/>
        </w:rPr>
        <w:t>电子备份响应文件</w:t>
      </w:r>
      <w:r>
        <w:rPr>
          <w:rFonts w:hint="eastAsia" w:ascii="宋体" w:hAnsi="宋体" w:cs="宋体"/>
        </w:rPr>
        <w:t>的外包装封面格式：</w:t>
      </w:r>
    </w:p>
    <w:p>
      <w:pPr>
        <w:widowControl/>
        <w:spacing w:line="360" w:lineRule="auto"/>
        <w:jc w:val="center"/>
        <w:rPr>
          <w:rFonts w:ascii="宋体" w:hAnsi="宋体" w:cs="宋体"/>
          <w:b/>
          <w:sz w:val="28"/>
          <w:szCs w:val="28"/>
          <w:lang w:bidi="ar"/>
        </w:rPr>
      </w:pPr>
    </w:p>
    <w:p>
      <w:pPr>
        <w:widowControl/>
        <w:spacing w:line="360" w:lineRule="auto"/>
        <w:jc w:val="center"/>
        <w:rPr>
          <w:rFonts w:ascii="宋体" w:hAnsi="宋体" w:cs="宋体"/>
          <w:b/>
          <w:sz w:val="28"/>
          <w:szCs w:val="28"/>
          <w:lang w:bidi="ar"/>
        </w:rPr>
      </w:pPr>
    </w:p>
    <w:p>
      <w:pPr>
        <w:widowControl/>
        <w:spacing w:line="360" w:lineRule="auto"/>
        <w:jc w:val="center"/>
        <w:rPr>
          <w:rFonts w:ascii="宋体" w:hAnsi="宋体" w:cs="宋体"/>
          <w:sz w:val="40"/>
          <w:szCs w:val="40"/>
        </w:rPr>
      </w:pPr>
      <w:r>
        <w:rPr>
          <w:rFonts w:hint="eastAsia" w:ascii="宋体" w:hAnsi="宋体" w:cs="宋体"/>
          <w:sz w:val="40"/>
          <w:szCs w:val="40"/>
        </w:rPr>
        <w:t>电子备份响应文件</w:t>
      </w:r>
    </w:p>
    <w:p>
      <w:pPr>
        <w:widowControl/>
        <w:spacing w:line="360" w:lineRule="auto"/>
        <w:ind w:firstLine="1080" w:firstLineChars="450"/>
        <w:rPr>
          <w:rFonts w:ascii="宋体" w:hAnsi="宋体" w:cs="宋体"/>
          <w:bCs/>
          <w:sz w:val="24"/>
        </w:rPr>
      </w:pPr>
      <w:r>
        <w:rPr>
          <w:rFonts w:hint="eastAsia" w:ascii="宋体" w:hAnsi="宋体" w:cs="宋体"/>
          <w:bCs/>
          <w:sz w:val="24"/>
          <w:lang w:bidi="ar"/>
        </w:rPr>
        <w:t xml:space="preserve">项目名称： </w:t>
      </w:r>
    </w:p>
    <w:p>
      <w:pPr>
        <w:widowControl/>
        <w:spacing w:line="360" w:lineRule="auto"/>
        <w:ind w:firstLine="1080" w:firstLineChars="450"/>
        <w:rPr>
          <w:rFonts w:ascii="宋体" w:hAnsi="宋体" w:cs="宋体"/>
          <w:bCs/>
          <w:sz w:val="24"/>
          <w:lang w:bidi="ar"/>
        </w:rPr>
      </w:pPr>
      <w:r>
        <w:rPr>
          <w:rFonts w:hint="eastAsia" w:ascii="宋体" w:hAnsi="宋体" w:cs="宋体"/>
          <w:bCs/>
          <w:sz w:val="24"/>
          <w:lang w:bidi="ar"/>
        </w:rPr>
        <w:t>项目编号：</w:t>
      </w:r>
    </w:p>
    <w:p>
      <w:pPr>
        <w:widowControl/>
        <w:spacing w:line="360" w:lineRule="auto"/>
        <w:ind w:firstLine="1080" w:firstLineChars="450"/>
        <w:rPr>
          <w:rFonts w:ascii="宋体" w:hAnsi="宋体" w:cs="宋体"/>
          <w:bCs/>
          <w:sz w:val="24"/>
        </w:rPr>
      </w:pPr>
      <w:r>
        <w:rPr>
          <w:rFonts w:hint="eastAsia" w:ascii="宋体" w:hAnsi="宋体" w:cs="宋体"/>
          <w:bCs/>
          <w:sz w:val="24"/>
          <w:lang w:bidi="ar"/>
        </w:rPr>
        <w:t>供应商名称（加盖公章）：</w:t>
      </w:r>
    </w:p>
    <w:p>
      <w:pPr>
        <w:widowControl/>
        <w:spacing w:line="360" w:lineRule="auto"/>
        <w:ind w:firstLine="1080" w:firstLineChars="450"/>
        <w:rPr>
          <w:rFonts w:ascii="宋体" w:hAnsi="宋体" w:cs="宋体"/>
          <w:bCs/>
          <w:sz w:val="24"/>
        </w:rPr>
      </w:pPr>
      <w:r>
        <w:rPr>
          <w:rFonts w:hint="eastAsia" w:ascii="宋体" w:hAnsi="宋体" w:cs="宋体"/>
          <w:bCs/>
          <w:sz w:val="24"/>
          <w:lang w:bidi="ar"/>
        </w:rPr>
        <w:t>供应商地址：</w:t>
      </w:r>
    </w:p>
    <w:p>
      <w:pPr>
        <w:rPr>
          <w:rFonts w:ascii="宋体" w:hAnsi="宋体" w:cs="宋体"/>
          <w:szCs w:val="21"/>
        </w:rPr>
      </w:pPr>
      <w:r>
        <w:rPr>
          <w:rFonts w:hint="eastAsia" w:ascii="宋体" w:hAnsi="宋体" w:cs="宋体"/>
          <w:bCs/>
          <w:sz w:val="24"/>
          <w:lang w:bidi="ar"/>
        </w:rPr>
        <w:t xml:space="preserve">                        年  月  日</w:t>
      </w:r>
    </w:p>
    <w:sectPr>
      <w:footerReference r:id="rId7" w:type="first"/>
      <w:footerReference r:id="rId6" w:type="default"/>
      <w:pgSz w:w="11906" w:h="16838"/>
      <w:pgMar w:top="1474" w:right="1134" w:bottom="1247"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P Simplified Hans Light">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P Simplified Light">
    <w:altName w:val="Segoe Print"/>
    <w:panose1 w:val="00000000000000000000"/>
    <w:charset w:val="00"/>
    <w:family w:val="swiss"/>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0" w:usb3="00000000" w:csb0="00000001" w:csb1="00000000"/>
  </w:font>
  <w:font w:name="汉仪粗黑简">
    <w:altName w:val="黑体"/>
    <w:panose1 w:val="00000000000000000000"/>
    <w:charset w:val="86"/>
    <w:family w:val="swiss"/>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2</w:t>
    </w:r>
    <w:r>
      <w:fldChar w:fldCharType="end"/>
    </w:r>
  </w:p>
  <w:p>
    <w:pPr>
      <w:pStyle w:val="31"/>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24</w: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ind w:right="630"/>
      <w:rPr>
        <w:rStyle w:val="53"/>
      </w:rPr>
    </w:pPr>
    <w:r>
      <w:rPr>
        <w:rFonts w:hint="eastAsia"/>
      </w:rPr>
      <w:t xml:space="preserve"> </w:t>
    </w:r>
  </w:p>
  <w:p>
    <w:pPr>
      <w:pStyle w:val="31"/>
      <w:ind w:right="720"/>
      <w:jc w:val="center"/>
    </w:pPr>
    <w:r>
      <w:fldChar w:fldCharType="begin"/>
    </w:r>
    <w:r>
      <w:rPr>
        <w:rStyle w:val="53"/>
      </w:rPr>
      <w:instrText xml:space="preserve"> PAGE </w:instrText>
    </w:r>
    <w:r>
      <w:fldChar w:fldCharType="separate"/>
    </w:r>
    <w:r>
      <w:rPr>
        <w:rStyle w:val="53"/>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rPr>
        <w:rStyle w:val="53"/>
      </w:rPr>
      <w:instrText xml:space="preserve"> PAGE </w:instrText>
    </w:r>
    <w:r>
      <w:fldChar w:fldCharType="separate"/>
    </w:r>
    <w:r>
      <w:rPr>
        <w:rStyle w:val="53"/>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29D120CC"/>
    <w:multiLevelType w:val="singleLevel"/>
    <w:tmpl w:val="29D120CC"/>
    <w:lvl w:ilvl="0" w:tentative="0">
      <w:start w:val="1"/>
      <w:numFmt w:val="decimal"/>
      <w:suff w:val="nothing"/>
      <w:lvlText w:val="（%1）"/>
      <w:lvlJc w:val="left"/>
    </w:lvl>
  </w:abstractNum>
  <w:abstractNum w:abstractNumId="2">
    <w:nsid w:val="438801C5"/>
    <w:multiLevelType w:val="multilevel"/>
    <w:tmpl w:val="438801C5"/>
    <w:lvl w:ilvl="0" w:tentative="0">
      <w:start w:val="1"/>
      <w:numFmt w:val="decimal"/>
      <w:pStyle w:val="206"/>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E490A0"/>
    <w:multiLevelType w:val="singleLevel"/>
    <w:tmpl w:val="59E490A0"/>
    <w:lvl w:ilvl="0" w:tentative="0">
      <w:start w:val="1"/>
      <w:numFmt w:val="upperLetter"/>
      <w:lvlText w:val="%1."/>
      <w:lvlJc w:val="left"/>
      <w:pPr>
        <w:ind w:left="425" w:hanging="425"/>
      </w:pPr>
      <w:rPr>
        <w:rFonts w:hint="default"/>
      </w:rPr>
    </w:lvl>
  </w:abstractNum>
  <w:abstractNum w:abstractNumId="4">
    <w:nsid w:val="59EF0CEE"/>
    <w:multiLevelType w:val="singleLevel"/>
    <w:tmpl w:val="59EF0CEE"/>
    <w:lvl w:ilvl="0" w:tentative="0">
      <w:start w:val="1"/>
      <w:numFmt w:val="decimal"/>
      <w:lvlText w:val="%1)"/>
      <w:lvlJc w:val="left"/>
      <w:pPr>
        <w:ind w:left="425" w:hanging="425"/>
      </w:pPr>
      <w:rPr>
        <w:rFonts w:hint="default"/>
      </w:rPr>
    </w:lvl>
  </w:abstractNum>
  <w:abstractNum w:abstractNumId="5">
    <w:nsid w:val="5F697C09"/>
    <w:multiLevelType w:val="multilevel"/>
    <w:tmpl w:val="5F697C09"/>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YTI2N2Q1Yjg5OGZlMWRmNTM2OWFhYmMwNGQ1OWYifQ=="/>
  </w:docVars>
  <w:rsids>
    <w:rsidRoot w:val="005C2BCE"/>
    <w:rsid w:val="00000D8C"/>
    <w:rsid w:val="00001420"/>
    <w:rsid w:val="000030E0"/>
    <w:rsid w:val="00004187"/>
    <w:rsid w:val="000044A3"/>
    <w:rsid w:val="000047DF"/>
    <w:rsid w:val="000068CE"/>
    <w:rsid w:val="00007345"/>
    <w:rsid w:val="00007D82"/>
    <w:rsid w:val="000105AC"/>
    <w:rsid w:val="000117B1"/>
    <w:rsid w:val="00013480"/>
    <w:rsid w:val="00017867"/>
    <w:rsid w:val="00017AFE"/>
    <w:rsid w:val="00021322"/>
    <w:rsid w:val="0002135B"/>
    <w:rsid w:val="00022216"/>
    <w:rsid w:val="00023639"/>
    <w:rsid w:val="00024740"/>
    <w:rsid w:val="000276E8"/>
    <w:rsid w:val="000307C1"/>
    <w:rsid w:val="00030C6E"/>
    <w:rsid w:val="00031149"/>
    <w:rsid w:val="00032CC3"/>
    <w:rsid w:val="00033339"/>
    <w:rsid w:val="00036937"/>
    <w:rsid w:val="00036E13"/>
    <w:rsid w:val="00036F16"/>
    <w:rsid w:val="00036F39"/>
    <w:rsid w:val="0003734C"/>
    <w:rsid w:val="00037527"/>
    <w:rsid w:val="0004045E"/>
    <w:rsid w:val="00046FDF"/>
    <w:rsid w:val="00047585"/>
    <w:rsid w:val="00047C8A"/>
    <w:rsid w:val="000503DD"/>
    <w:rsid w:val="00050594"/>
    <w:rsid w:val="000508B7"/>
    <w:rsid w:val="00050D15"/>
    <w:rsid w:val="00050DFB"/>
    <w:rsid w:val="000515A2"/>
    <w:rsid w:val="00052702"/>
    <w:rsid w:val="00052A9D"/>
    <w:rsid w:val="00052C4E"/>
    <w:rsid w:val="00056300"/>
    <w:rsid w:val="00056B83"/>
    <w:rsid w:val="00057F46"/>
    <w:rsid w:val="00060FB3"/>
    <w:rsid w:val="00061318"/>
    <w:rsid w:val="00062F61"/>
    <w:rsid w:val="0006375F"/>
    <w:rsid w:val="00065E34"/>
    <w:rsid w:val="00067B3F"/>
    <w:rsid w:val="00067D0D"/>
    <w:rsid w:val="000706D3"/>
    <w:rsid w:val="00071108"/>
    <w:rsid w:val="00071EEC"/>
    <w:rsid w:val="00072172"/>
    <w:rsid w:val="000746B6"/>
    <w:rsid w:val="0007600E"/>
    <w:rsid w:val="00077919"/>
    <w:rsid w:val="000818A6"/>
    <w:rsid w:val="00083CFD"/>
    <w:rsid w:val="00084413"/>
    <w:rsid w:val="00084B7E"/>
    <w:rsid w:val="0008670B"/>
    <w:rsid w:val="00091720"/>
    <w:rsid w:val="00091AD0"/>
    <w:rsid w:val="0009315A"/>
    <w:rsid w:val="000937EC"/>
    <w:rsid w:val="00093A4F"/>
    <w:rsid w:val="0009472C"/>
    <w:rsid w:val="00094828"/>
    <w:rsid w:val="00094DD4"/>
    <w:rsid w:val="00095120"/>
    <w:rsid w:val="0009693D"/>
    <w:rsid w:val="00096E22"/>
    <w:rsid w:val="00097EA2"/>
    <w:rsid w:val="000A02E8"/>
    <w:rsid w:val="000A0C2E"/>
    <w:rsid w:val="000A1821"/>
    <w:rsid w:val="000A1D42"/>
    <w:rsid w:val="000A4D22"/>
    <w:rsid w:val="000A5AFB"/>
    <w:rsid w:val="000A7128"/>
    <w:rsid w:val="000B185E"/>
    <w:rsid w:val="000B56F8"/>
    <w:rsid w:val="000C255E"/>
    <w:rsid w:val="000C4DCB"/>
    <w:rsid w:val="000C52FD"/>
    <w:rsid w:val="000C72D1"/>
    <w:rsid w:val="000C7BBD"/>
    <w:rsid w:val="000D1298"/>
    <w:rsid w:val="000D1DF2"/>
    <w:rsid w:val="000D2FCC"/>
    <w:rsid w:val="000D4893"/>
    <w:rsid w:val="000D6359"/>
    <w:rsid w:val="000D6F34"/>
    <w:rsid w:val="000E0E79"/>
    <w:rsid w:val="000E262C"/>
    <w:rsid w:val="000E2A2E"/>
    <w:rsid w:val="000E2B6D"/>
    <w:rsid w:val="000E434F"/>
    <w:rsid w:val="000E5C3A"/>
    <w:rsid w:val="000E631C"/>
    <w:rsid w:val="000E6936"/>
    <w:rsid w:val="000E7877"/>
    <w:rsid w:val="000E7DE9"/>
    <w:rsid w:val="000F289F"/>
    <w:rsid w:val="000F4EA9"/>
    <w:rsid w:val="000F69B7"/>
    <w:rsid w:val="00101971"/>
    <w:rsid w:val="00102388"/>
    <w:rsid w:val="00104B06"/>
    <w:rsid w:val="001102E1"/>
    <w:rsid w:val="00110400"/>
    <w:rsid w:val="00110420"/>
    <w:rsid w:val="0011078D"/>
    <w:rsid w:val="00111019"/>
    <w:rsid w:val="00111844"/>
    <w:rsid w:val="00111D99"/>
    <w:rsid w:val="00111DF4"/>
    <w:rsid w:val="00112313"/>
    <w:rsid w:val="00113984"/>
    <w:rsid w:val="00113A03"/>
    <w:rsid w:val="00113B3A"/>
    <w:rsid w:val="00114239"/>
    <w:rsid w:val="00114C44"/>
    <w:rsid w:val="00116EB9"/>
    <w:rsid w:val="0011757C"/>
    <w:rsid w:val="00121EFB"/>
    <w:rsid w:val="00122114"/>
    <w:rsid w:val="0012230A"/>
    <w:rsid w:val="001224C0"/>
    <w:rsid w:val="00123C65"/>
    <w:rsid w:val="00123EBA"/>
    <w:rsid w:val="001241E3"/>
    <w:rsid w:val="00125480"/>
    <w:rsid w:val="00126677"/>
    <w:rsid w:val="00127009"/>
    <w:rsid w:val="00130C4F"/>
    <w:rsid w:val="00130EFF"/>
    <w:rsid w:val="00133145"/>
    <w:rsid w:val="0013560C"/>
    <w:rsid w:val="00137215"/>
    <w:rsid w:val="00137F04"/>
    <w:rsid w:val="00140848"/>
    <w:rsid w:val="001418D8"/>
    <w:rsid w:val="00142AAD"/>
    <w:rsid w:val="00142B16"/>
    <w:rsid w:val="001452D5"/>
    <w:rsid w:val="0014651D"/>
    <w:rsid w:val="00146A83"/>
    <w:rsid w:val="00147444"/>
    <w:rsid w:val="00150E94"/>
    <w:rsid w:val="0015255A"/>
    <w:rsid w:val="0015371F"/>
    <w:rsid w:val="00153E0B"/>
    <w:rsid w:val="00153FB1"/>
    <w:rsid w:val="00155F19"/>
    <w:rsid w:val="00156F41"/>
    <w:rsid w:val="00157486"/>
    <w:rsid w:val="001576FA"/>
    <w:rsid w:val="00162236"/>
    <w:rsid w:val="00162FB6"/>
    <w:rsid w:val="00163E75"/>
    <w:rsid w:val="001652D9"/>
    <w:rsid w:val="001665AB"/>
    <w:rsid w:val="00167918"/>
    <w:rsid w:val="00167C02"/>
    <w:rsid w:val="00167F0C"/>
    <w:rsid w:val="00171EF5"/>
    <w:rsid w:val="00172073"/>
    <w:rsid w:val="00173D44"/>
    <w:rsid w:val="00174B91"/>
    <w:rsid w:val="0017561C"/>
    <w:rsid w:val="001826FD"/>
    <w:rsid w:val="001834C6"/>
    <w:rsid w:val="00183C96"/>
    <w:rsid w:val="00183D71"/>
    <w:rsid w:val="001850C7"/>
    <w:rsid w:val="0018569B"/>
    <w:rsid w:val="00185732"/>
    <w:rsid w:val="00190E35"/>
    <w:rsid w:val="00191E92"/>
    <w:rsid w:val="00192250"/>
    <w:rsid w:val="00192575"/>
    <w:rsid w:val="00193D71"/>
    <w:rsid w:val="00194B30"/>
    <w:rsid w:val="001A0B05"/>
    <w:rsid w:val="001A0F7F"/>
    <w:rsid w:val="001A137F"/>
    <w:rsid w:val="001A2726"/>
    <w:rsid w:val="001A27FF"/>
    <w:rsid w:val="001A3C8C"/>
    <w:rsid w:val="001A485D"/>
    <w:rsid w:val="001A5479"/>
    <w:rsid w:val="001A5608"/>
    <w:rsid w:val="001A5773"/>
    <w:rsid w:val="001A5D7F"/>
    <w:rsid w:val="001A6932"/>
    <w:rsid w:val="001A6AD9"/>
    <w:rsid w:val="001A7F85"/>
    <w:rsid w:val="001B17D9"/>
    <w:rsid w:val="001B1B84"/>
    <w:rsid w:val="001B25DB"/>
    <w:rsid w:val="001B394C"/>
    <w:rsid w:val="001B48FF"/>
    <w:rsid w:val="001B66B2"/>
    <w:rsid w:val="001B7238"/>
    <w:rsid w:val="001B7543"/>
    <w:rsid w:val="001C0471"/>
    <w:rsid w:val="001C2679"/>
    <w:rsid w:val="001C26CB"/>
    <w:rsid w:val="001C30E4"/>
    <w:rsid w:val="001C4878"/>
    <w:rsid w:val="001C75E7"/>
    <w:rsid w:val="001D1046"/>
    <w:rsid w:val="001D1CEB"/>
    <w:rsid w:val="001D3176"/>
    <w:rsid w:val="001D4769"/>
    <w:rsid w:val="001D59CF"/>
    <w:rsid w:val="001D773A"/>
    <w:rsid w:val="001E0AD3"/>
    <w:rsid w:val="001E100D"/>
    <w:rsid w:val="001E337F"/>
    <w:rsid w:val="001E3781"/>
    <w:rsid w:val="001E5EFE"/>
    <w:rsid w:val="001E64F5"/>
    <w:rsid w:val="001F0A5D"/>
    <w:rsid w:val="001F1C01"/>
    <w:rsid w:val="001F1D22"/>
    <w:rsid w:val="001F32CC"/>
    <w:rsid w:val="001F38FD"/>
    <w:rsid w:val="001F3AF5"/>
    <w:rsid w:val="001F3BA2"/>
    <w:rsid w:val="001F3CED"/>
    <w:rsid w:val="001F4231"/>
    <w:rsid w:val="001F536B"/>
    <w:rsid w:val="001F7394"/>
    <w:rsid w:val="001F777F"/>
    <w:rsid w:val="001F7B85"/>
    <w:rsid w:val="00200BA6"/>
    <w:rsid w:val="00202C9C"/>
    <w:rsid w:val="0020416E"/>
    <w:rsid w:val="00204F36"/>
    <w:rsid w:val="00205322"/>
    <w:rsid w:val="0021000A"/>
    <w:rsid w:val="00211FC1"/>
    <w:rsid w:val="00214FDA"/>
    <w:rsid w:val="00215269"/>
    <w:rsid w:val="0021769D"/>
    <w:rsid w:val="00217FF1"/>
    <w:rsid w:val="00221CD7"/>
    <w:rsid w:val="00222650"/>
    <w:rsid w:val="002241FB"/>
    <w:rsid w:val="002248BF"/>
    <w:rsid w:val="002277BA"/>
    <w:rsid w:val="0023259A"/>
    <w:rsid w:val="002329FF"/>
    <w:rsid w:val="00233365"/>
    <w:rsid w:val="00234C59"/>
    <w:rsid w:val="00236C04"/>
    <w:rsid w:val="00236D28"/>
    <w:rsid w:val="00241EB6"/>
    <w:rsid w:val="00242268"/>
    <w:rsid w:val="00242BDF"/>
    <w:rsid w:val="00242E45"/>
    <w:rsid w:val="00247D27"/>
    <w:rsid w:val="00251CFD"/>
    <w:rsid w:val="00254EDC"/>
    <w:rsid w:val="00257310"/>
    <w:rsid w:val="002576BF"/>
    <w:rsid w:val="00260A45"/>
    <w:rsid w:val="00260CC7"/>
    <w:rsid w:val="0026472C"/>
    <w:rsid w:val="002648E2"/>
    <w:rsid w:val="002649D4"/>
    <w:rsid w:val="0026560D"/>
    <w:rsid w:val="0026783A"/>
    <w:rsid w:val="00273B0C"/>
    <w:rsid w:val="002740B4"/>
    <w:rsid w:val="002741B7"/>
    <w:rsid w:val="0027561F"/>
    <w:rsid w:val="00275BC8"/>
    <w:rsid w:val="00275CC6"/>
    <w:rsid w:val="00276797"/>
    <w:rsid w:val="00276D6E"/>
    <w:rsid w:val="00277476"/>
    <w:rsid w:val="00277C20"/>
    <w:rsid w:val="00277D41"/>
    <w:rsid w:val="00277F2D"/>
    <w:rsid w:val="00281AC8"/>
    <w:rsid w:val="00284DC4"/>
    <w:rsid w:val="00286AAA"/>
    <w:rsid w:val="00286B8A"/>
    <w:rsid w:val="00287256"/>
    <w:rsid w:val="002905BB"/>
    <w:rsid w:val="0029109A"/>
    <w:rsid w:val="00291586"/>
    <w:rsid w:val="00291955"/>
    <w:rsid w:val="00292144"/>
    <w:rsid w:val="00292CDA"/>
    <w:rsid w:val="00292ECD"/>
    <w:rsid w:val="0029395D"/>
    <w:rsid w:val="002962B4"/>
    <w:rsid w:val="0029646B"/>
    <w:rsid w:val="002A076E"/>
    <w:rsid w:val="002A4012"/>
    <w:rsid w:val="002A4F83"/>
    <w:rsid w:val="002B0B7A"/>
    <w:rsid w:val="002B0EE0"/>
    <w:rsid w:val="002B14F2"/>
    <w:rsid w:val="002B3A97"/>
    <w:rsid w:val="002B4380"/>
    <w:rsid w:val="002B4D9A"/>
    <w:rsid w:val="002B6CB0"/>
    <w:rsid w:val="002B7077"/>
    <w:rsid w:val="002C0A8C"/>
    <w:rsid w:val="002C13CA"/>
    <w:rsid w:val="002C3838"/>
    <w:rsid w:val="002C389E"/>
    <w:rsid w:val="002C3A98"/>
    <w:rsid w:val="002C4EC9"/>
    <w:rsid w:val="002C6BF2"/>
    <w:rsid w:val="002D03DD"/>
    <w:rsid w:val="002D31EC"/>
    <w:rsid w:val="002D45A4"/>
    <w:rsid w:val="002D4A11"/>
    <w:rsid w:val="002D4C70"/>
    <w:rsid w:val="002E0EA6"/>
    <w:rsid w:val="002E2090"/>
    <w:rsid w:val="002E4FD6"/>
    <w:rsid w:val="002E5B72"/>
    <w:rsid w:val="002E5BDE"/>
    <w:rsid w:val="002E6578"/>
    <w:rsid w:val="002E6CE9"/>
    <w:rsid w:val="002E7297"/>
    <w:rsid w:val="002E7A61"/>
    <w:rsid w:val="002F0757"/>
    <w:rsid w:val="002F26D5"/>
    <w:rsid w:val="002F5912"/>
    <w:rsid w:val="002F6518"/>
    <w:rsid w:val="002F7AF5"/>
    <w:rsid w:val="002F7D37"/>
    <w:rsid w:val="00306AEE"/>
    <w:rsid w:val="00307A06"/>
    <w:rsid w:val="00310278"/>
    <w:rsid w:val="00310E5A"/>
    <w:rsid w:val="00311335"/>
    <w:rsid w:val="00311A97"/>
    <w:rsid w:val="0031225B"/>
    <w:rsid w:val="00312AB4"/>
    <w:rsid w:val="00313339"/>
    <w:rsid w:val="003148D0"/>
    <w:rsid w:val="00315AEE"/>
    <w:rsid w:val="00316461"/>
    <w:rsid w:val="00317C2C"/>
    <w:rsid w:val="003212DE"/>
    <w:rsid w:val="003214A6"/>
    <w:rsid w:val="003223DE"/>
    <w:rsid w:val="00322F15"/>
    <w:rsid w:val="0032428E"/>
    <w:rsid w:val="00325D3A"/>
    <w:rsid w:val="00326F6C"/>
    <w:rsid w:val="003318DC"/>
    <w:rsid w:val="00331E32"/>
    <w:rsid w:val="00331ED1"/>
    <w:rsid w:val="00332E68"/>
    <w:rsid w:val="00333156"/>
    <w:rsid w:val="003339E3"/>
    <w:rsid w:val="00334462"/>
    <w:rsid w:val="00336731"/>
    <w:rsid w:val="00336BAE"/>
    <w:rsid w:val="00337C69"/>
    <w:rsid w:val="00337E31"/>
    <w:rsid w:val="003410F4"/>
    <w:rsid w:val="003413EE"/>
    <w:rsid w:val="00343ED9"/>
    <w:rsid w:val="00346B48"/>
    <w:rsid w:val="00346B87"/>
    <w:rsid w:val="00346F57"/>
    <w:rsid w:val="003476BD"/>
    <w:rsid w:val="00347B03"/>
    <w:rsid w:val="00351AAF"/>
    <w:rsid w:val="00351BC5"/>
    <w:rsid w:val="0035288C"/>
    <w:rsid w:val="00352B56"/>
    <w:rsid w:val="00353B99"/>
    <w:rsid w:val="00353DD3"/>
    <w:rsid w:val="00354AA9"/>
    <w:rsid w:val="00356328"/>
    <w:rsid w:val="00357A97"/>
    <w:rsid w:val="003620B0"/>
    <w:rsid w:val="00366A9D"/>
    <w:rsid w:val="00370986"/>
    <w:rsid w:val="00373902"/>
    <w:rsid w:val="003758EA"/>
    <w:rsid w:val="00376166"/>
    <w:rsid w:val="00377899"/>
    <w:rsid w:val="00380C8A"/>
    <w:rsid w:val="00385A7A"/>
    <w:rsid w:val="003868F0"/>
    <w:rsid w:val="00386ADC"/>
    <w:rsid w:val="00390F77"/>
    <w:rsid w:val="00392D87"/>
    <w:rsid w:val="00393FC7"/>
    <w:rsid w:val="00395839"/>
    <w:rsid w:val="00396E45"/>
    <w:rsid w:val="00397CA7"/>
    <w:rsid w:val="003A094D"/>
    <w:rsid w:val="003A14BE"/>
    <w:rsid w:val="003A260A"/>
    <w:rsid w:val="003A3058"/>
    <w:rsid w:val="003A3925"/>
    <w:rsid w:val="003A63C6"/>
    <w:rsid w:val="003A7E28"/>
    <w:rsid w:val="003A7E56"/>
    <w:rsid w:val="003B168C"/>
    <w:rsid w:val="003B40F7"/>
    <w:rsid w:val="003B541E"/>
    <w:rsid w:val="003B792A"/>
    <w:rsid w:val="003C15AA"/>
    <w:rsid w:val="003C17CF"/>
    <w:rsid w:val="003C57FC"/>
    <w:rsid w:val="003C7B6F"/>
    <w:rsid w:val="003D6885"/>
    <w:rsid w:val="003E0A44"/>
    <w:rsid w:val="003E1946"/>
    <w:rsid w:val="003E4561"/>
    <w:rsid w:val="003E6809"/>
    <w:rsid w:val="003E7389"/>
    <w:rsid w:val="003E75C8"/>
    <w:rsid w:val="003F19F6"/>
    <w:rsid w:val="003F4F10"/>
    <w:rsid w:val="003F5DC7"/>
    <w:rsid w:val="004026D2"/>
    <w:rsid w:val="004029E1"/>
    <w:rsid w:val="00403B91"/>
    <w:rsid w:val="00405966"/>
    <w:rsid w:val="00407A65"/>
    <w:rsid w:val="00410CE8"/>
    <w:rsid w:val="00411D54"/>
    <w:rsid w:val="004152E4"/>
    <w:rsid w:val="004153BB"/>
    <w:rsid w:val="0041791C"/>
    <w:rsid w:val="00422B56"/>
    <w:rsid w:val="00431174"/>
    <w:rsid w:val="00433E24"/>
    <w:rsid w:val="004341DD"/>
    <w:rsid w:val="00434EBF"/>
    <w:rsid w:val="00435B5E"/>
    <w:rsid w:val="00440213"/>
    <w:rsid w:val="0044089D"/>
    <w:rsid w:val="00440CDB"/>
    <w:rsid w:val="004420B0"/>
    <w:rsid w:val="0044260D"/>
    <w:rsid w:val="00443884"/>
    <w:rsid w:val="004453B5"/>
    <w:rsid w:val="00447FF7"/>
    <w:rsid w:val="0045029D"/>
    <w:rsid w:val="00450A1E"/>
    <w:rsid w:val="00450E20"/>
    <w:rsid w:val="004511E6"/>
    <w:rsid w:val="00451A05"/>
    <w:rsid w:val="00451D3E"/>
    <w:rsid w:val="004525DE"/>
    <w:rsid w:val="004554D4"/>
    <w:rsid w:val="00455C1A"/>
    <w:rsid w:val="00456F22"/>
    <w:rsid w:val="004574A4"/>
    <w:rsid w:val="00457E19"/>
    <w:rsid w:val="004603BB"/>
    <w:rsid w:val="0046147B"/>
    <w:rsid w:val="00461D31"/>
    <w:rsid w:val="004620D5"/>
    <w:rsid w:val="00464B09"/>
    <w:rsid w:val="00465018"/>
    <w:rsid w:val="004659E7"/>
    <w:rsid w:val="004706B6"/>
    <w:rsid w:val="00472325"/>
    <w:rsid w:val="00472F0A"/>
    <w:rsid w:val="004743FC"/>
    <w:rsid w:val="0047482F"/>
    <w:rsid w:val="00474906"/>
    <w:rsid w:val="004756B9"/>
    <w:rsid w:val="004768DC"/>
    <w:rsid w:val="0047726B"/>
    <w:rsid w:val="00477C67"/>
    <w:rsid w:val="004804F9"/>
    <w:rsid w:val="00481036"/>
    <w:rsid w:val="0048232A"/>
    <w:rsid w:val="00482819"/>
    <w:rsid w:val="00482C63"/>
    <w:rsid w:val="00484899"/>
    <w:rsid w:val="00484DD4"/>
    <w:rsid w:val="00485094"/>
    <w:rsid w:val="00487396"/>
    <w:rsid w:val="00490D23"/>
    <w:rsid w:val="00490E93"/>
    <w:rsid w:val="00493CDA"/>
    <w:rsid w:val="0049472C"/>
    <w:rsid w:val="00494BEC"/>
    <w:rsid w:val="0049541A"/>
    <w:rsid w:val="004A04C9"/>
    <w:rsid w:val="004A0877"/>
    <w:rsid w:val="004A29DF"/>
    <w:rsid w:val="004A2D92"/>
    <w:rsid w:val="004A40AA"/>
    <w:rsid w:val="004A4E27"/>
    <w:rsid w:val="004A664F"/>
    <w:rsid w:val="004B22CE"/>
    <w:rsid w:val="004B491C"/>
    <w:rsid w:val="004B6077"/>
    <w:rsid w:val="004B6BE3"/>
    <w:rsid w:val="004C03BB"/>
    <w:rsid w:val="004C1147"/>
    <w:rsid w:val="004C1EBD"/>
    <w:rsid w:val="004C5029"/>
    <w:rsid w:val="004C5474"/>
    <w:rsid w:val="004D0454"/>
    <w:rsid w:val="004D694C"/>
    <w:rsid w:val="004D7F3F"/>
    <w:rsid w:val="004D7F60"/>
    <w:rsid w:val="004E242F"/>
    <w:rsid w:val="004E2933"/>
    <w:rsid w:val="004E33FB"/>
    <w:rsid w:val="004E5627"/>
    <w:rsid w:val="004E5674"/>
    <w:rsid w:val="004E60C4"/>
    <w:rsid w:val="004E6CBC"/>
    <w:rsid w:val="004E7902"/>
    <w:rsid w:val="004F024B"/>
    <w:rsid w:val="004F040B"/>
    <w:rsid w:val="004F09A7"/>
    <w:rsid w:val="004F1891"/>
    <w:rsid w:val="004F1964"/>
    <w:rsid w:val="004F2ECA"/>
    <w:rsid w:val="004F4F47"/>
    <w:rsid w:val="0050286C"/>
    <w:rsid w:val="00502AEE"/>
    <w:rsid w:val="005050E4"/>
    <w:rsid w:val="00505939"/>
    <w:rsid w:val="00506123"/>
    <w:rsid w:val="0051000D"/>
    <w:rsid w:val="00512222"/>
    <w:rsid w:val="005134E5"/>
    <w:rsid w:val="005143BF"/>
    <w:rsid w:val="005152AE"/>
    <w:rsid w:val="005163C4"/>
    <w:rsid w:val="00516408"/>
    <w:rsid w:val="005176B2"/>
    <w:rsid w:val="00521306"/>
    <w:rsid w:val="00523071"/>
    <w:rsid w:val="005247FD"/>
    <w:rsid w:val="005261C2"/>
    <w:rsid w:val="005277EC"/>
    <w:rsid w:val="00530A42"/>
    <w:rsid w:val="00530DCC"/>
    <w:rsid w:val="00530E37"/>
    <w:rsid w:val="0053152C"/>
    <w:rsid w:val="0053421E"/>
    <w:rsid w:val="00534384"/>
    <w:rsid w:val="00536C50"/>
    <w:rsid w:val="005370E2"/>
    <w:rsid w:val="005403AF"/>
    <w:rsid w:val="00540D17"/>
    <w:rsid w:val="005424D2"/>
    <w:rsid w:val="00542991"/>
    <w:rsid w:val="00546D08"/>
    <w:rsid w:val="00550083"/>
    <w:rsid w:val="005518ED"/>
    <w:rsid w:val="0055210D"/>
    <w:rsid w:val="00552B32"/>
    <w:rsid w:val="00553A3A"/>
    <w:rsid w:val="00555160"/>
    <w:rsid w:val="005563C6"/>
    <w:rsid w:val="0055737C"/>
    <w:rsid w:val="00557390"/>
    <w:rsid w:val="005578A5"/>
    <w:rsid w:val="005608F2"/>
    <w:rsid w:val="00561637"/>
    <w:rsid w:val="0056266C"/>
    <w:rsid w:val="00562E00"/>
    <w:rsid w:val="00562FE0"/>
    <w:rsid w:val="00564984"/>
    <w:rsid w:val="00566E3C"/>
    <w:rsid w:val="00570C76"/>
    <w:rsid w:val="005711ED"/>
    <w:rsid w:val="00571B3A"/>
    <w:rsid w:val="00572D0D"/>
    <w:rsid w:val="005749F4"/>
    <w:rsid w:val="00576C52"/>
    <w:rsid w:val="00576FF8"/>
    <w:rsid w:val="0058073B"/>
    <w:rsid w:val="00582842"/>
    <w:rsid w:val="005841D4"/>
    <w:rsid w:val="0058510A"/>
    <w:rsid w:val="00585D12"/>
    <w:rsid w:val="00586B04"/>
    <w:rsid w:val="00587EE0"/>
    <w:rsid w:val="0059006F"/>
    <w:rsid w:val="00591F57"/>
    <w:rsid w:val="005925D4"/>
    <w:rsid w:val="005950CC"/>
    <w:rsid w:val="005977C7"/>
    <w:rsid w:val="005A3A71"/>
    <w:rsid w:val="005A4AED"/>
    <w:rsid w:val="005A5D74"/>
    <w:rsid w:val="005A7681"/>
    <w:rsid w:val="005B0617"/>
    <w:rsid w:val="005B120F"/>
    <w:rsid w:val="005B13F3"/>
    <w:rsid w:val="005B170C"/>
    <w:rsid w:val="005B366A"/>
    <w:rsid w:val="005B3D3E"/>
    <w:rsid w:val="005B479F"/>
    <w:rsid w:val="005B5624"/>
    <w:rsid w:val="005B58DE"/>
    <w:rsid w:val="005B5CC9"/>
    <w:rsid w:val="005B67C4"/>
    <w:rsid w:val="005C0EB8"/>
    <w:rsid w:val="005C15A5"/>
    <w:rsid w:val="005C2BCE"/>
    <w:rsid w:val="005C3DB2"/>
    <w:rsid w:val="005C5C8B"/>
    <w:rsid w:val="005C5F75"/>
    <w:rsid w:val="005C5FBA"/>
    <w:rsid w:val="005C63A1"/>
    <w:rsid w:val="005C6E2B"/>
    <w:rsid w:val="005D01D2"/>
    <w:rsid w:val="005D1407"/>
    <w:rsid w:val="005D17FC"/>
    <w:rsid w:val="005D2A04"/>
    <w:rsid w:val="005D2DC8"/>
    <w:rsid w:val="005D353D"/>
    <w:rsid w:val="005D3607"/>
    <w:rsid w:val="005D54BF"/>
    <w:rsid w:val="005D5ADA"/>
    <w:rsid w:val="005D640E"/>
    <w:rsid w:val="005D6DCE"/>
    <w:rsid w:val="005E006E"/>
    <w:rsid w:val="005E0520"/>
    <w:rsid w:val="005E0AD7"/>
    <w:rsid w:val="005E11A7"/>
    <w:rsid w:val="005E386A"/>
    <w:rsid w:val="005E3ECB"/>
    <w:rsid w:val="005E44E6"/>
    <w:rsid w:val="005E4951"/>
    <w:rsid w:val="005E6EC2"/>
    <w:rsid w:val="005E7345"/>
    <w:rsid w:val="005E7774"/>
    <w:rsid w:val="005F16D2"/>
    <w:rsid w:val="005F264B"/>
    <w:rsid w:val="005F26CE"/>
    <w:rsid w:val="005F4627"/>
    <w:rsid w:val="005F537F"/>
    <w:rsid w:val="005F5396"/>
    <w:rsid w:val="005F5450"/>
    <w:rsid w:val="005F6294"/>
    <w:rsid w:val="005F7204"/>
    <w:rsid w:val="005F7E04"/>
    <w:rsid w:val="0060109C"/>
    <w:rsid w:val="00602671"/>
    <w:rsid w:val="00605D9F"/>
    <w:rsid w:val="00607AE7"/>
    <w:rsid w:val="006135A1"/>
    <w:rsid w:val="0061557E"/>
    <w:rsid w:val="006160BF"/>
    <w:rsid w:val="00617618"/>
    <w:rsid w:val="006227B9"/>
    <w:rsid w:val="00622B58"/>
    <w:rsid w:val="006245E1"/>
    <w:rsid w:val="00627CD4"/>
    <w:rsid w:val="00630D2D"/>
    <w:rsid w:val="00631C5B"/>
    <w:rsid w:val="00632514"/>
    <w:rsid w:val="00633231"/>
    <w:rsid w:val="006338DE"/>
    <w:rsid w:val="00633D3F"/>
    <w:rsid w:val="00634242"/>
    <w:rsid w:val="00634375"/>
    <w:rsid w:val="006355A8"/>
    <w:rsid w:val="00635A88"/>
    <w:rsid w:val="00636333"/>
    <w:rsid w:val="006369CF"/>
    <w:rsid w:val="00636D55"/>
    <w:rsid w:val="00637162"/>
    <w:rsid w:val="00637B92"/>
    <w:rsid w:val="00640E41"/>
    <w:rsid w:val="00641B88"/>
    <w:rsid w:val="00644BCC"/>
    <w:rsid w:val="00646659"/>
    <w:rsid w:val="006468F5"/>
    <w:rsid w:val="00646BBE"/>
    <w:rsid w:val="00646F03"/>
    <w:rsid w:val="00647EB6"/>
    <w:rsid w:val="00650196"/>
    <w:rsid w:val="006517C8"/>
    <w:rsid w:val="00653287"/>
    <w:rsid w:val="00653E73"/>
    <w:rsid w:val="00653F80"/>
    <w:rsid w:val="006541F2"/>
    <w:rsid w:val="00654B38"/>
    <w:rsid w:val="00654E18"/>
    <w:rsid w:val="00655210"/>
    <w:rsid w:val="00655C6A"/>
    <w:rsid w:val="00657733"/>
    <w:rsid w:val="0065774B"/>
    <w:rsid w:val="006603F2"/>
    <w:rsid w:val="00660DDA"/>
    <w:rsid w:val="0066251B"/>
    <w:rsid w:val="006627AD"/>
    <w:rsid w:val="00663FF3"/>
    <w:rsid w:val="0066604A"/>
    <w:rsid w:val="0066659D"/>
    <w:rsid w:val="00666A9E"/>
    <w:rsid w:val="00666E50"/>
    <w:rsid w:val="00667D9B"/>
    <w:rsid w:val="00671F6F"/>
    <w:rsid w:val="0067203B"/>
    <w:rsid w:val="006726D4"/>
    <w:rsid w:val="006748A5"/>
    <w:rsid w:val="00674EC0"/>
    <w:rsid w:val="0067678D"/>
    <w:rsid w:val="00676E8A"/>
    <w:rsid w:val="006775D1"/>
    <w:rsid w:val="00683362"/>
    <w:rsid w:val="0068378D"/>
    <w:rsid w:val="00687097"/>
    <w:rsid w:val="0069091D"/>
    <w:rsid w:val="00692EAC"/>
    <w:rsid w:val="00693AE5"/>
    <w:rsid w:val="006959C8"/>
    <w:rsid w:val="00695FDC"/>
    <w:rsid w:val="00696153"/>
    <w:rsid w:val="00696E7F"/>
    <w:rsid w:val="006A02FD"/>
    <w:rsid w:val="006A102C"/>
    <w:rsid w:val="006A12B6"/>
    <w:rsid w:val="006A367F"/>
    <w:rsid w:val="006A49A9"/>
    <w:rsid w:val="006A5CB7"/>
    <w:rsid w:val="006A6754"/>
    <w:rsid w:val="006A69CF"/>
    <w:rsid w:val="006A7962"/>
    <w:rsid w:val="006B08B4"/>
    <w:rsid w:val="006B1B78"/>
    <w:rsid w:val="006B1E7C"/>
    <w:rsid w:val="006B2F71"/>
    <w:rsid w:val="006B324A"/>
    <w:rsid w:val="006B6F23"/>
    <w:rsid w:val="006B75EC"/>
    <w:rsid w:val="006C0CD5"/>
    <w:rsid w:val="006C0EAF"/>
    <w:rsid w:val="006C1AD9"/>
    <w:rsid w:val="006C24A8"/>
    <w:rsid w:val="006C2647"/>
    <w:rsid w:val="006C6121"/>
    <w:rsid w:val="006C79B2"/>
    <w:rsid w:val="006D080A"/>
    <w:rsid w:val="006D0B0D"/>
    <w:rsid w:val="006D272A"/>
    <w:rsid w:val="006D461E"/>
    <w:rsid w:val="006D4810"/>
    <w:rsid w:val="006D5E0D"/>
    <w:rsid w:val="006D5F85"/>
    <w:rsid w:val="006D6759"/>
    <w:rsid w:val="006D6AE5"/>
    <w:rsid w:val="006D6E63"/>
    <w:rsid w:val="006D70AA"/>
    <w:rsid w:val="006E0D00"/>
    <w:rsid w:val="006E0E91"/>
    <w:rsid w:val="006E3B2B"/>
    <w:rsid w:val="006E4900"/>
    <w:rsid w:val="006E4C65"/>
    <w:rsid w:val="006E6401"/>
    <w:rsid w:val="006E77F3"/>
    <w:rsid w:val="006F03A6"/>
    <w:rsid w:val="006F1F30"/>
    <w:rsid w:val="006F592B"/>
    <w:rsid w:val="007008B9"/>
    <w:rsid w:val="00701364"/>
    <w:rsid w:val="0070251C"/>
    <w:rsid w:val="00702C5E"/>
    <w:rsid w:val="0070510A"/>
    <w:rsid w:val="00705F44"/>
    <w:rsid w:val="007074CC"/>
    <w:rsid w:val="007076CF"/>
    <w:rsid w:val="00710159"/>
    <w:rsid w:val="00710218"/>
    <w:rsid w:val="0071234F"/>
    <w:rsid w:val="00712504"/>
    <w:rsid w:val="00712571"/>
    <w:rsid w:val="007139CA"/>
    <w:rsid w:val="00715AB0"/>
    <w:rsid w:val="00715BB8"/>
    <w:rsid w:val="00720370"/>
    <w:rsid w:val="00723CF8"/>
    <w:rsid w:val="00727728"/>
    <w:rsid w:val="00731AB3"/>
    <w:rsid w:val="007328BA"/>
    <w:rsid w:val="00736539"/>
    <w:rsid w:val="007400A5"/>
    <w:rsid w:val="007406C9"/>
    <w:rsid w:val="00740AA9"/>
    <w:rsid w:val="0074232C"/>
    <w:rsid w:val="00744F00"/>
    <w:rsid w:val="00745531"/>
    <w:rsid w:val="007522CF"/>
    <w:rsid w:val="007529D3"/>
    <w:rsid w:val="00752DCA"/>
    <w:rsid w:val="00753233"/>
    <w:rsid w:val="00753851"/>
    <w:rsid w:val="0075775E"/>
    <w:rsid w:val="00760207"/>
    <w:rsid w:val="0076099A"/>
    <w:rsid w:val="0076144C"/>
    <w:rsid w:val="00763378"/>
    <w:rsid w:val="007671D7"/>
    <w:rsid w:val="00770FF2"/>
    <w:rsid w:val="00771886"/>
    <w:rsid w:val="00771D9F"/>
    <w:rsid w:val="0077339E"/>
    <w:rsid w:val="0077347F"/>
    <w:rsid w:val="007778BE"/>
    <w:rsid w:val="00777EA9"/>
    <w:rsid w:val="0078384B"/>
    <w:rsid w:val="007864E8"/>
    <w:rsid w:val="00786E43"/>
    <w:rsid w:val="0079386F"/>
    <w:rsid w:val="00794CE0"/>
    <w:rsid w:val="007A287B"/>
    <w:rsid w:val="007A2CE7"/>
    <w:rsid w:val="007A2E6F"/>
    <w:rsid w:val="007A31EF"/>
    <w:rsid w:val="007A4B93"/>
    <w:rsid w:val="007A4F21"/>
    <w:rsid w:val="007A52EA"/>
    <w:rsid w:val="007A53F1"/>
    <w:rsid w:val="007A62F9"/>
    <w:rsid w:val="007A668A"/>
    <w:rsid w:val="007A75E7"/>
    <w:rsid w:val="007B05A4"/>
    <w:rsid w:val="007B19A0"/>
    <w:rsid w:val="007B1C04"/>
    <w:rsid w:val="007B27B5"/>
    <w:rsid w:val="007B2EC8"/>
    <w:rsid w:val="007B3B76"/>
    <w:rsid w:val="007B5874"/>
    <w:rsid w:val="007B597D"/>
    <w:rsid w:val="007B6D7C"/>
    <w:rsid w:val="007B6E67"/>
    <w:rsid w:val="007C00A2"/>
    <w:rsid w:val="007C0125"/>
    <w:rsid w:val="007C0653"/>
    <w:rsid w:val="007C18FF"/>
    <w:rsid w:val="007C1E8A"/>
    <w:rsid w:val="007C1F5D"/>
    <w:rsid w:val="007C269B"/>
    <w:rsid w:val="007C53B9"/>
    <w:rsid w:val="007C6C89"/>
    <w:rsid w:val="007D0812"/>
    <w:rsid w:val="007D24F5"/>
    <w:rsid w:val="007D4190"/>
    <w:rsid w:val="007D4C3D"/>
    <w:rsid w:val="007D554F"/>
    <w:rsid w:val="007D5DFA"/>
    <w:rsid w:val="007D7787"/>
    <w:rsid w:val="007E2C76"/>
    <w:rsid w:val="007E2CB6"/>
    <w:rsid w:val="007E4D25"/>
    <w:rsid w:val="007E4F22"/>
    <w:rsid w:val="007E5AC1"/>
    <w:rsid w:val="007E5DA9"/>
    <w:rsid w:val="007E5F0F"/>
    <w:rsid w:val="007F05B5"/>
    <w:rsid w:val="007F0E42"/>
    <w:rsid w:val="007F1630"/>
    <w:rsid w:val="007F181A"/>
    <w:rsid w:val="007F1930"/>
    <w:rsid w:val="007F2599"/>
    <w:rsid w:val="007F394B"/>
    <w:rsid w:val="007F4B3B"/>
    <w:rsid w:val="007F724D"/>
    <w:rsid w:val="00800578"/>
    <w:rsid w:val="00800DE3"/>
    <w:rsid w:val="008011C9"/>
    <w:rsid w:val="00801862"/>
    <w:rsid w:val="00801CD9"/>
    <w:rsid w:val="00803F5A"/>
    <w:rsid w:val="0080582F"/>
    <w:rsid w:val="00806B9F"/>
    <w:rsid w:val="008073F9"/>
    <w:rsid w:val="00807CF5"/>
    <w:rsid w:val="008136C5"/>
    <w:rsid w:val="00815402"/>
    <w:rsid w:val="0081622C"/>
    <w:rsid w:val="008164AE"/>
    <w:rsid w:val="00817A0F"/>
    <w:rsid w:val="008209A4"/>
    <w:rsid w:val="00821466"/>
    <w:rsid w:val="008217B9"/>
    <w:rsid w:val="008219AE"/>
    <w:rsid w:val="00821A10"/>
    <w:rsid w:val="00822537"/>
    <w:rsid w:val="008231BC"/>
    <w:rsid w:val="008250A8"/>
    <w:rsid w:val="00826FD5"/>
    <w:rsid w:val="00834A87"/>
    <w:rsid w:val="008350EC"/>
    <w:rsid w:val="0083582C"/>
    <w:rsid w:val="00836B10"/>
    <w:rsid w:val="00837A42"/>
    <w:rsid w:val="00840DCD"/>
    <w:rsid w:val="00840FB0"/>
    <w:rsid w:val="00841533"/>
    <w:rsid w:val="008416BD"/>
    <w:rsid w:val="008447C0"/>
    <w:rsid w:val="00844836"/>
    <w:rsid w:val="0084569A"/>
    <w:rsid w:val="00846D23"/>
    <w:rsid w:val="00850753"/>
    <w:rsid w:val="00850EF3"/>
    <w:rsid w:val="008528E3"/>
    <w:rsid w:val="00852B75"/>
    <w:rsid w:val="00853FDE"/>
    <w:rsid w:val="00855103"/>
    <w:rsid w:val="008564AC"/>
    <w:rsid w:val="00857476"/>
    <w:rsid w:val="008574B3"/>
    <w:rsid w:val="00857D79"/>
    <w:rsid w:val="00857F9F"/>
    <w:rsid w:val="008603E8"/>
    <w:rsid w:val="00860F28"/>
    <w:rsid w:val="008614A1"/>
    <w:rsid w:val="0086224D"/>
    <w:rsid w:val="00865157"/>
    <w:rsid w:val="008652C6"/>
    <w:rsid w:val="00865B08"/>
    <w:rsid w:val="0086613B"/>
    <w:rsid w:val="00870937"/>
    <w:rsid w:val="00870E31"/>
    <w:rsid w:val="00871040"/>
    <w:rsid w:val="00872164"/>
    <w:rsid w:val="0087270F"/>
    <w:rsid w:val="00872DA0"/>
    <w:rsid w:val="008737DD"/>
    <w:rsid w:val="00873901"/>
    <w:rsid w:val="00874C31"/>
    <w:rsid w:val="008753DF"/>
    <w:rsid w:val="00877144"/>
    <w:rsid w:val="008803D0"/>
    <w:rsid w:val="00880D41"/>
    <w:rsid w:val="00881603"/>
    <w:rsid w:val="008820DE"/>
    <w:rsid w:val="00883E0E"/>
    <w:rsid w:val="00884900"/>
    <w:rsid w:val="008854B4"/>
    <w:rsid w:val="008858E2"/>
    <w:rsid w:val="00887355"/>
    <w:rsid w:val="00887383"/>
    <w:rsid w:val="00890C49"/>
    <w:rsid w:val="00890FB5"/>
    <w:rsid w:val="00891235"/>
    <w:rsid w:val="008912E5"/>
    <w:rsid w:val="00891535"/>
    <w:rsid w:val="00891638"/>
    <w:rsid w:val="00891C6C"/>
    <w:rsid w:val="0089275B"/>
    <w:rsid w:val="008946A4"/>
    <w:rsid w:val="00894E65"/>
    <w:rsid w:val="00895B99"/>
    <w:rsid w:val="00895F8C"/>
    <w:rsid w:val="0089670E"/>
    <w:rsid w:val="008A239D"/>
    <w:rsid w:val="008A2B02"/>
    <w:rsid w:val="008A4832"/>
    <w:rsid w:val="008A4E92"/>
    <w:rsid w:val="008A6773"/>
    <w:rsid w:val="008A7037"/>
    <w:rsid w:val="008A7CF8"/>
    <w:rsid w:val="008B00C5"/>
    <w:rsid w:val="008B025A"/>
    <w:rsid w:val="008B0E9E"/>
    <w:rsid w:val="008B1590"/>
    <w:rsid w:val="008B3916"/>
    <w:rsid w:val="008B3A3E"/>
    <w:rsid w:val="008B53DA"/>
    <w:rsid w:val="008B57B9"/>
    <w:rsid w:val="008B6C26"/>
    <w:rsid w:val="008B7CE8"/>
    <w:rsid w:val="008C0136"/>
    <w:rsid w:val="008C36D5"/>
    <w:rsid w:val="008C5D7F"/>
    <w:rsid w:val="008C5F6C"/>
    <w:rsid w:val="008C75AD"/>
    <w:rsid w:val="008C7694"/>
    <w:rsid w:val="008C787D"/>
    <w:rsid w:val="008C7F6D"/>
    <w:rsid w:val="008D0E64"/>
    <w:rsid w:val="008D16B2"/>
    <w:rsid w:val="008D21F9"/>
    <w:rsid w:val="008D2946"/>
    <w:rsid w:val="008D2CBC"/>
    <w:rsid w:val="008D2CDC"/>
    <w:rsid w:val="008D6025"/>
    <w:rsid w:val="008D77EC"/>
    <w:rsid w:val="008D7FBA"/>
    <w:rsid w:val="008E0B8D"/>
    <w:rsid w:val="008E26CA"/>
    <w:rsid w:val="008E2A54"/>
    <w:rsid w:val="008E3520"/>
    <w:rsid w:val="008E3710"/>
    <w:rsid w:val="008E494A"/>
    <w:rsid w:val="008E4D56"/>
    <w:rsid w:val="008F09C8"/>
    <w:rsid w:val="008F133C"/>
    <w:rsid w:val="008F1683"/>
    <w:rsid w:val="008F2865"/>
    <w:rsid w:val="008F2E1A"/>
    <w:rsid w:val="008F3180"/>
    <w:rsid w:val="008F46EC"/>
    <w:rsid w:val="008F4BE1"/>
    <w:rsid w:val="008F6719"/>
    <w:rsid w:val="008F7184"/>
    <w:rsid w:val="00903003"/>
    <w:rsid w:val="00903590"/>
    <w:rsid w:val="009036EC"/>
    <w:rsid w:val="009045BE"/>
    <w:rsid w:val="0090484E"/>
    <w:rsid w:val="00910B87"/>
    <w:rsid w:val="0091266D"/>
    <w:rsid w:val="009150C3"/>
    <w:rsid w:val="0091511D"/>
    <w:rsid w:val="009152B4"/>
    <w:rsid w:val="00915959"/>
    <w:rsid w:val="00915C02"/>
    <w:rsid w:val="00922AE2"/>
    <w:rsid w:val="00922C87"/>
    <w:rsid w:val="00923C0E"/>
    <w:rsid w:val="00923CE1"/>
    <w:rsid w:val="00924816"/>
    <w:rsid w:val="00924CC9"/>
    <w:rsid w:val="009251FD"/>
    <w:rsid w:val="00925224"/>
    <w:rsid w:val="00925DEB"/>
    <w:rsid w:val="00927665"/>
    <w:rsid w:val="00930230"/>
    <w:rsid w:val="00931F42"/>
    <w:rsid w:val="0093427B"/>
    <w:rsid w:val="00935ABD"/>
    <w:rsid w:val="00936A55"/>
    <w:rsid w:val="009406FF"/>
    <w:rsid w:val="00942B6D"/>
    <w:rsid w:val="00943667"/>
    <w:rsid w:val="00944C7C"/>
    <w:rsid w:val="00944E84"/>
    <w:rsid w:val="00945265"/>
    <w:rsid w:val="00945D61"/>
    <w:rsid w:val="00945D91"/>
    <w:rsid w:val="00947BF1"/>
    <w:rsid w:val="00947C6F"/>
    <w:rsid w:val="00951364"/>
    <w:rsid w:val="00952464"/>
    <w:rsid w:val="00953B98"/>
    <w:rsid w:val="00954D33"/>
    <w:rsid w:val="0095580B"/>
    <w:rsid w:val="00957BA2"/>
    <w:rsid w:val="00957BC9"/>
    <w:rsid w:val="00957C2B"/>
    <w:rsid w:val="00960FB4"/>
    <w:rsid w:val="00961DF2"/>
    <w:rsid w:val="00962C6B"/>
    <w:rsid w:val="009638DC"/>
    <w:rsid w:val="00964C01"/>
    <w:rsid w:val="00965E05"/>
    <w:rsid w:val="00970E83"/>
    <w:rsid w:val="00971FE8"/>
    <w:rsid w:val="0097267B"/>
    <w:rsid w:val="00976795"/>
    <w:rsid w:val="00976EBA"/>
    <w:rsid w:val="00977055"/>
    <w:rsid w:val="0097744E"/>
    <w:rsid w:val="00980D61"/>
    <w:rsid w:val="0098236C"/>
    <w:rsid w:val="0098511F"/>
    <w:rsid w:val="00985287"/>
    <w:rsid w:val="00985409"/>
    <w:rsid w:val="0098656F"/>
    <w:rsid w:val="009866E5"/>
    <w:rsid w:val="009917D5"/>
    <w:rsid w:val="00991E34"/>
    <w:rsid w:val="00992442"/>
    <w:rsid w:val="00992569"/>
    <w:rsid w:val="0099443F"/>
    <w:rsid w:val="00994555"/>
    <w:rsid w:val="00994649"/>
    <w:rsid w:val="00995142"/>
    <w:rsid w:val="009953B2"/>
    <w:rsid w:val="0099546A"/>
    <w:rsid w:val="00995E0E"/>
    <w:rsid w:val="00996A1C"/>
    <w:rsid w:val="00996C7B"/>
    <w:rsid w:val="00996F25"/>
    <w:rsid w:val="0099721D"/>
    <w:rsid w:val="009979C0"/>
    <w:rsid w:val="009A0515"/>
    <w:rsid w:val="009A1B1E"/>
    <w:rsid w:val="009A1E4A"/>
    <w:rsid w:val="009A6DF6"/>
    <w:rsid w:val="009A73A8"/>
    <w:rsid w:val="009A7478"/>
    <w:rsid w:val="009B2630"/>
    <w:rsid w:val="009B277B"/>
    <w:rsid w:val="009B2A01"/>
    <w:rsid w:val="009B3894"/>
    <w:rsid w:val="009B45B9"/>
    <w:rsid w:val="009B64A5"/>
    <w:rsid w:val="009B6DDD"/>
    <w:rsid w:val="009C1CA7"/>
    <w:rsid w:val="009C25BE"/>
    <w:rsid w:val="009C2987"/>
    <w:rsid w:val="009C348E"/>
    <w:rsid w:val="009C38FE"/>
    <w:rsid w:val="009C3CD7"/>
    <w:rsid w:val="009C6B22"/>
    <w:rsid w:val="009C7155"/>
    <w:rsid w:val="009D0C17"/>
    <w:rsid w:val="009D1437"/>
    <w:rsid w:val="009D27E3"/>
    <w:rsid w:val="009D2AFC"/>
    <w:rsid w:val="009D33FC"/>
    <w:rsid w:val="009D34DB"/>
    <w:rsid w:val="009D6086"/>
    <w:rsid w:val="009D68D1"/>
    <w:rsid w:val="009D7582"/>
    <w:rsid w:val="009E09AA"/>
    <w:rsid w:val="009E1623"/>
    <w:rsid w:val="009E5299"/>
    <w:rsid w:val="009E70FF"/>
    <w:rsid w:val="009E714F"/>
    <w:rsid w:val="009E78C5"/>
    <w:rsid w:val="009F1319"/>
    <w:rsid w:val="009F2221"/>
    <w:rsid w:val="009F31F5"/>
    <w:rsid w:val="009F373E"/>
    <w:rsid w:val="009F434E"/>
    <w:rsid w:val="009F566B"/>
    <w:rsid w:val="009F5C9A"/>
    <w:rsid w:val="00A0197D"/>
    <w:rsid w:val="00A025B4"/>
    <w:rsid w:val="00A02FDA"/>
    <w:rsid w:val="00A03BBE"/>
    <w:rsid w:val="00A0456D"/>
    <w:rsid w:val="00A05923"/>
    <w:rsid w:val="00A05DCA"/>
    <w:rsid w:val="00A11312"/>
    <w:rsid w:val="00A1343C"/>
    <w:rsid w:val="00A14220"/>
    <w:rsid w:val="00A164CA"/>
    <w:rsid w:val="00A17AF8"/>
    <w:rsid w:val="00A200B3"/>
    <w:rsid w:val="00A224DE"/>
    <w:rsid w:val="00A24BA3"/>
    <w:rsid w:val="00A27029"/>
    <w:rsid w:val="00A2731B"/>
    <w:rsid w:val="00A32132"/>
    <w:rsid w:val="00A3237A"/>
    <w:rsid w:val="00A33CBD"/>
    <w:rsid w:val="00A36685"/>
    <w:rsid w:val="00A37012"/>
    <w:rsid w:val="00A40051"/>
    <w:rsid w:val="00A40467"/>
    <w:rsid w:val="00A4205B"/>
    <w:rsid w:val="00A426D4"/>
    <w:rsid w:val="00A426E5"/>
    <w:rsid w:val="00A455D9"/>
    <w:rsid w:val="00A4709A"/>
    <w:rsid w:val="00A479BB"/>
    <w:rsid w:val="00A47E5C"/>
    <w:rsid w:val="00A5137F"/>
    <w:rsid w:val="00A522CE"/>
    <w:rsid w:val="00A54210"/>
    <w:rsid w:val="00A55429"/>
    <w:rsid w:val="00A57042"/>
    <w:rsid w:val="00A576B1"/>
    <w:rsid w:val="00A6018A"/>
    <w:rsid w:val="00A62681"/>
    <w:rsid w:val="00A62EB3"/>
    <w:rsid w:val="00A63AA8"/>
    <w:rsid w:val="00A63BEB"/>
    <w:rsid w:val="00A6578D"/>
    <w:rsid w:val="00A663F8"/>
    <w:rsid w:val="00A66A33"/>
    <w:rsid w:val="00A66A40"/>
    <w:rsid w:val="00A66D51"/>
    <w:rsid w:val="00A7063D"/>
    <w:rsid w:val="00A71649"/>
    <w:rsid w:val="00A728C9"/>
    <w:rsid w:val="00A729C4"/>
    <w:rsid w:val="00A72E40"/>
    <w:rsid w:val="00A731FD"/>
    <w:rsid w:val="00A737F9"/>
    <w:rsid w:val="00A741DE"/>
    <w:rsid w:val="00A7499E"/>
    <w:rsid w:val="00A74DF6"/>
    <w:rsid w:val="00A7679A"/>
    <w:rsid w:val="00A767EE"/>
    <w:rsid w:val="00A8142B"/>
    <w:rsid w:val="00A8198C"/>
    <w:rsid w:val="00A82FC8"/>
    <w:rsid w:val="00A841AA"/>
    <w:rsid w:val="00A869CF"/>
    <w:rsid w:val="00A90414"/>
    <w:rsid w:val="00A90F7F"/>
    <w:rsid w:val="00A91849"/>
    <w:rsid w:val="00A94C6D"/>
    <w:rsid w:val="00A96259"/>
    <w:rsid w:val="00A96DC2"/>
    <w:rsid w:val="00A9705D"/>
    <w:rsid w:val="00AA3B96"/>
    <w:rsid w:val="00AA3F08"/>
    <w:rsid w:val="00AA4742"/>
    <w:rsid w:val="00AA48A8"/>
    <w:rsid w:val="00AA4D1B"/>
    <w:rsid w:val="00AA79B4"/>
    <w:rsid w:val="00AB1BE4"/>
    <w:rsid w:val="00AB245A"/>
    <w:rsid w:val="00AB27B7"/>
    <w:rsid w:val="00AB542E"/>
    <w:rsid w:val="00AB5472"/>
    <w:rsid w:val="00AC0EB7"/>
    <w:rsid w:val="00AC1E18"/>
    <w:rsid w:val="00AC1E2B"/>
    <w:rsid w:val="00AC2E3A"/>
    <w:rsid w:val="00AC2F35"/>
    <w:rsid w:val="00AC3717"/>
    <w:rsid w:val="00AC530A"/>
    <w:rsid w:val="00AC5546"/>
    <w:rsid w:val="00AC700D"/>
    <w:rsid w:val="00AC7FFB"/>
    <w:rsid w:val="00AD4306"/>
    <w:rsid w:val="00AD5C7A"/>
    <w:rsid w:val="00AD7421"/>
    <w:rsid w:val="00AE0F51"/>
    <w:rsid w:val="00AE137B"/>
    <w:rsid w:val="00AE1B50"/>
    <w:rsid w:val="00AE1BDE"/>
    <w:rsid w:val="00AE2477"/>
    <w:rsid w:val="00AE3235"/>
    <w:rsid w:val="00AE37FD"/>
    <w:rsid w:val="00AE4989"/>
    <w:rsid w:val="00AE67B7"/>
    <w:rsid w:val="00AE7D46"/>
    <w:rsid w:val="00AF18BF"/>
    <w:rsid w:val="00AF1A05"/>
    <w:rsid w:val="00AF24C7"/>
    <w:rsid w:val="00AF585D"/>
    <w:rsid w:val="00AF7715"/>
    <w:rsid w:val="00B03C9B"/>
    <w:rsid w:val="00B03DF8"/>
    <w:rsid w:val="00B0490D"/>
    <w:rsid w:val="00B04B4A"/>
    <w:rsid w:val="00B05203"/>
    <w:rsid w:val="00B05A2F"/>
    <w:rsid w:val="00B0777D"/>
    <w:rsid w:val="00B11A6F"/>
    <w:rsid w:val="00B141F9"/>
    <w:rsid w:val="00B15467"/>
    <w:rsid w:val="00B20C95"/>
    <w:rsid w:val="00B21027"/>
    <w:rsid w:val="00B22601"/>
    <w:rsid w:val="00B232E1"/>
    <w:rsid w:val="00B237A2"/>
    <w:rsid w:val="00B2410D"/>
    <w:rsid w:val="00B26F1E"/>
    <w:rsid w:val="00B30096"/>
    <w:rsid w:val="00B30A30"/>
    <w:rsid w:val="00B30C6D"/>
    <w:rsid w:val="00B3121D"/>
    <w:rsid w:val="00B31422"/>
    <w:rsid w:val="00B327BB"/>
    <w:rsid w:val="00B34441"/>
    <w:rsid w:val="00B34F02"/>
    <w:rsid w:val="00B35B16"/>
    <w:rsid w:val="00B35C72"/>
    <w:rsid w:val="00B4065B"/>
    <w:rsid w:val="00B478A0"/>
    <w:rsid w:val="00B47A4F"/>
    <w:rsid w:val="00B515B3"/>
    <w:rsid w:val="00B523B4"/>
    <w:rsid w:val="00B546F0"/>
    <w:rsid w:val="00B54AC9"/>
    <w:rsid w:val="00B54B55"/>
    <w:rsid w:val="00B55FA8"/>
    <w:rsid w:val="00B6006D"/>
    <w:rsid w:val="00B611F7"/>
    <w:rsid w:val="00B61C60"/>
    <w:rsid w:val="00B63211"/>
    <w:rsid w:val="00B63BB0"/>
    <w:rsid w:val="00B63F24"/>
    <w:rsid w:val="00B641E6"/>
    <w:rsid w:val="00B653F2"/>
    <w:rsid w:val="00B66660"/>
    <w:rsid w:val="00B66EE3"/>
    <w:rsid w:val="00B67082"/>
    <w:rsid w:val="00B67D36"/>
    <w:rsid w:val="00B72D3C"/>
    <w:rsid w:val="00B73A72"/>
    <w:rsid w:val="00B7501E"/>
    <w:rsid w:val="00B75856"/>
    <w:rsid w:val="00B77308"/>
    <w:rsid w:val="00B803A1"/>
    <w:rsid w:val="00B80859"/>
    <w:rsid w:val="00B80EB7"/>
    <w:rsid w:val="00B86A88"/>
    <w:rsid w:val="00B902FC"/>
    <w:rsid w:val="00B908CB"/>
    <w:rsid w:val="00B911E3"/>
    <w:rsid w:val="00B95595"/>
    <w:rsid w:val="00B967CB"/>
    <w:rsid w:val="00B96D37"/>
    <w:rsid w:val="00B97C93"/>
    <w:rsid w:val="00BA2F0D"/>
    <w:rsid w:val="00BA33E0"/>
    <w:rsid w:val="00BA3A49"/>
    <w:rsid w:val="00BA475D"/>
    <w:rsid w:val="00BA4D7D"/>
    <w:rsid w:val="00BB0C82"/>
    <w:rsid w:val="00BB2024"/>
    <w:rsid w:val="00BB2E9C"/>
    <w:rsid w:val="00BB3769"/>
    <w:rsid w:val="00BB4760"/>
    <w:rsid w:val="00BB4FE5"/>
    <w:rsid w:val="00BC0198"/>
    <w:rsid w:val="00BC0633"/>
    <w:rsid w:val="00BC1052"/>
    <w:rsid w:val="00BC3CDB"/>
    <w:rsid w:val="00BC5840"/>
    <w:rsid w:val="00BD08F4"/>
    <w:rsid w:val="00BD112D"/>
    <w:rsid w:val="00BD15FC"/>
    <w:rsid w:val="00BD178B"/>
    <w:rsid w:val="00BD2AD5"/>
    <w:rsid w:val="00BD3A92"/>
    <w:rsid w:val="00BD3F76"/>
    <w:rsid w:val="00BD5389"/>
    <w:rsid w:val="00BE0F1B"/>
    <w:rsid w:val="00BE158B"/>
    <w:rsid w:val="00BE391A"/>
    <w:rsid w:val="00BE4C14"/>
    <w:rsid w:val="00BE6363"/>
    <w:rsid w:val="00BF1F91"/>
    <w:rsid w:val="00BF28E5"/>
    <w:rsid w:val="00BF4427"/>
    <w:rsid w:val="00BF4763"/>
    <w:rsid w:val="00BF4E90"/>
    <w:rsid w:val="00BF6AD1"/>
    <w:rsid w:val="00BF75D6"/>
    <w:rsid w:val="00BF75FF"/>
    <w:rsid w:val="00BF79A0"/>
    <w:rsid w:val="00C04561"/>
    <w:rsid w:val="00C06728"/>
    <w:rsid w:val="00C074C1"/>
    <w:rsid w:val="00C100F5"/>
    <w:rsid w:val="00C103C6"/>
    <w:rsid w:val="00C10585"/>
    <w:rsid w:val="00C11891"/>
    <w:rsid w:val="00C12DDD"/>
    <w:rsid w:val="00C136AD"/>
    <w:rsid w:val="00C1525F"/>
    <w:rsid w:val="00C212E3"/>
    <w:rsid w:val="00C22ACC"/>
    <w:rsid w:val="00C235A2"/>
    <w:rsid w:val="00C256D1"/>
    <w:rsid w:val="00C26F0E"/>
    <w:rsid w:val="00C30981"/>
    <w:rsid w:val="00C310DB"/>
    <w:rsid w:val="00C33B7F"/>
    <w:rsid w:val="00C340F7"/>
    <w:rsid w:val="00C370C8"/>
    <w:rsid w:val="00C372B1"/>
    <w:rsid w:val="00C37A67"/>
    <w:rsid w:val="00C40011"/>
    <w:rsid w:val="00C4239A"/>
    <w:rsid w:val="00C4292D"/>
    <w:rsid w:val="00C4422F"/>
    <w:rsid w:val="00C44E98"/>
    <w:rsid w:val="00C5018F"/>
    <w:rsid w:val="00C51EDB"/>
    <w:rsid w:val="00C52E9B"/>
    <w:rsid w:val="00C52F32"/>
    <w:rsid w:val="00C53113"/>
    <w:rsid w:val="00C53230"/>
    <w:rsid w:val="00C5388D"/>
    <w:rsid w:val="00C5460E"/>
    <w:rsid w:val="00C61964"/>
    <w:rsid w:val="00C624B8"/>
    <w:rsid w:val="00C64694"/>
    <w:rsid w:val="00C64D56"/>
    <w:rsid w:val="00C65B0E"/>
    <w:rsid w:val="00C65FBC"/>
    <w:rsid w:val="00C663EA"/>
    <w:rsid w:val="00C6675F"/>
    <w:rsid w:val="00C701E9"/>
    <w:rsid w:val="00C745E8"/>
    <w:rsid w:val="00C747D8"/>
    <w:rsid w:val="00C749FF"/>
    <w:rsid w:val="00C74BE3"/>
    <w:rsid w:val="00C751A6"/>
    <w:rsid w:val="00C77ED1"/>
    <w:rsid w:val="00C80AF9"/>
    <w:rsid w:val="00C81079"/>
    <w:rsid w:val="00C81D3D"/>
    <w:rsid w:val="00C82FF8"/>
    <w:rsid w:val="00C838AA"/>
    <w:rsid w:val="00C83D8D"/>
    <w:rsid w:val="00C84B59"/>
    <w:rsid w:val="00C85B77"/>
    <w:rsid w:val="00C9045A"/>
    <w:rsid w:val="00C9247E"/>
    <w:rsid w:val="00C94B63"/>
    <w:rsid w:val="00C94C22"/>
    <w:rsid w:val="00C95787"/>
    <w:rsid w:val="00C961A8"/>
    <w:rsid w:val="00C96677"/>
    <w:rsid w:val="00C96732"/>
    <w:rsid w:val="00C968D7"/>
    <w:rsid w:val="00C96D70"/>
    <w:rsid w:val="00C979F0"/>
    <w:rsid w:val="00C97DAE"/>
    <w:rsid w:val="00CA2F69"/>
    <w:rsid w:val="00CA3BEC"/>
    <w:rsid w:val="00CA550B"/>
    <w:rsid w:val="00CB0874"/>
    <w:rsid w:val="00CB2CF2"/>
    <w:rsid w:val="00CB3242"/>
    <w:rsid w:val="00CB34D4"/>
    <w:rsid w:val="00CB5A43"/>
    <w:rsid w:val="00CB5DAC"/>
    <w:rsid w:val="00CB6CAD"/>
    <w:rsid w:val="00CC1993"/>
    <w:rsid w:val="00CC2F62"/>
    <w:rsid w:val="00CC523A"/>
    <w:rsid w:val="00CC6062"/>
    <w:rsid w:val="00CC6FD0"/>
    <w:rsid w:val="00CC7A2F"/>
    <w:rsid w:val="00CD1216"/>
    <w:rsid w:val="00CD52DE"/>
    <w:rsid w:val="00CD5609"/>
    <w:rsid w:val="00CD59D6"/>
    <w:rsid w:val="00CD77DD"/>
    <w:rsid w:val="00CD7E03"/>
    <w:rsid w:val="00CE0110"/>
    <w:rsid w:val="00CE1D7F"/>
    <w:rsid w:val="00CE292C"/>
    <w:rsid w:val="00CE4BE1"/>
    <w:rsid w:val="00CE537B"/>
    <w:rsid w:val="00CE58CF"/>
    <w:rsid w:val="00CE5F6A"/>
    <w:rsid w:val="00CE649D"/>
    <w:rsid w:val="00CF2DEE"/>
    <w:rsid w:val="00CF4399"/>
    <w:rsid w:val="00CF5055"/>
    <w:rsid w:val="00CF67E5"/>
    <w:rsid w:val="00D00094"/>
    <w:rsid w:val="00D01543"/>
    <w:rsid w:val="00D01CAA"/>
    <w:rsid w:val="00D0761A"/>
    <w:rsid w:val="00D10375"/>
    <w:rsid w:val="00D10ACB"/>
    <w:rsid w:val="00D11F34"/>
    <w:rsid w:val="00D12575"/>
    <w:rsid w:val="00D13717"/>
    <w:rsid w:val="00D152AD"/>
    <w:rsid w:val="00D15A04"/>
    <w:rsid w:val="00D1619A"/>
    <w:rsid w:val="00D162AC"/>
    <w:rsid w:val="00D20245"/>
    <w:rsid w:val="00D21039"/>
    <w:rsid w:val="00D21F5A"/>
    <w:rsid w:val="00D2260C"/>
    <w:rsid w:val="00D22E21"/>
    <w:rsid w:val="00D236E4"/>
    <w:rsid w:val="00D23FE2"/>
    <w:rsid w:val="00D242C9"/>
    <w:rsid w:val="00D26B21"/>
    <w:rsid w:val="00D31837"/>
    <w:rsid w:val="00D32A2C"/>
    <w:rsid w:val="00D40591"/>
    <w:rsid w:val="00D41F5D"/>
    <w:rsid w:val="00D43DEB"/>
    <w:rsid w:val="00D4437D"/>
    <w:rsid w:val="00D47A13"/>
    <w:rsid w:val="00D51635"/>
    <w:rsid w:val="00D5207C"/>
    <w:rsid w:val="00D5410E"/>
    <w:rsid w:val="00D55BD8"/>
    <w:rsid w:val="00D5726C"/>
    <w:rsid w:val="00D60F5F"/>
    <w:rsid w:val="00D623A6"/>
    <w:rsid w:val="00D62804"/>
    <w:rsid w:val="00D62877"/>
    <w:rsid w:val="00D62BA8"/>
    <w:rsid w:val="00D62FFF"/>
    <w:rsid w:val="00D63B1C"/>
    <w:rsid w:val="00D64AD4"/>
    <w:rsid w:val="00D66D43"/>
    <w:rsid w:val="00D705AA"/>
    <w:rsid w:val="00D7141A"/>
    <w:rsid w:val="00D71C83"/>
    <w:rsid w:val="00D71F31"/>
    <w:rsid w:val="00D80ABE"/>
    <w:rsid w:val="00D811A1"/>
    <w:rsid w:val="00D826AB"/>
    <w:rsid w:val="00D9206B"/>
    <w:rsid w:val="00D949ED"/>
    <w:rsid w:val="00D94CD6"/>
    <w:rsid w:val="00D9562E"/>
    <w:rsid w:val="00D96599"/>
    <w:rsid w:val="00DA0B97"/>
    <w:rsid w:val="00DA0BBE"/>
    <w:rsid w:val="00DA3B4F"/>
    <w:rsid w:val="00DA5C4C"/>
    <w:rsid w:val="00DB17C6"/>
    <w:rsid w:val="00DB2411"/>
    <w:rsid w:val="00DB2D2D"/>
    <w:rsid w:val="00DB596B"/>
    <w:rsid w:val="00DB5B60"/>
    <w:rsid w:val="00DB6382"/>
    <w:rsid w:val="00DC03C0"/>
    <w:rsid w:val="00DC0485"/>
    <w:rsid w:val="00DC1446"/>
    <w:rsid w:val="00DC2CC6"/>
    <w:rsid w:val="00DC434A"/>
    <w:rsid w:val="00DC6E63"/>
    <w:rsid w:val="00DC759A"/>
    <w:rsid w:val="00DD1054"/>
    <w:rsid w:val="00DD17C3"/>
    <w:rsid w:val="00DD3F7D"/>
    <w:rsid w:val="00DD4073"/>
    <w:rsid w:val="00DD447B"/>
    <w:rsid w:val="00DD467F"/>
    <w:rsid w:val="00DD6127"/>
    <w:rsid w:val="00DD6327"/>
    <w:rsid w:val="00DE0819"/>
    <w:rsid w:val="00DE1250"/>
    <w:rsid w:val="00DE2183"/>
    <w:rsid w:val="00DE4255"/>
    <w:rsid w:val="00DE5043"/>
    <w:rsid w:val="00DE58AD"/>
    <w:rsid w:val="00DE5B8E"/>
    <w:rsid w:val="00DE61A4"/>
    <w:rsid w:val="00DE6818"/>
    <w:rsid w:val="00DE7FAE"/>
    <w:rsid w:val="00DF0195"/>
    <w:rsid w:val="00DF0474"/>
    <w:rsid w:val="00DF1110"/>
    <w:rsid w:val="00DF4DA3"/>
    <w:rsid w:val="00DF5E78"/>
    <w:rsid w:val="00E020A3"/>
    <w:rsid w:val="00E05A9C"/>
    <w:rsid w:val="00E06705"/>
    <w:rsid w:val="00E07512"/>
    <w:rsid w:val="00E12703"/>
    <w:rsid w:val="00E129D6"/>
    <w:rsid w:val="00E132EC"/>
    <w:rsid w:val="00E13E12"/>
    <w:rsid w:val="00E14559"/>
    <w:rsid w:val="00E14627"/>
    <w:rsid w:val="00E14C38"/>
    <w:rsid w:val="00E15485"/>
    <w:rsid w:val="00E16720"/>
    <w:rsid w:val="00E16AF4"/>
    <w:rsid w:val="00E16E7F"/>
    <w:rsid w:val="00E174E8"/>
    <w:rsid w:val="00E20A3D"/>
    <w:rsid w:val="00E213AD"/>
    <w:rsid w:val="00E2225E"/>
    <w:rsid w:val="00E22F05"/>
    <w:rsid w:val="00E23B4F"/>
    <w:rsid w:val="00E23E78"/>
    <w:rsid w:val="00E25636"/>
    <w:rsid w:val="00E265AE"/>
    <w:rsid w:val="00E267E6"/>
    <w:rsid w:val="00E30787"/>
    <w:rsid w:val="00E31448"/>
    <w:rsid w:val="00E31E6B"/>
    <w:rsid w:val="00E331DD"/>
    <w:rsid w:val="00E342BC"/>
    <w:rsid w:val="00E344DB"/>
    <w:rsid w:val="00E34AE4"/>
    <w:rsid w:val="00E34FE7"/>
    <w:rsid w:val="00E3555F"/>
    <w:rsid w:val="00E36233"/>
    <w:rsid w:val="00E378F7"/>
    <w:rsid w:val="00E37905"/>
    <w:rsid w:val="00E37F3C"/>
    <w:rsid w:val="00E40B74"/>
    <w:rsid w:val="00E40B8C"/>
    <w:rsid w:val="00E40D77"/>
    <w:rsid w:val="00E40DAC"/>
    <w:rsid w:val="00E41015"/>
    <w:rsid w:val="00E4229A"/>
    <w:rsid w:val="00E4259C"/>
    <w:rsid w:val="00E42FA1"/>
    <w:rsid w:val="00E4661F"/>
    <w:rsid w:val="00E47214"/>
    <w:rsid w:val="00E501A4"/>
    <w:rsid w:val="00E51AE9"/>
    <w:rsid w:val="00E546BB"/>
    <w:rsid w:val="00E55A6B"/>
    <w:rsid w:val="00E57E1B"/>
    <w:rsid w:val="00E6081B"/>
    <w:rsid w:val="00E61B51"/>
    <w:rsid w:val="00E6382D"/>
    <w:rsid w:val="00E66B6E"/>
    <w:rsid w:val="00E70FEE"/>
    <w:rsid w:val="00E71D2C"/>
    <w:rsid w:val="00E7284B"/>
    <w:rsid w:val="00E73E5A"/>
    <w:rsid w:val="00E755C2"/>
    <w:rsid w:val="00E7634D"/>
    <w:rsid w:val="00E818BD"/>
    <w:rsid w:val="00E82525"/>
    <w:rsid w:val="00E8476B"/>
    <w:rsid w:val="00E850C8"/>
    <w:rsid w:val="00E86A44"/>
    <w:rsid w:val="00E90274"/>
    <w:rsid w:val="00E91C7C"/>
    <w:rsid w:val="00E924A2"/>
    <w:rsid w:val="00E92B7F"/>
    <w:rsid w:val="00E93A9E"/>
    <w:rsid w:val="00E93D9D"/>
    <w:rsid w:val="00E96D26"/>
    <w:rsid w:val="00E96F34"/>
    <w:rsid w:val="00E971ED"/>
    <w:rsid w:val="00E97CBA"/>
    <w:rsid w:val="00EA208F"/>
    <w:rsid w:val="00EA27DC"/>
    <w:rsid w:val="00EA2DBC"/>
    <w:rsid w:val="00EA5054"/>
    <w:rsid w:val="00EA5F90"/>
    <w:rsid w:val="00EA7389"/>
    <w:rsid w:val="00EB05EB"/>
    <w:rsid w:val="00EB2F19"/>
    <w:rsid w:val="00EB7AC5"/>
    <w:rsid w:val="00EC0623"/>
    <w:rsid w:val="00EC1E67"/>
    <w:rsid w:val="00EC325A"/>
    <w:rsid w:val="00EC4D50"/>
    <w:rsid w:val="00EC673B"/>
    <w:rsid w:val="00ED0CFC"/>
    <w:rsid w:val="00ED0EC6"/>
    <w:rsid w:val="00ED1187"/>
    <w:rsid w:val="00ED1533"/>
    <w:rsid w:val="00ED4180"/>
    <w:rsid w:val="00ED4A3A"/>
    <w:rsid w:val="00EE0434"/>
    <w:rsid w:val="00EE05DA"/>
    <w:rsid w:val="00EE0A0B"/>
    <w:rsid w:val="00EE0E0A"/>
    <w:rsid w:val="00EE15AC"/>
    <w:rsid w:val="00EE1ED5"/>
    <w:rsid w:val="00EE2108"/>
    <w:rsid w:val="00EE3884"/>
    <w:rsid w:val="00EE40AA"/>
    <w:rsid w:val="00EE57B3"/>
    <w:rsid w:val="00EE5802"/>
    <w:rsid w:val="00EF1884"/>
    <w:rsid w:val="00EF1BF3"/>
    <w:rsid w:val="00EF648B"/>
    <w:rsid w:val="00EF6EE3"/>
    <w:rsid w:val="00F01094"/>
    <w:rsid w:val="00F01D04"/>
    <w:rsid w:val="00F01E5F"/>
    <w:rsid w:val="00F03501"/>
    <w:rsid w:val="00F04301"/>
    <w:rsid w:val="00F0726A"/>
    <w:rsid w:val="00F10BAD"/>
    <w:rsid w:val="00F12A78"/>
    <w:rsid w:val="00F13653"/>
    <w:rsid w:val="00F16CFF"/>
    <w:rsid w:val="00F1757E"/>
    <w:rsid w:val="00F175EA"/>
    <w:rsid w:val="00F21F9D"/>
    <w:rsid w:val="00F227A0"/>
    <w:rsid w:val="00F2443F"/>
    <w:rsid w:val="00F24579"/>
    <w:rsid w:val="00F24DAE"/>
    <w:rsid w:val="00F25340"/>
    <w:rsid w:val="00F301FD"/>
    <w:rsid w:val="00F31285"/>
    <w:rsid w:val="00F3137F"/>
    <w:rsid w:val="00F329D7"/>
    <w:rsid w:val="00F34197"/>
    <w:rsid w:val="00F3474B"/>
    <w:rsid w:val="00F36085"/>
    <w:rsid w:val="00F410E5"/>
    <w:rsid w:val="00F41200"/>
    <w:rsid w:val="00F412C5"/>
    <w:rsid w:val="00F454EC"/>
    <w:rsid w:val="00F45A69"/>
    <w:rsid w:val="00F47133"/>
    <w:rsid w:val="00F51730"/>
    <w:rsid w:val="00F530A7"/>
    <w:rsid w:val="00F54F78"/>
    <w:rsid w:val="00F57221"/>
    <w:rsid w:val="00F6061A"/>
    <w:rsid w:val="00F61C26"/>
    <w:rsid w:val="00F644B9"/>
    <w:rsid w:val="00F64F4A"/>
    <w:rsid w:val="00F67285"/>
    <w:rsid w:val="00F72B45"/>
    <w:rsid w:val="00F74DC0"/>
    <w:rsid w:val="00F771B6"/>
    <w:rsid w:val="00F813B5"/>
    <w:rsid w:val="00F81FB6"/>
    <w:rsid w:val="00F8238E"/>
    <w:rsid w:val="00F83927"/>
    <w:rsid w:val="00F85524"/>
    <w:rsid w:val="00F859C0"/>
    <w:rsid w:val="00F864D4"/>
    <w:rsid w:val="00F91DAB"/>
    <w:rsid w:val="00F92F41"/>
    <w:rsid w:val="00F930C9"/>
    <w:rsid w:val="00F933B9"/>
    <w:rsid w:val="00F94EAC"/>
    <w:rsid w:val="00F9569F"/>
    <w:rsid w:val="00F96F49"/>
    <w:rsid w:val="00F978EA"/>
    <w:rsid w:val="00F97EA0"/>
    <w:rsid w:val="00FA0C68"/>
    <w:rsid w:val="00FA344A"/>
    <w:rsid w:val="00FA4457"/>
    <w:rsid w:val="00FA5B11"/>
    <w:rsid w:val="00FA5F70"/>
    <w:rsid w:val="00FA60F1"/>
    <w:rsid w:val="00FA71C0"/>
    <w:rsid w:val="00FA7228"/>
    <w:rsid w:val="00FA7A14"/>
    <w:rsid w:val="00FB1F87"/>
    <w:rsid w:val="00FB206A"/>
    <w:rsid w:val="00FB37A4"/>
    <w:rsid w:val="00FB3AB1"/>
    <w:rsid w:val="00FB3BDB"/>
    <w:rsid w:val="00FB435C"/>
    <w:rsid w:val="00FB638F"/>
    <w:rsid w:val="00FB65F5"/>
    <w:rsid w:val="00FB6C9B"/>
    <w:rsid w:val="00FB7EA4"/>
    <w:rsid w:val="00FC1449"/>
    <w:rsid w:val="00FC16B3"/>
    <w:rsid w:val="00FC176D"/>
    <w:rsid w:val="00FC3AF7"/>
    <w:rsid w:val="00FC4A17"/>
    <w:rsid w:val="00FC4A79"/>
    <w:rsid w:val="00FC583B"/>
    <w:rsid w:val="00FC64C8"/>
    <w:rsid w:val="00FC7C39"/>
    <w:rsid w:val="00FD0F9B"/>
    <w:rsid w:val="00FD14B2"/>
    <w:rsid w:val="00FD335F"/>
    <w:rsid w:val="00FD3717"/>
    <w:rsid w:val="00FD3EED"/>
    <w:rsid w:val="00FD531E"/>
    <w:rsid w:val="00FD6519"/>
    <w:rsid w:val="00FD70A8"/>
    <w:rsid w:val="00FD74A7"/>
    <w:rsid w:val="00FD7A41"/>
    <w:rsid w:val="00FD7B4A"/>
    <w:rsid w:val="00FE1022"/>
    <w:rsid w:val="00FE4BE8"/>
    <w:rsid w:val="00FE4E5A"/>
    <w:rsid w:val="00FE768D"/>
    <w:rsid w:val="00FF0D78"/>
    <w:rsid w:val="00FF3583"/>
    <w:rsid w:val="00FF5163"/>
    <w:rsid w:val="00FF68D1"/>
    <w:rsid w:val="00FF7630"/>
    <w:rsid w:val="00FF7C9D"/>
    <w:rsid w:val="011B4DB3"/>
    <w:rsid w:val="01930D63"/>
    <w:rsid w:val="02942A0C"/>
    <w:rsid w:val="02E1151B"/>
    <w:rsid w:val="045355A3"/>
    <w:rsid w:val="04A05A7A"/>
    <w:rsid w:val="05F463D2"/>
    <w:rsid w:val="07FB307F"/>
    <w:rsid w:val="081C06B1"/>
    <w:rsid w:val="086E48F6"/>
    <w:rsid w:val="09102860"/>
    <w:rsid w:val="097B6B39"/>
    <w:rsid w:val="09851B29"/>
    <w:rsid w:val="0AA14CF3"/>
    <w:rsid w:val="0AB64D7D"/>
    <w:rsid w:val="0BAD24D3"/>
    <w:rsid w:val="0D9A171F"/>
    <w:rsid w:val="0DFB7A7D"/>
    <w:rsid w:val="0F2021F9"/>
    <w:rsid w:val="0F672050"/>
    <w:rsid w:val="0F8329D1"/>
    <w:rsid w:val="10631CFD"/>
    <w:rsid w:val="10F037AC"/>
    <w:rsid w:val="10FF1D0D"/>
    <w:rsid w:val="11C23B03"/>
    <w:rsid w:val="12653FBF"/>
    <w:rsid w:val="128E62CD"/>
    <w:rsid w:val="12942861"/>
    <w:rsid w:val="1331076F"/>
    <w:rsid w:val="136E3C9F"/>
    <w:rsid w:val="15B87E26"/>
    <w:rsid w:val="15D3022F"/>
    <w:rsid w:val="17B52FFB"/>
    <w:rsid w:val="182439AA"/>
    <w:rsid w:val="18245865"/>
    <w:rsid w:val="18AA13E0"/>
    <w:rsid w:val="18D83126"/>
    <w:rsid w:val="19BE53A3"/>
    <w:rsid w:val="1A0210E6"/>
    <w:rsid w:val="1AE42839"/>
    <w:rsid w:val="1C3956B9"/>
    <w:rsid w:val="1C3F650C"/>
    <w:rsid w:val="1D9E1748"/>
    <w:rsid w:val="1EFF262C"/>
    <w:rsid w:val="1F703AD6"/>
    <w:rsid w:val="20251D97"/>
    <w:rsid w:val="206108CC"/>
    <w:rsid w:val="21325DEB"/>
    <w:rsid w:val="213C5D8E"/>
    <w:rsid w:val="21E261FC"/>
    <w:rsid w:val="227F17E4"/>
    <w:rsid w:val="23174CDD"/>
    <w:rsid w:val="240B5326"/>
    <w:rsid w:val="250A0BC0"/>
    <w:rsid w:val="25F82792"/>
    <w:rsid w:val="26BD1963"/>
    <w:rsid w:val="27457E33"/>
    <w:rsid w:val="276F0641"/>
    <w:rsid w:val="28562031"/>
    <w:rsid w:val="285A13AE"/>
    <w:rsid w:val="28C951A1"/>
    <w:rsid w:val="2A163F1C"/>
    <w:rsid w:val="2A556582"/>
    <w:rsid w:val="2AB620CB"/>
    <w:rsid w:val="2C0614AF"/>
    <w:rsid w:val="2CEB1A23"/>
    <w:rsid w:val="2DCE7B7B"/>
    <w:rsid w:val="2E051B94"/>
    <w:rsid w:val="2E1C1419"/>
    <w:rsid w:val="2E3556C2"/>
    <w:rsid w:val="2E5F2682"/>
    <w:rsid w:val="2EE07D39"/>
    <w:rsid w:val="2F695864"/>
    <w:rsid w:val="2FB84088"/>
    <w:rsid w:val="30616B33"/>
    <w:rsid w:val="310019E3"/>
    <w:rsid w:val="318D48E7"/>
    <w:rsid w:val="341C238B"/>
    <w:rsid w:val="344C3ABD"/>
    <w:rsid w:val="34897F51"/>
    <w:rsid w:val="350C17F4"/>
    <w:rsid w:val="35615152"/>
    <w:rsid w:val="36666569"/>
    <w:rsid w:val="36886BC1"/>
    <w:rsid w:val="37F70DC6"/>
    <w:rsid w:val="38450B39"/>
    <w:rsid w:val="385D1E6C"/>
    <w:rsid w:val="38B166C6"/>
    <w:rsid w:val="39EF49B4"/>
    <w:rsid w:val="3A4A2AE6"/>
    <w:rsid w:val="3A5E48EF"/>
    <w:rsid w:val="3A811C9F"/>
    <w:rsid w:val="3A87224A"/>
    <w:rsid w:val="3AB51BDF"/>
    <w:rsid w:val="3B1558FE"/>
    <w:rsid w:val="3B2C6747"/>
    <w:rsid w:val="3B396595"/>
    <w:rsid w:val="3B5F28E6"/>
    <w:rsid w:val="3BE3544E"/>
    <w:rsid w:val="3D0256C2"/>
    <w:rsid w:val="3D367A1F"/>
    <w:rsid w:val="3DFD7799"/>
    <w:rsid w:val="3E4373FF"/>
    <w:rsid w:val="3E627ABB"/>
    <w:rsid w:val="3E8124C7"/>
    <w:rsid w:val="3EA63E9F"/>
    <w:rsid w:val="3EC30D6A"/>
    <w:rsid w:val="3F9D5B03"/>
    <w:rsid w:val="3FFB7F3B"/>
    <w:rsid w:val="40911C75"/>
    <w:rsid w:val="40CE5901"/>
    <w:rsid w:val="40EC2D28"/>
    <w:rsid w:val="424162C1"/>
    <w:rsid w:val="4273248F"/>
    <w:rsid w:val="431540EE"/>
    <w:rsid w:val="434C7983"/>
    <w:rsid w:val="434D1F3E"/>
    <w:rsid w:val="44224D24"/>
    <w:rsid w:val="44253F46"/>
    <w:rsid w:val="451265F6"/>
    <w:rsid w:val="454F08A0"/>
    <w:rsid w:val="45896FE4"/>
    <w:rsid w:val="45B82F94"/>
    <w:rsid w:val="45EE47FC"/>
    <w:rsid w:val="45F4567E"/>
    <w:rsid w:val="464C15F5"/>
    <w:rsid w:val="46824A91"/>
    <w:rsid w:val="46A17B20"/>
    <w:rsid w:val="46A770AC"/>
    <w:rsid w:val="479A28BF"/>
    <w:rsid w:val="483C4C99"/>
    <w:rsid w:val="4A713C97"/>
    <w:rsid w:val="4B206627"/>
    <w:rsid w:val="4DF318B2"/>
    <w:rsid w:val="4E243311"/>
    <w:rsid w:val="4E7C62DF"/>
    <w:rsid w:val="4F616B44"/>
    <w:rsid w:val="4F655FD4"/>
    <w:rsid w:val="4FED5F86"/>
    <w:rsid w:val="4FF65228"/>
    <w:rsid w:val="50F52391"/>
    <w:rsid w:val="530C7253"/>
    <w:rsid w:val="53C52460"/>
    <w:rsid w:val="541A28E6"/>
    <w:rsid w:val="553516FA"/>
    <w:rsid w:val="55AD701A"/>
    <w:rsid w:val="560C56C5"/>
    <w:rsid w:val="56CD78DA"/>
    <w:rsid w:val="573B3861"/>
    <w:rsid w:val="581F0A5F"/>
    <w:rsid w:val="589F2351"/>
    <w:rsid w:val="58AB62CB"/>
    <w:rsid w:val="58FF0101"/>
    <w:rsid w:val="595A7042"/>
    <w:rsid w:val="5AC1626B"/>
    <w:rsid w:val="5BFC36C1"/>
    <w:rsid w:val="5CB40C46"/>
    <w:rsid w:val="5D357610"/>
    <w:rsid w:val="5DC21CFD"/>
    <w:rsid w:val="5DD9035D"/>
    <w:rsid w:val="5E865765"/>
    <w:rsid w:val="5FCD0076"/>
    <w:rsid w:val="601F5898"/>
    <w:rsid w:val="60C05E6F"/>
    <w:rsid w:val="60C201A0"/>
    <w:rsid w:val="60D53832"/>
    <w:rsid w:val="611E4DC9"/>
    <w:rsid w:val="61935854"/>
    <w:rsid w:val="62133014"/>
    <w:rsid w:val="64940F16"/>
    <w:rsid w:val="654D4239"/>
    <w:rsid w:val="65D9433A"/>
    <w:rsid w:val="675801C5"/>
    <w:rsid w:val="685B2BCC"/>
    <w:rsid w:val="68B05069"/>
    <w:rsid w:val="68D83E98"/>
    <w:rsid w:val="69C25124"/>
    <w:rsid w:val="69CE0D2D"/>
    <w:rsid w:val="69FF5F67"/>
    <w:rsid w:val="6D8249E6"/>
    <w:rsid w:val="6E19565B"/>
    <w:rsid w:val="6E3D0CA3"/>
    <w:rsid w:val="6EBD62E5"/>
    <w:rsid w:val="6ECE1C8A"/>
    <w:rsid w:val="6EF34469"/>
    <w:rsid w:val="6F2277E8"/>
    <w:rsid w:val="6F8B3742"/>
    <w:rsid w:val="6FA84106"/>
    <w:rsid w:val="70163EFA"/>
    <w:rsid w:val="702574F8"/>
    <w:rsid w:val="723168A6"/>
    <w:rsid w:val="726B5BDD"/>
    <w:rsid w:val="72CE7B36"/>
    <w:rsid w:val="74080018"/>
    <w:rsid w:val="751947B6"/>
    <w:rsid w:val="75D5637A"/>
    <w:rsid w:val="76116069"/>
    <w:rsid w:val="76D9110D"/>
    <w:rsid w:val="77571758"/>
    <w:rsid w:val="77654012"/>
    <w:rsid w:val="77CE20F1"/>
    <w:rsid w:val="78E07C1B"/>
    <w:rsid w:val="79465462"/>
    <w:rsid w:val="79EC5C69"/>
    <w:rsid w:val="7C43065C"/>
    <w:rsid w:val="7D767EC6"/>
    <w:rsid w:val="7D9F466C"/>
    <w:rsid w:val="7DF72EE8"/>
    <w:rsid w:val="7EB065DB"/>
    <w:rsid w:val="7F32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
    <w:qFormat/>
    <w:uiPriority w:val="9"/>
    <w:pPr>
      <w:keepNext/>
      <w:keepLines/>
      <w:spacing w:before="260" w:after="260" w:line="416" w:lineRule="auto"/>
      <w:outlineLvl w:val="1"/>
    </w:pPr>
    <w:rPr>
      <w:rFonts w:ascii="宋体" w:hAnsi="宋体"/>
      <w:b/>
      <w:bCs/>
      <w:sz w:val="24"/>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4"/>
    <w:qFormat/>
    <w:uiPriority w:val="0"/>
    <w:pPr>
      <w:keepNext/>
      <w:spacing w:line="360" w:lineRule="auto"/>
      <w:ind w:firstLine="561" w:firstLineChars="200"/>
      <w:outlineLvl w:val="4"/>
    </w:pPr>
    <w:rPr>
      <w:rFonts w:ascii="仿宋_GB2312" w:hAnsi="宋体" w:eastAsia="仿宋_GB2312"/>
      <w:b/>
      <w:bCs/>
      <w:sz w:val="28"/>
      <w:szCs w:val="1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qFormat/>
    <w:uiPriority w:val="0"/>
    <w:pPr>
      <w:keepNext/>
      <w:keepLines/>
      <w:spacing w:before="240" w:after="64" w:line="320" w:lineRule="auto"/>
      <w:outlineLvl w:val="6"/>
    </w:pPr>
    <w:rPr>
      <w:b/>
      <w:bCs/>
      <w:kern w:val="0"/>
      <w:sz w:val="24"/>
    </w:rPr>
  </w:style>
  <w:style w:type="paragraph" w:styleId="10">
    <w:name w:val="heading 8"/>
    <w:basedOn w:val="1"/>
    <w:next w:val="1"/>
    <w:link w:val="65"/>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66"/>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adjustRightInd w:val="0"/>
      <w:spacing w:line="360" w:lineRule="atLeast"/>
      <w:ind w:left="2520" w:leftChars="1200"/>
      <w:textAlignment w:val="baseline"/>
    </w:pPr>
    <w:rPr>
      <w:rFonts w:ascii="Calibri" w:hAnsi="Calibri" w:eastAsia="Times New Roman"/>
    </w:rPr>
  </w:style>
  <w:style w:type="paragraph" w:styleId="13">
    <w:name w:val="List Number"/>
    <w:basedOn w:val="1"/>
    <w:qFormat/>
    <w:uiPriority w:val="0"/>
    <w:pPr>
      <w:widowControl/>
      <w:tabs>
        <w:tab w:val="left" w:pos="454"/>
        <w:tab w:val="left" w:pos="720"/>
      </w:tabs>
      <w:adjustRightInd w:val="0"/>
      <w:spacing w:afterLines="50" w:line="360" w:lineRule="atLeast"/>
      <w:ind w:left="454" w:hanging="284"/>
      <w:jc w:val="left"/>
      <w:textAlignment w:val="baseline"/>
    </w:pPr>
    <w:rPr>
      <w:rFonts w:ascii="Calibri" w:hAnsi="Calibri" w:eastAsia="Times New Roman"/>
      <w:kern w:val="0"/>
      <w:sz w:val="24"/>
      <w:szCs w:val="20"/>
    </w:rPr>
  </w:style>
  <w:style w:type="paragraph" w:styleId="14">
    <w:name w:val="Normal Indent"/>
    <w:basedOn w:val="1"/>
    <w:link w:val="67"/>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8"/>
    <w:qFormat/>
    <w:uiPriority w:val="0"/>
    <w:pPr>
      <w:shd w:val="clear" w:color="auto" w:fill="000080"/>
    </w:pPr>
    <w:rPr>
      <w:szCs w:val="20"/>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69"/>
    <w:qFormat/>
    <w:uiPriority w:val="0"/>
    <w:pPr>
      <w:jc w:val="left"/>
    </w:pPr>
    <w:rPr>
      <w:szCs w:val="20"/>
    </w:rPr>
  </w:style>
  <w:style w:type="paragraph" w:styleId="19">
    <w:name w:val="Body Text 3"/>
    <w:basedOn w:val="1"/>
    <w:qFormat/>
    <w:uiPriority w:val="0"/>
    <w:pPr>
      <w:snapToGrid w:val="0"/>
      <w:spacing w:before="50" w:after="50"/>
    </w:pPr>
    <w:rPr>
      <w:rFonts w:hAnsi="宋体" w:eastAsia="仿宋_GB2312"/>
      <w:b/>
      <w:bCs/>
      <w:sz w:val="24"/>
      <w:szCs w:val="20"/>
    </w:rPr>
  </w:style>
  <w:style w:type="paragraph" w:styleId="20">
    <w:name w:val="Body Text"/>
    <w:basedOn w:val="1"/>
    <w:link w:val="59"/>
    <w:qFormat/>
    <w:uiPriority w:val="99"/>
    <w:pPr>
      <w:spacing w:after="120"/>
    </w:pPr>
    <w:rPr>
      <w:sz w:val="28"/>
    </w:rPr>
  </w:style>
  <w:style w:type="paragraph" w:styleId="21">
    <w:name w:val="Body Text Indent"/>
    <w:basedOn w:val="1"/>
    <w:next w:val="1"/>
    <w:link w:val="70"/>
    <w:qFormat/>
    <w:uiPriority w:val="0"/>
    <w:pPr>
      <w:spacing w:line="200" w:lineRule="exact"/>
      <w:ind w:firstLine="301"/>
    </w:pPr>
    <w:rPr>
      <w:rFonts w:ascii="宋体" w:hAnsi="Courier New"/>
      <w:spacing w:val="-4"/>
      <w:sz w:val="18"/>
      <w:szCs w:val="20"/>
    </w:rPr>
  </w:style>
  <w:style w:type="paragraph" w:styleId="22">
    <w:name w:val="List Number 3"/>
    <w:basedOn w:val="1"/>
    <w:qFormat/>
    <w:uiPriority w:val="0"/>
    <w:pPr>
      <w:tabs>
        <w:tab w:val="left" w:pos="1200"/>
      </w:tabs>
      <w:adjustRightInd w:val="0"/>
      <w:spacing w:line="360" w:lineRule="atLeast"/>
      <w:ind w:left="1200" w:hanging="360"/>
      <w:textAlignment w:val="baseline"/>
    </w:pPr>
    <w:rPr>
      <w:rFonts w:ascii="Calibri" w:hAnsi="Calibri" w:eastAsia="Times New Roman"/>
    </w:rPr>
  </w:style>
  <w:style w:type="paragraph" w:styleId="23">
    <w:name w:val="List 2"/>
    <w:basedOn w:val="1"/>
    <w:qFormat/>
    <w:uiPriority w:val="0"/>
    <w:pPr>
      <w:ind w:left="100" w:leftChars="200" w:hanging="200" w:hangingChars="200"/>
    </w:pPr>
    <w:rPr>
      <w:sz w:val="28"/>
    </w:rPr>
  </w:style>
  <w:style w:type="paragraph" w:styleId="24">
    <w:name w:val="toc 5"/>
    <w:basedOn w:val="1"/>
    <w:next w:val="1"/>
    <w:qFormat/>
    <w:uiPriority w:val="0"/>
    <w:pPr>
      <w:adjustRightInd w:val="0"/>
      <w:spacing w:line="360" w:lineRule="atLeast"/>
      <w:ind w:left="1680" w:leftChars="800"/>
      <w:textAlignment w:val="baseline"/>
    </w:pPr>
    <w:rPr>
      <w:rFonts w:ascii="Calibri" w:hAnsi="Calibri" w:eastAsia="Times New Roman"/>
    </w:rPr>
  </w:style>
  <w:style w:type="paragraph" w:styleId="25">
    <w:name w:val="toc 3"/>
    <w:basedOn w:val="1"/>
    <w:next w:val="1"/>
    <w:qFormat/>
    <w:uiPriority w:val="0"/>
    <w:pPr>
      <w:adjustRightInd w:val="0"/>
      <w:spacing w:line="360" w:lineRule="atLeast"/>
      <w:ind w:left="840" w:leftChars="400"/>
      <w:textAlignment w:val="baseline"/>
    </w:pPr>
    <w:rPr>
      <w:rFonts w:ascii="Calibri" w:hAnsi="Calibri" w:eastAsia="Times New Roman"/>
    </w:rPr>
  </w:style>
  <w:style w:type="paragraph" w:styleId="26">
    <w:name w:val="Plain Text"/>
    <w:basedOn w:val="1"/>
    <w:link w:val="71"/>
    <w:qFormat/>
    <w:uiPriority w:val="99"/>
    <w:pPr>
      <w:spacing w:before="156" w:beforeLines="50" w:after="156" w:afterLines="50" w:line="400" w:lineRule="exact"/>
    </w:pPr>
    <w:rPr>
      <w:rFonts w:ascii="宋体" w:hAnsi="Courier New"/>
      <w:sz w:val="24"/>
    </w:rPr>
  </w:style>
  <w:style w:type="paragraph" w:styleId="27">
    <w:name w:val="toc 8"/>
    <w:basedOn w:val="1"/>
    <w:next w:val="1"/>
    <w:qFormat/>
    <w:uiPriority w:val="0"/>
    <w:pPr>
      <w:adjustRightInd w:val="0"/>
      <w:spacing w:line="360" w:lineRule="atLeast"/>
      <w:ind w:left="2940" w:leftChars="1400"/>
      <w:textAlignment w:val="baseline"/>
    </w:pPr>
    <w:rPr>
      <w:rFonts w:ascii="Calibri" w:hAnsi="Calibri" w:eastAsia="Times New Roman"/>
    </w:rPr>
  </w:style>
  <w:style w:type="paragraph" w:styleId="28">
    <w:name w:val="Date"/>
    <w:basedOn w:val="1"/>
    <w:next w:val="1"/>
    <w:link w:val="72"/>
    <w:qFormat/>
    <w:uiPriority w:val="0"/>
    <w:pPr>
      <w:ind w:left="2500" w:leftChars="2500"/>
    </w:pPr>
    <w:rPr>
      <w:rFonts w:eastAsia="楷体_GB2312"/>
      <w:sz w:val="32"/>
      <w:szCs w:val="20"/>
    </w:rPr>
  </w:style>
  <w:style w:type="paragraph" w:styleId="29">
    <w:name w:val="Body Text Indent 2"/>
    <w:basedOn w:val="1"/>
    <w:link w:val="73"/>
    <w:qFormat/>
    <w:uiPriority w:val="0"/>
    <w:pPr>
      <w:snapToGrid w:val="0"/>
      <w:ind w:firstLine="542" w:firstLineChars="225"/>
    </w:pPr>
    <w:rPr>
      <w:rFonts w:ascii="仿宋_GB2312" w:hAnsi="宋体" w:cs="Arial"/>
      <w:b/>
      <w:bCs/>
      <w:color w:val="000000"/>
      <w:sz w:val="24"/>
    </w:rPr>
  </w:style>
  <w:style w:type="paragraph" w:styleId="30">
    <w:name w:val="Balloon Text"/>
    <w:basedOn w:val="1"/>
    <w:link w:val="74"/>
    <w:qFormat/>
    <w:uiPriority w:val="0"/>
    <w:rPr>
      <w:sz w:val="18"/>
      <w:szCs w:val="18"/>
    </w:rPr>
  </w:style>
  <w:style w:type="paragraph" w:styleId="31">
    <w:name w:val="footer"/>
    <w:basedOn w:val="1"/>
    <w:link w:val="75"/>
    <w:qFormat/>
    <w:uiPriority w:val="0"/>
    <w:pPr>
      <w:tabs>
        <w:tab w:val="center" w:pos="4153"/>
        <w:tab w:val="right" w:pos="8306"/>
      </w:tabs>
      <w:snapToGrid w:val="0"/>
      <w:jc w:val="left"/>
    </w:pPr>
    <w:rPr>
      <w:rFonts w:eastAsia="黑体"/>
      <w:snapToGrid w:val="0"/>
      <w:kern w:val="0"/>
      <w:sz w:val="18"/>
      <w:szCs w:val="18"/>
    </w:rPr>
  </w:style>
  <w:style w:type="paragraph" w:styleId="32">
    <w:name w:val="header"/>
    <w:basedOn w:val="1"/>
    <w:link w:val="76"/>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qFormat/>
    <w:uiPriority w:val="39"/>
    <w:pPr>
      <w:spacing w:before="120" w:after="120"/>
      <w:jc w:val="left"/>
    </w:pPr>
    <w:rPr>
      <w:b/>
      <w:caps/>
      <w:szCs w:val="20"/>
    </w:rPr>
  </w:style>
  <w:style w:type="paragraph" w:styleId="34">
    <w:name w:val="toc 4"/>
    <w:basedOn w:val="1"/>
    <w:next w:val="1"/>
    <w:qFormat/>
    <w:uiPriority w:val="0"/>
    <w:pPr>
      <w:adjustRightInd w:val="0"/>
      <w:spacing w:line="360" w:lineRule="atLeast"/>
      <w:ind w:left="1260" w:leftChars="600"/>
      <w:textAlignment w:val="baseline"/>
    </w:pPr>
    <w:rPr>
      <w:rFonts w:ascii="Calibri" w:hAnsi="Calibri" w:eastAsia="Times New Roman"/>
    </w:rPr>
  </w:style>
  <w:style w:type="paragraph" w:styleId="35">
    <w:name w:val="Subtitle"/>
    <w:basedOn w:val="1"/>
    <w:next w:val="1"/>
    <w:link w:val="77"/>
    <w:qFormat/>
    <w:uiPriority w:val="0"/>
    <w:pPr>
      <w:spacing w:before="240" w:after="60" w:line="312" w:lineRule="auto"/>
      <w:jc w:val="center"/>
      <w:outlineLvl w:val="1"/>
    </w:pPr>
    <w:rPr>
      <w:rFonts w:ascii="宋体" w:hAnsi="Courier New"/>
      <w:sz w:val="24"/>
    </w:rPr>
  </w:style>
  <w:style w:type="paragraph" w:styleId="36">
    <w:name w:val="List"/>
    <w:basedOn w:val="1"/>
    <w:qFormat/>
    <w:uiPriority w:val="0"/>
    <w:pPr>
      <w:ind w:left="200" w:hanging="200" w:hangingChars="200"/>
    </w:pPr>
    <w:rPr>
      <w:sz w:val="28"/>
    </w:rPr>
  </w:style>
  <w:style w:type="paragraph" w:styleId="37">
    <w:name w:val="footnote text"/>
    <w:basedOn w:val="1"/>
    <w:link w:val="202"/>
    <w:qFormat/>
    <w:uiPriority w:val="0"/>
    <w:pPr>
      <w:snapToGrid w:val="0"/>
      <w:jc w:val="left"/>
    </w:pPr>
    <w:rPr>
      <w:sz w:val="18"/>
      <w:szCs w:val="18"/>
    </w:rPr>
  </w:style>
  <w:style w:type="paragraph" w:styleId="38">
    <w:name w:val="toc 6"/>
    <w:basedOn w:val="1"/>
    <w:next w:val="1"/>
    <w:uiPriority w:val="0"/>
    <w:pPr>
      <w:adjustRightInd w:val="0"/>
      <w:spacing w:line="360" w:lineRule="atLeast"/>
      <w:ind w:left="2100" w:leftChars="1000"/>
      <w:textAlignment w:val="baseline"/>
    </w:pPr>
    <w:rPr>
      <w:rFonts w:ascii="Calibri" w:hAnsi="Calibri" w:eastAsia="Times New Roman"/>
    </w:rPr>
  </w:style>
  <w:style w:type="paragraph" w:styleId="39">
    <w:name w:val="Body Text Indent 3"/>
    <w:basedOn w:val="1"/>
    <w:link w:val="78"/>
    <w:qFormat/>
    <w:uiPriority w:val="0"/>
    <w:pPr>
      <w:snapToGrid w:val="0"/>
      <w:ind w:firstLine="480" w:firstLineChars="200"/>
      <w:jc w:val="left"/>
    </w:pPr>
    <w:rPr>
      <w:rFonts w:ascii="仿宋_GB2312" w:hAnsi="宋体" w:eastAsia="仿宋_GB2312"/>
      <w:color w:val="000000"/>
      <w:sz w:val="24"/>
    </w:rPr>
  </w:style>
  <w:style w:type="paragraph" w:styleId="40">
    <w:name w:val="toc 2"/>
    <w:basedOn w:val="1"/>
    <w:next w:val="1"/>
    <w:qFormat/>
    <w:uiPriority w:val="0"/>
    <w:pPr>
      <w:ind w:left="420" w:leftChars="200"/>
    </w:pPr>
  </w:style>
  <w:style w:type="paragraph" w:styleId="41">
    <w:name w:val="toc 9"/>
    <w:basedOn w:val="1"/>
    <w:next w:val="1"/>
    <w:qFormat/>
    <w:uiPriority w:val="0"/>
    <w:pPr>
      <w:adjustRightInd w:val="0"/>
      <w:spacing w:line="360" w:lineRule="atLeast"/>
      <w:ind w:left="3360" w:leftChars="1600"/>
      <w:textAlignment w:val="baseline"/>
    </w:pPr>
    <w:rPr>
      <w:rFonts w:ascii="Calibri" w:hAnsi="Calibri" w:eastAsia="Times New Roman"/>
    </w:rPr>
  </w:style>
  <w:style w:type="paragraph" w:styleId="42">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43">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link w:val="214"/>
    <w:qFormat/>
    <w:uiPriority w:val="0"/>
    <w:pPr>
      <w:widowControl/>
      <w:spacing w:before="100" w:beforeAutospacing="1" w:after="100" w:afterAutospacing="1"/>
      <w:jc w:val="left"/>
    </w:pPr>
    <w:rPr>
      <w:rFonts w:ascii="宋体" w:hAnsi="宋体" w:cs="宋体"/>
      <w:color w:val="000000"/>
      <w:kern w:val="0"/>
      <w:sz w:val="24"/>
    </w:rPr>
  </w:style>
  <w:style w:type="paragraph" w:styleId="45">
    <w:name w:val="Title"/>
    <w:basedOn w:val="1"/>
    <w:next w:val="1"/>
    <w:link w:val="80"/>
    <w:qFormat/>
    <w:uiPriority w:val="0"/>
    <w:pPr>
      <w:spacing w:before="240" w:after="60"/>
      <w:jc w:val="center"/>
      <w:outlineLvl w:val="0"/>
    </w:pPr>
    <w:rPr>
      <w:rFonts w:ascii="Cambria" w:hAnsi="Cambria"/>
      <w:b/>
      <w:bCs/>
      <w:sz w:val="32"/>
      <w:szCs w:val="32"/>
    </w:rPr>
  </w:style>
  <w:style w:type="paragraph" w:styleId="46">
    <w:name w:val="annotation subject"/>
    <w:basedOn w:val="18"/>
    <w:next w:val="18"/>
    <w:link w:val="81"/>
    <w:qFormat/>
    <w:uiPriority w:val="0"/>
    <w:rPr>
      <w:b/>
      <w:bCs/>
    </w:rPr>
  </w:style>
  <w:style w:type="paragraph" w:styleId="47">
    <w:name w:val="Body Text First Indent"/>
    <w:basedOn w:val="20"/>
    <w:qFormat/>
    <w:uiPriority w:val="99"/>
    <w:pPr>
      <w:ind w:firstLine="420" w:firstLineChars="100"/>
    </w:pPr>
    <w:rPr>
      <w:sz w:val="21"/>
      <w:szCs w:val="20"/>
    </w:rPr>
  </w:style>
  <w:style w:type="paragraph" w:styleId="48">
    <w:name w:val="Body Text First Indent 2"/>
    <w:basedOn w:val="21"/>
    <w:qFormat/>
    <w:uiPriority w:val="99"/>
    <w:pPr>
      <w:spacing w:line="360" w:lineRule="auto"/>
      <w:ind w:firstLine="420" w:firstLineChars="200"/>
    </w:pPr>
    <w:rPr>
      <w:rFonts w:ascii="Calibri" w:hAnsi="Calibri"/>
      <w:sz w:val="24"/>
      <w:szCs w:val="22"/>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rFonts w:cs="Times New Roman"/>
      <w:color w:val="000000"/>
      <w:u w:val="none"/>
    </w:rPr>
  </w:style>
  <w:style w:type="character" w:styleId="55">
    <w:name w:val="Hyperlink"/>
    <w:qFormat/>
    <w:uiPriority w:val="0"/>
    <w:rPr>
      <w:color w:val="0000FF"/>
      <w:u w:val="single"/>
    </w:rPr>
  </w:style>
  <w:style w:type="character" w:styleId="56">
    <w:name w:val="annotation reference"/>
    <w:qFormat/>
    <w:uiPriority w:val="0"/>
    <w:rPr>
      <w:sz w:val="21"/>
      <w:szCs w:val="21"/>
    </w:rPr>
  </w:style>
  <w:style w:type="character" w:styleId="57">
    <w:name w:val="HTML Cite"/>
    <w:qFormat/>
    <w:uiPriority w:val="0"/>
    <w:rPr>
      <w:i/>
      <w:iCs/>
    </w:rPr>
  </w:style>
  <w:style w:type="character" w:styleId="58">
    <w:name w:val="footnote reference"/>
    <w:qFormat/>
    <w:uiPriority w:val="0"/>
    <w:rPr>
      <w:vertAlign w:val="superscript"/>
    </w:rPr>
  </w:style>
  <w:style w:type="character" w:customStyle="1" w:styleId="59">
    <w:name w:val="正文文本 Char"/>
    <w:link w:val="20"/>
    <w:qFormat/>
    <w:uiPriority w:val="0"/>
    <w:rPr>
      <w:rFonts w:eastAsia="宋体"/>
      <w:kern w:val="2"/>
      <w:sz w:val="28"/>
      <w:szCs w:val="24"/>
      <w:lang w:val="en-US" w:eastAsia="zh-CN" w:bidi="ar-SA"/>
    </w:rPr>
  </w:style>
  <w:style w:type="character" w:customStyle="1" w:styleId="60">
    <w:name w:val="标题 1 Char"/>
    <w:link w:val="3"/>
    <w:qFormat/>
    <w:uiPriority w:val="0"/>
    <w:rPr>
      <w:rFonts w:eastAsia="宋体"/>
      <w:b/>
      <w:bCs/>
      <w:kern w:val="44"/>
      <w:sz w:val="44"/>
      <w:szCs w:val="44"/>
      <w:lang w:val="en-US" w:eastAsia="zh-CN" w:bidi="ar-SA"/>
    </w:rPr>
  </w:style>
  <w:style w:type="character" w:customStyle="1" w:styleId="61">
    <w:name w:val="标题 2 Char"/>
    <w:link w:val="4"/>
    <w:qFormat/>
    <w:uiPriority w:val="0"/>
    <w:rPr>
      <w:rFonts w:ascii="宋体" w:hAnsi="宋体" w:eastAsia="宋体"/>
      <w:b/>
      <w:bCs/>
      <w:kern w:val="2"/>
      <w:sz w:val="24"/>
      <w:szCs w:val="24"/>
      <w:lang w:val="en-US" w:eastAsia="zh-CN" w:bidi="ar-SA"/>
    </w:rPr>
  </w:style>
  <w:style w:type="character" w:customStyle="1" w:styleId="62">
    <w:name w:val="标题 3 Char"/>
    <w:link w:val="5"/>
    <w:qFormat/>
    <w:uiPriority w:val="0"/>
    <w:rPr>
      <w:rFonts w:eastAsia="宋体"/>
      <w:b/>
      <w:bCs/>
      <w:kern w:val="2"/>
      <w:sz w:val="32"/>
      <w:szCs w:val="32"/>
      <w:lang w:val="en-US" w:eastAsia="zh-CN" w:bidi="ar-SA"/>
    </w:rPr>
  </w:style>
  <w:style w:type="character" w:customStyle="1" w:styleId="63">
    <w:name w:val="标题 4 Char"/>
    <w:link w:val="6"/>
    <w:qFormat/>
    <w:uiPriority w:val="0"/>
    <w:rPr>
      <w:rFonts w:ascii="Arial" w:hAnsi="Arial" w:eastAsia="黑体"/>
      <w:b/>
      <w:bCs/>
      <w:kern w:val="2"/>
      <w:sz w:val="28"/>
      <w:szCs w:val="28"/>
      <w:lang w:val="en-US" w:eastAsia="zh-CN" w:bidi="ar-SA"/>
    </w:rPr>
  </w:style>
  <w:style w:type="character" w:customStyle="1" w:styleId="64">
    <w:name w:val="标题 5 Char"/>
    <w:link w:val="7"/>
    <w:qFormat/>
    <w:uiPriority w:val="0"/>
    <w:rPr>
      <w:rFonts w:ascii="仿宋_GB2312" w:hAnsi="宋体" w:eastAsia="仿宋_GB2312"/>
      <w:b/>
      <w:bCs/>
      <w:kern w:val="2"/>
      <w:sz w:val="28"/>
      <w:szCs w:val="18"/>
      <w:lang w:val="en-US" w:eastAsia="zh-CN" w:bidi="ar-SA"/>
    </w:rPr>
  </w:style>
  <w:style w:type="character" w:customStyle="1" w:styleId="65">
    <w:name w:val="标题 8 Char"/>
    <w:link w:val="10"/>
    <w:qFormat/>
    <w:uiPriority w:val="0"/>
    <w:rPr>
      <w:rFonts w:ascii="Arial" w:hAnsi="Arial" w:eastAsia="黑体"/>
      <w:sz w:val="24"/>
      <w:szCs w:val="24"/>
      <w:lang w:val="en-US" w:eastAsia="zh-CN" w:bidi="ar-SA"/>
    </w:rPr>
  </w:style>
  <w:style w:type="character" w:customStyle="1" w:styleId="66">
    <w:name w:val="标题 9 Char"/>
    <w:basedOn w:val="51"/>
    <w:link w:val="11"/>
    <w:qFormat/>
    <w:uiPriority w:val="9"/>
    <w:rPr>
      <w:rFonts w:ascii="Arial" w:hAnsi="Arial" w:eastAsia="黑体"/>
      <w:szCs w:val="21"/>
    </w:rPr>
  </w:style>
  <w:style w:type="character" w:customStyle="1" w:styleId="67">
    <w:name w:val="正文缩进 Char"/>
    <w:link w:val="14"/>
    <w:qFormat/>
    <w:uiPriority w:val="0"/>
    <w:rPr>
      <w:rFonts w:eastAsia="宋体"/>
      <w:kern w:val="2"/>
      <w:sz w:val="21"/>
      <w:lang w:val="en-US" w:eastAsia="zh-CN" w:bidi="ar-SA"/>
    </w:rPr>
  </w:style>
  <w:style w:type="character" w:customStyle="1" w:styleId="68">
    <w:name w:val="文档结构图 Char"/>
    <w:link w:val="16"/>
    <w:semiHidden/>
    <w:qFormat/>
    <w:uiPriority w:val="0"/>
    <w:rPr>
      <w:rFonts w:eastAsia="宋体"/>
      <w:kern w:val="2"/>
      <w:sz w:val="21"/>
      <w:lang w:val="en-US" w:eastAsia="zh-CN" w:bidi="ar-SA"/>
    </w:rPr>
  </w:style>
  <w:style w:type="character" w:customStyle="1" w:styleId="69">
    <w:name w:val="批注文字 Char"/>
    <w:link w:val="18"/>
    <w:qFormat/>
    <w:uiPriority w:val="0"/>
    <w:rPr>
      <w:rFonts w:eastAsia="宋体"/>
      <w:kern w:val="2"/>
      <w:sz w:val="21"/>
      <w:lang w:bidi="ar-SA"/>
    </w:rPr>
  </w:style>
  <w:style w:type="character" w:customStyle="1" w:styleId="70">
    <w:name w:val="正文文本缩进 Char"/>
    <w:link w:val="21"/>
    <w:qFormat/>
    <w:uiPriority w:val="0"/>
    <w:rPr>
      <w:rFonts w:ascii="宋体" w:hAnsi="Courier New" w:eastAsia="宋体"/>
      <w:spacing w:val="-4"/>
      <w:kern w:val="2"/>
      <w:sz w:val="18"/>
      <w:lang w:val="en-US" w:eastAsia="zh-CN" w:bidi="ar-SA"/>
    </w:rPr>
  </w:style>
  <w:style w:type="character" w:customStyle="1" w:styleId="71">
    <w:name w:val="纯文本 Char1"/>
    <w:link w:val="26"/>
    <w:qFormat/>
    <w:uiPriority w:val="0"/>
    <w:rPr>
      <w:rFonts w:ascii="宋体" w:hAnsi="Courier New" w:eastAsia="宋体"/>
      <w:kern w:val="2"/>
      <w:sz w:val="24"/>
      <w:szCs w:val="24"/>
      <w:lang w:val="en-US" w:eastAsia="zh-CN" w:bidi="ar-SA"/>
    </w:rPr>
  </w:style>
  <w:style w:type="character" w:customStyle="1" w:styleId="72">
    <w:name w:val="日期 Char"/>
    <w:link w:val="28"/>
    <w:qFormat/>
    <w:uiPriority w:val="0"/>
    <w:rPr>
      <w:rFonts w:eastAsia="楷体_GB2312"/>
      <w:kern w:val="2"/>
      <w:sz w:val="32"/>
      <w:lang w:val="en-US" w:eastAsia="zh-CN" w:bidi="ar-SA"/>
    </w:rPr>
  </w:style>
  <w:style w:type="character" w:customStyle="1" w:styleId="73">
    <w:name w:val="正文文本缩进 2 Char"/>
    <w:link w:val="29"/>
    <w:qFormat/>
    <w:uiPriority w:val="0"/>
    <w:rPr>
      <w:rFonts w:ascii="仿宋_GB2312" w:hAnsi="宋体" w:eastAsia="宋体" w:cs="Arial"/>
      <w:b/>
      <w:bCs/>
      <w:color w:val="000000"/>
      <w:kern w:val="2"/>
      <w:sz w:val="24"/>
      <w:szCs w:val="24"/>
      <w:lang w:val="en-US" w:eastAsia="zh-CN" w:bidi="ar-SA"/>
    </w:rPr>
  </w:style>
  <w:style w:type="character" w:customStyle="1" w:styleId="74">
    <w:name w:val="批注框文本 Char"/>
    <w:link w:val="30"/>
    <w:qFormat/>
    <w:uiPriority w:val="0"/>
    <w:rPr>
      <w:rFonts w:eastAsia="宋体"/>
      <w:kern w:val="2"/>
      <w:sz w:val="18"/>
      <w:szCs w:val="18"/>
      <w:lang w:val="en-US" w:eastAsia="zh-CN" w:bidi="ar-SA"/>
    </w:rPr>
  </w:style>
  <w:style w:type="character" w:customStyle="1" w:styleId="75">
    <w:name w:val="页脚 Char"/>
    <w:link w:val="31"/>
    <w:qFormat/>
    <w:uiPriority w:val="0"/>
    <w:rPr>
      <w:rFonts w:eastAsia="黑体"/>
      <w:snapToGrid w:val="0"/>
      <w:sz w:val="18"/>
      <w:szCs w:val="18"/>
      <w:lang w:val="en-US" w:eastAsia="zh-CN" w:bidi="ar-SA"/>
    </w:rPr>
  </w:style>
  <w:style w:type="character" w:customStyle="1" w:styleId="76">
    <w:name w:val="页眉 Char"/>
    <w:link w:val="32"/>
    <w:qFormat/>
    <w:uiPriority w:val="99"/>
    <w:rPr>
      <w:rFonts w:ascii="Calibri" w:hAnsi="Calibri" w:eastAsia="宋体"/>
      <w:kern w:val="2"/>
      <w:sz w:val="18"/>
      <w:szCs w:val="18"/>
      <w:lang w:val="en-US" w:eastAsia="zh-CN" w:bidi="ar-SA"/>
    </w:rPr>
  </w:style>
  <w:style w:type="character" w:customStyle="1" w:styleId="77">
    <w:name w:val="副标题 Char"/>
    <w:link w:val="35"/>
    <w:qFormat/>
    <w:uiPriority w:val="0"/>
    <w:rPr>
      <w:rFonts w:ascii="宋体" w:hAnsi="Courier New"/>
      <w:kern w:val="2"/>
      <w:sz w:val="24"/>
      <w:szCs w:val="24"/>
      <w:lang w:bidi="ar-SA"/>
    </w:rPr>
  </w:style>
  <w:style w:type="character" w:customStyle="1" w:styleId="78">
    <w:name w:val="正文文本缩进 3 Char"/>
    <w:link w:val="39"/>
    <w:qFormat/>
    <w:uiPriority w:val="0"/>
    <w:rPr>
      <w:rFonts w:ascii="仿宋_GB2312" w:hAnsi="宋体" w:eastAsia="仿宋_GB2312"/>
      <w:color w:val="000000"/>
      <w:kern w:val="2"/>
      <w:sz w:val="24"/>
      <w:szCs w:val="24"/>
      <w:lang w:val="en-US" w:eastAsia="zh-CN" w:bidi="ar-SA"/>
    </w:rPr>
  </w:style>
  <w:style w:type="character" w:customStyle="1" w:styleId="79">
    <w:name w:val="HTML 预设格式 Char"/>
    <w:link w:val="43"/>
    <w:qFormat/>
    <w:locked/>
    <w:uiPriority w:val="0"/>
    <w:rPr>
      <w:rFonts w:ascii="宋体" w:hAnsi="宋体" w:eastAsia="宋体" w:cs="宋体"/>
      <w:sz w:val="24"/>
      <w:szCs w:val="24"/>
      <w:lang w:val="en-US" w:eastAsia="zh-CN" w:bidi="ar-SA"/>
    </w:rPr>
  </w:style>
  <w:style w:type="character" w:customStyle="1" w:styleId="80">
    <w:name w:val="标题 Char"/>
    <w:link w:val="45"/>
    <w:qFormat/>
    <w:uiPriority w:val="0"/>
    <w:rPr>
      <w:rFonts w:ascii="Cambria" w:hAnsi="Cambria" w:eastAsia="宋体"/>
      <w:b/>
      <w:bCs/>
      <w:kern w:val="2"/>
      <w:sz w:val="32"/>
      <w:szCs w:val="32"/>
      <w:lang w:val="en-US" w:eastAsia="zh-CN" w:bidi="ar-SA"/>
    </w:rPr>
  </w:style>
  <w:style w:type="character" w:customStyle="1" w:styleId="81">
    <w:name w:val="批注主题 Char"/>
    <w:link w:val="46"/>
    <w:qFormat/>
    <w:uiPriority w:val="0"/>
    <w:rPr>
      <w:rFonts w:eastAsia="宋体"/>
      <w:b/>
      <w:bCs/>
      <w:kern w:val="2"/>
      <w:sz w:val="21"/>
      <w:lang w:bidi="ar-SA"/>
    </w:rPr>
  </w:style>
  <w:style w:type="character" w:customStyle="1" w:styleId="82">
    <w:name w:val="Comment Text Char"/>
    <w:qFormat/>
    <w:locked/>
    <w:uiPriority w:val="0"/>
    <w:rPr>
      <w:rFonts w:cs="Times New Roman"/>
      <w:kern w:val="2"/>
      <w:sz w:val="24"/>
      <w:szCs w:val="24"/>
    </w:rPr>
  </w:style>
  <w:style w:type="character" w:customStyle="1" w:styleId="83">
    <w:name w:val="Body Text Indent Char"/>
    <w:qFormat/>
    <w:locked/>
    <w:uiPriority w:val="0"/>
    <w:rPr>
      <w:rFonts w:ascii="Times New Roman" w:hAnsi="Times New Roman" w:eastAsia="宋体" w:cs="Times New Roman"/>
      <w:kern w:val="2"/>
      <w:sz w:val="21"/>
    </w:rPr>
  </w:style>
  <w:style w:type="character" w:customStyle="1" w:styleId="84">
    <w:name w:val="列出段落 Char"/>
    <w:link w:val="85"/>
    <w:qFormat/>
    <w:uiPriority w:val="34"/>
    <w:rPr>
      <w:kern w:val="2"/>
      <w:sz w:val="21"/>
    </w:rPr>
  </w:style>
  <w:style w:type="paragraph" w:customStyle="1" w:styleId="85">
    <w:name w:val="列出段落1"/>
    <w:basedOn w:val="1"/>
    <w:link w:val="84"/>
    <w:qFormat/>
    <w:uiPriority w:val="34"/>
    <w:pPr>
      <w:ind w:firstLine="420" w:firstLineChars="200"/>
    </w:pPr>
    <w:rPr>
      <w:szCs w:val="20"/>
    </w:rPr>
  </w:style>
  <w:style w:type="character" w:customStyle="1" w:styleId="86">
    <w:name w:val="ui-spinner"/>
    <w:qFormat/>
    <w:uiPriority w:val="0"/>
    <w:rPr>
      <w:rFonts w:cs="Times New Roman"/>
    </w:rPr>
  </w:style>
  <w:style w:type="character" w:customStyle="1" w:styleId="87">
    <w:name w:val="文档结构图 字符"/>
    <w:qFormat/>
    <w:uiPriority w:val="0"/>
    <w:rPr>
      <w:rFonts w:ascii="宋体"/>
      <w:kern w:val="2"/>
      <w:sz w:val="18"/>
      <w:szCs w:val="18"/>
    </w:rPr>
  </w:style>
  <w:style w:type="character" w:customStyle="1" w:styleId="88">
    <w:name w:val="批注框文本 字符"/>
    <w:qFormat/>
    <w:uiPriority w:val="0"/>
    <w:rPr>
      <w:kern w:val="2"/>
      <w:sz w:val="18"/>
      <w:szCs w:val="18"/>
    </w:rPr>
  </w:style>
  <w:style w:type="character" w:customStyle="1" w:styleId="89">
    <w:name w:val="标题 1 Char Char"/>
    <w:qFormat/>
    <w:uiPriority w:val="0"/>
    <w:rPr>
      <w:rFonts w:eastAsia="宋体"/>
      <w:b/>
      <w:spacing w:val="-2"/>
      <w:sz w:val="24"/>
      <w:lang w:val="en-US" w:eastAsia="zh-CN" w:bidi="ar-SA"/>
    </w:rPr>
  </w:style>
  <w:style w:type="character" w:customStyle="1" w:styleId="90">
    <w:name w:val="Heading 2 Char"/>
    <w:semiHidden/>
    <w:qFormat/>
    <w:locked/>
    <w:uiPriority w:val="0"/>
    <w:rPr>
      <w:rFonts w:ascii="Calibri Light" w:hAnsi="Calibri Light" w:eastAsia="宋体" w:cs="Times New Roman"/>
      <w:b/>
      <w:bCs/>
      <w:kern w:val="2"/>
      <w:sz w:val="32"/>
      <w:szCs w:val="32"/>
    </w:rPr>
  </w:style>
  <w:style w:type="character" w:customStyle="1" w:styleId="91">
    <w:name w:val="Title Char"/>
    <w:qFormat/>
    <w:locked/>
    <w:uiPriority w:val="0"/>
    <w:rPr>
      <w:rFonts w:ascii="Arial" w:hAnsi="Arial" w:eastAsia="隶书" w:cs="Times New Roman"/>
      <w:b/>
      <w:kern w:val="2"/>
      <w:sz w:val="32"/>
    </w:rPr>
  </w:style>
  <w:style w:type="character" w:customStyle="1" w:styleId="92">
    <w:name w:val="Table Text Char1"/>
    <w:link w:val="93"/>
    <w:qFormat/>
    <w:locked/>
    <w:uiPriority w:val="0"/>
    <w:rPr>
      <w:rFonts w:ascii="Arial" w:hAnsi="Arial"/>
      <w:sz w:val="18"/>
      <w:szCs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sz w:val="18"/>
      <w:szCs w:val="18"/>
      <w:lang w:val="en-US" w:eastAsia="zh-CN" w:bidi="ar-SA"/>
    </w:rPr>
  </w:style>
  <w:style w:type="character" w:customStyle="1" w:styleId="94">
    <w:name w:val="页脚 字符"/>
    <w:qFormat/>
    <w:uiPriority w:val="99"/>
    <w:rPr>
      <w:kern w:val="2"/>
      <w:sz w:val="18"/>
      <w:szCs w:val="18"/>
    </w:rPr>
  </w:style>
  <w:style w:type="character" w:customStyle="1" w:styleId="95">
    <w:name w:val="正文缩进 Char2"/>
    <w:qFormat/>
    <w:uiPriority w:val="0"/>
    <w:rPr>
      <w:rFonts w:ascii="宋体"/>
      <w:snapToGrid/>
      <w:color w:val="000000"/>
      <w:kern w:val="28"/>
      <w:sz w:val="28"/>
    </w:rPr>
  </w:style>
  <w:style w:type="character" w:customStyle="1" w:styleId="96">
    <w:name w:val="表格非标题文字 Char"/>
    <w:link w:val="97"/>
    <w:qFormat/>
    <w:locked/>
    <w:uiPriority w:val="0"/>
    <w:rPr>
      <w:rFonts w:ascii="Futura Bk" w:hAnsi="Futura Bk" w:eastAsia="Times New Roman"/>
      <w:kern w:val="2"/>
      <w:sz w:val="21"/>
      <w:lang w:val="en-US" w:eastAsia="zh-CN" w:bidi="ar-SA"/>
    </w:rPr>
  </w:style>
  <w:style w:type="paragraph" w:customStyle="1" w:styleId="97">
    <w:name w:val="表格非标题文字"/>
    <w:link w:val="96"/>
    <w:qFormat/>
    <w:uiPriority w:val="0"/>
    <w:pPr>
      <w:snapToGrid w:val="0"/>
      <w:spacing w:before="80" w:after="40"/>
    </w:pPr>
    <w:rPr>
      <w:rFonts w:ascii="Futura Bk" w:hAnsi="Futura Bk" w:eastAsia="Times New Roman" w:cs="Times New Roman"/>
      <w:kern w:val="2"/>
      <w:sz w:val="21"/>
      <w:lang w:val="en-US" w:eastAsia="zh-CN" w:bidi="ar-SA"/>
    </w:rPr>
  </w:style>
  <w:style w:type="character" w:customStyle="1" w:styleId="98">
    <w:name w:val="PIM2 Char"/>
    <w:qFormat/>
    <w:uiPriority w:val="0"/>
    <w:rPr>
      <w:rFonts w:ascii="Cambria" w:hAnsi="Cambria" w:eastAsia="宋体" w:cs="Times New Roman"/>
      <w:b/>
      <w:bCs/>
      <w:sz w:val="32"/>
      <w:szCs w:val="32"/>
    </w:rPr>
  </w:style>
  <w:style w:type="character" w:customStyle="1" w:styleId="99">
    <w:name w:val="纯文本 Char"/>
    <w:qFormat/>
    <w:uiPriority w:val="0"/>
    <w:rPr>
      <w:rFonts w:ascii="宋体" w:hAnsi="Courier New"/>
      <w:kern w:val="2"/>
      <w:sz w:val="24"/>
      <w:szCs w:val="24"/>
      <w:lang w:bidi="ar-SA"/>
    </w:rPr>
  </w:style>
  <w:style w:type="character" w:customStyle="1" w:styleId="100">
    <w:name w:val="纯文本 字符"/>
    <w:qFormat/>
    <w:uiPriority w:val="0"/>
    <w:rPr>
      <w:rFonts w:ascii="宋体" w:hAnsi="Courier New" w:eastAsia="宋体"/>
      <w:sz w:val="24"/>
      <w:szCs w:val="24"/>
    </w:rPr>
  </w:style>
  <w:style w:type="character" w:customStyle="1" w:styleId="101">
    <w:name w:val="一级标题 Char"/>
    <w:qFormat/>
    <w:uiPriority w:val="0"/>
    <w:rPr>
      <w:b/>
      <w:bCs/>
      <w:kern w:val="44"/>
      <w:sz w:val="44"/>
      <w:szCs w:val="44"/>
    </w:rPr>
  </w:style>
  <w:style w:type="character" w:customStyle="1" w:styleId="102">
    <w:name w:val="font21"/>
    <w:qFormat/>
    <w:uiPriority w:val="0"/>
    <w:rPr>
      <w:rFonts w:ascii="宋体" w:hAnsi="宋体" w:eastAsia="宋体" w:cs="宋体"/>
      <w:color w:val="000000"/>
      <w:sz w:val="20"/>
      <w:szCs w:val="20"/>
      <w:u w:val="none"/>
    </w:rPr>
  </w:style>
  <w:style w:type="character" w:customStyle="1" w:styleId="103">
    <w:name w:val="h3 Char"/>
    <w:qFormat/>
    <w:uiPriority w:val="0"/>
    <w:rPr>
      <w:b/>
      <w:bCs/>
      <w:sz w:val="32"/>
      <w:szCs w:val="32"/>
    </w:rPr>
  </w:style>
  <w:style w:type="character" w:customStyle="1" w:styleId="104">
    <w:name w:val="Comment Subject Char"/>
    <w:qFormat/>
    <w:locked/>
    <w:uiPriority w:val="0"/>
    <w:rPr>
      <w:rFonts w:cs="Times New Roman"/>
      <w:b/>
      <w:bCs/>
      <w:kern w:val="2"/>
      <w:sz w:val="24"/>
      <w:szCs w:val="24"/>
    </w:rPr>
  </w:style>
  <w:style w:type="character" w:customStyle="1" w:styleId="105">
    <w:name w:val="Header Char"/>
    <w:qFormat/>
    <w:locked/>
    <w:uiPriority w:val="0"/>
    <w:rPr>
      <w:rFonts w:ascii="Calibri" w:hAnsi="Calibri" w:eastAsia="宋体" w:cs="Times New Roman"/>
      <w:kern w:val="2"/>
      <w:sz w:val="18"/>
      <w:szCs w:val="18"/>
    </w:rPr>
  </w:style>
  <w:style w:type="character" w:customStyle="1" w:styleId="106">
    <w:name w:val="正文文本缩进 Char1"/>
    <w:qFormat/>
    <w:uiPriority w:val="0"/>
    <w:rPr>
      <w:sz w:val="22"/>
      <w:szCs w:val="22"/>
    </w:rPr>
  </w:style>
  <w:style w:type="character" w:customStyle="1" w:styleId="107">
    <w:name w:val="Z正文 Char Char"/>
    <w:link w:val="108"/>
    <w:qFormat/>
    <w:uiPriority w:val="0"/>
    <w:rPr>
      <w:rFonts w:eastAsia="仿宋_GB2312"/>
      <w:kern w:val="2"/>
      <w:sz w:val="32"/>
      <w:szCs w:val="24"/>
      <w:lang w:val="en-US" w:eastAsia="zh-CN" w:bidi="ar-SA"/>
    </w:rPr>
  </w:style>
  <w:style w:type="paragraph" w:customStyle="1" w:styleId="108">
    <w:name w:val="Z正文"/>
    <w:basedOn w:val="1"/>
    <w:link w:val="107"/>
    <w:qFormat/>
    <w:uiPriority w:val="0"/>
    <w:pPr>
      <w:ind w:firstLine="200" w:firstLineChars="200"/>
    </w:pPr>
    <w:rPr>
      <w:rFonts w:eastAsia="仿宋_GB2312"/>
      <w:sz w:val="32"/>
    </w:rPr>
  </w:style>
  <w:style w:type="character" w:customStyle="1" w:styleId="109">
    <w:name w:val="141"/>
    <w:qFormat/>
    <w:uiPriority w:val="0"/>
    <w:rPr>
      <w:sz w:val="21"/>
      <w:szCs w:val="21"/>
    </w:rPr>
  </w:style>
  <w:style w:type="character" w:customStyle="1" w:styleId="110">
    <w:name w:val="标准正文格式 Char"/>
    <w:link w:val="111"/>
    <w:qFormat/>
    <w:locked/>
    <w:uiPriority w:val="0"/>
    <w:rPr>
      <w:rFonts w:ascii="宋体" w:eastAsia="仿宋_GB2312" w:cs="宋体"/>
      <w:color w:val="000000"/>
      <w:sz w:val="24"/>
    </w:rPr>
  </w:style>
  <w:style w:type="paragraph" w:customStyle="1" w:styleId="111">
    <w:name w:val="标准正文格式"/>
    <w:basedOn w:val="1"/>
    <w:link w:val="110"/>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12">
    <w:name w:val="页眉 字符"/>
    <w:qFormat/>
    <w:uiPriority w:val="0"/>
    <w:rPr>
      <w:kern w:val="2"/>
      <w:sz w:val="18"/>
      <w:szCs w:val="18"/>
    </w:rPr>
  </w:style>
  <w:style w:type="character" w:customStyle="1" w:styleId="113">
    <w:name w:val="Footer Char"/>
    <w:qFormat/>
    <w:locked/>
    <w:uiPriority w:val="0"/>
    <w:rPr>
      <w:rFonts w:ascii="Calibri" w:hAnsi="Calibri" w:eastAsia="宋体" w:cs="Times New Roman"/>
      <w:kern w:val="2"/>
      <w:sz w:val="18"/>
      <w:szCs w:val="18"/>
    </w:rPr>
  </w:style>
  <w:style w:type="character" w:customStyle="1" w:styleId="114">
    <w:name w:val="font31"/>
    <w:qFormat/>
    <w:uiPriority w:val="0"/>
    <w:rPr>
      <w:rFonts w:ascii="微软雅黑" w:hAnsi="微软雅黑" w:eastAsia="微软雅黑" w:cs="微软雅黑"/>
      <w:color w:val="000000"/>
      <w:sz w:val="18"/>
      <w:szCs w:val="18"/>
      <w:u w:val="none"/>
    </w:rPr>
  </w:style>
  <w:style w:type="character" w:customStyle="1" w:styleId="115">
    <w:name w:val="纯文本 Char3"/>
    <w:qFormat/>
    <w:uiPriority w:val="99"/>
    <w:rPr>
      <w:rFonts w:hint="eastAsia" w:ascii="宋体" w:hAnsi="Courier New" w:eastAsia="宋体" w:cs="Courier New"/>
      <w:kern w:val="2"/>
      <w:sz w:val="21"/>
      <w:szCs w:val="21"/>
    </w:rPr>
  </w:style>
  <w:style w:type="character" w:customStyle="1" w:styleId="116">
    <w:name w:val="正文文本缩进 字符"/>
    <w:qFormat/>
    <w:uiPriority w:val="0"/>
    <w:rPr>
      <w:rFonts w:ascii="宋体" w:hAnsi="Times New Roman"/>
      <w:sz w:val="28"/>
    </w:rPr>
  </w:style>
  <w:style w:type="character" w:customStyle="1" w:styleId="117">
    <w:name w:val="Heading 1 Char"/>
    <w:qFormat/>
    <w:locked/>
    <w:uiPriority w:val="0"/>
    <w:rPr>
      <w:rFonts w:ascii="Calibri" w:hAnsi="Calibri" w:cs="Times New Roman"/>
      <w:b/>
      <w:bCs/>
      <w:kern w:val="44"/>
      <w:sz w:val="44"/>
      <w:szCs w:val="44"/>
    </w:rPr>
  </w:style>
  <w:style w:type="character" w:customStyle="1" w:styleId="118">
    <w:name w:val="font11"/>
    <w:qFormat/>
    <w:uiPriority w:val="0"/>
    <w:rPr>
      <w:rFonts w:hint="eastAsia" w:ascii="宋体" w:hAnsi="宋体" w:eastAsia="宋体"/>
      <w:color w:val="000000"/>
      <w:sz w:val="22"/>
      <w:szCs w:val="22"/>
      <w:u w:val="none"/>
    </w:rPr>
  </w:style>
  <w:style w:type="character" w:customStyle="1" w:styleId="119">
    <w:name w:val="首行缩进 Char"/>
    <w:link w:val="120"/>
    <w:qFormat/>
    <w:uiPriority w:val="0"/>
    <w:rPr>
      <w:rFonts w:ascii="Calibri" w:hAnsi="Calibri" w:eastAsia="宋体"/>
      <w:kern w:val="2"/>
      <w:sz w:val="24"/>
      <w:szCs w:val="22"/>
      <w:lang w:val="zh-CN" w:eastAsia="zh-CN" w:bidi="ar-SA"/>
    </w:rPr>
  </w:style>
  <w:style w:type="paragraph" w:customStyle="1" w:styleId="120">
    <w:name w:val="首行缩进"/>
    <w:basedOn w:val="1"/>
    <w:link w:val="119"/>
    <w:qFormat/>
    <w:uiPriority w:val="0"/>
    <w:pPr>
      <w:spacing w:line="360" w:lineRule="auto"/>
      <w:ind w:firstLine="480" w:firstLineChars="200"/>
    </w:pPr>
    <w:rPr>
      <w:rFonts w:ascii="Calibri" w:hAnsi="Calibri"/>
      <w:sz w:val="24"/>
      <w:szCs w:val="22"/>
      <w:lang w:val="zh-CN"/>
    </w:rPr>
  </w:style>
  <w:style w:type="character" w:customStyle="1" w:styleId="121">
    <w:name w:val="列出段落 Char1"/>
    <w:link w:val="122"/>
    <w:qFormat/>
    <w:locked/>
    <w:uiPriority w:val="99"/>
    <w:rPr>
      <w:kern w:val="2"/>
      <w:sz w:val="21"/>
      <w:szCs w:val="22"/>
    </w:rPr>
  </w:style>
  <w:style w:type="paragraph" w:styleId="122">
    <w:name w:val="List Paragraph"/>
    <w:basedOn w:val="1"/>
    <w:link w:val="121"/>
    <w:qFormat/>
    <w:uiPriority w:val="34"/>
    <w:pPr>
      <w:ind w:firstLine="420" w:firstLineChars="200"/>
    </w:pPr>
    <w:rPr>
      <w:szCs w:val="22"/>
    </w:rPr>
  </w:style>
  <w:style w:type="character" w:customStyle="1" w:styleId="123">
    <w:name w:val="图表说明 Char"/>
    <w:link w:val="124"/>
    <w:qFormat/>
    <w:uiPriority w:val="0"/>
    <w:rPr>
      <w:rFonts w:ascii="Arial" w:hAnsi="Arial" w:eastAsia="宋体"/>
      <w:b/>
      <w:sz w:val="18"/>
      <w:szCs w:val="24"/>
      <w:lang w:bidi="ar-SA"/>
    </w:rPr>
  </w:style>
  <w:style w:type="paragraph" w:customStyle="1" w:styleId="124">
    <w:name w:val="图表说明"/>
    <w:basedOn w:val="1"/>
    <w:link w:val="123"/>
    <w:qFormat/>
    <w:uiPriority w:val="0"/>
    <w:pPr>
      <w:jc w:val="center"/>
    </w:pPr>
    <w:rPr>
      <w:rFonts w:ascii="Arial" w:hAnsi="Arial"/>
      <w:b/>
      <w:kern w:val="0"/>
      <w:sz w:val="18"/>
    </w:rPr>
  </w:style>
  <w:style w:type="character" w:customStyle="1" w:styleId="125">
    <w:name w:val="*正文 Char"/>
    <w:link w:val="126"/>
    <w:qFormat/>
    <w:uiPriority w:val="0"/>
    <w:rPr>
      <w:rFonts w:ascii="宋体" w:hAnsi="宋体" w:eastAsia="宋体"/>
      <w:sz w:val="22"/>
      <w:szCs w:val="24"/>
      <w:lang w:bidi="ar-SA"/>
    </w:rPr>
  </w:style>
  <w:style w:type="paragraph" w:customStyle="1" w:styleId="126">
    <w:name w:val="*正文"/>
    <w:basedOn w:val="1"/>
    <w:link w:val="125"/>
    <w:qFormat/>
    <w:uiPriority w:val="0"/>
    <w:pPr>
      <w:spacing w:line="360" w:lineRule="auto"/>
      <w:ind w:firstLine="200" w:firstLineChars="200"/>
    </w:pPr>
    <w:rPr>
      <w:rFonts w:ascii="宋体" w:hAnsi="宋体"/>
      <w:kern w:val="0"/>
      <w:sz w:val="22"/>
    </w:rPr>
  </w:style>
  <w:style w:type="character" w:customStyle="1" w:styleId="127">
    <w:name w:val="无间隔 Char"/>
    <w:link w:val="128"/>
    <w:qFormat/>
    <w:uiPriority w:val="0"/>
    <w:rPr>
      <w:sz w:val="22"/>
      <w:szCs w:val="22"/>
      <w:lang w:val="en-US" w:eastAsia="zh-CN" w:bidi="ar-SA"/>
    </w:rPr>
  </w:style>
  <w:style w:type="paragraph" w:styleId="128">
    <w:name w:val="No Spacing"/>
    <w:link w:val="127"/>
    <w:qFormat/>
    <w:uiPriority w:val="0"/>
    <w:rPr>
      <w:rFonts w:ascii="Times New Roman" w:hAnsi="Times New Roman" w:eastAsia="宋体" w:cs="Times New Roman"/>
      <w:sz w:val="22"/>
      <w:szCs w:val="22"/>
      <w:lang w:val="en-US" w:eastAsia="zh-CN" w:bidi="ar-SA"/>
    </w:rPr>
  </w:style>
  <w:style w:type="character" w:customStyle="1" w:styleId="129">
    <w:name w:val="bookmark-item"/>
    <w:qFormat/>
    <w:uiPriority w:val="0"/>
  </w:style>
  <w:style w:type="character" w:customStyle="1" w:styleId="130">
    <w:name w:val="注意框体 Char1"/>
    <w:qFormat/>
    <w:locked/>
    <w:uiPriority w:val="0"/>
    <w:rPr>
      <w:rFonts w:ascii="Arial" w:hAnsi="Arial" w:eastAsia="黑体"/>
      <w:kern w:val="2"/>
      <w:sz w:val="24"/>
      <w:szCs w:val="24"/>
    </w:rPr>
  </w:style>
  <w:style w:type="character" w:customStyle="1" w:styleId="131">
    <w:name w:val="Balloon Text Char"/>
    <w:qFormat/>
    <w:locked/>
    <w:uiPriority w:val="0"/>
    <w:rPr>
      <w:rFonts w:cs="Times New Roman"/>
      <w:kern w:val="2"/>
      <w:sz w:val="18"/>
      <w:szCs w:val="18"/>
    </w:rPr>
  </w:style>
  <w:style w:type="character" w:customStyle="1" w:styleId="132">
    <w:name w:val="标题 2 字符"/>
    <w:qFormat/>
    <w:uiPriority w:val="0"/>
    <w:rPr>
      <w:rFonts w:ascii="等线 Light" w:hAnsi="等线 Light" w:eastAsia="等线 Light" w:cs="Times New Roman"/>
      <w:b/>
      <w:bCs/>
      <w:kern w:val="2"/>
      <w:sz w:val="32"/>
      <w:szCs w:val="32"/>
    </w:rPr>
  </w:style>
  <w:style w:type="character" w:customStyle="1" w:styleId="133">
    <w:name w:val="正文文本缩进 字符1"/>
    <w:qFormat/>
    <w:uiPriority w:val="0"/>
    <w:rPr>
      <w:kern w:val="2"/>
      <w:sz w:val="21"/>
      <w:szCs w:val="24"/>
    </w:rPr>
  </w:style>
  <w:style w:type="character" w:customStyle="1" w:styleId="134">
    <w:name w:val="标题3 Char"/>
    <w:link w:val="135"/>
    <w:qFormat/>
    <w:locked/>
    <w:uiPriority w:val="0"/>
    <w:rPr>
      <w:rFonts w:ascii="Cambria" w:hAnsi="Cambria" w:eastAsia="黑体"/>
      <w:b/>
      <w:bCs/>
      <w:szCs w:val="21"/>
      <w:lang w:bidi="ar-SA"/>
    </w:rPr>
  </w:style>
  <w:style w:type="paragraph" w:customStyle="1" w:styleId="135">
    <w:name w:val="标题3"/>
    <w:basedOn w:val="4"/>
    <w:link w:val="134"/>
    <w:qFormat/>
    <w:uiPriority w:val="0"/>
    <w:pPr>
      <w:spacing w:line="415" w:lineRule="auto"/>
    </w:pPr>
    <w:rPr>
      <w:rFonts w:ascii="Cambria" w:hAnsi="Cambria" w:eastAsia="黑体"/>
      <w:kern w:val="0"/>
      <w:sz w:val="20"/>
      <w:szCs w:val="21"/>
    </w:rPr>
  </w:style>
  <w:style w:type="character" w:customStyle="1" w:styleId="136">
    <w:name w:val="font01"/>
    <w:qFormat/>
    <w:uiPriority w:val="0"/>
    <w:rPr>
      <w:rFonts w:hint="default" w:ascii="Times New Roman" w:hAnsi="Times New Roman" w:cs="Times New Roman"/>
      <w:color w:val="000000"/>
      <w:sz w:val="22"/>
      <w:szCs w:val="22"/>
      <w:u w:val="none"/>
    </w:rPr>
  </w:style>
  <w:style w:type="character" w:customStyle="1" w:styleId="137">
    <w:name w:val="标题 4 字符"/>
    <w:qFormat/>
    <w:uiPriority w:val="9"/>
    <w:rPr>
      <w:rFonts w:ascii="Cambria" w:hAnsi="Cambria" w:eastAsia="宋体" w:cs="Times New Roman"/>
      <w:b/>
      <w:bCs/>
      <w:kern w:val="2"/>
      <w:sz w:val="28"/>
      <w:szCs w:val="28"/>
    </w:rPr>
  </w:style>
  <w:style w:type="character" w:customStyle="1" w:styleId="138">
    <w:name w:val="标题 3 字符"/>
    <w:qFormat/>
    <w:uiPriority w:val="9"/>
    <w:rPr>
      <w:rFonts w:ascii="Calibri" w:hAnsi="Calibri" w:eastAsia="宋体" w:cs="Times New Roman"/>
      <w:b/>
      <w:bCs/>
      <w:kern w:val="2"/>
      <w:sz w:val="32"/>
      <w:szCs w:val="32"/>
    </w:rPr>
  </w:style>
  <w:style w:type="character" w:customStyle="1" w:styleId="139">
    <w:name w:val="纯文本 Char2"/>
    <w:qFormat/>
    <w:uiPriority w:val="0"/>
    <w:rPr>
      <w:rFonts w:hint="eastAsia" w:ascii="宋体" w:hAnsi="Courier New" w:eastAsia="宋体" w:cs="宋体"/>
      <w:kern w:val="2"/>
      <w:sz w:val="24"/>
      <w:szCs w:val="24"/>
    </w:rPr>
  </w:style>
  <w:style w:type="paragraph" w:customStyle="1" w:styleId="14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Char Char Char Char"/>
    <w:basedOn w:val="1"/>
    <w:qFormat/>
    <w:uiPriority w:val="0"/>
    <w:rPr>
      <w:rFonts w:ascii="仿宋_GB2312" w:eastAsia="仿宋_GB2312"/>
      <w:b/>
      <w:sz w:val="32"/>
      <w:szCs w:val="32"/>
    </w:rPr>
  </w:style>
  <w:style w:type="paragraph" w:customStyle="1" w:styleId="142">
    <w:name w:val="内容序号（N）"/>
    <w:basedOn w:val="122"/>
    <w:qFormat/>
    <w:uiPriority w:val="0"/>
    <w:pPr>
      <w:tabs>
        <w:tab w:val="left" w:pos="1134"/>
      </w:tabs>
      <w:spacing w:line="360" w:lineRule="auto"/>
      <w:ind w:firstLine="0" w:firstLineChars="0"/>
    </w:pPr>
    <w:rPr>
      <w:rFonts w:ascii="宋体" w:hAnsi="宋体"/>
      <w:sz w:val="24"/>
      <w:szCs w:val="28"/>
    </w:rPr>
  </w:style>
  <w:style w:type="paragraph" w:customStyle="1" w:styleId="143">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Pa8"/>
    <w:basedOn w:val="1"/>
    <w:next w:val="1"/>
    <w:qFormat/>
    <w:uiPriority w:val="0"/>
    <w:pPr>
      <w:widowControl/>
      <w:autoSpaceDE w:val="0"/>
      <w:autoSpaceDN w:val="0"/>
      <w:adjustRightInd w:val="0"/>
      <w:spacing w:line="221" w:lineRule="atLeast"/>
      <w:jc w:val="left"/>
    </w:pPr>
    <w:rPr>
      <w:rFonts w:ascii="HP Simplified Hans Light" w:hAnsi="Calibri" w:eastAsia="HP Simplified Hans Light"/>
      <w:kern w:val="0"/>
      <w:sz w:val="24"/>
    </w:rPr>
  </w:style>
  <w:style w:type="paragraph" w:customStyle="1" w:styleId="145">
    <w:name w:val="正文段"/>
    <w:basedOn w:val="1"/>
    <w:qFormat/>
    <w:uiPriority w:val="0"/>
    <w:pPr>
      <w:widowControl/>
      <w:snapToGrid w:val="0"/>
      <w:spacing w:after="156" w:afterLines="50"/>
      <w:ind w:firstLine="200" w:firstLineChars="200"/>
    </w:pPr>
    <w:rPr>
      <w:kern w:val="0"/>
      <w:sz w:val="24"/>
      <w:szCs w:val="20"/>
    </w:rPr>
  </w:style>
  <w:style w:type="paragraph" w:customStyle="1" w:styleId="146">
    <w:name w:val="msonospacing"/>
    <w:basedOn w:val="1"/>
    <w:qFormat/>
    <w:uiPriority w:val="0"/>
    <w:rPr>
      <w:rFonts w:ascii="Calibri" w:hAnsi="Calibri"/>
      <w:szCs w:val="22"/>
    </w:rPr>
  </w:style>
  <w:style w:type="paragraph" w:customStyle="1" w:styleId="147">
    <w:name w:val="_Style 3"/>
    <w:qFormat/>
    <w:uiPriority w:val="0"/>
    <w:rPr>
      <w:rFonts w:ascii="Times New Roman" w:hAnsi="Times New Roman" w:eastAsia="宋体" w:cs="Times New Roman"/>
      <w:sz w:val="22"/>
      <w:szCs w:val="22"/>
      <w:lang w:val="en-US" w:eastAsia="zh-CN" w:bidi="ar-SA"/>
    </w:rPr>
  </w:style>
  <w:style w:type="paragraph" w:customStyle="1" w:styleId="148">
    <w:name w:val="列出段落11"/>
    <w:basedOn w:val="1"/>
    <w:qFormat/>
    <w:uiPriority w:val="0"/>
    <w:pPr>
      <w:spacing w:line="360" w:lineRule="auto"/>
      <w:ind w:firstLine="420" w:firstLineChars="200"/>
    </w:pPr>
    <w:rPr>
      <w:rFonts w:cs="黑体"/>
      <w:szCs w:val="22"/>
    </w:rPr>
  </w:style>
  <w:style w:type="paragraph" w:customStyle="1" w:styleId="149">
    <w:name w:val="List Paragraph11"/>
    <w:basedOn w:val="1"/>
    <w:qFormat/>
    <w:uiPriority w:val="0"/>
    <w:pPr>
      <w:spacing w:line="360" w:lineRule="auto"/>
      <w:ind w:firstLine="420" w:firstLineChars="200"/>
    </w:pPr>
    <w:rPr>
      <w:rFonts w:ascii="Calibri" w:hAnsi="Calibri"/>
      <w:szCs w:val="22"/>
    </w:rPr>
  </w:style>
  <w:style w:type="paragraph" w:customStyle="1" w:styleId="150">
    <w:name w:val="默认段落字体 Para Char Char Char Char Char Char Char Char Char1 Char Char Char Char"/>
    <w:basedOn w:val="1"/>
    <w:qFormat/>
    <w:uiPriority w:val="0"/>
    <w:rPr>
      <w:rFonts w:ascii="Tahoma" w:hAnsi="Tahoma"/>
      <w:sz w:val="24"/>
      <w:szCs w:val="20"/>
    </w:rPr>
  </w:style>
  <w:style w:type="paragraph" w:customStyle="1" w:styleId="151">
    <w:name w:val="Pa9"/>
    <w:basedOn w:val="1"/>
    <w:next w:val="1"/>
    <w:qFormat/>
    <w:uiPriority w:val="0"/>
    <w:pPr>
      <w:widowControl/>
      <w:autoSpaceDE w:val="0"/>
      <w:autoSpaceDN w:val="0"/>
      <w:adjustRightInd w:val="0"/>
      <w:spacing w:line="241" w:lineRule="atLeast"/>
      <w:jc w:val="left"/>
    </w:pPr>
    <w:rPr>
      <w:rFonts w:ascii="HP Simplified Light" w:hAnsi="HP Simplified Light"/>
      <w:kern w:val="0"/>
      <w:sz w:val="24"/>
    </w:rPr>
  </w:style>
  <w:style w:type="paragraph" w:customStyle="1" w:styleId="152">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_Style 61"/>
    <w:basedOn w:val="1"/>
    <w:qFormat/>
    <w:uiPriority w:val="0"/>
    <w:pPr>
      <w:widowControl/>
      <w:spacing w:after="160" w:line="240" w:lineRule="exact"/>
      <w:jc w:val="left"/>
    </w:pPr>
  </w:style>
  <w:style w:type="paragraph" w:customStyle="1" w:styleId="154">
    <w:name w:val="f1"/>
    <w:basedOn w:val="1"/>
    <w:qFormat/>
    <w:uiPriority w:val="0"/>
    <w:pPr>
      <w:widowControl/>
      <w:adjustRightInd w:val="0"/>
      <w:spacing w:before="100" w:beforeAutospacing="1" w:after="100" w:afterAutospacing="1" w:line="360" w:lineRule="atLeast"/>
      <w:jc w:val="center"/>
      <w:textAlignment w:val="baseline"/>
    </w:pPr>
    <w:rPr>
      <w:rFonts w:ascii="Helvetica" w:hAnsi="Helvetica" w:eastAsia="Times New Roman" w:cs="Helvetica"/>
      <w:b/>
      <w:bCs/>
      <w:color w:val="FF8080"/>
      <w:spacing w:val="160"/>
      <w:kern w:val="0"/>
      <w:sz w:val="80"/>
      <w:szCs w:val="80"/>
    </w:rPr>
  </w:style>
  <w:style w:type="paragraph" w:customStyle="1" w:styleId="155">
    <w:name w:val="Char Char1 Char Char Char Char Char Char Char Char"/>
    <w:basedOn w:val="1"/>
    <w:qFormat/>
    <w:uiPriority w:val="0"/>
    <w:pPr>
      <w:widowControl/>
      <w:spacing w:after="160" w:line="240" w:lineRule="exact"/>
      <w:jc w:val="left"/>
    </w:pPr>
    <w:rPr>
      <w:szCs w:val="20"/>
    </w:rPr>
  </w:style>
  <w:style w:type="paragraph" w:customStyle="1" w:styleId="156">
    <w:name w:val="_Style 6"/>
    <w:basedOn w:val="1"/>
    <w:qFormat/>
    <w:uiPriority w:val="0"/>
    <w:pPr>
      <w:widowControl/>
      <w:adjustRightInd w:val="0"/>
      <w:snapToGrid w:val="0"/>
      <w:spacing w:after="200" w:line="360" w:lineRule="atLeast"/>
      <w:ind w:firstLine="420" w:firstLineChars="200"/>
      <w:jc w:val="left"/>
      <w:textAlignment w:val="baseline"/>
    </w:pPr>
    <w:rPr>
      <w:rFonts w:ascii="Tahoma" w:hAnsi="Tahoma" w:eastAsia="微软雅黑"/>
      <w:kern w:val="0"/>
      <w:sz w:val="22"/>
      <w:szCs w:val="22"/>
    </w:rPr>
  </w:style>
  <w:style w:type="paragraph" w:customStyle="1" w:styleId="157">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Char Char Char Char Char Char"/>
    <w:basedOn w:val="1"/>
    <w:qFormat/>
    <w:uiPriority w:val="0"/>
    <w:pPr>
      <w:adjustRightInd w:val="0"/>
      <w:spacing w:line="360" w:lineRule="atLeast"/>
      <w:ind w:firstLine="200" w:firstLineChars="200"/>
      <w:textAlignment w:val="baseline"/>
    </w:pPr>
    <w:rPr>
      <w:rFonts w:ascii="Tahoma" w:hAnsi="Tahoma" w:eastAsia="Times New Roman"/>
      <w:sz w:val="24"/>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6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61">
    <w:name w:val="List Paragraph1"/>
    <w:basedOn w:val="1"/>
    <w:qFormat/>
    <w:uiPriority w:val="0"/>
    <w:pPr>
      <w:ind w:firstLine="420" w:firstLineChars="200"/>
    </w:pPr>
    <w:rPr>
      <w:rFonts w:ascii="Calibri" w:hAnsi="Calibri"/>
      <w:szCs w:val="22"/>
    </w:rPr>
  </w:style>
  <w:style w:type="paragraph" w:customStyle="1" w:styleId="162">
    <w:name w:val="p0"/>
    <w:basedOn w:val="1"/>
    <w:qFormat/>
    <w:uiPriority w:val="0"/>
    <w:pPr>
      <w:widowControl/>
    </w:pPr>
    <w:rPr>
      <w:kern w:val="0"/>
      <w:szCs w:val="21"/>
    </w:rPr>
  </w:style>
  <w:style w:type="paragraph" w:customStyle="1" w:styleId="163">
    <w:name w:val="Char Char Char Char Char Char Char"/>
    <w:basedOn w:val="1"/>
    <w:qFormat/>
    <w:uiPriority w:val="0"/>
    <w:pPr>
      <w:tabs>
        <w:tab w:val="left" w:pos="432"/>
      </w:tabs>
      <w:adjustRightInd w:val="0"/>
      <w:spacing w:line="360" w:lineRule="atLeast"/>
      <w:ind w:left="432" w:hanging="432"/>
      <w:textAlignment w:val="baseline"/>
    </w:pPr>
    <w:rPr>
      <w:rFonts w:ascii="Tahoma" w:hAnsi="Tahoma" w:eastAsia="Times New Roman"/>
      <w:sz w:val="24"/>
      <w:szCs w:val="20"/>
    </w:rPr>
  </w:style>
  <w:style w:type="paragraph" w:customStyle="1" w:styleId="16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6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66">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_Style 16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9">
    <w:name w:val="列表1"/>
    <w:basedOn w:val="1"/>
    <w:next w:val="1"/>
    <w:qFormat/>
    <w:uiPriority w:val="39"/>
    <w:pPr>
      <w:tabs>
        <w:tab w:val="left" w:pos="851"/>
        <w:tab w:val="right" w:leader="dot" w:pos="8296"/>
      </w:tabs>
      <w:ind w:left="420" w:leftChars="200"/>
    </w:pPr>
  </w:style>
  <w:style w:type="paragraph" w:customStyle="1" w:styleId="170">
    <w:name w:val="Char Char43"/>
    <w:basedOn w:val="1"/>
    <w:qFormat/>
    <w:uiPriority w:val="0"/>
    <w:pPr>
      <w:widowControl/>
      <w:spacing w:after="160" w:line="240" w:lineRule="exact"/>
      <w:jc w:val="left"/>
    </w:pPr>
  </w:style>
  <w:style w:type="paragraph" w:customStyle="1" w:styleId="171">
    <w:name w:val="CM22"/>
    <w:basedOn w:val="1"/>
    <w:next w:val="1"/>
    <w:qFormat/>
    <w:uiPriority w:val="0"/>
    <w:pPr>
      <w:autoSpaceDE w:val="0"/>
      <w:autoSpaceDN w:val="0"/>
      <w:adjustRightInd w:val="0"/>
      <w:spacing w:after="63"/>
      <w:jc w:val="left"/>
    </w:pPr>
    <w:rPr>
      <w:rFonts w:ascii="汉仪粗黑简" w:eastAsia="汉仪粗黑简" w:cs="汉仪粗黑简"/>
      <w:kern w:val="0"/>
      <w:sz w:val="24"/>
    </w:rPr>
  </w:style>
  <w:style w:type="paragraph" w:customStyle="1" w:styleId="172">
    <w:name w:val="Pa3"/>
    <w:basedOn w:val="1"/>
    <w:next w:val="1"/>
    <w:qFormat/>
    <w:uiPriority w:val="0"/>
    <w:pPr>
      <w:widowControl/>
      <w:autoSpaceDE w:val="0"/>
      <w:autoSpaceDN w:val="0"/>
      <w:adjustRightInd w:val="0"/>
      <w:spacing w:line="201" w:lineRule="atLeast"/>
      <w:jc w:val="left"/>
    </w:pPr>
    <w:rPr>
      <w:rFonts w:ascii="H Yg 2gj" w:eastAsia="H Yg 2gj"/>
      <w:kern w:val="0"/>
      <w:sz w:val="24"/>
    </w:rPr>
  </w:style>
  <w:style w:type="paragraph" w:customStyle="1" w:styleId="173">
    <w:name w:val="Char Char1 Char Char Char Char Char Char Char Char1"/>
    <w:basedOn w:val="1"/>
    <w:qFormat/>
    <w:uiPriority w:val="0"/>
    <w:pPr>
      <w:widowControl/>
      <w:spacing w:after="160" w:line="240" w:lineRule="exact"/>
      <w:jc w:val="left"/>
    </w:pPr>
  </w:style>
  <w:style w:type="paragraph" w:customStyle="1" w:styleId="174">
    <w:name w:val="Char2"/>
    <w:basedOn w:val="1"/>
    <w:qFormat/>
    <w:uiPriority w:val="0"/>
    <w:pPr>
      <w:adjustRightInd w:val="0"/>
      <w:spacing w:line="360" w:lineRule="atLeast"/>
      <w:textAlignment w:val="baseline"/>
    </w:pPr>
    <w:rPr>
      <w:rFonts w:ascii="仿宋_GB2312" w:hAnsi="Calibri" w:eastAsia="仿宋_GB2312"/>
      <w:b/>
      <w:sz w:val="32"/>
      <w:szCs w:val="32"/>
    </w:rPr>
  </w:style>
  <w:style w:type="character" w:customStyle="1" w:styleId="175">
    <w:name w:val="style7"/>
    <w:qFormat/>
    <w:uiPriority w:val="0"/>
  </w:style>
  <w:style w:type="character" w:customStyle="1" w:styleId="176">
    <w:name w:val="标题 1 字符"/>
    <w:basedOn w:val="51"/>
    <w:qFormat/>
    <w:uiPriority w:val="9"/>
    <w:rPr>
      <w:b/>
      <w:bCs/>
      <w:kern w:val="44"/>
      <w:sz w:val="44"/>
      <w:szCs w:val="44"/>
    </w:rPr>
  </w:style>
  <w:style w:type="character" w:customStyle="1" w:styleId="177">
    <w:name w:val="标题 2 Char1"/>
    <w:basedOn w:val="51"/>
    <w:qFormat/>
    <w:uiPriority w:val="9"/>
    <w:rPr>
      <w:rFonts w:asciiTheme="majorHAnsi" w:hAnsiTheme="majorHAnsi" w:eastAsiaTheme="majorEastAsia" w:cstheme="majorBidi"/>
      <w:b/>
      <w:bCs/>
      <w:sz w:val="32"/>
      <w:szCs w:val="32"/>
    </w:rPr>
  </w:style>
  <w:style w:type="character" w:customStyle="1" w:styleId="178">
    <w:name w:val="副标题 字符"/>
    <w:basedOn w:val="51"/>
    <w:qFormat/>
    <w:uiPriority w:val="0"/>
    <w:rPr>
      <w:b/>
      <w:bCs/>
      <w:kern w:val="28"/>
      <w:sz w:val="32"/>
      <w:szCs w:val="32"/>
    </w:rPr>
  </w:style>
  <w:style w:type="character" w:customStyle="1" w:styleId="179">
    <w:name w:val="header1"/>
    <w:qFormat/>
    <w:uiPriority w:val="0"/>
    <w:rPr>
      <w:b/>
      <w:bCs/>
    </w:rPr>
  </w:style>
  <w:style w:type="character" w:customStyle="1" w:styleId="180">
    <w:name w:val="16"/>
    <w:qFormat/>
    <w:uiPriority w:val="0"/>
    <w:rPr>
      <w:rFonts w:hint="eastAsia" w:ascii="宋体" w:hAnsi="宋体" w:eastAsia="宋体"/>
      <w:b/>
      <w:bCs/>
      <w:color w:val="000000"/>
      <w:sz w:val="24"/>
      <w:szCs w:val="24"/>
    </w:rPr>
  </w:style>
  <w:style w:type="paragraph" w:customStyle="1" w:styleId="181">
    <w:name w:val="0"/>
    <w:basedOn w:val="1"/>
    <w:qFormat/>
    <w:uiPriority w:val="0"/>
    <w:pPr>
      <w:widowControl/>
      <w:snapToGrid w:val="0"/>
    </w:pPr>
    <w:rPr>
      <w:rFonts w:eastAsia="仿宋_GB2312"/>
      <w:kern w:val="0"/>
      <w:sz w:val="32"/>
      <w:szCs w:val="21"/>
    </w:rPr>
  </w:style>
  <w:style w:type="paragraph" w:customStyle="1" w:styleId="182">
    <w:name w:val="列表段落1"/>
    <w:basedOn w:val="1"/>
    <w:qFormat/>
    <w:uiPriority w:val="34"/>
    <w:pPr>
      <w:ind w:firstLine="420"/>
    </w:pPr>
  </w:style>
  <w:style w:type="paragraph" w:customStyle="1" w:styleId="183">
    <w:name w:val="[Normal]"/>
    <w:qFormat/>
    <w:uiPriority w:val="0"/>
    <w:rPr>
      <w:rFonts w:ascii="宋体" w:hAnsi="宋体" w:eastAsia="宋体" w:cs="Times New Roman"/>
      <w:sz w:val="24"/>
      <w:lang w:val="zh-CN" w:eastAsia="zh-CN" w:bidi="ar-SA"/>
    </w:rPr>
  </w:style>
  <w:style w:type="paragraph" w:customStyle="1" w:styleId="184">
    <w:name w:val="Char"/>
    <w:basedOn w:val="1"/>
    <w:qFormat/>
    <w:uiPriority w:val="0"/>
    <w:rPr>
      <w:rFonts w:ascii="仿宋_GB2312" w:eastAsia="仿宋_GB2312"/>
      <w:b/>
      <w:sz w:val="32"/>
      <w:szCs w:val="32"/>
    </w:rPr>
  </w:style>
  <w:style w:type="paragraph" w:customStyle="1" w:styleId="185">
    <w:name w:val="Table Paragraph"/>
    <w:basedOn w:val="1"/>
    <w:qFormat/>
    <w:uiPriority w:val="1"/>
    <w:rPr>
      <w:rFonts w:ascii="仿宋_GB2312" w:hAnsi="仿宋_GB2312" w:eastAsia="仿宋_GB2312" w:cs="仿宋_GB2312"/>
      <w:lang w:val="zh-CN" w:bidi="zh-CN"/>
    </w:rPr>
  </w:style>
  <w:style w:type="paragraph" w:customStyle="1" w:styleId="186">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8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font5"/>
    <w:basedOn w:val="1"/>
    <w:qFormat/>
    <w:uiPriority w:val="0"/>
    <w:pPr>
      <w:widowControl/>
      <w:spacing w:before="100" w:beforeAutospacing="1" w:after="100" w:afterAutospacing="1"/>
      <w:jc w:val="left"/>
    </w:pPr>
    <w:rPr>
      <w:color w:val="000000"/>
      <w:kern w:val="0"/>
      <w:sz w:val="22"/>
      <w:szCs w:val="22"/>
    </w:rPr>
  </w:style>
  <w:style w:type="paragraph" w:customStyle="1" w:styleId="189">
    <w:name w:val="font6"/>
    <w:basedOn w:val="1"/>
    <w:qFormat/>
    <w:uiPriority w:val="0"/>
    <w:pPr>
      <w:widowControl/>
      <w:spacing w:before="100" w:beforeAutospacing="1" w:after="100" w:afterAutospacing="1"/>
      <w:jc w:val="left"/>
    </w:pPr>
    <w:rPr>
      <w:rFonts w:ascii="楷体" w:hAnsi="楷体" w:eastAsia="楷体" w:cs="宋体"/>
      <w:b/>
      <w:bCs/>
      <w:color w:val="000000"/>
      <w:kern w:val="0"/>
      <w:sz w:val="22"/>
      <w:szCs w:val="22"/>
    </w:rPr>
  </w:style>
  <w:style w:type="paragraph" w:customStyle="1" w:styleId="190">
    <w:name w:val="font7"/>
    <w:basedOn w:val="1"/>
    <w:qFormat/>
    <w:uiPriority w:val="0"/>
    <w:pPr>
      <w:widowControl/>
      <w:spacing w:before="100" w:beforeAutospacing="1" w:after="100" w:afterAutospacing="1"/>
      <w:jc w:val="left"/>
    </w:pPr>
    <w:rPr>
      <w:rFonts w:ascii="楷体" w:hAnsi="楷体" w:eastAsia="楷体" w:cs="宋体"/>
      <w:color w:val="000000"/>
      <w:kern w:val="0"/>
      <w:sz w:val="22"/>
      <w:szCs w:val="22"/>
    </w:rPr>
  </w:style>
  <w:style w:type="paragraph" w:customStyle="1" w:styleId="191">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b/>
      <w:bCs/>
      <w:color w:val="000000"/>
      <w:kern w:val="0"/>
      <w:sz w:val="22"/>
      <w:szCs w:val="22"/>
    </w:rPr>
  </w:style>
  <w:style w:type="paragraph" w:customStyle="1" w:styleId="192">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b/>
      <w:bCs/>
      <w:color w:val="000000"/>
      <w:kern w:val="0"/>
      <w:sz w:val="22"/>
      <w:szCs w:val="22"/>
    </w:rPr>
  </w:style>
  <w:style w:type="paragraph" w:customStyle="1" w:styleId="193">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color w:val="000000"/>
      <w:kern w:val="0"/>
      <w:sz w:val="22"/>
      <w:szCs w:val="22"/>
    </w:rPr>
  </w:style>
  <w:style w:type="paragraph" w:customStyle="1" w:styleId="194">
    <w:name w:val="xl68"/>
    <w:basedOn w:val="1"/>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22"/>
      <w:szCs w:val="22"/>
    </w:rPr>
  </w:style>
  <w:style w:type="paragraph" w:customStyle="1" w:styleId="195">
    <w:name w:val="xl69"/>
    <w:basedOn w:val="1"/>
    <w:qFormat/>
    <w:uiPriority w:val="0"/>
    <w:pPr>
      <w:widowControl/>
      <w:pBdr>
        <w:bottom w:val="single" w:color="000000" w:sz="8" w:space="0"/>
        <w:right w:val="single" w:color="000000" w:sz="8" w:space="0"/>
      </w:pBdr>
      <w:spacing w:before="100" w:beforeAutospacing="1" w:after="100" w:afterAutospacing="1"/>
      <w:jc w:val="left"/>
    </w:pPr>
    <w:rPr>
      <w:color w:val="000000"/>
      <w:kern w:val="0"/>
      <w:sz w:val="22"/>
      <w:szCs w:val="22"/>
    </w:rPr>
  </w:style>
  <w:style w:type="paragraph" w:customStyle="1" w:styleId="196">
    <w:name w:val="xl70"/>
    <w:basedOn w:val="1"/>
    <w:qFormat/>
    <w:uiPriority w:val="0"/>
    <w:pPr>
      <w:widowControl/>
      <w:spacing w:before="100" w:beforeAutospacing="1" w:after="100" w:afterAutospacing="1"/>
      <w:jc w:val="center"/>
    </w:pPr>
    <w:rPr>
      <w:rFonts w:ascii="楷体" w:hAnsi="楷体" w:eastAsia="楷体" w:cs="宋体"/>
      <w:kern w:val="0"/>
      <w:sz w:val="56"/>
      <w:szCs w:val="56"/>
    </w:rPr>
  </w:style>
  <w:style w:type="paragraph" w:customStyle="1" w:styleId="197">
    <w:name w:val="xl71"/>
    <w:basedOn w:val="1"/>
    <w:qFormat/>
    <w:uiPriority w:val="0"/>
    <w:pPr>
      <w:widowControl/>
      <w:spacing w:before="100" w:beforeAutospacing="1" w:after="100" w:afterAutospacing="1"/>
      <w:jc w:val="center"/>
    </w:pPr>
    <w:rPr>
      <w:kern w:val="0"/>
      <w:sz w:val="44"/>
      <w:szCs w:val="44"/>
    </w:rPr>
  </w:style>
  <w:style w:type="paragraph" w:customStyle="1" w:styleId="198">
    <w:name w:val="正文首行缩进1"/>
    <w:basedOn w:val="20"/>
    <w:qFormat/>
    <w:uiPriority w:val="0"/>
    <w:pPr>
      <w:ind w:firstLine="420" w:firstLineChars="100"/>
    </w:pPr>
    <w:rPr>
      <w:rFonts w:ascii="Calibri" w:hAnsi="Calibri" w:cs="Calibri"/>
      <w:sz w:val="21"/>
      <w:szCs w:val="21"/>
    </w:rPr>
  </w:style>
  <w:style w:type="paragraph" w:customStyle="1" w:styleId="199">
    <w:name w:val="表格"/>
    <w:basedOn w:val="1"/>
    <w:link w:val="200"/>
    <w:qFormat/>
    <w:uiPriority w:val="0"/>
    <w:pPr>
      <w:spacing w:line="360" w:lineRule="auto"/>
    </w:pPr>
    <w:rPr>
      <w:rFonts w:ascii="宋体" w:hAnsi="宋体"/>
      <w:szCs w:val="21"/>
    </w:rPr>
  </w:style>
  <w:style w:type="character" w:customStyle="1" w:styleId="200">
    <w:name w:val="表格 字符"/>
    <w:basedOn w:val="51"/>
    <w:link w:val="199"/>
    <w:qFormat/>
    <w:uiPriority w:val="0"/>
    <w:rPr>
      <w:rFonts w:ascii="宋体" w:hAnsi="宋体"/>
      <w:kern w:val="2"/>
      <w:sz w:val="21"/>
      <w:szCs w:val="21"/>
    </w:rPr>
  </w:style>
  <w:style w:type="paragraph" w:customStyle="1" w:styleId="201">
    <w:name w:val="正文3"/>
    <w:basedOn w:val="1"/>
    <w:qFormat/>
    <w:uiPriority w:val="0"/>
    <w:pPr>
      <w:spacing w:before="240" w:after="240" w:line="360" w:lineRule="auto"/>
      <w:ind w:firstLine="454" w:firstLineChars="189"/>
    </w:pPr>
    <w:rPr>
      <w:rFonts w:ascii="宋体" w:hAnsi="宋体" w:eastAsia="华文仿宋"/>
      <w:sz w:val="24"/>
      <w:szCs w:val="22"/>
    </w:rPr>
  </w:style>
  <w:style w:type="character" w:customStyle="1" w:styleId="202">
    <w:name w:val="脚注文本 Char"/>
    <w:basedOn w:val="51"/>
    <w:link w:val="37"/>
    <w:qFormat/>
    <w:uiPriority w:val="0"/>
    <w:rPr>
      <w:kern w:val="2"/>
      <w:sz w:val="18"/>
      <w:szCs w:val="18"/>
    </w:rPr>
  </w:style>
  <w:style w:type="paragraph" w:customStyle="1" w:styleId="203">
    <w:name w:val="列出段落2"/>
    <w:basedOn w:val="1"/>
    <w:uiPriority w:val="0"/>
    <w:pPr>
      <w:spacing w:line="360" w:lineRule="auto"/>
      <w:ind w:firstLine="420" w:firstLineChars="200"/>
    </w:pPr>
    <w:rPr>
      <w:rFonts w:ascii="Calibri" w:hAnsi="Calibri"/>
      <w:szCs w:val="22"/>
    </w:rPr>
  </w:style>
  <w:style w:type="paragraph" w:customStyle="1" w:styleId="204">
    <w:name w:val="Char Char1 Char Char Char Char Char Char Char Char2"/>
    <w:basedOn w:val="1"/>
    <w:uiPriority w:val="0"/>
    <w:pPr>
      <w:widowControl/>
      <w:spacing w:after="160" w:line="240" w:lineRule="exact"/>
      <w:jc w:val="left"/>
    </w:pPr>
    <w:rPr>
      <w:szCs w:val="20"/>
    </w:rPr>
  </w:style>
  <w:style w:type="paragraph" w:customStyle="1" w:styleId="205">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06">
    <w:name w:val="列表2"/>
    <w:basedOn w:val="1"/>
    <w:next w:val="1"/>
    <w:qFormat/>
    <w:uiPriority w:val="39"/>
    <w:pPr>
      <w:numPr>
        <w:ilvl w:val="0"/>
        <w:numId w:val="1"/>
      </w:numPr>
      <w:tabs>
        <w:tab w:val="left" w:pos="851"/>
        <w:tab w:val="right" w:leader="dot" w:pos="8296"/>
      </w:tabs>
      <w:ind w:left="420" w:leftChars="200" w:firstLine="0"/>
    </w:pPr>
  </w:style>
  <w:style w:type="paragraph" w:customStyle="1" w:styleId="207">
    <w:name w:val="Char Char431"/>
    <w:basedOn w:val="1"/>
    <w:uiPriority w:val="0"/>
    <w:pPr>
      <w:widowControl/>
      <w:spacing w:after="160" w:line="240" w:lineRule="exact"/>
      <w:jc w:val="left"/>
    </w:pPr>
  </w:style>
  <w:style w:type="paragraph" w:customStyle="1" w:styleId="208">
    <w:name w:val="正文首行缩进2字符"/>
    <w:basedOn w:val="1"/>
    <w:link w:val="209"/>
    <w:qFormat/>
    <w:uiPriority w:val="0"/>
    <w:pPr>
      <w:widowControl/>
      <w:spacing w:line="360" w:lineRule="auto"/>
      <w:ind w:firstLine="200" w:firstLineChars="200"/>
    </w:pPr>
    <w:rPr>
      <w:rFonts w:ascii="Calibri" w:hAnsi="Calibri"/>
      <w:sz w:val="28"/>
      <w:szCs w:val="21"/>
    </w:rPr>
  </w:style>
  <w:style w:type="character" w:customStyle="1" w:styleId="209">
    <w:name w:val="正文首行缩进2字符 Char"/>
    <w:link w:val="208"/>
    <w:qFormat/>
    <w:uiPriority w:val="0"/>
    <w:rPr>
      <w:rFonts w:ascii="Calibri" w:hAnsi="Calibri"/>
      <w:kern w:val="2"/>
      <w:sz w:val="28"/>
      <w:szCs w:val="21"/>
    </w:rPr>
  </w:style>
  <w:style w:type="paragraph" w:customStyle="1" w:styleId="210">
    <w:name w:val="表格文字"/>
    <w:next w:val="1"/>
    <w:qFormat/>
    <w:uiPriority w:val="0"/>
    <w:pPr>
      <w:tabs>
        <w:tab w:val="left" w:pos="420"/>
      </w:tabs>
      <w:spacing w:beforeLines="50" w:afterLines="50"/>
    </w:pPr>
    <w:rPr>
      <w:rFonts w:ascii="Times New Roman" w:hAnsi="Times New Roman" w:eastAsia="宋体" w:cs="Times New Roman"/>
      <w:sz w:val="21"/>
      <w:lang w:val="en-US" w:eastAsia="zh-CN" w:bidi="ar-SA"/>
    </w:rPr>
  </w:style>
  <w:style w:type="paragraph" w:customStyle="1" w:styleId="211">
    <w:name w:val="正文-首行缩进"/>
    <w:basedOn w:val="1"/>
    <w:qFormat/>
    <w:uiPriority w:val="0"/>
    <w:pPr>
      <w:wordWrap w:val="0"/>
      <w:adjustRightInd w:val="0"/>
      <w:snapToGrid w:val="0"/>
      <w:spacing w:line="360" w:lineRule="auto"/>
      <w:ind w:firstLine="200" w:firstLineChars="200"/>
    </w:pPr>
    <w:rPr>
      <w:spacing w:val="-4"/>
      <w:sz w:val="24"/>
      <w:szCs w:val="21"/>
    </w:rPr>
  </w:style>
  <w:style w:type="paragraph" w:customStyle="1" w:styleId="212">
    <w:name w:val="正文格式"/>
    <w:basedOn w:val="1"/>
    <w:qFormat/>
    <w:uiPriority w:val="0"/>
    <w:pPr>
      <w:spacing w:line="560" w:lineRule="exact"/>
    </w:pPr>
    <w:rPr>
      <w:spacing w:val="-4"/>
    </w:rPr>
  </w:style>
  <w:style w:type="paragraph" w:customStyle="1" w:styleId="213">
    <w:name w:val="表格正文"/>
    <w:basedOn w:val="1"/>
    <w:qFormat/>
    <w:uiPriority w:val="0"/>
    <w:pPr>
      <w:spacing w:line="560" w:lineRule="exact"/>
    </w:pPr>
    <w:rPr>
      <w:rFonts w:ascii="Calibri" w:hAnsi="Calibri"/>
      <w:spacing w:val="-4"/>
    </w:rPr>
  </w:style>
  <w:style w:type="character" w:customStyle="1" w:styleId="214">
    <w:name w:val="普通(网站) Char"/>
    <w:link w:val="44"/>
    <w:qFormat/>
    <w:locked/>
    <w:uiPriority w:val="0"/>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33887</Words>
  <Characters>35308</Characters>
  <Lines>280</Lines>
  <Paragraphs>79</Paragraphs>
  <TotalTime>3</TotalTime>
  <ScaleCrop>false</ScaleCrop>
  <LinksUpToDate>false</LinksUpToDate>
  <CharactersWithSpaces>37492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2024-05-28T04:06:00Z</dcterms:created>
  <dc:creator>Microsoft</dc:creator>
  <cp:lastModifiedBy>～银</cp:lastModifiedBy>
  <cp:lastPrinted>2024-06-04T07:02:00Z</cp:lastPrinted>
  <dcterms:modified xsi:type="dcterms:W3CDTF">2024-06-06T07:35:35Z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513A01B552BD4011BC261327E62FF8BB</vt:lpwstr>
  </property>
</Properties>
</file>