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spacing w:before="120" w:beforeLines="50" w:after="240" w:line="500" w:lineRule="exact"/>
        <w:ind w:right="-420" w:rightChars="-200"/>
        <w:jc w:val="center"/>
        <w:outlineLvl w:val="0"/>
      </w:pPr>
      <w:bookmarkStart w:id="0" w:name="_Toc4777"/>
      <w:bookmarkStart w:id="1" w:name="_Toc24447"/>
      <w:r>
        <w:rPr>
          <w:bCs/>
          <w:color w:val="000000"/>
          <w:sz w:val="52"/>
          <w:szCs w:val="52"/>
          <w:highlight w:val="none"/>
        </w:rPr>
        <w:t>政府采购项目</w:t>
      </w:r>
      <w:bookmarkEnd w:id="0"/>
    </w:p>
    <w:p>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rPr>
          <w:rFonts w:hint="eastAsia"/>
          <w:bCs/>
          <w:color w:val="000000"/>
          <w:sz w:val="28"/>
          <w:highlight w:val="none"/>
        </w:rPr>
      </w:pPr>
    </w:p>
    <w:p>
      <w:pPr>
        <w:ind w:right="-420" w:rightChars="-200"/>
        <w:jc w:val="center"/>
        <w:rPr>
          <w:rFonts w:hint="eastAsia"/>
          <w:bCs/>
          <w:color w:val="000000"/>
          <w:sz w:val="28"/>
          <w:highlight w:val="none"/>
        </w:rPr>
      </w:pPr>
    </w:p>
    <w:p>
      <w:pPr>
        <w:ind w:right="-420" w:rightChars="-200"/>
        <w:jc w:val="center"/>
        <w:rPr>
          <w:rFonts w:hint="eastAsia"/>
          <w:bCs/>
          <w:color w:val="000000"/>
          <w:sz w:val="28"/>
          <w:highlight w:val="none"/>
        </w:rPr>
      </w:pPr>
    </w:p>
    <w:tbl>
      <w:tblPr>
        <w:tblStyle w:val="60"/>
        <w:tblpPr w:leftFromText="180" w:rightFromText="180" w:vertAnchor="text" w:horzAnchor="page" w:tblpX="1353" w:tblpY="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tcBorders>
              <w:top w:val="nil"/>
              <w:left w:val="nil"/>
              <w:bottom w:val="single" w:color="auto" w:sz="4" w:space="0"/>
              <w:right w:val="nil"/>
            </w:tcBorders>
            <w:noWrap w:val="0"/>
            <w:vAlign w:val="center"/>
          </w:tcPr>
          <w:p>
            <w:pPr>
              <w:spacing w:line="520" w:lineRule="exact"/>
              <w:ind w:right="-420" w:rightChars="-200"/>
              <w:jc w:val="center"/>
              <w:rPr>
                <w:rFonts w:hint="default" w:ascii="宋体" w:hAnsi="宋体" w:eastAsia="宋体"/>
                <w:bCs/>
                <w:color w:val="000000"/>
                <w:sz w:val="32"/>
                <w:szCs w:val="32"/>
                <w:highlight w:val="none"/>
                <w:lang w:val="en-US" w:eastAsia="zh-CN"/>
              </w:rPr>
            </w:pPr>
            <w:r>
              <w:rPr>
                <w:rFonts w:hint="eastAsia" w:ascii="宋体" w:hAnsi="宋体"/>
                <w:bCs/>
                <w:color w:val="000000"/>
                <w:sz w:val="32"/>
                <w:szCs w:val="32"/>
                <w:highlight w:val="none"/>
                <w:lang w:eastAsia="zh-CN"/>
              </w:rPr>
              <w:t>NH-TS2024-046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宁海县城关中学操场塑胶等改造工程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tcBorders>
              <w:top w:val="single" w:color="auto" w:sz="4" w:space="0"/>
              <w:left w:val="nil"/>
              <w:bottom w:val="single" w:color="auto" w:sz="4" w:space="0"/>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宁海县城关中学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930" w:type="dxa"/>
            <w:tcBorders>
              <w:top w:val="nil"/>
              <w:left w:val="nil"/>
              <w:bottom w:val="nil"/>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tcBorders>
              <w:top w:val="single" w:color="auto" w:sz="4" w:space="0"/>
              <w:left w:val="nil"/>
              <w:bottom w:val="single" w:color="auto" w:sz="4" w:space="0"/>
              <w:right w:val="nil"/>
            </w:tcBorders>
            <w:noWrap w:val="0"/>
            <w:vAlign w:val="center"/>
          </w:tcPr>
          <w:p>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宁海童氏工程管理咨询有限公司</w:t>
            </w:r>
          </w:p>
        </w:tc>
      </w:tr>
    </w:tbl>
    <w:p>
      <w:pPr>
        <w:ind w:right="-420" w:rightChars="-200"/>
        <w:jc w:val="center"/>
        <w:rPr>
          <w:rFonts w:hint="eastAsia"/>
          <w:bCs/>
          <w:color w:val="000000"/>
          <w:sz w:val="28"/>
          <w:highlight w:val="none"/>
        </w:rPr>
      </w:pPr>
    </w:p>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Fonts w:hint="eastAsia"/>
          <w:bCs/>
          <w:color w:val="000000"/>
          <w:highlight w:val="none"/>
        </w:rPr>
      </w:pPr>
    </w:p>
    <w:p>
      <w:pPr>
        <w:ind w:right="-420" w:rightChars="-200"/>
        <w:rPr>
          <w:rStyle w:val="588"/>
          <w:rFonts w:hint="eastAsia"/>
        </w:rPr>
      </w:pPr>
    </w:p>
    <w:p>
      <w:pPr>
        <w:ind w:right="-420" w:rightChars="-200"/>
        <w:rPr>
          <w:rFonts w:hint="eastAsia"/>
          <w:bCs/>
          <w:color w:val="000000"/>
          <w:highlight w:val="none"/>
        </w:rPr>
      </w:pPr>
    </w:p>
    <w:p>
      <w:pPr>
        <w:ind w:right="-420" w:rightChars="-200"/>
        <w:rPr>
          <w:rFonts w:hint="eastAsia"/>
          <w:bCs/>
          <w:color w:val="000000"/>
          <w:highlight w:val="none"/>
        </w:rPr>
      </w:pPr>
    </w:p>
    <w:bookmarkEnd w:id="1"/>
    <w:p>
      <w:pPr>
        <w:snapToGrid w:val="0"/>
        <w:spacing w:line="360" w:lineRule="auto"/>
        <w:jc w:val="center"/>
        <w:rPr>
          <w:rFonts w:cs="仿宋_GB2312" w:asciiTheme="minorEastAsia" w:hAnsiTheme="minorEastAsia" w:eastAsiaTheme="minorEastAsia"/>
          <w:bCs/>
          <w:sz w:val="32"/>
          <w:szCs w:val="32"/>
        </w:rPr>
      </w:pP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eastAsia="zh-CN"/>
        </w:rPr>
        <w:t>六</w:t>
      </w:r>
      <w:r>
        <w:rPr>
          <w:rFonts w:hint="eastAsia" w:cs="仿宋_GB2312" w:asciiTheme="minorEastAsia" w:hAnsiTheme="minorEastAsia" w:eastAsiaTheme="minorEastAsia"/>
          <w:bCs/>
          <w:sz w:val="32"/>
          <w:szCs w:val="32"/>
        </w:rPr>
        <w:t>月</w:t>
      </w:r>
    </w:p>
    <w:p>
      <w:pPr>
        <w:rPr>
          <w:rFonts w:cs="仿宋_GB2312" w:asciiTheme="minorEastAsia" w:hAnsiTheme="minorEastAsia" w:eastAsiaTheme="minorEastAsia"/>
          <w:sz w:val="24"/>
        </w:rPr>
        <w:sectPr>
          <w:pgSz w:w="11906" w:h="16838"/>
          <w:pgMar w:top="1417" w:right="1474" w:bottom="1247" w:left="1474" w:header="851" w:footer="850" w:gutter="0"/>
          <w:pgNumType w:fmt="decimal"/>
          <w:cols w:space="720" w:num="1"/>
          <w:docGrid w:linePitch="312" w:charSpace="0"/>
        </w:sectPr>
      </w:pPr>
    </w:p>
    <w:p/>
    <w:p>
      <w:pPr>
        <w:pStyle w:val="33"/>
        <w:spacing w:before="120" w:after="120" w:line="360" w:lineRule="auto"/>
        <w:jc w:val="center"/>
        <w:rPr>
          <w:rFonts w:hint="eastAsia" w:ascii="创艺简标宋" w:hAnsi="宋体" w:eastAsia="创艺简标宋"/>
          <w:sz w:val="44"/>
          <w:szCs w:val="44"/>
          <w:lang w:val="zh-CN"/>
        </w:rPr>
      </w:pPr>
    </w:p>
    <w:p>
      <w:pPr>
        <w:pStyle w:val="33"/>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w:t>
      </w:r>
      <w:r>
        <w:rPr>
          <w:rFonts w:hint="eastAsia"/>
          <w:sz w:val="28"/>
          <w:szCs w:val="28"/>
          <w:highlight w:val="none"/>
        </w:rPr>
        <w:t>附件</w:t>
      </w:r>
      <w:r>
        <w:rPr>
          <w:rFonts w:hint="eastAsia"/>
          <w:color w:val="000000"/>
          <w:sz w:val="28"/>
          <w:szCs w:val="28"/>
          <w:highlight w:val="none"/>
        </w:rPr>
        <w:fldChar w:fldCharType="end"/>
      </w:r>
    </w:p>
    <w:p>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bookmarkEnd w:id="3"/>
    <w:p>
      <w:pPr>
        <w:adjustRightInd/>
        <w:spacing w:line="360" w:lineRule="auto"/>
        <w:outlineLvl w:val="0"/>
        <w:rPr>
          <w:rFonts w:hint="eastAsia" w:cs="仿宋_GB2312" w:asciiTheme="minorEastAsia" w:hAnsiTheme="minorEastAsia" w:eastAsiaTheme="minorEastAsia"/>
          <w:b/>
          <w:sz w:val="36"/>
          <w:szCs w:val="20"/>
        </w:rPr>
      </w:pPr>
      <w:bookmarkStart w:id="4" w:name="_Hlt74707423"/>
      <w:bookmarkEnd w:id="4"/>
      <w:bookmarkStart w:id="5" w:name="_Hlt74649545"/>
      <w:bookmarkEnd w:id="5"/>
      <w:bookmarkStart w:id="6" w:name="_Hlt74728647"/>
      <w:bookmarkEnd w:id="6"/>
      <w:bookmarkStart w:id="7" w:name="_Hlt74729822"/>
      <w:bookmarkEnd w:id="7"/>
      <w:bookmarkStart w:id="8" w:name="_Toc354"/>
      <w:bookmarkStart w:id="9" w:name="第二部分"/>
      <w:bookmarkStart w:id="10" w:name="_Toc91899871"/>
      <w:bookmarkStart w:id="11" w:name="_Toc91899870"/>
    </w:p>
    <w:p>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eastAsia="zh-CN"/>
        </w:rPr>
        <w:t>宁海县城关中学操场塑胶等改造工程</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采购项目的潜在供应商应在</w:t>
      </w:r>
      <w:r>
        <w:rPr>
          <w:rFonts w:hint="eastAsia" w:cs="仿宋_GB2312" w:asciiTheme="minorEastAsia" w:hAnsiTheme="minorEastAsia" w:eastAsiaTheme="minorEastAsia"/>
          <w:sz w:val="21"/>
          <w:szCs w:val="21"/>
          <w:u w:val="single"/>
        </w:rPr>
        <w:t>政采云平台（</w:t>
      </w:r>
      <w:r>
        <w:rPr>
          <w:sz w:val="21"/>
          <w:szCs w:val="21"/>
        </w:rPr>
        <w:fldChar w:fldCharType="begin"/>
      </w:r>
      <w:r>
        <w:rPr>
          <w:sz w:val="21"/>
          <w:szCs w:val="21"/>
        </w:rPr>
        <w:instrText xml:space="preserve"> HYPERLINK "https://www.zcygov.cn/" </w:instrText>
      </w:r>
      <w:r>
        <w:rPr>
          <w:sz w:val="21"/>
          <w:szCs w:val="21"/>
        </w:rP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 w:val="21"/>
          <w:szCs w:val="21"/>
          <w:u w:val="single"/>
        </w:rPr>
        <w:t>）</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rPr>
        <w:t>2024</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07</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02</w:t>
      </w:r>
      <w:r>
        <w:rPr>
          <w:rFonts w:hint="eastAsia" w:asciiTheme="minorEastAsia" w:hAnsiTheme="minorEastAsia" w:eastAsiaTheme="minorEastAsia"/>
          <w:bCs/>
          <w:sz w:val="21"/>
          <w:szCs w:val="21"/>
          <w:u w:val="single"/>
        </w:rPr>
        <w:t>日13点</w:t>
      </w:r>
      <w:r>
        <w:rPr>
          <w:rFonts w:hint="eastAsia" w:asciiTheme="minorEastAsia" w:hAnsiTheme="minorEastAsia" w:eastAsiaTheme="minorEastAsia"/>
          <w:bCs/>
          <w:sz w:val="21"/>
          <w:szCs w:val="21"/>
          <w:u w:val="single"/>
          <w:lang w:val="en-US" w:eastAsia="zh-CN"/>
        </w:rPr>
        <w:t>4</w:t>
      </w:r>
      <w:r>
        <w:rPr>
          <w:rFonts w:hint="eastAsia" w:asciiTheme="minorEastAsia" w:hAnsiTheme="minorEastAsia" w:eastAsiaTheme="minorEastAsia"/>
          <w:bCs/>
          <w:sz w:val="21"/>
          <w:szCs w:val="21"/>
          <w:u w:val="single"/>
        </w:rPr>
        <w:t>0分00秒</w:t>
      </w:r>
      <w:r>
        <w:rPr>
          <w:rFonts w:hint="eastAsia" w:asciiTheme="minorEastAsia" w:hAnsiTheme="minorEastAsia" w:eastAsiaTheme="minorEastAsia"/>
          <w:bCs/>
          <w:sz w:val="21"/>
          <w:szCs w:val="21"/>
        </w:rPr>
        <w:t>（北京时间）前提交投标文件</w:t>
      </w:r>
      <w:r>
        <w:rPr>
          <w:rFonts w:hint="eastAsia"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p>
    <w:p>
      <w:pPr>
        <w:tabs>
          <w:tab w:val="left" w:pos="432"/>
        </w:tabs>
        <w:spacing w:line="360" w:lineRule="auto"/>
        <w:ind w:left="432" w:hanging="432"/>
        <w:rPr>
          <w:rFonts w:cs="宋体" w:asciiTheme="minorEastAsia" w:hAnsiTheme="minorEastAsia" w:eastAsiaTheme="minorEastAsia"/>
          <w:sz w:val="21"/>
          <w:szCs w:val="21"/>
        </w:rPr>
      </w:pPr>
      <w:bookmarkStart w:id="12" w:name="_Toc28359089"/>
      <w:bookmarkStart w:id="13" w:name="_Toc35393629"/>
      <w:bookmarkStart w:id="14" w:name="_Toc28359012"/>
      <w:bookmarkStart w:id="15" w:name="_Toc35393798"/>
      <w:r>
        <w:rPr>
          <w:rFonts w:hint="eastAsia" w:cs="宋体" w:asciiTheme="minorEastAsia" w:hAnsiTheme="minorEastAsia" w:eastAsiaTheme="minorEastAsia"/>
          <w:sz w:val="21"/>
          <w:szCs w:val="21"/>
        </w:rPr>
        <w:t>一、项目基本情况</w:t>
      </w:r>
      <w:bookmarkEnd w:id="12"/>
      <w:bookmarkEnd w:id="13"/>
      <w:bookmarkEnd w:id="14"/>
      <w:bookmarkEnd w:id="15"/>
    </w:p>
    <w:p>
      <w:pPr>
        <w:spacing w:line="360" w:lineRule="auto"/>
        <w:ind w:firstLine="422"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sz w:val="21"/>
          <w:szCs w:val="21"/>
        </w:rPr>
        <w:t>项目编号：</w:t>
      </w:r>
      <w:r>
        <w:rPr>
          <w:rFonts w:hint="eastAsia" w:asciiTheme="minorEastAsia" w:hAnsiTheme="minorEastAsia" w:eastAsiaTheme="minorEastAsia"/>
          <w:bCs/>
          <w:sz w:val="21"/>
          <w:szCs w:val="21"/>
          <w:lang w:eastAsia="zh-CN"/>
        </w:rPr>
        <w:t>NH-TS2024-046</w:t>
      </w:r>
    </w:p>
    <w:p>
      <w:pPr>
        <w:spacing w:line="360" w:lineRule="auto"/>
        <w:ind w:firstLine="422" w:firstLineChars="200"/>
        <w:rPr>
          <w:rFonts w:hint="eastAsia" w:asciiTheme="minorEastAsia" w:hAnsiTheme="minorEastAsia" w:eastAsiaTheme="minorEastAsia"/>
          <w:sz w:val="21"/>
          <w:szCs w:val="21"/>
          <w:u w:val="single"/>
          <w:lang w:eastAsia="zh-CN"/>
        </w:rPr>
      </w:pPr>
      <w:r>
        <w:rPr>
          <w:rFonts w:hint="eastAsia" w:asciiTheme="minorEastAsia" w:hAnsiTheme="minorEastAsia" w:eastAsiaTheme="minorEastAsia"/>
          <w:b/>
          <w:sz w:val="21"/>
          <w:szCs w:val="21"/>
        </w:rPr>
        <w:t>项目名称：</w:t>
      </w:r>
      <w:r>
        <w:rPr>
          <w:rFonts w:hint="eastAsia" w:asciiTheme="minorEastAsia" w:hAnsiTheme="minorEastAsia" w:eastAsiaTheme="minorEastAsia"/>
          <w:bCs/>
          <w:sz w:val="21"/>
          <w:szCs w:val="21"/>
          <w:lang w:eastAsia="zh-CN"/>
        </w:rPr>
        <w:t>宁海县城关中学操场塑胶等改造工程</w:t>
      </w:r>
    </w:p>
    <w:p>
      <w:pPr>
        <w:spacing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采购方式：</w:t>
      </w:r>
      <w:r>
        <w:rPr>
          <w:rFonts w:hint="eastAsia" w:asciiTheme="minorEastAsia" w:hAnsiTheme="minorEastAsia" w:eastAsiaTheme="minorEastAsia"/>
          <w:sz w:val="21"/>
          <w:szCs w:val="21"/>
        </w:rPr>
        <w:t>竞争性磋商</w:t>
      </w:r>
    </w:p>
    <w:p>
      <w:pPr>
        <w:spacing w:line="360" w:lineRule="auto"/>
        <w:ind w:firstLine="422" w:firstLineChars="200"/>
        <w:rPr>
          <w:rFonts w:hint="eastAsia" w:asciiTheme="minorEastAsia" w:hAnsiTheme="minorEastAsia" w:eastAsiaTheme="minorEastAsia"/>
          <w:bCs/>
          <w:sz w:val="21"/>
          <w:szCs w:val="21"/>
          <w:lang w:eastAsia="zh-CN"/>
        </w:rPr>
      </w:pPr>
      <w:r>
        <w:rPr>
          <w:rFonts w:hint="eastAsia" w:asciiTheme="minorEastAsia" w:hAnsiTheme="minorEastAsia" w:eastAsiaTheme="minorEastAsia"/>
          <w:b/>
          <w:sz w:val="21"/>
          <w:szCs w:val="21"/>
        </w:rPr>
        <w:t>预算金额（元）：</w:t>
      </w:r>
      <w:r>
        <w:rPr>
          <w:rFonts w:hint="eastAsia" w:asciiTheme="minorEastAsia" w:hAnsiTheme="minorEastAsia" w:eastAsiaTheme="minorEastAsia"/>
          <w:bCs/>
          <w:sz w:val="21"/>
          <w:szCs w:val="21"/>
          <w:lang w:eastAsia="zh-CN"/>
        </w:rPr>
        <w:t>1848085.00</w:t>
      </w:r>
    </w:p>
    <w:p>
      <w:pPr>
        <w:spacing w:line="360" w:lineRule="auto"/>
        <w:ind w:firstLine="422" w:firstLineChars="200"/>
        <w:rPr>
          <w:rFonts w:hint="eastAsia" w:ascii="宋体" w:hAnsi="宋体" w:eastAsia="宋体" w:cs="宋体"/>
          <w:color w:val="0000FF"/>
          <w:szCs w:val="21"/>
          <w:highlight w:val="none"/>
          <w:lang w:val="en-US" w:eastAsia="zh-CN"/>
        </w:rPr>
      </w:pPr>
      <w:r>
        <w:rPr>
          <w:rFonts w:hint="eastAsia" w:asciiTheme="minorEastAsia" w:hAnsiTheme="minorEastAsia" w:eastAsiaTheme="minorEastAsia"/>
          <w:b/>
          <w:sz w:val="21"/>
          <w:szCs w:val="21"/>
        </w:rPr>
        <w:t>最高限价（元）：</w:t>
      </w:r>
      <w:r>
        <w:rPr>
          <w:rFonts w:hint="eastAsia" w:asciiTheme="minorEastAsia" w:hAnsiTheme="minorEastAsia" w:eastAsiaTheme="minorEastAsia"/>
          <w:bCs/>
          <w:sz w:val="21"/>
          <w:szCs w:val="21"/>
          <w:lang w:val="en-US" w:eastAsia="zh-CN"/>
        </w:rPr>
        <w:t>1704162.00</w:t>
      </w:r>
    </w:p>
    <w:p>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采购需求：</w:t>
      </w:r>
      <w:r>
        <w:rPr>
          <w:rFonts w:hint="eastAsia" w:asciiTheme="minorEastAsia" w:hAnsiTheme="minorEastAsia" w:eastAsiaTheme="minorEastAsia"/>
          <w:bCs/>
          <w:sz w:val="21"/>
          <w:szCs w:val="21"/>
        </w:rPr>
        <w:t>根据磋商文件要求进行</w:t>
      </w:r>
      <w:r>
        <w:rPr>
          <w:rFonts w:hint="eastAsia" w:asciiTheme="minorEastAsia" w:hAnsiTheme="minorEastAsia" w:eastAsiaTheme="minorEastAsia"/>
          <w:bCs/>
          <w:sz w:val="21"/>
          <w:szCs w:val="21"/>
          <w:lang w:eastAsia="zh-CN"/>
        </w:rPr>
        <w:t>宁海县城关中学操场塑胶等改造工程</w:t>
      </w:r>
      <w:r>
        <w:rPr>
          <w:rFonts w:hint="eastAsia" w:asciiTheme="minorEastAsia" w:hAnsiTheme="minorEastAsia" w:eastAsiaTheme="minorEastAsia"/>
          <w:bCs/>
          <w:sz w:val="21"/>
          <w:szCs w:val="21"/>
        </w:rPr>
        <w:t>。</w:t>
      </w:r>
    </w:p>
    <w:p>
      <w:pPr>
        <w:pStyle w:val="2"/>
        <w:ind w:firstLine="420" w:firstLineChars="200"/>
        <w:rPr>
          <w:rFonts w:hAnsi="宋体"/>
          <w:sz w:val="21"/>
          <w:szCs w:val="21"/>
        </w:rPr>
      </w:pPr>
      <w:r>
        <w:rPr>
          <w:rFonts w:hint="eastAsia" w:hAnsi="宋体"/>
          <w:sz w:val="21"/>
          <w:szCs w:val="21"/>
        </w:rPr>
        <w:t>简要规格描述或项目基本概况介绍：其他</w:t>
      </w:r>
      <w:r>
        <w:rPr>
          <w:rFonts w:hAnsi="宋体"/>
          <w:sz w:val="21"/>
          <w:szCs w:val="21"/>
        </w:rPr>
        <w:t>需求详见</w:t>
      </w:r>
      <w:r>
        <w:rPr>
          <w:rFonts w:hint="eastAsia" w:hAnsi="宋体"/>
          <w:sz w:val="21"/>
          <w:szCs w:val="21"/>
        </w:rPr>
        <w:t>本项目磋商文件第</w:t>
      </w:r>
      <w:r>
        <w:rPr>
          <w:rFonts w:hint="eastAsia" w:hAnsi="宋体"/>
          <w:sz w:val="21"/>
          <w:szCs w:val="21"/>
          <w:lang w:eastAsia="zh-CN"/>
        </w:rPr>
        <w:t>二</w:t>
      </w:r>
      <w:r>
        <w:rPr>
          <w:rFonts w:hint="eastAsia" w:hAnsi="宋体"/>
          <w:sz w:val="21"/>
          <w:szCs w:val="21"/>
          <w:lang w:val="en-US" w:eastAsia="zh-CN"/>
        </w:rPr>
        <w:t>部分</w:t>
      </w:r>
      <w:r>
        <w:rPr>
          <w:rFonts w:hint="eastAsia" w:hAnsi="宋体"/>
          <w:sz w:val="21"/>
          <w:szCs w:val="21"/>
        </w:rPr>
        <w:t>“采购需求”。</w:t>
      </w:r>
    </w:p>
    <w:p>
      <w:pPr>
        <w:pStyle w:val="2"/>
        <w:ind w:firstLine="422" w:firstLineChars="200"/>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合同履行期限</w:t>
      </w:r>
      <w:r>
        <w:rPr>
          <w:rFonts w:hint="eastAsia" w:asciiTheme="minorEastAsia" w:hAnsiTheme="minorEastAsia" w:eastAsiaTheme="minorEastAsia"/>
          <w:sz w:val="21"/>
          <w:szCs w:val="21"/>
        </w:rPr>
        <w:t>：</w:t>
      </w:r>
      <w:r>
        <w:rPr>
          <w:rFonts w:hint="eastAsia" w:hAnsi="宋体" w:cs="Arial"/>
          <w:sz w:val="21"/>
          <w:szCs w:val="21"/>
        </w:rPr>
        <w:t>自开工令发出之</w:t>
      </w:r>
      <w:r>
        <w:rPr>
          <w:rFonts w:hint="eastAsia" w:hAnsi="宋体" w:cs="Arial"/>
          <w:color w:val="auto"/>
          <w:sz w:val="21"/>
          <w:szCs w:val="21"/>
        </w:rPr>
        <w:t>日起</w:t>
      </w:r>
      <w:r>
        <w:rPr>
          <w:rFonts w:hint="eastAsia" w:hAnsi="宋体" w:cs="Arial"/>
          <w:color w:val="auto"/>
          <w:sz w:val="21"/>
          <w:szCs w:val="21"/>
          <w:lang w:val="en-US" w:eastAsia="zh-CN"/>
        </w:rPr>
        <w:t>40</w:t>
      </w:r>
      <w:r>
        <w:rPr>
          <w:rFonts w:hint="eastAsia" w:hAnsi="宋体" w:cs="Arial"/>
          <w:color w:val="auto"/>
          <w:sz w:val="21"/>
          <w:szCs w:val="21"/>
        </w:rPr>
        <w:t>日历天内</w:t>
      </w:r>
      <w:r>
        <w:rPr>
          <w:rFonts w:hint="eastAsia" w:hAnsi="宋体" w:cs="Arial"/>
          <w:sz w:val="21"/>
          <w:szCs w:val="21"/>
        </w:rPr>
        <w:t>完成</w:t>
      </w:r>
      <w:r>
        <w:rPr>
          <w:rFonts w:hint="eastAsia" w:hAnsi="宋体"/>
          <w:sz w:val="21"/>
          <w:szCs w:val="21"/>
        </w:rPr>
        <w:t>。</w:t>
      </w:r>
    </w:p>
    <w:p>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本项目接受联合体投标：</w:t>
      </w:r>
      <w:sdt>
        <w:sdtPr>
          <w:rPr>
            <w:rFonts w:hint="eastAsia" w:asciiTheme="minorEastAsia" w:hAnsiTheme="minorEastAsia" w:eastAsiaTheme="minorEastAsia"/>
            <w:b/>
            <w:sz w:val="21"/>
            <w:szCs w:val="21"/>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sz w:val="21"/>
            <w:szCs w:val="21"/>
          </w:rPr>
        </w:sdtEndPr>
        <w:sdtContent>
          <w:r>
            <w:rPr>
              <w:rFonts w:hint="eastAsia" w:ascii="MS Gothic" w:hAnsi="MS Gothic" w:eastAsia="MS Gothic"/>
              <w:bCs/>
              <w:sz w:val="21"/>
              <w:szCs w:val="21"/>
            </w:rPr>
            <w:t>☐</w:t>
          </w:r>
        </w:sdtContent>
      </w:sdt>
      <w:r>
        <w:rPr>
          <w:rFonts w:hint="eastAsia" w:asciiTheme="minorEastAsia" w:hAnsiTheme="minorEastAsia" w:eastAsiaTheme="minorEastAsia"/>
          <w:bCs/>
          <w:sz w:val="21"/>
          <w:szCs w:val="21"/>
        </w:rPr>
        <w:t>是，</w:t>
      </w:r>
      <w:sdt>
        <w:sdtPr>
          <w:rPr>
            <w:rFonts w:hint="eastAsia" w:asciiTheme="minorEastAsia" w:hAnsiTheme="minorEastAsia" w:eastAsiaTheme="minorEastAsia"/>
            <w:bCs/>
            <w:sz w:val="21"/>
            <w:szCs w:val="21"/>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Cs/>
            <w:sz w:val="21"/>
            <w:szCs w:val="21"/>
          </w:rPr>
        </w:sdtEndPr>
        <w:sdtContent>
          <w:r>
            <w:rPr>
              <w:rFonts w:hint="eastAsia" w:ascii="Wingdings" w:hAnsi="Wingdings" w:eastAsia="MS Mincho" w:cs="MS Mincho"/>
              <w:bCs/>
              <w:sz w:val="21"/>
              <w:szCs w:val="21"/>
            </w:rPr>
            <w:t>þ</w:t>
          </w:r>
        </w:sdtContent>
      </w:sdt>
      <w:r>
        <w:rPr>
          <w:rFonts w:hint="eastAsia" w:asciiTheme="minorEastAsia" w:hAnsiTheme="minorEastAsia" w:eastAsiaTheme="minorEastAsia"/>
          <w:bCs/>
          <w:sz w:val="21"/>
          <w:szCs w:val="21"/>
        </w:rPr>
        <w:t>否。</w:t>
      </w:r>
    </w:p>
    <w:p>
      <w:pPr>
        <w:tabs>
          <w:tab w:val="left" w:pos="432"/>
        </w:tabs>
        <w:spacing w:line="360" w:lineRule="auto"/>
        <w:ind w:left="432" w:hanging="432"/>
        <w:rPr>
          <w:rFonts w:cs="宋体" w:asciiTheme="minorEastAsia" w:hAnsiTheme="minorEastAsia" w:eastAsiaTheme="minorEastAsia"/>
          <w:sz w:val="21"/>
          <w:szCs w:val="21"/>
        </w:rPr>
      </w:pPr>
      <w:bookmarkStart w:id="16" w:name="_Toc35393630"/>
      <w:bookmarkStart w:id="17" w:name="_Toc28359090"/>
      <w:bookmarkStart w:id="18" w:name="_Toc28359013"/>
      <w:bookmarkStart w:id="19" w:name="_Toc35393799"/>
      <w:r>
        <w:rPr>
          <w:rFonts w:hint="eastAsia" w:cs="宋体" w:asciiTheme="minorEastAsia" w:hAnsiTheme="minorEastAsia" w:eastAsiaTheme="minorEastAsia"/>
          <w:sz w:val="21"/>
          <w:szCs w:val="21"/>
        </w:rPr>
        <w:t>二、申请人的资格要求：</w:t>
      </w:r>
      <w:bookmarkEnd w:id="16"/>
      <w:bookmarkEnd w:id="17"/>
      <w:bookmarkEnd w:id="18"/>
      <w:bookmarkEnd w:id="19"/>
    </w:p>
    <w:p>
      <w:pPr>
        <w:spacing w:line="360" w:lineRule="auto"/>
        <w:ind w:firstLine="48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spacing w:line="500" w:lineRule="exact"/>
        <w:ind w:firstLine="420" w:firstLineChars="200"/>
        <w:rPr>
          <w:rFonts w:cs="宋体" w:asciiTheme="minorEastAsia" w:hAnsiTheme="minorEastAsia" w:eastAsiaTheme="minorEastAsia"/>
          <w:snapToGrid w:val="0"/>
          <w:kern w:val="28"/>
          <w:sz w:val="21"/>
          <w:szCs w:val="21"/>
        </w:rPr>
      </w:pPr>
      <w:r>
        <w:rPr>
          <w:rFonts w:hint="eastAsia" w:cs="宋体" w:asciiTheme="minorEastAsia" w:hAnsiTheme="minorEastAsia" w:eastAsiaTheme="minorEastAsia"/>
          <w:snapToGrid w:val="0"/>
          <w:kern w:val="28"/>
          <w:sz w:val="21"/>
          <w:szCs w:val="21"/>
        </w:rPr>
        <w:t>2.落实政府采购政策需满足的资格要求：</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无；</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专</w:t>
      </w:r>
      <w:r>
        <w:rPr>
          <w:rFonts w:hint="eastAsia" w:asciiTheme="minorEastAsia" w:hAnsiTheme="minorEastAsia" w:eastAsiaTheme="minorEastAsia" w:cstheme="minorEastAsia"/>
          <w:sz w:val="21"/>
          <w:szCs w:val="21"/>
        </w:rPr>
        <w:t>门面向中小企业</w:t>
      </w:r>
    </w:p>
    <w:p>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FE"/>
      </w:r>
      <w:r>
        <w:rPr>
          <w:rFonts w:hint="eastAsia" w:asciiTheme="minorEastAsia" w:hAnsiTheme="minorEastAsia" w:eastAsiaTheme="minorEastAsia" w:cstheme="minorEastAsia"/>
          <w:kern w:val="0"/>
          <w:sz w:val="21"/>
          <w:szCs w:val="21"/>
        </w:rPr>
        <w:t>工程</w:t>
      </w:r>
      <w:r>
        <w:rPr>
          <w:rFonts w:hint="eastAsia" w:asciiTheme="minorEastAsia" w:hAnsiTheme="minorEastAsia" w:eastAsiaTheme="minorEastAsia" w:cstheme="minorEastAsia"/>
          <w:sz w:val="21"/>
          <w:szCs w:val="21"/>
        </w:rPr>
        <w:t>全部由符合政策要求的中小企业承接，提供中小企业声明函；</w:t>
      </w:r>
    </w:p>
    <w:p>
      <w:pPr>
        <w:spacing w:line="360" w:lineRule="auto"/>
        <w:ind w:firstLine="785" w:firstLineChars="37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sym w:font="Wingdings" w:char="00A8"/>
      </w:r>
      <w:r>
        <w:rPr>
          <w:rFonts w:hint="eastAsia" w:asciiTheme="minorEastAsia" w:hAnsiTheme="minorEastAsia" w:eastAsiaTheme="minorEastAsia" w:cstheme="minorEastAsia"/>
          <w:sz w:val="21"/>
          <w:szCs w:val="21"/>
        </w:rPr>
        <w:t>工程全部由符合政策要求的小微企业承接，提供中小企业声明函；</w:t>
      </w:r>
    </w:p>
    <w:p>
      <w:pPr>
        <w:spacing w:line="360" w:lineRule="auto"/>
        <w:ind w:firstLine="420" w:firstLineChars="200"/>
        <w:rPr>
          <w:rFonts w:ascii="宋体" w:hAnsi="宋体" w:cs="宋体"/>
          <w:sz w:val="21"/>
          <w:szCs w:val="21"/>
        </w:rPr>
      </w:pPr>
      <w:sdt>
        <w:sdtPr>
          <w:rPr>
            <w:rFonts w:hint="eastAsia" w:ascii="宋体" w:hAnsi="宋体" w:cs="宋体"/>
            <w:kern w:val="0"/>
            <w:sz w:val="21"/>
            <w:szCs w:val="21"/>
          </w:rPr>
          <w:id w:val="-198560779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MS Gothic" w:hAnsi="MS Gothic" w:cs="宋体"/>
              <w:kern w:val="0"/>
              <w:sz w:val="21"/>
              <w:szCs w:val="21"/>
            </w:rPr>
            <w:t>☐</w:t>
          </w:r>
        </w:sdtContent>
      </w:sdt>
      <w:r>
        <w:rPr>
          <w:rFonts w:hint="eastAsia" w:ascii="宋体" w:hAnsi="宋体" w:cs="宋体"/>
          <w:sz w:val="21"/>
          <w:szCs w:val="21"/>
        </w:rPr>
        <w:t>要求以联合体形式参加，提供联合协议和中小企业声明函，联合协议中中小企业合同金额应当达到</w:t>
      </w:r>
      <w:r>
        <w:rPr>
          <w:rFonts w:hint="eastAsia" w:ascii="宋体" w:hAnsi="宋体" w:cs="宋体"/>
          <w:sz w:val="21"/>
          <w:szCs w:val="21"/>
          <w:u w:val="single"/>
        </w:rPr>
        <w:t xml:space="preserve">  </w:t>
      </w:r>
      <w:r>
        <w:rPr>
          <w:rFonts w:hint="eastAsia" w:ascii="宋体" w:hAnsi="宋体" w:cs="宋体"/>
          <w:sz w:val="21"/>
          <w:szCs w:val="21"/>
        </w:rPr>
        <w:t>%，其中小微企业合同金额应当达到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1"/>
          <w:szCs w:val="21"/>
        </w:rPr>
        <w:t>；</w:t>
      </w:r>
    </w:p>
    <w:p>
      <w:pPr>
        <w:spacing w:line="360" w:lineRule="auto"/>
        <w:ind w:firstLine="420" w:firstLineChars="200"/>
        <w:rPr>
          <w:rFonts w:asciiTheme="minorEastAsia" w:hAnsiTheme="minorEastAsia" w:eastAsiaTheme="minorEastAsia" w:cstheme="minorEastAsia"/>
          <w:sz w:val="21"/>
          <w:szCs w:val="21"/>
        </w:rPr>
      </w:pPr>
      <w:sdt>
        <w:sdtPr>
          <w:rPr>
            <w:rFonts w:hint="eastAsia" w:ascii="宋体" w:hAnsi="宋体" w:cs="宋体"/>
            <w:kern w:val="0"/>
            <w:sz w:val="21"/>
            <w:szCs w:val="21"/>
          </w:rPr>
          <w:id w:val="3463064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要求合同分包，提供分包意向协议和中小企业声明函，分包意向协议中中小企业合同金额应当达到达到</w:t>
      </w:r>
      <w:r>
        <w:rPr>
          <w:rFonts w:hint="eastAsia" w:ascii="宋体" w:hAnsi="宋体" w:cs="宋体"/>
          <w:sz w:val="21"/>
          <w:szCs w:val="21"/>
          <w:u w:val="single"/>
        </w:rPr>
        <w:t xml:space="preserve">  </w:t>
      </w:r>
      <w:r>
        <w:rPr>
          <w:rFonts w:hint="eastAsia" w:ascii="宋体" w:hAnsi="宋体" w:cs="宋体"/>
          <w:sz w:val="21"/>
          <w:szCs w:val="21"/>
        </w:rPr>
        <w:t>% ，其中小微企业合同金额应当达到</w:t>
      </w:r>
      <w:r>
        <w:rPr>
          <w:rFonts w:hint="eastAsia" w:ascii="宋体" w:hAnsi="宋体" w:cs="宋体"/>
          <w:sz w:val="21"/>
          <w:szCs w:val="21"/>
          <w:u w:val="single"/>
        </w:rPr>
        <w:t xml:space="preserve"> </w:t>
      </w:r>
      <w:r>
        <w:rPr>
          <w:rFonts w:hint="eastAsia" w:ascii="宋体" w:hAnsi="宋体" w:cs="宋体"/>
          <w:sz w:val="21"/>
          <w:szCs w:val="21"/>
        </w:rPr>
        <w:t>% ;</w:t>
      </w:r>
      <w:r>
        <w:rPr>
          <w:rFonts w:hint="eastAsia" w:ascii="宋体" w:hAnsi="宋体" w:cs="宋体"/>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1"/>
          <w:szCs w:val="21"/>
        </w:rPr>
        <w:t>；</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pPr>
        <w:spacing w:line="360" w:lineRule="auto"/>
        <w:ind w:firstLine="420" w:firstLineChars="20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b/>
          <w:bCs/>
          <w:color w:val="auto"/>
          <w:sz w:val="21"/>
          <w:szCs w:val="21"/>
        </w:rPr>
        <w:t>企业资质要求：供应商须具备市政公用工程施工总承包叁级及以上资质并具有有效的营业执照和安全生产许可证；</w:t>
      </w:r>
    </w:p>
    <w:p>
      <w:pPr>
        <w:snapToGrid w:val="0"/>
        <w:spacing w:line="360" w:lineRule="auto"/>
        <w:ind w:firstLine="420" w:firstLineChars="200"/>
        <w:rPr>
          <w:sz w:val="21"/>
          <w:szCs w:val="21"/>
        </w:rPr>
      </w:pPr>
      <w:r>
        <w:rPr>
          <w:rFonts w:hint="eastAsia" w:asciiTheme="minorEastAsia" w:hAnsiTheme="minorEastAsia" w:eastAsiaTheme="minorEastAsia" w:cstheme="minorEastAsia"/>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pPr>
        <w:tabs>
          <w:tab w:val="left" w:pos="432"/>
        </w:tabs>
        <w:spacing w:line="360" w:lineRule="auto"/>
        <w:ind w:left="432" w:hanging="432"/>
        <w:rPr>
          <w:rFonts w:cs="宋体" w:asciiTheme="minorEastAsia" w:hAnsiTheme="minorEastAsia" w:eastAsiaTheme="minorEastAsia"/>
          <w:sz w:val="21"/>
          <w:szCs w:val="21"/>
        </w:rPr>
      </w:pPr>
      <w:bookmarkStart w:id="20" w:name="_Toc35393631"/>
      <w:bookmarkStart w:id="21" w:name="_Toc28359091"/>
      <w:bookmarkStart w:id="22" w:name="_Toc28359014"/>
      <w:bookmarkStart w:id="23" w:name="_Toc35393800"/>
      <w:r>
        <w:rPr>
          <w:rFonts w:hint="eastAsia" w:cs="宋体" w:asciiTheme="minorEastAsia" w:hAnsiTheme="minorEastAsia" w:eastAsiaTheme="minorEastAsia"/>
          <w:sz w:val="21"/>
          <w:szCs w:val="21"/>
        </w:rPr>
        <w:t>三、获取（下载）采购文件</w:t>
      </w:r>
      <w:bookmarkEnd w:id="20"/>
      <w:bookmarkEnd w:id="21"/>
      <w:bookmarkEnd w:id="22"/>
      <w:bookmarkEnd w:id="23"/>
    </w:p>
    <w:p>
      <w:pPr>
        <w:spacing w:line="348" w:lineRule="auto"/>
        <w:ind w:firstLine="540"/>
        <w:rPr>
          <w:rFonts w:ascii="宋体" w:hAnsi="宋体" w:cs="宋体"/>
          <w:sz w:val="21"/>
          <w:szCs w:val="21"/>
        </w:rPr>
      </w:pPr>
      <w:bookmarkStart w:id="24" w:name="_Toc35393801"/>
      <w:bookmarkStart w:id="25" w:name="_Toc28359015"/>
      <w:bookmarkStart w:id="26" w:name="_Toc35393632"/>
      <w:bookmarkStart w:id="27" w:name="_Toc28359092"/>
      <w:r>
        <w:rPr>
          <w:rFonts w:hint="eastAsia" w:ascii="宋体" w:hAnsi="宋体" w:cs="宋体"/>
          <w:sz w:val="21"/>
          <w:szCs w:val="21"/>
        </w:rPr>
        <w:t>时间：</w:t>
      </w:r>
      <w:r>
        <w:rPr>
          <w:rFonts w:hint="eastAsia" w:ascii="宋体" w:hAnsi="宋体" w:cs="宋体"/>
          <w:sz w:val="21"/>
          <w:szCs w:val="21"/>
          <w:u w:val="single"/>
        </w:rPr>
        <w:t>2024年</w:t>
      </w:r>
      <w:r>
        <w:rPr>
          <w:rFonts w:hint="eastAsia" w:ascii="宋体" w:hAnsi="宋体" w:cs="宋体"/>
          <w:sz w:val="21"/>
          <w:szCs w:val="21"/>
          <w:u w:val="single"/>
          <w:lang w:val="en-US" w:eastAsia="zh-CN"/>
        </w:rPr>
        <w:t>06</w:t>
      </w:r>
      <w:r>
        <w:rPr>
          <w:rFonts w:hint="eastAsia" w:ascii="宋体" w:hAnsi="宋体" w:cs="宋体"/>
          <w:sz w:val="21"/>
          <w:szCs w:val="21"/>
          <w:u w:val="single"/>
        </w:rPr>
        <w:t>月</w:t>
      </w:r>
      <w:r>
        <w:rPr>
          <w:rFonts w:hint="eastAsia" w:ascii="宋体" w:hAnsi="宋体" w:cs="宋体"/>
          <w:sz w:val="21"/>
          <w:szCs w:val="21"/>
          <w:u w:val="single"/>
          <w:lang w:val="en-US" w:eastAsia="zh-CN"/>
        </w:rPr>
        <w:t>19</w:t>
      </w:r>
      <w:r>
        <w:rPr>
          <w:rFonts w:hint="eastAsia" w:ascii="宋体" w:hAnsi="宋体" w:cs="宋体"/>
          <w:sz w:val="21"/>
          <w:szCs w:val="21"/>
          <w:u w:val="single"/>
        </w:rPr>
        <w:t>日</w:t>
      </w:r>
      <w:r>
        <w:rPr>
          <w:rFonts w:hint="eastAsia" w:ascii="宋体" w:hAnsi="宋体" w:cs="宋体"/>
          <w:sz w:val="21"/>
          <w:szCs w:val="21"/>
        </w:rPr>
        <w:t>至</w:t>
      </w:r>
      <w:r>
        <w:rPr>
          <w:rFonts w:hint="eastAsia" w:ascii="宋体" w:hAnsi="宋体" w:cs="宋体"/>
          <w:sz w:val="21"/>
          <w:szCs w:val="21"/>
          <w:u w:val="single"/>
        </w:rPr>
        <w:t>2024年</w:t>
      </w:r>
      <w:r>
        <w:rPr>
          <w:rFonts w:hint="eastAsia" w:ascii="宋体" w:hAnsi="宋体" w:cs="宋体"/>
          <w:sz w:val="21"/>
          <w:szCs w:val="21"/>
          <w:u w:val="single"/>
          <w:lang w:val="en-US" w:eastAsia="zh-CN"/>
        </w:rPr>
        <w:t>06</w:t>
      </w:r>
      <w:r>
        <w:rPr>
          <w:rFonts w:hint="eastAsia" w:ascii="宋体" w:hAnsi="宋体" w:cs="宋体"/>
          <w:sz w:val="21"/>
          <w:szCs w:val="21"/>
          <w:u w:val="single"/>
        </w:rPr>
        <w:t>月</w:t>
      </w:r>
      <w:r>
        <w:rPr>
          <w:rFonts w:hint="eastAsia" w:ascii="宋体" w:hAnsi="宋体" w:cs="宋体"/>
          <w:sz w:val="21"/>
          <w:szCs w:val="21"/>
          <w:u w:val="single"/>
          <w:lang w:val="en-US" w:eastAsia="zh-CN"/>
        </w:rPr>
        <w:t>26</w:t>
      </w:r>
      <w:r>
        <w:rPr>
          <w:rFonts w:hint="eastAsia" w:ascii="宋体" w:hAnsi="宋体" w:cs="宋体"/>
          <w:sz w:val="21"/>
          <w:szCs w:val="21"/>
          <w:u w:val="single"/>
        </w:rPr>
        <w:t>日</w:t>
      </w:r>
      <w:r>
        <w:rPr>
          <w:rFonts w:hint="eastAsia" w:ascii="宋体" w:hAnsi="宋体" w:cs="宋体"/>
          <w:sz w:val="21"/>
          <w:szCs w:val="21"/>
        </w:rPr>
        <w:t>，每天上午</w:t>
      </w:r>
      <w:r>
        <w:rPr>
          <w:rFonts w:hint="eastAsia" w:ascii="宋体" w:hAnsi="宋体" w:cs="宋体"/>
          <w:sz w:val="21"/>
          <w:szCs w:val="21"/>
          <w:u w:val="single"/>
        </w:rPr>
        <w:t>00:00</w:t>
      </w:r>
      <w:r>
        <w:rPr>
          <w:rFonts w:hint="eastAsia" w:ascii="宋体" w:hAnsi="宋体" w:cs="宋体"/>
          <w:sz w:val="21"/>
          <w:szCs w:val="21"/>
        </w:rPr>
        <w:t>至</w:t>
      </w:r>
      <w:r>
        <w:rPr>
          <w:rFonts w:hint="eastAsia" w:ascii="宋体" w:hAnsi="宋体" w:cs="宋体"/>
          <w:sz w:val="21"/>
          <w:szCs w:val="21"/>
          <w:u w:val="single"/>
        </w:rPr>
        <w:t>12:00</w:t>
      </w:r>
      <w:r>
        <w:rPr>
          <w:rFonts w:hint="eastAsia" w:ascii="宋体" w:hAnsi="宋体" w:cs="宋体"/>
          <w:sz w:val="21"/>
          <w:szCs w:val="21"/>
        </w:rPr>
        <w:t>，下午</w:t>
      </w:r>
      <w:r>
        <w:rPr>
          <w:rFonts w:hint="eastAsia" w:ascii="宋体" w:hAnsi="宋体" w:cs="宋体"/>
          <w:sz w:val="21"/>
          <w:szCs w:val="21"/>
          <w:u w:val="single"/>
        </w:rPr>
        <w:t>12:00</w:t>
      </w:r>
      <w:r>
        <w:rPr>
          <w:rFonts w:hint="eastAsia" w:ascii="宋体" w:hAnsi="宋体" w:cs="宋体"/>
          <w:sz w:val="21"/>
          <w:szCs w:val="21"/>
        </w:rPr>
        <w:t>至</w:t>
      </w:r>
      <w:r>
        <w:rPr>
          <w:rFonts w:hint="eastAsia" w:ascii="宋体" w:hAnsi="宋体" w:cs="宋体"/>
          <w:sz w:val="21"/>
          <w:szCs w:val="21"/>
          <w:u w:val="single"/>
        </w:rPr>
        <w:t>23:59</w:t>
      </w:r>
      <w:r>
        <w:rPr>
          <w:rFonts w:hint="eastAsia" w:ascii="宋体" w:hAnsi="宋体" w:cs="宋体"/>
          <w:sz w:val="21"/>
          <w:szCs w:val="21"/>
        </w:rPr>
        <w:t>（北京时间，线上获取法定节假日均可，线下获取文件法定节假日除外）。</w:t>
      </w:r>
    </w:p>
    <w:p>
      <w:pPr>
        <w:spacing w:line="348" w:lineRule="auto"/>
        <w:ind w:firstLine="540"/>
        <w:rPr>
          <w:rFonts w:ascii="宋体" w:hAnsi="宋体" w:cs="宋体"/>
          <w:sz w:val="21"/>
          <w:szCs w:val="21"/>
          <w:u w:val="single"/>
        </w:rPr>
      </w:pPr>
      <w:r>
        <w:rPr>
          <w:rFonts w:hint="eastAsia" w:ascii="宋体" w:hAnsi="宋体" w:cs="宋体"/>
          <w:sz w:val="21"/>
          <w:szCs w:val="21"/>
        </w:rPr>
        <w:t>地点（网址）：政府采购云平台（www.zcygov.cn）。</w:t>
      </w:r>
    </w:p>
    <w:p>
      <w:pPr>
        <w:spacing w:line="348" w:lineRule="auto"/>
        <w:ind w:firstLine="540"/>
        <w:rPr>
          <w:rFonts w:ascii="宋体" w:hAnsi="宋体" w:cs="宋体"/>
          <w:sz w:val="21"/>
          <w:szCs w:val="21"/>
        </w:rPr>
      </w:pPr>
      <w:r>
        <w:rPr>
          <w:rFonts w:hint="eastAsia" w:ascii="宋体" w:hAnsi="宋体" w:cs="宋体"/>
          <w:sz w:val="21"/>
          <w:szCs w:val="21"/>
        </w:rPr>
        <w:t xml:space="preserve">方式：供应商登录政采云平台https://www.zcygov.cn/在线申请获取采购文件（进入“项目采购”应用，在获取采购文件菜单中选择项目，申请获取采购文件）。 </w:t>
      </w:r>
    </w:p>
    <w:p>
      <w:pPr>
        <w:spacing w:line="348" w:lineRule="auto"/>
        <w:ind w:firstLine="540"/>
        <w:rPr>
          <w:rFonts w:ascii="宋体" w:hAnsi="宋体" w:cs="宋体"/>
          <w:sz w:val="21"/>
          <w:szCs w:val="21"/>
        </w:rPr>
      </w:pPr>
      <w:r>
        <w:rPr>
          <w:rFonts w:hint="eastAsia" w:ascii="宋体" w:hAnsi="宋体" w:cs="宋体"/>
          <w:sz w:val="21"/>
          <w:szCs w:val="21"/>
        </w:rPr>
        <w:t>售价（元）：0</w:t>
      </w:r>
    </w:p>
    <w:p>
      <w:pPr>
        <w:spacing w:line="360" w:lineRule="auto"/>
        <w:rPr>
          <w:rFonts w:ascii="宋体" w:hAnsi="宋体" w:cs="宋体"/>
          <w:b/>
          <w:sz w:val="21"/>
          <w:szCs w:val="21"/>
        </w:rPr>
      </w:pPr>
      <w:r>
        <w:rPr>
          <w:rFonts w:hint="eastAsia" w:cs="宋体" w:asciiTheme="minorEastAsia" w:hAnsiTheme="minorEastAsia" w:eastAsiaTheme="minorEastAsia"/>
          <w:sz w:val="21"/>
          <w:szCs w:val="21"/>
        </w:rPr>
        <w:t>四、</w:t>
      </w:r>
      <w:bookmarkEnd w:id="24"/>
      <w:bookmarkEnd w:id="25"/>
      <w:bookmarkEnd w:id="26"/>
      <w:bookmarkEnd w:id="27"/>
      <w:r>
        <w:rPr>
          <w:rFonts w:hint="eastAsia" w:ascii="宋体" w:hAnsi="宋体" w:cs="宋体"/>
          <w:b/>
          <w:sz w:val="21"/>
          <w:szCs w:val="21"/>
        </w:rPr>
        <w:t>提交投标文件截止时间、开标时间和地点</w:t>
      </w:r>
    </w:p>
    <w:p>
      <w:pPr>
        <w:spacing w:line="360" w:lineRule="auto"/>
        <w:ind w:firstLine="422" w:firstLineChars="200"/>
        <w:rPr>
          <w:rFonts w:ascii="宋体" w:hAnsi="宋体" w:cs="宋体"/>
          <w:sz w:val="21"/>
          <w:szCs w:val="21"/>
        </w:rPr>
      </w:pPr>
      <w:r>
        <w:rPr>
          <w:rFonts w:hint="eastAsia" w:ascii="宋体" w:hAnsi="宋体" w:cs="宋体"/>
          <w:b/>
          <w:sz w:val="21"/>
          <w:szCs w:val="21"/>
        </w:rPr>
        <w:t>提交投标文件截止时间：</w:t>
      </w:r>
      <w:r>
        <w:rPr>
          <w:rFonts w:hint="eastAsia" w:ascii="宋体" w:hAnsi="宋体" w:cs="宋体"/>
          <w:sz w:val="21"/>
          <w:szCs w:val="21"/>
          <w:u w:val="single"/>
        </w:rPr>
        <w:t xml:space="preserve"> 2024年</w:t>
      </w:r>
      <w:r>
        <w:rPr>
          <w:rFonts w:hint="eastAsia" w:ascii="宋体" w:hAnsi="宋体" w:cs="宋体"/>
          <w:sz w:val="21"/>
          <w:szCs w:val="21"/>
          <w:u w:val="single"/>
          <w:lang w:val="en-US" w:eastAsia="zh-CN"/>
        </w:rPr>
        <w:t>07</w:t>
      </w:r>
      <w:r>
        <w:rPr>
          <w:rFonts w:hint="eastAsia" w:ascii="宋体" w:hAnsi="宋体" w:cs="宋体"/>
          <w:sz w:val="21"/>
          <w:szCs w:val="21"/>
          <w:u w:val="single"/>
        </w:rPr>
        <w:t>月</w:t>
      </w:r>
      <w:r>
        <w:rPr>
          <w:rFonts w:hint="eastAsia" w:ascii="宋体" w:hAnsi="宋体" w:cs="宋体"/>
          <w:sz w:val="21"/>
          <w:szCs w:val="21"/>
          <w:u w:val="single"/>
          <w:lang w:val="en-US" w:eastAsia="zh-CN"/>
        </w:rPr>
        <w:t>02</w:t>
      </w:r>
      <w:r>
        <w:rPr>
          <w:rFonts w:hint="eastAsia" w:ascii="宋体" w:hAnsi="宋体" w:cs="宋体"/>
          <w:sz w:val="21"/>
          <w:szCs w:val="21"/>
          <w:u w:val="single"/>
        </w:rPr>
        <w:t>日13点</w:t>
      </w:r>
      <w:r>
        <w:rPr>
          <w:rFonts w:hint="eastAsia" w:ascii="宋体" w:hAnsi="宋体" w:cs="宋体"/>
          <w:sz w:val="21"/>
          <w:szCs w:val="21"/>
          <w:u w:val="single"/>
          <w:lang w:val="en-US" w:eastAsia="zh-CN"/>
        </w:rPr>
        <w:t>4</w:t>
      </w:r>
      <w:r>
        <w:rPr>
          <w:rFonts w:hint="eastAsia" w:ascii="宋体" w:hAnsi="宋体" w:cs="宋体"/>
          <w:sz w:val="21"/>
          <w:szCs w:val="21"/>
          <w:u w:val="single"/>
        </w:rPr>
        <w:t>0分00秒</w:t>
      </w:r>
      <w:r>
        <w:rPr>
          <w:rFonts w:hint="eastAsia" w:ascii="宋体" w:hAnsi="宋体" w:cs="宋体"/>
          <w:bCs/>
          <w:sz w:val="21"/>
          <w:szCs w:val="21"/>
          <w:u w:val="single"/>
        </w:rPr>
        <w:t xml:space="preserve"> </w:t>
      </w:r>
      <w:r>
        <w:rPr>
          <w:rFonts w:hint="eastAsia" w:ascii="宋体" w:hAnsi="宋体" w:cs="宋体"/>
          <w:sz w:val="21"/>
          <w:szCs w:val="21"/>
        </w:rPr>
        <w:t>（北京时间）</w:t>
      </w:r>
    </w:p>
    <w:p>
      <w:pPr>
        <w:spacing w:line="360" w:lineRule="auto"/>
        <w:ind w:firstLine="422" w:firstLineChars="200"/>
        <w:rPr>
          <w:rFonts w:ascii="宋体" w:hAnsi="宋体" w:cs="宋体"/>
          <w:b/>
          <w:sz w:val="21"/>
          <w:szCs w:val="21"/>
        </w:rPr>
      </w:pPr>
      <w:r>
        <w:rPr>
          <w:rFonts w:hint="eastAsia" w:ascii="宋体" w:hAnsi="宋体" w:cs="宋体"/>
          <w:b/>
          <w:sz w:val="21"/>
          <w:szCs w:val="21"/>
        </w:rPr>
        <w:t>投标地点（网址）：</w:t>
      </w:r>
      <w:r>
        <w:rPr>
          <w:rFonts w:hint="eastAsia" w:ascii="宋体" w:hAnsi="宋体" w:cs="宋体"/>
          <w:sz w:val="21"/>
          <w:szCs w:val="21"/>
        </w:rPr>
        <w:t xml:space="preserve">政采云平台（https://www.zcygov.cn/） </w:t>
      </w:r>
    </w:p>
    <w:p>
      <w:pPr>
        <w:spacing w:line="360" w:lineRule="auto"/>
        <w:ind w:firstLine="422" w:firstLineChars="200"/>
        <w:rPr>
          <w:rFonts w:ascii="宋体" w:hAnsi="宋体" w:cs="宋体"/>
          <w:bCs/>
          <w:sz w:val="21"/>
          <w:szCs w:val="21"/>
          <w:u w:val="single"/>
        </w:rPr>
      </w:pPr>
      <w:r>
        <w:rPr>
          <w:rFonts w:hint="eastAsia" w:ascii="宋体" w:hAnsi="宋体" w:cs="宋体"/>
          <w:b/>
          <w:sz w:val="21"/>
          <w:szCs w:val="21"/>
        </w:rPr>
        <w:t>开标时间：</w:t>
      </w:r>
      <w:r>
        <w:rPr>
          <w:rFonts w:hint="eastAsia" w:ascii="宋体" w:hAnsi="宋体" w:cs="宋体"/>
          <w:sz w:val="21"/>
          <w:szCs w:val="21"/>
          <w:u w:val="single"/>
        </w:rPr>
        <w:t>2024年</w:t>
      </w:r>
      <w:r>
        <w:rPr>
          <w:rFonts w:hint="eastAsia" w:ascii="宋体" w:hAnsi="宋体" w:cs="宋体"/>
          <w:sz w:val="21"/>
          <w:szCs w:val="21"/>
          <w:u w:val="single"/>
          <w:lang w:val="en-US" w:eastAsia="zh-CN"/>
        </w:rPr>
        <w:t>07</w:t>
      </w:r>
      <w:r>
        <w:rPr>
          <w:rFonts w:hint="eastAsia" w:ascii="宋体" w:hAnsi="宋体" w:cs="宋体"/>
          <w:sz w:val="21"/>
          <w:szCs w:val="21"/>
          <w:u w:val="single"/>
        </w:rPr>
        <w:t>月</w:t>
      </w:r>
      <w:r>
        <w:rPr>
          <w:rFonts w:hint="eastAsia" w:ascii="宋体" w:hAnsi="宋体" w:cs="宋体"/>
          <w:sz w:val="21"/>
          <w:szCs w:val="21"/>
          <w:u w:val="single"/>
          <w:lang w:val="en-US" w:eastAsia="zh-CN"/>
        </w:rPr>
        <w:t>02</w:t>
      </w:r>
      <w:bookmarkStart w:id="979" w:name="_GoBack"/>
      <w:bookmarkEnd w:id="979"/>
      <w:r>
        <w:rPr>
          <w:rFonts w:hint="eastAsia" w:ascii="宋体" w:hAnsi="宋体" w:cs="宋体"/>
          <w:sz w:val="21"/>
          <w:szCs w:val="21"/>
          <w:u w:val="single"/>
        </w:rPr>
        <w:t>日13点</w:t>
      </w:r>
      <w:r>
        <w:rPr>
          <w:rFonts w:hint="eastAsia" w:ascii="宋体" w:hAnsi="宋体" w:cs="宋体"/>
          <w:sz w:val="21"/>
          <w:szCs w:val="21"/>
          <w:u w:val="single"/>
          <w:lang w:val="en-US" w:eastAsia="zh-CN"/>
        </w:rPr>
        <w:t>4</w:t>
      </w:r>
      <w:r>
        <w:rPr>
          <w:rFonts w:hint="eastAsia" w:ascii="宋体" w:hAnsi="宋体" w:cs="宋体"/>
          <w:sz w:val="21"/>
          <w:szCs w:val="21"/>
          <w:u w:val="single"/>
        </w:rPr>
        <w:t>0分00秒</w:t>
      </w:r>
      <w:r>
        <w:rPr>
          <w:rFonts w:hint="eastAsia" w:ascii="宋体" w:hAnsi="宋体" w:cs="宋体"/>
          <w:bCs/>
          <w:sz w:val="21"/>
          <w:szCs w:val="21"/>
          <w:u w:val="single"/>
        </w:rPr>
        <w:t xml:space="preserve">  </w:t>
      </w:r>
    </w:p>
    <w:p>
      <w:pPr>
        <w:spacing w:line="360" w:lineRule="auto"/>
        <w:ind w:firstLine="422" w:firstLineChars="200"/>
        <w:rPr>
          <w:rFonts w:asciiTheme="minorEastAsia" w:hAnsiTheme="minorEastAsia" w:eastAsiaTheme="minorEastAsia"/>
          <w:bCs/>
          <w:sz w:val="21"/>
          <w:szCs w:val="21"/>
          <w:u w:val="single"/>
        </w:rPr>
      </w:pPr>
      <w:r>
        <w:rPr>
          <w:rFonts w:hint="eastAsia" w:ascii="宋体" w:hAnsi="宋体" w:cs="宋体"/>
          <w:b/>
          <w:sz w:val="21"/>
          <w:szCs w:val="21"/>
        </w:rPr>
        <w:t>开标地点（网址）：</w:t>
      </w:r>
      <w:r>
        <w:rPr>
          <w:rFonts w:hint="eastAsia" w:ascii="宋体" w:hAnsi="宋体" w:cs="宋体"/>
          <w:sz w:val="21"/>
          <w:szCs w:val="21"/>
        </w:rPr>
        <w:t>政采云平台（https://www.zcygov.cn/）</w:t>
      </w:r>
    </w:p>
    <w:p>
      <w:pPr>
        <w:tabs>
          <w:tab w:val="left" w:pos="432"/>
        </w:tabs>
        <w:spacing w:line="360" w:lineRule="auto"/>
        <w:ind w:left="432" w:hanging="432"/>
        <w:rPr>
          <w:rFonts w:cs="宋体" w:asciiTheme="minorEastAsia" w:hAnsiTheme="minorEastAsia" w:eastAsiaTheme="minorEastAsia"/>
          <w:sz w:val="21"/>
          <w:szCs w:val="21"/>
        </w:rPr>
      </w:pPr>
      <w:bookmarkStart w:id="28" w:name="_Toc28359017"/>
      <w:bookmarkStart w:id="29" w:name="_Toc35393634"/>
      <w:bookmarkStart w:id="30" w:name="_Toc35393803"/>
      <w:bookmarkStart w:id="31" w:name="_Toc28359094"/>
      <w:r>
        <w:rPr>
          <w:rFonts w:hint="eastAsia" w:cs="宋体" w:asciiTheme="minorEastAsia" w:hAnsiTheme="minorEastAsia" w:eastAsiaTheme="minorEastAsia"/>
          <w:sz w:val="21"/>
          <w:szCs w:val="21"/>
        </w:rPr>
        <w:t>五、公告期限</w:t>
      </w:r>
      <w:bookmarkEnd w:id="28"/>
      <w:bookmarkEnd w:id="29"/>
      <w:bookmarkEnd w:id="30"/>
      <w:bookmarkEnd w:id="31"/>
    </w:p>
    <w:p>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自本公告发布之日起3个工作日。</w:t>
      </w:r>
    </w:p>
    <w:p>
      <w:pPr>
        <w:tabs>
          <w:tab w:val="left" w:pos="432"/>
        </w:tabs>
        <w:spacing w:line="360" w:lineRule="auto"/>
        <w:ind w:left="432" w:hanging="432"/>
        <w:rPr>
          <w:rFonts w:cs="宋体" w:asciiTheme="minorEastAsia" w:hAnsiTheme="minorEastAsia" w:eastAsiaTheme="minorEastAsia"/>
          <w:sz w:val="21"/>
          <w:szCs w:val="21"/>
        </w:rPr>
      </w:pPr>
      <w:bookmarkStart w:id="32" w:name="_Toc35393804"/>
      <w:bookmarkStart w:id="33" w:name="_Toc35393635"/>
      <w:r>
        <w:rPr>
          <w:rFonts w:hint="eastAsia" w:cs="宋体" w:asciiTheme="minorEastAsia" w:hAnsiTheme="minorEastAsia" w:eastAsiaTheme="minorEastAsia"/>
          <w:sz w:val="21"/>
          <w:szCs w:val="21"/>
        </w:rPr>
        <w:t>六、其他补充事宜</w:t>
      </w:r>
      <w:bookmarkEnd w:id="32"/>
      <w:bookmarkEnd w:id="33"/>
    </w:p>
    <w:p>
      <w:pPr>
        <w:spacing w:line="360" w:lineRule="auto"/>
        <w:ind w:firstLine="420" w:firstLineChars="200"/>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2" w:firstLineChars="2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 其他事项：</w:t>
      </w:r>
    </w:p>
    <w:p>
      <w:pPr>
        <w:spacing w:line="360" w:lineRule="auto"/>
        <w:ind w:firstLine="422"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b/>
          <w:kern w:val="0"/>
          <w:sz w:val="21"/>
          <w:szCs w:val="21"/>
        </w:rPr>
        <w:t>（1）需要落实的政府采购政策：</w:t>
      </w:r>
      <w:r>
        <w:rPr>
          <w:rFonts w:hint="eastAsia" w:cs="宋体" w:asciiTheme="minorEastAsia" w:hAnsiTheme="minorEastAsia" w:eastAsiaTheme="minorEastAsia"/>
          <w:kern w:val="0"/>
          <w:sz w:val="21"/>
          <w:szCs w:val="21"/>
        </w:rPr>
        <w:t>包括节约资源、保护环境、</w:t>
      </w:r>
      <w:r>
        <w:rPr>
          <w:rFonts w:hint="eastAsia" w:cs="宋体" w:asciiTheme="minorEastAsia" w:hAnsiTheme="minorEastAsia" w:eastAsiaTheme="minorEastAsia"/>
          <w:sz w:val="21"/>
          <w:szCs w:val="21"/>
        </w:rPr>
        <w:t>支持创新、</w:t>
      </w:r>
      <w:r>
        <w:rPr>
          <w:rFonts w:hint="eastAsia" w:cs="宋体" w:asciiTheme="minorEastAsia" w:hAnsiTheme="minorEastAsia" w:eastAsiaTheme="minorEastAsia"/>
          <w:kern w:val="0"/>
          <w:sz w:val="21"/>
          <w:szCs w:val="21"/>
        </w:rPr>
        <w:t>促进中小企业发展等，详见磋商文件第</w:t>
      </w:r>
      <w:r>
        <w:rPr>
          <w:rFonts w:hint="eastAsia" w:cs="宋体" w:asciiTheme="minorEastAsia" w:hAnsiTheme="minorEastAsia" w:eastAsiaTheme="minorEastAsia"/>
          <w:kern w:val="0"/>
          <w:sz w:val="21"/>
          <w:szCs w:val="21"/>
          <w:lang w:eastAsia="zh-CN"/>
        </w:rPr>
        <w:t>三</w:t>
      </w:r>
      <w:r>
        <w:rPr>
          <w:rFonts w:hint="eastAsia" w:cs="宋体" w:asciiTheme="minorEastAsia" w:hAnsiTheme="minorEastAsia" w:eastAsiaTheme="minorEastAsia"/>
          <w:kern w:val="0"/>
          <w:sz w:val="21"/>
          <w:szCs w:val="21"/>
        </w:rPr>
        <w:t>部分总则。</w:t>
      </w:r>
    </w:p>
    <w:p>
      <w:pPr>
        <w:spacing w:line="360" w:lineRule="auto"/>
        <w:ind w:firstLine="422" w:firstLineChars="200"/>
        <w:rPr>
          <w:rFonts w:cs="仿宋_GB2312" w:asciiTheme="minorEastAsia" w:hAnsiTheme="minorEastAsia" w:eastAsiaTheme="minorEastAsia"/>
          <w:sz w:val="21"/>
          <w:szCs w:val="21"/>
        </w:rPr>
      </w:pPr>
      <w:r>
        <w:rPr>
          <w:rFonts w:hint="eastAsia" w:cs="宋体" w:asciiTheme="minorEastAsia" w:hAnsiTheme="minorEastAsia" w:eastAsiaTheme="minorEastAsia"/>
          <w:b/>
          <w:kern w:val="0"/>
          <w:sz w:val="21"/>
          <w:szCs w:val="21"/>
        </w:rPr>
        <w:t>（2）</w:t>
      </w:r>
      <w:r>
        <w:rPr>
          <w:rFonts w:hint="eastAsia" w:cs="仿宋_GB2312" w:asciiTheme="minorEastAsia" w:hAnsiTheme="minorEastAsia" w:eastAsiaTheme="minorEastAsia"/>
          <w:b/>
          <w:sz w:val="21"/>
          <w:szCs w:val="21"/>
        </w:rPr>
        <w:t xml:space="preserve">电子交易的说明: </w:t>
      </w:r>
      <w:r>
        <w:rPr>
          <w:rFonts w:hint="eastAsia" w:cs="仿宋_GB2312" w:asciiTheme="minorEastAsia" w:hAnsiTheme="minorEastAsia" w:eastAsiaTheme="minorEastAsia"/>
          <w:b w:val="0"/>
          <w:bCs/>
          <w:sz w:val="21"/>
          <w:szCs w:val="21"/>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sz w:val="21"/>
          <w:szCs w:val="21"/>
        </w:rPr>
        <w:t>5）</w:t>
      </w:r>
      <w:r>
        <w:rPr>
          <w:rFonts w:hint="eastAsia" w:cs="仿宋_GB2312" w:asciiTheme="minorEastAsia" w:hAnsiTheme="minorEastAsia" w:eastAsiaTheme="minorEastAsia"/>
          <w:b w:val="0"/>
          <w:bCs/>
          <w:sz w:val="21"/>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sz w:val="21"/>
          <w:szCs w:val="21"/>
        </w:rPr>
        <w:t>6）</w:t>
      </w:r>
      <w:r>
        <w:rPr>
          <w:rFonts w:hint="eastAsia" w:cs="仿宋_GB2312" w:asciiTheme="minorEastAsia" w:hAnsiTheme="minorEastAsia" w:eastAsiaTheme="minorEastAsia"/>
          <w:b w:val="0"/>
          <w:bCs/>
          <w:sz w:val="21"/>
          <w:szCs w:val="21"/>
        </w:rPr>
        <w:t>对未按上述方式获取磋商文件的供应商对该文件提出的质疑，采购人或采购代理机构将不予处理；</w:t>
      </w:r>
      <w:r>
        <w:rPr>
          <w:rFonts w:cs="仿宋_GB2312" w:asciiTheme="minorEastAsia" w:hAnsiTheme="minorEastAsia" w:eastAsiaTheme="minorEastAsia"/>
          <w:b w:val="0"/>
          <w:bCs/>
          <w:sz w:val="21"/>
          <w:szCs w:val="21"/>
        </w:rPr>
        <w:t>7）</w:t>
      </w:r>
      <w:r>
        <w:rPr>
          <w:rFonts w:hint="eastAsia" w:cs="仿宋_GB2312" w:asciiTheme="minorEastAsia" w:hAnsiTheme="minorEastAsia" w:eastAsiaTheme="minorEastAsia"/>
          <w:b w:val="0"/>
          <w:bCs/>
          <w:sz w:val="21"/>
          <w:szCs w:val="21"/>
        </w:rPr>
        <w:t>不提供磋商文件纸质版；</w:t>
      </w:r>
      <w:r>
        <w:rPr>
          <w:rFonts w:cs="仿宋_GB2312" w:asciiTheme="minorEastAsia" w:hAnsiTheme="minorEastAsia" w:eastAsiaTheme="minorEastAsia"/>
          <w:b w:val="0"/>
          <w:bCs/>
          <w:sz w:val="21"/>
          <w:szCs w:val="21"/>
        </w:rPr>
        <w:t>8</w:t>
      </w:r>
      <w:r>
        <w:rPr>
          <w:rFonts w:hint="eastAsia" w:cs="仿宋_GB2312" w:asciiTheme="minorEastAsia" w:hAnsiTheme="minorEastAsia" w:eastAsiaTheme="minorEastAsia"/>
          <w:b w:val="0"/>
          <w:bCs/>
          <w:sz w:val="21"/>
          <w:szCs w:val="21"/>
        </w:rPr>
        <w:t>）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cs="仿宋_GB2312" w:asciiTheme="minorEastAsia" w:hAnsiTheme="minorEastAsia" w:eastAsiaTheme="minorEastAsia"/>
          <w:b w:val="0"/>
          <w:bCs/>
          <w:sz w:val="21"/>
          <w:szCs w:val="21"/>
          <w:lang w:eastAsia="zh-CN"/>
        </w:rPr>
        <w:t>三</w:t>
      </w:r>
      <w:r>
        <w:rPr>
          <w:rFonts w:hint="eastAsia" w:cs="仿宋_GB2312" w:asciiTheme="minorEastAsia" w:hAnsiTheme="minorEastAsia" w:eastAsiaTheme="minorEastAsia"/>
          <w:b w:val="0"/>
          <w:bCs/>
          <w:sz w:val="21"/>
          <w:szCs w:val="21"/>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cs="仿宋_GB2312" w:asciiTheme="minorEastAsia" w:hAnsiTheme="minorEastAsia" w:eastAsiaTheme="minorEastAsia"/>
          <w:sz w:val="21"/>
          <w:szCs w:val="21"/>
        </w:rPr>
        <w:t>购项目电子交易管理操作指南-供应商”。</w:t>
      </w:r>
    </w:p>
    <w:p>
      <w:pPr>
        <w:spacing w:line="360" w:lineRule="auto"/>
        <w:ind w:firstLine="420" w:firstLineChars="20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w:t>
      </w:r>
      <w:r>
        <w:rPr>
          <w:rFonts w:hint="eastAsia" w:cs="宋体" w:asciiTheme="minorEastAsia" w:hAnsiTheme="minorEastAsia" w:eastAsiaTheme="minorEastAsia"/>
          <w:sz w:val="21"/>
          <w:szCs w:val="21"/>
        </w:rPr>
        <w:t>磋商文件公告期限与磋商公告的公告期限一致。</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（4）本《第一部分  邀请供应商》中二、申请人的资格要求：第一条中的“重大税收违法案件当事人名单”即为“重大税收违法失信主体”。</w:t>
      </w:r>
    </w:p>
    <w:p>
      <w:pPr>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（5）本公告发布媒体：浙江政府采购网（www.zjzfcg.gov.cn）、宁波政府采购(www.nbzfcg.cn)、宁波公共资源交易电子服务系统。</w:t>
      </w:r>
    </w:p>
    <w:p>
      <w:pPr>
        <w:tabs>
          <w:tab w:val="left" w:pos="432"/>
        </w:tabs>
        <w:spacing w:line="360" w:lineRule="auto"/>
        <w:ind w:left="432" w:hanging="432"/>
        <w:rPr>
          <w:rFonts w:cs="宋体" w:asciiTheme="minorEastAsia" w:hAnsiTheme="minorEastAsia" w:eastAsiaTheme="minorEastAsia"/>
          <w:sz w:val="21"/>
          <w:szCs w:val="21"/>
        </w:rPr>
      </w:pPr>
      <w:bookmarkStart w:id="34" w:name="_Toc35393805"/>
      <w:bookmarkStart w:id="35" w:name="_Toc28359095"/>
      <w:bookmarkStart w:id="36" w:name="_Toc28359018"/>
      <w:bookmarkStart w:id="37" w:name="_Toc35393636"/>
      <w:r>
        <w:rPr>
          <w:rFonts w:hint="eastAsia" w:cs="宋体" w:asciiTheme="minorEastAsia" w:hAnsiTheme="minorEastAsia" w:eastAsiaTheme="minorEastAsia"/>
          <w:sz w:val="21"/>
          <w:szCs w:val="21"/>
        </w:rPr>
        <w:t>八、凡对本次采购提出询问、质疑、投诉，请按以下方式联系</w:t>
      </w:r>
      <w:bookmarkEnd w:id="34"/>
      <w:bookmarkEnd w:id="35"/>
      <w:bookmarkEnd w:id="36"/>
      <w:bookmarkEnd w:id="37"/>
    </w:p>
    <w:p>
      <w:pPr>
        <w:tabs>
          <w:tab w:val="left" w:pos="432"/>
        </w:tabs>
        <w:spacing w:line="360" w:lineRule="auto"/>
        <w:ind w:left="432" w:hanging="432"/>
        <w:rPr>
          <w:rFonts w:cs="宋体" w:asciiTheme="minorEastAsia" w:hAnsiTheme="minorEastAsia" w:eastAsiaTheme="minorEastAsia"/>
          <w:sz w:val="21"/>
          <w:szCs w:val="21"/>
        </w:rPr>
      </w:pPr>
      <w:bookmarkStart w:id="38" w:name="_Toc35393806"/>
      <w:bookmarkStart w:id="39" w:name="_Toc35393637"/>
      <w:bookmarkStart w:id="40" w:name="_Toc28359019"/>
      <w:bookmarkStart w:id="41" w:name="_Toc28359096"/>
      <w:r>
        <w:rPr>
          <w:rFonts w:hint="eastAsia" w:cs="宋体" w:asciiTheme="minorEastAsia" w:hAnsiTheme="minorEastAsia" w:eastAsiaTheme="minorEastAsia"/>
          <w:sz w:val="21"/>
          <w:szCs w:val="21"/>
        </w:rPr>
        <w:t>1.采购人信息</w:t>
      </w:r>
      <w:bookmarkEnd w:id="38"/>
      <w:bookmarkEnd w:id="39"/>
      <w:bookmarkEnd w:id="40"/>
      <w:bookmarkEnd w:id="41"/>
      <w:r>
        <w:rPr>
          <w:rFonts w:hint="eastAsia" w:cs="宋体"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宁海县城关中学</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地址：宁海县纺织东路61号</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eastAsia="zh-CN"/>
        </w:rPr>
        <w:t>王老师</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val="en-US" w:eastAsia="zh-CN"/>
        </w:rPr>
        <w:t>0574-65506832</w:t>
      </w:r>
    </w:p>
    <w:p>
      <w:pPr>
        <w:spacing w:line="360" w:lineRule="auto"/>
        <w:ind w:firstLine="420" w:firstLineChars="200"/>
        <w:rPr>
          <w:rFonts w:hint="eastAsia" w:asciiTheme="minorEastAsia" w:hAnsiTheme="minorEastAsia" w:eastAsiaTheme="minorEastAsia"/>
          <w:sz w:val="21"/>
          <w:szCs w:val="21"/>
        </w:rPr>
      </w:pP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宁海童氏工程管理咨询有限公司</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宁海县时代大道</w:t>
      </w:r>
      <w:r>
        <w:rPr>
          <w:rFonts w:hint="eastAsia" w:asciiTheme="minorEastAsia" w:hAnsiTheme="minorEastAsia" w:eastAsiaTheme="minorEastAsia"/>
          <w:sz w:val="21"/>
          <w:szCs w:val="21"/>
          <w:lang w:val="en-US" w:eastAsia="zh-CN"/>
        </w:rPr>
        <w:t>178号四楼</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eastAsia="zh-CN"/>
        </w:rPr>
        <w:t>胡云燕</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项目联系方式：0574-</w:t>
      </w:r>
      <w:r>
        <w:rPr>
          <w:rFonts w:hint="eastAsia" w:asciiTheme="minorEastAsia" w:hAnsiTheme="minorEastAsia" w:eastAsiaTheme="minorEastAsia"/>
          <w:sz w:val="21"/>
          <w:szCs w:val="21"/>
          <w:lang w:val="en-US" w:eastAsia="zh-CN"/>
        </w:rPr>
        <w:t>82533300</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称：宁海县政府采购管理办公室</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址：宁海县跃龙街道桃源中路218号</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联系人：王老师</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投诉电话：0574-65265668</w:t>
      </w:r>
    </w:p>
    <w:p>
      <w:pPr>
        <w:spacing w:line="360" w:lineRule="auto"/>
        <w:ind w:firstLine="420" w:firstLineChars="200"/>
        <w:rPr>
          <w:rFonts w:hint="eastAsia" w:asciiTheme="minorEastAsia" w:hAnsiTheme="minorEastAsia" w:eastAsiaTheme="minorEastAsia"/>
          <w:sz w:val="21"/>
          <w:szCs w:val="21"/>
        </w:rPr>
      </w:pP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w:t>
      </w:r>
      <w:r>
        <w:rPr>
          <w:rFonts w:asciiTheme="minorEastAsia" w:hAnsiTheme="minorEastAsia" w:eastAsiaTheme="minorEastAsia"/>
          <w:sz w:val="21"/>
          <w:szCs w:val="21"/>
        </w:rPr>
        <w:t>https://www.zcygov.cn/），点击右侧咨询小采，获取采小蜜智能服务管家帮助，或拨打政</w:t>
      </w:r>
      <w:r>
        <w:rPr>
          <w:rFonts w:hint="eastAsia" w:asciiTheme="minorEastAsia" w:hAnsiTheme="minorEastAsia" w:eastAsiaTheme="minorEastAsia"/>
          <w:sz w:val="21"/>
          <w:szCs w:val="21"/>
        </w:rPr>
        <w:t>采云服务热线“95763”</w:t>
      </w:r>
      <w:r>
        <w:rPr>
          <w:rFonts w:asciiTheme="minorEastAsia" w:hAnsiTheme="minorEastAsia" w:eastAsiaTheme="minorEastAsia"/>
          <w:sz w:val="21"/>
          <w:szCs w:val="21"/>
        </w:rPr>
        <w:t>获取热线服务帮助。</w:t>
      </w:r>
    </w:p>
    <w:p>
      <w:pPr>
        <w:spacing w:line="360" w:lineRule="auto"/>
        <w:ind w:firstLine="420" w:firstLineChars="200"/>
        <w:rPr>
          <w:rFonts w:cs="仿宋_GB2312" w:asciiTheme="minorEastAsia" w:hAnsiTheme="minorEastAsia" w:eastAsiaTheme="minorEastAsia"/>
          <w:b/>
          <w:sz w:val="21"/>
          <w:szCs w:val="21"/>
        </w:rPr>
      </w:pPr>
      <w:r>
        <w:rPr>
          <w:rFonts w:asciiTheme="minorEastAsia" w:hAnsiTheme="minorEastAsia" w:eastAsiaTheme="minorEastAsia"/>
          <w:sz w:val="21"/>
          <w:szCs w:val="21"/>
        </w:rPr>
        <w:t>CA问题联系电话（人工）：</w:t>
      </w:r>
      <w:r>
        <w:rPr>
          <w:rFonts w:hint="eastAsia" w:asciiTheme="minorEastAsia" w:hAnsiTheme="minorEastAsia" w:eastAsiaTheme="minorEastAsia"/>
          <w:sz w:val="21"/>
          <w:szCs w:val="21"/>
        </w:rPr>
        <w:t>汇信</w:t>
      </w:r>
      <w:r>
        <w:rPr>
          <w:rFonts w:asciiTheme="minorEastAsia" w:hAnsiTheme="minorEastAsia" w:eastAsiaTheme="minorEastAsia"/>
          <w:sz w:val="21"/>
          <w:szCs w:val="21"/>
        </w:rPr>
        <w:t>CA 400-888-4636；天谷CA 400-087-8198。</w:t>
      </w:r>
      <w:bookmarkStart w:id="42" w:name="_Toc2540"/>
    </w:p>
    <w:p>
      <w:pPr>
        <w:adjustRightInd/>
        <w:spacing w:line="360" w:lineRule="auto"/>
        <w:jc w:val="center"/>
        <w:outlineLvl w:val="0"/>
        <w:rPr>
          <w:rFonts w:ascii="仿宋" w:hAnsi="仿宋" w:eastAsia="仿宋" w:cs="仿宋"/>
          <w:b/>
          <w:sz w:val="21"/>
          <w:szCs w:val="21"/>
        </w:rPr>
      </w:pPr>
    </w:p>
    <w:p>
      <w:pPr>
        <w:adjustRightInd/>
        <w:spacing w:line="360" w:lineRule="auto"/>
        <w:jc w:val="center"/>
        <w:outlineLvl w:val="0"/>
        <w:rPr>
          <w:rFonts w:ascii="仿宋" w:hAnsi="仿宋" w:eastAsia="仿宋" w:cs="仿宋"/>
          <w:b/>
          <w:sz w:val="21"/>
          <w:szCs w:val="21"/>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p>
    <w:p>
      <w:pPr>
        <w:adjustRightInd/>
        <w:spacing w:line="360" w:lineRule="auto"/>
        <w:jc w:val="both"/>
        <w:outlineLvl w:val="0"/>
        <w:rPr>
          <w:rFonts w:hint="eastAsia" w:ascii="仿宋" w:hAnsi="仿宋" w:eastAsia="仿宋" w:cs="仿宋"/>
          <w:b/>
          <w:sz w:val="36"/>
          <w:szCs w:val="20"/>
        </w:rPr>
      </w:pPr>
    </w:p>
    <w:p>
      <w:pPr>
        <w:pStyle w:val="42"/>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43" w:name="_Toc31399"/>
      <w:bookmarkStart w:id="44" w:name="_Toc462908588"/>
      <w:bookmarkStart w:id="45" w:name="OLE_LINK1"/>
      <w:bookmarkStart w:id="46" w:name="OLE_LINK3"/>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43"/>
      <w:r>
        <w:rPr>
          <w:rFonts w:hint="eastAsia"/>
          <w:b/>
          <w:color w:val="000000"/>
          <w:sz w:val="36"/>
          <w:szCs w:val="36"/>
          <w:highlight w:val="none"/>
        </w:rPr>
        <w:t xml:space="preserve"> </w:t>
      </w:r>
      <w:bookmarkEnd w:id="44"/>
    </w:p>
    <w:p>
      <w:pPr>
        <w:rPr>
          <w:rFonts w:hint="eastAsia"/>
          <w:color w:val="000000"/>
          <w:highlight w:val="none"/>
        </w:rPr>
      </w:pPr>
    </w:p>
    <w:bookmarkEnd w:id="45"/>
    <w:bookmarkEnd w:id="46"/>
    <w:p>
      <w:pPr>
        <w:spacing w:line="240" w:lineRule="exact"/>
        <w:jc w:val="center"/>
        <w:rPr>
          <w:rFonts w:hint="eastAsia" w:ascii="宋体" w:hAnsi="宋体" w:cs="宋体"/>
          <w:color w:val="000000"/>
          <w:sz w:val="44"/>
          <w:highlight w:val="none"/>
        </w:rPr>
      </w:pPr>
    </w:p>
    <w:p>
      <w:pPr>
        <w:spacing w:before="120" w:beforeLines="50" w:after="120" w:afterLines="50" w:line="400" w:lineRule="exact"/>
        <w:ind w:firstLine="211" w:firstLineChars="100"/>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一、技术条款要求</w:t>
      </w:r>
    </w:p>
    <w:p>
      <w:pPr>
        <w:adjustRightInd w:val="0"/>
        <w:snapToGrid w:val="0"/>
        <w:spacing w:line="360" w:lineRule="auto"/>
        <w:ind w:right="73" w:rightChars="35" w:firstLine="420"/>
        <w:rPr>
          <w:rFonts w:hint="default" w:ascii="宋体" w:hAnsi="宋体" w:cs="宋体"/>
          <w:color w:val="auto"/>
          <w:kern w:val="0"/>
          <w:sz w:val="21"/>
          <w:szCs w:val="21"/>
          <w:lang w:val="en-US"/>
        </w:rPr>
      </w:pPr>
      <w:r>
        <w:rPr>
          <w:rFonts w:hint="eastAsia" w:ascii="宋体" w:hAnsi="宋体" w:cs="宋体"/>
          <w:kern w:val="0"/>
          <w:sz w:val="21"/>
          <w:szCs w:val="21"/>
        </w:rPr>
        <w:t xml:space="preserve">  </w:t>
      </w:r>
      <w:r>
        <w:rPr>
          <w:rFonts w:hint="eastAsia" w:ascii="宋体" w:hAnsi="宋体"/>
          <w:sz w:val="21"/>
          <w:szCs w:val="21"/>
        </w:rPr>
        <w:t>该工程由</w:t>
      </w:r>
      <w:r>
        <w:rPr>
          <w:rFonts w:hint="eastAsia"/>
          <w:color w:val="000000"/>
          <w:sz w:val="21"/>
          <w:szCs w:val="21"/>
          <w:lang w:val="en-US" w:eastAsia="zh-CN"/>
        </w:rPr>
        <w:t>宁海县城关中学</w:t>
      </w:r>
      <w:r>
        <w:rPr>
          <w:rFonts w:hint="eastAsia" w:ascii="宋体" w:hAnsi="宋体"/>
          <w:sz w:val="21"/>
          <w:szCs w:val="21"/>
        </w:rPr>
        <w:t>负</w:t>
      </w:r>
      <w:r>
        <w:rPr>
          <w:rFonts w:hint="eastAsia" w:ascii="宋体" w:hAnsi="宋体"/>
          <w:sz w:val="21"/>
          <w:szCs w:val="21"/>
          <w:highlight w:val="none"/>
        </w:rPr>
        <w:t>责建设，</w:t>
      </w:r>
      <w:r>
        <w:rPr>
          <w:rFonts w:hint="eastAsia" w:ascii="宋体" w:hAnsi="宋体"/>
          <w:spacing w:val="4"/>
          <w:sz w:val="21"/>
          <w:szCs w:val="21"/>
          <w:highlight w:val="none"/>
        </w:rPr>
        <w:t>由</w:t>
      </w:r>
      <w:r>
        <w:rPr>
          <w:rFonts w:hint="eastAsia" w:ascii="宋体" w:hAnsi="宋体"/>
          <w:spacing w:val="4"/>
          <w:sz w:val="21"/>
          <w:szCs w:val="21"/>
          <w:highlight w:val="none"/>
          <w:lang w:val="en-US" w:eastAsia="zh-CN"/>
        </w:rPr>
        <w:t>中城恒业设计集团有限公司</w:t>
      </w:r>
      <w:r>
        <w:rPr>
          <w:rFonts w:hint="eastAsia" w:ascii="宋体" w:hAnsi="宋体"/>
          <w:spacing w:val="4"/>
          <w:sz w:val="21"/>
          <w:szCs w:val="21"/>
          <w:highlight w:val="none"/>
        </w:rPr>
        <w:t>负责</w:t>
      </w:r>
      <w:r>
        <w:rPr>
          <w:rFonts w:hint="eastAsia" w:ascii="宋体" w:hAnsi="宋体"/>
          <w:spacing w:val="4"/>
          <w:sz w:val="21"/>
          <w:szCs w:val="21"/>
          <w:highlight w:val="none"/>
          <w:lang w:eastAsia="zh-CN"/>
        </w:rPr>
        <w:t>施工图</w:t>
      </w:r>
      <w:r>
        <w:rPr>
          <w:rFonts w:hint="eastAsia" w:ascii="宋体" w:hAnsi="宋体"/>
          <w:spacing w:val="4"/>
          <w:sz w:val="21"/>
          <w:szCs w:val="21"/>
          <w:highlight w:val="none"/>
        </w:rPr>
        <w:t>设计。</w:t>
      </w:r>
      <w:r>
        <w:rPr>
          <w:rFonts w:hint="eastAsia" w:ascii="宋体" w:hAnsi="宋体"/>
          <w:sz w:val="21"/>
          <w:szCs w:val="21"/>
          <w:highlight w:val="none"/>
        </w:rPr>
        <w:t>工程建</w:t>
      </w:r>
      <w:r>
        <w:rPr>
          <w:rFonts w:hint="eastAsia" w:ascii="宋体" w:hAnsi="宋体" w:eastAsia="宋体" w:cs="Times New Roman"/>
          <w:color w:val="auto"/>
          <w:sz w:val="21"/>
          <w:szCs w:val="21"/>
          <w:highlight w:val="none"/>
          <w:lang w:val="en-US" w:eastAsia="zh-CN"/>
        </w:rPr>
        <w:t>设地点</w:t>
      </w:r>
      <w:r>
        <w:rPr>
          <w:rFonts w:hint="eastAsia"/>
          <w:color w:val="000000"/>
          <w:sz w:val="21"/>
          <w:szCs w:val="21"/>
          <w:highlight w:val="none"/>
          <w:lang w:val="en-US" w:eastAsia="zh-CN"/>
        </w:rPr>
        <w:t>宁海县城关中学</w:t>
      </w:r>
      <w:r>
        <w:rPr>
          <w:rFonts w:hint="eastAsia" w:ascii="宋体" w:hAnsi="宋体" w:eastAsia="宋体" w:cs="Times New Roman"/>
          <w:color w:val="auto"/>
          <w:sz w:val="21"/>
          <w:szCs w:val="21"/>
          <w:highlight w:val="none"/>
          <w:lang w:val="en-US" w:eastAsia="zh-CN"/>
        </w:rPr>
        <w:t>。该工程为操场改造工程，</w:t>
      </w:r>
      <w:r>
        <w:rPr>
          <w:rFonts w:hint="eastAsia" w:ascii="宋体" w:hAnsi="宋体" w:cs="宋体"/>
          <w:kern w:val="0"/>
          <w:sz w:val="21"/>
          <w:szCs w:val="21"/>
          <w:lang w:val="en-US" w:eastAsia="zh-CN"/>
        </w:rPr>
        <w:t>主要施工内容为操场改造、屋面改造等工程，包括原地面拆除8450m2、塑胶跑道5030m2，足球场地3420m2，屋面改造395m2等。</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二、工程</w:t>
      </w:r>
      <w:bookmarkStart w:id="47" w:name="OLE_LINK17"/>
      <w:r>
        <w:rPr>
          <w:rFonts w:hint="eastAsia" w:ascii="宋体" w:hAnsi="宋体" w:cs="宋体"/>
          <w:kern w:val="0"/>
          <w:sz w:val="21"/>
          <w:szCs w:val="21"/>
          <w:highlight w:val="none"/>
        </w:rPr>
        <w:t>招标控制价</w:t>
      </w:r>
      <w:bookmarkEnd w:id="47"/>
      <w:r>
        <w:rPr>
          <w:rFonts w:hint="eastAsia" w:ascii="宋体" w:hAnsi="宋体" w:cs="宋体"/>
          <w:sz w:val="21"/>
          <w:szCs w:val="21"/>
          <w:highlight w:val="none"/>
        </w:rPr>
        <w:t>编制情况</w:t>
      </w:r>
    </w:p>
    <w:p>
      <w:pPr>
        <w:adjustRightInd w:val="0"/>
        <w:snapToGrid w:val="0"/>
        <w:spacing w:line="360" w:lineRule="auto"/>
        <w:ind w:firstLine="420" w:firstLineChars="200"/>
        <w:rPr>
          <w:rFonts w:hint="eastAsia" w:ascii="宋体" w:hAnsi="宋体"/>
          <w:sz w:val="21"/>
          <w:szCs w:val="21"/>
        </w:rPr>
      </w:pPr>
      <w:r>
        <w:rPr>
          <w:rFonts w:hint="eastAsia" w:ascii="宋体" w:hAnsi="宋体"/>
          <w:sz w:val="21"/>
          <w:szCs w:val="21"/>
          <w:lang w:eastAsia="zh-CN"/>
        </w:rPr>
        <w:t>本工程</w:t>
      </w:r>
      <w:r>
        <w:rPr>
          <w:rFonts w:hint="eastAsia" w:ascii="宋体" w:hAnsi="宋体" w:cs="宋体"/>
          <w:kern w:val="0"/>
          <w:sz w:val="21"/>
          <w:szCs w:val="21"/>
        </w:rPr>
        <w:t>招标控制价编制范围：</w:t>
      </w:r>
      <w:r>
        <w:rPr>
          <w:rFonts w:hint="eastAsia" w:ascii="宋体" w:hAnsi="宋体" w:cs="宋体"/>
          <w:kern w:val="0"/>
          <w:sz w:val="21"/>
          <w:szCs w:val="21"/>
          <w:lang w:val="en-US" w:eastAsia="zh-CN"/>
        </w:rPr>
        <w:t>主要包括原地面拆除8450m2、塑胶跑道5030m2，足球场地3420m2，屋面改造395m2等。</w:t>
      </w:r>
    </w:p>
    <w:p>
      <w:pPr>
        <w:widowControl/>
        <w:adjustRightInd w:val="0"/>
        <w:snapToGrid w:val="0"/>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     三、本单位和注册造价工程师声明</w:t>
      </w:r>
    </w:p>
    <w:p>
      <w:pPr>
        <w:widowControl/>
        <w:adjustRightInd w:val="0"/>
        <w:snapToGrid w:val="0"/>
        <w:spacing w:line="360" w:lineRule="auto"/>
        <w:jc w:val="left"/>
        <w:rPr>
          <w:rFonts w:hint="eastAsia" w:ascii="宋体" w:hAnsi="宋体" w:cs="宋体"/>
          <w:kern w:val="0"/>
          <w:sz w:val="21"/>
          <w:szCs w:val="21"/>
        </w:rPr>
      </w:pPr>
      <w:r>
        <w:rPr>
          <w:rFonts w:hint="eastAsia" w:ascii="宋体" w:hAnsi="宋体" w:cs="宋体"/>
          <w:kern w:val="0"/>
          <w:sz w:val="21"/>
          <w:szCs w:val="21"/>
        </w:rPr>
        <w:t xml:space="preserve">    1、委托人对提供我们的资料的真实性、可靠性、合法性、充分性负责，其他各有关资料提供单位也应对其各自所提供资料的真实性、可靠性、合法性负责。我们的责任是依据所提供的资料，独立、客观、公正的</w:t>
      </w:r>
      <w:r>
        <w:rPr>
          <w:rFonts w:hint="eastAsia" w:ascii="宋体" w:hAnsi="宋体" w:cs="宋体"/>
          <w:sz w:val="21"/>
          <w:szCs w:val="21"/>
        </w:rPr>
        <w:t>编制招标控制价</w:t>
      </w:r>
      <w:r>
        <w:rPr>
          <w:rFonts w:hint="eastAsia" w:ascii="宋体" w:hAnsi="宋体" w:cs="宋体"/>
          <w:kern w:val="0"/>
          <w:sz w:val="21"/>
          <w:szCs w:val="21"/>
        </w:rPr>
        <w:t>。</w:t>
      </w:r>
    </w:p>
    <w:p>
      <w:pPr>
        <w:widowControl/>
        <w:numPr>
          <w:ilvl w:val="0"/>
          <w:numId w:val="7"/>
        </w:numPr>
        <w:adjustRightInd w:val="0"/>
        <w:snapToGri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本工程招标控制价</w:t>
      </w:r>
      <w:r>
        <w:rPr>
          <w:rFonts w:hint="eastAsia" w:ascii="宋体" w:hAnsi="宋体" w:cs="宋体"/>
          <w:sz w:val="21"/>
          <w:szCs w:val="21"/>
        </w:rPr>
        <w:t>编制</w:t>
      </w:r>
      <w:r>
        <w:rPr>
          <w:rFonts w:hint="eastAsia" w:ascii="宋体" w:hAnsi="宋体" w:cs="宋体"/>
          <w:kern w:val="0"/>
          <w:sz w:val="21"/>
          <w:szCs w:val="21"/>
        </w:rPr>
        <w:t>结果为我们根据现有相关资料所作的结论，任何资料的变化和补充均可能影响</w:t>
      </w:r>
      <w:r>
        <w:rPr>
          <w:rFonts w:hint="eastAsia" w:ascii="宋体" w:hAnsi="宋体" w:cs="宋体"/>
          <w:sz w:val="21"/>
          <w:szCs w:val="21"/>
        </w:rPr>
        <w:t>编制</w:t>
      </w:r>
      <w:r>
        <w:rPr>
          <w:rFonts w:hint="eastAsia" w:ascii="宋体" w:hAnsi="宋体" w:cs="宋体"/>
          <w:kern w:val="0"/>
          <w:sz w:val="21"/>
          <w:szCs w:val="21"/>
        </w:rPr>
        <w:t>结果。</w:t>
      </w:r>
    </w:p>
    <w:p>
      <w:pPr>
        <w:spacing w:line="440" w:lineRule="exact"/>
        <w:ind w:right="73" w:rightChars="35" w:firstLine="420"/>
        <w:rPr>
          <w:rFonts w:hint="eastAsia" w:ascii="宋体" w:hAnsi="宋体" w:cs="宋体"/>
          <w:b/>
          <w:kern w:val="0"/>
          <w:sz w:val="21"/>
          <w:szCs w:val="21"/>
        </w:rPr>
      </w:pPr>
      <w:r>
        <w:rPr>
          <w:rFonts w:hint="eastAsia" w:ascii="宋体" w:hAnsi="宋体" w:cs="宋体"/>
          <w:b/>
          <w:kern w:val="0"/>
          <w:sz w:val="21"/>
          <w:szCs w:val="21"/>
        </w:rPr>
        <w:t>一、招标控制价编制依据</w:t>
      </w:r>
    </w:p>
    <w:p>
      <w:pPr>
        <w:widowControl/>
        <w:tabs>
          <w:tab w:val="left" w:pos="3060"/>
          <w:tab w:val="left" w:pos="9180"/>
          <w:tab w:val="left" w:pos="9360"/>
        </w:tabs>
        <w:adjustRightInd w:val="0"/>
        <w:snapToGrid w:val="0"/>
        <w:spacing w:line="440" w:lineRule="exact"/>
        <w:ind w:firstLine="436" w:firstLineChars="200"/>
        <w:jc w:val="left"/>
        <w:rPr>
          <w:rFonts w:hint="eastAsia" w:ascii="宋体" w:hAnsi="宋体"/>
          <w:spacing w:val="4"/>
          <w:sz w:val="21"/>
          <w:szCs w:val="21"/>
          <w:highlight w:val="none"/>
        </w:rPr>
      </w:pPr>
      <w:r>
        <w:rPr>
          <w:rFonts w:hint="eastAsia" w:ascii="宋体" w:hAnsi="宋体"/>
          <w:spacing w:val="4"/>
          <w:sz w:val="21"/>
          <w:szCs w:val="21"/>
        </w:rPr>
        <w:t>1、委托单位</w:t>
      </w:r>
      <w:r>
        <w:rPr>
          <w:rFonts w:hint="eastAsia" w:ascii="宋体" w:hAnsi="宋体"/>
          <w:spacing w:val="4"/>
          <w:sz w:val="21"/>
          <w:szCs w:val="21"/>
          <w:highlight w:val="none"/>
        </w:rPr>
        <w:t>提供的由</w:t>
      </w:r>
      <w:r>
        <w:rPr>
          <w:rFonts w:hint="eastAsia" w:ascii="宋体" w:hAnsi="宋体"/>
          <w:spacing w:val="4"/>
          <w:sz w:val="21"/>
          <w:szCs w:val="21"/>
          <w:highlight w:val="none"/>
          <w:lang w:val="en-US" w:eastAsia="zh-CN"/>
        </w:rPr>
        <w:t>中城恒业设计集团有限公司</w:t>
      </w:r>
      <w:r>
        <w:rPr>
          <w:rFonts w:hint="eastAsia" w:ascii="宋体" w:hAnsi="宋体"/>
          <w:spacing w:val="4"/>
          <w:sz w:val="21"/>
          <w:szCs w:val="21"/>
          <w:highlight w:val="none"/>
        </w:rPr>
        <w:t>设计的</w:t>
      </w:r>
      <w:r>
        <w:rPr>
          <w:rFonts w:hint="eastAsia" w:ascii="宋体" w:hAnsi="宋体" w:cs="宋体"/>
          <w:kern w:val="0"/>
          <w:sz w:val="21"/>
          <w:szCs w:val="21"/>
          <w:highlight w:val="none"/>
          <w:lang w:val="en-US" w:eastAsia="zh-CN"/>
        </w:rPr>
        <w:t>宁海县城关中学操场塑胶等改造工程</w:t>
      </w:r>
      <w:r>
        <w:rPr>
          <w:rFonts w:hint="eastAsia" w:ascii="宋体" w:hAnsi="宋体"/>
          <w:spacing w:val="4"/>
          <w:sz w:val="21"/>
          <w:szCs w:val="21"/>
          <w:highlight w:val="none"/>
        </w:rPr>
        <w:t>等各专业施工图；</w:t>
      </w:r>
    </w:p>
    <w:p>
      <w:pPr>
        <w:widowControl/>
        <w:tabs>
          <w:tab w:val="left" w:pos="3060"/>
          <w:tab w:val="left" w:pos="9180"/>
          <w:tab w:val="left" w:pos="9360"/>
        </w:tabs>
        <w:adjustRightInd w:val="0"/>
        <w:snapToGrid w:val="0"/>
        <w:spacing w:line="440" w:lineRule="exact"/>
        <w:ind w:firstLine="436" w:firstLineChars="200"/>
        <w:jc w:val="left"/>
        <w:rPr>
          <w:rFonts w:hint="eastAsia" w:ascii="宋体" w:hAnsi="宋体"/>
          <w:spacing w:val="4"/>
          <w:sz w:val="21"/>
          <w:szCs w:val="21"/>
          <w:highlight w:val="none"/>
        </w:rPr>
      </w:pPr>
      <w:r>
        <w:rPr>
          <w:rFonts w:hint="eastAsia" w:ascii="宋体" w:hAnsi="宋体"/>
          <w:spacing w:val="4"/>
          <w:sz w:val="21"/>
          <w:szCs w:val="21"/>
          <w:highlight w:val="none"/>
        </w:rPr>
        <w:t>2、《浙江省建设工程计价规则》（2018版）；</w:t>
      </w:r>
    </w:p>
    <w:p>
      <w:pPr>
        <w:widowControl/>
        <w:tabs>
          <w:tab w:val="left" w:pos="3060"/>
          <w:tab w:val="left" w:pos="9180"/>
          <w:tab w:val="left" w:pos="9360"/>
        </w:tabs>
        <w:adjustRightInd w:val="0"/>
        <w:snapToGrid w:val="0"/>
        <w:spacing w:line="440" w:lineRule="exact"/>
        <w:ind w:firstLine="436" w:firstLineChars="200"/>
        <w:jc w:val="left"/>
        <w:rPr>
          <w:rFonts w:hint="eastAsia" w:ascii="宋体" w:hAnsi="宋体"/>
          <w:color w:val="auto"/>
          <w:spacing w:val="4"/>
          <w:sz w:val="21"/>
          <w:szCs w:val="21"/>
        </w:rPr>
      </w:pPr>
      <w:r>
        <w:rPr>
          <w:rFonts w:hint="eastAsia" w:ascii="宋体" w:hAnsi="宋体"/>
          <w:color w:val="auto"/>
          <w:spacing w:val="4"/>
          <w:sz w:val="21"/>
          <w:szCs w:val="21"/>
        </w:rPr>
        <w:t>3、</w:t>
      </w:r>
      <w:r>
        <w:rPr>
          <w:rFonts w:hint="eastAsia" w:ascii="宋体" w:hAnsi="宋体"/>
          <w:snapToGrid w:val="0"/>
          <w:color w:val="auto"/>
          <w:kern w:val="0"/>
          <w:sz w:val="21"/>
          <w:szCs w:val="21"/>
        </w:rPr>
        <w:t>《建设工程工程量清单计价规范》（GB50500-2013）等</w:t>
      </w:r>
      <w:r>
        <w:rPr>
          <w:rFonts w:hint="eastAsia" w:ascii="宋体" w:hAnsi="宋体"/>
          <w:color w:val="auto"/>
          <w:spacing w:val="4"/>
          <w:sz w:val="21"/>
          <w:szCs w:val="21"/>
        </w:rPr>
        <w:t>；</w:t>
      </w:r>
    </w:p>
    <w:p>
      <w:pPr>
        <w:widowControl/>
        <w:tabs>
          <w:tab w:val="left" w:pos="3060"/>
          <w:tab w:val="left" w:pos="9180"/>
          <w:tab w:val="left" w:pos="9360"/>
        </w:tabs>
        <w:adjustRightInd w:val="0"/>
        <w:snapToGrid w:val="0"/>
        <w:spacing w:line="440" w:lineRule="exact"/>
        <w:ind w:firstLine="436" w:firstLineChars="200"/>
        <w:jc w:val="left"/>
        <w:rPr>
          <w:rFonts w:hint="eastAsia" w:ascii="宋体" w:hAnsi="宋体"/>
          <w:spacing w:val="4"/>
          <w:sz w:val="21"/>
          <w:szCs w:val="21"/>
        </w:rPr>
      </w:pPr>
      <w:r>
        <w:rPr>
          <w:rFonts w:hint="eastAsia" w:ascii="宋体" w:hAnsi="宋体"/>
          <w:spacing w:val="4"/>
          <w:sz w:val="21"/>
          <w:szCs w:val="21"/>
        </w:rPr>
        <w:t>4、《浙江省房屋建筑与装饰工程预算定额》（2018版）、《浙江省通用安装工程预算定额》（2018版）、《浙江省市政工程预算定额》（2018版）、《浙江省园林绿化及仿古建筑工程预算定额》（2018版）、《浙江省建设工程施工机械台班费用定额》（2018版）；</w:t>
      </w:r>
    </w:p>
    <w:p>
      <w:pPr>
        <w:widowControl/>
        <w:tabs>
          <w:tab w:val="left" w:pos="3060"/>
          <w:tab w:val="left" w:pos="9180"/>
          <w:tab w:val="left" w:pos="9360"/>
        </w:tabs>
        <w:adjustRightInd w:val="0"/>
        <w:snapToGrid w:val="0"/>
        <w:spacing w:line="440" w:lineRule="exact"/>
        <w:ind w:firstLine="436" w:firstLineChars="200"/>
        <w:jc w:val="left"/>
        <w:rPr>
          <w:rFonts w:hint="eastAsia" w:ascii="宋体" w:hAnsi="宋体"/>
          <w:spacing w:val="4"/>
          <w:sz w:val="21"/>
          <w:szCs w:val="21"/>
        </w:rPr>
      </w:pPr>
      <w:r>
        <w:rPr>
          <w:rFonts w:hint="eastAsia" w:ascii="宋体" w:hAnsi="宋体"/>
          <w:spacing w:val="4"/>
          <w:sz w:val="21"/>
          <w:szCs w:val="21"/>
        </w:rPr>
        <w:t>5、《关于颁发浙江省建设工程计价依据（2018版）的通知》（浙建建﹝2018﹞61号）文件、《关于发布浙江省房屋建筑人工综合价格指数的通知》（浙建站信﹝2018﹞52号）文件；</w:t>
      </w:r>
    </w:p>
    <w:p>
      <w:pPr>
        <w:spacing w:line="360" w:lineRule="auto"/>
        <w:ind w:firstLine="436" w:firstLineChars="200"/>
        <w:rPr>
          <w:rFonts w:hint="eastAsia" w:ascii="宋体" w:hAnsi="宋体"/>
          <w:sz w:val="21"/>
          <w:szCs w:val="21"/>
        </w:rPr>
      </w:pPr>
      <w:r>
        <w:rPr>
          <w:rFonts w:hint="eastAsia" w:ascii="宋体" w:hAnsi="宋体"/>
          <w:spacing w:val="4"/>
          <w:sz w:val="21"/>
          <w:szCs w:val="21"/>
        </w:rPr>
        <w:t>6、</w:t>
      </w:r>
      <w:r>
        <w:rPr>
          <w:rFonts w:hint="eastAsia" w:ascii="宋体" w:hAnsi="宋体"/>
          <w:sz w:val="21"/>
          <w:szCs w:val="21"/>
        </w:rPr>
        <w:t>省、市造价文件及其他相关造价依据等。</w:t>
      </w:r>
    </w:p>
    <w:p>
      <w:pPr>
        <w:widowControl/>
        <w:tabs>
          <w:tab w:val="left" w:pos="3060"/>
          <w:tab w:val="left" w:pos="9180"/>
          <w:tab w:val="left" w:pos="9360"/>
        </w:tabs>
        <w:adjustRightInd w:val="0"/>
        <w:snapToGrid w:val="0"/>
        <w:spacing w:line="440" w:lineRule="exact"/>
        <w:ind w:firstLine="413" w:firstLineChars="196"/>
        <w:jc w:val="left"/>
        <w:outlineLvl w:val="0"/>
        <w:rPr>
          <w:rFonts w:hint="eastAsia" w:ascii="宋体" w:hAnsi="宋体" w:cs="宋体"/>
          <w:b/>
          <w:kern w:val="0"/>
          <w:sz w:val="21"/>
          <w:szCs w:val="21"/>
        </w:rPr>
      </w:pPr>
      <w:r>
        <w:rPr>
          <w:rFonts w:hint="eastAsia" w:ascii="宋体" w:hAnsi="宋体" w:cs="宋体"/>
          <w:b/>
          <w:kern w:val="28"/>
          <w:sz w:val="21"/>
          <w:szCs w:val="21"/>
        </w:rPr>
        <w:t>二、</w:t>
      </w:r>
      <w:r>
        <w:rPr>
          <w:rFonts w:hint="eastAsia" w:ascii="宋体" w:hAnsi="宋体" w:cs="宋体"/>
          <w:b/>
          <w:kern w:val="0"/>
          <w:sz w:val="21"/>
          <w:szCs w:val="21"/>
        </w:rPr>
        <w:t>招标控制价编制</w:t>
      </w:r>
      <w:r>
        <w:rPr>
          <w:rFonts w:hint="eastAsia" w:ascii="宋体" w:hAnsi="宋体" w:cs="宋体"/>
          <w:b/>
          <w:kern w:val="28"/>
          <w:sz w:val="21"/>
          <w:szCs w:val="21"/>
        </w:rPr>
        <w:t>原则及办法</w:t>
      </w:r>
    </w:p>
    <w:p>
      <w:pPr>
        <w:widowControl/>
        <w:tabs>
          <w:tab w:val="left" w:pos="3060"/>
          <w:tab w:val="left" w:pos="9180"/>
          <w:tab w:val="left" w:pos="9360"/>
        </w:tabs>
        <w:adjustRightInd w:val="0"/>
        <w:snapToGrid w:val="0"/>
        <w:spacing w:line="440" w:lineRule="exact"/>
        <w:ind w:firstLine="420" w:firstLineChars="200"/>
        <w:jc w:val="left"/>
        <w:rPr>
          <w:rFonts w:hint="eastAsia" w:ascii="宋体" w:hAnsi="宋体" w:cs="宋体"/>
          <w:sz w:val="21"/>
          <w:szCs w:val="21"/>
          <w:highlight w:val="none"/>
        </w:rPr>
      </w:pPr>
      <w:r>
        <w:rPr>
          <w:rFonts w:hint="eastAsia" w:ascii="宋体" w:hAnsi="宋体" w:cs="宋体"/>
          <w:kern w:val="28"/>
          <w:sz w:val="21"/>
          <w:szCs w:val="21"/>
        </w:rPr>
        <w:t>1、工程量：根据</w:t>
      </w:r>
      <w:r>
        <w:rPr>
          <w:rFonts w:hint="eastAsia" w:ascii="宋体" w:hAnsi="宋体"/>
          <w:spacing w:val="4"/>
          <w:sz w:val="21"/>
          <w:szCs w:val="21"/>
        </w:rPr>
        <w:t>委托单位提</w:t>
      </w:r>
      <w:r>
        <w:rPr>
          <w:rFonts w:hint="eastAsia" w:ascii="宋体" w:hAnsi="宋体"/>
          <w:spacing w:val="4"/>
          <w:sz w:val="21"/>
          <w:szCs w:val="21"/>
          <w:highlight w:val="none"/>
        </w:rPr>
        <w:t>供的由</w:t>
      </w:r>
      <w:r>
        <w:rPr>
          <w:rFonts w:hint="eastAsia" w:ascii="宋体" w:hAnsi="宋体"/>
          <w:spacing w:val="4"/>
          <w:sz w:val="21"/>
          <w:szCs w:val="21"/>
          <w:highlight w:val="none"/>
          <w:lang w:val="en-US" w:eastAsia="zh-CN"/>
        </w:rPr>
        <w:t>中城恒业设计集团有限公司</w:t>
      </w:r>
      <w:r>
        <w:rPr>
          <w:rFonts w:hint="eastAsia" w:ascii="宋体" w:hAnsi="宋体"/>
          <w:spacing w:val="4"/>
          <w:sz w:val="21"/>
          <w:szCs w:val="21"/>
          <w:highlight w:val="none"/>
        </w:rPr>
        <w:t>设计的</w:t>
      </w:r>
      <w:r>
        <w:rPr>
          <w:rFonts w:hint="eastAsia" w:ascii="宋体" w:hAnsi="宋体" w:cs="宋体"/>
          <w:kern w:val="0"/>
          <w:sz w:val="21"/>
          <w:szCs w:val="21"/>
          <w:highlight w:val="none"/>
          <w:lang w:val="en-US" w:eastAsia="zh-CN"/>
        </w:rPr>
        <w:t>宁海县城关中学操场塑胶等改造工程</w:t>
      </w:r>
      <w:r>
        <w:rPr>
          <w:rFonts w:hint="eastAsia" w:ascii="宋体" w:hAnsi="宋体"/>
          <w:spacing w:val="4"/>
          <w:sz w:val="21"/>
          <w:szCs w:val="21"/>
          <w:highlight w:val="none"/>
        </w:rPr>
        <w:t>等各专业施工图计算</w:t>
      </w:r>
      <w:r>
        <w:rPr>
          <w:rFonts w:hint="eastAsia" w:ascii="宋体" w:hAnsi="宋体"/>
          <w:sz w:val="21"/>
          <w:szCs w:val="21"/>
          <w:highlight w:val="none"/>
        </w:rPr>
        <w:t>；</w:t>
      </w:r>
    </w:p>
    <w:p>
      <w:pPr>
        <w:widowControl/>
        <w:tabs>
          <w:tab w:val="left" w:pos="3060"/>
          <w:tab w:val="left" w:pos="9180"/>
          <w:tab w:val="left" w:pos="9360"/>
        </w:tabs>
        <w:adjustRightInd w:val="0"/>
        <w:snapToGrid w:val="0"/>
        <w:spacing w:line="440" w:lineRule="exact"/>
        <w:ind w:firstLine="420" w:firstLineChars="200"/>
        <w:jc w:val="left"/>
        <w:rPr>
          <w:rFonts w:hint="eastAsia" w:ascii="宋体" w:hAnsi="宋体" w:cs="宋体"/>
          <w:kern w:val="28"/>
          <w:sz w:val="21"/>
          <w:szCs w:val="21"/>
          <w:highlight w:val="none"/>
        </w:rPr>
      </w:pPr>
      <w:r>
        <w:rPr>
          <w:rFonts w:hint="eastAsia" w:ascii="宋体" w:hAnsi="宋体" w:cs="宋体"/>
          <w:kern w:val="28"/>
          <w:sz w:val="21"/>
          <w:szCs w:val="21"/>
          <w:highlight w:val="none"/>
        </w:rPr>
        <w:t>2、信息价</w:t>
      </w:r>
    </w:p>
    <w:p>
      <w:pPr>
        <w:widowControl/>
        <w:tabs>
          <w:tab w:val="left" w:pos="3060"/>
          <w:tab w:val="left" w:pos="9180"/>
          <w:tab w:val="left" w:pos="9360"/>
        </w:tabs>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kern w:val="28"/>
          <w:sz w:val="21"/>
          <w:szCs w:val="21"/>
        </w:rPr>
        <w:t>①材料市场价格参照《宁波建设工程造价信息》</w:t>
      </w:r>
      <w:r>
        <w:rPr>
          <w:rFonts w:hint="eastAsia" w:ascii="宋体" w:hAnsi="宋体" w:cs="宋体"/>
          <w:kern w:val="28"/>
          <w:sz w:val="21"/>
          <w:szCs w:val="21"/>
          <w:lang w:val="zh-CN"/>
        </w:rPr>
        <w:t>（综合版）20</w:t>
      </w:r>
      <w:r>
        <w:rPr>
          <w:rFonts w:hint="eastAsia" w:ascii="宋体" w:hAnsi="宋体" w:cs="宋体"/>
          <w:kern w:val="28"/>
          <w:sz w:val="21"/>
          <w:szCs w:val="21"/>
          <w:lang w:val="en-US" w:eastAsia="zh-CN"/>
        </w:rPr>
        <w:t>24</w:t>
      </w:r>
      <w:r>
        <w:rPr>
          <w:rFonts w:hint="eastAsia" w:ascii="宋体" w:hAnsi="宋体" w:cs="宋体"/>
          <w:kern w:val="28"/>
          <w:sz w:val="21"/>
          <w:szCs w:val="21"/>
          <w:lang w:val="zh-CN"/>
        </w:rPr>
        <w:t>年</w:t>
      </w:r>
      <w:r>
        <w:rPr>
          <w:rFonts w:hint="eastAsia" w:ascii="宋体" w:hAnsi="宋体" w:cs="宋体"/>
          <w:kern w:val="28"/>
          <w:sz w:val="21"/>
          <w:szCs w:val="21"/>
          <w:lang w:val="en-US" w:eastAsia="zh-CN"/>
        </w:rPr>
        <w:t>04</w:t>
      </w:r>
      <w:r>
        <w:rPr>
          <w:rFonts w:hint="eastAsia" w:ascii="宋体" w:hAnsi="宋体" w:cs="宋体"/>
          <w:kern w:val="28"/>
          <w:sz w:val="21"/>
          <w:szCs w:val="21"/>
          <w:lang w:val="zh-CN"/>
        </w:rPr>
        <w:t>月刊</w:t>
      </w:r>
      <w:r>
        <w:rPr>
          <w:rFonts w:hint="eastAsia" w:ascii="宋体" w:hAnsi="宋体" w:eastAsia="宋体" w:cs="宋体"/>
          <w:kern w:val="28"/>
          <w:sz w:val="21"/>
          <w:szCs w:val="21"/>
          <w:highlight w:val="none"/>
        </w:rPr>
        <w:t>（宁海区），宁海县信息价没有的按宁波市区信息价计算，</w:t>
      </w:r>
      <w:r>
        <w:rPr>
          <w:rFonts w:hint="eastAsia" w:ascii="宋体" w:hAnsi="宋体" w:cs="宋体"/>
          <w:kern w:val="28"/>
          <w:sz w:val="21"/>
          <w:szCs w:val="21"/>
        </w:rPr>
        <w:t>无宁波市区价参照《浙江造价信息》20</w:t>
      </w:r>
      <w:r>
        <w:rPr>
          <w:rFonts w:hint="eastAsia" w:ascii="宋体" w:hAnsi="宋体" w:cs="宋体"/>
          <w:kern w:val="28"/>
          <w:sz w:val="21"/>
          <w:szCs w:val="21"/>
          <w:lang w:val="en-US" w:eastAsia="zh-CN"/>
        </w:rPr>
        <w:t>24</w:t>
      </w:r>
      <w:r>
        <w:rPr>
          <w:rFonts w:hint="eastAsia" w:ascii="宋体" w:hAnsi="宋体" w:cs="宋体"/>
          <w:kern w:val="28"/>
          <w:sz w:val="21"/>
          <w:szCs w:val="21"/>
        </w:rPr>
        <w:t>年第</w:t>
      </w:r>
      <w:r>
        <w:rPr>
          <w:rFonts w:hint="eastAsia" w:ascii="宋体" w:hAnsi="宋体" w:cs="宋体"/>
          <w:kern w:val="28"/>
          <w:sz w:val="21"/>
          <w:szCs w:val="21"/>
          <w:lang w:val="en-US" w:eastAsia="zh-CN"/>
        </w:rPr>
        <w:t>04</w:t>
      </w:r>
      <w:r>
        <w:rPr>
          <w:rFonts w:hint="eastAsia" w:ascii="宋体" w:hAnsi="宋体" w:cs="宋体"/>
          <w:kern w:val="28"/>
          <w:sz w:val="21"/>
          <w:szCs w:val="21"/>
        </w:rPr>
        <w:t>期价格（除税信息价），无信息价材料按文件规定并结合市场询价（除税价格）计入</w:t>
      </w:r>
      <w:r>
        <w:rPr>
          <w:rFonts w:hint="eastAsia" w:ascii="宋体" w:hAnsi="宋体" w:cs="宋体"/>
          <w:color w:val="000000"/>
          <w:kern w:val="0"/>
          <w:sz w:val="21"/>
          <w:szCs w:val="21"/>
        </w:rPr>
        <w:t>。</w:t>
      </w:r>
    </w:p>
    <w:p>
      <w:pPr>
        <w:widowControl/>
        <w:tabs>
          <w:tab w:val="left" w:pos="3060"/>
          <w:tab w:val="left" w:pos="9180"/>
          <w:tab w:val="left" w:pos="9360"/>
        </w:tabs>
        <w:adjustRightInd w:val="0"/>
        <w:snapToGrid w:val="0"/>
        <w:spacing w:line="440" w:lineRule="exact"/>
        <w:ind w:firstLine="420" w:firstLineChars="200"/>
        <w:jc w:val="left"/>
        <w:rPr>
          <w:rFonts w:hint="eastAsia" w:ascii="宋体" w:hAnsi="宋体" w:cs="宋体"/>
          <w:kern w:val="28"/>
          <w:sz w:val="21"/>
          <w:szCs w:val="21"/>
        </w:rPr>
      </w:pPr>
      <w:r>
        <w:rPr>
          <w:rFonts w:hint="eastAsia" w:ascii="宋体" w:hAnsi="宋体" w:cs="宋体"/>
          <w:kern w:val="28"/>
          <w:sz w:val="21"/>
          <w:szCs w:val="21"/>
        </w:rPr>
        <w:t>②人工市场信息价按《宁波建设工程造价信息》（综合版）20</w:t>
      </w:r>
      <w:r>
        <w:rPr>
          <w:rFonts w:hint="eastAsia" w:ascii="宋体" w:hAnsi="宋体" w:cs="宋体"/>
          <w:kern w:val="28"/>
          <w:sz w:val="21"/>
          <w:szCs w:val="21"/>
          <w:lang w:val="en-US" w:eastAsia="zh-CN"/>
        </w:rPr>
        <w:t>24</w:t>
      </w:r>
      <w:r>
        <w:rPr>
          <w:rFonts w:hint="eastAsia" w:ascii="宋体" w:hAnsi="宋体" w:cs="宋体"/>
          <w:kern w:val="28"/>
          <w:sz w:val="21"/>
          <w:szCs w:val="21"/>
        </w:rPr>
        <w:t>年</w:t>
      </w:r>
      <w:r>
        <w:rPr>
          <w:rFonts w:hint="eastAsia" w:ascii="宋体" w:hAnsi="宋体" w:cs="宋体"/>
          <w:kern w:val="28"/>
          <w:sz w:val="21"/>
          <w:szCs w:val="21"/>
          <w:lang w:val="en-US" w:eastAsia="zh-CN"/>
        </w:rPr>
        <w:t>04</w:t>
      </w:r>
      <w:r>
        <w:rPr>
          <w:rFonts w:hint="eastAsia" w:ascii="宋体" w:hAnsi="宋体" w:cs="宋体"/>
          <w:kern w:val="28"/>
          <w:sz w:val="21"/>
          <w:szCs w:val="21"/>
        </w:rPr>
        <w:t>月刊计入。</w:t>
      </w:r>
    </w:p>
    <w:p>
      <w:pPr>
        <w:widowControl/>
        <w:tabs>
          <w:tab w:val="left" w:pos="3060"/>
          <w:tab w:val="left" w:pos="9180"/>
          <w:tab w:val="left" w:pos="9360"/>
        </w:tabs>
        <w:adjustRightInd w:val="0"/>
        <w:snapToGrid w:val="0"/>
        <w:spacing w:line="440" w:lineRule="exact"/>
        <w:ind w:firstLine="420" w:firstLineChars="200"/>
        <w:jc w:val="left"/>
        <w:rPr>
          <w:rFonts w:hint="eastAsia" w:ascii="宋体" w:hAnsi="宋体" w:cs="宋体"/>
          <w:kern w:val="28"/>
          <w:sz w:val="21"/>
          <w:szCs w:val="21"/>
        </w:rPr>
      </w:pPr>
      <w:r>
        <w:rPr>
          <w:rFonts w:hint="eastAsia" w:ascii="宋体" w:hAnsi="宋体" w:cs="宋体"/>
          <w:kern w:val="28"/>
          <w:sz w:val="21"/>
          <w:szCs w:val="21"/>
        </w:rPr>
        <w:t>3、取费标准</w:t>
      </w:r>
    </w:p>
    <w:p>
      <w:pPr>
        <w:widowControl/>
        <w:tabs>
          <w:tab w:val="left" w:pos="3060"/>
          <w:tab w:val="left" w:pos="9180"/>
          <w:tab w:val="left" w:pos="9360"/>
        </w:tabs>
        <w:adjustRightInd w:val="0"/>
        <w:snapToGrid w:val="0"/>
        <w:spacing w:line="440" w:lineRule="exact"/>
        <w:ind w:firstLine="420" w:firstLineChars="200"/>
        <w:jc w:val="left"/>
        <w:rPr>
          <w:rFonts w:hint="eastAsia" w:ascii="宋体" w:hAnsi="宋体" w:cs="宋体"/>
          <w:kern w:val="28"/>
          <w:sz w:val="21"/>
          <w:szCs w:val="21"/>
          <w:highlight w:val="none"/>
        </w:rPr>
      </w:pPr>
      <w:r>
        <w:rPr>
          <w:rFonts w:hint="eastAsia" w:ascii="宋体" w:hAnsi="宋体" w:cs="宋体"/>
          <w:kern w:val="28"/>
          <w:sz w:val="21"/>
          <w:szCs w:val="21"/>
        </w:rPr>
        <w:t>①</w:t>
      </w:r>
      <w:r>
        <w:rPr>
          <w:rFonts w:hint="eastAsia" w:ascii="宋体" w:hAnsi="宋体" w:cs="宋体"/>
          <w:kern w:val="28"/>
          <w:sz w:val="21"/>
          <w:szCs w:val="21"/>
          <w:highlight w:val="none"/>
          <w:lang w:val="en-US" w:eastAsia="zh-CN"/>
        </w:rPr>
        <w:t>本</w:t>
      </w:r>
      <w:r>
        <w:rPr>
          <w:rFonts w:hint="eastAsia" w:ascii="宋体" w:hAnsi="宋体" w:cs="宋体"/>
          <w:kern w:val="28"/>
          <w:sz w:val="21"/>
          <w:szCs w:val="21"/>
          <w:highlight w:val="none"/>
        </w:rPr>
        <w:t>工程企业管理费、利润费率按</w:t>
      </w:r>
      <w:r>
        <w:rPr>
          <w:rFonts w:hint="eastAsia" w:ascii="宋体" w:hAnsi="宋体" w:cs="宋体"/>
          <w:kern w:val="28"/>
          <w:sz w:val="21"/>
          <w:szCs w:val="21"/>
          <w:highlight w:val="none"/>
          <w:lang w:eastAsia="zh-CN"/>
        </w:rPr>
        <w:t>中值</w:t>
      </w:r>
      <w:r>
        <w:rPr>
          <w:rFonts w:hint="eastAsia" w:ascii="宋体" w:hAnsi="宋体" w:cs="宋体"/>
          <w:kern w:val="28"/>
          <w:sz w:val="21"/>
          <w:szCs w:val="21"/>
          <w:highlight w:val="none"/>
        </w:rPr>
        <w:t>计取；</w:t>
      </w:r>
    </w:p>
    <w:p>
      <w:pPr>
        <w:widowControl/>
        <w:tabs>
          <w:tab w:val="left" w:pos="3060"/>
          <w:tab w:val="left" w:pos="9180"/>
          <w:tab w:val="left" w:pos="9360"/>
        </w:tabs>
        <w:adjustRightInd w:val="0"/>
        <w:snapToGrid w:val="0"/>
        <w:spacing w:line="440" w:lineRule="exact"/>
        <w:ind w:firstLine="420" w:firstLineChars="200"/>
        <w:jc w:val="left"/>
        <w:rPr>
          <w:rFonts w:hint="eastAsia" w:ascii="宋体" w:hAnsi="宋体"/>
          <w:color w:val="auto"/>
          <w:spacing w:val="4"/>
          <w:sz w:val="21"/>
          <w:szCs w:val="21"/>
        </w:rPr>
      </w:pPr>
      <w:r>
        <w:rPr>
          <w:rFonts w:hint="eastAsia" w:ascii="宋体" w:hAnsi="宋体" w:cs="宋体"/>
          <w:kern w:val="28"/>
          <w:sz w:val="21"/>
          <w:szCs w:val="21"/>
        </w:rPr>
        <w:t>②施工组织措施费费率按中值计取，计取安全文明施工费（市区工程）</w:t>
      </w:r>
      <w:r>
        <w:rPr>
          <w:rFonts w:hint="eastAsia" w:ascii="宋体" w:hAnsi="宋体" w:cs="宋体"/>
          <w:kern w:val="28"/>
          <w:sz w:val="21"/>
          <w:szCs w:val="21"/>
          <w:lang w:eastAsia="zh-CN"/>
        </w:rPr>
        <w:t>，</w:t>
      </w:r>
      <w:r>
        <w:rPr>
          <w:rFonts w:hint="eastAsia" w:ascii="宋体" w:hAnsi="宋体" w:cs="宋体"/>
          <w:color w:val="auto"/>
          <w:kern w:val="0"/>
          <w:sz w:val="21"/>
          <w:szCs w:val="21"/>
          <w:lang w:eastAsia="zh-CN" w:bidi="ar"/>
        </w:rPr>
        <w:t>其中安全文明施工费基本费按甬建发〔2022〕34 号文件计入</w:t>
      </w:r>
      <w:r>
        <w:rPr>
          <w:rFonts w:hint="eastAsia" w:ascii="宋体" w:hAnsi="宋体" w:cs="宋体"/>
          <w:kern w:val="28"/>
          <w:sz w:val="21"/>
          <w:szCs w:val="21"/>
        </w:rPr>
        <w:t>；</w:t>
      </w:r>
      <w:r>
        <w:rPr>
          <w:rFonts w:hint="eastAsia" w:ascii="宋体" w:hAnsi="宋体"/>
          <w:color w:val="auto"/>
          <w:spacing w:val="4"/>
          <w:sz w:val="21"/>
          <w:szCs w:val="21"/>
        </w:rPr>
        <w:t xml:space="preserve"> </w:t>
      </w:r>
    </w:p>
    <w:p>
      <w:pPr>
        <w:widowControl/>
        <w:tabs>
          <w:tab w:val="left" w:pos="3060"/>
          <w:tab w:val="left" w:pos="9180"/>
          <w:tab w:val="left" w:pos="9360"/>
        </w:tabs>
        <w:adjustRightInd w:val="0"/>
        <w:snapToGrid w:val="0"/>
        <w:spacing w:line="440" w:lineRule="exact"/>
        <w:ind w:firstLine="436" w:firstLineChars="200"/>
        <w:jc w:val="left"/>
        <w:rPr>
          <w:rFonts w:hint="eastAsia" w:ascii="宋体" w:hAnsi="宋体"/>
          <w:spacing w:val="4"/>
          <w:sz w:val="21"/>
          <w:szCs w:val="21"/>
          <w:highlight w:val="none"/>
        </w:rPr>
      </w:pPr>
      <w:r>
        <w:rPr>
          <w:rFonts w:ascii="宋体" w:hAnsi="宋体"/>
          <w:color w:val="auto"/>
          <w:spacing w:val="4"/>
          <w:sz w:val="21"/>
          <w:szCs w:val="21"/>
          <w:highlight w:val="none"/>
        </w:rPr>
        <w:fldChar w:fldCharType="begin"/>
      </w:r>
      <w:r>
        <w:rPr>
          <w:rFonts w:ascii="宋体" w:hAnsi="宋体"/>
          <w:color w:val="auto"/>
          <w:spacing w:val="4"/>
          <w:sz w:val="21"/>
          <w:szCs w:val="21"/>
          <w:highlight w:val="none"/>
        </w:rPr>
        <w:instrText xml:space="preserve"> </w:instrText>
      </w:r>
      <w:r>
        <w:rPr>
          <w:rFonts w:hint="eastAsia" w:ascii="宋体" w:hAnsi="宋体"/>
          <w:color w:val="auto"/>
          <w:spacing w:val="4"/>
          <w:sz w:val="21"/>
          <w:szCs w:val="21"/>
          <w:highlight w:val="none"/>
        </w:rPr>
        <w:instrText xml:space="preserve">= 3 \* GB3</w:instrText>
      </w:r>
      <w:r>
        <w:rPr>
          <w:rFonts w:ascii="宋体" w:hAnsi="宋体"/>
          <w:color w:val="auto"/>
          <w:spacing w:val="4"/>
          <w:sz w:val="21"/>
          <w:szCs w:val="21"/>
          <w:highlight w:val="none"/>
        </w:rPr>
        <w:instrText xml:space="preserve"> </w:instrText>
      </w:r>
      <w:r>
        <w:rPr>
          <w:rFonts w:ascii="宋体" w:hAnsi="宋体"/>
          <w:color w:val="auto"/>
          <w:spacing w:val="4"/>
          <w:sz w:val="21"/>
          <w:szCs w:val="21"/>
          <w:highlight w:val="none"/>
        </w:rPr>
        <w:fldChar w:fldCharType="separate"/>
      </w:r>
      <w:r>
        <w:rPr>
          <w:rFonts w:hint="eastAsia" w:ascii="宋体" w:hAnsi="宋体"/>
          <w:color w:val="auto"/>
          <w:spacing w:val="4"/>
          <w:sz w:val="21"/>
          <w:szCs w:val="21"/>
          <w:highlight w:val="none"/>
        </w:rPr>
        <w:t>③</w:t>
      </w:r>
      <w:r>
        <w:rPr>
          <w:rFonts w:ascii="宋体" w:hAnsi="宋体"/>
          <w:color w:val="auto"/>
          <w:spacing w:val="4"/>
          <w:sz w:val="21"/>
          <w:szCs w:val="21"/>
          <w:highlight w:val="none"/>
        </w:rPr>
        <w:fldChar w:fldCharType="end"/>
      </w:r>
      <w:r>
        <w:rPr>
          <w:rFonts w:hint="eastAsia" w:ascii="宋体" w:hAnsi="宋体" w:eastAsia="宋体" w:cs="宋体"/>
          <w:kern w:val="28"/>
          <w:sz w:val="21"/>
          <w:szCs w:val="21"/>
          <w:highlight w:val="none"/>
        </w:rPr>
        <w:t>规费根据浙建建[2018]61号文，投标人根据国家法律法规及自身缴纳规费的实际情况，自主确定其投标费率，但在规费平稳过度期内不得低于标准费率的30%</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rPr>
        <w:t>经与建设单位沟通，本</w:t>
      </w:r>
      <w:r>
        <w:rPr>
          <w:rFonts w:hint="eastAsia" w:ascii="宋体" w:hAnsi="宋体" w:eastAsia="宋体" w:cs="宋体"/>
          <w:kern w:val="28"/>
          <w:sz w:val="21"/>
          <w:szCs w:val="21"/>
          <w:highlight w:val="none"/>
          <w:lang w:eastAsia="zh-CN"/>
        </w:rPr>
        <w:t>招标控制价</w:t>
      </w:r>
      <w:r>
        <w:rPr>
          <w:rFonts w:hint="eastAsia" w:ascii="宋体" w:hAnsi="宋体" w:eastAsia="宋体" w:cs="宋体"/>
          <w:kern w:val="28"/>
          <w:sz w:val="21"/>
          <w:szCs w:val="21"/>
          <w:highlight w:val="none"/>
        </w:rPr>
        <w:t>按标准费率的30%计列；</w:t>
      </w:r>
    </w:p>
    <w:p>
      <w:pPr>
        <w:widowControl/>
        <w:tabs>
          <w:tab w:val="left" w:pos="3060"/>
          <w:tab w:val="left" w:pos="9180"/>
          <w:tab w:val="left" w:pos="9360"/>
        </w:tabs>
        <w:adjustRightInd w:val="0"/>
        <w:snapToGrid w:val="0"/>
        <w:spacing w:line="440" w:lineRule="exact"/>
        <w:ind w:firstLine="420" w:firstLineChars="200"/>
        <w:jc w:val="left"/>
        <w:rPr>
          <w:rFonts w:hint="eastAsia" w:ascii="宋体" w:hAnsi="宋体"/>
          <w:sz w:val="21"/>
          <w:szCs w:val="21"/>
        </w:rPr>
      </w:pPr>
      <w:r>
        <w:rPr>
          <w:rFonts w:hint="eastAsia" w:ascii="宋体" w:hAnsi="宋体"/>
          <w:sz w:val="21"/>
          <w:szCs w:val="21"/>
        </w:rPr>
        <w:t>4、本工程计税方法：一般计税法，税率9%；</w:t>
      </w:r>
    </w:p>
    <w:p>
      <w:pPr>
        <w:widowControl/>
        <w:tabs>
          <w:tab w:val="left" w:pos="3060"/>
          <w:tab w:val="left" w:pos="9180"/>
          <w:tab w:val="left" w:pos="9360"/>
        </w:tabs>
        <w:adjustRightInd w:val="0"/>
        <w:snapToGrid w:val="0"/>
        <w:spacing w:line="440" w:lineRule="exact"/>
        <w:ind w:firstLine="420" w:firstLineChars="200"/>
        <w:jc w:val="left"/>
        <w:rPr>
          <w:rFonts w:hint="eastAsia" w:ascii="宋体" w:hAnsi="宋体"/>
          <w:color w:val="auto"/>
          <w:sz w:val="21"/>
          <w:szCs w:val="21"/>
        </w:rPr>
      </w:pPr>
      <w:r>
        <w:rPr>
          <w:rFonts w:hint="eastAsia" w:ascii="宋体" w:hAnsi="宋体"/>
          <w:color w:val="auto"/>
          <w:sz w:val="21"/>
          <w:szCs w:val="21"/>
        </w:rPr>
        <w:t>5、</w:t>
      </w:r>
      <w:r>
        <w:rPr>
          <w:rFonts w:hint="eastAsia" w:ascii="宋体" w:hAnsi="宋体"/>
          <w:color w:val="auto"/>
          <w:spacing w:val="6"/>
          <w:sz w:val="21"/>
          <w:szCs w:val="21"/>
        </w:rPr>
        <w:t>按国标清单，以综合单价法编制。</w:t>
      </w:r>
    </w:p>
    <w:p>
      <w:pPr>
        <w:tabs>
          <w:tab w:val="left" w:pos="3060"/>
          <w:tab w:val="left" w:pos="8490"/>
          <w:tab w:val="left" w:pos="9180"/>
          <w:tab w:val="left" w:pos="9360"/>
        </w:tabs>
        <w:spacing w:line="440" w:lineRule="exact"/>
        <w:ind w:right="-2" w:rightChars="-1" w:firstLine="394" w:firstLineChars="187"/>
        <w:outlineLvl w:val="0"/>
        <w:rPr>
          <w:rFonts w:hint="eastAsia" w:ascii="宋体" w:hAnsi="宋体" w:cs="宋体"/>
          <w:b/>
          <w:kern w:val="28"/>
          <w:sz w:val="21"/>
          <w:szCs w:val="21"/>
        </w:rPr>
      </w:pPr>
      <w:r>
        <w:rPr>
          <w:rFonts w:hint="eastAsia" w:ascii="宋体" w:hAnsi="宋体" w:cs="宋体"/>
          <w:b/>
          <w:kern w:val="28"/>
          <w:sz w:val="21"/>
          <w:szCs w:val="21"/>
        </w:rPr>
        <w:t>三、有关事项说明</w:t>
      </w:r>
    </w:p>
    <w:p>
      <w:pPr>
        <w:widowControl/>
        <w:tabs>
          <w:tab w:val="left" w:pos="3060"/>
          <w:tab w:val="left" w:pos="9180"/>
          <w:tab w:val="left" w:pos="9360"/>
        </w:tabs>
        <w:adjustRightInd w:val="0"/>
        <w:snapToGrid w:val="0"/>
        <w:spacing w:line="440" w:lineRule="exact"/>
        <w:ind w:firstLine="420" w:firstLineChars="20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1、本工程场内建筑垃圾</w:t>
      </w:r>
      <w:r>
        <w:rPr>
          <w:rFonts w:hint="eastAsia" w:ascii="宋体" w:hAnsi="宋体" w:eastAsia="宋体" w:cs="Times New Roman"/>
          <w:sz w:val="21"/>
          <w:szCs w:val="21"/>
          <w:lang w:eastAsia="zh-CN"/>
        </w:rPr>
        <w:t>外运按</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eastAsia="zh-CN"/>
        </w:rPr>
        <w:t>公里计入，渣土处置费及外运按文件规定计入</w:t>
      </w:r>
      <w:r>
        <w:rPr>
          <w:rFonts w:hint="eastAsia" w:ascii="宋体" w:hAnsi="宋体" w:eastAsia="宋体" w:cs="Times New Roman"/>
          <w:sz w:val="21"/>
          <w:szCs w:val="21"/>
          <w:lang w:val="en-US" w:eastAsia="zh-CN"/>
        </w:rPr>
        <w:t>(宁价2019年1号文件）。</w:t>
      </w:r>
    </w:p>
    <w:p>
      <w:pPr>
        <w:pStyle w:val="59"/>
        <w:ind w:left="0" w:leftChars="0" w:firstLine="0" w:firstLineChars="0"/>
        <w:rPr>
          <w:rFonts w:hint="eastAsia" w:ascii="Times New Roman" w:hAnsi="Times New Roman" w:eastAsia="宋体" w:cs="Times New Roman"/>
          <w:sz w:val="21"/>
          <w:szCs w:val="21"/>
          <w:lang w:val="en-US" w:eastAsia="zh-CN"/>
        </w:rPr>
      </w:pPr>
    </w:p>
    <w:p>
      <w:pPr>
        <w:pStyle w:val="59"/>
        <w:rPr>
          <w:rFonts w:hint="eastAsia" w:ascii="Times New Roman" w:hAnsi="Times New Roman" w:eastAsia="宋体" w:cs="Times New Roman"/>
          <w:sz w:val="21"/>
          <w:szCs w:val="21"/>
          <w:lang w:val="en-US" w:eastAsia="zh-CN"/>
        </w:rPr>
      </w:pPr>
    </w:p>
    <w:p>
      <w:pPr>
        <w:pStyle w:val="59"/>
        <w:ind w:left="0" w:leftChars="0" w:firstLine="211" w:firstLineChars="100"/>
        <w:rPr>
          <w:rFonts w:hint="eastAsia"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五、项目技术参数</w:t>
      </w:r>
    </w:p>
    <w:tbl>
      <w:tblPr>
        <w:tblStyle w:val="6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9"/>
        <w:gridCol w:w="2006"/>
        <w:gridCol w:w="3105"/>
        <w:gridCol w:w="675"/>
        <w:gridCol w:w="106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0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10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106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123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99" w:type="dxa"/>
            <w:shd w:val="clear" w:color="auto" w:fill="FFFFFF"/>
            <w:vAlign w:val="center"/>
          </w:tcPr>
          <w:p>
            <w:pPr>
              <w:keepNext w:val="0"/>
              <w:keepLines w:val="0"/>
              <w:widowControl/>
              <w:suppressLineNumbers w:val="0"/>
              <w:tabs>
                <w:tab w:val="left" w:pos="508"/>
              </w:tabs>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操场</w:t>
            </w:r>
          </w:p>
        </w:tc>
        <w:tc>
          <w:tcPr>
            <w:tcW w:w="200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0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3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原有塑胶面层铲除</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铲除原有塑胶面层，垃圾外运</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8451.44</w:t>
            </w:r>
          </w:p>
        </w:tc>
        <w:tc>
          <w:tcPr>
            <w:tcW w:w="1233" w:type="dxa"/>
            <w:shd w:val="clear" w:color="auto" w:fill="FFFFFF"/>
            <w:vAlign w:val="center"/>
          </w:tcPr>
          <w:p>
            <w:pPr>
              <w:jc w:val="right"/>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13厚透气式塑胶跑道</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1.打磨或酸洗基面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2.自流平找平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3.上底漆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4.填缝、补积水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5.滚刷一道塑胶界面剂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6.环保胶粒与纯胶水搅拌机械摊铺弹性层，厚度8mm-10mm；胶粒高聚物含量≥15%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7.喷涂PU弹性稳定剂和EPDM彩色颗粒混合而成的摩擦层2-3遍，总厚度3-5mm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8.EPDM防滑颗粒高聚物含量≥20%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9.划线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注意本项包含标准划线，原材料检测等费用，颜色根据效果图定制，具体施工工艺按照施工图要求。</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5031.44</w:t>
            </w:r>
          </w:p>
        </w:tc>
        <w:tc>
          <w:tcPr>
            <w:tcW w:w="123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足球场地</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1.打磨或酸洗基面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2.自流平找平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3.粘结带放置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4.对准草皮粘结带涂胶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5.50高PE人工草坪铺贴缝隙粘胶，PE材质草丝、S型单丝包绿纱、双层墨绿色pp基布、绿色pu背胶、密度为≥10500/m2、颜色为翠绿/柠檬绿+翠绿/橄榄绿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6.填充7KG/M2用量EPDM橡胶颗粒均撒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7.填充35厚40目石英砂用量30kg/m2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8.清理保养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注意本项包含标准划线，原材料检测等费用，颜色根据效果图定制，具体施工工艺按照施工图要求。</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3420.00</w:t>
            </w:r>
          </w:p>
        </w:tc>
        <w:tc>
          <w:tcPr>
            <w:tcW w:w="123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开孔（打洞）</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足球场地打泄水孔，直径2CM</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3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清理费</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1.足球场和透气式塑胶面层交接处找坡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2.跑道和球场交接处排水口开孔清理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3.一口价包干</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3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23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1号楼屋面一</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1.1.5厚合成高分子自粘性防水卷材一道（上翻至女儿墙0.5米高）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2.高分子水泥基渗透结晶型防水涂料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3.20厚1:3水泥砂浆找坡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4.挤塑聚苯板板保温层40层（燃烧性能A级）保温层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5.最薄30厚LC5.0轻集料混凝土2%找坡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6.铲除原SBS防水卷材至现浇层</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335.00</w:t>
            </w:r>
          </w:p>
        </w:tc>
        <w:tc>
          <w:tcPr>
            <w:tcW w:w="123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1号楼屋面二</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1.1.5厚合成高分子自粘性防水卷材一道（上翻至女儿墙0.5米高）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2.高分子水泥基渗透结晶型防水涂料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3.20厚1:3水泥砂浆找坡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4.最薄30厚LC5.0轻集料混凝土2%找坡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5.铲除原SBS防水卷材至现浇层</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56.80</w:t>
            </w:r>
          </w:p>
        </w:tc>
        <w:tc>
          <w:tcPr>
            <w:tcW w:w="123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线路整理</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原有屋面线路整理，一口价包干</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3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1"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屋面预制板拆除及垃圾清理</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屋面预制板拆除及垃圾清理，拆除垃圾需吊机往下吊</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335.00</w:t>
            </w:r>
          </w:p>
        </w:tc>
        <w:tc>
          <w:tcPr>
            <w:tcW w:w="123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余方弃置</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1.渣土运输费，运距5km</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234.50</w:t>
            </w:r>
          </w:p>
        </w:tc>
        <w:tc>
          <w:tcPr>
            <w:tcW w:w="123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00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余方弃置</w:t>
            </w:r>
          </w:p>
        </w:tc>
        <w:tc>
          <w:tcPr>
            <w:tcW w:w="31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1.渣土处置费</w:t>
            </w:r>
          </w:p>
        </w:tc>
        <w:tc>
          <w:tcPr>
            <w:tcW w:w="6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m3</w:t>
            </w: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234.50</w:t>
            </w:r>
          </w:p>
        </w:tc>
        <w:tc>
          <w:tcPr>
            <w:tcW w:w="1233" w:type="dxa"/>
            <w:shd w:val="clear" w:color="auto" w:fill="FFFFFF"/>
            <w:vAlign w:val="center"/>
          </w:tcPr>
          <w:p>
            <w:pPr>
              <w:jc w:val="right"/>
              <w:rPr>
                <w:rFonts w:hint="eastAsia" w:ascii="宋体" w:hAnsi="宋体" w:eastAsia="宋体" w:cs="宋体"/>
                <w:i w:val="0"/>
                <w:iCs w:val="0"/>
                <w:color w:val="000000"/>
                <w:kern w:val="0"/>
                <w:sz w:val="21"/>
                <w:szCs w:val="21"/>
                <w:u w:val="none"/>
                <w:lang w:val="en-US" w:eastAsia="zh-CN" w:bidi="ar"/>
              </w:rPr>
            </w:pPr>
          </w:p>
        </w:tc>
      </w:tr>
    </w:tbl>
    <w:p>
      <w:pPr>
        <w:pStyle w:val="59"/>
        <w:rPr>
          <w:rFonts w:hint="eastAsia" w:ascii="Times New Roman" w:hAnsi="Times New Roman" w:eastAsia="宋体" w:cs="Times New Roman"/>
          <w:sz w:val="21"/>
          <w:szCs w:val="21"/>
          <w:lang w:val="en-US" w:eastAsia="zh-CN"/>
        </w:rPr>
      </w:pPr>
    </w:p>
    <w:p>
      <w:pPr>
        <w:pStyle w:val="59"/>
        <w:rPr>
          <w:rFonts w:hint="eastAsia" w:ascii="Times New Roman" w:hAnsi="Times New Roman" w:eastAsia="宋体" w:cs="Times New Roman"/>
          <w:sz w:val="21"/>
          <w:szCs w:val="21"/>
          <w:lang w:val="en-US" w:eastAsia="zh-CN"/>
        </w:rPr>
      </w:pPr>
    </w:p>
    <w:p>
      <w:pPr>
        <w:spacing w:line="360" w:lineRule="auto"/>
        <w:jc w:val="center"/>
        <w:rPr>
          <w:rFonts w:hint="eastAsia" w:ascii="宋体" w:hAnsi="宋体"/>
          <w:b/>
          <w:bCs/>
          <w:szCs w:val="21"/>
        </w:rPr>
      </w:pPr>
      <w:r>
        <w:rPr>
          <w:rFonts w:hint="eastAsia" w:ascii="宋体" w:hAnsi="宋体"/>
          <w:b/>
          <w:bCs/>
          <w:szCs w:val="21"/>
        </w:rPr>
        <w:t>B、技术参数标准</w:t>
      </w:r>
    </w:p>
    <w:p>
      <w:pPr>
        <w:spacing w:line="360" w:lineRule="auto"/>
        <w:jc w:val="left"/>
        <w:rPr>
          <w:rFonts w:ascii="宋体" w:hAnsi="宋体"/>
          <w:b/>
          <w:szCs w:val="21"/>
        </w:rPr>
      </w:pPr>
      <w:r>
        <w:rPr>
          <w:rFonts w:ascii="宋体" w:hAnsi="宋体"/>
          <w:b/>
          <w:szCs w:val="21"/>
        </w:rPr>
        <w:t>1、</w:t>
      </w:r>
      <w:r>
        <w:rPr>
          <w:rFonts w:hint="eastAsia" w:ascii="宋体" w:hAnsi="宋体"/>
          <w:b/>
          <w:szCs w:val="21"/>
        </w:rPr>
        <w:t>13mm</w:t>
      </w:r>
      <w:r>
        <w:rPr>
          <w:rFonts w:hint="eastAsia" w:ascii="宋体" w:hAnsi="宋体"/>
          <w:b/>
          <w:szCs w:val="21"/>
          <w:lang w:val="en-US" w:eastAsia="zh-CN"/>
        </w:rPr>
        <w:t>透气式塑胶面层</w:t>
      </w:r>
      <w:r>
        <w:rPr>
          <w:rFonts w:hint="eastAsia" w:ascii="宋体" w:hAnsi="宋体"/>
          <w:b/>
          <w:szCs w:val="21"/>
        </w:rPr>
        <w:t>要求及技术参</w:t>
      </w:r>
      <w:r>
        <w:rPr>
          <w:rFonts w:ascii="宋体" w:hAnsi="宋体"/>
          <w:b/>
          <w:szCs w:val="21"/>
        </w:rPr>
        <w:t>数</w:t>
      </w:r>
    </w:p>
    <w:p>
      <w:pPr>
        <w:numPr>
          <w:ilvl w:val="0"/>
          <w:numId w:val="8"/>
        </w:numPr>
        <w:spacing w:line="360" w:lineRule="auto"/>
        <w:jc w:val="left"/>
        <w:rPr>
          <w:rFonts w:hint="eastAsia" w:ascii="宋体" w:hAnsi="宋体"/>
          <w:szCs w:val="21"/>
        </w:rPr>
      </w:pPr>
      <w:r>
        <w:rPr>
          <w:rFonts w:hint="eastAsia" w:ascii="宋体" w:hAnsi="宋体"/>
          <w:szCs w:val="21"/>
        </w:rPr>
        <w:t>底层滚涂一层胶水进行加固；环保EPDM打底颗粒</w:t>
      </w:r>
      <w:r>
        <w:rPr>
          <w:rFonts w:hint="eastAsia" w:ascii="宋体" w:hAnsi="宋体"/>
          <w:szCs w:val="21"/>
          <w:lang w:eastAsia="zh-CN"/>
        </w:rPr>
        <w:t>（2-4mm）</w:t>
      </w:r>
      <w:r>
        <w:rPr>
          <w:rFonts w:hint="eastAsia" w:ascii="宋体" w:hAnsi="宋体"/>
          <w:szCs w:val="21"/>
        </w:rPr>
        <w:t>跟纯胶水机械摊铺弹性层，配比不大于6:1，厚度</w:t>
      </w:r>
      <w:r>
        <w:rPr>
          <w:rFonts w:hint="eastAsia" w:ascii="宋体" w:hAnsi="宋体"/>
          <w:szCs w:val="21"/>
          <w:lang w:val="en-US" w:eastAsia="zh-CN"/>
        </w:rPr>
        <w:t>8</w:t>
      </w:r>
      <w:r>
        <w:rPr>
          <w:rFonts w:hint="eastAsia" w:ascii="宋体" w:hAnsi="宋体"/>
          <w:szCs w:val="21"/>
        </w:rPr>
        <w:t>-10mm；</w:t>
      </w:r>
      <w:r>
        <w:rPr>
          <w:rFonts w:hint="eastAsia" w:ascii="宋体" w:hAnsi="宋体"/>
          <w:szCs w:val="21"/>
          <w:lang w:eastAsia="zh-CN"/>
        </w:rPr>
        <w:t>胶粒</w:t>
      </w:r>
      <w:r>
        <w:rPr>
          <w:rFonts w:hint="eastAsia" w:ascii="宋体" w:hAnsi="宋体"/>
          <w:szCs w:val="21"/>
        </w:rPr>
        <w:t>高聚物含量≧1</w:t>
      </w:r>
      <w:r>
        <w:rPr>
          <w:rFonts w:hint="eastAsia" w:ascii="宋体" w:hAnsi="宋体"/>
          <w:szCs w:val="21"/>
          <w:lang w:eastAsia="zh-CN"/>
        </w:rPr>
        <w:t>5</w:t>
      </w:r>
      <w:r>
        <w:rPr>
          <w:rFonts w:hint="eastAsia" w:ascii="宋体" w:hAnsi="宋体"/>
          <w:szCs w:val="21"/>
        </w:rPr>
        <w:t>%；喷涂PU弹性稳定剂和EPDM彩色颗粒混合而成的摩擦层2-3遍，总厚度3-5mm</w:t>
      </w:r>
      <w:r>
        <w:rPr>
          <w:rFonts w:hint="eastAsia" w:ascii="宋体" w:hAnsi="宋体"/>
          <w:szCs w:val="21"/>
          <w:lang w:eastAsia="zh-CN"/>
        </w:rPr>
        <w:t>；EPDM防滑颗粒高聚物含量≥20%</w:t>
      </w:r>
    </w:p>
    <w:p>
      <w:pPr>
        <w:numPr>
          <w:ilvl w:val="0"/>
          <w:numId w:val="0"/>
        </w:numPr>
        <w:spacing w:line="360" w:lineRule="auto"/>
        <w:jc w:val="left"/>
        <w:rPr>
          <w:rFonts w:ascii="宋体" w:hAnsi="宋体"/>
          <w:szCs w:val="21"/>
        </w:rPr>
      </w:pPr>
      <w:r>
        <w:rPr>
          <w:rFonts w:ascii="宋体" w:hAnsi="宋体"/>
          <w:szCs w:val="21"/>
        </w:rPr>
        <w:t>（2）有害物质及无机填料含量、有害物质释放量和气味等级符合GB36246-2018《中小学合成材料面层运动场地》标准</w:t>
      </w:r>
      <w:r>
        <w:rPr>
          <w:rFonts w:hint="eastAsia" w:ascii="宋体" w:hAnsi="宋体"/>
          <w:szCs w:val="21"/>
        </w:rPr>
        <w:t>；</w:t>
      </w:r>
    </w:p>
    <w:p>
      <w:pPr>
        <w:spacing w:line="360" w:lineRule="auto"/>
        <w:jc w:val="left"/>
        <w:rPr>
          <w:rFonts w:ascii="宋体" w:hAnsi="宋体"/>
          <w:szCs w:val="21"/>
        </w:rPr>
      </w:pPr>
      <w:r>
        <w:rPr>
          <w:rFonts w:ascii="宋体" w:hAnsi="宋体"/>
          <w:szCs w:val="21"/>
        </w:rPr>
        <w:t>（3）物理性能和耐人工气候老化性能符合GB36246-2018标准</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（4）</w:t>
      </w:r>
      <w:r>
        <w:rPr>
          <w:rFonts w:ascii="宋体" w:hAnsi="宋体"/>
          <w:szCs w:val="21"/>
        </w:rPr>
        <w:t>EPDM摩擦面层不得小于3mm,环保胶粒吸震层其胶粒与聚氨脂单组份胶水配比不得大于6：1。</w:t>
      </w:r>
    </w:p>
    <w:p>
      <w:pPr>
        <w:pStyle w:val="59"/>
        <w:ind w:left="0" w:leftChars="0" w:firstLine="0" w:firstLineChars="0"/>
        <w:rPr>
          <w:rFonts w:hint="default" w:ascii="Times New Roman" w:hAnsi="Times New Roman" w:eastAsia="宋体" w:cs="Times New Roman"/>
          <w:sz w:val="21"/>
          <w:szCs w:val="21"/>
          <w:lang w:val="en-US" w:eastAsia="zh-CN"/>
        </w:rPr>
      </w:pPr>
    </w:p>
    <w:p>
      <w:pPr>
        <w:spacing w:before="120" w:beforeLines="50" w:after="120" w:afterLines="50" w:line="400" w:lineRule="exact"/>
        <w:rPr>
          <w:rFonts w:hint="eastAsia" w:asciiTheme="majorEastAsia" w:hAnsiTheme="majorEastAsia" w:eastAsiaTheme="majorEastAsia" w:cstheme="majorEastAsia"/>
          <w:b w:val="0"/>
          <w:bCs w:val="0"/>
          <w:i/>
          <w:iCs/>
          <w:color w:val="0000FF"/>
          <w:sz w:val="21"/>
          <w:szCs w:val="21"/>
          <w:highlight w:val="yellow"/>
          <w:lang w:val="en-US" w:eastAsia="zh-CN"/>
        </w:rPr>
      </w:pPr>
      <w:r>
        <w:rPr>
          <w:rFonts w:hint="eastAsia" w:asciiTheme="majorEastAsia" w:hAnsiTheme="majorEastAsia" w:eastAsiaTheme="majorEastAsia" w:cstheme="majorEastAsia"/>
          <w:b/>
          <w:bCs/>
          <w:color w:val="000000"/>
          <w:sz w:val="21"/>
          <w:szCs w:val="21"/>
          <w:highlight w:val="none"/>
          <w:lang w:eastAsia="zh-CN"/>
        </w:rPr>
        <w:t>六</w:t>
      </w:r>
      <w:r>
        <w:rPr>
          <w:rFonts w:hint="eastAsia" w:asciiTheme="majorEastAsia" w:hAnsiTheme="majorEastAsia" w:eastAsiaTheme="majorEastAsia" w:cstheme="majorEastAsia"/>
          <w:b/>
          <w:bCs/>
          <w:color w:val="000000"/>
          <w:sz w:val="21"/>
          <w:szCs w:val="21"/>
          <w:highlight w:val="none"/>
        </w:rPr>
        <w:t>、商务条款要求</w:t>
      </w:r>
    </w:p>
    <w:tbl>
      <w:tblPr>
        <w:tblStyle w:val="6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9046" w:type="dxa"/>
            <w:noWrap w:val="0"/>
            <w:vAlign w:val="center"/>
          </w:tcPr>
          <w:p>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1</w:t>
            </w:r>
          </w:p>
        </w:tc>
        <w:tc>
          <w:tcPr>
            <w:tcW w:w="9046" w:type="dxa"/>
            <w:noWrap w:val="0"/>
            <w:vAlign w:val="center"/>
          </w:tcPr>
          <w:p>
            <w:pPr>
              <w:pageBreakBefore w:val="0"/>
              <w:kinsoku/>
              <w:wordWrap/>
              <w:overflowPunct/>
              <w:topLinePunct w:val="0"/>
              <w:autoSpaceDE w:val="0"/>
              <w:autoSpaceDN w:val="0"/>
              <w:bidi w:val="0"/>
              <w:adjustRightInd w:val="0"/>
              <w:snapToGrid/>
              <w:spacing w:line="320" w:lineRule="exact"/>
              <w:textAlignment w:val="auto"/>
              <w:rPr>
                <w:rFonts w:hint="eastAsia" w:ascii="宋体" w:hAnsi="宋体"/>
                <w:kern w:val="0"/>
                <w:sz w:val="21"/>
                <w:szCs w:val="21"/>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000000"/>
                <w:kern w:val="0"/>
                <w:sz w:val="21"/>
                <w:szCs w:val="21"/>
              </w:rPr>
              <w:t>履约担保返还期限：在工程竣工验收合格后10日内全额返还。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2</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1、合同生效及具备实施条件后7个工作日内，采购人支付合同总价的40%；</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2、工程验收合格后7个工作日内，采购人支付至合同总价的80%；</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3、工程竣工验收（终验）合格后，根据相关部门核准的决算价，付清尾款。</w:t>
            </w:r>
          </w:p>
          <w:p>
            <w:pPr>
              <w:numPr>
                <w:ilvl w:val="0"/>
                <w:numId w:val="0"/>
              </w:num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注：具体条款以双方签订的合同约定为准。每次付款前，供应商提供正规的发票。供应商如有更优惠的付款方式欢迎提供。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宋体" w:hAnsi="宋体" w:cs="宋体"/>
                <w:b w:val="0"/>
                <w:bCs w:val="0"/>
                <w:sz w:val="21"/>
                <w:szCs w:val="21"/>
              </w:rPr>
              <w:t>▲</w:t>
            </w:r>
            <w:r>
              <w:rPr>
                <w:rFonts w:hint="eastAsia" w:asciiTheme="majorEastAsia" w:hAnsiTheme="majorEastAsia" w:eastAsiaTheme="majorEastAsia" w:cstheme="majorEastAsia"/>
                <w:b w:val="0"/>
                <w:bCs w:val="0"/>
                <w:color w:val="auto"/>
                <w:sz w:val="21"/>
                <w:szCs w:val="21"/>
                <w:highlight w:val="none"/>
              </w:rPr>
              <w:t>3</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工期：合同签订后</w:t>
            </w:r>
            <w:r>
              <w:rPr>
                <w:rFonts w:hint="eastAsia" w:asciiTheme="majorEastAsia" w:hAnsiTheme="majorEastAsia" w:eastAsiaTheme="majorEastAsia" w:cstheme="majorEastAsia"/>
                <w:color w:val="auto"/>
                <w:sz w:val="21"/>
                <w:szCs w:val="21"/>
                <w:highlight w:val="none"/>
                <w:lang w:val="en-US" w:eastAsia="zh-CN"/>
              </w:rPr>
              <w:t>40日历天</w:t>
            </w:r>
            <w:r>
              <w:rPr>
                <w:rFonts w:hint="eastAsia" w:asciiTheme="majorEastAsia" w:hAnsiTheme="majorEastAsia" w:eastAsiaTheme="majorEastAsia" w:cstheme="majorEastAsia"/>
                <w:color w:val="auto"/>
                <w:sz w:val="21"/>
                <w:szCs w:val="21"/>
                <w:highlight w:val="none"/>
              </w:rPr>
              <w:t>内完工并通过竣工验收。</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eastAsia="zh-CN"/>
              </w:rPr>
              <w:t>宁海县城关中学内</w:t>
            </w:r>
            <w:r>
              <w:rPr>
                <w:rFonts w:hint="eastAsia" w:asciiTheme="majorEastAsia" w:hAnsiTheme="majorEastAsia" w:eastAsiaTheme="majorEastAsia" w:cstheme="maj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auto"/>
                <w:sz w:val="24"/>
                <w:szCs w:val="24"/>
                <w:highlight w:val="none"/>
                <w:lang w:val="en-US" w:eastAsia="zh-CN"/>
              </w:rPr>
              <w:t>4</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质量保修期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1、质量保修期不少于2年</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质量保修期从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人批准的竣工验收通过之日起计算。</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2、质量保修期内供应商须免费负责修理和替换任何由于</w:t>
            </w:r>
            <w:r>
              <w:rPr>
                <w:rFonts w:hint="eastAsia" w:asciiTheme="majorEastAsia" w:hAnsiTheme="majorEastAsia" w:eastAsiaTheme="majorEastAsia" w:cstheme="majorEastAsia"/>
                <w:color w:val="auto"/>
                <w:sz w:val="21"/>
                <w:szCs w:val="21"/>
                <w:highlight w:val="none"/>
                <w:lang w:val="en-US" w:eastAsia="zh-CN"/>
              </w:rPr>
              <w:t>改造、</w:t>
            </w:r>
            <w:r>
              <w:rPr>
                <w:rFonts w:hint="eastAsia" w:asciiTheme="majorEastAsia" w:hAnsiTheme="majorEastAsia" w:eastAsiaTheme="majorEastAsia" w:cstheme="majorEastAsia"/>
                <w:color w:val="auto"/>
                <w:sz w:val="21"/>
                <w:szCs w:val="21"/>
                <w:highlight w:val="none"/>
              </w:rPr>
              <w:t>配件自身的质量问题造成的损坏。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在项目实施中须达到的施工要求国家标准如下：</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《建筑工程施工质量验收统一标准》</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《建筑给水排水及采暖工程施工质量验收规范》</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《建筑电气工程施工质量验收规范》</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《给水排水管道工程施工及验收规范》</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《建筑施工安全检查标准》</w:t>
            </w:r>
          </w:p>
          <w:p>
            <w:pPr>
              <w:spacing w:line="360" w:lineRule="auto"/>
              <w:jc w:val="left"/>
              <w:rPr>
                <w:rFonts w:ascii="宋体" w:hAnsi="宋体"/>
                <w:szCs w:val="21"/>
              </w:rPr>
            </w:pPr>
            <w:r>
              <w:rPr>
                <w:rFonts w:ascii="宋体" w:hAnsi="宋体"/>
                <w:szCs w:val="21"/>
              </w:rPr>
              <w:t>符合GB36246-2018《中小学合成材料面层运动场地》标准</w:t>
            </w:r>
            <w:r>
              <w:rPr>
                <w:rFonts w:hint="eastAsia" w:ascii="宋体" w:hAnsi="宋体"/>
                <w:szCs w:val="21"/>
              </w:rPr>
              <w:t>；</w:t>
            </w:r>
          </w:p>
          <w:p>
            <w:pPr>
              <w:pStyle w:val="59"/>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注：如标准有更新，以最新文件为准。本项目按照国家及地方颁发的现行相关施工及验收规范、标准，组织实施本项目工程的施工。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设备安装、调试和验收</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（2）供应商应保证其提供的施工工程在正常使用和保养条件下，在使用寿命期内应具有满意的性能；供应商应对由于工艺或材料的缺陷而产生的故障负完全责任。</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（3）供应商须保证所配置的产品有合法的使用权，并有相应的使用许可证。</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供应商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（5）以上所有与（多次）安装、迁移、调试和验收相关的费用均需计入投标总价。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cs="宋体"/>
                <w:b w:val="0"/>
                <w:bCs w:val="0"/>
                <w:sz w:val="21"/>
                <w:szCs w:val="21"/>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8</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9</w:t>
            </w:r>
          </w:p>
        </w:tc>
        <w:tc>
          <w:tcPr>
            <w:tcW w:w="9046" w:type="dxa"/>
            <w:noWrap w:val="0"/>
            <w:vAlign w:val="center"/>
          </w:tcPr>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报价方式：</w:t>
            </w:r>
            <w:r>
              <w:rPr>
                <w:rFonts w:hint="eastAsia" w:asciiTheme="majorEastAsia" w:hAnsiTheme="majorEastAsia" w:eastAsiaTheme="majorEastAsia" w:cstheme="majorEastAsia"/>
                <w:color w:val="auto"/>
                <w:sz w:val="21"/>
                <w:szCs w:val="21"/>
                <w:highlight w:val="none"/>
                <w:lang w:eastAsia="zh-CN"/>
              </w:rPr>
              <w:t>按竞争性磋商文件“工程量清单”的价格报统一</w:t>
            </w:r>
            <w:r>
              <w:rPr>
                <w:rFonts w:hint="eastAsia" w:asciiTheme="majorEastAsia" w:hAnsiTheme="majorEastAsia" w:eastAsiaTheme="majorEastAsia" w:cstheme="majorEastAsia"/>
                <w:color w:val="auto"/>
                <w:sz w:val="21"/>
                <w:szCs w:val="21"/>
                <w:highlight w:val="none"/>
                <w:lang w:val="en-US" w:eastAsia="zh-CN"/>
              </w:rPr>
              <w:t>综合折扣率（保留一位小数）</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u w:val="single"/>
                <w:lang w:val="en-US" w:eastAsia="zh-CN"/>
              </w:rPr>
              <w:t>1704162</w:t>
            </w:r>
            <w:r>
              <w:rPr>
                <w:rFonts w:hint="eastAsia" w:asciiTheme="majorEastAsia" w:hAnsiTheme="majorEastAsia" w:eastAsiaTheme="majorEastAsia" w:cstheme="majorEastAsia"/>
                <w:color w:val="auto"/>
                <w:sz w:val="21"/>
                <w:szCs w:val="21"/>
                <w:highlight w:val="none"/>
                <w:lang w:val="en-US" w:eastAsia="zh-CN"/>
              </w:rPr>
              <w:t>元，</w:t>
            </w:r>
            <w:r>
              <w:rPr>
                <w:rFonts w:hint="eastAsia" w:asciiTheme="majorEastAsia" w:hAnsiTheme="majorEastAsia" w:eastAsiaTheme="majorEastAsia" w:cstheme="majorEastAsia"/>
                <w:color w:val="auto"/>
                <w:sz w:val="21"/>
                <w:szCs w:val="21"/>
                <w:highlight w:val="none"/>
              </w:rPr>
              <w:t>非竞争项目费用</w:t>
            </w:r>
            <w:r>
              <w:rPr>
                <w:rFonts w:hint="eastAsia" w:asciiTheme="majorEastAsia" w:hAnsiTheme="majorEastAsia" w:eastAsiaTheme="majorEastAsia" w:cstheme="majorEastAsia"/>
                <w:color w:val="auto"/>
                <w:sz w:val="21"/>
                <w:szCs w:val="21"/>
                <w:highlight w:val="none"/>
                <w:u w:val="single"/>
                <w:lang w:eastAsia="zh-CN"/>
              </w:rPr>
              <w:t>49050</w:t>
            </w:r>
            <w:r>
              <w:rPr>
                <w:rFonts w:hint="eastAsia" w:asciiTheme="majorEastAsia" w:hAnsiTheme="majorEastAsia" w:eastAsiaTheme="majorEastAsia" w:cstheme="majorEastAsia"/>
                <w:color w:val="auto"/>
                <w:sz w:val="21"/>
                <w:szCs w:val="21"/>
                <w:highlight w:val="none"/>
              </w:rPr>
              <w:t>元</w:t>
            </w:r>
            <w:r>
              <w:rPr>
                <w:rFonts w:hint="eastAsia" w:asciiTheme="majorEastAsia" w:hAnsiTheme="majorEastAsia" w:eastAsiaTheme="majorEastAsia" w:cstheme="majorEastAsia"/>
                <w:color w:val="auto"/>
                <w:sz w:val="21"/>
                <w:szCs w:val="21"/>
                <w:highlight w:val="none"/>
                <w:lang w:val="en-US" w:eastAsia="zh-CN"/>
              </w:rPr>
              <w:t>(含税)。</w:t>
            </w:r>
          </w:p>
          <w:p>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lang w:eastAsia="zh-CN"/>
              </w:rPr>
              <w:t>结算单价以</w:t>
            </w:r>
            <w:r>
              <w:rPr>
                <w:rFonts w:hint="eastAsia" w:asciiTheme="majorEastAsia" w:hAnsiTheme="majorEastAsia" w:eastAsiaTheme="majorEastAsia" w:cstheme="majorEastAsia"/>
                <w:color w:val="auto"/>
                <w:sz w:val="21"/>
                <w:szCs w:val="21"/>
                <w:highlight w:val="none"/>
                <w:lang w:val="en-US" w:eastAsia="zh-CN"/>
              </w:rPr>
              <w:t>采购人提供的</w:t>
            </w:r>
            <w:r>
              <w:rPr>
                <w:rFonts w:hint="eastAsia" w:asciiTheme="majorEastAsia" w:hAnsiTheme="majorEastAsia" w:eastAsiaTheme="majorEastAsia" w:cstheme="majorEastAsia"/>
                <w:color w:val="auto"/>
                <w:sz w:val="21"/>
                <w:szCs w:val="21"/>
                <w:highlight w:val="none"/>
                <w:lang w:eastAsia="zh-CN"/>
              </w:rPr>
              <w:t>工程</w:t>
            </w:r>
            <w:r>
              <w:rPr>
                <w:rFonts w:hint="eastAsia" w:asciiTheme="majorEastAsia" w:hAnsiTheme="majorEastAsia" w:eastAsiaTheme="majorEastAsia" w:cstheme="majorEastAsia"/>
                <w:color w:val="auto"/>
                <w:sz w:val="21"/>
                <w:szCs w:val="21"/>
                <w:highlight w:val="none"/>
                <w:lang w:val="en-US" w:eastAsia="zh-CN"/>
              </w:rPr>
              <w:t>量清单中各</w:t>
            </w:r>
            <w:r>
              <w:rPr>
                <w:rFonts w:hint="eastAsia" w:asciiTheme="majorEastAsia" w:hAnsiTheme="majorEastAsia" w:eastAsiaTheme="majorEastAsia" w:cstheme="majorEastAsia"/>
                <w:color w:val="auto"/>
                <w:sz w:val="21"/>
                <w:szCs w:val="21"/>
                <w:highlight w:val="none"/>
                <w:lang w:eastAsia="zh-CN"/>
              </w:rPr>
              <w:t>子项综合单价结合</w:t>
            </w:r>
            <w:r>
              <w:rPr>
                <w:rFonts w:hint="eastAsia" w:asciiTheme="majorEastAsia" w:hAnsiTheme="majorEastAsia" w:eastAsiaTheme="majorEastAsia" w:cstheme="majorEastAsia"/>
                <w:color w:val="auto"/>
                <w:sz w:val="21"/>
                <w:szCs w:val="21"/>
                <w:highlight w:val="none"/>
                <w:lang w:val="en-US" w:eastAsia="zh-CN"/>
              </w:rPr>
              <w:t>综合折扣率确</w:t>
            </w:r>
            <w:r>
              <w:rPr>
                <w:rFonts w:hint="eastAsia" w:asciiTheme="majorEastAsia" w:hAnsiTheme="majorEastAsia" w:eastAsiaTheme="majorEastAsia" w:cstheme="majorEastAsia"/>
                <w:color w:val="auto"/>
                <w:sz w:val="21"/>
                <w:szCs w:val="21"/>
                <w:highlight w:val="none"/>
                <w:lang w:eastAsia="zh-CN"/>
              </w:rPr>
              <w:t>定，工程量按实调整。</w:t>
            </w:r>
          </w:p>
          <w:p>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本工程实行工程量清单固定综合单价，工程量按实际结算。</w:t>
            </w:r>
          </w:p>
        </w:tc>
      </w:tr>
    </w:tbl>
    <w:p>
      <w:pPr>
        <w:pStyle w:val="2"/>
        <w:rPr>
          <w:rFonts w:hint="eastAsia" w:asciiTheme="majorEastAsia" w:hAnsiTheme="majorEastAsia" w:eastAsiaTheme="majorEastAsia" w:cstheme="majorEastAsia"/>
          <w:color w:val="000000"/>
          <w:sz w:val="21"/>
          <w:szCs w:val="21"/>
          <w:highlight w:val="none"/>
        </w:rPr>
      </w:pPr>
    </w:p>
    <w:p>
      <w:pPr>
        <w:adjustRightInd/>
        <w:spacing w:line="360" w:lineRule="auto"/>
        <w:jc w:val="center"/>
        <w:outlineLvl w:val="0"/>
        <w:rPr>
          <w:rFonts w:hint="eastAsia" w:asciiTheme="majorEastAsia" w:hAnsiTheme="majorEastAsia" w:eastAsiaTheme="majorEastAsia" w:cstheme="majorEastAsia"/>
          <w:b/>
          <w:sz w:val="21"/>
          <w:szCs w:val="21"/>
        </w:rPr>
      </w:pPr>
    </w:p>
    <w:p>
      <w:pPr>
        <w:adjustRightInd/>
        <w:spacing w:line="360" w:lineRule="auto"/>
        <w:jc w:val="center"/>
        <w:outlineLvl w:val="0"/>
        <w:rPr>
          <w:rFonts w:hint="eastAsia" w:ascii="仿宋" w:hAnsi="仿宋" w:eastAsia="仿宋" w:cs="仿宋"/>
          <w:b/>
          <w:sz w:val="36"/>
          <w:szCs w:val="20"/>
        </w:rPr>
      </w:pPr>
    </w:p>
    <w:p>
      <w:pPr>
        <w:pStyle w:val="59"/>
        <w:ind w:left="0" w:leftChars="0" w:firstLine="0" w:firstLineChars="0"/>
        <w:rPr>
          <w:rFonts w:hint="eastAsia" w:ascii="仿宋" w:hAnsi="仿宋" w:eastAsia="仿宋" w:cs="仿宋"/>
          <w:b/>
          <w:sz w:val="36"/>
          <w:szCs w:val="20"/>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kern w:val="0"/>
                <w:sz w:val="21"/>
                <w:szCs w:val="21"/>
                <w:u w:val="single"/>
              </w:rPr>
              <w:t>工程</w:t>
            </w:r>
            <w:r>
              <w:rPr>
                <w:rFonts w:hint="eastAsia" w:ascii="宋体" w:hAnsi="宋体" w:cs="宋体"/>
                <w:kern w:val="0"/>
                <w:sz w:val="21"/>
                <w:szCs w:val="21"/>
                <w:u w:val="single"/>
                <w:lang w:val="en-US" w:eastAsia="zh-CN"/>
              </w:rPr>
              <w:t xml:space="preserve"> </w:t>
            </w:r>
            <w:r>
              <w:rPr>
                <w:rFonts w:hint="eastAsia" w:ascii="宋体" w:hAnsi="宋体" w:cs="宋体"/>
                <w:sz w:val="21"/>
                <w:szCs w:val="21"/>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宁海县城关中学操场塑胶等改造工程</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p>
            <w:pPr>
              <w:keepNext w:val="0"/>
              <w:keepLines w:val="0"/>
              <w:pageBreakBefore w:val="0"/>
              <w:kinsoku/>
              <w:wordWrap/>
              <w:overflowPunct/>
              <w:topLinePunct w:val="0"/>
              <w:bidi w:val="0"/>
              <w:snapToGrid w:val="0"/>
              <w:spacing w:line="320" w:lineRule="exact"/>
              <w:jc w:val="left"/>
              <w:rPr>
                <w:rFonts w:hint="eastAsia"/>
                <w:sz w:val="21"/>
                <w:szCs w:val="21"/>
                <w:lang w:val="en-US" w:eastAsia="zh-CN"/>
              </w:rPr>
            </w:pPr>
            <w:r>
              <w:rPr>
                <w:rFonts w:hint="eastAsia" w:asciiTheme="minorEastAsia" w:hAnsiTheme="minorEastAsia" w:eastAsiaTheme="minorEastAsia" w:cstheme="minorEastAsia"/>
                <w:color w:val="auto"/>
                <w:kern w:val="0"/>
                <w:sz w:val="21"/>
                <w:szCs w:val="21"/>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kern w:val="0"/>
                <w:sz w:val="21"/>
                <w:szCs w:val="21"/>
              </w:rPr>
            </w:pPr>
            <w:sdt>
              <w:sdtPr>
                <w:rPr>
                  <w:rFonts w:hint="eastAsia" w:ascii="宋体" w:hAnsi="宋体" w:cs="宋体"/>
                  <w:kern w:val="0"/>
                  <w:sz w:val="21"/>
                  <w:szCs w:val="21"/>
                </w:rPr>
                <w:id w:val="-182842570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本项目不允许采购进口产品。</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5285282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可以就</w:t>
            </w:r>
            <w:r>
              <w:rPr>
                <w:rFonts w:hint="eastAsia" w:ascii="宋体" w:hAnsi="宋体" w:cs="宋体"/>
                <w:sz w:val="21"/>
                <w:szCs w:val="21"/>
                <w:u w:val="single"/>
              </w:rPr>
              <w:t xml:space="preserve">    </w:t>
            </w:r>
            <w:r>
              <w:rPr>
                <w:rFonts w:hint="eastAsia" w:ascii="宋体" w:hAnsi="宋体" w:cs="宋体"/>
                <w:kern w:val="0"/>
                <w:sz w:val="21"/>
                <w:szCs w:val="21"/>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477286927"/>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 w:val="21"/>
                <w:szCs w:val="21"/>
              </w:rPr>
              <w:t xml:space="preserve"> A</w:t>
            </w:r>
            <w:r>
              <w:rPr>
                <w:rFonts w:hint="eastAsia" w:ascii="宋体" w:hAnsi="宋体" w:cs="宋体"/>
                <w:sz w:val="21"/>
                <w:szCs w:val="21"/>
              </w:rPr>
              <w:t>同意将非主体、非关键性的</w:t>
            </w:r>
            <w:r>
              <w:rPr>
                <w:rFonts w:hint="eastAsia" w:ascii="宋体" w:hAnsi="宋体" w:cs="宋体"/>
                <w:sz w:val="21"/>
                <w:szCs w:val="21"/>
                <w:u w:val="single"/>
                <w:lang w:val="en-US" w:eastAsia="zh-CN"/>
              </w:rPr>
              <w:t xml:space="preserve">       </w:t>
            </w:r>
            <w:r>
              <w:rPr>
                <w:rFonts w:hint="eastAsia" w:ascii="宋体" w:hAnsi="宋体" w:cs="宋体"/>
                <w:sz w:val="21"/>
                <w:szCs w:val="21"/>
              </w:rPr>
              <w:t>工作分包。</w:t>
            </w:r>
          </w:p>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1276331357"/>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cs="宋体"/>
                <w:kern w:val="0"/>
                <w:sz w:val="21"/>
                <w:szCs w:val="21"/>
              </w:rPr>
              <w:t xml:space="preserve"> B</w:t>
            </w:r>
            <w:r>
              <w:rPr>
                <w:rFonts w:hint="eastAsia" w:ascii="宋体" w:hAnsi="宋体" w:cs="宋体"/>
                <w:sz w:val="21"/>
                <w:szCs w:val="21"/>
              </w:rPr>
              <w:t>不同意分包，具体理由：</w:t>
            </w:r>
            <w:r>
              <w:rPr>
                <w:rFonts w:hint="eastAsia" w:ascii="宋体" w:hAnsi="宋体" w:cs="宋体"/>
                <w:sz w:val="21"/>
                <w:szCs w:val="21"/>
                <w:u w:val="single"/>
              </w:rPr>
              <w:t xml:space="preserve">             </w:t>
            </w:r>
            <w:r>
              <w:rPr>
                <w:rFonts w:hint="eastAsia" w:ascii="宋体" w:hAnsi="宋体" w:cs="宋体"/>
                <w:sz w:val="21"/>
                <w:szCs w:val="21"/>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sz w:val="21"/>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ascii="宋体" w:hAnsi="宋体" w:cs="宋体"/>
                <w:sz w:val="21"/>
                <w:szCs w:val="21"/>
              </w:rPr>
            </w:pPr>
            <w:sdt>
              <w:sdtPr>
                <w:rPr>
                  <w:rFonts w:hint="eastAsia" w:ascii="宋体" w:hAnsi="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sym w:font="Wingdings" w:char="F0FE"/>
                </w:r>
              </w:sdtContent>
            </w:sdt>
            <w:r>
              <w:rPr>
                <w:rFonts w:hint="eastAsia" w:ascii="宋体" w:hAnsi="宋体" w:cs="宋体"/>
                <w:kern w:val="0"/>
                <w:sz w:val="21"/>
                <w:szCs w:val="21"/>
              </w:rPr>
              <w:t>A</w:t>
            </w:r>
            <w:r>
              <w:rPr>
                <w:rFonts w:hint="eastAsia" w:ascii="宋体" w:hAnsi="宋体" w:cs="宋体"/>
                <w:sz w:val="21"/>
                <w:szCs w:val="21"/>
              </w:rPr>
              <w:t>不组织。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kern w:val="0"/>
                <w:sz w:val="21"/>
                <w:szCs w:val="21"/>
              </w:rPr>
              <w:t>B组织，</w:t>
            </w:r>
            <w:r>
              <w:rPr>
                <w:rFonts w:hint="eastAsia" w:ascii="宋体" w:hAnsi="宋体" w:cs="宋体"/>
                <w:sz w:val="21"/>
                <w:szCs w:val="21"/>
              </w:rPr>
              <w:t>时间：</w:t>
            </w:r>
            <w:r>
              <w:rPr>
                <w:rFonts w:hint="eastAsia" w:ascii="宋体" w:hAnsi="宋体" w:cs="宋体"/>
                <w:sz w:val="21"/>
                <w:szCs w:val="21"/>
                <w:u w:val="single"/>
              </w:rPr>
              <w:t xml:space="preserve">      </w:t>
            </w:r>
            <w:r>
              <w:rPr>
                <w:rFonts w:hint="eastAsia" w:ascii="宋体" w:hAnsi="宋体" w:cs="宋体"/>
                <w:sz w:val="21"/>
                <w:szCs w:val="21"/>
              </w:rPr>
              <w:t>,地点：</w:t>
            </w:r>
            <w:r>
              <w:rPr>
                <w:rFonts w:hint="eastAsia" w:ascii="宋体" w:hAnsi="宋体" w:cs="宋体"/>
                <w:sz w:val="21"/>
                <w:szCs w:val="21"/>
                <w:u w:val="single"/>
              </w:rPr>
              <w:t xml:space="preserve">      </w:t>
            </w:r>
            <w:r>
              <w:rPr>
                <w:rFonts w:hint="eastAsia" w:ascii="宋体" w:hAnsi="宋体" w:cs="宋体"/>
                <w:sz w:val="21"/>
                <w:szCs w:val="21"/>
              </w:rPr>
              <w:t>，联系人：</w:t>
            </w:r>
            <w:r>
              <w:rPr>
                <w:rFonts w:hint="eastAsia" w:ascii="宋体" w:hAnsi="宋体" w:cs="宋体"/>
                <w:sz w:val="21"/>
                <w:szCs w:val="21"/>
                <w:u w:val="single"/>
              </w:rPr>
              <w:t xml:space="preserve">      </w:t>
            </w:r>
            <w:r>
              <w:rPr>
                <w:rFonts w:hint="eastAsia" w:ascii="宋体" w:hAnsi="宋体" w:cs="宋体"/>
                <w:sz w:val="21"/>
                <w:szCs w:val="21"/>
              </w:rPr>
              <w:t>，联系方式：</w:t>
            </w:r>
            <w:r>
              <w:rPr>
                <w:rFonts w:hint="eastAsia" w:ascii="宋体" w:hAnsi="宋体" w:cs="宋体"/>
                <w:sz w:val="21"/>
                <w:szCs w:val="21"/>
                <w:u w:val="single"/>
              </w:rPr>
              <w:t xml:space="preserve">      </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cs="宋体"/>
                <w:sz w:val="21"/>
                <w:szCs w:val="21"/>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宋体" w:hAnsi="宋体" w:cs="宋体"/>
                <w:b/>
                <w:sz w:val="21"/>
                <w:szCs w:val="21"/>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B要求提供，</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b/>
                <w:bCs/>
                <w:color w:val="auto"/>
                <w:sz w:val="21"/>
                <w:szCs w:val="21"/>
                <w:highlight w:val="none"/>
                <w:u w:val="single"/>
              </w:rPr>
              <w:t xml:space="preserve"> 提供13mm</w:t>
            </w:r>
            <w:r>
              <w:rPr>
                <w:rFonts w:hint="eastAsia" w:asciiTheme="minorEastAsia" w:hAnsiTheme="minorEastAsia" w:eastAsiaTheme="minorEastAsia" w:cstheme="minorEastAsia"/>
                <w:b/>
                <w:bCs/>
                <w:color w:val="auto"/>
                <w:sz w:val="21"/>
                <w:szCs w:val="21"/>
                <w:highlight w:val="none"/>
                <w:u w:val="single"/>
                <w:lang w:val="en-US" w:eastAsia="zh-CN"/>
              </w:rPr>
              <w:t>透气式</w:t>
            </w:r>
            <w:r>
              <w:rPr>
                <w:rFonts w:hint="eastAsia" w:asciiTheme="minorEastAsia" w:hAnsiTheme="minorEastAsia" w:eastAsiaTheme="minorEastAsia" w:cstheme="minorEastAsia"/>
                <w:b/>
                <w:bCs/>
                <w:color w:val="auto"/>
                <w:sz w:val="21"/>
                <w:szCs w:val="21"/>
                <w:highlight w:val="none"/>
                <w:u w:val="single"/>
              </w:rPr>
              <w:t>塑胶面层</w:t>
            </w:r>
            <w:r>
              <w:rPr>
                <w:rFonts w:hint="eastAsia" w:asciiTheme="minorEastAsia" w:hAnsiTheme="minorEastAsia" w:eastAsiaTheme="minorEastAsia" w:cstheme="minorEastAsia"/>
                <w:b/>
                <w:bCs/>
                <w:color w:val="auto"/>
                <w:sz w:val="21"/>
                <w:szCs w:val="21"/>
                <w:highlight w:val="none"/>
                <w:u w:val="single"/>
                <w:lang w:val="en-US" w:eastAsia="zh-CN"/>
              </w:rPr>
              <w:t>一块</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b/>
                <w:bCs/>
                <w:i w:val="0"/>
                <w:iCs w:val="0"/>
                <w:color w:val="auto"/>
                <w:sz w:val="21"/>
                <w:szCs w:val="21"/>
                <w:highlight w:val="none"/>
                <w:u w:val="single"/>
              </w:rPr>
              <w:t xml:space="preserve"> </w:t>
            </w:r>
            <w:r>
              <w:rPr>
                <w:rFonts w:hint="eastAsia" w:ascii="宋体" w:hAnsi="宋体"/>
                <w:b/>
                <w:bCs/>
                <w:i w:val="0"/>
                <w:iCs w:val="0"/>
                <w:u w:val="single"/>
              </w:rPr>
              <w:t>符合国家相关标准</w:t>
            </w:r>
            <w:r>
              <w:rPr>
                <w:rFonts w:hint="eastAsia" w:asciiTheme="minorEastAsia" w:hAnsiTheme="minorEastAsia" w:eastAsiaTheme="minorEastAsia" w:cstheme="minorEastAsia"/>
                <w:b/>
                <w:bCs/>
                <w:i w:val="0"/>
                <w:iCs w:val="0"/>
                <w:color w:val="auto"/>
                <w:sz w:val="21"/>
                <w:szCs w:val="21"/>
                <w:highlight w:val="none"/>
                <w:u w:val="single"/>
                <w:lang w:eastAsia="zh-CN"/>
              </w:rPr>
              <w:t>，</w:t>
            </w:r>
            <w:r>
              <w:rPr>
                <w:rFonts w:hint="eastAsia" w:asciiTheme="minorEastAsia" w:hAnsiTheme="minorEastAsia" w:eastAsiaTheme="minorEastAsia" w:cstheme="minorEastAsia"/>
                <w:b/>
                <w:bCs/>
                <w:i w:val="0"/>
                <w:iCs w:val="0"/>
                <w:color w:val="auto"/>
                <w:sz w:val="21"/>
                <w:szCs w:val="21"/>
                <w:highlight w:val="none"/>
                <w:u w:val="single"/>
                <w:lang w:val="en-US" w:eastAsia="zh-CN"/>
              </w:rPr>
              <w:t>规</w:t>
            </w:r>
            <w:r>
              <w:rPr>
                <w:rFonts w:hint="eastAsia" w:asciiTheme="minorEastAsia" w:hAnsiTheme="minorEastAsia" w:eastAsiaTheme="minorEastAsia" w:cstheme="minorEastAsia"/>
                <w:b/>
                <w:bCs/>
                <w:color w:val="auto"/>
                <w:sz w:val="21"/>
                <w:szCs w:val="21"/>
                <w:highlight w:val="none"/>
                <w:u w:val="single"/>
                <w:lang w:val="en-US" w:eastAsia="zh-CN"/>
              </w:rPr>
              <w:t>格300×300mm</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snapToGrid w:val="0"/>
                <w:color w:val="auto"/>
                <w:kern w:val="28"/>
                <w:sz w:val="21"/>
                <w:szCs w:val="21"/>
                <w:highlight w:val="none"/>
                <w:lang w:val="en-US" w:eastAsia="zh-CN"/>
              </w:rPr>
              <w:t>及地点：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（2）以邮政快递方式提供的：</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宁海县时代大道178号四楼 </w:t>
            </w:r>
            <w:r>
              <w:rPr>
                <w:rFonts w:hint="eastAsia" w:asciiTheme="minorEastAsia" w:hAnsiTheme="minorEastAsia" w:eastAsiaTheme="minorEastAsia" w:cstheme="minorEastAsia"/>
                <w:snapToGrid w:val="0"/>
                <w:color w:val="auto"/>
                <w:kern w:val="2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样品</w:t>
            </w:r>
            <w:r>
              <w:rPr>
                <w:rFonts w:hint="eastAsia" w:asciiTheme="minorEastAsia" w:hAnsiTheme="minorEastAsia" w:eastAsiaTheme="minorEastAsia" w:cstheme="minorEastAsia"/>
                <w:snapToGrid w:val="0"/>
                <w:color w:val="auto"/>
                <w:kern w:val="28"/>
                <w:sz w:val="21"/>
                <w:szCs w:val="21"/>
                <w:highlight w:val="none"/>
                <w:lang w:val="en-US" w:eastAsia="zh-CN"/>
              </w:rPr>
              <w:t>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0574-82533300 。</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pPr>
              <w:keepNext w:val="0"/>
              <w:keepLines w:val="0"/>
              <w:pageBreakBefore w:val="0"/>
              <w:kinsoku/>
              <w:wordWrap/>
              <w:overflowPunct/>
              <w:topLinePunct w:val="0"/>
              <w:bidi w:val="0"/>
              <w:spacing w:line="320" w:lineRule="exact"/>
              <w:rPr>
                <w:rFonts w:hint="eastAsia" w:ascii="宋体" w:hAnsi="宋体" w:cs="宋体"/>
                <w:kern w:val="0"/>
                <w:sz w:val="21"/>
                <w:szCs w:val="21"/>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eastAsia="zh-CN"/>
              </w:rPr>
              <w:t>投标文件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资格证明文件：见</w:t>
            </w:r>
            <w:r>
              <w:rPr>
                <w:rFonts w:hint="eastAsia" w:asciiTheme="minorEastAsia" w:hAnsiTheme="minorEastAsia" w:eastAsiaTheme="minorEastAsia" w:cstheme="minorEastAsia"/>
                <w:color w:val="auto"/>
                <w:kern w:val="0"/>
                <w:sz w:val="21"/>
                <w:szCs w:val="21"/>
                <w:highlight w:val="none"/>
                <w:lang w:val="zh-CN"/>
              </w:rPr>
              <w:t>竞争性磋商公告“</w:t>
            </w:r>
            <w:r>
              <w:rPr>
                <w:rFonts w:hint="eastAsia" w:asciiTheme="minorEastAsia" w:hAnsiTheme="minorEastAsia" w:eastAsiaTheme="minorEastAsia" w:cstheme="minorEastAsia"/>
                <w:color w:val="auto"/>
                <w:kern w:val="0"/>
                <w:sz w:val="21"/>
                <w:szCs w:val="21"/>
                <w:highlight w:val="none"/>
              </w:rPr>
              <w:t>二、申请人的资格要求</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kern w:val="0"/>
                <w:sz w:val="21"/>
                <w:szCs w:val="21"/>
                <w:highlight w:val="none"/>
              </w:rPr>
              <w:t>标明的资格要求的</w:t>
            </w:r>
            <w:r>
              <w:rPr>
                <w:rFonts w:hint="eastAsia" w:asciiTheme="minorEastAsia" w:hAnsiTheme="minorEastAsia" w:eastAsiaTheme="minorEastAsia" w:cstheme="minorEastAsia"/>
                <w:color w:val="auto"/>
                <w:kern w:val="0"/>
                <w:sz w:val="21"/>
                <w:szCs w:val="21"/>
                <w:highlight w:val="none"/>
                <w:lang w:val="zh-CN"/>
              </w:rPr>
              <w:t>，视为供应商不具备竞争性磋商文件中规定的资格要求，响应无效。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pStyle w:val="2"/>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最后报价出现下列情形的，响应文件无效：</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响应文件出现不是唯一的、有选择性最后报价的；</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最后报价超过采购文件中规定的预算金额或者最高限价的;</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pPr>
              <w:pStyle w:val="2"/>
              <w:keepNext w:val="0"/>
              <w:keepLines w:val="0"/>
              <w:pageBreakBefore w:val="0"/>
              <w:kinsoku/>
              <w:wordWrap/>
              <w:overflowPunct/>
              <w:topLinePunct w:val="0"/>
              <w:bidi w:val="0"/>
              <w:spacing w:line="320" w:lineRule="exact"/>
              <w:ind w:firstLine="211" w:firstLineChars="100"/>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b/>
                <w:snapToGrid/>
                <w:color w:val="auto"/>
                <w:kern w:val="0"/>
                <w:sz w:val="21"/>
                <w:szCs w:val="21"/>
                <w:highlight w:val="none"/>
                <w:lang w:val="en-US" w:eastAsia="zh-CN" w:bidi="ar-SA"/>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pStyle w:val="33"/>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pStyle w:val="8"/>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备份投标文件送达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（1）直接提交备份投标文件的：</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（2）以邮政快递方式递交备份投标文件的：</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宁海县时代大道178号四楼 </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0574-82533300 。</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1"/>
                <w:szCs w:val="21"/>
                <w:highlight w:val="none"/>
              </w:rPr>
              <w:t>业绩数量以提供材料较少的一方为准</w:t>
            </w:r>
            <w:r>
              <w:rPr>
                <w:rFonts w:hint="eastAsia" w:ascii="宋体" w:hAnsi="宋体" w:cs="宋体"/>
                <w:b/>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采购代理按下表中服务招标标准（按差额定率累进法计算），根据预算金额，向中标人收取中标服务费。</w:t>
            </w:r>
          </w:p>
          <w:tbl>
            <w:tblPr>
              <w:tblStyle w:val="6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39"/>
              <w:gridCol w:w="1061"/>
              <w:gridCol w:w="96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639"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金额</w:t>
                  </w:r>
                </w:p>
                <w:p>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（万元）</w:t>
                  </w:r>
                </w:p>
                <w:p>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费率</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服务类型</w:t>
                  </w:r>
                </w:p>
              </w:tc>
              <w:tc>
                <w:tcPr>
                  <w:tcW w:w="1061"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货物</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960"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116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工程</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100以下</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100-500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500-1000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1000-5000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5000-10000</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2639" w:type="dxa"/>
                  <w:noWrap w:val="0"/>
                  <w:tcMar>
                    <w:top w:w="30" w:type="dxa"/>
                    <w:left w:w="150" w:type="dxa"/>
                    <w:bottom w:w="30" w:type="dxa"/>
                    <w:right w:w="150" w:type="dxa"/>
                  </w:tcMar>
                  <w:vAlign w:val="center"/>
                </w:tcPr>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1亿～5亿</w:t>
                  </w:r>
                </w:p>
              </w:tc>
              <w:tc>
                <w:tcPr>
                  <w:tcW w:w="1061"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0.05%</w:t>
                  </w:r>
                </w:p>
              </w:tc>
              <w:tc>
                <w:tcPr>
                  <w:tcW w:w="960"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r>
          </w:tbl>
          <w:p>
            <w:pPr>
              <w:keepNext w:val="0"/>
              <w:keepLines w:val="0"/>
              <w:pageBreakBefore w:val="0"/>
              <w:kinsoku/>
              <w:wordWrap/>
              <w:overflowPunct/>
              <w:topLinePunct w:val="0"/>
              <w:bidi w:val="0"/>
              <w:spacing w:line="320" w:lineRule="exact"/>
              <w:ind w:firstLine="420" w:firstLineChars="200"/>
              <w:rPr>
                <w:rFonts w:hint="eastAsia" w:ascii="Times New Roman" w:hAnsi="Times New Roman" w:cs="Times New Roman"/>
                <w:kern w:val="1"/>
                <w:sz w:val="21"/>
                <w:szCs w:val="21"/>
                <w:lang w:val="en-US" w:eastAsia="zh-CN"/>
              </w:rPr>
            </w:pPr>
            <w:r>
              <w:rPr>
                <w:rFonts w:hint="eastAsia" w:asciiTheme="minorEastAsia" w:hAnsiTheme="minorEastAsia" w:eastAsiaTheme="minorEastAsia" w:cstheme="minorEastAsia"/>
                <w:sz w:val="21"/>
                <w:szCs w:val="21"/>
                <w:lang w:bidi="ar"/>
              </w:rPr>
              <w:t>备注：（1）中标服务费按差额定率累进法计算；（2）中标服务费只收现金、银行票汇款、电汇款。汇入以下账户：</w:t>
            </w:r>
            <w:r>
              <w:rPr>
                <w:rFonts w:hint="eastAsia" w:asciiTheme="minorEastAsia" w:hAnsiTheme="minorEastAsia" w:eastAsiaTheme="minorEastAsia" w:cstheme="minorEastAsia"/>
                <w:sz w:val="21"/>
                <w:szCs w:val="21"/>
              </w:rPr>
              <w:t>开户银行：</w:t>
            </w:r>
            <w:r>
              <w:rPr>
                <w:rFonts w:hint="eastAsia" w:ascii="Times New Roman" w:hAnsi="Times New Roman" w:cs="Times New Roman"/>
                <w:kern w:val="1"/>
                <w:sz w:val="21"/>
                <w:szCs w:val="21"/>
                <w:lang w:val="en-US" w:eastAsia="zh-CN"/>
              </w:rPr>
              <w:t>宁海童氏工程管理咨询有限公司</w:t>
            </w:r>
            <w:r>
              <w:rPr>
                <w:rFonts w:hint="eastAsia" w:asciiTheme="minorEastAsia" w:hAnsiTheme="minorEastAsia" w:eastAsiaTheme="minorEastAsia" w:cstheme="minorEastAsia"/>
                <w:sz w:val="21"/>
                <w:szCs w:val="21"/>
              </w:rPr>
              <w:t>，户名：</w:t>
            </w:r>
            <w:r>
              <w:rPr>
                <w:rFonts w:hint="eastAsia" w:ascii="Times New Roman" w:hAnsi="Times New Roman" w:cs="Times New Roman"/>
                <w:kern w:val="1"/>
                <w:sz w:val="21"/>
                <w:szCs w:val="21"/>
                <w:lang w:val="en-US" w:eastAsia="zh-CN"/>
              </w:rPr>
              <w:t>宁海童氏工程管理咨询有限公司</w:t>
            </w:r>
          </w:p>
          <w:p>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z w:val="21"/>
                <w:szCs w:val="21"/>
              </w:rPr>
              <w:t>，账号：</w:t>
            </w:r>
            <w:r>
              <w:rPr>
                <w:rFonts w:hint="eastAsia" w:ascii="Times New Roman" w:hAnsi="Times New Roman" w:cs="Times New Roman"/>
                <w:color w:val="auto"/>
                <w:kern w:val="1"/>
                <w:sz w:val="21"/>
                <w:szCs w:val="21"/>
                <w:lang w:val="en-US" w:eastAsia="zh-CN"/>
              </w:rPr>
              <w:t>60010122000570946</w:t>
            </w:r>
            <w:r>
              <w:rPr>
                <w:rFonts w:hint="eastAsia" w:asciiTheme="minorEastAsia" w:hAnsiTheme="minorEastAsia" w:eastAsiaTheme="minorEastAsia" w:cstheme="minorEastAsia"/>
                <w:sz w:val="21"/>
                <w:szCs w:val="21"/>
              </w:rPr>
              <w:t>。</w:t>
            </w:r>
          </w:p>
        </w:tc>
      </w:tr>
    </w:tbl>
    <w:p>
      <w:pPr>
        <w:adjustRightInd/>
        <w:spacing w:line="360" w:lineRule="auto"/>
        <w:rPr>
          <w:rFonts w:cs="仿宋_GB2312" w:asciiTheme="minorEastAsia" w:hAnsiTheme="minorEastAsia" w:eastAsiaTheme="minorEastAsia"/>
          <w:b/>
          <w:sz w:val="21"/>
          <w:szCs w:val="21"/>
        </w:rPr>
      </w:pPr>
    </w:p>
    <w:bookmarkEnd w:id="9"/>
    <w:bookmarkEnd w:id="10"/>
    <w:bookmarkEnd w:id="11"/>
    <w:bookmarkEnd w:id="42"/>
    <w:p>
      <w:pPr>
        <w:snapToGrid w:val="0"/>
        <w:spacing w:line="360" w:lineRule="auto"/>
        <w:jc w:val="center"/>
        <w:outlineLvl w:val="0"/>
        <w:rPr>
          <w:rFonts w:ascii="宋体" w:hAnsi="宋体" w:cs="宋体"/>
          <w:b/>
          <w:sz w:val="21"/>
          <w:szCs w:val="21"/>
        </w:rPr>
      </w:pPr>
      <w:bookmarkStart w:id="48" w:name="_Hlt68057669"/>
      <w:bookmarkEnd w:id="48"/>
      <w:bookmarkStart w:id="49" w:name="_Hlt75236101"/>
      <w:bookmarkEnd w:id="49"/>
      <w:bookmarkStart w:id="50" w:name="_Hlt74729768"/>
      <w:bookmarkEnd w:id="50"/>
      <w:bookmarkStart w:id="51" w:name="_Hlt75236290"/>
      <w:bookmarkEnd w:id="51"/>
      <w:bookmarkStart w:id="52" w:name="_Hlt74730295"/>
      <w:bookmarkEnd w:id="52"/>
      <w:bookmarkStart w:id="53" w:name="_Hlt74714665"/>
      <w:bookmarkEnd w:id="53"/>
      <w:bookmarkStart w:id="54" w:name="_Hlt68072990"/>
      <w:bookmarkEnd w:id="54"/>
      <w:bookmarkStart w:id="55" w:name="_Hlt75236011"/>
      <w:bookmarkEnd w:id="55"/>
      <w:bookmarkStart w:id="56" w:name="_Hlt74707468"/>
      <w:bookmarkEnd w:id="56"/>
      <w:bookmarkStart w:id="57" w:name="第三部分"/>
      <w:bookmarkStart w:id="58" w:name="_Toc164416483"/>
      <w:r>
        <w:rPr>
          <w:rFonts w:hint="eastAsia" w:ascii="宋体" w:hAnsi="宋体" w:cs="宋体"/>
          <w:b/>
          <w:sz w:val="21"/>
          <w:szCs w:val="21"/>
        </w:rPr>
        <w:t>一、总则</w:t>
      </w:r>
    </w:p>
    <w:p>
      <w:pPr>
        <w:snapToGrid w:val="0"/>
        <w:spacing w:line="360" w:lineRule="auto"/>
        <w:jc w:val="left"/>
        <w:outlineLvl w:val="1"/>
        <w:rPr>
          <w:rFonts w:ascii="宋体" w:hAnsi="宋体" w:cs="宋体"/>
          <w:b/>
          <w:sz w:val="21"/>
          <w:szCs w:val="21"/>
        </w:rPr>
      </w:pPr>
      <w:r>
        <w:rPr>
          <w:rFonts w:hint="eastAsia" w:ascii="宋体" w:hAnsi="宋体" w:cs="宋体"/>
          <w:b/>
          <w:sz w:val="21"/>
          <w:szCs w:val="21"/>
        </w:rPr>
        <w:t>1. 适用范围</w:t>
      </w:r>
    </w:p>
    <w:p>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z w:val="21"/>
          <w:szCs w:val="21"/>
        </w:rPr>
      </w:pPr>
      <w:r>
        <w:rPr>
          <w:rFonts w:hint="eastAsia" w:ascii="宋体" w:hAnsi="宋体" w:cs="宋体"/>
          <w:b/>
          <w:sz w:val="21"/>
          <w:szCs w:val="21"/>
        </w:rPr>
        <w:t>2.定义</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2.1 “采购人”系指竞争性磋商公告中载明的本项目的采购人。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2.2 “</w:t>
      </w:r>
      <w:r>
        <w:rPr>
          <w:rFonts w:hint="eastAsia" w:ascii="宋体" w:hAnsi="宋体" w:cs="宋体"/>
          <w:sz w:val="21"/>
          <w:szCs w:val="21"/>
          <w:lang w:eastAsia="zh-CN"/>
        </w:rPr>
        <w:t>采购代理机构</w:t>
      </w:r>
      <w:r>
        <w:rPr>
          <w:rFonts w:hint="eastAsia" w:ascii="宋体" w:hAnsi="宋体" w:cs="宋体"/>
          <w:sz w:val="21"/>
          <w:szCs w:val="21"/>
        </w:rPr>
        <w:t>”系指竞争性磋商公告中载明的本项目的</w:t>
      </w:r>
      <w:r>
        <w:rPr>
          <w:rFonts w:hint="eastAsia" w:ascii="宋体" w:hAnsi="宋体" w:cs="宋体"/>
          <w:sz w:val="21"/>
          <w:szCs w:val="21"/>
          <w:lang w:eastAsia="zh-CN"/>
        </w:rPr>
        <w:t>采购代理机构</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2.3 “供应商”系指是指提交响应文件和报价、参与竞争性磋商采购活动的法人、其他组织或者自然人。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2.4 “负责人”系指法人企业的法定负责人，或其他组织为法律、行政法规规定代表单位行使职权的主要负责人，或自然人本人。</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2.6“电子交易平台”</w:t>
      </w:r>
      <w:r>
        <w:rPr>
          <w:rFonts w:hint="eastAsia" w:ascii="宋体" w:hAnsi="宋体" w:cs="宋体"/>
          <w:sz w:val="21"/>
          <w:szCs w:val="21"/>
          <w:lang w:val="en-US" w:eastAsia="zh-CN"/>
        </w:rPr>
        <w:t>系</w:t>
      </w:r>
      <w:r>
        <w:rPr>
          <w:rFonts w:hint="eastAsia" w:ascii="宋体" w:hAnsi="宋体" w:cs="宋体"/>
          <w:sz w:val="21"/>
          <w:szCs w:val="21"/>
        </w:rPr>
        <w:t>指本项目政府采购活动所依托的政府采购云平台（https://www.zcygov.cn/）。</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2.7 “▲” 系指实质性要求条款，“</w:t>
      </w:r>
      <w:sdt>
        <w:sdtPr>
          <w:rPr>
            <w:rFonts w:hint="eastAsia" w:ascii="宋体" w:hAnsi="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ascii="Wingdings" w:hAnsi="Wingdings" w:cs="宋体"/>
              <w:kern w:val="0"/>
              <w:sz w:val="21"/>
              <w:szCs w:val="21"/>
            </w:rPr>
            <w:t></w:t>
          </w:r>
        </w:sdtContent>
      </w:sdt>
      <w:r>
        <w:rPr>
          <w:rFonts w:hint="eastAsia" w:ascii="宋体" w:hAnsi="宋体" w:cs="宋体"/>
          <w:sz w:val="21"/>
          <w:szCs w:val="21"/>
        </w:rPr>
        <w:t>” 系指适用本项目的要求，“</w:t>
      </w:r>
      <w:sdt>
        <w:sdtPr>
          <w:rPr>
            <w:rFonts w:hint="eastAsia" w:ascii="宋体" w:hAnsi="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 系指不适用本项目的要求，“※”系指磋商过程中可能实质性变动的内容。</w:t>
      </w:r>
    </w:p>
    <w:p>
      <w:pPr>
        <w:snapToGrid w:val="0"/>
        <w:spacing w:line="360" w:lineRule="auto"/>
        <w:rPr>
          <w:rFonts w:ascii="宋体" w:hAnsi="宋体" w:cs="宋体"/>
          <w:b/>
          <w:sz w:val="21"/>
          <w:szCs w:val="21"/>
        </w:rPr>
      </w:pPr>
      <w:r>
        <w:rPr>
          <w:rFonts w:hint="eastAsia" w:ascii="宋体" w:hAnsi="宋体" w:cs="宋体"/>
          <w:b/>
          <w:sz w:val="21"/>
          <w:szCs w:val="21"/>
        </w:rPr>
        <w:t>3.</w:t>
      </w:r>
      <w:r>
        <w:rPr>
          <w:rFonts w:hint="eastAsia" w:ascii="宋体" w:hAnsi="宋体" w:cs="宋体"/>
          <w:sz w:val="21"/>
          <w:szCs w:val="21"/>
        </w:rPr>
        <w:t xml:space="preserve"> </w:t>
      </w:r>
      <w:r>
        <w:rPr>
          <w:rFonts w:hint="eastAsia" w:ascii="宋体" w:hAnsi="宋体" w:cs="宋体"/>
          <w:b/>
          <w:sz w:val="21"/>
          <w:szCs w:val="21"/>
        </w:rPr>
        <w:t>采购项目需要落实的政府采购政策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1"/>
          <w:szCs w:val="21"/>
          <w:lang w:eastAsia="zh-CN"/>
        </w:rPr>
        <w:t>采购代理机构</w:t>
      </w:r>
      <w:r>
        <w:rPr>
          <w:rFonts w:hint="eastAsia" w:ascii="宋体" w:hAnsi="宋体" w:cs="宋体"/>
          <w:sz w:val="21"/>
          <w:szCs w:val="21"/>
        </w:rPr>
        <w:t>不会对其加以限制，仍将按照公平竞争原则实施采购）；</w:t>
      </w:r>
      <w:r>
        <w:rPr>
          <w:rFonts w:hint="eastAsia" w:ascii="宋体" w:hAnsi="宋体" w:cs="宋体"/>
          <w:kern w:val="0"/>
          <w:sz w:val="21"/>
          <w:szCs w:val="21"/>
        </w:rPr>
        <w:t>优先采购向我国企业转让技术、与我国企业签订消化吸收再创新方案的供应商的进口产品</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3.2 支持绿色发展</w:t>
      </w:r>
    </w:p>
    <w:p>
      <w:pPr>
        <w:snapToGrid w:val="0"/>
        <w:spacing w:line="360" w:lineRule="auto"/>
        <w:ind w:firstLine="420" w:firstLineChars="200"/>
        <w:rPr>
          <w:rFonts w:ascii="宋体" w:hAnsi="宋体" w:cs="宋体"/>
          <w:b/>
          <w:sz w:val="21"/>
          <w:szCs w:val="21"/>
        </w:rPr>
      </w:pPr>
      <w:r>
        <w:rPr>
          <w:rFonts w:hint="eastAsia" w:ascii="宋体" w:hAnsi="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20" w:firstLineChars="200"/>
        <w:rPr>
          <w:rFonts w:ascii="宋体" w:hAnsi="宋体" w:cs="宋体"/>
          <w:sz w:val="21"/>
          <w:szCs w:val="21"/>
        </w:rPr>
      </w:pPr>
      <w:r>
        <w:rPr>
          <w:rFonts w:hint="eastAsia" w:ascii="宋体" w:hAnsi="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1"/>
          <w:szCs w:val="21"/>
          <w:highlight w:val="none"/>
        </w:rPr>
        <w:t>鼓励采购单位优先采购秸秆环保板材等资源综合利用产品。鼓励采购单位优先采购绿色物流配送服务、提供新能源交通工具的租赁服务。</w:t>
      </w:r>
    </w:p>
    <w:p>
      <w:pPr>
        <w:pStyle w:val="6"/>
        <w:numPr>
          <w:ilvl w:val="0"/>
          <w:numId w:val="0"/>
        </w:numPr>
        <w:tabs>
          <w:tab w:val="left" w:pos="0"/>
          <w:tab w:val="clear" w:pos="432"/>
        </w:tabs>
        <w:ind w:firstLine="420" w:firstLineChars="200"/>
        <w:rPr>
          <w:sz w:val="21"/>
          <w:szCs w:val="21"/>
          <w:lang w:val="en-US"/>
        </w:rPr>
      </w:pPr>
      <w:r>
        <w:rPr>
          <w:rFonts w:ascii="宋体" w:hAnsi="宋体" w:eastAsia="宋体" w:cs="宋体"/>
          <w:b w:val="0"/>
          <w:bCs w:val="0"/>
          <w:sz w:val="21"/>
          <w:szCs w:val="21"/>
          <w:highlight w:val="none"/>
          <w:lang w:val="en-US"/>
        </w:rPr>
        <w:t xml:space="preserve">3.2.4 </w:t>
      </w:r>
      <w:r>
        <w:rPr>
          <w:rFonts w:hint="eastAsia" w:ascii="宋体" w:hAnsi="宋体" w:eastAsia="宋体" w:cs="宋体"/>
          <w:b w:val="0"/>
          <w:bCs w:val="0"/>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3.3支持中小企业发展</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bCs/>
          <w:sz w:val="21"/>
          <w:szCs w:val="21"/>
        </w:rPr>
        <w:t>3.3.2</w:t>
      </w:r>
      <w:r>
        <w:rPr>
          <w:rFonts w:hint="eastAsia" w:ascii="宋体" w:hAnsi="宋体" w:cs="宋体"/>
          <w:kern w:val="0"/>
          <w:sz w:val="21"/>
          <w:szCs w:val="21"/>
        </w:rPr>
        <w:t>在政府采购活动中，供应商提供的工程符合下列情形的，享受中小企业扶持政策：</w:t>
      </w:r>
      <w:r>
        <w:rPr>
          <w:rFonts w:ascii="宋体" w:hAnsi="宋体" w:cs="宋体"/>
          <w:sz w:val="21"/>
          <w:szCs w:val="21"/>
        </w:rPr>
        <w:t>在工程采购项目中，工程由中小企业承建，即工程施工单位为中小企业</w:t>
      </w:r>
      <w:r>
        <w:rPr>
          <w:rFonts w:hint="eastAsia" w:ascii="宋体" w:hAnsi="宋体" w:cs="宋体"/>
          <w:kern w:val="0"/>
          <w:sz w:val="21"/>
          <w:szCs w:val="21"/>
        </w:rPr>
        <w:t>。</w:t>
      </w:r>
    </w:p>
    <w:p>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9" w:name="_Hlk101132181"/>
      <w:r>
        <w:rPr>
          <w:rFonts w:hint="eastAsia" w:ascii="宋体" w:hAnsi="宋体" w:cs="宋体"/>
          <w:sz w:val="21"/>
          <w:szCs w:val="21"/>
        </w:rPr>
        <w:t>联合协议或者分包意向协议约定小微企业的合同份额占到合同总金额30%以上的</w:t>
      </w:r>
      <w:bookmarkEnd w:id="59"/>
      <w:r>
        <w:rPr>
          <w:rFonts w:hint="eastAsia" w:ascii="宋体" w:hAnsi="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3.3.7中小企业享受扶持政策获得政府采购合同的，小微企业不得将合同分包给大中型企业，中型企业不得将合同分包给大型企业。</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w:t>
      </w:r>
      <w:r>
        <w:rPr>
          <w:rFonts w:hint="eastAsia" w:ascii="宋体" w:hAnsi="宋体" w:cs="宋体"/>
          <w:bCs/>
          <w:sz w:val="21"/>
          <w:szCs w:val="21"/>
        </w:rPr>
        <w:t>支持创新发展</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3.4.1 采购人优先采购被认定为首台套产品和“制造精品”的自主创新产品。</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3.4.2首台套产品被纳入《首台套产品推广应用指导目录》之日起</w:t>
      </w:r>
      <w:r>
        <w:rPr>
          <w:rFonts w:hint="eastAsia" w:ascii="宋体" w:hAnsi="宋体" w:cs="宋体"/>
          <w:color w:val="FF0000"/>
          <w:sz w:val="21"/>
          <w:szCs w:val="21"/>
        </w:rPr>
        <w:t>3</w:t>
      </w:r>
      <w:r>
        <w:rPr>
          <w:rFonts w:hint="eastAsia" w:ascii="宋体" w:hAnsi="宋体" w:cs="宋体"/>
          <w:sz w:val="21"/>
          <w:szCs w:val="21"/>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10" w:firstLineChars="100"/>
        <w:rPr>
          <w:rFonts w:ascii="宋体" w:hAnsi="宋体" w:cs="宋体"/>
          <w:sz w:val="21"/>
          <w:szCs w:val="21"/>
        </w:rPr>
      </w:pPr>
      <w:r>
        <w:rPr>
          <w:rFonts w:hint="eastAsia" w:ascii="宋体" w:hAnsi="宋体" w:cs="宋体"/>
          <w:sz w:val="21"/>
          <w:szCs w:val="21"/>
        </w:rPr>
        <w:t>3.5平等对待内外资企业和符合条件的破产重整企业：</w:t>
      </w:r>
    </w:p>
    <w:p>
      <w:pPr>
        <w:snapToGrid w:val="0"/>
        <w:spacing w:line="360" w:lineRule="auto"/>
        <w:ind w:firstLine="420" w:firstLineChars="200"/>
        <w:rPr>
          <w:rFonts w:ascii="宋体" w:hAnsi="宋体" w:cs="宋体"/>
          <w:b/>
          <w:sz w:val="21"/>
          <w:szCs w:val="21"/>
        </w:rPr>
      </w:pPr>
      <w:r>
        <w:rPr>
          <w:rFonts w:hint="eastAsia" w:ascii="宋体" w:hAnsi="宋体" w:cs="宋体"/>
          <w:sz w:val="21"/>
          <w:szCs w:val="21"/>
        </w:rPr>
        <w:t>平等对待内外资企业和符合条件的破产重整企业，切实保障企业公平竞争，平等维护企业的合法利益。</w:t>
      </w:r>
      <w:r>
        <w:rPr>
          <w:rFonts w:hint="eastAsia" w:ascii="宋体" w:hAnsi="宋体" w:cs="宋体"/>
          <w:sz w:val="21"/>
          <w:szCs w:val="21"/>
        </w:rPr>
        <w:cr/>
      </w:r>
      <w:r>
        <w:rPr>
          <w:rFonts w:hint="eastAsia" w:ascii="宋体" w:hAnsi="宋体" w:cs="宋体"/>
          <w:b/>
          <w:sz w:val="21"/>
          <w:szCs w:val="21"/>
        </w:rPr>
        <w:t>4. 询问、质疑、投诉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4.2供应商询问</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4.3供应商质疑</w:t>
      </w:r>
    </w:p>
    <w:p>
      <w:pPr>
        <w:pStyle w:val="33"/>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.1提出质疑的供应商应当是参与所质疑项目采购活动的供应商。潜在供应商已依法获取其可质疑的采购文件的，可以对该文件提出质疑。</w:t>
      </w:r>
    </w:p>
    <w:p>
      <w:pPr>
        <w:pStyle w:val="33"/>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hAnsi="宋体" w:cs="宋体"/>
          <w:sz w:val="21"/>
          <w:szCs w:val="21"/>
          <w:lang w:eastAsia="zh-CN"/>
        </w:rPr>
        <w:t>采购代理机构</w:t>
      </w:r>
      <w:r>
        <w:rPr>
          <w:rFonts w:hint="eastAsia" w:hAnsi="宋体" w:cs="宋体"/>
          <w:sz w:val="21"/>
          <w:szCs w:val="21"/>
        </w:rPr>
        <w:t>提出质疑，否则，采购人或者</w:t>
      </w:r>
      <w:r>
        <w:rPr>
          <w:rFonts w:hint="eastAsia" w:hAnsi="宋体" w:cs="宋体"/>
          <w:sz w:val="21"/>
          <w:szCs w:val="21"/>
          <w:lang w:eastAsia="zh-CN"/>
        </w:rPr>
        <w:t>采购代理机构</w:t>
      </w:r>
      <w:r>
        <w:rPr>
          <w:rFonts w:hint="eastAsia" w:hAnsi="宋体" w:cs="宋体"/>
          <w:sz w:val="21"/>
          <w:szCs w:val="21"/>
        </w:rPr>
        <w:t>不予受理：</w:t>
      </w:r>
    </w:p>
    <w:p>
      <w:pPr>
        <w:pStyle w:val="8"/>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pPr>
        <w:pStyle w:val="33"/>
        <w:snapToGrid w:val="0"/>
        <w:spacing w:line="360" w:lineRule="auto"/>
        <w:ind w:firstLine="420" w:firstLineChars="200"/>
        <w:rPr>
          <w:rFonts w:hAnsi="宋体" w:cs="宋体"/>
          <w:sz w:val="21"/>
          <w:szCs w:val="21"/>
        </w:rPr>
      </w:pPr>
      <w:r>
        <w:rPr>
          <w:rFonts w:hint="eastAsia" w:hAnsi="宋体" w:cs="宋体"/>
          <w:sz w:val="21"/>
          <w:szCs w:val="21"/>
        </w:rPr>
        <w:t>4.3.2.2对采购过程提出质疑的，质疑期限为各采购程序环节结束之日起计算。</w:t>
      </w:r>
    </w:p>
    <w:p>
      <w:pPr>
        <w:pStyle w:val="33"/>
        <w:snapToGrid w:val="0"/>
        <w:spacing w:line="360" w:lineRule="auto"/>
        <w:ind w:firstLine="420" w:firstLineChars="200"/>
        <w:rPr>
          <w:rFonts w:hAnsi="宋体" w:cs="宋体"/>
          <w:sz w:val="21"/>
          <w:szCs w:val="21"/>
        </w:rPr>
      </w:pPr>
      <w:r>
        <w:rPr>
          <w:rFonts w:hint="eastAsia" w:hAnsi="宋体" w:cs="宋体"/>
          <w:sz w:val="21"/>
          <w:szCs w:val="21"/>
        </w:rPr>
        <w:t>4.3.2.3对采购结果提出质疑的，质疑期限自采购结果公告期限届满之日起计算。</w:t>
      </w:r>
    </w:p>
    <w:p>
      <w:pPr>
        <w:pStyle w:val="33"/>
        <w:snapToGrid w:val="0"/>
        <w:spacing w:line="360" w:lineRule="auto"/>
        <w:ind w:firstLine="420" w:firstLineChars="200"/>
        <w:rPr>
          <w:rFonts w:hAnsi="宋体" w:cs="宋体"/>
          <w:kern w:val="0"/>
          <w:sz w:val="21"/>
          <w:szCs w:val="21"/>
          <w:lang w:val="zh-CN"/>
        </w:rPr>
      </w:pPr>
      <w:r>
        <w:rPr>
          <w:rFonts w:hint="eastAsia" w:hAnsi="宋体" w:cs="宋体"/>
          <w:kern w:val="0"/>
          <w:sz w:val="21"/>
          <w:szCs w:val="21"/>
          <w:lang w:val="zh-CN"/>
        </w:rPr>
        <w:t>4.3.3</w:t>
      </w:r>
      <w:r>
        <w:rPr>
          <w:rFonts w:hint="eastAsia" w:hAnsi="宋体" w:cs="宋体"/>
          <w:sz w:val="21"/>
          <w:szCs w:val="21"/>
        </w:rPr>
        <w:t>供应商提出质疑应当提交质疑函和必要的证明材料。质疑函应当包括下列内容：</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4.3.3.1供应商的姓名或者名称、地址、邮编、联系人及联系电话；</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4.3.3.2质疑项目的名称、编号；</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4.3.3.3具体、明确的质疑事项和与质疑事项相关的请求；</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4.3.3.4事实依据；</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4.3.3.5必要的法律依据；</w:t>
      </w:r>
    </w:p>
    <w:p>
      <w:pPr>
        <w:pStyle w:val="33"/>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4.3.3.6提出质疑的日期。</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w:t>
      </w:r>
      <w:r>
        <w:rPr>
          <w:rFonts w:hint="eastAsia"/>
          <w:sz w:val="21"/>
          <w:szCs w:val="21"/>
          <w:lang w:eastAsia="zh-CN"/>
        </w:rPr>
        <w:t>采购代理机构</w:t>
      </w:r>
      <w:r>
        <w:rPr>
          <w:rFonts w:hint="eastAsia"/>
          <w:sz w:val="21"/>
          <w:szCs w:val="21"/>
        </w:rPr>
        <w:t>应当在收到供应商的书面质疑后七个工作日内作出答复，并以书面形式通知质疑供应商和其他与质疑处理结果有利害关系的政府采购当事人，但答复的内容不得涉及商业秘密。根据《财政局关于进一步加强政府采购信息公开优化营商环境的通知》,采购人或者</w:t>
      </w:r>
      <w:r>
        <w:rPr>
          <w:rFonts w:hint="eastAsia"/>
          <w:sz w:val="21"/>
          <w:szCs w:val="21"/>
          <w:lang w:eastAsia="zh-CN"/>
        </w:rPr>
        <w:t>采购代理机构</w:t>
      </w:r>
      <w:r>
        <w:rPr>
          <w:rFonts w:hint="eastAsia"/>
          <w:sz w:val="21"/>
          <w:szCs w:val="21"/>
        </w:rPr>
        <w:t>在质疑回复后5个工作日内，在浙江政府采购网的“其他公告”栏目公开质疑答复，答复内容应当完整。质疑函作为附件上传。</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w:t>
      </w:r>
      <w:r>
        <w:rPr>
          <w:rFonts w:hint="eastAsia"/>
          <w:sz w:val="21"/>
          <w:szCs w:val="21"/>
          <w:lang w:eastAsia="zh-CN"/>
        </w:rPr>
        <w:t>采购代理机构</w:t>
      </w:r>
      <w:r>
        <w:rPr>
          <w:rFonts w:hint="eastAsia"/>
          <w:sz w:val="21"/>
          <w:szCs w:val="21"/>
        </w:rPr>
        <w:t>的答复不满意或者采购人、</w:t>
      </w:r>
      <w:r>
        <w:rPr>
          <w:rFonts w:hint="eastAsia"/>
          <w:sz w:val="21"/>
          <w:szCs w:val="21"/>
          <w:lang w:eastAsia="zh-CN"/>
        </w:rPr>
        <w:t>采购代理机构</w:t>
      </w:r>
      <w:r>
        <w:rPr>
          <w:rFonts w:hint="eastAsia"/>
          <w:sz w:val="21"/>
          <w:szCs w:val="21"/>
        </w:rPr>
        <w:t>未在规定的时间内作出答复的，可以在答复期满后十五个工作日内向同级政府采购监督管理部门提出投诉。</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highlight w:val="yellow"/>
        </w:rPr>
      </w:pPr>
      <w:r>
        <w:rPr>
          <w:rFonts w:hint="eastAsia"/>
          <w:sz w:val="21"/>
          <w:szCs w:val="21"/>
        </w:rPr>
        <w:t>4.4.4以联合体形式参加政府采购活动的，其投诉应当由组成联合体的所有供应商共同提出。</w:t>
      </w:r>
    </w:p>
    <w:p>
      <w:pPr>
        <w:pStyle w:val="618"/>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pPr>
        <w:pStyle w:val="395"/>
        <w:snapToGrid w:val="0"/>
        <w:spacing w:before="0"/>
        <w:ind w:firstLine="360"/>
        <w:rPr>
          <w:rFonts w:ascii="宋体" w:hAnsi="宋体" w:cs="宋体"/>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二、采购文件的构成、澄清、修改</w:t>
      </w:r>
    </w:p>
    <w:p>
      <w:pPr>
        <w:pStyle w:val="33"/>
        <w:spacing w:line="360" w:lineRule="auto"/>
        <w:rPr>
          <w:rFonts w:hAnsi="宋体" w:cs="宋体"/>
          <w:b/>
          <w:sz w:val="21"/>
          <w:szCs w:val="21"/>
        </w:rPr>
      </w:pPr>
      <w:r>
        <w:rPr>
          <w:rFonts w:hint="eastAsia" w:hAnsi="宋体" w:cs="宋体"/>
          <w:b/>
          <w:sz w:val="21"/>
          <w:szCs w:val="21"/>
        </w:rPr>
        <w:t>5．采购文件的构成</w:t>
      </w:r>
    </w:p>
    <w:p>
      <w:pPr>
        <w:pStyle w:val="33"/>
        <w:spacing w:line="360" w:lineRule="auto"/>
        <w:ind w:firstLine="420" w:firstLineChars="200"/>
        <w:rPr>
          <w:rFonts w:hAnsi="宋体" w:cs="宋体"/>
          <w:sz w:val="21"/>
          <w:szCs w:val="21"/>
        </w:rPr>
      </w:pPr>
      <w:r>
        <w:rPr>
          <w:rFonts w:hint="eastAsia" w:hAnsi="宋体" w:cs="宋体"/>
          <w:sz w:val="21"/>
          <w:szCs w:val="21"/>
        </w:rPr>
        <w:t>5.1 采购文件包括下列文件及附件：</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5.1.1竞争性磋商公告；</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5.1.2供应商须知；</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5.1.3采购需求；</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5.1.4评审办法；</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5.1.5拟签订的合同文本；</w:t>
      </w:r>
    </w:p>
    <w:p>
      <w:pPr>
        <w:pStyle w:val="33"/>
        <w:tabs>
          <w:tab w:val="left" w:pos="840"/>
        </w:tabs>
        <w:spacing w:line="360" w:lineRule="auto"/>
        <w:ind w:firstLine="840" w:firstLineChars="400"/>
        <w:rPr>
          <w:rFonts w:hAnsi="宋体" w:cs="宋体"/>
          <w:sz w:val="21"/>
          <w:szCs w:val="21"/>
        </w:rPr>
      </w:pPr>
      <w:r>
        <w:rPr>
          <w:rFonts w:hint="eastAsia" w:hAnsi="宋体" w:cs="宋体"/>
          <w:sz w:val="21"/>
          <w:szCs w:val="21"/>
        </w:rPr>
        <w:t>5.1.6应提交的有关格式范例。</w:t>
      </w:r>
    </w:p>
    <w:p>
      <w:pPr>
        <w:spacing w:line="360" w:lineRule="auto"/>
        <w:ind w:firstLine="420" w:firstLineChars="200"/>
        <w:rPr>
          <w:rFonts w:ascii="宋体" w:hAnsi="宋体" w:cs="宋体"/>
          <w:sz w:val="21"/>
          <w:szCs w:val="21"/>
        </w:rPr>
      </w:pPr>
      <w:r>
        <w:rPr>
          <w:rFonts w:hint="eastAsia" w:ascii="宋体" w:hAnsi="宋体" w:cs="宋体"/>
          <w:sz w:val="21"/>
          <w:szCs w:val="21"/>
        </w:rPr>
        <w:t>5.2与本项目有关的</w:t>
      </w:r>
      <w:r>
        <w:rPr>
          <w:rFonts w:hint="eastAsia" w:ascii="宋体" w:hAnsi="宋体" w:cs="宋体"/>
          <w:bCs/>
          <w:sz w:val="21"/>
          <w:szCs w:val="21"/>
        </w:rPr>
        <w:t>澄清或者修改的内容为采购文件的组成部分</w:t>
      </w:r>
      <w:r>
        <w:rPr>
          <w:rFonts w:hint="eastAsia" w:ascii="宋体" w:hAnsi="宋体" w:cs="宋体"/>
          <w:sz w:val="21"/>
          <w:szCs w:val="21"/>
        </w:rPr>
        <w:t>。</w:t>
      </w:r>
    </w:p>
    <w:p>
      <w:pPr>
        <w:pStyle w:val="33"/>
        <w:spacing w:line="360" w:lineRule="auto"/>
        <w:rPr>
          <w:rFonts w:hAnsi="宋体" w:cs="宋体"/>
          <w:b/>
          <w:sz w:val="21"/>
          <w:szCs w:val="21"/>
        </w:rPr>
      </w:pPr>
      <w:r>
        <w:rPr>
          <w:rFonts w:hint="eastAsia" w:hAnsi="宋体" w:cs="宋体"/>
          <w:b/>
          <w:sz w:val="21"/>
          <w:szCs w:val="21"/>
        </w:rPr>
        <w:t>6. 采购文件的澄清、修改</w:t>
      </w:r>
    </w:p>
    <w:p>
      <w:pPr>
        <w:pStyle w:val="395"/>
        <w:snapToGrid w:val="0"/>
        <w:spacing w:before="0"/>
        <w:ind w:firstLine="48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w:t>
      </w:r>
      <w:r>
        <w:rPr>
          <w:rFonts w:hint="eastAsia" w:ascii="宋体" w:hAnsi="宋体" w:cs="宋体"/>
          <w:sz w:val="21"/>
          <w:szCs w:val="21"/>
          <w:lang w:eastAsia="zh-CN"/>
        </w:rPr>
        <w:t>采购代理机构</w:t>
      </w:r>
      <w:r>
        <w:rPr>
          <w:rFonts w:hint="eastAsia" w:ascii="宋体" w:hAnsi="宋体" w:cs="宋体"/>
          <w:sz w:val="21"/>
          <w:szCs w:val="21"/>
        </w:rPr>
        <w:t>提出。</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6.2 </w:t>
      </w:r>
      <w:r>
        <w:rPr>
          <w:rFonts w:hint="eastAsia" w:ascii="宋体" w:hAnsi="宋体" w:cs="宋体"/>
          <w:sz w:val="21"/>
          <w:szCs w:val="21"/>
          <w:lang w:eastAsia="zh-CN"/>
        </w:rPr>
        <w:t>采购代理机构</w:t>
      </w:r>
      <w:r>
        <w:rPr>
          <w:rFonts w:hint="eastAsia" w:ascii="宋体" w:hAnsi="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
        <w:rPr>
          <w:rFonts w:hAnsi="宋体" w:cs="宋体"/>
          <w:sz w:val="21"/>
          <w:szCs w:val="21"/>
          <w:lang w:val="en-US"/>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三、提交响应文件</w:t>
      </w:r>
    </w:p>
    <w:p>
      <w:pPr>
        <w:pStyle w:val="33"/>
        <w:spacing w:line="360" w:lineRule="auto"/>
        <w:rPr>
          <w:rFonts w:hAnsi="宋体" w:cs="宋体"/>
          <w:b/>
          <w:sz w:val="21"/>
          <w:szCs w:val="21"/>
        </w:rPr>
      </w:pPr>
      <w:r>
        <w:rPr>
          <w:rFonts w:hint="eastAsia" w:hAnsi="宋体" w:cs="宋体"/>
          <w:b/>
          <w:sz w:val="21"/>
          <w:szCs w:val="21"/>
        </w:rPr>
        <w:t>7. 采购文件的获取</w:t>
      </w:r>
    </w:p>
    <w:p>
      <w:pPr>
        <w:spacing w:line="360" w:lineRule="auto"/>
        <w:ind w:firstLine="420" w:firstLineChars="200"/>
        <w:rPr>
          <w:rFonts w:ascii="宋体" w:hAnsi="宋体" w:cs="宋体"/>
          <w:snapToGrid w:val="0"/>
          <w:kern w:val="28"/>
          <w:sz w:val="21"/>
          <w:szCs w:val="21"/>
        </w:rPr>
      </w:pPr>
      <w:r>
        <w:rPr>
          <w:rFonts w:hint="eastAsia" w:ascii="宋体" w:hAnsi="宋体" w:cs="宋体"/>
          <w:snapToGrid w:val="0"/>
          <w:kern w:val="28"/>
          <w:sz w:val="21"/>
          <w:szCs w:val="21"/>
        </w:rPr>
        <w:t>详见竞争性磋商公告中获取采购文件的时间期限、地点、方式及采购文件售价。</w:t>
      </w:r>
    </w:p>
    <w:p>
      <w:pPr>
        <w:pStyle w:val="33"/>
        <w:spacing w:line="360" w:lineRule="auto"/>
        <w:rPr>
          <w:rFonts w:hAnsi="宋体" w:cs="宋体"/>
          <w:b/>
          <w:sz w:val="21"/>
          <w:szCs w:val="21"/>
        </w:rPr>
      </w:pPr>
      <w:r>
        <w:rPr>
          <w:rFonts w:hint="eastAsia" w:hAnsi="宋体" w:cs="宋体"/>
          <w:b/>
          <w:sz w:val="21"/>
          <w:szCs w:val="21"/>
        </w:rPr>
        <w:t>8.磋商前答疑会或现场考察</w:t>
      </w:r>
    </w:p>
    <w:p>
      <w:pPr>
        <w:pStyle w:val="33"/>
        <w:spacing w:line="360" w:lineRule="auto"/>
        <w:ind w:firstLine="420" w:firstLineChars="200"/>
        <w:rPr>
          <w:rFonts w:hAnsi="宋体" w:cs="宋体"/>
          <w:sz w:val="21"/>
          <w:szCs w:val="21"/>
        </w:rPr>
      </w:pPr>
      <w:r>
        <w:rPr>
          <w:rFonts w:hint="eastAsia" w:hAnsi="宋体" w:cs="宋体"/>
          <w:sz w:val="21"/>
          <w:szCs w:val="21"/>
        </w:rPr>
        <w:t>采购人组织潜在供应商现场考察或者召开磋商前答疑会的，潜在供应商按第</w:t>
      </w:r>
      <w:r>
        <w:rPr>
          <w:rFonts w:hint="eastAsia" w:hAnsi="宋体" w:cs="宋体"/>
          <w:sz w:val="21"/>
          <w:szCs w:val="21"/>
          <w:lang w:eastAsia="zh-CN"/>
        </w:rPr>
        <w:t>三</w:t>
      </w:r>
      <w:r>
        <w:rPr>
          <w:rFonts w:hint="eastAsia" w:hAnsi="宋体" w:cs="宋体"/>
          <w:sz w:val="21"/>
          <w:szCs w:val="21"/>
        </w:rPr>
        <w:t>部分供应商须知前附表的规定参加现场考察或者磋商前答疑会。</w:t>
      </w:r>
    </w:p>
    <w:p>
      <w:pPr>
        <w:pStyle w:val="33"/>
        <w:spacing w:line="360" w:lineRule="auto"/>
        <w:rPr>
          <w:rFonts w:hAnsi="宋体" w:cs="宋体"/>
          <w:b/>
          <w:sz w:val="21"/>
          <w:szCs w:val="21"/>
        </w:rPr>
      </w:pPr>
      <w:r>
        <w:rPr>
          <w:rFonts w:hint="eastAsia" w:hAnsi="宋体" w:cs="宋体"/>
          <w:b/>
          <w:kern w:val="28"/>
          <w:sz w:val="21"/>
          <w:szCs w:val="21"/>
        </w:rPr>
        <w:t>9.磋商保证金</w:t>
      </w:r>
    </w:p>
    <w:p>
      <w:pPr>
        <w:pStyle w:val="8"/>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pPr>
        <w:pStyle w:val="33"/>
        <w:spacing w:line="360" w:lineRule="auto"/>
        <w:rPr>
          <w:rFonts w:hAnsi="宋体" w:cs="宋体"/>
          <w:b/>
          <w:sz w:val="21"/>
          <w:szCs w:val="21"/>
        </w:rPr>
      </w:pPr>
      <w:r>
        <w:rPr>
          <w:rFonts w:hint="eastAsia" w:hAnsi="宋体" w:cs="宋体"/>
          <w:b/>
          <w:sz w:val="21"/>
          <w:szCs w:val="21"/>
        </w:rPr>
        <w:t>10. 响应文件的语言</w:t>
      </w:r>
    </w:p>
    <w:p>
      <w:pPr>
        <w:autoSpaceDE w:val="0"/>
        <w:autoSpaceDN w:val="0"/>
        <w:spacing w:line="360" w:lineRule="auto"/>
        <w:ind w:firstLine="420" w:firstLineChars="200"/>
        <w:rPr>
          <w:rFonts w:ascii="宋体" w:hAnsi="宋体" w:cs="宋体"/>
          <w:sz w:val="21"/>
          <w:szCs w:val="21"/>
          <w:lang w:val="zh-CN"/>
        </w:rPr>
      </w:pPr>
      <w:r>
        <w:rPr>
          <w:rFonts w:hint="eastAsia" w:ascii="宋体" w:hAnsi="宋体" w:cs="宋体"/>
          <w:sz w:val="21"/>
          <w:szCs w:val="21"/>
        </w:rPr>
        <w:t>响应文件及供应商与采购有关的来往通知、函件和文件均应使用中文。</w:t>
      </w:r>
    </w:p>
    <w:p>
      <w:pPr>
        <w:pStyle w:val="33"/>
        <w:spacing w:line="360" w:lineRule="auto"/>
        <w:rPr>
          <w:rFonts w:hAnsi="宋体" w:cs="宋体"/>
          <w:b/>
          <w:sz w:val="21"/>
          <w:szCs w:val="21"/>
        </w:rPr>
      </w:pPr>
      <w:r>
        <w:rPr>
          <w:rFonts w:hint="eastAsia" w:hAnsi="宋体" w:cs="宋体"/>
          <w:b/>
          <w:sz w:val="21"/>
          <w:szCs w:val="21"/>
        </w:rPr>
        <w:t>11. 响应文件的组成</w:t>
      </w:r>
    </w:p>
    <w:p>
      <w:pPr>
        <w:snapToGrid w:val="0"/>
        <w:spacing w:line="360" w:lineRule="auto"/>
        <w:ind w:firstLine="420" w:firstLineChars="200"/>
        <w:rPr>
          <w:rFonts w:ascii="宋体" w:hAnsi="宋体" w:cs="宋体"/>
          <w:sz w:val="21"/>
          <w:szCs w:val="21"/>
        </w:rPr>
      </w:pPr>
      <w:r>
        <w:rPr>
          <w:rFonts w:hint="eastAsia" w:ascii="宋体" w:hAnsi="宋体" w:cs="宋体"/>
          <w:sz w:val="21"/>
          <w:szCs w:val="21"/>
        </w:rPr>
        <w:t>11.1</w:t>
      </w:r>
      <w:r>
        <w:rPr>
          <w:rFonts w:hint="eastAsia" w:ascii="宋体" w:hAnsi="宋体" w:cs="宋体"/>
          <w:b/>
          <w:sz w:val="21"/>
          <w:szCs w:val="21"/>
        </w:rPr>
        <w:t>资格文件</w:t>
      </w:r>
      <w:r>
        <w:rPr>
          <w:rFonts w:hint="eastAsia" w:ascii="宋体" w:hAnsi="宋体" w:cs="宋体"/>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11.1.1符合参加政府采购活动应当具备的一般条件的承诺函；</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w:t>
      </w:r>
      <w:r>
        <w:rPr>
          <w:rFonts w:ascii="宋体" w:hAnsi="宋体" w:cs="宋体"/>
          <w:sz w:val="21"/>
          <w:szCs w:val="21"/>
        </w:rPr>
        <w:t>1.1.2</w:t>
      </w:r>
      <w:bookmarkStart w:id="60" w:name="_Hlk101259339"/>
      <w:r>
        <w:rPr>
          <w:rFonts w:hint="eastAsia" w:ascii="宋体" w:hAnsi="宋体" w:cs="宋体"/>
          <w:snapToGrid w:val="0"/>
          <w:kern w:val="28"/>
          <w:sz w:val="21"/>
          <w:szCs w:val="21"/>
        </w:rPr>
        <w:t>联合协议</w:t>
      </w:r>
      <w:bookmarkStart w:id="61" w:name="_Hlk101257010"/>
      <w:r>
        <w:rPr>
          <w:rFonts w:hint="eastAsia" w:ascii="宋体" w:hAnsi="宋体" w:cs="宋体"/>
          <w:snapToGrid w:val="0"/>
          <w:kern w:val="28"/>
          <w:sz w:val="21"/>
          <w:szCs w:val="21"/>
        </w:rPr>
        <w:t>（如果有)</w:t>
      </w:r>
      <w:bookmarkEnd w:id="60"/>
      <w:bookmarkEnd w:id="61"/>
      <w:r>
        <w:rPr>
          <w:rFonts w:hint="eastAsia" w:ascii="宋体" w:hAnsi="宋体" w:cs="宋体"/>
          <w:snapToGrid w:val="0"/>
          <w:kern w:val="28"/>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3</w:t>
      </w:r>
      <w:r>
        <w:rPr>
          <w:rFonts w:hint="eastAsia" w:ascii="宋体" w:hAnsi="宋体" w:cs="宋体"/>
          <w:sz w:val="21"/>
          <w:szCs w:val="21"/>
        </w:rPr>
        <w:t>落实政府采购政策需满足的资格要求</w:t>
      </w:r>
      <w:r>
        <w:rPr>
          <w:rFonts w:hint="eastAsia" w:ascii="宋体" w:hAnsi="宋体" w:cs="宋体"/>
          <w:snapToGrid w:val="0"/>
          <w:kern w:val="28"/>
          <w:sz w:val="21"/>
          <w:szCs w:val="21"/>
        </w:rPr>
        <w:t>（如果有)</w:t>
      </w:r>
      <w:r>
        <w:rPr>
          <w:rFonts w:hint="eastAsia" w:ascii="宋体" w:hAnsi="宋体" w:cs="宋体"/>
          <w:sz w:val="21"/>
          <w:szCs w:val="21"/>
        </w:rPr>
        <w:t>；</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4</w:t>
      </w:r>
      <w:r>
        <w:rPr>
          <w:rFonts w:hint="eastAsia" w:ascii="宋体" w:hAnsi="宋体" w:cs="宋体"/>
          <w:sz w:val="21"/>
          <w:szCs w:val="21"/>
        </w:rPr>
        <w:t>本项目的特定资格要求</w:t>
      </w:r>
      <w:r>
        <w:rPr>
          <w:rFonts w:hint="eastAsia" w:ascii="宋体" w:hAnsi="宋体" w:cs="宋体"/>
          <w:snapToGrid w:val="0"/>
          <w:kern w:val="28"/>
          <w:sz w:val="21"/>
          <w:szCs w:val="21"/>
        </w:rPr>
        <w:t>（如果有)</w:t>
      </w:r>
      <w:r>
        <w:rPr>
          <w:rFonts w:hint="eastAsia" w:ascii="宋体" w:hAnsi="宋体" w:cs="宋体"/>
          <w:sz w:val="21"/>
          <w:szCs w:val="21"/>
        </w:rPr>
        <w:t>。</w:t>
      </w:r>
    </w:p>
    <w:p>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 xml:space="preserve">  </w:t>
      </w:r>
      <w:r>
        <w:rPr>
          <w:rFonts w:hint="eastAsia" w:ascii="宋体" w:hAnsi="宋体" w:cs="宋体"/>
          <w:sz w:val="21"/>
          <w:szCs w:val="21"/>
        </w:rPr>
        <w:t>商务技术</w:t>
      </w:r>
      <w:r>
        <w:rPr>
          <w:rFonts w:hint="eastAsia" w:ascii="宋体" w:hAnsi="宋体" w:cs="宋体"/>
          <w:sz w:val="21"/>
          <w:szCs w:val="21"/>
          <w:lang w:val="zh-CN"/>
        </w:rPr>
        <w:t>文件：</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11.2.1响应函；</w:t>
      </w:r>
      <w:r>
        <w:rPr>
          <w:rFonts w:hint="eastAsia" w:ascii="宋体" w:hAnsi="宋体" w:cs="宋体"/>
          <w:sz w:val="21"/>
          <w:szCs w:val="21"/>
          <w:lang w:val="zh-CN"/>
        </w:rPr>
        <w:t xml:space="preserve"> </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11.2.2授权委托书或法定代表人（单位负责人、自然人本人）身份证明；</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11.2.3分包意向协议（如果有)；</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11.2.4符合性审查资料；</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11.2.5评审标准相应的商务技术资料；</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11.2.6商务技术偏离表；</w:t>
      </w:r>
    </w:p>
    <w:p>
      <w:pPr>
        <w:snapToGrid w:val="0"/>
        <w:spacing w:line="360" w:lineRule="auto"/>
        <w:ind w:firstLine="840" w:firstLineChars="4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政府采购供应商廉洁自律承诺书；</w:t>
      </w:r>
    </w:p>
    <w:p>
      <w:pPr>
        <w:snapToGrid w:val="0"/>
        <w:spacing w:line="360" w:lineRule="auto"/>
        <w:ind w:firstLine="420" w:firstLineChars="200"/>
        <w:rPr>
          <w:rFonts w:ascii="宋体" w:hAnsi="宋体" w:cs="宋体"/>
          <w:sz w:val="21"/>
          <w:szCs w:val="21"/>
          <w:u w:val="single"/>
          <w:lang w:val="zh-CN"/>
        </w:rPr>
      </w:pPr>
      <w:r>
        <w:rPr>
          <w:rFonts w:hint="eastAsia" w:ascii="宋体" w:hAnsi="宋体" w:cs="宋体"/>
          <w:kern w:val="0"/>
          <w:sz w:val="21"/>
          <w:szCs w:val="21"/>
          <w:lang w:val="zh-CN"/>
        </w:rPr>
        <w:t>11.</w:t>
      </w:r>
      <w:r>
        <w:rPr>
          <w:rFonts w:hint="eastAsia" w:ascii="宋体" w:hAnsi="宋体" w:cs="宋体"/>
          <w:kern w:val="0"/>
          <w:sz w:val="21"/>
          <w:szCs w:val="21"/>
        </w:rPr>
        <w:t>3</w:t>
      </w:r>
      <w:r>
        <w:rPr>
          <w:rFonts w:hint="eastAsia" w:ascii="宋体" w:hAnsi="宋体" w:cs="宋体"/>
          <w:b/>
          <w:sz w:val="21"/>
          <w:szCs w:val="21"/>
        </w:rPr>
        <w:t>报价文件：</w:t>
      </w:r>
      <w:r>
        <w:rPr>
          <w:rFonts w:hint="eastAsia" w:ascii="宋体" w:hAnsi="宋体" w:cs="宋体"/>
          <w:sz w:val="21"/>
          <w:szCs w:val="21"/>
        </w:rPr>
        <w:t xml:space="preserve"> </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11.3.1报价单；</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11.3.2已标价工程量清单；</w:t>
      </w:r>
    </w:p>
    <w:p>
      <w:pPr>
        <w:snapToGrid w:val="0"/>
        <w:spacing w:line="360" w:lineRule="auto"/>
        <w:ind w:firstLine="840" w:firstLineChars="400"/>
        <w:rPr>
          <w:rFonts w:ascii="宋体" w:hAnsi="宋体" w:cs="宋体"/>
          <w:sz w:val="21"/>
          <w:szCs w:val="21"/>
        </w:rPr>
      </w:pPr>
      <w:r>
        <w:rPr>
          <w:rFonts w:hint="eastAsia" w:ascii="宋体" w:hAnsi="宋体" w:cs="宋体"/>
          <w:sz w:val="21"/>
          <w:szCs w:val="21"/>
        </w:rPr>
        <w:t>11.3.3中小企业声明函。</w:t>
      </w:r>
    </w:p>
    <w:p>
      <w:pPr>
        <w:spacing w:line="360" w:lineRule="auto"/>
        <w:ind w:firstLine="632" w:firstLineChars="300"/>
        <w:rPr>
          <w:rFonts w:ascii="宋体" w:hAnsi="宋体" w:cs="宋体"/>
          <w:b/>
          <w:sz w:val="21"/>
          <w:szCs w:val="21"/>
        </w:rPr>
      </w:pPr>
      <w:r>
        <w:rPr>
          <w:rFonts w:hint="eastAsia" w:ascii="宋体" w:hAnsi="宋体" w:cs="宋体"/>
          <w:b/>
          <w:sz w:val="21"/>
          <w:szCs w:val="21"/>
        </w:rPr>
        <w:t>响应文件含有采购人不能接受的附加条件的，响应文件无效；</w:t>
      </w:r>
    </w:p>
    <w:p>
      <w:pPr>
        <w:spacing w:line="360" w:lineRule="auto"/>
        <w:ind w:firstLine="632" w:firstLineChars="300"/>
        <w:rPr>
          <w:rFonts w:ascii="宋体" w:hAnsi="宋体" w:cs="宋体"/>
          <w:b/>
          <w:sz w:val="21"/>
          <w:szCs w:val="21"/>
        </w:rPr>
      </w:pPr>
      <w:r>
        <w:rPr>
          <w:rFonts w:hint="eastAsia" w:ascii="宋体" w:hAnsi="宋体" w:cs="宋体"/>
          <w:b/>
          <w:sz w:val="21"/>
          <w:szCs w:val="21"/>
        </w:rPr>
        <w:t>供应商提供虚假材料的，响应文件无效。</w:t>
      </w:r>
    </w:p>
    <w:p>
      <w:pPr>
        <w:pStyle w:val="395"/>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pPr>
        <w:spacing w:line="360" w:lineRule="auto"/>
        <w:ind w:firstLine="420" w:firstLineChars="200"/>
        <w:rPr>
          <w:rFonts w:ascii="宋体" w:hAnsi="宋体" w:cs="宋体"/>
          <w:b/>
          <w:sz w:val="21"/>
          <w:szCs w:val="21"/>
        </w:rPr>
      </w:pPr>
      <w:r>
        <w:rPr>
          <w:rFonts w:hint="eastAsia" w:ascii="宋体" w:hAnsi="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1"/>
          <w:szCs w:val="21"/>
        </w:rPr>
      </w:pPr>
      <w:r>
        <w:rPr>
          <w:rFonts w:hint="eastAsia" w:ascii="宋体" w:hAnsi="宋体" w:cs="宋体"/>
          <w:b/>
          <w:sz w:val="21"/>
          <w:szCs w:val="21"/>
        </w:rPr>
        <w:t>13.响应文件的签署、盖章</w:t>
      </w:r>
    </w:p>
    <w:p>
      <w:pPr>
        <w:pStyle w:val="395"/>
        <w:snapToGrid w:val="0"/>
        <w:spacing w:before="0"/>
        <w:ind w:firstLine="48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pPr>
        <w:pStyle w:val="395"/>
        <w:snapToGrid w:val="0"/>
        <w:spacing w:before="0"/>
        <w:ind w:firstLine="48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pPr>
        <w:pStyle w:val="395"/>
        <w:snapToGrid w:val="0"/>
        <w:spacing w:before="0"/>
        <w:ind w:firstLine="480"/>
        <w:rPr>
          <w:rFonts w:ascii="宋体" w:hAnsi="宋体" w:cs="宋体"/>
          <w:sz w:val="21"/>
          <w:szCs w:val="21"/>
        </w:rPr>
      </w:pPr>
      <w:r>
        <w:rPr>
          <w:rFonts w:hint="eastAsia" w:ascii="宋体" w:hAnsi="宋体" w:cs="宋体"/>
          <w:sz w:val="21"/>
          <w:szCs w:val="21"/>
        </w:rPr>
        <w:t>13.3采购文件对响应文件签署、盖章的要求适用于电子签名。</w:t>
      </w:r>
    </w:p>
    <w:p>
      <w:pPr>
        <w:pStyle w:val="395"/>
        <w:snapToGrid w:val="0"/>
        <w:spacing w:before="0"/>
        <w:ind w:firstLine="0" w:firstLineChars="0"/>
        <w:rPr>
          <w:rFonts w:ascii="宋体" w:hAnsi="宋体" w:cs="宋体"/>
          <w:b/>
          <w:sz w:val="21"/>
          <w:szCs w:val="21"/>
        </w:rPr>
      </w:pPr>
    </w:p>
    <w:p>
      <w:pPr>
        <w:pStyle w:val="395"/>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pPr>
        <w:pStyle w:val="395"/>
        <w:snapToGrid w:val="0"/>
        <w:spacing w:before="0"/>
        <w:ind w:firstLine="48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395"/>
        <w:snapToGrid w:val="0"/>
        <w:spacing w:before="0"/>
        <w:ind w:firstLine="48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395"/>
        <w:snapToGrid w:val="0"/>
        <w:spacing w:before="0"/>
        <w:ind w:firstLine="480"/>
        <w:rPr>
          <w:rFonts w:ascii="宋体" w:hAnsi="宋体" w:cs="宋体"/>
          <w:sz w:val="21"/>
          <w:szCs w:val="21"/>
        </w:rPr>
      </w:pPr>
      <w:r>
        <w:rPr>
          <w:rFonts w:hint="eastAsia" w:ascii="宋体" w:hAnsi="宋体" w:cs="宋体"/>
          <w:sz w:val="21"/>
          <w:szCs w:val="21"/>
        </w:rPr>
        <w:t>14.3采购人、</w:t>
      </w:r>
      <w:r>
        <w:rPr>
          <w:rFonts w:hint="eastAsia" w:ascii="宋体" w:hAnsi="宋体" w:cs="宋体"/>
          <w:sz w:val="21"/>
          <w:szCs w:val="21"/>
          <w:lang w:eastAsia="zh-CN"/>
        </w:rPr>
        <w:t>采购代理机构</w:t>
      </w:r>
      <w:r>
        <w:rPr>
          <w:rFonts w:hint="eastAsia" w:ascii="宋体" w:hAnsi="宋体" w:cs="宋体"/>
          <w:sz w:val="21"/>
          <w:szCs w:val="21"/>
        </w:rPr>
        <w:t>可以视情况延长响应文件提交的截止时间。在上述情况下，</w:t>
      </w:r>
      <w:r>
        <w:rPr>
          <w:rFonts w:hint="eastAsia" w:ascii="宋体" w:hAnsi="宋体" w:cs="宋体"/>
          <w:sz w:val="21"/>
          <w:szCs w:val="21"/>
          <w:lang w:eastAsia="zh-CN"/>
        </w:rPr>
        <w:t>采购代理机构</w:t>
      </w:r>
      <w:r>
        <w:rPr>
          <w:rFonts w:hint="eastAsia" w:ascii="宋体" w:hAnsi="宋体" w:cs="宋体"/>
          <w:sz w:val="21"/>
          <w:szCs w:val="21"/>
        </w:rPr>
        <w:t>与供应商以前在响应文件提交截止时间方面的全部权利、责任和义务，将适用于延长至新的响应文件提交截止时间。</w:t>
      </w:r>
    </w:p>
    <w:p>
      <w:pPr>
        <w:pStyle w:val="33"/>
        <w:snapToGrid w:val="0"/>
        <w:spacing w:line="360" w:lineRule="auto"/>
        <w:rPr>
          <w:rFonts w:hAnsi="宋体" w:cs="宋体"/>
          <w:b/>
          <w:sz w:val="21"/>
          <w:szCs w:val="21"/>
        </w:rPr>
      </w:pPr>
      <w:r>
        <w:rPr>
          <w:rFonts w:hint="eastAsia" w:hAnsi="宋体" w:cs="宋体"/>
          <w:b/>
          <w:sz w:val="21"/>
          <w:szCs w:val="21"/>
        </w:rPr>
        <w:t>15.备份响应文件</w:t>
      </w:r>
    </w:p>
    <w:p>
      <w:pPr>
        <w:pStyle w:val="33"/>
        <w:snapToGrid w:val="0"/>
        <w:spacing w:line="360" w:lineRule="auto"/>
        <w:ind w:firstLine="315" w:firstLineChars="150"/>
        <w:rPr>
          <w:rFonts w:hAnsi="宋体" w:cs="宋体"/>
          <w:b/>
          <w:sz w:val="21"/>
          <w:szCs w:val="21"/>
        </w:rPr>
      </w:pPr>
      <w:r>
        <w:rPr>
          <w:rFonts w:hint="eastAsia" w:hAnsi="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 w:val="21"/>
          <w:szCs w:val="21"/>
        </w:rPr>
        <w:t>但采购人、</w:t>
      </w:r>
      <w:r>
        <w:rPr>
          <w:rFonts w:hint="eastAsia" w:hAnsi="宋体" w:cs="宋体"/>
          <w:b/>
          <w:sz w:val="21"/>
          <w:szCs w:val="21"/>
          <w:lang w:eastAsia="zh-CN"/>
        </w:rPr>
        <w:t>采购代理机构</w:t>
      </w:r>
      <w:r>
        <w:rPr>
          <w:rFonts w:hint="eastAsia" w:hAnsi="宋体" w:cs="宋体"/>
          <w:b/>
          <w:sz w:val="21"/>
          <w:szCs w:val="21"/>
        </w:rPr>
        <w:t>不强制或变相强制供应商提交备份响应文件。</w:t>
      </w:r>
    </w:p>
    <w:p>
      <w:pPr>
        <w:pStyle w:val="33"/>
        <w:snapToGrid w:val="0"/>
        <w:spacing w:line="360" w:lineRule="auto"/>
        <w:ind w:firstLine="420" w:firstLineChars="200"/>
        <w:rPr>
          <w:rFonts w:hAnsi="宋体" w:cs="宋体"/>
          <w:b/>
          <w:sz w:val="21"/>
          <w:szCs w:val="21"/>
        </w:rPr>
      </w:pPr>
      <w:r>
        <w:rPr>
          <w:rFonts w:hint="eastAsia" w:hAnsi="宋体" w:cs="宋体"/>
          <w:sz w:val="21"/>
          <w:szCs w:val="21"/>
        </w:rPr>
        <w:t>15.2备份响应文件须在“政采云投标客户端”制作生成，并储存在DVD光盘</w:t>
      </w:r>
      <w:r>
        <w:rPr>
          <w:rFonts w:hint="eastAsia" w:hAnsi="宋体" w:cs="宋体"/>
          <w:sz w:val="21"/>
          <w:szCs w:val="21"/>
          <w:lang w:val="en-US" w:eastAsia="zh-CN"/>
        </w:rPr>
        <w:t>等存储介质</w:t>
      </w:r>
      <w:r>
        <w:rPr>
          <w:rFonts w:hint="eastAsia" w:hAnsi="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1"/>
          <w:szCs w:val="21"/>
        </w:rPr>
        <w:t>不符合上述制作、存储、密封规定的备份响应文件将被视为无效或者被拒绝接收。</w:t>
      </w:r>
    </w:p>
    <w:p>
      <w:pPr>
        <w:pStyle w:val="33"/>
        <w:snapToGrid w:val="0"/>
        <w:spacing w:line="360" w:lineRule="auto"/>
        <w:ind w:firstLine="420" w:firstLineChars="200"/>
        <w:rPr>
          <w:rFonts w:hAnsi="宋体" w:cs="宋体"/>
          <w:sz w:val="21"/>
          <w:szCs w:val="21"/>
        </w:rPr>
      </w:pPr>
      <w:r>
        <w:rPr>
          <w:rFonts w:hint="eastAsia" w:hAnsi="宋体" w:cs="宋体"/>
          <w:sz w:val="21"/>
          <w:szCs w:val="21"/>
        </w:rPr>
        <w:t>15.3直接提交备份响应文件的，供应商应于响应文件提交（上传）截止时间前在竞争性磋商公告中载明的响应文件开启地点将备份响应文件提交给</w:t>
      </w:r>
      <w:r>
        <w:rPr>
          <w:rFonts w:hint="eastAsia" w:hAnsi="宋体" w:cs="宋体"/>
          <w:sz w:val="21"/>
          <w:szCs w:val="21"/>
          <w:lang w:eastAsia="zh-CN"/>
        </w:rPr>
        <w:t>采购代理机构</w:t>
      </w:r>
      <w:r>
        <w:rPr>
          <w:rFonts w:hint="eastAsia" w:hAnsi="宋体" w:cs="宋体"/>
          <w:sz w:val="21"/>
          <w:szCs w:val="21"/>
        </w:rPr>
        <w:t>，</w:t>
      </w:r>
      <w:r>
        <w:rPr>
          <w:rFonts w:hint="eastAsia" w:hAnsi="宋体" w:cs="宋体"/>
          <w:sz w:val="21"/>
          <w:szCs w:val="21"/>
          <w:lang w:eastAsia="zh-CN"/>
        </w:rPr>
        <w:t>采购代理机构</w:t>
      </w:r>
      <w:r>
        <w:rPr>
          <w:rFonts w:hint="eastAsia" w:hAnsi="宋体" w:cs="宋体"/>
          <w:sz w:val="21"/>
          <w:szCs w:val="21"/>
        </w:rPr>
        <w:t>将拒绝接受逾期送达的备份响应文件。</w:t>
      </w:r>
    </w:p>
    <w:p>
      <w:pPr>
        <w:pStyle w:val="33"/>
        <w:snapToGrid w:val="0"/>
        <w:spacing w:line="360" w:lineRule="auto"/>
        <w:ind w:firstLine="420" w:firstLineChars="200"/>
        <w:rPr>
          <w:rFonts w:hAnsi="宋体" w:cs="宋体"/>
          <w:sz w:val="21"/>
          <w:szCs w:val="21"/>
        </w:rPr>
      </w:pPr>
      <w:r>
        <w:rPr>
          <w:rFonts w:hint="eastAsia" w:hAnsi="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1"/>
          <w:szCs w:val="21"/>
        </w:rPr>
        <w:t>采购文件第</w:t>
      </w:r>
      <w:r>
        <w:rPr>
          <w:rFonts w:hint="eastAsia" w:hAnsi="宋体" w:cs="宋体"/>
          <w:snapToGrid/>
          <w:sz w:val="21"/>
          <w:szCs w:val="21"/>
          <w:lang w:eastAsia="zh-CN"/>
        </w:rPr>
        <w:t>三</w:t>
      </w:r>
      <w:r>
        <w:rPr>
          <w:rFonts w:hint="eastAsia" w:hAnsi="宋体" w:cs="宋体"/>
          <w:snapToGrid/>
          <w:sz w:val="21"/>
          <w:szCs w:val="21"/>
        </w:rPr>
        <w:t>部分供应商须知前附表规定的备份响应文件送达地点；</w:t>
      </w:r>
      <w:r>
        <w:rPr>
          <w:rFonts w:hint="eastAsia" w:hAnsi="宋体" w:cs="宋体"/>
          <w:sz w:val="21"/>
          <w:szCs w:val="21"/>
        </w:rPr>
        <w:t>送达时间以签收人签收时间为准。</w:t>
      </w:r>
      <w:r>
        <w:rPr>
          <w:rFonts w:hint="eastAsia" w:hAnsi="宋体" w:cs="宋体"/>
          <w:sz w:val="21"/>
          <w:szCs w:val="21"/>
          <w:lang w:eastAsia="zh-CN"/>
        </w:rPr>
        <w:t>采购代理机构</w:t>
      </w:r>
      <w:r>
        <w:rPr>
          <w:rFonts w:hint="eastAsia" w:hAnsi="宋体" w:cs="宋体"/>
          <w:sz w:val="21"/>
          <w:szCs w:val="21"/>
        </w:rPr>
        <w:t>将拒绝接受逾期送达的备份响应文件。邮寄过程中，电子备份响应文件发生泄露、遗失、损坏或延期送达等情况的，由供应商自行负责。</w:t>
      </w:r>
    </w:p>
    <w:p>
      <w:pPr>
        <w:pStyle w:val="33"/>
        <w:snapToGrid w:val="0"/>
        <w:spacing w:line="360" w:lineRule="auto"/>
        <w:ind w:firstLine="420" w:firstLineChars="199"/>
        <w:rPr>
          <w:rFonts w:hAnsi="宋体" w:cs="宋体"/>
          <w:b/>
          <w:sz w:val="21"/>
          <w:szCs w:val="21"/>
        </w:rPr>
      </w:pPr>
      <w:r>
        <w:rPr>
          <w:rFonts w:hint="eastAsia" w:hAnsi="宋体" w:cs="宋体"/>
          <w:b/>
          <w:sz w:val="21"/>
          <w:szCs w:val="21"/>
        </w:rPr>
        <w:t>15.5供应商仅提交备份响应文件，未在电子交易平台传输递交响应文件的，响应文件无效。</w:t>
      </w:r>
    </w:p>
    <w:p>
      <w:pPr>
        <w:pStyle w:val="395"/>
        <w:spacing w:before="0"/>
        <w:ind w:firstLine="0" w:firstLineChars="0"/>
        <w:rPr>
          <w:rFonts w:ascii="宋体" w:hAnsi="宋体" w:cs="宋体"/>
          <w:b/>
          <w:sz w:val="21"/>
          <w:szCs w:val="21"/>
        </w:rPr>
      </w:pPr>
      <w:r>
        <w:rPr>
          <w:rFonts w:hint="eastAsia" w:ascii="宋体" w:hAnsi="宋体" w:cs="宋体"/>
          <w:b/>
          <w:sz w:val="21"/>
          <w:szCs w:val="21"/>
        </w:rPr>
        <w:t>16.响应文件的无效处理</w:t>
      </w:r>
    </w:p>
    <w:p>
      <w:pPr>
        <w:pStyle w:val="25"/>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pPr>
        <w:pStyle w:val="395"/>
        <w:spacing w:before="0"/>
        <w:ind w:firstLine="0" w:firstLineChars="0"/>
        <w:rPr>
          <w:rFonts w:ascii="宋体" w:hAnsi="宋体" w:cs="宋体"/>
          <w:b/>
          <w:sz w:val="21"/>
          <w:szCs w:val="21"/>
        </w:rPr>
      </w:pPr>
      <w:r>
        <w:rPr>
          <w:rFonts w:hint="eastAsia" w:ascii="宋体" w:hAnsi="宋体" w:cs="宋体"/>
          <w:b/>
          <w:sz w:val="21"/>
          <w:szCs w:val="21"/>
        </w:rPr>
        <w:t>17.响应文件有效期</w:t>
      </w:r>
    </w:p>
    <w:p>
      <w:pPr>
        <w:spacing w:line="360" w:lineRule="auto"/>
        <w:ind w:firstLine="420" w:firstLineChars="200"/>
        <w:rPr>
          <w:rFonts w:ascii="宋体" w:hAnsi="宋体" w:cs="宋体"/>
          <w:b/>
          <w:sz w:val="21"/>
          <w:szCs w:val="21"/>
        </w:rPr>
      </w:pPr>
      <w:r>
        <w:rPr>
          <w:rFonts w:hint="eastAsia" w:ascii="宋体" w:hAnsi="宋体" w:cs="宋体"/>
          <w:sz w:val="21"/>
          <w:szCs w:val="21"/>
        </w:rPr>
        <w:t>17.1响应文件有效期为从提交响应文件的截止之日起90天。▲</w:t>
      </w:r>
      <w:r>
        <w:rPr>
          <w:rFonts w:hint="eastAsia" w:ascii="宋体" w:hAnsi="宋体" w:cs="宋体"/>
          <w:b/>
          <w:sz w:val="21"/>
          <w:szCs w:val="21"/>
        </w:rPr>
        <w:t>供应商的响应文件中承诺的响应文件有效期少于采购文件中载明的响应文件有效期的，响应文件无效。</w:t>
      </w:r>
    </w:p>
    <w:p>
      <w:pPr>
        <w:pStyle w:val="395"/>
        <w:spacing w:before="0"/>
        <w:ind w:firstLine="48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pPr>
        <w:pStyle w:val="395"/>
        <w:spacing w:before="0"/>
        <w:ind w:firstLine="480"/>
        <w:rPr>
          <w:rFonts w:ascii="宋体" w:hAnsi="宋体" w:cs="宋体"/>
          <w:sz w:val="21"/>
          <w:szCs w:val="21"/>
        </w:rPr>
      </w:pPr>
      <w:r>
        <w:rPr>
          <w:rFonts w:hint="eastAsia" w:ascii="宋体" w:hAnsi="宋体" w:cs="宋体"/>
          <w:sz w:val="21"/>
          <w:szCs w:val="21"/>
        </w:rPr>
        <w:t>17.3在原定响应文件有效期满之前，如果出现特殊情况，</w:t>
      </w:r>
      <w:r>
        <w:rPr>
          <w:rFonts w:hint="eastAsia" w:ascii="宋体" w:hAnsi="宋体" w:cs="宋体"/>
          <w:sz w:val="21"/>
          <w:szCs w:val="21"/>
          <w:lang w:eastAsia="zh-CN"/>
        </w:rPr>
        <w:t>采购代理机构</w:t>
      </w:r>
      <w:r>
        <w:rPr>
          <w:rFonts w:hint="eastAsia" w:ascii="宋体" w:hAnsi="宋体" w:cs="宋体"/>
          <w:sz w:val="21"/>
          <w:szCs w:val="21"/>
        </w:rPr>
        <w:t>可以以书面形式通知供应商延长响应文件有效期。供应商同意延长的，不得要求或被允许修改其响应文件，供应商拒绝延长的，其响应文件无效。</w:t>
      </w:r>
    </w:p>
    <w:p>
      <w:pPr>
        <w:pStyle w:val="395"/>
        <w:spacing w:before="0"/>
        <w:ind w:firstLine="643"/>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四、响应文件开启、资格审查与信用信息查询</w:t>
      </w:r>
    </w:p>
    <w:p>
      <w:pPr>
        <w:pStyle w:val="357"/>
        <w:spacing w:before="0" w:line="360" w:lineRule="auto"/>
        <w:ind w:left="0" w:firstLine="0"/>
        <w:contextualSpacing/>
        <w:rPr>
          <w:rFonts w:ascii="宋体" w:hAnsi="宋体" w:cs="宋体"/>
          <w:sz w:val="21"/>
          <w:szCs w:val="21"/>
        </w:rPr>
      </w:pPr>
      <w:r>
        <w:rPr>
          <w:rFonts w:hint="eastAsia" w:ascii="宋体" w:hAnsi="宋体" w:cs="宋体"/>
          <w:b/>
          <w:sz w:val="21"/>
          <w:szCs w:val="21"/>
        </w:rPr>
        <w:t>18.响应文件开启</w:t>
      </w:r>
      <w:r>
        <w:rPr>
          <w:rFonts w:hint="eastAsia" w:ascii="宋体" w:hAnsi="宋体" w:cs="宋体"/>
          <w:sz w:val="21"/>
          <w:szCs w:val="21"/>
        </w:rPr>
        <w:t xml:space="preserve"> </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w:t>
      </w:r>
      <w:r>
        <w:rPr>
          <w:rFonts w:hint="eastAsia" w:ascii="宋体" w:hAnsi="宋体" w:cs="宋体"/>
          <w:sz w:val="21"/>
          <w:szCs w:val="21"/>
          <w:lang w:eastAsia="zh-CN"/>
        </w:rPr>
        <w:t>采购代理机构</w:t>
      </w:r>
      <w:r>
        <w:rPr>
          <w:rFonts w:hint="eastAsia" w:ascii="宋体" w:hAnsi="宋体" w:cs="宋体"/>
          <w:sz w:val="21"/>
          <w:szCs w:val="21"/>
        </w:rPr>
        <w:t>按照采购文件规定的时间通过电子交易平台组织响应文件开启，所有供应商均应当准时在线参加。供应商不足3家的，不得开启。</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w:t>
      </w:r>
      <w:r>
        <w:rPr>
          <w:rFonts w:hint="eastAsia" w:ascii="宋体" w:hAnsi="宋体" w:cs="宋体"/>
          <w:sz w:val="21"/>
          <w:szCs w:val="21"/>
          <w:lang w:eastAsia="zh-CN"/>
        </w:rPr>
        <w:t>采购代理机构</w:t>
      </w:r>
      <w:r>
        <w:rPr>
          <w:rFonts w:hint="eastAsia" w:ascii="宋体" w:hAnsi="宋体" w:cs="宋体"/>
          <w:sz w:val="21"/>
          <w:szCs w:val="21"/>
        </w:rPr>
        <w:t>依托电子交易平台发起开始解密指令，供应商按照平台提示和采购文件的规定在半小时内完成在线解密。</w:t>
      </w:r>
    </w:p>
    <w:p>
      <w:pPr>
        <w:pStyle w:val="35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pPr>
        <w:pStyle w:val="357"/>
        <w:spacing w:before="0" w:line="360" w:lineRule="auto"/>
        <w:ind w:left="0" w:firstLine="0"/>
        <w:contextualSpacing/>
        <w:rPr>
          <w:rFonts w:ascii="宋体" w:hAnsi="宋体" w:cs="宋体"/>
          <w:b/>
          <w:sz w:val="21"/>
          <w:szCs w:val="21"/>
        </w:rPr>
      </w:pPr>
      <w:r>
        <w:rPr>
          <w:rFonts w:hint="eastAsia" w:ascii="宋体" w:hAnsi="宋体" w:cs="宋体"/>
          <w:b/>
          <w:sz w:val="21"/>
          <w:szCs w:val="21"/>
        </w:rPr>
        <w:t>19、资格审查</w:t>
      </w:r>
    </w:p>
    <w:p>
      <w:pPr>
        <w:snapToGrid w:val="0"/>
        <w:spacing w:line="360" w:lineRule="auto"/>
        <w:ind w:firstLine="420" w:firstLineChars="20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1</w:t>
      </w:r>
      <w:r>
        <w:rPr>
          <w:rFonts w:hint="eastAsia" w:ascii="宋体" w:hAnsi="宋体" w:cs="宋体"/>
          <w:sz w:val="21"/>
          <w:szCs w:val="21"/>
        </w:rPr>
        <w:t>采购人、</w:t>
      </w:r>
      <w:r>
        <w:rPr>
          <w:rFonts w:hint="eastAsia" w:ascii="宋体" w:hAnsi="宋体" w:cs="宋体"/>
          <w:sz w:val="21"/>
          <w:szCs w:val="21"/>
          <w:lang w:eastAsia="zh-CN"/>
        </w:rPr>
        <w:t>采购代理机构</w:t>
      </w:r>
      <w:r>
        <w:rPr>
          <w:rFonts w:hint="eastAsia" w:ascii="宋体" w:hAnsi="宋体" w:cs="宋体"/>
          <w:sz w:val="21"/>
          <w:szCs w:val="21"/>
        </w:rPr>
        <w:t>或磋商小组依据法律法规和采购文件的规定，对供应商的资格进行审查。</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2</w:t>
      </w:r>
      <w:r>
        <w:rPr>
          <w:rFonts w:hint="eastAsia" w:ascii="宋体" w:hAnsi="宋体" w:cs="宋体"/>
          <w:kern w:val="0"/>
          <w:sz w:val="21"/>
          <w:szCs w:val="21"/>
        </w:rPr>
        <w:t>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3</w:t>
      </w:r>
      <w:r>
        <w:rPr>
          <w:rFonts w:hint="eastAsia" w:ascii="宋体" w:hAnsi="宋体" w:cs="宋体"/>
          <w:sz w:val="21"/>
          <w:szCs w:val="21"/>
        </w:rPr>
        <w:t>对未通过资格审查的供应商，采购人或</w:t>
      </w:r>
      <w:r>
        <w:rPr>
          <w:rFonts w:hint="eastAsia" w:ascii="宋体" w:hAnsi="宋体" w:cs="宋体"/>
          <w:sz w:val="21"/>
          <w:szCs w:val="21"/>
          <w:lang w:eastAsia="zh-CN"/>
        </w:rPr>
        <w:t>采购代理机构</w:t>
      </w:r>
      <w:r>
        <w:rPr>
          <w:rFonts w:hint="eastAsia" w:ascii="宋体" w:hAnsi="宋体" w:cs="宋体"/>
          <w:sz w:val="21"/>
          <w:szCs w:val="21"/>
        </w:rPr>
        <w:t>告知其未通过的原因。</w:t>
      </w:r>
    </w:p>
    <w:p>
      <w:pPr>
        <w:pStyle w:val="395"/>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4</w:t>
      </w:r>
      <w:r>
        <w:rPr>
          <w:rFonts w:hint="eastAsia" w:ascii="宋体" w:hAnsi="宋体" w:cs="宋体"/>
          <w:sz w:val="21"/>
          <w:szCs w:val="21"/>
        </w:rPr>
        <w:t>合格供应商不足3家的，不再评审。</w:t>
      </w:r>
    </w:p>
    <w:p>
      <w:pPr>
        <w:pStyle w:val="395"/>
        <w:spacing w:before="0"/>
        <w:ind w:firstLine="0" w:firstLineChars="0"/>
        <w:rPr>
          <w:rFonts w:ascii="宋体" w:hAnsi="宋体" w:cs="宋体"/>
          <w:b/>
          <w:sz w:val="21"/>
          <w:szCs w:val="21"/>
        </w:rPr>
      </w:pPr>
      <w:r>
        <w:rPr>
          <w:rFonts w:hint="eastAsia" w:ascii="宋体" w:hAnsi="宋体" w:cs="宋体"/>
          <w:b/>
          <w:sz w:val="21"/>
          <w:szCs w:val="21"/>
        </w:rPr>
        <w:t>20、信用信息查询</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w:t>
      </w:r>
      <w:r>
        <w:rPr>
          <w:rFonts w:hint="eastAsia" w:ascii="宋体" w:hAnsi="宋体" w:cs="宋体"/>
          <w:kern w:val="0"/>
          <w:sz w:val="21"/>
          <w:szCs w:val="21"/>
          <w:lang w:eastAsia="zh-CN"/>
        </w:rPr>
        <w:t>采购代理机构</w:t>
      </w:r>
      <w:r>
        <w:rPr>
          <w:rFonts w:hint="eastAsia" w:ascii="宋体" w:hAnsi="宋体" w:cs="宋体"/>
          <w:kern w:val="0"/>
          <w:sz w:val="21"/>
          <w:szCs w:val="21"/>
        </w:rPr>
        <w:t>将在资格审查时通过“信用中国”网站(www.creditchina.gov.cn)、中国政府采购网(www.ccgp.gov.cn)渠道查询供应商接受资格审查时的信用记录。</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pPr>
        <w:pStyle w:val="395"/>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pPr>
        <w:pStyle w:val="395"/>
        <w:spacing w:before="0"/>
        <w:ind w:firstLine="48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pPr>
        <w:pStyle w:val="395"/>
        <w:spacing w:before="0"/>
        <w:ind w:firstLine="0" w:firstLineChars="0"/>
        <w:rPr>
          <w:rFonts w:ascii="宋体" w:hAnsi="宋体" w:cs="宋体"/>
          <w:kern w:val="0"/>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五、评审</w:t>
      </w:r>
    </w:p>
    <w:p>
      <w:pPr>
        <w:spacing w:line="360" w:lineRule="auto"/>
        <w:rPr>
          <w:rFonts w:ascii="宋体" w:hAnsi="宋体" w:cs="宋体"/>
          <w:b/>
          <w:sz w:val="21"/>
          <w:szCs w:val="21"/>
        </w:rPr>
      </w:pPr>
      <w:bookmarkStart w:id="62" w:name="_Toc91899903"/>
      <w:r>
        <w:rPr>
          <w:rFonts w:hint="eastAsia" w:ascii="宋体" w:hAnsi="宋体" w:cs="宋体"/>
          <w:b/>
          <w:sz w:val="21"/>
          <w:szCs w:val="21"/>
        </w:rPr>
        <w:t>21.</w:t>
      </w:r>
      <w:r>
        <w:rPr>
          <w:rFonts w:hint="eastAsia" w:ascii="宋体" w:hAnsi="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1"/>
          <w:szCs w:val="21"/>
        </w:rPr>
        <w:t>详见采购文件第四部分评审办法。</w:t>
      </w:r>
    </w:p>
    <w:p>
      <w:pPr>
        <w:spacing w:line="360" w:lineRule="auto"/>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六、成交供应商确定</w:t>
      </w:r>
    </w:p>
    <w:p>
      <w:pPr>
        <w:pStyle w:val="25"/>
        <w:spacing w:line="360" w:lineRule="auto"/>
        <w:ind w:left="479" w:hanging="420" w:hangingChars="199"/>
        <w:rPr>
          <w:rFonts w:cs="宋体"/>
          <w:b/>
          <w:sz w:val="21"/>
          <w:szCs w:val="21"/>
        </w:rPr>
      </w:pPr>
      <w:r>
        <w:rPr>
          <w:rFonts w:hint="eastAsia" w:cs="宋体"/>
          <w:b/>
          <w:sz w:val="21"/>
          <w:szCs w:val="21"/>
        </w:rPr>
        <w:t>22. 确定成交供应商</w:t>
      </w:r>
    </w:p>
    <w:p>
      <w:pPr>
        <w:pStyle w:val="395"/>
        <w:snapToGrid w:val="0"/>
        <w:spacing w:before="0"/>
        <w:ind w:firstLine="48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395"/>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23.1自成交供应商确定之日起1个工作日内，</w:t>
      </w:r>
      <w:r>
        <w:rPr>
          <w:rFonts w:hint="eastAsia" w:ascii="宋体" w:hAnsi="宋体" w:cs="宋体"/>
          <w:sz w:val="21"/>
          <w:szCs w:val="21"/>
          <w:lang w:eastAsia="zh-CN"/>
        </w:rPr>
        <w:t>采购代理机构</w:t>
      </w:r>
      <w:r>
        <w:rPr>
          <w:rFonts w:hint="eastAsia" w:ascii="宋体" w:hAnsi="宋体" w:cs="宋体"/>
          <w:sz w:val="21"/>
          <w:szCs w:val="21"/>
        </w:rPr>
        <w:t>通过电子交易平台向成交供应商发出成交通知书，同时编制发布采购结果公告。</w:t>
      </w:r>
      <w:r>
        <w:rPr>
          <w:rFonts w:hint="eastAsia" w:ascii="宋体" w:hAnsi="宋体" w:cs="宋体"/>
          <w:sz w:val="21"/>
          <w:szCs w:val="21"/>
          <w:lang w:eastAsia="zh-CN"/>
        </w:rPr>
        <w:t>采购代理机构</w:t>
      </w:r>
      <w:r>
        <w:rPr>
          <w:rFonts w:hint="eastAsia" w:ascii="宋体" w:hAnsi="宋体" w:cs="宋体"/>
          <w:sz w:val="21"/>
          <w:szCs w:val="21"/>
        </w:rPr>
        <w:t>也可以以纸质形式进行成交通知。</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23.2成交结果公告内容包括采购人及其委托的</w:t>
      </w:r>
      <w:r>
        <w:rPr>
          <w:rFonts w:hint="eastAsia" w:ascii="宋体" w:hAnsi="宋体" w:cs="宋体"/>
          <w:sz w:val="21"/>
          <w:szCs w:val="21"/>
          <w:lang w:eastAsia="zh-CN"/>
        </w:rPr>
        <w:t>采购代理机构</w:t>
      </w:r>
      <w:r>
        <w:rPr>
          <w:rFonts w:hint="eastAsia" w:ascii="宋体" w:hAnsi="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23.3公告期限为1个工作日。</w:t>
      </w:r>
    </w:p>
    <w:p>
      <w:pPr>
        <w:snapToGrid w:val="0"/>
        <w:spacing w:line="360" w:lineRule="auto"/>
        <w:ind w:left="120" w:leftChars="57" w:firstLine="316" w:firstLineChars="150"/>
        <w:jc w:val="center"/>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七、合同授予</w:t>
      </w:r>
    </w:p>
    <w:p>
      <w:pPr>
        <w:pStyle w:val="25"/>
        <w:snapToGrid w:val="0"/>
        <w:spacing w:line="360" w:lineRule="auto"/>
        <w:ind w:left="479"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pPr>
        <w:pStyle w:val="25"/>
        <w:snapToGrid w:val="0"/>
        <w:spacing w:line="360" w:lineRule="auto"/>
        <w:ind w:left="479" w:hanging="420" w:hangingChars="199"/>
        <w:rPr>
          <w:rFonts w:cs="宋体"/>
          <w:b/>
          <w:sz w:val="21"/>
          <w:szCs w:val="21"/>
        </w:rPr>
      </w:pPr>
      <w:r>
        <w:rPr>
          <w:rFonts w:hint="eastAsia" w:cs="宋体"/>
          <w:b/>
          <w:sz w:val="21"/>
          <w:szCs w:val="21"/>
        </w:rPr>
        <w:t>25. 合同的签订</w:t>
      </w:r>
    </w:p>
    <w:p>
      <w:pPr>
        <w:widowControl/>
        <w:shd w:val="clear" w:color="auto" w:fill="FFFFFF"/>
        <w:snapToGrid w:val="0"/>
        <w:spacing w:line="360" w:lineRule="auto"/>
        <w:ind w:firstLine="480"/>
        <w:jc w:val="left"/>
        <w:rPr>
          <w:rFonts w:ascii="宋体" w:hAnsi="宋体" w:cs="宋体"/>
          <w:kern w:val="0"/>
          <w:sz w:val="21"/>
          <w:szCs w:val="21"/>
        </w:rPr>
      </w:pPr>
      <w:r>
        <w:rPr>
          <w:rFonts w:hint="eastAsia" w:ascii="宋体" w:hAnsi="宋体" w:cs="宋体"/>
          <w:sz w:val="21"/>
          <w:szCs w:val="21"/>
        </w:rPr>
        <w:t>25.1</w:t>
      </w:r>
      <w:r>
        <w:rPr>
          <w:rFonts w:hint="eastAsia" w:ascii="宋体" w:hAnsi="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395"/>
        <w:snapToGrid w:val="0"/>
        <w:spacing w:before="0"/>
        <w:ind w:firstLine="48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395"/>
        <w:snapToGrid w:val="0"/>
        <w:spacing w:before="0"/>
        <w:ind w:firstLine="48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pPr>
        <w:pStyle w:val="395"/>
        <w:snapToGrid w:val="0"/>
        <w:spacing w:before="0"/>
        <w:ind w:firstLine="48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395"/>
        <w:snapToGrid w:val="0"/>
        <w:spacing w:before="0"/>
        <w:ind w:firstLine="48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pPr>
        <w:pStyle w:val="25"/>
        <w:snapToGrid w:val="0"/>
        <w:spacing w:line="360" w:lineRule="auto"/>
        <w:ind w:left="479" w:hanging="420" w:hangingChars="199"/>
        <w:rPr>
          <w:rFonts w:cs="宋体"/>
          <w:b/>
          <w:sz w:val="21"/>
          <w:szCs w:val="21"/>
        </w:rPr>
      </w:pPr>
      <w:r>
        <w:rPr>
          <w:rFonts w:hint="eastAsia" w:cs="宋体"/>
          <w:b/>
          <w:sz w:val="21"/>
          <w:szCs w:val="21"/>
        </w:rPr>
        <w:t>26. 履约保证金</w:t>
      </w:r>
    </w:p>
    <w:p>
      <w:pPr>
        <w:tabs>
          <w:tab w:val="left" w:pos="0"/>
        </w:tabs>
        <w:snapToGrid w:val="0"/>
        <w:spacing w:line="360" w:lineRule="auto"/>
        <w:ind w:firstLine="482"/>
        <w:rPr>
          <w:rFonts w:ascii="宋体" w:hAnsi="宋体" w:cs="宋体"/>
          <w:sz w:val="21"/>
          <w:szCs w:val="21"/>
        </w:rPr>
      </w:pPr>
      <w:r>
        <w:rPr>
          <w:rFonts w:hint="eastAsia" w:ascii="宋体" w:hAnsi="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cs="宋体"/>
          <w:sz w:val="21"/>
          <w:szCs w:val="21"/>
        </w:rPr>
        <w:t>。市政府采购网公布的供应商履约评价为满分的供应商，采购单位应当免收履约保证金。确需收取履约保证金的，履约保证金缴纳最高比例由不超过</w:t>
      </w:r>
      <w:r>
        <w:rPr>
          <w:rFonts w:hint="eastAsia" w:ascii="宋体" w:hAnsi="宋体" w:cs="宋体"/>
          <w:kern w:val="2"/>
          <w:sz w:val="21"/>
          <w:szCs w:val="21"/>
        </w:rPr>
        <w:t>合同金额的</w:t>
      </w:r>
      <w:r>
        <w:rPr>
          <w:rFonts w:ascii="宋体" w:hAnsi="宋体" w:cs="宋体"/>
          <w:kern w:val="2"/>
          <w:sz w:val="21"/>
          <w:szCs w:val="21"/>
        </w:rPr>
        <w:t>1%</w:t>
      </w:r>
      <w:r>
        <w:rPr>
          <w:rFonts w:hint="eastAsia" w:ascii="宋体" w:hAnsi="宋体" w:cs="宋体"/>
          <w:kern w:val="2"/>
          <w:sz w:val="21"/>
          <w:szCs w:val="21"/>
          <w:highlight w:val="none"/>
        </w:rPr>
        <w:t>，鼓励根据项目特点、供应商诚信等因素免收履约保证金或降低缴纳比例</w:t>
      </w:r>
      <w:r>
        <w:rPr>
          <w:rFonts w:hint="eastAsia" w:ascii="宋体" w:hAnsi="宋体" w:cs="宋体"/>
          <w:kern w:val="2"/>
          <w:sz w:val="21"/>
          <w:szCs w:val="21"/>
        </w:rPr>
        <w:t>。</w:t>
      </w:r>
      <w:r>
        <w:rPr>
          <w:rFonts w:hint="eastAsia" w:ascii="宋体" w:hAnsi="宋体" w:cs="宋体"/>
          <w:sz w:val="21"/>
          <w:szCs w:val="21"/>
        </w:rPr>
        <w:t>采购单位鼓励供应商采取履约保函形式提供信用保证；供应商提供保函的，采购单位不得拒收。项目验收结束后应及时退还，</w:t>
      </w:r>
      <w:r>
        <w:rPr>
          <w:rFonts w:ascii="宋体" w:hAnsi="宋体" w:cs="宋体"/>
          <w:sz w:val="21"/>
          <w:szCs w:val="21"/>
        </w:rPr>
        <w:t>延迟退还的，应当按照合同约定和法律规定承担相应的赔偿责任</w:t>
      </w:r>
      <w:r>
        <w:rPr>
          <w:rFonts w:hint="eastAsia" w:ascii="宋体" w:hAnsi="宋体" w:cs="宋体"/>
          <w:sz w:val="21"/>
          <w:szCs w:val="21"/>
        </w:rPr>
        <w:t>。</w:t>
      </w:r>
    </w:p>
    <w:p>
      <w:pPr>
        <w:pStyle w:val="6"/>
        <w:snapToGrid w:val="0"/>
        <w:ind w:left="0" w:firstLine="420" w:firstLineChars="200"/>
        <w:rPr>
          <w:rFonts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numPr>
          <w:ilvl w:val="0"/>
          <w:numId w:val="0"/>
        </w:numPr>
        <w:ind w:leftChars="0"/>
        <w:rPr>
          <w:sz w:val="21"/>
          <w:szCs w:val="21"/>
          <w:highlight w:val="none"/>
        </w:rPr>
      </w:pPr>
      <w:r>
        <w:rPr>
          <w:rFonts w:ascii="宋体" w:hAnsi="宋体" w:eastAsia="宋体" w:cs="Times New Roman"/>
          <w:b/>
          <w:bCs/>
          <w:kern w:val="2"/>
          <w:sz w:val="21"/>
          <w:szCs w:val="21"/>
          <w:highlight w:val="none"/>
          <w:lang w:val="en-US"/>
        </w:rPr>
        <w:t>27.预付款</w:t>
      </w:r>
    </w:p>
    <w:p>
      <w:pPr>
        <w:adjustRightInd/>
        <w:spacing w:line="360" w:lineRule="auto"/>
        <w:ind w:firstLine="420" w:firstLineChars="200"/>
        <w:rPr>
          <w:sz w:val="21"/>
          <w:szCs w:val="21"/>
          <w:highlight w:val="none"/>
        </w:rPr>
      </w:pPr>
      <w:r>
        <w:rPr>
          <w:rFonts w:hint="eastAsia" w:ascii="宋体" w:hAnsi="宋体" w:cs="Times New Roman"/>
          <w:kern w:val="2"/>
          <w:sz w:val="21"/>
          <w:szCs w:val="21"/>
          <w:highlight w:val="none"/>
        </w:rPr>
        <w:t>采购单位应当在政府采购合同中约定预付款，对中小企业合同预付款比例原则上不低于合同金额的</w:t>
      </w:r>
      <w:r>
        <w:rPr>
          <w:rFonts w:ascii="宋体" w:hAnsi="宋体" w:cs="Times New Roman"/>
          <w:kern w:val="2"/>
          <w:sz w:val="21"/>
          <w:szCs w:val="21"/>
          <w:highlight w:val="none"/>
        </w:rPr>
        <w:t>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70%；项目分年安排预算的，每年预付款比例</w:t>
      </w:r>
      <w:r>
        <w:rPr>
          <w:rFonts w:hint="eastAsia" w:ascii="宋体" w:hAnsi="宋体"/>
          <w:sz w:val="21"/>
          <w:szCs w:val="21"/>
        </w:rPr>
        <w:t>不低于</w:t>
      </w:r>
      <w:r>
        <w:rPr>
          <w:rFonts w:ascii="宋体" w:hAnsi="宋体" w:cs="Times New Roman"/>
          <w:kern w:val="2"/>
          <w:sz w:val="21"/>
          <w:szCs w:val="21"/>
          <w:highlight w:val="none"/>
        </w:rPr>
        <w:t>项目年度计划支付资金额的40％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70%；采购项目实施以人工投入为主的，</w:t>
      </w:r>
      <w:r>
        <w:rPr>
          <w:rFonts w:hint="eastAsia" w:ascii="宋体" w:hAnsi="宋体" w:cs="Times New Roman"/>
          <w:kern w:val="2"/>
          <w:sz w:val="21"/>
          <w:szCs w:val="21"/>
          <w:highlight w:val="none"/>
        </w:rPr>
        <w:t>可适当降低预付款比例，但不得低于</w:t>
      </w:r>
      <w:r>
        <w:rPr>
          <w:rFonts w:ascii="宋体" w:hAnsi="宋体" w:cs="Times New Roman"/>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明确表示无需预付款或者主动要求降低预付款比例的，</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可不适用前述规定。</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根据项目特点、供应商诚信等因素，可以要求</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1"/>
          <w:szCs w:val="21"/>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1"/>
          <w:szCs w:val="21"/>
          <w:highlight w:val="none"/>
        </w:rPr>
        <w:t xml:space="preserve"> - </w:t>
      </w:r>
      <w:r>
        <w:rPr>
          <w:rFonts w:hint="eastAsia" w:ascii="宋体" w:hAnsi="宋体" w:cs="Times New Roman"/>
          <w:kern w:val="2"/>
          <w:sz w:val="21"/>
          <w:szCs w:val="21"/>
          <w:highlight w:val="none"/>
        </w:rPr>
        <w:t>【保函保险服务】出具预付款保函，具体步骤：选择产品—填写供应商信息—选择中标项目—确认信息—等待保险</w:t>
      </w:r>
      <w:r>
        <w:rPr>
          <w:rFonts w:ascii="宋体" w:hAnsi="宋体" w:cs="Times New Roman"/>
          <w:kern w:val="2"/>
          <w:sz w:val="21"/>
          <w:szCs w:val="21"/>
          <w:highlight w:val="none"/>
        </w:rPr>
        <w:t>/保函受理—确认保单—支付保费—成功出单。政</w:t>
      </w:r>
      <w:r>
        <w:rPr>
          <w:rFonts w:hint="eastAsia" w:ascii="宋体" w:hAnsi="宋体" w:cs="Times New Roman"/>
          <w:kern w:val="2"/>
          <w:sz w:val="21"/>
          <w:szCs w:val="21"/>
          <w:highlight w:val="none"/>
        </w:rPr>
        <w:t>采云金融专线</w:t>
      </w:r>
      <w:r>
        <w:rPr>
          <w:rFonts w:ascii="宋体" w:hAnsi="宋体" w:cs="Times New Roman"/>
          <w:kern w:val="2"/>
          <w:sz w:val="21"/>
          <w:szCs w:val="21"/>
          <w:highlight w:val="none"/>
        </w:rPr>
        <w:t>400-903-9583。</w:t>
      </w:r>
    </w:p>
    <w:p>
      <w:pPr>
        <w:rPr>
          <w:sz w:val="21"/>
          <w:szCs w:val="21"/>
        </w:rPr>
      </w:pPr>
    </w:p>
    <w:p>
      <w:pPr>
        <w:snapToGrid w:val="0"/>
        <w:spacing w:line="360" w:lineRule="auto"/>
        <w:ind w:firstLine="2203" w:firstLineChars="1045"/>
        <w:rPr>
          <w:rFonts w:ascii="宋体" w:hAnsi="宋体" w:cs="宋体"/>
          <w:b/>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八、电子交易活动的中止</w:t>
      </w:r>
    </w:p>
    <w:p>
      <w:pPr>
        <w:pStyle w:val="395"/>
        <w:snapToGrid w:val="0"/>
        <w:spacing w:before="0"/>
        <w:ind w:firstLine="0" w:firstLineChars="0"/>
        <w:rPr>
          <w:rFonts w:ascii="宋体" w:hAnsi="宋体" w:cs="宋体"/>
          <w:sz w:val="21"/>
          <w:szCs w:val="21"/>
        </w:rPr>
      </w:pPr>
      <w:r>
        <w:rPr>
          <w:rFonts w:ascii="宋体" w:hAnsi="宋体" w:cs="宋体"/>
          <w:b/>
          <w:bCs/>
          <w:kern w:val="2"/>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w:t>
      </w:r>
      <w:r>
        <w:rPr>
          <w:rFonts w:hint="eastAsia" w:ascii="宋体" w:hAnsi="宋体" w:cs="宋体"/>
          <w:sz w:val="21"/>
          <w:szCs w:val="21"/>
          <w:lang w:eastAsia="zh-CN"/>
        </w:rPr>
        <w:t>采购代理机构</w:t>
      </w:r>
      <w:r>
        <w:rPr>
          <w:rFonts w:hint="eastAsia" w:ascii="宋体" w:hAnsi="宋体" w:cs="宋体"/>
          <w:sz w:val="21"/>
          <w:szCs w:val="21"/>
        </w:rPr>
        <w:t>可中止电子交易活动：</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28.1电子交易平台发生故障而无法登录访问的； </w:t>
      </w:r>
    </w:p>
    <w:p>
      <w:pPr>
        <w:pStyle w:val="395"/>
        <w:snapToGrid w:val="0"/>
        <w:spacing w:before="0"/>
        <w:ind w:firstLine="480"/>
        <w:rPr>
          <w:rFonts w:ascii="宋体" w:hAnsi="宋体" w:cs="宋体"/>
          <w:sz w:val="21"/>
          <w:szCs w:val="21"/>
        </w:rPr>
      </w:pPr>
      <w:r>
        <w:rPr>
          <w:rFonts w:hint="eastAsia" w:ascii="宋体" w:hAnsi="宋体" w:cs="宋体"/>
          <w:sz w:val="21"/>
          <w:szCs w:val="21"/>
        </w:rPr>
        <w:t>28.2电子交易平台应用或数据库出现错误，不能进行正常操作的；</w:t>
      </w:r>
    </w:p>
    <w:p>
      <w:pPr>
        <w:pStyle w:val="395"/>
        <w:snapToGrid w:val="0"/>
        <w:spacing w:before="0"/>
        <w:ind w:firstLine="480"/>
        <w:rPr>
          <w:rFonts w:ascii="宋体" w:hAnsi="宋体" w:cs="宋体"/>
          <w:sz w:val="21"/>
          <w:szCs w:val="21"/>
        </w:rPr>
      </w:pPr>
      <w:r>
        <w:rPr>
          <w:rFonts w:hint="eastAsia" w:ascii="宋体" w:hAnsi="宋体" w:cs="宋体"/>
          <w:sz w:val="21"/>
          <w:szCs w:val="21"/>
        </w:rPr>
        <w:t>28.3电子交易平台发现严重安全漏洞，有潜在泄密危险的；</w:t>
      </w:r>
    </w:p>
    <w:p>
      <w:pPr>
        <w:pStyle w:val="395"/>
        <w:snapToGrid w:val="0"/>
        <w:spacing w:before="0"/>
        <w:ind w:firstLine="480"/>
        <w:rPr>
          <w:rFonts w:ascii="宋体" w:hAnsi="宋体" w:cs="宋体"/>
          <w:sz w:val="21"/>
          <w:szCs w:val="21"/>
        </w:rPr>
      </w:pPr>
      <w:r>
        <w:rPr>
          <w:rFonts w:hint="eastAsia" w:ascii="宋体" w:hAnsi="宋体" w:cs="宋体"/>
          <w:sz w:val="21"/>
          <w:szCs w:val="21"/>
        </w:rPr>
        <w:t xml:space="preserve">28.4病毒发作导致不能进行正常操作的； </w:t>
      </w:r>
    </w:p>
    <w:p>
      <w:pPr>
        <w:pStyle w:val="395"/>
        <w:snapToGrid w:val="0"/>
        <w:spacing w:before="0"/>
        <w:ind w:firstLine="480"/>
        <w:rPr>
          <w:rFonts w:ascii="宋体" w:hAnsi="宋体" w:cs="宋体"/>
          <w:sz w:val="21"/>
          <w:szCs w:val="21"/>
        </w:rPr>
      </w:pPr>
      <w:r>
        <w:rPr>
          <w:rFonts w:hint="eastAsia" w:ascii="宋体" w:hAnsi="宋体" w:cs="宋体"/>
          <w:sz w:val="21"/>
          <w:szCs w:val="21"/>
        </w:rPr>
        <w:t>28.5其他无法保证电子交易的公平、公正和安全的情况。</w:t>
      </w:r>
    </w:p>
    <w:p>
      <w:pPr>
        <w:pStyle w:val="395"/>
        <w:snapToGrid w:val="0"/>
        <w:spacing w:before="0"/>
        <w:ind w:firstLine="0" w:firstLineChars="0"/>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1"/>
          <w:szCs w:val="21"/>
        </w:rPr>
      </w:pPr>
    </w:p>
    <w:p>
      <w:pPr>
        <w:snapToGrid w:val="0"/>
        <w:spacing w:line="360" w:lineRule="auto"/>
        <w:jc w:val="center"/>
        <w:outlineLvl w:val="0"/>
        <w:rPr>
          <w:rFonts w:ascii="宋体" w:hAnsi="宋体" w:cs="宋体"/>
          <w:b/>
          <w:sz w:val="21"/>
          <w:szCs w:val="21"/>
        </w:rPr>
      </w:pPr>
      <w:r>
        <w:rPr>
          <w:rFonts w:hint="eastAsia" w:ascii="宋体" w:hAnsi="宋体" w:cs="宋体"/>
          <w:b/>
          <w:sz w:val="21"/>
          <w:szCs w:val="21"/>
        </w:rPr>
        <w:t>九、验收</w:t>
      </w:r>
    </w:p>
    <w:p>
      <w:pPr>
        <w:pStyle w:val="25"/>
        <w:spacing w:line="360" w:lineRule="auto"/>
        <w:ind w:firstLine="0" w:firstLineChars="0"/>
        <w:rPr>
          <w:rFonts w:cs="宋体"/>
          <w:b/>
          <w:sz w:val="21"/>
          <w:szCs w:val="21"/>
        </w:rPr>
      </w:pPr>
      <w:r>
        <w:rPr>
          <w:rFonts w:hint="eastAsia" w:cs="宋体"/>
          <w:b/>
          <w:sz w:val="21"/>
          <w:szCs w:val="21"/>
        </w:rPr>
        <w:t>30.验收</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7"/>
    <w:bookmarkEnd w:id="58"/>
    <w:bookmarkEnd w:id="62"/>
    <w:p>
      <w:pPr>
        <w:tabs>
          <w:tab w:val="left" w:pos="0"/>
        </w:tabs>
        <w:spacing w:line="360" w:lineRule="auto"/>
        <w:jc w:val="center"/>
        <w:rPr>
          <w:rFonts w:hint="eastAsia" w:ascii="宋体" w:hAnsi="宋体" w:cs="宋体"/>
          <w:b/>
          <w:sz w:val="36"/>
          <w:szCs w:val="36"/>
        </w:rPr>
      </w:pPr>
      <w:bookmarkStart w:id="63" w:name="_Hlt68403820"/>
      <w:bookmarkEnd w:id="63"/>
      <w:bookmarkStart w:id="64" w:name="_Hlt68072998"/>
      <w:bookmarkEnd w:id="64"/>
      <w:bookmarkStart w:id="65" w:name="_Hlt68073093"/>
      <w:bookmarkEnd w:id="65"/>
      <w:bookmarkStart w:id="66" w:name="第四部分"/>
    </w:p>
    <w:p>
      <w:pPr>
        <w:pStyle w:val="5"/>
        <w:numPr>
          <w:ilvl w:val="0"/>
          <w:numId w:val="0"/>
        </w:numPr>
        <w:ind w:leftChars="0"/>
        <w:rPr>
          <w:rFonts w:hint="eastAsia"/>
        </w:rPr>
      </w:pPr>
    </w:p>
    <w:p>
      <w:pPr>
        <w:tabs>
          <w:tab w:val="left" w:pos="0"/>
        </w:tabs>
        <w:spacing w:line="360" w:lineRule="auto"/>
        <w:jc w:val="both"/>
        <w:rPr>
          <w:rFonts w:hint="eastAsia" w:ascii="宋体" w:hAnsi="宋体" w:cs="宋体"/>
          <w:b/>
          <w:sz w:val="36"/>
          <w:szCs w:val="36"/>
        </w:rPr>
      </w:pPr>
    </w:p>
    <w:p>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7" w:name="_Toc184312091"/>
      <w:bookmarkEnd w:id="67"/>
      <w:bookmarkStart w:id="68" w:name="_Toc184308040"/>
      <w:bookmarkEnd w:id="68"/>
      <w:bookmarkStart w:id="69" w:name="_Toc184310334"/>
      <w:bookmarkEnd w:id="69"/>
      <w:bookmarkStart w:id="70" w:name="_Toc184308078"/>
      <w:bookmarkEnd w:id="70"/>
      <w:bookmarkStart w:id="71" w:name="_Toc184312116"/>
      <w:bookmarkEnd w:id="71"/>
      <w:bookmarkStart w:id="72" w:name="_Toc184312075"/>
      <w:bookmarkEnd w:id="72"/>
      <w:bookmarkStart w:id="73" w:name="_Toc184314456"/>
      <w:bookmarkEnd w:id="73"/>
      <w:bookmarkStart w:id="74" w:name="_Toc184313286"/>
      <w:bookmarkEnd w:id="74"/>
      <w:bookmarkStart w:id="75" w:name="_Toc184314473"/>
      <w:bookmarkEnd w:id="75"/>
      <w:bookmarkStart w:id="76" w:name="_Toc184313247"/>
      <w:bookmarkEnd w:id="76"/>
      <w:bookmarkStart w:id="77" w:name="_Toc184314417"/>
      <w:bookmarkEnd w:id="77"/>
      <w:bookmarkStart w:id="78" w:name="_Toc184310323"/>
      <w:bookmarkEnd w:id="78"/>
      <w:bookmarkStart w:id="79" w:name="_Toc184314453"/>
      <w:bookmarkEnd w:id="79"/>
      <w:bookmarkStart w:id="80" w:name="_Toc184310328"/>
      <w:bookmarkEnd w:id="80"/>
      <w:bookmarkStart w:id="81" w:name="_Toc184312132"/>
      <w:bookmarkEnd w:id="81"/>
      <w:bookmarkStart w:id="82" w:name="_Toc184310280"/>
      <w:bookmarkEnd w:id="82"/>
      <w:bookmarkStart w:id="83" w:name="_Toc184310322"/>
      <w:bookmarkEnd w:id="83"/>
      <w:bookmarkStart w:id="84" w:name="_Toc184313270"/>
      <w:bookmarkEnd w:id="84"/>
      <w:bookmarkStart w:id="85" w:name="_Toc184312110"/>
      <w:bookmarkEnd w:id="85"/>
      <w:bookmarkStart w:id="86" w:name="_Toc184308102"/>
      <w:bookmarkEnd w:id="86"/>
      <w:bookmarkStart w:id="87" w:name="_Toc184314434"/>
      <w:bookmarkEnd w:id="87"/>
      <w:bookmarkStart w:id="88" w:name="_Toc184308077"/>
      <w:bookmarkEnd w:id="88"/>
      <w:bookmarkStart w:id="89" w:name="_Toc184310318"/>
      <w:bookmarkEnd w:id="89"/>
      <w:bookmarkStart w:id="90" w:name="_Toc184313260"/>
      <w:bookmarkEnd w:id="90"/>
      <w:bookmarkStart w:id="91" w:name="_Toc184310299"/>
      <w:bookmarkEnd w:id="91"/>
      <w:bookmarkStart w:id="92" w:name="_Toc184308096"/>
      <w:bookmarkEnd w:id="92"/>
      <w:bookmarkStart w:id="93" w:name="_Toc184312103"/>
      <w:bookmarkEnd w:id="93"/>
      <w:bookmarkStart w:id="94" w:name="_Toc184308060"/>
      <w:bookmarkEnd w:id="94"/>
      <w:bookmarkStart w:id="95" w:name="_Toc184313300"/>
      <w:bookmarkEnd w:id="95"/>
      <w:bookmarkStart w:id="96" w:name="_Toc184314466"/>
      <w:bookmarkEnd w:id="96"/>
      <w:bookmarkStart w:id="97" w:name="_Toc184308084"/>
      <w:bookmarkEnd w:id="97"/>
      <w:bookmarkStart w:id="98" w:name="_Toc184312131"/>
      <w:bookmarkEnd w:id="98"/>
      <w:bookmarkStart w:id="99" w:name="_Toc184314410"/>
      <w:bookmarkEnd w:id="99"/>
      <w:bookmarkStart w:id="100" w:name="_Toc184312112"/>
      <w:bookmarkEnd w:id="100"/>
      <w:bookmarkStart w:id="101" w:name="_Toc184308047"/>
      <w:bookmarkEnd w:id="101"/>
      <w:bookmarkStart w:id="102" w:name="_Toc184312129"/>
      <w:bookmarkEnd w:id="102"/>
      <w:bookmarkStart w:id="103" w:name="_Toc184310291"/>
      <w:bookmarkEnd w:id="103"/>
      <w:bookmarkStart w:id="104" w:name="_Toc184308062"/>
      <w:bookmarkEnd w:id="104"/>
      <w:bookmarkStart w:id="105" w:name="_Toc184313242"/>
      <w:bookmarkEnd w:id="105"/>
      <w:bookmarkStart w:id="106" w:name="_Toc184308044"/>
      <w:bookmarkEnd w:id="106"/>
      <w:bookmarkStart w:id="107" w:name="_Toc184308049"/>
      <w:bookmarkEnd w:id="107"/>
      <w:bookmarkStart w:id="108" w:name="_Toc184308107"/>
      <w:bookmarkEnd w:id="108"/>
      <w:bookmarkStart w:id="109" w:name="_Toc184313264"/>
      <w:bookmarkEnd w:id="109"/>
      <w:bookmarkStart w:id="110" w:name="_Toc184313250"/>
      <w:bookmarkEnd w:id="110"/>
      <w:bookmarkStart w:id="111" w:name="_Toc184308088"/>
      <w:bookmarkEnd w:id="111"/>
      <w:bookmarkStart w:id="112" w:name="_Toc184313262"/>
      <w:bookmarkEnd w:id="112"/>
      <w:bookmarkStart w:id="113" w:name="_Toc184312097"/>
      <w:bookmarkEnd w:id="113"/>
      <w:bookmarkStart w:id="114" w:name="_Toc184312092"/>
      <w:bookmarkEnd w:id="114"/>
      <w:bookmarkStart w:id="115" w:name="_Toc184312084"/>
      <w:bookmarkEnd w:id="115"/>
      <w:bookmarkStart w:id="116" w:name="_Toc184310303"/>
      <w:bookmarkEnd w:id="116"/>
      <w:bookmarkStart w:id="117" w:name="_Toc184313309"/>
      <w:bookmarkEnd w:id="117"/>
      <w:bookmarkStart w:id="118" w:name="_Toc184310309"/>
      <w:bookmarkEnd w:id="118"/>
      <w:bookmarkStart w:id="119" w:name="_Toc184310341"/>
      <w:bookmarkEnd w:id="119"/>
      <w:bookmarkStart w:id="120" w:name="_Toc184310324"/>
      <w:bookmarkEnd w:id="120"/>
      <w:bookmarkStart w:id="121" w:name="_Toc184314449"/>
      <w:bookmarkEnd w:id="121"/>
      <w:bookmarkStart w:id="122" w:name="_Toc184314415"/>
      <w:bookmarkEnd w:id="122"/>
      <w:bookmarkStart w:id="123" w:name="_Toc184314464"/>
      <w:bookmarkEnd w:id="123"/>
      <w:bookmarkStart w:id="124" w:name="_Toc184314482"/>
      <w:bookmarkEnd w:id="124"/>
      <w:bookmarkStart w:id="125" w:name="_Toc184314450"/>
      <w:bookmarkEnd w:id="125"/>
      <w:bookmarkStart w:id="126" w:name="_Toc184312102"/>
      <w:bookmarkEnd w:id="126"/>
      <w:bookmarkStart w:id="127" w:name="_Toc184314468"/>
      <w:bookmarkEnd w:id="127"/>
      <w:bookmarkStart w:id="128" w:name="_Toc184310310"/>
      <w:bookmarkEnd w:id="128"/>
      <w:bookmarkStart w:id="129" w:name="_Toc184310319"/>
      <w:bookmarkEnd w:id="129"/>
      <w:bookmarkStart w:id="130" w:name="_Toc184310301"/>
      <w:bookmarkEnd w:id="130"/>
      <w:bookmarkStart w:id="131" w:name="_Toc184314469"/>
      <w:bookmarkEnd w:id="131"/>
      <w:bookmarkStart w:id="132" w:name="_Toc184314463"/>
      <w:bookmarkEnd w:id="132"/>
      <w:bookmarkStart w:id="133" w:name="_Toc184310293"/>
      <w:bookmarkEnd w:id="133"/>
      <w:bookmarkStart w:id="134" w:name="_Toc184310320"/>
      <w:bookmarkEnd w:id="134"/>
      <w:bookmarkStart w:id="135" w:name="_Toc184313261"/>
      <w:bookmarkEnd w:id="135"/>
      <w:bookmarkStart w:id="136" w:name="_Toc184308065"/>
      <w:bookmarkEnd w:id="136"/>
      <w:bookmarkStart w:id="137" w:name="_Toc184314470"/>
      <w:bookmarkEnd w:id="137"/>
      <w:bookmarkStart w:id="138" w:name="_Toc184313258"/>
      <w:bookmarkEnd w:id="138"/>
      <w:bookmarkStart w:id="139" w:name="_Toc184310284"/>
      <w:bookmarkEnd w:id="139"/>
      <w:bookmarkStart w:id="140" w:name="_Toc184314419"/>
      <w:bookmarkEnd w:id="140"/>
      <w:bookmarkStart w:id="141" w:name="_Toc184308045"/>
      <w:bookmarkEnd w:id="141"/>
      <w:bookmarkStart w:id="142" w:name="_Toc184312135"/>
      <w:bookmarkEnd w:id="142"/>
      <w:bookmarkStart w:id="143" w:name="_Toc184310298"/>
      <w:bookmarkEnd w:id="143"/>
      <w:bookmarkStart w:id="144" w:name="_Toc184308037"/>
      <w:bookmarkEnd w:id="144"/>
      <w:bookmarkStart w:id="145" w:name="_Toc184308058"/>
      <w:bookmarkEnd w:id="145"/>
      <w:bookmarkStart w:id="146" w:name="_Toc184314443"/>
      <w:bookmarkEnd w:id="146"/>
      <w:bookmarkStart w:id="147" w:name="_Toc184312096"/>
      <w:bookmarkEnd w:id="147"/>
      <w:bookmarkStart w:id="148" w:name="_Toc184310283"/>
      <w:bookmarkEnd w:id="148"/>
      <w:bookmarkStart w:id="149" w:name="_Toc184312098"/>
      <w:bookmarkEnd w:id="149"/>
      <w:bookmarkStart w:id="150" w:name="_Toc184308080"/>
      <w:bookmarkEnd w:id="150"/>
      <w:bookmarkStart w:id="151" w:name="_Toc184308074"/>
      <w:bookmarkEnd w:id="151"/>
      <w:bookmarkStart w:id="152" w:name="_Toc184310292"/>
      <w:bookmarkEnd w:id="152"/>
      <w:bookmarkStart w:id="153" w:name="_Toc184313266"/>
      <w:bookmarkEnd w:id="153"/>
      <w:bookmarkStart w:id="154" w:name="_Toc184313268"/>
      <w:bookmarkEnd w:id="154"/>
      <w:bookmarkStart w:id="155" w:name="_Toc184313244"/>
      <w:bookmarkEnd w:id="155"/>
      <w:bookmarkStart w:id="156" w:name="_Toc184314436"/>
      <w:bookmarkEnd w:id="156"/>
      <w:bookmarkStart w:id="157" w:name="_Toc184312121"/>
      <w:bookmarkEnd w:id="157"/>
      <w:bookmarkStart w:id="158" w:name="_Toc184310333"/>
      <w:bookmarkEnd w:id="158"/>
      <w:bookmarkStart w:id="159" w:name="_Toc184314438"/>
      <w:bookmarkEnd w:id="159"/>
      <w:bookmarkStart w:id="160" w:name="_Toc184314454"/>
      <w:bookmarkEnd w:id="160"/>
      <w:bookmarkStart w:id="161" w:name="_Toc184314411"/>
      <w:bookmarkEnd w:id="161"/>
      <w:bookmarkStart w:id="162" w:name="_Toc184310279"/>
      <w:bookmarkEnd w:id="162"/>
      <w:bookmarkStart w:id="163" w:name="_Toc184313295"/>
      <w:bookmarkEnd w:id="163"/>
      <w:bookmarkStart w:id="164" w:name="_Toc184312107"/>
      <w:bookmarkEnd w:id="164"/>
      <w:bookmarkStart w:id="165" w:name="_Toc184314441"/>
      <w:bookmarkEnd w:id="165"/>
      <w:bookmarkStart w:id="166" w:name="_Toc184310340"/>
      <w:bookmarkEnd w:id="166"/>
      <w:bookmarkStart w:id="167" w:name="_Toc184310338"/>
      <w:bookmarkEnd w:id="167"/>
      <w:bookmarkStart w:id="168" w:name="_Toc184312071"/>
      <w:bookmarkEnd w:id="168"/>
      <w:bookmarkStart w:id="169" w:name="_Toc184313240"/>
      <w:bookmarkEnd w:id="169"/>
      <w:bookmarkStart w:id="170" w:name="_Toc184308099"/>
      <w:bookmarkEnd w:id="170"/>
      <w:bookmarkStart w:id="171" w:name="_Toc184308097"/>
      <w:bookmarkEnd w:id="171"/>
      <w:bookmarkStart w:id="172" w:name="_Toc184313289"/>
      <w:bookmarkEnd w:id="172"/>
      <w:bookmarkStart w:id="173" w:name="_Toc184310313"/>
      <w:bookmarkEnd w:id="173"/>
      <w:bookmarkStart w:id="174" w:name="_Toc184313251"/>
      <w:bookmarkEnd w:id="174"/>
      <w:bookmarkStart w:id="175" w:name="_Toc184312099"/>
      <w:bookmarkEnd w:id="175"/>
      <w:bookmarkStart w:id="176" w:name="_Toc184314425"/>
      <w:bookmarkEnd w:id="176"/>
      <w:bookmarkStart w:id="177" w:name="_Toc184313293"/>
      <w:bookmarkEnd w:id="177"/>
      <w:bookmarkStart w:id="178" w:name="_Toc184310311"/>
      <w:bookmarkEnd w:id="178"/>
      <w:bookmarkStart w:id="179" w:name="_Toc184308043"/>
      <w:bookmarkEnd w:id="179"/>
      <w:bookmarkStart w:id="180" w:name="_Toc184312090"/>
      <w:bookmarkEnd w:id="180"/>
      <w:bookmarkStart w:id="181" w:name="_Toc184308072"/>
      <w:bookmarkEnd w:id="181"/>
      <w:bookmarkStart w:id="182" w:name="_Toc184310343"/>
      <w:bookmarkEnd w:id="182"/>
      <w:bookmarkStart w:id="183" w:name="_Toc184313304"/>
      <w:bookmarkEnd w:id="183"/>
      <w:bookmarkStart w:id="184" w:name="_Toc184312122"/>
      <w:bookmarkEnd w:id="184"/>
      <w:bookmarkStart w:id="185" w:name="_Toc184310308"/>
      <w:bookmarkEnd w:id="185"/>
      <w:bookmarkStart w:id="186" w:name="_Toc184310305"/>
      <w:bookmarkEnd w:id="186"/>
      <w:bookmarkStart w:id="187" w:name="_Toc184314427"/>
      <w:bookmarkEnd w:id="187"/>
      <w:bookmarkStart w:id="188" w:name="_Toc184314447"/>
      <w:bookmarkEnd w:id="188"/>
      <w:bookmarkStart w:id="189" w:name="_Toc184314435"/>
      <w:bookmarkEnd w:id="189"/>
      <w:bookmarkStart w:id="190" w:name="_Toc184310314"/>
      <w:bookmarkEnd w:id="190"/>
      <w:bookmarkStart w:id="191" w:name="_Toc184310288"/>
      <w:bookmarkEnd w:id="191"/>
      <w:bookmarkStart w:id="192" w:name="_Toc184310290"/>
      <w:bookmarkEnd w:id="192"/>
      <w:bookmarkStart w:id="193" w:name="_Toc184310300"/>
      <w:bookmarkEnd w:id="193"/>
      <w:bookmarkStart w:id="194" w:name="_Toc184314474"/>
      <w:bookmarkEnd w:id="194"/>
      <w:bookmarkStart w:id="195" w:name="_Toc184312086"/>
      <w:bookmarkEnd w:id="195"/>
      <w:bookmarkStart w:id="196" w:name="_Toc184308073"/>
      <w:bookmarkEnd w:id="196"/>
      <w:bookmarkStart w:id="197" w:name="_Toc184313238"/>
      <w:bookmarkEnd w:id="197"/>
      <w:bookmarkStart w:id="198" w:name="_Toc184314457"/>
      <w:bookmarkEnd w:id="198"/>
      <w:bookmarkStart w:id="199" w:name="_Toc184312101"/>
      <w:bookmarkEnd w:id="199"/>
      <w:bookmarkStart w:id="200" w:name="_Toc184314421"/>
      <w:bookmarkEnd w:id="200"/>
      <w:bookmarkStart w:id="201" w:name="_Toc184314472"/>
      <w:bookmarkEnd w:id="201"/>
      <w:bookmarkStart w:id="202" w:name="_Toc184312074"/>
      <w:bookmarkEnd w:id="202"/>
      <w:bookmarkStart w:id="203" w:name="_Toc184308093"/>
      <w:bookmarkEnd w:id="203"/>
      <w:bookmarkStart w:id="204" w:name="_Toc184314442"/>
      <w:bookmarkEnd w:id="204"/>
      <w:bookmarkStart w:id="205" w:name="_Toc184313245"/>
      <w:bookmarkEnd w:id="205"/>
      <w:bookmarkStart w:id="206" w:name="_Toc184310329"/>
      <w:bookmarkEnd w:id="206"/>
      <w:bookmarkStart w:id="207" w:name="_Toc184308104"/>
      <w:bookmarkEnd w:id="207"/>
      <w:bookmarkStart w:id="208" w:name="_Toc184308094"/>
      <w:bookmarkEnd w:id="208"/>
      <w:bookmarkStart w:id="209" w:name="_Toc184308098"/>
      <w:bookmarkEnd w:id="209"/>
      <w:bookmarkStart w:id="210" w:name="_Toc184313241"/>
      <w:bookmarkEnd w:id="210"/>
      <w:bookmarkStart w:id="211" w:name="_Toc184312106"/>
      <w:bookmarkEnd w:id="211"/>
      <w:bookmarkStart w:id="212" w:name="_Toc184310281"/>
      <w:bookmarkEnd w:id="212"/>
      <w:bookmarkStart w:id="213" w:name="_Toc184313298"/>
      <w:bookmarkEnd w:id="213"/>
      <w:bookmarkStart w:id="214" w:name="_Toc184308055"/>
      <w:bookmarkEnd w:id="214"/>
      <w:bookmarkStart w:id="215" w:name="_Toc184314418"/>
      <w:bookmarkEnd w:id="215"/>
      <w:bookmarkStart w:id="216" w:name="_Toc184314416"/>
      <w:bookmarkEnd w:id="216"/>
      <w:bookmarkStart w:id="217" w:name="_Toc184312093"/>
      <w:bookmarkEnd w:id="217"/>
      <w:bookmarkStart w:id="218" w:name="_Toc184310336"/>
      <w:bookmarkEnd w:id="218"/>
      <w:bookmarkStart w:id="219" w:name="_Toc184313257"/>
      <w:bookmarkEnd w:id="219"/>
      <w:bookmarkStart w:id="220" w:name="_Toc184308052"/>
      <w:bookmarkEnd w:id="220"/>
      <w:bookmarkStart w:id="221" w:name="_Toc184314458"/>
      <w:bookmarkEnd w:id="221"/>
      <w:bookmarkStart w:id="222" w:name="_Toc184314448"/>
      <w:bookmarkEnd w:id="222"/>
      <w:bookmarkStart w:id="223" w:name="_Toc184312083"/>
      <w:bookmarkEnd w:id="223"/>
      <w:bookmarkStart w:id="224" w:name="_Toc184314414"/>
      <w:bookmarkEnd w:id="224"/>
      <w:bookmarkStart w:id="225" w:name="_Toc184310287"/>
      <w:bookmarkEnd w:id="225"/>
      <w:bookmarkStart w:id="226" w:name="_Toc184310332"/>
      <w:bookmarkEnd w:id="226"/>
      <w:bookmarkStart w:id="227" w:name="_Toc184308089"/>
      <w:bookmarkEnd w:id="227"/>
      <w:bookmarkStart w:id="228" w:name="_Toc184310296"/>
      <w:bookmarkEnd w:id="228"/>
      <w:bookmarkStart w:id="229" w:name="_Toc184314460"/>
      <w:bookmarkEnd w:id="229"/>
      <w:bookmarkStart w:id="230" w:name="_Toc184314423"/>
      <w:bookmarkEnd w:id="230"/>
      <w:bookmarkStart w:id="231" w:name="_Toc184314467"/>
      <w:bookmarkEnd w:id="231"/>
      <w:bookmarkStart w:id="232" w:name="_Toc184314445"/>
      <w:bookmarkEnd w:id="232"/>
      <w:bookmarkStart w:id="233" w:name="_Toc184312119"/>
      <w:bookmarkEnd w:id="233"/>
      <w:bookmarkStart w:id="234" w:name="_Toc184310316"/>
      <w:bookmarkEnd w:id="234"/>
      <w:bookmarkStart w:id="235" w:name="_Toc184312094"/>
      <w:bookmarkEnd w:id="235"/>
      <w:bookmarkStart w:id="236" w:name="_Toc184313303"/>
      <w:bookmarkEnd w:id="236"/>
      <w:bookmarkStart w:id="237" w:name="_Toc184314431"/>
      <w:bookmarkEnd w:id="237"/>
      <w:bookmarkStart w:id="238" w:name="_Toc184313254"/>
      <w:bookmarkEnd w:id="238"/>
      <w:bookmarkStart w:id="239" w:name="_Toc184312127"/>
      <w:bookmarkEnd w:id="239"/>
      <w:bookmarkStart w:id="240" w:name="_Toc184313274"/>
      <w:bookmarkEnd w:id="240"/>
      <w:bookmarkStart w:id="241" w:name="_Toc184312120"/>
      <w:bookmarkEnd w:id="241"/>
      <w:bookmarkStart w:id="242" w:name="_Toc184308051"/>
      <w:bookmarkEnd w:id="242"/>
      <w:bookmarkStart w:id="243" w:name="_Toc184313297"/>
      <w:bookmarkEnd w:id="243"/>
      <w:bookmarkStart w:id="244" w:name="_Toc184310331"/>
      <w:bookmarkEnd w:id="244"/>
      <w:bookmarkStart w:id="245" w:name="_Toc184313291"/>
      <w:bookmarkEnd w:id="245"/>
      <w:bookmarkStart w:id="246" w:name="_Toc184310325"/>
      <w:bookmarkEnd w:id="246"/>
      <w:bookmarkStart w:id="247" w:name="_Toc184312070"/>
      <w:bookmarkEnd w:id="247"/>
      <w:bookmarkStart w:id="248" w:name="_Toc184308061"/>
      <w:bookmarkEnd w:id="248"/>
      <w:bookmarkStart w:id="249" w:name="_Toc184310297"/>
      <w:bookmarkEnd w:id="249"/>
      <w:bookmarkStart w:id="250" w:name="_Toc184308039"/>
      <w:bookmarkEnd w:id="250"/>
      <w:bookmarkStart w:id="251" w:name="_Toc184314426"/>
      <w:bookmarkEnd w:id="251"/>
      <w:bookmarkStart w:id="252" w:name="_Toc184313299"/>
      <w:bookmarkEnd w:id="252"/>
      <w:bookmarkStart w:id="253" w:name="_Toc184312077"/>
      <w:bookmarkEnd w:id="253"/>
      <w:bookmarkStart w:id="254" w:name="_Toc184308091"/>
      <w:bookmarkEnd w:id="254"/>
      <w:bookmarkStart w:id="255" w:name="_Toc184308046"/>
      <w:bookmarkEnd w:id="255"/>
      <w:bookmarkStart w:id="256" w:name="_Toc184308101"/>
      <w:bookmarkEnd w:id="256"/>
      <w:bookmarkStart w:id="257" w:name="_Toc184312069"/>
      <w:bookmarkEnd w:id="257"/>
      <w:bookmarkStart w:id="258" w:name="_Toc184313265"/>
      <w:bookmarkEnd w:id="258"/>
      <w:bookmarkStart w:id="259" w:name="_Toc184310302"/>
      <w:bookmarkEnd w:id="259"/>
      <w:bookmarkStart w:id="260" w:name="_Toc184310312"/>
      <w:bookmarkEnd w:id="260"/>
      <w:bookmarkStart w:id="261" w:name="_Toc184310278"/>
      <w:bookmarkEnd w:id="261"/>
      <w:bookmarkStart w:id="262" w:name="_Toc184310330"/>
      <w:bookmarkEnd w:id="262"/>
      <w:bookmarkStart w:id="263" w:name="_Toc184308059"/>
      <w:bookmarkEnd w:id="263"/>
      <w:bookmarkStart w:id="264" w:name="_Toc184312118"/>
      <w:bookmarkEnd w:id="264"/>
      <w:bookmarkStart w:id="265" w:name="_Toc184308086"/>
      <w:bookmarkEnd w:id="265"/>
      <w:bookmarkStart w:id="266" w:name="_Toc184312109"/>
      <w:bookmarkEnd w:id="266"/>
      <w:bookmarkStart w:id="267" w:name="_Toc184312088"/>
      <w:bookmarkEnd w:id="267"/>
      <w:bookmarkStart w:id="268" w:name="_Toc184313246"/>
      <w:bookmarkEnd w:id="268"/>
      <w:bookmarkStart w:id="269" w:name="_Toc184308057"/>
      <w:bookmarkEnd w:id="269"/>
      <w:bookmarkStart w:id="270" w:name="_Toc184312128"/>
      <w:bookmarkEnd w:id="270"/>
      <w:bookmarkStart w:id="271" w:name="_Toc184313272"/>
      <w:bookmarkEnd w:id="271"/>
      <w:bookmarkStart w:id="272" w:name="_Toc184314459"/>
      <w:bookmarkEnd w:id="272"/>
      <w:bookmarkStart w:id="273" w:name="_Toc184312105"/>
      <w:bookmarkEnd w:id="273"/>
      <w:bookmarkStart w:id="274" w:name="_Toc184308036"/>
      <w:bookmarkEnd w:id="274"/>
      <w:bookmarkStart w:id="275" w:name="_Toc184308075"/>
      <w:bookmarkEnd w:id="275"/>
      <w:bookmarkStart w:id="276" w:name="_Toc184313280"/>
      <w:bookmarkEnd w:id="276"/>
      <w:bookmarkStart w:id="277" w:name="_Toc184314439"/>
      <w:bookmarkEnd w:id="277"/>
      <w:bookmarkStart w:id="278" w:name="_Toc184313259"/>
      <w:bookmarkEnd w:id="278"/>
      <w:bookmarkStart w:id="279" w:name="_Toc184313275"/>
      <w:bookmarkEnd w:id="279"/>
      <w:bookmarkStart w:id="280" w:name="_Toc184314429"/>
      <w:bookmarkEnd w:id="280"/>
      <w:bookmarkStart w:id="281" w:name="_Toc184308068"/>
      <w:bookmarkEnd w:id="281"/>
      <w:bookmarkStart w:id="282" w:name="_Toc184310282"/>
      <w:bookmarkEnd w:id="282"/>
      <w:bookmarkStart w:id="283" w:name="_Toc184308105"/>
      <w:bookmarkEnd w:id="283"/>
      <w:bookmarkStart w:id="284" w:name="_Toc184312085"/>
      <w:bookmarkEnd w:id="284"/>
      <w:bookmarkStart w:id="285" w:name="_Toc184308076"/>
      <w:bookmarkEnd w:id="285"/>
      <w:bookmarkStart w:id="286" w:name="_Toc184314430"/>
      <w:bookmarkEnd w:id="286"/>
      <w:bookmarkStart w:id="287" w:name="_Toc184312125"/>
      <w:bookmarkEnd w:id="287"/>
      <w:bookmarkStart w:id="288" w:name="_Toc184312114"/>
      <w:bookmarkEnd w:id="288"/>
      <w:bookmarkStart w:id="289" w:name="_Toc184313271"/>
      <w:bookmarkEnd w:id="289"/>
      <w:bookmarkStart w:id="290" w:name="_Toc184312134"/>
      <w:bookmarkEnd w:id="290"/>
      <w:bookmarkStart w:id="291" w:name="_Toc184313306"/>
      <w:bookmarkEnd w:id="291"/>
      <w:bookmarkStart w:id="292" w:name="_Toc184308082"/>
      <w:bookmarkEnd w:id="292"/>
      <w:bookmarkStart w:id="293" w:name="_Toc184314451"/>
      <w:bookmarkEnd w:id="293"/>
      <w:bookmarkStart w:id="294" w:name="_Toc184312081"/>
      <w:bookmarkEnd w:id="294"/>
      <w:bookmarkStart w:id="295" w:name="_Toc184308070"/>
      <w:bookmarkEnd w:id="295"/>
      <w:bookmarkStart w:id="296" w:name="_Toc184308042"/>
      <w:bookmarkEnd w:id="296"/>
      <w:bookmarkStart w:id="297" w:name="_Toc184314420"/>
      <w:bookmarkEnd w:id="297"/>
      <w:bookmarkStart w:id="298" w:name="_Toc184314444"/>
      <w:bookmarkEnd w:id="298"/>
      <w:bookmarkStart w:id="299" w:name="_Toc184310273"/>
      <w:bookmarkEnd w:id="299"/>
      <w:bookmarkStart w:id="300" w:name="_Toc184314428"/>
      <w:bookmarkEnd w:id="300"/>
      <w:bookmarkStart w:id="301" w:name="_Toc184310286"/>
      <w:bookmarkEnd w:id="301"/>
      <w:bookmarkStart w:id="302" w:name="_Toc184314440"/>
      <w:bookmarkEnd w:id="302"/>
      <w:bookmarkStart w:id="303" w:name="_Toc184310339"/>
      <w:bookmarkEnd w:id="303"/>
      <w:bookmarkStart w:id="304" w:name="_Toc184313256"/>
      <w:bookmarkEnd w:id="304"/>
      <w:bookmarkStart w:id="305" w:name="_Toc184314476"/>
      <w:bookmarkEnd w:id="305"/>
      <w:bookmarkStart w:id="306" w:name="_Toc184313307"/>
      <w:bookmarkEnd w:id="306"/>
      <w:bookmarkStart w:id="307" w:name="_Toc184310274"/>
      <w:bookmarkEnd w:id="307"/>
      <w:bookmarkStart w:id="308" w:name="_Toc184308081"/>
      <w:bookmarkEnd w:id="308"/>
      <w:bookmarkStart w:id="309" w:name="_Toc184313279"/>
      <w:bookmarkEnd w:id="309"/>
      <w:bookmarkStart w:id="310" w:name="_Toc184314446"/>
      <w:bookmarkEnd w:id="310"/>
      <w:bookmarkStart w:id="311" w:name="_Toc184313277"/>
      <w:bookmarkEnd w:id="311"/>
      <w:bookmarkStart w:id="312" w:name="_Toc184312067"/>
      <w:bookmarkEnd w:id="312"/>
      <w:bookmarkStart w:id="313" w:name="_Toc184310285"/>
      <w:bookmarkEnd w:id="313"/>
      <w:bookmarkStart w:id="314" w:name="_Toc184313243"/>
      <w:bookmarkEnd w:id="314"/>
      <w:bookmarkStart w:id="315" w:name="_Toc184308048"/>
      <w:bookmarkEnd w:id="315"/>
      <w:bookmarkStart w:id="316" w:name="_Toc184314462"/>
      <w:bookmarkEnd w:id="316"/>
      <w:bookmarkStart w:id="317" w:name="_Toc184312089"/>
      <w:bookmarkEnd w:id="317"/>
      <w:bookmarkStart w:id="318" w:name="_Toc184312087"/>
      <w:bookmarkEnd w:id="318"/>
      <w:bookmarkStart w:id="319" w:name="_Toc184312076"/>
      <w:bookmarkEnd w:id="319"/>
      <w:bookmarkStart w:id="320" w:name="_Toc184310317"/>
      <w:bookmarkEnd w:id="320"/>
      <w:bookmarkStart w:id="321" w:name="_Toc184310294"/>
      <w:bookmarkEnd w:id="321"/>
      <w:bookmarkStart w:id="322" w:name="_Toc184310295"/>
      <w:bookmarkEnd w:id="322"/>
      <w:bookmarkStart w:id="323" w:name="_Toc184310326"/>
      <w:bookmarkEnd w:id="323"/>
      <w:bookmarkStart w:id="324" w:name="_Toc184313287"/>
      <w:bookmarkEnd w:id="324"/>
      <w:bookmarkStart w:id="325" w:name="_Toc184314432"/>
      <w:bookmarkEnd w:id="325"/>
      <w:bookmarkStart w:id="326" w:name="_Toc184310342"/>
      <w:bookmarkEnd w:id="326"/>
      <w:bookmarkStart w:id="327" w:name="_Toc184314412"/>
      <w:bookmarkEnd w:id="327"/>
      <w:bookmarkStart w:id="328" w:name="_Toc184310272"/>
      <w:bookmarkEnd w:id="328"/>
      <w:bookmarkStart w:id="329" w:name="_Toc184314424"/>
      <w:bookmarkEnd w:id="329"/>
      <w:bookmarkStart w:id="330" w:name="_Toc184312095"/>
      <w:bookmarkEnd w:id="330"/>
      <w:bookmarkStart w:id="331" w:name="_Toc184313276"/>
      <w:bookmarkEnd w:id="331"/>
      <w:bookmarkStart w:id="332" w:name="_Toc184314481"/>
      <w:bookmarkEnd w:id="332"/>
      <w:bookmarkStart w:id="333" w:name="_Toc184310277"/>
      <w:bookmarkEnd w:id="333"/>
      <w:bookmarkStart w:id="334" w:name="_Toc184314461"/>
      <w:bookmarkEnd w:id="334"/>
      <w:bookmarkStart w:id="335" w:name="_Toc184313308"/>
      <w:bookmarkEnd w:id="335"/>
      <w:bookmarkStart w:id="336" w:name="_Toc184313267"/>
      <w:bookmarkEnd w:id="336"/>
      <w:bookmarkStart w:id="337" w:name="_Toc184313305"/>
      <w:bookmarkEnd w:id="337"/>
      <w:bookmarkStart w:id="338" w:name="_Toc184314479"/>
      <w:bookmarkEnd w:id="338"/>
      <w:bookmarkStart w:id="339" w:name="_Toc184313290"/>
      <w:bookmarkEnd w:id="339"/>
      <w:bookmarkStart w:id="340" w:name="_Toc184308092"/>
      <w:bookmarkEnd w:id="340"/>
      <w:bookmarkStart w:id="341" w:name="_Toc184312123"/>
      <w:bookmarkEnd w:id="341"/>
      <w:bookmarkStart w:id="342" w:name="_Toc184310306"/>
      <w:bookmarkEnd w:id="342"/>
      <w:bookmarkStart w:id="343" w:name="_Toc184313284"/>
      <w:bookmarkEnd w:id="343"/>
      <w:bookmarkStart w:id="344" w:name="_Toc184310315"/>
      <w:bookmarkEnd w:id="344"/>
      <w:bookmarkStart w:id="345" w:name="_Toc184312117"/>
      <w:bookmarkEnd w:id="345"/>
      <w:bookmarkStart w:id="346" w:name="_Toc184313296"/>
      <w:bookmarkEnd w:id="346"/>
      <w:bookmarkStart w:id="347" w:name="_Toc184314477"/>
      <w:bookmarkEnd w:id="347"/>
      <w:bookmarkStart w:id="348" w:name="_Toc184313269"/>
      <w:bookmarkEnd w:id="348"/>
      <w:bookmarkStart w:id="349" w:name="_Toc184314455"/>
      <w:bookmarkEnd w:id="349"/>
      <w:bookmarkStart w:id="350" w:name="_Toc184314452"/>
      <w:bookmarkEnd w:id="350"/>
      <w:bookmarkStart w:id="351" w:name="_Toc184314413"/>
      <w:bookmarkEnd w:id="351"/>
      <w:bookmarkStart w:id="352" w:name="_Toc184310307"/>
      <w:bookmarkEnd w:id="352"/>
      <w:bookmarkStart w:id="353" w:name="_Toc184313292"/>
      <w:bookmarkEnd w:id="353"/>
      <w:bookmarkStart w:id="354" w:name="_Toc184314465"/>
      <w:bookmarkEnd w:id="354"/>
      <w:bookmarkStart w:id="355" w:name="_Toc184313249"/>
      <w:bookmarkEnd w:id="355"/>
      <w:bookmarkStart w:id="356" w:name="_Toc184310321"/>
      <w:bookmarkEnd w:id="356"/>
      <w:bookmarkStart w:id="357" w:name="_Toc184312073"/>
      <w:bookmarkEnd w:id="357"/>
      <w:bookmarkStart w:id="358" w:name="_Toc184310344"/>
      <w:bookmarkEnd w:id="358"/>
      <w:bookmarkStart w:id="359" w:name="_Toc184312115"/>
      <w:bookmarkEnd w:id="359"/>
      <w:bookmarkStart w:id="360" w:name="_Toc184312111"/>
      <w:bookmarkEnd w:id="360"/>
      <w:bookmarkStart w:id="361" w:name="_Toc184308056"/>
      <w:bookmarkEnd w:id="361"/>
      <w:bookmarkStart w:id="362" w:name="_Toc184312137"/>
      <w:bookmarkEnd w:id="362"/>
      <w:bookmarkStart w:id="363" w:name="_Toc184310337"/>
      <w:bookmarkEnd w:id="363"/>
      <w:bookmarkStart w:id="364" w:name="_Toc184313301"/>
      <w:bookmarkEnd w:id="364"/>
      <w:bookmarkStart w:id="365" w:name="_Toc184312108"/>
      <w:bookmarkEnd w:id="365"/>
      <w:bookmarkStart w:id="366" w:name="_Toc184313294"/>
      <w:bookmarkEnd w:id="366"/>
      <w:bookmarkStart w:id="367" w:name="_Toc184313281"/>
      <w:bookmarkEnd w:id="367"/>
      <w:bookmarkStart w:id="368" w:name="_Toc184308079"/>
      <w:bookmarkEnd w:id="368"/>
      <w:bookmarkStart w:id="369" w:name="_Toc184314433"/>
      <w:bookmarkEnd w:id="369"/>
      <w:bookmarkStart w:id="370" w:name="_Toc184308064"/>
      <w:bookmarkEnd w:id="370"/>
      <w:bookmarkStart w:id="371" w:name="_Toc184312133"/>
      <w:bookmarkEnd w:id="371"/>
      <w:bookmarkStart w:id="372" w:name="_Toc184310304"/>
      <w:bookmarkEnd w:id="372"/>
      <w:bookmarkStart w:id="373" w:name="_Toc184314422"/>
      <w:bookmarkEnd w:id="373"/>
      <w:bookmarkStart w:id="374" w:name="_Toc184313263"/>
      <w:bookmarkEnd w:id="374"/>
      <w:bookmarkStart w:id="375" w:name="_Toc184312113"/>
      <w:bookmarkEnd w:id="375"/>
      <w:bookmarkStart w:id="376" w:name="_Toc184310289"/>
      <w:bookmarkEnd w:id="376"/>
      <w:bookmarkStart w:id="377" w:name="_Toc184308083"/>
      <w:bookmarkEnd w:id="377"/>
      <w:bookmarkStart w:id="378" w:name="_Toc184312124"/>
      <w:bookmarkEnd w:id="378"/>
      <w:bookmarkStart w:id="379" w:name="_Toc184312100"/>
      <w:bookmarkEnd w:id="379"/>
      <w:bookmarkStart w:id="380" w:name="_Toc184312078"/>
      <w:bookmarkEnd w:id="380"/>
      <w:bookmarkStart w:id="381" w:name="_Toc184308071"/>
      <w:bookmarkEnd w:id="381"/>
      <w:bookmarkStart w:id="382" w:name="_Toc184313253"/>
      <w:bookmarkEnd w:id="382"/>
      <w:bookmarkStart w:id="383" w:name="_Toc184313288"/>
      <w:bookmarkEnd w:id="383"/>
      <w:bookmarkStart w:id="384" w:name="_Toc184308041"/>
      <w:bookmarkEnd w:id="384"/>
      <w:bookmarkStart w:id="385" w:name="_Toc184308067"/>
      <w:bookmarkEnd w:id="385"/>
      <w:bookmarkStart w:id="386" w:name="_Toc184314480"/>
      <w:bookmarkEnd w:id="386"/>
      <w:bookmarkStart w:id="387" w:name="_Toc184308054"/>
      <w:bookmarkEnd w:id="387"/>
      <w:bookmarkStart w:id="388" w:name="_Toc184314475"/>
      <w:bookmarkEnd w:id="388"/>
      <w:bookmarkStart w:id="389" w:name="_Toc184308050"/>
      <w:bookmarkEnd w:id="389"/>
      <w:bookmarkStart w:id="390" w:name="_Toc184312072"/>
      <w:bookmarkEnd w:id="390"/>
      <w:bookmarkStart w:id="391" w:name="_Toc184313252"/>
      <w:bookmarkEnd w:id="391"/>
      <w:bookmarkStart w:id="392" w:name="_Toc184310276"/>
      <w:bookmarkEnd w:id="392"/>
      <w:bookmarkStart w:id="393" w:name="_Toc184313239"/>
      <w:bookmarkEnd w:id="393"/>
      <w:bookmarkStart w:id="394" w:name="_Toc184313285"/>
      <w:bookmarkEnd w:id="394"/>
      <w:bookmarkStart w:id="395" w:name="_Toc184313278"/>
      <w:bookmarkEnd w:id="395"/>
      <w:bookmarkStart w:id="396" w:name="_Toc184308066"/>
      <w:bookmarkEnd w:id="396"/>
      <w:bookmarkStart w:id="397" w:name="_Toc184308090"/>
      <w:bookmarkEnd w:id="397"/>
      <w:bookmarkStart w:id="398" w:name="_Toc184308103"/>
      <w:bookmarkEnd w:id="398"/>
      <w:bookmarkStart w:id="399" w:name="_Toc184314437"/>
      <w:bookmarkEnd w:id="399"/>
      <w:bookmarkStart w:id="400" w:name="_Toc184313302"/>
      <w:bookmarkEnd w:id="400"/>
      <w:bookmarkStart w:id="401" w:name="_Toc184312068"/>
      <w:bookmarkEnd w:id="401"/>
      <w:bookmarkStart w:id="402" w:name="_Toc184313248"/>
      <w:bookmarkEnd w:id="402"/>
      <w:bookmarkStart w:id="403" w:name="_Toc184312079"/>
      <w:bookmarkEnd w:id="403"/>
      <w:bookmarkStart w:id="404" w:name="_Toc184308069"/>
      <w:bookmarkEnd w:id="404"/>
      <w:bookmarkStart w:id="405" w:name="_Toc184310275"/>
      <w:bookmarkEnd w:id="405"/>
      <w:bookmarkStart w:id="406" w:name="_Toc184308053"/>
      <w:bookmarkEnd w:id="406"/>
      <w:bookmarkStart w:id="407" w:name="_Toc184310335"/>
      <w:bookmarkEnd w:id="407"/>
      <w:bookmarkStart w:id="408" w:name="_Toc184314478"/>
      <w:bookmarkEnd w:id="408"/>
      <w:bookmarkStart w:id="409" w:name="_Toc184308085"/>
      <w:bookmarkEnd w:id="409"/>
      <w:bookmarkStart w:id="410" w:name="_Toc184314471"/>
      <w:bookmarkEnd w:id="410"/>
      <w:bookmarkStart w:id="411" w:name="_Toc184308063"/>
      <w:bookmarkEnd w:id="411"/>
      <w:bookmarkStart w:id="412" w:name="_Toc184308038"/>
      <w:bookmarkEnd w:id="412"/>
      <w:bookmarkStart w:id="413" w:name="_Toc184313273"/>
      <w:bookmarkEnd w:id="413"/>
      <w:bookmarkStart w:id="414" w:name="_Toc184313283"/>
      <w:bookmarkEnd w:id="414"/>
      <w:bookmarkStart w:id="415" w:name="_Toc184308100"/>
      <w:bookmarkEnd w:id="415"/>
      <w:bookmarkStart w:id="416" w:name="_Toc184313310"/>
      <w:bookmarkEnd w:id="416"/>
      <w:bookmarkStart w:id="417" w:name="_Toc184312080"/>
      <w:bookmarkEnd w:id="417"/>
      <w:bookmarkStart w:id="418" w:name="_Toc184312082"/>
      <w:bookmarkEnd w:id="418"/>
      <w:bookmarkStart w:id="419" w:name="_Toc184313282"/>
      <w:bookmarkEnd w:id="419"/>
      <w:bookmarkStart w:id="420" w:name="_Toc184312139"/>
      <w:bookmarkEnd w:id="420"/>
      <w:bookmarkStart w:id="421" w:name="_Toc184312130"/>
      <w:bookmarkEnd w:id="421"/>
      <w:bookmarkStart w:id="422" w:name="_Toc184308087"/>
      <w:bookmarkEnd w:id="422"/>
      <w:bookmarkStart w:id="423" w:name="_Toc184312126"/>
      <w:bookmarkEnd w:id="423"/>
      <w:bookmarkStart w:id="424" w:name="_Toc184310327"/>
      <w:bookmarkEnd w:id="424"/>
      <w:bookmarkStart w:id="425" w:name="_Toc184308095"/>
      <w:bookmarkEnd w:id="425"/>
      <w:bookmarkStart w:id="426" w:name="_Toc184312136"/>
      <w:bookmarkEnd w:id="426"/>
      <w:bookmarkStart w:id="427" w:name="_Toc184312104"/>
      <w:bookmarkEnd w:id="427"/>
      <w:bookmarkStart w:id="428" w:name="_Toc184312138"/>
      <w:bookmarkEnd w:id="428"/>
      <w:bookmarkStart w:id="429" w:name="_Toc184308108"/>
      <w:bookmarkEnd w:id="429"/>
      <w:bookmarkStart w:id="430" w:name="_Toc184313255"/>
      <w:bookmarkEnd w:id="430"/>
      <w:bookmarkStart w:id="431" w:name="_Toc184308106"/>
      <w:bookmarkEnd w:id="431"/>
      <w:r>
        <w:rPr>
          <w:rFonts w:hint="eastAsia" w:ascii="宋体" w:hAnsi="宋体" w:cs="宋体"/>
          <w:b/>
          <w:sz w:val="36"/>
          <w:szCs w:val="36"/>
        </w:rPr>
        <w:t>评标办法</w:t>
      </w:r>
    </w:p>
    <w:p>
      <w:pPr>
        <w:snapToGrid w:val="0"/>
        <w:spacing w:line="360" w:lineRule="auto"/>
        <w:jc w:val="both"/>
        <w:rPr>
          <w:rFonts w:ascii="宋体" w:hAnsi="宋体" w:cs="宋体"/>
          <w:b/>
          <w:sz w:val="21"/>
          <w:szCs w:val="21"/>
        </w:rPr>
      </w:pPr>
      <w:r>
        <w:rPr>
          <w:rFonts w:hint="eastAsia" w:ascii="宋体" w:hAnsi="宋体" w:cs="宋体"/>
          <w:b/>
          <w:sz w:val="21"/>
          <w:szCs w:val="21"/>
        </w:rPr>
        <w:t>一、评审方法</w:t>
      </w:r>
    </w:p>
    <w:p>
      <w:pPr>
        <w:adjustRightInd/>
        <w:spacing w:line="360" w:lineRule="auto"/>
        <w:ind w:firstLine="413" w:firstLineChars="196"/>
        <w:rPr>
          <w:rFonts w:ascii="宋体" w:hAnsi="宋体" w:cs="宋体"/>
          <w:kern w:val="0"/>
          <w:sz w:val="21"/>
          <w:szCs w:val="21"/>
        </w:rPr>
      </w:pPr>
      <w:r>
        <w:rPr>
          <w:rFonts w:hint="eastAsia" w:ascii="宋体" w:hAnsi="宋体" w:cs="宋体"/>
          <w:b/>
          <w:kern w:val="0"/>
          <w:sz w:val="21"/>
          <w:szCs w:val="21"/>
        </w:rPr>
        <w:t>1.本项目采用综合评分法。</w:t>
      </w:r>
      <w:r>
        <w:rPr>
          <w:rFonts w:hint="eastAsia" w:ascii="宋体" w:hAnsi="宋体" w:cs="宋体"/>
          <w:kern w:val="0"/>
          <w:sz w:val="21"/>
          <w:szCs w:val="21"/>
        </w:rPr>
        <w:t>综合评分法，是指响应文件满足磋商文件全部实质性要求且按评审因素的量化指标评审得分最高的供应商为成交候选供应商的评审方法。</w:t>
      </w:r>
    </w:p>
    <w:p>
      <w:pPr>
        <w:snapToGrid w:val="0"/>
        <w:spacing w:line="360" w:lineRule="auto"/>
        <w:jc w:val="both"/>
        <w:rPr>
          <w:rFonts w:ascii="宋体" w:hAnsi="宋体" w:cs="宋体"/>
          <w:b/>
          <w:sz w:val="21"/>
          <w:szCs w:val="21"/>
        </w:rPr>
      </w:pPr>
      <w:r>
        <w:rPr>
          <w:rFonts w:hint="eastAsia" w:ascii="宋体" w:hAnsi="宋体" w:cs="宋体"/>
          <w:b/>
          <w:sz w:val="21"/>
          <w:szCs w:val="21"/>
        </w:rPr>
        <w:t>二、评审标准</w:t>
      </w:r>
    </w:p>
    <w:p>
      <w:pPr>
        <w:spacing w:line="360" w:lineRule="auto"/>
        <w:ind w:firstLine="413" w:firstLineChars="196"/>
        <w:rPr>
          <w:rFonts w:ascii="宋体" w:hAnsi="宋体" w:cs="宋体"/>
          <w:b/>
          <w:sz w:val="21"/>
          <w:szCs w:val="21"/>
        </w:rPr>
      </w:pPr>
      <w:r>
        <w:rPr>
          <w:rFonts w:hint="eastAsia" w:ascii="宋体" w:hAnsi="宋体" w:cs="宋体"/>
          <w:b/>
          <w:sz w:val="21"/>
          <w:szCs w:val="21"/>
        </w:rPr>
        <w:t>2.</w:t>
      </w:r>
      <w:r>
        <w:rPr>
          <w:rFonts w:hint="eastAsia" w:ascii="宋体" w:hAnsi="宋体" w:cs="宋体"/>
          <w:sz w:val="21"/>
          <w:szCs w:val="21"/>
        </w:rPr>
        <w:t xml:space="preserve"> </w:t>
      </w:r>
      <w:r>
        <w:rPr>
          <w:rFonts w:hint="eastAsia" w:ascii="宋体" w:hAnsi="宋体" w:cs="宋体"/>
          <w:b/>
          <w:sz w:val="21"/>
          <w:szCs w:val="21"/>
        </w:rPr>
        <w:t>评审标准：</w:t>
      </w:r>
      <w:r>
        <w:rPr>
          <w:rFonts w:hint="eastAsia" w:ascii="宋体" w:hAnsi="宋体" w:cs="宋体"/>
          <w:kern w:val="0"/>
          <w:sz w:val="21"/>
          <w:szCs w:val="21"/>
        </w:rPr>
        <w:t>见评审办法前附表。</w:t>
      </w:r>
    </w:p>
    <w:p>
      <w:pPr>
        <w:snapToGrid w:val="0"/>
        <w:spacing w:line="360" w:lineRule="auto"/>
        <w:jc w:val="both"/>
        <w:rPr>
          <w:rFonts w:ascii="宋体" w:hAnsi="宋体" w:cs="宋体"/>
          <w:b/>
          <w:sz w:val="21"/>
          <w:szCs w:val="21"/>
        </w:rPr>
      </w:pPr>
      <w:r>
        <w:rPr>
          <w:rFonts w:hint="eastAsia" w:ascii="宋体" w:hAnsi="宋体" w:cs="宋体"/>
          <w:b/>
          <w:sz w:val="21"/>
          <w:szCs w:val="21"/>
        </w:rPr>
        <w:t>三、评审程序</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3.1符合性审查。</w:t>
      </w:r>
      <w:r>
        <w:rPr>
          <w:rFonts w:hint="eastAsia" w:ascii="宋体" w:hAnsi="宋体" w:cs="宋体"/>
          <w:kern w:val="0"/>
          <w:sz w:val="21"/>
          <w:szCs w:val="21"/>
        </w:rPr>
        <w:t>磋商小组应当对符合资格的供应商的响应文件进行符合性审查，以确定其是否满足采购文件的实质性要求。不满足采购文件的实质性要求的，响应文件无效。</w:t>
      </w:r>
    </w:p>
    <w:p>
      <w:pPr>
        <w:spacing w:line="360" w:lineRule="auto"/>
        <w:ind w:firstLine="413" w:firstLineChars="196"/>
        <w:rPr>
          <w:rFonts w:ascii="宋体" w:hAnsi="宋体" w:cs="宋体"/>
          <w:sz w:val="21"/>
          <w:szCs w:val="21"/>
        </w:rPr>
      </w:pPr>
      <w:r>
        <w:rPr>
          <w:rFonts w:hint="eastAsia" w:ascii="宋体" w:hAnsi="宋体" w:cs="宋体"/>
          <w:b/>
          <w:kern w:val="0"/>
          <w:sz w:val="21"/>
          <w:szCs w:val="21"/>
        </w:rPr>
        <w:t>3.2 磋商。</w:t>
      </w:r>
      <w:r>
        <w:rPr>
          <w:rFonts w:hint="eastAsia" w:ascii="宋体" w:hAnsi="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1"/>
          <w:szCs w:val="21"/>
        </w:rPr>
        <w:t>符合性审查合格的</w:t>
      </w:r>
      <w:r>
        <w:rPr>
          <w:rFonts w:hint="eastAsia" w:ascii="宋体" w:hAnsi="宋体" w:cs="宋体"/>
          <w:sz w:val="21"/>
          <w:szCs w:val="21"/>
        </w:rPr>
        <w:t>供应商逐一进行磋商。</w:t>
      </w:r>
    </w:p>
    <w:p>
      <w:pPr>
        <w:spacing w:line="360" w:lineRule="auto"/>
        <w:ind w:firstLine="411" w:firstLineChars="196"/>
        <w:rPr>
          <w:rFonts w:ascii="宋体" w:hAnsi="宋体" w:cs="宋体"/>
          <w:b/>
          <w:sz w:val="21"/>
          <w:szCs w:val="21"/>
        </w:rPr>
      </w:pPr>
      <w:r>
        <w:rPr>
          <w:rFonts w:hint="eastAsia" w:ascii="宋体" w:hAnsi="宋体" w:cs="宋体"/>
          <w:bCs/>
          <w:sz w:val="21"/>
          <w:szCs w:val="21"/>
        </w:rPr>
        <w:t xml:space="preserve">3.2.1 </w:t>
      </w:r>
      <w:r>
        <w:rPr>
          <w:rFonts w:hint="eastAsia" w:ascii="宋体" w:hAnsi="宋体" w:cs="宋体"/>
          <w:sz w:val="21"/>
          <w:szCs w:val="21"/>
        </w:rPr>
        <w:t>供应商逐家回答磋商小组的提问；</w:t>
      </w:r>
      <w:r>
        <w:rPr>
          <w:rFonts w:hint="eastAsia" w:ascii="宋体" w:hAnsi="宋体" w:cs="宋体"/>
          <w:b/>
          <w:sz w:val="21"/>
          <w:szCs w:val="21"/>
        </w:rPr>
        <w:t>逐家磋商一次为一个轮次，磋商轮次根据实际情况进行。</w:t>
      </w:r>
    </w:p>
    <w:p>
      <w:pPr>
        <w:spacing w:line="360" w:lineRule="auto"/>
        <w:ind w:firstLine="411" w:firstLineChars="196"/>
        <w:rPr>
          <w:rFonts w:ascii="宋体" w:hAnsi="宋体" w:cs="宋体"/>
          <w:sz w:val="21"/>
          <w:szCs w:val="21"/>
        </w:rPr>
      </w:pPr>
      <w:r>
        <w:rPr>
          <w:rFonts w:hint="eastAsia" w:ascii="宋体" w:hAnsi="宋体" w:cs="宋体"/>
          <w:bCs/>
          <w:sz w:val="21"/>
          <w:szCs w:val="21"/>
        </w:rPr>
        <w:t xml:space="preserve">3.2.2 </w:t>
      </w:r>
      <w:r>
        <w:rPr>
          <w:rFonts w:hint="eastAsia" w:ascii="宋体" w:hAnsi="宋体" w:cs="宋体"/>
          <w:sz w:val="21"/>
          <w:szCs w:val="21"/>
        </w:rPr>
        <w:t>供应商应按磋商小组通知的时间在线或以邮件回复做出承诺或回复，承诺或回复的内容须由供应商法定代表人或授权代表签署，并作为响应文件的补充部分。</w:t>
      </w:r>
    </w:p>
    <w:p>
      <w:pPr>
        <w:spacing w:line="360" w:lineRule="auto"/>
        <w:ind w:firstLine="411" w:firstLineChars="196"/>
        <w:rPr>
          <w:rFonts w:ascii="宋体" w:hAnsi="宋体" w:cs="宋体"/>
          <w:bCs/>
          <w:kern w:val="0"/>
          <w:sz w:val="21"/>
          <w:szCs w:val="21"/>
        </w:rPr>
      </w:pPr>
      <w:r>
        <w:rPr>
          <w:rFonts w:hint="eastAsia" w:ascii="宋体" w:hAnsi="宋体" w:cs="宋体"/>
          <w:sz w:val="21"/>
          <w:szCs w:val="21"/>
        </w:rPr>
        <w:t xml:space="preserve">3.2.3 </w:t>
      </w:r>
      <w:r>
        <w:rPr>
          <w:rFonts w:hint="eastAsia" w:ascii="宋体" w:hAnsi="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1"/>
          <w:szCs w:val="21"/>
        </w:rPr>
        <w:t>实质性变动的内容，须经采购人代表确认。磋商文件有实质性变动的，磋商小组将以书面形式通知所有</w:t>
      </w:r>
      <w:r>
        <w:rPr>
          <w:rFonts w:hint="eastAsia" w:ascii="宋体" w:hAnsi="宋体" w:cs="宋体"/>
          <w:kern w:val="0"/>
          <w:sz w:val="21"/>
          <w:szCs w:val="21"/>
        </w:rPr>
        <w:t>符合性审查合格的</w:t>
      </w:r>
      <w:r>
        <w:rPr>
          <w:rFonts w:hint="eastAsia" w:ascii="宋体" w:hAnsi="宋体" w:cs="宋体"/>
          <w:sz w:val="21"/>
          <w:szCs w:val="21"/>
        </w:rPr>
        <w:t xml:space="preserve">供应商。 </w:t>
      </w:r>
    </w:p>
    <w:p>
      <w:pPr>
        <w:spacing w:line="360" w:lineRule="auto"/>
        <w:ind w:firstLine="413" w:firstLineChars="196"/>
        <w:rPr>
          <w:rFonts w:ascii="宋体" w:hAnsi="宋体" w:cs="宋体"/>
          <w:b/>
          <w:bCs/>
          <w:kern w:val="0"/>
          <w:sz w:val="21"/>
          <w:szCs w:val="21"/>
        </w:rPr>
      </w:pPr>
      <w:r>
        <w:rPr>
          <w:rFonts w:hint="eastAsia" w:ascii="宋体" w:hAnsi="宋体" w:cs="宋体"/>
          <w:b/>
          <w:bCs/>
          <w:kern w:val="0"/>
          <w:sz w:val="21"/>
          <w:szCs w:val="21"/>
        </w:rPr>
        <w:t>3.3最后报价</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11" w:firstLineChars="196"/>
        <w:rPr>
          <w:rFonts w:ascii="宋体" w:hAnsi="宋体" w:cs="宋体"/>
          <w:kern w:val="0"/>
          <w:sz w:val="21"/>
          <w:szCs w:val="21"/>
        </w:rPr>
      </w:pPr>
      <w:r>
        <w:rPr>
          <w:rFonts w:hint="eastAsia" w:ascii="宋体" w:hAnsi="宋体" w:cs="宋体"/>
          <w:kern w:val="0"/>
          <w:sz w:val="21"/>
          <w:szCs w:val="21"/>
        </w:rPr>
        <w:t>3.3.3 已提交响应文件的供应商，在提交最后报价之前，可以根据磋商情况退出磋商</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3.4 综合评分。</w:t>
      </w:r>
      <w:r>
        <w:rPr>
          <w:rFonts w:hint="eastAsia" w:ascii="宋体" w:hAnsi="宋体" w:cs="宋体"/>
          <w:bCs/>
          <w:kern w:val="0"/>
          <w:sz w:val="21"/>
          <w:szCs w:val="21"/>
        </w:rPr>
        <w:t>经磋商确定最终采购需求和提交最后报价的供应商后，</w:t>
      </w:r>
      <w:r>
        <w:rPr>
          <w:rFonts w:hint="eastAsia" w:ascii="宋体" w:hAnsi="宋体" w:cs="宋体"/>
          <w:kern w:val="0"/>
          <w:sz w:val="21"/>
          <w:szCs w:val="21"/>
        </w:rPr>
        <w:t>磋商小组应当按照采购文件中规定的评审标准，对符合性审查合格的响应文件进行综合评分。磋商文件中没有规定的评审标准不得作为评审依据。</w:t>
      </w:r>
    </w:p>
    <w:p>
      <w:pPr>
        <w:spacing w:line="360" w:lineRule="auto"/>
        <w:ind w:firstLine="413" w:firstLineChars="196"/>
        <w:rPr>
          <w:rFonts w:ascii="宋体" w:hAnsi="宋体" w:cs="宋体"/>
          <w:color w:val="000000" w:themeColor="text1"/>
          <w:kern w:val="0"/>
          <w:sz w:val="21"/>
          <w:szCs w:val="21"/>
          <w14:textFill>
            <w14:solidFill>
              <w14:schemeClr w14:val="tx1"/>
            </w14:solidFill>
          </w14:textFill>
        </w:rPr>
      </w:pPr>
      <w:r>
        <w:rPr>
          <w:rFonts w:hint="eastAsia" w:ascii="宋体" w:hAnsi="宋体" w:cs="宋体"/>
          <w:b/>
          <w:kern w:val="0"/>
          <w:sz w:val="21"/>
          <w:szCs w:val="21"/>
        </w:rPr>
        <w:t>3.5汇总商务技术得分。</w:t>
      </w:r>
      <w:r>
        <w:rPr>
          <w:rFonts w:hint="eastAsia" w:ascii="宋体" w:hAnsi="宋体" w:cs="宋体"/>
          <w:kern w:val="0"/>
          <w:sz w:val="21"/>
          <w:szCs w:val="21"/>
        </w:rPr>
        <w:t>磋商小组各成员应当独立对每个供应商的商务和技术文件进行评价，并汇总商务技术得分情况</w:t>
      </w:r>
      <w:r>
        <w:rPr>
          <w:rFonts w:hint="eastAsia" w:ascii="宋体" w:hAnsi="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1"/>
          <w:szCs w:val="21"/>
          <w14:textFill>
            <w14:solidFill>
              <w14:schemeClr w14:val="tx1"/>
            </w14:solidFill>
          </w14:textFill>
        </w:rPr>
        <w:t>30%以上的，由</w:t>
      </w:r>
      <w:r>
        <w:rPr>
          <w:rFonts w:hint="eastAsia" w:ascii="宋体" w:hAnsi="宋体" w:cs="宋体"/>
          <w:color w:val="000000" w:themeColor="text1"/>
          <w:kern w:val="0"/>
          <w:sz w:val="21"/>
          <w:szCs w:val="21"/>
          <w14:textFill>
            <w14:solidFill>
              <w14:schemeClr w14:val="tx1"/>
            </w14:solidFill>
          </w14:textFill>
        </w:rPr>
        <w:t>磋商小组</w:t>
      </w:r>
      <w:r>
        <w:rPr>
          <w:rFonts w:ascii="宋体" w:hAnsi="宋体" w:cs="宋体"/>
          <w:color w:val="000000" w:themeColor="text1"/>
          <w:kern w:val="0"/>
          <w:sz w:val="21"/>
          <w:szCs w:val="21"/>
          <w14:textFill>
            <w14:solidFill>
              <w14:schemeClr w14:val="tx1"/>
            </w14:solidFill>
          </w14:textFill>
        </w:rPr>
        <w:t>启动评分畸高、畸低行为认定程序</w:t>
      </w:r>
      <w:r>
        <w:rPr>
          <w:rFonts w:hint="eastAsia" w:ascii="宋体" w:hAnsi="宋体" w:cs="宋体"/>
          <w:color w:val="000000" w:themeColor="text1"/>
          <w:kern w:val="0"/>
          <w:sz w:val="21"/>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13" w:firstLineChars="196"/>
        <w:rPr>
          <w:rFonts w:ascii="宋体" w:hAnsi="宋体" w:cs="宋体"/>
          <w:b/>
          <w:kern w:val="0"/>
          <w:sz w:val="21"/>
          <w:szCs w:val="21"/>
        </w:rPr>
      </w:pPr>
      <w:r>
        <w:rPr>
          <w:rFonts w:hint="eastAsia" w:ascii="宋体" w:hAnsi="宋体" w:cs="宋体"/>
          <w:b/>
          <w:kern w:val="0"/>
          <w:sz w:val="21"/>
          <w:szCs w:val="21"/>
        </w:rPr>
        <w:t>3.6报价评审。</w:t>
      </w:r>
    </w:p>
    <w:p>
      <w:pPr>
        <w:pStyle w:val="395"/>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pPr>
        <w:pStyle w:val="395"/>
        <w:spacing w:before="0"/>
        <w:ind w:firstLine="48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pPr>
        <w:pStyle w:val="395"/>
        <w:spacing w:before="0"/>
        <w:ind w:firstLine="48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pPr>
        <w:pStyle w:val="395"/>
        <w:spacing w:before="0"/>
        <w:ind w:firstLine="48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3.6.2响应文件出现不是唯一的、有选择性最后报价的，响应文件无效。</w:t>
      </w:r>
    </w:p>
    <w:p>
      <w:pPr>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3.6.3最后报价超过采购文件中规定的预算金额或者最高限价的，响应文件无效。</w:t>
      </w:r>
    </w:p>
    <w:p>
      <w:pPr>
        <w:pStyle w:val="395"/>
        <w:spacing w:before="0"/>
        <w:ind w:firstLine="48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3.7排序与推荐。</w:t>
      </w:r>
      <w:r>
        <w:rPr>
          <w:rFonts w:hint="eastAsia" w:ascii="宋体" w:hAnsi="宋体" w:cs="宋体"/>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13" w:firstLineChars="196"/>
        <w:rPr>
          <w:rFonts w:ascii="宋体" w:hAnsi="宋体" w:cs="宋体"/>
          <w:kern w:val="0"/>
          <w:sz w:val="21"/>
          <w:szCs w:val="21"/>
        </w:rPr>
      </w:pPr>
      <w:r>
        <w:rPr>
          <w:rFonts w:hint="eastAsia" w:ascii="宋体" w:hAnsi="宋体" w:cs="宋体"/>
          <w:b/>
          <w:kern w:val="0"/>
          <w:sz w:val="21"/>
          <w:szCs w:val="21"/>
        </w:rPr>
        <w:t>3.8编写评审报告。</w:t>
      </w:r>
      <w:r>
        <w:rPr>
          <w:rFonts w:hint="eastAsia" w:ascii="宋体" w:hAnsi="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both"/>
        <w:rPr>
          <w:rFonts w:ascii="宋体" w:hAnsi="宋体" w:cs="宋体"/>
          <w:b/>
          <w:sz w:val="21"/>
          <w:szCs w:val="21"/>
        </w:rPr>
      </w:pPr>
      <w:r>
        <w:rPr>
          <w:rFonts w:hint="eastAsia" w:ascii="宋体" w:hAnsi="宋体" w:cs="宋体"/>
          <w:b/>
          <w:sz w:val="21"/>
          <w:szCs w:val="21"/>
        </w:rPr>
        <w:t>四、评审中的其他事项</w:t>
      </w:r>
    </w:p>
    <w:p>
      <w:pPr>
        <w:pStyle w:val="395"/>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4.2.1供应商不具备采购文件中规定的资格要求的（供应商未提供有效的资格文件的，视为供应商不具备采购文件中规定的资格要求）；</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4.2.2响应文件未按照采购文件要求签署、盖章的；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4.2.4响应文件含有采购人不能接受的附加条件的；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4.2.5响应文件中承诺的响应文件有效期少于采购文件中载明的响应文件有效期的；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4.2.6响应文件出现不是唯一的、有选择性最后报价的;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4.2.7最后报价超过采购文件中规定的预算金额或者最高限价的;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4.2.9供应商对根据修正原则修正后的报价不确认的；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4.2.10供应商提供虚假材料响应的；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4.2.11供应商有恶意串通、妨碍其他供应商的竞争行为、损害采购人或者其他供应商的合法权益情形的；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4.2.12供应商仅提交备份响应文件，未在电子交易平台传输递交响应文件的，响应文件无效；</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4.2.13 响应文件不满足采购文件的其它实质性要求的；</w:t>
      </w:r>
    </w:p>
    <w:p>
      <w:pPr>
        <w:spacing w:line="360" w:lineRule="auto"/>
        <w:ind w:firstLine="420" w:firstLineChars="200"/>
        <w:rPr>
          <w:rFonts w:ascii="宋体" w:hAnsi="宋体" w:cs="宋体"/>
          <w:kern w:val="0"/>
          <w:sz w:val="21"/>
          <w:szCs w:val="21"/>
        </w:rPr>
      </w:pPr>
      <w:r>
        <w:rPr>
          <w:rFonts w:hint="eastAsia" w:ascii="宋体" w:hAnsi="宋体" w:cs="宋体"/>
          <w:kern w:val="0"/>
          <w:sz w:val="21"/>
          <w:szCs w:val="21"/>
        </w:rPr>
        <w:t>4.2.14法律、法规、规章（适用本市的）及省级以上规范性文件（适用本市的）规定的其他无效情形。</w:t>
      </w:r>
    </w:p>
    <w:p>
      <w:pPr>
        <w:pStyle w:val="25"/>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pPr>
        <w:pStyle w:val="25"/>
        <w:snapToGrid w:val="0"/>
        <w:spacing w:line="360" w:lineRule="auto"/>
        <w:rPr>
          <w:rFonts w:cs="宋体"/>
          <w:sz w:val="21"/>
          <w:szCs w:val="21"/>
        </w:rPr>
      </w:pPr>
      <w:r>
        <w:rPr>
          <w:rFonts w:hint="eastAsia" w:cs="宋体"/>
          <w:sz w:val="21"/>
          <w:szCs w:val="21"/>
        </w:rPr>
        <w:t>5.1因情况变化，不再符合规定的竞争性磋商采购方式适用情形的；</w:t>
      </w:r>
    </w:p>
    <w:p>
      <w:pPr>
        <w:pStyle w:val="25"/>
        <w:snapToGrid w:val="0"/>
        <w:spacing w:line="360" w:lineRule="auto"/>
        <w:rPr>
          <w:rFonts w:cs="宋体"/>
          <w:sz w:val="21"/>
          <w:szCs w:val="21"/>
        </w:rPr>
      </w:pPr>
      <w:r>
        <w:rPr>
          <w:rFonts w:hint="eastAsia" w:cs="宋体"/>
          <w:sz w:val="21"/>
          <w:szCs w:val="21"/>
        </w:rPr>
        <w:t>5.2出现影响采购公正的违法、违规行为的；</w:t>
      </w:r>
    </w:p>
    <w:p>
      <w:pPr>
        <w:pStyle w:val="25"/>
        <w:snapToGrid w:val="0"/>
        <w:spacing w:line="360" w:lineRule="auto"/>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pPr>
        <w:pStyle w:val="25"/>
        <w:snapToGrid w:val="0"/>
        <w:spacing w:line="360" w:lineRule="auto"/>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pPr>
        <w:pStyle w:val="25"/>
        <w:snapToGrid w:val="0"/>
        <w:spacing w:line="360" w:lineRule="auto"/>
        <w:rPr>
          <w:rFonts w:cs="宋体"/>
          <w:sz w:val="21"/>
          <w:szCs w:val="21"/>
        </w:rPr>
      </w:pPr>
      <w:r>
        <w:rPr>
          <w:rFonts w:hint="eastAsia" w:cs="宋体"/>
          <w:sz w:val="21"/>
          <w:szCs w:val="21"/>
        </w:rPr>
        <w:t>6.1未确定成交供应商的，终止本次政府采购活动，重新开展政府采购活动。</w:t>
      </w:r>
    </w:p>
    <w:p>
      <w:pPr>
        <w:pStyle w:val="25"/>
        <w:snapToGrid w:val="0"/>
        <w:spacing w:line="360" w:lineRule="auto"/>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sz w:val="21"/>
          <w:szCs w:val="21"/>
        </w:rPr>
      </w:pPr>
      <w:r>
        <w:rPr>
          <w:rFonts w:hint="eastAsia" w:cs="宋体"/>
          <w:sz w:val="21"/>
          <w:szCs w:val="21"/>
        </w:rPr>
        <w:t>6.4政府采购合同已经履行，给采购人、供应商造成损失的，由责任人承担赔偿责任。</w:t>
      </w:r>
    </w:p>
    <w:p>
      <w:pPr>
        <w:pStyle w:val="395"/>
        <w:spacing w:before="0" w:line="348" w:lineRule="auto"/>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pPr>
        <w:pStyle w:val="395"/>
        <w:spacing w:before="0" w:line="348" w:lineRule="auto"/>
        <w:ind w:firstLine="0" w:firstLineChars="0"/>
        <w:rPr>
          <w:rFonts w:hint="eastAsia" w:cs="仿宋_GB2312" w:asciiTheme="minorEastAsia" w:hAnsiTheme="minorEastAsia" w:eastAsiaTheme="minorEastAsia"/>
          <w:b/>
          <w:sz w:val="21"/>
          <w:szCs w:val="21"/>
          <w:lang w:val="en-US" w:eastAsia="zh-CN"/>
        </w:rPr>
      </w:pPr>
    </w:p>
    <w:p>
      <w:pPr>
        <w:pStyle w:val="395"/>
        <w:spacing w:before="0" w:line="348" w:lineRule="auto"/>
        <w:ind w:firstLine="0" w:firstLineChars="0"/>
        <w:rPr>
          <w:rFonts w:hint="eastAsia"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lang w:val="en-US" w:eastAsia="zh-CN"/>
        </w:rPr>
        <w:t>五、</w:t>
      </w:r>
      <w:r>
        <w:rPr>
          <w:rFonts w:hint="eastAsia" w:cs="仿宋_GB2312" w:asciiTheme="minorEastAsia" w:hAnsiTheme="minorEastAsia" w:eastAsiaTheme="minorEastAsia"/>
          <w:b/>
          <w:sz w:val="21"/>
          <w:szCs w:val="21"/>
        </w:rPr>
        <w:t>评审标准</w:t>
      </w:r>
      <w:r>
        <w:rPr>
          <w:rFonts w:hint="eastAsia" w:cs="仿宋_GB2312" w:asciiTheme="minorEastAsia" w:hAnsiTheme="minorEastAsia" w:eastAsiaTheme="minorEastAsia"/>
          <w:b/>
          <w:sz w:val="21"/>
          <w:szCs w:val="21"/>
          <w:lang w:val="en-US" w:eastAsia="zh-CN"/>
        </w:rPr>
        <w:t xml:space="preserve"> ：</w:t>
      </w:r>
      <w:r>
        <w:rPr>
          <w:rFonts w:hint="eastAsia" w:cs="仿宋_GB2312" w:asciiTheme="minorEastAsia" w:hAnsiTheme="minorEastAsia" w:eastAsiaTheme="minorEastAsia"/>
          <w:b w:val="0"/>
          <w:bCs/>
          <w:sz w:val="21"/>
          <w:szCs w:val="21"/>
        </w:rPr>
        <w:t>详见《评分标准（兼评委打分表）》</w:t>
      </w:r>
      <w:r>
        <w:rPr>
          <w:rFonts w:hint="eastAsia" w:cs="仿宋_GB2312" w:asciiTheme="minorEastAsia" w:hAnsiTheme="minorEastAsia" w:eastAsiaTheme="minorEastAsia"/>
          <w:b/>
          <w:sz w:val="21"/>
          <w:szCs w:val="21"/>
        </w:rPr>
        <w:t>。</w:t>
      </w:r>
    </w:p>
    <w:p>
      <w:pPr>
        <w:spacing w:line="400" w:lineRule="exact"/>
        <w:jc w:val="center"/>
        <w:rPr>
          <w:rFonts w:eastAsia="黑体"/>
          <w:b/>
          <w:sz w:val="28"/>
          <w:szCs w:val="28"/>
        </w:rPr>
      </w:pPr>
      <w:r>
        <w:rPr>
          <w:b/>
          <w:color w:val="000000"/>
          <w:sz w:val="24"/>
          <w:szCs w:val="24"/>
          <w:highlight w:val="none"/>
        </w:rPr>
        <w:t>评分标准（兼评委打分表）</w:t>
      </w:r>
    </w:p>
    <w:tbl>
      <w:tblPr>
        <w:tblStyle w:val="60"/>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vAlign w:val="center"/>
          </w:tcPr>
          <w:p>
            <w:pPr>
              <w:spacing w:line="340" w:lineRule="exact"/>
              <w:rPr>
                <w:color w:val="000000"/>
                <w:szCs w:val="21"/>
                <w:highlight w:val="none"/>
              </w:rPr>
            </w:pPr>
          </w:p>
        </w:tc>
        <w:tc>
          <w:tcPr>
            <w:tcW w:w="1164" w:type="dxa"/>
            <w:noWrap w:val="0"/>
            <w:vAlign w:val="center"/>
          </w:tcPr>
          <w:p>
            <w:pPr>
              <w:spacing w:line="340" w:lineRule="exact"/>
              <w:jc w:val="center"/>
              <w:rPr>
                <w:color w:val="000000"/>
                <w:szCs w:val="21"/>
                <w:highlight w:val="none"/>
              </w:rPr>
            </w:pPr>
            <w:r>
              <w:rPr>
                <w:rFonts w:hint="eastAsia"/>
                <w:color w:val="000000"/>
                <w:highlight w:val="none"/>
              </w:rPr>
              <w:t>项目</w:t>
            </w:r>
          </w:p>
        </w:tc>
        <w:tc>
          <w:tcPr>
            <w:tcW w:w="8289" w:type="dxa"/>
            <w:noWrap w:val="0"/>
            <w:vAlign w:val="center"/>
          </w:tcPr>
          <w:p>
            <w:pPr>
              <w:tabs>
                <w:tab w:val="left" w:pos="4915"/>
              </w:tabs>
              <w:spacing w:line="340" w:lineRule="exact"/>
              <w:jc w:val="center"/>
              <w:rPr>
                <w:color w:val="000000"/>
                <w:szCs w:val="21"/>
                <w:highlight w:val="none"/>
              </w:rPr>
            </w:pPr>
            <w:r>
              <w:rPr>
                <w:rFonts w:hint="eastAsia"/>
                <w:color w:val="000000"/>
                <w:highlight w:val="none"/>
              </w:rPr>
              <w:t>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vAlign w:val="center"/>
          </w:tcPr>
          <w:p>
            <w:pPr>
              <w:spacing w:line="340" w:lineRule="exact"/>
              <w:rPr>
                <w:color w:val="000000"/>
                <w:szCs w:val="21"/>
                <w:highlight w:val="none"/>
              </w:rPr>
            </w:pPr>
          </w:p>
        </w:tc>
        <w:tc>
          <w:tcPr>
            <w:tcW w:w="1164" w:type="dxa"/>
            <w:noWrap w:val="0"/>
            <w:vAlign w:val="center"/>
          </w:tcPr>
          <w:p>
            <w:pPr>
              <w:spacing w:line="340" w:lineRule="exact"/>
              <w:jc w:val="center"/>
              <w:rPr>
                <w:color w:val="auto"/>
                <w:szCs w:val="21"/>
              </w:rPr>
            </w:pPr>
            <w:r>
              <w:rPr>
                <w:color w:val="auto"/>
                <w:szCs w:val="21"/>
              </w:rPr>
              <w:t>技术条款</w:t>
            </w:r>
          </w:p>
          <w:p>
            <w:pPr>
              <w:spacing w:line="340" w:lineRule="exact"/>
              <w:jc w:val="center"/>
              <w:rPr>
                <w:color w:val="auto"/>
                <w:szCs w:val="21"/>
              </w:rPr>
            </w:pPr>
            <w:r>
              <w:rPr>
                <w:color w:val="auto"/>
                <w:szCs w:val="21"/>
              </w:rPr>
              <w:t>响应情况</w:t>
            </w:r>
          </w:p>
          <w:p>
            <w:pPr>
              <w:spacing w:line="340" w:lineRule="exact"/>
              <w:jc w:val="center"/>
              <w:rPr>
                <w:rFonts w:hint="eastAsia"/>
                <w:color w:val="000000"/>
                <w:highlight w:val="none"/>
              </w:rPr>
            </w:pPr>
            <w:r>
              <w:rPr>
                <w:color w:val="auto"/>
                <w:szCs w:val="21"/>
              </w:rPr>
              <w:t>（</w:t>
            </w:r>
            <w:r>
              <w:rPr>
                <w:rFonts w:hint="eastAsia"/>
                <w:color w:val="auto"/>
                <w:szCs w:val="21"/>
                <w:lang w:val="en-US" w:eastAsia="zh-CN"/>
              </w:rPr>
              <w:t>5</w:t>
            </w:r>
            <w:r>
              <w:rPr>
                <w:color w:val="auto"/>
                <w:szCs w:val="21"/>
              </w:rPr>
              <w:t>分）</w:t>
            </w:r>
          </w:p>
        </w:tc>
        <w:tc>
          <w:tcPr>
            <w:tcW w:w="8289" w:type="dxa"/>
            <w:noWrap w:val="0"/>
            <w:vAlign w:val="center"/>
          </w:tcPr>
          <w:p>
            <w:pPr>
              <w:tabs>
                <w:tab w:val="left" w:pos="4915"/>
              </w:tabs>
              <w:spacing w:line="340" w:lineRule="exact"/>
              <w:rPr>
                <w:rFonts w:hint="eastAsia" w:ascii="Times New Roman" w:hAnsi="Times New Roman" w:cs="宋体"/>
                <w:color w:val="auto"/>
                <w:szCs w:val="21"/>
              </w:rPr>
            </w:pPr>
            <w:r>
              <w:rPr>
                <w:rFonts w:hint="eastAsia" w:ascii="Times New Roman" w:hAnsi="Times New Roman" w:cs="宋体"/>
                <w:color w:val="auto"/>
                <w:szCs w:val="21"/>
              </w:rPr>
              <w:t>1、技术</w:t>
            </w:r>
            <w:r>
              <w:rPr>
                <w:rFonts w:hint="eastAsia" w:ascii="Times New Roman" w:hAnsi="Times New Roman" w:cs="宋体"/>
                <w:color w:val="auto"/>
                <w:szCs w:val="21"/>
                <w:lang w:val="en-US" w:eastAsia="zh-CN"/>
              </w:rPr>
              <w:t>条款</w:t>
            </w:r>
            <w:r>
              <w:rPr>
                <w:rFonts w:hint="eastAsia" w:ascii="Times New Roman" w:hAnsi="Times New Roman" w:cs="宋体"/>
                <w:color w:val="auto"/>
                <w:szCs w:val="21"/>
              </w:rPr>
              <w:t>响应情况（</w:t>
            </w:r>
            <w:r>
              <w:rPr>
                <w:rFonts w:hint="eastAsia" w:ascii="Times New Roman" w:hAnsi="Times New Roman" w:cs="宋体"/>
                <w:color w:val="auto"/>
                <w:szCs w:val="21"/>
                <w:lang w:val="en-US" w:eastAsia="zh-CN"/>
              </w:rPr>
              <w:t>5</w:t>
            </w:r>
            <w:r>
              <w:rPr>
                <w:rFonts w:hint="eastAsia" w:ascii="Times New Roman" w:hAnsi="Times New Roman" w:cs="宋体"/>
                <w:color w:val="auto"/>
                <w:szCs w:val="21"/>
              </w:rPr>
              <w:t>分）</w:t>
            </w:r>
          </w:p>
          <w:p>
            <w:pPr>
              <w:tabs>
                <w:tab w:val="left" w:pos="4915"/>
              </w:tabs>
              <w:spacing w:line="340" w:lineRule="exact"/>
              <w:rPr>
                <w:rFonts w:hint="eastAsia" w:ascii="Times New Roman" w:hAnsi="Times New Roman" w:cs="宋体"/>
                <w:color w:val="auto"/>
                <w:szCs w:val="21"/>
              </w:rPr>
            </w:pPr>
            <w:r>
              <w:rPr>
                <w:rFonts w:hint="eastAsia" w:ascii="Times New Roman" w:hAnsi="Times New Roman" w:cs="宋体"/>
                <w:color w:val="auto"/>
                <w:szCs w:val="21"/>
              </w:rPr>
              <w:t>投标文件对采购文件的技术</w:t>
            </w:r>
            <w:r>
              <w:rPr>
                <w:rFonts w:hint="eastAsia" w:ascii="Times New Roman" w:hAnsi="Times New Roman" w:cs="宋体"/>
                <w:color w:val="auto"/>
                <w:szCs w:val="21"/>
                <w:lang w:eastAsia="zh-CN"/>
              </w:rPr>
              <w:t>参数的</w:t>
            </w:r>
            <w:r>
              <w:rPr>
                <w:rFonts w:hint="eastAsia" w:ascii="Times New Roman" w:hAnsi="Times New Roman" w:cs="宋体"/>
                <w:color w:val="auto"/>
                <w:szCs w:val="21"/>
              </w:rPr>
              <w:t>响应情况：技术</w:t>
            </w:r>
            <w:r>
              <w:rPr>
                <w:rFonts w:hint="eastAsia" w:ascii="Times New Roman" w:hAnsi="Times New Roman" w:cs="宋体"/>
                <w:color w:val="auto"/>
                <w:szCs w:val="21"/>
                <w:lang w:eastAsia="zh-CN"/>
              </w:rPr>
              <w:t>参数</w:t>
            </w:r>
            <w:r>
              <w:rPr>
                <w:rFonts w:hint="eastAsia" w:ascii="Times New Roman" w:hAnsi="Times New Roman" w:cs="宋体"/>
                <w:color w:val="auto"/>
                <w:szCs w:val="21"/>
              </w:rPr>
              <w:t>全部满足招标文件要求的得</w:t>
            </w:r>
            <w:r>
              <w:rPr>
                <w:rFonts w:hint="eastAsia" w:ascii="Times New Roman" w:hAnsi="Times New Roman" w:cs="宋体"/>
                <w:color w:val="auto"/>
                <w:szCs w:val="21"/>
                <w:lang w:val="en-US" w:eastAsia="zh-CN"/>
              </w:rPr>
              <w:t>5</w:t>
            </w:r>
            <w:r>
              <w:rPr>
                <w:rFonts w:hint="eastAsia" w:ascii="Times New Roman" w:hAnsi="Times New Roman" w:cs="宋体"/>
                <w:color w:val="auto"/>
                <w:szCs w:val="21"/>
              </w:rPr>
              <w:t>分。每负偏离一项扣减</w:t>
            </w:r>
            <w:r>
              <w:rPr>
                <w:rFonts w:hint="eastAsia" w:ascii="Times New Roman" w:hAnsi="Times New Roman" w:cs="宋体"/>
                <w:color w:val="auto"/>
                <w:szCs w:val="21"/>
                <w:lang w:val="en-US" w:eastAsia="zh-CN"/>
              </w:rPr>
              <w:t>1</w:t>
            </w:r>
            <w:r>
              <w:rPr>
                <w:rFonts w:hint="eastAsia" w:ascii="Times New Roman" w:hAnsi="Times New Roman" w:cs="宋体"/>
                <w:color w:val="auto"/>
                <w:szCs w:val="21"/>
              </w:rPr>
              <w:t>分。</w:t>
            </w:r>
            <w:r>
              <w:rPr>
                <w:rFonts w:hint="eastAsia" w:ascii="Times New Roman" w:hAnsi="Times New Roman" w:cs="宋体"/>
                <w:color w:val="auto"/>
                <w:szCs w:val="21"/>
                <w:lang w:val="en-US" w:eastAsia="zh-CN"/>
              </w:rPr>
              <w:t>累计扣分≥5分</w:t>
            </w:r>
            <w:r>
              <w:rPr>
                <w:rFonts w:hint="eastAsia" w:ascii="Times New Roman" w:hAnsi="Times New Roman" w:cs="宋体"/>
                <w:color w:val="auto"/>
                <w:szCs w:val="21"/>
              </w:rPr>
              <w:t>的投标无效。</w:t>
            </w:r>
          </w:p>
          <w:p>
            <w:pPr>
              <w:tabs>
                <w:tab w:val="left" w:pos="4915"/>
              </w:tabs>
              <w:spacing w:line="340" w:lineRule="exact"/>
              <w:rPr>
                <w:rFonts w:hint="eastAsia"/>
                <w:color w:val="000000"/>
                <w:highlight w:val="none"/>
              </w:rPr>
            </w:pPr>
            <w:r>
              <w:rPr>
                <w:rFonts w:hint="eastAsia" w:ascii="Times New Roman" w:hAnsi="Times New Roman" w:cs="宋体"/>
                <w:color w:val="auto"/>
                <w:szCs w:val="21"/>
              </w:rPr>
              <w:t>标志“▲”的实质性条款不允许任何负偏离，否则投标无效。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48" w:type="dxa"/>
            <w:vMerge w:val="restart"/>
            <w:noWrap w:val="0"/>
            <w:vAlign w:val="center"/>
          </w:tcPr>
          <w:p>
            <w:pPr>
              <w:spacing w:line="340" w:lineRule="exact"/>
              <w:rPr>
                <w:color w:val="000000"/>
                <w:szCs w:val="21"/>
                <w:highlight w:val="none"/>
              </w:rPr>
            </w:pPr>
            <w:r>
              <w:rPr>
                <w:color w:val="000000"/>
                <w:szCs w:val="21"/>
                <w:highlight w:val="none"/>
              </w:rPr>
              <w:t>技术资信</w:t>
            </w:r>
            <w:r>
              <w:rPr>
                <w:rFonts w:hint="eastAsia"/>
                <w:color w:val="000000"/>
                <w:szCs w:val="21"/>
                <w:highlight w:val="none"/>
              </w:rPr>
              <w:t>部分</w:t>
            </w:r>
            <w:r>
              <w:rPr>
                <w:rFonts w:hint="eastAsia"/>
                <w:color w:val="000000"/>
                <w:szCs w:val="21"/>
                <w:highlight w:val="none"/>
                <w:lang w:val="en-US" w:eastAsia="zh-CN"/>
              </w:rPr>
              <w:t>70</w:t>
            </w:r>
            <w:r>
              <w:rPr>
                <w:color w:val="000000"/>
                <w:szCs w:val="21"/>
                <w:highlight w:val="none"/>
              </w:rPr>
              <w:t>分</w:t>
            </w:r>
          </w:p>
          <w:p>
            <w:pPr>
              <w:widowControl/>
              <w:spacing w:line="340" w:lineRule="exact"/>
              <w:jc w:val="left"/>
              <w:rPr>
                <w:color w:val="000000"/>
                <w:szCs w:val="21"/>
                <w:highlight w:val="none"/>
              </w:rPr>
            </w:pPr>
          </w:p>
        </w:tc>
        <w:tc>
          <w:tcPr>
            <w:tcW w:w="1164" w:type="dxa"/>
            <w:vMerge w:val="restart"/>
            <w:noWrap w:val="0"/>
            <w:vAlign w:val="center"/>
          </w:tcPr>
          <w:p>
            <w:pPr>
              <w:spacing w:line="340" w:lineRule="exact"/>
              <w:jc w:val="center"/>
              <w:rPr>
                <w:rFonts w:hint="eastAsia"/>
                <w:color w:val="000000"/>
                <w:szCs w:val="21"/>
                <w:highlight w:val="none"/>
              </w:rPr>
            </w:pPr>
            <w:r>
              <w:rPr>
                <w:rFonts w:hint="eastAsia"/>
                <w:color w:val="000000"/>
                <w:szCs w:val="21"/>
                <w:highlight w:val="none"/>
              </w:rPr>
              <w:t>施工组织方案</w:t>
            </w:r>
          </w:p>
          <w:p>
            <w:pPr>
              <w:spacing w:line="340" w:lineRule="exact"/>
              <w:jc w:val="center"/>
              <w:rPr>
                <w:color w:val="000000"/>
                <w:szCs w:val="21"/>
                <w:highlight w:val="none"/>
              </w:rPr>
            </w:pPr>
            <w:r>
              <w:rPr>
                <w:color w:val="000000"/>
                <w:szCs w:val="21"/>
                <w:highlight w:val="none"/>
              </w:rPr>
              <w:t>（</w:t>
            </w:r>
            <w:r>
              <w:rPr>
                <w:rFonts w:hint="eastAsia"/>
                <w:color w:val="000000"/>
                <w:szCs w:val="21"/>
                <w:highlight w:val="none"/>
                <w:lang w:val="en-US" w:eastAsia="zh-CN"/>
              </w:rPr>
              <w:t>25</w:t>
            </w:r>
            <w:r>
              <w:rPr>
                <w:color w:val="000000"/>
                <w:szCs w:val="21"/>
                <w:highlight w:val="none"/>
              </w:rPr>
              <w:t>分）</w:t>
            </w:r>
          </w:p>
        </w:tc>
        <w:tc>
          <w:tcPr>
            <w:tcW w:w="8289" w:type="dxa"/>
            <w:noWrap w:val="0"/>
            <w:vAlign w:val="center"/>
          </w:tcPr>
          <w:p>
            <w:pPr>
              <w:tabs>
                <w:tab w:val="left" w:pos="4915"/>
              </w:tabs>
              <w:spacing w:line="340" w:lineRule="exact"/>
              <w:rPr>
                <w:rFonts w:hint="eastAsia" w:cs="宋体"/>
                <w:color w:val="000000"/>
                <w:szCs w:val="21"/>
                <w:highlight w:val="none"/>
              </w:rPr>
            </w:pPr>
            <w:r>
              <w:rPr>
                <w:rFonts w:hint="eastAsia"/>
                <w:color w:val="auto"/>
                <w:sz w:val="21"/>
                <w:szCs w:val="21"/>
                <w:highlight w:val="none"/>
                <w:lang w:val="en-US" w:eastAsia="zh-CN"/>
              </w:rPr>
              <w:t>施工方案（包括</w:t>
            </w:r>
            <w:r>
              <w:rPr>
                <w:rFonts w:hint="eastAsia" w:cs="宋体"/>
                <w:color w:val="000000"/>
                <w:szCs w:val="21"/>
                <w:highlight w:val="none"/>
                <w:lang w:val="en-US" w:eastAsia="zh-CN"/>
              </w:rPr>
              <w:t>各工程关键节点</w:t>
            </w:r>
            <w:r>
              <w:rPr>
                <w:rFonts w:hint="eastAsia"/>
                <w:color w:val="auto"/>
                <w:sz w:val="21"/>
                <w:szCs w:val="21"/>
                <w:highlight w:val="none"/>
                <w:lang w:val="en-US" w:eastAsia="zh-CN"/>
              </w:rPr>
              <w:t>）</w:t>
            </w:r>
            <w:r>
              <w:rPr>
                <w:rFonts w:hint="eastAsia" w:ascii="宋体" w:hAnsi="宋体" w:cs="宋体"/>
                <w:color w:val="auto"/>
                <w:szCs w:val="21"/>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可执行力度高</w:t>
            </w:r>
            <w:r>
              <w:rPr>
                <w:rFonts w:hint="eastAsia" w:ascii="宋体" w:hAnsi="宋体" w:eastAsia="宋体" w:cs="宋体"/>
                <w:b w:val="0"/>
                <w:bCs w:val="0"/>
                <w:strike w:val="0"/>
                <w:dstrike w:val="0"/>
                <w:color w:val="auto"/>
                <w:sz w:val="21"/>
                <w:szCs w:val="21"/>
                <w:highlight w:val="none"/>
                <w:lang w:val="en-US" w:eastAsia="zh-CN"/>
              </w:rPr>
              <w:t>的得5分；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w:t>
            </w:r>
            <w:r>
              <w:rPr>
                <w:rFonts w:hint="eastAsia" w:ascii="宋体" w:hAnsi="宋体" w:cs="宋体"/>
                <w:color w:val="auto"/>
                <w:szCs w:val="21"/>
                <w:highlight w:val="none"/>
                <w:lang w:eastAsia="zh-CN"/>
              </w:rPr>
              <w:t>较</w:t>
            </w:r>
            <w:r>
              <w:rPr>
                <w:rFonts w:hint="eastAsia" w:ascii="宋体" w:hAnsi="宋体" w:cs="宋体"/>
                <w:color w:val="auto"/>
                <w:szCs w:val="21"/>
                <w:highlight w:val="none"/>
              </w:rPr>
              <w:t>高</w:t>
            </w:r>
            <w:r>
              <w:rPr>
                <w:rFonts w:hint="eastAsia" w:ascii="宋体" w:hAnsi="宋体" w:eastAsia="宋体" w:cs="宋体"/>
                <w:b w:val="0"/>
                <w:bCs w:val="0"/>
                <w:strike w:val="0"/>
                <w:dstrike w:val="0"/>
                <w:color w:val="auto"/>
                <w:sz w:val="21"/>
                <w:szCs w:val="21"/>
                <w:highlight w:val="none"/>
                <w:lang w:val="en-US" w:eastAsia="zh-CN"/>
              </w:rPr>
              <w:t>的得4分；</w:t>
            </w:r>
          </w:p>
          <w:p>
            <w:pPr>
              <w:tabs>
                <w:tab w:val="left" w:pos="4915"/>
              </w:tabs>
              <w:spacing w:line="340" w:lineRule="exac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cs="宋体"/>
                <w:color w:val="auto"/>
                <w:szCs w:val="21"/>
                <w:highlight w:val="none"/>
              </w:rPr>
              <w:t>可执行力度</w:t>
            </w:r>
            <w:r>
              <w:rPr>
                <w:rFonts w:hint="eastAsia" w:ascii="宋体" w:hAnsi="宋体" w:cs="宋体"/>
                <w:color w:val="auto"/>
                <w:szCs w:val="21"/>
                <w:highlight w:val="none"/>
                <w:lang w:eastAsia="zh-CN"/>
              </w:rPr>
              <w:t>一般</w:t>
            </w:r>
            <w:r>
              <w:rPr>
                <w:rFonts w:hint="eastAsia" w:ascii="宋体" w:hAnsi="宋体" w:eastAsia="宋体" w:cs="宋体"/>
                <w:b w:val="0"/>
                <w:bCs w:val="0"/>
                <w:strike w:val="0"/>
                <w:dstrike w:val="0"/>
                <w:color w:val="auto"/>
                <w:sz w:val="21"/>
                <w:szCs w:val="21"/>
                <w:highlight w:val="none"/>
                <w:lang w:val="en-US" w:eastAsia="zh-CN"/>
              </w:rPr>
              <w:t>的得3分；</w:t>
            </w:r>
          </w:p>
          <w:p>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w:t>
            </w:r>
            <w:r>
              <w:rPr>
                <w:rFonts w:hint="eastAsia" w:ascii="宋体" w:hAnsi="宋体" w:cs="宋体"/>
                <w:b w:val="0"/>
                <w:bCs w:val="0"/>
                <w:strike w:val="0"/>
                <w:dstrike w:val="0"/>
                <w:color w:val="auto"/>
                <w:sz w:val="21"/>
                <w:szCs w:val="21"/>
                <w:highlight w:val="none"/>
                <w:lang w:val="en-US" w:eastAsia="zh-CN"/>
              </w:rPr>
              <w:t>，</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eastAsia="宋体" w:cs="宋体"/>
                <w:strike w:val="0"/>
                <w:dstrike w:val="0"/>
                <w:color w:val="auto"/>
                <w:sz w:val="21"/>
                <w:szCs w:val="21"/>
                <w:highlight w:val="none"/>
                <w:lang w:val="en-US" w:eastAsia="zh-CN"/>
              </w:rPr>
              <w:t>2分；</w:t>
            </w:r>
          </w:p>
          <w:p>
            <w:pPr>
              <w:tabs>
                <w:tab w:val="left" w:pos="4915"/>
              </w:tabs>
              <w:spacing w:line="340" w:lineRule="exac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⑤提交的方案与实际情况存在一定偏差的得1分；</w:t>
            </w:r>
          </w:p>
          <w:p>
            <w:pPr>
              <w:tabs>
                <w:tab w:val="left" w:pos="4915"/>
              </w:tabs>
              <w:spacing w:line="340" w:lineRule="exact"/>
              <w:rPr>
                <w:rFonts w:hint="eastAsia" w:eastAsia="宋体" w:cs="宋体"/>
                <w:color w:val="000000"/>
                <w:kern w:val="2"/>
                <w:sz w:val="21"/>
                <w:szCs w:val="21"/>
                <w:highlight w:val="none"/>
                <w:lang w:val="en-US" w:eastAsia="zh-CN" w:bidi="ar-SA"/>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vMerge w:val="continue"/>
            <w:noWrap w:val="0"/>
            <w:vAlign w:val="center"/>
          </w:tcPr>
          <w:p>
            <w:pPr>
              <w:widowControl/>
              <w:spacing w:line="340" w:lineRule="exact"/>
              <w:jc w:val="left"/>
              <w:rPr>
                <w:color w:val="000000"/>
                <w:szCs w:val="21"/>
                <w:highlight w:val="none"/>
              </w:rPr>
            </w:pPr>
          </w:p>
        </w:tc>
        <w:tc>
          <w:tcPr>
            <w:tcW w:w="8289"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工程质量保证措施</w:t>
            </w:r>
            <w:r>
              <w:rPr>
                <w:rFonts w:hint="eastAsia" w:ascii="宋体" w:hAnsi="宋体" w:cs="宋体"/>
                <w:color w:val="auto"/>
                <w:highlight w:val="none"/>
              </w:rPr>
              <w:t>（</w:t>
            </w:r>
            <w:r>
              <w:rPr>
                <w:rFonts w:hint="eastAsia" w:ascii="宋体" w:hAnsi="宋体" w:cs="宋体"/>
                <w:color w:val="auto"/>
                <w:highlight w:val="none"/>
                <w:lang w:eastAsia="zh-CN"/>
              </w:rPr>
              <w:t>包含但不仅限于材料及设备质量保证措施等</w:t>
            </w:r>
            <w:r>
              <w:rPr>
                <w:rFonts w:hint="eastAsia" w:ascii="宋体" w:hAnsi="宋体" w:cs="宋体"/>
                <w:color w:val="auto"/>
                <w:highlight w:val="none"/>
              </w:rPr>
              <w:t>）</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szCs w:val="21"/>
                <w:highlight w:val="none"/>
              </w:rPr>
              <w:t>施工质量保证措施方案详实，针对性强，可执行力度高的</w:t>
            </w:r>
            <w:r>
              <w:rPr>
                <w:rFonts w:hint="eastAsia" w:cs="宋体"/>
                <w:color w:val="000000"/>
                <w:szCs w:val="21"/>
                <w:highlight w:val="none"/>
              </w:rPr>
              <w:t>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szCs w:val="21"/>
                <w:highlight w:val="none"/>
              </w:rPr>
              <w:t>施工质量保证措施方案内容充分，有一定针对性，可执行力度较高的</w:t>
            </w:r>
            <w:r>
              <w:rPr>
                <w:rFonts w:hint="eastAsia" w:cs="宋体"/>
                <w:color w:val="000000"/>
                <w:szCs w:val="21"/>
                <w:highlight w:val="none"/>
              </w:rPr>
              <w:t>得</w:t>
            </w:r>
            <w:r>
              <w:rPr>
                <w:rFonts w:hint="eastAsia" w:cs="宋体"/>
                <w:color w:val="000000"/>
                <w:szCs w:val="21"/>
                <w:highlight w:val="none"/>
                <w:lang w:val="en-US" w:eastAsia="zh-CN"/>
              </w:rPr>
              <w:t>4分；</w:t>
            </w:r>
          </w:p>
          <w:p>
            <w:pPr>
              <w:tabs>
                <w:tab w:val="left" w:pos="4915"/>
              </w:tabs>
              <w:spacing w:line="340" w:lineRule="exact"/>
              <w:rPr>
                <w:rFonts w:hint="eastAsia" w:ascii="宋体" w:hAnsi="宋体" w:cs="宋体"/>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szCs w:val="21"/>
                <w:highlight w:val="none"/>
              </w:rPr>
              <w:t>施工质量保证措施方案内容不够详实</w:t>
            </w:r>
            <w:r>
              <w:rPr>
                <w:rFonts w:hint="eastAsia" w:ascii="宋体" w:hAnsi="宋体" w:eastAsia="宋体" w:cs="宋体"/>
                <w:b w:val="0"/>
                <w:bCs w:val="0"/>
                <w:strike w:val="0"/>
                <w:dstrike w:val="0"/>
                <w:color w:val="auto"/>
                <w:sz w:val="21"/>
                <w:szCs w:val="21"/>
                <w:highlight w:val="none"/>
                <w:lang w:val="en-US" w:eastAsia="zh-CN"/>
              </w:rPr>
              <w:t>、笼统，</w:t>
            </w:r>
            <w:r>
              <w:rPr>
                <w:rFonts w:hint="eastAsia" w:cs="宋体"/>
                <w:color w:val="000000"/>
                <w:szCs w:val="21"/>
                <w:highlight w:val="none"/>
                <w:lang w:val="en-US" w:eastAsia="zh-CN"/>
              </w:rPr>
              <w:t>保证项目基本能完成实施</w:t>
            </w:r>
            <w:r>
              <w:rPr>
                <w:rFonts w:hint="eastAsia" w:ascii="宋体" w:hAnsi="宋体" w:eastAsia="宋体" w:cs="宋体"/>
                <w:b w:val="0"/>
                <w:bCs w:val="0"/>
                <w:strike w:val="0"/>
                <w:dstrike w:val="0"/>
                <w:color w:val="auto"/>
                <w:sz w:val="21"/>
                <w:szCs w:val="21"/>
                <w:highlight w:val="none"/>
                <w:lang w:val="en-US" w:eastAsia="zh-CN"/>
              </w:rPr>
              <w:t>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w:t>
            </w:r>
            <w:r>
              <w:rPr>
                <w:rFonts w:hint="eastAsia" w:ascii="宋体" w:hAnsi="宋体" w:cs="宋体"/>
                <w:strike w:val="0"/>
                <w:dstrike w:val="0"/>
                <w:color w:val="auto"/>
                <w:sz w:val="21"/>
                <w:szCs w:val="21"/>
                <w:highlight w:val="none"/>
                <w:lang w:val="en-US"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szCs w:val="21"/>
                <w:highlight w:val="none"/>
              </w:rPr>
              <w:t>施工质量保证措施方案内容</w:t>
            </w:r>
            <w:r>
              <w:rPr>
                <w:rFonts w:hint="eastAsia" w:ascii="宋体" w:hAnsi="宋体" w:eastAsia="宋体" w:cs="宋体"/>
                <w:b w:val="0"/>
                <w:bCs w:val="0"/>
                <w:strike w:val="0"/>
                <w:dstrike w:val="0"/>
                <w:color w:val="auto"/>
                <w:sz w:val="21"/>
                <w:szCs w:val="21"/>
                <w:highlight w:val="none"/>
                <w:lang w:val="en-US" w:eastAsia="zh-CN"/>
              </w:rPr>
              <w:t>简单</w:t>
            </w:r>
            <w:r>
              <w:rPr>
                <w:rFonts w:hint="eastAsia" w:ascii="宋体" w:hAnsi="宋体" w:cs="宋体"/>
                <w:color w:val="auto"/>
                <w:szCs w:val="21"/>
                <w:highlight w:val="none"/>
              </w:rPr>
              <w:t>，缺乏针对性，可执行力较低的得</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szCs w:val="21"/>
                <w:highlight w:val="none"/>
              </w:rPr>
              <w:t>施工质量保证</w:t>
            </w:r>
            <w:r>
              <w:rPr>
                <w:rFonts w:hint="eastAsia" w:cs="宋体"/>
                <w:color w:val="000000"/>
                <w:szCs w:val="21"/>
                <w:highlight w:val="none"/>
              </w:rPr>
              <w:t>措施</w:t>
            </w:r>
            <w:r>
              <w:rPr>
                <w:rFonts w:hint="eastAsia" w:cs="宋体"/>
                <w:color w:val="000000"/>
                <w:szCs w:val="21"/>
                <w:highlight w:val="none"/>
                <w:lang w:val="en-US" w:eastAsia="zh-CN"/>
              </w:rPr>
              <w:t>上有主体内容的缺漏</w:t>
            </w:r>
            <w:r>
              <w:rPr>
                <w:rFonts w:hint="eastAsia" w:cs="宋体"/>
                <w:color w:val="000000"/>
                <w:szCs w:val="21"/>
                <w:highlight w:val="none"/>
              </w:rPr>
              <w:t>或缺少具体</w:t>
            </w:r>
            <w:r>
              <w:rPr>
                <w:rFonts w:hint="eastAsia" w:cs="宋体"/>
                <w:color w:val="000000"/>
                <w:szCs w:val="21"/>
                <w:highlight w:val="none"/>
                <w:lang w:val="en-US" w:eastAsia="zh-CN"/>
              </w:rPr>
              <w:t>有效的保证措施</w:t>
            </w:r>
            <w:r>
              <w:rPr>
                <w:rFonts w:hint="eastAsia" w:cs="宋体"/>
                <w:color w:val="000000"/>
                <w:szCs w:val="21"/>
                <w:highlight w:val="none"/>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vMerge w:val="continue"/>
            <w:noWrap w:val="0"/>
            <w:vAlign w:val="center"/>
          </w:tcPr>
          <w:p>
            <w:pPr>
              <w:widowControl/>
              <w:spacing w:line="340" w:lineRule="exact"/>
              <w:jc w:val="left"/>
              <w:rPr>
                <w:color w:val="000000"/>
                <w:szCs w:val="21"/>
                <w:highlight w:val="none"/>
              </w:rPr>
            </w:pPr>
          </w:p>
        </w:tc>
        <w:tc>
          <w:tcPr>
            <w:tcW w:w="8289"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施工进度管理与控制</w:t>
            </w:r>
            <w:r>
              <w:rPr>
                <w:rFonts w:hint="eastAsia" w:ascii="宋体" w:hAnsi="宋体" w:cs="宋体"/>
                <w:color w:val="auto"/>
                <w:szCs w:val="21"/>
                <w:highlight w:val="none"/>
                <w:lang w:eastAsia="zh-CN"/>
              </w:rPr>
              <w:t>（包含但不仅限于方案详实情况、时间节点安排情况等）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①施工进度计划安排得当、各时间节点明确、</w:t>
            </w:r>
            <w:r>
              <w:rPr>
                <w:rFonts w:hint="eastAsia" w:ascii="宋体" w:hAnsi="宋体" w:cs="宋体"/>
                <w:color w:val="auto"/>
                <w:szCs w:val="21"/>
                <w:highlight w:val="none"/>
              </w:rPr>
              <w:t>具有充分可靠计划</w:t>
            </w:r>
            <w:r>
              <w:rPr>
                <w:rFonts w:hint="eastAsia" w:cs="宋体"/>
                <w:color w:val="000000"/>
                <w:szCs w:val="21"/>
                <w:highlight w:val="none"/>
                <w:lang w:val="en-US" w:eastAsia="zh-CN"/>
              </w:rPr>
              <w:t>的得5分；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施工进度计划安排较为得当、各时间节点及项目工期能有基本保障的得4分</w:t>
            </w:r>
          </w:p>
          <w:p>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lang w:val="en-US" w:eastAsia="zh-CN"/>
              </w:rPr>
              <w:t>进度安排尚能满足工期需求、部分时间节点不够明确或存在前松后紧的得3分；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lang w:val="en-US" w:eastAsia="zh-CN"/>
              </w:rPr>
              <w:t>进度安排基本合理、时间节点及工期内容的欠缺的得2分；</w:t>
            </w:r>
          </w:p>
          <w:p>
            <w:pPr>
              <w:tabs>
                <w:tab w:val="left" w:pos="4915"/>
              </w:tabs>
              <w:spacing w:line="340" w:lineRule="exact"/>
              <w:rPr>
                <w:rFonts w:hint="eastAsia" w:cs="宋体"/>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lang w:val="en-US" w:eastAsia="zh-CN"/>
              </w:rPr>
              <w:t>进度安排存在明显不合理之处、或时间节点混乱、难以保障项目工期的得1分。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6"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vMerge w:val="continue"/>
            <w:noWrap w:val="0"/>
            <w:vAlign w:val="center"/>
          </w:tcPr>
          <w:p>
            <w:pPr>
              <w:widowControl/>
              <w:spacing w:line="340" w:lineRule="exact"/>
              <w:jc w:val="left"/>
              <w:rPr>
                <w:color w:val="000000"/>
                <w:szCs w:val="21"/>
                <w:highlight w:val="none"/>
              </w:rPr>
            </w:pPr>
          </w:p>
        </w:tc>
        <w:tc>
          <w:tcPr>
            <w:tcW w:w="8289"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环保管理体系和措施</w:t>
            </w:r>
            <w:r>
              <w:rPr>
                <w:rFonts w:hint="eastAsia" w:ascii="宋体" w:hAnsi="宋体" w:cs="宋体"/>
                <w:color w:val="auto"/>
                <w:highlight w:val="none"/>
                <w:lang w:eastAsia="zh-CN"/>
              </w:rPr>
              <w:t>（包含但不仅限于防噪音、防扬尘、防刺鼻气味，空气检测、空气治理等施工环境维护保障措施等）</w:t>
            </w:r>
            <w:r>
              <w:rPr>
                <w:rFonts w:hint="eastAsia" w:cs="宋体"/>
                <w:color w:val="000000"/>
                <w:szCs w:val="21"/>
                <w:highlight w:val="none"/>
              </w:rPr>
              <w:t>（</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ascii="宋体" w:hAnsi="宋体" w:cs="宋体"/>
                <w:color w:val="auto"/>
                <w:highlight w:val="none"/>
              </w:rPr>
              <w:t>施工环保管理完善，防噪音、防扬尘、防刺鼻气味等施工环境维护保障措施可行，空气检测及时到位，空气治理方案完善</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eastAsia="宋体"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宋体" w:hAnsi="宋体" w:cs="宋体"/>
                <w:color w:val="auto"/>
                <w:highlight w:val="none"/>
              </w:rPr>
              <w:t>施工环保管理完善，防噪音、防扬尘、防刺鼻气味等施工环境维护保障措施基本可行，空气检测较及时到位，空气治理方案较完善</w:t>
            </w:r>
            <w:r>
              <w:rPr>
                <w:rFonts w:hint="eastAsia" w:ascii="宋体" w:hAnsi="宋体" w:cs="宋体"/>
                <w:color w:val="auto"/>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rPr>
              <w:t>上有部分欠缺，</w:t>
            </w:r>
            <w:r>
              <w:rPr>
                <w:rFonts w:hint="eastAsia" w:cs="宋体"/>
                <w:color w:val="000000"/>
                <w:szCs w:val="21"/>
                <w:highlight w:val="none"/>
                <w:lang w:val="en-US" w:eastAsia="zh-CN"/>
              </w:rPr>
              <w:t>但尚不影响履约</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pPr>
              <w:pStyle w:val="71"/>
              <w:ind w:left="0" w:leftChars="0" w:firstLine="0" w:firstLineChars="0"/>
              <w:rPr>
                <w:rFonts w:hint="eastAsia"/>
              </w:rPr>
            </w:pPr>
            <w:r>
              <w:rPr>
                <w:rFonts w:hint="eastAsia" w:ascii="宋体" w:hAnsi="宋体" w:eastAsia="宋体" w:cs="宋体"/>
                <w:strike w:val="0"/>
                <w:dstrike w:val="0"/>
                <w:color w:val="auto"/>
                <w:sz w:val="21"/>
                <w:szCs w:val="21"/>
                <w:highlight w:val="none"/>
                <w:lang w:val="en-US" w:eastAsia="zh-CN"/>
              </w:rPr>
              <w:t>⑤</w:t>
            </w:r>
            <w:r>
              <w:rPr>
                <w:rFonts w:hint="eastAsia" w:ascii="宋体" w:hAnsi="宋体" w:cs="宋体"/>
                <w:color w:val="auto"/>
                <w:highlight w:val="none"/>
              </w:rPr>
              <w:t>施工环保管理完善，防噪音、防扬尘、防刺鼻气味等施工环境维护保障措施基本可行，空气检测较及时到位，空气治理方案</w:t>
            </w:r>
            <w:r>
              <w:rPr>
                <w:rFonts w:hint="eastAsia" w:ascii="宋体" w:hAnsi="宋体" w:eastAsia="宋体" w:cs="宋体"/>
                <w:strike w:val="0"/>
                <w:dstrike w:val="0"/>
                <w:color w:val="auto"/>
                <w:sz w:val="21"/>
                <w:szCs w:val="21"/>
                <w:highlight w:val="none"/>
                <w:lang w:val="en-US" w:eastAsia="zh-CN"/>
              </w:rPr>
              <w:t>存在一定偏差</w:t>
            </w:r>
            <w:r>
              <w:rPr>
                <w:rFonts w:hint="eastAsia" w:ascii="宋体" w:hAnsi="宋体" w:cs="宋体"/>
                <w:strike w:val="0"/>
                <w:dstrike w:val="0"/>
                <w:color w:val="auto"/>
                <w:sz w:val="21"/>
                <w:szCs w:val="21"/>
                <w:highlight w:val="none"/>
                <w:lang w:val="en-US" w:eastAsia="zh-CN"/>
              </w:rPr>
              <w:t>，</w:t>
            </w:r>
            <w:r>
              <w:rPr>
                <w:rFonts w:hint="eastAsia" w:cs="宋体"/>
                <w:color w:val="000000"/>
                <w:szCs w:val="21"/>
                <w:highlight w:val="none"/>
                <w:lang w:val="en-US" w:eastAsia="zh-CN"/>
              </w:rPr>
              <w:t>难以</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ascii="宋体" w:hAnsi="宋体" w:eastAsia="宋体" w:cs="宋体"/>
                <w:strike w:val="0"/>
                <w:dstrike w:val="0"/>
                <w:color w:val="auto"/>
                <w:sz w:val="21"/>
                <w:szCs w:val="21"/>
                <w:highlight w:val="none"/>
                <w:lang w:val="en-US" w:eastAsia="zh-CN"/>
              </w:rPr>
              <w:t>的得1分；</w:t>
            </w:r>
          </w:p>
          <w:p>
            <w:p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vMerge w:val="continue"/>
            <w:noWrap w:val="0"/>
            <w:vAlign w:val="center"/>
          </w:tcPr>
          <w:p>
            <w:pPr>
              <w:widowControl/>
              <w:spacing w:line="340" w:lineRule="exact"/>
              <w:jc w:val="left"/>
              <w:rPr>
                <w:color w:val="000000"/>
                <w:szCs w:val="21"/>
                <w:highlight w:val="none"/>
              </w:rPr>
            </w:pPr>
          </w:p>
        </w:tc>
        <w:tc>
          <w:tcPr>
            <w:tcW w:w="8289"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施工机械设备的选用和布置（</w:t>
            </w:r>
            <w:r>
              <w:rPr>
                <w:rFonts w:hint="eastAsia" w:cs="宋体"/>
                <w:color w:val="000000"/>
                <w:szCs w:val="21"/>
                <w:highlight w:val="none"/>
                <w:lang w:val="en-US" w:eastAsia="zh-CN"/>
              </w:rPr>
              <w:t>5</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w:t>
            </w:r>
            <w:r>
              <w:rPr>
                <w:rFonts w:hint="eastAsia" w:cs="宋体"/>
                <w:color w:val="000000"/>
                <w:szCs w:val="21"/>
                <w:highlight w:val="none"/>
              </w:rPr>
              <w:t>施工机械设备</w:t>
            </w:r>
            <w:r>
              <w:rPr>
                <w:rFonts w:hint="eastAsia" w:cs="宋体"/>
                <w:color w:val="000000"/>
                <w:szCs w:val="21"/>
                <w:highlight w:val="none"/>
                <w:lang w:val="en-US" w:eastAsia="zh-CN"/>
              </w:rPr>
              <w:t>种类齐全、规格型号较新、能保证项目顺利实施</w:t>
            </w:r>
            <w:r>
              <w:rPr>
                <w:rFonts w:hint="eastAsia" w:cs="宋体"/>
                <w:color w:val="000000"/>
                <w:szCs w:val="21"/>
                <w:highlight w:val="none"/>
              </w:rPr>
              <w:t>的得</w:t>
            </w:r>
            <w:r>
              <w:rPr>
                <w:rFonts w:hint="eastAsia" w:cs="宋体"/>
                <w:color w:val="000000"/>
                <w:szCs w:val="21"/>
                <w:highlight w:val="none"/>
                <w:lang w:val="en-US" w:eastAsia="zh-CN"/>
              </w:rPr>
              <w:t>5</w:t>
            </w:r>
            <w:r>
              <w:rPr>
                <w:rFonts w:hint="eastAsia" w:cs="宋体"/>
                <w:color w:val="000000"/>
                <w:szCs w:val="21"/>
                <w:highlight w:val="none"/>
              </w:rPr>
              <w:t>分</w:t>
            </w:r>
            <w:r>
              <w:rPr>
                <w:rFonts w:hint="eastAsia" w:cs="宋体"/>
                <w:color w:val="000000"/>
                <w:szCs w:val="21"/>
                <w:highlight w:val="none"/>
                <w:lang w:eastAsia="zh-CN"/>
              </w:rPr>
              <w:t>；</w:t>
            </w:r>
          </w:p>
          <w:p>
            <w:pPr>
              <w:tabs>
                <w:tab w:val="left" w:pos="4915"/>
              </w:tabs>
              <w:spacing w:line="340" w:lineRule="exact"/>
              <w:rPr>
                <w:rFonts w:hint="eastAsia" w:cs="宋体"/>
                <w:color w:val="000000"/>
                <w:szCs w:val="21"/>
                <w:highlight w:val="none"/>
                <w:lang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rPr>
              <w:t>施工机械设备</w:t>
            </w:r>
            <w:r>
              <w:rPr>
                <w:rFonts w:hint="eastAsia" w:cs="宋体"/>
                <w:color w:val="000000"/>
                <w:szCs w:val="21"/>
                <w:highlight w:val="none"/>
                <w:lang w:val="en-US" w:eastAsia="zh-CN"/>
              </w:rPr>
              <w:t>种类齐全、但部分非主体设备略为陈旧</w:t>
            </w:r>
            <w:r>
              <w:rPr>
                <w:rFonts w:hint="eastAsia" w:cs="宋体"/>
                <w:color w:val="000000"/>
                <w:szCs w:val="21"/>
                <w:highlight w:val="none"/>
              </w:rPr>
              <w:t>的得</w:t>
            </w:r>
            <w:r>
              <w:rPr>
                <w:rFonts w:hint="eastAsia" w:cs="宋体"/>
                <w:color w:val="000000"/>
                <w:szCs w:val="21"/>
                <w:highlight w:val="none"/>
                <w:lang w:val="en-US" w:eastAsia="zh-CN"/>
              </w:rPr>
              <w:t>4</w:t>
            </w:r>
            <w:r>
              <w:rPr>
                <w:rFonts w:hint="eastAsia" w:cs="宋体"/>
                <w:color w:val="000000"/>
                <w:szCs w:val="21"/>
                <w:highlight w:val="none"/>
              </w:rPr>
              <w:t>分</w:t>
            </w:r>
            <w:r>
              <w:rPr>
                <w:rFonts w:hint="eastAsia" w:cs="宋体"/>
                <w:color w:val="000000"/>
                <w:szCs w:val="21"/>
                <w:highlight w:val="none"/>
                <w:lang w:eastAsia="zh-CN"/>
              </w:rPr>
              <w:t>；</w:t>
            </w:r>
          </w:p>
          <w:p>
            <w:pPr>
              <w:pStyle w:val="71"/>
              <w:ind w:left="0" w:leftChars="0" w:firstLine="0" w:firstLineChars="0"/>
              <w:rPr>
                <w:rFonts w:hint="eastAsia"/>
                <w:lang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施工机械设备</w:t>
            </w:r>
            <w:r>
              <w:rPr>
                <w:rFonts w:hint="eastAsia" w:cs="宋体"/>
                <w:color w:val="000000"/>
                <w:szCs w:val="21"/>
                <w:highlight w:val="none"/>
                <w:lang w:val="en-US" w:eastAsia="zh-CN"/>
              </w:rPr>
              <w:t>种类较齐全、设备略为陈旧，但能保证项目顺利实施</w:t>
            </w:r>
            <w:r>
              <w:rPr>
                <w:rFonts w:hint="eastAsia" w:cs="宋体"/>
                <w:color w:val="000000"/>
                <w:szCs w:val="21"/>
                <w:highlight w:val="none"/>
              </w:rPr>
              <w:t>的得</w:t>
            </w:r>
            <w:r>
              <w:rPr>
                <w:rFonts w:hint="eastAsia" w:cs="宋体"/>
                <w:color w:val="000000"/>
                <w:szCs w:val="21"/>
                <w:highlight w:val="none"/>
                <w:lang w:val="en-US" w:eastAsia="zh-CN"/>
              </w:rPr>
              <w:t>3</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④</w:t>
            </w:r>
            <w:r>
              <w:rPr>
                <w:rFonts w:hint="eastAsia" w:cs="宋体"/>
                <w:color w:val="000000"/>
                <w:szCs w:val="21"/>
                <w:highlight w:val="none"/>
              </w:rPr>
              <w:t>施工机械设备</w:t>
            </w:r>
            <w:r>
              <w:rPr>
                <w:rFonts w:hint="eastAsia" w:cs="宋体"/>
                <w:color w:val="000000"/>
                <w:szCs w:val="21"/>
                <w:highlight w:val="none"/>
                <w:lang w:val="en-US" w:eastAsia="zh-CN"/>
              </w:rPr>
              <w:t>不全，但能保证项目顺利实施</w:t>
            </w:r>
            <w:r>
              <w:rPr>
                <w:rFonts w:hint="eastAsia" w:cs="宋体"/>
                <w:color w:val="000000"/>
                <w:szCs w:val="21"/>
                <w:highlight w:val="none"/>
              </w:rPr>
              <w:t>的的得</w:t>
            </w:r>
            <w:r>
              <w:rPr>
                <w:rFonts w:hint="eastAsia" w:cs="宋体"/>
                <w:color w:val="000000"/>
                <w:szCs w:val="21"/>
                <w:highlight w:val="none"/>
                <w:lang w:val="en-US" w:eastAsia="zh-CN"/>
              </w:rPr>
              <w:t>2</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ascii="宋体" w:hAnsi="宋体" w:eastAsia="宋体" w:cs="宋体"/>
                <w:strike w:val="0"/>
                <w:dstrike w:val="0"/>
                <w:color w:val="auto"/>
                <w:sz w:val="21"/>
                <w:szCs w:val="21"/>
                <w:highlight w:val="none"/>
                <w:lang w:val="en-US" w:eastAsia="zh-CN"/>
              </w:rPr>
              <w:t>⑤</w:t>
            </w:r>
            <w:r>
              <w:rPr>
                <w:rFonts w:hint="eastAsia" w:cs="宋体"/>
                <w:color w:val="000000"/>
                <w:szCs w:val="21"/>
                <w:highlight w:val="none"/>
              </w:rPr>
              <w:t>施工机械设备</w:t>
            </w:r>
            <w:r>
              <w:rPr>
                <w:rFonts w:hint="eastAsia" w:cs="宋体"/>
                <w:color w:val="000000"/>
                <w:szCs w:val="21"/>
                <w:highlight w:val="none"/>
                <w:lang w:val="en-US" w:eastAsia="zh-CN"/>
              </w:rPr>
              <w:t>不全、或陈旧落后难以保证项目顺利实施</w:t>
            </w:r>
            <w:r>
              <w:rPr>
                <w:rFonts w:hint="eastAsia" w:cs="宋体"/>
                <w:color w:val="000000"/>
                <w:szCs w:val="21"/>
                <w:highlight w:val="none"/>
              </w:rPr>
              <w:t>的得</w:t>
            </w:r>
            <w:r>
              <w:rPr>
                <w:rFonts w:hint="eastAsia" w:cs="宋体"/>
                <w:color w:val="000000"/>
                <w:szCs w:val="21"/>
                <w:highlight w:val="none"/>
                <w:lang w:val="en-US" w:eastAsia="zh-CN"/>
              </w:rPr>
              <w:t>1</w:t>
            </w:r>
            <w:r>
              <w:rPr>
                <w:rFonts w:hint="eastAsia" w:cs="宋体"/>
                <w:color w:val="000000"/>
                <w:szCs w:val="21"/>
                <w:highlight w:val="none"/>
              </w:rPr>
              <w:t>分。</w:t>
            </w:r>
          </w:p>
          <w:p>
            <w:pPr>
              <w:tabs>
                <w:tab w:val="left" w:pos="4915"/>
              </w:tabs>
              <w:spacing w:line="340" w:lineRule="exact"/>
              <w:rPr>
                <w:rFonts w:hint="eastAsia" w:cs="宋体"/>
                <w:color w:val="000000"/>
                <w:szCs w:val="21"/>
                <w:highlight w:val="none"/>
              </w:rPr>
            </w:pPr>
            <w:r>
              <w:rPr>
                <w:rFonts w:hint="eastAsia" w:cs="宋体"/>
                <w:color w:val="000000"/>
                <w:szCs w:val="21"/>
                <w:highlight w:val="none"/>
              </w:rPr>
              <w:t>提供施工机械设备清单。</w:t>
            </w:r>
            <w:r>
              <w:rPr>
                <w:rFonts w:hint="eastAsia" w:cs="宋体"/>
                <w:color w:val="000000"/>
                <w:szCs w:val="21"/>
                <w:highlight w:val="none"/>
                <w:lang w:val="en-US" w:eastAsia="zh-CN"/>
              </w:rPr>
              <w:t>未提供清单的不得分。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vMerge w:val="restart"/>
            <w:noWrap w:val="0"/>
            <w:vAlign w:val="center"/>
          </w:tcPr>
          <w:p>
            <w:pPr>
              <w:spacing w:line="320" w:lineRule="exact"/>
              <w:rPr>
                <w:rFonts w:ascii="Calibri" w:hAnsi="Calibri" w:cs="Calibri"/>
                <w:color w:val="000000"/>
                <w:szCs w:val="21"/>
                <w:highlight w:val="none"/>
              </w:rPr>
            </w:pPr>
            <w:r>
              <w:rPr>
                <w:rFonts w:hint="eastAsia" w:ascii="Calibri" w:hAnsi="Calibri" w:cs="Calibri"/>
                <w:color w:val="000000"/>
                <w:szCs w:val="21"/>
                <w:highlight w:val="none"/>
              </w:rPr>
              <w:t>售后服务方案（</w:t>
            </w:r>
            <w:r>
              <w:rPr>
                <w:rFonts w:hint="eastAsia" w:ascii="Calibri" w:hAnsi="Calibri" w:cs="Calibri"/>
                <w:color w:val="000000"/>
                <w:szCs w:val="21"/>
                <w:highlight w:val="none"/>
                <w:lang w:val="en-US" w:eastAsia="zh-CN"/>
              </w:rPr>
              <w:t>6</w:t>
            </w:r>
            <w:r>
              <w:rPr>
                <w:rFonts w:hint="eastAsia" w:ascii="Calibri" w:hAnsi="Calibri" w:cs="Calibri"/>
                <w:color w:val="000000"/>
                <w:szCs w:val="21"/>
                <w:highlight w:val="none"/>
              </w:rPr>
              <w:t>分）</w:t>
            </w:r>
          </w:p>
        </w:tc>
        <w:tc>
          <w:tcPr>
            <w:tcW w:w="8289" w:type="dxa"/>
            <w:noWrap w:val="0"/>
            <w:vAlign w:val="center"/>
          </w:tcPr>
          <w:p>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rPr>
              <w:t>售后服务</w:t>
            </w:r>
            <w:r>
              <w:rPr>
                <w:rFonts w:hint="eastAsia" w:cs="宋体"/>
                <w:color w:val="000000"/>
                <w:szCs w:val="21"/>
                <w:highlight w:val="none"/>
                <w:lang w:eastAsia="zh-CN"/>
              </w:rPr>
              <w:t>及</w:t>
            </w:r>
            <w:r>
              <w:rPr>
                <w:rFonts w:hint="eastAsia" w:cs="宋体"/>
                <w:color w:val="000000"/>
                <w:szCs w:val="21"/>
                <w:highlight w:val="none"/>
              </w:rPr>
              <w:t>保修期响应时间，到达现场时间（</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①承诺在30分钟内响应并在2小时内到达项目现场的</w:t>
            </w:r>
            <w:r>
              <w:rPr>
                <w:rFonts w:hint="eastAsia" w:cs="宋体"/>
                <w:color w:val="000000"/>
                <w:szCs w:val="21"/>
                <w:highlight w:val="none"/>
              </w:rPr>
              <w:t>得</w:t>
            </w:r>
            <w:r>
              <w:rPr>
                <w:rFonts w:hint="eastAsia" w:cs="宋体"/>
                <w:color w:val="000000"/>
                <w:szCs w:val="21"/>
                <w:highlight w:val="none"/>
                <w:lang w:val="en-US" w:eastAsia="zh-CN"/>
              </w:rPr>
              <w:t>3</w:t>
            </w:r>
            <w:r>
              <w:rPr>
                <w:rFonts w:hint="eastAsia" w:cs="宋体"/>
                <w:color w:val="000000"/>
                <w:szCs w:val="21"/>
                <w:highlight w:val="none"/>
              </w:rPr>
              <w:t>分</w:t>
            </w:r>
            <w:r>
              <w:rPr>
                <w:rFonts w:hint="eastAsia" w:cs="宋体"/>
                <w:color w:val="000000"/>
                <w:szCs w:val="21"/>
                <w:highlight w:val="none"/>
                <w:lang w:eastAsia="zh-CN"/>
              </w:rPr>
              <w:t>；</w:t>
            </w:r>
          </w:p>
          <w:p>
            <w:pPr>
              <w:numPr>
                <w:ilvl w:val="0"/>
                <w:numId w:val="0"/>
              </w:num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在1小时内响应并在4小时内到达现场的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p>
          <w:p>
            <w:pPr>
              <w:numPr>
                <w:ilvl w:val="0"/>
                <w:numId w:val="0"/>
              </w:numPr>
              <w:tabs>
                <w:tab w:val="left" w:pos="4915"/>
              </w:tabs>
              <w:spacing w:line="340" w:lineRule="exact"/>
              <w:rPr>
                <w:rFonts w:hint="default" w:eastAsia="宋体" w:cs="宋体"/>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cs="宋体"/>
                <w:color w:val="000000"/>
                <w:szCs w:val="21"/>
                <w:highlight w:val="none"/>
              </w:rPr>
              <w:t>响应时间</w:t>
            </w:r>
            <w:r>
              <w:rPr>
                <w:rFonts w:hint="eastAsia" w:cs="宋体"/>
                <w:color w:val="000000"/>
                <w:szCs w:val="21"/>
                <w:highlight w:val="none"/>
                <w:lang w:val="en-US" w:eastAsia="zh-CN"/>
              </w:rPr>
              <w:t>超过1小时或到达时间超过4小时的得1分</w:t>
            </w:r>
            <w:r>
              <w:rPr>
                <w:rFonts w:hint="eastAsia" w:cs="宋体"/>
                <w:color w:val="00000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vMerge w:val="continue"/>
            <w:noWrap w:val="0"/>
            <w:vAlign w:val="center"/>
          </w:tcPr>
          <w:p>
            <w:pPr>
              <w:spacing w:line="320" w:lineRule="exact"/>
              <w:rPr>
                <w:rFonts w:hint="eastAsia" w:ascii="Calibri" w:hAnsi="Calibri" w:cs="Calibri"/>
                <w:color w:val="000000"/>
                <w:szCs w:val="21"/>
                <w:highlight w:val="none"/>
              </w:rPr>
            </w:pPr>
          </w:p>
        </w:tc>
        <w:tc>
          <w:tcPr>
            <w:tcW w:w="8289" w:type="dxa"/>
            <w:noWrap w:val="0"/>
            <w:vAlign w:val="center"/>
          </w:tcPr>
          <w:p>
            <w:pPr>
              <w:numPr>
                <w:ilvl w:val="0"/>
                <w:numId w:val="0"/>
              </w:numPr>
              <w:tabs>
                <w:tab w:val="left" w:pos="4915"/>
              </w:tabs>
              <w:spacing w:line="340" w:lineRule="exact"/>
              <w:rPr>
                <w:rFonts w:hint="eastAsia" w:cs="宋体"/>
                <w:color w:val="000000"/>
                <w:szCs w:val="21"/>
                <w:highlight w:val="none"/>
              </w:rPr>
            </w:pPr>
            <w:r>
              <w:rPr>
                <w:rFonts w:hint="eastAsia" w:cs="宋体"/>
                <w:color w:val="000000"/>
                <w:szCs w:val="21"/>
                <w:highlight w:val="none"/>
                <w:lang w:val="en-US" w:eastAsia="zh-CN"/>
              </w:rPr>
              <w:t>2.</w:t>
            </w:r>
            <w:r>
              <w:rPr>
                <w:rFonts w:hint="eastAsia" w:cs="宋体"/>
                <w:color w:val="000000"/>
                <w:szCs w:val="21"/>
                <w:highlight w:val="none"/>
              </w:rPr>
              <w:t>售后服务内容承诺（</w:t>
            </w:r>
            <w:r>
              <w:rPr>
                <w:rFonts w:hint="eastAsia" w:cs="宋体"/>
                <w:color w:val="000000"/>
                <w:szCs w:val="21"/>
                <w:highlight w:val="none"/>
                <w:lang w:val="en-US" w:eastAsia="zh-CN"/>
              </w:rPr>
              <w:t>2</w:t>
            </w:r>
            <w:r>
              <w:rPr>
                <w:rFonts w:hint="eastAsia" w:cs="宋体"/>
                <w:color w:val="000000"/>
                <w:szCs w:val="21"/>
                <w:highlight w:val="none"/>
              </w:rPr>
              <w:t>分）：</w:t>
            </w:r>
          </w:p>
          <w:p>
            <w:pPr>
              <w:numPr>
                <w:ilvl w:val="0"/>
                <w:numId w:val="0"/>
              </w:numPr>
              <w:tabs>
                <w:tab w:val="left" w:pos="4915"/>
              </w:tabs>
              <w:spacing w:line="340" w:lineRule="exact"/>
              <w:rPr>
                <w:rFonts w:hint="eastAsia" w:cs="宋体"/>
                <w:color w:val="000000"/>
                <w:szCs w:val="21"/>
                <w:highlight w:val="none"/>
                <w:lang w:eastAsia="zh-CN"/>
              </w:rPr>
            </w:pPr>
            <w:r>
              <w:rPr>
                <w:rFonts w:hint="eastAsia" w:cs="宋体"/>
                <w:color w:val="000000"/>
                <w:szCs w:val="21"/>
                <w:highlight w:val="none"/>
                <w:lang w:val="en-US" w:eastAsia="zh-CN"/>
              </w:rPr>
              <w:t>①售后</w:t>
            </w:r>
            <w:r>
              <w:rPr>
                <w:rFonts w:hint="eastAsia" w:cs="宋体"/>
                <w:color w:val="000000"/>
                <w:szCs w:val="21"/>
                <w:highlight w:val="none"/>
              </w:rPr>
              <w:t>服务保障</w:t>
            </w:r>
            <w:r>
              <w:rPr>
                <w:rFonts w:hint="eastAsia" w:cs="宋体"/>
                <w:color w:val="000000"/>
                <w:szCs w:val="21"/>
                <w:highlight w:val="none"/>
                <w:lang w:val="en-US" w:eastAsia="zh-CN"/>
              </w:rPr>
              <w:t>体系完备</w:t>
            </w:r>
            <w:r>
              <w:rPr>
                <w:rFonts w:hint="eastAsia" w:cs="宋体"/>
                <w:color w:val="000000"/>
                <w:szCs w:val="21"/>
                <w:highlight w:val="none"/>
              </w:rPr>
              <w:t>、服务内容具体、详细、</w:t>
            </w:r>
            <w:r>
              <w:rPr>
                <w:rFonts w:hint="eastAsia" w:cs="宋体"/>
                <w:color w:val="000000"/>
                <w:szCs w:val="21"/>
                <w:highlight w:val="none"/>
                <w:lang w:val="en-US" w:eastAsia="zh-CN"/>
              </w:rPr>
              <w:t>服务质量有保障的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r>
              <w:rPr>
                <w:rFonts w:hint="eastAsia" w:cs="宋体"/>
                <w:color w:val="000000"/>
                <w:szCs w:val="21"/>
                <w:highlight w:val="none"/>
                <w:lang w:eastAsia="zh-CN"/>
              </w:rPr>
              <w:t>；</w:t>
            </w:r>
          </w:p>
          <w:p>
            <w:pPr>
              <w:numPr>
                <w:ilvl w:val="0"/>
                <w:numId w:val="0"/>
              </w:numPr>
              <w:tabs>
                <w:tab w:val="left" w:pos="4915"/>
              </w:tabs>
              <w:spacing w:line="340" w:lineRule="exact"/>
              <w:rPr>
                <w:rFonts w:hint="eastAsia" w:cs="宋体"/>
                <w:color w:val="000000"/>
                <w:szCs w:val="21"/>
                <w:highlight w:val="none"/>
              </w:rPr>
            </w:pPr>
            <w:r>
              <w:rPr>
                <w:rFonts w:hint="eastAsia" w:ascii="宋体" w:hAnsi="宋体" w:eastAsia="宋体" w:cs="宋体"/>
                <w:b w:val="0"/>
                <w:bCs w:val="0"/>
                <w:strike w:val="0"/>
                <w:dstrike w:val="0"/>
                <w:color w:val="auto"/>
                <w:sz w:val="21"/>
                <w:szCs w:val="21"/>
                <w:highlight w:val="none"/>
                <w:lang w:val="en-US" w:eastAsia="zh-CN"/>
              </w:rPr>
              <w:t>②</w:t>
            </w:r>
            <w:r>
              <w:rPr>
                <w:rFonts w:hint="eastAsia" w:cs="宋体"/>
                <w:color w:val="000000"/>
                <w:szCs w:val="21"/>
                <w:highlight w:val="none"/>
                <w:lang w:val="en-US" w:eastAsia="zh-CN"/>
              </w:rPr>
              <w:t>有服务保障体系但部分</w:t>
            </w:r>
            <w:r>
              <w:rPr>
                <w:rFonts w:hint="eastAsia" w:cs="宋体"/>
                <w:color w:val="000000"/>
                <w:szCs w:val="21"/>
                <w:highlight w:val="none"/>
              </w:rPr>
              <w:t>内容有欠缺、尚不影响履约得</w:t>
            </w:r>
            <w:r>
              <w:rPr>
                <w:rFonts w:hint="eastAsia" w:cs="宋体"/>
                <w:color w:val="000000"/>
                <w:szCs w:val="21"/>
                <w:highlight w:val="none"/>
                <w:lang w:val="en-US" w:eastAsia="zh-CN"/>
              </w:rPr>
              <w:t>1</w:t>
            </w:r>
            <w:r>
              <w:rPr>
                <w:rFonts w:hint="eastAsia" w:cs="宋体"/>
                <w:color w:val="000000"/>
                <w:szCs w:val="21"/>
                <w:highlight w:val="none"/>
              </w:rPr>
              <w:t>分；</w:t>
            </w:r>
          </w:p>
          <w:p>
            <w:pPr>
              <w:numPr>
                <w:ilvl w:val="0"/>
                <w:numId w:val="0"/>
              </w:numPr>
              <w:tabs>
                <w:tab w:val="left" w:pos="4915"/>
              </w:tabs>
              <w:spacing w:line="340" w:lineRule="exact"/>
              <w:rPr>
                <w:rFonts w:hint="eastAsia" w:cs="宋体"/>
                <w:color w:val="000000"/>
                <w:szCs w:val="21"/>
                <w:highlight w:val="none"/>
                <w:lang w:val="en-US" w:eastAsia="zh-CN"/>
              </w:rPr>
            </w:pPr>
            <w:r>
              <w:rPr>
                <w:rFonts w:hint="eastAsia" w:cs="宋体"/>
                <w:color w:val="000000"/>
                <w:szCs w:val="21"/>
                <w:highlight w:val="none"/>
                <w:lang w:val="en-US" w:eastAsia="zh-CN"/>
              </w:rPr>
              <w:t>未提供相关内容不得分。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vMerge w:val="continue"/>
            <w:noWrap w:val="0"/>
            <w:vAlign w:val="center"/>
          </w:tcPr>
          <w:p>
            <w:pPr>
              <w:spacing w:line="320" w:lineRule="exact"/>
              <w:rPr>
                <w:rFonts w:hint="eastAsia" w:ascii="Calibri" w:hAnsi="Calibri" w:cs="Calibri"/>
                <w:color w:val="000000"/>
                <w:szCs w:val="21"/>
                <w:highlight w:val="none"/>
              </w:rPr>
            </w:pPr>
          </w:p>
        </w:tc>
        <w:tc>
          <w:tcPr>
            <w:tcW w:w="8289" w:type="dxa"/>
            <w:noWrap w:val="0"/>
            <w:vAlign w:val="center"/>
          </w:tcPr>
          <w:p>
            <w:pPr>
              <w:tabs>
                <w:tab w:val="left" w:pos="4915"/>
              </w:tabs>
              <w:spacing w:line="340" w:lineRule="exact"/>
              <w:rPr>
                <w:rFonts w:hint="eastAsia" w:cs="宋体"/>
                <w:color w:val="000000"/>
                <w:szCs w:val="21"/>
                <w:highlight w:val="none"/>
                <w:lang w:val="en-US" w:eastAsia="zh-CN"/>
              </w:rPr>
            </w:pPr>
            <w:r>
              <w:rPr>
                <w:rFonts w:hint="eastAsia" w:ascii="宋体" w:hAnsi="宋体" w:cs="宋体"/>
                <w:kern w:val="0"/>
                <w:szCs w:val="21"/>
                <w:lang w:val="en-US" w:eastAsia="zh-CN"/>
              </w:rPr>
              <w:t>3.</w:t>
            </w:r>
            <w:r>
              <w:rPr>
                <w:rFonts w:hint="eastAsia" w:ascii="宋体" w:hAnsi="宋体" w:cs="宋体"/>
                <w:kern w:val="0"/>
                <w:szCs w:val="21"/>
              </w:rPr>
              <w:t>承诺质保期内定期对场地进行维护保养（含修补）的，每年安排一次的得</w:t>
            </w:r>
            <w:r>
              <w:rPr>
                <w:rFonts w:hint="eastAsia" w:ascii="宋体" w:hAnsi="宋体" w:cs="宋体"/>
                <w:kern w:val="0"/>
                <w:szCs w:val="21"/>
                <w:lang w:val="en-US" w:eastAsia="zh-CN"/>
              </w:rPr>
              <w:t>0.5</w:t>
            </w:r>
            <w:r>
              <w:rPr>
                <w:rFonts w:hint="eastAsia" w:ascii="宋体" w:hAnsi="宋体" w:cs="宋体"/>
                <w:kern w:val="0"/>
                <w:szCs w:val="21"/>
              </w:rPr>
              <w:t>分，每年安排两次的得</w:t>
            </w:r>
            <w:r>
              <w:rPr>
                <w:rFonts w:hint="eastAsia" w:ascii="宋体" w:hAnsi="宋体" w:cs="宋体"/>
                <w:kern w:val="0"/>
                <w:szCs w:val="21"/>
                <w:lang w:val="en-US" w:eastAsia="zh-CN"/>
              </w:rPr>
              <w:t>1</w:t>
            </w:r>
            <w:r>
              <w:rPr>
                <w:rFonts w:hint="eastAsia" w:ascii="宋体" w:hAnsi="宋体" w:cs="宋体"/>
                <w:kern w:val="0"/>
                <w:szCs w:val="21"/>
              </w:rPr>
              <w:t>分；最高得</w:t>
            </w:r>
            <w:r>
              <w:rPr>
                <w:rFonts w:hint="eastAsia" w:ascii="宋体" w:hAnsi="宋体" w:cs="宋体"/>
                <w:kern w:val="0"/>
                <w:szCs w:val="21"/>
                <w:lang w:val="en-US" w:eastAsia="zh-CN"/>
              </w:rPr>
              <w:t>1</w:t>
            </w:r>
            <w:r>
              <w:rPr>
                <w:rFonts w:hint="eastAsia" w:ascii="宋体" w:hAnsi="宋体" w:cs="宋体"/>
                <w:kern w:val="0"/>
                <w:szCs w:val="21"/>
              </w:rPr>
              <w:t>分。承诺书格式自拟。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noWrap w:val="0"/>
            <w:vAlign w:val="center"/>
          </w:tcPr>
          <w:p>
            <w:pPr>
              <w:spacing w:line="320" w:lineRule="exact"/>
              <w:rPr>
                <w:rFonts w:hint="eastAsia" w:ascii="Calibri" w:hAnsi="Calibri" w:eastAsia="宋体" w:cs="Calibri"/>
                <w:color w:val="000000"/>
                <w:szCs w:val="21"/>
                <w:highlight w:val="none"/>
                <w:lang w:val="en-US" w:eastAsia="zh-CN"/>
              </w:rPr>
            </w:pPr>
            <w:r>
              <w:rPr>
                <w:rFonts w:hint="eastAsia" w:ascii="Calibri" w:hAnsi="Calibri" w:eastAsia="宋体" w:cs="Calibri"/>
                <w:color w:val="000000"/>
                <w:szCs w:val="21"/>
                <w:highlight w:val="none"/>
                <w:lang w:val="en-US" w:eastAsia="zh-CN"/>
              </w:rPr>
              <w:t xml:space="preserve">突发事件 应急预案 </w:t>
            </w:r>
          </w:p>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tc>
        <w:tc>
          <w:tcPr>
            <w:tcW w:w="8289" w:type="dxa"/>
            <w:noWrap w:val="0"/>
            <w:vAlign w:val="center"/>
          </w:tcPr>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对本项目实施期间的突发事件应急预案进行评议（</w:t>
            </w:r>
            <w:r>
              <w:rPr>
                <w:rFonts w:hint="eastAsia" w:ascii="Calibri" w:hAnsi="Calibri" w:cs="Calibri"/>
                <w:color w:val="000000"/>
                <w:szCs w:val="21"/>
                <w:highlight w:val="none"/>
                <w:lang w:val="en-US" w:eastAsia="zh-CN"/>
              </w:rPr>
              <w:t>5</w:t>
            </w:r>
            <w:r>
              <w:rPr>
                <w:rFonts w:hint="eastAsia" w:ascii="Calibri" w:hAnsi="Calibri" w:eastAsia="宋体" w:cs="Calibri"/>
                <w:color w:val="000000"/>
                <w:szCs w:val="21"/>
                <w:highlight w:val="none"/>
                <w:lang w:val="en-US" w:eastAsia="zh-CN"/>
              </w:rPr>
              <w:t xml:space="preserve">分） </w:t>
            </w:r>
          </w:p>
          <w:p>
            <w:pPr>
              <w:spacing w:line="320" w:lineRule="exact"/>
              <w:rPr>
                <w:rFonts w:hint="eastAsia" w:ascii="Calibri" w:hAnsi="Calibri" w:eastAsia="宋体" w:cs="Calibri"/>
                <w:color w:val="000000"/>
                <w:szCs w:val="21"/>
                <w:highlight w:val="none"/>
                <w:lang w:val="en-US" w:eastAsia="zh-CN"/>
              </w:rPr>
            </w:pPr>
            <w:r>
              <w:rPr>
                <w:rFonts w:hint="eastAsia" w:cs="宋体"/>
                <w:color w:val="000000"/>
                <w:szCs w:val="21"/>
                <w:highlight w:val="none"/>
                <w:lang w:val="en-US" w:eastAsia="zh-CN"/>
              </w:rPr>
              <w:t>①</w:t>
            </w:r>
            <w:r>
              <w:rPr>
                <w:rFonts w:hint="eastAsia" w:ascii="Calibri" w:hAnsi="Calibri" w:eastAsia="宋体" w:cs="Calibri"/>
                <w:color w:val="000000"/>
                <w:szCs w:val="21"/>
                <w:highlight w:val="none"/>
                <w:lang w:val="en-US" w:eastAsia="zh-CN"/>
              </w:rPr>
              <w:t>应急预案条款完整、措施得力、能有效降低突发事件的不利影响的得</w:t>
            </w:r>
            <w:r>
              <w:rPr>
                <w:rFonts w:hint="eastAsia" w:ascii="Calibri" w:hAnsi="Calibri" w:cs="Calibri"/>
                <w:color w:val="000000"/>
                <w:szCs w:val="21"/>
                <w:highlight w:val="none"/>
                <w:lang w:val="en-US" w:eastAsia="zh-CN"/>
              </w:rPr>
              <w:t>5</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②</w:t>
            </w:r>
            <w:r>
              <w:rPr>
                <w:rFonts w:hint="eastAsia" w:ascii="Calibri" w:hAnsi="Calibri" w:eastAsia="宋体" w:cs="Calibri"/>
                <w:color w:val="000000"/>
                <w:szCs w:val="21"/>
                <w:highlight w:val="none"/>
                <w:lang w:val="en-US" w:eastAsia="zh-CN"/>
              </w:rPr>
              <w:t>应急预案条款内容完整</w:t>
            </w:r>
            <w:r>
              <w:rPr>
                <w:rFonts w:hint="eastAsia" w:ascii="Calibri" w:hAnsi="Calibri" w:cs="Calibri"/>
                <w:color w:val="000000"/>
                <w:szCs w:val="21"/>
                <w:highlight w:val="none"/>
                <w:lang w:val="en-US" w:eastAsia="zh-CN"/>
              </w:rPr>
              <w:t>，</w:t>
            </w:r>
            <w:r>
              <w:rPr>
                <w:rFonts w:hint="eastAsia" w:ascii="Calibri" w:hAnsi="Calibri" w:eastAsia="宋体" w:cs="Calibri"/>
                <w:color w:val="000000"/>
                <w:szCs w:val="21"/>
                <w:highlight w:val="none"/>
                <w:lang w:val="en-US" w:eastAsia="zh-CN"/>
              </w:rPr>
              <w:t>措施</w:t>
            </w:r>
            <w:r>
              <w:rPr>
                <w:rFonts w:hint="eastAsia" w:ascii="Calibri" w:hAnsi="Calibri" w:cs="Calibri"/>
                <w:color w:val="000000"/>
                <w:szCs w:val="21"/>
                <w:highlight w:val="none"/>
                <w:lang w:val="en-US" w:eastAsia="zh-CN"/>
              </w:rPr>
              <w:t>基本得力，</w:t>
            </w:r>
            <w:r>
              <w:rPr>
                <w:rFonts w:hint="eastAsia" w:ascii="Calibri" w:hAnsi="Calibri" w:eastAsia="宋体" w:cs="Calibri"/>
                <w:color w:val="000000"/>
                <w:szCs w:val="21"/>
                <w:highlight w:val="none"/>
                <w:lang w:val="en-US" w:eastAsia="zh-CN"/>
              </w:rPr>
              <w:t>能降低突发事件的不利影响的得</w:t>
            </w:r>
            <w:r>
              <w:rPr>
                <w:rFonts w:hint="eastAsia" w:ascii="Calibri" w:hAnsi="Calibri" w:cs="Calibri"/>
                <w:color w:val="000000"/>
                <w:szCs w:val="21"/>
                <w:highlight w:val="none"/>
                <w:lang w:val="en-US" w:eastAsia="zh-CN"/>
              </w:rPr>
              <w:t>4</w:t>
            </w:r>
            <w:r>
              <w:rPr>
                <w:rFonts w:hint="default" w:ascii="Calibri" w:hAnsi="Calibri" w:eastAsia="宋体" w:cs="Calibri"/>
                <w:color w:val="000000"/>
                <w:szCs w:val="21"/>
                <w:highlight w:val="none"/>
                <w:lang w:val="en-US" w:eastAsia="zh-CN"/>
              </w:rPr>
              <w:t xml:space="preserve"> </w:t>
            </w:r>
            <w:r>
              <w:rPr>
                <w:rFonts w:hint="eastAsia" w:ascii="Calibri" w:hAnsi="Calibri" w:eastAsia="宋体" w:cs="Calibri"/>
                <w:color w:val="000000"/>
                <w:szCs w:val="21"/>
                <w:highlight w:val="none"/>
                <w:lang w:val="en-US" w:eastAsia="zh-CN"/>
              </w:rPr>
              <w:t>分</w:t>
            </w:r>
          </w:p>
          <w:p>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Calibri" w:hAnsi="Calibri" w:eastAsia="宋体" w:cs="Calibri"/>
                <w:color w:val="000000"/>
                <w:szCs w:val="21"/>
                <w:highlight w:val="none"/>
                <w:lang w:val="en-US" w:eastAsia="zh-CN"/>
              </w:rPr>
              <w:t>条款内容完整、但具体措施与工程实际情况略有偏差、预计尚不影响履约得</w:t>
            </w:r>
            <w:r>
              <w:rPr>
                <w:rFonts w:hint="eastAsia" w:ascii="Calibri" w:hAnsi="Calibri" w:cs="Calibri"/>
                <w:color w:val="000000"/>
                <w:szCs w:val="21"/>
                <w:highlight w:val="none"/>
                <w:lang w:val="en-US" w:eastAsia="zh-CN"/>
              </w:rPr>
              <w:t>3</w:t>
            </w:r>
            <w:r>
              <w:rPr>
                <w:rFonts w:hint="eastAsia" w:ascii="Calibri" w:hAnsi="Calibri" w:eastAsia="宋体" w:cs="Calibri"/>
                <w:color w:val="000000"/>
                <w:szCs w:val="21"/>
                <w:highlight w:val="none"/>
                <w:lang w:val="en-US" w:eastAsia="zh-CN"/>
              </w:rPr>
              <w:t>分；</w:t>
            </w:r>
          </w:p>
          <w:p>
            <w:pPr>
              <w:pStyle w:val="71"/>
              <w:ind w:left="0" w:leftChars="0" w:firstLine="0" w:firstLineChars="0"/>
              <w:rPr>
                <w:rFonts w:hint="eastAsia"/>
                <w:lang w:val="en-US" w:eastAsia="zh-CN"/>
              </w:rPr>
            </w:pPr>
            <w:r>
              <w:rPr>
                <w:rFonts w:hint="eastAsia" w:ascii="宋体" w:hAnsi="宋体" w:eastAsia="宋体" w:cs="宋体"/>
                <w:b w:val="0"/>
                <w:bCs w:val="0"/>
                <w:strike w:val="0"/>
                <w:dstrike w:val="0"/>
                <w:color w:val="auto"/>
                <w:sz w:val="21"/>
                <w:szCs w:val="21"/>
                <w:highlight w:val="none"/>
                <w:lang w:val="en-US" w:eastAsia="zh-CN"/>
              </w:rPr>
              <w:t>④</w:t>
            </w:r>
            <w:r>
              <w:rPr>
                <w:rFonts w:hint="eastAsia" w:ascii="Calibri" w:hAnsi="Calibri" w:eastAsia="宋体" w:cs="Calibri"/>
                <w:color w:val="000000"/>
                <w:szCs w:val="21"/>
                <w:highlight w:val="none"/>
                <w:lang w:val="en-US" w:eastAsia="zh-CN"/>
              </w:rPr>
              <w:t>条款内容具体措施</w:t>
            </w:r>
            <w:r>
              <w:rPr>
                <w:rFonts w:hint="eastAsia" w:cs="宋体"/>
                <w:color w:val="000000"/>
                <w:szCs w:val="21"/>
                <w:highlight w:val="none"/>
                <w:lang w:val="en-US" w:eastAsia="zh-CN"/>
              </w:rPr>
              <w:t>有明显缺漏项</w:t>
            </w:r>
            <w:r>
              <w:rPr>
                <w:rFonts w:hint="eastAsia" w:cs="宋体"/>
                <w:color w:val="000000"/>
                <w:szCs w:val="21"/>
                <w:highlight w:val="none"/>
              </w:rPr>
              <w:t>，</w:t>
            </w:r>
            <w:r>
              <w:rPr>
                <w:rFonts w:hint="eastAsia" w:cs="宋体"/>
                <w:color w:val="000000"/>
                <w:szCs w:val="21"/>
                <w:highlight w:val="none"/>
                <w:lang w:val="en-US" w:eastAsia="zh-CN"/>
              </w:rPr>
              <w:t>或过于笼统</w:t>
            </w:r>
            <w:r>
              <w:rPr>
                <w:rFonts w:hint="eastAsia" w:cs="宋体"/>
                <w:color w:val="000000"/>
                <w:szCs w:val="21"/>
                <w:highlight w:val="none"/>
                <w:lang w:eastAsia="zh-CN"/>
              </w:rPr>
              <w:t>但能</w:t>
            </w:r>
            <w:r>
              <w:rPr>
                <w:rFonts w:hint="eastAsia" w:cs="宋体"/>
                <w:color w:val="000000"/>
                <w:szCs w:val="21"/>
                <w:highlight w:val="none"/>
              </w:rPr>
              <w:t>保证项目</w:t>
            </w:r>
            <w:r>
              <w:rPr>
                <w:rFonts w:hint="eastAsia" w:cs="宋体"/>
                <w:color w:val="000000"/>
                <w:szCs w:val="21"/>
                <w:highlight w:val="none"/>
                <w:lang w:val="en-US" w:eastAsia="zh-CN"/>
              </w:rPr>
              <w:t>顺利实施</w:t>
            </w:r>
            <w:r>
              <w:rPr>
                <w:rFonts w:hint="eastAsia" w:cs="宋体"/>
                <w:color w:val="000000"/>
                <w:szCs w:val="21"/>
                <w:highlight w:val="none"/>
              </w:rPr>
              <w:t>的得</w:t>
            </w:r>
            <w:r>
              <w:rPr>
                <w:rFonts w:hint="eastAsia" w:cs="宋体"/>
                <w:color w:val="000000"/>
                <w:szCs w:val="21"/>
                <w:highlight w:val="none"/>
                <w:lang w:val="en-US" w:eastAsia="zh-CN"/>
              </w:rPr>
              <w:t>2</w:t>
            </w:r>
            <w:r>
              <w:rPr>
                <w:rFonts w:hint="eastAsia" w:cs="宋体"/>
                <w:color w:val="000000"/>
                <w:szCs w:val="21"/>
                <w:highlight w:val="none"/>
              </w:rPr>
              <w:t>分</w:t>
            </w:r>
          </w:p>
          <w:p>
            <w:pPr>
              <w:spacing w:line="320" w:lineRule="exact"/>
              <w:rPr>
                <w:rFonts w:hint="eastAsia" w:ascii="Calibri" w:hAnsi="Calibri" w:eastAsia="宋体" w:cs="Calibri"/>
                <w:color w:val="000000"/>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⑤</w:t>
            </w:r>
            <w:r>
              <w:rPr>
                <w:rFonts w:hint="eastAsia" w:ascii="Calibri" w:hAnsi="Calibri" w:eastAsia="宋体" w:cs="Calibri"/>
                <w:color w:val="000000"/>
                <w:szCs w:val="21"/>
                <w:highlight w:val="none"/>
                <w:lang w:val="en-US" w:eastAsia="zh-CN"/>
              </w:rPr>
              <w:t>条款内容不完整、或措施没有实际效果、无法保障项目实施的得</w:t>
            </w:r>
            <w:r>
              <w:rPr>
                <w:rFonts w:hint="eastAsia" w:ascii="Calibri" w:hAnsi="Calibri" w:cs="Calibri"/>
                <w:color w:val="000000"/>
                <w:szCs w:val="21"/>
                <w:highlight w:val="none"/>
                <w:lang w:val="en-US" w:eastAsia="zh-CN"/>
              </w:rPr>
              <w:t>1</w:t>
            </w:r>
            <w:r>
              <w:rPr>
                <w:rFonts w:hint="eastAsia" w:ascii="Calibri" w:hAnsi="Calibri" w:eastAsia="宋体" w:cs="Calibri"/>
                <w:color w:val="000000"/>
                <w:szCs w:val="21"/>
                <w:highlight w:val="none"/>
                <w:lang w:val="en-US" w:eastAsia="zh-CN"/>
              </w:rPr>
              <w:t>分。</w:t>
            </w:r>
          </w:p>
          <w:p>
            <w:pPr>
              <w:spacing w:line="320" w:lineRule="exact"/>
              <w:rPr>
                <w:rFonts w:hint="eastAsia" w:ascii="Calibri" w:hAnsi="Calibri" w:eastAsia="宋体" w:cs="Calibri"/>
                <w:color w:val="000000"/>
                <w:szCs w:val="21"/>
                <w:highlight w:val="none"/>
              </w:rPr>
            </w:pPr>
            <w:r>
              <w:rPr>
                <w:rFonts w:hint="eastAsia" w:ascii="Calibri" w:hAnsi="Calibri" w:eastAsia="宋体" w:cs="Calibri"/>
                <w:color w:val="000000"/>
                <w:szCs w:val="21"/>
                <w:highlight w:val="none"/>
                <w:lang w:val="en-US" w:eastAsia="zh-CN"/>
              </w:rPr>
              <w:t>未提供相关内容的不得分。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noWrap w:val="0"/>
            <w:vAlign w:val="center"/>
          </w:tcPr>
          <w:p>
            <w:pPr>
              <w:spacing w:line="320" w:lineRule="exact"/>
              <w:rPr>
                <w:rFonts w:hint="eastAsia"/>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重难点分析及解决方案（5分）</w:t>
            </w:r>
          </w:p>
        </w:tc>
        <w:tc>
          <w:tcPr>
            <w:tcW w:w="8289" w:type="dxa"/>
            <w:noWrap w:val="0"/>
            <w:vAlign w:val="center"/>
          </w:tcPr>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根据供应商提供的项目关键点、重难点分析及合理化建议进行综合评议：</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①项目关键点、重难点分析到位，针对性强，具有可行的解决方案的，得5分；</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②项目关键点、重难点分析及针对性较好，有效可行的解决方案的，得4分；</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w:t>
            </w:r>
            <w:r>
              <w:rPr>
                <w:rFonts w:hint="eastAsia" w:ascii="Times New Roman" w:hAnsi="Times New Roman" w:eastAsia="宋体" w:cs="Times New Roman"/>
                <w:color w:val="auto"/>
                <w:sz w:val="21"/>
                <w:szCs w:val="21"/>
                <w:highlight w:val="none"/>
                <w:lang w:val="en-US" w:eastAsia="zh-CN"/>
              </w:rPr>
              <w:t>项目关键点、重难点分析普通，针对性一般，有效可行的解决方案，得3分；</w:t>
            </w:r>
          </w:p>
          <w:p>
            <w:pPr>
              <w:pStyle w:val="71"/>
              <w:ind w:left="0" w:leftChars="0" w:firstLine="0" w:firstLineChars="0"/>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④</w:t>
            </w:r>
            <w:r>
              <w:rPr>
                <w:rFonts w:hint="eastAsia" w:ascii="Times New Roman" w:hAnsi="Times New Roman" w:eastAsia="宋体" w:cs="Times New Roman"/>
                <w:color w:val="auto"/>
                <w:sz w:val="21"/>
                <w:szCs w:val="21"/>
                <w:highlight w:val="none"/>
                <w:lang w:val="en-US" w:eastAsia="zh-CN"/>
              </w:rPr>
              <w:t>项目关键点、重难点分析及针对性</w:t>
            </w:r>
            <w:r>
              <w:rPr>
                <w:rFonts w:hint="eastAsia" w:cs="宋体"/>
                <w:color w:val="000000"/>
                <w:szCs w:val="21"/>
                <w:highlight w:val="none"/>
                <w:lang w:val="en-US" w:eastAsia="zh-CN"/>
              </w:rPr>
              <w:t>过于笼统，</w:t>
            </w:r>
            <w:r>
              <w:rPr>
                <w:rFonts w:hint="eastAsia" w:ascii="Times New Roman" w:hAnsi="Times New Roman" w:eastAsia="宋体" w:cs="Times New Roman"/>
                <w:color w:val="auto"/>
                <w:sz w:val="21"/>
                <w:szCs w:val="21"/>
                <w:highlight w:val="none"/>
                <w:lang w:val="en-US" w:eastAsia="zh-CN"/>
              </w:rPr>
              <w:t>解决方案</w:t>
            </w:r>
            <w:r>
              <w:rPr>
                <w:rFonts w:hint="eastAsia" w:cs="宋体"/>
                <w:color w:val="000000"/>
                <w:szCs w:val="21"/>
                <w:highlight w:val="none"/>
              </w:rPr>
              <w:t>内容有欠缺</w:t>
            </w:r>
            <w:r>
              <w:rPr>
                <w:rFonts w:hint="eastAsia" w:cs="宋体"/>
                <w:color w:val="000000"/>
                <w:szCs w:val="21"/>
                <w:highlight w:val="none"/>
                <w:lang w:eastAsia="zh-CN"/>
              </w:rPr>
              <w:t>的，</w:t>
            </w:r>
            <w:r>
              <w:rPr>
                <w:rFonts w:hint="eastAsia" w:cs="宋体"/>
                <w:color w:val="000000"/>
                <w:szCs w:val="21"/>
                <w:highlight w:val="none"/>
              </w:rPr>
              <w:t>得</w:t>
            </w:r>
            <w:r>
              <w:rPr>
                <w:rFonts w:hint="eastAsia" w:cs="宋体"/>
                <w:color w:val="000000"/>
                <w:szCs w:val="21"/>
                <w:highlight w:val="none"/>
                <w:lang w:val="en-US" w:eastAsia="zh-CN"/>
              </w:rPr>
              <w:t>2</w:t>
            </w:r>
            <w:r>
              <w:rPr>
                <w:rFonts w:hint="eastAsia" w:cs="宋体"/>
                <w:color w:val="000000"/>
                <w:szCs w:val="21"/>
                <w:highlight w:val="none"/>
              </w:rPr>
              <w:t>分</w:t>
            </w:r>
          </w:p>
          <w:p>
            <w:pPr>
              <w:spacing w:line="320" w:lineRule="exact"/>
              <w:rPr>
                <w:rFonts w:hint="eastAsia" w:ascii="Times New Roman" w:hAnsi="Times New Roman" w:eastAsia="宋体" w:cs="Times New Roman"/>
                <w:color w:val="auto"/>
                <w:sz w:val="21"/>
                <w:szCs w:val="21"/>
                <w:highlight w:val="none"/>
                <w:lang w:val="en-US" w:eastAsia="zh-CN"/>
              </w:rPr>
            </w:pPr>
            <w:r>
              <w:rPr>
                <w:rFonts w:hint="eastAsia" w:ascii="宋体" w:hAnsi="宋体"/>
                <w:color w:val="auto"/>
                <w:szCs w:val="21"/>
                <w:highlight w:val="none"/>
                <w:lang w:val="en-US" w:eastAsia="zh-CN"/>
              </w:rPr>
              <w:t>⑤</w:t>
            </w:r>
            <w:r>
              <w:rPr>
                <w:rFonts w:hint="eastAsia" w:ascii="Times New Roman" w:hAnsi="Times New Roman" w:eastAsia="宋体" w:cs="Times New Roman"/>
                <w:color w:val="auto"/>
                <w:sz w:val="21"/>
                <w:szCs w:val="21"/>
                <w:highlight w:val="none"/>
                <w:lang w:val="en-US" w:eastAsia="zh-CN"/>
              </w:rPr>
              <w:t>项目关键点、重难点分析不够到位，无针对性，没有可行的解决方案的，得1分；</w:t>
            </w:r>
          </w:p>
          <w:p>
            <w:pPr>
              <w:spacing w:line="320" w:lineRule="exact"/>
              <w:rPr>
                <w:rFonts w:hint="eastAsia" w:ascii="宋体" w:hAnsi="宋体"/>
                <w:color w:val="auto"/>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注：无相关内容的不得分。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noWrap w:val="0"/>
            <w:vAlign w:val="center"/>
          </w:tcPr>
          <w:p>
            <w:pPr>
              <w:spacing w:line="320" w:lineRule="exact"/>
              <w:rPr>
                <w:rFonts w:hint="eastAsia"/>
                <w:color w:val="auto"/>
                <w:sz w:val="21"/>
                <w:szCs w:val="21"/>
                <w:highlight w:val="none"/>
                <w:lang w:val="en-US" w:eastAsia="zh-CN"/>
              </w:rPr>
            </w:pPr>
            <w:r>
              <w:rPr>
                <w:rFonts w:hint="eastAsia" w:ascii="宋体" w:hAnsi="宋体" w:cs="宋体"/>
                <w:bCs/>
                <w:sz w:val="22"/>
                <w:szCs w:val="22"/>
                <w:lang w:val="en-US" w:eastAsia="zh-CN"/>
              </w:rPr>
              <w:t>合理化建议（4分）</w:t>
            </w:r>
          </w:p>
        </w:tc>
        <w:tc>
          <w:tcPr>
            <w:tcW w:w="8289" w:type="dxa"/>
            <w:noWrap w:val="0"/>
            <w:vAlign w:val="center"/>
          </w:tcPr>
          <w:p>
            <w:pPr>
              <w:rPr>
                <w:rFonts w:hint="eastAsia" w:ascii="宋体" w:hAnsi="宋体" w:cs="宋体"/>
                <w:bCs/>
                <w:sz w:val="22"/>
                <w:szCs w:val="22"/>
              </w:rPr>
            </w:pPr>
            <w:r>
              <w:rPr>
                <w:rFonts w:hint="eastAsia" w:ascii="宋体" w:hAnsi="宋体" w:cs="宋体"/>
                <w:bCs/>
                <w:sz w:val="22"/>
                <w:szCs w:val="22"/>
              </w:rPr>
              <w:t>根据供应商提出的针对本项目的合理化建议与承诺进行评议</w:t>
            </w:r>
          </w:p>
          <w:p>
            <w:pPr>
              <w:spacing w:line="320" w:lineRule="exact"/>
              <w:rPr>
                <w:rFonts w:hint="eastAsia" w:ascii="宋体" w:hAnsi="宋体" w:cs="宋体"/>
                <w:color w:val="auto"/>
                <w:szCs w:val="21"/>
                <w:highlight w:val="none"/>
              </w:rPr>
            </w:pPr>
            <w:r>
              <w:rPr>
                <w:rFonts w:hint="eastAsia" w:ascii="宋体" w:hAnsi="宋体" w:cs="宋体"/>
                <w:bCs/>
                <w:sz w:val="22"/>
                <w:szCs w:val="22"/>
              </w:rPr>
              <w:t>提出的建议与承诺具有实际意义并得到采纳，每项得1分，最高得</w:t>
            </w:r>
            <w:r>
              <w:rPr>
                <w:rFonts w:hint="eastAsia" w:ascii="宋体" w:hAnsi="宋体" w:cs="宋体"/>
                <w:bCs/>
                <w:sz w:val="22"/>
                <w:szCs w:val="22"/>
                <w:lang w:val="en-US" w:eastAsia="zh-CN"/>
              </w:rPr>
              <w:t>4</w:t>
            </w:r>
            <w:r>
              <w:rPr>
                <w:rFonts w:hint="eastAsia" w:ascii="宋体" w:hAnsi="宋体" w:cs="宋体"/>
                <w:bCs/>
                <w:sz w:val="22"/>
                <w:szCs w:val="22"/>
              </w:rPr>
              <w:t>分。与本项目履约无关的建议与承诺不予认可。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vMerge w:val="restart"/>
            <w:noWrap w:val="0"/>
            <w:vAlign w:val="center"/>
          </w:tcPr>
          <w:p>
            <w:pPr>
              <w:spacing w:line="320" w:lineRule="exact"/>
              <w:rPr>
                <w:rFonts w:hint="eastAsia" w:ascii="宋体" w:hAnsi="宋体" w:cs="宋体"/>
                <w:bCs/>
                <w:sz w:val="22"/>
                <w:szCs w:val="22"/>
                <w:lang w:val="en-US" w:eastAsia="zh-CN"/>
              </w:rPr>
            </w:pPr>
            <w:r>
              <w:rPr>
                <w:rFonts w:hint="eastAsia"/>
                <w:color w:val="000000"/>
                <w:szCs w:val="21"/>
                <w:highlight w:val="none"/>
              </w:rPr>
              <w:t>项目团队（</w:t>
            </w:r>
            <w:r>
              <w:rPr>
                <w:rFonts w:hint="eastAsia"/>
                <w:color w:val="000000"/>
                <w:szCs w:val="21"/>
                <w:highlight w:val="none"/>
                <w:lang w:val="en-US" w:eastAsia="zh-CN"/>
              </w:rPr>
              <w:t>6</w:t>
            </w:r>
            <w:r>
              <w:rPr>
                <w:rFonts w:hint="eastAsia"/>
                <w:color w:val="000000"/>
                <w:szCs w:val="21"/>
                <w:highlight w:val="none"/>
              </w:rPr>
              <w:t>分）</w:t>
            </w:r>
          </w:p>
        </w:tc>
        <w:tc>
          <w:tcPr>
            <w:tcW w:w="8289" w:type="dxa"/>
            <w:noWrap w:val="0"/>
            <w:vAlign w:val="center"/>
          </w:tcPr>
          <w:p>
            <w:pPr>
              <w:tabs>
                <w:tab w:val="left" w:pos="4915"/>
              </w:tabs>
              <w:spacing w:line="340" w:lineRule="exact"/>
              <w:rPr>
                <w:rFonts w:hint="eastAsia" w:ascii="宋体" w:hAnsi="宋体" w:cs="宋体"/>
                <w:bCs/>
                <w:sz w:val="22"/>
                <w:szCs w:val="22"/>
              </w:rPr>
            </w:pPr>
            <w:r>
              <w:rPr>
                <w:rFonts w:hint="eastAsia"/>
                <w:color w:val="auto"/>
                <w:sz w:val="21"/>
                <w:szCs w:val="21"/>
                <w:lang w:val="en-US" w:eastAsia="zh-CN"/>
              </w:rPr>
              <w:t>拟派项目经理资格与能力：</w:t>
            </w:r>
            <w:r>
              <w:rPr>
                <w:rFonts w:hint="eastAsia" w:ascii="宋体" w:hAnsi="宋体" w:eastAsia="宋体"/>
                <w:b w:val="0"/>
                <w:bCs/>
                <w:i w:val="0"/>
                <w:iCs w:val="0"/>
                <w:color w:val="auto"/>
                <w:kern w:val="58"/>
                <w:sz w:val="21"/>
                <w:szCs w:val="21"/>
                <w:highlight w:val="none"/>
                <w:u w:val="none"/>
                <w:lang w:val="en-US" w:eastAsia="zh-CN"/>
              </w:rPr>
              <w:t>具备</w:t>
            </w:r>
            <w:r>
              <w:rPr>
                <w:rFonts w:hint="eastAsia" w:ascii="宋体" w:hAnsi="宋体" w:eastAsia="宋体"/>
                <w:b/>
                <w:bCs w:val="0"/>
                <w:i w:val="0"/>
                <w:iCs w:val="0"/>
                <w:color w:val="auto"/>
                <w:kern w:val="58"/>
                <w:sz w:val="21"/>
                <w:szCs w:val="21"/>
                <w:highlight w:val="none"/>
                <w:u w:val="none"/>
                <w:lang w:val="en-US" w:eastAsia="zh-CN"/>
              </w:rPr>
              <w:t>市政公用工程专业</w:t>
            </w:r>
            <w:r>
              <w:rPr>
                <w:rFonts w:hint="eastAsia" w:ascii="宋体" w:hAnsi="宋体" w:eastAsia="宋体"/>
                <w:b/>
                <w:bCs w:val="0"/>
                <w:i w:val="0"/>
                <w:iCs w:val="0"/>
                <w:color w:val="auto"/>
                <w:kern w:val="58"/>
                <w:sz w:val="21"/>
                <w:szCs w:val="21"/>
                <w:highlight w:val="none"/>
                <w:u w:val="single"/>
                <w:lang w:val="en-US" w:eastAsia="zh-CN"/>
              </w:rPr>
              <w:t>的二级及以上注册建造师</w:t>
            </w:r>
            <w:r>
              <w:rPr>
                <w:rFonts w:hint="eastAsia" w:ascii="宋体" w:hAnsi="宋体" w:eastAsia="宋体"/>
                <w:b w:val="0"/>
                <w:bCs/>
                <w:i w:val="0"/>
                <w:iCs w:val="0"/>
                <w:color w:val="auto"/>
                <w:kern w:val="58"/>
                <w:sz w:val="21"/>
                <w:szCs w:val="21"/>
                <w:highlight w:val="none"/>
                <w:u w:val="none"/>
                <w:lang w:val="en-US" w:eastAsia="zh-CN"/>
              </w:rPr>
              <w:t>执业资格，并具有有效的安全生产考核合格证（B证）,得2分，提供不全不得分。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vMerge w:val="continue"/>
            <w:noWrap w:val="0"/>
            <w:vAlign w:val="center"/>
          </w:tcPr>
          <w:p>
            <w:pPr>
              <w:spacing w:line="320" w:lineRule="exact"/>
              <w:rPr>
                <w:rFonts w:hint="eastAsia" w:ascii="宋体" w:hAnsi="宋体" w:cs="宋体"/>
                <w:bCs/>
                <w:sz w:val="22"/>
                <w:szCs w:val="22"/>
                <w:lang w:val="en-US" w:eastAsia="zh-CN"/>
              </w:rPr>
            </w:pPr>
          </w:p>
        </w:tc>
        <w:tc>
          <w:tcPr>
            <w:tcW w:w="8289" w:type="dxa"/>
            <w:noWrap w:val="0"/>
            <w:vAlign w:val="center"/>
          </w:tcPr>
          <w:p>
            <w:pPr>
              <w:tabs>
                <w:tab w:val="left" w:pos="4915"/>
              </w:tabs>
              <w:spacing w:line="340" w:lineRule="exact"/>
              <w:rPr>
                <w:rFonts w:hint="eastAsia" w:cs="宋体"/>
                <w:color w:val="000000"/>
                <w:szCs w:val="21"/>
                <w:highlight w:val="none"/>
              </w:rPr>
            </w:pPr>
            <w:r>
              <w:rPr>
                <w:rFonts w:hint="eastAsia" w:cs="宋体"/>
                <w:color w:val="000000"/>
                <w:szCs w:val="21"/>
                <w:highlight w:val="none"/>
              </w:rPr>
              <w:t>其他施工人员配备</w:t>
            </w:r>
            <w:r>
              <w:rPr>
                <w:rFonts w:hint="eastAsia" w:cs="宋体"/>
                <w:color w:val="000000"/>
                <w:szCs w:val="21"/>
                <w:highlight w:val="none"/>
                <w:lang w:val="en-US" w:eastAsia="zh-CN"/>
              </w:rPr>
              <w:t>情况</w:t>
            </w:r>
            <w:r>
              <w:rPr>
                <w:rFonts w:hint="eastAsia" w:cs="宋体"/>
                <w:color w:val="000000"/>
                <w:szCs w:val="21"/>
                <w:highlight w:val="none"/>
              </w:rPr>
              <w:t>（</w:t>
            </w:r>
            <w:r>
              <w:rPr>
                <w:rFonts w:hint="eastAsia" w:cs="宋体"/>
                <w:color w:val="000000"/>
                <w:szCs w:val="21"/>
                <w:highlight w:val="none"/>
                <w:lang w:val="en-US" w:eastAsia="zh-CN"/>
              </w:rPr>
              <w:t>4</w:t>
            </w:r>
            <w:r>
              <w:rPr>
                <w:rFonts w:hint="eastAsia" w:cs="宋体"/>
                <w:color w:val="000000"/>
                <w:szCs w:val="21"/>
                <w:highlight w:val="none"/>
              </w:rPr>
              <w:t>分）：</w:t>
            </w:r>
          </w:p>
          <w:p>
            <w:pPr>
              <w:tabs>
                <w:tab w:val="left" w:pos="4915"/>
              </w:tabs>
              <w:spacing w:line="340" w:lineRule="exact"/>
              <w:rPr>
                <w:rFonts w:hint="eastAsia" w:ascii="宋体" w:hAnsi="宋体" w:cs="宋体"/>
                <w:bCs/>
                <w:sz w:val="22"/>
                <w:szCs w:val="22"/>
              </w:rPr>
            </w:pPr>
            <w:r>
              <w:rPr>
                <w:rFonts w:hint="default" w:eastAsia="宋体" w:cs="宋体"/>
                <w:color w:val="000000"/>
                <w:szCs w:val="21"/>
                <w:highlight w:val="none"/>
                <w:lang w:val="en-US" w:eastAsia="zh-CN"/>
              </w:rPr>
              <w:t>根据投标人提供的拟派本项目除项目经理外的其他管理人员</w:t>
            </w:r>
            <w:r>
              <w:rPr>
                <w:rFonts w:hint="eastAsia" w:cs="宋体"/>
                <w:color w:val="000000"/>
                <w:szCs w:val="21"/>
                <w:highlight w:val="none"/>
                <w:lang w:eastAsia="zh-CN"/>
              </w:rPr>
              <w:t>（</w:t>
            </w:r>
            <w:r>
              <w:rPr>
                <w:rFonts w:hint="eastAsia" w:cs="宋体"/>
                <w:color w:val="000000"/>
                <w:szCs w:val="21"/>
                <w:highlight w:val="none"/>
                <w:lang w:val="en-US" w:eastAsia="zh-CN"/>
              </w:rPr>
              <w:t>包括施工员、质量员等</w:t>
            </w:r>
            <w:r>
              <w:rPr>
                <w:rFonts w:hint="eastAsia" w:cs="宋体"/>
                <w:color w:val="000000"/>
                <w:szCs w:val="21"/>
                <w:highlight w:val="none"/>
                <w:lang w:eastAsia="zh-CN"/>
              </w:rPr>
              <w:t>）</w:t>
            </w:r>
            <w:r>
              <w:rPr>
                <w:rFonts w:hint="default" w:eastAsia="宋体" w:cs="宋体"/>
                <w:color w:val="000000"/>
                <w:szCs w:val="21"/>
                <w:highlight w:val="none"/>
                <w:lang w:val="en-US" w:eastAsia="zh-CN"/>
              </w:rPr>
              <w:t>的技术能力、工作履历、类似项目从业经验等情况进行综合评议，最高</w:t>
            </w:r>
            <w:r>
              <w:rPr>
                <w:rFonts w:hint="eastAsia" w:eastAsia="宋体" w:cs="宋体"/>
                <w:color w:val="000000"/>
                <w:szCs w:val="21"/>
                <w:highlight w:val="none"/>
                <w:lang w:val="en-US" w:eastAsia="zh-CN"/>
              </w:rPr>
              <w:t>4</w:t>
            </w:r>
            <w:r>
              <w:rPr>
                <w:rFonts w:hint="default" w:eastAsia="宋体" w:cs="宋体"/>
                <w:color w:val="000000"/>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noWrap w:val="0"/>
            <w:vAlign w:val="center"/>
          </w:tcPr>
          <w:p>
            <w:pPr>
              <w:spacing w:line="320" w:lineRule="exact"/>
              <w:jc w:val="center"/>
              <w:rPr>
                <w:rFonts w:hint="default" w:ascii="宋体" w:hAnsi="宋体" w:eastAsia="宋体" w:cs="宋体"/>
                <w:bCs/>
                <w:sz w:val="22"/>
                <w:szCs w:val="22"/>
                <w:lang w:val="en-US" w:eastAsia="zh-CN"/>
              </w:rPr>
            </w:pPr>
            <w:r>
              <w:rPr>
                <w:rFonts w:hint="eastAsia" w:ascii="宋体" w:hAnsi="宋体" w:cs="宋体"/>
                <w:color w:val="auto"/>
                <w:kern w:val="0"/>
                <w:szCs w:val="21"/>
              </w:rPr>
              <w:t>产品检测报告</w:t>
            </w:r>
            <w:r>
              <w:rPr>
                <w:rFonts w:hint="eastAsia" w:ascii="宋体" w:hAnsi="宋体" w:cs="宋体"/>
                <w:color w:val="auto"/>
                <w:kern w:val="0"/>
                <w:szCs w:val="21"/>
                <w:lang w:val="en-US" w:eastAsia="zh-CN"/>
              </w:rPr>
              <w:t>及证书（4）</w:t>
            </w:r>
          </w:p>
        </w:tc>
        <w:tc>
          <w:tcPr>
            <w:tcW w:w="8289" w:type="dxa"/>
            <w:noWrap w:val="0"/>
            <w:vAlign w:val="center"/>
          </w:tcPr>
          <w:p>
            <w:pPr>
              <w:tabs>
                <w:tab w:val="left" w:pos="4915"/>
              </w:tabs>
              <w:spacing w:line="340" w:lineRule="exact"/>
              <w:rPr>
                <w:rFonts w:hint="eastAsia" w:ascii="宋体" w:hAnsi="宋体" w:cs="宋体"/>
                <w:bCs/>
                <w:sz w:val="22"/>
                <w:szCs w:val="22"/>
              </w:rPr>
            </w:pPr>
            <w:r>
              <w:rPr>
                <w:rFonts w:hint="eastAsia" w:ascii="宋体" w:hAnsi="宋体"/>
                <w:b w:val="0"/>
                <w:bCs/>
                <w:lang w:eastAsia="zh-CN"/>
              </w:rPr>
              <w:t>投标人所投渗水型塑胶面层产品需符合</w:t>
            </w:r>
            <w:r>
              <w:rPr>
                <w:rFonts w:hint="eastAsia" w:ascii="宋体" w:hAnsi="宋体"/>
                <w:b w:val="0"/>
                <w:bCs/>
                <w:lang w:val="en-US" w:eastAsia="zh-CN"/>
              </w:rPr>
              <w:t>GB36246-2018标准检测（包括</w:t>
            </w:r>
            <w:r>
              <w:rPr>
                <w:rFonts w:hint="eastAsia" w:ascii="宋体" w:hAnsi="宋体"/>
                <w:b w:val="0"/>
                <w:bCs/>
                <w:lang w:eastAsia="zh-CN"/>
              </w:rPr>
              <w:t>非固体原料中有害物质限量要求；固体原料有害物质限量及气味要求、面层填充用合成材料颗粒中高聚物总量；现浇型面层物理机械性能、成品中有害物质限量及气味要求、及耐人工气候老化性能、无机填料及高聚物的含量；塑胶跑道划线漆技术指标</w:t>
            </w:r>
            <w:r>
              <w:rPr>
                <w:rFonts w:hint="eastAsia" w:ascii="宋体" w:hAnsi="宋体"/>
                <w:b w:val="0"/>
                <w:bCs/>
                <w:lang w:val="en-US" w:eastAsia="zh-CN"/>
              </w:rPr>
              <w:t>）、物理机械性能（抗滑值、拉伸强度、拉断伸长率、阻燃性能）的全项检测报告.完全符合国标要求得4分，有负偏离的每项扣0.2分，最低为0分。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noWrap w:val="0"/>
            <w:vAlign w:val="center"/>
          </w:tcPr>
          <w:p>
            <w:pPr>
              <w:spacing w:line="320" w:lineRule="exact"/>
              <w:jc w:val="center"/>
              <w:rPr>
                <w:rFonts w:hint="eastAsia" w:ascii="宋体" w:hAnsi="宋体" w:cs="宋体"/>
                <w:kern w:val="0"/>
                <w:szCs w:val="21"/>
              </w:rPr>
            </w:pPr>
            <w:r>
              <w:rPr>
                <w:rFonts w:hint="eastAsia" w:ascii="宋体" w:hAnsi="宋体" w:cs="宋体"/>
                <w:kern w:val="0"/>
                <w:szCs w:val="21"/>
              </w:rPr>
              <w:t>质保期</w:t>
            </w:r>
          </w:p>
          <w:p>
            <w:pPr>
              <w:spacing w:line="320" w:lineRule="exact"/>
              <w:jc w:val="center"/>
              <w:rPr>
                <w:rFonts w:hint="eastAsia" w:ascii="宋体" w:hAnsi="宋体" w:eastAsia="宋体" w:cs="宋体"/>
                <w:bCs/>
                <w:sz w:val="22"/>
                <w:szCs w:val="22"/>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3分</w:t>
            </w:r>
            <w:r>
              <w:rPr>
                <w:rFonts w:hint="eastAsia" w:ascii="宋体" w:hAnsi="宋体" w:cs="宋体"/>
                <w:kern w:val="0"/>
                <w:szCs w:val="21"/>
                <w:lang w:eastAsia="zh-CN"/>
              </w:rPr>
              <w:t>）</w:t>
            </w:r>
          </w:p>
        </w:tc>
        <w:tc>
          <w:tcPr>
            <w:tcW w:w="8289" w:type="dxa"/>
            <w:noWrap w:val="0"/>
            <w:vAlign w:val="center"/>
          </w:tcPr>
          <w:p>
            <w:pPr>
              <w:tabs>
                <w:tab w:val="left" w:pos="4915"/>
              </w:tabs>
              <w:spacing w:line="340" w:lineRule="exact"/>
              <w:rPr>
                <w:rFonts w:hint="eastAsia" w:ascii="_5b8b_4f53" w:hAnsi="_5b8b_4f53" w:cs="宋体"/>
                <w:szCs w:val="21"/>
                <w:lang w:eastAsia="zh-CN"/>
              </w:rPr>
            </w:pPr>
            <w:r>
              <w:rPr>
                <w:rFonts w:hint="eastAsia" w:ascii="宋体" w:hAnsi="宋体" w:cs="宋体"/>
                <w:kern w:val="0"/>
                <w:szCs w:val="21"/>
              </w:rPr>
              <w:t>免费质保期两年者不得分，每增加6个月加</w:t>
            </w:r>
            <w:r>
              <w:rPr>
                <w:rFonts w:hint="eastAsia" w:ascii="宋体" w:hAnsi="宋体" w:cs="宋体"/>
                <w:kern w:val="0"/>
                <w:szCs w:val="21"/>
                <w:lang w:val="en-US" w:eastAsia="zh-CN"/>
              </w:rPr>
              <w:t>0.5</w:t>
            </w:r>
            <w:r>
              <w:rPr>
                <w:rFonts w:hint="eastAsia" w:ascii="宋体" w:hAnsi="宋体" w:cs="宋体"/>
                <w:kern w:val="0"/>
                <w:szCs w:val="21"/>
              </w:rPr>
              <w:t>分，最高得3分。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noWrap w:val="0"/>
            <w:vAlign w:val="center"/>
          </w:tcPr>
          <w:p>
            <w:pPr>
              <w:spacing w:line="320" w:lineRule="exact"/>
              <w:jc w:val="center"/>
              <w:rPr>
                <w:rFonts w:hint="eastAsia" w:ascii="宋体" w:hAnsi="宋体" w:cs="宋体"/>
                <w:b w:val="0"/>
                <w:bCs/>
                <w:kern w:val="0"/>
                <w:szCs w:val="21"/>
              </w:rPr>
            </w:pPr>
            <w:r>
              <w:rPr>
                <w:rFonts w:hint="eastAsia" w:ascii="宋体" w:hAnsi="宋体" w:cs="宋体"/>
                <w:b w:val="0"/>
                <w:bCs/>
                <w:kern w:val="0"/>
                <w:szCs w:val="21"/>
              </w:rPr>
              <w:t>样品</w:t>
            </w:r>
          </w:p>
          <w:p>
            <w:pPr>
              <w:spacing w:line="320" w:lineRule="exact"/>
              <w:jc w:val="center"/>
              <w:rPr>
                <w:rFonts w:hint="eastAsia" w:ascii="宋体" w:hAnsi="宋体" w:eastAsia="宋体" w:cs="宋体"/>
                <w:bCs/>
                <w:sz w:val="22"/>
                <w:szCs w:val="22"/>
                <w:lang w:val="en-US" w:eastAsia="zh-CN"/>
              </w:rPr>
            </w:pPr>
            <w:r>
              <w:rPr>
                <w:rFonts w:hint="eastAsia" w:ascii="宋体" w:hAnsi="宋体" w:cs="宋体"/>
                <w:b w:val="0"/>
                <w:bCs/>
                <w:kern w:val="0"/>
                <w:szCs w:val="21"/>
                <w:lang w:eastAsia="zh-CN"/>
              </w:rPr>
              <w:t>（</w:t>
            </w:r>
            <w:r>
              <w:rPr>
                <w:rFonts w:hint="eastAsia" w:ascii="宋体" w:hAnsi="宋体" w:cs="宋体"/>
                <w:b w:val="0"/>
                <w:bCs/>
                <w:kern w:val="0"/>
                <w:szCs w:val="21"/>
                <w:lang w:val="en-US" w:eastAsia="zh-CN"/>
              </w:rPr>
              <w:t>5分</w:t>
            </w:r>
            <w:r>
              <w:rPr>
                <w:rFonts w:hint="eastAsia" w:ascii="宋体" w:hAnsi="宋体" w:cs="宋体"/>
                <w:b w:val="0"/>
                <w:bCs/>
                <w:kern w:val="0"/>
                <w:szCs w:val="21"/>
                <w:lang w:eastAsia="zh-CN"/>
              </w:rPr>
              <w:t>）</w:t>
            </w:r>
          </w:p>
        </w:tc>
        <w:tc>
          <w:tcPr>
            <w:tcW w:w="8289" w:type="dxa"/>
            <w:noWrap w:val="0"/>
            <w:vAlign w:val="center"/>
          </w:tcPr>
          <w:p>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default" w:ascii="宋体" w:hAnsi="宋体"/>
                <w:lang w:val="en-US" w:eastAsia="zh-CN"/>
              </w:rPr>
            </w:pPr>
            <w:r>
              <w:rPr>
                <w:rFonts w:hint="eastAsia" w:ascii="宋体" w:hAnsi="宋体"/>
              </w:rPr>
              <w:t>根据投标样品的科学性、合理性、实物用材、工艺水平及制作质量，是否符合国家相关标准酌情打分</w:t>
            </w:r>
            <w:r>
              <w:rPr>
                <w:rFonts w:hint="eastAsia" w:ascii="宋体" w:hAnsi="宋体"/>
                <w:lang w:eastAsia="zh-CN"/>
              </w:rPr>
              <w:t>：</w:t>
            </w:r>
          </w:p>
          <w:p>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_5b8b_4f53" w:hAnsi="_5b8b_4f53" w:cs="宋体"/>
                <w:szCs w:val="21"/>
                <w:lang w:eastAsia="zh-CN"/>
              </w:rPr>
            </w:pPr>
            <w:r>
              <w:rPr>
                <w:rFonts w:hint="eastAsia" w:ascii="宋体" w:hAnsi="宋体"/>
                <w:b/>
                <w:bCs/>
                <w:color w:val="auto"/>
                <w:szCs w:val="21"/>
                <w:u w:val="dotted"/>
                <w:lang w:val="en-US" w:eastAsia="zh-CN"/>
              </w:rPr>
              <w:t>13</w:t>
            </w:r>
            <w:r>
              <w:rPr>
                <w:rFonts w:hint="eastAsia" w:ascii="宋体" w:hAnsi="宋体"/>
                <w:b/>
                <w:bCs/>
                <w:color w:val="auto"/>
                <w:szCs w:val="21"/>
                <w:u w:val="dotted"/>
              </w:rPr>
              <w:t>mm</w:t>
            </w:r>
            <w:r>
              <w:rPr>
                <w:rFonts w:hint="eastAsia" w:ascii="宋体" w:hAnsi="宋体"/>
                <w:b/>
                <w:bCs/>
                <w:color w:val="auto"/>
                <w:szCs w:val="21"/>
                <w:u w:val="dotted"/>
                <w:lang w:val="en-US" w:eastAsia="zh-CN"/>
              </w:rPr>
              <w:t>透气式塑胶面一块，（</w:t>
            </w:r>
            <w:r>
              <w:rPr>
                <w:rFonts w:ascii="宋体" w:hAnsi="宋体"/>
                <w:b/>
                <w:bCs/>
                <w:szCs w:val="21"/>
              </w:rPr>
              <w:t>规格</w:t>
            </w:r>
            <w:r>
              <w:rPr>
                <w:rFonts w:hint="eastAsia" w:ascii="宋体" w:hAnsi="宋体"/>
                <w:b/>
                <w:bCs/>
                <w:szCs w:val="21"/>
              </w:rPr>
              <w:t>3</w:t>
            </w:r>
            <w:r>
              <w:rPr>
                <w:rFonts w:ascii="宋体" w:hAnsi="宋体"/>
                <w:b/>
                <w:bCs/>
                <w:szCs w:val="21"/>
              </w:rPr>
              <w:t>00×</w:t>
            </w:r>
            <w:r>
              <w:rPr>
                <w:rFonts w:hint="eastAsia" w:ascii="宋体" w:hAnsi="宋体"/>
                <w:b/>
                <w:bCs/>
                <w:szCs w:val="21"/>
                <w:lang w:val="en-US" w:eastAsia="zh-CN"/>
              </w:rPr>
              <w:t>3</w:t>
            </w:r>
            <w:r>
              <w:rPr>
                <w:rFonts w:ascii="宋体" w:hAnsi="宋体"/>
                <w:b/>
                <w:bCs/>
                <w:szCs w:val="21"/>
              </w:rPr>
              <w:t>00mm</w:t>
            </w:r>
            <w:r>
              <w:rPr>
                <w:rFonts w:hint="eastAsia" w:ascii="宋体" w:hAnsi="宋体"/>
                <w:b/>
                <w:bCs/>
                <w:color w:val="auto"/>
                <w:szCs w:val="21"/>
                <w:u w:val="dotted"/>
                <w:lang w:val="en-US" w:eastAsia="zh-CN"/>
              </w:rPr>
              <w:t>）</w:t>
            </w:r>
            <w:r>
              <w:rPr>
                <w:rFonts w:hint="eastAsia" w:ascii="宋体" w:hAnsi="宋体"/>
                <w:b/>
                <w:bCs/>
                <w:color w:val="auto"/>
                <w:szCs w:val="21"/>
                <w:u w:val="dotted"/>
              </w:rPr>
              <w:t>：</w:t>
            </w:r>
            <w:r>
              <w:rPr>
                <w:rFonts w:hint="eastAsia" w:ascii="宋体" w:hAnsi="宋体"/>
                <w:b/>
                <w:bCs/>
                <w:color w:val="auto"/>
                <w:szCs w:val="21"/>
                <w:u w:val="dotted"/>
                <w:lang w:val="en-US" w:eastAsia="zh-CN"/>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noWrap w:val="0"/>
            <w:vAlign w:val="center"/>
          </w:tcPr>
          <w:p>
            <w:pPr>
              <w:widowControl/>
              <w:spacing w:line="340" w:lineRule="exact"/>
              <w:jc w:val="left"/>
              <w:rPr>
                <w:color w:val="000000"/>
                <w:szCs w:val="21"/>
                <w:highlight w:val="none"/>
              </w:rPr>
            </w:pPr>
          </w:p>
        </w:tc>
        <w:tc>
          <w:tcPr>
            <w:tcW w:w="1164" w:type="dxa"/>
            <w:noWrap w:val="0"/>
            <w:vAlign w:val="center"/>
          </w:tcPr>
          <w:p>
            <w:pPr>
              <w:spacing w:line="320" w:lineRule="exact"/>
              <w:jc w:val="center"/>
              <w:rPr>
                <w:rFonts w:hint="eastAsia" w:ascii="宋体" w:hAnsi="宋体" w:cs="宋体"/>
                <w:bCs/>
                <w:kern w:val="0"/>
                <w:szCs w:val="21"/>
              </w:rPr>
            </w:pPr>
            <w:r>
              <w:rPr>
                <w:rFonts w:hint="eastAsia" w:ascii="宋体" w:hAnsi="宋体" w:cs="宋体"/>
                <w:bCs/>
                <w:kern w:val="0"/>
                <w:szCs w:val="21"/>
              </w:rPr>
              <w:t>业绩</w:t>
            </w:r>
          </w:p>
          <w:p>
            <w:pPr>
              <w:spacing w:line="320" w:lineRule="exact"/>
              <w:jc w:val="center"/>
              <w:rPr>
                <w:rFonts w:hint="eastAsia" w:ascii="宋体" w:hAnsi="宋体" w:eastAsia="宋体" w:cs="宋体"/>
                <w:b w:val="0"/>
                <w:bCs/>
                <w:kern w:val="0"/>
                <w:szCs w:val="21"/>
                <w:lang w:eastAsia="zh-CN"/>
              </w:rPr>
            </w:pPr>
            <w:r>
              <w:rPr>
                <w:rFonts w:hint="eastAsia" w:ascii="宋体" w:hAnsi="宋体" w:cs="宋体"/>
                <w:bCs/>
                <w:kern w:val="0"/>
                <w:szCs w:val="21"/>
                <w:lang w:eastAsia="zh-CN"/>
              </w:rPr>
              <w:t>（</w:t>
            </w:r>
            <w:r>
              <w:rPr>
                <w:rFonts w:hint="eastAsia" w:ascii="宋体" w:hAnsi="宋体" w:cs="宋体"/>
                <w:bCs/>
                <w:kern w:val="0"/>
                <w:szCs w:val="21"/>
                <w:lang w:val="en-US" w:eastAsia="zh-CN"/>
              </w:rPr>
              <w:t>2分</w:t>
            </w:r>
            <w:r>
              <w:rPr>
                <w:rFonts w:hint="eastAsia" w:ascii="宋体" w:hAnsi="宋体" w:cs="宋体"/>
                <w:bCs/>
                <w:kern w:val="0"/>
                <w:szCs w:val="21"/>
                <w:lang w:eastAsia="zh-CN"/>
              </w:rPr>
              <w:t>）</w:t>
            </w:r>
          </w:p>
        </w:tc>
        <w:tc>
          <w:tcPr>
            <w:tcW w:w="8289" w:type="dxa"/>
            <w:noWrap w:val="0"/>
            <w:vAlign w:val="center"/>
          </w:tcPr>
          <w:p>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b/>
                <w:bCs/>
                <w:color w:val="auto"/>
                <w:szCs w:val="21"/>
                <w:u w:val="dotted"/>
                <w:lang w:val="en-US" w:eastAsia="zh-CN"/>
              </w:rPr>
            </w:pPr>
            <w:r>
              <w:rPr>
                <w:rFonts w:hint="eastAsia" w:hAnsi="宋体" w:cs="宋体"/>
                <w:bCs/>
              </w:rPr>
              <w:t>从20</w:t>
            </w:r>
            <w:r>
              <w:rPr>
                <w:rFonts w:hint="eastAsia" w:hAnsi="宋体" w:cs="宋体"/>
                <w:bCs/>
                <w:lang w:val="en-US" w:eastAsia="zh-CN"/>
              </w:rPr>
              <w:t>20</w:t>
            </w:r>
            <w:r>
              <w:rPr>
                <w:rFonts w:hint="eastAsia" w:hAnsi="宋体" w:cs="宋体"/>
                <w:bCs/>
              </w:rPr>
              <w:t>年1月1日（以合同签订时间为准）以来承接过同类产品</w:t>
            </w:r>
            <w:r>
              <w:rPr>
                <w:rFonts w:hint="eastAsia" w:hAnsi="宋体" w:cs="宋体"/>
                <w:bCs/>
                <w:lang w:eastAsia="zh-CN"/>
              </w:rPr>
              <w:t>（</w:t>
            </w:r>
            <w:r>
              <w:rPr>
                <w:rFonts w:hint="eastAsia" w:hAnsi="宋体" w:cs="宋体"/>
                <w:bCs/>
                <w:lang w:val="en-US" w:eastAsia="zh-CN"/>
              </w:rPr>
              <w:t>塑胶跑道</w:t>
            </w:r>
            <w:r>
              <w:rPr>
                <w:rFonts w:hint="eastAsia" w:hAnsi="宋体" w:cs="宋体"/>
                <w:bCs/>
                <w:lang w:eastAsia="zh-CN"/>
              </w:rPr>
              <w:t>）</w:t>
            </w:r>
            <w:r>
              <w:rPr>
                <w:rFonts w:hint="eastAsia" w:hAnsi="宋体" w:cs="宋体"/>
                <w:bCs/>
              </w:rPr>
              <w:t>业绩的，单个合同</w:t>
            </w:r>
            <w:r>
              <w:rPr>
                <w:rFonts w:hint="eastAsia" w:hAnsi="宋体" w:cs="宋体"/>
                <w:bCs/>
                <w:lang w:eastAsia="zh-CN"/>
              </w:rPr>
              <w:t>得</w:t>
            </w:r>
            <w:r>
              <w:rPr>
                <w:rFonts w:hint="eastAsia" w:hAnsi="宋体" w:cs="宋体"/>
                <w:bCs/>
                <w:lang w:val="en-US" w:eastAsia="zh-CN"/>
              </w:rPr>
              <w:t>1分，共2分</w:t>
            </w:r>
            <w:r>
              <w:rPr>
                <w:rFonts w:hint="eastAsia" w:hAnsi="宋体" w:cs="宋体"/>
                <w:bCs/>
              </w:rPr>
              <w:t>（同个项目不能重复计分，只能计取一次）（</w:t>
            </w:r>
            <w:r>
              <w:rPr>
                <w:rFonts w:hint="eastAsia" w:hAnsi="宋体" w:cs="宋体"/>
                <w:b/>
                <w:bCs w:val="0"/>
              </w:rPr>
              <w:t>注：投标文件中须提供中标通知书、合同</w:t>
            </w:r>
            <w:r>
              <w:rPr>
                <w:rFonts w:hint="eastAsia" w:hAnsi="宋体" w:cs="宋体"/>
                <w:b/>
                <w:bCs w:val="0"/>
                <w:lang w:eastAsia="zh-CN"/>
              </w:rPr>
              <w:t>、</w:t>
            </w:r>
            <w:r>
              <w:rPr>
                <w:rFonts w:hint="eastAsia" w:hAnsi="宋体" w:cs="宋体"/>
                <w:b/>
                <w:bCs w:val="0"/>
              </w:rPr>
              <w:t>日期已验收证书为准</w:t>
            </w:r>
            <w:r>
              <w:rPr>
                <w:rFonts w:hint="eastAsia" w:hAnsi="宋体" w:cs="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vAlign w:val="center"/>
          </w:tcPr>
          <w:p>
            <w:pPr>
              <w:widowControl/>
              <w:spacing w:line="340" w:lineRule="exact"/>
              <w:jc w:val="left"/>
              <w:rPr>
                <w:color w:val="000000"/>
                <w:szCs w:val="21"/>
                <w:highlight w:val="none"/>
              </w:rPr>
            </w:pPr>
            <w:r>
              <w:rPr>
                <w:color w:val="000000"/>
                <w:szCs w:val="21"/>
                <w:highlight w:val="none"/>
              </w:rPr>
              <w:t>价格</w:t>
            </w:r>
            <w:r>
              <w:rPr>
                <w:rFonts w:hint="eastAsia"/>
                <w:color w:val="000000"/>
                <w:szCs w:val="21"/>
                <w:highlight w:val="none"/>
              </w:rPr>
              <w:t>部分</w:t>
            </w:r>
            <w:r>
              <w:rPr>
                <w:rFonts w:hint="eastAsia"/>
                <w:color w:val="000000"/>
                <w:szCs w:val="21"/>
                <w:highlight w:val="none"/>
                <w:lang w:val="en-US" w:eastAsia="zh-CN"/>
              </w:rPr>
              <w:t>30</w:t>
            </w:r>
            <w:r>
              <w:rPr>
                <w:color w:val="000000"/>
                <w:szCs w:val="21"/>
                <w:highlight w:val="none"/>
              </w:rPr>
              <w:t>分</w:t>
            </w:r>
          </w:p>
        </w:tc>
        <w:tc>
          <w:tcPr>
            <w:tcW w:w="1164" w:type="dxa"/>
            <w:noWrap w:val="0"/>
            <w:vAlign w:val="center"/>
          </w:tcPr>
          <w:p>
            <w:pPr>
              <w:spacing w:line="340" w:lineRule="exact"/>
              <w:jc w:val="center"/>
              <w:rPr>
                <w:color w:val="000000"/>
                <w:szCs w:val="21"/>
                <w:highlight w:val="none"/>
              </w:rPr>
            </w:pPr>
            <w:r>
              <w:rPr>
                <w:color w:val="000000"/>
                <w:szCs w:val="21"/>
                <w:highlight w:val="none"/>
              </w:rPr>
              <w:t>投标报价（</w:t>
            </w:r>
            <w:r>
              <w:rPr>
                <w:rFonts w:hint="eastAsia"/>
                <w:color w:val="000000"/>
                <w:szCs w:val="21"/>
                <w:highlight w:val="none"/>
                <w:lang w:val="en-US" w:eastAsia="zh-CN"/>
              </w:rPr>
              <w:t>30</w:t>
            </w:r>
            <w:r>
              <w:rPr>
                <w:color w:val="000000"/>
                <w:szCs w:val="21"/>
                <w:highlight w:val="none"/>
              </w:rPr>
              <w:t>分）</w:t>
            </w:r>
          </w:p>
        </w:tc>
        <w:tc>
          <w:tcPr>
            <w:tcW w:w="8289" w:type="dxa"/>
            <w:noWrap w:val="0"/>
            <w:vAlign w:val="center"/>
          </w:tcPr>
          <w:p>
            <w:pPr>
              <w:spacing w:line="300" w:lineRule="exact"/>
              <w:rPr>
                <w:rFonts w:hint="eastAsia" w:ascii="Calibri" w:hAnsi="Calibri" w:cs="Calibri"/>
                <w:color w:val="000000"/>
                <w:szCs w:val="21"/>
                <w:highlight w:val="none"/>
              </w:rPr>
            </w:pPr>
            <w:r>
              <w:rPr>
                <w:rFonts w:ascii="Calibri" w:hAnsi="Calibri" w:cs="Calibri"/>
                <w:color w:val="000000"/>
                <w:szCs w:val="21"/>
                <w:highlight w:val="none"/>
              </w:rPr>
              <w:t>满足</w:t>
            </w:r>
            <w:r>
              <w:rPr>
                <w:rFonts w:hint="eastAsia" w:ascii="Calibri" w:hAnsi="Calibri" w:cs="Calibri"/>
                <w:color w:val="000000"/>
                <w:szCs w:val="21"/>
                <w:highlight w:val="none"/>
              </w:rPr>
              <w:t>采购文件</w:t>
            </w:r>
            <w:r>
              <w:rPr>
                <w:rFonts w:ascii="Calibri" w:hAnsi="Calibri" w:cs="Calibri"/>
                <w:color w:val="000000"/>
                <w:szCs w:val="21"/>
                <w:highlight w:val="none"/>
              </w:rPr>
              <w:t>要求且最低的参与评审价格为评标基准价，其价格分为满分</w:t>
            </w:r>
            <w:r>
              <w:rPr>
                <w:rFonts w:hint="eastAsia" w:ascii="Calibri" w:hAnsi="Calibri" w:cs="Calibri"/>
                <w:color w:val="000000"/>
                <w:szCs w:val="21"/>
                <w:highlight w:val="none"/>
                <w:lang w:val="en-US" w:eastAsia="zh-CN"/>
              </w:rPr>
              <w:t>30</w:t>
            </w:r>
            <w:r>
              <w:rPr>
                <w:rFonts w:ascii="Calibri" w:hAnsi="Calibri" w:cs="Calibri"/>
                <w:color w:val="000000"/>
                <w:szCs w:val="21"/>
                <w:highlight w:val="none"/>
              </w:rPr>
              <w:t>分</w:t>
            </w:r>
            <w:r>
              <w:rPr>
                <w:rFonts w:hint="eastAsia" w:ascii="Calibri" w:hAnsi="Calibri" w:cs="Calibri"/>
                <w:color w:val="000000"/>
                <w:szCs w:val="21"/>
                <w:highlight w:val="none"/>
              </w:rPr>
              <w:t>。</w:t>
            </w:r>
          </w:p>
          <w:p>
            <w:pPr>
              <w:spacing w:line="300" w:lineRule="exact"/>
              <w:rPr>
                <w:rFonts w:ascii="Calibri" w:hAnsi="Calibri" w:cs="Calibri"/>
                <w:color w:val="000000"/>
                <w:szCs w:val="21"/>
                <w:highlight w:val="none"/>
              </w:rPr>
            </w:pPr>
            <w:r>
              <w:rPr>
                <w:rFonts w:ascii="Calibri" w:hAnsi="Calibri" w:cs="Calibri"/>
                <w:color w:val="000000"/>
                <w:szCs w:val="21"/>
                <w:highlight w:val="none"/>
              </w:rPr>
              <w:t>其余供应商的价格分以下列公式计算：</w:t>
            </w:r>
          </w:p>
          <w:p>
            <w:pPr>
              <w:spacing w:line="300" w:lineRule="exact"/>
              <w:rPr>
                <w:rFonts w:hint="default" w:ascii="Calibri" w:hAnsi="Calibri" w:cs="Calibri"/>
                <w:color w:val="000000"/>
                <w:szCs w:val="21"/>
                <w:highlight w:val="none"/>
                <w:lang w:val="en-US"/>
              </w:rPr>
            </w:pPr>
            <w:r>
              <w:rPr>
                <w:rFonts w:ascii="Calibri" w:hAnsi="Calibri" w:cs="Calibri"/>
                <w:color w:val="000000"/>
                <w:szCs w:val="21"/>
                <w:highlight w:val="none"/>
              </w:rPr>
              <w:t>价格分得分＝</w:t>
            </w:r>
            <w:r>
              <w:rPr>
                <w:rFonts w:hint="eastAsia" w:ascii="Calibri" w:hAnsi="Calibri" w:cs="Calibri"/>
                <w:color w:val="000000"/>
                <w:szCs w:val="21"/>
                <w:highlight w:val="none"/>
              </w:rPr>
              <w:t>[</w:t>
            </w:r>
            <w:r>
              <w:rPr>
                <w:rFonts w:ascii="Calibri" w:hAnsi="Calibri" w:cs="Calibri"/>
                <w:color w:val="000000"/>
                <w:szCs w:val="21"/>
                <w:highlight w:val="none"/>
              </w:rPr>
              <w:t>评标基准价/</w:t>
            </w:r>
            <w:r>
              <w:rPr>
                <w:rFonts w:hint="eastAsia" w:ascii="Calibri" w:hAnsi="Calibri" w:cs="Calibri"/>
                <w:color w:val="000000"/>
                <w:szCs w:val="21"/>
                <w:highlight w:val="none"/>
                <w:lang w:eastAsia="zh-CN"/>
              </w:rPr>
              <w:t>参与评审的价格</w:t>
            </w:r>
            <w:r>
              <w:rPr>
                <w:rFonts w:hint="eastAsia" w:ascii="Calibri" w:hAnsi="Calibri" w:cs="Calibri"/>
                <w:color w:val="000000"/>
                <w:szCs w:val="21"/>
                <w:highlight w:val="none"/>
              </w:rPr>
              <w:t xml:space="preserve">] </w:t>
            </w:r>
            <w:r>
              <w:rPr>
                <w:rFonts w:ascii="Calibri" w:hAnsi="Calibri" w:cs="Calibri"/>
                <w:color w:val="000000"/>
                <w:szCs w:val="21"/>
                <w:highlight w:val="none"/>
              </w:rPr>
              <w:t>×</w:t>
            </w:r>
            <w:r>
              <w:rPr>
                <w:rFonts w:hint="eastAsia" w:ascii="Calibri" w:hAnsi="Calibri" w:cs="Calibri"/>
                <w:color w:val="000000"/>
                <w:szCs w:val="21"/>
                <w:highlight w:val="none"/>
                <w:lang w:val="en-US" w:eastAsia="zh-CN"/>
              </w:rPr>
              <w:t>30</w:t>
            </w:r>
          </w:p>
          <w:p>
            <w:pPr>
              <w:pStyle w:val="8"/>
              <w:spacing w:line="340" w:lineRule="exact"/>
              <w:ind w:firstLine="0" w:firstLineChars="0"/>
              <w:rPr>
                <w:color w:val="000000"/>
                <w:szCs w:val="21"/>
                <w:highlight w:val="none"/>
              </w:rPr>
            </w:pPr>
            <w:r>
              <w:rPr>
                <w:rFonts w:hint="eastAsia" w:ascii="Calibri" w:hAnsi="Calibri" w:eastAsia="宋体" w:cs="Calibri"/>
                <w:snapToGrid/>
                <w:color w:val="000000"/>
                <w:kern w:val="2"/>
                <w:sz w:val="21"/>
                <w:szCs w:val="21"/>
                <w:highlight w:val="none"/>
                <w:lang w:val="zh-CN" w:eastAsia="zh-CN" w:bidi="ar-SA"/>
              </w:rPr>
              <w:t>以最终报价为评审依据。</w:t>
            </w:r>
          </w:p>
        </w:tc>
      </w:tr>
    </w:tbl>
    <w:p>
      <w:pPr>
        <w:keepLines/>
        <w:autoSpaceDE w:val="0"/>
        <w:autoSpaceDN w:val="0"/>
        <w:snapToGrid w:val="0"/>
        <w:spacing w:line="360" w:lineRule="auto"/>
        <w:jc w:val="center"/>
        <w:textAlignment w:val="baseline"/>
        <w:outlineLvl w:val="2"/>
        <w:rPr>
          <w:rFonts w:eastAsia="黑体"/>
          <w:b/>
          <w:sz w:val="28"/>
          <w:szCs w:val="28"/>
        </w:rPr>
      </w:pPr>
    </w:p>
    <w:p>
      <w:pPr>
        <w:keepLines/>
        <w:autoSpaceDE w:val="0"/>
        <w:autoSpaceDN w:val="0"/>
        <w:snapToGrid w:val="0"/>
        <w:spacing w:line="360" w:lineRule="auto"/>
        <w:jc w:val="left"/>
        <w:textAlignment w:val="baseline"/>
        <w:outlineLvl w:val="2"/>
        <w:rPr>
          <w:rFonts w:eastAsia="黑体"/>
          <w:b/>
          <w:sz w:val="21"/>
          <w:szCs w:val="21"/>
        </w:rPr>
      </w:pPr>
      <w:r>
        <w:rPr>
          <w:rFonts w:hint="eastAsia" w:cs="Arial" w:asciiTheme="minorEastAsia" w:hAnsiTheme="minorEastAsia" w:eastAsiaTheme="minorEastAsia"/>
          <w:b/>
          <w:kern w:val="0"/>
          <w:sz w:val="21"/>
          <w:szCs w:val="21"/>
        </w:rPr>
        <w:t>备注：1、供应商编制投标文件时，建议按此目录（序号和内容）提供评审标准相应的商务技术资料。2、小数点后保留二位数。3、各磋商小组成员自行按以上参考分值评分。4、重大事件由磋商小组集体讨论，应当按照少数服从多数的原则作出结论。</w:t>
      </w:r>
    </w:p>
    <w:p>
      <w:pPr>
        <w:keepLines/>
        <w:autoSpaceDE w:val="0"/>
        <w:autoSpaceDN w:val="0"/>
        <w:snapToGrid w:val="0"/>
        <w:spacing w:line="360" w:lineRule="auto"/>
        <w:jc w:val="center"/>
        <w:textAlignment w:val="baseline"/>
        <w:outlineLvl w:val="2"/>
        <w:rPr>
          <w:rFonts w:eastAsia="黑体"/>
          <w:b/>
          <w:sz w:val="28"/>
          <w:szCs w:val="28"/>
        </w:rPr>
      </w:pPr>
    </w:p>
    <w:p>
      <w:pPr>
        <w:keepLines/>
        <w:autoSpaceDE w:val="0"/>
        <w:autoSpaceDN w:val="0"/>
        <w:snapToGrid w:val="0"/>
        <w:spacing w:line="360" w:lineRule="auto"/>
        <w:jc w:val="center"/>
        <w:textAlignment w:val="baseline"/>
        <w:outlineLvl w:val="2"/>
        <w:rPr>
          <w:rFonts w:eastAsia="黑体"/>
          <w:b/>
          <w:sz w:val="28"/>
          <w:szCs w:val="28"/>
        </w:rPr>
      </w:pPr>
    </w:p>
    <w:p>
      <w:pPr>
        <w:spacing w:line="360" w:lineRule="auto"/>
        <w:jc w:val="both"/>
        <w:outlineLvl w:val="0"/>
        <w:rPr>
          <w:rFonts w:hint="eastAsia" w:ascii="宋体" w:hAnsi="宋体" w:cs="仿宋_GB2312"/>
          <w:b/>
          <w:sz w:val="36"/>
          <w:szCs w:val="36"/>
        </w:rPr>
      </w:pPr>
    </w:p>
    <w:p>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pPr>
        <w:keepLines/>
        <w:autoSpaceDE w:val="0"/>
        <w:autoSpaceDN w:val="0"/>
        <w:snapToGrid w:val="0"/>
        <w:spacing w:line="360" w:lineRule="auto"/>
        <w:jc w:val="center"/>
        <w:textAlignment w:val="baseline"/>
        <w:outlineLvl w:val="2"/>
        <w:rPr>
          <w:rFonts w:eastAsia="黑体"/>
          <w:b/>
          <w:sz w:val="28"/>
          <w:szCs w:val="28"/>
        </w:rPr>
      </w:pPr>
    </w:p>
    <w:p>
      <w:pPr>
        <w:keepLines/>
        <w:autoSpaceDE w:val="0"/>
        <w:autoSpaceDN w:val="0"/>
        <w:snapToGrid w:val="0"/>
        <w:spacing w:line="360" w:lineRule="auto"/>
        <w:jc w:val="center"/>
        <w:textAlignment w:val="baseline"/>
        <w:outlineLvl w:val="2"/>
        <w:rPr>
          <w:rFonts w:eastAsia="黑体"/>
          <w:b/>
          <w:sz w:val="28"/>
          <w:szCs w:val="28"/>
        </w:rPr>
      </w:pPr>
    </w:p>
    <w:p>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pPr>
        <w:numPr>
          <w:ilvl w:val="0"/>
          <w:numId w:val="0"/>
        </w:numPr>
        <w:spacing w:line="360" w:lineRule="auto"/>
        <w:ind w:leftChars="0"/>
        <w:jc w:val="both"/>
        <w:rPr>
          <w:rFonts w:hint="eastAsia"/>
          <w:b/>
          <w:sz w:val="48"/>
        </w:rPr>
      </w:pPr>
    </w:p>
    <w:p>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pPr>
        <w:spacing w:line="360" w:lineRule="auto"/>
        <w:jc w:val="center"/>
        <w:rPr>
          <w:rFonts w:hint="eastAsia" w:ascii="宋体" w:hAnsi="宋体"/>
          <w:b/>
          <w:sz w:val="32"/>
          <w:szCs w:val="32"/>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pStyle w:val="71"/>
        <w:rPr>
          <w:rFonts w:hint="eastAsia"/>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jc w:val="both"/>
        <w:rPr>
          <w:rFonts w:hint="eastAsia" w:ascii="宋体" w:hAnsi="宋体"/>
          <w:b/>
          <w:sz w:val="32"/>
          <w:szCs w:val="32"/>
        </w:rPr>
      </w:pPr>
    </w:p>
    <w:p>
      <w:pPr>
        <w:numPr>
          <w:ilvl w:val="0"/>
          <w:numId w:val="0"/>
        </w:numPr>
        <w:spacing w:line="360" w:lineRule="auto"/>
        <w:ind w:leftChars="0"/>
        <w:rPr>
          <w:rFonts w:hint="eastAsia" w:ascii="黑体" w:hAnsi="宋体" w:eastAsia="宋体"/>
          <w:b/>
          <w:sz w:val="32"/>
          <w:szCs w:val="32"/>
          <w:u w:val="single"/>
          <w:lang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宁海县城关中学操场塑胶等改造工程</w:t>
      </w:r>
    </w:p>
    <w:p>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宁海县城关中学</w:t>
      </w:r>
      <w:r>
        <w:rPr>
          <w:rFonts w:hint="eastAsia" w:ascii="黑体" w:hAnsi="宋体" w:eastAsia="黑体"/>
          <w:b/>
          <w:sz w:val="32"/>
          <w:szCs w:val="32"/>
          <w:u w:val="single"/>
        </w:rPr>
        <w:t xml:space="preserve">                      </w:t>
      </w:r>
      <w:r>
        <w:rPr>
          <w:rFonts w:hint="eastAsia" w:ascii="宋体" w:hAnsi="宋体"/>
          <w:b/>
          <w:sz w:val="32"/>
          <w:szCs w:val="32"/>
        </w:rPr>
        <w:t xml:space="preserve"> </w:t>
      </w:r>
    </w:p>
    <w:p>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pPr>
        <w:pStyle w:val="6"/>
        <w:numPr>
          <w:ilvl w:val="0"/>
          <w:numId w:val="2"/>
        </w:numPr>
        <w:jc w:val="center"/>
        <w:rPr>
          <w:rFonts w:ascii="黑体" w:hAnsi="华文中宋"/>
        </w:rPr>
        <w:sectPr>
          <w:headerReference r:id="rId3" w:type="default"/>
          <w:footerReference r:id="rId4" w:type="default"/>
          <w:pgSz w:w="11906" w:h="16838"/>
          <w:pgMar w:top="1440" w:right="1440" w:bottom="1440" w:left="1440" w:header="851" w:footer="992" w:gutter="0"/>
          <w:cols w:space="720" w:num="1"/>
          <w:titlePg/>
          <w:docGrid w:linePitch="312" w:charSpace="0"/>
        </w:sectPr>
      </w:pPr>
    </w:p>
    <w:p>
      <w:pPr>
        <w:pStyle w:val="7"/>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宁海县城关中学</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宁海县城关中学操场塑胶等改造工程</w:t>
      </w:r>
      <w:r>
        <w:rPr>
          <w:rFonts w:hint="eastAsia" w:asciiTheme="majorEastAsia" w:hAnsiTheme="majorEastAsia" w:eastAsiaTheme="majorEastAsia" w:cstheme="majorEastAsia"/>
          <w:color w:val="000000"/>
          <w:sz w:val="21"/>
          <w:szCs w:val="21"/>
        </w:rPr>
        <w:t>施工及有关事项协商一致，共同达成如下协议：</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2" w:name="_Toc386638593"/>
      <w:r>
        <w:rPr>
          <w:rFonts w:hint="eastAsia" w:asciiTheme="majorEastAsia" w:hAnsiTheme="majorEastAsia" w:eastAsiaTheme="majorEastAsia" w:cstheme="majorEastAsia"/>
          <w:b w:val="0"/>
          <w:color w:val="000000"/>
          <w:sz w:val="21"/>
          <w:szCs w:val="21"/>
        </w:rPr>
        <w:t>一、工程概况</w:t>
      </w:r>
      <w:bookmarkEnd w:id="432"/>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宁海县城关中学操场塑胶等改造工程</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宁海县城关中学</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 xml:space="preserve">自筹 </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u w:val="single"/>
          <w:lang w:val="en-US"/>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color w:val="000000"/>
          <w:sz w:val="21"/>
          <w:szCs w:val="21"/>
          <w:u w:val="single"/>
          <w:lang w:val="en-US" w:eastAsia="zh-CN"/>
        </w:rPr>
        <w:t>该工程为操场改造工程，主要施工内容为操场改造、屋面改造等工程，包括原地面拆除8450m2、塑胶跑道5030m2，足球场地3420m2，屋面改造395m2等。</w:t>
      </w:r>
    </w:p>
    <w:p>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群体工程应附《承包人承揽工程项目一览表》（附件1）。</w:t>
      </w:r>
    </w:p>
    <w:p>
      <w:pPr>
        <w:keepNext w:val="0"/>
        <w:keepLines w:val="0"/>
        <w:pageBreakBefore w:val="0"/>
        <w:widowControl w:val="0"/>
        <w:numPr>
          <w:ilvl w:val="0"/>
          <w:numId w:val="9"/>
        </w:numPr>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u w:val="single"/>
        </w:rPr>
        <w:t>施工图范围内本工程的</w:t>
      </w:r>
      <w:r>
        <w:rPr>
          <w:rFonts w:hint="eastAsia" w:asciiTheme="majorEastAsia" w:hAnsiTheme="majorEastAsia" w:eastAsiaTheme="majorEastAsia" w:cstheme="majorEastAsia"/>
          <w:color w:val="000000"/>
          <w:sz w:val="21"/>
          <w:szCs w:val="21"/>
          <w:u w:val="single"/>
          <w:lang w:val="en-US" w:eastAsia="zh-CN"/>
        </w:rPr>
        <w:t>操场塑胶等改造</w:t>
      </w:r>
      <w:r>
        <w:rPr>
          <w:rFonts w:hint="eastAsia" w:asciiTheme="majorEastAsia" w:hAnsiTheme="majorEastAsia" w:eastAsiaTheme="majorEastAsia" w:cstheme="majorEastAsia"/>
          <w:color w:val="000000"/>
          <w:sz w:val="21"/>
          <w:szCs w:val="21"/>
          <w:u w:val="single"/>
        </w:rPr>
        <w:t xml:space="preserve">施工总承包（详见工程预算书） </w:t>
      </w:r>
      <w:r>
        <w:rPr>
          <w:rFonts w:hint="eastAsia" w:asciiTheme="majorEastAsia" w:hAnsiTheme="majorEastAsia" w:eastAsiaTheme="majorEastAsia" w:cstheme="majorEastAsia"/>
          <w:color w:val="000000"/>
          <w:sz w:val="21"/>
          <w:szCs w:val="21"/>
        </w:rPr>
        <w:t>。</w:t>
      </w:r>
    </w:p>
    <w:p>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33" w:name="_Toc386638594"/>
      <w:r>
        <w:rPr>
          <w:rFonts w:hint="eastAsia" w:asciiTheme="majorEastAsia" w:hAnsiTheme="majorEastAsia" w:eastAsiaTheme="majorEastAsia" w:cstheme="majorEastAsia"/>
          <w:color w:val="000000"/>
          <w:sz w:val="21"/>
          <w:szCs w:val="21"/>
        </w:rPr>
        <w:t>二、合同工期</w:t>
      </w:r>
      <w:bookmarkEnd w:id="433"/>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rPr>
        <w:t>2024</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 40</w:t>
      </w:r>
      <w:r>
        <w:rPr>
          <w:rFonts w:hint="eastAsia" w:asciiTheme="majorEastAsia" w:hAnsiTheme="majorEastAsia" w:eastAsiaTheme="majorEastAsia" w:cstheme="majorEastAsia"/>
          <w:color w:val="000000"/>
          <w:sz w:val="21"/>
          <w:szCs w:val="21"/>
          <w:u w:val="single"/>
        </w:rPr>
        <w:t>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4" w:name="_Toc386638595"/>
      <w:r>
        <w:rPr>
          <w:rFonts w:hint="eastAsia" w:asciiTheme="majorEastAsia" w:hAnsiTheme="majorEastAsia" w:eastAsiaTheme="majorEastAsia" w:cstheme="majorEastAsia"/>
          <w:b w:val="0"/>
          <w:color w:val="000000"/>
          <w:sz w:val="21"/>
          <w:szCs w:val="21"/>
        </w:rPr>
        <w:t>三、质量标准</w:t>
      </w:r>
      <w:bookmarkEnd w:id="434"/>
    </w:p>
    <w:p>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r>
        <w:rPr>
          <w:rFonts w:hint="eastAsia" w:asciiTheme="majorEastAsia" w:hAnsiTheme="majorEastAsia" w:eastAsiaTheme="majorEastAsia" w:cstheme="majorEastAsia"/>
          <w:b w:val="0"/>
          <w:color w:val="000000"/>
          <w:sz w:val="21"/>
          <w:szCs w:val="21"/>
        </w:rPr>
        <w:t xml:space="preserve"> </w:t>
      </w:r>
      <w:bookmarkStart w:id="435" w:name="_Toc386638596"/>
      <w:r>
        <w:rPr>
          <w:rFonts w:hint="eastAsia" w:asciiTheme="majorEastAsia" w:hAnsiTheme="majorEastAsia" w:eastAsiaTheme="majorEastAsia" w:cstheme="majorEastAsia"/>
          <w:b w:val="0"/>
          <w:color w:val="000000"/>
          <w:sz w:val="21"/>
          <w:szCs w:val="21"/>
        </w:rPr>
        <w:t>四、签约合同价与合同价格形式</w:t>
      </w:r>
      <w:bookmarkEnd w:id="435"/>
      <w:r>
        <w:rPr>
          <w:rFonts w:hint="eastAsia" w:asciiTheme="majorEastAsia" w:hAnsiTheme="majorEastAsia" w:eastAsiaTheme="majorEastAsia" w:cstheme="majorEastAsia"/>
          <w:b w:val="0"/>
          <w:color w:val="000000"/>
          <w:sz w:val="21"/>
          <w:szCs w:val="21"/>
        </w:rPr>
        <w:tab/>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pPr>
        <w:keepNext w:val="0"/>
        <w:keepLines w:val="0"/>
        <w:pageBreakBefore w:val="0"/>
        <w:widowControl w:val="0"/>
        <w:kinsoku/>
        <w:wordWrap/>
        <w:overflowPunct/>
        <w:topLinePunct w:val="0"/>
        <w:bidi w:val="0"/>
        <w:adjustRightInd w:val="0"/>
        <w:snapToGrid/>
        <w:spacing w:line="300" w:lineRule="exact"/>
        <w:ind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pPr>
        <w:keepNext w:val="0"/>
        <w:keepLines w:val="0"/>
        <w:pageBreakBefore w:val="0"/>
        <w:widowControl w:val="0"/>
        <w:numPr>
          <w:ilvl w:val="0"/>
          <w:numId w:val="10"/>
        </w:numPr>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6" w:name="_Toc386638597"/>
    </w:p>
    <w:p>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6"/>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37" w:name="_Toc386638598"/>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37"/>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8" w:name="_Toc386638599"/>
      <w:r>
        <w:rPr>
          <w:rFonts w:hint="eastAsia" w:asciiTheme="majorEastAsia" w:hAnsiTheme="majorEastAsia" w:eastAsiaTheme="majorEastAsia" w:cstheme="majorEastAsia"/>
          <w:b w:val="0"/>
          <w:color w:val="000000"/>
          <w:sz w:val="21"/>
          <w:szCs w:val="21"/>
        </w:rPr>
        <w:t>七、承诺</w:t>
      </w:r>
      <w:bookmarkEnd w:id="438"/>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39" w:name="_Toc386638600"/>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39"/>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40" w:name="_Toc386638601"/>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40"/>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41" w:name="_Toc386638602"/>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41"/>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42" w:name="_Toc386638603"/>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42"/>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43" w:name="_Toc386638604"/>
      <w:r>
        <w:rPr>
          <w:rFonts w:hint="eastAsia" w:asciiTheme="majorEastAsia" w:hAnsiTheme="majorEastAsia" w:eastAsiaTheme="majorEastAsia" w:cstheme="majorEastAsia"/>
          <w:b w:val="0"/>
          <w:color w:val="000000"/>
          <w:sz w:val="21"/>
          <w:szCs w:val="21"/>
        </w:rPr>
        <w:t>十三、合同份数</w:t>
      </w:r>
      <w:bookmarkEnd w:id="443"/>
    </w:p>
    <w:p>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p>
    <w:p>
      <w:pPr>
        <w:keepNext w:val="0"/>
        <w:keepLines w:val="0"/>
        <w:pageBreakBefore w:val="0"/>
        <w:widowControl w:val="0"/>
        <w:tabs>
          <w:tab w:val="left" w:pos="4410"/>
        </w:tabs>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pPr>
        <w:pStyle w:val="7"/>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444" w:name="_Toc386638605"/>
      <w:r>
        <w:rPr>
          <w:rFonts w:ascii="黑体" w:hAnsi="宋体" w:eastAsia="黑体"/>
          <w:color w:val="000000"/>
        </w:rPr>
        <w:t>第二部分 通用合同条款</w:t>
      </w:r>
      <w:bookmarkEnd w:id="444"/>
      <w:bookmarkStart w:id="445" w:name="_Toc337558727"/>
    </w:p>
    <w:p>
      <w:pPr>
        <w:pageBreakBefore w:val="0"/>
        <w:kinsoku/>
        <w:wordWrap/>
        <w:overflowPunct/>
        <w:topLinePunct w:val="0"/>
        <w:bidi w:val="0"/>
        <w:adjustRightInd w:val="0"/>
        <w:snapToGrid/>
        <w:spacing w:line="320" w:lineRule="exact"/>
        <w:ind w:firstLine="480" w:firstLineChars="229"/>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5"/>
    <w:p>
      <w:pPr>
        <w:pageBreakBefore w:val="0"/>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bookmarkStart w:id="446" w:name="_Toc411083384"/>
      <w:bookmarkStart w:id="447" w:name="_Toc296347162"/>
      <w:bookmarkStart w:id="448" w:name="_Toc296891203"/>
      <w:bookmarkStart w:id="449" w:name="_Toc296890991"/>
      <w:bookmarkStart w:id="450" w:name="_Toc292559872"/>
      <w:bookmarkStart w:id="451" w:name="_Toc297048349"/>
      <w:bookmarkStart w:id="452" w:name="_Toc292559367"/>
      <w:bookmarkStart w:id="453" w:name="_Toc296944502"/>
      <w:bookmarkStart w:id="454" w:name="_Toc296346664"/>
      <w:bookmarkStart w:id="455" w:name="_Toc296503163"/>
      <w:bookmarkStart w:id="456" w:name="_Toc297120463"/>
    </w:p>
    <w:p>
      <w:pPr>
        <w:pageBreakBefore w:val="0"/>
        <w:numPr>
          <w:ilvl w:val="0"/>
          <w:numId w:val="11"/>
        </w:numPr>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6"/>
      <w:bookmarkStart w:id="457" w:name="_Toc351203633"/>
      <w:bookmarkStart w:id="458" w:name="_Toc386638607"/>
      <w:bookmarkStart w:id="459" w:name="_Toc292559361"/>
      <w:bookmarkStart w:id="460" w:name="_Toc296891196"/>
      <w:bookmarkStart w:id="461" w:name="_Toc297048342"/>
      <w:bookmarkStart w:id="462" w:name="_Toc292559866"/>
      <w:bookmarkStart w:id="463" w:name="_Toc296944495"/>
      <w:bookmarkStart w:id="464" w:name="_Toc297120456"/>
      <w:bookmarkStart w:id="465" w:name="_Toc296346657"/>
      <w:bookmarkStart w:id="466" w:name="_Toc296347155"/>
      <w:bookmarkStart w:id="467" w:name="_Toc296503156"/>
      <w:bookmarkStart w:id="468" w:name="_Toc296890984"/>
    </w:p>
    <w:p>
      <w:pPr>
        <w:pageBreakBefore w:val="0"/>
        <w:numPr>
          <w:ilvl w:val="0"/>
          <w:numId w:val="0"/>
        </w:numPr>
        <w:kinsoku/>
        <w:wordWrap/>
        <w:overflowPunct/>
        <w:topLinePunct w:val="0"/>
        <w:bidi w:val="0"/>
        <w:adjustRightInd w:val="0"/>
        <w:snapToGrid/>
        <w:spacing w:line="320" w:lineRule="exact"/>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7"/>
      <w:bookmarkEnd w:id="458"/>
    </w:p>
    <w:bookmarkEnd w:id="459"/>
    <w:bookmarkEnd w:id="460"/>
    <w:bookmarkEnd w:id="461"/>
    <w:bookmarkEnd w:id="462"/>
    <w:bookmarkEnd w:id="463"/>
    <w:bookmarkEnd w:id="464"/>
    <w:bookmarkEnd w:id="465"/>
    <w:bookmarkEnd w:id="466"/>
    <w:bookmarkEnd w:id="467"/>
    <w:bookmarkEnd w:id="468"/>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pPr>
        <w:pageBreakBefore w:val="0"/>
        <w:kinsoku/>
        <w:wordWrap/>
        <w:overflowPunct/>
        <w:topLinePunct w:val="0"/>
        <w:autoSpaceDE w:val="0"/>
        <w:autoSpaceDN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pPr>
        <w:pageBreakBefore w:val="0"/>
        <w:kinsoku/>
        <w:wordWrap/>
        <w:overflowPunct/>
        <w:topLinePunct w:val="0"/>
        <w:bidi w:val="0"/>
        <w:adjustRightInd w:val="0"/>
        <w:snapToGrid/>
        <w:spacing w:line="320" w:lineRule="exact"/>
        <w:ind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9" w:name="_Toc312677986"/>
      <w:bookmarkStart w:id="470" w:name="_Toc300934943"/>
      <w:bookmarkStart w:id="471" w:name="_Toc303539100"/>
      <w:bookmarkStart w:id="472" w:name="_Toc304295521"/>
      <w:bookmarkStart w:id="473" w:name="_Toc318581155"/>
      <w:r>
        <w:rPr>
          <w:rFonts w:hint="eastAsia" w:ascii="宋体" w:hAnsi="宋体" w:cs="宋体"/>
          <w:color w:val="000000"/>
          <w:sz w:val="21"/>
          <w:szCs w:val="21"/>
        </w:rPr>
        <w:t>.10.1 出入现场的权利</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69"/>
    <w:bookmarkEnd w:id="470"/>
    <w:bookmarkEnd w:id="471"/>
    <w:bookmarkEnd w:id="472"/>
    <w:bookmarkEnd w:id="473"/>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74" w:name="_Toc312677987"/>
      <w:bookmarkStart w:id="475" w:name="_Toc304295522"/>
      <w:bookmarkStart w:id="476" w:name="_Toc300934944"/>
      <w:bookmarkStart w:id="477" w:name="_Toc318581156"/>
      <w:bookmarkStart w:id="478" w:name="_Toc303539101"/>
      <w:r>
        <w:rPr>
          <w:rFonts w:hint="eastAsia" w:ascii="宋体" w:hAnsi="宋体" w:cs="宋体"/>
          <w:color w:val="000000"/>
          <w:sz w:val="21"/>
          <w:szCs w:val="21"/>
        </w:rPr>
        <w:t>.10.3 场内交通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74"/>
      <w:bookmarkEnd w:id="475"/>
      <w:bookmarkEnd w:id="476"/>
      <w:bookmarkEnd w:id="477"/>
      <w:bookmarkEnd w:id="478"/>
      <w:r>
        <w:rPr>
          <w:rFonts w:hint="eastAsia" w:ascii="宋体" w:hAnsi="宋体" w:cs="宋体"/>
          <w:color w:val="000000"/>
          <w:sz w:val="21"/>
          <w:szCs w:val="21"/>
        </w:rPr>
        <w:t xml:space="preserve">  </w:t>
      </w:r>
      <w:bookmarkStart w:id="479" w:name="_Toc318581157"/>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79"/>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480" w:name="_Toc386638608"/>
      <w:bookmarkStart w:id="481" w:name="_Toc351203634"/>
      <w:r>
        <w:rPr>
          <w:rFonts w:ascii="宋体" w:hAnsi="宋体"/>
          <w:color w:val="000000"/>
          <w:sz w:val="21"/>
          <w:szCs w:val="21"/>
        </w:rPr>
        <w:t>1.13工程量清单错误的修正</w:t>
      </w:r>
    </w:p>
    <w:p>
      <w:pPr>
        <w:pageBreakBefore w:val="0"/>
        <w:kinsoku/>
        <w:wordWrap/>
        <w:overflowPunct/>
        <w:topLinePunct w:val="0"/>
        <w:bidi w:val="0"/>
        <w:adjustRightInd w:val="0"/>
        <w:snapToGrid/>
        <w:spacing w:line="320" w:lineRule="exact"/>
        <w:ind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82" w:name="_Toc297048343"/>
      <w:bookmarkStart w:id="483" w:name="_Toc296944496"/>
      <w:bookmarkStart w:id="484" w:name="_Toc296503157"/>
      <w:bookmarkStart w:id="485" w:name="_Toc292559867"/>
      <w:bookmarkStart w:id="486" w:name="_Toc296891197"/>
      <w:bookmarkStart w:id="487" w:name="_Toc297120457"/>
      <w:bookmarkStart w:id="488" w:name="_Toc296890985"/>
      <w:bookmarkStart w:id="489" w:name="_Toc296346658"/>
      <w:bookmarkStart w:id="490" w:name="_Toc296347156"/>
      <w:bookmarkStart w:id="491" w:name="_Toc292559362"/>
      <w:r>
        <w:rPr>
          <w:rFonts w:hint="eastAsia" w:ascii="宋体" w:hAnsi="宋体" w:eastAsia="宋体" w:cs="宋体"/>
          <w:b w:val="0"/>
          <w:color w:val="000000"/>
          <w:sz w:val="21"/>
          <w:szCs w:val="21"/>
        </w:rPr>
        <w:t>. 发包人</w:t>
      </w:r>
      <w:bookmarkEnd w:id="480"/>
      <w:bookmarkEnd w:id="481"/>
    </w:p>
    <w:bookmarkEnd w:id="482"/>
    <w:bookmarkEnd w:id="483"/>
    <w:bookmarkEnd w:id="484"/>
    <w:bookmarkEnd w:id="485"/>
    <w:bookmarkEnd w:id="486"/>
    <w:bookmarkEnd w:id="487"/>
    <w:bookmarkEnd w:id="488"/>
    <w:bookmarkEnd w:id="489"/>
    <w:bookmarkEnd w:id="490"/>
    <w:bookmarkEnd w:id="49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492" w:name="_Toc386638609"/>
      <w:bookmarkStart w:id="493" w:name="_Toc351203635"/>
      <w:r>
        <w:rPr>
          <w:rFonts w:hint="eastAsia" w:ascii="宋体" w:hAnsi="宋体" w:eastAsia="宋体" w:cs="宋体"/>
          <w:b w:val="0"/>
          <w:color w:val="000000"/>
          <w:sz w:val="21"/>
          <w:szCs w:val="21"/>
        </w:rPr>
        <w:t>3</w:t>
      </w:r>
      <w:bookmarkStart w:id="494" w:name="_Toc296503158"/>
      <w:bookmarkStart w:id="495" w:name="_Toc296944497"/>
      <w:bookmarkStart w:id="496" w:name="_Toc292559363"/>
      <w:bookmarkStart w:id="497" w:name="_Toc296890986"/>
      <w:bookmarkStart w:id="498" w:name="_Toc296347157"/>
      <w:bookmarkStart w:id="499" w:name="_Toc297048344"/>
      <w:bookmarkStart w:id="500" w:name="_Toc297120458"/>
      <w:bookmarkStart w:id="501" w:name="_Toc292559868"/>
      <w:bookmarkStart w:id="502" w:name="_Toc296891198"/>
      <w:bookmarkStart w:id="503" w:name="_Toc296346659"/>
      <w:r>
        <w:rPr>
          <w:rFonts w:hint="eastAsia" w:ascii="宋体" w:hAnsi="宋体" w:eastAsia="宋体" w:cs="宋体"/>
          <w:b w:val="0"/>
          <w:color w:val="000000"/>
          <w:sz w:val="21"/>
          <w:szCs w:val="21"/>
        </w:rPr>
        <w:t>. 承包人</w:t>
      </w:r>
      <w:bookmarkEnd w:id="492"/>
      <w:bookmarkEnd w:id="493"/>
    </w:p>
    <w:bookmarkEnd w:id="494"/>
    <w:bookmarkEnd w:id="495"/>
    <w:bookmarkEnd w:id="496"/>
    <w:bookmarkEnd w:id="497"/>
    <w:bookmarkEnd w:id="498"/>
    <w:bookmarkEnd w:id="499"/>
    <w:bookmarkEnd w:id="500"/>
    <w:bookmarkEnd w:id="501"/>
    <w:bookmarkEnd w:id="502"/>
    <w:bookmarkEnd w:id="503"/>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按宁海县城建档案归档要求提交竣工资料</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承包人应在合同备案前将项目管理机构及施工现场管理人员报招标代理机构审查，并报发包人备案。(详见附表二：项目部关键岗位人员配备表)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04" w:name="_Toc303539102"/>
      <w:bookmarkStart w:id="505" w:name="_Toc297048345"/>
      <w:bookmarkStart w:id="506" w:name="_Toc297123492"/>
      <w:bookmarkStart w:id="507" w:name="_Toc296346660"/>
      <w:bookmarkStart w:id="508" w:name="_Toc296891199"/>
      <w:bookmarkStart w:id="509" w:name="_Toc297216151"/>
      <w:bookmarkStart w:id="510" w:name="_Toc300934945"/>
      <w:bookmarkStart w:id="511" w:name="_Toc296944498"/>
      <w:bookmarkStart w:id="512" w:name="_Toc304295523"/>
      <w:bookmarkStart w:id="513" w:name="_Toc296890987"/>
      <w:bookmarkStart w:id="514" w:name="_Toc296347158"/>
      <w:bookmarkStart w:id="515" w:name="_Toc312677988"/>
      <w:bookmarkStart w:id="516" w:name="_Toc292559869"/>
      <w:bookmarkStart w:id="517" w:name="_Toc292559364"/>
      <w:bookmarkStart w:id="518" w:name="_Toc296503159"/>
      <w:bookmarkStart w:id="519" w:name="_Toc297120459"/>
      <w:r>
        <w:rPr>
          <w:rFonts w:hint="eastAsia" w:ascii="宋体" w:hAnsi="宋体" w:cs="宋体"/>
          <w:color w:val="000000"/>
          <w:sz w:val="21"/>
          <w:szCs w:val="21"/>
        </w:rPr>
        <w:t>.5 分包</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20" w:name="_Toc318581158"/>
      <w:bookmarkStart w:id="521" w:name="_Toc296347159"/>
      <w:bookmarkStart w:id="522" w:name="_Toc292559365"/>
      <w:bookmarkStart w:id="523" w:name="_Toc300934946"/>
      <w:bookmarkStart w:id="524" w:name="_Toc297216152"/>
      <w:bookmarkStart w:id="525" w:name="_Toc296503160"/>
      <w:bookmarkStart w:id="526" w:name="_Toc296890988"/>
      <w:bookmarkStart w:id="527" w:name="_Toc312677989"/>
      <w:bookmarkStart w:id="528" w:name="_Toc296891200"/>
      <w:bookmarkStart w:id="529" w:name="_Toc292559870"/>
      <w:bookmarkStart w:id="530" w:name="_Toc304295524"/>
      <w:bookmarkStart w:id="531" w:name="_Toc296944499"/>
      <w:bookmarkStart w:id="532" w:name="_Toc297048346"/>
      <w:bookmarkStart w:id="533" w:name="_Toc297123493"/>
      <w:bookmarkStart w:id="534" w:name="_Toc297120460"/>
      <w:bookmarkStart w:id="535" w:name="_Toc296346661"/>
      <w:bookmarkStart w:id="536" w:name="_Toc303539103"/>
      <w:r>
        <w:rPr>
          <w:rFonts w:hint="eastAsia" w:ascii="宋体" w:hAnsi="宋体" w:cs="宋体"/>
          <w:color w:val="000000"/>
          <w:sz w:val="21"/>
          <w:szCs w:val="21"/>
        </w:rPr>
        <w:t>.5.1 分包的一般约定</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37" w:name="_Toc318581159"/>
      <w:bookmarkStart w:id="538" w:name="_Toc312677990"/>
      <w:r>
        <w:rPr>
          <w:rFonts w:hint="eastAsia" w:ascii="宋体" w:hAnsi="宋体" w:cs="宋体"/>
          <w:color w:val="000000"/>
          <w:sz w:val="21"/>
          <w:szCs w:val="21"/>
        </w:rPr>
        <w:t>.5.2分包的确定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37"/>
    <w:bookmarkEnd w:id="538"/>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539" w:name="_Toc386638610"/>
      <w:bookmarkStart w:id="540" w:name="_Toc351203636"/>
      <w:r>
        <w:rPr>
          <w:rFonts w:ascii="宋体" w:hAnsi="宋体"/>
          <w:color w:val="000000"/>
          <w:sz w:val="21"/>
          <w:szCs w:val="21"/>
        </w:rPr>
        <w:t>3.7 履约担保</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7天内承包人向发包人提供符合本合同附件 8《履约保函》格式的银行保函一份或与保险公司签订的履约保证保险合同一份。</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41" w:name="_Toc296890990"/>
      <w:bookmarkStart w:id="542" w:name="_Toc296503162"/>
      <w:bookmarkStart w:id="543" w:name="_Toc296944501"/>
      <w:bookmarkStart w:id="544" w:name="_Toc297048348"/>
      <w:bookmarkStart w:id="545" w:name="_Toc296891202"/>
      <w:bookmarkStart w:id="546" w:name="_Toc296346663"/>
      <w:bookmarkStart w:id="547" w:name="_Toc292559871"/>
      <w:bookmarkStart w:id="548" w:name="_Toc296347161"/>
      <w:bookmarkStart w:id="549" w:name="_Toc267251413"/>
      <w:bookmarkStart w:id="550" w:name="_Toc292559366"/>
      <w:bookmarkStart w:id="551" w:name="_Toc297120462"/>
      <w:r>
        <w:rPr>
          <w:rFonts w:hint="eastAsia" w:ascii="宋体" w:hAnsi="宋体" w:eastAsia="宋体" w:cs="宋体"/>
          <w:b w:val="0"/>
          <w:color w:val="000000"/>
          <w:sz w:val="21"/>
          <w:szCs w:val="21"/>
        </w:rPr>
        <w:t>. 监</w:t>
      </w:r>
      <w:bookmarkEnd w:id="541"/>
      <w:bookmarkEnd w:id="542"/>
      <w:bookmarkEnd w:id="543"/>
      <w:bookmarkEnd w:id="544"/>
      <w:bookmarkEnd w:id="545"/>
      <w:bookmarkEnd w:id="546"/>
      <w:bookmarkEnd w:id="547"/>
      <w:bookmarkEnd w:id="548"/>
      <w:bookmarkEnd w:id="549"/>
      <w:bookmarkEnd w:id="550"/>
      <w:bookmarkEnd w:id="551"/>
      <w:r>
        <w:rPr>
          <w:rFonts w:hint="eastAsia" w:ascii="宋体" w:hAnsi="宋体" w:eastAsia="宋体" w:cs="宋体"/>
          <w:b w:val="0"/>
          <w:color w:val="000000"/>
          <w:sz w:val="21"/>
          <w:szCs w:val="21"/>
        </w:rPr>
        <w:t>理人</w:t>
      </w:r>
      <w:bookmarkEnd w:id="539"/>
      <w:bookmarkEnd w:id="540"/>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552" w:name="_Toc267251418"/>
      <w:bookmarkStart w:id="553" w:name="_Toc386638611"/>
      <w:bookmarkStart w:id="554" w:name="_Toc351203637"/>
      <w:r>
        <w:rPr>
          <w:rFonts w:hint="eastAsia" w:ascii="宋体" w:hAnsi="宋体" w:eastAsia="宋体" w:cs="宋体"/>
          <w:b w:val="0"/>
          <w:color w:val="000000"/>
          <w:sz w:val="21"/>
          <w:szCs w:val="21"/>
        </w:rPr>
        <w:t>5</w:t>
      </w:r>
      <w:bookmarkEnd w:id="552"/>
      <w:r>
        <w:rPr>
          <w:rFonts w:hint="eastAsia" w:ascii="宋体" w:hAnsi="宋体" w:eastAsia="宋体" w:cs="宋体"/>
          <w:b w:val="0"/>
          <w:color w:val="000000"/>
          <w:sz w:val="21"/>
          <w:szCs w:val="21"/>
        </w:rPr>
        <w:t>. 工程质量</w:t>
      </w:r>
      <w:bookmarkEnd w:id="553"/>
      <w:bookmarkEnd w:id="554"/>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5" w:name="_Toc297123496"/>
      <w:bookmarkStart w:id="556" w:name="_Toc300934949"/>
      <w:bookmarkStart w:id="557" w:name="_Toc304295527"/>
      <w:bookmarkStart w:id="558" w:name="_Toc312677997"/>
      <w:bookmarkStart w:id="559" w:name="_Toc303539106"/>
      <w:bookmarkStart w:id="560" w:name="_Toc297216155"/>
      <w:bookmarkStart w:id="561" w:name="_Toc318581164"/>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pPr>
        <w:pStyle w:val="9"/>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2" w:name="_Toc351203638"/>
      <w:bookmarkStart w:id="563" w:name="_Toc386638612"/>
      <w:r>
        <w:rPr>
          <w:rFonts w:hint="eastAsia" w:ascii="宋体" w:hAnsi="宋体" w:eastAsia="宋体" w:cs="宋体"/>
          <w:b w:val="0"/>
          <w:color w:val="000000"/>
          <w:sz w:val="21"/>
          <w:szCs w:val="21"/>
        </w:rPr>
        <w:t>6. 安全文明施工与环境保护</w:t>
      </w:r>
      <w:bookmarkEnd w:id="562"/>
      <w:bookmarkEnd w:id="563"/>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5"/>
    <w:bookmarkEnd w:id="556"/>
    <w:bookmarkEnd w:id="557"/>
    <w:bookmarkEnd w:id="558"/>
    <w:bookmarkEnd w:id="559"/>
    <w:bookmarkEnd w:id="560"/>
    <w:bookmarkEnd w:id="561"/>
    <w:p>
      <w:pPr>
        <w:pStyle w:val="9"/>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64" w:name="_Toc351203639"/>
      <w:bookmarkStart w:id="565" w:name="_Toc386638613"/>
      <w:r>
        <w:rPr>
          <w:rFonts w:hint="eastAsia" w:ascii="宋体" w:hAnsi="宋体" w:eastAsia="宋体" w:cs="宋体"/>
          <w:b w:val="0"/>
          <w:color w:val="000000"/>
          <w:sz w:val="21"/>
          <w:szCs w:val="21"/>
        </w:rPr>
        <w:t>7. 工期和进度</w:t>
      </w:r>
      <w:bookmarkEnd w:id="564"/>
      <w:bookmarkEnd w:id="565"/>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pPr>
        <w:pageBreakBefore w:val="0"/>
        <w:kinsoku/>
        <w:wordWrap/>
        <w:overflowPunct/>
        <w:topLinePunct w:val="0"/>
        <w:autoSpaceDE w:val="0"/>
        <w:autoSpaceDN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6" w:name="_Toc312678005"/>
      <w:bookmarkStart w:id="567" w:name="_Toc304295541"/>
      <w:bookmarkStart w:id="568" w:name="_Toc297123514"/>
      <w:bookmarkStart w:id="569" w:name="_Toc312677479"/>
      <w:bookmarkStart w:id="570" w:name="_Toc297216173"/>
      <w:bookmarkStart w:id="571" w:name="_Toc303539123"/>
      <w:bookmarkStart w:id="572" w:name="_Toc300934966"/>
      <w:r>
        <w:rPr>
          <w:rFonts w:hint="eastAsia" w:ascii="宋体" w:hAnsi="宋体" w:cs="宋体"/>
          <w:color w:val="000000"/>
          <w:sz w:val="21"/>
          <w:szCs w:val="21"/>
        </w:rPr>
        <w:t>.2 施工进度计划</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6"/>
    <w:bookmarkEnd w:id="567"/>
    <w:bookmarkEnd w:id="568"/>
    <w:bookmarkEnd w:id="569"/>
    <w:bookmarkEnd w:id="570"/>
    <w:bookmarkEnd w:id="571"/>
    <w:bookmarkEnd w:id="572"/>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3" w:name="_Toc312678010"/>
      <w:bookmarkStart w:id="574" w:name="_Toc312677484"/>
      <w:bookmarkStart w:id="575" w:name="_Toc304295546"/>
      <w:bookmarkStart w:id="576" w:name="_Toc300934968"/>
      <w:bookmarkStart w:id="577" w:name="_Toc303539125"/>
      <w:bookmarkStart w:id="578" w:name="_Toc297216175"/>
      <w:bookmarkStart w:id="579" w:name="_Toc297123516"/>
      <w:r>
        <w:rPr>
          <w:rFonts w:hint="eastAsia" w:ascii="宋体" w:hAnsi="宋体" w:cs="宋体"/>
          <w:color w:val="000000"/>
          <w:sz w:val="21"/>
          <w:szCs w:val="21"/>
        </w:rPr>
        <w:t>.5 工期延误</w:t>
      </w:r>
    </w:p>
    <w:bookmarkEnd w:id="573"/>
    <w:bookmarkEnd w:id="574"/>
    <w:bookmarkEnd w:id="575"/>
    <w:bookmarkEnd w:id="576"/>
    <w:bookmarkEnd w:id="577"/>
    <w:bookmarkEnd w:id="578"/>
    <w:bookmarkEnd w:id="579"/>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80" w:name="_Toc318581169"/>
      <w:bookmarkStart w:id="581" w:name="_Toc312677486"/>
      <w:bookmarkStart w:id="582" w:name="_Toc312678012"/>
      <w:bookmarkStart w:id="583" w:name="_Toc304295548"/>
      <w:bookmarkStart w:id="584" w:name="_Toc300934970"/>
      <w:bookmarkStart w:id="585" w:name="_Toc303539127"/>
      <w:bookmarkStart w:id="586" w:name="_Toc297123518"/>
      <w:bookmarkStart w:id="587" w:name="_Toc297216177"/>
      <w:r>
        <w:rPr>
          <w:rFonts w:hint="eastAsia" w:ascii="宋体" w:hAnsi="宋体" w:cs="宋体"/>
          <w:color w:val="000000"/>
          <w:sz w:val="21"/>
          <w:szCs w:val="21"/>
        </w:rPr>
        <w:t>.5.2 因承包人原因导致工期延误</w:t>
      </w:r>
    </w:p>
    <w:bookmarkEnd w:id="580"/>
    <w:bookmarkEnd w:id="581"/>
    <w:bookmarkEnd w:id="582"/>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88" w:name="_Toc312677487"/>
      <w:bookmarkStart w:id="589" w:name="_Toc312678013"/>
      <w:bookmarkStart w:id="590"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83"/>
      <w:bookmarkEnd w:id="584"/>
      <w:bookmarkEnd w:id="585"/>
      <w:bookmarkEnd w:id="586"/>
      <w:bookmarkEnd w:id="587"/>
      <w:bookmarkEnd w:id="588"/>
      <w:bookmarkEnd w:id="589"/>
    </w:p>
    <w:bookmarkEnd w:id="590"/>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91" w:name="_Toc318581171"/>
      <w:bookmarkStart w:id="592" w:name="_Toc312678014"/>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91"/>
    <w:bookmarkEnd w:id="592"/>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93" w:name="_Toc303539128"/>
      <w:bookmarkStart w:id="594" w:name="_Toc297216178"/>
      <w:bookmarkStart w:id="595" w:name="_Toc297123519"/>
      <w:bookmarkStart w:id="596" w:name="_Toc312678015"/>
      <w:bookmarkStart w:id="597" w:name="_Toc304295549"/>
      <w:bookmarkStart w:id="598" w:name="_Toc300934971"/>
      <w:r>
        <w:rPr>
          <w:rFonts w:hint="eastAsia" w:ascii="宋体" w:hAnsi="宋体" w:cs="宋体"/>
          <w:color w:val="000000"/>
          <w:sz w:val="21"/>
          <w:szCs w:val="21"/>
        </w:rPr>
        <w:t>.6 不</w:t>
      </w:r>
      <w:bookmarkEnd w:id="593"/>
      <w:bookmarkEnd w:id="594"/>
      <w:bookmarkEnd w:id="595"/>
      <w:bookmarkEnd w:id="596"/>
      <w:bookmarkEnd w:id="597"/>
      <w:bookmarkEnd w:id="598"/>
      <w:r>
        <w:rPr>
          <w:rFonts w:hint="eastAsia" w:ascii="宋体" w:hAnsi="宋体" w:cs="宋体"/>
          <w:color w:val="000000"/>
          <w:sz w:val="21"/>
          <w:szCs w:val="21"/>
        </w:rPr>
        <w:t>利物质条件</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u w:val="single"/>
        </w:rPr>
      </w:pPr>
      <w:bookmarkStart w:id="599" w:name="_Toc304295550"/>
      <w:bookmarkStart w:id="600" w:name="_Toc303539129"/>
      <w:bookmarkStart w:id="601" w:name="_Toc312678016"/>
      <w:bookmarkStart w:id="602" w:name="_Toc318581172"/>
      <w:bookmarkStart w:id="603" w:name="_Toc300934972"/>
      <w:bookmarkStart w:id="604" w:name="_Toc297123520"/>
      <w:bookmarkStart w:id="605" w:name="_Toc297216179"/>
      <w:r>
        <w:rPr>
          <w:rFonts w:hint="eastAsia" w:ascii="宋体" w:hAnsi="宋体" w:cs="宋体"/>
          <w:color w:val="000000"/>
          <w:sz w:val="21"/>
          <w:szCs w:val="21"/>
        </w:rPr>
        <w:t>不利物质条件的其他情形和有关约定：</w:t>
      </w:r>
      <w:bookmarkEnd w:id="599"/>
      <w:bookmarkEnd w:id="600"/>
      <w:bookmarkEnd w:id="601"/>
      <w:bookmarkEnd w:id="602"/>
      <w:bookmarkEnd w:id="603"/>
      <w:bookmarkEnd w:id="604"/>
      <w:bookmarkEnd w:id="605"/>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6" w:name="_Toc304295551"/>
      <w:bookmarkStart w:id="607" w:name="_Toc300934973"/>
      <w:bookmarkStart w:id="608" w:name="_Toc297123521"/>
      <w:bookmarkStart w:id="609" w:name="_Toc303539130"/>
      <w:bookmarkStart w:id="610" w:name="_Toc297216180"/>
      <w:bookmarkStart w:id="611" w:name="_Toc312678017"/>
      <w:r>
        <w:rPr>
          <w:rFonts w:hint="eastAsia" w:ascii="宋体" w:hAnsi="宋体" w:cs="宋体"/>
          <w:color w:val="000000"/>
          <w:sz w:val="21"/>
          <w:szCs w:val="21"/>
        </w:rPr>
        <w:t>.7异常恶劣的气候条件</w:t>
      </w:r>
      <w:bookmarkEnd w:id="606"/>
      <w:bookmarkEnd w:id="607"/>
      <w:bookmarkEnd w:id="608"/>
      <w:bookmarkEnd w:id="609"/>
      <w:bookmarkEnd w:id="610"/>
      <w:bookmarkEnd w:id="611"/>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12" w:name="_Toc351203640"/>
      <w:bookmarkStart w:id="613" w:name="_Toc386638614"/>
      <w:r>
        <w:rPr>
          <w:rFonts w:hint="eastAsia" w:ascii="宋体" w:hAnsi="宋体" w:eastAsia="宋体" w:cs="宋体"/>
          <w:b w:val="0"/>
          <w:color w:val="000000"/>
          <w:sz w:val="21"/>
          <w:szCs w:val="21"/>
        </w:rPr>
        <w:t>8. 材料与设备</w:t>
      </w:r>
      <w:bookmarkEnd w:id="612"/>
      <w:bookmarkEnd w:id="613"/>
    </w:p>
    <w:bookmarkEnd w:id="447"/>
    <w:bookmarkEnd w:id="448"/>
    <w:bookmarkEnd w:id="449"/>
    <w:bookmarkEnd w:id="450"/>
    <w:bookmarkEnd w:id="451"/>
    <w:bookmarkEnd w:id="452"/>
    <w:bookmarkEnd w:id="453"/>
    <w:bookmarkEnd w:id="454"/>
    <w:bookmarkEnd w:id="455"/>
    <w:bookmarkEnd w:id="456"/>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14" w:name="_Toc312678019"/>
      <w:bookmarkStart w:id="615" w:name="_Toc297120467"/>
      <w:bookmarkStart w:id="616" w:name="_Toc297216186"/>
      <w:bookmarkStart w:id="617" w:name="_Toc312677493"/>
      <w:bookmarkStart w:id="618" w:name="_Toc303539136"/>
      <w:bookmarkStart w:id="619" w:name="_Toc300934979"/>
      <w:bookmarkStart w:id="620" w:name="_Toc280868654"/>
      <w:bookmarkStart w:id="621" w:name="_Toc296503167"/>
      <w:bookmarkStart w:id="622" w:name="_Toc296347166"/>
      <w:bookmarkStart w:id="623" w:name="_Toc296346668"/>
      <w:bookmarkStart w:id="624" w:name="_Toc292559877"/>
      <w:bookmarkStart w:id="625" w:name="_Toc304295556"/>
      <w:bookmarkStart w:id="626" w:name="_Toc296944506"/>
      <w:bookmarkStart w:id="627" w:name="_Toc297123527"/>
      <w:bookmarkStart w:id="628" w:name="_Toc296891207"/>
      <w:bookmarkStart w:id="629" w:name="_Toc296890995"/>
      <w:bookmarkStart w:id="630" w:name="_Toc297048353"/>
      <w:bookmarkStart w:id="631" w:name="_Toc292559372"/>
      <w:bookmarkStart w:id="632" w:name="_Toc280868655"/>
      <w:bookmarkStart w:id="633" w:name="_Toc280868656"/>
      <w:bookmarkStart w:id="634" w:name="_Toc267251424"/>
      <w:r>
        <w:rPr>
          <w:rFonts w:hint="eastAsia" w:ascii="宋体" w:hAnsi="宋体" w:cs="宋体"/>
          <w:color w:val="000000"/>
          <w:sz w:val="21"/>
          <w:szCs w:val="21"/>
        </w:rPr>
        <w:t>.4材料与工程设备的保管与使用</w:t>
      </w:r>
    </w:p>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5" w:name="_Toc292559373"/>
      <w:bookmarkStart w:id="636" w:name="_Toc292559878"/>
      <w:bookmarkStart w:id="637" w:name="_Toc297216187"/>
      <w:bookmarkStart w:id="638" w:name="_Toc303539137"/>
      <w:bookmarkStart w:id="639" w:name="_Toc296346669"/>
      <w:bookmarkStart w:id="640" w:name="_Toc297120468"/>
      <w:bookmarkStart w:id="641" w:name="_Toc297048354"/>
      <w:bookmarkStart w:id="642" w:name="_Toc296347167"/>
      <w:bookmarkStart w:id="643" w:name="_Toc318581173"/>
      <w:bookmarkStart w:id="644" w:name="_Toc312678020"/>
      <w:bookmarkStart w:id="645" w:name="_Toc296944507"/>
      <w:bookmarkStart w:id="646" w:name="_Toc296503168"/>
      <w:bookmarkStart w:id="647" w:name="_Toc296891208"/>
      <w:bookmarkStart w:id="648" w:name="_Toc304295557"/>
      <w:bookmarkStart w:id="649" w:name="_Toc297123528"/>
      <w:bookmarkStart w:id="650" w:name="_Toc312677494"/>
      <w:bookmarkStart w:id="651" w:name="_Toc300934980"/>
      <w:bookmarkStart w:id="652" w:name="_Toc296890996"/>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5"/>
      <w:bookmarkEnd w:id="636"/>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53" w:name="_Toc386638615"/>
      <w:bookmarkStart w:id="654" w:name="_Toc351203641"/>
      <w:r>
        <w:rPr>
          <w:rFonts w:hint="eastAsia" w:ascii="宋体" w:hAnsi="宋体" w:eastAsia="宋体" w:cs="宋体"/>
          <w:b w:val="0"/>
          <w:color w:val="000000"/>
          <w:sz w:val="21"/>
          <w:szCs w:val="21"/>
        </w:rPr>
        <w:t>9</w:t>
      </w:r>
      <w:bookmarkEnd w:id="632"/>
      <w:bookmarkEnd w:id="633"/>
      <w:bookmarkEnd w:id="634"/>
      <w:bookmarkStart w:id="655" w:name="_Toc303539139"/>
      <w:bookmarkStart w:id="656" w:name="_Toc312677495"/>
      <w:bookmarkStart w:id="657" w:name="_Toc297216192"/>
      <w:bookmarkStart w:id="658" w:name="_Toc312678021"/>
      <w:bookmarkStart w:id="659" w:name="_Toc300934982"/>
      <w:bookmarkStart w:id="660" w:name="_Toc297123533"/>
      <w:bookmarkStart w:id="661" w:name="_Toc304295559"/>
      <w:bookmarkStart w:id="662" w:name="_Toc267251428"/>
      <w:bookmarkStart w:id="663" w:name="_Toc296891213"/>
      <w:bookmarkStart w:id="664" w:name="_Toc297048359"/>
      <w:bookmarkStart w:id="665" w:name="_Toc296503173"/>
      <w:bookmarkStart w:id="666" w:name="_Toc296891001"/>
      <w:bookmarkStart w:id="667" w:name="_Toc297120473"/>
      <w:bookmarkStart w:id="668" w:name="_Toc296347172"/>
      <w:bookmarkStart w:id="669" w:name="_Toc267251427"/>
      <w:bookmarkStart w:id="670" w:name="_Toc296346674"/>
      <w:bookmarkStart w:id="671" w:name="_Toc292559883"/>
      <w:bookmarkStart w:id="672" w:name="_Toc296944512"/>
      <w:bookmarkStart w:id="673" w:name="_Toc292559378"/>
      <w:r>
        <w:rPr>
          <w:rFonts w:hint="eastAsia" w:ascii="宋体" w:hAnsi="宋体" w:eastAsia="宋体" w:cs="宋体"/>
          <w:b w:val="0"/>
          <w:color w:val="000000"/>
          <w:sz w:val="21"/>
          <w:szCs w:val="21"/>
        </w:rPr>
        <w:t>. 试验与检验</w:t>
      </w:r>
      <w:bookmarkEnd w:id="653"/>
      <w:bookmarkEnd w:id="654"/>
    </w:p>
    <w:bookmarkEnd w:id="655"/>
    <w:bookmarkEnd w:id="656"/>
    <w:bookmarkEnd w:id="657"/>
    <w:bookmarkEnd w:id="658"/>
    <w:bookmarkEnd w:id="659"/>
    <w:bookmarkEnd w:id="660"/>
    <w:bookmarkEnd w:id="66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4" w:name="_Toc300934983"/>
      <w:bookmarkStart w:id="675" w:name="_Toc297123534"/>
      <w:bookmarkStart w:id="676" w:name="_Toc297216193"/>
      <w:bookmarkStart w:id="677" w:name="_Toc312678022"/>
      <w:bookmarkStart w:id="678" w:name="_Toc303539140"/>
      <w:bookmarkStart w:id="679" w:name="_Toc304295560"/>
      <w:bookmarkStart w:id="680" w:name="_Toc312677496"/>
      <w:r>
        <w:rPr>
          <w:rFonts w:hint="eastAsia" w:ascii="宋体" w:hAnsi="宋体" w:cs="宋体"/>
          <w:color w:val="000000"/>
          <w:sz w:val="21"/>
          <w:szCs w:val="21"/>
        </w:rPr>
        <w:t>.1试验设备与试验人员</w:t>
      </w:r>
    </w:p>
    <w:bookmarkEnd w:id="674"/>
    <w:bookmarkEnd w:id="675"/>
    <w:bookmarkEnd w:id="676"/>
    <w:bookmarkEnd w:id="677"/>
    <w:bookmarkEnd w:id="678"/>
    <w:bookmarkEnd w:id="679"/>
    <w:bookmarkEnd w:id="680"/>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81" w:name="_Toc304295561"/>
      <w:bookmarkStart w:id="682" w:name="_Toc312678023"/>
      <w:bookmarkStart w:id="683" w:name="_Toc303539141"/>
      <w:bookmarkStart w:id="684" w:name="_Toc312677497"/>
      <w:bookmarkStart w:id="685" w:name="_Toc297216194"/>
      <w:bookmarkStart w:id="686" w:name="_Toc297123535"/>
      <w:bookmarkStart w:id="687" w:name="_Toc300934984"/>
      <w:bookmarkStart w:id="688" w:name="_Toc318581174"/>
      <w:r>
        <w:rPr>
          <w:rFonts w:hint="eastAsia" w:ascii="宋体" w:hAnsi="宋体" w:cs="宋体"/>
          <w:color w:val="000000"/>
          <w:sz w:val="21"/>
          <w:szCs w:val="21"/>
        </w:rPr>
        <w:t>.1.2 试验设备</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81"/>
      <w:bookmarkEnd w:id="682"/>
      <w:bookmarkEnd w:id="683"/>
      <w:bookmarkEnd w:id="684"/>
      <w:bookmarkEnd w:id="685"/>
      <w:bookmarkEnd w:id="686"/>
      <w:bookmarkEnd w:id="687"/>
      <w:bookmarkStart w:id="689" w:name="_Toc300934985"/>
      <w:bookmarkStart w:id="690" w:name="_Toc303539142"/>
      <w:bookmarkStart w:id="691" w:name="_Toc304295562"/>
      <w:bookmarkStart w:id="692" w:name="_Toc297216195"/>
      <w:bookmarkStart w:id="693" w:name="_Toc297123536"/>
      <w:bookmarkStart w:id="694" w:name="_Toc312677498"/>
      <w:bookmarkStart w:id="695" w:name="_Toc312678024"/>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62"/>
    <w:bookmarkEnd w:id="663"/>
    <w:bookmarkEnd w:id="664"/>
    <w:bookmarkEnd w:id="665"/>
    <w:bookmarkEnd w:id="666"/>
    <w:bookmarkEnd w:id="667"/>
    <w:bookmarkEnd w:id="668"/>
    <w:bookmarkEnd w:id="669"/>
    <w:bookmarkEnd w:id="670"/>
    <w:bookmarkEnd w:id="671"/>
    <w:bookmarkEnd w:id="672"/>
    <w:bookmarkEnd w:id="673"/>
    <w:bookmarkEnd w:id="688"/>
    <w:bookmarkEnd w:id="689"/>
    <w:bookmarkEnd w:id="690"/>
    <w:bookmarkEnd w:id="691"/>
    <w:bookmarkEnd w:id="692"/>
    <w:bookmarkEnd w:id="693"/>
    <w:bookmarkEnd w:id="694"/>
    <w:bookmarkEnd w:id="695"/>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96" w:name="_Toc386638616"/>
      <w:bookmarkStart w:id="697" w:name="_Toc351203642"/>
      <w:bookmarkStart w:id="698" w:name="_Toc267251439"/>
      <w:bookmarkStart w:id="699" w:name="_Toc267251442"/>
      <w:bookmarkStart w:id="700" w:name="_Toc267251433"/>
      <w:bookmarkStart w:id="701" w:name="_Toc267251435"/>
      <w:bookmarkStart w:id="702" w:name="_Toc267251440"/>
      <w:bookmarkStart w:id="703" w:name="_Toc267251441"/>
      <w:bookmarkStart w:id="704" w:name="_Toc267251437"/>
      <w:r>
        <w:rPr>
          <w:rFonts w:hint="eastAsia" w:ascii="宋体" w:hAnsi="宋体" w:eastAsia="宋体" w:cs="宋体"/>
          <w:b w:val="0"/>
          <w:color w:val="000000"/>
          <w:sz w:val="21"/>
          <w:szCs w:val="21"/>
        </w:rPr>
        <w:t>1</w:t>
      </w:r>
      <w:bookmarkStart w:id="705" w:name="_Toc300934989"/>
      <w:bookmarkStart w:id="706" w:name="_Toc292559903"/>
      <w:bookmarkStart w:id="707" w:name="_Toc297048379"/>
      <w:bookmarkStart w:id="708" w:name="_Toc303539146"/>
      <w:bookmarkStart w:id="709" w:name="_Toc297216199"/>
      <w:bookmarkStart w:id="710" w:name="_Toc296347192"/>
      <w:bookmarkStart w:id="711" w:name="_Toc292559398"/>
      <w:bookmarkStart w:id="712" w:name="_Toc297120493"/>
      <w:bookmarkStart w:id="713" w:name="_Toc297123540"/>
      <w:bookmarkStart w:id="714" w:name="_Toc296891233"/>
      <w:bookmarkStart w:id="715" w:name="_Toc304295566"/>
      <w:bookmarkStart w:id="716" w:name="_Toc296944532"/>
      <w:bookmarkStart w:id="717" w:name="_Toc296346694"/>
      <w:bookmarkStart w:id="718" w:name="_Toc296891021"/>
      <w:bookmarkStart w:id="719" w:name="_Toc296503193"/>
      <w:bookmarkStart w:id="720" w:name="_Toc312677499"/>
      <w:bookmarkStart w:id="721" w:name="_Toc312678025"/>
      <w:r>
        <w:rPr>
          <w:rFonts w:hint="eastAsia" w:ascii="宋体" w:hAnsi="宋体" w:eastAsia="宋体" w:cs="宋体"/>
          <w:b w:val="0"/>
          <w:color w:val="000000"/>
          <w:sz w:val="21"/>
          <w:szCs w:val="21"/>
        </w:rPr>
        <w:t>0. 变更</w:t>
      </w:r>
      <w:bookmarkEnd w:id="696"/>
      <w:bookmarkEnd w:id="697"/>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bookmarkEnd w:id="720"/>
    <w:bookmarkEnd w:id="72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22" w:name="_Toc297216200"/>
      <w:bookmarkStart w:id="723" w:name="_Toc300934990"/>
      <w:bookmarkStart w:id="724" w:name="_Toc292559904"/>
      <w:bookmarkStart w:id="725" w:name="_Toc296944533"/>
      <w:bookmarkStart w:id="726" w:name="_Toc303539147"/>
      <w:bookmarkStart w:id="727" w:name="_Toc296503194"/>
      <w:bookmarkStart w:id="728" w:name="_Toc297048380"/>
      <w:bookmarkStart w:id="729" w:name="_Toc296346695"/>
      <w:bookmarkStart w:id="730" w:name="_Toc297123541"/>
      <w:bookmarkStart w:id="731" w:name="_Toc296891234"/>
      <w:bookmarkStart w:id="732" w:name="_Toc292559399"/>
      <w:bookmarkStart w:id="733" w:name="_Toc297120494"/>
      <w:bookmarkStart w:id="734" w:name="_Toc312678026"/>
      <w:bookmarkStart w:id="735" w:name="_Toc296347193"/>
      <w:bookmarkStart w:id="736" w:name="_Toc304295567"/>
      <w:bookmarkStart w:id="737" w:name="_Toc312677500"/>
      <w:bookmarkStart w:id="738" w:name="_Toc296891022"/>
      <w:r>
        <w:rPr>
          <w:rFonts w:hint="eastAsia" w:ascii="宋体" w:hAnsi="宋体" w:cs="宋体"/>
          <w:color w:val="000000"/>
          <w:sz w:val="21"/>
          <w:szCs w:val="21"/>
        </w:rPr>
        <w:t>0.1变更的范围</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u w:val="single"/>
        </w:rPr>
      </w:pPr>
      <w:r>
        <w:rPr>
          <w:rFonts w:hint="eastAsia" w:ascii="宋体" w:hAnsi="宋体" w:cs="宋体"/>
          <w:sz w:val="21"/>
          <w:szCs w:val="21"/>
          <w:u w:val="single"/>
        </w:rPr>
        <w:t>合同履行过程中发生工程变更的，工程变更权限按以下文件执行：</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和建设单位工程变更管理办法。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698"/>
    <w:bookmarkEnd w:id="699"/>
    <w:bookmarkEnd w:id="700"/>
    <w:bookmarkEnd w:id="701"/>
    <w:bookmarkEnd w:id="702"/>
    <w:bookmarkEnd w:id="703"/>
    <w:bookmarkEnd w:id="704"/>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bookmarkStart w:id="739" w:name="_Toc351203645"/>
      <w:bookmarkStart w:id="740" w:name="_Toc386638619"/>
      <w:bookmarkStart w:id="741" w:name="_Toc297123564"/>
      <w:bookmarkStart w:id="742" w:name="_Toc303539172"/>
      <w:bookmarkStart w:id="743" w:name="_Toc297120519"/>
      <w:bookmarkStart w:id="744" w:name="_Toc296944558"/>
      <w:bookmarkStart w:id="745" w:name="_Toc296503219"/>
      <w:bookmarkStart w:id="746" w:name="_Toc296347218"/>
      <w:bookmarkStart w:id="747" w:name="_Toc296891259"/>
      <w:bookmarkStart w:id="748" w:name="_Toc297048405"/>
      <w:bookmarkStart w:id="749" w:name="_Toc292559929"/>
      <w:bookmarkStart w:id="750" w:name="_Toc297216223"/>
      <w:bookmarkStart w:id="751" w:name="_Toc304295593"/>
      <w:bookmarkStart w:id="752" w:name="_Toc312678053"/>
      <w:bookmarkStart w:id="753" w:name="_Toc292559424"/>
      <w:bookmarkStart w:id="754" w:name="_Toc300935015"/>
      <w:bookmarkStart w:id="755" w:name="_Toc296891047"/>
      <w:bookmarkStart w:id="756" w:name="_Toc296346720"/>
      <w:r>
        <w:rPr>
          <w:rFonts w:hint="eastAsia" w:ascii="宋体" w:hAnsi="宋体" w:cs="宋体"/>
          <w:sz w:val="21"/>
          <w:szCs w:val="21"/>
        </w:rPr>
        <w:t>合同履行</w:t>
      </w:r>
      <w:r>
        <w:rPr>
          <w:rFonts w:hint="eastAsia" w:ascii="宋体" w:hAnsi="宋体"/>
          <w:sz w:val="21"/>
          <w:szCs w:val="21"/>
        </w:rPr>
        <w:t>过程中发生工程</w:t>
      </w:r>
      <w:r>
        <w:rPr>
          <w:rFonts w:hint="eastAsia" w:ascii="宋体" w:hAnsi="宋体" w:cs="宋体"/>
          <w:sz w:val="21"/>
          <w:szCs w:val="21"/>
        </w:rPr>
        <w:t>变更的，工程变更按</w:t>
      </w:r>
      <w:r>
        <w:rPr>
          <w:rFonts w:hint="eastAsia" w:ascii="宋体" w:hAnsi="宋体"/>
          <w:sz w:val="21"/>
          <w:szCs w:val="21"/>
          <w:u w:val="single"/>
          <w:lang w:eastAsia="zh-CN"/>
        </w:rPr>
        <w:t>《宁海县政府投资项目工程造价管控办法》（宁发改（2023）51号）</w:t>
      </w:r>
      <w:r>
        <w:rPr>
          <w:rFonts w:hint="eastAsia" w:ascii="宋体" w:hAnsi="宋体"/>
          <w:sz w:val="21"/>
          <w:szCs w:val="21"/>
          <w:u w:val="single"/>
        </w:rPr>
        <w:t>规定的</w:t>
      </w:r>
      <w:r>
        <w:rPr>
          <w:rFonts w:hint="eastAsia" w:ascii="宋体" w:hAnsi="宋体" w:cs="宋体"/>
          <w:sz w:val="21"/>
          <w:szCs w:val="21"/>
          <w:u w:val="single"/>
        </w:rPr>
        <w:t>程序和建设单位工程变更程序办理。</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10.4 变更估价</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ascii="宋体" w:hAnsi="宋体"/>
          <w:sz w:val="21"/>
          <w:szCs w:val="21"/>
        </w:rPr>
        <w:t xml:space="preserve">关于变更估价的约定: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（1）非承包人原因引起的工程量偏差，该项工程量变化幅度在规定范围以内的，应执行合同原有的综合单价；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合价金额占合同总价2%及以上的分部分项清单项目其工程量增减超过本项工程量15%及以上，或合价金额占合同总价不到2%的分部分项清单项目，但其工程量增减超过本项目工程数量</w:t>
      </w:r>
      <w:r>
        <w:rPr>
          <w:rFonts w:hint="eastAsia" w:ascii="宋体" w:hAnsi="宋体"/>
          <w:kern w:val="0"/>
          <w:sz w:val="21"/>
          <w:szCs w:val="21"/>
          <w:lang w:val="en-US" w:eastAsia="zh-CN"/>
        </w:rPr>
        <w:t>2</w:t>
      </w:r>
      <w:r>
        <w:rPr>
          <w:rFonts w:hint="eastAsia" w:ascii="宋体" w:hAnsi="宋体"/>
          <w:kern w:val="0"/>
          <w:sz w:val="21"/>
          <w:szCs w:val="21"/>
        </w:rPr>
        <w:t>5%及以上时，则超过部分应重新确定综合单价。综合单价由承包人按合同约定(招标文件)的计价依据并取费结合《关于明确政府投资建设工程要素价格风险的通知》(宁发改［2014］24 号)文件按招标文件约定下浮率（总价下浮</w:t>
      </w:r>
      <w:r>
        <w:rPr>
          <w:rFonts w:hint="eastAsia" w:ascii="宋体" w:hAnsi="宋体"/>
          <w:kern w:val="0"/>
          <w:sz w:val="21"/>
          <w:szCs w:val="21"/>
          <w:u w:val="single"/>
          <w:lang w:val="en-US" w:eastAsia="zh-CN"/>
        </w:rPr>
        <w:t xml:space="preserve">    %</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装修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［减少后剩余部分工程量是指工程量减少超过15%以上部分。例：原清单某项工程量为100m3，①实际结算工程量为65 m3，即减少超过15%以上部份工程量20 m3；②实际结算工程量零，即减少超过15%工程量为85 m3］</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（2）因施工中出现施工图纸与工程量清单项目特征描述不符、分部分项工程量清单项目缺项(或漏项)、非承包人原因的工程变更等，引起新的工程项目，其相应的综合单价按以下方法确定：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招标文件约定下浮率（下浮</w:t>
      </w:r>
      <w:r>
        <w:rPr>
          <w:rFonts w:hint="eastAsia" w:ascii="宋体" w:hAnsi="宋体"/>
          <w:kern w:val="0"/>
          <w:sz w:val="21"/>
          <w:szCs w:val="21"/>
          <w:u w:val="single"/>
          <w:lang w:val="en-US" w:eastAsia="zh-CN"/>
        </w:rPr>
        <w:t xml:space="preserve">    </w:t>
      </w:r>
      <w:r>
        <w:rPr>
          <w:rFonts w:hint="eastAsia" w:ascii="宋体" w:hAnsi="宋体"/>
          <w:kern w:val="0"/>
          <w:sz w:val="21"/>
          <w:szCs w:val="21"/>
          <w:lang w:eastAsia="zh-CN"/>
        </w:rPr>
        <w:t>%</w:t>
      </w:r>
      <w:r>
        <w:rPr>
          <w:rFonts w:hint="eastAsia" w:ascii="宋体" w:hAnsi="宋体"/>
          <w:kern w:val="0"/>
          <w:sz w:val="21"/>
          <w:szCs w:val="21"/>
        </w:rPr>
        <w:t>）组价后提出，经发包人确认后调整。[工程类别：</w:t>
      </w:r>
      <w:r>
        <w:rPr>
          <w:rFonts w:hint="eastAsia" w:ascii="宋体" w:hAnsi="宋体"/>
          <w:kern w:val="0"/>
          <w:sz w:val="21"/>
          <w:szCs w:val="21"/>
          <w:lang w:val="en-US" w:eastAsia="zh-CN"/>
        </w:rPr>
        <w:t>按一般计税法，装修工程按单独装饰工程取费，安装工程按水电暖通、消防、智能化、自控及通信安装工程取费，(其中:安全文明施工费（非市区），冬雨季施工增加费，二次搬运费按中值计取;提前竣工增加费不计取);规费按标准取费的30%计算。税金税率根据浙建建发[2019]92号文件，按 9%计取。</w:t>
      </w:r>
      <w:r>
        <w:rPr>
          <w:rFonts w:hint="eastAsia"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%或新增项目均不作调整；新增的单项或单位工程施工组织措施费按相应工程计取。</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w:t>
      </w:r>
      <w:bookmarkStart w:id="757" w:name="_Toc297216203"/>
      <w:bookmarkStart w:id="758" w:name="_Toc296346698"/>
      <w:bookmarkStart w:id="759" w:name="_Toc297120497"/>
      <w:bookmarkStart w:id="760" w:name="_Toc303539150"/>
      <w:bookmarkStart w:id="761" w:name="_Toc296944536"/>
      <w:bookmarkStart w:id="762" w:name="_Toc296503197"/>
      <w:bookmarkStart w:id="763" w:name="_Toc296891025"/>
      <w:bookmarkStart w:id="764" w:name="_Toc296347196"/>
      <w:bookmarkStart w:id="765" w:name="_Toc297048383"/>
      <w:bookmarkStart w:id="766" w:name="_Toc300934993"/>
      <w:bookmarkStart w:id="767" w:name="_Toc296891237"/>
      <w:bookmarkStart w:id="768" w:name="_Toc292559907"/>
      <w:bookmarkStart w:id="769" w:name="_Toc297123544"/>
      <w:bookmarkStart w:id="770" w:name="_Toc292559402"/>
      <w:bookmarkStart w:id="771" w:name="_Toc312677503"/>
      <w:bookmarkStart w:id="772" w:name="_Toc312678029"/>
      <w:bookmarkStart w:id="773" w:name="_Toc304295570"/>
      <w:r>
        <w:rPr>
          <w:rFonts w:ascii="宋体" w:hAnsi="宋体"/>
          <w:color w:val="000000"/>
          <w:sz w:val="21"/>
          <w:szCs w:val="21"/>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6891243"/>
      <w:bookmarkStart w:id="775" w:name="_Toc303539151"/>
      <w:bookmarkStart w:id="776" w:name="_Toc296346704"/>
      <w:bookmarkStart w:id="777" w:name="_Toc292559408"/>
      <w:bookmarkStart w:id="778" w:name="_Toc300934994"/>
      <w:bookmarkStart w:id="779" w:name="_Toc296503203"/>
      <w:bookmarkStart w:id="780" w:name="_Toc296347202"/>
      <w:bookmarkStart w:id="781" w:name="_Toc296944542"/>
      <w:bookmarkStart w:id="782" w:name="_Toc297048389"/>
      <w:bookmarkStart w:id="783" w:name="_Toc297123545"/>
      <w:bookmarkStart w:id="784" w:name="_Toc297216204"/>
      <w:bookmarkStart w:id="785" w:name="_Toc296891031"/>
      <w:bookmarkStart w:id="786" w:name="_Toc297120503"/>
      <w:bookmarkStart w:id="787" w:name="_Toc292559913"/>
      <w:r>
        <w:rPr>
          <w:rFonts w:ascii="宋体" w:hAnsi="宋体"/>
          <w:color w:val="000000"/>
          <w:sz w:val="21"/>
          <w:szCs w:val="21"/>
        </w:rPr>
        <w:t>包人的合理化建议</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pPr>
        <w:pageBreakBefore w:val="0"/>
        <w:kinsoku/>
        <w:wordWrap/>
        <w:overflowPunct/>
        <w:topLinePunct w:val="0"/>
        <w:bidi w:val="0"/>
        <w:adjustRightInd w:val="0"/>
        <w:snapToGrid/>
        <w:spacing w:line="320" w:lineRule="exact"/>
        <w:jc w:val="left"/>
        <w:textAlignment w:val="auto"/>
        <w:rPr>
          <w:rFonts w:ascii="宋体" w:hAnsi="宋体"/>
          <w:color w:val="000000"/>
          <w:sz w:val="21"/>
          <w:szCs w:val="21"/>
          <w:u w:val="single"/>
        </w:rPr>
      </w:pPr>
      <w:r>
        <w:rPr>
          <w:rFonts w:ascii="宋体" w:hAnsi="宋体"/>
          <w:color w:val="000000"/>
          <w:sz w:val="21"/>
          <w:szCs w:val="21"/>
        </w:rPr>
        <w:t>承</w:t>
      </w:r>
      <w:bookmarkStart w:id="788" w:name="_Toc296944543"/>
      <w:bookmarkStart w:id="789" w:name="_Toc300934995"/>
      <w:bookmarkStart w:id="790" w:name="_Toc292559914"/>
      <w:bookmarkStart w:id="791" w:name="_Toc304295571"/>
      <w:bookmarkStart w:id="792" w:name="_Toc297123546"/>
      <w:bookmarkStart w:id="793" w:name="_Toc296347203"/>
      <w:bookmarkStart w:id="794" w:name="_Toc297048390"/>
      <w:bookmarkStart w:id="795" w:name="_Toc312678030"/>
      <w:bookmarkStart w:id="796" w:name="_Toc292559409"/>
      <w:bookmarkStart w:id="797" w:name="_Toc297120504"/>
      <w:bookmarkStart w:id="798" w:name="_Toc296891244"/>
      <w:bookmarkStart w:id="799" w:name="_Toc318581175"/>
      <w:bookmarkStart w:id="800" w:name="_Toc303539152"/>
      <w:bookmarkStart w:id="801" w:name="_Toc296503204"/>
      <w:bookmarkStart w:id="802" w:name="_Toc296891032"/>
      <w:bookmarkStart w:id="803" w:name="_Toc312677504"/>
      <w:bookmarkStart w:id="804" w:name="_Toc296346705"/>
      <w:bookmarkStart w:id="805" w:name="_Toc297216205"/>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806" w:name="_Toc312677508"/>
      <w:bookmarkStart w:id="807" w:name="_Toc318581176"/>
      <w:bookmarkStart w:id="808" w:name="_Toc312678034"/>
      <w:r>
        <w:rPr>
          <w:rFonts w:ascii="宋体" w:hAnsi="宋体"/>
          <w:color w:val="000000"/>
          <w:sz w:val="21"/>
          <w:szCs w:val="21"/>
        </w:rPr>
        <w:t>1</w:t>
      </w:r>
      <w:bookmarkStart w:id="809" w:name="_Toc292559404"/>
      <w:bookmarkStart w:id="810" w:name="_Toc296891027"/>
      <w:bookmarkStart w:id="811" w:name="_Toc292559909"/>
      <w:bookmarkStart w:id="812" w:name="_Toc300934997"/>
      <w:bookmarkStart w:id="813" w:name="_Toc297123548"/>
      <w:bookmarkStart w:id="814" w:name="_Toc303539154"/>
      <w:bookmarkStart w:id="815" w:name="_Toc296891239"/>
      <w:bookmarkStart w:id="816" w:name="_Toc312677507"/>
      <w:bookmarkStart w:id="817" w:name="_Toc297120499"/>
      <w:bookmarkStart w:id="818" w:name="_Toc296503199"/>
      <w:bookmarkStart w:id="819" w:name="_Toc297216207"/>
      <w:bookmarkStart w:id="820" w:name="_Toc296346700"/>
      <w:bookmarkStart w:id="821" w:name="_Toc296944538"/>
      <w:bookmarkStart w:id="822" w:name="_Toc304295574"/>
      <w:bookmarkStart w:id="823" w:name="_Toc297048385"/>
      <w:bookmarkStart w:id="824" w:name="_Toc312678033"/>
      <w:bookmarkStart w:id="825" w:name="_Toc296347198"/>
      <w:r>
        <w:rPr>
          <w:rFonts w:ascii="宋体" w:hAnsi="宋体"/>
          <w:color w:val="000000"/>
          <w:sz w:val="21"/>
          <w:szCs w:val="21"/>
        </w:rPr>
        <w:t>0.7 暂估价</w:t>
      </w:r>
    </w:p>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暂估价材料和工程设备的明细详见附件</w:t>
      </w:r>
      <w:r>
        <w:rPr>
          <w:rFonts w:hint="eastAsia" w:ascii="宋体" w:hAnsi="宋体"/>
          <w:color w:val="000000"/>
          <w:kern w:val="0"/>
          <w:sz w:val="21"/>
          <w:szCs w:val="21"/>
        </w:rPr>
        <w:t>13-1和13-3：《材料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ascii="宋体" w:hAnsi="宋体"/>
          <w:color w:val="000000"/>
          <w:sz w:val="21"/>
          <w:szCs w:val="21"/>
        </w:rPr>
        <w:t>第3种方式：</w:t>
      </w:r>
      <w:r>
        <w:rPr>
          <w:rFonts w:ascii="宋体" w:hAnsi="宋体"/>
          <w:color w:val="000000"/>
          <w:kern w:val="0"/>
          <w:sz w:val="21"/>
          <w:szCs w:val="21"/>
        </w:rPr>
        <w:t>承包人直接实施的暂估价项目</w:t>
      </w:r>
      <w:bookmarkEnd w:id="806"/>
      <w:bookmarkEnd w:id="807"/>
      <w:bookmarkEnd w:id="808"/>
      <w:r>
        <w:rPr>
          <w:rFonts w:hint="eastAsia" w:ascii="宋体" w:hAnsi="宋体"/>
          <w:color w:val="000000"/>
          <w:kern w:val="0"/>
          <w:sz w:val="21"/>
          <w:szCs w:val="21"/>
          <w:u w:val="single"/>
        </w:rPr>
        <w:t xml:space="preserve">              </w:t>
      </w:r>
      <w:r>
        <w:rPr>
          <w:rFonts w:hint="eastAsia" w:ascii="宋体" w:hAnsi="宋体"/>
          <w:color w:val="000000"/>
          <w:sz w:val="21"/>
          <w:szCs w:val="21"/>
          <w:u w:val="single"/>
        </w:rPr>
        <w:t xml:space="preserve">            </w:t>
      </w:r>
      <w:r>
        <w:rPr>
          <w:rFonts w:hint="eastAsia"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10.8 暂列金额</w:t>
      </w:r>
    </w:p>
    <w:p>
      <w:pPr>
        <w:pageBreakBefore w:val="0"/>
        <w:kinsoku/>
        <w:wordWrap/>
        <w:overflowPunct/>
        <w:topLinePunct w:val="0"/>
        <w:autoSpaceDE w:val="0"/>
        <w:autoSpaceDN w:val="0"/>
        <w:bidi w:val="0"/>
        <w:adjustRightInd w:val="0"/>
        <w:snapToGrid/>
        <w:spacing w:line="320" w:lineRule="exact"/>
        <w:ind w:firstLine="525" w:firstLineChars="250"/>
        <w:jc w:val="left"/>
        <w:textAlignment w:val="auto"/>
        <w:rPr>
          <w:rFonts w:ascii="宋体" w:hAnsi="宋体"/>
          <w:color w:val="000000"/>
          <w:kern w:val="0"/>
          <w:sz w:val="21"/>
          <w:szCs w:val="21"/>
        </w:rPr>
      </w:pPr>
      <w:r>
        <w:rPr>
          <w:rFonts w:hint="eastAsia" w:ascii="宋体" w:hAnsi="宋体"/>
          <w:color w:val="000000"/>
          <w:kern w:val="0"/>
          <w:sz w:val="21"/>
          <w:szCs w:val="21"/>
        </w:rPr>
        <w:t>合同当事人关于暂列金额使用的约定：</w:t>
      </w:r>
      <w:r>
        <w:rPr>
          <w:rFonts w:hint="eastAsia" w:ascii="宋体" w:hAnsi="宋体"/>
          <w:color w:val="000000"/>
          <w:sz w:val="21"/>
          <w:szCs w:val="21"/>
          <w:u w:val="single"/>
        </w:rPr>
        <w:t xml:space="preserve">                          </w:t>
      </w:r>
      <w:r>
        <w:rPr>
          <w:rFonts w:hint="eastAsia" w:ascii="宋体" w:hAnsi="宋体"/>
          <w:color w:val="000000"/>
          <w:kern w:val="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bookmarkStart w:id="826" w:name="_Toc386638617"/>
      <w:bookmarkStart w:id="827" w:name="_Toc351203643"/>
      <w:r>
        <w:rPr>
          <w:rFonts w:hint="eastAsia" w:ascii="宋体" w:hAnsi="宋体" w:eastAsia="宋体" w:cs="宋体"/>
          <w:b w:val="0"/>
          <w:color w:val="000000"/>
          <w:sz w:val="21"/>
          <w:szCs w:val="21"/>
        </w:rPr>
        <w:t>11. 价格调整</w:t>
      </w:r>
      <w:bookmarkEnd w:id="826"/>
      <w:bookmarkEnd w:id="827"/>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sz w:val="21"/>
          <w:szCs w:val="21"/>
        </w:rPr>
      </w:pPr>
      <w:bookmarkStart w:id="828" w:name="_Toc297120501"/>
      <w:bookmarkStart w:id="829" w:name="_Toc292559406"/>
      <w:bookmarkStart w:id="830" w:name="_Toc296891029"/>
      <w:bookmarkStart w:id="831" w:name="_Toc297123550"/>
      <w:bookmarkStart w:id="832" w:name="_Toc296891241"/>
      <w:bookmarkStart w:id="833" w:name="_Toc297048387"/>
      <w:bookmarkStart w:id="834" w:name="_Toc292559911"/>
      <w:bookmarkStart w:id="835" w:name="_Toc312678039"/>
      <w:bookmarkStart w:id="836" w:name="_Toc296944540"/>
      <w:bookmarkStart w:id="837" w:name="_Toc304295577"/>
      <w:bookmarkStart w:id="838" w:name="_Toc296503201"/>
      <w:bookmarkStart w:id="839" w:name="_Toc303539157"/>
      <w:bookmarkStart w:id="840" w:name="_Toc296347200"/>
      <w:bookmarkStart w:id="841" w:name="_Toc296346702"/>
      <w:bookmarkStart w:id="842" w:name="_Toc297216209"/>
      <w:bookmarkStart w:id="843" w:name="_Toc300935000"/>
      <w:r>
        <w:rPr>
          <w:rFonts w:hint="eastAsia" w:ascii="宋体" w:hAnsi="宋体" w:cs="宋体"/>
          <w:sz w:val="21"/>
          <w:szCs w:val="21"/>
        </w:rPr>
        <w:t>11.1 市场价格波动引起的调整</w:t>
      </w:r>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Pr>
        <w:pageBreakBefore w:val="0"/>
        <w:kinsoku/>
        <w:wordWrap/>
        <w:overflowPunct/>
        <w:topLinePunct w:val="0"/>
        <w:bidi w:val="0"/>
        <w:adjustRightInd w:val="0"/>
        <w:snapToGrid/>
        <w:spacing w:line="320" w:lineRule="exact"/>
        <w:ind w:firstLine="420" w:firstLineChars="200"/>
        <w:jc w:val="left"/>
        <w:textAlignment w:val="auto"/>
        <w:rPr>
          <w:rFonts w:hAnsi="宋体"/>
          <w:sz w:val="21"/>
          <w:szCs w:val="21"/>
        </w:rPr>
      </w:pPr>
      <w:r>
        <w:rPr>
          <w:rFonts w:hint="eastAsia" w:hAnsi="宋体"/>
          <w:color w:val="000000"/>
          <w:sz w:val="21"/>
          <w:szCs w:val="21"/>
        </w:rPr>
        <w:t>市场价格波动是否调整合同价格的约定：按《关于明确政府投资建设工程要素价格风险的通知》（宁发改</w:t>
      </w:r>
      <w:r>
        <w:rPr>
          <w:rFonts w:hAnsi="宋体"/>
          <w:color w:val="000000"/>
          <w:sz w:val="21"/>
          <w:szCs w:val="21"/>
        </w:rPr>
        <w:t>[2014]24</w:t>
      </w:r>
      <w:r>
        <w:rPr>
          <w:rFonts w:hint="eastAsia" w:hAnsi="宋体"/>
          <w:color w:val="000000"/>
          <w:sz w:val="21"/>
          <w:szCs w:val="21"/>
        </w:rPr>
        <w:t>号）执行，具体材料指</w:t>
      </w:r>
      <w:r>
        <w:rPr>
          <w:rFonts w:hint="eastAsia" w:hAnsi="宋体"/>
          <w:color w:val="000000"/>
          <w:sz w:val="21"/>
          <w:szCs w:val="21"/>
          <w:u w:val="single"/>
        </w:rPr>
        <w:t>《关于明确政府投资建设工程要素价格风险的通知》文件中建筑工程材料价差结算期表中所列的种类</w:t>
      </w:r>
      <w:r>
        <w:rPr>
          <w:rFonts w:hint="eastAsia" w:hAnsi="宋体"/>
          <w:color w:val="000000"/>
          <w:sz w:val="21"/>
          <w:szCs w:val="21"/>
        </w:rPr>
        <w:t>。</w:t>
      </w:r>
    </w:p>
    <w:p>
      <w:pPr>
        <w:pStyle w:val="636"/>
        <w:pageBreakBefore w:val="0"/>
        <w:kinsoku/>
        <w:wordWrap/>
        <w:overflowPunct/>
        <w:topLinePunct w:val="0"/>
        <w:bidi w:val="0"/>
        <w:adjustRightInd w:val="0"/>
        <w:snapToGrid/>
        <w:spacing w:line="320" w:lineRule="exact"/>
        <w:ind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pPr>
        <w:pageBreakBefore w:val="0"/>
        <w:kinsoku/>
        <w:wordWrap/>
        <w:overflowPunct/>
        <w:topLinePunct w:val="0"/>
        <w:bidi w:val="0"/>
        <w:adjustRightInd w:val="0"/>
        <w:snapToGrid/>
        <w:spacing w:line="320" w:lineRule="exact"/>
        <w:ind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ascii="宋体" w:hAnsi="宋体"/>
          <w:b w:val="0"/>
          <w:sz w:val="21"/>
          <w:szCs w:val="21"/>
        </w:rPr>
      </w:pPr>
      <w:bookmarkStart w:id="844" w:name="_Toc297048391"/>
      <w:bookmarkStart w:id="845" w:name="_Toc296891033"/>
      <w:bookmarkStart w:id="846" w:name="_Toc292559915"/>
      <w:bookmarkStart w:id="847" w:name="_Toc296944544"/>
      <w:bookmarkStart w:id="848" w:name="_Toc296891245"/>
      <w:bookmarkStart w:id="849" w:name="_Toc296347204"/>
      <w:bookmarkStart w:id="850" w:name="_Toc296503205"/>
      <w:bookmarkStart w:id="851" w:name="_Toc292559410"/>
      <w:bookmarkStart w:id="852" w:name="_Toc296346706"/>
      <w:bookmarkStart w:id="853" w:name="_Toc297120505"/>
      <w:bookmarkStart w:id="854" w:name="_Toc351203644"/>
      <w:bookmarkStart w:id="855" w:name="_Toc386638618"/>
      <w:bookmarkStart w:id="856" w:name="_Toc303539159"/>
      <w:bookmarkStart w:id="857" w:name="_Toc300935002"/>
      <w:bookmarkStart w:id="858" w:name="_Toc312678040"/>
      <w:bookmarkStart w:id="859" w:name="_Toc297216211"/>
      <w:bookmarkStart w:id="860" w:name="_Toc297123552"/>
      <w:bookmarkStart w:id="861" w:name="_Toc304295579"/>
      <w:bookmarkStart w:id="862" w:name="_Toc300935004"/>
      <w:bookmarkStart w:id="863" w:name="_Toc303539161"/>
      <w:bookmarkStart w:id="864" w:name="_Toc297216213"/>
      <w:bookmarkStart w:id="865" w:name="_Toc312678042"/>
      <w:bookmarkStart w:id="866" w:name="_Toc297123554"/>
      <w:bookmarkStart w:id="867" w:name="_Toc304295581"/>
      <w:bookmarkStart w:id="868" w:name="_Toc296346708"/>
      <w:bookmarkStart w:id="869" w:name="_Toc296891247"/>
      <w:bookmarkStart w:id="870" w:name="_Toc297048393"/>
      <w:bookmarkStart w:id="871" w:name="_Toc292559917"/>
      <w:bookmarkStart w:id="872" w:name="_Toc296944546"/>
      <w:bookmarkStart w:id="873" w:name="_Toc292559412"/>
      <w:bookmarkStart w:id="874" w:name="_Toc297120507"/>
      <w:bookmarkStart w:id="875" w:name="_Toc296891035"/>
      <w:bookmarkStart w:id="876" w:name="_Toc296503207"/>
      <w:bookmarkStart w:id="877" w:name="_Toc296347206"/>
      <w:r>
        <w:rPr>
          <w:rFonts w:ascii="宋体" w:hAnsi="宋体"/>
          <w:b w:val="0"/>
          <w:sz w:val="21"/>
          <w:szCs w:val="21"/>
        </w:rPr>
        <w:t xml:space="preserve">12. </w:t>
      </w:r>
      <w:bookmarkEnd w:id="844"/>
      <w:bookmarkEnd w:id="845"/>
      <w:bookmarkEnd w:id="846"/>
      <w:bookmarkEnd w:id="847"/>
      <w:bookmarkEnd w:id="848"/>
      <w:bookmarkEnd w:id="849"/>
      <w:bookmarkEnd w:id="850"/>
      <w:bookmarkEnd w:id="851"/>
      <w:bookmarkEnd w:id="852"/>
      <w:bookmarkEnd w:id="853"/>
      <w:r>
        <w:rPr>
          <w:rFonts w:ascii="宋体" w:hAnsi="宋体"/>
          <w:b w:val="0"/>
          <w:sz w:val="21"/>
          <w:szCs w:val="21"/>
        </w:rPr>
        <w:t>合同价格、计量与支付</w:t>
      </w:r>
      <w:bookmarkEnd w:id="854"/>
      <w:bookmarkEnd w:id="855"/>
    </w:p>
    <w:bookmarkEnd w:id="856"/>
    <w:bookmarkEnd w:id="857"/>
    <w:bookmarkEnd w:id="858"/>
    <w:bookmarkEnd w:id="859"/>
    <w:bookmarkEnd w:id="860"/>
    <w:bookmarkEnd w:id="861"/>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878" w:name="_Toc267251461"/>
      <w:bookmarkStart w:id="879" w:name="_Toc292559916"/>
      <w:bookmarkStart w:id="880" w:name="_Toc292559411"/>
      <w:bookmarkStart w:id="881" w:name="_Toc297120506"/>
      <w:bookmarkStart w:id="882" w:name="_Toc296346707"/>
      <w:bookmarkStart w:id="883" w:name="_Toc297048392"/>
      <w:bookmarkStart w:id="884" w:name="_Toc296347205"/>
      <w:bookmarkStart w:id="885" w:name="_Toc296503206"/>
      <w:bookmarkStart w:id="886" w:name="_Toc296891034"/>
      <w:bookmarkStart w:id="887" w:name="_Toc296944545"/>
      <w:bookmarkStart w:id="888" w:name="_Toc296891246"/>
      <w:bookmarkStart w:id="889" w:name="_Toc304295580"/>
      <w:bookmarkStart w:id="890" w:name="_Toc312678041"/>
      <w:bookmarkStart w:id="891" w:name="_Toc303539160"/>
      <w:bookmarkStart w:id="892" w:name="_Toc297123553"/>
      <w:bookmarkStart w:id="893" w:name="_Toc297216212"/>
      <w:bookmarkStart w:id="894" w:name="_Toc300935003"/>
      <w:r>
        <w:rPr>
          <w:rFonts w:ascii="宋体" w:hAnsi="宋体"/>
          <w:sz w:val="21"/>
          <w:szCs w:val="21"/>
        </w:rPr>
        <w:t>12.1 合</w:t>
      </w:r>
      <w:bookmarkEnd w:id="878"/>
      <w:bookmarkEnd w:id="879"/>
      <w:bookmarkEnd w:id="880"/>
      <w:r>
        <w:rPr>
          <w:rFonts w:ascii="宋体" w:hAnsi="宋体"/>
          <w:sz w:val="21"/>
          <w:szCs w:val="21"/>
        </w:rPr>
        <w:t>同价</w:t>
      </w:r>
      <w:bookmarkEnd w:id="881"/>
      <w:bookmarkEnd w:id="882"/>
      <w:bookmarkEnd w:id="883"/>
      <w:bookmarkEnd w:id="884"/>
      <w:bookmarkEnd w:id="885"/>
      <w:bookmarkEnd w:id="886"/>
      <w:bookmarkEnd w:id="887"/>
      <w:bookmarkEnd w:id="888"/>
      <w:r>
        <w:rPr>
          <w:rFonts w:ascii="宋体" w:hAnsi="宋体"/>
          <w:sz w:val="21"/>
          <w:szCs w:val="21"/>
        </w:rPr>
        <w:t>格形式</w:t>
      </w:r>
    </w:p>
    <w:bookmarkEnd w:id="889"/>
    <w:bookmarkEnd w:id="890"/>
    <w:bookmarkEnd w:id="891"/>
    <w:bookmarkEnd w:id="892"/>
    <w:bookmarkEnd w:id="893"/>
    <w:bookmarkEnd w:id="894"/>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 xml:space="preserve">单价合同，综合单价除合同规定的调整外按发包人提供的下浮后已标价工程量清单中的综合单价作为结算依据。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招标控制价编制根据《宁波建设工程造价信息》（综合版）2024年第</w:t>
      </w:r>
      <w:r>
        <w:rPr>
          <w:rFonts w:hint="eastAsia" w:ascii="宋体" w:hAnsi="宋体"/>
          <w:sz w:val="21"/>
          <w:szCs w:val="21"/>
          <w:u w:val="single"/>
          <w:lang w:val="en-US" w:eastAsia="zh-CN"/>
        </w:rPr>
        <w:t>4</w:t>
      </w:r>
      <w:r>
        <w:rPr>
          <w:rFonts w:hint="eastAsia" w:ascii="宋体" w:hAnsi="宋体"/>
          <w:sz w:val="21"/>
          <w:szCs w:val="21"/>
          <w:u w:val="single"/>
        </w:rPr>
        <w:t>期信息价计入（宁海县优先），宁波市区信息价没有的材料，按2024年第</w:t>
      </w:r>
      <w:r>
        <w:rPr>
          <w:rFonts w:hint="eastAsia" w:ascii="宋体" w:hAnsi="宋体"/>
          <w:sz w:val="21"/>
          <w:szCs w:val="21"/>
          <w:u w:val="single"/>
          <w:lang w:val="en-US" w:eastAsia="zh-CN"/>
        </w:rPr>
        <w:t>4</w:t>
      </w:r>
      <w:r>
        <w:rPr>
          <w:rFonts w:hint="eastAsia" w:ascii="宋体" w:hAnsi="宋体"/>
          <w:sz w:val="21"/>
          <w:szCs w:val="21"/>
          <w:u w:val="single"/>
        </w:rPr>
        <w:t>期《浙江造价信息》信息价计入，无信息价材料参照市场价取定，上述材料价均为除税价，无信息价材料参照市场价取定。</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明确政府投资建设工程要素价格风险的通知》（宁发改[2014]24号）文件中建筑工程材料价格结算期表中所列的执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w:t>
      </w:r>
    </w:p>
    <w:p>
      <w:pPr>
        <w:pageBreakBefore w:val="0"/>
        <w:kinsoku/>
        <w:wordWrap/>
        <w:overflowPunct/>
        <w:topLinePunct w:val="0"/>
        <w:bidi w:val="0"/>
        <w:adjustRightInd w:val="0"/>
        <w:snapToGrid/>
        <w:spacing w:line="320" w:lineRule="exact"/>
        <w:ind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FF0000"/>
          <w:kern w:val="28"/>
          <w:sz w:val="21"/>
          <w:szCs w:val="21"/>
        </w:rPr>
      </w:pPr>
      <w:r>
        <w:rPr>
          <w:rFonts w:hint="eastAsia" w:ascii="宋体" w:hAnsi="宋体"/>
          <w:sz w:val="21"/>
          <w:szCs w:val="21"/>
        </w:rPr>
        <w:t>2、本合同采用的计价依据：《关于颁发浙江省建设工程计价依据（2018版）的通知》(浙建建﹝2018﹞61号)、《建设工程工程量清单计价规范（GB 50500-2013）》、《浙江省建设工程计价规则》（2018版）、《浙江省安装工程预算定额》（2018版）、《浙江省房屋建筑与装饰工程预算定额（2018）版》</w:t>
      </w:r>
      <w:r>
        <w:rPr>
          <w:sz w:val="21"/>
          <w:szCs w:val="21"/>
        </w:rPr>
        <w:t>、</w:t>
      </w:r>
      <w:r>
        <w:rPr>
          <w:rFonts w:hint="eastAsia" w:ascii="宋体" w:hAnsi="宋体"/>
          <w:sz w:val="21"/>
          <w:szCs w:val="21"/>
        </w:rPr>
        <w:t>《浙江省通用安装工程预算定额》（2018版）及其他现行、合法的相关规定、政策性文件和相关补充文件。</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12.2 预付款</w:t>
      </w:r>
    </w:p>
    <w:bookmarkEnd w:id="862"/>
    <w:bookmarkEnd w:id="863"/>
    <w:bookmarkEnd w:id="864"/>
    <w:bookmarkEnd w:id="865"/>
    <w:bookmarkEnd w:id="866"/>
    <w:bookmarkEnd w:id="867"/>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ascii="宋体" w:hAnsi="宋体"/>
          <w:sz w:val="21"/>
          <w:szCs w:val="21"/>
        </w:rPr>
        <w:t>12.2.1 预付款的支付</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00"/>
          <w:sz w:val="21"/>
          <w:szCs w:val="21"/>
          <w:u w:val="single"/>
        </w:rPr>
        <w:t>开工报告批准后7工作日内，发包人支付给承包人合同价的</w:t>
      </w:r>
      <w:r>
        <w:rPr>
          <w:rFonts w:hint="eastAsia" w:ascii="宋体" w:hAnsi="宋体"/>
          <w:color w:val="000000"/>
          <w:sz w:val="21"/>
          <w:szCs w:val="21"/>
          <w:u w:val="single"/>
          <w:lang w:val="en-US" w:eastAsia="zh-CN"/>
        </w:rPr>
        <w:t>40</w:t>
      </w:r>
      <w:r>
        <w:rPr>
          <w:rFonts w:hint="eastAsia" w:ascii="宋体" w:hAnsi="宋体"/>
          <w:color w:val="000000"/>
          <w:sz w:val="21"/>
          <w:szCs w:val="21"/>
          <w:u w:val="single"/>
        </w:rPr>
        <w:t>%作为工程预付款。</w:t>
      </w:r>
    </w:p>
    <w:bookmarkEnd w:id="868"/>
    <w:bookmarkEnd w:id="869"/>
    <w:bookmarkEnd w:id="870"/>
    <w:bookmarkEnd w:id="871"/>
    <w:bookmarkEnd w:id="872"/>
    <w:bookmarkEnd w:id="873"/>
    <w:bookmarkEnd w:id="874"/>
    <w:bookmarkEnd w:id="875"/>
    <w:bookmarkEnd w:id="876"/>
    <w:bookmarkEnd w:id="877"/>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12.3 计量</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pPr>
        <w:pageBreakBefore w:val="0"/>
        <w:kinsoku/>
        <w:wordWrap/>
        <w:overflowPunct/>
        <w:topLinePunct w:val="0"/>
        <w:bidi w:val="0"/>
        <w:adjustRightInd w:val="0"/>
        <w:snapToGrid/>
        <w:spacing w:line="320" w:lineRule="exact"/>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关于付款的约定：</w:t>
      </w:r>
      <w:r>
        <w:rPr>
          <w:rFonts w:hint="eastAsia" w:ascii="宋体" w:hAnsi="宋体" w:cs="宋体"/>
          <w:sz w:val="21"/>
          <w:szCs w:val="21"/>
          <w:lang w:val="en-US" w:eastAsia="zh-CN"/>
        </w:rPr>
        <w:t>（1）</w:t>
      </w:r>
      <w:r>
        <w:rPr>
          <w:rFonts w:hint="eastAsia" w:ascii="宋体" w:hAnsi="宋体" w:cs="宋体"/>
          <w:sz w:val="21"/>
          <w:szCs w:val="21"/>
        </w:rPr>
        <w:t>合同生效及具备实施条件后7个工作日内，</w:t>
      </w:r>
      <w:r>
        <w:rPr>
          <w:rFonts w:hint="eastAsia" w:ascii="宋体" w:hAnsi="宋体" w:cs="宋体"/>
          <w:sz w:val="21"/>
          <w:szCs w:val="21"/>
          <w:lang w:val="en-US" w:eastAsia="zh-CN"/>
        </w:rPr>
        <w:t>发包人</w:t>
      </w:r>
      <w:r>
        <w:rPr>
          <w:rFonts w:hint="eastAsia" w:ascii="宋体" w:hAnsi="宋体" w:cs="宋体"/>
          <w:sz w:val="21"/>
          <w:szCs w:val="21"/>
        </w:rPr>
        <w:t>支付合同总价的40%；</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工程验收合格后7个工作日内，采购人支付至合同总价的80%；</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rPr>
        <w:t>工程竣工验收（终验）合格后，根据相关部门核准的决算价，付清尾款。</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注：具体条款以双方签订的合同约定为准。</w:t>
      </w:r>
    </w:p>
    <w:p>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bookmarkStart w:id="895" w:name="_Hlk89721287"/>
      <w:r>
        <w:rPr>
          <w:rFonts w:hint="eastAsia" w:ascii="宋体" w:hAnsi="宋体" w:cs="宋体"/>
          <w:sz w:val="21"/>
          <w:szCs w:val="21"/>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895"/>
    <w:p>
      <w:pPr>
        <w:pageBreakBefore w:val="0"/>
        <w:widowControl/>
        <w:kinsoku/>
        <w:wordWrap/>
        <w:overflowPunct/>
        <w:topLinePunct w:val="0"/>
        <w:bidi w:val="0"/>
        <w:adjustRightInd w:val="0"/>
        <w:snapToGrid/>
        <w:spacing w:line="320" w:lineRule="exact"/>
        <w:ind w:firstLine="480"/>
        <w:contextualSpacing/>
        <w:textAlignment w:val="auto"/>
        <w:rPr>
          <w:rFonts w:hint="eastAsia" w:ascii="宋体" w:hAnsi="宋体"/>
          <w:b/>
          <w:color w:val="000000"/>
          <w:sz w:val="21"/>
          <w:szCs w:val="21"/>
        </w:rPr>
      </w:pPr>
      <w:r>
        <w:rPr>
          <w:rFonts w:hint="eastAsia" w:ascii="宋体" w:hAnsi="宋体"/>
          <w:b/>
          <w:color w:val="000000"/>
          <w:sz w:val="21"/>
          <w:szCs w:val="21"/>
        </w:rPr>
        <w:t>规定程序指</w:t>
      </w:r>
      <w:r>
        <w:rPr>
          <w:rFonts w:hint="eastAsia" w:ascii="宋体" w:hAnsi="宋体"/>
          <w:b/>
          <w:color w:val="000000"/>
          <w:sz w:val="21"/>
          <w:szCs w:val="21"/>
          <w:lang w:eastAsia="zh-CN"/>
        </w:rPr>
        <w:t>《宁海县政府投资项目工程造价管控办法》（宁发改（2023）51号）</w:t>
      </w:r>
      <w:r>
        <w:rPr>
          <w:rFonts w:hint="eastAsia" w:ascii="宋体" w:hAnsi="宋体"/>
          <w:b/>
          <w:color w:val="000000"/>
          <w:sz w:val="21"/>
          <w:szCs w:val="21"/>
        </w:rPr>
        <w:t>及发包人相应工程变更管理办法。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39"/>
      <w:bookmarkEnd w:id="740"/>
    </w:p>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bookmarkStart w:id="896" w:name="_Toc296346724"/>
      <w:bookmarkStart w:id="897" w:name="_Toc304295596"/>
      <w:bookmarkStart w:id="898" w:name="_Toc297123565"/>
      <w:bookmarkStart w:id="899" w:name="_Toc297048409"/>
      <w:bookmarkStart w:id="900" w:name="_Toc296503223"/>
      <w:bookmarkStart w:id="901" w:name="_Toc312678056"/>
      <w:bookmarkStart w:id="902" w:name="_Toc297216224"/>
      <w:bookmarkStart w:id="903" w:name="_Toc296891263"/>
      <w:bookmarkStart w:id="904" w:name="_Toc303539173"/>
      <w:bookmarkStart w:id="905" w:name="_Toc300935016"/>
      <w:bookmarkStart w:id="906" w:name="_Toc292559428"/>
      <w:bookmarkStart w:id="907" w:name="_Toc292559933"/>
      <w:bookmarkStart w:id="908" w:name="_Toc296347222"/>
      <w:bookmarkStart w:id="909" w:name="_Toc296944562"/>
      <w:bookmarkStart w:id="910" w:name="_Toc296891051"/>
      <w:bookmarkStart w:id="911" w:name="_Toc297120523"/>
      <w:bookmarkStart w:id="912" w:name="_Toc267251473"/>
      <w:bookmarkStart w:id="913" w:name="_Toc267251474"/>
      <w:bookmarkStart w:id="914" w:name="_Toc267251472"/>
      <w:bookmarkStart w:id="915" w:name="_Toc267251475"/>
      <w:bookmarkStart w:id="916" w:name="_Toc267251470"/>
      <w:bookmarkStart w:id="917" w:name="_Toc267251471"/>
      <w:bookmarkStart w:id="918" w:name="_Toc267251476"/>
      <w:r>
        <w:rPr>
          <w:rFonts w:hint="eastAsia" w:ascii="宋体" w:hAnsi="宋体" w:cs="宋体"/>
          <w:color w:val="000000"/>
          <w:sz w:val="21"/>
          <w:szCs w:val="21"/>
        </w:rPr>
        <w:t>13.2 竣工验收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bookmarkStart w:id="919" w:name="_Toc280868704"/>
      <w:bookmarkStart w:id="920" w:name="_Toc280868705"/>
      <w:bookmarkStart w:id="921" w:name="_Toc280868706"/>
      <w:bookmarkStart w:id="922" w:name="_Toc280868707"/>
      <w:bookmarkStart w:id="923" w:name="_Toc280868708"/>
      <w:bookmarkStart w:id="924" w:name="_Toc280868709"/>
      <w:r>
        <w:rPr>
          <w:rFonts w:hint="eastAsia" w:ascii="宋体" w:hAnsi="宋体" w:cs="宋体"/>
          <w:color w:val="000000"/>
          <w:sz w:val="21"/>
          <w:szCs w:val="21"/>
        </w:rPr>
        <w:t>13.2.2竣工验收程序</w:t>
      </w:r>
    </w:p>
    <w:bookmarkEnd w:id="919"/>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widowControl/>
        <w:kinsoku/>
        <w:wordWrap/>
        <w:overflowPunct/>
        <w:topLinePunct w:val="0"/>
        <w:autoSpaceDN w:val="0"/>
        <w:bidi w:val="0"/>
        <w:adjustRightInd w:val="0"/>
        <w:snapToGrid/>
        <w:spacing w:line="320" w:lineRule="exact"/>
        <w:ind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20"/>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21"/>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22"/>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23"/>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12"/>
    <w:bookmarkEnd w:id="913"/>
    <w:bookmarkEnd w:id="914"/>
    <w:bookmarkEnd w:id="915"/>
    <w:bookmarkEnd w:id="916"/>
    <w:bookmarkEnd w:id="917"/>
    <w:bookmarkEnd w:id="918"/>
    <w:bookmarkEnd w:id="924"/>
    <w:p>
      <w:pPr>
        <w:pStyle w:val="9"/>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25" w:name="_Toc351203646"/>
      <w:bookmarkStart w:id="926" w:name="_Toc386638620"/>
      <w:bookmarkStart w:id="927" w:name="_Toc351203647"/>
      <w:bookmarkStart w:id="928" w:name="_Toc386638621"/>
      <w:bookmarkStart w:id="929" w:name="_Toc267251483"/>
      <w:bookmarkStart w:id="930" w:name="_Toc267251482"/>
      <w:bookmarkStart w:id="931" w:name="_Toc267251484"/>
      <w:bookmarkStart w:id="932" w:name="_Toc267251485"/>
      <w:bookmarkStart w:id="933" w:name="_Toc267251490"/>
      <w:bookmarkStart w:id="934" w:name="_Toc267251486"/>
      <w:bookmarkStart w:id="935" w:name="_Toc267251489"/>
      <w:bookmarkStart w:id="936" w:name="_Toc267251488"/>
      <w:bookmarkStart w:id="937" w:name="_Toc267251498"/>
      <w:bookmarkStart w:id="938" w:name="_Toc267251497"/>
      <w:bookmarkStart w:id="939" w:name="_Toc267251493"/>
      <w:bookmarkStart w:id="940" w:name="_Toc267251492"/>
      <w:bookmarkStart w:id="941" w:name="_Toc267251501"/>
      <w:bookmarkStart w:id="942" w:name="_Toc267251495"/>
      <w:bookmarkStart w:id="943" w:name="_Toc267251503"/>
      <w:bookmarkStart w:id="944" w:name="_Toc267251502"/>
      <w:bookmarkStart w:id="945" w:name="_Toc267251499"/>
      <w:bookmarkStart w:id="946" w:name="_Toc267251494"/>
      <w:bookmarkStart w:id="947" w:name="_Toc267251496"/>
      <w:bookmarkStart w:id="948" w:name="_Toc267251491"/>
      <w:bookmarkStart w:id="949" w:name="_Toc267251509"/>
      <w:bookmarkStart w:id="950" w:name="_Toc267251514"/>
      <w:bookmarkStart w:id="951" w:name="_Toc267251507"/>
      <w:bookmarkStart w:id="952" w:name="_Toc267251511"/>
      <w:bookmarkStart w:id="953" w:name="_Toc267251508"/>
      <w:bookmarkStart w:id="954" w:name="_Toc267251506"/>
      <w:bookmarkStart w:id="955" w:name="_Toc267251510"/>
      <w:bookmarkStart w:id="956" w:name="_Toc267251513"/>
      <w:bookmarkStart w:id="957" w:name="_Toc267251504"/>
      <w:bookmarkStart w:id="958" w:name="_Toc267251515"/>
      <w:r>
        <w:rPr>
          <w:rFonts w:hint="eastAsia" w:ascii="宋体" w:hAnsi="宋体" w:eastAsia="宋体" w:cs="宋体"/>
          <w:b w:val="0"/>
          <w:color w:val="000000"/>
          <w:sz w:val="21"/>
          <w:szCs w:val="21"/>
        </w:rPr>
        <w:t>14. 竣工结算</w:t>
      </w:r>
      <w:bookmarkEnd w:id="925"/>
      <w:bookmarkEnd w:id="926"/>
    </w:p>
    <w:p>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pPr>
        <w:pageBreakBefore w:val="0"/>
        <w:kinsoku/>
        <w:wordWrap/>
        <w:overflowPunct/>
        <w:topLinePunct w:val="0"/>
        <w:bidi w:val="0"/>
        <w:adjustRightInd w:val="0"/>
        <w:snapToGrid/>
        <w:spacing w:line="320" w:lineRule="exact"/>
        <w:ind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3份</w:t>
      </w:r>
      <w:r>
        <w:rPr>
          <w:rFonts w:ascii="宋体" w:hAnsi="宋体"/>
          <w:color w:val="000000"/>
          <w:sz w:val="21"/>
          <w:szCs w:val="21"/>
          <w:u w:val="single"/>
        </w:rPr>
        <w:t xml:space="preserve">   </w:t>
      </w:r>
      <w:r>
        <w:rPr>
          <w:rFonts w:ascii="宋体" w:hAnsi="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27"/>
      <w:bookmarkEnd w:id="928"/>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29"/>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30"/>
    <w:bookmarkEnd w:id="931"/>
    <w:p>
      <w:pPr>
        <w:spacing w:line="460" w:lineRule="exact"/>
        <w:ind w:firstLine="420" w:firstLineChars="200"/>
        <w:rPr>
          <w:rFonts w:hint="eastAsia" w:ascii="宋体" w:hAnsi="宋体" w:cs="宋体"/>
          <w:sz w:val="21"/>
          <w:szCs w:val="21"/>
          <w:highlight w:val="none"/>
        </w:rPr>
      </w:pPr>
      <w:r>
        <w:rPr>
          <w:rFonts w:hint="eastAsia" w:ascii="宋体" w:hAnsi="宋体"/>
          <w:color w:val="000000"/>
          <w:sz w:val="21"/>
          <w:szCs w:val="21"/>
        </w:rPr>
        <w:t>15.3 质量保证金</w:t>
      </w:r>
      <w:r>
        <w:rPr>
          <w:rFonts w:hint="eastAsia" w:ascii="宋体" w:hAnsi="宋体"/>
          <w:color w:val="000000"/>
          <w:sz w:val="21"/>
          <w:szCs w:val="21"/>
          <w:lang w:val="en-US" w:eastAsia="zh-CN"/>
        </w:rPr>
        <w:t xml:space="preserve"> ：</w:t>
      </w:r>
      <w:r>
        <w:rPr>
          <w:rFonts w:hint="eastAsia" w:ascii="宋体" w:hAnsi="宋体" w:cs="宋体"/>
          <w:sz w:val="21"/>
          <w:szCs w:val="21"/>
          <w:highlight w:val="none"/>
        </w:rPr>
        <w:t>关于是否扣留质量保证金的约定：按《关于印发宁海县房屋建筑和市政基础设施工程担保管理办法（试行）的通知》（宁建〔2014〕67号）规定并结合</w:t>
      </w:r>
      <w:r>
        <w:rPr>
          <w:rFonts w:hint="eastAsia" w:ascii="宋体" w:hAnsi="宋体" w:cs="宋体"/>
          <w:b/>
          <w:bCs/>
          <w:sz w:val="21"/>
          <w:szCs w:val="21"/>
          <w:highlight w:val="none"/>
        </w:rPr>
        <w:t>《宁波市住房和城乡建设委员会关于进一步优化建筑业发展环境减轻建筑企业负担的通知》（甬建函</w:t>
      </w:r>
      <w:r>
        <w:rPr>
          <w:rFonts w:hint="eastAsia" w:ascii="宋体" w:hAnsi="宋体" w:cs="宋体"/>
          <w:b/>
          <w:sz w:val="21"/>
          <w:szCs w:val="21"/>
          <w:highlight w:val="none"/>
        </w:rPr>
        <w:t>〔2017〕</w:t>
      </w:r>
      <w:r>
        <w:rPr>
          <w:rFonts w:hint="eastAsia" w:ascii="宋体" w:hAnsi="宋体" w:cs="宋体"/>
          <w:b/>
          <w:bCs/>
          <w:sz w:val="21"/>
          <w:szCs w:val="21"/>
          <w:highlight w:val="none"/>
        </w:rPr>
        <w:t>96 号）、《关于在全省工程建设领域改革保证金制度的通知》（浙建〔2020〕7号）及宁海县住建局颁发《关于进一步推动落实建筑业惠企减负政策的通知》的文件</w:t>
      </w:r>
      <w:r>
        <w:rPr>
          <w:rFonts w:hint="eastAsia" w:ascii="宋体" w:hAnsi="宋体" w:cs="宋体"/>
          <w:sz w:val="21"/>
          <w:szCs w:val="21"/>
          <w:highlight w:val="none"/>
        </w:rPr>
        <w:t>，承包人向发包人提供。</w:t>
      </w:r>
    </w:p>
    <w:p>
      <w:pPr>
        <w:spacing w:line="46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（1）承包人提供的质量保证担保形式为</w:t>
      </w:r>
      <w:r>
        <w:rPr>
          <w:rFonts w:hint="eastAsia" w:ascii="宋体" w:hAnsi="宋体" w:cs="宋体"/>
          <w:b/>
          <w:bCs/>
          <w:sz w:val="21"/>
          <w:szCs w:val="21"/>
          <w:highlight w:val="none"/>
          <w:u w:val="single"/>
        </w:rPr>
        <w:t>银行保函或保险机构保证保险保单</w:t>
      </w:r>
      <w:r>
        <w:rPr>
          <w:rFonts w:hint="eastAsia" w:ascii="宋体" w:hAnsi="宋体" w:cs="宋体"/>
          <w:b/>
          <w:bCs/>
          <w:sz w:val="21"/>
          <w:szCs w:val="21"/>
          <w:highlight w:val="none"/>
        </w:rPr>
        <w:t>。</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（2）质量保证金保函担保时间或质量保证金扣留期限与第15.2款约定的缺陷责任期保持一致。</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（3）质量保证金额为工程结算价的</w:t>
      </w:r>
      <w:r>
        <w:rPr>
          <w:rFonts w:hint="eastAsia" w:ascii="宋体" w:hAnsi="宋体" w:cs="宋体"/>
          <w:sz w:val="21"/>
          <w:szCs w:val="21"/>
          <w:highlight w:val="none"/>
          <w:u w:val="single"/>
          <w:lang w:val="en-US" w:eastAsia="zh-CN"/>
        </w:rPr>
        <w:t xml:space="preserve"> 1.5%</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pPr>
        <w:autoSpaceDE w:val="0"/>
        <w:autoSpaceDN w:val="0"/>
        <w:adjustRightInd w:val="0"/>
        <w:spacing w:line="4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（4）承包人与质量保证担保有关的任何利息或其它类似的费用或者收益由承包人承担；因承包人原因导致缺陷责任期延长的，继续提供质量保证担保所增加的费用由承包人承担。</w:t>
      </w:r>
    </w:p>
    <w:p>
      <w:pPr>
        <w:spacing w:line="360" w:lineRule="auto"/>
        <w:ind w:firstLine="441" w:firstLineChars="210"/>
        <w:rPr>
          <w:rFonts w:hint="eastAsia" w:ascii="宋体" w:hAnsi="宋体" w:cs="宋体"/>
          <w:color w:val="000000"/>
          <w:sz w:val="21"/>
          <w:szCs w:val="21"/>
          <w:highlight w:val="none"/>
        </w:rPr>
      </w:pPr>
      <w:r>
        <w:rPr>
          <w:rFonts w:hint="eastAsia" w:ascii="宋体" w:hAnsi="宋体" w:cs="宋体"/>
          <w:color w:val="000000"/>
          <w:sz w:val="21"/>
          <w:szCs w:val="21"/>
          <w:highlight w:val="none"/>
        </w:rPr>
        <w:t>15.3.3 质量保修金的退还</w:t>
      </w:r>
    </w:p>
    <w:p>
      <w:pPr>
        <w:autoSpaceDE w:val="0"/>
        <w:autoSpaceDN w:val="0"/>
        <w:adjustRightInd w:val="0"/>
        <w:spacing w:line="360" w:lineRule="auto"/>
        <w:ind w:firstLine="420" w:firstLineChars="200"/>
        <w:rPr>
          <w:rFonts w:hint="default" w:ascii="宋体" w:hAnsi="宋体" w:eastAsia="宋体"/>
          <w:color w:val="000000"/>
          <w:sz w:val="21"/>
          <w:szCs w:val="21"/>
          <w:u w:val="single"/>
          <w:lang w:val="en-US" w:eastAsia="zh-CN"/>
        </w:rPr>
      </w:pPr>
      <w:r>
        <w:rPr>
          <w:rFonts w:hint="eastAsia" w:ascii="宋体" w:hAnsi="宋体"/>
          <w:sz w:val="21"/>
          <w:szCs w:val="21"/>
          <w:highlight w:val="none"/>
          <w:u w:val="single"/>
        </w:rPr>
        <w:t>发包人应按约定退还质量保修金，质量保修金保留期为</w:t>
      </w:r>
      <w:r>
        <w:rPr>
          <w:rFonts w:hint="eastAsia" w:ascii="宋体" w:hAnsi="宋体"/>
          <w:sz w:val="21"/>
          <w:szCs w:val="21"/>
          <w:highlight w:val="none"/>
          <w:u w:val="single"/>
          <w:lang w:val="en-US" w:eastAsia="zh-CN"/>
        </w:rPr>
        <w:t>2</w:t>
      </w:r>
      <w:r>
        <w:rPr>
          <w:rFonts w:hint="eastAsia" w:ascii="宋体" w:hAnsi="宋体"/>
          <w:sz w:val="21"/>
          <w:szCs w:val="21"/>
          <w:highlight w:val="none"/>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w:t>
      </w:r>
      <w:r>
        <w:rPr>
          <w:rFonts w:hint="eastAsia" w:ascii="宋体" w:hAnsi="宋体"/>
          <w:sz w:val="21"/>
          <w:szCs w:val="21"/>
          <w:highlight w:val="none"/>
          <w:u w:val="single"/>
          <w:lang w:eastAsia="zh-CN"/>
        </w:rPr>
        <w:t>。</w:t>
      </w:r>
      <w:r>
        <w:rPr>
          <w:rFonts w:hint="eastAsia" w:ascii="宋体" w:hAnsi="宋体"/>
          <w:sz w:val="21"/>
          <w:szCs w:val="21"/>
          <w:highlight w:val="none"/>
          <w:u w:val="single"/>
        </w:rPr>
        <w:t>保修期内保修金不计息。</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15.4保修</w:t>
      </w:r>
    </w:p>
    <w:bookmarkEnd w:id="932"/>
    <w:p>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15.4.1 保修责任</w:t>
      </w:r>
    </w:p>
    <w:p>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15.4.3 修复通知</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33"/>
    <w:bookmarkEnd w:id="934"/>
    <w:bookmarkEnd w:id="935"/>
    <w:bookmarkEnd w:id="936"/>
    <w:p>
      <w:pPr>
        <w:pStyle w:val="9"/>
        <w:pageBreakBefore w:val="0"/>
        <w:numPr>
          <w:ilvl w:val="3"/>
          <w:numId w:val="0"/>
        </w:numPr>
        <w:kinsoku/>
        <w:wordWrap/>
        <w:overflowPunct/>
        <w:topLinePunct w:val="0"/>
        <w:bidi w:val="0"/>
        <w:adjustRightInd w:val="0"/>
        <w:snapToGrid/>
        <w:spacing w:before="0" w:after="0" w:line="320" w:lineRule="exact"/>
        <w:ind w:leftChars="0" w:firstLine="210" w:firstLineChars="100"/>
        <w:textAlignment w:val="auto"/>
        <w:rPr>
          <w:rFonts w:hint="eastAsia" w:ascii="宋体" w:hAnsi="宋体" w:eastAsia="宋体" w:cs="宋体"/>
          <w:b w:val="0"/>
          <w:color w:val="000000"/>
          <w:sz w:val="21"/>
          <w:szCs w:val="21"/>
        </w:rPr>
      </w:pPr>
      <w:bookmarkStart w:id="959" w:name="_Toc386638622"/>
      <w:bookmarkStart w:id="960" w:name="_Toc351203648"/>
      <w:bookmarkStart w:id="961" w:name="_Toc280868717"/>
      <w:bookmarkStart w:id="962" w:name="_Toc280868718"/>
      <w:r>
        <w:rPr>
          <w:rFonts w:hint="eastAsia" w:ascii="宋体" w:hAnsi="宋体" w:eastAsia="宋体" w:cs="宋体"/>
          <w:b w:val="0"/>
          <w:color w:val="000000"/>
          <w:sz w:val="21"/>
          <w:szCs w:val="21"/>
        </w:rPr>
        <w:t>16. 违约</w:t>
      </w:r>
      <w:bookmarkEnd w:id="959"/>
      <w:bookmarkEnd w:id="960"/>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pPr>
        <w:pageBreakBefore w:val="0"/>
        <w:kinsoku/>
        <w:wordWrap/>
        <w:overflowPunct/>
        <w:topLinePunct w:val="0"/>
        <w:bidi w:val="0"/>
        <w:adjustRightInd w:val="0"/>
        <w:snapToGrid/>
        <w:spacing w:line="320" w:lineRule="exact"/>
        <w:ind w:left="72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left="1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3" w:name="_Toc351203649"/>
      <w:bookmarkStart w:id="964" w:name="_Toc386638623"/>
      <w:r>
        <w:rPr>
          <w:rFonts w:hint="eastAsia" w:ascii="宋体" w:hAnsi="宋体" w:eastAsia="宋体" w:cs="宋体"/>
          <w:b w:val="0"/>
          <w:color w:val="000000"/>
          <w:sz w:val="21"/>
          <w:szCs w:val="21"/>
        </w:rPr>
        <w:t>17. 不可抗力</w:t>
      </w:r>
      <w:bookmarkEnd w:id="963"/>
      <w:bookmarkEnd w:id="964"/>
      <w:r>
        <w:rPr>
          <w:rFonts w:hint="eastAsia" w:ascii="宋体" w:hAnsi="宋体" w:eastAsia="宋体" w:cs="宋体"/>
          <w:b w:val="0"/>
          <w:color w:val="000000"/>
          <w:sz w:val="21"/>
          <w:szCs w:val="21"/>
        </w:rPr>
        <w:t xml:space="preserve"> </w:t>
      </w:r>
      <w:bookmarkEnd w:id="961"/>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65" w:name="_Toc386638624"/>
      <w:bookmarkStart w:id="966" w:name="_Toc351203650"/>
      <w:r>
        <w:rPr>
          <w:rFonts w:hint="eastAsia" w:ascii="宋体" w:hAnsi="宋体" w:eastAsia="宋体" w:cs="宋体"/>
          <w:b w:val="0"/>
          <w:color w:val="000000"/>
          <w:sz w:val="21"/>
          <w:szCs w:val="21"/>
        </w:rPr>
        <w:t>18. 保险</w:t>
      </w:r>
      <w:bookmarkEnd w:id="965"/>
      <w:bookmarkEnd w:id="966"/>
    </w:p>
    <w:bookmarkEnd w:id="937"/>
    <w:bookmarkEnd w:id="938"/>
    <w:bookmarkEnd w:id="939"/>
    <w:bookmarkEnd w:id="940"/>
    <w:bookmarkEnd w:id="941"/>
    <w:bookmarkEnd w:id="942"/>
    <w:bookmarkEnd w:id="943"/>
    <w:bookmarkEnd w:id="944"/>
    <w:bookmarkEnd w:id="945"/>
    <w:bookmarkEnd w:id="946"/>
    <w:bookmarkEnd w:id="947"/>
    <w:bookmarkEnd w:id="948"/>
    <w:bookmarkEnd w:id="962"/>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967" w:name="_Toc351203651"/>
      <w:bookmarkStart w:id="968" w:name="_Toc386638625"/>
      <w:r>
        <w:rPr>
          <w:rFonts w:ascii="宋体" w:hAnsi="宋体"/>
          <w:sz w:val="21"/>
          <w:szCs w:val="21"/>
        </w:rPr>
        <w:t>18.1 工程保险</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18.3 其他保险</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18.7 通知义务</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pPr>
        <w:pageBreakBefore w:val="0"/>
        <w:kinsoku/>
        <w:wordWrap/>
        <w:overflowPunct/>
        <w:topLinePunct w:val="0"/>
        <w:bidi w:val="0"/>
        <w:adjustRightInd w:val="0"/>
        <w:snapToGrid/>
        <w:spacing w:line="320" w:lineRule="exact"/>
        <w:ind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pPr>
        <w:pStyle w:val="9"/>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21.4根据《宁海县人民政府办公室关于印发2013年建设工程扬尘综合整治专项行动实施方案的通知》(宁政办发［2013］83号)文件规定，中标人应做好防止扬尘污染环境等相关工作，该费用已包括在合同价中。</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49"/>
    <w:bookmarkEnd w:id="950"/>
    <w:bookmarkEnd w:id="951"/>
    <w:bookmarkEnd w:id="952"/>
    <w:bookmarkEnd w:id="953"/>
    <w:bookmarkEnd w:id="954"/>
    <w:bookmarkEnd w:id="955"/>
    <w:bookmarkEnd w:id="956"/>
    <w:bookmarkEnd w:id="957"/>
    <w:bookmarkEnd w:id="958"/>
    <w:bookmarkEnd w:id="967"/>
    <w:bookmarkEnd w:id="968"/>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21.12外墙涂料颜色中标后由业主指定，投标人需无条件接受。</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21.14工程预算书中提供的三个品牌供各投标人自行选择；实际施工过程中如因品牌缺货或有其他特殊情况，经招标人和监理同意后，可以更换同档次或优于提供品牌的产品，其价格不作调整。</w:t>
      </w:r>
    </w:p>
    <w:p>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21.15本合同未尽事宜，由双方协商解决。</w:t>
      </w:r>
    </w:p>
    <w:p>
      <w:pPr>
        <w:pageBreakBefore w:val="0"/>
        <w:kinsoku/>
        <w:wordWrap/>
        <w:overflowPunct/>
        <w:topLinePunct w:val="0"/>
        <w:bidi w:val="0"/>
        <w:adjustRightInd w:val="0"/>
        <w:snapToGrid/>
        <w:spacing w:line="320" w:lineRule="exact"/>
        <w:textAlignment w:val="auto"/>
        <w:rPr>
          <w:rFonts w:ascii="宋体" w:hAnsi="宋体" w:cs="宋体"/>
          <w:b/>
          <w:bCs/>
          <w:color w:val="000000"/>
          <w:sz w:val="21"/>
          <w:szCs w:val="21"/>
          <w:lang w:bidi="ar"/>
        </w:rPr>
      </w:pPr>
      <w:r>
        <w:rPr>
          <w:rFonts w:hint="eastAsia" w:ascii="宋体" w:hAnsi="宋体" w:cs="宋体"/>
          <w:b/>
          <w:color w:val="000000"/>
          <w:sz w:val="21"/>
          <w:szCs w:val="21"/>
        </w:rPr>
        <w:br w:type="page"/>
      </w:r>
    </w:p>
    <w:bookmarkEnd w:id="66"/>
    <w:p>
      <w:pPr>
        <w:spacing w:line="360" w:lineRule="auto"/>
        <w:jc w:val="both"/>
        <w:outlineLvl w:val="0"/>
        <w:rPr>
          <w:rFonts w:hint="eastAsia" w:ascii="仿宋" w:hAnsi="仿宋" w:eastAsia="仿宋" w:cs="仿宋"/>
          <w:b/>
          <w:sz w:val="21"/>
          <w:szCs w:val="21"/>
        </w:rPr>
      </w:pPr>
      <w:bookmarkStart w:id="969" w:name="第五部分"/>
      <w:bookmarkStart w:id="970" w:name="_Toc86217003"/>
      <w:bookmarkStart w:id="971" w:name="_Toc20617"/>
    </w:p>
    <w:p>
      <w:pPr>
        <w:spacing w:line="410" w:lineRule="exact"/>
        <w:ind w:left="120" w:leftChars="57" w:firstLine="640" w:firstLineChars="200"/>
        <w:jc w:val="center"/>
        <w:rPr>
          <w:rFonts w:hint="eastAsia" w:ascii="黑体" w:hAnsi="宋体" w:eastAsia="黑体" w:cs="宋体"/>
          <w:color w:val="000000"/>
          <w:sz w:val="32"/>
          <w:szCs w:val="32"/>
          <w:lang w:val="zh-CN"/>
        </w:rPr>
      </w:pPr>
      <w:bookmarkStart w:id="972" w:name="_Toc24679"/>
      <w:r>
        <w:rPr>
          <w:rFonts w:hint="eastAsia" w:ascii="黑体" w:hAnsi="宋体" w:eastAsia="黑体" w:cs="宋体"/>
          <w:color w:val="000000"/>
          <w:sz w:val="32"/>
          <w:szCs w:val="32"/>
          <w:lang w:val="zh-CN"/>
        </w:rPr>
        <w:t>工程项目廉政合同</w:t>
      </w:r>
    </w:p>
    <w:p>
      <w:pPr>
        <w:autoSpaceDE w:val="0"/>
        <w:autoSpaceDN w:val="0"/>
        <w:adjustRightInd w:val="0"/>
        <w:spacing w:line="480" w:lineRule="exact"/>
        <w:jc w:val="center"/>
        <w:outlineLvl w:val="1"/>
        <w:rPr>
          <w:rFonts w:hint="eastAsia" w:ascii="黑体" w:hAnsi="宋体" w:eastAsia="黑体" w:cs="宋体"/>
          <w:color w:val="000000"/>
          <w:sz w:val="21"/>
          <w:szCs w:val="21"/>
          <w:lang w:val="zh-CN"/>
        </w:rPr>
      </w:pPr>
    </w:p>
    <w:p>
      <w:pPr>
        <w:autoSpaceDE w:val="0"/>
        <w:autoSpaceDN w:val="0"/>
        <w:adjustRightInd w:val="0"/>
        <w:spacing w:line="360" w:lineRule="auto"/>
        <w:jc w:val="left"/>
        <w:rPr>
          <w:rFonts w:hint="eastAsia" w:ascii="宋体" w:hAnsi="宋体" w:cs="宋体"/>
          <w:color w:val="000000"/>
          <w:sz w:val="21"/>
          <w:szCs w:val="21"/>
          <w:u w:val="single"/>
        </w:rPr>
      </w:pPr>
      <w:r>
        <w:rPr>
          <w:rFonts w:hint="eastAsia" w:ascii="宋体" w:hAnsi="宋体" w:cs="宋体"/>
          <w:color w:val="000000"/>
          <w:sz w:val="21"/>
          <w:szCs w:val="21"/>
          <w:lang w:val="zh-CN"/>
        </w:rPr>
        <w:t>工程项目名称：</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pPr>
        <w:autoSpaceDE w:val="0"/>
        <w:autoSpaceDN w:val="0"/>
        <w:adjustRightInd w:val="0"/>
        <w:spacing w:line="360" w:lineRule="auto"/>
        <w:jc w:val="left"/>
        <w:rPr>
          <w:rFonts w:hint="eastAsia" w:ascii="宋体" w:hAnsi="宋体" w:cs="宋体"/>
          <w:color w:val="000000"/>
          <w:sz w:val="21"/>
          <w:szCs w:val="21"/>
          <w:lang w:val="zh-CN"/>
        </w:rPr>
      </w:pPr>
      <w:r>
        <w:rPr>
          <w:rFonts w:hint="eastAsia" w:ascii="宋体" w:hAnsi="宋体" w:cs="宋体"/>
          <w:color w:val="000000"/>
          <w:sz w:val="21"/>
          <w:szCs w:val="21"/>
          <w:lang w:val="zh-CN"/>
        </w:rPr>
        <w:t>发包人名称(以下称甲方)：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zh-CN"/>
        </w:rPr>
        <w:t xml:space="preserve"> </w:t>
      </w:r>
    </w:p>
    <w:p>
      <w:pPr>
        <w:spacing w:line="360" w:lineRule="auto"/>
        <w:rPr>
          <w:rFonts w:hint="eastAsia" w:ascii="宋体" w:hAnsi="宋体" w:cs="宋体"/>
          <w:color w:val="000000"/>
          <w:sz w:val="21"/>
          <w:szCs w:val="21"/>
          <w:lang w:val="zh-CN"/>
        </w:rPr>
      </w:pPr>
      <w:r>
        <w:rPr>
          <w:rFonts w:hint="eastAsia" w:ascii="宋体" w:hAnsi="宋体" w:cs="宋体"/>
          <w:color w:val="000000"/>
          <w:sz w:val="21"/>
          <w:szCs w:val="21"/>
          <w:lang w:val="zh-CN"/>
        </w:rPr>
        <w:t>承包人名称(以下称乙方)：</w:t>
      </w:r>
      <w:r>
        <w:rPr>
          <w:rFonts w:hint="eastAsia" w:ascii="宋体" w:hAnsi="宋体" w:cs="宋体"/>
          <w:color w:val="000000"/>
          <w:sz w:val="21"/>
          <w:szCs w:val="21"/>
          <w:u w:val="single"/>
        </w:rPr>
        <w:t xml:space="preserve">                          </w:t>
      </w:r>
      <w:r>
        <w:rPr>
          <w:rFonts w:hint="eastAsia" w:ascii="宋体" w:hAnsi="宋体" w:cs="宋体"/>
          <w:color w:val="000000"/>
          <w:sz w:val="21"/>
          <w:szCs w:val="21"/>
          <w:lang w:val="zh-CN"/>
        </w:rPr>
        <w:t xml:space="preserve">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第一条  甲乙双方的权利和义务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(二)严格执行本项目发包承包双方签订的 (施工合同、监理合同、勘测设计合同、采购合同、代理合同等)合同，自觉按合同办事。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第二条  甲方的责任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甲方的负责人和从事该工程项目的工作人员，在工程项目的事前、事中、事后应遵守以下规定：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(一)不以任何理由向乙方索要或接受回扣、礼金、有价证券、贵重物品和好处费、感谢费等；不在乙方报销应由甲方或个人支付的费用。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(二)不参加乙方安排的宴请及其他消费活动；不接受乙方提供的通讯工具、交通工具、高档办公用品等。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(三)不要求、暗示和接受乙方为个人装修住房、为配偶子女的工作安排以及本人或亲属旅游、出国(境)等提供方便。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(四)配偶、子女不得从事与乙方承包工程有关的设备材料供应、工程分包、劳务等经济活动。    </w:t>
      </w:r>
    </w:p>
    <w:p>
      <w:pPr>
        <w:autoSpaceDE w:val="0"/>
        <w:autoSpaceDN w:val="0"/>
        <w:adjustRightInd w:val="0"/>
        <w:spacing w:line="360" w:lineRule="auto"/>
        <w:ind w:firstLine="315" w:firstLineChars="150"/>
        <w:jc w:val="left"/>
        <w:rPr>
          <w:rFonts w:hint="eastAsia" w:ascii="宋体" w:hAnsi="宋体" w:cs="宋体"/>
          <w:color w:val="000000"/>
          <w:sz w:val="21"/>
          <w:szCs w:val="21"/>
          <w:lang w:val="zh-CN"/>
        </w:rPr>
      </w:pPr>
      <w:r>
        <w:rPr>
          <w:rFonts w:hint="eastAsia" w:ascii="宋体" w:hAnsi="宋体" w:cs="宋体"/>
          <w:color w:val="000000"/>
          <w:sz w:val="21"/>
          <w:szCs w:val="21"/>
          <w:lang w:val="zh-CN"/>
        </w:rPr>
        <w:t>（五)不以任何理由向乙方推荐分包人或要求乙方购买项目合同规定以外的材料、设备和服务等。</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第三条  乙方的责任</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(一)不以任何理由向甲方及其工作人员行贿或赠送礼金、有价证券、贵重物品。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(二)不以任何名义为甲方及其工作人员报销应由对方支付的费用。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(三)不以任何理由宴请甲方工作人员或安排其他消费活动。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(四)不为甲方和工作人员购置或提供通讯工具、交通工具、高档办公用品和装修住房等。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第四条  违约责任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第五条  双方约定：在自觉履行合同的同时，由甲、乙双方的监督单位负责对本合同履行情况进行监督检查。</w:t>
      </w:r>
    </w:p>
    <w:p>
      <w:pPr>
        <w:spacing w:line="360" w:lineRule="auto"/>
        <w:ind w:firstLine="403" w:firstLineChars="192"/>
        <w:rPr>
          <w:rFonts w:hint="eastAsia" w:ascii="宋体" w:hAnsi="宋体" w:cs="宋体"/>
          <w:color w:val="000000"/>
          <w:sz w:val="21"/>
          <w:szCs w:val="21"/>
          <w:lang w:val="zh-CN"/>
        </w:rPr>
      </w:pPr>
      <w:r>
        <w:rPr>
          <w:rFonts w:hint="eastAsia" w:ascii="宋体" w:hAnsi="宋体" w:cs="宋体"/>
          <w:color w:val="000000"/>
          <w:sz w:val="21"/>
          <w:szCs w:val="21"/>
          <w:lang w:val="zh-CN"/>
        </w:rPr>
        <w:t>第六条  本合同作为</w:t>
      </w:r>
      <w:r>
        <w:rPr>
          <w:rFonts w:hint="eastAsia" w:ascii="宋体" w:hAnsi="宋体" w:cs="宋体"/>
          <w:color w:val="000000"/>
          <w:sz w:val="21"/>
          <w:szCs w:val="21"/>
          <w:u w:val="single"/>
          <w:lang w:val="zh-CN"/>
        </w:rPr>
        <w:t xml:space="preserve"> </w:t>
      </w:r>
      <w:r>
        <w:rPr>
          <w:rFonts w:hint="eastAsia" w:ascii="宋体" w:hAnsi="宋体" w:cs="宋体"/>
          <w:color w:val="000000"/>
          <w:sz w:val="21"/>
          <w:szCs w:val="21"/>
          <w:u w:val="single"/>
        </w:rPr>
        <w:t xml:space="preserve">  </w:t>
      </w:r>
      <w:r>
        <w:rPr>
          <w:rFonts w:hint="eastAsia" w:ascii="宋体" w:hAnsi="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施工合同的附件，与主合同具有</w:t>
      </w:r>
      <w:r>
        <w:rPr>
          <w:rFonts w:hint="eastAsia" w:ascii="宋体" w:hAnsi="宋体" w:cs="宋体"/>
          <w:color w:val="000000"/>
          <w:sz w:val="21"/>
          <w:szCs w:val="21"/>
          <w:lang w:val="zh-CN"/>
        </w:rPr>
        <w:t>同等法律效力。甲乙双方签署后立即生效。</w:t>
      </w:r>
    </w:p>
    <w:p>
      <w:pPr>
        <w:autoSpaceDE w:val="0"/>
        <w:autoSpaceDN w:val="0"/>
        <w:adjustRightInd w:val="0"/>
        <w:spacing w:line="360" w:lineRule="auto"/>
        <w:ind w:firstLine="420" w:firstLineChars="200"/>
        <w:jc w:val="left"/>
        <w:rPr>
          <w:rFonts w:hint="eastAsia" w:ascii="宋体" w:hAnsi="宋体" w:cs="宋体"/>
          <w:color w:val="000000"/>
          <w:sz w:val="21"/>
          <w:szCs w:val="21"/>
          <w:lang w:val="zh-CN"/>
        </w:rPr>
      </w:pPr>
      <w:r>
        <w:rPr>
          <w:rFonts w:hint="eastAsia" w:ascii="宋体" w:hAnsi="宋体" w:cs="宋体"/>
          <w:color w:val="000000"/>
          <w:sz w:val="21"/>
          <w:szCs w:val="21"/>
          <w:lang w:val="zh-CN"/>
        </w:rPr>
        <w:t xml:space="preserve">第七条  本合同的有效期为双方签署之日起至该工程项目竣工验收合格时止。    </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第八条  本合同一式五份，由甲、乙双方各执一份，送交甲、乙双方的监督单位各一份，送宁海县公共资源交管办一份备案。</w:t>
      </w:r>
    </w:p>
    <w:p>
      <w:pPr>
        <w:spacing w:line="360" w:lineRule="auto"/>
        <w:ind w:firstLine="420" w:firstLineChars="200"/>
        <w:rPr>
          <w:rFonts w:hint="eastAsia" w:ascii="宋体" w:hAnsi="宋体" w:cs="宋体"/>
          <w:color w:val="000000"/>
          <w:sz w:val="21"/>
          <w:szCs w:val="21"/>
        </w:rPr>
      </w:pP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甲方（盖章）：</w:t>
      </w:r>
      <w:r>
        <w:rPr>
          <w:rFonts w:hint="eastAsia" w:ascii="宋体" w:hAnsi="宋体" w:cs="宋体"/>
          <w:color w:val="000000"/>
          <w:sz w:val="21"/>
          <w:szCs w:val="21"/>
        </w:rPr>
        <w:tab/>
      </w:r>
      <w:r>
        <w:rPr>
          <w:rFonts w:hint="eastAsia" w:ascii="宋体" w:hAnsi="宋体" w:cs="宋体"/>
          <w:color w:val="000000"/>
          <w:sz w:val="21"/>
          <w:szCs w:val="21"/>
        </w:rPr>
        <w:t>乙方（盖章）：</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法定代表人：</w:t>
      </w:r>
      <w:r>
        <w:rPr>
          <w:rFonts w:hint="eastAsia" w:ascii="宋体" w:hAnsi="宋体" w:cs="宋体"/>
          <w:color w:val="000000"/>
          <w:sz w:val="21"/>
          <w:szCs w:val="21"/>
        </w:rPr>
        <w:tab/>
      </w:r>
      <w:r>
        <w:rPr>
          <w:rFonts w:hint="eastAsia" w:ascii="宋体" w:hAnsi="宋体" w:cs="宋体"/>
          <w:color w:val="000000"/>
          <w:sz w:val="21"/>
          <w:szCs w:val="21"/>
        </w:rPr>
        <w:t>法定代表人：</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地址：</w:t>
      </w:r>
      <w:r>
        <w:rPr>
          <w:rFonts w:hint="eastAsia" w:ascii="宋体" w:hAnsi="宋体" w:cs="宋体"/>
          <w:color w:val="000000"/>
          <w:sz w:val="21"/>
          <w:szCs w:val="21"/>
        </w:rPr>
        <w:tab/>
      </w:r>
      <w:r>
        <w:rPr>
          <w:rFonts w:hint="eastAsia" w:ascii="宋体" w:hAnsi="宋体" w:cs="宋体"/>
          <w:color w:val="000000"/>
          <w:sz w:val="21"/>
          <w:szCs w:val="21"/>
        </w:rPr>
        <w:t>地址：</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电话：</w:t>
      </w:r>
      <w:r>
        <w:rPr>
          <w:rFonts w:hint="eastAsia" w:ascii="宋体" w:hAnsi="宋体" w:cs="宋体"/>
          <w:color w:val="000000"/>
          <w:sz w:val="21"/>
          <w:szCs w:val="21"/>
        </w:rPr>
        <w:tab/>
      </w:r>
      <w:r>
        <w:rPr>
          <w:rFonts w:hint="eastAsia" w:ascii="宋体" w:hAnsi="宋体" w:cs="宋体"/>
          <w:color w:val="000000"/>
          <w:sz w:val="21"/>
          <w:szCs w:val="21"/>
        </w:rPr>
        <w:t>电话：</w:t>
      </w: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年   月   日</w:t>
      </w:r>
      <w:r>
        <w:rPr>
          <w:rFonts w:hint="eastAsia" w:ascii="宋体" w:hAnsi="宋体" w:cs="宋体"/>
          <w:color w:val="000000"/>
          <w:sz w:val="21"/>
          <w:szCs w:val="21"/>
        </w:rPr>
        <w:tab/>
      </w:r>
      <w:r>
        <w:rPr>
          <w:rFonts w:hint="eastAsia" w:ascii="宋体" w:hAnsi="宋体" w:cs="宋体"/>
          <w:color w:val="000000"/>
          <w:sz w:val="21"/>
          <w:szCs w:val="21"/>
        </w:rPr>
        <w:t>年   月   日</w:t>
      </w:r>
    </w:p>
    <w:p>
      <w:pPr>
        <w:tabs>
          <w:tab w:val="left" w:pos="4962"/>
        </w:tabs>
        <w:spacing w:line="360" w:lineRule="auto"/>
        <w:ind w:firstLine="420" w:firstLineChars="200"/>
        <w:rPr>
          <w:rFonts w:hint="eastAsia" w:ascii="宋体" w:hAnsi="宋体" w:cs="宋体"/>
          <w:color w:val="000000"/>
          <w:sz w:val="21"/>
          <w:szCs w:val="21"/>
        </w:rPr>
      </w:pPr>
    </w:p>
    <w:p>
      <w:pPr>
        <w:tabs>
          <w:tab w:val="left" w:pos="4962"/>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甲方监督单位（盖章）</w:t>
      </w:r>
      <w:r>
        <w:rPr>
          <w:rFonts w:hint="eastAsia" w:ascii="宋体" w:hAnsi="宋体" w:cs="宋体"/>
          <w:color w:val="000000"/>
          <w:sz w:val="21"/>
          <w:szCs w:val="21"/>
        </w:rPr>
        <w:tab/>
      </w:r>
      <w:r>
        <w:rPr>
          <w:rFonts w:hint="eastAsia" w:ascii="宋体" w:hAnsi="宋体" w:cs="宋体"/>
          <w:color w:val="000000"/>
          <w:sz w:val="21"/>
          <w:szCs w:val="21"/>
        </w:rPr>
        <w:t>乙方监督单位（盖章）</w:t>
      </w: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r>
        <w:rPr>
          <w:rFonts w:hint="eastAsia" w:ascii="宋体" w:hAnsi="宋体" w:cs="宋体"/>
          <w:color w:val="000000"/>
          <w:sz w:val="21"/>
          <w:szCs w:val="21"/>
        </w:rPr>
        <w:t xml:space="preserve">年   月   日                         年   月  日 </w:t>
      </w:r>
      <w:r>
        <w:rPr>
          <w:rFonts w:hint="eastAsia" w:ascii="宋体" w:hAnsi="宋体" w:cs="宋体"/>
          <w:b/>
          <w:color w:val="000000"/>
          <w:sz w:val="21"/>
          <w:szCs w:val="21"/>
        </w:rPr>
        <w:br w:type="page"/>
      </w: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pPr>
        <w:pStyle w:val="42"/>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第五部分  附件</w:t>
      </w:r>
      <w:bookmarkEnd w:id="972"/>
    </w:p>
    <w:p>
      <w:pPr>
        <w:spacing w:line="440" w:lineRule="exact"/>
        <w:outlineLvl w:val="9"/>
        <w:rPr>
          <w:rFonts w:hint="eastAsia" w:ascii="宋体" w:hAnsi="宋体" w:cs="Arial"/>
          <w:b/>
          <w:bCs/>
          <w:color w:val="000000"/>
          <w:sz w:val="30"/>
          <w:szCs w:val="30"/>
          <w:highlight w:val="none"/>
        </w:rPr>
      </w:pPr>
    </w:p>
    <w:p>
      <w:pPr>
        <w:pStyle w:val="25"/>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left="0" w:leftChars="0" w:firstLine="0" w:firstLineChars="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p>
    <w:p>
      <w:pPr>
        <w:pStyle w:val="25"/>
        <w:ind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pPr>
        <w:pStyle w:val="25"/>
        <w:ind w:firstLine="0"/>
        <w:rPr>
          <w:rFonts w:hint="eastAsia" w:ascii="宋体" w:eastAsia="宋体"/>
          <w:b/>
          <w:color w:val="000000"/>
          <w:sz w:val="28"/>
          <w:highlight w:val="none"/>
        </w:rPr>
      </w:pPr>
    </w:p>
    <w:p>
      <w:pPr>
        <w:pStyle w:val="25"/>
        <w:ind w:firstLine="0"/>
        <w:rPr>
          <w:rFonts w:hint="eastAsia" w:ascii="宋体" w:eastAsia="宋体"/>
          <w:color w:val="000000"/>
          <w:highlight w:val="none"/>
        </w:rPr>
      </w:pPr>
    </w:p>
    <w:p>
      <w:pPr>
        <w:pStyle w:val="25"/>
        <w:ind w:firstLine="0"/>
        <w:jc w:val="center"/>
        <w:outlineLvl w:val="0"/>
        <w:rPr>
          <w:rFonts w:hint="eastAsia" w:ascii="宋体" w:eastAsia="宋体"/>
          <w:b/>
          <w:color w:val="000000"/>
          <w:sz w:val="28"/>
          <w:highlight w:val="none"/>
        </w:rPr>
      </w:pPr>
      <w:bookmarkStart w:id="973" w:name="_Toc7254"/>
      <w:r>
        <w:rPr>
          <w:rFonts w:hint="eastAsia" w:ascii="宋体" w:eastAsia="宋体"/>
          <w:b/>
          <w:color w:val="000000"/>
          <w:sz w:val="28"/>
          <w:highlight w:val="none"/>
        </w:rPr>
        <w:t>（一）  营业执照</w:t>
      </w:r>
      <w:bookmarkEnd w:id="973"/>
    </w:p>
    <w:p>
      <w:pPr>
        <w:pStyle w:val="25"/>
        <w:ind w:firstLine="0"/>
        <w:jc w:val="center"/>
        <w:rPr>
          <w:rFonts w:hint="eastAsia" w:ascii="宋体" w:eastAsia="宋体"/>
          <w:color w:val="000000"/>
          <w:highlight w:val="none"/>
        </w:rPr>
      </w:pPr>
    </w:p>
    <w:p>
      <w:pPr>
        <w:pStyle w:val="25"/>
        <w:ind w:firstLine="0"/>
        <w:jc w:val="center"/>
        <w:rPr>
          <w:rFonts w:hint="eastAsia" w:ascii="宋体" w:eastAsia="宋体"/>
          <w:color w:val="000000"/>
          <w:highlight w:val="none"/>
        </w:rPr>
      </w:pPr>
      <w:r>
        <w:rPr>
          <w:rFonts w:hint="eastAsia" w:ascii="宋体" w:eastAsia="宋体"/>
          <w:color w:val="000000"/>
          <w:highlight w:val="none"/>
        </w:rPr>
        <w:t>（复印件并加盖公章）</w:t>
      </w: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pStyle w:val="25"/>
        <w:ind w:firstLine="0"/>
        <w:rPr>
          <w:rFonts w:hint="eastAsia" w:ascii="宋体" w:eastAsia="宋体"/>
          <w:color w:val="000000"/>
          <w:highlight w:val="none"/>
        </w:rPr>
      </w:pPr>
    </w:p>
    <w:p>
      <w:pPr>
        <w:snapToGrid w:val="0"/>
        <w:spacing w:line="360" w:lineRule="auto"/>
        <w:jc w:val="center"/>
        <w:rPr>
          <w:rFonts w:hint="eastAsia" w:cs="宋体" w:asciiTheme="minorEastAsia" w:hAnsiTheme="minorEastAsia" w:eastAsiaTheme="minorEastAsia"/>
          <w:b/>
          <w:bCs/>
          <w:kern w:val="0"/>
          <w:sz w:val="28"/>
          <w:szCs w:val="28"/>
        </w:rPr>
      </w:pPr>
    </w:p>
    <w:p>
      <w:pPr>
        <w:numPr>
          <w:ilvl w:val="0"/>
          <w:numId w:val="12"/>
        </w:numPr>
        <w:snapToGrid w:val="0"/>
        <w:spacing w:line="360" w:lineRule="auto"/>
        <w:jc w:val="center"/>
        <w:rPr>
          <w:rFonts w:hint="eastAsia"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合格供应商的资格承诺书</w:t>
      </w:r>
    </w:p>
    <w:p>
      <w:pPr>
        <w:pStyle w:val="71"/>
        <w:numPr>
          <w:ilvl w:val="0"/>
          <w:numId w:val="0"/>
        </w:numPr>
      </w:pPr>
    </w:p>
    <w:p>
      <w:pPr>
        <w:pStyle w:val="71"/>
        <w:numPr>
          <w:ilvl w:val="0"/>
          <w:numId w:val="0"/>
        </w:numPr>
      </w:pPr>
    </w:p>
    <w:p>
      <w:pPr>
        <w:pStyle w:val="71"/>
        <w:numPr>
          <w:ilvl w:val="0"/>
          <w:numId w:val="0"/>
        </w:num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pPr>
        <w:snapToGrid w:val="0"/>
        <w:spacing w:line="360" w:lineRule="auto"/>
        <w:rPr>
          <w:rFonts w:cs="宋体" w:asciiTheme="minorEastAsia" w:hAnsiTheme="minorEastAsia" w:eastAsiaTheme="minorEastAsia"/>
          <w:kern w:val="0"/>
          <w:sz w:val="24"/>
        </w:rPr>
      </w:pPr>
    </w:p>
    <w:p>
      <w:pPr>
        <w:snapToGrid w:val="0"/>
        <w:spacing w:line="360" w:lineRule="auto"/>
        <w:rPr>
          <w:rFonts w:cs="宋体" w:asciiTheme="minorEastAsia" w:hAnsiTheme="minorEastAsia" w:eastAsiaTheme="minorEastAsia"/>
          <w:kern w:val="0"/>
          <w:sz w:val="24"/>
        </w:rPr>
      </w:pPr>
    </w:p>
    <w:p>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before="120" w:beforeLines="50"/>
        <w:rPr>
          <w:rFonts w:hint="eastAsia" w:ascii="宋体"/>
          <w:color w:val="000000"/>
          <w:sz w:val="24"/>
          <w:highlight w:val="none"/>
          <w:u w:val="single"/>
        </w:rPr>
      </w:pPr>
    </w:p>
    <w:p>
      <w:pPr>
        <w:spacing w:line="600" w:lineRule="exact"/>
        <w:jc w:val="center"/>
        <w:outlineLvl w:val="9"/>
        <w:rPr>
          <w:rFonts w:hint="eastAsia" w:ascii="仿宋" w:hAnsi="仿宋" w:eastAsia="仿宋" w:cs="仿宋"/>
          <w:b/>
          <w:color w:val="000000"/>
          <w:kern w:val="0"/>
          <w:sz w:val="32"/>
          <w:szCs w:val="32"/>
          <w:highlight w:val="none"/>
        </w:rPr>
      </w:pPr>
    </w:p>
    <w:p>
      <w:pPr>
        <w:spacing w:line="600" w:lineRule="exact"/>
        <w:jc w:val="center"/>
        <w:outlineLvl w:val="0"/>
        <w:rPr>
          <w:rFonts w:hint="eastAsia" w:ascii="宋体" w:eastAsia="宋体"/>
          <w:b/>
          <w:color w:val="000000"/>
          <w:sz w:val="28"/>
          <w:szCs w:val="22"/>
          <w:highlight w:val="none"/>
          <w:lang w:eastAsia="zh-CN"/>
        </w:rPr>
      </w:pPr>
      <w:bookmarkStart w:id="974" w:name="_Toc14217"/>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本项目特定资格要求</w:t>
      </w:r>
      <w:bookmarkEnd w:id="974"/>
      <w:r>
        <w:rPr>
          <w:rFonts w:hint="eastAsia" w:ascii="宋体"/>
          <w:b/>
          <w:color w:val="000000"/>
          <w:sz w:val="28"/>
          <w:szCs w:val="22"/>
          <w:highlight w:val="none"/>
          <w:lang w:eastAsia="zh-CN"/>
        </w:rPr>
        <w:t>（</w:t>
      </w:r>
      <w:r>
        <w:rPr>
          <w:rFonts w:hint="eastAsia" w:ascii="宋体"/>
          <w:b/>
          <w:color w:val="000000"/>
          <w:sz w:val="28"/>
          <w:szCs w:val="22"/>
          <w:highlight w:val="none"/>
          <w:lang w:val="en-US" w:eastAsia="zh-CN"/>
        </w:rPr>
        <w:t>如有</w:t>
      </w:r>
      <w:r>
        <w:rPr>
          <w:rFonts w:hint="eastAsia" w:ascii="宋体"/>
          <w:b/>
          <w:color w:val="000000"/>
          <w:sz w:val="28"/>
          <w:szCs w:val="22"/>
          <w:highlight w:val="none"/>
          <w:lang w:eastAsia="zh-CN"/>
        </w:rPr>
        <w:t>）</w:t>
      </w:r>
    </w:p>
    <w:p>
      <w:pPr>
        <w:pStyle w:val="637"/>
        <w:rPr>
          <w:rFonts w:hint="eastAsia"/>
          <w:color w:val="000000"/>
          <w:sz w:val="24"/>
          <w:szCs w:val="24"/>
          <w:highlight w:val="none"/>
        </w:rPr>
      </w:pPr>
    </w:p>
    <w:p>
      <w:pPr>
        <w:pStyle w:val="637"/>
        <w:rPr>
          <w:rFonts w:hint="eastAsia"/>
          <w:color w:val="00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color w:val="000000"/>
          <w:sz w:val="24"/>
          <w:szCs w:val="24"/>
          <w:highlight w:val="none"/>
        </w:rPr>
      </w:pPr>
      <w:r>
        <w:rPr>
          <w:rFonts w:hint="eastAsia" w:ascii="Cambria" w:hAnsi="Cambria" w:eastAsia="宋体" w:cs="Cambria"/>
          <w:color w:val="auto"/>
          <w:sz w:val="24"/>
          <w:szCs w:val="24"/>
          <w:highlight w:val="none"/>
        </w:rPr>
        <w:t>（提供证书复印件盖公章）</w:t>
      </w:r>
      <w:r>
        <w:rPr>
          <w:rFonts w:hint="eastAsia" w:ascii="Cambria" w:hAnsi="Cambria" w:eastAsia="宋体" w:cs="Cambria"/>
          <w:color w:val="auto"/>
          <w:sz w:val="24"/>
          <w:szCs w:val="24"/>
          <w:highlight w:val="none"/>
        </w:rPr>
        <w:br w:type="page"/>
      </w:r>
    </w:p>
    <w:p>
      <w:pPr>
        <w:pStyle w:val="25"/>
        <w:spacing w:line="480" w:lineRule="exact"/>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pPr>
        <w:pStyle w:val="8"/>
        <w:ind w:firstLine="0" w:firstLineChars="0"/>
        <w:jc w:val="both"/>
        <w:rPr>
          <w:rFonts w:hint="eastAsia"/>
          <w:b/>
          <w:color w:val="000000"/>
          <w:sz w:val="28"/>
          <w:szCs w:val="28"/>
          <w:highlight w:val="none"/>
        </w:rPr>
      </w:pPr>
      <w:r>
        <w:rPr>
          <w:rFonts w:hint="eastAsia"/>
          <w:b/>
          <w:color w:val="000000"/>
          <w:sz w:val="28"/>
          <w:szCs w:val="28"/>
          <w:highlight w:val="none"/>
        </w:rPr>
        <w:t>技术商务文件：</w:t>
      </w:r>
    </w:p>
    <w:p>
      <w:pPr>
        <w:pStyle w:val="8"/>
        <w:ind w:firstLine="0" w:firstLineChars="0"/>
        <w:rPr>
          <w:rFonts w:hint="eastAsia"/>
          <w:b/>
          <w:color w:val="000000"/>
          <w:sz w:val="28"/>
          <w:szCs w:val="28"/>
          <w:highlight w:val="none"/>
        </w:rPr>
      </w:pPr>
    </w:p>
    <w:p>
      <w:pPr>
        <w:pStyle w:val="25"/>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pPr>
        <w:spacing w:line="300" w:lineRule="exact"/>
        <w:ind w:firstLine="240" w:firstLineChars="100"/>
        <w:jc w:val="left"/>
        <w:rPr>
          <w:rFonts w:hint="eastAsia"/>
          <w:bCs/>
          <w:color w:val="000000"/>
          <w:sz w:val="24"/>
          <w:szCs w:val="24"/>
          <w:highlight w:val="none"/>
          <w:lang w:val="zh-CN"/>
        </w:rPr>
      </w:pPr>
    </w:p>
    <w:p>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z w:val="24"/>
                <w:szCs w:val="24"/>
                <w:highlight w:val="none"/>
              </w:rPr>
            </w:pPr>
            <w:r>
              <w:rPr>
                <w:color w:val="000000"/>
                <w:sz w:val="24"/>
                <w:szCs w:val="24"/>
                <w:highlight w:val="none"/>
              </w:rPr>
              <w:t>见（  ）页</w:t>
            </w:r>
          </w:p>
        </w:tc>
      </w:tr>
    </w:tbl>
    <w:p>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pPr>
        <w:spacing w:line="300" w:lineRule="exact"/>
        <w:rPr>
          <w:rFonts w:hint="eastAsia"/>
          <w:color w:val="000000"/>
          <w:sz w:val="24"/>
          <w:szCs w:val="24"/>
          <w:highlight w:val="none"/>
        </w:rPr>
      </w:pPr>
    </w:p>
    <w:p>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pPr>
        <w:spacing w:before="120" w:beforeLines="50" w:line="400" w:lineRule="exact"/>
        <w:ind w:firstLine="6300" w:firstLineChars="2625"/>
        <w:rPr>
          <w:color w:val="000000"/>
          <w:sz w:val="24"/>
          <w:szCs w:val="24"/>
          <w:highlight w:val="none"/>
        </w:rPr>
      </w:pPr>
      <w:r>
        <w:rPr>
          <w:color w:val="000000"/>
          <w:sz w:val="24"/>
          <w:szCs w:val="24"/>
          <w:highlight w:val="none"/>
        </w:rPr>
        <w:t>日      期：</w:t>
      </w:r>
    </w:p>
    <w:p>
      <w:pPr>
        <w:pStyle w:val="8"/>
        <w:ind w:firstLine="0" w:firstLineChars="0"/>
        <w:rPr>
          <w:rFonts w:hint="eastAsia"/>
          <w:b/>
          <w:color w:val="000000"/>
          <w:sz w:val="28"/>
          <w:szCs w:val="28"/>
          <w:highlight w:val="none"/>
        </w:rPr>
      </w:pPr>
    </w:p>
    <w:p>
      <w:pPr>
        <w:pStyle w:val="8"/>
        <w:ind w:firstLine="0" w:firstLineChars="0"/>
        <w:rPr>
          <w:rFonts w:hint="eastAsia"/>
          <w:color w:val="000000"/>
          <w:highlight w:val="none"/>
        </w:rPr>
      </w:pPr>
      <w:r>
        <w:rPr>
          <w:color w:val="000000"/>
          <w:highlight w:val="none"/>
        </w:rPr>
        <w:br w:type="page"/>
      </w:r>
    </w:p>
    <w:p>
      <w:pPr>
        <w:pStyle w:val="25"/>
        <w:ind w:firstLine="0"/>
        <w:rPr>
          <w:rFonts w:hint="eastAsia" w:ascii="宋体" w:eastAsia="宋体"/>
          <w:color w:val="000000"/>
          <w:sz w:val="28"/>
          <w:szCs w:val="28"/>
          <w:highlight w:val="none"/>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二、符合性自查表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254"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1886"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234" w:type="dxa"/>
            <w:vAlign w:val="center"/>
          </w:tcPr>
          <w:p>
            <w:pPr>
              <w:spacing w:line="360" w:lineRule="auto"/>
              <w:rPr>
                <w:rFonts w:ascii="仿宋" w:hAnsi="仿宋" w:eastAsia="仿宋" w:cs="仿宋"/>
                <w:sz w:val="24"/>
              </w:rPr>
            </w:pPr>
            <w:r>
              <w:rPr>
                <w:rFonts w:hint="eastAsia" w:ascii="仿宋" w:hAnsi="仿宋" w:eastAsia="仿宋" w:cs="仿宋"/>
                <w:b/>
                <w:sz w:val="24"/>
              </w:rPr>
              <w:t>自查结论</w:t>
            </w:r>
          </w:p>
        </w:tc>
        <w:tc>
          <w:tcPr>
            <w:tcW w:w="1700"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响应文件中的</w:t>
            </w:r>
          </w:p>
          <w:p>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1</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响应承诺函及响应承诺函附件</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pStyle w:val="6"/>
              <w:numPr>
                <w:ilvl w:val="0"/>
                <w:numId w:val="0"/>
              </w:numPr>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3</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1886" w:type="dxa"/>
            <w:vAlign w:val="center"/>
          </w:tcPr>
          <w:p>
            <w:pPr>
              <w:spacing w:line="360" w:lineRule="auto"/>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4</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1886" w:type="dxa"/>
            <w:vAlign w:val="center"/>
          </w:tcPr>
          <w:p>
            <w:pPr>
              <w:spacing w:line="360" w:lineRule="auto"/>
              <w:rPr>
                <w:rFonts w:ascii="仿宋" w:hAnsi="仿宋" w:eastAsia="仿宋" w:cs="仿宋"/>
                <w:sz w:val="24"/>
              </w:rPr>
            </w:pP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rPr>
                <w:rFonts w:ascii="仿宋" w:hAnsi="仿宋" w:eastAsia="仿宋" w:cs="仿宋"/>
                <w:sz w:val="24"/>
              </w:rPr>
            </w:pPr>
            <w:r>
              <w:rPr>
                <w:rFonts w:hint="eastAsia" w:ascii="仿宋" w:hAnsi="仿宋" w:eastAsia="仿宋" w:cs="仿宋"/>
                <w:sz w:val="24"/>
              </w:rPr>
              <w:t>5</w:t>
            </w:r>
          </w:p>
        </w:tc>
        <w:tc>
          <w:tcPr>
            <w:tcW w:w="4254" w:type="dxa"/>
            <w:vAlign w:val="center"/>
          </w:tcPr>
          <w:p>
            <w:pPr>
              <w:spacing w:line="360" w:lineRule="auto"/>
              <w:rPr>
                <w:rFonts w:ascii="仿宋" w:hAnsi="仿宋" w:eastAsia="仿宋" w:cs="仿宋"/>
                <w:sz w:val="24"/>
              </w:rPr>
            </w:pPr>
            <w:r>
              <w:rPr>
                <w:rFonts w:hint="eastAsia" w:ascii="仿宋" w:hAnsi="仿宋" w:eastAsia="仿宋" w:cs="仿宋"/>
                <w:sz w:val="24"/>
              </w:rPr>
              <w:t>按有关法律、法规、规章不属于响应无效的。</w:t>
            </w:r>
          </w:p>
        </w:tc>
        <w:tc>
          <w:tcPr>
            <w:tcW w:w="1886" w:type="dxa"/>
            <w:vAlign w:val="center"/>
          </w:tcPr>
          <w:p>
            <w:pPr>
              <w:spacing w:line="360" w:lineRule="auto"/>
              <w:rPr>
                <w:rFonts w:ascii="仿宋" w:hAnsi="仿宋" w:eastAsia="仿宋" w:cs="仿宋"/>
                <w:sz w:val="24"/>
              </w:rPr>
            </w:pPr>
          </w:p>
        </w:tc>
        <w:tc>
          <w:tcPr>
            <w:tcW w:w="1234" w:type="dxa"/>
            <w:vAlign w:val="center"/>
          </w:tcPr>
          <w:p>
            <w:pPr>
              <w:spacing w:line="360" w:lineRule="auto"/>
              <w:rPr>
                <w:rFonts w:ascii="仿宋" w:hAnsi="仿宋" w:eastAsia="仿宋" w:cs="仿宋"/>
                <w:sz w:val="24"/>
              </w:rPr>
            </w:pPr>
            <w:r>
              <w:rPr>
                <w:rFonts w:hint="eastAsia" w:ascii="仿宋" w:hAnsi="仿宋" w:eastAsia="仿宋" w:cs="仿宋"/>
                <w:sz w:val="24"/>
              </w:rPr>
              <w:t xml:space="preserve">□通过 </w:t>
            </w:r>
          </w:p>
          <w:p>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pPr>
              <w:spacing w:line="360" w:lineRule="auto"/>
              <w:rPr>
                <w:rFonts w:ascii="仿宋" w:hAnsi="仿宋" w:eastAsia="仿宋" w:cs="仿宋"/>
                <w:sz w:val="24"/>
              </w:rPr>
            </w:pPr>
            <w:r>
              <w:rPr>
                <w:rFonts w:hint="eastAsia" w:ascii="仿宋" w:hAnsi="仿宋" w:eastAsia="仿宋" w:cs="仿宋"/>
                <w:sz w:val="24"/>
              </w:rPr>
              <w:t>见响应文件</w:t>
            </w:r>
          </w:p>
          <w:p>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napToGrid w:val="0"/>
        <w:spacing w:line="360" w:lineRule="auto"/>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pStyle w:val="25"/>
        <w:ind w:firstLine="0"/>
        <w:jc w:val="center"/>
        <w:rPr>
          <w:rFonts w:hint="eastAsia" w:ascii="宋体" w:eastAsia="宋体"/>
          <w:b/>
          <w:color w:val="000000"/>
          <w:sz w:val="28"/>
          <w:szCs w:val="28"/>
          <w:highlight w:val="none"/>
          <w:lang w:eastAsia="zh-CN"/>
        </w:rPr>
      </w:pPr>
    </w:p>
    <w:p>
      <w:pPr>
        <w:snapToGrid w:val="0"/>
        <w:spacing w:line="360" w:lineRule="auto"/>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（三）</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pPr>
        <w:pStyle w:val="107"/>
        <w:numPr>
          <w:ilvl w:val="0"/>
          <w:numId w:val="13"/>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pPr>
        <w:numPr>
          <w:ilvl w:val="0"/>
          <w:numId w:val="13"/>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pPr>
        <w:spacing w:line="360" w:lineRule="auto"/>
        <w:rPr>
          <w:rFonts w:ascii="仿宋" w:hAnsi="仿宋" w:eastAsia="仿宋" w:cs="仿宋"/>
          <w:b/>
          <w:sz w:val="32"/>
          <w:szCs w:val="32"/>
        </w:rPr>
      </w:pPr>
    </w:p>
    <w:p>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pPr>
        <w:pStyle w:val="71"/>
        <w:rPr>
          <w:rFonts w:hint="eastAsia" w:ascii="仿宋" w:hAnsi="仿宋" w:eastAsia="仿宋" w:cs="仿宋"/>
          <w:b/>
          <w:kern w:val="0"/>
          <w:sz w:val="32"/>
          <w:szCs w:val="32"/>
        </w:rPr>
      </w:pPr>
    </w:p>
    <w:p>
      <w:pPr>
        <w:pStyle w:val="71"/>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序号</w:t>
            </w:r>
          </w:p>
        </w:tc>
        <w:tc>
          <w:tcPr>
            <w:tcW w:w="3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供应商响应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40</w:t>
            </w:r>
            <w:r>
              <w:rPr>
                <w:rFonts w:hint="eastAsia" w:ascii="宋体" w:hAnsi="宋体" w:cs="宋体"/>
                <w:bCs/>
                <w:szCs w:val="21"/>
                <w:u w:val="single"/>
              </w:rPr>
              <w:t xml:space="preserve"> 日历天</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r>
    </w:tbl>
    <w:p>
      <w:pPr>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pPr>
        <w:snapToGrid w:val="0"/>
        <w:spacing w:line="360" w:lineRule="auto"/>
        <w:jc w:val="center"/>
        <w:outlineLvl w:val="0"/>
        <w:rPr>
          <w:rFonts w:ascii="仿宋" w:hAnsi="仿宋" w:eastAsia="仿宋" w:cs="仿宋"/>
          <w:b/>
          <w:kern w:val="0"/>
          <w:sz w:val="32"/>
          <w:szCs w:val="32"/>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pPr>
        <w:snapToGrid w:val="0"/>
        <w:spacing w:line="360" w:lineRule="auto"/>
        <w:outlineLvl w:val="0"/>
        <w:rPr>
          <w:rFonts w:ascii="仿宋" w:hAnsi="仿宋" w:eastAsia="仿宋" w:cs="仿宋"/>
          <w:b/>
          <w:kern w:val="0"/>
          <w:sz w:val="32"/>
          <w:szCs w:val="32"/>
          <w:lang w:val="zh-CN"/>
        </w:rPr>
      </w:pPr>
    </w:p>
    <w:p>
      <w:pPr>
        <w:pStyle w:val="3"/>
        <w:ind w:firstLine="482"/>
        <w:rPr>
          <w:color w:val="000000"/>
          <w:highlight w:val="none"/>
        </w:rPr>
      </w:pPr>
    </w:p>
    <w:p>
      <w:pPr>
        <w:pStyle w:val="3"/>
        <w:ind w:firstLine="482"/>
        <w:rPr>
          <w:color w:val="000000"/>
          <w:highlight w:val="none"/>
        </w:rPr>
      </w:pPr>
    </w:p>
    <w:p>
      <w:pPr>
        <w:pStyle w:val="25"/>
        <w:ind w:firstLine="0"/>
        <w:rPr>
          <w:rFonts w:hint="eastAsia" w:ascii="宋体" w:eastAsia="宋体"/>
          <w:b/>
          <w:color w:val="000000"/>
          <w:sz w:val="28"/>
          <w:szCs w:val="28"/>
          <w:highlight w:val="none"/>
        </w:rPr>
      </w:pPr>
    </w:p>
    <w:p>
      <w:pPr>
        <w:jc w:val="center"/>
        <w:rPr>
          <w:rFonts w:hint="eastAsia" w:ascii="宋体"/>
          <w:b/>
          <w:color w:val="000000"/>
          <w:sz w:val="28"/>
          <w:highlight w:val="none"/>
        </w:rPr>
      </w:pPr>
    </w:p>
    <w:p>
      <w:pPr>
        <w:jc w:val="center"/>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ind w:left="0" w:leftChars="0" w:firstLine="0" w:firstLineChars="0"/>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pStyle w:val="71"/>
        <w:rPr>
          <w:rFonts w:hint="eastAsia" w:ascii="宋体"/>
          <w:b/>
          <w:color w:val="000000"/>
          <w:sz w:val="28"/>
          <w:highlight w:val="none"/>
        </w:rPr>
      </w:pPr>
    </w:p>
    <w:p>
      <w:pPr>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四</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pPr>
        <w:rPr>
          <w:rFonts w:hint="eastAsia" w:ascii="宋体"/>
          <w:color w:val="000000"/>
          <w:szCs w:val="21"/>
          <w:highlight w:val="none"/>
        </w:rPr>
      </w:pPr>
    </w:p>
    <w:p>
      <w:pPr>
        <w:ind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pPr>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pPr>
              <w:jc w:val="center"/>
              <w:rPr>
                <w:rFonts w:hint="eastAsia" w:ascii="宋体"/>
                <w:color w:val="000000"/>
                <w:sz w:val="24"/>
                <w:highlight w:val="none"/>
              </w:rPr>
            </w:pPr>
            <w:r>
              <w:rPr>
                <w:rFonts w:hint="eastAsia" w:ascii="宋体"/>
                <w:color w:val="000000"/>
                <w:sz w:val="24"/>
                <w:highlight w:val="none"/>
              </w:rPr>
              <w:t>响应文件响应</w:t>
            </w:r>
          </w:p>
        </w:tc>
        <w:tc>
          <w:tcPr>
            <w:tcW w:w="1487" w:type="dxa"/>
            <w:noWrap w:val="0"/>
            <w:vAlign w:val="center"/>
          </w:tcPr>
          <w:p>
            <w:pPr>
              <w:jc w:val="center"/>
              <w:rPr>
                <w:rFonts w:hint="eastAsia" w:ascii="宋体"/>
                <w:color w:val="000000"/>
                <w:sz w:val="24"/>
                <w:highlight w:val="none"/>
              </w:rPr>
            </w:pPr>
            <w:r>
              <w:rPr>
                <w:rFonts w:hint="eastAsia" w:ascii="宋体"/>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pPr>
              <w:jc w:val="center"/>
              <w:rPr>
                <w:rFonts w:hint="eastAsia" w:ascii="宋体"/>
                <w:color w:val="000000"/>
                <w:sz w:val="24"/>
                <w:highlight w:val="none"/>
              </w:rPr>
            </w:pPr>
          </w:p>
        </w:tc>
        <w:tc>
          <w:tcPr>
            <w:tcW w:w="4766" w:type="dxa"/>
            <w:noWrap w:val="0"/>
            <w:vAlign w:val="center"/>
          </w:tcPr>
          <w:p>
            <w:pPr>
              <w:jc w:val="center"/>
              <w:rPr>
                <w:rFonts w:hint="eastAsia" w:ascii="宋体"/>
                <w:color w:val="000000"/>
                <w:sz w:val="24"/>
                <w:highlight w:val="none"/>
              </w:rPr>
            </w:pPr>
          </w:p>
        </w:tc>
        <w:tc>
          <w:tcPr>
            <w:tcW w:w="2228" w:type="dxa"/>
            <w:noWrap w:val="0"/>
            <w:vAlign w:val="center"/>
          </w:tcPr>
          <w:p>
            <w:pPr>
              <w:jc w:val="center"/>
              <w:rPr>
                <w:rFonts w:hint="eastAsia" w:ascii="宋体"/>
                <w:color w:val="000000"/>
                <w:sz w:val="24"/>
                <w:highlight w:val="none"/>
              </w:rPr>
            </w:pPr>
          </w:p>
        </w:tc>
        <w:tc>
          <w:tcPr>
            <w:tcW w:w="1487" w:type="dxa"/>
            <w:noWrap w:val="0"/>
            <w:vAlign w:val="center"/>
          </w:tcPr>
          <w:p>
            <w:pPr>
              <w:jc w:val="center"/>
              <w:rPr>
                <w:rFonts w:hint="eastAsia" w:ascii="宋体"/>
                <w:color w:val="000000"/>
                <w:sz w:val="24"/>
                <w:highlight w:val="none"/>
              </w:rPr>
            </w:pPr>
          </w:p>
        </w:tc>
      </w:tr>
    </w:tbl>
    <w:p>
      <w:pPr>
        <w:ind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pPr>
        <w:pStyle w:val="25"/>
        <w:spacing w:before="120" w:beforeLines="50" w:line="360" w:lineRule="exact"/>
        <w:ind w:firstLine="0"/>
        <w:rPr>
          <w:rFonts w:hint="eastAsia" w:eastAsia="宋体"/>
          <w:color w:val="000000"/>
          <w:szCs w:val="24"/>
          <w:highlight w:val="none"/>
        </w:rPr>
      </w:pPr>
    </w:p>
    <w:p>
      <w:pPr>
        <w:pStyle w:val="25"/>
        <w:spacing w:before="120" w:beforeLines="50" w:line="360" w:lineRule="exact"/>
        <w:ind w:firstLine="720" w:firstLineChars="300"/>
        <w:rPr>
          <w:rFonts w:eastAsia="宋体"/>
          <w:color w:val="000000"/>
          <w:szCs w:val="24"/>
          <w:highlight w:val="none"/>
        </w:rPr>
      </w:pPr>
      <w:r>
        <w:rPr>
          <w:rFonts w:hint="eastAsia" w:eastAsia="宋体"/>
          <w:color w:val="000000"/>
          <w:szCs w:val="24"/>
          <w:highlight w:val="none"/>
        </w:rPr>
        <w:t>供应商单位（盖公章）：</w:t>
      </w:r>
    </w:p>
    <w:p>
      <w:pPr>
        <w:pStyle w:val="25"/>
        <w:spacing w:before="120" w:beforeLines="50" w:line="360" w:lineRule="exact"/>
        <w:ind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before="120" w:beforeLines="50"/>
        <w:ind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3"/>
        <w:ind w:firstLine="482"/>
        <w:rPr>
          <w:color w:val="000000"/>
          <w:highlight w:val="none"/>
        </w:rPr>
      </w:pPr>
    </w:p>
    <w:p>
      <w:pPr>
        <w:pStyle w:val="25"/>
        <w:ind w:firstLine="0"/>
        <w:rPr>
          <w:rFonts w:eastAsia="宋体"/>
          <w:color w:val="000000"/>
          <w:highlight w:val="none"/>
        </w:rPr>
      </w:pPr>
      <w:r>
        <w:rPr>
          <w:rFonts w:eastAsia="宋体"/>
          <w:color w:val="000000"/>
          <w:highlight w:val="none"/>
        </w:rPr>
        <w:br w:type="page"/>
      </w:r>
    </w:p>
    <w:p>
      <w:pPr>
        <w:pStyle w:val="25"/>
        <w:ind w:firstLine="0"/>
        <w:rPr>
          <w:rFonts w:hint="eastAsia" w:ascii="宋体" w:eastAsia="宋体"/>
          <w:b/>
          <w:color w:val="000000"/>
          <w:sz w:val="28"/>
          <w:szCs w:val="28"/>
          <w:highlight w:val="none"/>
        </w:rPr>
      </w:pPr>
    </w:p>
    <w:p>
      <w:pPr>
        <w:rPr>
          <w:rFonts w:hint="eastAsia" w:ascii="宋体"/>
          <w:b/>
          <w:color w:val="000000"/>
          <w:sz w:val="28"/>
          <w:highlight w:val="none"/>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五</w:t>
      </w:r>
      <w:r>
        <w:rPr>
          <w:rFonts w:hint="eastAsia" w:ascii="宋体"/>
          <w:b/>
          <w:color w:val="000000"/>
          <w:sz w:val="28"/>
          <w:highlight w:val="none"/>
          <w:lang w:eastAsia="zh-CN"/>
        </w:rPr>
        <w:t>）</w:t>
      </w:r>
      <w:r>
        <w:rPr>
          <w:rFonts w:hint="eastAsia" w:ascii="宋体"/>
          <w:b/>
          <w:color w:val="000000"/>
          <w:sz w:val="28"/>
          <w:highlight w:val="none"/>
        </w:rPr>
        <w:t>商务条款偏离表</w:t>
      </w:r>
    </w:p>
    <w:p>
      <w:pPr>
        <w:rPr>
          <w:rFonts w:hint="eastAsia" w:ascii="宋体"/>
          <w:color w:val="000000"/>
          <w:sz w:val="24"/>
          <w:szCs w:val="24"/>
          <w:highlight w:val="none"/>
        </w:rPr>
      </w:pPr>
    </w:p>
    <w:p>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r>
              <w:rPr>
                <w:rFonts w:hint="eastAsia" w:ascii="宋体"/>
                <w:color w:val="000000"/>
                <w:sz w:val="24"/>
                <w:highlight w:val="none"/>
              </w:rPr>
              <w:t>序号</w:t>
            </w:r>
          </w:p>
        </w:tc>
        <w:tc>
          <w:tcPr>
            <w:tcW w:w="5167" w:type="dxa"/>
            <w:noWrap w:val="0"/>
            <w:vAlign w:val="center"/>
          </w:tcPr>
          <w:p>
            <w:pPr>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pPr>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pPr>
              <w:jc w:val="center"/>
              <w:rPr>
                <w:rFonts w:hint="eastAsia" w:ascii="宋体"/>
                <w:color w:val="000000"/>
                <w:sz w:val="24"/>
                <w:highlight w:val="none"/>
              </w:rPr>
            </w:pPr>
            <w:r>
              <w:rPr>
                <w:rFonts w:hint="eastAsia" w:ascii="宋体"/>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jc w:val="center"/>
              <w:rPr>
                <w:rFonts w:hint="eastAsia" w:ascii="宋体"/>
                <w:color w:val="000000"/>
                <w:sz w:val="24"/>
                <w:highlight w:val="none"/>
              </w:rPr>
            </w:pPr>
          </w:p>
        </w:tc>
        <w:tc>
          <w:tcPr>
            <w:tcW w:w="5167" w:type="dxa"/>
            <w:noWrap w:val="0"/>
            <w:vAlign w:val="center"/>
          </w:tcPr>
          <w:p>
            <w:pPr>
              <w:spacing w:line="400" w:lineRule="exact"/>
              <w:jc w:val="left"/>
              <w:rPr>
                <w:rFonts w:hint="eastAsia" w:ascii="宋体"/>
                <w:color w:val="000000"/>
                <w:sz w:val="24"/>
                <w:highlight w:val="none"/>
              </w:rPr>
            </w:pPr>
          </w:p>
        </w:tc>
        <w:tc>
          <w:tcPr>
            <w:tcW w:w="2025" w:type="dxa"/>
            <w:noWrap w:val="0"/>
            <w:vAlign w:val="center"/>
          </w:tcPr>
          <w:p>
            <w:pPr>
              <w:jc w:val="center"/>
              <w:rPr>
                <w:rFonts w:hint="eastAsia" w:ascii="宋体"/>
                <w:color w:val="000000"/>
                <w:sz w:val="24"/>
                <w:highlight w:val="none"/>
              </w:rPr>
            </w:pPr>
          </w:p>
        </w:tc>
        <w:tc>
          <w:tcPr>
            <w:tcW w:w="1538" w:type="dxa"/>
            <w:noWrap w:val="0"/>
            <w:vAlign w:val="center"/>
          </w:tcPr>
          <w:p>
            <w:pPr>
              <w:jc w:val="center"/>
              <w:rPr>
                <w:rFonts w:hint="eastAsia" w:ascii="宋体"/>
                <w:color w:val="000000"/>
                <w:sz w:val="24"/>
                <w:highlight w:val="none"/>
              </w:rPr>
            </w:pPr>
          </w:p>
        </w:tc>
      </w:tr>
    </w:tbl>
    <w:p>
      <w:pPr>
        <w:ind w:right="300" w:rightChars="143"/>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pPr>
        <w:rPr>
          <w:rFonts w:hint="eastAsia" w:ascii="宋体"/>
          <w:color w:val="000000"/>
          <w:sz w:val="24"/>
          <w:highlight w:val="none"/>
        </w:rPr>
      </w:pPr>
    </w:p>
    <w:p>
      <w:pPr>
        <w:pStyle w:val="25"/>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pPr>
        <w:pStyle w:val="25"/>
        <w:spacing w:before="120" w:beforeLines="50" w:line="360" w:lineRule="exact"/>
        <w:ind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before="120" w:beforeLines="5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25"/>
        <w:ind w:firstLine="0"/>
        <w:rPr>
          <w:rFonts w:hint="eastAsia"/>
          <w:color w:val="000000"/>
          <w:szCs w:val="24"/>
          <w:highlight w:val="none"/>
        </w:rPr>
      </w:pPr>
      <w:r>
        <w:rPr>
          <w:rFonts w:hint="eastAsia"/>
          <w:color w:val="000000"/>
          <w:szCs w:val="24"/>
          <w:highlight w:val="none"/>
        </w:rPr>
        <w:br w:type="page"/>
      </w:r>
    </w:p>
    <w:p>
      <w:pPr>
        <w:pStyle w:val="25"/>
        <w:ind w:firstLine="0"/>
        <w:outlineLvl w:val="9"/>
        <w:rPr>
          <w:rFonts w:hint="eastAsia" w:ascii="宋体" w:eastAsia="宋体"/>
          <w:b/>
          <w:color w:val="000000"/>
          <w:sz w:val="28"/>
          <w:szCs w:val="28"/>
          <w:highlight w:val="none"/>
        </w:rPr>
      </w:pPr>
    </w:p>
    <w:p>
      <w:pPr>
        <w:pStyle w:val="25"/>
        <w:ind w:firstLine="0"/>
        <w:jc w:val="center"/>
        <w:outlineLvl w:val="0"/>
        <w:rPr>
          <w:rFonts w:hint="eastAsia" w:ascii="宋体" w:eastAsia="宋体"/>
          <w:b/>
          <w:color w:val="000000"/>
          <w:sz w:val="28"/>
          <w:szCs w:val="28"/>
          <w:highlight w:val="none"/>
        </w:rPr>
      </w:pPr>
      <w:bookmarkStart w:id="975"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六</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975"/>
    </w:p>
    <w:p>
      <w:pPr>
        <w:pStyle w:val="25"/>
        <w:ind w:firstLine="0"/>
        <w:outlineLvl w:val="9"/>
        <w:rPr>
          <w:rFonts w:hint="eastAsia" w:ascii="宋体" w:eastAsia="宋体"/>
          <w:b/>
          <w:color w:val="000000"/>
          <w:sz w:val="28"/>
          <w:szCs w:val="28"/>
          <w:highlight w:val="none"/>
        </w:rPr>
      </w:pPr>
    </w:p>
    <w:p>
      <w:pPr>
        <w:pStyle w:val="25"/>
        <w:ind w:firstLine="3654" w:firstLineChars="1300"/>
        <w:outlineLvl w:val="0"/>
        <w:rPr>
          <w:rFonts w:hint="eastAsia" w:ascii="宋体" w:eastAsia="宋体"/>
          <w:b/>
          <w:color w:val="000000"/>
          <w:sz w:val="28"/>
          <w:highlight w:val="none"/>
        </w:rPr>
      </w:pPr>
      <w:bookmarkStart w:id="976" w:name="_Toc19549"/>
      <w:r>
        <w:rPr>
          <w:rFonts w:hint="eastAsia" w:ascii="宋体" w:eastAsia="宋体"/>
          <w:b/>
          <w:color w:val="000000"/>
          <w:sz w:val="28"/>
          <w:highlight w:val="none"/>
        </w:rPr>
        <w:t>法定代表人授权书</w:t>
      </w:r>
      <w:bookmarkEnd w:id="976"/>
    </w:p>
    <w:p>
      <w:pPr>
        <w:pStyle w:val="25"/>
        <w:ind w:firstLine="0"/>
        <w:jc w:val="center"/>
        <w:rPr>
          <w:rFonts w:hint="eastAsia" w:ascii="宋体" w:eastAsia="宋体"/>
          <w:color w:val="000000"/>
          <w:highlight w:val="none"/>
        </w:rPr>
      </w:pP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pPr>
        <w:pStyle w:val="25"/>
        <w:spacing w:before="120" w:beforeLines="50" w:line="440" w:lineRule="exact"/>
        <w:ind w:right="380" w:rightChars="181"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pPr>
        <w:pStyle w:val="25"/>
        <w:spacing w:before="120" w:beforeLines="50" w:line="440" w:lineRule="exact"/>
        <w:ind w:right="380" w:rightChars="181"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pPr>
        <w:pStyle w:val="25"/>
        <w:spacing w:line="440" w:lineRule="exact"/>
        <w:ind w:right="380" w:rightChars="181" w:firstLine="0"/>
        <w:rPr>
          <w:rFonts w:hint="eastAsia" w:ascii="宋体" w:eastAsia="宋体"/>
          <w:color w:val="000000"/>
          <w:highlight w:val="none"/>
        </w:rPr>
      </w:pP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供应商单位（公章）：</w:t>
      </w:r>
    </w:p>
    <w:p>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日  期：</w:t>
      </w:r>
    </w:p>
    <w:p>
      <w:pPr>
        <w:pStyle w:val="25"/>
        <w:spacing w:line="400" w:lineRule="exact"/>
        <w:ind w:right="380" w:rightChars="181" w:firstLine="0"/>
        <w:rPr>
          <w:rFonts w:hint="eastAsia" w:ascii="宋体" w:eastAsia="宋体"/>
          <w:color w:val="000000"/>
          <w:highlight w:val="none"/>
        </w:rPr>
      </w:pPr>
    </w:p>
    <w:p>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附：</w:t>
      </w:r>
    </w:p>
    <w:p>
      <w:pPr>
        <w:pStyle w:val="25"/>
        <w:spacing w:line="400" w:lineRule="exact"/>
        <w:ind w:right="380" w:rightChars="181"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电        话：</w:t>
      </w:r>
    </w:p>
    <w:p>
      <w:pPr>
        <w:pStyle w:val="25"/>
        <w:spacing w:line="400" w:lineRule="exact"/>
        <w:ind w:right="380" w:rightChars="181" w:firstLine="0"/>
        <w:rPr>
          <w:rFonts w:hint="eastAsia" w:ascii="宋体" w:eastAsia="宋体"/>
          <w:color w:val="000000"/>
          <w:highlight w:val="none"/>
        </w:rPr>
      </w:pPr>
    </w:p>
    <w:p>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pPr>
        <w:pStyle w:val="25"/>
        <w:spacing w:line="400" w:lineRule="exact"/>
        <w:ind w:right="380" w:rightChars="181" w:firstLine="0"/>
        <w:rPr>
          <w:rFonts w:hint="eastAsia" w:ascii="宋体" w:eastAsia="宋体"/>
          <w:b/>
          <w:color w:val="000000"/>
          <w:highlight w:val="none"/>
        </w:rPr>
      </w:pPr>
    </w:p>
    <w:p>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pPr>
        <w:pStyle w:val="25"/>
        <w:spacing w:line="400" w:lineRule="exact"/>
        <w:ind w:right="380" w:rightChars="181" w:firstLine="0"/>
        <w:rPr>
          <w:rFonts w:hint="eastAsia" w:ascii="宋体" w:eastAsia="宋体"/>
          <w:b/>
          <w:color w:val="000000"/>
          <w:highlight w:val="none"/>
        </w:rPr>
      </w:pPr>
    </w:p>
    <w:p>
      <w:pPr>
        <w:rPr>
          <w:color w:val="000000"/>
          <w:highlight w:val="none"/>
        </w:rPr>
      </w:pPr>
      <w:r>
        <w:rPr>
          <w:color w:val="000000"/>
          <w:highlight w:val="none"/>
        </w:rPr>
        <w:br w:type="page"/>
      </w:r>
    </w:p>
    <w:p>
      <w:pPr>
        <w:rPr>
          <w:rFonts w:hint="eastAsia" w:ascii="宋体"/>
          <w:b/>
          <w:color w:val="000000"/>
          <w:sz w:val="28"/>
          <w:highlight w:val="none"/>
        </w:rPr>
      </w:pPr>
    </w:p>
    <w:p>
      <w:pPr>
        <w:rPr>
          <w:rFonts w:hint="eastAsia" w:ascii="宋体"/>
          <w:b/>
          <w:color w:val="000000"/>
          <w:sz w:val="28"/>
          <w:highlight w:val="none"/>
        </w:rPr>
      </w:pPr>
    </w:p>
    <w:p>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pPr>
              <w:snapToGrid w:val="0"/>
              <w:spacing w:line="360" w:lineRule="auto"/>
              <w:rPr>
                <w:rFonts w:ascii="仿宋" w:hAnsi="仿宋" w:eastAsia="仿宋" w:cs="仿宋"/>
                <w:kern w:val="0"/>
                <w:sz w:val="24"/>
                <w:lang w:val="zh-CN"/>
              </w:rPr>
            </w:pPr>
          </w:p>
        </w:tc>
        <w:tc>
          <w:tcPr>
            <w:tcW w:w="873"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pPr>
              <w:snapToGrid w:val="0"/>
              <w:spacing w:line="360" w:lineRule="auto"/>
              <w:rPr>
                <w:rFonts w:ascii="仿宋" w:hAnsi="仿宋" w:eastAsia="仿宋" w:cs="仿宋"/>
                <w:kern w:val="0"/>
                <w:sz w:val="24"/>
                <w:lang w:val="zh-CN"/>
              </w:rPr>
            </w:pPr>
          </w:p>
        </w:tc>
        <w:tc>
          <w:tcPr>
            <w:tcW w:w="120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pPr>
              <w:snapToGrid w:val="0"/>
              <w:spacing w:line="360" w:lineRule="auto"/>
              <w:rPr>
                <w:rFonts w:ascii="仿宋" w:hAnsi="仿宋" w:eastAsia="仿宋" w:cs="仿宋"/>
                <w:kern w:val="0"/>
                <w:sz w:val="24"/>
                <w:lang w:val="zh-CN"/>
              </w:rPr>
            </w:pPr>
          </w:p>
        </w:tc>
        <w:tc>
          <w:tcPr>
            <w:tcW w:w="873" w:type="dxa"/>
            <w:vMerge w:val="restart"/>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napToGrid w:val="0"/>
              <w:spacing w:line="360" w:lineRule="auto"/>
              <w:rPr>
                <w:rFonts w:ascii="仿宋" w:hAnsi="仿宋" w:eastAsia="仿宋" w:cs="仿宋"/>
                <w:kern w:val="0"/>
                <w:sz w:val="24"/>
                <w:lang w:val="zh-CN"/>
              </w:rPr>
            </w:pPr>
          </w:p>
        </w:tc>
        <w:tc>
          <w:tcPr>
            <w:tcW w:w="1936" w:type="dxa"/>
            <w:vMerge w:val="continue"/>
            <w:vAlign w:val="center"/>
          </w:tcPr>
          <w:p>
            <w:pPr>
              <w:snapToGrid w:val="0"/>
              <w:spacing w:line="360" w:lineRule="auto"/>
              <w:rPr>
                <w:rFonts w:ascii="仿宋" w:hAnsi="仿宋" w:eastAsia="仿宋" w:cs="仿宋"/>
                <w:kern w:val="0"/>
                <w:sz w:val="24"/>
                <w:lang w:val="zh-CN"/>
              </w:rPr>
            </w:pPr>
          </w:p>
        </w:tc>
        <w:tc>
          <w:tcPr>
            <w:tcW w:w="873" w:type="dxa"/>
            <w:vMerge w:val="continue"/>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snapToGrid w:val="0"/>
              <w:spacing w:line="360" w:lineRule="auto"/>
              <w:rPr>
                <w:rFonts w:ascii="仿宋" w:hAnsi="仿宋" w:eastAsia="仿宋" w:cs="仿宋"/>
                <w:kern w:val="0"/>
                <w:sz w:val="24"/>
                <w:lang w:val="zh-CN"/>
              </w:rPr>
            </w:pPr>
          </w:p>
        </w:tc>
        <w:tc>
          <w:tcPr>
            <w:tcW w:w="1936" w:type="dxa"/>
            <w:vMerge w:val="continue"/>
            <w:vAlign w:val="center"/>
          </w:tcPr>
          <w:p>
            <w:pPr>
              <w:snapToGrid w:val="0"/>
              <w:spacing w:line="360" w:lineRule="auto"/>
              <w:rPr>
                <w:rFonts w:ascii="仿宋" w:hAnsi="仿宋" w:eastAsia="仿宋" w:cs="仿宋"/>
                <w:kern w:val="0"/>
                <w:sz w:val="24"/>
                <w:lang w:val="zh-CN"/>
              </w:rPr>
            </w:pPr>
          </w:p>
        </w:tc>
        <w:tc>
          <w:tcPr>
            <w:tcW w:w="873" w:type="dxa"/>
            <w:vMerge w:val="continue"/>
            <w:vAlign w:val="center"/>
          </w:tcPr>
          <w:p>
            <w:pPr>
              <w:snapToGrid w:val="0"/>
              <w:spacing w:line="360" w:lineRule="auto"/>
              <w:rPr>
                <w:rFonts w:ascii="仿宋" w:hAnsi="仿宋" w:eastAsia="仿宋" w:cs="仿宋"/>
                <w:kern w:val="0"/>
                <w:sz w:val="24"/>
                <w:lang w:val="zh-CN"/>
              </w:rPr>
            </w:pPr>
          </w:p>
        </w:tc>
        <w:tc>
          <w:tcPr>
            <w:tcW w:w="1786"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pPr>
              <w:snapToGrid w:val="0"/>
              <w:spacing w:line="360" w:lineRule="auto"/>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pPr>
              <w:snapToGrid w:val="0"/>
              <w:spacing w:line="360" w:lineRule="auto"/>
              <w:rPr>
                <w:rFonts w:ascii="仿宋" w:hAnsi="仿宋" w:eastAsia="仿宋" w:cs="仿宋"/>
                <w:kern w:val="0"/>
                <w:sz w:val="24"/>
                <w:lang w:val="zh-CN"/>
              </w:rPr>
            </w:pPr>
          </w:p>
        </w:tc>
      </w:tr>
    </w:tbl>
    <w:p>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pPr>
        <w:snapToGrid w:val="0"/>
        <w:spacing w:line="360" w:lineRule="auto"/>
        <w:rPr>
          <w:rFonts w:ascii="仿宋" w:hAnsi="仿宋" w:eastAsia="仿宋" w:cs="仿宋"/>
          <w:kern w:val="0"/>
          <w:sz w:val="24"/>
          <w:lang w:val="zh-CN"/>
        </w:rPr>
      </w:pPr>
    </w:p>
    <w:p>
      <w:pPr>
        <w:pStyle w:val="634"/>
        <w:spacing w:line="360" w:lineRule="auto"/>
        <w:ind w:firstLine="560"/>
        <w:rPr>
          <w:rFonts w:ascii="仿宋" w:hAnsi="仿宋" w:eastAsia="仿宋" w:cs="仿宋"/>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pPr>
        <w:keepNext/>
        <w:keepLines/>
        <w:spacing w:line="480" w:lineRule="auto"/>
        <w:outlineLvl w:val="2"/>
        <w:rPr>
          <w:b/>
          <w:bCs/>
          <w:sz w:val="28"/>
          <w:szCs w:val="28"/>
        </w:rPr>
      </w:pPr>
    </w:p>
    <w:p>
      <w:pPr>
        <w:pStyle w:val="42"/>
        <w:rPr>
          <w:b/>
          <w:bCs/>
          <w:sz w:val="28"/>
          <w:szCs w:val="28"/>
        </w:rPr>
      </w:pPr>
    </w:p>
    <w:p/>
    <w:p>
      <w:pPr>
        <w:keepNext/>
        <w:keepLines/>
        <w:spacing w:line="480" w:lineRule="auto"/>
        <w:ind w:firstLine="2530" w:firstLineChars="900"/>
        <w:outlineLvl w:val="2"/>
        <w:rPr>
          <w:b/>
          <w:bCs/>
          <w:sz w:val="28"/>
          <w:szCs w:val="28"/>
        </w:rPr>
      </w:pPr>
      <w:r>
        <w:rPr>
          <w:rFonts w:hint="eastAsia"/>
          <w:b/>
          <w:bCs/>
          <w:sz w:val="28"/>
          <w:szCs w:val="28"/>
        </w:rPr>
        <w:t>（</w:t>
      </w:r>
      <w:r>
        <w:rPr>
          <w:rFonts w:hint="eastAsia"/>
          <w:b/>
          <w:bCs/>
          <w:sz w:val="28"/>
          <w:szCs w:val="28"/>
          <w:lang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主要施工管理经历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pPr>
              <w:shd w:val="clear" w:color="auto" w:fill="FFFFFF"/>
              <w:snapToGrid w:val="0"/>
              <w:jc w:val="center"/>
              <w:rPr>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pPr>
              <w:shd w:val="clear" w:color="auto" w:fill="FFFFFF"/>
              <w:snapToGrid w:val="0"/>
              <w:jc w:val="center"/>
              <w:rPr>
                <w:snapToGrid w:val="0"/>
                <w:szCs w:val="21"/>
              </w:rPr>
            </w:pPr>
          </w:p>
        </w:tc>
      </w:tr>
    </w:tbl>
    <w:p>
      <w:pPr>
        <w:pStyle w:val="42"/>
        <w:rPr>
          <w:lang w:val="zh-CN"/>
        </w:rPr>
      </w:pPr>
    </w:p>
    <w:p>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pPr>
        <w:snapToGrid w:val="0"/>
        <w:spacing w:line="360" w:lineRule="auto"/>
        <w:rPr>
          <w:rFonts w:ascii="仿宋" w:hAnsi="仿宋" w:eastAsia="仿宋" w:cs="仿宋"/>
          <w:kern w:val="0"/>
          <w:sz w:val="24"/>
          <w:lang w:val="zh-CN"/>
        </w:rPr>
      </w:pPr>
    </w:p>
    <w:p>
      <w:pPr>
        <w:pStyle w:val="634"/>
        <w:spacing w:line="360" w:lineRule="auto"/>
        <w:ind w:firstLine="560"/>
        <w:rPr>
          <w:rFonts w:ascii="仿宋" w:hAnsi="仿宋" w:eastAsia="仿宋" w:cs="仿宋"/>
          <w:lang w:val="zh-CN"/>
        </w:rPr>
      </w:pP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lang w:eastAsia="zh-CN"/>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pPr>
        <w:spacing w:line="360" w:lineRule="exact"/>
        <w:rPr>
          <w:rFonts w:hint="eastAsia" w:ascii="宋体"/>
          <w:color w:val="000000"/>
          <w:sz w:val="24"/>
          <w:szCs w:val="24"/>
          <w:highlight w:val="none"/>
        </w:rPr>
      </w:pPr>
    </w:p>
    <w:p>
      <w:pPr>
        <w:spacing w:line="360" w:lineRule="exact"/>
        <w:rPr>
          <w:rFonts w:hint="eastAsia"/>
          <w:bCs/>
          <w:color w:val="000000"/>
          <w:sz w:val="24"/>
          <w:szCs w:val="24"/>
          <w:highlight w:val="none"/>
        </w:rPr>
      </w:pPr>
    </w:p>
    <w:p>
      <w:pPr>
        <w:spacing w:line="360" w:lineRule="exact"/>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pPr>
        <w:spacing w:line="360" w:lineRule="exact"/>
        <w:rPr>
          <w:rFonts w:hint="eastAsia" w:ascii="宋体"/>
          <w:b/>
          <w:color w:val="000000"/>
          <w:sz w:val="28"/>
          <w:highlight w:val="none"/>
        </w:rPr>
      </w:pPr>
      <w:r>
        <w:rPr>
          <w:rFonts w:hint="eastAsia"/>
          <w:color w:val="000000"/>
          <w:szCs w:val="24"/>
          <w:highlight w:val="none"/>
        </w:rPr>
        <w:br w:type="page"/>
      </w:r>
    </w:p>
    <w:p>
      <w:pPr>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pPr>
        <w:snapToGrid w:val="0"/>
        <w:spacing w:line="360" w:lineRule="auto"/>
        <w:rPr>
          <w:rFonts w:hint="eastAsia" w:ascii="宋体" w:hAnsi="宋体" w:cs="宋体"/>
          <w:color w:val="000000"/>
          <w:sz w:val="24"/>
          <w:szCs w:val="24"/>
          <w:highlight w:val="none"/>
        </w:rPr>
      </w:pPr>
    </w:p>
    <w:p>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000000"/>
          <w:kern w:val="0"/>
          <w:sz w:val="24"/>
          <w:szCs w:val="24"/>
          <w:highlight w:val="none"/>
          <w:lang w:val="zh-CN"/>
        </w:rPr>
      </w:pPr>
    </w:p>
    <w:p>
      <w:pPr>
        <w:autoSpaceDE w:val="0"/>
        <w:autoSpaceDN w:val="0"/>
        <w:spacing w:line="360" w:lineRule="auto"/>
        <w:ind w:left="2"/>
        <w:jc w:val="left"/>
        <w:rPr>
          <w:rFonts w:hint="eastAsia" w:ascii="宋体" w:hAnsi="宋体" w:cs="宋体"/>
          <w:color w:val="000000"/>
          <w:kern w:val="0"/>
          <w:sz w:val="24"/>
          <w:szCs w:val="24"/>
          <w:highlight w:val="none"/>
          <w:lang w:val="zh-CN"/>
        </w:rPr>
      </w:pPr>
    </w:p>
    <w:p>
      <w:pPr>
        <w:pStyle w:val="25"/>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pPr>
        <w:pStyle w:val="25"/>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spacing w:line="360" w:lineRule="exact"/>
        <w:rPr>
          <w:rFonts w:hint="eastAsia"/>
          <w:bCs/>
          <w:color w:val="000000"/>
          <w:sz w:val="24"/>
          <w:szCs w:val="24"/>
          <w:highlight w:val="none"/>
        </w:rPr>
      </w:pPr>
      <w:r>
        <w:rPr>
          <w:rFonts w:hint="eastAsia"/>
          <w:color w:val="000000"/>
          <w:szCs w:val="24"/>
          <w:highlight w:val="none"/>
        </w:rPr>
        <w:br w:type="page"/>
      </w:r>
    </w:p>
    <w:p>
      <w:pPr>
        <w:spacing w:line="360" w:lineRule="exact"/>
        <w:rPr>
          <w:rFonts w:hint="eastAsia"/>
          <w:bCs/>
          <w:color w:val="000000"/>
          <w:sz w:val="24"/>
          <w:szCs w:val="24"/>
          <w:highlight w:val="none"/>
        </w:rPr>
      </w:pPr>
    </w:p>
    <w:p>
      <w:pPr>
        <w:spacing w:line="360" w:lineRule="exact"/>
        <w:rPr>
          <w:rFonts w:hint="eastAsia"/>
          <w:bCs/>
          <w:color w:val="000000"/>
          <w:sz w:val="24"/>
          <w:szCs w:val="24"/>
          <w:highlight w:val="none"/>
        </w:rPr>
      </w:pPr>
    </w:p>
    <w:p>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pPr>
        <w:spacing w:line="600" w:lineRule="exact"/>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pPr>
        <w:pStyle w:val="25"/>
        <w:ind w:firstLine="0"/>
        <w:rPr>
          <w:rFonts w:hint="eastAsia" w:ascii="宋体" w:eastAsia="宋体"/>
          <w:b/>
          <w:color w:val="000000"/>
          <w:sz w:val="28"/>
          <w:highlight w:val="none"/>
        </w:rPr>
      </w:pPr>
    </w:p>
    <w:p>
      <w:pPr>
        <w:pStyle w:val="25"/>
        <w:ind w:firstLine="0"/>
        <w:rPr>
          <w:rFonts w:hint="eastAsia" w:ascii="宋体" w:eastAsia="宋体"/>
          <w:color w:val="000000"/>
          <w:highlight w:val="none"/>
        </w:rPr>
      </w:pPr>
      <w:r>
        <w:rPr>
          <w:rFonts w:hint="eastAsia" w:ascii="宋体" w:eastAsia="宋体"/>
          <w:b/>
          <w:color w:val="000000"/>
          <w:sz w:val="28"/>
          <w:highlight w:val="none"/>
        </w:rPr>
        <w:t xml:space="preserve"> </w:t>
      </w:r>
    </w:p>
    <w:p>
      <w:pPr>
        <w:pStyle w:val="11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pPr>
        <w:tabs>
          <w:tab w:val="left" w:pos="1494"/>
        </w:tabs>
        <w:spacing w:line="400" w:lineRule="exact"/>
        <w:rPr>
          <w:rFonts w:eastAsia="宋体"/>
          <w:color w:val="000000"/>
        </w:rPr>
      </w:pPr>
    </w:p>
    <w:p>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0"/>
        <w:tblW w:w="10185" w:type="dxa"/>
        <w:tblInd w:w="0" w:type="dxa"/>
        <w:tblLayout w:type="fixed"/>
        <w:tblCellMar>
          <w:top w:w="0" w:type="dxa"/>
          <w:left w:w="0" w:type="dxa"/>
          <w:bottom w:w="0" w:type="dxa"/>
          <w:right w:w="0" w:type="dxa"/>
        </w:tblCellMar>
      </w:tblPr>
      <w:tblGrid>
        <w:gridCol w:w="695"/>
        <w:gridCol w:w="1265"/>
        <w:gridCol w:w="1595"/>
        <w:gridCol w:w="1800"/>
        <w:gridCol w:w="1770"/>
        <w:gridCol w:w="3060"/>
      </w:tblGrid>
      <w:tr>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1704162</w:t>
            </w:r>
            <w:r>
              <w:rPr>
                <w:rFonts w:hint="eastAsia" w:ascii="宋体" w:hAnsi="宋体" w:eastAsia="宋体" w:cs="宋体"/>
                <w:color w:val="auto"/>
                <w:szCs w:val="21"/>
                <w:highlight w:val="none"/>
                <w:lang w:val="en-US" w:eastAsia="zh-CN"/>
              </w:rPr>
              <w:t>.00，超过最高限价的报价为无效报价</w:t>
            </w:r>
          </w:p>
        </w:tc>
      </w:tr>
      <w:tr>
        <w:tblPrEx>
          <w:tblCellMar>
            <w:top w:w="0" w:type="dxa"/>
            <w:left w:w="0" w:type="dxa"/>
            <w:bottom w:w="0" w:type="dxa"/>
            <w:right w:w="0" w:type="dxa"/>
          </w:tblCellMar>
        </w:tblPrEx>
        <w:trPr>
          <w:trHeight w:val="737" w:hRule="atLeast"/>
        </w:trPr>
        <w:tc>
          <w:tcPr>
            <w:tcW w:w="10185"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元整（小写：￥） </w:t>
            </w:r>
          </w:p>
        </w:tc>
      </w:tr>
      <w:tr>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pPr>
        <w:tabs>
          <w:tab w:val="left" w:pos="1494"/>
        </w:tabs>
        <w:jc w:val="both"/>
        <w:rPr>
          <w:rFonts w:eastAsia="宋体"/>
          <w:szCs w:val="22"/>
        </w:rPr>
      </w:pPr>
    </w:p>
    <w:p>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tabs>
          <w:tab w:val="left" w:pos="1494"/>
        </w:tabs>
        <w:jc w:val="both"/>
        <w:rPr>
          <w:rFonts w:eastAsia="宋体"/>
          <w:szCs w:val="22"/>
        </w:rPr>
      </w:pPr>
    </w:p>
    <w:p>
      <w:pPr>
        <w:tabs>
          <w:tab w:val="left" w:pos="1494"/>
        </w:tabs>
        <w:jc w:val="both"/>
        <w:rPr>
          <w:rFonts w:eastAsia="宋体"/>
          <w:b/>
          <w:sz w:val="36"/>
        </w:rPr>
      </w:pPr>
    </w:p>
    <w:p>
      <w:pPr>
        <w:tabs>
          <w:tab w:val="left" w:pos="1494"/>
        </w:tabs>
        <w:jc w:val="center"/>
        <w:rPr>
          <w:rFonts w:eastAsia="宋体"/>
          <w:b/>
          <w:sz w:val="36"/>
        </w:rPr>
      </w:pPr>
    </w:p>
    <w:p>
      <w:pPr>
        <w:tabs>
          <w:tab w:val="left" w:pos="1494"/>
        </w:tabs>
        <w:jc w:val="center"/>
        <w:rPr>
          <w:rFonts w:eastAsia="宋体"/>
          <w:b/>
          <w:sz w:val="36"/>
        </w:rPr>
      </w:pPr>
    </w:p>
    <w:p>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pPr>
        <w:tabs>
          <w:tab w:val="left" w:pos="1494"/>
        </w:tabs>
        <w:spacing w:line="720" w:lineRule="auto"/>
        <w:rPr>
          <w:rFonts w:ascii="仿宋" w:hAnsi="仿宋" w:eastAsia="仿宋" w:cs="仿宋"/>
          <w:b w:val="0"/>
          <w:kern w:val="2"/>
          <w:sz w:val="24"/>
          <w:szCs w:val="24"/>
        </w:rPr>
      </w:pPr>
      <w:r>
        <w:rPr>
          <w:rFonts w:hint="eastAsia"/>
        </w:rPr>
        <w:t xml:space="preserve">                                         日  期：    年   月   日</w:t>
      </w:r>
    </w:p>
    <w:p>
      <w:pPr>
        <w:rPr>
          <w:rFonts w:hint="eastAsia" w:eastAsia="宋体"/>
          <w:color w:val="000000"/>
          <w:highlight w:val="none"/>
        </w:rPr>
      </w:pPr>
    </w:p>
    <w:p>
      <w:pPr>
        <w:pStyle w:val="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pPr>
        <w:pStyle w:val="2"/>
        <w:jc w:val="center"/>
        <w:rPr>
          <w:rFonts w:hint="eastAsia" w:ascii="宋体" w:eastAsia="宋体"/>
          <w:b/>
          <w:color w:val="000000"/>
          <w:sz w:val="28"/>
          <w:highlight w:val="none"/>
          <w:lang w:eastAsia="zh-CN"/>
        </w:rPr>
      </w:pPr>
    </w:p>
    <w:p>
      <w:pPr>
        <w:pStyle w:val="2"/>
        <w:jc w:val="center"/>
        <w:rPr>
          <w:rFonts w:hint="eastAsia" w:ascii="宋体" w:eastAsia="宋体"/>
          <w:b/>
          <w:color w:val="000000"/>
          <w:sz w:val="28"/>
          <w:highlight w:val="none"/>
          <w:lang w:eastAsia="zh-CN"/>
        </w:rPr>
      </w:pPr>
    </w:p>
    <w:p>
      <w:pPr>
        <w:pStyle w:val="2"/>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pPr>
        <w:spacing w:line="400" w:lineRule="exact"/>
        <w:rPr>
          <w:rFonts w:hint="eastAsia" w:ascii="宋体"/>
          <w:b/>
          <w:color w:val="000000"/>
          <w:sz w:val="28"/>
          <w:highlight w:val="none"/>
        </w:rPr>
      </w:pPr>
    </w:p>
    <w:p>
      <w:pPr>
        <w:spacing w:before="240" w:beforeLines="100" w:after="240" w:afterLines="100"/>
        <w:jc w:val="center"/>
        <w:rPr>
          <w:rFonts w:hint="eastAsia" w:ascii="宋体"/>
          <w:b/>
          <w:color w:val="000000"/>
          <w:sz w:val="28"/>
          <w:szCs w:val="22"/>
          <w:highlight w:val="none"/>
        </w:rPr>
      </w:pPr>
      <w:bookmarkStart w:id="977" w:name="_Toc23742"/>
      <w:r>
        <w:rPr>
          <w:rFonts w:hint="eastAsia" w:ascii="宋体"/>
          <w:b/>
          <w:color w:val="000000"/>
          <w:sz w:val="28"/>
          <w:highlight w:val="none"/>
        </w:rPr>
        <w:t>（</w:t>
      </w:r>
      <w:r>
        <w:rPr>
          <w:rFonts w:hint="eastAsia" w:ascii="宋体"/>
          <w:b/>
          <w:color w:val="000000"/>
          <w:sz w:val="28"/>
          <w:highlight w:val="none"/>
          <w:lang w:val="en-US" w:eastAsia="zh-CN"/>
        </w:rPr>
        <w:t>三</w:t>
      </w:r>
      <w:r>
        <w:rPr>
          <w:rFonts w:hint="eastAsia" w:ascii="宋体"/>
          <w:b/>
          <w:color w:val="000000"/>
          <w:sz w:val="28"/>
          <w:highlight w:val="none"/>
        </w:rPr>
        <w:t>）</w:t>
      </w:r>
      <w:r>
        <w:rPr>
          <w:rFonts w:hint="eastAsia" w:ascii="宋体"/>
          <w:b/>
          <w:color w:val="000000"/>
          <w:sz w:val="28"/>
          <w:szCs w:val="22"/>
          <w:highlight w:val="none"/>
        </w:rPr>
        <w:t>中小企业声明函</w:t>
      </w:r>
    </w:p>
    <w:p>
      <w:pPr>
        <w:spacing w:line="440" w:lineRule="exact"/>
        <w:ind w:firstLine="420" w:firstLineChars="200"/>
        <w:rPr>
          <w:color w:val="000000"/>
          <w:highlight w:val="none"/>
        </w:rPr>
      </w:pPr>
      <w:r>
        <w:rPr>
          <w:color w:val="000000"/>
          <w:highlight w:val="none"/>
        </w:rPr>
        <w:t>本公司郑重声明，根据《政府采购促进中小企业发展管理办法》（财库﹝2020﹞46 号）的规定，本公司参加</w:t>
      </w:r>
      <w:r>
        <w:rPr>
          <w:color w:val="000000"/>
          <w:highlight w:val="none"/>
          <w:u w:val="single"/>
        </w:rPr>
        <w:t>（单位名称）（项目名称）</w:t>
      </w:r>
      <w:r>
        <w:rPr>
          <w:color w:val="000000"/>
          <w:highlight w:val="none"/>
        </w:rPr>
        <w:t>采购活动，</w:t>
      </w:r>
      <w:r>
        <w:rPr>
          <w:rFonts w:hint="eastAsia"/>
          <w:color w:val="000000"/>
          <w:highlight w:val="none"/>
        </w:rPr>
        <w:t>工程的施工单位全部为符合政策要求的中小企业</w:t>
      </w:r>
      <w:r>
        <w:rPr>
          <w:color w:val="000000"/>
          <w:highlight w:val="none"/>
        </w:rPr>
        <w:t>。相关企业的具体情况如下：</w:t>
      </w:r>
    </w:p>
    <w:p>
      <w:pPr>
        <w:spacing w:line="440" w:lineRule="exact"/>
        <w:ind w:firstLine="420" w:firstLineChars="200"/>
        <w:rPr>
          <w:color w:val="000000"/>
          <w:highlight w:val="none"/>
        </w:rPr>
      </w:pPr>
      <w:r>
        <w:rPr>
          <w:color w:val="000000"/>
          <w:highlight w:val="none"/>
        </w:rPr>
        <w:t>1.</w:t>
      </w:r>
      <w:r>
        <w:rPr>
          <w:color w:val="000000"/>
          <w:highlight w:val="none"/>
          <w:u w:val="single"/>
        </w:rPr>
        <w:t>（</w:t>
      </w:r>
      <w:r>
        <w:rPr>
          <w:rFonts w:hint="eastAsia"/>
          <w:color w:val="000000"/>
          <w:szCs w:val="22"/>
          <w:highlight w:val="none"/>
          <w:u w:val="single"/>
          <w:lang w:eastAsia="zh-CN"/>
        </w:rPr>
        <w:t>宁海县城关中学操场塑胶等改造工程</w:t>
      </w:r>
      <w:r>
        <w:rPr>
          <w:color w:val="000000"/>
          <w:szCs w:val="22"/>
          <w:highlight w:val="none"/>
          <w:u w:val="single"/>
        </w:rPr>
        <w:t>）</w:t>
      </w:r>
      <w:r>
        <w:rPr>
          <w:color w:val="000000"/>
          <w:highlight w:val="none"/>
        </w:rPr>
        <w:t>，属于</w:t>
      </w:r>
      <w:r>
        <w:rPr>
          <w:b/>
          <w:bCs/>
          <w:color w:val="000000"/>
          <w:highlight w:val="none"/>
          <w:u w:val="single"/>
        </w:rPr>
        <w:t>（</w:t>
      </w:r>
      <w:r>
        <w:rPr>
          <w:rFonts w:hint="eastAsia"/>
          <w:b/>
          <w:bCs/>
          <w:color w:val="000000"/>
          <w:highlight w:val="none"/>
          <w:u w:val="single"/>
        </w:rPr>
        <w:t>建筑业</w:t>
      </w:r>
      <w:r>
        <w:rPr>
          <w:b/>
          <w:bCs/>
          <w:color w:val="000000"/>
          <w:highlight w:val="none"/>
          <w:u w:val="single"/>
        </w:rPr>
        <w:t>）</w:t>
      </w:r>
      <w:r>
        <w:rPr>
          <w:color w:val="000000"/>
          <w:highlight w:val="none"/>
        </w:rPr>
        <w:t>；承接企业为</w:t>
      </w:r>
      <w:r>
        <w:rPr>
          <w:color w:val="000000"/>
          <w:highlight w:val="none"/>
          <w:u w:val="single"/>
        </w:rPr>
        <w:t>（企业名称）</w:t>
      </w:r>
      <w:r>
        <w:rPr>
          <w:color w:val="000000"/>
          <w:highlight w:val="none"/>
        </w:rPr>
        <w:t>，从业人员</w:t>
      </w:r>
      <w:r>
        <w:rPr>
          <w:color w:val="000000"/>
          <w:highlight w:val="none"/>
          <w:u w:val="single"/>
        </w:rPr>
        <w:t>   </w:t>
      </w:r>
      <w:r>
        <w:rPr>
          <w:rFonts w:hint="eastAsia"/>
          <w:color w:val="000000"/>
          <w:highlight w:val="none"/>
          <w:u w:val="single"/>
        </w:rPr>
        <w:t xml:space="preserve"> </w:t>
      </w:r>
      <w:r>
        <w:rPr>
          <w:color w:val="000000"/>
          <w:highlight w:val="none"/>
          <w:u w:val="single"/>
        </w:rPr>
        <w:t>人</w:t>
      </w:r>
      <w:r>
        <w:rPr>
          <w:color w:val="000000"/>
          <w:highlight w:val="none"/>
        </w:rPr>
        <w:t>，营业收入为 </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，资产总额为</w:t>
      </w:r>
      <w:r>
        <w:rPr>
          <w:color w:val="000000"/>
          <w:highlight w:val="none"/>
          <w:u w:val="single"/>
        </w:rPr>
        <w:t>   </w:t>
      </w:r>
      <w:r>
        <w:rPr>
          <w:rFonts w:hint="eastAsia"/>
          <w:color w:val="000000"/>
          <w:highlight w:val="none"/>
          <w:u w:val="single"/>
        </w:rPr>
        <w:t xml:space="preserve"> </w:t>
      </w:r>
      <w:r>
        <w:rPr>
          <w:color w:val="000000"/>
          <w:highlight w:val="none"/>
          <w:u w:val="single"/>
        </w:rPr>
        <w:t>万元</w:t>
      </w:r>
      <w:r>
        <w:rPr>
          <w:color w:val="000000"/>
          <w:highlight w:val="none"/>
        </w:rPr>
        <w:t>，属于</w:t>
      </w:r>
      <w:r>
        <w:rPr>
          <w:color w:val="000000"/>
          <w:highlight w:val="none"/>
          <w:u w:val="single"/>
        </w:rPr>
        <w:t>（中型企业、小型企业、微型企业）</w:t>
      </w:r>
      <w:r>
        <w:rPr>
          <w:color w:val="000000"/>
          <w:highlight w:val="none"/>
        </w:rPr>
        <w:t>；</w:t>
      </w:r>
    </w:p>
    <w:p>
      <w:pPr>
        <w:spacing w:line="440" w:lineRule="exact"/>
        <w:ind w:firstLine="420" w:firstLineChars="200"/>
        <w:rPr>
          <w:color w:val="000000"/>
          <w:highlight w:val="none"/>
        </w:rPr>
      </w:pPr>
      <w:r>
        <w:rPr>
          <w:color w:val="000000"/>
          <w:highlight w:val="none"/>
        </w:rPr>
        <w:t>以上企业，不属于大企业的分支机构，不存在控股股东为大企业的情形，也不存在与大企业的负责人为同一人的情形。</w:t>
      </w:r>
    </w:p>
    <w:p>
      <w:pPr>
        <w:spacing w:line="440" w:lineRule="exact"/>
        <w:ind w:firstLine="420" w:firstLineChars="200"/>
        <w:rPr>
          <w:color w:val="000000"/>
          <w:highlight w:val="none"/>
        </w:rPr>
      </w:pPr>
      <w:r>
        <w:rPr>
          <w:color w:val="000000"/>
          <w:highlight w:val="none"/>
        </w:rPr>
        <w:t>本企业对上述声明内容的真实性负责。如有虚假，将依法承担相应责任。</w:t>
      </w:r>
    </w:p>
    <w:p>
      <w:pPr>
        <w:spacing w:line="440" w:lineRule="exact"/>
        <w:ind w:firstLine="4515" w:firstLineChars="2150"/>
        <w:rPr>
          <w:color w:val="000000"/>
          <w:highlight w:val="none"/>
        </w:rPr>
      </w:pPr>
      <w:r>
        <w:rPr>
          <w:color w:val="000000"/>
          <w:highlight w:val="none"/>
        </w:rPr>
        <w:t>企业名称（盖章）：</w:t>
      </w:r>
    </w:p>
    <w:p>
      <w:pPr>
        <w:spacing w:line="440" w:lineRule="exact"/>
        <w:ind w:firstLine="4515" w:firstLineChars="2150"/>
        <w:rPr>
          <w:color w:val="000000"/>
          <w:highlight w:val="none"/>
        </w:rPr>
      </w:pPr>
      <w:r>
        <w:rPr>
          <w:color w:val="000000"/>
          <w:highlight w:val="none"/>
        </w:rPr>
        <w:t>日 期：</w:t>
      </w:r>
    </w:p>
    <w:p>
      <w:pPr>
        <w:spacing w:line="360" w:lineRule="auto"/>
        <w:rPr>
          <w:rFonts w:hint="eastAsia"/>
          <w:color w:val="000000"/>
          <w:highlight w:val="none"/>
        </w:rPr>
      </w:pPr>
    </w:p>
    <w:p>
      <w:pPr>
        <w:spacing w:line="360" w:lineRule="auto"/>
        <w:rPr>
          <w:rFonts w:hint="eastAsia"/>
          <w:color w:val="000000"/>
          <w:highlight w:val="none"/>
        </w:rPr>
      </w:pPr>
      <w:r>
        <w:rPr>
          <w:rFonts w:hint="eastAsia"/>
          <w:color w:val="000000"/>
          <w:highlight w:val="none"/>
        </w:rPr>
        <w:t>注：</w:t>
      </w:r>
    </w:p>
    <w:p>
      <w:pPr>
        <w:spacing w:line="360" w:lineRule="auto"/>
        <w:rPr>
          <w:rFonts w:hint="eastAsia"/>
          <w:color w:val="000000"/>
          <w:highlight w:val="none"/>
        </w:rPr>
      </w:pPr>
      <w:r>
        <w:rPr>
          <w:rFonts w:hint="eastAsia"/>
          <w:color w:val="000000"/>
          <w:highlight w:val="none"/>
        </w:rPr>
        <w:t>1）从业人员、营业收入、资产总额填报上一年度数据。无上一年度数据的新成立企业可不填报。</w:t>
      </w:r>
    </w:p>
    <w:p>
      <w:pPr>
        <w:spacing w:line="360" w:lineRule="auto"/>
        <w:rPr>
          <w:rFonts w:hint="eastAsia"/>
          <w:color w:val="000000"/>
          <w:highlight w:val="none"/>
        </w:rPr>
      </w:pPr>
      <w:r>
        <w:rPr>
          <w:rFonts w:hint="eastAsia"/>
          <w:color w:val="000000"/>
          <w:highlight w:val="none"/>
        </w:rPr>
        <w:t>2）中小企业划型标准按工信部联企业〔2011〕300号文件，</w:t>
      </w:r>
      <w:r>
        <w:rPr>
          <w:rFonts w:hint="eastAsia"/>
          <w:b/>
          <w:bCs/>
          <w:color w:val="000000"/>
          <w:highlight w:val="none"/>
        </w:rPr>
        <w:t>中标单位的《中小企业</w:t>
      </w:r>
      <w:r>
        <w:rPr>
          <w:b/>
          <w:bCs/>
          <w:color w:val="000000"/>
          <w:highlight w:val="none"/>
        </w:rPr>
        <w:t>声明函</w:t>
      </w:r>
      <w:r>
        <w:rPr>
          <w:rFonts w:hint="eastAsia"/>
          <w:b/>
          <w:bCs/>
          <w:color w:val="000000"/>
          <w:highlight w:val="none"/>
        </w:rPr>
        <w:t>》将公示，提供虚假资料者责任自负。</w:t>
      </w:r>
    </w:p>
    <w:p>
      <w:pPr>
        <w:spacing w:line="360" w:lineRule="auto"/>
        <w:rPr>
          <w:rFonts w:hint="eastAsia" w:ascii="宋体" w:hAnsi="宋体" w:cs="宋体"/>
          <w:color w:val="000000"/>
          <w:szCs w:val="21"/>
          <w:highlight w:val="none"/>
        </w:rPr>
      </w:pPr>
      <w:r>
        <w:rPr>
          <w:rFonts w:hint="eastAsia"/>
          <w:color w:val="000000"/>
          <w:highlight w:val="none"/>
        </w:rPr>
        <w:t>3）本项目为专门面向中小企业采购，必须提供符合要求的《中小企业声明函》，</w:t>
      </w:r>
      <w:r>
        <w:rPr>
          <w:rFonts w:hint="eastAsia" w:ascii="宋体" w:hAnsi="宋体" w:cs="宋体"/>
          <w:color w:val="000000"/>
          <w:szCs w:val="21"/>
          <w:highlight w:val="none"/>
        </w:rPr>
        <w:t>残疾人福利性单位或监狱企业视同小微企业。</w:t>
      </w:r>
    </w:p>
    <w:p>
      <w:pPr>
        <w:pStyle w:val="634"/>
        <w:rPr>
          <w:rFonts w:hint="eastAsia" w:ascii="宋体"/>
          <w:b/>
          <w:color w:val="000000"/>
          <w:sz w:val="28"/>
          <w:highlight w:val="none"/>
        </w:rPr>
      </w:pPr>
    </w:p>
    <w:tbl>
      <w:tblPr>
        <w:tblStyle w:val="6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21"/>
                <w:highlight w:val="none"/>
              </w:rPr>
            </w:pPr>
            <w:r>
              <w:rPr>
                <w:rFonts w:hint="eastAsia" w:ascii="宋体" w:hAnsi="宋体" w:cs="宋体"/>
                <w:b/>
                <w:bCs/>
                <w:color w:val="000000"/>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计量</w:t>
            </w:r>
            <w:r>
              <w:rPr>
                <w:rFonts w:hint="eastAsia" w:ascii="宋体" w:hAnsi="宋体" w:cs="宋体"/>
                <w:b/>
                <w:bCs/>
                <w:color w:val="000000"/>
                <w:kern w:val="0"/>
                <w:sz w:val="18"/>
                <w:szCs w:val="18"/>
                <w:highlight w:val="none"/>
              </w:rPr>
              <w:br w:type="textWrapping"/>
            </w:r>
            <w:r>
              <w:rPr>
                <w:rFonts w:hint="eastAsia" w:ascii="宋体" w:hAnsi="宋体" w:cs="宋体"/>
                <w:b/>
                <w:bCs/>
                <w:color w:val="000000"/>
                <w:kern w:val="0"/>
                <w:sz w:val="18"/>
                <w:szCs w:val="18"/>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小型</w:t>
            </w:r>
          </w:p>
        </w:tc>
        <w:tc>
          <w:tcPr>
            <w:tcW w:w="992" w:type="dxa"/>
            <w:tcBorders>
              <w:top w:val="single" w:color="auto" w:sz="4" w:space="0"/>
              <w:left w:val="nil"/>
              <w:bottom w:val="single" w:color="auto" w:sz="4" w:space="0"/>
              <w:right w:val="nil"/>
            </w:tcBorders>
            <w:noWrap w:val="0"/>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微型</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建筑业</w:t>
            </w:r>
          </w:p>
        </w:tc>
        <w:tc>
          <w:tcPr>
            <w:tcW w:w="1369"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营业收入(Y)</w:t>
            </w:r>
          </w:p>
        </w:tc>
        <w:tc>
          <w:tcPr>
            <w:tcW w:w="709"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Y≥80000</w:t>
            </w:r>
          </w:p>
        </w:tc>
        <w:tc>
          <w:tcPr>
            <w:tcW w:w="1701"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6000≤Y＜80000</w:t>
            </w:r>
          </w:p>
        </w:tc>
        <w:tc>
          <w:tcPr>
            <w:tcW w:w="1426" w:type="dxa"/>
            <w:tcBorders>
              <w:top w:val="nil"/>
              <w:left w:val="nil"/>
              <w:bottom w:val="nil"/>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300≤Y＜6000</w:t>
            </w:r>
          </w:p>
        </w:tc>
        <w:tc>
          <w:tcPr>
            <w:tcW w:w="992" w:type="dxa"/>
            <w:tcBorders>
              <w:top w:val="nil"/>
              <w:left w:val="nil"/>
              <w:bottom w:val="nil"/>
              <w:right w:val="nil"/>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highlight w:val="none"/>
              </w:rPr>
            </w:pPr>
          </w:p>
        </w:tc>
        <w:tc>
          <w:tcPr>
            <w:tcW w:w="13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资产总额(Z)</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万元</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Z≥80000</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5000≤Z＜80000</w:t>
            </w:r>
          </w:p>
        </w:tc>
        <w:tc>
          <w:tcPr>
            <w:tcW w:w="1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300≤Z＜5000</w:t>
            </w:r>
          </w:p>
        </w:tc>
        <w:tc>
          <w:tcPr>
            <w:tcW w:w="992" w:type="dxa"/>
            <w:tcBorders>
              <w:top w:val="nil"/>
              <w:left w:val="nil"/>
              <w:bottom w:val="single" w:color="auto" w:sz="4" w:space="0"/>
              <w:right w:val="nil"/>
            </w:tcBorders>
            <w:noWrap w:val="0"/>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Z＜300</w:t>
            </w:r>
          </w:p>
        </w:tc>
      </w:tr>
    </w:tbl>
    <w:p>
      <w:pPr>
        <w:pStyle w:val="634"/>
        <w:rPr>
          <w:rFonts w:hint="eastAsia" w:ascii="宋体"/>
          <w:b/>
          <w:color w:val="000000"/>
          <w:sz w:val="28"/>
          <w:highlight w:val="none"/>
        </w:rPr>
      </w:pPr>
      <w:r>
        <w:rPr>
          <w:rFonts w:hint="eastAsia" w:ascii="宋体"/>
          <w:b/>
          <w:color w:val="000000"/>
          <w:sz w:val="28"/>
          <w:highlight w:val="none"/>
        </w:rPr>
        <w:br w:type="page"/>
      </w:r>
    </w:p>
    <w:p>
      <w:pPr>
        <w:rPr>
          <w:rFonts w:hint="eastAsia"/>
          <w:color w:val="000000"/>
          <w:highlight w:val="none"/>
        </w:rPr>
      </w:pPr>
    </w:p>
    <w:p>
      <w:pPr>
        <w:jc w:val="center"/>
        <w:rPr>
          <w:rFonts w:hint="eastAsia"/>
          <w:b/>
          <w:color w:val="000000"/>
          <w:kern w:val="2"/>
          <w:sz w:val="28"/>
          <w:szCs w:val="28"/>
          <w:highlight w:val="none"/>
          <w:lang w:val="en-US" w:eastAsia="zh-CN" w:bidi="ar-SA"/>
        </w:rPr>
      </w:pPr>
    </w:p>
    <w:p>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pPr>
        <w:spacing w:line="380" w:lineRule="exact"/>
        <w:ind w:firstLine="420" w:firstLineChars="200"/>
        <w:rPr>
          <w:rFonts w:hint="eastAsia"/>
          <w:color w:val="000000"/>
          <w:highlight w:val="none"/>
        </w:rPr>
      </w:pPr>
    </w:p>
    <w:p>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pPr>
        <w:pStyle w:val="634"/>
        <w:rPr>
          <w:rFonts w:hint="eastAsia"/>
          <w:color w:val="000000"/>
          <w:highlight w:val="none"/>
        </w:rPr>
      </w:pPr>
    </w:p>
    <w:p>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pPr>
        <w:spacing w:line="600" w:lineRule="exact"/>
        <w:jc w:val="center"/>
        <w:outlineLvl w:val="9"/>
        <w:rPr>
          <w:rFonts w:hint="eastAsia" w:ascii="宋体"/>
          <w:b/>
          <w:color w:val="000000"/>
          <w:sz w:val="28"/>
          <w:highlight w:val="none"/>
        </w:rPr>
      </w:pPr>
    </w:p>
    <w:p>
      <w:pPr>
        <w:pStyle w:val="634"/>
        <w:rPr>
          <w:rFonts w:hint="eastAsia"/>
          <w:color w:val="000000"/>
          <w:highlight w:val="none"/>
        </w:rPr>
      </w:pPr>
    </w:p>
    <w:p>
      <w:pPr>
        <w:pStyle w:val="8"/>
        <w:ind w:firstLine="0" w:firstLineChars="0"/>
        <w:jc w:val="center"/>
        <w:rPr>
          <w:rFonts w:hint="eastAsia"/>
          <w:b/>
          <w:color w:val="000000"/>
          <w:sz w:val="28"/>
          <w:szCs w:val="28"/>
          <w:highlight w:val="none"/>
          <w:lang w:val="en-US" w:eastAsia="zh-CN"/>
        </w:rPr>
      </w:pPr>
    </w:p>
    <w:p>
      <w:pPr>
        <w:pStyle w:val="8"/>
        <w:ind w:firstLine="0" w:firstLineChars="0"/>
        <w:jc w:val="center"/>
        <w:rPr>
          <w:rFonts w:hint="eastAsia"/>
          <w:b/>
          <w:color w:val="000000"/>
          <w:sz w:val="28"/>
          <w:szCs w:val="28"/>
          <w:highlight w:val="none"/>
          <w:lang w:val="en-US" w:eastAsia="zh-CN"/>
        </w:rPr>
      </w:pPr>
    </w:p>
    <w:p>
      <w:pPr>
        <w:pStyle w:val="8"/>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pPr>
        <w:pStyle w:val="8"/>
        <w:ind w:firstLine="0" w:firstLineChars="0"/>
        <w:jc w:val="center"/>
        <w:rPr>
          <w:rFonts w:hint="eastAsia"/>
          <w:b/>
          <w:color w:val="000000"/>
          <w:kern w:val="2"/>
          <w:sz w:val="28"/>
          <w:szCs w:val="28"/>
          <w:highlight w:val="none"/>
          <w:lang w:val="en-US" w:eastAsia="zh-CN" w:bidi="ar-SA"/>
        </w:rPr>
      </w:pPr>
    </w:p>
    <w:p>
      <w:pPr>
        <w:pStyle w:val="8"/>
        <w:ind w:firstLine="0" w:firstLineChars="0"/>
        <w:jc w:val="both"/>
        <w:rPr>
          <w:rFonts w:hint="eastAsia"/>
          <w:b w:val="0"/>
          <w:bCs/>
          <w:color w:val="000000"/>
          <w:kern w:val="2"/>
          <w:sz w:val="21"/>
          <w:szCs w:val="21"/>
          <w:highlight w:val="none"/>
          <w:lang w:val="en-US" w:eastAsia="zh-CN" w:bidi="ar-SA"/>
        </w:rPr>
      </w:pPr>
    </w:p>
    <w:p>
      <w:pPr>
        <w:pStyle w:val="8"/>
        <w:ind w:firstLine="0" w:firstLineChars="0"/>
        <w:jc w:val="both"/>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b w:val="0"/>
          <w:bCs/>
          <w:color w:val="000000"/>
          <w:kern w:val="2"/>
          <w:sz w:val="21"/>
          <w:szCs w:val="21"/>
          <w:highlight w:val="none"/>
          <w:lang w:val="en-US" w:eastAsia="zh-CN" w:bidi="ar-SA"/>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b/>
          <w:color w:val="000000"/>
          <w:sz w:val="28"/>
          <w:highlight w:val="none"/>
          <w:lang w:eastAsia="zh-CN"/>
        </w:rPr>
      </w:pPr>
    </w:p>
    <w:p>
      <w:pPr>
        <w:spacing w:line="580" w:lineRule="exact"/>
        <w:jc w:val="center"/>
        <w:outlineLvl w:val="0"/>
        <w:rPr>
          <w:rFonts w:hint="eastAsia" w:ascii="宋体" w:eastAsia="宋体"/>
          <w:b/>
          <w:color w:val="000000"/>
          <w:sz w:val="28"/>
          <w:highlight w:val="none"/>
          <w:lang w:eastAsia="zh-CN"/>
        </w:rPr>
      </w:pPr>
    </w:p>
    <w:p>
      <w:pPr>
        <w:spacing w:line="580" w:lineRule="exact"/>
        <w:jc w:val="center"/>
        <w:outlineLvl w:val="0"/>
        <w:rPr>
          <w:rFonts w:hint="eastAsia" w:ascii="宋体" w:eastAsia="宋体"/>
          <w:b/>
          <w:color w:val="000000"/>
          <w:sz w:val="28"/>
          <w:highlight w:val="none"/>
          <w:lang w:eastAsia="zh-CN"/>
        </w:rPr>
      </w:pPr>
    </w:p>
    <w:p>
      <w:pPr>
        <w:spacing w:line="580" w:lineRule="exact"/>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977"/>
    </w:p>
    <w:p>
      <w:pPr>
        <w:pStyle w:val="56"/>
        <w:spacing w:line="320" w:lineRule="exact"/>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pPr>
              <w:jc w:val="center"/>
              <w:rPr>
                <w:rFonts w:hint="eastAsia"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pPr>
              <w:jc w:val="center"/>
              <w:rPr>
                <w:rFonts w:ascii="宋体" w:hAnsi="宋体"/>
                <w:bCs/>
                <w:color w:val="00000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pPr>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pPr>
              <w:jc w:val="center"/>
              <w:rPr>
                <w:rFonts w:ascii="宋体" w:hAnsi="宋体"/>
                <w:bCs/>
                <w:color w:val="000000"/>
                <w:szCs w:val="21"/>
                <w:highlight w:val="none"/>
              </w:rPr>
            </w:pPr>
          </w:p>
        </w:tc>
      </w:tr>
    </w:tbl>
    <w:p>
      <w:pPr>
        <w:pStyle w:val="56"/>
        <w:rPr>
          <w:rFonts w:hint="eastAsia" w:ascii="ˎ̥" w:hAnsi="ˎ̥"/>
          <w:color w:val="000000"/>
          <w:sz w:val="26"/>
          <w:szCs w:val="26"/>
          <w:highlight w:val="none"/>
        </w:rPr>
      </w:pPr>
    </w:p>
    <w:p>
      <w:pPr>
        <w:pStyle w:val="25"/>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pPr>
        <w:spacing w:line="400" w:lineRule="exact"/>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pPr>
        <w:pStyle w:val="25"/>
        <w:spacing w:line="400" w:lineRule="exact"/>
        <w:ind w:firstLine="0"/>
        <w:rPr>
          <w:rFonts w:hint="eastAsia" w:ascii="宋体" w:eastAsia="宋体"/>
          <w:color w:val="000000"/>
          <w:highlight w:val="none"/>
        </w:rPr>
        <w:sectPr>
          <w:footerReference r:id="rId5" w:type="default"/>
          <w:pgSz w:w="11907" w:h="16840"/>
          <w:pgMar w:top="1021" w:right="851" w:bottom="851" w:left="1134" w:header="720" w:footer="720" w:gutter="0"/>
          <w:cols w:space="720" w:num="1"/>
          <w:docGrid w:linePitch="285" w:charSpace="0"/>
        </w:sectPr>
      </w:pPr>
    </w:p>
    <w:p>
      <w:pPr>
        <w:spacing w:line="360" w:lineRule="auto"/>
        <w:ind w:firstLine="2168" w:firstLineChars="600"/>
        <w:jc w:val="both"/>
        <w:outlineLvl w:val="0"/>
        <w:rPr>
          <w:rFonts w:hint="eastAsia" w:ascii="仿宋" w:hAnsi="仿宋" w:eastAsia="仿宋" w:cs="仿宋"/>
          <w:b/>
          <w:sz w:val="36"/>
          <w:szCs w:val="20"/>
        </w:rPr>
      </w:pPr>
    </w:p>
    <w:p>
      <w:pPr>
        <w:spacing w:line="360" w:lineRule="auto"/>
        <w:ind w:firstLine="2168" w:firstLineChars="600"/>
        <w:jc w:val="both"/>
        <w:outlineLvl w:val="0"/>
        <w:rPr>
          <w:rFonts w:hint="eastAsia" w:ascii="仿宋" w:hAnsi="仿宋" w:eastAsia="仿宋" w:cs="仿宋"/>
          <w:b/>
          <w:sz w:val="36"/>
          <w:szCs w:val="20"/>
        </w:rPr>
      </w:pPr>
    </w:p>
    <w:p>
      <w:pPr>
        <w:spacing w:line="360" w:lineRule="auto"/>
        <w:ind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图纸详见附件</w:t>
      </w: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69"/>
    <w:bookmarkEnd w:id="970"/>
    <w:bookmarkEnd w:id="971"/>
    <w:p>
      <w:pPr>
        <w:ind w:firstLine="2891" w:firstLineChars="900"/>
        <w:rPr>
          <w:rFonts w:asciiTheme="minorEastAsia" w:hAnsiTheme="minorEastAsia" w:eastAsiaTheme="minorEastAsia"/>
          <w:b/>
          <w:bCs/>
          <w:sz w:val="32"/>
          <w:szCs w:val="32"/>
        </w:rPr>
      </w:pPr>
      <w:bookmarkStart w:id="978" w:name="_Toc6811"/>
      <w:r>
        <w:rPr>
          <w:rFonts w:hint="eastAsia" w:asciiTheme="minorEastAsia" w:hAnsiTheme="minorEastAsia" w:eastAsiaTheme="minorEastAsia"/>
          <w:b/>
          <w:bCs/>
          <w:sz w:val="32"/>
          <w:szCs w:val="32"/>
        </w:rPr>
        <w:t>业务专用章使用说明函</w:t>
      </w:r>
      <w:bookmarkEnd w:id="978"/>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p>
    <w:sectPr>
      <w:headerReference r:id="rId7" w:type="first"/>
      <w:footerReference r:id="rId9" w:type="first"/>
      <w:headerReference r:id="rId6" w:type="default"/>
      <w:footerReference r:id="rId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_5b8b_4f53">
    <w:altName w:val="Times New Roman"/>
    <w:panose1 w:val="00000000000000000000"/>
    <w:charset w:val="00"/>
    <w:family w:val="roman"/>
    <w:pitch w:val="default"/>
    <w:sig w:usb0="00000000" w:usb1="00000000" w:usb2="00000000"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pPr>
      <w:pStyle w:val="3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5F454"/>
    <w:multiLevelType w:val="singleLevel"/>
    <w:tmpl w:val="C475F454"/>
    <w:lvl w:ilvl="0" w:tentative="0">
      <w:start w:val="3"/>
      <w:numFmt w:val="chineseCounting"/>
      <w:suff w:val="space"/>
      <w:lvlText w:val="第%1部分"/>
      <w:lvlJc w:val="left"/>
      <w:rPr>
        <w:rFonts w:hint="eastAsia"/>
      </w:rPr>
    </w:lvl>
  </w:abstractNum>
  <w:abstractNum w:abstractNumId="1">
    <w:nsid w:val="F253D834"/>
    <w:multiLevelType w:val="singleLevel"/>
    <w:tmpl w:val="F253D834"/>
    <w:lvl w:ilvl="0" w:tentative="0">
      <w:start w:val="2"/>
      <w:numFmt w:val="chineseCounting"/>
      <w:suff w:val="nothing"/>
      <w:lvlText w:val="（%1）"/>
      <w:lvlJc w:val="left"/>
      <w:rPr>
        <w:rFonts w:hint="eastAsia"/>
      </w:rPr>
    </w:lvl>
  </w:abstractNum>
  <w:abstractNum w:abstractNumId="2">
    <w:nsid w:val="FC95EBCD"/>
    <w:multiLevelType w:val="singleLevel"/>
    <w:tmpl w:val="FC95EBCD"/>
    <w:lvl w:ilvl="0" w:tentative="0">
      <w:start w:val="1"/>
      <w:numFmt w:val="decimal"/>
      <w:suff w:val="nothing"/>
      <w:lvlText w:val="（%1）"/>
      <w:lvlJc w:val="left"/>
    </w:lvl>
  </w:abstractNum>
  <w:abstractNum w:abstractNumId="3">
    <w:nsid w:val="FD536D3D"/>
    <w:multiLevelType w:val="singleLevel"/>
    <w:tmpl w:val="FD536D3D"/>
    <w:lvl w:ilvl="0" w:tentative="0">
      <w:start w:val="6"/>
      <w:numFmt w:val="decimal"/>
      <w:lvlText w:val="%1."/>
      <w:lvlJc w:val="left"/>
      <w:pPr>
        <w:tabs>
          <w:tab w:val="left" w:pos="312"/>
        </w:tabs>
      </w:pPr>
    </w:lvl>
  </w:abstractNum>
  <w:abstractNum w:abstractNumId="4">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6C9FBA"/>
    <w:multiLevelType w:val="singleLevel"/>
    <w:tmpl w:val="576C9FBA"/>
    <w:lvl w:ilvl="0" w:tentative="0">
      <w:start w:val="2"/>
      <w:numFmt w:val="decimal"/>
      <w:suff w:val="nothing"/>
      <w:lvlText w:val="%1、"/>
      <w:lvlJc w:val="left"/>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EFF2230"/>
    <w:multiLevelType w:val="singleLevel"/>
    <w:tmpl w:val="5EFF2230"/>
    <w:lvl w:ilvl="0" w:tentative="0">
      <w:start w:val="2"/>
      <w:numFmt w:val="decimal"/>
      <w:lvlText w:val="%1."/>
      <w:lvlJc w:val="left"/>
      <w:pPr>
        <w:tabs>
          <w:tab w:val="left" w:pos="312"/>
        </w:tabs>
      </w:p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10"/>
  </w:num>
  <w:num w:numId="6">
    <w:abstractNumId w:val="12"/>
  </w:num>
  <w:num w:numId="7">
    <w:abstractNumId w:val="9"/>
  </w:num>
  <w:num w:numId="8">
    <w:abstractNumId w:val="2"/>
  </w:num>
  <w:num w:numId="9">
    <w:abstractNumId w:val="3"/>
  </w:num>
  <w:num w:numId="10">
    <w:abstractNumId w:val="11"/>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jc0ZWU4NzVhZTExMDM2ZmQxNjM0OTUwYzg1N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77718"/>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13C"/>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B6728"/>
    <w:rsid w:val="014C70DD"/>
    <w:rsid w:val="029C1EB6"/>
    <w:rsid w:val="02A51A28"/>
    <w:rsid w:val="02DA0C0E"/>
    <w:rsid w:val="034321D6"/>
    <w:rsid w:val="03DD35E4"/>
    <w:rsid w:val="04FF037E"/>
    <w:rsid w:val="057523EE"/>
    <w:rsid w:val="05E06AAE"/>
    <w:rsid w:val="061816F7"/>
    <w:rsid w:val="06214D1D"/>
    <w:rsid w:val="065A6178"/>
    <w:rsid w:val="07531A99"/>
    <w:rsid w:val="075562B7"/>
    <w:rsid w:val="07B43916"/>
    <w:rsid w:val="07F6164B"/>
    <w:rsid w:val="086D018F"/>
    <w:rsid w:val="087A1B7A"/>
    <w:rsid w:val="08E826EA"/>
    <w:rsid w:val="096A4E8D"/>
    <w:rsid w:val="096B2097"/>
    <w:rsid w:val="0A252635"/>
    <w:rsid w:val="0A5B7E63"/>
    <w:rsid w:val="0A896E9D"/>
    <w:rsid w:val="0AD15ED8"/>
    <w:rsid w:val="0B2A3393"/>
    <w:rsid w:val="0B39647D"/>
    <w:rsid w:val="0B420FC5"/>
    <w:rsid w:val="0B5E31B8"/>
    <w:rsid w:val="0C803B53"/>
    <w:rsid w:val="0C87121B"/>
    <w:rsid w:val="0CDE05EF"/>
    <w:rsid w:val="0DF702FE"/>
    <w:rsid w:val="0E3F698B"/>
    <w:rsid w:val="0E576B35"/>
    <w:rsid w:val="0EA33B28"/>
    <w:rsid w:val="0EBC236B"/>
    <w:rsid w:val="0EBC6E34"/>
    <w:rsid w:val="0F21508F"/>
    <w:rsid w:val="0F4A5C7C"/>
    <w:rsid w:val="0F816ACD"/>
    <w:rsid w:val="0FB94501"/>
    <w:rsid w:val="104A0A4B"/>
    <w:rsid w:val="10B047CF"/>
    <w:rsid w:val="10FC16EA"/>
    <w:rsid w:val="110C1E59"/>
    <w:rsid w:val="1183694F"/>
    <w:rsid w:val="118963A1"/>
    <w:rsid w:val="127723A9"/>
    <w:rsid w:val="13072A44"/>
    <w:rsid w:val="1324792E"/>
    <w:rsid w:val="13FC4700"/>
    <w:rsid w:val="140B0015"/>
    <w:rsid w:val="140D5C74"/>
    <w:rsid w:val="145044FA"/>
    <w:rsid w:val="149F2FE4"/>
    <w:rsid w:val="14EF3BF5"/>
    <w:rsid w:val="152143DD"/>
    <w:rsid w:val="15A227EC"/>
    <w:rsid w:val="165B59B4"/>
    <w:rsid w:val="169528F0"/>
    <w:rsid w:val="17386B10"/>
    <w:rsid w:val="175956CC"/>
    <w:rsid w:val="186742B0"/>
    <w:rsid w:val="196A016E"/>
    <w:rsid w:val="19785BA3"/>
    <w:rsid w:val="1B2830AF"/>
    <w:rsid w:val="1B2A271F"/>
    <w:rsid w:val="1B570174"/>
    <w:rsid w:val="1B742AD4"/>
    <w:rsid w:val="1B890139"/>
    <w:rsid w:val="1BD17F27"/>
    <w:rsid w:val="1BD72C73"/>
    <w:rsid w:val="1C4F709D"/>
    <w:rsid w:val="1C8A279F"/>
    <w:rsid w:val="1C8E6B3D"/>
    <w:rsid w:val="1D266CE1"/>
    <w:rsid w:val="1D3963AF"/>
    <w:rsid w:val="1D7713FF"/>
    <w:rsid w:val="1DDB4B14"/>
    <w:rsid w:val="1E714A66"/>
    <w:rsid w:val="1E766568"/>
    <w:rsid w:val="1F7D3F22"/>
    <w:rsid w:val="1FE868A9"/>
    <w:rsid w:val="20E96EDC"/>
    <w:rsid w:val="2107679C"/>
    <w:rsid w:val="211E26D6"/>
    <w:rsid w:val="21283D08"/>
    <w:rsid w:val="212E1977"/>
    <w:rsid w:val="21C94302"/>
    <w:rsid w:val="222B253C"/>
    <w:rsid w:val="2331574F"/>
    <w:rsid w:val="234647A0"/>
    <w:rsid w:val="244A7DE5"/>
    <w:rsid w:val="24831FDA"/>
    <w:rsid w:val="248F0CA5"/>
    <w:rsid w:val="2500240E"/>
    <w:rsid w:val="25B440B3"/>
    <w:rsid w:val="25C40AFC"/>
    <w:rsid w:val="25F3318F"/>
    <w:rsid w:val="278E13C2"/>
    <w:rsid w:val="28B222AE"/>
    <w:rsid w:val="295334CD"/>
    <w:rsid w:val="29752839"/>
    <w:rsid w:val="29E05594"/>
    <w:rsid w:val="2A12139B"/>
    <w:rsid w:val="2A39701D"/>
    <w:rsid w:val="2A4F3451"/>
    <w:rsid w:val="2A8F6FDA"/>
    <w:rsid w:val="2AA1365A"/>
    <w:rsid w:val="2AA837C2"/>
    <w:rsid w:val="2AAB4774"/>
    <w:rsid w:val="2AFE4C0F"/>
    <w:rsid w:val="2B8C029D"/>
    <w:rsid w:val="2BA267D3"/>
    <w:rsid w:val="2BA57D3C"/>
    <w:rsid w:val="2C934D84"/>
    <w:rsid w:val="2CB1791C"/>
    <w:rsid w:val="2D014E65"/>
    <w:rsid w:val="2D3C2A38"/>
    <w:rsid w:val="2DD15014"/>
    <w:rsid w:val="2DDD275B"/>
    <w:rsid w:val="2EC22ECE"/>
    <w:rsid w:val="2EFA0894"/>
    <w:rsid w:val="2F5C0536"/>
    <w:rsid w:val="2FD25781"/>
    <w:rsid w:val="30A77050"/>
    <w:rsid w:val="314964D6"/>
    <w:rsid w:val="319C6071"/>
    <w:rsid w:val="3240150B"/>
    <w:rsid w:val="32C062B9"/>
    <w:rsid w:val="32D401C8"/>
    <w:rsid w:val="32DB72BE"/>
    <w:rsid w:val="34164C19"/>
    <w:rsid w:val="342E63AB"/>
    <w:rsid w:val="345A60C4"/>
    <w:rsid w:val="345D260B"/>
    <w:rsid w:val="34AF4725"/>
    <w:rsid w:val="34E73EBF"/>
    <w:rsid w:val="35A266DF"/>
    <w:rsid w:val="35E13608"/>
    <w:rsid w:val="362178A5"/>
    <w:rsid w:val="365302AE"/>
    <w:rsid w:val="36D6243D"/>
    <w:rsid w:val="37BD7E71"/>
    <w:rsid w:val="37D7646D"/>
    <w:rsid w:val="37EB30BD"/>
    <w:rsid w:val="37F142D2"/>
    <w:rsid w:val="38027B2C"/>
    <w:rsid w:val="384E36BB"/>
    <w:rsid w:val="38E20E0E"/>
    <w:rsid w:val="38EC5F48"/>
    <w:rsid w:val="391626C5"/>
    <w:rsid w:val="39616936"/>
    <w:rsid w:val="39A13F14"/>
    <w:rsid w:val="39FE23D7"/>
    <w:rsid w:val="3B257F82"/>
    <w:rsid w:val="3B4D5E09"/>
    <w:rsid w:val="3C1220B2"/>
    <w:rsid w:val="3C371BD0"/>
    <w:rsid w:val="3C5F759A"/>
    <w:rsid w:val="3CD15B81"/>
    <w:rsid w:val="3CF555AF"/>
    <w:rsid w:val="3D04283E"/>
    <w:rsid w:val="3D5C78D4"/>
    <w:rsid w:val="3EC84D62"/>
    <w:rsid w:val="3FFF72A6"/>
    <w:rsid w:val="401F6C03"/>
    <w:rsid w:val="40B03CFF"/>
    <w:rsid w:val="41702E62"/>
    <w:rsid w:val="4172072B"/>
    <w:rsid w:val="42E1381E"/>
    <w:rsid w:val="43857659"/>
    <w:rsid w:val="43AD1976"/>
    <w:rsid w:val="43FB717C"/>
    <w:rsid w:val="44B244EA"/>
    <w:rsid w:val="44EB68E3"/>
    <w:rsid w:val="451E447A"/>
    <w:rsid w:val="45345B76"/>
    <w:rsid w:val="456747A2"/>
    <w:rsid w:val="462C3E28"/>
    <w:rsid w:val="46773B8D"/>
    <w:rsid w:val="46FF2BC0"/>
    <w:rsid w:val="47307808"/>
    <w:rsid w:val="47B40657"/>
    <w:rsid w:val="48056FB6"/>
    <w:rsid w:val="485B5A04"/>
    <w:rsid w:val="486F747C"/>
    <w:rsid w:val="48926A6A"/>
    <w:rsid w:val="48A95C04"/>
    <w:rsid w:val="48E00EFA"/>
    <w:rsid w:val="494E0559"/>
    <w:rsid w:val="49951AC7"/>
    <w:rsid w:val="4A021147"/>
    <w:rsid w:val="4B007631"/>
    <w:rsid w:val="4C413881"/>
    <w:rsid w:val="4C4F6AC2"/>
    <w:rsid w:val="4C7042D7"/>
    <w:rsid w:val="4C8A18A8"/>
    <w:rsid w:val="4CA54934"/>
    <w:rsid w:val="4D861CF6"/>
    <w:rsid w:val="4DA644C0"/>
    <w:rsid w:val="4E5C54C6"/>
    <w:rsid w:val="4FA47125"/>
    <w:rsid w:val="501527AD"/>
    <w:rsid w:val="504C1986"/>
    <w:rsid w:val="51A0432A"/>
    <w:rsid w:val="527140E5"/>
    <w:rsid w:val="5292508F"/>
    <w:rsid w:val="52A96B6F"/>
    <w:rsid w:val="52C264CE"/>
    <w:rsid w:val="52F83A10"/>
    <w:rsid w:val="54807967"/>
    <w:rsid w:val="54CD4A28"/>
    <w:rsid w:val="550764A4"/>
    <w:rsid w:val="551926E0"/>
    <w:rsid w:val="55C23E61"/>
    <w:rsid w:val="561279B9"/>
    <w:rsid w:val="563A463E"/>
    <w:rsid w:val="56515F3B"/>
    <w:rsid w:val="565977BE"/>
    <w:rsid w:val="56B527FF"/>
    <w:rsid w:val="572B71CA"/>
    <w:rsid w:val="57CA524F"/>
    <w:rsid w:val="5849726D"/>
    <w:rsid w:val="58951D01"/>
    <w:rsid w:val="58AE4F0C"/>
    <w:rsid w:val="58C561C6"/>
    <w:rsid w:val="58CF6ABA"/>
    <w:rsid w:val="59A3044D"/>
    <w:rsid w:val="59AD7FA2"/>
    <w:rsid w:val="59D7103B"/>
    <w:rsid w:val="5A2A7C7B"/>
    <w:rsid w:val="5A9801EF"/>
    <w:rsid w:val="5A9F2AE4"/>
    <w:rsid w:val="5AC35660"/>
    <w:rsid w:val="5B4D241F"/>
    <w:rsid w:val="5BDD7C46"/>
    <w:rsid w:val="5BE2700B"/>
    <w:rsid w:val="5C361105"/>
    <w:rsid w:val="5C80234E"/>
    <w:rsid w:val="5D323938"/>
    <w:rsid w:val="5D631959"/>
    <w:rsid w:val="5E1A4FFD"/>
    <w:rsid w:val="5E261785"/>
    <w:rsid w:val="5E91296F"/>
    <w:rsid w:val="5EB629D1"/>
    <w:rsid w:val="5EB6477F"/>
    <w:rsid w:val="5F66297C"/>
    <w:rsid w:val="5FCC5339"/>
    <w:rsid w:val="5FE70807"/>
    <w:rsid w:val="603460E8"/>
    <w:rsid w:val="60E53485"/>
    <w:rsid w:val="61054A27"/>
    <w:rsid w:val="611D2366"/>
    <w:rsid w:val="61202113"/>
    <w:rsid w:val="627666FF"/>
    <w:rsid w:val="62885958"/>
    <w:rsid w:val="62B95B6A"/>
    <w:rsid w:val="642275A2"/>
    <w:rsid w:val="64581BAD"/>
    <w:rsid w:val="64C30063"/>
    <w:rsid w:val="64CE2EAA"/>
    <w:rsid w:val="654A5C21"/>
    <w:rsid w:val="65987E96"/>
    <w:rsid w:val="659E5996"/>
    <w:rsid w:val="65B85280"/>
    <w:rsid w:val="662E75B1"/>
    <w:rsid w:val="66342C2E"/>
    <w:rsid w:val="6639016F"/>
    <w:rsid w:val="663E784C"/>
    <w:rsid w:val="66EB728A"/>
    <w:rsid w:val="67C3028D"/>
    <w:rsid w:val="685867EC"/>
    <w:rsid w:val="68E91374"/>
    <w:rsid w:val="692D388F"/>
    <w:rsid w:val="69D837FB"/>
    <w:rsid w:val="69DF48FD"/>
    <w:rsid w:val="69F06F0B"/>
    <w:rsid w:val="6A3D709E"/>
    <w:rsid w:val="6AC634A7"/>
    <w:rsid w:val="6ADA7E79"/>
    <w:rsid w:val="6B9B01DE"/>
    <w:rsid w:val="6BB875B1"/>
    <w:rsid w:val="6BDA4D67"/>
    <w:rsid w:val="6DC46415"/>
    <w:rsid w:val="6DE151AE"/>
    <w:rsid w:val="6E0C43BB"/>
    <w:rsid w:val="6E8E12EF"/>
    <w:rsid w:val="6F550AE7"/>
    <w:rsid w:val="6FA31026"/>
    <w:rsid w:val="702A2F9C"/>
    <w:rsid w:val="708C3CA2"/>
    <w:rsid w:val="717B4801"/>
    <w:rsid w:val="71950224"/>
    <w:rsid w:val="71CC4D10"/>
    <w:rsid w:val="71D43752"/>
    <w:rsid w:val="720F7FD6"/>
    <w:rsid w:val="729B22F4"/>
    <w:rsid w:val="72C55778"/>
    <w:rsid w:val="73171838"/>
    <w:rsid w:val="734F3E89"/>
    <w:rsid w:val="735A7977"/>
    <w:rsid w:val="735E1128"/>
    <w:rsid w:val="736221AD"/>
    <w:rsid w:val="73DD6243"/>
    <w:rsid w:val="73F00353"/>
    <w:rsid w:val="74262565"/>
    <w:rsid w:val="74312B10"/>
    <w:rsid w:val="74930D71"/>
    <w:rsid w:val="749C4185"/>
    <w:rsid w:val="74B35591"/>
    <w:rsid w:val="759873CC"/>
    <w:rsid w:val="75DA2C18"/>
    <w:rsid w:val="75FB611F"/>
    <w:rsid w:val="761A519B"/>
    <w:rsid w:val="761E2EDE"/>
    <w:rsid w:val="766B233D"/>
    <w:rsid w:val="76A258BD"/>
    <w:rsid w:val="76FD5631"/>
    <w:rsid w:val="775319EF"/>
    <w:rsid w:val="77D53A70"/>
    <w:rsid w:val="780B56E4"/>
    <w:rsid w:val="786B1CDE"/>
    <w:rsid w:val="790F1C77"/>
    <w:rsid w:val="798E1AF5"/>
    <w:rsid w:val="79953E26"/>
    <w:rsid w:val="79A060E3"/>
    <w:rsid w:val="79B25E17"/>
    <w:rsid w:val="79DF6DA1"/>
    <w:rsid w:val="7A664E28"/>
    <w:rsid w:val="7A67303B"/>
    <w:rsid w:val="7A801345"/>
    <w:rsid w:val="7A9E78D8"/>
    <w:rsid w:val="7AAB1D04"/>
    <w:rsid w:val="7ABA4368"/>
    <w:rsid w:val="7B257FFD"/>
    <w:rsid w:val="7B3C694F"/>
    <w:rsid w:val="7B8C7B5C"/>
    <w:rsid w:val="7C2B1DA5"/>
    <w:rsid w:val="7CA65570"/>
    <w:rsid w:val="7D016009"/>
    <w:rsid w:val="7D180CC8"/>
    <w:rsid w:val="7DDF2F52"/>
    <w:rsid w:val="7DF4317E"/>
    <w:rsid w:val="7E0C63D5"/>
    <w:rsid w:val="7E454518"/>
    <w:rsid w:val="7E620B28"/>
    <w:rsid w:val="7E64308B"/>
    <w:rsid w:val="7EEE529E"/>
    <w:rsid w:val="7F2C0419"/>
    <w:rsid w:val="7F2D7288"/>
    <w:rsid w:val="7F871AF4"/>
    <w:rsid w:val="7FE10FC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2">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3"/>
    <w:qFormat/>
    <w:uiPriority w:val="0"/>
    <w:pPr>
      <w:autoSpaceDE w:val="0"/>
      <w:autoSpaceDN w:val="0"/>
      <w:spacing w:line="360" w:lineRule="auto"/>
    </w:pPr>
    <w:rPr>
      <w:rFonts w:ascii="宋体"/>
      <w:sz w:val="24"/>
      <w:szCs w:val="21"/>
      <w:lang w:val="zh-CN"/>
    </w:rPr>
  </w:style>
  <w:style w:type="paragraph" w:styleId="3">
    <w:name w:val="Body Text First Indent"/>
    <w:basedOn w:val="2"/>
    <w:next w:val="4"/>
    <w:link w:val="546"/>
    <w:qFormat/>
    <w:uiPriority w:val="0"/>
    <w:pPr>
      <w:ind w:firstLine="420"/>
    </w:pPr>
    <w:rPr>
      <w:szCs w:val="20"/>
    </w:rPr>
  </w:style>
  <w:style w:type="paragraph" w:styleId="4">
    <w:name w:val="toc 6"/>
    <w:basedOn w:val="1"/>
    <w:next w:val="1"/>
    <w:qFormat/>
    <w:uiPriority w:val="0"/>
    <w:pPr>
      <w:ind w:left="2100" w:leftChars="1000"/>
    </w:pPr>
  </w:style>
  <w:style w:type="paragraph" w:styleId="8">
    <w:name w:val="Normal Indent"/>
    <w:basedOn w:val="1"/>
    <w:link w:val="614"/>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5"/>
    <w:qFormat/>
    <w:uiPriority w:val="99"/>
    <w:pPr>
      <w:jc w:val="left"/>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Body Text Indent"/>
    <w:basedOn w:val="1"/>
    <w:link w:val="47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8"/>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2"/>
    <w:basedOn w:val="25"/>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_Style 7"/>
    <w:basedOn w:val="1"/>
    <w:qFormat/>
    <w:uiPriority w:val="0"/>
    <w:pPr>
      <w:ind w:firstLine="420" w:firstLineChars="200"/>
    </w:pPr>
  </w:style>
  <w:style w:type="paragraph" w:customStyle="1" w:styleId="72">
    <w:name w:val="Default"/>
    <w:next w:val="1"/>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72"/>
    <w:next w:val="72"/>
    <w:qFormat/>
    <w:uiPriority w:val="0"/>
    <w:pPr>
      <w:spacing w:after="68"/>
    </w:pPr>
    <w:rPr>
      <w:rFonts w:ascii="FHLHE E+ Futura Bk" w:eastAsia="FHLHE E+ Futura Bk" w:cs="Times New Roman"/>
      <w:color w:val="auto"/>
    </w:rPr>
  </w:style>
  <w:style w:type="paragraph" w:customStyle="1" w:styleId="101">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0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9"/>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9"/>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9"/>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11"/>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2"/>
    <w:next w:val="7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7"/>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9"/>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7"/>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9"/>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10"/>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10"/>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5"/>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5"/>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字符"/>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字符"/>
    <w:link w:val="13"/>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字符"/>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5"/>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字符"/>
    <w:link w:val="12"/>
    <w:qFormat/>
    <w:uiPriority w:val="0"/>
    <w:rPr>
      <w:b/>
      <w:bCs/>
      <w:kern w:val="2"/>
      <w:sz w:val="24"/>
      <w:szCs w:val="24"/>
    </w:rPr>
  </w:style>
  <w:style w:type="character" w:customStyle="1" w:styleId="483">
    <w:name w:val="称呼 字符"/>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字符"/>
    <w:link w:val="46"/>
    <w:qFormat/>
    <w:uiPriority w:val="0"/>
    <w:rPr>
      <w:rFonts w:ascii="Arial" w:hAnsi="Arial" w:eastAsia="隶书"/>
      <w:b/>
      <w:bCs/>
      <w:kern w:val="28"/>
      <w:sz w:val="44"/>
      <w:szCs w:val="32"/>
      <w:lang w:val="en-US" w:eastAsia="zh-CN" w:bidi="ar-SA"/>
    </w:rPr>
  </w:style>
  <w:style w:type="character" w:customStyle="1" w:styleId="490">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文本首行缩进 2 字符"/>
    <w:link w:val="59"/>
    <w:qFormat/>
    <w:uiPriority w:val="0"/>
    <w:rPr>
      <w:rFonts w:ascii="宋体" w:hAnsi="宋体"/>
      <w:kern w:val="2"/>
      <w:sz w:val="21"/>
      <w:szCs w:val="24"/>
    </w:rPr>
  </w:style>
  <w:style w:type="character" w:customStyle="1" w:styleId="504">
    <w:name w:val="正文文本缩进 2 字符"/>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字符"/>
    <w:link w:val="14"/>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字符"/>
    <w:link w:val="55"/>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3"/>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字符"/>
    <w:link w:val="5"/>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字符"/>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字符"/>
    <w:link w:val="10"/>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字符"/>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字符"/>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字符"/>
    <w:link w:val="36"/>
    <w:qFormat/>
    <w:uiPriority w:val="0"/>
    <w:rPr>
      <w:rFonts w:ascii="宋体"/>
      <w:kern w:val="2"/>
      <w:sz w:val="24"/>
      <w:szCs w:val="21"/>
      <w:lang w:val="zh-CN"/>
    </w:rPr>
  </w:style>
  <w:style w:type="character" w:customStyle="1" w:styleId="600">
    <w:name w:val="标题 4 字符"/>
    <w:link w:val="9"/>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字符"/>
    <w:link w:val="11"/>
    <w:qFormat/>
    <w:uiPriority w:val="0"/>
    <w:rPr>
      <w:rFonts w:ascii="Arial" w:hAnsi="Arial" w:eastAsia="黑体"/>
      <w:b/>
      <w:bCs/>
      <w:kern w:val="2"/>
      <w:sz w:val="24"/>
      <w:szCs w:val="24"/>
    </w:rPr>
  </w:style>
  <w:style w:type="character" w:customStyle="1" w:styleId="614">
    <w:name w:val="正文缩进 字符"/>
    <w:link w:val="8"/>
    <w:qFormat/>
    <w:uiPriority w:val="0"/>
    <w:rPr>
      <w:rFonts w:ascii="宋体" w:eastAsia="宋体"/>
      <w:snapToGrid w:val="0"/>
      <w:color w:val="000000"/>
      <w:kern w:val="28"/>
      <w:sz w:val="28"/>
      <w:lang w:val="en-US" w:eastAsia="zh-CN" w:bidi="ar-SA"/>
    </w:rPr>
  </w:style>
  <w:style w:type="character" w:customStyle="1" w:styleId="615">
    <w:name w:val="批注文字 字符"/>
    <w:link w:val="22"/>
    <w:qFormat/>
    <w:uiPriority w:val="99"/>
    <w:rPr>
      <w:kern w:val="2"/>
      <w:sz w:val="21"/>
      <w:szCs w:val="24"/>
    </w:rPr>
  </w:style>
  <w:style w:type="character" w:customStyle="1" w:styleId="616">
    <w:name w:val="批注框文本 字符"/>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2"/>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qFormat/>
    <w:uiPriority w:val="0"/>
    <w:rPr>
      <w:rFonts w:ascii="Times New Roman" w:hAnsi="Times New Roman" w:eastAsia="宋体" w:cs="Times New Roman"/>
      <w:lang w:val="en-US" w:eastAsia="zh-CN" w:bidi="ar-SA"/>
    </w:rPr>
  </w:style>
  <w:style w:type="paragraph" w:customStyle="1" w:styleId="634">
    <w:name w:val="_Style 3"/>
    <w:basedOn w:val="1"/>
    <w:qFormat/>
    <w:uiPriority w:val="0"/>
    <w:pPr>
      <w:adjustRightInd/>
      <w:ind w:firstLine="420" w:firstLineChars="200"/>
    </w:pPr>
    <w:rPr>
      <w:rFonts w:eastAsia="仿宋_GB2312"/>
      <w:sz w:val="28"/>
    </w:rPr>
  </w:style>
  <w:style w:type="paragraph" w:customStyle="1" w:styleId="6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qFormat/>
    <w:uiPriority w:val="0"/>
    <w:pPr>
      <w:spacing w:line="500" w:lineRule="exact"/>
    </w:pPr>
    <w:rPr>
      <w:rFonts w:ascii="宋体"/>
      <w:b/>
      <w:sz w:val="24"/>
      <w:szCs w:val="20"/>
    </w:rPr>
  </w:style>
  <w:style w:type="paragraph" w:customStyle="1" w:styleId="63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47350</Words>
  <Characters>50291</Characters>
  <Lines>391</Lines>
  <Paragraphs>110</Paragraphs>
  <TotalTime>5</TotalTime>
  <ScaleCrop>false</ScaleCrop>
  <LinksUpToDate>false</LinksUpToDate>
  <CharactersWithSpaces>54440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CC</cp:lastModifiedBy>
  <cp:lastPrinted>2024-06-13T07:39:00Z</cp:lastPrinted>
  <dcterms:modified xsi:type="dcterms:W3CDTF">2024-06-19T01:06:19Z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3F74898CC332495B8055453A66F2DD70_13</vt:lpwstr>
  </property>
</Properties>
</file>