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1894">
      <w:pPr>
        <w:adjustRightInd/>
        <w:spacing w:line="360" w:lineRule="auto"/>
        <w:jc w:val="both"/>
        <w:rPr>
          <w:rFonts w:hint="eastAsia" w:ascii="宋体" w:hAnsi="宋体" w:cs="宋体"/>
          <w:color w:val="auto"/>
          <w:sz w:val="48"/>
          <w:szCs w:val="48"/>
          <w:highlight w:val="none"/>
          <w:lang w:eastAsia="zh-CN"/>
        </w:rPr>
      </w:pPr>
    </w:p>
    <w:p w14:paraId="66F99B35">
      <w:pPr>
        <w:adjustRightInd/>
        <w:spacing w:line="360" w:lineRule="auto"/>
        <w:jc w:val="center"/>
        <w:rPr>
          <w:rFonts w:hint="eastAsia" w:ascii="宋体" w:hAnsi="宋体" w:cs="宋体"/>
          <w:color w:val="auto"/>
          <w:sz w:val="48"/>
          <w:szCs w:val="48"/>
          <w:highlight w:val="none"/>
          <w:lang w:eastAsia="zh-CN"/>
        </w:rPr>
      </w:pPr>
    </w:p>
    <w:p w14:paraId="65E9766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宁海县岔路镇中心卫生院食堂等综合服务外包项目(2025年-2027年)</w:t>
      </w:r>
    </w:p>
    <w:p w14:paraId="3F748CFB">
      <w:pPr>
        <w:adjustRightInd/>
        <w:spacing w:line="360" w:lineRule="auto"/>
        <w:jc w:val="center"/>
        <w:rPr>
          <w:rFonts w:hint="eastAsia" w:ascii="宋体" w:hAnsi="宋体" w:cs="宋体"/>
          <w:color w:val="auto"/>
          <w:sz w:val="48"/>
          <w:szCs w:val="48"/>
          <w:highlight w:val="none"/>
        </w:rPr>
      </w:pPr>
    </w:p>
    <w:p w14:paraId="46F737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ACEFE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9A12B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NH-TS2024-128-1</w:t>
      </w:r>
    </w:p>
    <w:p w14:paraId="3D434F3B">
      <w:pPr>
        <w:adjustRightInd/>
        <w:spacing w:line="360" w:lineRule="auto"/>
        <w:rPr>
          <w:rFonts w:ascii="宋体" w:hAnsi="宋体" w:cs="宋体"/>
          <w:color w:val="auto"/>
          <w:sz w:val="28"/>
          <w:szCs w:val="20"/>
          <w:highlight w:val="none"/>
        </w:rPr>
      </w:pPr>
    </w:p>
    <w:p w14:paraId="19EEC534">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22B88FB">
      <w:pPr>
        <w:spacing w:line="360" w:lineRule="auto"/>
        <w:jc w:val="center"/>
        <w:rPr>
          <w:rFonts w:hint="eastAsia" w:ascii="宋体" w:hAnsi="宋体" w:cs="宋体"/>
          <w:b/>
          <w:color w:val="auto"/>
          <w:sz w:val="44"/>
          <w:szCs w:val="44"/>
          <w:highlight w:val="none"/>
        </w:rPr>
      </w:pPr>
    </w:p>
    <w:p w14:paraId="3A1F5EF3">
      <w:pPr>
        <w:spacing w:line="360" w:lineRule="auto"/>
        <w:jc w:val="both"/>
        <w:rPr>
          <w:rFonts w:ascii="宋体" w:hAnsi="宋体" w:cs="宋体"/>
          <w:color w:val="auto"/>
          <w:sz w:val="24"/>
          <w:highlight w:val="none"/>
        </w:rPr>
      </w:pPr>
    </w:p>
    <w:p w14:paraId="483F6439">
      <w:pPr>
        <w:spacing w:line="360" w:lineRule="auto"/>
        <w:jc w:val="center"/>
        <w:rPr>
          <w:rFonts w:ascii="宋体" w:hAnsi="宋体" w:cs="宋体"/>
          <w:color w:val="auto"/>
          <w:sz w:val="24"/>
          <w:highlight w:val="none"/>
        </w:rPr>
      </w:pPr>
    </w:p>
    <w:p w14:paraId="3EBD4D6B">
      <w:pPr>
        <w:spacing w:line="360" w:lineRule="auto"/>
        <w:rPr>
          <w:rFonts w:ascii="宋体" w:hAnsi="宋体" w:cs="宋体"/>
          <w:color w:val="auto"/>
          <w:sz w:val="32"/>
          <w:szCs w:val="32"/>
          <w:highlight w:val="none"/>
        </w:rPr>
      </w:pPr>
    </w:p>
    <w:p w14:paraId="3535B1FA">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宁海县岔路镇中心卫生院</w:t>
      </w:r>
    </w:p>
    <w:p w14:paraId="6633F5FB">
      <w:pPr>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宁海童氏工程管理咨询有限公司</w:t>
      </w:r>
    </w:p>
    <w:p w14:paraId="2D6904E7">
      <w:pPr>
        <w:spacing w:line="360" w:lineRule="auto"/>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二〇二四年</w:t>
      </w:r>
      <w:r>
        <w:rPr>
          <w:rFonts w:hint="eastAsia" w:ascii="宋体" w:hAnsi="宋体" w:cs="宋体"/>
          <w:bCs/>
          <w:color w:val="auto"/>
          <w:sz w:val="36"/>
          <w:szCs w:val="36"/>
          <w:highlight w:val="none"/>
          <w:lang w:val="en-US" w:eastAsia="zh-CN"/>
        </w:rPr>
        <w:t>十二</w:t>
      </w:r>
      <w:r>
        <w:rPr>
          <w:rFonts w:hint="eastAsia" w:ascii="宋体" w:hAnsi="宋体" w:cs="宋体"/>
          <w:bCs/>
          <w:color w:val="auto"/>
          <w:sz w:val="36"/>
          <w:szCs w:val="36"/>
          <w:highlight w:val="none"/>
          <w:lang w:eastAsia="zh-CN"/>
        </w:rPr>
        <w:t>月</w:t>
      </w:r>
    </w:p>
    <w:p w14:paraId="0834E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077FB5">
      <w:pPr>
        <w:pStyle w:val="20"/>
        <w:rPr>
          <w:color w:val="auto"/>
          <w:highlight w:val="none"/>
        </w:rPr>
      </w:pPr>
    </w:p>
    <w:p w14:paraId="2F860D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FBE385">
      <w:pPr>
        <w:spacing w:line="360" w:lineRule="auto"/>
        <w:rPr>
          <w:rFonts w:ascii="宋体" w:hAnsi="宋体" w:cs="宋体"/>
          <w:color w:val="auto"/>
          <w:sz w:val="32"/>
          <w:szCs w:val="32"/>
          <w:highlight w:val="none"/>
        </w:rPr>
      </w:pPr>
    </w:p>
    <w:p w14:paraId="19CF6595">
      <w:pPr>
        <w:spacing w:line="360" w:lineRule="auto"/>
        <w:rPr>
          <w:rFonts w:ascii="宋体" w:hAnsi="宋体" w:cs="宋体"/>
          <w:color w:val="auto"/>
          <w:sz w:val="32"/>
          <w:szCs w:val="32"/>
          <w:highlight w:val="none"/>
        </w:rPr>
      </w:pPr>
    </w:p>
    <w:p w14:paraId="3CFF5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0137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8B7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4951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2C8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29F8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CD7A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80384D">
      <w:pPr>
        <w:spacing w:line="360" w:lineRule="auto"/>
        <w:ind w:firstLine="549" w:firstLineChars="229"/>
        <w:rPr>
          <w:rFonts w:ascii="宋体" w:hAnsi="宋体" w:cs="宋体"/>
          <w:color w:val="auto"/>
          <w:sz w:val="24"/>
          <w:highlight w:val="none"/>
        </w:rPr>
      </w:pPr>
    </w:p>
    <w:p w14:paraId="311DE33A">
      <w:pPr>
        <w:spacing w:line="360" w:lineRule="auto"/>
        <w:ind w:firstLine="549" w:firstLineChars="229"/>
        <w:rPr>
          <w:rFonts w:ascii="宋体" w:hAnsi="宋体" w:cs="宋体"/>
          <w:color w:val="auto"/>
          <w:sz w:val="24"/>
          <w:highlight w:val="none"/>
        </w:rPr>
      </w:pPr>
    </w:p>
    <w:p w14:paraId="27026BD3">
      <w:pPr>
        <w:spacing w:line="360" w:lineRule="auto"/>
        <w:ind w:firstLine="549" w:firstLineChars="229"/>
        <w:rPr>
          <w:rFonts w:ascii="宋体" w:hAnsi="宋体" w:cs="宋体"/>
          <w:color w:val="auto"/>
          <w:sz w:val="24"/>
          <w:highlight w:val="none"/>
        </w:rPr>
      </w:pPr>
    </w:p>
    <w:p w14:paraId="0E257568">
      <w:pPr>
        <w:spacing w:line="360" w:lineRule="auto"/>
        <w:ind w:firstLine="549" w:firstLineChars="229"/>
        <w:rPr>
          <w:rFonts w:ascii="宋体" w:hAnsi="宋体" w:cs="宋体"/>
          <w:color w:val="auto"/>
          <w:sz w:val="24"/>
          <w:highlight w:val="none"/>
        </w:rPr>
      </w:pPr>
    </w:p>
    <w:p w14:paraId="31D4658E">
      <w:pPr>
        <w:spacing w:line="360" w:lineRule="auto"/>
        <w:ind w:firstLine="549" w:firstLineChars="229"/>
        <w:rPr>
          <w:rFonts w:ascii="宋体" w:hAnsi="宋体" w:cs="宋体"/>
          <w:color w:val="auto"/>
          <w:sz w:val="24"/>
          <w:highlight w:val="none"/>
        </w:rPr>
      </w:pPr>
    </w:p>
    <w:p w14:paraId="4458DEA7">
      <w:pPr>
        <w:spacing w:line="360" w:lineRule="auto"/>
        <w:ind w:firstLine="549" w:firstLineChars="229"/>
        <w:rPr>
          <w:rFonts w:ascii="宋体" w:hAnsi="宋体" w:cs="宋体"/>
          <w:color w:val="auto"/>
          <w:sz w:val="24"/>
          <w:highlight w:val="none"/>
        </w:rPr>
      </w:pPr>
    </w:p>
    <w:p w14:paraId="600D9FAC">
      <w:pPr>
        <w:spacing w:line="360" w:lineRule="auto"/>
        <w:ind w:firstLine="549" w:firstLineChars="229"/>
        <w:rPr>
          <w:rFonts w:ascii="宋体" w:hAnsi="宋体" w:cs="宋体"/>
          <w:color w:val="auto"/>
          <w:sz w:val="24"/>
          <w:highlight w:val="none"/>
        </w:rPr>
      </w:pPr>
    </w:p>
    <w:p w14:paraId="7A0C3012">
      <w:pPr>
        <w:spacing w:line="360" w:lineRule="auto"/>
        <w:ind w:firstLine="549" w:firstLineChars="229"/>
        <w:rPr>
          <w:rFonts w:ascii="宋体" w:hAnsi="宋体" w:cs="宋体"/>
          <w:color w:val="auto"/>
          <w:sz w:val="24"/>
          <w:highlight w:val="none"/>
        </w:rPr>
      </w:pPr>
    </w:p>
    <w:p w14:paraId="6E20DAB5">
      <w:pPr>
        <w:spacing w:line="360" w:lineRule="auto"/>
        <w:ind w:firstLine="549" w:firstLineChars="229"/>
        <w:rPr>
          <w:rFonts w:ascii="宋体" w:hAnsi="宋体" w:cs="宋体"/>
          <w:color w:val="auto"/>
          <w:sz w:val="24"/>
          <w:highlight w:val="none"/>
        </w:rPr>
      </w:pPr>
    </w:p>
    <w:p w14:paraId="240B9F72">
      <w:pPr>
        <w:spacing w:line="360" w:lineRule="auto"/>
        <w:ind w:firstLine="549" w:firstLineChars="229"/>
        <w:rPr>
          <w:rFonts w:ascii="宋体" w:hAnsi="宋体" w:cs="宋体"/>
          <w:color w:val="auto"/>
          <w:sz w:val="24"/>
          <w:highlight w:val="none"/>
        </w:rPr>
      </w:pPr>
    </w:p>
    <w:p w14:paraId="07F8602E">
      <w:pPr>
        <w:spacing w:line="360" w:lineRule="auto"/>
        <w:ind w:firstLine="549" w:firstLineChars="229"/>
        <w:rPr>
          <w:rFonts w:ascii="宋体" w:hAnsi="宋体" w:cs="宋体"/>
          <w:color w:val="auto"/>
          <w:sz w:val="24"/>
          <w:highlight w:val="none"/>
        </w:rPr>
      </w:pPr>
    </w:p>
    <w:p w14:paraId="29FEA62D">
      <w:pPr>
        <w:spacing w:line="360" w:lineRule="auto"/>
        <w:ind w:firstLine="549" w:firstLineChars="229"/>
        <w:rPr>
          <w:rFonts w:ascii="宋体" w:hAnsi="宋体" w:cs="宋体"/>
          <w:color w:val="auto"/>
          <w:sz w:val="24"/>
          <w:highlight w:val="none"/>
        </w:rPr>
      </w:pPr>
    </w:p>
    <w:p w14:paraId="2BB7365C">
      <w:pPr>
        <w:spacing w:line="360" w:lineRule="auto"/>
        <w:rPr>
          <w:rFonts w:ascii="宋体" w:hAnsi="宋体" w:cs="宋体"/>
          <w:color w:val="auto"/>
          <w:sz w:val="24"/>
          <w:highlight w:val="none"/>
        </w:rPr>
      </w:pPr>
    </w:p>
    <w:p w14:paraId="6BAA58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9A59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01246B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宁海县岔路镇中心卫生院食堂等综合服务外包项目  (2025年-2027年)</w:t>
      </w:r>
      <w:r>
        <w:rPr>
          <w:rFonts w:hint="eastAsia" w:ascii="宋体" w:hAnsi="宋体" w:cs="宋体"/>
          <w:color w:val="auto"/>
          <w:sz w:val="21"/>
          <w:szCs w:val="21"/>
          <w:highlight w:val="none"/>
        </w:rPr>
        <w:t>招标项目的潜在投标人应在政采云平台（</w:t>
      </w:r>
      <w:r>
        <w:rPr>
          <w:color w:val="auto"/>
          <w:szCs w:val="21"/>
          <w:highlight w:val="none"/>
        </w:rPr>
        <w:fldChar w:fldCharType="begin"/>
      </w:r>
      <w:r>
        <w:rPr>
          <w:color w:val="auto"/>
          <w:szCs w:val="21"/>
          <w:highlight w:val="none"/>
        </w:rPr>
        <w:instrText xml:space="preserve"> HYPERLINK "https://www.zcygov.cn/）获取（下载）招标文件，并于202%20年%20月%20日%20点%20分00秒" </w:instrText>
      </w:r>
      <w:r>
        <w:rPr>
          <w:color w:val="auto"/>
          <w:szCs w:val="21"/>
          <w:highlight w:val="none"/>
        </w:rPr>
        <w:fldChar w:fldCharType="separate"/>
      </w:r>
      <w:r>
        <w:rPr>
          <w:rStyle w:val="18"/>
          <w:rFonts w:hint="eastAsia" w:ascii="宋体" w:hAnsi="宋体" w:eastAsia="宋体" w:cs="宋体"/>
          <w:snapToGrid/>
          <w:color w:val="auto"/>
          <w:kern w:val="2"/>
          <w:sz w:val="21"/>
          <w:szCs w:val="21"/>
          <w:highlight w:val="none"/>
        </w:rPr>
        <w:t>https://www.zcygov.cn/）获取（下载）招标文件，并于</w:t>
      </w:r>
      <w:r>
        <w:rPr>
          <w:rStyle w:val="18"/>
          <w:rFonts w:hint="eastAsia" w:ascii="宋体" w:hAnsi="宋体" w:cs="宋体"/>
          <w:snapToGrid/>
          <w:color w:val="auto"/>
          <w:kern w:val="2"/>
          <w:sz w:val="21"/>
          <w:szCs w:val="21"/>
          <w:highlight w:val="none"/>
          <w:lang w:eastAsia="zh-CN"/>
        </w:rPr>
        <w:t>202</w:t>
      </w:r>
      <w:r>
        <w:rPr>
          <w:rStyle w:val="18"/>
          <w:rFonts w:hint="eastAsia" w:ascii="宋体" w:hAnsi="宋体" w:cs="宋体"/>
          <w:snapToGrid/>
          <w:color w:val="auto"/>
          <w:kern w:val="2"/>
          <w:sz w:val="21"/>
          <w:szCs w:val="21"/>
          <w:highlight w:val="none"/>
          <w:lang w:val="en-US" w:eastAsia="zh-CN"/>
        </w:rPr>
        <w:t>5</w:t>
      </w:r>
      <w:r>
        <w:rPr>
          <w:rStyle w:val="18"/>
          <w:rFonts w:hint="eastAsia" w:ascii="宋体" w:hAnsi="宋体" w:cs="宋体"/>
          <w:snapToGrid/>
          <w:color w:val="auto"/>
          <w:kern w:val="2"/>
          <w:sz w:val="21"/>
          <w:szCs w:val="21"/>
          <w:highlight w:val="none"/>
          <w:lang w:eastAsia="zh-CN"/>
        </w:rPr>
        <w:t>年</w:t>
      </w:r>
      <w:r>
        <w:rPr>
          <w:rStyle w:val="18"/>
          <w:rFonts w:hint="eastAsia" w:ascii="宋体" w:hAnsi="宋体" w:cs="宋体"/>
          <w:snapToGrid/>
          <w:color w:val="auto"/>
          <w:kern w:val="2"/>
          <w:sz w:val="21"/>
          <w:szCs w:val="21"/>
          <w:highlight w:val="none"/>
          <w:lang w:val="en-US" w:eastAsia="zh-CN"/>
        </w:rPr>
        <w:t>01</w:t>
      </w:r>
      <w:r>
        <w:rPr>
          <w:rStyle w:val="18"/>
          <w:rFonts w:hint="eastAsia" w:ascii="宋体" w:hAnsi="宋体" w:cs="宋体"/>
          <w:snapToGrid/>
          <w:color w:val="auto"/>
          <w:kern w:val="2"/>
          <w:sz w:val="21"/>
          <w:szCs w:val="21"/>
          <w:highlight w:val="none"/>
          <w:lang w:eastAsia="zh-CN"/>
        </w:rPr>
        <w:t>月</w:t>
      </w:r>
      <w:r>
        <w:rPr>
          <w:rStyle w:val="18"/>
          <w:rFonts w:hint="eastAsia" w:ascii="宋体" w:hAnsi="宋体" w:cs="宋体"/>
          <w:snapToGrid/>
          <w:color w:val="auto"/>
          <w:kern w:val="2"/>
          <w:sz w:val="21"/>
          <w:szCs w:val="21"/>
          <w:highlight w:val="none"/>
          <w:lang w:val="en-US" w:eastAsia="zh-CN"/>
        </w:rPr>
        <w:t>21</w:t>
      </w:r>
      <w:r>
        <w:rPr>
          <w:rStyle w:val="18"/>
          <w:rFonts w:hint="eastAsia" w:ascii="宋体" w:hAnsi="宋体" w:cs="宋体"/>
          <w:snapToGrid/>
          <w:color w:val="auto"/>
          <w:kern w:val="2"/>
          <w:sz w:val="21"/>
          <w:szCs w:val="21"/>
          <w:highlight w:val="none"/>
          <w:lang w:eastAsia="zh-CN"/>
        </w:rPr>
        <w:t>日</w:t>
      </w:r>
      <w:r>
        <w:rPr>
          <w:rStyle w:val="18"/>
          <w:rFonts w:hint="eastAsia" w:ascii="宋体" w:hAnsi="宋体" w:cs="宋体"/>
          <w:snapToGrid/>
          <w:color w:val="auto"/>
          <w:kern w:val="2"/>
          <w:sz w:val="21"/>
          <w:szCs w:val="21"/>
          <w:highlight w:val="none"/>
          <w:lang w:val="en-US" w:eastAsia="zh-CN"/>
        </w:rPr>
        <w:t>13</w:t>
      </w:r>
      <w:r>
        <w:rPr>
          <w:rStyle w:val="18"/>
          <w:rFonts w:hint="eastAsia" w:ascii="宋体" w:hAnsi="宋体" w:eastAsia="宋体" w:cs="宋体"/>
          <w:snapToGrid/>
          <w:color w:val="auto"/>
          <w:kern w:val="2"/>
          <w:sz w:val="21"/>
          <w:szCs w:val="21"/>
          <w:highlight w:val="none"/>
        </w:rPr>
        <w:t>点</w:t>
      </w:r>
      <w:r>
        <w:rPr>
          <w:rStyle w:val="18"/>
          <w:rFonts w:hint="eastAsia" w:ascii="宋体" w:hAnsi="宋体" w:cs="宋体"/>
          <w:snapToGrid/>
          <w:color w:val="auto"/>
          <w:kern w:val="2"/>
          <w:sz w:val="21"/>
          <w:szCs w:val="21"/>
          <w:highlight w:val="none"/>
          <w:lang w:val="en-US" w:eastAsia="zh-CN"/>
        </w:rPr>
        <w:t>30</w:t>
      </w:r>
      <w:r>
        <w:rPr>
          <w:rStyle w:val="18"/>
          <w:rFonts w:hint="eastAsia" w:ascii="宋体" w:hAnsi="宋体" w:eastAsia="宋体" w:cs="宋体"/>
          <w:snapToGrid/>
          <w:color w:val="auto"/>
          <w:kern w:val="2"/>
          <w:sz w:val="21"/>
          <w:szCs w:val="21"/>
          <w:highlight w:val="none"/>
        </w:rPr>
        <w:t>分</w:t>
      </w:r>
      <w:r>
        <w:rPr>
          <w:rStyle w:val="18"/>
          <w:rFonts w:hint="eastAsia" w:ascii="宋体" w:hAnsi="宋体" w:eastAsia="宋体" w:cs="宋体"/>
          <w:bCs/>
          <w:snapToGrid/>
          <w:color w:val="auto"/>
          <w:kern w:val="2"/>
          <w:sz w:val="21"/>
          <w:szCs w:val="21"/>
          <w:highlight w:val="none"/>
        </w:rPr>
        <w:t>00秒</w:t>
      </w:r>
      <w:r>
        <w:rPr>
          <w:rStyle w:val="18"/>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41CB1B7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64956E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NH-TS2024-128-1</w:t>
      </w:r>
    </w:p>
    <w:p w14:paraId="1065EB47">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宁海县岔路镇中心卫生院食堂等综合服务外包项目  (2025年-2027年)</w:t>
      </w:r>
    </w:p>
    <w:p w14:paraId="225F2A4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w:t>
      </w:r>
      <w:r>
        <w:rPr>
          <w:rFonts w:hint="eastAsia" w:ascii="宋体" w:hAnsi="宋体" w:cs="宋体"/>
          <w:b/>
          <w:color w:val="auto"/>
          <w:sz w:val="21"/>
          <w:szCs w:val="21"/>
          <w:highlight w:val="none"/>
          <w:lang w:val="en-US" w:eastAsia="zh-CN"/>
        </w:rPr>
        <w:t>人民币1338546</w:t>
      </w:r>
      <w:r>
        <w:rPr>
          <w:rFonts w:hint="eastAsia" w:ascii="宋体" w:hAnsi="宋体" w:cs="宋体"/>
          <w:b/>
          <w:color w:val="auto"/>
          <w:sz w:val="21"/>
          <w:szCs w:val="21"/>
          <w:highlight w:val="none"/>
        </w:rPr>
        <w:t>元</w:t>
      </w:r>
    </w:p>
    <w:p w14:paraId="304B7692">
      <w:pPr>
        <w:spacing w:line="360" w:lineRule="auto"/>
        <w:ind w:firstLine="48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最高限价：</w:t>
      </w:r>
      <w:r>
        <w:rPr>
          <w:rFonts w:hint="eastAsia" w:ascii="宋体" w:hAnsi="宋体" w:cs="宋体"/>
          <w:b/>
          <w:color w:val="auto"/>
          <w:sz w:val="21"/>
          <w:szCs w:val="21"/>
          <w:highlight w:val="none"/>
          <w:lang w:val="en-US" w:eastAsia="zh-CN"/>
        </w:rPr>
        <w:t xml:space="preserve">人民币 1338000元  </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446000</w:t>
      </w:r>
      <w:r>
        <w:rPr>
          <w:rFonts w:hint="eastAsia" w:ascii="宋体" w:hAnsi="宋体" w:cs="宋体"/>
          <w:b/>
          <w:color w:val="auto"/>
          <w:sz w:val="21"/>
          <w:szCs w:val="21"/>
          <w:highlight w:val="none"/>
        </w:rPr>
        <w:t>元</w:t>
      </w:r>
      <w:r>
        <w:rPr>
          <w:rFonts w:hint="eastAsia" w:ascii="宋体" w:hAnsi="宋体" w:cs="宋体"/>
          <w:b/>
          <w:color w:val="auto"/>
          <w:sz w:val="21"/>
          <w:szCs w:val="21"/>
          <w:highlight w:val="none"/>
          <w:lang w:val="en-US" w:eastAsia="zh-CN"/>
        </w:rPr>
        <w:t>/年</w:t>
      </w:r>
      <w:r>
        <w:rPr>
          <w:rFonts w:hint="eastAsia" w:ascii="宋体" w:hAnsi="宋体" w:cs="宋体"/>
          <w:b/>
          <w:color w:val="auto"/>
          <w:sz w:val="21"/>
          <w:szCs w:val="21"/>
          <w:highlight w:val="none"/>
        </w:rPr>
        <w:t>）</w:t>
      </w:r>
    </w:p>
    <w:p w14:paraId="0D1DEB7E">
      <w:pPr>
        <w:pStyle w:val="4"/>
        <w:spacing w:line="360" w:lineRule="auto"/>
        <w:ind w:firstLine="480"/>
        <w:rPr>
          <w:rFonts w:hint="eastAsia" w:hAnsi="宋体" w:cs="宋体"/>
          <w:bCs w:val="0"/>
          <w:snapToGrid/>
          <w:color w:val="auto"/>
          <w:kern w:val="2"/>
          <w:sz w:val="21"/>
          <w:szCs w:val="21"/>
          <w:highlight w:val="none"/>
        </w:rPr>
      </w:pPr>
      <w:r>
        <w:rPr>
          <w:rFonts w:hint="eastAsia" w:hAnsi="宋体" w:cs="宋体"/>
          <w:b/>
          <w:color w:val="auto"/>
          <w:sz w:val="21"/>
          <w:szCs w:val="21"/>
          <w:highlight w:val="none"/>
        </w:rPr>
        <w:t>采购需求：</w:t>
      </w:r>
      <w:r>
        <w:rPr>
          <w:rFonts w:hint="eastAsia" w:hAnsi="宋体" w:cs="宋体"/>
          <w:bCs w:val="0"/>
          <w:snapToGrid/>
          <w:color w:val="auto"/>
          <w:kern w:val="2"/>
          <w:sz w:val="21"/>
          <w:szCs w:val="21"/>
          <w:highlight w:val="none"/>
          <w:lang w:eastAsia="zh-CN"/>
        </w:rPr>
        <w:t>宁海县岔路镇中心卫生院食堂等综合服务外包项目  (2025年-2027年)</w:t>
      </w:r>
      <w:r>
        <w:rPr>
          <w:rFonts w:hint="eastAsia" w:ascii="宋体" w:hAnsi="宋体" w:cs="宋体"/>
          <w:snapToGrid/>
          <w:color w:val="auto"/>
          <w:kern w:val="2"/>
          <w:sz w:val="21"/>
          <w:szCs w:val="21"/>
          <w:highlight w:val="none"/>
          <w:u w:val="none"/>
          <w:lang w:eastAsia="zh-CN"/>
        </w:rPr>
        <w:t>具体详见第</w:t>
      </w:r>
      <w:r>
        <w:rPr>
          <w:rFonts w:hint="eastAsia" w:hAnsi="宋体" w:cs="宋体"/>
          <w:snapToGrid/>
          <w:color w:val="auto"/>
          <w:kern w:val="2"/>
          <w:sz w:val="21"/>
          <w:szCs w:val="21"/>
          <w:highlight w:val="none"/>
          <w:u w:val="none"/>
          <w:lang w:eastAsia="zh-CN"/>
        </w:rPr>
        <w:t>三</w:t>
      </w:r>
      <w:r>
        <w:rPr>
          <w:rFonts w:hint="eastAsia" w:ascii="宋体" w:hAnsi="宋体" w:cs="宋体"/>
          <w:snapToGrid/>
          <w:color w:val="auto"/>
          <w:kern w:val="2"/>
          <w:sz w:val="21"/>
          <w:szCs w:val="21"/>
          <w:highlight w:val="none"/>
          <w:u w:val="none"/>
          <w:lang w:eastAsia="zh-CN"/>
        </w:rPr>
        <w:t>章采购内容及技术要求</w:t>
      </w:r>
      <w:r>
        <w:rPr>
          <w:rFonts w:hint="eastAsia" w:ascii="宋体" w:hAnsi="宋体" w:eastAsia="宋体" w:cs="宋体"/>
          <w:snapToGrid/>
          <w:color w:val="auto"/>
          <w:kern w:val="2"/>
          <w:sz w:val="21"/>
          <w:szCs w:val="21"/>
          <w:highlight w:val="none"/>
          <w:u w:val="none"/>
          <w:lang w:eastAsia="zh-CN"/>
        </w:rPr>
        <w:t>。</w:t>
      </w:r>
    </w:p>
    <w:p w14:paraId="297E4E3F">
      <w:pPr>
        <w:pStyle w:val="21"/>
        <w:ind w:firstLine="482"/>
        <w:outlineLvl w:val="2"/>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kern w:val="2"/>
          <w:sz w:val="21"/>
          <w:szCs w:val="21"/>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6B2517D7">
      <w:pPr>
        <w:pStyle w:val="4"/>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51CCB5B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692DFDF">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1"/>
          <w:szCs w:val="21"/>
          <w:highlight w:val="none"/>
          <w:lang w:eastAsia="zh-CN"/>
        </w:rPr>
        <w:t>重大税收违法失信主体</w:t>
      </w:r>
      <w:r>
        <w:rPr>
          <w:rFonts w:hint="eastAsia" w:ascii="宋体" w:hAnsi="宋体" w:cs="宋体"/>
          <w:snapToGrid w:val="0"/>
          <w:color w:val="auto"/>
          <w:kern w:val="28"/>
          <w:sz w:val="21"/>
          <w:szCs w:val="21"/>
          <w:highlight w:val="none"/>
        </w:rPr>
        <w:t>、政府采购严重违法失信行为记录名单；</w:t>
      </w:r>
    </w:p>
    <w:p w14:paraId="20F3F3DA">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w:t>
      </w: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Cs w:val="21"/>
          <w:highlight w:val="none"/>
        </w:rPr>
        <w:t xml:space="preserve"> </w:t>
      </w:r>
      <w:r>
        <w:rPr>
          <w:rFonts w:hint="eastAsia" w:ascii="宋体" w:hAnsi="宋体" w:cs="宋体"/>
          <w:snapToGrid w:val="0"/>
          <w:color w:val="auto"/>
          <w:kern w:val="28"/>
          <w:sz w:val="21"/>
          <w:szCs w:val="21"/>
          <w:highlight w:val="none"/>
        </w:rPr>
        <w:t>以联合体形式投标的，提供联合协议(本项目不接受联合体投标或者投标人不以联合体形式投标的，则不需要提供) ；</w:t>
      </w:r>
    </w:p>
    <w:p w14:paraId="29225483">
      <w:pPr>
        <w:spacing w:line="360" w:lineRule="auto"/>
        <w:ind w:firstLine="420" w:firstLineChars="200"/>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.落实政府采购政策需满足的资格要求：</w:t>
      </w:r>
    </w:p>
    <w:p w14:paraId="2D305BF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p>
    <w:p w14:paraId="0C9C9978">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4508BF30">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 w:val="21"/>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服务全部由符合政策要求的中小企业承接，提供中小企业声明函；</w:t>
      </w:r>
    </w:p>
    <w:p w14:paraId="759C4005">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57A9409">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335ED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.本项目的特定资格要求：无；</w:t>
      </w:r>
    </w:p>
    <w:p w14:paraId="2BA5A0E0">
      <w:pPr>
        <w:snapToGrid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AFDFF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319463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01</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08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6A47937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2FC05C5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586219E">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55EEF8D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3BAE31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01</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21</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575B4E1F">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4E03706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01</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21</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p>
    <w:p w14:paraId="2508227F">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5A15FE15">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bookmarkStart w:id="402" w:name="_GoBack"/>
      <w:bookmarkEnd w:id="402"/>
    </w:p>
    <w:p w14:paraId="5A5551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CC569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1F0EB0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04D09F3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BA7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E5BA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466F8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20AA3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1.采购人信息</w:t>
      </w:r>
    </w:p>
    <w:p w14:paraId="4CA77C3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名    称：</w:t>
      </w: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 xml:space="preserve"> </w:t>
      </w:r>
    </w:p>
    <w:p w14:paraId="5F45D003">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w:t>
      </w:r>
      <w:r>
        <w:rPr>
          <w:rFonts w:hint="eastAsia" w:ascii="宋体" w:hAnsi="宋体" w:cs="宋体"/>
          <w:color w:val="auto"/>
          <w:sz w:val="21"/>
          <w:szCs w:val="21"/>
          <w:highlight w:val="none"/>
          <w:lang w:eastAsia="zh-CN"/>
        </w:rPr>
        <w:t>岔路镇后山葛村</w:t>
      </w:r>
      <w:r>
        <w:rPr>
          <w:rFonts w:hint="eastAsia" w:ascii="宋体" w:hAnsi="宋体" w:cs="宋体"/>
          <w:color w:val="auto"/>
          <w:sz w:val="21"/>
          <w:szCs w:val="21"/>
          <w:highlight w:val="none"/>
          <w:lang w:val="en-US" w:eastAsia="zh-CN"/>
        </w:rPr>
        <w:t>171号</w:t>
      </w:r>
    </w:p>
    <w:p w14:paraId="5411CBBA">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联系人：</w:t>
      </w:r>
      <w:r>
        <w:rPr>
          <w:rFonts w:hint="eastAsia" w:ascii="宋体" w:hAnsi="宋体" w:cs="宋体"/>
          <w:sz w:val="21"/>
          <w:szCs w:val="21"/>
          <w:lang w:eastAsia="zh-CN"/>
        </w:rPr>
        <w:t>何先生</w:t>
      </w:r>
    </w:p>
    <w:p w14:paraId="0DBE42B2">
      <w:pPr>
        <w:spacing w:line="360" w:lineRule="auto"/>
        <w:ind w:firstLine="420" w:firstLineChars="200"/>
        <w:rPr>
          <w:rFonts w:hint="default" w:eastAsia="宋体"/>
          <w:lang w:val="en-US" w:eastAsia="zh-CN"/>
        </w:rPr>
      </w:pPr>
      <w:r>
        <w:rPr>
          <w:rFonts w:hint="eastAsia" w:ascii="宋体" w:hAnsi="宋体" w:cs="宋体"/>
          <w:sz w:val="21"/>
          <w:szCs w:val="21"/>
        </w:rPr>
        <w:t>联系电话：</w:t>
      </w:r>
      <w:r>
        <w:rPr>
          <w:rFonts w:hint="eastAsia" w:ascii="宋体" w:hAnsi="宋体" w:cs="宋体"/>
          <w:sz w:val="21"/>
          <w:szCs w:val="21"/>
          <w:lang w:val="en-US" w:eastAsia="zh-CN"/>
        </w:rPr>
        <w:t>0574-65388900</w:t>
      </w:r>
    </w:p>
    <w:p w14:paraId="2AD3A459">
      <w:pPr>
        <w:spacing w:line="360" w:lineRule="auto"/>
        <w:ind w:firstLine="420" w:firstLineChars="200"/>
        <w:rPr>
          <w:rFonts w:ascii="宋体" w:hAnsi="宋体" w:cs="宋体"/>
          <w:sz w:val="21"/>
          <w:szCs w:val="21"/>
        </w:rPr>
      </w:pPr>
      <w:r>
        <w:rPr>
          <w:rFonts w:hint="eastAsia" w:ascii="宋体" w:hAnsi="宋体" w:cs="宋体"/>
          <w:sz w:val="21"/>
          <w:szCs w:val="21"/>
        </w:rPr>
        <w:t>采购代理机构：</w:t>
      </w:r>
      <w:r>
        <w:rPr>
          <w:rFonts w:hint="eastAsia" w:ascii="宋体" w:hAnsi="宋体" w:cs="宋体"/>
          <w:sz w:val="21"/>
          <w:szCs w:val="21"/>
          <w:lang w:eastAsia="zh-CN"/>
        </w:rPr>
        <w:t>宁海童氏工程管理咨询有限公司</w:t>
      </w:r>
    </w:p>
    <w:p w14:paraId="1D0348B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宁海县时代大道</w:t>
      </w:r>
      <w:r>
        <w:rPr>
          <w:rFonts w:hint="eastAsia" w:ascii="宋体" w:hAnsi="宋体" w:cs="宋体"/>
          <w:sz w:val="21"/>
          <w:szCs w:val="21"/>
          <w:lang w:val="en-US" w:eastAsia="zh-CN"/>
        </w:rPr>
        <w:t>178号)</w:t>
      </w:r>
    </w:p>
    <w:p w14:paraId="11949677">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胡云燕</w:t>
      </w:r>
    </w:p>
    <w:p w14:paraId="51FF61C7">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联系电话：0574-</w:t>
      </w:r>
      <w:r>
        <w:rPr>
          <w:rFonts w:hint="eastAsia" w:ascii="宋体" w:hAnsi="宋体" w:cs="宋体"/>
          <w:sz w:val="21"/>
          <w:szCs w:val="21"/>
          <w:lang w:val="en-US" w:eastAsia="zh-CN"/>
        </w:rPr>
        <w:t>82533300</w:t>
      </w:r>
    </w:p>
    <w:p w14:paraId="41AC9941">
      <w:pPr>
        <w:snapToGrid/>
        <w:spacing w:line="360" w:lineRule="auto"/>
        <w:ind w:firstLine="420" w:firstLineChars="200"/>
        <w:rPr>
          <w:rFonts w:ascii="宋体" w:hAnsi="宋体"/>
          <w:sz w:val="21"/>
          <w:szCs w:val="21"/>
        </w:rPr>
      </w:pPr>
      <w:r>
        <w:rPr>
          <w:rFonts w:hint="eastAsia" w:ascii="宋体" w:hAnsi="宋体" w:cs="宋体"/>
          <w:sz w:val="21"/>
          <w:szCs w:val="21"/>
        </w:rPr>
        <w:t>传真：0574-</w:t>
      </w:r>
      <w:r>
        <w:rPr>
          <w:rFonts w:hint="eastAsia" w:ascii="宋体" w:hAnsi="宋体" w:cs="宋体"/>
          <w:sz w:val="21"/>
          <w:szCs w:val="21"/>
          <w:lang w:val="en-US" w:eastAsia="zh-CN"/>
        </w:rPr>
        <w:t>82533300</w:t>
      </w:r>
    </w:p>
    <w:p w14:paraId="4AF8C49E">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监管部门：宁海县政府采购管理办公室 </w:t>
      </w:r>
    </w:p>
    <w:p w14:paraId="41EC64B8">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地址：宁海县跃龙街道桃源中路218号 </w:t>
      </w:r>
    </w:p>
    <w:p w14:paraId="2AA5E411">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联系人：王老师     </w:t>
      </w:r>
    </w:p>
    <w:p w14:paraId="0A50410C">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联系电话：0574-65265668   传真号码：0574-65265612</w:t>
      </w:r>
    </w:p>
    <w:p w14:paraId="4CFDEE6E">
      <w:pPr>
        <w:snapToGrid w:val="0"/>
        <w:spacing w:line="360" w:lineRule="auto"/>
        <w:rPr>
          <w:rFonts w:ascii="宋体" w:hAnsi="宋体"/>
          <w:sz w:val="21"/>
          <w:szCs w:val="21"/>
        </w:rPr>
      </w:pPr>
    </w:p>
    <w:p w14:paraId="2A716C33">
      <w:pPr>
        <w:spacing w:line="400" w:lineRule="exact"/>
        <w:ind w:firstLine="420" w:firstLineChars="200"/>
        <w:rPr>
          <w:rFonts w:hint="eastAsia"/>
          <w:kern w:val="1"/>
          <w:sz w:val="21"/>
          <w:szCs w:val="21"/>
        </w:rPr>
      </w:pPr>
      <w:r>
        <w:rPr>
          <w:rFonts w:hint="eastAsia"/>
          <w:kern w:val="1"/>
          <w:sz w:val="21"/>
          <w:szCs w:val="21"/>
        </w:rPr>
        <w:t>本公告如与招标文件不一致时，以招标文件为准。</w:t>
      </w:r>
    </w:p>
    <w:p w14:paraId="3E315F06">
      <w:pPr>
        <w:spacing w:line="400" w:lineRule="exact"/>
        <w:ind w:firstLine="420" w:firstLineChars="200"/>
        <w:rPr>
          <w:rFonts w:ascii="宋体" w:hAnsi="宋体"/>
          <w:sz w:val="21"/>
          <w:szCs w:val="21"/>
        </w:rPr>
      </w:pPr>
      <w:r>
        <w:rPr>
          <w:rFonts w:hint="eastAsia"/>
          <w:kern w:val="1"/>
          <w:sz w:val="21"/>
          <w:szCs w:val="21"/>
        </w:rPr>
        <w:t>特此公告。</w:t>
      </w:r>
    </w:p>
    <w:p w14:paraId="4D50DD7A">
      <w:pPr>
        <w:spacing w:line="400" w:lineRule="exact"/>
        <w:ind w:firstLine="420" w:firstLineChars="200"/>
        <w:rPr>
          <w:rFonts w:hint="default"/>
          <w:kern w:val="1"/>
          <w:sz w:val="21"/>
          <w:szCs w:val="21"/>
          <w:lang w:val="en-US" w:eastAsia="zh-CN"/>
        </w:rPr>
      </w:pPr>
      <w:r>
        <w:rPr>
          <w:rFonts w:hint="eastAsia"/>
          <w:kern w:val="1"/>
          <w:sz w:val="21"/>
          <w:szCs w:val="21"/>
          <w:lang w:val="en-US" w:eastAsia="zh-CN"/>
        </w:rPr>
        <w:t>附：中标服务费帐号：</w:t>
      </w:r>
    </w:p>
    <w:p w14:paraId="68B45140">
      <w:pPr>
        <w:spacing w:line="400" w:lineRule="exact"/>
        <w:ind w:firstLine="420" w:firstLineChars="200"/>
        <w:rPr>
          <w:rFonts w:hint="eastAsia" w:ascii="Times New Roman" w:hAnsi="Times New Roman" w:cs="Times New Roman"/>
          <w:kern w:val="1"/>
          <w:sz w:val="21"/>
          <w:szCs w:val="21"/>
          <w:lang w:val="en-US" w:eastAsia="zh-CN"/>
        </w:rPr>
      </w:pPr>
      <w:r>
        <w:rPr>
          <w:rFonts w:hint="eastAsia" w:ascii="Times New Roman" w:hAnsi="Times New Roman" w:cs="Times New Roman"/>
          <w:kern w:val="1"/>
          <w:sz w:val="21"/>
          <w:szCs w:val="21"/>
          <w:lang w:val="en-US" w:eastAsia="zh-CN"/>
        </w:rPr>
        <w:t>开户单位名称：宁海童氏工程管理咨询有限公司</w:t>
      </w:r>
    </w:p>
    <w:p w14:paraId="0D5DAE93">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开户银行：宁波银行宁海支行</w:t>
      </w:r>
    </w:p>
    <w:p w14:paraId="0CF05CC8">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帐    号： 60010122000570946</w:t>
      </w:r>
    </w:p>
    <w:p w14:paraId="7D6DC2F1">
      <w:pPr>
        <w:spacing w:line="360" w:lineRule="auto"/>
        <w:ind w:firstLine="480"/>
        <w:rPr>
          <w:rFonts w:ascii="宋体" w:hAnsi="宋体" w:cs="宋体"/>
          <w:color w:val="auto"/>
          <w:sz w:val="21"/>
          <w:szCs w:val="21"/>
          <w:highlight w:val="none"/>
        </w:rPr>
      </w:pPr>
    </w:p>
    <w:p w14:paraId="704A2B5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1D02E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9FD5B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7C12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2674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4"/>
        <w:tblW w:w="90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9"/>
        <w:gridCol w:w="6855"/>
      </w:tblGrid>
      <w:tr w14:paraId="149F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9A514">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69" w:type="dxa"/>
            <w:tcBorders>
              <w:top w:val="single" w:color="000000" w:sz="8" w:space="0"/>
              <w:left w:val="single" w:color="auto" w:sz="4" w:space="0"/>
              <w:bottom w:val="single" w:color="000000" w:sz="8" w:space="0"/>
              <w:right w:val="single" w:color="000000" w:sz="8" w:space="0"/>
            </w:tcBorders>
            <w:vAlign w:val="center"/>
          </w:tcPr>
          <w:p w14:paraId="099F91AD">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61618BE">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761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8FE6B">
            <w:pPr>
              <w:spacing w:line="240" w:lineRule="auto"/>
            </w:pPr>
          </w:p>
          <w:p w14:paraId="79A859F2">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69" w:type="dxa"/>
            <w:tcBorders>
              <w:top w:val="single" w:color="000000" w:sz="8" w:space="0"/>
              <w:left w:val="single" w:color="auto" w:sz="4" w:space="0"/>
              <w:bottom w:val="single" w:color="000000" w:sz="8" w:space="0"/>
              <w:right w:val="single" w:color="000000" w:sz="8" w:space="0"/>
            </w:tcBorders>
            <w:vAlign w:val="center"/>
          </w:tcPr>
          <w:p w14:paraId="5C5E8915">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865EF0E">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2992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4" w:hRule="atLeast"/>
          <w:tblHeader/>
        </w:trPr>
        <w:tc>
          <w:tcPr>
            <w:tcW w:w="629" w:type="dxa"/>
            <w:tcBorders>
              <w:top w:val="single" w:color="auto" w:sz="4" w:space="0"/>
              <w:left w:val="single" w:color="auto" w:sz="4" w:space="0"/>
              <w:bottom w:val="single" w:color="auto" w:sz="4" w:space="0"/>
              <w:right w:val="single" w:color="auto" w:sz="4" w:space="0"/>
            </w:tcBorders>
          </w:tcPr>
          <w:p w14:paraId="402C4B88">
            <w:pPr>
              <w:snapToGrid w:val="0"/>
              <w:spacing w:line="240" w:lineRule="auto"/>
              <w:jc w:val="center"/>
              <w:rPr>
                <w:rFonts w:ascii="宋体" w:hAnsi="宋体" w:cs="宋体"/>
                <w:color w:val="auto"/>
                <w:sz w:val="21"/>
                <w:szCs w:val="21"/>
                <w:highlight w:val="none"/>
              </w:rPr>
            </w:pPr>
          </w:p>
          <w:p w14:paraId="45788173">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69" w:type="dxa"/>
            <w:tcBorders>
              <w:top w:val="single" w:color="000000" w:sz="8" w:space="0"/>
              <w:left w:val="single" w:color="auto" w:sz="4" w:space="0"/>
              <w:bottom w:val="single" w:color="000000" w:sz="8" w:space="0"/>
              <w:right w:val="single" w:color="000000" w:sz="8" w:space="0"/>
            </w:tcBorders>
            <w:vAlign w:val="center"/>
          </w:tcPr>
          <w:p w14:paraId="760D4D0E">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1AE8B33C">
            <w:pPr>
              <w:numPr>
                <w:ilvl w:val="0"/>
                <w:numId w:val="2"/>
              </w:num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sz w:val="21"/>
                <w:szCs w:val="21"/>
                <w:highlight w:val="none"/>
                <w:u w:val="none"/>
                <w:lang w:eastAsia="zh-CN"/>
              </w:rPr>
              <w:t>宁海县岔路镇中心卫生院食堂等综合服务外包项目  (2025年-2027年)</w:t>
            </w:r>
            <w:r>
              <w:rPr>
                <w:rFonts w:hint="eastAsia" w:ascii="宋体" w:hAnsi="宋体" w:cs="宋体"/>
                <w:color w:val="auto"/>
                <w:kern w:val="0"/>
                <w:sz w:val="21"/>
                <w:szCs w:val="21"/>
                <w:highlight w:val="none"/>
              </w:rPr>
              <w:t>，属于</w:t>
            </w:r>
            <w:r>
              <w:rPr>
                <w:rFonts w:hint="eastAsia" w:ascii="宋体" w:hAnsi="宋体" w:cs="宋体"/>
                <w:b/>
                <w:bCs/>
                <w:color w:val="auto"/>
                <w:kern w:val="0"/>
                <w:sz w:val="21"/>
                <w:szCs w:val="21"/>
                <w:highlight w:val="none"/>
                <w:u w:val="single"/>
                <w:lang w:eastAsia="zh-CN"/>
              </w:rPr>
              <w:t>餐厅业</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行业；</w:t>
            </w:r>
          </w:p>
          <w:p w14:paraId="01205289">
            <w:pPr>
              <w:pStyle w:val="3"/>
              <w:spacing w:line="240" w:lineRule="auto"/>
              <w:ind w:left="0" w:firstLine="0"/>
              <w:rPr>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2）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4AA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blHeader/>
        </w:trPr>
        <w:tc>
          <w:tcPr>
            <w:tcW w:w="629" w:type="dxa"/>
            <w:tcBorders>
              <w:top w:val="single" w:color="auto" w:sz="4" w:space="0"/>
              <w:left w:val="single" w:color="auto" w:sz="4" w:space="0"/>
              <w:bottom w:val="single" w:color="auto" w:sz="4" w:space="0"/>
              <w:right w:val="single" w:color="auto" w:sz="4" w:space="0"/>
            </w:tcBorders>
          </w:tcPr>
          <w:p w14:paraId="3F30E15F">
            <w:pPr>
              <w:snapToGrid w:val="0"/>
              <w:spacing w:line="240" w:lineRule="auto"/>
              <w:jc w:val="center"/>
              <w:rPr>
                <w:rFonts w:ascii="宋体" w:hAnsi="宋体" w:cs="宋体"/>
                <w:color w:val="auto"/>
                <w:sz w:val="21"/>
                <w:szCs w:val="21"/>
                <w:highlight w:val="none"/>
              </w:rPr>
            </w:pPr>
          </w:p>
          <w:p w14:paraId="00AC4E87">
            <w:pPr>
              <w:snapToGrid w:val="0"/>
              <w:spacing w:line="240" w:lineRule="auto"/>
              <w:jc w:val="center"/>
              <w:rPr>
                <w:rFonts w:ascii="宋体" w:hAnsi="宋体" w:cs="宋体"/>
                <w:color w:val="auto"/>
                <w:sz w:val="21"/>
                <w:szCs w:val="21"/>
                <w:highlight w:val="none"/>
              </w:rPr>
            </w:pPr>
          </w:p>
          <w:p w14:paraId="315A18A2">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69" w:type="dxa"/>
            <w:tcBorders>
              <w:top w:val="single" w:color="000000" w:sz="8" w:space="0"/>
              <w:left w:val="single" w:color="auto" w:sz="4" w:space="0"/>
              <w:bottom w:val="single" w:color="000000" w:sz="8" w:space="0"/>
              <w:right w:val="single" w:color="000000" w:sz="8" w:space="0"/>
            </w:tcBorders>
            <w:vAlign w:val="center"/>
          </w:tcPr>
          <w:p w14:paraId="61E64E12">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0C46DFF">
            <w:pPr>
              <w:spacing w:line="24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D4D35E9">
            <w:pPr>
              <w:spacing w:line="240" w:lineRule="auto"/>
              <w:rPr>
                <w:rFonts w:ascii="宋体" w:hAnsi="宋体" w:cs="宋体"/>
                <w:color w:val="auto"/>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3342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2BDEC">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69" w:type="dxa"/>
            <w:tcBorders>
              <w:top w:val="single" w:color="000000" w:sz="8" w:space="0"/>
              <w:left w:val="single" w:color="auto" w:sz="4" w:space="0"/>
              <w:bottom w:val="single" w:color="000000" w:sz="8" w:space="0"/>
              <w:right w:val="single" w:color="000000" w:sz="8" w:space="0"/>
            </w:tcBorders>
            <w:vAlign w:val="center"/>
          </w:tcPr>
          <w:p w14:paraId="4548AEE7">
            <w:pPr>
              <w:snapToGrid w:val="0"/>
              <w:spacing w:line="24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17E85CE">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9A5639">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7811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blHeader/>
        </w:trPr>
        <w:tc>
          <w:tcPr>
            <w:tcW w:w="629" w:type="dxa"/>
            <w:tcBorders>
              <w:top w:val="single" w:color="auto" w:sz="4" w:space="0"/>
              <w:left w:val="single" w:color="auto" w:sz="4" w:space="0"/>
              <w:bottom w:val="single" w:color="auto" w:sz="4" w:space="0"/>
              <w:right w:val="single" w:color="auto" w:sz="4" w:space="0"/>
            </w:tcBorders>
          </w:tcPr>
          <w:p w14:paraId="4AA69AE8">
            <w:pPr>
              <w:snapToGrid w:val="0"/>
              <w:spacing w:line="240" w:lineRule="auto"/>
              <w:jc w:val="center"/>
              <w:rPr>
                <w:rFonts w:ascii="宋体" w:hAnsi="宋体" w:cs="宋体"/>
                <w:color w:val="auto"/>
                <w:sz w:val="21"/>
                <w:szCs w:val="21"/>
                <w:highlight w:val="none"/>
              </w:rPr>
            </w:pPr>
          </w:p>
          <w:p w14:paraId="0DCA90DB">
            <w:pPr>
              <w:snapToGrid w:val="0"/>
              <w:spacing w:line="240" w:lineRule="auto"/>
              <w:jc w:val="center"/>
              <w:rPr>
                <w:rFonts w:ascii="宋体" w:hAnsi="宋体" w:cs="宋体"/>
                <w:color w:val="auto"/>
                <w:sz w:val="21"/>
                <w:szCs w:val="21"/>
                <w:highlight w:val="none"/>
              </w:rPr>
            </w:pPr>
          </w:p>
          <w:p w14:paraId="69EFEDA9">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69" w:type="dxa"/>
            <w:tcBorders>
              <w:top w:val="single" w:color="000000" w:sz="8" w:space="0"/>
              <w:left w:val="single" w:color="auto" w:sz="4" w:space="0"/>
              <w:bottom w:val="single" w:color="000000" w:sz="8" w:space="0"/>
              <w:right w:val="single" w:color="000000" w:sz="8" w:space="0"/>
            </w:tcBorders>
            <w:vAlign w:val="center"/>
          </w:tcPr>
          <w:p w14:paraId="52A1EDA6">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33507908">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9887C86">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066F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5" w:hRule="atLeast"/>
          <w:tblHeader/>
        </w:trPr>
        <w:tc>
          <w:tcPr>
            <w:tcW w:w="629" w:type="dxa"/>
            <w:tcBorders>
              <w:top w:val="single" w:color="auto" w:sz="4" w:space="0"/>
              <w:left w:val="single" w:color="auto" w:sz="4" w:space="0"/>
              <w:bottom w:val="single" w:color="auto" w:sz="4" w:space="0"/>
              <w:right w:val="single" w:color="auto" w:sz="4" w:space="0"/>
            </w:tcBorders>
          </w:tcPr>
          <w:p w14:paraId="0857C45B">
            <w:pPr>
              <w:snapToGrid w:val="0"/>
              <w:spacing w:line="240" w:lineRule="auto"/>
              <w:jc w:val="center"/>
              <w:rPr>
                <w:rFonts w:ascii="宋体" w:hAnsi="宋体" w:cs="宋体"/>
                <w:color w:val="auto"/>
                <w:sz w:val="21"/>
                <w:szCs w:val="21"/>
                <w:highlight w:val="none"/>
              </w:rPr>
            </w:pPr>
          </w:p>
          <w:p w14:paraId="1ED2D936">
            <w:pPr>
              <w:snapToGrid w:val="0"/>
              <w:spacing w:line="240" w:lineRule="auto"/>
              <w:jc w:val="center"/>
              <w:rPr>
                <w:rFonts w:ascii="宋体" w:hAnsi="宋体" w:cs="宋体"/>
                <w:color w:val="auto"/>
                <w:sz w:val="21"/>
                <w:szCs w:val="21"/>
                <w:highlight w:val="none"/>
              </w:rPr>
            </w:pPr>
          </w:p>
          <w:p w14:paraId="640EC9BC">
            <w:pPr>
              <w:snapToGrid w:val="0"/>
              <w:spacing w:line="240" w:lineRule="auto"/>
              <w:jc w:val="center"/>
              <w:rPr>
                <w:rFonts w:ascii="宋体" w:hAnsi="宋体" w:cs="宋体"/>
                <w:color w:val="auto"/>
                <w:sz w:val="21"/>
                <w:szCs w:val="21"/>
                <w:highlight w:val="none"/>
              </w:rPr>
            </w:pPr>
          </w:p>
          <w:p w14:paraId="59BF5422">
            <w:pPr>
              <w:snapToGrid w:val="0"/>
              <w:spacing w:line="240" w:lineRule="auto"/>
              <w:jc w:val="center"/>
              <w:rPr>
                <w:rFonts w:ascii="宋体" w:hAnsi="宋体" w:cs="宋体"/>
                <w:color w:val="auto"/>
                <w:sz w:val="21"/>
                <w:szCs w:val="21"/>
                <w:highlight w:val="none"/>
              </w:rPr>
            </w:pPr>
          </w:p>
          <w:p w14:paraId="03D46D9D">
            <w:pPr>
              <w:snapToGrid w:val="0"/>
              <w:spacing w:line="240" w:lineRule="auto"/>
              <w:jc w:val="center"/>
              <w:rPr>
                <w:rFonts w:ascii="宋体" w:hAnsi="宋体" w:cs="宋体"/>
                <w:color w:val="auto"/>
                <w:sz w:val="21"/>
                <w:szCs w:val="21"/>
                <w:highlight w:val="none"/>
              </w:rPr>
            </w:pPr>
          </w:p>
          <w:p w14:paraId="24FE9334">
            <w:pPr>
              <w:snapToGrid w:val="0"/>
              <w:spacing w:line="240" w:lineRule="auto"/>
              <w:jc w:val="center"/>
              <w:rPr>
                <w:rFonts w:ascii="宋体" w:hAnsi="宋体" w:cs="宋体"/>
                <w:color w:val="auto"/>
                <w:sz w:val="21"/>
                <w:szCs w:val="21"/>
                <w:highlight w:val="none"/>
              </w:rPr>
            </w:pPr>
          </w:p>
          <w:p w14:paraId="3F960CCF">
            <w:pPr>
              <w:snapToGrid w:val="0"/>
              <w:spacing w:line="240" w:lineRule="auto"/>
              <w:jc w:val="center"/>
              <w:rPr>
                <w:rFonts w:ascii="宋体" w:hAnsi="宋体" w:cs="宋体"/>
                <w:color w:val="auto"/>
                <w:sz w:val="21"/>
                <w:szCs w:val="21"/>
                <w:highlight w:val="none"/>
              </w:rPr>
            </w:pPr>
          </w:p>
          <w:p w14:paraId="7A5CD5BE">
            <w:pPr>
              <w:snapToGrid w:val="0"/>
              <w:spacing w:line="240" w:lineRule="auto"/>
              <w:jc w:val="center"/>
              <w:rPr>
                <w:rFonts w:ascii="宋体" w:hAnsi="宋体" w:cs="宋体"/>
                <w:color w:val="auto"/>
                <w:sz w:val="21"/>
                <w:szCs w:val="21"/>
                <w:highlight w:val="none"/>
              </w:rPr>
            </w:pPr>
          </w:p>
          <w:p w14:paraId="0ACF1294">
            <w:pPr>
              <w:snapToGrid w:val="0"/>
              <w:spacing w:line="240" w:lineRule="auto"/>
              <w:jc w:val="center"/>
              <w:rPr>
                <w:rFonts w:ascii="宋体" w:hAnsi="宋体" w:cs="宋体"/>
                <w:color w:val="auto"/>
                <w:sz w:val="21"/>
                <w:szCs w:val="21"/>
                <w:highlight w:val="none"/>
              </w:rPr>
            </w:pPr>
          </w:p>
          <w:p w14:paraId="50200D76">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69" w:type="dxa"/>
            <w:tcBorders>
              <w:top w:val="single" w:color="000000" w:sz="8" w:space="0"/>
              <w:left w:val="single" w:color="auto" w:sz="4" w:space="0"/>
              <w:bottom w:val="single" w:color="000000" w:sz="8" w:space="0"/>
              <w:right w:val="single" w:color="000000" w:sz="8" w:space="0"/>
            </w:tcBorders>
            <w:vAlign w:val="center"/>
          </w:tcPr>
          <w:p w14:paraId="6D50D9C4">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2D9E14FE">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5385B0D5">
            <w:pPr>
              <w:spacing w:line="24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0B262A6">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635AFBE">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A7F6A89">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B7BE0A3">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A087EB3">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4F16CF5F">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7DE407">
            <w:pPr>
              <w:spacing w:line="240" w:lineRule="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7F6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95374F">
            <w:pPr>
              <w:snapToGrid w:val="0"/>
              <w:spacing w:line="240" w:lineRule="auto"/>
              <w:jc w:val="center"/>
              <w:rPr>
                <w:rFonts w:ascii="宋体" w:hAnsi="宋体" w:cs="宋体"/>
                <w:color w:val="auto"/>
                <w:sz w:val="21"/>
                <w:szCs w:val="21"/>
                <w:highlight w:val="none"/>
              </w:rPr>
            </w:pPr>
          </w:p>
          <w:p w14:paraId="68C944D9">
            <w:pPr>
              <w:snapToGrid w:val="0"/>
              <w:spacing w:line="240" w:lineRule="auto"/>
              <w:jc w:val="center"/>
              <w:rPr>
                <w:rFonts w:ascii="宋体" w:hAnsi="宋体" w:cs="宋体"/>
                <w:color w:val="auto"/>
                <w:sz w:val="21"/>
                <w:szCs w:val="21"/>
                <w:highlight w:val="none"/>
              </w:rPr>
            </w:pPr>
          </w:p>
          <w:p w14:paraId="086C8312">
            <w:pPr>
              <w:snapToGrid w:val="0"/>
              <w:spacing w:line="240" w:lineRule="auto"/>
              <w:jc w:val="center"/>
              <w:rPr>
                <w:rFonts w:ascii="宋体" w:hAnsi="宋体" w:cs="宋体"/>
                <w:color w:val="auto"/>
                <w:sz w:val="21"/>
                <w:szCs w:val="21"/>
                <w:highlight w:val="none"/>
              </w:rPr>
            </w:pPr>
          </w:p>
          <w:p w14:paraId="0F9CDF18">
            <w:pPr>
              <w:snapToGrid w:val="0"/>
              <w:spacing w:line="240" w:lineRule="auto"/>
              <w:jc w:val="center"/>
              <w:rPr>
                <w:rFonts w:ascii="宋体" w:hAnsi="宋体" w:cs="宋体"/>
                <w:color w:val="auto"/>
                <w:sz w:val="21"/>
                <w:szCs w:val="21"/>
                <w:highlight w:val="none"/>
              </w:rPr>
            </w:pPr>
          </w:p>
          <w:p w14:paraId="32AF93DE">
            <w:pPr>
              <w:snapToGrid w:val="0"/>
              <w:spacing w:line="240" w:lineRule="auto"/>
              <w:jc w:val="center"/>
              <w:rPr>
                <w:rFonts w:ascii="宋体" w:hAnsi="宋体" w:cs="宋体"/>
                <w:color w:val="auto"/>
                <w:sz w:val="21"/>
                <w:szCs w:val="21"/>
                <w:highlight w:val="none"/>
              </w:rPr>
            </w:pPr>
          </w:p>
          <w:p w14:paraId="764DC808">
            <w:pPr>
              <w:snapToGrid w:val="0"/>
              <w:spacing w:line="240" w:lineRule="auto"/>
              <w:jc w:val="center"/>
              <w:rPr>
                <w:rFonts w:ascii="宋体" w:hAnsi="宋体" w:cs="宋体"/>
                <w:color w:val="auto"/>
                <w:sz w:val="21"/>
                <w:szCs w:val="21"/>
                <w:highlight w:val="none"/>
              </w:rPr>
            </w:pPr>
          </w:p>
          <w:p w14:paraId="0C21F435">
            <w:pPr>
              <w:snapToGrid w:val="0"/>
              <w:spacing w:line="240" w:lineRule="auto"/>
              <w:jc w:val="center"/>
              <w:rPr>
                <w:rFonts w:ascii="宋体" w:hAnsi="宋体" w:cs="宋体"/>
                <w:color w:val="auto"/>
                <w:sz w:val="21"/>
                <w:szCs w:val="21"/>
                <w:highlight w:val="none"/>
              </w:rPr>
            </w:pPr>
          </w:p>
          <w:p w14:paraId="35BB9F6E">
            <w:pPr>
              <w:snapToGrid w:val="0"/>
              <w:spacing w:line="240" w:lineRule="auto"/>
              <w:jc w:val="center"/>
              <w:rPr>
                <w:rFonts w:ascii="宋体" w:hAnsi="宋体" w:cs="宋体"/>
                <w:color w:val="auto"/>
                <w:sz w:val="21"/>
                <w:szCs w:val="21"/>
                <w:highlight w:val="none"/>
              </w:rPr>
            </w:pPr>
          </w:p>
          <w:p w14:paraId="3A59B323">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69" w:type="dxa"/>
            <w:tcBorders>
              <w:top w:val="single" w:color="000000" w:sz="8" w:space="0"/>
              <w:left w:val="single" w:color="auto" w:sz="4" w:space="0"/>
              <w:bottom w:val="single" w:color="000000" w:sz="8" w:space="0"/>
              <w:right w:val="single" w:color="000000" w:sz="8" w:space="0"/>
            </w:tcBorders>
            <w:vAlign w:val="center"/>
          </w:tcPr>
          <w:p w14:paraId="1FA8EFA4">
            <w:pPr>
              <w:snapToGrid w:val="0"/>
              <w:spacing w:line="24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0D40D3D6">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7F101C5">
            <w:pPr>
              <w:spacing w:line="24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825EC8">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0E98923A">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05F48200">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590F4FD">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0EC3483">
            <w:pPr>
              <w:snapToGrid w:val="0"/>
              <w:spacing w:line="240" w:lineRule="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D4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restart"/>
            <w:tcBorders>
              <w:top w:val="single" w:color="auto" w:sz="4" w:space="0"/>
              <w:left w:val="single" w:color="auto" w:sz="4" w:space="0"/>
              <w:right w:val="single" w:color="auto" w:sz="4" w:space="0"/>
            </w:tcBorders>
          </w:tcPr>
          <w:p w14:paraId="3CE4F4A5">
            <w:pPr>
              <w:snapToGrid w:val="0"/>
              <w:spacing w:line="240" w:lineRule="auto"/>
              <w:jc w:val="center"/>
              <w:rPr>
                <w:rFonts w:ascii="宋体" w:hAnsi="宋体" w:cs="宋体"/>
                <w:color w:val="auto"/>
                <w:sz w:val="21"/>
                <w:szCs w:val="21"/>
                <w:highlight w:val="none"/>
              </w:rPr>
            </w:pPr>
          </w:p>
          <w:p w14:paraId="7F935601">
            <w:pPr>
              <w:snapToGrid w:val="0"/>
              <w:spacing w:line="240" w:lineRule="auto"/>
              <w:jc w:val="center"/>
              <w:rPr>
                <w:rFonts w:ascii="宋体" w:hAnsi="宋体" w:cs="宋体"/>
                <w:color w:val="auto"/>
                <w:sz w:val="21"/>
                <w:szCs w:val="21"/>
                <w:highlight w:val="none"/>
              </w:rPr>
            </w:pPr>
          </w:p>
          <w:p w14:paraId="61D643E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69" w:type="dxa"/>
            <w:vMerge w:val="restart"/>
            <w:tcBorders>
              <w:top w:val="single" w:color="000000" w:sz="8" w:space="0"/>
              <w:left w:val="single" w:color="auto" w:sz="4" w:space="0"/>
              <w:right w:val="single" w:color="000000" w:sz="8" w:space="0"/>
            </w:tcBorders>
            <w:vAlign w:val="center"/>
          </w:tcPr>
          <w:p w14:paraId="3B14D2CB">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14:paraId="4B8876B6">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3C6FEBFB">
            <w:pPr>
              <w:spacing w:line="240" w:lineRule="auto"/>
              <w:rPr>
                <w:rFonts w:ascii="宋体" w:hAnsi="宋体" w:cs="宋体"/>
                <w:snapToGrid w:val="0"/>
                <w:color w:val="auto"/>
                <w:kern w:val="0"/>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0E25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vMerge w:val="continue"/>
            <w:tcBorders>
              <w:left w:val="single" w:color="auto" w:sz="4" w:space="0"/>
              <w:bottom w:val="single" w:color="auto" w:sz="4" w:space="0"/>
              <w:right w:val="single" w:color="auto" w:sz="4" w:space="0"/>
            </w:tcBorders>
          </w:tcPr>
          <w:p w14:paraId="59A0F1A6">
            <w:pPr>
              <w:snapToGrid w:val="0"/>
              <w:spacing w:line="240" w:lineRule="auto"/>
              <w:jc w:val="center"/>
              <w:rPr>
                <w:rFonts w:ascii="宋体" w:hAnsi="宋体" w:cs="宋体"/>
                <w:color w:val="auto"/>
                <w:sz w:val="21"/>
                <w:szCs w:val="21"/>
                <w:highlight w:val="none"/>
              </w:rPr>
            </w:pPr>
          </w:p>
        </w:tc>
        <w:tc>
          <w:tcPr>
            <w:tcW w:w="1569" w:type="dxa"/>
            <w:vMerge w:val="continue"/>
            <w:tcBorders>
              <w:left w:val="single" w:color="auto" w:sz="4" w:space="0"/>
              <w:bottom w:val="single" w:color="000000" w:sz="8" w:space="0"/>
              <w:right w:val="single" w:color="000000" w:sz="8" w:space="0"/>
            </w:tcBorders>
            <w:vAlign w:val="center"/>
          </w:tcPr>
          <w:p w14:paraId="0EE90145">
            <w:pPr>
              <w:snapToGrid w:val="0"/>
              <w:spacing w:line="240" w:lineRule="auto"/>
              <w:jc w:val="center"/>
              <w:rPr>
                <w:rFonts w:ascii="宋体" w:hAnsi="宋体" w:cs="宋体"/>
                <w:b/>
                <w:color w:val="auto"/>
                <w:sz w:val="21"/>
                <w:szCs w:val="21"/>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14:paraId="1F2463D7">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6981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403750">
            <w:pPr>
              <w:snapToGrid w:val="0"/>
              <w:spacing w:line="240" w:lineRule="auto"/>
              <w:jc w:val="center"/>
              <w:rPr>
                <w:rFonts w:ascii="宋体" w:hAnsi="宋体" w:cs="宋体"/>
                <w:color w:val="auto"/>
                <w:sz w:val="21"/>
                <w:szCs w:val="21"/>
                <w:highlight w:val="none"/>
              </w:rPr>
            </w:pPr>
          </w:p>
          <w:p w14:paraId="5CF36E8A">
            <w:pPr>
              <w:snapToGrid w:val="0"/>
              <w:spacing w:line="240" w:lineRule="auto"/>
              <w:jc w:val="center"/>
              <w:rPr>
                <w:rFonts w:ascii="宋体" w:hAnsi="宋体" w:cs="宋体"/>
                <w:color w:val="auto"/>
                <w:sz w:val="21"/>
                <w:szCs w:val="21"/>
                <w:highlight w:val="none"/>
              </w:rPr>
            </w:pPr>
          </w:p>
          <w:p w14:paraId="68B2C5F6">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69" w:type="dxa"/>
            <w:tcBorders>
              <w:top w:val="single" w:color="000000" w:sz="8" w:space="0"/>
              <w:left w:val="single" w:color="000000" w:sz="2" w:space="0"/>
              <w:bottom w:val="single" w:color="000000" w:sz="8" w:space="0"/>
              <w:right w:val="single" w:color="000000" w:sz="8" w:space="0"/>
            </w:tcBorders>
            <w:vAlign w:val="center"/>
          </w:tcPr>
          <w:p w14:paraId="61CAE346">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6FB5C4A7">
            <w:pPr>
              <w:snapToGrid w:val="0"/>
              <w:spacing w:line="240" w:lineRule="auto"/>
              <w:rPr>
                <w:rFonts w:ascii="宋体" w:hAnsi="宋体" w:cs="宋体"/>
                <w:color w:val="auto"/>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DBC93E">
            <w:pPr>
              <w:snapToGrid w:val="0"/>
              <w:spacing w:line="240" w:lineRule="auto"/>
              <w:jc w:val="center"/>
              <w:rPr>
                <w:rFonts w:ascii="宋体" w:hAnsi="宋体" w:cs="宋体"/>
                <w:color w:val="auto"/>
                <w:sz w:val="21"/>
                <w:szCs w:val="21"/>
                <w:highlight w:val="none"/>
              </w:rPr>
            </w:pPr>
          </w:p>
          <w:p w14:paraId="28333FE1">
            <w:pPr>
              <w:snapToGrid w:val="0"/>
              <w:spacing w:line="240" w:lineRule="auto"/>
              <w:jc w:val="center"/>
              <w:rPr>
                <w:rFonts w:ascii="宋体" w:hAnsi="宋体" w:cs="宋体"/>
                <w:color w:val="auto"/>
                <w:sz w:val="21"/>
                <w:szCs w:val="21"/>
                <w:highlight w:val="none"/>
              </w:rPr>
            </w:pPr>
          </w:p>
          <w:p w14:paraId="6A342D2A">
            <w:pPr>
              <w:snapToGrid w:val="0"/>
              <w:spacing w:line="240" w:lineRule="auto"/>
              <w:jc w:val="center"/>
              <w:rPr>
                <w:rFonts w:ascii="宋体" w:hAnsi="宋体" w:cs="宋体"/>
                <w:color w:val="auto"/>
                <w:sz w:val="21"/>
                <w:szCs w:val="21"/>
                <w:highlight w:val="none"/>
              </w:rPr>
            </w:pPr>
          </w:p>
          <w:p w14:paraId="418E86B3">
            <w:pPr>
              <w:snapToGrid w:val="0"/>
              <w:spacing w:line="240" w:lineRule="auto"/>
              <w:jc w:val="center"/>
              <w:rPr>
                <w:rFonts w:ascii="宋体" w:hAnsi="宋体" w:cs="宋体"/>
                <w:color w:val="auto"/>
                <w:sz w:val="21"/>
                <w:szCs w:val="21"/>
                <w:highlight w:val="none"/>
              </w:rPr>
            </w:pPr>
          </w:p>
          <w:p w14:paraId="0E64FF05">
            <w:pPr>
              <w:snapToGrid w:val="0"/>
              <w:spacing w:line="240" w:lineRule="auto"/>
              <w:jc w:val="center"/>
              <w:rPr>
                <w:rFonts w:ascii="宋体" w:hAnsi="宋体" w:cs="宋体"/>
                <w:color w:val="auto"/>
                <w:sz w:val="21"/>
                <w:szCs w:val="21"/>
                <w:highlight w:val="none"/>
              </w:rPr>
            </w:pPr>
          </w:p>
          <w:p w14:paraId="041197B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69" w:type="dxa"/>
            <w:tcBorders>
              <w:top w:val="single" w:color="000000" w:sz="8" w:space="0"/>
              <w:left w:val="single" w:color="000000" w:sz="2" w:space="0"/>
              <w:bottom w:val="single" w:color="000000" w:sz="8" w:space="0"/>
              <w:right w:val="single" w:color="000000" w:sz="8" w:space="0"/>
            </w:tcBorders>
            <w:vAlign w:val="center"/>
          </w:tcPr>
          <w:p w14:paraId="0B465982">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26F6D4D6">
            <w:pPr>
              <w:snapToGrid w:val="0"/>
              <w:spacing w:line="24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p>
          <w:p w14:paraId="695B4E90">
            <w:pPr>
              <w:snapToGrid w:val="0"/>
              <w:spacing w:line="240" w:lineRule="auto"/>
              <w:jc w:val="left"/>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投标报价包含</w:t>
            </w:r>
            <w:r>
              <w:rPr>
                <w:rFonts w:hint="eastAsia" w:ascii="宋体" w:hAnsi="宋体" w:cs="宋体"/>
                <w:b/>
                <w:bCs/>
                <w:color w:val="auto"/>
                <w:sz w:val="21"/>
                <w:szCs w:val="21"/>
                <w:highlight w:val="none"/>
                <w:u w:val="single"/>
              </w:rPr>
              <w:t>人员工资、加班工资、食宿费、交通费、办公费、工具费、法律法规规定的各种社会保险费、税金等费用</w:t>
            </w:r>
            <w:r>
              <w:rPr>
                <w:rFonts w:hint="eastAsia" w:ascii="宋体" w:hAnsi="宋体" w:cs="宋体"/>
                <w:b/>
                <w:bCs/>
                <w:color w:val="auto"/>
                <w:kern w:val="0"/>
                <w:sz w:val="21"/>
                <w:szCs w:val="21"/>
                <w:highlight w:val="none"/>
                <w:lang w:val="zh-CN"/>
              </w:rPr>
              <w:t>。</w:t>
            </w:r>
          </w:p>
          <w:p w14:paraId="2C50AF71">
            <w:pPr>
              <w:snapToGrid w:val="0"/>
              <w:spacing w:line="240" w:lineRule="auto"/>
              <w:jc w:val="left"/>
              <w:rPr>
                <w:rFonts w:ascii="宋体" w:hAnsi="宋体" w:cs="宋体"/>
                <w:b/>
                <w:color w:val="auto"/>
                <w:kern w:val="0"/>
                <w:sz w:val="21"/>
                <w:szCs w:val="21"/>
                <w:highlight w:val="none"/>
                <w:lang w:val="zh-CN"/>
              </w:rPr>
            </w:pP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 w:val="21"/>
                <w:szCs w:val="21"/>
                <w:highlight w:val="none"/>
                <w:lang w:val="zh-CN"/>
              </w:rPr>
              <w:t>提醒：验收时检测费用由采购人承担，不包含在投标总价中。</w:t>
            </w:r>
          </w:p>
          <w:p w14:paraId="48311F8A">
            <w:pPr>
              <w:snapToGrid w:val="0"/>
              <w:spacing w:line="24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0564907B">
            <w:pPr>
              <w:snapToGrid w:val="0"/>
              <w:spacing w:line="240" w:lineRule="auto"/>
              <w:ind w:firstLine="211" w:firstLineChars="100"/>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2FDCAA6B">
            <w:pPr>
              <w:snapToGrid w:val="0"/>
              <w:spacing w:line="240" w:lineRule="auto"/>
              <w:ind w:firstLine="211" w:firstLineChars="100"/>
              <w:jc w:val="left"/>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26D72BE4">
            <w:pPr>
              <w:spacing w:line="240" w:lineRule="auto"/>
              <w:ind w:firstLine="211" w:firstLineChars="100"/>
              <w:rPr>
                <w:rFonts w:ascii="宋体" w:hAnsi="宋体" w:cs="宋体"/>
                <w:b/>
                <w:color w:val="auto"/>
                <w:sz w:val="21"/>
                <w:szCs w:val="21"/>
                <w:highlight w:val="none"/>
              </w:rPr>
            </w:pPr>
            <w:r>
              <w:rPr>
                <w:rFonts w:hint="eastAsia" w:ascii="宋体" w:hAnsi="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rPr>
              <w:t>;</w:t>
            </w:r>
          </w:p>
          <w:p w14:paraId="15ECA2C9">
            <w:pPr>
              <w:spacing w:line="240" w:lineRule="auto"/>
              <w:ind w:firstLine="211" w:firstLineChars="100"/>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6449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422FCBE6">
            <w:pPr>
              <w:snapToGrid w:val="0"/>
              <w:spacing w:line="240" w:lineRule="auto"/>
              <w:jc w:val="center"/>
              <w:rPr>
                <w:rFonts w:ascii="宋体" w:hAnsi="宋体" w:cs="宋体"/>
                <w:color w:val="auto"/>
                <w:sz w:val="21"/>
                <w:szCs w:val="21"/>
                <w:highlight w:val="none"/>
              </w:rPr>
            </w:pPr>
          </w:p>
          <w:p w14:paraId="7F38605C">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69" w:type="dxa"/>
            <w:tcBorders>
              <w:top w:val="single" w:color="000000" w:sz="8" w:space="0"/>
              <w:left w:val="single" w:color="000000" w:sz="2" w:space="0"/>
              <w:right w:val="single" w:color="000000" w:sz="8" w:space="0"/>
            </w:tcBorders>
            <w:vAlign w:val="center"/>
          </w:tcPr>
          <w:p w14:paraId="466B3036">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855" w:type="dxa"/>
            <w:tcBorders>
              <w:top w:val="single" w:color="000000" w:sz="8" w:space="0"/>
              <w:left w:val="single" w:color="000000" w:sz="2" w:space="0"/>
              <w:right w:val="single" w:color="000000" w:sz="8" w:space="0"/>
            </w:tcBorders>
            <w:vAlign w:val="center"/>
          </w:tcPr>
          <w:p w14:paraId="2063C17B">
            <w:pPr>
              <w:spacing w:line="240" w:lineRule="auto"/>
              <w:ind w:firstLine="0" w:firstLineChars="0"/>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tcPr>
          <w:p w14:paraId="0EEC5C38">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69" w:type="dxa"/>
            <w:tcBorders>
              <w:top w:val="single" w:color="000000" w:sz="8" w:space="0"/>
              <w:left w:val="single" w:color="000000" w:sz="2" w:space="0"/>
              <w:bottom w:val="single" w:color="auto" w:sz="4" w:space="0"/>
              <w:right w:val="single" w:color="000000" w:sz="8" w:space="0"/>
            </w:tcBorders>
            <w:vAlign w:val="center"/>
          </w:tcPr>
          <w:p w14:paraId="76C6018C">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855" w:type="dxa"/>
            <w:tcBorders>
              <w:top w:val="single" w:color="000000" w:sz="8" w:space="0"/>
              <w:left w:val="single" w:color="000000" w:sz="2" w:space="0"/>
              <w:bottom w:val="single" w:color="auto" w:sz="4" w:space="0"/>
              <w:right w:val="single" w:color="000000" w:sz="8" w:space="0"/>
            </w:tcBorders>
            <w:vAlign w:val="center"/>
          </w:tcPr>
          <w:p w14:paraId="23C19DAB">
            <w:pPr>
              <w:pStyle w:val="9"/>
              <w:spacing w:line="240" w:lineRule="auto"/>
              <w:rPr>
                <w:rFonts w:hAnsi="宋体" w:cs="宋体"/>
                <w:color w:val="auto"/>
                <w:kern w:val="28"/>
                <w:sz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highlight w:val="none"/>
                <w:u w:val="single"/>
                <w:lang w:eastAsia="zh-CN"/>
              </w:rPr>
              <w:t>宁海县时代大道</w:t>
            </w:r>
            <w:r>
              <w:rPr>
                <w:rFonts w:hint="eastAsia" w:hAnsi="宋体" w:cs="宋体"/>
                <w:color w:val="auto"/>
                <w:sz w:val="21"/>
                <w:highlight w:val="none"/>
                <w:u w:val="single"/>
                <w:lang w:val="en-US" w:eastAsia="zh-CN"/>
              </w:rPr>
              <w:t>178号四楼</w:t>
            </w:r>
            <w:r>
              <w:rPr>
                <w:rFonts w:hint="eastAsia" w:hAnsi="宋体" w:cs="宋体"/>
                <w:color w:val="auto"/>
                <w:sz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胡工，0</w:t>
            </w:r>
            <w:r>
              <w:rPr>
                <w:rFonts w:hint="eastAsia" w:hAnsi="宋体" w:cs="宋体"/>
                <w:color w:val="auto"/>
                <w:sz w:val="21"/>
                <w:highlight w:val="none"/>
                <w:u w:val="single"/>
                <w:lang w:val="en-US" w:eastAsia="zh-CN"/>
              </w:rPr>
              <w:t>574-82533300</w:t>
            </w:r>
            <w:r>
              <w:rPr>
                <w:rFonts w:hint="eastAsia" w:hAnsi="宋体" w:cs="宋体"/>
                <w:color w:val="auto"/>
                <w:sz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674B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8EAACF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14:paraId="489FECA3">
            <w:pPr>
              <w:snapToGrid w:val="0"/>
              <w:spacing w:line="240" w:lineRule="auto"/>
              <w:jc w:val="center"/>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855" w:type="dxa"/>
            <w:tcBorders>
              <w:top w:val="single" w:color="auto" w:sz="4" w:space="0"/>
              <w:left w:val="single" w:color="auto" w:sz="4" w:space="0"/>
              <w:bottom w:val="single" w:color="auto" w:sz="4" w:space="0"/>
              <w:right w:val="single" w:color="auto" w:sz="4" w:space="0"/>
            </w:tcBorders>
            <w:vAlign w:val="center"/>
          </w:tcPr>
          <w:p w14:paraId="170DE0CA">
            <w:pPr>
              <w:spacing w:line="24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70C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6FA361">
            <w:pPr>
              <w:snapToGrid w:val="0"/>
              <w:spacing w:line="240" w:lineRule="auto"/>
              <w:jc w:val="center"/>
              <w:rPr>
                <w:rFonts w:ascii="宋体" w:hAnsi="宋体" w:cs="宋体"/>
                <w:color w:val="auto"/>
                <w:sz w:val="21"/>
                <w:szCs w:val="21"/>
                <w:highlight w:val="none"/>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40ACDB25">
            <w:pPr>
              <w:snapToGrid w:val="0"/>
              <w:spacing w:line="240" w:lineRule="auto"/>
              <w:jc w:val="center"/>
              <w:rPr>
                <w:rFonts w:ascii="宋体" w:hAnsi="宋体" w:cs="宋体"/>
                <w:b/>
                <w:color w:val="auto"/>
                <w:sz w:val="21"/>
                <w:szCs w:val="21"/>
                <w:highlight w:val="none"/>
              </w:rPr>
            </w:pPr>
          </w:p>
        </w:tc>
        <w:tc>
          <w:tcPr>
            <w:tcW w:w="6855" w:type="dxa"/>
            <w:tcBorders>
              <w:top w:val="single" w:color="auto" w:sz="4" w:space="0"/>
              <w:left w:val="single" w:color="auto" w:sz="4" w:space="0"/>
              <w:bottom w:val="single" w:color="auto" w:sz="4" w:space="0"/>
              <w:right w:val="single" w:color="auto" w:sz="4" w:space="0"/>
            </w:tcBorders>
            <w:vAlign w:val="center"/>
          </w:tcPr>
          <w:p w14:paraId="496FE715">
            <w:pPr>
              <w:spacing w:line="240" w:lineRule="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3820B282">
            <w:pPr>
              <w:spacing w:line="240" w:lineRule="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A0E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DCAF8">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14:paraId="65BF99F5">
            <w:pPr>
              <w:snapToGrid w:val="0"/>
              <w:spacing w:line="240" w:lineRule="auto"/>
              <w:jc w:val="center"/>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采购代理服务费</w:t>
            </w:r>
          </w:p>
        </w:tc>
        <w:tc>
          <w:tcPr>
            <w:tcW w:w="6855" w:type="dxa"/>
            <w:tcBorders>
              <w:top w:val="single" w:color="auto" w:sz="4" w:space="0"/>
              <w:left w:val="single" w:color="auto" w:sz="4" w:space="0"/>
              <w:bottom w:val="single" w:color="auto" w:sz="4" w:space="0"/>
              <w:right w:val="single" w:color="auto" w:sz="4" w:space="0"/>
            </w:tcBorders>
            <w:vAlign w:val="center"/>
          </w:tcPr>
          <w:p w14:paraId="57DB332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招标代理服务费的收取标准：</w:t>
            </w:r>
          </w:p>
          <w:p w14:paraId="6CF9FA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采购代理机构按</w:t>
            </w:r>
            <w:r>
              <w:rPr>
                <w:rFonts w:hint="eastAsia" w:ascii="宋体" w:hAnsi="宋体" w:eastAsia="宋体" w:cs="Arial"/>
                <w:color w:val="auto"/>
                <w:kern w:val="0"/>
                <w:sz w:val="21"/>
                <w:szCs w:val="21"/>
                <w:highlight w:val="none"/>
                <w:lang w:val="en-US" w:eastAsia="zh-CN"/>
              </w:rPr>
              <w:t>服务</w:t>
            </w:r>
            <w:r>
              <w:rPr>
                <w:rFonts w:hint="eastAsia" w:ascii="宋体" w:hAnsi="宋体" w:eastAsia="宋体" w:cs="Arial"/>
                <w:color w:val="auto"/>
                <w:kern w:val="0"/>
                <w:sz w:val="21"/>
                <w:szCs w:val="21"/>
                <w:highlight w:val="none"/>
              </w:rPr>
              <w:t>招标的标准（按差额定率累进法计算），根据本项目的</w:t>
            </w:r>
            <w:r>
              <w:rPr>
                <w:rFonts w:hint="eastAsia" w:ascii="宋体" w:hAnsi="宋体" w:eastAsia="宋体" w:cs="Arial"/>
                <w:color w:val="auto"/>
                <w:kern w:val="0"/>
                <w:sz w:val="21"/>
                <w:szCs w:val="21"/>
                <w:highlight w:val="none"/>
                <w:lang w:val="en-US" w:eastAsia="zh-CN"/>
              </w:rPr>
              <w:t>预算</w:t>
            </w:r>
            <w:r>
              <w:rPr>
                <w:rFonts w:hint="eastAsia" w:ascii="宋体" w:hAnsi="宋体" w:eastAsia="宋体" w:cs="Arial"/>
                <w:color w:val="auto"/>
                <w:kern w:val="0"/>
                <w:sz w:val="21"/>
                <w:szCs w:val="21"/>
                <w:highlight w:val="none"/>
              </w:rPr>
              <w:t>金额，向中标人收取招标代理服务费。</w:t>
            </w:r>
          </w:p>
          <w:p w14:paraId="28F9B8AC">
            <w:pPr>
              <w:spacing w:line="240" w:lineRule="auto"/>
              <w:rPr>
                <w:rFonts w:asciiTheme="minorEastAsia" w:hAnsiTheme="minorEastAsia" w:eastAsiaTheme="minorEastAsia"/>
                <w:color w:val="auto"/>
                <w:kern w:val="0"/>
                <w:sz w:val="21"/>
                <w:highlight w:val="none"/>
              </w:rPr>
            </w:pPr>
            <w:r>
              <w:rPr>
                <w:rFonts w:hint="eastAsia" w:ascii="宋体" w:hAnsi="宋体" w:eastAsia="宋体" w:cs="Arial"/>
                <w:color w:val="auto"/>
                <w:kern w:val="0"/>
                <w:sz w:val="21"/>
                <w:szCs w:val="21"/>
                <w:highlight w:val="none"/>
                <w:lang w:val="en-US" w:eastAsia="zh-CN"/>
              </w:rPr>
              <w:t>注：中标人</w:t>
            </w:r>
            <w:r>
              <w:rPr>
                <w:rFonts w:hint="eastAsia" w:ascii="宋体" w:hAnsi="宋体" w:eastAsia="宋体" w:cs="Arial"/>
                <w:color w:val="auto"/>
                <w:kern w:val="0"/>
                <w:sz w:val="21"/>
                <w:szCs w:val="21"/>
                <w:highlight w:val="none"/>
              </w:rPr>
              <w:t>接到本公司通知后5个工作日内向本采购代理机构领取成交通知书（根据</w:t>
            </w:r>
            <w:r>
              <w:rPr>
                <w:rFonts w:hint="eastAsia" w:ascii="宋体" w:hAnsi="宋体" w:eastAsia="宋体" w:cs="Arial"/>
                <w:color w:val="auto"/>
                <w:kern w:val="0"/>
                <w:sz w:val="21"/>
                <w:szCs w:val="21"/>
                <w:highlight w:val="none"/>
                <w:lang w:val="en-US" w:eastAsia="zh-CN"/>
              </w:rPr>
              <w:t>中标人</w:t>
            </w:r>
            <w:r>
              <w:rPr>
                <w:rFonts w:hint="eastAsia" w:ascii="宋体" w:hAnsi="宋体" w:eastAsia="宋体" w:cs="Arial"/>
                <w:color w:val="auto"/>
                <w:kern w:val="0"/>
                <w:sz w:val="21"/>
                <w:szCs w:val="21"/>
                <w:highlight w:val="none"/>
              </w:rPr>
              <w:t>需求可采用邮寄或到采购代理机构现场领取）。</w:t>
            </w:r>
          </w:p>
        </w:tc>
      </w:tr>
    </w:tbl>
    <w:p w14:paraId="3EA1A40E">
      <w:pPr>
        <w:snapToGrid w:val="0"/>
        <w:spacing w:line="360" w:lineRule="auto"/>
        <w:jc w:val="center"/>
        <w:rPr>
          <w:rFonts w:ascii="宋体" w:hAnsi="宋体" w:cs="宋体"/>
          <w:b/>
          <w:color w:val="auto"/>
          <w:sz w:val="32"/>
          <w:szCs w:val="20"/>
          <w:highlight w:val="none"/>
        </w:rPr>
      </w:pPr>
    </w:p>
    <w:bookmarkEnd w:id="10"/>
    <w:p w14:paraId="3043A5B3">
      <w:pPr>
        <w:adjustRightInd/>
        <w:spacing w:line="360" w:lineRule="auto"/>
        <w:ind w:firstLine="3365" w:firstLineChars="1197"/>
        <w:outlineLvl w:val="0"/>
        <w:rPr>
          <w:rFonts w:ascii="宋体" w:hAnsi="宋体" w:cs="宋体"/>
          <w:b/>
          <w:color w:val="auto"/>
          <w:sz w:val="28"/>
          <w:szCs w:val="28"/>
          <w:highlight w:val="none"/>
        </w:rPr>
      </w:pPr>
      <w:bookmarkStart w:id="11" w:name="_Toc164416483"/>
      <w:bookmarkStart w:id="12" w:name="第三部分"/>
      <w:r>
        <w:rPr>
          <w:rFonts w:hint="eastAsia" w:ascii="宋体" w:hAnsi="宋体" w:cs="宋体"/>
          <w:b/>
          <w:color w:val="auto"/>
          <w:sz w:val="28"/>
          <w:szCs w:val="28"/>
          <w:highlight w:val="none"/>
        </w:rPr>
        <w:t>一、总则</w:t>
      </w:r>
    </w:p>
    <w:p w14:paraId="2373CF91">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3FFA875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2F110AA6">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3FE68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5ACA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4DE04E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253AB5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58DA4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6915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5BA9FAA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2035C95D">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采购项目需要落实的政府采购政策</w:t>
      </w:r>
    </w:p>
    <w:p w14:paraId="2DA13F74">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8B87D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08C65531">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4F55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2CCA97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BF3D3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6862C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14968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AD1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283AC6FF">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27BC">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CE6A4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1"/>
          <w:szCs w:val="21"/>
          <w:highlight w:val="none"/>
        </w:rPr>
        <w:t>20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1"/>
          <w:szCs w:val="21"/>
          <w:highlight w:val="none"/>
        </w:rPr>
        <w:t>6</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66A3DA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B028E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1E4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1DCD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18C78C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407D9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3AF06CB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3452C05">
      <w:pPr>
        <w:pStyle w:val="3"/>
        <w:adjustRightInd w:val="0"/>
        <w:ind w:left="0" w:firstLine="420" w:firstLineChars="200"/>
        <w:rPr>
          <w:color w:val="auto"/>
          <w:sz w:val="21"/>
          <w:szCs w:val="21"/>
          <w:highlight w:val="none"/>
        </w:rPr>
      </w:pPr>
      <w:r>
        <w:rPr>
          <w:rFonts w:hint="eastAsia" w:ascii="宋体" w:hAnsi="宋体" w:eastAsia="宋体" w:cs="仿宋"/>
          <w:b w:val="0"/>
          <w:bCs w:val="0"/>
          <w:color w:val="auto"/>
          <w:sz w:val="21"/>
          <w:szCs w:val="21"/>
          <w:highlight w:val="none"/>
          <w:lang w:val="en-US"/>
        </w:rPr>
        <w:t>3.4.3 采购人应当贯彻落实知识产权保护相关法律法规，应当采购使用正版软件。</w:t>
      </w:r>
    </w:p>
    <w:p w14:paraId="00E360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DBC54C2">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color w:val="auto"/>
          <w:sz w:val="21"/>
          <w:szCs w:val="21"/>
          <w:highlight w:val="none"/>
        </w:rPr>
        <w:t>、补偿救济</w:t>
      </w:r>
    </w:p>
    <w:p w14:paraId="040317C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2C3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D4C6F33">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FFAD27">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23E96D9">
      <w:pPr>
        <w:pStyle w:val="9"/>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.1提出质疑的供应商应当是参与所质疑项目采购活动的供应商。潜在供应商已依法获取其可质疑的招标文件的，可以对该文件提出质疑。</w:t>
      </w:r>
    </w:p>
    <w:p w14:paraId="38AE9F70">
      <w:pPr>
        <w:pStyle w:val="9"/>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6EE238">
      <w:pPr>
        <w:pStyle w:val="4"/>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E7DA196">
      <w:pPr>
        <w:pStyle w:val="9"/>
        <w:spacing w:line="360" w:lineRule="auto"/>
        <w:ind w:left="479" w:leftChars="228"/>
        <w:rPr>
          <w:rFonts w:hAnsi="宋体" w:cs="宋体"/>
          <w:color w:val="auto"/>
          <w:sz w:val="21"/>
          <w:highlight w:val="none"/>
        </w:rPr>
      </w:pPr>
      <w:r>
        <w:rPr>
          <w:rFonts w:hint="eastAsia" w:hAnsi="宋体" w:cs="宋体"/>
          <w:color w:val="auto"/>
          <w:sz w:val="21"/>
          <w:highlight w:val="none"/>
        </w:rPr>
        <w:t>4.3.2.2对采购过程提出质疑的，质疑期限为各采购程序环节结束之日起计算。4.3.2.3对采购结果提出质疑的，质疑期限自采购结果公告期限届满之日起计算。</w:t>
      </w:r>
    </w:p>
    <w:p w14:paraId="443EFE27">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4.3.3</w:t>
      </w:r>
      <w:r>
        <w:rPr>
          <w:rFonts w:hint="eastAsia" w:hAnsi="宋体" w:cs="宋体"/>
          <w:color w:val="auto"/>
          <w:sz w:val="21"/>
          <w:highlight w:val="none"/>
        </w:rPr>
        <w:t>供应商提出质疑应当提交质疑函和必要的证明材料。质疑函应当包括下列内容：</w:t>
      </w:r>
    </w:p>
    <w:p w14:paraId="239C3AF4">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4.3.3.1供应商的姓名或者名称、地址、邮编、联系人及联系电话；</w:t>
      </w:r>
    </w:p>
    <w:p w14:paraId="460FCDE3">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4.3.3.2质疑项目的名称、编号；</w:t>
      </w:r>
    </w:p>
    <w:p w14:paraId="71CD15D0">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4.3.3.3具体、明确的质疑事项和与质疑事项相关的请求；</w:t>
      </w:r>
    </w:p>
    <w:p w14:paraId="3277958B">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4.3.3.4事实依据；</w:t>
      </w:r>
    </w:p>
    <w:p w14:paraId="00EF3263">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4.3.3.5必要的法律依据；</w:t>
      </w:r>
    </w:p>
    <w:p w14:paraId="7E74DF60">
      <w:pPr>
        <w:pStyle w:val="9"/>
        <w:spacing w:line="360" w:lineRule="auto"/>
        <w:ind w:firstLine="840" w:firstLineChars="400"/>
        <w:rPr>
          <w:rFonts w:hAnsi="宋体" w:cs="宋体"/>
          <w:color w:val="auto"/>
          <w:kern w:val="0"/>
          <w:sz w:val="21"/>
          <w:highlight w:val="none"/>
          <w:lang w:val="zh-CN"/>
        </w:rPr>
      </w:pPr>
      <w:r>
        <w:rPr>
          <w:rFonts w:hint="eastAsia" w:hAnsi="宋体" w:cs="宋体"/>
          <w:color w:val="auto"/>
          <w:kern w:val="0"/>
          <w:sz w:val="21"/>
          <w:highlight w:val="none"/>
          <w:lang w:val="zh-CN"/>
        </w:rPr>
        <w:t>4.3.3.6提出质疑的日期。</w:t>
      </w:r>
    </w:p>
    <w:p w14:paraId="59459510">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0ABD6E">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736C086">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46A64E8F">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市财政局关于进一步加强政府采购信息公开优化营商环境的通知》,采购人或者采购代理机构在质疑回复后5个工作日内，在浙江政府采购网的“其他公告”栏目公开质疑答复，答复内容应当完整。质疑函作为附件上传。</w:t>
      </w:r>
    </w:p>
    <w:p w14:paraId="7E69E37C">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0356D84">
      <w:pPr>
        <w:pStyle w:val="23"/>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56A52EBB">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F89084">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1E7AA56">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761307B8">
      <w:pPr>
        <w:pStyle w:val="23"/>
        <w:widowControl/>
        <w:shd w:val="clear" w:color="auto" w:fill="FFFFFF"/>
        <w:snapToGrid w:val="0"/>
        <w:spacing w:after="240" w:line="360" w:lineRule="auto"/>
        <w:ind w:firstLine="315" w:firstLineChars="150"/>
        <w:contextualSpacing/>
        <w:jc w:val="left"/>
        <w:rPr>
          <w:rFonts w:ascii="宋体" w:hAnsi="宋体" w:cs="宋体"/>
          <w:sz w:val="21"/>
          <w:szCs w:val="21"/>
        </w:rPr>
      </w:pPr>
      <w:r>
        <w:rPr>
          <w:rFonts w:hint="eastAsia"/>
          <w:color w:val="auto"/>
          <w:sz w:val="21"/>
          <w:szCs w:val="21"/>
          <w:highlight w:val="none"/>
        </w:rPr>
        <w:t>4.4.4以联合体形式参加政府采购活动的，其投诉应当由组成联合体的所有供应商共同提出。</w:t>
      </w:r>
      <w:r>
        <w:rPr>
          <w:rFonts w:hint="eastAsia" w:ascii="宋体" w:hAnsi="宋体" w:eastAsia="宋体" w:cs="宋体"/>
          <w:color w:val="auto"/>
          <w:kern w:val="0"/>
          <w:sz w:val="21"/>
          <w:szCs w:val="21"/>
          <w:highlight w:val="none"/>
        </w:rPr>
        <w:t>4.4.5根据政府采购行政裁决省市区三级联动试点工作安排，采购项目投诉材料可寄送至宁海县政府采购管理办公室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w:t>
      </w:r>
      <w:r>
        <w:rPr>
          <w:rFonts w:hint="eastAsia" w:ascii="宋体" w:hAnsi="宋体" w:cs="宋体"/>
          <w:kern w:val="0"/>
          <w:sz w:val="21"/>
          <w:szCs w:val="21"/>
        </w:rPr>
        <w:t>址：宁海县跃龙街道桃源中路218号</w:t>
      </w:r>
      <w:r>
        <w:rPr>
          <w:rFonts w:hint="eastAsia" w:ascii="宋体" w:hAnsi="宋体" w:cs="宋体"/>
          <w:kern w:val="0"/>
          <w:sz w:val="21"/>
          <w:szCs w:val="21"/>
          <w:lang w:eastAsia="zh-CN"/>
        </w:rPr>
        <w:t>，</w:t>
      </w:r>
      <w:r>
        <w:rPr>
          <w:rFonts w:hint="eastAsia" w:ascii="宋体" w:hAnsi="宋体" w:cs="宋体"/>
          <w:kern w:val="0"/>
          <w:sz w:val="21"/>
          <w:szCs w:val="21"/>
        </w:rPr>
        <w:t xml:space="preserve">联系人：王老师 </w:t>
      </w:r>
      <w:r>
        <w:rPr>
          <w:rFonts w:hint="eastAsia" w:ascii="宋体" w:hAnsi="宋体" w:cs="宋体"/>
          <w:kern w:val="0"/>
          <w:sz w:val="21"/>
          <w:szCs w:val="21"/>
          <w:lang w:eastAsia="zh-CN"/>
        </w:rPr>
        <w:t>，</w:t>
      </w:r>
      <w:r>
        <w:rPr>
          <w:rFonts w:hint="eastAsia" w:ascii="宋体" w:hAnsi="宋体" w:cs="宋体"/>
          <w:kern w:val="0"/>
          <w:sz w:val="21"/>
          <w:szCs w:val="21"/>
        </w:rPr>
        <w:t>联系电话：0574-65265668   传真号码：0574-65265612</w:t>
      </w:r>
    </w:p>
    <w:p w14:paraId="5FAD0F8F">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7CDFF085">
      <w:pPr>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ascii="宋体" w:hAnsi="宋体" w:cs="仿宋"/>
          <w:color w:val="auto"/>
          <w:sz w:val="21"/>
          <w:szCs w:val="21"/>
          <w:highlight w:val="none"/>
        </w:rPr>
        <w:t>采购人（行政机关）因政策变化、规划调整而不履行政府采购合同的，供应商可依据《</w:t>
      </w:r>
      <w:r>
        <w:rPr>
          <w:rFonts w:hint="eastAsia" w:ascii="宋体" w:hAnsi="宋体" w:cs="仿宋"/>
          <w:color w:val="auto"/>
          <w:sz w:val="21"/>
          <w:szCs w:val="21"/>
          <w:highlight w:val="none"/>
          <w:lang w:eastAsia="zh-CN"/>
        </w:rPr>
        <w:t>宁波</w:t>
      </w:r>
      <w:r>
        <w:rPr>
          <w:rFonts w:hint="eastAsia" w:ascii="宋体" w:hAnsi="宋体" w:cs="仿宋"/>
          <w:color w:val="auto"/>
          <w:sz w:val="21"/>
          <w:szCs w:val="21"/>
          <w:highlight w:val="none"/>
        </w:rPr>
        <w:t>市涉企补偿救济实施办法（试行）》向采购人（行政机关）提起补偿申请。</w:t>
      </w:r>
    </w:p>
    <w:p w14:paraId="2D646DFF">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566B5241">
      <w:pPr>
        <w:pStyle w:val="21"/>
        <w:snapToGrid w:val="0"/>
        <w:spacing w:before="0"/>
        <w:ind w:firstLine="360"/>
        <w:rPr>
          <w:rFonts w:ascii="宋体" w:hAnsi="宋体" w:cs="宋体"/>
          <w:color w:val="auto"/>
          <w:sz w:val="21"/>
          <w:szCs w:val="21"/>
          <w:highlight w:val="none"/>
        </w:rPr>
      </w:pPr>
    </w:p>
    <w:p w14:paraId="0FE2FA01">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二、招标文件的构成、澄清、修改</w:t>
      </w:r>
    </w:p>
    <w:p w14:paraId="2385A4BF">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17DBAF16">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134D2271">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51BEB104">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7221618B">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64297D74">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5.1.4评标办法；</w:t>
      </w:r>
    </w:p>
    <w:p w14:paraId="55AFFC02">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5B42EC19">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highlight w:val="none"/>
        </w:rPr>
        <w:t>5.1.6</w:t>
      </w:r>
      <w:r>
        <w:rPr>
          <w:rFonts w:hint="eastAsia" w:hAnsi="宋体" w:cs="宋体"/>
          <w:color w:val="auto"/>
          <w:sz w:val="21"/>
          <w:szCs w:val="21"/>
          <w:highlight w:val="none"/>
        </w:rPr>
        <w:t>应提交的有关格式范例。</w:t>
      </w:r>
    </w:p>
    <w:p w14:paraId="063FF4F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F9C9F09">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3542C30A">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467BD277">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34D255">
      <w:pPr>
        <w:pStyle w:val="5"/>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78FF670F">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1A743DF">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B9C3C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0A2590">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6F984F3">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E4D9D9B">
      <w:pPr>
        <w:pStyle w:val="9"/>
        <w:spacing w:line="360" w:lineRule="auto"/>
        <w:rPr>
          <w:rFonts w:hAnsi="宋体" w:cs="宋体"/>
          <w:b/>
          <w:color w:val="auto"/>
          <w:szCs w:val="21"/>
          <w:highlight w:val="none"/>
        </w:rPr>
      </w:pPr>
      <w:r>
        <w:rPr>
          <w:rFonts w:hint="eastAsia" w:hAnsi="宋体" w:cs="宋体"/>
          <w:b/>
          <w:color w:val="auto"/>
          <w:kern w:val="28"/>
          <w:sz w:val="21"/>
          <w:szCs w:val="21"/>
          <w:highlight w:val="none"/>
        </w:rPr>
        <w:t>9.投标保证金</w:t>
      </w:r>
    </w:p>
    <w:p w14:paraId="5A14395D">
      <w:pPr>
        <w:pStyle w:val="4"/>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B83D07E">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306B83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B46EC9C">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546EB8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532B63C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994FC6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r>
        <w:rPr>
          <w:rFonts w:hint="eastAsia" w:ascii="宋体" w:hAnsi="宋体" w:cs="宋体"/>
          <w:snapToGrid w:val="0"/>
          <w:color w:val="auto"/>
          <w:kern w:val="28"/>
          <w:sz w:val="21"/>
          <w:szCs w:val="21"/>
          <w:highlight w:val="none"/>
        </w:rPr>
        <w:t>联合协议（如果有)；</w:t>
      </w:r>
    </w:p>
    <w:p w14:paraId="634AFB9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7871C6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0DAFC5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60DA2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638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07DA283B">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p>
    <w:p w14:paraId="24BA885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9C43E47">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13D4CF54">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040C567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AD5530D">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A8B2273">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2FDC8D4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3EE72CB2">
      <w:pPr>
        <w:pStyle w:val="3"/>
        <w:adjustRightInd w:val="0"/>
        <w:ind w:left="0" w:firstLine="840" w:firstLineChars="400"/>
        <w:rPr>
          <w:color w:val="auto"/>
          <w:sz w:val="21"/>
          <w:szCs w:val="21"/>
          <w:highlight w:val="none"/>
        </w:rPr>
      </w:pPr>
      <w:r>
        <w:rPr>
          <w:rFonts w:hint="eastAsia" w:ascii="宋体" w:hAnsi="宋体" w:eastAsia="宋体" w:cs="宋体"/>
          <w:b w:val="0"/>
          <w:bCs w:val="0"/>
          <w:color w:val="auto"/>
          <w:sz w:val="21"/>
          <w:szCs w:val="21"/>
          <w:highlight w:val="none"/>
          <w:lang w:val="en-US"/>
        </w:rPr>
        <w:t>11.3.2 报价情况说明（如供应商报价低于项目预算50%的，应当提交本文档，详细阐述不影响产品质量或者诚信履约的具体原因）；</w:t>
      </w:r>
    </w:p>
    <w:p w14:paraId="4AB737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588F99FC">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6AA83BF1">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96B3A7A">
      <w:pPr>
        <w:spacing w:line="360" w:lineRule="auto"/>
        <w:ind w:firstLine="630" w:firstLineChars="300"/>
        <w:rPr>
          <w:color w:val="auto"/>
          <w:szCs w:val="21"/>
          <w:highlight w:val="none"/>
        </w:rPr>
      </w:pPr>
      <w:r>
        <w:rPr>
          <w:rFonts w:hint="eastAsia"/>
          <w:color w:val="auto"/>
          <w:sz w:val="21"/>
          <w:szCs w:val="21"/>
          <w:highlight w:val="none"/>
          <w:shd w:val="clear" w:color="auto" w:fill="FFFFFF"/>
        </w:rPr>
        <w:t>投标人应对投标文件中材料的真实性、合法性负责。</w:t>
      </w:r>
    </w:p>
    <w:p w14:paraId="1DE09F7C">
      <w:pPr>
        <w:pStyle w:val="21"/>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6B96666">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EF956B">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AE1D4">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8FB051">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5C80C7E">
      <w:pPr>
        <w:pStyle w:val="21"/>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069115BC">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FF2A71E">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10B7539">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5FF314B">
      <w:pPr>
        <w:pStyle w:val="21"/>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70DD2">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5A0FD">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2F2690">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9ADBB83">
      <w:pPr>
        <w:pStyle w:val="9"/>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31644E78">
      <w:pPr>
        <w:pStyle w:val="9"/>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highlight w:val="none"/>
        </w:rPr>
        <w:t>DVD光盘等存储介质</w:t>
      </w:r>
      <w:r>
        <w:rPr>
          <w:rFonts w:hint="eastAsia" w:hAnsi="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highlight w:val="none"/>
        </w:rPr>
        <w:t>不符合上述制作、</w:t>
      </w:r>
      <w:r>
        <w:rPr>
          <w:rFonts w:hint="eastAsia" w:hAnsi="宋体" w:cs="宋体"/>
          <w:b/>
          <w:color w:val="auto"/>
          <w:sz w:val="21"/>
          <w:szCs w:val="21"/>
          <w:highlight w:val="none"/>
        </w:rPr>
        <w:t>存储、密封规定的备份投标文件将被视为无效或者被拒绝接收。</w:t>
      </w:r>
    </w:p>
    <w:p w14:paraId="44F66611">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0634871A">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5CB20667">
      <w:pPr>
        <w:pStyle w:val="9"/>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3CDAABAA">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2CB9FE69">
      <w:pPr>
        <w:pStyle w:val="7"/>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B6D4F5B">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0B2A2C5">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2F8A19D9">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34F2673">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31D177">
      <w:pPr>
        <w:pStyle w:val="21"/>
        <w:spacing w:before="0"/>
        <w:ind w:firstLine="643"/>
        <w:rPr>
          <w:rFonts w:ascii="宋体" w:hAnsi="宋体" w:cs="宋体"/>
          <w:b/>
          <w:color w:val="auto"/>
          <w:sz w:val="21"/>
          <w:szCs w:val="21"/>
          <w:highlight w:val="none"/>
        </w:rPr>
      </w:pPr>
    </w:p>
    <w:p w14:paraId="4CDF8330">
      <w:pPr>
        <w:pStyle w:val="21"/>
        <w:spacing w:before="0"/>
        <w:ind w:firstLine="1265" w:firstLineChars="600"/>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370F4F96">
      <w:pPr>
        <w:pStyle w:val="24"/>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448FB2D4">
      <w:pPr>
        <w:pStyle w:val="24"/>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D2A4778">
      <w:pPr>
        <w:pStyle w:val="24"/>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1806B1">
      <w:pPr>
        <w:pStyle w:val="24"/>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F3AFBF4">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43CC4D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7118A5CE">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0D11E02">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1775F">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1B680EF">
      <w:pPr>
        <w:pStyle w:val="21"/>
        <w:snapToGrid w:val="0"/>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3DF3B5">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61E5BE6">
      <w:pPr>
        <w:pStyle w:val="2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2F1A549C">
      <w:pPr>
        <w:pStyle w:val="2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3A7DD06">
      <w:pPr>
        <w:pStyle w:val="2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、政府采购严重违法失信行为记录名单的投标人将被拒绝参与政府采购活动。</w:t>
      </w:r>
    </w:p>
    <w:p w14:paraId="7639B3FF">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51514D">
      <w:pPr>
        <w:pStyle w:val="21"/>
        <w:spacing w:before="0"/>
        <w:ind w:firstLine="0" w:firstLineChars="0"/>
        <w:rPr>
          <w:rFonts w:ascii="宋体" w:hAnsi="宋体" w:cs="宋体"/>
          <w:color w:val="auto"/>
          <w:kern w:val="0"/>
          <w:sz w:val="21"/>
          <w:szCs w:val="21"/>
          <w:highlight w:val="none"/>
        </w:rPr>
      </w:pPr>
    </w:p>
    <w:p w14:paraId="6AF6151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02DCF510">
      <w:pPr>
        <w:spacing w:line="360" w:lineRule="auto"/>
        <w:rPr>
          <w:rFonts w:ascii="宋体" w:hAnsi="宋体" w:cs="宋体"/>
          <w:b/>
          <w:color w:val="auto"/>
          <w:sz w:val="21"/>
          <w:szCs w:val="21"/>
          <w:highlight w:val="none"/>
        </w:rPr>
      </w:pPr>
      <w:bookmarkStart w:id="13" w:name="_Toc91899903"/>
      <w:r>
        <w:rPr>
          <w:rFonts w:hint="eastAsia" w:ascii="宋体" w:hAnsi="宋体" w:cs="宋体"/>
          <w:b/>
          <w:color w:val="auto"/>
          <w:sz w:val="21"/>
          <w:szCs w:val="21"/>
          <w:highlight w:val="none"/>
        </w:rPr>
        <w:t>21.</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评标委员会【评标委员会由采购人代表和评审专家组成，成员人数为5人（采购人代表1人，评标专家4人由采购代理机构在政采云政企区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5BBBEEF">
      <w:pPr>
        <w:spacing w:line="360" w:lineRule="auto"/>
        <w:rPr>
          <w:rFonts w:ascii="宋体" w:hAnsi="宋体" w:cs="宋体"/>
          <w:b/>
          <w:color w:val="auto"/>
          <w:sz w:val="21"/>
          <w:szCs w:val="21"/>
          <w:highlight w:val="none"/>
        </w:rPr>
      </w:pPr>
    </w:p>
    <w:p w14:paraId="7D1CD204">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456CDFFE">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6B74F058">
      <w:pPr>
        <w:pStyle w:val="21"/>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C40070">
      <w:pPr>
        <w:pStyle w:val="2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2EB8BAE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A49EA5B">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1"/>
          <w:szCs w:val="21"/>
          <w:highlight w:val="none"/>
        </w:rPr>
        <w:t>资格审查情况、评审专家抽取规则、符合性审查情况、</w:t>
      </w:r>
      <w:bookmarkEnd w:id="14"/>
      <w:r>
        <w:rPr>
          <w:rFonts w:hint="eastAsia" w:ascii="宋体" w:hAnsi="宋体" w:cs="宋体"/>
          <w:color w:val="auto"/>
          <w:sz w:val="21"/>
          <w:szCs w:val="21"/>
          <w:highlight w:val="none"/>
        </w:rPr>
        <w:t>未中标情况说明、中标公告期限以及评审专家名单、评分汇总及明细、中小企业声明函。</w:t>
      </w:r>
    </w:p>
    <w:p w14:paraId="7361D6ED">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33581">
      <w:pPr>
        <w:pStyle w:val="21"/>
        <w:snapToGrid w:val="0"/>
        <w:spacing w:before="0"/>
        <w:ind w:firstLine="482"/>
        <w:rPr>
          <w:rStyle w:val="19"/>
          <w:color w:val="auto"/>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70137F02">
      <w:pPr>
        <w:pStyle w:val="25"/>
        <w:rPr>
          <w:color w:val="auto"/>
          <w:sz w:val="21"/>
          <w:szCs w:val="21"/>
          <w:highlight w:val="none"/>
        </w:rPr>
      </w:pPr>
    </w:p>
    <w:p w14:paraId="1FCFB94E">
      <w:pPr>
        <w:snapToGrid w:val="0"/>
        <w:spacing w:line="360" w:lineRule="auto"/>
        <w:ind w:left="120" w:leftChars="57" w:firstLine="316" w:firstLineChars="150"/>
        <w:jc w:val="center"/>
        <w:rPr>
          <w:rFonts w:ascii="宋体" w:hAnsi="宋体" w:cs="宋体"/>
          <w:b/>
          <w:color w:val="auto"/>
          <w:sz w:val="21"/>
          <w:szCs w:val="21"/>
          <w:highlight w:val="none"/>
        </w:rPr>
      </w:pPr>
    </w:p>
    <w:p w14:paraId="4807D158">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368B2D9A">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12466D7">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D9BBC18">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A63C60">
      <w:pPr>
        <w:pStyle w:val="21"/>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A5207F">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F93F37A">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41B6F3D">
      <w:pPr>
        <w:pStyle w:val="21"/>
        <w:snapToGrid w:val="0"/>
        <w:spacing w:before="0" w:after="12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18FBD0">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39B719A0">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E49CB21">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2CF22B">
      <w:pPr>
        <w:pStyle w:val="3"/>
        <w:rPr>
          <w:color w:val="auto"/>
          <w:sz w:val="21"/>
          <w:szCs w:val="21"/>
          <w:highlight w:val="none"/>
        </w:rPr>
      </w:pPr>
      <w:r>
        <w:rPr>
          <w:rFonts w:ascii="宋体" w:hAnsi="宋体" w:eastAsia="宋体"/>
          <w:color w:val="auto"/>
          <w:sz w:val="21"/>
          <w:szCs w:val="21"/>
          <w:highlight w:val="none"/>
          <w:lang w:val="en-US"/>
        </w:rPr>
        <w:t>27.预付款</w:t>
      </w:r>
    </w:p>
    <w:p w14:paraId="02654C59">
      <w:pPr>
        <w:adjustRightInd/>
        <w:spacing w:line="360" w:lineRule="auto"/>
        <w:ind w:firstLine="420" w:firstLineChars="200"/>
        <w:rPr>
          <w:color w:val="auto"/>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138311D0">
      <w:pPr>
        <w:rPr>
          <w:color w:val="auto"/>
          <w:szCs w:val="21"/>
          <w:highlight w:val="none"/>
        </w:rPr>
      </w:pPr>
    </w:p>
    <w:p w14:paraId="736FFE6B">
      <w:pPr>
        <w:snapToGrid w:val="0"/>
        <w:spacing w:line="360" w:lineRule="auto"/>
        <w:ind w:firstLine="2203" w:firstLineChars="1045"/>
        <w:rPr>
          <w:rFonts w:ascii="宋体" w:hAnsi="宋体" w:cs="宋体"/>
          <w:b/>
          <w:color w:val="auto"/>
          <w:sz w:val="21"/>
          <w:szCs w:val="21"/>
          <w:highlight w:val="none"/>
        </w:rPr>
      </w:pPr>
    </w:p>
    <w:p w14:paraId="1AC321BC">
      <w:pPr>
        <w:snapToGrid w:val="0"/>
        <w:spacing w:line="360" w:lineRule="auto"/>
        <w:ind w:firstLine="2203" w:firstLineChars="1045"/>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153F7B1F">
      <w:pPr>
        <w:pStyle w:val="21"/>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C551D65">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482268">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CDC2BED">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16821F8">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902A109">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5EBA22E">
      <w:pPr>
        <w:pStyle w:val="21"/>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0C0BCF">
      <w:pPr>
        <w:tabs>
          <w:tab w:val="left" w:pos="0"/>
        </w:tabs>
        <w:spacing w:line="360" w:lineRule="auto"/>
        <w:ind w:firstLine="480"/>
        <w:rPr>
          <w:rFonts w:ascii="宋体" w:hAnsi="宋体" w:cs="宋体"/>
          <w:color w:val="auto"/>
          <w:sz w:val="21"/>
          <w:szCs w:val="21"/>
          <w:highlight w:val="none"/>
        </w:rPr>
      </w:pPr>
    </w:p>
    <w:p w14:paraId="47B75751">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59563F04">
      <w:pPr>
        <w:pStyle w:val="7"/>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B67FD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AD38F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4B2E119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验收小组共5人，由采购人1人、专家4人（由第三方代理机构从政采云政企区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FA41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41567A">
      <w:pPr>
        <w:pStyle w:val="3"/>
        <w:adjustRightInd w:val="0"/>
        <w:snapToGrid w:val="0"/>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D5FE9C">
      <w:pPr>
        <w:pStyle w:val="25"/>
        <w:rPr>
          <w:color w:val="auto"/>
          <w:sz w:val="21"/>
          <w:szCs w:val="21"/>
          <w:highlight w:val="none"/>
        </w:rPr>
      </w:pPr>
    </w:p>
    <w:bookmarkEnd w:id="13"/>
    <w:p w14:paraId="3B36B126">
      <w:pPr>
        <w:tabs>
          <w:tab w:val="left" w:pos="0"/>
        </w:tabs>
        <w:spacing w:line="360" w:lineRule="auto"/>
        <w:ind w:firstLine="480"/>
        <w:rPr>
          <w:rFonts w:ascii="宋体" w:hAnsi="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74714665"/>
      <w:bookmarkEnd w:id="15"/>
      <w:bookmarkStart w:id="16" w:name="_Hlt74707468"/>
      <w:bookmarkEnd w:id="16"/>
      <w:bookmarkStart w:id="17" w:name="_Hlt68403820"/>
      <w:bookmarkEnd w:id="17"/>
      <w:bookmarkStart w:id="18" w:name="_Hlt68057669"/>
      <w:bookmarkEnd w:id="18"/>
      <w:bookmarkStart w:id="19" w:name="_Hlt68072998"/>
      <w:bookmarkEnd w:id="19"/>
      <w:bookmarkStart w:id="20" w:name="_Hlt68073093"/>
      <w:bookmarkEnd w:id="20"/>
      <w:bookmarkStart w:id="21" w:name="_Hlt75236101"/>
      <w:bookmarkEnd w:id="21"/>
      <w:bookmarkStart w:id="22" w:name="_Hlt75236011"/>
      <w:bookmarkEnd w:id="22"/>
      <w:bookmarkStart w:id="23" w:name="_Hlt68072990"/>
      <w:bookmarkEnd w:id="23"/>
      <w:bookmarkStart w:id="24" w:name="_Hlt75236290"/>
      <w:bookmarkEnd w:id="24"/>
      <w:bookmarkStart w:id="25" w:name="_Hlt74730295"/>
      <w:bookmarkEnd w:id="25"/>
      <w:bookmarkStart w:id="26" w:name="_Hlt74729768"/>
      <w:bookmarkEnd w:id="26"/>
    </w:p>
    <w:bookmarkEnd w:id="11"/>
    <w:bookmarkEnd w:id="12"/>
    <w:p w14:paraId="66C52A42">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BA28DC2">
      <w:pPr>
        <w:widowControl/>
        <w:spacing w:before="150" w:after="150" w:line="440" w:lineRule="exact"/>
        <w:jc w:val="left"/>
        <w:rPr>
          <w:rFonts w:ascii="宋体" w:hAnsi="宋体" w:cs="宋体"/>
          <w:szCs w:val="21"/>
        </w:rPr>
      </w:pPr>
      <w:r>
        <w:rPr>
          <w:rFonts w:hint="eastAsia" w:ascii="宋体" w:hAnsi="宋体" w:cs="宋体"/>
          <w:b/>
          <w:kern w:val="0"/>
          <w:szCs w:val="21"/>
        </w:rPr>
        <w:t>一、项目概况</w:t>
      </w:r>
    </w:p>
    <w:p w14:paraId="40616467">
      <w:pPr>
        <w:adjustRightInd w:val="0"/>
        <w:snapToGrid w:val="0"/>
        <w:spacing w:line="440" w:lineRule="exact"/>
        <w:ind w:firstLine="420" w:firstLineChars="200"/>
        <w:rPr>
          <w:rFonts w:ascii="宋体" w:hAnsi="宋体" w:cs="宋体"/>
          <w:szCs w:val="21"/>
        </w:rPr>
      </w:pPr>
      <w:r>
        <w:rPr>
          <w:rFonts w:hint="eastAsia" w:ascii="宋体" w:hAnsi="宋体" w:cs="宋体"/>
          <w:szCs w:val="21"/>
        </w:rPr>
        <w:t>（一）项目将由一家单位独立承包，实行统一管理，综合服务，不得分包经营。项目实行总负责制，要求由项目总负责人和各部分业务主管组成项目的核心服务团队。要求投标人承诺派出的核心服务团队成员到岗率达100%，并接受采购人的考核。要求服务人员配置合理，统筹使用；品质保证，卫生健康，服务规范；全体员工在服务期间，必须仪容整洁、仪表端正、礼仪规范；同时要求在采购人的管理下做好节能工作，配合采购人实现能耗逐年下降。</w:t>
      </w:r>
    </w:p>
    <w:p w14:paraId="0D3107DC">
      <w:pPr>
        <w:adjustRightInd w:val="0"/>
        <w:snapToGrid w:val="0"/>
        <w:spacing w:line="440" w:lineRule="exact"/>
        <w:ind w:firstLine="210" w:firstLineChars="100"/>
        <w:rPr>
          <w:rFonts w:ascii="宋体" w:hAnsi="宋体" w:cs="宋体"/>
          <w:b/>
          <w:szCs w:val="21"/>
        </w:rPr>
      </w:pPr>
      <w:r>
        <w:rPr>
          <w:rFonts w:hint="eastAsia" w:ascii="宋体" w:hAnsi="宋体" w:cs="宋体"/>
          <w:szCs w:val="21"/>
        </w:rPr>
        <w:t>（二）</w:t>
      </w:r>
      <w:r>
        <w:rPr>
          <w:rFonts w:hint="eastAsia" w:ascii="宋体" w:hAnsi="宋体" w:cs="宋体"/>
          <w:b/>
          <w:szCs w:val="21"/>
        </w:rPr>
        <w:t>本项目采购</w:t>
      </w:r>
    </w:p>
    <w:p w14:paraId="1C31B11F">
      <w:pPr>
        <w:adjustRightInd w:val="0"/>
        <w:snapToGrid w:val="0"/>
        <w:spacing w:line="440" w:lineRule="exact"/>
        <w:ind w:firstLine="420" w:firstLineChars="200"/>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投标方承担费用包括以下：(1)人员费用(工资、津贴、各种社会保险、福利、行政办公费用、服装费、培训费、食宿费等)；(2)  管理费等完成本项目所需的所有一切费用(投标人提供专业的管理团队(主要包括主厨、帮厨)进行管理)</w:t>
      </w:r>
      <w:r>
        <w:rPr>
          <w:rFonts w:hint="eastAsia" w:ascii="宋体" w:hAnsi="宋体" w:cs="宋体"/>
          <w:szCs w:val="21"/>
          <w:lang w:eastAsia="zh-CN"/>
        </w:rPr>
        <w:t>。</w:t>
      </w:r>
    </w:p>
    <w:p w14:paraId="1859C651">
      <w:pPr>
        <w:widowControl/>
        <w:spacing w:before="150" w:after="150" w:line="440" w:lineRule="exact"/>
        <w:ind w:firstLine="210" w:firstLineChars="100"/>
        <w:jc w:val="left"/>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招标方应承担的费用：(1) 厨房设备、用具维护及用水、用电；(</w:t>
      </w:r>
      <w:r>
        <w:rPr>
          <w:rFonts w:hint="eastAsia" w:ascii="宋体" w:hAnsi="宋体" w:cs="宋体"/>
          <w:szCs w:val="21"/>
          <w:lang w:val="en-US" w:eastAsia="zh-CN"/>
        </w:rPr>
        <w:t>2</w:t>
      </w:r>
      <w:r>
        <w:rPr>
          <w:rFonts w:hint="eastAsia" w:ascii="宋体" w:hAnsi="宋体" w:cs="宋体"/>
          <w:szCs w:val="21"/>
        </w:rPr>
        <w:t>) 燃气；(</w:t>
      </w:r>
      <w:r>
        <w:rPr>
          <w:rFonts w:hint="eastAsia" w:ascii="宋体" w:hAnsi="宋体" w:cs="宋体"/>
          <w:szCs w:val="21"/>
          <w:lang w:val="en-US" w:eastAsia="zh-CN"/>
        </w:rPr>
        <w:t>3</w:t>
      </w:r>
      <w:r>
        <w:rPr>
          <w:rFonts w:hint="eastAsia" w:ascii="宋体" w:hAnsi="宋体" w:cs="宋体"/>
          <w:szCs w:val="21"/>
        </w:rPr>
        <w:t>) 调料及餐巾纸、牙签、洗洁精等低值易耗品等；(</w:t>
      </w:r>
      <w:r>
        <w:rPr>
          <w:rFonts w:hint="eastAsia" w:ascii="宋体" w:hAnsi="宋体" w:cs="宋体"/>
          <w:szCs w:val="21"/>
          <w:lang w:val="en-US" w:eastAsia="zh-CN"/>
        </w:rPr>
        <w:t>4</w:t>
      </w:r>
      <w:r>
        <w:rPr>
          <w:rFonts w:hint="eastAsia" w:ascii="宋体" w:hAnsi="宋体" w:cs="宋体"/>
          <w:szCs w:val="21"/>
        </w:rPr>
        <w:t>)规定费用：有关管理部门收取的检测、测试费用以及排污、垃圾清运等费用(招标方负责原材料采购、配有蒸煮、烹饪、切配、拆洗、消毒、等工作间，以及节能大灶、蒸饭车、冰箱、工作台、等设备设施)</w:t>
      </w:r>
      <w:r>
        <w:rPr>
          <w:rFonts w:hint="eastAsia" w:ascii="宋体" w:hAnsi="宋体" w:cs="宋体"/>
          <w:szCs w:val="21"/>
          <w:lang w:eastAsia="zh-CN"/>
        </w:rPr>
        <w:t>。</w:t>
      </w:r>
    </w:p>
    <w:p w14:paraId="1FDEA9CD">
      <w:pPr>
        <w:adjustRightInd w:val="0"/>
        <w:snapToGrid w:val="0"/>
        <w:spacing w:line="360" w:lineRule="auto"/>
        <w:rPr>
          <w:rFonts w:ascii="宋体" w:hAnsi="宋体" w:cs="宋体"/>
          <w:szCs w:val="21"/>
        </w:rPr>
      </w:pPr>
      <w:r>
        <w:rPr>
          <w:rFonts w:hint="eastAsia" w:ascii="宋体" w:hAnsi="宋体" w:cs="宋体"/>
          <w:szCs w:val="21"/>
          <w:lang w:eastAsia="zh-CN"/>
        </w:rPr>
        <w:t>二</w:t>
      </w:r>
      <w:r>
        <w:rPr>
          <w:rFonts w:hint="eastAsia" w:ascii="宋体" w:hAnsi="宋体" w:cs="宋体"/>
          <w:szCs w:val="21"/>
        </w:rPr>
        <w:t>、</w:t>
      </w:r>
      <w:r>
        <w:rPr>
          <w:rFonts w:hint="eastAsia" w:ascii="宋体" w:hAnsi="宋体" w:cs="宋体"/>
          <w:b/>
          <w:bCs/>
          <w:szCs w:val="21"/>
        </w:rPr>
        <w:t>餐饮服务人员基本配置要求</w:t>
      </w:r>
    </w:p>
    <w:p w14:paraId="11537F53">
      <w:pPr>
        <w:autoSpaceDE w:val="0"/>
        <w:autoSpaceDN w:val="0"/>
        <w:adjustRightInd w:val="0"/>
        <w:snapToGrid w:val="0"/>
        <w:spacing w:line="440" w:lineRule="exact"/>
        <w:textAlignment w:val="bottom"/>
        <w:rPr>
          <w:rFonts w:hint="eastAsia"/>
          <w:b/>
          <w:bCs/>
          <w:szCs w:val="21"/>
        </w:rPr>
      </w:pPr>
      <w:r>
        <w:rPr>
          <w:rFonts w:hint="eastAsia"/>
          <w:b/>
          <w:bCs/>
          <w:szCs w:val="21"/>
          <w:lang w:eastAsia="zh-CN"/>
        </w:rPr>
        <w:t>一）</w:t>
      </w:r>
      <w:r>
        <w:rPr>
          <w:rFonts w:hint="eastAsia"/>
          <w:b/>
          <w:bCs/>
          <w:szCs w:val="21"/>
        </w:rPr>
        <w:t>人员配置：</w:t>
      </w:r>
    </w:p>
    <w:tbl>
      <w:tblPr>
        <w:tblStyle w:val="14"/>
        <w:tblW w:w="8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1341"/>
        <w:gridCol w:w="1305"/>
        <w:gridCol w:w="5055"/>
      </w:tblGrid>
      <w:tr w14:paraId="421A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E858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37B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1305"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70D0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5055"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FFE4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color w:val="auto"/>
                <w:szCs w:val="21"/>
                <w:highlight w:val="none"/>
              </w:rPr>
              <w:t>基本要求</w:t>
            </w:r>
          </w:p>
        </w:tc>
      </w:tr>
      <w:tr w14:paraId="2C60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65D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3C2F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厨师</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73C8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2552B7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kern w:val="2"/>
                <w:sz w:val="21"/>
                <w:szCs w:val="21"/>
                <w:highlight w:val="none"/>
                <w:lang w:val="en-US" w:eastAsia="zh-CN" w:bidi="ar-SA"/>
              </w:rPr>
              <w:t>厨师须具备五级（初级工）及以上国家职业资格等级，投标文件中提供相应资格证明文件复印件并加盖公章</w:t>
            </w:r>
            <w:r>
              <w:rPr>
                <w:rFonts w:hint="eastAsia" w:ascii="宋体" w:hAnsi="宋体" w:cs="宋体"/>
                <w:color w:val="auto"/>
                <w:sz w:val="21"/>
                <w:szCs w:val="21"/>
                <w:highlight w:val="none"/>
              </w:rPr>
              <w:t>，持健康证</w:t>
            </w:r>
            <w:r>
              <w:rPr>
                <w:rFonts w:hint="eastAsia" w:ascii="宋体" w:hAnsi="宋体" w:cs="宋体"/>
                <w:color w:val="auto"/>
                <w:sz w:val="21"/>
                <w:szCs w:val="21"/>
                <w:highlight w:val="none"/>
                <w:lang w:eastAsia="zh-CN"/>
              </w:rPr>
              <w:t>。</w:t>
            </w:r>
          </w:p>
        </w:tc>
      </w:tr>
      <w:tr w14:paraId="4A67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B84D1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E0F13B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车辆驾驶</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4D4384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711E1ED4">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24小时制，负责驾驶救护车、‌协助急救医师进行急救诊疗、‌现场救治、‌病人转运及其他医疗保障相关工作。年龄50周岁以下</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持驾驶证。</w:t>
            </w:r>
          </w:p>
        </w:tc>
      </w:tr>
      <w:tr w14:paraId="42C2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078DA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362559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后勤</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45DDC93">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04C1FF40">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协助食堂及后勤每天的相关工作。</w:t>
            </w:r>
            <w:r>
              <w:rPr>
                <w:rFonts w:hint="eastAsia" w:ascii="宋体" w:hAnsi="宋体" w:cs="宋体"/>
                <w:color w:val="auto"/>
                <w:szCs w:val="21"/>
                <w:highlight w:val="none"/>
              </w:rPr>
              <w:t xml:space="preserve">持健康证 </w:t>
            </w:r>
            <w:r>
              <w:rPr>
                <w:rFonts w:hint="eastAsia" w:ascii="宋体" w:hAnsi="宋体" w:cs="宋体"/>
                <w:color w:val="auto"/>
                <w:szCs w:val="21"/>
                <w:highlight w:val="none"/>
                <w:lang w:eastAsia="zh-CN"/>
              </w:rPr>
              <w:t>。</w:t>
            </w:r>
          </w:p>
        </w:tc>
      </w:tr>
      <w:tr w14:paraId="00F1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31" w:type="dxa"/>
            <w:gridSpan w:val="2"/>
            <w:tcBorders>
              <w:top w:val="single" w:color="000000" w:sz="4" w:space="0"/>
              <w:left w:val="single" w:color="000000" w:sz="4" w:space="0"/>
              <w:bottom w:val="single" w:color="000000" w:sz="4" w:space="0"/>
              <w:right w:val="single" w:color="000000" w:sz="4" w:space="0"/>
            </w:tcBorders>
            <w:noWrap/>
            <w:vAlign w:val="center"/>
          </w:tcPr>
          <w:p w14:paraId="7CA3F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6715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1C176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A8DE895">
      <w:pPr>
        <w:keepNext w:val="0"/>
        <w:keepLines w:val="0"/>
        <w:pageBreakBefore w:val="0"/>
        <w:widowControl w:val="0"/>
        <w:kinsoku/>
        <w:wordWrap/>
        <w:overflowPunct/>
        <w:topLinePunct w:val="0"/>
        <w:bidi w:val="0"/>
        <w:adjustRightInd w:val="0"/>
        <w:snapToGrid w:val="0"/>
        <w:spacing w:line="420" w:lineRule="exact"/>
        <w:ind w:left="0" w:leftChars="0" w:firstLine="0" w:firstLineChars="0"/>
        <w:rPr>
          <w:rFonts w:hint="eastAsia" w:ascii="宋体" w:hAnsi="宋体" w:cs="宋体"/>
          <w:b/>
          <w:bCs/>
        </w:rPr>
      </w:pPr>
      <w:r>
        <w:rPr>
          <w:rFonts w:hint="eastAsia" w:ascii="宋体" w:hAnsi="宋体" w:cs="宋体"/>
          <w:b/>
          <w:bCs/>
          <w:color w:val="auto"/>
          <w:szCs w:val="21"/>
        </w:rPr>
        <w:t>注：</w:t>
      </w:r>
      <w:r>
        <w:rPr>
          <w:rFonts w:hint="eastAsia" w:ascii="宋体" w:hAnsi="宋体" w:eastAsia="宋体" w:cs="宋体"/>
          <w:b/>
          <w:color w:val="auto"/>
          <w:szCs w:val="21"/>
          <w:highlight w:val="none"/>
        </w:rPr>
        <w:t>▲</w:t>
      </w:r>
      <w:r>
        <w:rPr>
          <w:rFonts w:hint="eastAsia" w:ascii="宋体" w:hAnsi="宋体"/>
          <w:b/>
          <w:bCs/>
          <w:szCs w:val="21"/>
        </w:rPr>
        <w:t>1.本表要求的人员数量配置为投标时最低人员数量要求；</w:t>
      </w:r>
      <w:r>
        <w:rPr>
          <w:rFonts w:hint="eastAsia" w:ascii="宋体" w:hAnsi="宋体"/>
          <w:b/>
          <w:bCs/>
          <w:szCs w:val="21"/>
          <w:lang w:eastAsia="zh-CN"/>
        </w:rPr>
        <w:t>低于本表人数的</w:t>
      </w:r>
      <w:r>
        <w:rPr>
          <w:rFonts w:hint="eastAsia" w:ascii="宋体" w:hAnsi="宋体" w:cs="宋体"/>
          <w:b/>
          <w:bCs/>
        </w:rPr>
        <w:t>将作无效标处理。</w:t>
      </w:r>
      <w:r>
        <w:rPr>
          <w:rFonts w:hint="eastAsia" w:ascii="宋体" w:hAnsi="宋体" w:cs="宋体"/>
          <w:b/>
          <w:bCs/>
          <w:lang w:eastAsia="zh-CN"/>
        </w:rPr>
        <w:t>（</w:t>
      </w:r>
      <w:r>
        <w:rPr>
          <w:rFonts w:hint="eastAsia" w:ascii="宋体" w:hAnsi="宋体" w:cs="宋体"/>
          <w:b/>
          <w:bCs/>
          <w:color w:val="auto"/>
          <w:szCs w:val="21"/>
          <w:highlight w:val="none"/>
          <w:lang w:eastAsia="zh-CN"/>
        </w:rPr>
        <w:t>投标文件中提供承诺函，格式自拟）。</w:t>
      </w:r>
    </w:p>
    <w:p w14:paraId="03EAC318">
      <w:pPr>
        <w:keepNext w:val="0"/>
        <w:keepLines w:val="0"/>
        <w:pageBreakBefore w:val="0"/>
        <w:widowControl w:val="0"/>
        <w:kinsoku/>
        <w:wordWrap/>
        <w:overflowPunct/>
        <w:topLinePunct w:val="0"/>
        <w:bidi w:val="0"/>
        <w:adjustRightInd w:val="0"/>
        <w:snapToGrid w:val="0"/>
        <w:spacing w:line="420" w:lineRule="exact"/>
        <w:ind w:left="0" w:leftChars="0" w:firstLine="422" w:firstLineChars="200"/>
        <w:rPr>
          <w:rFonts w:hint="default"/>
          <w:lang w:val="en-US" w:eastAsia="zh-CN"/>
        </w:rPr>
      </w:pPr>
      <w:r>
        <w:rPr>
          <w:rFonts w:hint="eastAsia" w:ascii="宋体" w:hAnsi="宋体" w:eastAsia="宋体" w:cs="宋体"/>
          <w:b/>
          <w:color w:val="auto"/>
          <w:szCs w:val="21"/>
          <w:highlight w:val="none"/>
        </w:rPr>
        <w:t>▲</w:t>
      </w:r>
      <w:r>
        <w:rPr>
          <w:rFonts w:hint="eastAsia" w:ascii="宋体" w:hAnsi="宋体" w:cs="宋体"/>
          <w:b/>
          <w:bCs/>
          <w:color w:val="auto"/>
          <w:szCs w:val="21"/>
          <w:highlight w:val="none"/>
        </w:rPr>
        <w:t>2</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供应商配置的服务团队必须为投标人本单位职工，中标后15天内配齐相关人员且符合国家相关要求(包括健康证等);如有违反，愿无条件放弃中标，并接受处理，承担相应的责任。（投标文件中提供承诺函，格式自拟）。</w:t>
      </w:r>
    </w:p>
    <w:p w14:paraId="236EE14B">
      <w:pPr>
        <w:autoSpaceDE w:val="0"/>
        <w:autoSpaceDN w:val="0"/>
        <w:adjustRightInd w:val="0"/>
        <w:snapToGrid w:val="0"/>
        <w:spacing w:line="440" w:lineRule="exact"/>
        <w:textAlignment w:val="bottom"/>
        <w:rPr>
          <w:rFonts w:hint="eastAsia"/>
          <w:szCs w:val="21"/>
          <w:lang w:val="zh-CN"/>
        </w:rPr>
      </w:pPr>
    </w:p>
    <w:p w14:paraId="2CE98303">
      <w:pPr>
        <w:numPr>
          <w:ilvl w:val="0"/>
          <w:numId w:val="0"/>
        </w:numPr>
        <w:autoSpaceDE w:val="0"/>
        <w:autoSpaceDN w:val="0"/>
        <w:adjustRightInd w:val="0"/>
        <w:spacing w:line="440" w:lineRule="exact"/>
        <w:jc w:val="left"/>
        <w:rPr>
          <w:rFonts w:ascii="宋体" w:hAnsi="宋体" w:cs="宋体"/>
          <w:b/>
          <w:kern w:val="0"/>
          <w:szCs w:val="21"/>
          <w:lang w:val="zh-CN"/>
        </w:rPr>
      </w:pPr>
      <w:r>
        <w:rPr>
          <w:rFonts w:hint="eastAsia" w:ascii="宋体" w:hAnsi="宋体" w:cs="宋体"/>
          <w:b/>
          <w:kern w:val="0"/>
          <w:szCs w:val="21"/>
          <w:lang w:val="zh-CN"/>
        </w:rPr>
        <w:t>二）管理要求:</w:t>
      </w:r>
      <w:r>
        <w:rPr>
          <w:rFonts w:hint="eastAsia" w:ascii="宋体" w:hAnsi="宋体" w:cs="宋体"/>
          <w:b/>
          <w:kern w:val="0"/>
          <w:szCs w:val="21"/>
        </w:rPr>
        <w:t xml:space="preserve"> </w:t>
      </w:r>
    </w:p>
    <w:p w14:paraId="775A479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（一）采购人职责</w:t>
      </w:r>
    </w:p>
    <w:p w14:paraId="62335FA4">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1、完善食堂场地、水、电、煤气配置，落实食堂运营所需的设备设施、餐厨具，监督食堂运行状况及运营成本帐务。</w:t>
      </w:r>
    </w:p>
    <w:p w14:paraId="05587ED7">
      <w:pPr>
        <w:widowControl/>
        <w:spacing w:before="150" w:after="150" w:line="440" w:lineRule="exact"/>
        <w:jc w:val="left"/>
        <w:rPr>
          <w:rFonts w:ascii="宋体" w:hAnsi="宋体" w:cs="宋体"/>
          <w:bCs/>
          <w:kern w:val="0"/>
          <w:szCs w:val="21"/>
        </w:rPr>
      </w:pPr>
      <w:r>
        <w:rPr>
          <w:rFonts w:hint="eastAsia" w:ascii="宋体" w:hAnsi="宋体" w:cs="宋体"/>
          <w:bCs/>
          <w:kern w:val="0"/>
          <w:szCs w:val="21"/>
        </w:rPr>
        <w:t>2、每季度对投标人开展检查考核。协助投标人做好与各相关部门的沟通协调工作。根据就餐人员集中反映的意见，出具《限期整改书》，要求投标人限期内改进，以保证餐饮服务品质。如整改未见成效或餐饮服务长期达不到规定要求的，采购人随时解除或者提前终止合同，没收履约保证金，不承担违约责任。食堂运营中一旦发生食物中毒、煤气泄漏、违法违纪等重大责任事故，采购人有权立即单方面终止合同，没收履约保证金，不承担违约责任。</w:t>
      </w:r>
    </w:p>
    <w:p w14:paraId="476F160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3、一旦发现投标人将项目分包或整体转包给任何单位和个人的，有权即刻终止合同，并要求投标人承担责任，赔偿相应损失。</w:t>
      </w:r>
    </w:p>
    <w:p w14:paraId="2FF60112">
      <w:pPr>
        <w:widowControl/>
        <w:spacing w:before="150" w:after="150" w:line="440" w:lineRule="exact"/>
        <w:jc w:val="left"/>
        <w:rPr>
          <w:rFonts w:ascii="宋体" w:hAnsi="宋体" w:cs="宋体"/>
          <w:bCs/>
          <w:kern w:val="0"/>
          <w:szCs w:val="21"/>
        </w:rPr>
      </w:pPr>
      <w:r>
        <w:rPr>
          <w:rFonts w:hint="eastAsia" w:ascii="宋体" w:hAnsi="宋体" w:cs="宋体"/>
          <w:bCs/>
          <w:kern w:val="0"/>
          <w:szCs w:val="21"/>
        </w:rPr>
        <w:t>4、合同签订生效后，无特殊情况，采购人不得无故提前终止合同。若确需提前终止合同，应提前两个月以书面形式通知投标人，并妥善处理遗留问题。</w:t>
      </w:r>
    </w:p>
    <w:p w14:paraId="4EC44AC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（二）投标人职责</w:t>
      </w:r>
    </w:p>
    <w:p w14:paraId="72F1014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1、根据采购人的实际需求提供各项餐饮服务，在食堂运营中做好节约与服务。</w:t>
      </w:r>
    </w:p>
    <w:p w14:paraId="4550CADA">
      <w:pPr>
        <w:widowControl/>
        <w:spacing w:before="150" w:after="150" w:line="440" w:lineRule="exact"/>
        <w:jc w:val="left"/>
        <w:rPr>
          <w:rFonts w:ascii="宋体" w:hAnsi="宋体" w:cs="宋体"/>
          <w:bCs/>
          <w:kern w:val="0"/>
          <w:szCs w:val="21"/>
        </w:rPr>
      </w:pPr>
      <w:r>
        <w:rPr>
          <w:rFonts w:hint="eastAsia" w:ascii="宋体" w:hAnsi="宋体" w:cs="宋体"/>
          <w:bCs/>
          <w:kern w:val="0"/>
          <w:szCs w:val="21"/>
        </w:rPr>
        <w:t>2、须在采购人选定采购配送范围内，合理领用及保存好食堂运营所需的各种食品材料，应做好成本控制，并接受采购人不定时的监督。投标人不得私自采用过期、变质、劣质食品和假冒伪劣商品，并承担由此产生的后果。</w:t>
      </w:r>
    </w:p>
    <w:p w14:paraId="649A812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3、负责食堂的食品安全卫生，严格遵守国家和地方食品安全法和环境卫生的标准规定，禁止加工、销售腐烂变质食品，保证菜肴的新鲜和卫生，保证粮食、食油及所有辅料的使用安全。严格落实“五常法”管理评比制度。每天应留出足够的时间，专人负责对餐厅、加工间、餐厨具、灶台、灶下、水池、下水道、炊事用品等场所设备进行环境卫生打扫和冰箱除霜等的卫生工作。安排专人准确及时清理处置剩饭剩菜，做好餐具消毒工作与餐饮垃圾的管理。</w:t>
      </w:r>
    </w:p>
    <w:p w14:paraId="5FD4099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4、积极配合食品卫生监督部门对半成品、成品的随时抽样实地检验，做好质量监控，预防和检查生产中是否有异物污染等问题。积极配合卫生监管部门的监督与采购人的检查考核，如有问题被被查处或投诉，视事件程度承担相应责任，并服从采购人扣除相应的考核奖金与餐饮服务费的安排。</w:t>
      </w:r>
    </w:p>
    <w:p w14:paraId="182BF3C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5、严格控制进入生产厨房间的人数，仅限于本区域操作人员以及经过批准的人员进入。对进入生产加工厨房的临时外来人员（包括参观人员）进行指导和监督，对进入洁净室的人员进行登记制度。</w:t>
      </w:r>
    </w:p>
    <w:p w14:paraId="33E4BF53">
      <w:pPr>
        <w:widowControl/>
        <w:spacing w:before="150" w:after="150" w:line="440" w:lineRule="exact"/>
        <w:jc w:val="left"/>
        <w:rPr>
          <w:rFonts w:ascii="宋体" w:hAnsi="宋体" w:cs="宋体"/>
          <w:bCs/>
          <w:kern w:val="0"/>
          <w:szCs w:val="21"/>
        </w:rPr>
      </w:pPr>
      <w:r>
        <w:rPr>
          <w:rFonts w:hint="eastAsia" w:ascii="宋体" w:hAnsi="宋体" w:cs="宋体"/>
          <w:bCs/>
          <w:kern w:val="0"/>
          <w:szCs w:val="21"/>
        </w:rPr>
        <w:t>6、应设专人管理物品、菜肴储存的场地和仓库，建立管理制度，定期检查场地和仓库的卫生状况，按时清扫、通风换气，确保设施的正常使用。</w:t>
      </w:r>
    </w:p>
    <w:p w14:paraId="6DFA2A23">
      <w:pPr>
        <w:widowControl/>
        <w:spacing w:before="150" w:after="150" w:line="440" w:lineRule="exact"/>
        <w:jc w:val="left"/>
        <w:rPr>
          <w:rFonts w:ascii="宋体" w:hAnsi="宋体" w:cs="宋体"/>
          <w:bCs/>
          <w:kern w:val="0"/>
          <w:szCs w:val="21"/>
        </w:rPr>
      </w:pPr>
      <w:r>
        <w:rPr>
          <w:rFonts w:hint="eastAsia" w:ascii="宋体" w:hAnsi="宋体" w:cs="宋体"/>
          <w:bCs/>
          <w:kern w:val="0"/>
          <w:szCs w:val="21"/>
        </w:rPr>
        <w:t>7、从业人员使用的工作服每年保持夏季二套、冬季二套，统一着装上岗，进行定期清洗保洁。工作服、工作帽、工作手套等款式及颜色需经采购人认可，费用由投标人负责。</w:t>
      </w:r>
    </w:p>
    <w:p w14:paraId="4B85626A">
      <w:pPr>
        <w:widowControl/>
        <w:spacing w:before="150" w:after="150" w:line="440" w:lineRule="exact"/>
        <w:jc w:val="left"/>
        <w:rPr>
          <w:rFonts w:ascii="宋体" w:hAnsi="宋体" w:cs="宋体"/>
          <w:bCs/>
          <w:kern w:val="0"/>
          <w:szCs w:val="21"/>
        </w:rPr>
      </w:pPr>
      <w:r>
        <w:rPr>
          <w:rFonts w:hint="eastAsia" w:ascii="宋体" w:hAnsi="宋体" w:cs="宋体"/>
          <w:bCs/>
          <w:kern w:val="0"/>
          <w:szCs w:val="21"/>
        </w:rPr>
        <w:t>8、负责从业人员的卫生、技能教育，确保从业人员持有有效的健康证、服务证及相关工作上岗证。应安排从业人员每年至少一次的体格检查，对没有取得卫生监督机构颁发的体检合格证者，禁止其从事厨房生产工作；对直接接触入口食品的人员还须进行粪便培养和病毒性肝炎带毒试验，不合格者不得从事相关工作。所需费用由投标人自理。并与采购人签订饮食安全卫生责任书。</w:t>
      </w:r>
    </w:p>
    <w:p w14:paraId="391087B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9、应加强防火、防盗、防爆、防投毒等安全保障工作，经常检查电源、火源，妥善保管易燃易爆物品，负责对所属人员进行安全教育，确保无安全事故。如发生意外伤残、伤亡及其它安全事故，承担全部责任后果和经济补偿。</w:t>
      </w:r>
    </w:p>
    <w:p w14:paraId="5A279BBE">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10、原则上不得改变、改动及无故损坏场地的房屋结构，不得变换基本设施。若确因服务需要，需进行装修，改动现有设备、设施和物品的，需书面报告采购人。</w:t>
      </w:r>
    </w:p>
    <w:p w14:paraId="368AC25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11、合同签订生效后，无特殊情况，不得无故提前终止合同。若确需提前终止合同，应提前两个月以书面形式通知采购人，并妥善处理遗留问题。</w:t>
      </w:r>
    </w:p>
    <w:p w14:paraId="601D9767">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12、负责对从业人员的遵纪守法教育。如违反国家法律法规和地方规章制度，所造成的一切后果由投标人负责。若出现损害就餐人员身体健康和影响采购人声誉的事件，承担由此造成的一切责任和损失。</w:t>
      </w:r>
    </w:p>
    <w:p w14:paraId="0322EF0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（三）从业人员职责</w:t>
      </w:r>
    </w:p>
    <w:p w14:paraId="0D8DFBED">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1、具有良好的个人卫生习惯，需勤剪指甲、勤洗澡。直接与原料、半成品和成品接触的人员不得戴耳环、戒指、手镯、项链、手表、手机，不允许化妆、染指甲、喷洒香水。</w:t>
      </w:r>
    </w:p>
    <w:p w14:paraId="6BA922E5">
      <w:pPr>
        <w:widowControl/>
        <w:spacing w:before="150" w:after="150" w:line="440" w:lineRule="exact"/>
        <w:jc w:val="left"/>
        <w:rPr>
          <w:rFonts w:ascii="宋体" w:hAnsi="宋体" w:cs="宋体"/>
          <w:bCs/>
          <w:kern w:val="0"/>
          <w:szCs w:val="21"/>
        </w:rPr>
      </w:pPr>
      <w:r>
        <w:rPr>
          <w:rFonts w:hint="eastAsia" w:ascii="宋体" w:hAnsi="宋体" w:cs="宋体"/>
          <w:bCs/>
          <w:kern w:val="0"/>
          <w:szCs w:val="21"/>
        </w:rPr>
        <w:t>2、必须按生产区域洁净级别进行规范着装，穿戴各自岗位指定的工衣、工帽、工鞋，经更衣室洗手消毒后，进入指定工作区域。工作服需盖住外衣,头发不得露于帽外,并且洗尽双手，不得穿拖鞋进入岗位操作。</w:t>
      </w:r>
    </w:p>
    <w:p w14:paraId="694878A7">
      <w:pPr>
        <w:widowControl/>
        <w:spacing w:before="150" w:after="150" w:line="440" w:lineRule="exact"/>
        <w:jc w:val="left"/>
        <w:rPr>
          <w:rFonts w:ascii="宋体" w:hAnsi="宋体" w:cs="宋体"/>
          <w:bCs/>
          <w:kern w:val="0"/>
          <w:szCs w:val="21"/>
        </w:rPr>
      </w:pPr>
      <w:r>
        <w:rPr>
          <w:rFonts w:hint="eastAsia" w:ascii="宋体" w:hAnsi="宋体" w:cs="宋体"/>
          <w:bCs/>
          <w:kern w:val="0"/>
          <w:szCs w:val="21"/>
        </w:rPr>
        <w:t>3、工作时应关闭操作间的门，并尽量减少出入次数。不得穿戴工衣、工帽、工鞋离开生产加工场所。如接触赃物、上厕所、吸烟、用餐后需重新洗手消毒，方可穿戴工作服进入相应岗位。</w:t>
      </w:r>
    </w:p>
    <w:p w14:paraId="7368CEC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4、不得在厨房间内吸烟、饮食；不得在厨房间内睡觉、嬉戏,追跑、打闹；不得将个人生活用品如衣物、食品、烟酒、化妆品等带入或存放至生产加工场所；不得在生产操作时从事与操作无关的活动及不必要的交谈；不得在生产区域接听电话，必要时，需离开生产区域接听；当出现操作有误时，任何人员都有权指出其错误，并且要求马上改正。</w:t>
      </w:r>
    </w:p>
    <w:p w14:paraId="47134AAE">
      <w:pPr>
        <w:widowControl/>
        <w:spacing w:before="150" w:after="150" w:line="440" w:lineRule="exact"/>
        <w:jc w:val="left"/>
        <w:rPr>
          <w:rFonts w:ascii="宋体" w:hAnsi="宋体" w:cs="宋体"/>
          <w:bCs/>
          <w:kern w:val="0"/>
          <w:szCs w:val="21"/>
        </w:rPr>
      </w:pPr>
      <w:r>
        <w:rPr>
          <w:rFonts w:hint="eastAsia" w:ascii="宋体" w:hAnsi="宋体" w:cs="宋体"/>
          <w:bCs/>
          <w:kern w:val="0"/>
          <w:szCs w:val="21"/>
        </w:rPr>
        <w:t>5、生产操作前必须检查厨房卫生状况。合格内容包括:地面、墙壁清洁干净、门窗洁净无尘、水槽、地漏畅通无阻、设备表面无残留污迹、油污、杂物，操作间无上批剩余物料。</w:t>
      </w:r>
    </w:p>
    <w:p w14:paraId="0A89F92B">
      <w:pPr>
        <w:widowControl/>
        <w:spacing w:before="150" w:after="150" w:line="440" w:lineRule="exact"/>
        <w:jc w:val="left"/>
        <w:rPr>
          <w:rFonts w:ascii="宋体" w:hAnsi="宋体" w:cs="宋体"/>
          <w:bCs/>
          <w:kern w:val="0"/>
          <w:szCs w:val="21"/>
        </w:rPr>
      </w:pPr>
      <w:r>
        <w:rPr>
          <w:rFonts w:hint="eastAsia" w:ascii="宋体" w:hAnsi="宋体" w:cs="宋体"/>
          <w:bCs/>
          <w:kern w:val="0"/>
          <w:szCs w:val="21"/>
        </w:rPr>
        <w:t>6、工作时需提前三十分钟打开冷菜间、面点间的紫外灭菌灯，待彻底消毒后，方可进行操作。操作时应打开厨房间排气扇，按要求换气，保证厨房间的湿度和通风。</w:t>
      </w:r>
    </w:p>
    <w:p w14:paraId="2BEFBE4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7、交接班时，应认真做好卫生交接工作，卫生不合格不接班。卫生要求地面无积水，无卫生死角，无灰尘，工具、器具统一定点放置。</w:t>
      </w:r>
    </w:p>
    <w:p w14:paraId="249298D6">
      <w:pPr>
        <w:widowControl/>
        <w:spacing w:before="150" w:after="150" w:line="440" w:lineRule="exact"/>
        <w:jc w:val="left"/>
        <w:rPr>
          <w:rFonts w:ascii="宋体" w:hAnsi="宋体" w:cs="宋体"/>
          <w:bCs/>
          <w:kern w:val="0"/>
          <w:szCs w:val="21"/>
        </w:rPr>
      </w:pPr>
      <w:r>
        <w:rPr>
          <w:rFonts w:hint="eastAsia" w:ascii="宋体" w:hAnsi="宋体" w:cs="宋体"/>
          <w:bCs/>
          <w:kern w:val="0"/>
          <w:szCs w:val="21"/>
        </w:rPr>
        <w:t>8、必须在指定地点先行将各种物料进行解包、清洁、表面擦拭等处理工作后方允许其进入生产区域。</w:t>
      </w:r>
    </w:p>
    <w:p w14:paraId="71DF5A8E">
      <w:pPr>
        <w:widowControl/>
        <w:spacing w:before="150" w:after="150" w:line="440" w:lineRule="exact"/>
        <w:jc w:val="left"/>
        <w:rPr>
          <w:rFonts w:ascii="宋体" w:hAnsi="宋体" w:cs="宋体"/>
          <w:bCs/>
          <w:kern w:val="0"/>
          <w:szCs w:val="21"/>
        </w:rPr>
      </w:pPr>
      <w:r>
        <w:rPr>
          <w:rFonts w:hint="eastAsia" w:ascii="宋体" w:hAnsi="宋体" w:cs="宋体"/>
          <w:bCs/>
          <w:kern w:val="0"/>
          <w:szCs w:val="21"/>
        </w:rPr>
        <w:t>9、烹调前应认真检查设备是否已清洗干净，是否有上批剩余物料,若有必须要重新清洗，需消毒到位后方可投料烹调。烹饪结束后所有的原、辅料应及时清理回收，不允许乱放和随意丢弃。</w:t>
      </w:r>
    </w:p>
    <w:p w14:paraId="2BA64589">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10、按生产烹饪的先后次序和菜肴的特点，将各种原、辅料预处理、半成品处理和加工、包装材料和盛菜工具的清洗消毒、面点间的成品包装和检验、成品储存等工序分开设置，防止前后工序相互交叉污染。</w:t>
      </w:r>
    </w:p>
    <w:p w14:paraId="368DA489">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11、必须认真填写菜肴留样记录表，不得随意涂改，并妥善保存，随着烹饪进程，逐步传递到下一个工序，每批菜肴生产结束后，将记录表一并交与厨房管理部存档备案。</w:t>
      </w:r>
    </w:p>
    <w:p w14:paraId="71873AE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2</w:t>
      </w:r>
      <w:r>
        <w:rPr>
          <w:rFonts w:hint="eastAsia" w:ascii="宋体" w:hAnsi="宋体" w:cs="宋体"/>
          <w:bCs/>
          <w:kern w:val="0"/>
          <w:szCs w:val="21"/>
        </w:rPr>
        <w:t>、及时清理洗手池、器具洁具清洗池等设施，应保持内外洁净、无灰尘、垢斑和水迹。</w:t>
      </w:r>
    </w:p>
    <w:p w14:paraId="350E9262">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3</w:t>
      </w:r>
      <w:r>
        <w:rPr>
          <w:rFonts w:hint="eastAsia" w:ascii="宋体" w:hAnsi="宋体" w:cs="宋体"/>
          <w:bCs/>
          <w:kern w:val="0"/>
          <w:szCs w:val="21"/>
        </w:rPr>
        <w:t>、及时将生产过程中的废弃物品装入不产生尘埃的容器或口袋中（宜为一次性的），密闭放在指定的地点。</w:t>
      </w:r>
      <w:r>
        <w:rPr>
          <w:rFonts w:hint="eastAsia" w:ascii="宋体" w:hAnsi="宋体" w:cs="宋体"/>
          <w:b/>
          <w:bCs/>
          <w:kern w:val="0"/>
          <w:szCs w:val="21"/>
        </w:rPr>
        <w:t>（垃圾清运不包含）</w:t>
      </w:r>
    </w:p>
    <w:p w14:paraId="179497CD">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4</w:t>
      </w:r>
      <w:r>
        <w:rPr>
          <w:rFonts w:hint="eastAsia" w:ascii="宋体" w:hAnsi="宋体" w:cs="宋体"/>
          <w:bCs/>
          <w:kern w:val="0"/>
          <w:szCs w:val="21"/>
        </w:rPr>
        <w:t>、及时清洗干净、消毒并干燥使用过的清洁工具，放置在规定的位置，至于通风良好处。使用前后要检查拖布和抹布是否会脱落纤维。不同生产区域的工具，不能混淆使用。</w:t>
      </w:r>
    </w:p>
    <w:p w14:paraId="41E277E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5</w:t>
      </w:r>
      <w:r>
        <w:rPr>
          <w:rFonts w:hint="eastAsia" w:ascii="宋体" w:hAnsi="宋体" w:cs="宋体"/>
          <w:bCs/>
          <w:kern w:val="0"/>
          <w:szCs w:val="21"/>
        </w:rPr>
        <w:t>、按照品种分类分批储存各种原材料，不同类别的原料应该有明显标志，同一仓库内不得储存相互影响的原料。储存中物品、菜肴、内外包材需离地面、墙壁并且与屋顶保持一定距离，垛与垛之间应保持适当的距离。</w:t>
      </w:r>
    </w:p>
    <w:p w14:paraId="7DD1C89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6</w:t>
      </w:r>
      <w:r>
        <w:rPr>
          <w:rFonts w:hint="eastAsia" w:ascii="宋体" w:hAnsi="宋体" w:cs="宋体"/>
          <w:bCs/>
          <w:kern w:val="0"/>
          <w:szCs w:val="21"/>
        </w:rPr>
        <w:t>、根据不同的要求，按规定的温度、湿度合理储存各类冷库内物品，及时剔除不符合质量和卫生标准的物品、菜肴、内外包材，并按规定的方法进行处理，防止二次污染。</w:t>
      </w:r>
    </w:p>
    <w:p w14:paraId="74EAE593">
      <w:pPr>
        <w:widowControl/>
        <w:spacing w:before="150" w:after="150" w:line="440" w:lineRule="exact"/>
        <w:jc w:val="left"/>
        <w:rPr>
          <w:rFonts w:hint="eastAsia" w:ascii="宋体" w:hAnsi="宋体" w:cs="宋体"/>
          <w:bCs/>
          <w:kern w:val="0"/>
          <w:szCs w:val="21"/>
        </w:rPr>
      </w:pPr>
      <w:r>
        <w:rPr>
          <w:rFonts w:hint="eastAsia" w:ascii="宋体" w:hAnsi="宋体" w:cs="宋体"/>
          <w:bCs/>
          <w:kern w:val="0"/>
          <w:szCs w:val="21"/>
          <w:lang w:val="en-US" w:eastAsia="zh-CN"/>
        </w:rPr>
        <w:t>17</w:t>
      </w:r>
      <w:r>
        <w:rPr>
          <w:rFonts w:hint="eastAsia" w:ascii="宋体" w:hAnsi="宋体" w:cs="宋体"/>
          <w:bCs/>
          <w:kern w:val="0"/>
          <w:szCs w:val="21"/>
        </w:rPr>
        <w:t>、经检验合格的成品菜肴应照先进先出原则储存于成品出菜间，并按品种、批次分类存放、防止相互混淆。成品出菜间不得储存有毒、有害物品及其他易腐烂、易燃烧物品。</w:t>
      </w:r>
    </w:p>
    <w:p w14:paraId="545A5A3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Cs w:val="21"/>
          <w:lang w:val="en-US" w:eastAsia="zh-CN"/>
        </w:rPr>
      </w:pPr>
      <w:r>
        <w:rPr>
          <w:rFonts w:hint="eastAsia" w:ascii="宋体" w:hAnsi="宋体" w:cs="宋体"/>
          <w:b/>
          <w:bCs w:val="0"/>
          <w:kern w:val="0"/>
          <w:szCs w:val="21"/>
          <w:lang w:eastAsia="zh-CN"/>
        </w:rPr>
        <w:t>三）</w:t>
      </w:r>
      <w:r>
        <w:rPr>
          <w:rFonts w:hint="eastAsia" w:ascii="宋体" w:hAnsi="宋体" w:eastAsia="宋体" w:cs="宋体"/>
          <w:b/>
          <w:bCs w:val="0"/>
          <w:color w:val="000000"/>
          <w:szCs w:val="21"/>
          <w:lang w:val="en-US" w:eastAsia="zh-CN"/>
        </w:rPr>
        <w:t>120急救</w:t>
      </w:r>
      <w:r>
        <w:rPr>
          <w:rFonts w:hint="eastAsia" w:ascii="宋体" w:hAnsi="宋体" w:cs="宋体"/>
          <w:b/>
          <w:bCs w:val="0"/>
          <w:color w:val="000000"/>
          <w:szCs w:val="21"/>
          <w:lang w:val="en-US" w:eastAsia="zh-CN"/>
        </w:rPr>
        <w:t>点</w:t>
      </w:r>
      <w:r>
        <w:rPr>
          <w:rFonts w:hint="eastAsia" w:ascii="宋体" w:hAnsi="宋体" w:eastAsia="宋体" w:cs="宋体"/>
          <w:b/>
          <w:bCs w:val="0"/>
          <w:color w:val="000000"/>
          <w:szCs w:val="21"/>
          <w:lang w:val="en-US" w:eastAsia="zh-CN"/>
        </w:rPr>
        <w:t>服务内容</w:t>
      </w:r>
    </w:p>
    <w:p w14:paraId="2A553CA5">
      <w:pPr>
        <w:autoSpaceDE w:val="0"/>
        <w:autoSpaceDN w:val="0"/>
        <w:adjustRightInd w:val="0"/>
        <w:spacing w:line="440" w:lineRule="exact"/>
        <w:ind w:right="21" w:firstLine="422" w:firstLineChars="200"/>
        <w:jc w:val="left"/>
        <w:rPr>
          <w:rFonts w:hint="eastAsia" w:ascii="宋体" w:hAnsi="宋体" w:eastAsia="宋体" w:cs="宋体"/>
          <w:b w:val="0"/>
          <w:bCs w:val="0"/>
          <w:kern w:val="0"/>
          <w:szCs w:val="21"/>
          <w:lang w:val="en-US" w:eastAsia="zh-CN"/>
        </w:rPr>
      </w:pPr>
      <w:r>
        <w:rPr>
          <w:rFonts w:hint="eastAsia" w:ascii="宋体" w:hAnsi="宋体" w:cs="宋体"/>
          <w:b/>
          <w:bCs/>
          <w:kern w:val="0"/>
          <w:szCs w:val="21"/>
          <w:lang w:val="en-US" w:eastAsia="zh-CN"/>
        </w:rPr>
        <w:t>1、</w:t>
      </w:r>
      <w:r>
        <w:rPr>
          <w:rFonts w:hint="eastAsia" w:ascii="宋体" w:hAnsi="宋体" w:eastAsia="宋体" w:cs="宋体"/>
          <w:b/>
          <w:bCs/>
          <w:color w:val="000000"/>
          <w:szCs w:val="21"/>
          <w:lang w:val="en-US" w:eastAsia="zh-CN"/>
        </w:rPr>
        <w:t>驾驶员服务范围：</w:t>
      </w:r>
      <w:r>
        <w:rPr>
          <w:rFonts w:hint="eastAsia" w:ascii="宋体" w:hAnsi="宋体" w:eastAsia="宋体" w:cs="宋体"/>
          <w:b w:val="0"/>
          <w:bCs w:val="0"/>
          <w:color w:val="000000"/>
          <w:szCs w:val="21"/>
          <w:lang w:val="en-US" w:eastAsia="zh-CN"/>
        </w:rPr>
        <w:t>宁海县岔路镇、宁海县前童镇及宁海县桑洲镇</w:t>
      </w:r>
      <w:r>
        <w:rPr>
          <w:rFonts w:hint="eastAsia" w:ascii="宋体" w:hAnsi="宋体" w:cs="宋体"/>
          <w:b w:val="0"/>
          <w:bCs w:val="0"/>
          <w:color w:val="000000"/>
          <w:szCs w:val="21"/>
          <w:lang w:val="en-US" w:eastAsia="zh-CN"/>
        </w:rPr>
        <w:t>等</w:t>
      </w:r>
      <w:r>
        <w:rPr>
          <w:rFonts w:hint="eastAsia" w:ascii="宋体" w:hAnsi="宋体" w:eastAsia="宋体" w:cs="宋体"/>
          <w:b w:val="0"/>
          <w:bCs w:val="0"/>
          <w:color w:val="000000"/>
          <w:szCs w:val="21"/>
          <w:lang w:val="en-US" w:eastAsia="zh-CN"/>
        </w:rPr>
        <w:t>。</w:t>
      </w:r>
    </w:p>
    <w:p w14:paraId="42AB1507">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2、驾驶员服务内容：</w:t>
      </w:r>
      <w:r>
        <w:rPr>
          <w:rFonts w:hint="eastAsia" w:ascii="宋体" w:hAnsi="宋体" w:eastAsia="宋体" w:cs="宋体"/>
          <w:color w:val="000000"/>
          <w:szCs w:val="21"/>
          <w:lang w:val="en-US" w:eastAsia="zh-CN"/>
        </w:rPr>
        <w:t>24小时制，负责驾驶救护车、‌协助急救医师进行急救诊疗、‌现场救治、‌病人转运及其他医疗保障相关工作。年龄50周岁以下。</w:t>
      </w:r>
    </w:p>
    <w:p w14:paraId="1D9CF27A">
      <w:pPr>
        <w:autoSpaceDE w:val="0"/>
        <w:autoSpaceDN w:val="0"/>
        <w:adjustRightInd w:val="0"/>
        <w:spacing w:line="440" w:lineRule="exact"/>
        <w:ind w:right="21"/>
        <w:jc w:val="left"/>
        <w:rPr>
          <w:rFonts w:hint="eastAsia" w:ascii="宋体" w:hAnsi="宋体" w:cs="宋体"/>
          <w:b/>
          <w:bCs/>
          <w:kern w:val="0"/>
          <w:szCs w:val="21"/>
        </w:rPr>
      </w:pPr>
      <w:r>
        <w:rPr>
          <w:rFonts w:hint="eastAsia" w:ascii="宋体" w:hAnsi="宋体" w:cs="宋体"/>
          <w:b/>
          <w:bCs/>
          <w:kern w:val="0"/>
          <w:szCs w:val="21"/>
          <w:lang w:eastAsia="zh-CN"/>
        </w:rPr>
        <w:t>四）后勤服务</w:t>
      </w:r>
      <w:r>
        <w:rPr>
          <w:rFonts w:hint="eastAsia" w:ascii="宋体" w:hAnsi="宋体" w:cs="宋体"/>
          <w:b/>
          <w:bCs/>
          <w:kern w:val="0"/>
          <w:szCs w:val="21"/>
        </w:rPr>
        <w:t>范围</w:t>
      </w:r>
    </w:p>
    <w:p w14:paraId="53995DC2">
      <w:pPr>
        <w:autoSpaceDE w:val="0"/>
        <w:autoSpaceDN w:val="0"/>
        <w:adjustRightInd w:val="0"/>
        <w:spacing w:line="440" w:lineRule="exact"/>
        <w:ind w:left="64" w:right="21" w:firstLine="453"/>
        <w:jc w:val="left"/>
        <w:rPr>
          <w:rFonts w:hint="eastAsia" w:ascii="宋体" w:hAnsi="宋体" w:eastAsia="宋体" w:cs="宋体"/>
          <w:kern w:val="0"/>
          <w:szCs w:val="21"/>
          <w:lang w:eastAsia="zh-CN"/>
        </w:rPr>
      </w:pPr>
      <w:r>
        <w:rPr>
          <w:rFonts w:hint="eastAsia" w:ascii="宋体" w:hAnsi="宋体" w:cs="宋体"/>
          <w:kern w:val="0"/>
          <w:szCs w:val="21"/>
          <w:lang w:val="en-US" w:eastAsia="zh-CN"/>
        </w:rPr>
        <w:t>1.1宁海县岔路镇中心卫生院</w:t>
      </w:r>
      <w:r>
        <w:rPr>
          <w:rFonts w:hint="eastAsia" w:ascii="宋体" w:hAnsi="宋体" w:cs="宋体"/>
          <w:kern w:val="0"/>
          <w:szCs w:val="21"/>
        </w:rPr>
        <w:t>门诊楼（三层）、住院楼（二层）、食堂兼职工宿舍楼（二楼）、洗衣间、医生住宿楼、卫生院公共外场地的</w:t>
      </w:r>
      <w:r>
        <w:rPr>
          <w:rFonts w:hint="eastAsia" w:ascii="宋体" w:hAnsi="宋体" w:cs="宋体"/>
          <w:kern w:val="0"/>
          <w:szCs w:val="21"/>
          <w:lang w:eastAsia="zh-CN"/>
        </w:rPr>
        <w:t>清洁</w:t>
      </w:r>
      <w:r>
        <w:rPr>
          <w:rFonts w:hint="eastAsia" w:ascii="宋体" w:hAnsi="宋体" w:cs="宋体"/>
          <w:kern w:val="0"/>
          <w:szCs w:val="21"/>
        </w:rPr>
        <w:t>工作</w:t>
      </w:r>
      <w:r>
        <w:rPr>
          <w:rFonts w:hint="eastAsia" w:ascii="宋体" w:hAnsi="宋体" w:cs="宋体"/>
          <w:kern w:val="0"/>
          <w:szCs w:val="21"/>
          <w:lang w:eastAsia="zh-CN"/>
        </w:rPr>
        <w:t>。</w:t>
      </w:r>
    </w:p>
    <w:p w14:paraId="211170E6">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1.2</w:t>
      </w:r>
      <w:r>
        <w:rPr>
          <w:rFonts w:hint="eastAsia" w:ascii="宋体" w:hAnsi="宋体" w:cs="宋体"/>
          <w:kern w:val="0"/>
          <w:szCs w:val="21"/>
        </w:rPr>
        <w:t>具体细分如下：</w:t>
      </w:r>
    </w:p>
    <w:p w14:paraId="09E499CE">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门诊楼</w:t>
      </w:r>
      <w:r>
        <w:rPr>
          <w:rFonts w:hint="eastAsia" w:ascii="宋体" w:hAnsi="宋体" w:cs="宋体"/>
          <w:kern w:val="0"/>
          <w:szCs w:val="21"/>
          <w:lang w:eastAsia="zh-CN"/>
        </w:rPr>
        <w:t>：</w:t>
      </w:r>
      <w:r>
        <w:rPr>
          <w:rFonts w:hint="eastAsia" w:ascii="宋体" w:hAnsi="宋体" w:cs="宋体"/>
          <w:kern w:val="0"/>
          <w:szCs w:val="21"/>
        </w:rPr>
        <w:t>全部公共区域的</w:t>
      </w:r>
      <w:r>
        <w:rPr>
          <w:rFonts w:hint="eastAsia" w:ascii="宋体" w:hAnsi="宋体" w:cs="宋体"/>
          <w:kern w:val="0"/>
          <w:szCs w:val="21"/>
          <w:lang w:eastAsia="zh-CN"/>
        </w:rPr>
        <w:t>清洁</w:t>
      </w:r>
      <w:r>
        <w:rPr>
          <w:rFonts w:hint="eastAsia" w:ascii="宋体" w:hAnsi="宋体" w:cs="宋体"/>
          <w:kern w:val="0"/>
          <w:szCs w:val="21"/>
        </w:rPr>
        <w:t>，包括会议室；</w:t>
      </w:r>
    </w:p>
    <w:p w14:paraId="22789099">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住院楼</w:t>
      </w:r>
      <w:r>
        <w:rPr>
          <w:rFonts w:hint="eastAsia" w:ascii="宋体" w:hAnsi="宋体" w:cs="宋体"/>
          <w:kern w:val="0"/>
          <w:szCs w:val="21"/>
          <w:lang w:eastAsia="zh-CN"/>
        </w:rPr>
        <w:t>：</w:t>
      </w:r>
      <w:r>
        <w:rPr>
          <w:rFonts w:hint="eastAsia" w:ascii="宋体" w:hAnsi="宋体" w:cs="宋体"/>
          <w:kern w:val="0"/>
          <w:szCs w:val="21"/>
        </w:rPr>
        <w:t>两个楼层的公共通道、两个厕所、一个茶水间、8间病房、4间办公室、一个两层半的楼梯、放射科的候诊厅（公共通道范围内）、病房外面走廊；（不包括医生办公室）</w:t>
      </w:r>
    </w:p>
    <w:p w14:paraId="613DB152">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食堂宿舍</w:t>
      </w:r>
      <w:r>
        <w:rPr>
          <w:rFonts w:hint="eastAsia" w:ascii="宋体" w:hAnsi="宋体" w:cs="宋体"/>
          <w:kern w:val="0"/>
          <w:szCs w:val="21"/>
          <w:lang w:eastAsia="zh-CN"/>
        </w:rPr>
        <w:t>：</w:t>
      </w:r>
      <w:r>
        <w:rPr>
          <w:rFonts w:hint="eastAsia" w:ascii="宋体" w:hAnsi="宋体" w:cs="宋体"/>
          <w:kern w:val="0"/>
          <w:szCs w:val="21"/>
        </w:rPr>
        <w:t>两个楼层公共通道、两个浴室、一个两层楼梯；</w:t>
      </w:r>
    </w:p>
    <w:p w14:paraId="65250A4A">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医生宿舍</w:t>
      </w:r>
      <w:r>
        <w:rPr>
          <w:rFonts w:hint="eastAsia" w:ascii="宋体" w:hAnsi="宋体" w:cs="宋体"/>
          <w:kern w:val="0"/>
          <w:szCs w:val="21"/>
          <w:lang w:eastAsia="zh-CN"/>
        </w:rPr>
        <w:t>：</w:t>
      </w:r>
      <w:r>
        <w:rPr>
          <w:rFonts w:hint="eastAsia" w:ascii="宋体" w:hAnsi="宋体" w:cs="宋体"/>
          <w:kern w:val="0"/>
          <w:szCs w:val="21"/>
        </w:rPr>
        <w:t>-一个四层楼楼梯</w:t>
      </w:r>
    </w:p>
    <w:p w14:paraId="70836B32">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其它公共区域</w:t>
      </w:r>
      <w:r>
        <w:rPr>
          <w:rFonts w:hint="eastAsia" w:ascii="宋体" w:hAnsi="宋体" w:cs="宋体"/>
          <w:kern w:val="0"/>
          <w:szCs w:val="21"/>
          <w:lang w:eastAsia="zh-CN"/>
        </w:rPr>
        <w:t>：</w:t>
      </w:r>
      <w:r>
        <w:rPr>
          <w:rFonts w:hint="eastAsia" w:ascii="宋体" w:hAnsi="宋体" w:cs="宋体"/>
          <w:kern w:val="0"/>
          <w:szCs w:val="21"/>
        </w:rPr>
        <w:t>住院部外场地、门诊楼外场地、食堂区域外场地、洗衣间、一个大的公共厕所</w:t>
      </w:r>
    </w:p>
    <w:p w14:paraId="543FCC8D">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eastAsia="zh-CN"/>
        </w:rPr>
        <w:t>备注：</w:t>
      </w:r>
      <w:r>
        <w:rPr>
          <w:rFonts w:hint="eastAsia" w:ascii="宋体" w:hAnsi="宋体" w:cs="宋体"/>
          <w:kern w:val="0"/>
          <w:szCs w:val="21"/>
        </w:rPr>
        <w:t>住院部被服清洗、医生衣服清洗不包括在内</w:t>
      </w:r>
    </w:p>
    <w:p w14:paraId="6F0CDFE1">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二、</w:t>
      </w:r>
      <w:r>
        <w:rPr>
          <w:rFonts w:hint="eastAsia" w:ascii="宋体" w:hAnsi="宋体" w:cs="宋体"/>
          <w:kern w:val="0"/>
          <w:szCs w:val="21"/>
          <w:lang w:eastAsia="zh-CN"/>
        </w:rPr>
        <w:t>后勤服务</w:t>
      </w:r>
      <w:r>
        <w:rPr>
          <w:rFonts w:hint="eastAsia" w:ascii="宋体" w:hAnsi="宋体" w:cs="宋体"/>
          <w:kern w:val="0"/>
          <w:szCs w:val="21"/>
        </w:rPr>
        <w:t>内容</w:t>
      </w:r>
    </w:p>
    <w:p w14:paraId="09B153C1">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 xml:space="preserve">2.1 </w:t>
      </w:r>
      <w:r>
        <w:rPr>
          <w:rFonts w:hint="eastAsia" w:ascii="宋体" w:hAnsi="宋体" w:cs="宋体"/>
          <w:kern w:val="0"/>
          <w:szCs w:val="21"/>
        </w:rPr>
        <w:t>公共通道两旁的瓷砖墙壁，包括上端面、踢脚线；</w:t>
      </w:r>
    </w:p>
    <w:p w14:paraId="1043B2E7">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 xml:space="preserve">2.2 </w:t>
      </w:r>
      <w:r>
        <w:rPr>
          <w:rFonts w:hint="eastAsia" w:ascii="宋体" w:hAnsi="宋体" w:cs="宋体"/>
          <w:kern w:val="0"/>
          <w:szCs w:val="21"/>
        </w:rPr>
        <w:t>墙壁上的开关、装饰物、房间牌、宣传册；</w:t>
      </w:r>
    </w:p>
    <w:p w14:paraId="5903E028">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 xml:space="preserve">2.3 </w:t>
      </w:r>
      <w:r>
        <w:rPr>
          <w:rFonts w:hint="eastAsia" w:ascii="宋体" w:hAnsi="宋体" w:cs="宋体"/>
          <w:kern w:val="0"/>
          <w:szCs w:val="21"/>
        </w:rPr>
        <w:t>地面、楼梯、楼梯扶手；</w:t>
      </w:r>
    </w:p>
    <w:p w14:paraId="41294963">
      <w:pPr>
        <w:autoSpaceDE w:val="0"/>
        <w:autoSpaceDN w:val="0"/>
        <w:adjustRightInd w:val="0"/>
        <w:spacing w:line="440" w:lineRule="exact"/>
        <w:ind w:left="64" w:right="21" w:firstLine="453"/>
        <w:jc w:val="left"/>
        <w:rPr>
          <w:rFonts w:hint="eastAsia" w:ascii="宋体" w:hAnsi="宋体" w:cs="宋体"/>
          <w:bCs/>
          <w:kern w:val="0"/>
          <w:szCs w:val="21"/>
        </w:rPr>
      </w:pPr>
      <w:r>
        <w:rPr>
          <w:rFonts w:hint="eastAsia" w:ascii="宋体" w:hAnsi="宋体" w:cs="宋体"/>
          <w:kern w:val="0"/>
          <w:szCs w:val="21"/>
          <w:lang w:val="en-US" w:eastAsia="zh-CN"/>
        </w:rPr>
        <w:t xml:space="preserve">2.4 </w:t>
      </w:r>
      <w:r>
        <w:rPr>
          <w:rFonts w:hint="eastAsia" w:ascii="宋体" w:hAnsi="宋体" w:cs="宋体"/>
          <w:kern w:val="0"/>
          <w:szCs w:val="21"/>
        </w:rPr>
        <w:t>窗户台面，可以擦到的窗玻璃、窗框；</w:t>
      </w:r>
    </w:p>
    <w:p w14:paraId="48D0A600">
      <w:pPr>
        <w:widowControl/>
        <w:spacing w:before="150" w:after="150" w:line="440" w:lineRule="exact"/>
        <w:jc w:val="left"/>
        <w:rPr>
          <w:rFonts w:ascii="宋体" w:hAnsi="宋体" w:cs="宋体"/>
          <w:b/>
          <w:bCs w:val="0"/>
          <w:szCs w:val="21"/>
        </w:rPr>
      </w:pPr>
      <w:r>
        <w:rPr>
          <w:rFonts w:hint="eastAsia" w:ascii="宋体" w:hAnsi="宋体" w:cs="宋体"/>
          <w:b/>
          <w:bCs w:val="0"/>
          <w:kern w:val="0"/>
          <w:szCs w:val="21"/>
          <w:lang w:eastAsia="zh-CN"/>
        </w:rPr>
        <w:t>三</w:t>
      </w:r>
      <w:r>
        <w:rPr>
          <w:rFonts w:hint="eastAsia" w:ascii="宋体" w:hAnsi="宋体" w:cs="宋体"/>
          <w:b/>
          <w:bCs w:val="0"/>
          <w:kern w:val="0"/>
          <w:szCs w:val="21"/>
        </w:rPr>
        <w:t>、监督制度</w:t>
      </w:r>
    </w:p>
    <w:p w14:paraId="5A431B9E">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1、考核机构</w:t>
      </w:r>
    </w:p>
    <w:p w14:paraId="1F80C542">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医院综合办公室考核小组，其成员由综合办公室成员组成</w:t>
      </w:r>
    </w:p>
    <w:p w14:paraId="279D8751">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2、考核内容</w:t>
      </w:r>
    </w:p>
    <w:p w14:paraId="39A5650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考核分为考核小组成员评议和满意度测评两种方式，每月进行一次，考核结果作为月度服务费结算重要依据。</w:t>
      </w:r>
    </w:p>
    <w:p w14:paraId="60B122A9">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①考核小组成员评议</w:t>
      </w:r>
    </w:p>
    <w:p w14:paraId="5E2F7932">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 xml:space="preserve"> 由采购人组织根据《食堂管理服务考核表》对食堂日常工作情况进行公平、公正的评议。考核人员由医院膳食管理小组成员组成，具体由工会牵头负责执行。</w:t>
      </w:r>
    </w:p>
    <w:p w14:paraId="3543AB7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②满意度测评</w:t>
      </w:r>
    </w:p>
    <w:p w14:paraId="258E9B4F">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 xml:space="preserve"> 由中标人组织，每季度重点对食堂的菜肴质量、食品安全、特色服务、食堂管理等方面的满意度情况以问卷调查的形式进行一次测评考核。具体由膳食科负责执行，膳食管理小组监督。</w:t>
      </w:r>
    </w:p>
    <w:p w14:paraId="08BA40CA">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3、考核办法</w:t>
      </w:r>
    </w:p>
    <w:p w14:paraId="05FCF63F">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en-US" w:eastAsia="zh-CN"/>
        </w:rPr>
        <w:t>1.</w:t>
      </w:r>
      <w:r>
        <w:rPr>
          <w:rFonts w:hint="eastAsia" w:ascii="宋体" w:hAnsi="宋体" w:cs="宋体"/>
          <w:bCs/>
          <w:kern w:val="0"/>
          <w:szCs w:val="21"/>
          <w:lang w:val="zh-CN"/>
        </w:rPr>
        <w:t>考核奖金的兑现分值为100分：考核小组评议结果占60%，满意度测评得分占40%。</w:t>
      </w:r>
    </w:p>
    <w:p w14:paraId="5C45B06C">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en-US" w:eastAsia="zh-CN"/>
        </w:rPr>
        <w:t>2.</w:t>
      </w:r>
      <w:r>
        <w:rPr>
          <w:rFonts w:hint="eastAsia" w:ascii="宋体" w:hAnsi="宋体" w:cs="宋体"/>
          <w:bCs/>
          <w:kern w:val="0"/>
          <w:szCs w:val="21"/>
          <w:lang w:val="zh-CN"/>
        </w:rPr>
        <w:t>如果连续两次考核分值在60分以下，医院将提出限期整改要求；如果连续三次考核分值在60分以下医院将解除或终止合同，并没收履约保证金，所造成的一切损失均由中标人自行负责。</w:t>
      </w:r>
    </w:p>
    <w:p w14:paraId="6CC88D73">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4、考核奖金兑现方式</w:t>
      </w:r>
    </w:p>
    <w:p w14:paraId="52F4FC9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①考核奖金将在每月考核完成后的五个工作日内根据考核情况进行兑现。</w:t>
      </w:r>
    </w:p>
    <w:p w14:paraId="2F0E5594">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②考核得分在85分以上(含85分)为合格，全额支付该月考核奖金给中标人</w:t>
      </w:r>
    </w:p>
    <w:p w14:paraId="1121F02A">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③考核得分在76-84分之间，扣除该季度考核奖金的1/3</w:t>
      </w:r>
    </w:p>
    <w:p w14:paraId="27E71E3D">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④考核得分在71-75分之间，扣除该季度考核奖金的2/3。</w:t>
      </w:r>
    </w:p>
    <w:p w14:paraId="4B62390C">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⑤考核得分在70分及以下(含70分)，全额扣除该季度考核奖金。</w:t>
      </w:r>
    </w:p>
    <w:p w14:paraId="0FECA50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5、考核一票否决制</w:t>
      </w:r>
    </w:p>
    <w:p w14:paraId="520ADA44">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①中标人在提供食堂餐饮服务时，因自身原因发生的一切安全事故责任均由中标人自行承担，该月度考核一票否决，全额扣除该月度考核奖金，医院将提出限期整改要求，继续追踪考核。</w:t>
      </w:r>
    </w:p>
    <w:p w14:paraId="56F12B41">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②出现一次食品安全责任事故，实行一票否决，该月度考核直接评为不合格，全额扣除该月度考核奖金，并视情节轻重罚款</w:t>
      </w:r>
      <w:r>
        <w:rPr>
          <w:rFonts w:hint="eastAsia" w:ascii="宋体" w:hAnsi="宋体" w:cs="宋体"/>
          <w:bCs/>
          <w:kern w:val="0"/>
          <w:szCs w:val="21"/>
          <w:lang w:val="en-US" w:eastAsia="zh-CN"/>
        </w:rPr>
        <w:t>1千</w:t>
      </w:r>
      <w:r>
        <w:rPr>
          <w:rFonts w:hint="eastAsia" w:ascii="宋体" w:hAnsi="宋体" w:cs="宋体"/>
          <w:bCs/>
          <w:kern w:val="0"/>
          <w:szCs w:val="21"/>
          <w:lang w:val="zh-CN"/>
        </w:rPr>
        <w:t>元-</w:t>
      </w:r>
      <w:r>
        <w:rPr>
          <w:rFonts w:hint="eastAsia" w:ascii="宋体" w:hAnsi="宋体" w:cs="宋体"/>
          <w:bCs/>
          <w:kern w:val="0"/>
          <w:szCs w:val="21"/>
          <w:lang w:val="en-US" w:eastAsia="zh-CN"/>
        </w:rPr>
        <w:t>5千</w:t>
      </w:r>
      <w:r>
        <w:rPr>
          <w:rFonts w:hint="eastAsia" w:ascii="宋体" w:hAnsi="宋体" w:cs="宋体"/>
          <w:bCs/>
          <w:kern w:val="0"/>
          <w:szCs w:val="21"/>
          <w:lang w:val="zh-CN"/>
        </w:rPr>
        <w:t>元(从该月食堂餐饮服务费中扣收)，医院将提出限期整改要求，继续追踪考核。</w:t>
      </w:r>
    </w:p>
    <w:p w14:paraId="45B78BA7">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③因食堂管理不规范等原因，导致受到上级管理各部门处罚的，该月度考核一票否决，全额扣除该月度考核奖金，罚金从该月食堂餐饮服务费中扣收，医院将提出限期整改要求，继续追踪考核。</w:t>
      </w:r>
    </w:p>
    <w:p w14:paraId="6FA56684">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6、考核奖励项目</w:t>
      </w:r>
    </w:p>
    <w:p w14:paraId="2918AAEA">
      <w:pPr>
        <w:autoSpaceDE w:val="0"/>
        <w:autoSpaceDN w:val="0"/>
        <w:adjustRightInd w:val="0"/>
        <w:spacing w:line="440" w:lineRule="exact"/>
        <w:jc w:val="left"/>
        <w:rPr>
          <w:rFonts w:ascii="宋体" w:hAnsi="宋体" w:cs="宋体"/>
          <w:b/>
          <w:szCs w:val="21"/>
        </w:rPr>
      </w:pPr>
      <w:r>
        <w:rPr>
          <w:rFonts w:hint="eastAsia" w:ascii="宋体" w:hAnsi="宋体" w:cs="宋体"/>
          <w:bCs/>
          <w:kern w:val="0"/>
          <w:szCs w:val="21"/>
          <w:lang w:val="zh-CN"/>
        </w:rPr>
        <w:t>每月病人订餐率(不含早餐)超过50%及以上的，院方将视情况对中标人进行奖励，但奖励上限不超过每月</w:t>
      </w:r>
      <w:r>
        <w:rPr>
          <w:rFonts w:hint="eastAsia" w:ascii="宋体" w:hAnsi="宋体" w:cs="宋体"/>
          <w:bCs/>
          <w:kern w:val="0"/>
          <w:szCs w:val="21"/>
          <w:lang w:val="en-US" w:eastAsia="zh-CN"/>
        </w:rPr>
        <w:t>5千</w:t>
      </w:r>
      <w:r>
        <w:rPr>
          <w:rFonts w:hint="eastAsia" w:ascii="宋体" w:hAnsi="宋体" w:cs="宋体"/>
          <w:bCs/>
          <w:kern w:val="0"/>
          <w:szCs w:val="21"/>
          <w:lang w:val="zh-CN"/>
        </w:rPr>
        <w:t>元。</w:t>
      </w:r>
    </w:p>
    <w:p w14:paraId="22E38552">
      <w:pPr>
        <w:spacing w:line="400" w:lineRule="exact"/>
        <w:jc w:val="center"/>
        <w:rPr>
          <w:rFonts w:ascii="宋体" w:hAnsi="宋体" w:cs="宋体"/>
          <w:b/>
          <w:szCs w:val="21"/>
        </w:rPr>
      </w:pPr>
      <w:r>
        <w:rPr>
          <w:rFonts w:hint="eastAsia" w:ascii="宋体" w:hAnsi="宋体" w:cs="宋体"/>
          <w:b/>
          <w:szCs w:val="21"/>
        </w:rPr>
        <w:t>食堂工作质量、服务质量、卫生质量考核细则</w:t>
      </w:r>
    </w:p>
    <w:tbl>
      <w:tblPr>
        <w:tblStyle w:val="14"/>
        <w:tblpPr w:leftFromText="180" w:rightFromText="180" w:vertAnchor="text" w:horzAnchor="page" w:tblpX="1270" w:tblpY="398"/>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gridCol w:w="660"/>
        <w:gridCol w:w="765"/>
      </w:tblGrid>
      <w:tr w14:paraId="1922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19E5F98">
            <w:pPr>
              <w:spacing w:line="400" w:lineRule="exact"/>
              <w:jc w:val="center"/>
              <w:rPr>
                <w:rFonts w:ascii="宋体" w:hAnsi="宋体" w:cs="宋体"/>
                <w:b/>
                <w:szCs w:val="21"/>
              </w:rPr>
            </w:pPr>
            <w:r>
              <w:rPr>
                <w:rFonts w:hint="eastAsia" w:ascii="宋体" w:hAnsi="宋体" w:cs="宋体"/>
                <w:b/>
                <w:szCs w:val="21"/>
              </w:rPr>
              <w:t>考核项目</w:t>
            </w:r>
          </w:p>
        </w:tc>
        <w:tc>
          <w:tcPr>
            <w:tcW w:w="660" w:type="dxa"/>
            <w:tcBorders>
              <w:left w:val="single" w:color="auto" w:sz="4" w:space="0"/>
              <w:right w:val="single" w:color="auto" w:sz="4" w:space="0"/>
            </w:tcBorders>
            <w:noWrap w:val="0"/>
            <w:vAlign w:val="center"/>
          </w:tcPr>
          <w:p w14:paraId="1BD6F61B">
            <w:pPr>
              <w:spacing w:line="400" w:lineRule="exact"/>
              <w:jc w:val="center"/>
              <w:rPr>
                <w:rFonts w:ascii="宋体" w:hAnsi="宋体" w:cs="宋体"/>
                <w:b/>
                <w:szCs w:val="21"/>
              </w:rPr>
            </w:pPr>
            <w:r>
              <w:rPr>
                <w:rFonts w:hint="eastAsia" w:ascii="宋体" w:hAnsi="宋体" w:cs="宋体"/>
                <w:b/>
                <w:szCs w:val="21"/>
              </w:rPr>
              <w:t>分值</w:t>
            </w:r>
          </w:p>
        </w:tc>
        <w:tc>
          <w:tcPr>
            <w:tcW w:w="765" w:type="dxa"/>
            <w:tcBorders>
              <w:left w:val="single" w:color="auto" w:sz="4" w:space="0"/>
            </w:tcBorders>
            <w:noWrap w:val="0"/>
            <w:vAlign w:val="center"/>
          </w:tcPr>
          <w:p w14:paraId="74F47688">
            <w:pPr>
              <w:spacing w:line="400" w:lineRule="exact"/>
              <w:jc w:val="center"/>
              <w:rPr>
                <w:rFonts w:ascii="宋体" w:hAnsi="宋体" w:cs="宋体"/>
                <w:b/>
                <w:szCs w:val="21"/>
              </w:rPr>
            </w:pPr>
            <w:r>
              <w:rPr>
                <w:rFonts w:hint="eastAsia" w:ascii="宋体" w:hAnsi="宋体" w:cs="宋体"/>
                <w:b/>
                <w:szCs w:val="21"/>
              </w:rPr>
              <w:t>得分</w:t>
            </w:r>
          </w:p>
        </w:tc>
      </w:tr>
      <w:tr w14:paraId="34B5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90AC2EC">
            <w:pPr>
              <w:spacing w:line="400" w:lineRule="exact"/>
              <w:rPr>
                <w:rFonts w:ascii="宋体" w:hAnsi="宋体" w:cs="宋体"/>
                <w:b/>
                <w:szCs w:val="21"/>
              </w:rPr>
            </w:pPr>
            <w:r>
              <w:rPr>
                <w:rFonts w:hint="eastAsia" w:ascii="宋体" w:hAnsi="宋体" w:cs="宋体"/>
                <w:b/>
                <w:szCs w:val="21"/>
              </w:rPr>
              <w:t>一、安全生产：8分</w:t>
            </w:r>
          </w:p>
        </w:tc>
        <w:tc>
          <w:tcPr>
            <w:tcW w:w="660" w:type="dxa"/>
            <w:tcBorders>
              <w:left w:val="single" w:color="auto" w:sz="4" w:space="0"/>
              <w:right w:val="single" w:color="auto" w:sz="4" w:space="0"/>
            </w:tcBorders>
            <w:noWrap w:val="0"/>
            <w:vAlign w:val="center"/>
          </w:tcPr>
          <w:p w14:paraId="7938F755">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61872586">
            <w:pPr>
              <w:spacing w:line="400" w:lineRule="exact"/>
              <w:jc w:val="center"/>
              <w:rPr>
                <w:rFonts w:ascii="宋体" w:hAnsi="宋体" w:cs="宋体"/>
                <w:b/>
                <w:szCs w:val="21"/>
              </w:rPr>
            </w:pPr>
          </w:p>
        </w:tc>
      </w:tr>
      <w:tr w14:paraId="4AF5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479EED9">
            <w:pPr>
              <w:spacing w:line="400" w:lineRule="exact"/>
              <w:rPr>
                <w:rFonts w:ascii="宋体" w:hAnsi="宋体" w:cs="宋体"/>
                <w:szCs w:val="21"/>
              </w:rPr>
            </w:pPr>
            <w:r>
              <w:rPr>
                <w:rFonts w:hint="eastAsia" w:ascii="宋体" w:hAnsi="宋体" w:cs="宋体"/>
                <w:szCs w:val="21"/>
              </w:rPr>
              <w:t>1、爱护公共财产设施（厨房设备）妥善安全使用设备，定期检查、保养不随意损坏设备现象发生。并做到设备有损坏、应及时修复、保持食堂工作正常运作。</w:t>
            </w:r>
            <w:r>
              <w:rPr>
                <w:rFonts w:hint="eastAsia" w:ascii="宋体" w:hAnsi="宋体" w:eastAsia="宋体" w:cs="仿宋"/>
                <w:szCs w:val="21"/>
              </w:rPr>
              <w:t>发现一处不符合扣0.</w:t>
            </w:r>
            <w:r>
              <w:rPr>
                <w:rFonts w:hint="eastAsia" w:ascii="宋体" w:hAnsi="宋体" w:cs="仿宋"/>
                <w:szCs w:val="21"/>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5DA8C98">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6F24C55">
            <w:pPr>
              <w:spacing w:line="400" w:lineRule="exact"/>
              <w:jc w:val="center"/>
              <w:rPr>
                <w:rFonts w:ascii="宋体" w:hAnsi="宋体" w:cs="宋体"/>
                <w:szCs w:val="21"/>
              </w:rPr>
            </w:pPr>
          </w:p>
        </w:tc>
      </w:tr>
      <w:tr w14:paraId="7F9C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136359E">
            <w:pPr>
              <w:spacing w:line="400" w:lineRule="exact"/>
              <w:rPr>
                <w:rFonts w:ascii="宋体" w:hAnsi="宋体" w:cs="宋体"/>
                <w:szCs w:val="21"/>
              </w:rPr>
            </w:pPr>
            <w:r>
              <w:rPr>
                <w:rFonts w:hint="eastAsia" w:ascii="宋体" w:hAnsi="宋体" w:cs="宋体"/>
                <w:szCs w:val="21"/>
              </w:rPr>
              <w:t>2、节约用电、水、汽，杜绝浪费，做到随手关电、水、汽，杜绝长流水、长明灯。</w:t>
            </w:r>
            <w:r>
              <w:rPr>
                <w:rFonts w:hint="eastAsia" w:ascii="宋体" w:hAnsi="宋体" w:eastAsia="宋体" w:cs="仿宋"/>
                <w:szCs w:val="21"/>
              </w:rPr>
              <w:t>发现一处不符合扣0.</w:t>
            </w:r>
            <w:r>
              <w:rPr>
                <w:rFonts w:hint="eastAsia" w:ascii="宋体" w:hAnsi="宋体" w:cs="仿宋"/>
                <w:szCs w:val="21"/>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FA795AF">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380DC7B7">
            <w:pPr>
              <w:spacing w:line="400" w:lineRule="exact"/>
              <w:jc w:val="center"/>
              <w:rPr>
                <w:rFonts w:ascii="宋体" w:hAnsi="宋体" w:cs="宋体"/>
                <w:szCs w:val="21"/>
              </w:rPr>
            </w:pPr>
          </w:p>
        </w:tc>
      </w:tr>
      <w:tr w14:paraId="1989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BD35159">
            <w:pPr>
              <w:spacing w:line="400" w:lineRule="exact"/>
              <w:rPr>
                <w:rFonts w:ascii="宋体" w:hAnsi="宋体" w:cs="宋体"/>
                <w:szCs w:val="21"/>
              </w:rPr>
            </w:pPr>
            <w:r>
              <w:rPr>
                <w:rFonts w:hint="eastAsia" w:ascii="宋体" w:hAnsi="宋体" w:cs="宋体"/>
                <w:szCs w:val="21"/>
              </w:rPr>
              <w:t>3、落实综合治理，加强安全生产管理，不违规操作，做好防盗、防火工作，各班组带班人员下班前应检查是否关好门窗、电（保留应急照明灯）、水龙头，特别要求天然气阀门检查是否关好，杜绝火灾隐患。</w:t>
            </w:r>
            <w:r>
              <w:rPr>
                <w:rFonts w:hint="eastAsia" w:ascii="宋体" w:hAnsi="宋体" w:eastAsia="宋体" w:cs="仿宋"/>
                <w:szCs w:val="21"/>
              </w:rPr>
              <w:t>发现一处不符合扣0.</w:t>
            </w:r>
            <w:r>
              <w:rPr>
                <w:rFonts w:hint="eastAsia" w:ascii="宋体" w:hAnsi="宋体" w:cs="仿宋"/>
                <w:szCs w:val="21"/>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7FDDB757">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19C5EDEC">
            <w:pPr>
              <w:spacing w:line="400" w:lineRule="exact"/>
              <w:jc w:val="center"/>
              <w:rPr>
                <w:rFonts w:ascii="宋体" w:hAnsi="宋体" w:cs="宋体"/>
                <w:szCs w:val="21"/>
              </w:rPr>
            </w:pPr>
          </w:p>
        </w:tc>
      </w:tr>
      <w:tr w14:paraId="01FF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7FBAA5A">
            <w:pPr>
              <w:spacing w:line="400" w:lineRule="exact"/>
              <w:rPr>
                <w:rFonts w:ascii="宋体" w:hAnsi="宋体" w:cs="宋体"/>
                <w:b/>
                <w:szCs w:val="21"/>
              </w:rPr>
            </w:pPr>
            <w:r>
              <w:rPr>
                <w:rFonts w:hint="eastAsia" w:ascii="宋体" w:hAnsi="宋体" w:cs="宋体"/>
                <w:b/>
                <w:szCs w:val="21"/>
              </w:rPr>
              <w:t>二、健康体检：4分</w:t>
            </w:r>
          </w:p>
        </w:tc>
        <w:tc>
          <w:tcPr>
            <w:tcW w:w="660" w:type="dxa"/>
            <w:tcBorders>
              <w:left w:val="single" w:color="auto" w:sz="4" w:space="0"/>
              <w:right w:val="single" w:color="auto" w:sz="4" w:space="0"/>
            </w:tcBorders>
            <w:noWrap w:val="0"/>
            <w:vAlign w:val="center"/>
          </w:tcPr>
          <w:p w14:paraId="39899D5E">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21C7D2D2">
            <w:pPr>
              <w:spacing w:line="400" w:lineRule="exact"/>
              <w:jc w:val="center"/>
              <w:rPr>
                <w:rFonts w:ascii="宋体" w:hAnsi="宋体" w:cs="宋体"/>
                <w:b/>
                <w:szCs w:val="21"/>
              </w:rPr>
            </w:pPr>
          </w:p>
        </w:tc>
      </w:tr>
      <w:tr w14:paraId="7FBE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85" w:type="dxa"/>
            <w:tcBorders>
              <w:right w:val="single" w:color="auto" w:sz="4" w:space="0"/>
            </w:tcBorders>
            <w:noWrap w:val="0"/>
            <w:vAlign w:val="top"/>
          </w:tcPr>
          <w:p w14:paraId="33963A60">
            <w:pPr>
              <w:spacing w:line="400" w:lineRule="exact"/>
              <w:rPr>
                <w:rFonts w:ascii="宋体" w:hAnsi="宋体" w:cs="宋体"/>
                <w:szCs w:val="21"/>
              </w:rPr>
            </w:pPr>
            <w:r>
              <w:rPr>
                <w:rFonts w:hint="eastAsia" w:ascii="宋体" w:hAnsi="宋体" w:cs="宋体"/>
                <w:szCs w:val="21"/>
              </w:rPr>
              <w:t>1、严格执行健康体检制度，工作人员未取得有效健康证不得上岗。</w:t>
            </w:r>
            <w:r>
              <w:rPr>
                <w:rFonts w:hint="eastAsia" w:ascii="宋体" w:hAnsi="宋体" w:eastAsia="宋体" w:cs="仿宋"/>
                <w:szCs w:val="21"/>
              </w:rPr>
              <w:t>发现一处不符合扣</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9F5713D">
            <w:pPr>
              <w:spacing w:line="400" w:lineRule="exact"/>
              <w:jc w:val="center"/>
              <w:rPr>
                <w:rFonts w:ascii="宋体" w:hAnsi="宋体" w:cs="宋体"/>
                <w:szCs w:val="21"/>
              </w:rPr>
            </w:pPr>
            <w:r>
              <w:rPr>
                <w:rFonts w:hint="eastAsia" w:ascii="宋体" w:hAnsi="宋体" w:cs="宋体"/>
                <w:szCs w:val="21"/>
              </w:rPr>
              <w:t>4</w:t>
            </w:r>
          </w:p>
        </w:tc>
        <w:tc>
          <w:tcPr>
            <w:tcW w:w="765" w:type="dxa"/>
            <w:tcBorders>
              <w:left w:val="single" w:color="auto" w:sz="4" w:space="0"/>
            </w:tcBorders>
            <w:noWrap w:val="0"/>
            <w:vAlign w:val="center"/>
          </w:tcPr>
          <w:p w14:paraId="58E14143">
            <w:pPr>
              <w:spacing w:line="400" w:lineRule="exact"/>
              <w:jc w:val="center"/>
              <w:rPr>
                <w:rFonts w:ascii="宋体" w:hAnsi="宋体" w:cs="宋体"/>
                <w:szCs w:val="21"/>
              </w:rPr>
            </w:pPr>
          </w:p>
        </w:tc>
      </w:tr>
      <w:tr w14:paraId="57AD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85" w:type="dxa"/>
            <w:tcBorders>
              <w:right w:val="single" w:color="auto" w:sz="4" w:space="0"/>
            </w:tcBorders>
            <w:noWrap w:val="0"/>
            <w:vAlign w:val="top"/>
          </w:tcPr>
          <w:p w14:paraId="0A1EE13B">
            <w:pPr>
              <w:spacing w:line="400" w:lineRule="exact"/>
              <w:rPr>
                <w:rFonts w:ascii="宋体" w:hAnsi="宋体" w:cs="宋体"/>
                <w:b/>
                <w:szCs w:val="21"/>
              </w:rPr>
            </w:pPr>
            <w:r>
              <w:rPr>
                <w:rFonts w:hint="eastAsia" w:ascii="宋体" w:hAnsi="宋体" w:cs="宋体"/>
                <w:b/>
                <w:szCs w:val="21"/>
              </w:rPr>
              <w:t>三、投诉意见（科内、院内、院外）：6分</w:t>
            </w:r>
          </w:p>
        </w:tc>
        <w:tc>
          <w:tcPr>
            <w:tcW w:w="660" w:type="dxa"/>
            <w:tcBorders>
              <w:left w:val="single" w:color="auto" w:sz="4" w:space="0"/>
              <w:right w:val="single" w:color="auto" w:sz="4" w:space="0"/>
            </w:tcBorders>
            <w:noWrap w:val="0"/>
            <w:vAlign w:val="center"/>
          </w:tcPr>
          <w:p w14:paraId="39E747B3">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2CA0E4E">
            <w:pPr>
              <w:spacing w:line="400" w:lineRule="exact"/>
              <w:jc w:val="center"/>
              <w:rPr>
                <w:rFonts w:ascii="宋体" w:hAnsi="宋体" w:cs="宋体"/>
                <w:b/>
                <w:szCs w:val="21"/>
              </w:rPr>
            </w:pPr>
          </w:p>
        </w:tc>
      </w:tr>
      <w:tr w14:paraId="6768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A84BCF5">
            <w:pPr>
              <w:spacing w:line="400" w:lineRule="exact"/>
              <w:rPr>
                <w:rFonts w:ascii="宋体" w:hAnsi="宋体" w:cs="宋体"/>
                <w:szCs w:val="21"/>
              </w:rPr>
            </w:pPr>
            <w:r>
              <w:rPr>
                <w:rFonts w:hint="eastAsia" w:ascii="宋体" w:hAnsi="宋体" w:cs="宋体"/>
                <w:szCs w:val="21"/>
              </w:rPr>
              <w:t>1、饭菜质量有职工、</w:t>
            </w:r>
            <w:r>
              <w:rPr>
                <w:rFonts w:hint="eastAsia" w:ascii="宋体" w:hAnsi="宋体" w:cs="宋体"/>
                <w:szCs w:val="21"/>
                <w:lang w:eastAsia="zh-CN"/>
              </w:rPr>
              <w:t>职工</w:t>
            </w:r>
            <w:r>
              <w:rPr>
                <w:rFonts w:hint="eastAsia" w:ascii="宋体" w:hAnsi="宋体" w:cs="宋体"/>
                <w:szCs w:val="21"/>
              </w:rPr>
              <w:t>投诉的。</w:t>
            </w:r>
            <w:r>
              <w:rPr>
                <w:rFonts w:hint="eastAsia" w:ascii="宋体" w:hAnsi="宋体" w:eastAsia="宋体" w:cs="仿宋"/>
                <w:szCs w:val="21"/>
              </w:rPr>
              <w:t>发现一处扣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3D323F2">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1D931DF6">
            <w:pPr>
              <w:spacing w:line="400" w:lineRule="exact"/>
              <w:jc w:val="center"/>
              <w:rPr>
                <w:rFonts w:ascii="宋体" w:hAnsi="宋体" w:cs="宋体"/>
                <w:szCs w:val="21"/>
              </w:rPr>
            </w:pPr>
          </w:p>
        </w:tc>
      </w:tr>
      <w:tr w14:paraId="4F67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CBA36C4">
            <w:pPr>
              <w:spacing w:line="400" w:lineRule="exact"/>
              <w:rPr>
                <w:rFonts w:ascii="宋体" w:hAnsi="宋体" w:cs="宋体"/>
                <w:szCs w:val="21"/>
              </w:rPr>
            </w:pPr>
            <w:r>
              <w:rPr>
                <w:rFonts w:hint="eastAsia" w:ascii="宋体" w:hAnsi="宋体" w:cs="宋体"/>
                <w:szCs w:val="21"/>
              </w:rPr>
              <w:t>2、服务质量有职工、</w:t>
            </w:r>
            <w:r>
              <w:rPr>
                <w:rFonts w:hint="eastAsia" w:ascii="宋体" w:hAnsi="宋体" w:cs="宋体"/>
                <w:szCs w:val="21"/>
                <w:lang w:eastAsia="zh-CN"/>
              </w:rPr>
              <w:t>职工</w:t>
            </w:r>
            <w:r>
              <w:rPr>
                <w:rFonts w:hint="eastAsia" w:ascii="宋体" w:hAnsi="宋体" w:cs="宋体"/>
                <w:szCs w:val="21"/>
              </w:rPr>
              <w:t>投诉的。</w:t>
            </w:r>
            <w:r>
              <w:rPr>
                <w:rFonts w:hint="eastAsia" w:ascii="宋体" w:hAnsi="宋体" w:eastAsia="宋体" w:cs="仿宋"/>
                <w:szCs w:val="21"/>
              </w:rPr>
              <w:t>发现一处扣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8E1A095">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7392B1B9">
            <w:pPr>
              <w:spacing w:line="400" w:lineRule="exact"/>
              <w:jc w:val="center"/>
              <w:rPr>
                <w:rFonts w:ascii="宋体" w:hAnsi="宋体" w:cs="宋体"/>
                <w:szCs w:val="21"/>
              </w:rPr>
            </w:pPr>
          </w:p>
        </w:tc>
      </w:tr>
      <w:tr w14:paraId="716B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232C37D8">
            <w:pPr>
              <w:spacing w:line="400" w:lineRule="exact"/>
              <w:rPr>
                <w:rFonts w:ascii="宋体" w:hAnsi="宋体" w:cs="宋体"/>
                <w:b/>
                <w:szCs w:val="21"/>
              </w:rPr>
            </w:pPr>
            <w:r>
              <w:rPr>
                <w:rFonts w:hint="eastAsia" w:ascii="宋体" w:hAnsi="宋体" w:cs="宋体"/>
                <w:b/>
                <w:szCs w:val="21"/>
              </w:rPr>
              <w:t>四、服务质量：7.5分</w:t>
            </w:r>
          </w:p>
        </w:tc>
        <w:tc>
          <w:tcPr>
            <w:tcW w:w="660" w:type="dxa"/>
            <w:tcBorders>
              <w:left w:val="single" w:color="auto" w:sz="4" w:space="0"/>
              <w:right w:val="single" w:color="auto" w:sz="4" w:space="0"/>
            </w:tcBorders>
            <w:noWrap w:val="0"/>
            <w:vAlign w:val="center"/>
          </w:tcPr>
          <w:p w14:paraId="06527939">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22EF2FF">
            <w:pPr>
              <w:spacing w:line="400" w:lineRule="exact"/>
              <w:jc w:val="center"/>
              <w:rPr>
                <w:rFonts w:ascii="宋体" w:hAnsi="宋体" w:cs="宋体"/>
                <w:b/>
                <w:szCs w:val="21"/>
              </w:rPr>
            </w:pPr>
          </w:p>
        </w:tc>
      </w:tr>
      <w:tr w14:paraId="3B56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9072FBE">
            <w:pPr>
              <w:spacing w:line="400" w:lineRule="exact"/>
              <w:rPr>
                <w:rFonts w:hint="eastAsia" w:ascii="宋体" w:hAnsi="宋体" w:eastAsia="宋体" w:cs="宋体"/>
                <w:szCs w:val="21"/>
                <w:lang w:eastAsia="zh-CN"/>
              </w:rPr>
            </w:pPr>
            <w:r>
              <w:rPr>
                <w:rFonts w:hint="eastAsia" w:ascii="宋体" w:hAnsi="宋体" w:cs="宋体"/>
                <w:szCs w:val="21"/>
              </w:rPr>
              <w:t>1、做到合理制定菜谱、价格并有明码标价，公布每周菜谱，</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r>
              <w:rPr>
                <w:rFonts w:hint="eastAsia" w:ascii="宋体" w:hAnsi="宋体" w:eastAsia="宋体" w:cs="仿宋"/>
                <w:szCs w:val="21"/>
                <w:lang w:eastAsia="zh-CN"/>
              </w:rPr>
              <w:t>。</w:t>
            </w:r>
          </w:p>
        </w:tc>
        <w:tc>
          <w:tcPr>
            <w:tcW w:w="660" w:type="dxa"/>
            <w:tcBorders>
              <w:left w:val="single" w:color="auto" w:sz="4" w:space="0"/>
              <w:right w:val="single" w:color="auto" w:sz="4" w:space="0"/>
            </w:tcBorders>
            <w:noWrap w:val="0"/>
            <w:vAlign w:val="center"/>
          </w:tcPr>
          <w:p w14:paraId="0115A732">
            <w:pPr>
              <w:spacing w:line="400" w:lineRule="exact"/>
              <w:jc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.5</w:t>
            </w:r>
          </w:p>
        </w:tc>
        <w:tc>
          <w:tcPr>
            <w:tcW w:w="765" w:type="dxa"/>
            <w:tcBorders>
              <w:left w:val="single" w:color="auto" w:sz="4" w:space="0"/>
            </w:tcBorders>
            <w:noWrap w:val="0"/>
            <w:vAlign w:val="center"/>
          </w:tcPr>
          <w:p w14:paraId="1A3B9EA4">
            <w:pPr>
              <w:spacing w:line="400" w:lineRule="exact"/>
              <w:jc w:val="center"/>
              <w:rPr>
                <w:rFonts w:ascii="宋体" w:hAnsi="宋体" w:cs="宋体"/>
                <w:szCs w:val="21"/>
              </w:rPr>
            </w:pPr>
          </w:p>
        </w:tc>
      </w:tr>
      <w:tr w14:paraId="6A8E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5CE69EB">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、售菜窗口服务人员应做到服务良好、礼貌用语、热情接待，不得有与就餐人员争执、吵架、打架现象发生。</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A060B4F">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2.5</w:t>
            </w:r>
          </w:p>
        </w:tc>
        <w:tc>
          <w:tcPr>
            <w:tcW w:w="765" w:type="dxa"/>
            <w:tcBorders>
              <w:left w:val="single" w:color="auto" w:sz="4" w:space="0"/>
            </w:tcBorders>
            <w:noWrap w:val="0"/>
            <w:vAlign w:val="center"/>
          </w:tcPr>
          <w:p w14:paraId="786734F5">
            <w:pPr>
              <w:spacing w:line="400" w:lineRule="exact"/>
              <w:jc w:val="center"/>
              <w:rPr>
                <w:rFonts w:ascii="宋体" w:hAnsi="宋体" w:cs="宋体"/>
                <w:szCs w:val="21"/>
              </w:rPr>
            </w:pPr>
          </w:p>
        </w:tc>
      </w:tr>
      <w:tr w14:paraId="3E02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D50C80C">
            <w:pPr>
              <w:spacing w:line="40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、根据医疗工作需要应做好按需订、送餐服务工作，不推诿。</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E737A50">
            <w:pPr>
              <w:spacing w:line="400" w:lineRule="exact"/>
              <w:jc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.5</w:t>
            </w:r>
          </w:p>
        </w:tc>
        <w:tc>
          <w:tcPr>
            <w:tcW w:w="765" w:type="dxa"/>
            <w:tcBorders>
              <w:left w:val="single" w:color="auto" w:sz="4" w:space="0"/>
            </w:tcBorders>
            <w:noWrap w:val="0"/>
            <w:vAlign w:val="center"/>
          </w:tcPr>
          <w:p w14:paraId="2AF6C1E0">
            <w:pPr>
              <w:spacing w:line="400" w:lineRule="exact"/>
              <w:jc w:val="center"/>
              <w:rPr>
                <w:rFonts w:ascii="宋体" w:hAnsi="宋体" w:cs="宋体"/>
                <w:szCs w:val="21"/>
              </w:rPr>
            </w:pPr>
          </w:p>
        </w:tc>
      </w:tr>
      <w:tr w14:paraId="007C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5F16C74">
            <w:pPr>
              <w:spacing w:line="400" w:lineRule="exact"/>
              <w:rPr>
                <w:rFonts w:ascii="宋体" w:hAnsi="宋体" w:cs="宋体"/>
                <w:b/>
                <w:szCs w:val="21"/>
              </w:rPr>
            </w:pPr>
            <w:r>
              <w:rPr>
                <w:rFonts w:hint="eastAsia" w:ascii="宋体" w:hAnsi="宋体" w:cs="宋体"/>
                <w:b/>
                <w:szCs w:val="21"/>
              </w:rPr>
              <w:t>五、食品留样：6分</w:t>
            </w:r>
          </w:p>
        </w:tc>
        <w:tc>
          <w:tcPr>
            <w:tcW w:w="660" w:type="dxa"/>
            <w:tcBorders>
              <w:left w:val="single" w:color="auto" w:sz="4" w:space="0"/>
              <w:right w:val="single" w:color="auto" w:sz="4" w:space="0"/>
            </w:tcBorders>
            <w:noWrap w:val="0"/>
            <w:vAlign w:val="center"/>
          </w:tcPr>
          <w:p w14:paraId="3EDC24E7">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5711D976">
            <w:pPr>
              <w:spacing w:line="400" w:lineRule="exact"/>
              <w:jc w:val="center"/>
              <w:rPr>
                <w:rFonts w:ascii="宋体" w:hAnsi="宋体" w:cs="宋体"/>
                <w:b/>
                <w:szCs w:val="21"/>
              </w:rPr>
            </w:pPr>
          </w:p>
        </w:tc>
      </w:tr>
      <w:tr w14:paraId="050C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C6ED047">
            <w:pPr>
              <w:spacing w:line="400" w:lineRule="exact"/>
              <w:rPr>
                <w:rFonts w:ascii="宋体" w:hAnsi="宋体" w:cs="宋体"/>
                <w:szCs w:val="21"/>
              </w:rPr>
            </w:pPr>
            <w:r>
              <w:rPr>
                <w:rFonts w:hint="eastAsia" w:ascii="宋体" w:hAnsi="宋体" w:cs="宋体"/>
                <w:szCs w:val="21"/>
              </w:rPr>
              <w:t>1、严格执行食品留样制度，每餐菜肴做到留样48小时并有记录。</w:t>
            </w:r>
            <w:r>
              <w:rPr>
                <w:rFonts w:hint="eastAsia" w:ascii="宋体" w:hAnsi="宋体" w:eastAsia="宋体" w:cs="仿宋"/>
                <w:szCs w:val="21"/>
              </w:rPr>
              <w:t>发现一处不符合扣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3F0FEDA">
            <w:pPr>
              <w:spacing w:line="400" w:lineRule="exact"/>
              <w:jc w:val="center"/>
              <w:rPr>
                <w:rFonts w:ascii="宋体" w:hAnsi="宋体" w:cs="宋体"/>
                <w:szCs w:val="21"/>
              </w:rPr>
            </w:pPr>
            <w:r>
              <w:rPr>
                <w:rFonts w:hint="eastAsia" w:ascii="宋体" w:hAnsi="宋体" w:cs="宋体"/>
                <w:szCs w:val="21"/>
              </w:rPr>
              <w:t>3</w:t>
            </w:r>
          </w:p>
        </w:tc>
        <w:tc>
          <w:tcPr>
            <w:tcW w:w="765" w:type="dxa"/>
            <w:tcBorders>
              <w:left w:val="single" w:color="auto" w:sz="4" w:space="0"/>
            </w:tcBorders>
            <w:noWrap w:val="0"/>
            <w:vAlign w:val="center"/>
          </w:tcPr>
          <w:p w14:paraId="71ECDE2F">
            <w:pPr>
              <w:spacing w:line="400" w:lineRule="exact"/>
              <w:jc w:val="center"/>
              <w:rPr>
                <w:rFonts w:ascii="宋体" w:hAnsi="宋体" w:cs="宋体"/>
                <w:szCs w:val="21"/>
              </w:rPr>
            </w:pPr>
          </w:p>
        </w:tc>
      </w:tr>
      <w:tr w14:paraId="7358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EC3227D">
            <w:pPr>
              <w:spacing w:line="400" w:lineRule="exact"/>
              <w:rPr>
                <w:rFonts w:ascii="宋体" w:hAnsi="宋体" w:cs="宋体"/>
                <w:szCs w:val="21"/>
              </w:rPr>
            </w:pPr>
            <w:r>
              <w:rPr>
                <w:rFonts w:hint="eastAsia" w:ascii="宋体" w:hAnsi="宋体" w:cs="宋体"/>
                <w:szCs w:val="21"/>
              </w:rPr>
              <w:t>2、有留样人和第二天验证人签名。</w:t>
            </w:r>
            <w:r>
              <w:rPr>
                <w:rFonts w:hint="eastAsia" w:ascii="宋体" w:hAnsi="宋体" w:eastAsia="宋体" w:cs="仿宋"/>
                <w:szCs w:val="21"/>
              </w:rPr>
              <w:t>发现一处不符合扣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7DA9771">
            <w:pPr>
              <w:spacing w:line="400" w:lineRule="exact"/>
              <w:jc w:val="center"/>
              <w:rPr>
                <w:rFonts w:ascii="宋体" w:hAnsi="宋体" w:cs="宋体"/>
                <w:szCs w:val="21"/>
              </w:rPr>
            </w:pPr>
            <w:r>
              <w:rPr>
                <w:rFonts w:hint="eastAsia" w:ascii="宋体" w:hAnsi="宋体" w:cs="宋体"/>
                <w:szCs w:val="21"/>
              </w:rPr>
              <w:t>3</w:t>
            </w:r>
          </w:p>
        </w:tc>
        <w:tc>
          <w:tcPr>
            <w:tcW w:w="765" w:type="dxa"/>
            <w:tcBorders>
              <w:left w:val="single" w:color="auto" w:sz="4" w:space="0"/>
            </w:tcBorders>
            <w:noWrap w:val="0"/>
            <w:vAlign w:val="center"/>
          </w:tcPr>
          <w:p w14:paraId="02D2A69C">
            <w:pPr>
              <w:spacing w:line="400" w:lineRule="exact"/>
              <w:jc w:val="center"/>
              <w:rPr>
                <w:rFonts w:ascii="宋体" w:hAnsi="宋体" w:cs="宋体"/>
                <w:szCs w:val="21"/>
              </w:rPr>
            </w:pPr>
          </w:p>
        </w:tc>
      </w:tr>
      <w:tr w14:paraId="1E60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EF841A1">
            <w:pPr>
              <w:spacing w:line="400" w:lineRule="exact"/>
              <w:rPr>
                <w:rFonts w:ascii="宋体" w:hAnsi="宋体" w:cs="宋体"/>
                <w:b/>
                <w:szCs w:val="21"/>
              </w:rPr>
            </w:pPr>
            <w:r>
              <w:rPr>
                <w:rFonts w:hint="eastAsia" w:ascii="宋体" w:hAnsi="宋体" w:cs="宋体"/>
                <w:b/>
                <w:szCs w:val="21"/>
              </w:rPr>
              <w:t>六、原料采购：</w:t>
            </w:r>
            <w:r>
              <w:rPr>
                <w:rFonts w:hint="eastAsia" w:ascii="宋体" w:hAnsi="宋体" w:cs="宋体"/>
                <w:b/>
                <w:szCs w:val="21"/>
                <w:lang w:val="en-US" w:eastAsia="zh-CN"/>
              </w:rPr>
              <w:t>9</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48E88E74">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227F0A0F">
            <w:pPr>
              <w:spacing w:line="400" w:lineRule="exact"/>
              <w:jc w:val="center"/>
              <w:rPr>
                <w:rFonts w:ascii="宋体" w:hAnsi="宋体" w:cs="宋体"/>
                <w:b/>
                <w:szCs w:val="21"/>
              </w:rPr>
            </w:pPr>
          </w:p>
        </w:tc>
      </w:tr>
      <w:tr w14:paraId="5C8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4ABA4D4">
            <w:pPr>
              <w:spacing w:line="400" w:lineRule="exact"/>
              <w:rPr>
                <w:rFonts w:ascii="宋体" w:hAnsi="宋体" w:cs="宋体"/>
                <w:szCs w:val="21"/>
              </w:rPr>
            </w:pPr>
            <w:r>
              <w:rPr>
                <w:rFonts w:hint="eastAsia" w:ascii="宋体" w:hAnsi="宋体" w:cs="宋体"/>
                <w:szCs w:val="21"/>
              </w:rPr>
              <w:t>1、严格把好食源关，不采购过期腐败变质和假冒伪劣“三无”食品及有损人体健康的食品原料，保证所购食品原料符合食用要求、安全、卫生。</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040E95D">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6A53D24B">
            <w:pPr>
              <w:spacing w:line="400" w:lineRule="exact"/>
              <w:jc w:val="center"/>
              <w:rPr>
                <w:rFonts w:ascii="宋体" w:hAnsi="宋体" w:cs="宋体"/>
                <w:szCs w:val="21"/>
              </w:rPr>
            </w:pPr>
          </w:p>
        </w:tc>
      </w:tr>
      <w:tr w14:paraId="3E47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5359E40">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、食品原料应按需有计划采购，不过量采购堆放在库房或厨房储藏，防止原料变质、过期腐败，影响食用安全并做到库房食品原料先进先出程序。</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4205A37">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22792D9C">
            <w:pPr>
              <w:spacing w:line="400" w:lineRule="exact"/>
              <w:jc w:val="center"/>
              <w:rPr>
                <w:rFonts w:ascii="宋体" w:hAnsi="宋体" w:cs="宋体"/>
                <w:szCs w:val="21"/>
              </w:rPr>
            </w:pPr>
          </w:p>
        </w:tc>
      </w:tr>
      <w:tr w14:paraId="595A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BB58486">
            <w:pPr>
              <w:spacing w:line="40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、仓库保管员严格执行食品验收制度，不验收不符合卫生要求或食用要求的食品原料及杜绝“三无”产品进食堂加工使用。</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A48CEAA">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68196417">
            <w:pPr>
              <w:spacing w:line="400" w:lineRule="exact"/>
              <w:jc w:val="center"/>
              <w:rPr>
                <w:rFonts w:ascii="宋体" w:hAnsi="宋体" w:cs="宋体"/>
                <w:szCs w:val="21"/>
              </w:rPr>
            </w:pPr>
          </w:p>
        </w:tc>
      </w:tr>
      <w:tr w14:paraId="5301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57CA231">
            <w:pPr>
              <w:spacing w:line="400" w:lineRule="exact"/>
              <w:rPr>
                <w:rFonts w:ascii="宋体" w:hAnsi="宋体" w:cs="宋体"/>
                <w:b/>
                <w:szCs w:val="21"/>
              </w:rPr>
            </w:pPr>
            <w:r>
              <w:rPr>
                <w:rFonts w:hint="eastAsia" w:ascii="宋体" w:hAnsi="宋体" w:cs="宋体"/>
                <w:b/>
                <w:szCs w:val="21"/>
              </w:rPr>
              <w:t>七、食品原料加工：7.5分</w:t>
            </w:r>
          </w:p>
        </w:tc>
        <w:tc>
          <w:tcPr>
            <w:tcW w:w="660" w:type="dxa"/>
            <w:tcBorders>
              <w:left w:val="single" w:color="auto" w:sz="4" w:space="0"/>
              <w:right w:val="single" w:color="auto" w:sz="4" w:space="0"/>
            </w:tcBorders>
            <w:noWrap w:val="0"/>
            <w:vAlign w:val="center"/>
          </w:tcPr>
          <w:p w14:paraId="72AACE63">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A52EB54">
            <w:pPr>
              <w:spacing w:line="400" w:lineRule="exact"/>
              <w:jc w:val="center"/>
              <w:rPr>
                <w:rFonts w:ascii="宋体" w:hAnsi="宋体" w:cs="宋体"/>
                <w:b/>
                <w:szCs w:val="21"/>
              </w:rPr>
            </w:pPr>
          </w:p>
        </w:tc>
      </w:tr>
      <w:tr w14:paraId="1144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0761995">
            <w:pPr>
              <w:spacing w:line="400" w:lineRule="exact"/>
              <w:rPr>
                <w:rFonts w:ascii="宋体" w:hAnsi="宋体" w:cs="宋体"/>
                <w:szCs w:val="21"/>
              </w:rPr>
            </w:pPr>
            <w:r>
              <w:rPr>
                <w:rFonts w:hint="eastAsia" w:ascii="宋体" w:hAnsi="宋体" w:cs="宋体"/>
                <w:szCs w:val="21"/>
              </w:rPr>
              <w:t>1、食品原料加工严格规范，鱼、肉、蔬菜分池清洗，不混洗、混放，不着地，对各种食材清洗符合卫生、食用要求。</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1B5C8AE">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1E3E070A">
            <w:pPr>
              <w:spacing w:line="400" w:lineRule="exact"/>
              <w:jc w:val="center"/>
              <w:rPr>
                <w:rFonts w:ascii="宋体" w:hAnsi="宋体" w:cs="宋体"/>
                <w:szCs w:val="21"/>
              </w:rPr>
            </w:pPr>
          </w:p>
        </w:tc>
      </w:tr>
      <w:tr w14:paraId="3408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D0DB692">
            <w:pPr>
              <w:spacing w:line="400" w:lineRule="exact"/>
              <w:rPr>
                <w:rFonts w:ascii="宋体" w:hAnsi="宋体" w:cs="宋体"/>
                <w:szCs w:val="21"/>
              </w:rPr>
            </w:pPr>
            <w:r>
              <w:rPr>
                <w:rFonts w:hint="eastAsia" w:ascii="宋体" w:hAnsi="宋体" w:cs="宋体"/>
                <w:szCs w:val="21"/>
              </w:rPr>
              <w:t>2、厨师必须严格对烹制材料进行检查，不烹制变质食品原料及不符合卫生要求或有损害人体健康食品原料。并做到切配生、熟菜櫈、刀具分开，切配肉禽、水产品、蔬菜菜櫈与刀具分开，且肉禽、水产品与蔬菜切配区域分开，防止污染。</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1F89E54">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66D19B53">
            <w:pPr>
              <w:spacing w:line="400" w:lineRule="exact"/>
              <w:jc w:val="center"/>
              <w:rPr>
                <w:rFonts w:ascii="宋体" w:hAnsi="宋体" w:cs="宋体"/>
                <w:szCs w:val="21"/>
              </w:rPr>
            </w:pPr>
          </w:p>
        </w:tc>
      </w:tr>
      <w:tr w14:paraId="181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DB838B2">
            <w:pPr>
              <w:spacing w:line="400" w:lineRule="exact"/>
              <w:rPr>
                <w:rFonts w:ascii="宋体" w:hAnsi="宋体" w:cs="宋体"/>
                <w:szCs w:val="21"/>
              </w:rPr>
            </w:pPr>
            <w:r>
              <w:rPr>
                <w:rFonts w:hint="eastAsia" w:ascii="宋体" w:hAnsi="宋体" w:cs="宋体"/>
                <w:szCs w:val="21"/>
              </w:rPr>
              <w:t>3、食品原料必须烧熟、煮透，达到食用要求。</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249D666">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0AAA3D44">
            <w:pPr>
              <w:spacing w:line="400" w:lineRule="exact"/>
              <w:jc w:val="center"/>
              <w:rPr>
                <w:rFonts w:ascii="宋体" w:hAnsi="宋体" w:cs="宋体"/>
                <w:szCs w:val="21"/>
              </w:rPr>
            </w:pPr>
          </w:p>
        </w:tc>
      </w:tr>
      <w:tr w14:paraId="48D8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2825956">
            <w:pPr>
              <w:spacing w:line="400" w:lineRule="exact"/>
              <w:rPr>
                <w:rFonts w:ascii="宋体" w:hAnsi="宋体" w:cs="宋体"/>
                <w:szCs w:val="21"/>
              </w:rPr>
            </w:pPr>
            <w:r>
              <w:rPr>
                <w:rFonts w:hint="eastAsia" w:ascii="宋体" w:hAnsi="宋体" w:cs="宋体"/>
                <w:szCs w:val="21"/>
              </w:rPr>
              <w:t>4、对每天，每餐售菜后剩余部分食品菜肴，需要放入冰箱的待凉却后放入熟食冰箱内，不随意放置外面。次日需使用的，出售前必须回锅彻底煮透方可出售供应。</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EACDD26">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669697D5">
            <w:pPr>
              <w:spacing w:line="400" w:lineRule="exact"/>
              <w:jc w:val="center"/>
              <w:rPr>
                <w:rFonts w:ascii="宋体" w:hAnsi="宋体" w:cs="宋体"/>
                <w:szCs w:val="21"/>
              </w:rPr>
            </w:pPr>
          </w:p>
        </w:tc>
      </w:tr>
      <w:tr w14:paraId="2169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D61E61B">
            <w:pPr>
              <w:spacing w:line="400" w:lineRule="exact"/>
              <w:rPr>
                <w:rFonts w:ascii="宋体" w:hAnsi="宋体" w:cs="宋体"/>
                <w:szCs w:val="21"/>
              </w:rPr>
            </w:pPr>
            <w:r>
              <w:rPr>
                <w:rFonts w:hint="eastAsia" w:ascii="宋体" w:hAnsi="宋体" w:cs="宋体"/>
                <w:szCs w:val="21"/>
              </w:rPr>
              <w:t>5、熟食品（冷菜）操作，严格规范流程必须做到“四专一严”在专用的熟食间、专人操作、专用菜敦、刀具（操作前必须进行酒精消毒），专用冷藏设备，对操作间空气紫外线消毒、餐具、用具、手、抹布、容器严格消毒，而且工作人员要做到二次更衣，及戴手套、口罩，熟食品暂不出售或存放时应加盖保鲜膜。</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AA52311">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1589B9B5">
            <w:pPr>
              <w:spacing w:line="400" w:lineRule="exact"/>
              <w:jc w:val="center"/>
              <w:rPr>
                <w:rFonts w:ascii="宋体" w:hAnsi="宋体" w:cs="宋体"/>
                <w:szCs w:val="21"/>
              </w:rPr>
            </w:pPr>
          </w:p>
        </w:tc>
      </w:tr>
      <w:tr w14:paraId="7383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0D0FF2A">
            <w:pPr>
              <w:spacing w:line="400" w:lineRule="exact"/>
              <w:rPr>
                <w:rFonts w:ascii="宋体" w:hAnsi="宋体" w:cs="宋体"/>
                <w:b/>
                <w:szCs w:val="21"/>
              </w:rPr>
            </w:pPr>
            <w:r>
              <w:rPr>
                <w:rFonts w:hint="eastAsia" w:ascii="宋体" w:hAnsi="宋体" w:cs="宋体"/>
                <w:b/>
                <w:szCs w:val="21"/>
              </w:rPr>
              <w:t>八、食堂环境卫生：7分</w:t>
            </w:r>
          </w:p>
        </w:tc>
        <w:tc>
          <w:tcPr>
            <w:tcW w:w="660" w:type="dxa"/>
            <w:tcBorders>
              <w:left w:val="single" w:color="auto" w:sz="4" w:space="0"/>
              <w:right w:val="single" w:color="auto" w:sz="4" w:space="0"/>
            </w:tcBorders>
            <w:noWrap w:val="0"/>
            <w:vAlign w:val="center"/>
          </w:tcPr>
          <w:p w14:paraId="7246C05B">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92F997B">
            <w:pPr>
              <w:spacing w:line="400" w:lineRule="exact"/>
              <w:jc w:val="center"/>
              <w:rPr>
                <w:rFonts w:ascii="宋体" w:hAnsi="宋体" w:cs="宋体"/>
                <w:b/>
                <w:szCs w:val="21"/>
              </w:rPr>
            </w:pPr>
          </w:p>
        </w:tc>
      </w:tr>
      <w:tr w14:paraId="3B69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1B8B9F2">
            <w:pPr>
              <w:spacing w:line="400" w:lineRule="exact"/>
              <w:rPr>
                <w:rFonts w:ascii="宋体" w:hAnsi="宋体" w:cs="宋体"/>
                <w:szCs w:val="21"/>
              </w:rPr>
            </w:pPr>
            <w:r>
              <w:rPr>
                <w:rFonts w:hint="eastAsia" w:ascii="宋体" w:hAnsi="宋体" w:cs="宋体"/>
                <w:szCs w:val="21"/>
              </w:rPr>
              <w:t>1、食堂各区域卫生都有专人打扫，食堂整体环境卫生应保持干净、干燥、整洁、明亮，做到日常卫生保洁和定期大扫除相结合不留卫生死角。</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F6B2CDA">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19A46813">
            <w:pPr>
              <w:spacing w:line="400" w:lineRule="exact"/>
              <w:jc w:val="center"/>
              <w:rPr>
                <w:rFonts w:ascii="宋体" w:hAnsi="宋体" w:cs="宋体"/>
                <w:szCs w:val="21"/>
              </w:rPr>
            </w:pPr>
          </w:p>
        </w:tc>
      </w:tr>
      <w:tr w14:paraId="5A10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37B53D3">
            <w:pPr>
              <w:spacing w:line="400" w:lineRule="exact"/>
              <w:rPr>
                <w:rFonts w:ascii="宋体" w:hAnsi="宋体" w:cs="宋体"/>
                <w:szCs w:val="21"/>
              </w:rPr>
            </w:pPr>
            <w:r>
              <w:rPr>
                <w:rFonts w:hint="eastAsia" w:ascii="宋体" w:hAnsi="宋体" w:cs="宋体"/>
                <w:szCs w:val="21"/>
              </w:rPr>
              <w:t>2、餐厅卫生保持地面干燥清洁，餐桌、凳子用餐后擦拭干净、无油污及做好定期消毒工作，并做到桌子摆放整齐，有良好的就餐环境。</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EE873D4">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02415B7E">
            <w:pPr>
              <w:spacing w:line="400" w:lineRule="exact"/>
              <w:jc w:val="center"/>
              <w:rPr>
                <w:rFonts w:ascii="宋体" w:hAnsi="宋体" w:cs="宋体"/>
                <w:szCs w:val="21"/>
              </w:rPr>
            </w:pPr>
          </w:p>
        </w:tc>
      </w:tr>
      <w:tr w14:paraId="62C4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E87CA60">
            <w:pPr>
              <w:spacing w:line="400" w:lineRule="exact"/>
              <w:rPr>
                <w:rFonts w:ascii="宋体" w:hAnsi="宋体" w:cs="宋体"/>
                <w:szCs w:val="21"/>
              </w:rPr>
            </w:pPr>
            <w:r>
              <w:rPr>
                <w:rFonts w:hint="eastAsia" w:ascii="宋体" w:hAnsi="宋体" w:cs="宋体"/>
                <w:szCs w:val="21"/>
              </w:rPr>
              <w:t>3、售菜间卫生应保持整洁、窗玻璃明亮，每次开饭结束后，工作台、窗台、地面擦洗干净，保温台水及时放干，保持干净无油污，并做到售菜间常规性消毒工作。</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057CD9B">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2C9BB8F8">
            <w:pPr>
              <w:spacing w:line="400" w:lineRule="exact"/>
              <w:jc w:val="center"/>
              <w:rPr>
                <w:rFonts w:ascii="宋体" w:hAnsi="宋体" w:cs="宋体"/>
                <w:szCs w:val="21"/>
              </w:rPr>
            </w:pPr>
          </w:p>
        </w:tc>
      </w:tr>
      <w:tr w14:paraId="09CC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9193A32">
            <w:pPr>
              <w:spacing w:line="400" w:lineRule="exact"/>
              <w:rPr>
                <w:rFonts w:ascii="宋体" w:hAnsi="宋体" w:cs="宋体"/>
                <w:szCs w:val="21"/>
              </w:rPr>
            </w:pPr>
            <w:r>
              <w:rPr>
                <w:rFonts w:hint="eastAsia" w:ascii="宋体" w:hAnsi="宋体" w:cs="宋体"/>
                <w:szCs w:val="21"/>
              </w:rPr>
              <w:t>5、下货处地面卫生保持清洁干燥，无油污、杂物，垃圾处理及时无异味，每次下货后及时打扫。</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8EA7B78">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33281D38">
            <w:pPr>
              <w:spacing w:line="400" w:lineRule="exact"/>
              <w:jc w:val="center"/>
              <w:rPr>
                <w:rFonts w:ascii="宋体" w:hAnsi="宋体" w:cs="宋体"/>
                <w:szCs w:val="21"/>
              </w:rPr>
            </w:pPr>
          </w:p>
        </w:tc>
      </w:tr>
      <w:tr w14:paraId="43EF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5B55586">
            <w:pPr>
              <w:spacing w:line="400" w:lineRule="exact"/>
              <w:rPr>
                <w:rFonts w:ascii="宋体" w:hAnsi="宋体" w:cs="宋体"/>
                <w:szCs w:val="21"/>
              </w:rPr>
            </w:pPr>
            <w:r>
              <w:rPr>
                <w:rFonts w:hint="eastAsia" w:ascii="宋体" w:hAnsi="宋体" w:cs="宋体"/>
                <w:szCs w:val="21"/>
              </w:rPr>
              <w:t>6、办公室卫生，要求保持整洁，东西摆放有序，不堆放杂物，并做到正常整理打扫。</w:t>
            </w:r>
          </w:p>
        </w:tc>
        <w:tc>
          <w:tcPr>
            <w:tcW w:w="660" w:type="dxa"/>
            <w:tcBorders>
              <w:left w:val="single" w:color="auto" w:sz="4" w:space="0"/>
              <w:right w:val="single" w:color="auto" w:sz="4" w:space="0"/>
            </w:tcBorders>
            <w:noWrap w:val="0"/>
            <w:vAlign w:val="center"/>
          </w:tcPr>
          <w:p w14:paraId="4CA7FE83">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7B6A7FE9">
            <w:pPr>
              <w:spacing w:line="400" w:lineRule="exact"/>
              <w:jc w:val="center"/>
              <w:rPr>
                <w:rFonts w:ascii="宋体" w:hAnsi="宋体" w:cs="宋体"/>
                <w:szCs w:val="21"/>
              </w:rPr>
            </w:pPr>
          </w:p>
        </w:tc>
      </w:tr>
      <w:tr w14:paraId="4D25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8DE0039">
            <w:pPr>
              <w:spacing w:line="400" w:lineRule="exact"/>
              <w:rPr>
                <w:rFonts w:ascii="宋体" w:hAnsi="宋体" w:cs="宋体"/>
                <w:szCs w:val="21"/>
              </w:rPr>
            </w:pPr>
            <w:r>
              <w:rPr>
                <w:rFonts w:hint="eastAsia" w:ascii="宋体" w:hAnsi="宋体" w:cs="宋体"/>
                <w:szCs w:val="21"/>
              </w:rPr>
              <w:t>7、食堂各工作区域规范做好防蝇、防鼠、防蟑螂工作及措施。</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DE959D6">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03A823AC">
            <w:pPr>
              <w:spacing w:line="400" w:lineRule="exact"/>
              <w:jc w:val="center"/>
              <w:rPr>
                <w:rFonts w:ascii="宋体" w:hAnsi="宋体" w:cs="宋体"/>
                <w:szCs w:val="21"/>
              </w:rPr>
            </w:pPr>
          </w:p>
        </w:tc>
      </w:tr>
      <w:tr w14:paraId="26CD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FB6C4BC">
            <w:pPr>
              <w:spacing w:line="400" w:lineRule="exact"/>
              <w:rPr>
                <w:rFonts w:ascii="宋体" w:hAnsi="宋体" w:cs="宋体"/>
                <w:b/>
                <w:szCs w:val="21"/>
              </w:rPr>
            </w:pPr>
            <w:r>
              <w:rPr>
                <w:rFonts w:hint="eastAsia" w:ascii="宋体" w:hAnsi="宋体" w:cs="宋体"/>
                <w:b/>
                <w:szCs w:val="21"/>
              </w:rPr>
              <w:t>九、厨房卫生：1</w:t>
            </w:r>
            <w:r>
              <w:rPr>
                <w:rFonts w:hint="eastAsia" w:ascii="宋体" w:hAnsi="宋体" w:cs="宋体"/>
                <w:b/>
                <w:szCs w:val="21"/>
                <w:lang w:val="en-US" w:eastAsia="zh-CN"/>
              </w:rPr>
              <w:t>3</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055277F7">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8D3D49B">
            <w:pPr>
              <w:spacing w:line="400" w:lineRule="exact"/>
              <w:jc w:val="center"/>
              <w:rPr>
                <w:rFonts w:ascii="宋体" w:hAnsi="宋体" w:cs="宋体"/>
                <w:b/>
                <w:szCs w:val="21"/>
              </w:rPr>
            </w:pPr>
          </w:p>
        </w:tc>
      </w:tr>
      <w:tr w14:paraId="2DF6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54FC882">
            <w:pPr>
              <w:spacing w:line="400" w:lineRule="exact"/>
              <w:rPr>
                <w:rFonts w:ascii="宋体" w:hAnsi="宋体" w:cs="宋体"/>
                <w:szCs w:val="21"/>
              </w:rPr>
            </w:pPr>
            <w:r>
              <w:rPr>
                <w:rFonts w:hint="eastAsia" w:ascii="宋体" w:hAnsi="宋体" w:cs="宋体"/>
                <w:szCs w:val="21"/>
              </w:rPr>
              <w:t>1、厨房各区域卫生应有专人打扫，切配加工应规范操作，保持厨房卫生、整洁，不乱丢废料、杂物，每次工作结束后对工作场所进行卫生打扫，地面、墙壁、工作台、水槽、菜墩、刀具、箩筐用具等冲洗干净，无油污、杂物，摆放整齐，地面、桌面无明显积水。</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9BA7DD4">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48EEFC96">
            <w:pPr>
              <w:spacing w:line="400" w:lineRule="exact"/>
              <w:jc w:val="center"/>
              <w:rPr>
                <w:rFonts w:ascii="宋体" w:hAnsi="宋体" w:cs="宋体"/>
                <w:szCs w:val="21"/>
              </w:rPr>
            </w:pPr>
          </w:p>
        </w:tc>
      </w:tr>
      <w:tr w14:paraId="5898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01999D7">
            <w:pPr>
              <w:spacing w:line="400" w:lineRule="exact"/>
              <w:rPr>
                <w:rFonts w:ascii="宋体" w:hAnsi="宋体" w:cs="宋体"/>
                <w:szCs w:val="21"/>
              </w:rPr>
            </w:pPr>
            <w:r>
              <w:rPr>
                <w:rFonts w:hint="eastAsia" w:ascii="宋体" w:hAnsi="宋体" w:cs="宋体"/>
                <w:szCs w:val="21"/>
              </w:rPr>
              <w:t>2、炉灶卫生，每次工作结束后，对炉灶进行卫生清理打扫，灶面、墙面、炊具、用具等擦洗干净，调料缸加盖，调味品有序摆放并符合卫生管理“五常法” 要求。</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7EDC0AE">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3FBF918F">
            <w:pPr>
              <w:spacing w:line="400" w:lineRule="exact"/>
              <w:jc w:val="center"/>
              <w:rPr>
                <w:rFonts w:ascii="宋体" w:hAnsi="宋体" w:cs="宋体"/>
                <w:szCs w:val="21"/>
              </w:rPr>
            </w:pPr>
          </w:p>
        </w:tc>
      </w:tr>
      <w:tr w14:paraId="641B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28BD55E">
            <w:pPr>
              <w:spacing w:line="400" w:lineRule="exact"/>
              <w:rPr>
                <w:rFonts w:ascii="宋体" w:hAnsi="宋体" w:cs="宋体"/>
                <w:szCs w:val="21"/>
              </w:rPr>
            </w:pPr>
            <w:r>
              <w:rPr>
                <w:rFonts w:hint="eastAsia" w:ascii="宋体" w:hAnsi="宋体" w:cs="宋体"/>
                <w:szCs w:val="21"/>
              </w:rPr>
              <w:t>3、洗菜间卫生，每次工作结束应进行卫生清理打扫，保持水槽、桌面清洁干净、地面无积水，箩筐、用具摆放整齐。</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4D31967">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51EB5AA">
            <w:pPr>
              <w:spacing w:line="400" w:lineRule="exact"/>
              <w:jc w:val="center"/>
              <w:rPr>
                <w:rFonts w:ascii="宋体" w:hAnsi="宋体" w:cs="宋体"/>
                <w:szCs w:val="21"/>
              </w:rPr>
            </w:pPr>
          </w:p>
        </w:tc>
      </w:tr>
      <w:tr w14:paraId="74EA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771FE42">
            <w:pPr>
              <w:spacing w:line="400" w:lineRule="exact"/>
              <w:rPr>
                <w:rFonts w:ascii="宋体" w:hAnsi="宋体" w:cs="宋体"/>
                <w:szCs w:val="21"/>
              </w:rPr>
            </w:pPr>
            <w:r>
              <w:rPr>
                <w:rFonts w:hint="eastAsia" w:ascii="宋体" w:hAnsi="宋体" w:cs="宋体"/>
                <w:szCs w:val="21"/>
              </w:rPr>
              <w:t>4、餐具洗刷间卫生，每次工作结束应进行卫生清理打扫，保持水槽、工作台、墙面清洁干净，无卫生死角，地面拖干无积水，并及时清理餐饮垃圾，做到日积日清，不隔夜。</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5F1DF51">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8DF0ED0">
            <w:pPr>
              <w:spacing w:line="400" w:lineRule="exact"/>
              <w:jc w:val="center"/>
              <w:rPr>
                <w:rFonts w:ascii="宋体" w:hAnsi="宋体" w:cs="宋体"/>
                <w:szCs w:val="21"/>
              </w:rPr>
            </w:pPr>
          </w:p>
        </w:tc>
      </w:tr>
      <w:tr w14:paraId="4D12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28C4B6F">
            <w:pPr>
              <w:spacing w:line="400" w:lineRule="exact"/>
              <w:rPr>
                <w:rFonts w:ascii="宋体" w:hAnsi="宋体" w:cs="宋体"/>
                <w:szCs w:val="21"/>
              </w:rPr>
            </w:pPr>
            <w:r>
              <w:rPr>
                <w:rFonts w:hint="eastAsia" w:ascii="宋体" w:hAnsi="宋体" w:cs="宋体"/>
                <w:szCs w:val="21"/>
              </w:rPr>
              <w:t>5、蒸饭间卫生，要保持室内卫生整洁，地面无饭渣、污物，蒸饭车、蒸灶应定期清洗，蒸饭桶、蒸汽锅、割饭器每次用后应清洗干净，无饭渣遗留无异味。</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F0DB44B">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FE0718B">
            <w:pPr>
              <w:spacing w:line="400" w:lineRule="exact"/>
              <w:jc w:val="center"/>
              <w:rPr>
                <w:rFonts w:ascii="宋体" w:hAnsi="宋体" w:cs="宋体"/>
                <w:szCs w:val="21"/>
              </w:rPr>
            </w:pPr>
          </w:p>
        </w:tc>
      </w:tr>
      <w:tr w14:paraId="4B37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28AAC09">
            <w:pPr>
              <w:spacing w:line="400" w:lineRule="exac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、食堂工作区域用于食品、餐具清洗的水池严禁清洗私人物品（工作服、日常衣裤）及洗头、洗脸、洗脚等。</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0F211AC">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1BDB181C">
            <w:pPr>
              <w:spacing w:line="400" w:lineRule="exact"/>
              <w:jc w:val="center"/>
              <w:rPr>
                <w:rFonts w:ascii="宋体" w:hAnsi="宋体" w:cs="宋体"/>
                <w:szCs w:val="21"/>
              </w:rPr>
            </w:pPr>
          </w:p>
        </w:tc>
      </w:tr>
      <w:tr w14:paraId="287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57342D0">
            <w:pPr>
              <w:spacing w:line="400" w:lineRule="exact"/>
              <w:rPr>
                <w:rFonts w:ascii="宋体" w:hAnsi="宋体" w:cs="宋体"/>
                <w:b/>
                <w:szCs w:val="21"/>
              </w:rPr>
            </w:pPr>
            <w:r>
              <w:rPr>
                <w:rFonts w:hint="eastAsia" w:ascii="宋体" w:hAnsi="宋体" w:cs="宋体"/>
                <w:b/>
                <w:szCs w:val="21"/>
              </w:rPr>
              <w:t>十、面点间卫生与添加剂使用：</w:t>
            </w:r>
            <w:r>
              <w:rPr>
                <w:rFonts w:hint="eastAsia" w:ascii="宋体" w:hAnsi="宋体" w:cs="宋体"/>
                <w:b/>
                <w:szCs w:val="21"/>
                <w:lang w:val="en-US" w:eastAsia="zh-CN"/>
              </w:rPr>
              <w:t>4</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230EB1F1">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1F17342">
            <w:pPr>
              <w:spacing w:line="400" w:lineRule="exact"/>
              <w:jc w:val="center"/>
              <w:rPr>
                <w:rFonts w:ascii="宋体" w:hAnsi="宋体" w:cs="宋体"/>
                <w:b/>
                <w:szCs w:val="21"/>
              </w:rPr>
            </w:pPr>
          </w:p>
        </w:tc>
      </w:tr>
      <w:tr w14:paraId="434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3BFD5F3">
            <w:pPr>
              <w:spacing w:line="400" w:lineRule="exact"/>
              <w:rPr>
                <w:rFonts w:ascii="宋体" w:hAnsi="宋体" w:cs="宋体"/>
                <w:szCs w:val="21"/>
              </w:rPr>
            </w:pPr>
            <w:r>
              <w:rPr>
                <w:rFonts w:hint="eastAsia" w:ascii="宋体" w:hAnsi="宋体" w:cs="宋体"/>
                <w:szCs w:val="21"/>
              </w:rPr>
              <w:t>1、面食间卫生，要保持室内整洁卫生，墙面、地面、作板、蒸笼、蒸席、机器设备等要做到干净清洁，无霉变现象，保持地面干燥无积水。</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F8A3762">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29456F4C">
            <w:pPr>
              <w:spacing w:line="400" w:lineRule="exact"/>
              <w:jc w:val="center"/>
              <w:rPr>
                <w:rFonts w:ascii="宋体" w:hAnsi="宋体" w:cs="宋体"/>
                <w:szCs w:val="21"/>
              </w:rPr>
            </w:pPr>
          </w:p>
        </w:tc>
      </w:tr>
      <w:tr w14:paraId="0402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BB22FD7">
            <w:pPr>
              <w:spacing w:line="400" w:lineRule="exact"/>
              <w:rPr>
                <w:rFonts w:ascii="宋体" w:hAnsi="宋体" w:cs="宋体"/>
                <w:szCs w:val="21"/>
              </w:rPr>
            </w:pPr>
            <w:r>
              <w:rPr>
                <w:rFonts w:hint="eastAsia" w:ascii="宋体" w:hAnsi="宋体" w:cs="宋体"/>
                <w:szCs w:val="21"/>
              </w:rPr>
              <w:t>2、面点制作要严格执行食品添加剂使用规定，规范使用食品添加剂，不过量、不使用有损人体健康的食品添加剂，并且妥善保管好食品添加剂及使用记录。</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CBDFB92">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1CE884CF">
            <w:pPr>
              <w:spacing w:line="400" w:lineRule="exact"/>
              <w:jc w:val="center"/>
              <w:rPr>
                <w:rFonts w:ascii="宋体" w:hAnsi="宋体" w:cs="宋体"/>
                <w:szCs w:val="21"/>
              </w:rPr>
            </w:pPr>
          </w:p>
        </w:tc>
      </w:tr>
      <w:tr w14:paraId="3B0A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29029D85">
            <w:pPr>
              <w:spacing w:line="400" w:lineRule="exact"/>
              <w:rPr>
                <w:rFonts w:ascii="宋体" w:hAnsi="宋体" w:cs="宋体"/>
                <w:b/>
                <w:szCs w:val="21"/>
              </w:rPr>
            </w:pPr>
            <w:r>
              <w:rPr>
                <w:rFonts w:hint="eastAsia" w:ascii="宋体" w:hAnsi="宋体" w:cs="宋体"/>
                <w:b/>
                <w:szCs w:val="21"/>
              </w:rPr>
              <w:t>十一、餐具消毒：4分</w:t>
            </w:r>
          </w:p>
        </w:tc>
        <w:tc>
          <w:tcPr>
            <w:tcW w:w="660" w:type="dxa"/>
            <w:tcBorders>
              <w:left w:val="single" w:color="auto" w:sz="4" w:space="0"/>
              <w:right w:val="single" w:color="auto" w:sz="4" w:space="0"/>
            </w:tcBorders>
            <w:noWrap w:val="0"/>
            <w:vAlign w:val="center"/>
          </w:tcPr>
          <w:p w14:paraId="2F405DB5">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3919F4F6">
            <w:pPr>
              <w:spacing w:line="400" w:lineRule="exact"/>
              <w:jc w:val="center"/>
              <w:rPr>
                <w:rFonts w:ascii="宋体" w:hAnsi="宋体" w:cs="宋体"/>
                <w:b/>
                <w:szCs w:val="21"/>
              </w:rPr>
            </w:pPr>
          </w:p>
        </w:tc>
      </w:tr>
      <w:tr w14:paraId="1315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BFBE5F6">
            <w:pPr>
              <w:spacing w:line="400" w:lineRule="exact"/>
              <w:rPr>
                <w:rFonts w:ascii="宋体" w:hAnsi="宋体" w:cs="宋体"/>
                <w:szCs w:val="21"/>
              </w:rPr>
            </w:pPr>
            <w:r>
              <w:rPr>
                <w:rFonts w:hint="eastAsia" w:ascii="宋体" w:hAnsi="宋体" w:cs="宋体"/>
                <w:szCs w:val="21"/>
              </w:rPr>
              <w:t>1、严格执行餐具消毒制度，餐具消毒必须做到以下操作流程：一刮、二洗、三冲、四消毒、五保洁，有专用消毒柜，专人负责消毒，温度在摄氏100度，持续时间20分钟以上并有清洗、消毒记录。</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59DAF1C">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69B1F3A">
            <w:pPr>
              <w:spacing w:line="400" w:lineRule="exact"/>
              <w:jc w:val="center"/>
              <w:rPr>
                <w:rFonts w:ascii="宋体" w:hAnsi="宋体" w:cs="宋体"/>
                <w:szCs w:val="21"/>
              </w:rPr>
            </w:pPr>
          </w:p>
        </w:tc>
      </w:tr>
      <w:tr w14:paraId="5A46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E8246AC">
            <w:pPr>
              <w:spacing w:line="400" w:lineRule="exact"/>
              <w:rPr>
                <w:rFonts w:ascii="宋体" w:hAnsi="宋体" w:cs="宋体"/>
                <w:szCs w:val="21"/>
              </w:rPr>
            </w:pPr>
            <w:r>
              <w:rPr>
                <w:rFonts w:hint="eastAsia" w:ascii="宋体" w:hAnsi="宋体" w:cs="宋体"/>
                <w:szCs w:val="21"/>
              </w:rPr>
              <w:t>2、消毒好的餐具及时放置在保洁柜里，不得随意放置在外面，消毒效果要符合国家餐具消毒检测标准、各种细菌不得检出。在每餐售菜结束后，把剩余的餐具及时放进保洁柜不得随意在外面放置。</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A4D1BED">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1A01422">
            <w:pPr>
              <w:spacing w:line="400" w:lineRule="exact"/>
              <w:jc w:val="center"/>
              <w:rPr>
                <w:rFonts w:ascii="宋体" w:hAnsi="宋体" w:cs="宋体"/>
                <w:szCs w:val="21"/>
              </w:rPr>
            </w:pPr>
          </w:p>
        </w:tc>
      </w:tr>
      <w:tr w14:paraId="3A41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14BEFCC">
            <w:pPr>
              <w:spacing w:line="400" w:lineRule="exact"/>
              <w:rPr>
                <w:rFonts w:ascii="宋体" w:hAnsi="宋体" w:cs="宋体"/>
                <w:b/>
                <w:szCs w:val="21"/>
              </w:rPr>
            </w:pPr>
            <w:r>
              <w:rPr>
                <w:rFonts w:hint="eastAsia" w:ascii="宋体" w:hAnsi="宋体" w:cs="宋体"/>
                <w:b/>
                <w:szCs w:val="21"/>
              </w:rPr>
              <w:t>十二、冰箱、冷库储藏与卫生：4分</w:t>
            </w:r>
          </w:p>
        </w:tc>
        <w:tc>
          <w:tcPr>
            <w:tcW w:w="660" w:type="dxa"/>
            <w:tcBorders>
              <w:left w:val="single" w:color="auto" w:sz="4" w:space="0"/>
              <w:right w:val="single" w:color="auto" w:sz="4" w:space="0"/>
            </w:tcBorders>
            <w:noWrap w:val="0"/>
            <w:vAlign w:val="center"/>
          </w:tcPr>
          <w:p w14:paraId="6B55C162">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89D8371">
            <w:pPr>
              <w:spacing w:line="400" w:lineRule="exact"/>
              <w:jc w:val="center"/>
              <w:rPr>
                <w:rFonts w:ascii="宋体" w:hAnsi="宋体" w:cs="宋体"/>
                <w:b/>
                <w:szCs w:val="21"/>
              </w:rPr>
            </w:pPr>
          </w:p>
        </w:tc>
      </w:tr>
      <w:tr w14:paraId="6E29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3FBDF37">
            <w:pPr>
              <w:spacing w:line="400" w:lineRule="exact"/>
              <w:rPr>
                <w:rFonts w:ascii="宋体" w:hAnsi="宋体" w:cs="宋体"/>
                <w:szCs w:val="21"/>
              </w:rPr>
            </w:pPr>
            <w:r>
              <w:rPr>
                <w:rFonts w:hint="eastAsia" w:ascii="宋体" w:hAnsi="宋体" w:cs="宋体"/>
                <w:szCs w:val="21"/>
              </w:rPr>
              <w:t>1、冰箱卫生，食品储藏应有明显的区分标志，严格做到生熟分开，半成品与成品分开，肉类与鱼类分开，做到食品不堆积、积压存放。并保持冰箱内外清洁卫生。定期冲洗清理冰箱，内无异味，熟食冰箱还应做到定期消毒。</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0DB0055">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EFF9BBC">
            <w:pPr>
              <w:spacing w:line="400" w:lineRule="exact"/>
              <w:jc w:val="center"/>
              <w:rPr>
                <w:rFonts w:ascii="宋体" w:hAnsi="宋体" w:cs="宋体"/>
                <w:szCs w:val="21"/>
              </w:rPr>
            </w:pPr>
          </w:p>
        </w:tc>
      </w:tr>
      <w:tr w14:paraId="3AE3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A602F73">
            <w:pPr>
              <w:spacing w:line="400" w:lineRule="exact"/>
              <w:rPr>
                <w:rFonts w:ascii="宋体" w:hAnsi="宋体" w:cs="宋体"/>
                <w:szCs w:val="21"/>
              </w:rPr>
            </w:pPr>
            <w:r>
              <w:rPr>
                <w:rFonts w:hint="eastAsia" w:ascii="宋体" w:hAnsi="宋体" w:cs="宋体"/>
                <w:szCs w:val="21"/>
              </w:rPr>
              <w:t>2、冷库卫生，食品储藏做到肉类、鱼类、蔬菜类分架、分库储藏，蔬菜类不随意堆放在一起，并做到有计划进货，防止积压，而且要保持冷库清洁卫生定期打扫、无异味。</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1C334DF">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2A1D2E35">
            <w:pPr>
              <w:spacing w:line="400" w:lineRule="exact"/>
              <w:jc w:val="center"/>
              <w:rPr>
                <w:rFonts w:ascii="宋体" w:hAnsi="宋体" w:cs="宋体"/>
                <w:szCs w:val="21"/>
              </w:rPr>
            </w:pPr>
          </w:p>
        </w:tc>
      </w:tr>
      <w:tr w14:paraId="2C3D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0C6AF33">
            <w:pPr>
              <w:spacing w:line="400" w:lineRule="exact"/>
              <w:rPr>
                <w:rFonts w:ascii="宋体" w:hAnsi="宋体" w:cs="宋体"/>
                <w:b/>
                <w:szCs w:val="21"/>
              </w:rPr>
            </w:pPr>
            <w:r>
              <w:rPr>
                <w:rFonts w:hint="eastAsia" w:ascii="宋体" w:hAnsi="宋体" w:cs="宋体"/>
                <w:b/>
                <w:szCs w:val="21"/>
              </w:rPr>
              <w:t>十三、个人卫生：6分</w:t>
            </w:r>
          </w:p>
        </w:tc>
        <w:tc>
          <w:tcPr>
            <w:tcW w:w="660" w:type="dxa"/>
            <w:tcBorders>
              <w:left w:val="single" w:color="auto" w:sz="4" w:space="0"/>
              <w:right w:val="single" w:color="auto" w:sz="4" w:space="0"/>
            </w:tcBorders>
            <w:noWrap w:val="0"/>
            <w:vAlign w:val="center"/>
          </w:tcPr>
          <w:p w14:paraId="3E40848B">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64D3D9DA">
            <w:pPr>
              <w:spacing w:line="400" w:lineRule="exact"/>
              <w:jc w:val="center"/>
              <w:rPr>
                <w:rFonts w:ascii="宋体" w:hAnsi="宋体" w:cs="宋体"/>
                <w:b/>
                <w:szCs w:val="21"/>
              </w:rPr>
            </w:pPr>
          </w:p>
        </w:tc>
      </w:tr>
      <w:tr w14:paraId="558D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E855DE8">
            <w:pPr>
              <w:spacing w:line="400" w:lineRule="exact"/>
              <w:rPr>
                <w:rFonts w:ascii="宋体" w:hAnsi="宋体" w:cs="宋体"/>
                <w:szCs w:val="21"/>
              </w:rPr>
            </w:pPr>
            <w:r>
              <w:rPr>
                <w:rFonts w:hint="eastAsia" w:ascii="宋体" w:hAnsi="宋体" w:cs="宋体"/>
                <w:szCs w:val="21"/>
              </w:rPr>
              <w:t>1、工作人员个人卫生必须做到“四勤”（勤洗工作服、勤理发、勤洗澡、勤洗手剪指甲），上班时仪容整洁，穿工作服戴工作帽，工作场所及操作时不吸烟、不戴金银饰品（特别是耳环、戒子），并做到开饭前、便后洗手消毒，养成良好习惯（进洗手间更换工作服）。</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4B16AD7">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4C0B8C7">
            <w:pPr>
              <w:spacing w:line="400" w:lineRule="exact"/>
              <w:jc w:val="center"/>
              <w:rPr>
                <w:rFonts w:ascii="宋体" w:hAnsi="宋体" w:cs="宋体"/>
                <w:szCs w:val="21"/>
              </w:rPr>
            </w:pPr>
          </w:p>
        </w:tc>
      </w:tr>
      <w:tr w14:paraId="2D44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2EE84C0F">
            <w:pPr>
              <w:spacing w:line="400" w:lineRule="exact"/>
              <w:rPr>
                <w:rFonts w:ascii="宋体" w:hAnsi="宋体" w:cs="宋体"/>
                <w:szCs w:val="21"/>
              </w:rPr>
            </w:pPr>
            <w:r>
              <w:rPr>
                <w:rFonts w:hint="eastAsia" w:ascii="宋体" w:hAnsi="宋体" w:cs="宋体"/>
                <w:szCs w:val="21"/>
              </w:rPr>
              <w:t>2、站窗口开饭人员必须仪容整洁，穿工作服（进熟食间做好二次更衣）、戴工作帽、戴口罩（并且要规范佩戴）、手套，出售面食点心有专用工具。</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BA0F251">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15F923AA">
            <w:pPr>
              <w:spacing w:line="400" w:lineRule="exact"/>
              <w:jc w:val="center"/>
              <w:rPr>
                <w:rFonts w:ascii="宋体" w:hAnsi="宋体" w:cs="宋体"/>
                <w:szCs w:val="21"/>
              </w:rPr>
            </w:pPr>
          </w:p>
        </w:tc>
      </w:tr>
      <w:tr w14:paraId="0D01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11DBA3A">
            <w:pPr>
              <w:spacing w:line="400" w:lineRule="exact"/>
              <w:rPr>
                <w:rFonts w:ascii="宋体" w:hAnsi="宋体" w:cs="宋体"/>
                <w:szCs w:val="21"/>
              </w:rPr>
            </w:pPr>
            <w:r>
              <w:rPr>
                <w:rFonts w:hint="eastAsia" w:ascii="宋体" w:hAnsi="宋体" w:cs="宋体"/>
                <w:szCs w:val="21"/>
              </w:rPr>
              <w:t>3、配菜员病区订送饭菜时仪容整洁，穿工作服、佩戴胸牌、戴工作帽，开饭时戴口罩、手套，发放面食点心有专用工具；出售熟食或打包不用手或戴手套手直接接触熟食。</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0EB5752">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3C66B03B">
            <w:pPr>
              <w:spacing w:line="400" w:lineRule="exact"/>
              <w:jc w:val="center"/>
              <w:rPr>
                <w:rFonts w:ascii="宋体" w:hAnsi="宋体" w:cs="宋体"/>
                <w:szCs w:val="21"/>
              </w:rPr>
            </w:pPr>
          </w:p>
        </w:tc>
      </w:tr>
      <w:tr w14:paraId="5408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78DEBC3">
            <w:pPr>
              <w:spacing w:line="400" w:lineRule="exact"/>
              <w:rPr>
                <w:rFonts w:ascii="宋体" w:hAnsi="宋体" w:cs="宋体"/>
                <w:b/>
                <w:szCs w:val="21"/>
              </w:rPr>
            </w:pPr>
            <w:r>
              <w:rPr>
                <w:rFonts w:hint="eastAsia" w:ascii="宋体" w:hAnsi="宋体" w:cs="宋体"/>
                <w:b/>
                <w:szCs w:val="21"/>
              </w:rPr>
              <w:t>十四、仓库卫生：</w:t>
            </w:r>
            <w:r>
              <w:rPr>
                <w:rFonts w:hint="eastAsia" w:ascii="宋体" w:hAnsi="宋体" w:cs="宋体"/>
                <w:b/>
                <w:szCs w:val="21"/>
                <w:lang w:val="en-US" w:eastAsia="zh-CN"/>
              </w:rPr>
              <w:t>4</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0576C7CF">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2F40DFF4">
            <w:pPr>
              <w:spacing w:line="400" w:lineRule="exact"/>
              <w:jc w:val="center"/>
              <w:rPr>
                <w:rFonts w:ascii="宋体" w:hAnsi="宋体" w:cs="宋体"/>
                <w:b/>
                <w:szCs w:val="21"/>
              </w:rPr>
            </w:pPr>
          </w:p>
        </w:tc>
      </w:tr>
      <w:tr w14:paraId="7A68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5" w:type="dxa"/>
            <w:tcBorders>
              <w:right w:val="single" w:color="auto" w:sz="4" w:space="0"/>
            </w:tcBorders>
            <w:noWrap w:val="0"/>
            <w:vAlign w:val="top"/>
          </w:tcPr>
          <w:p w14:paraId="26260A5E">
            <w:pPr>
              <w:spacing w:line="40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、禁止“三无”产品进入仓库。</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A25D259">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555AB76C">
            <w:pPr>
              <w:spacing w:line="400" w:lineRule="exact"/>
              <w:jc w:val="center"/>
              <w:rPr>
                <w:rFonts w:ascii="宋体" w:hAnsi="宋体" w:cs="宋体"/>
                <w:szCs w:val="21"/>
              </w:rPr>
            </w:pPr>
          </w:p>
        </w:tc>
      </w:tr>
      <w:tr w14:paraId="0586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85" w:type="dxa"/>
            <w:tcBorders>
              <w:right w:val="single" w:color="auto" w:sz="4" w:space="0"/>
            </w:tcBorders>
            <w:noWrap w:val="0"/>
            <w:vAlign w:val="top"/>
          </w:tcPr>
          <w:p w14:paraId="3BCCDE74">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、做好防潮、防鼠、防蟑螂措施。</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E3BCD71">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5DEC9FE8">
            <w:pPr>
              <w:spacing w:line="400" w:lineRule="exact"/>
              <w:jc w:val="center"/>
              <w:rPr>
                <w:rFonts w:ascii="宋体" w:hAnsi="宋体" w:cs="宋体"/>
                <w:szCs w:val="21"/>
              </w:rPr>
            </w:pPr>
          </w:p>
        </w:tc>
      </w:tr>
      <w:tr w14:paraId="2E93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49AC965">
            <w:pPr>
              <w:spacing w:line="400" w:lineRule="exact"/>
              <w:rPr>
                <w:rFonts w:ascii="宋体" w:hAnsi="宋体" w:cs="宋体"/>
                <w:b/>
                <w:szCs w:val="21"/>
              </w:rPr>
            </w:pPr>
            <w:r>
              <w:rPr>
                <w:rFonts w:hint="eastAsia" w:ascii="宋体" w:hAnsi="宋体" w:cs="宋体"/>
                <w:b/>
                <w:szCs w:val="21"/>
              </w:rPr>
              <w:t>十五、更衣室卫生：2分</w:t>
            </w:r>
          </w:p>
        </w:tc>
        <w:tc>
          <w:tcPr>
            <w:tcW w:w="660" w:type="dxa"/>
            <w:tcBorders>
              <w:left w:val="single" w:color="auto" w:sz="4" w:space="0"/>
              <w:right w:val="single" w:color="auto" w:sz="4" w:space="0"/>
            </w:tcBorders>
            <w:noWrap w:val="0"/>
            <w:vAlign w:val="center"/>
          </w:tcPr>
          <w:p w14:paraId="6FCB7273">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CEC925E">
            <w:pPr>
              <w:spacing w:line="400" w:lineRule="exact"/>
              <w:jc w:val="center"/>
              <w:rPr>
                <w:rFonts w:ascii="宋体" w:hAnsi="宋体" w:cs="宋体"/>
                <w:b/>
                <w:szCs w:val="21"/>
              </w:rPr>
            </w:pPr>
          </w:p>
        </w:tc>
      </w:tr>
      <w:tr w14:paraId="41DC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3B7C93F">
            <w:pPr>
              <w:spacing w:line="400" w:lineRule="exact"/>
              <w:rPr>
                <w:rFonts w:ascii="宋体" w:hAnsi="宋体" w:cs="宋体"/>
                <w:szCs w:val="21"/>
              </w:rPr>
            </w:pPr>
            <w:r>
              <w:rPr>
                <w:rFonts w:hint="eastAsia" w:ascii="宋体" w:hAnsi="宋体" w:cs="宋体"/>
                <w:szCs w:val="21"/>
              </w:rPr>
              <w:t>1、男、女更衣室应保持室内卫生整洁，衣服、鞋子挂放整齐有序，无杂物堆放、无异味。</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4C19250">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61DA8CB6">
            <w:pPr>
              <w:spacing w:line="400" w:lineRule="exact"/>
              <w:jc w:val="center"/>
              <w:rPr>
                <w:rFonts w:ascii="宋体" w:hAnsi="宋体" w:cs="宋体"/>
                <w:szCs w:val="21"/>
              </w:rPr>
            </w:pPr>
          </w:p>
        </w:tc>
      </w:tr>
      <w:tr w14:paraId="763F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5" w:type="dxa"/>
            <w:tcBorders>
              <w:right w:val="single" w:color="auto" w:sz="4" w:space="0"/>
            </w:tcBorders>
            <w:noWrap w:val="0"/>
            <w:vAlign w:val="top"/>
          </w:tcPr>
          <w:p w14:paraId="0E200CDB">
            <w:pPr>
              <w:spacing w:line="400" w:lineRule="exact"/>
              <w:rPr>
                <w:rFonts w:ascii="宋体" w:hAnsi="宋体" w:cs="宋体"/>
                <w:szCs w:val="21"/>
              </w:rPr>
            </w:pPr>
            <w:r>
              <w:rPr>
                <w:rFonts w:hint="eastAsia" w:ascii="宋体" w:hAnsi="宋体" w:cs="宋体"/>
                <w:szCs w:val="21"/>
              </w:rPr>
              <w:t>2、有专人打扫，每人随时整理。</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80A0FAD">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2C6B0C67">
            <w:pPr>
              <w:spacing w:line="400" w:lineRule="exact"/>
              <w:jc w:val="center"/>
              <w:rPr>
                <w:rFonts w:ascii="宋体" w:hAnsi="宋体" w:cs="宋体"/>
                <w:szCs w:val="21"/>
              </w:rPr>
            </w:pPr>
          </w:p>
        </w:tc>
      </w:tr>
      <w:tr w14:paraId="0A8A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85" w:type="dxa"/>
            <w:tcBorders>
              <w:right w:val="single" w:color="auto" w:sz="4" w:space="0"/>
            </w:tcBorders>
            <w:noWrap w:val="0"/>
            <w:vAlign w:val="top"/>
          </w:tcPr>
          <w:p w14:paraId="77F6EE83">
            <w:pPr>
              <w:spacing w:line="400" w:lineRule="exact"/>
              <w:rPr>
                <w:rFonts w:hint="default" w:ascii="宋体" w:hAnsi="宋体" w:cs="宋体"/>
                <w:szCs w:val="21"/>
                <w:lang w:val="en-US"/>
              </w:rPr>
            </w:pPr>
            <w:r>
              <w:rPr>
                <w:rFonts w:hint="eastAsia" w:ascii="宋体" w:hAnsi="宋体" w:cs="仿宋"/>
                <w:b/>
                <w:bCs/>
                <w:szCs w:val="21"/>
                <w:lang w:eastAsia="zh-CN"/>
              </w:rPr>
              <w:t>十六、1</w:t>
            </w:r>
            <w:r>
              <w:rPr>
                <w:rFonts w:hint="eastAsia" w:ascii="宋体" w:hAnsi="宋体" w:cs="仿宋"/>
                <w:b/>
                <w:bCs/>
                <w:szCs w:val="21"/>
                <w:lang w:val="en-US" w:eastAsia="zh-CN"/>
              </w:rPr>
              <w:t>20急救点：4分</w:t>
            </w:r>
          </w:p>
        </w:tc>
        <w:tc>
          <w:tcPr>
            <w:tcW w:w="660" w:type="dxa"/>
            <w:tcBorders>
              <w:left w:val="single" w:color="auto" w:sz="4" w:space="0"/>
              <w:right w:val="single" w:color="auto" w:sz="4" w:space="0"/>
            </w:tcBorders>
            <w:noWrap w:val="0"/>
            <w:vAlign w:val="center"/>
          </w:tcPr>
          <w:p w14:paraId="41FCAB75">
            <w:pPr>
              <w:spacing w:line="400" w:lineRule="exact"/>
              <w:jc w:val="center"/>
              <w:rPr>
                <w:rFonts w:hint="eastAsia" w:ascii="宋体" w:hAnsi="宋体" w:cs="宋体"/>
                <w:szCs w:val="21"/>
              </w:rPr>
            </w:pPr>
          </w:p>
        </w:tc>
        <w:tc>
          <w:tcPr>
            <w:tcW w:w="765" w:type="dxa"/>
            <w:tcBorders>
              <w:left w:val="single" w:color="auto" w:sz="4" w:space="0"/>
            </w:tcBorders>
            <w:noWrap w:val="0"/>
            <w:vAlign w:val="center"/>
          </w:tcPr>
          <w:p w14:paraId="705A6228">
            <w:pPr>
              <w:spacing w:line="400" w:lineRule="exact"/>
              <w:jc w:val="center"/>
              <w:rPr>
                <w:rFonts w:ascii="宋体" w:hAnsi="宋体" w:cs="宋体"/>
                <w:szCs w:val="21"/>
              </w:rPr>
            </w:pPr>
          </w:p>
        </w:tc>
      </w:tr>
      <w:tr w14:paraId="509B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BB5E590">
            <w:pPr>
              <w:spacing w:line="400" w:lineRule="exact"/>
              <w:rPr>
                <w:rFonts w:hint="eastAsia" w:ascii="宋体" w:hAnsi="宋体" w:cs="宋体"/>
                <w:szCs w:val="21"/>
              </w:rPr>
            </w:pPr>
            <w:r>
              <w:rPr>
                <w:rFonts w:hint="eastAsia" w:ascii="宋体" w:hAnsi="宋体" w:eastAsia="宋体" w:cs="仿宋"/>
                <w:szCs w:val="21"/>
              </w:rPr>
              <w:t>驾驶员末按照规范要求驾驶救护车、‌协助急救医师进行急救诊疗、‌现场救治、‌病人转运及其他医疗保障相关工作。发现一次</w:t>
            </w:r>
            <w:r>
              <w:rPr>
                <w:rFonts w:hint="eastAsia" w:ascii="宋体" w:hAnsi="宋体" w:eastAsia="宋体" w:cs="仿宋"/>
                <w:szCs w:val="21"/>
                <w:lang w:eastAsia="zh-CN"/>
              </w:rPr>
              <w:t>扣</w:t>
            </w:r>
            <w:r>
              <w:rPr>
                <w:rFonts w:hint="eastAsia" w:ascii="宋体" w:hAnsi="宋体" w:eastAsia="宋体" w:cs="仿宋"/>
                <w:szCs w:val="21"/>
                <w:lang w:val="en-US" w:eastAsia="zh-CN"/>
              </w:rPr>
              <w:t>1分</w:t>
            </w:r>
          </w:p>
        </w:tc>
        <w:tc>
          <w:tcPr>
            <w:tcW w:w="660" w:type="dxa"/>
            <w:tcBorders>
              <w:left w:val="single" w:color="auto" w:sz="4" w:space="0"/>
              <w:right w:val="single" w:color="auto" w:sz="4" w:space="0"/>
            </w:tcBorders>
            <w:noWrap w:val="0"/>
            <w:vAlign w:val="center"/>
          </w:tcPr>
          <w:p w14:paraId="27BB0EDA">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65" w:type="dxa"/>
            <w:tcBorders>
              <w:left w:val="single" w:color="auto" w:sz="4" w:space="0"/>
            </w:tcBorders>
            <w:noWrap w:val="0"/>
            <w:vAlign w:val="center"/>
          </w:tcPr>
          <w:p w14:paraId="4EBFE8BA">
            <w:pPr>
              <w:spacing w:line="400" w:lineRule="exact"/>
              <w:jc w:val="center"/>
              <w:rPr>
                <w:rFonts w:ascii="宋体" w:hAnsi="宋体" w:cs="宋体"/>
                <w:szCs w:val="21"/>
              </w:rPr>
            </w:pPr>
          </w:p>
        </w:tc>
      </w:tr>
      <w:tr w14:paraId="291E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C7FF5F3">
            <w:pPr>
              <w:spacing w:line="400" w:lineRule="exact"/>
              <w:rPr>
                <w:rFonts w:hint="default" w:ascii="宋体" w:hAnsi="宋体" w:eastAsia="宋体" w:cs="仿宋"/>
                <w:szCs w:val="21"/>
                <w:lang w:val="en-US" w:eastAsia="zh-CN"/>
              </w:rPr>
            </w:pPr>
            <w:r>
              <w:rPr>
                <w:rFonts w:hint="eastAsia" w:ascii="宋体" w:hAnsi="宋体" w:cs="仿宋"/>
                <w:b/>
                <w:bCs/>
                <w:szCs w:val="21"/>
                <w:lang w:eastAsia="zh-CN"/>
              </w:rPr>
              <w:t>十七、</w:t>
            </w:r>
            <w:r>
              <w:rPr>
                <w:rFonts w:hint="eastAsia" w:ascii="宋体" w:hAnsi="宋体" w:cs="宋体"/>
                <w:b/>
                <w:bCs/>
                <w:kern w:val="0"/>
                <w:szCs w:val="21"/>
                <w:lang w:eastAsia="zh-CN"/>
              </w:rPr>
              <w:t>后勤</w:t>
            </w:r>
            <w:r>
              <w:rPr>
                <w:rFonts w:hint="eastAsia" w:ascii="宋体" w:hAnsi="宋体" w:cs="宋体"/>
                <w:b/>
                <w:szCs w:val="21"/>
              </w:rPr>
              <w:t>环境卫生</w:t>
            </w:r>
            <w:r>
              <w:rPr>
                <w:rFonts w:hint="eastAsia" w:ascii="宋体" w:hAnsi="宋体" w:cs="宋体"/>
                <w:b/>
                <w:szCs w:val="21"/>
                <w:lang w:eastAsia="zh-CN"/>
              </w:rPr>
              <w:t>：</w:t>
            </w:r>
            <w:r>
              <w:rPr>
                <w:rFonts w:hint="eastAsia" w:ascii="宋体" w:hAnsi="宋体" w:cs="宋体"/>
                <w:b/>
                <w:szCs w:val="21"/>
                <w:lang w:val="en-US" w:eastAsia="zh-CN"/>
              </w:rPr>
              <w:t>4分</w:t>
            </w:r>
          </w:p>
        </w:tc>
        <w:tc>
          <w:tcPr>
            <w:tcW w:w="660" w:type="dxa"/>
            <w:tcBorders>
              <w:left w:val="single" w:color="auto" w:sz="4" w:space="0"/>
              <w:right w:val="single" w:color="auto" w:sz="4" w:space="0"/>
            </w:tcBorders>
            <w:noWrap w:val="0"/>
            <w:vAlign w:val="center"/>
          </w:tcPr>
          <w:p w14:paraId="0B82672F">
            <w:pPr>
              <w:spacing w:line="400" w:lineRule="exact"/>
              <w:jc w:val="center"/>
              <w:rPr>
                <w:rFonts w:hint="eastAsia" w:ascii="宋体" w:hAnsi="宋体" w:cs="宋体"/>
                <w:szCs w:val="21"/>
                <w:lang w:val="en-US" w:eastAsia="zh-CN"/>
              </w:rPr>
            </w:pPr>
          </w:p>
        </w:tc>
        <w:tc>
          <w:tcPr>
            <w:tcW w:w="765" w:type="dxa"/>
            <w:tcBorders>
              <w:left w:val="single" w:color="auto" w:sz="4" w:space="0"/>
            </w:tcBorders>
            <w:noWrap w:val="0"/>
            <w:vAlign w:val="center"/>
          </w:tcPr>
          <w:p w14:paraId="3F754CC6">
            <w:pPr>
              <w:spacing w:line="400" w:lineRule="exact"/>
              <w:jc w:val="center"/>
              <w:rPr>
                <w:rFonts w:ascii="宋体" w:hAnsi="宋体" w:cs="宋体"/>
                <w:szCs w:val="21"/>
              </w:rPr>
            </w:pPr>
          </w:p>
        </w:tc>
      </w:tr>
      <w:tr w14:paraId="3B1B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2DE5649">
            <w:pPr>
              <w:spacing w:line="400" w:lineRule="exact"/>
              <w:rPr>
                <w:rFonts w:hint="eastAsia" w:ascii="宋体" w:hAnsi="宋体" w:eastAsia="宋体" w:cs="仿宋"/>
                <w:b/>
                <w:bCs/>
                <w:szCs w:val="21"/>
                <w:lang w:eastAsia="zh-CN"/>
              </w:rPr>
            </w:pPr>
            <w:r>
              <w:rPr>
                <w:rFonts w:hint="eastAsia" w:ascii="宋体" w:hAnsi="宋体" w:cs="宋体"/>
                <w:kern w:val="0"/>
                <w:szCs w:val="21"/>
              </w:rPr>
              <w:t>门诊楼（三层）、住院楼（二层）、食堂兼职工宿舍楼（二楼）、洗衣间、医生住宿楼、卫生院公共外场地的</w:t>
            </w:r>
            <w:r>
              <w:rPr>
                <w:rFonts w:hint="eastAsia" w:ascii="宋体" w:hAnsi="宋体" w:cs="宋体"/>
                <w:kern w:val="0"/>
                <w:szCs w:val="21"/>
                <w:lang w:eastAsia="zh-CN"/>
              </w:rPr>
              <w:t>清洁。</w:t>
            </w:r>
            <w:r>
              <w:rPr>
                <w:rFonts w:hint="eastAsia" w:ascii="宋体" w:hAnsi="宋体" w:cs="宋体"/>
                <w:szCs w:val="21"/>
              </w:rPr>
              <w:t>卫生应保持干净、干燥、整洁、明亮，做到日常卫生保洁和定期大扫除相结合不留卫生死角。</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2FFE822">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765" w:type="dxa"/>
            <w:tcBorders>
              <w:left w:val="single" w:color="auto" w:sz="4" w:space="0"/>
            </w:tcBorders>
            <w:noWrap w:val="0"/>
            <w:vAlign w:val="center"/>
          </w:tcPr>
          <w:p w14:paraId="31F55FAD">
            <w:pPr>
              <w:spacing w:line="400" w:lineRule="exact"/>
              <w:jc w:val="center"/>
              <w:rPr>
                <w:rFonts w:ascii="宋体" w:hAnsi="宋体" w:cs="宋体"/>
                <w:szCs w:val="21"/>
              </w:rPr>
            </w:pPr>
          </w:p>
        </w:tc>
      </w:tr>
      <w:tr w14:paraId="35E2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E065444">
            <w:pPr>
              <w:spacing w:line="400" w:lineRule="exact"/>
              <w:rPr>
                <w:rFonts w:ascii="宋体" w:hAnsi="宋体" w:cs="宋体"/>
                <w:b/>
                <w:szCs w:val="21"/>
              </w:rPr>
            </w:pPr>
            <w:r>
              <w:rPr>
                <w:rFonts w:hint="eastAsia" w:ascii="宋体" w:hAnsi="宋体" w:cs="宋体"/>
                <w:b/>
                <w:szCs w:val="21"/>
              </w:rPr>
              <w:t>总分</w:t>
            </w:r>
          </w:p>
        </w:tc>
        <w:tc>
          <w:tcPr>
            <w:tcW w:w="660" w:type="dxa"/>
            <w:tcBorders>
              <w:left w:val="single" w:color="auto" w:sz="4" w:space="0"/>
              <w:right w:val="single" w:color="auto" w:sz="4" w:space="0"/>
            </w:tcBorders>
            <w:noWrap w:val="0"/>
            <w:vAlign w:val="center"/>
          </w:tcPr>
          <w:p w14:paraId="56CF7AD3">
            <w:pPr>
              <w:spacing w:line="400" w:lineRule="exact"/>
              <w:jc w:val="center"/>
              <w:rPr>
                <w:rFonts w:ascii="宋体" w:hAnsi="宋体" w:cs="宋体"/>
                <w:b/>
                <w:szCs w:val="21"/>
              </w:rPr>
            </w:pPr>
            <w:r>
              <w:rPr>
                <w:rFonts w:hint="eastAsia" w:ascii="宋体" w:hAnsi="宋体" w:cs="宋体"/>
                <w:b/>
                <w:szCs w:val="21"/>
              </w:rPr>
              <w:t>100</w:t>
            </w:r>
          </w:p>
        </w:tc>
        <w:tc>
          <w:tcPr>
            <w:tcW w:w="765" w:type="dxa"/>
            <w:tcBorders>
              <w:left w:val="single" w:color="auto" w:sz="4" w:space="0"/>
            </w:tcBorders>
            <w:noWrap w:val="0"/>
            <w:vAlign w:val="center"/>
          </w:tcPr>
          <w:p w14:paraId="39300684">
            <w:pPr>
              <w:spacing w:line="400" w:lineRule="exact"/>
              <w:jc w:val="center"/>
              <w:rPr>
                <w:rFonts w:ascii="宋体" w:hAnsi="宋体" w:cs="宋体"/>
                <w:b/>
                <w:szCs w:val="21"/>
              </w:rPr>
            </w:pPr>
          </w:p>
        </w:tc>
      </w:tr>
    </w:tbl>
    <w:p w14:paraId="21CB35F4">
      <w:pPr>
        <w:numPr>
          <w:ilvl w:val="0"/>
          <w:numId w:val="3"/>
        </w:numPr>
        <w:spacing w:line="440" w:lineRule="exact"/>
        <w:jc w:val="left"/>
        <w:rPr>
          <w:rFonts w:hint="eastAsia" w:ascii="宋体" w:hAnsi="宋体" w:cs="宋体"/>
          <w:b/>
          <w:szCs w:val="21"/>
        </w:rPr>
      </w:pPr>
      <w:r>
        <w:rPr>
          <w:rFonts w:hint="eastAsia" w:ascii="宋体" w:hAnsi="宋体" w:cs="宋体"/>
          <w:b/>
          <w:szCs w:val="21"/>
        </w:rPr>
        <w:t>注意事项</w:t>
      </w:r>
    </w:p>
    <w:p w14:paraId="65061BCD">
      <w:pPr>
        <w:spacing w:line="440" w:lineRule="exact"/>
        <w:ind w:firstLine="420" w:firstLineChars="200"/>
        <w:jc w:val="left"/>
        <w:rPr>
          <w:rFonts w:ascii="宋体" w:hAnsi="宋体" w:cs="宋体"/>
          <w:szCs w:val="21"/>
        </w:rPr>
      </w:pPr>
      <w:r>
        <w:rPr>
          <w:rFonts w:hint="eastAsia" w:ascii="宋体" w:hAnsi="宋体" w:cs="宋体"/>
          <w:szCs w:val="21"/>
        </w:rPr>
        <w:t>1、</w:t>
      </w:r>
      <w:bookmarkStart w:id="28" w:name="其它事项"/>
      <w:r>
        <w:rPr>
          <w:rFonts w:hint="eastAsia" w:ascii="宋体" w:hAnsi="宋体" w:cs="宋体"/>
          <w:szCs w:val="21"/>
        </w:rPr>
        <w:t>中标人不得将项目非法分包或整体转包给任何单位和个人。否则，采购人有权即刻终止合同，并要求中标人按合同约定赔偿相应损失。</w:t>
      </w:r>
    </w:p>
    <w:bookmarkEnd w:id="28"/>
    <w:p w14:paraId="2AF747CE">
      <w:pPr>
        <w:spacing w:line="440" w:lineRule="exact"/>
        <w:ind w:firstLine="420" w:firstLineChars="200"/>
        <w:jc w:val="left"/>
        <w:rPr>
          <w:rFonts w:ascii="宋体" w:hAnsi="宋体" w:cs="宋体"/>
          <w:szCs w:val="21"/>
        </w:rPr>
      </w:pPr>
      <w:r>
        <w:rPr>
          <w:rFonts w:hint="eastAsia" w:ascii="宋体" w:hAnsi="宋体" w:cs="宋体"/>
          <w:szCs w:val="21"/>
        </w:rPr>
        <w:t>2、供应商若认为采购文件的技术要求或其他要求有倾向性或不公正性，可在招标答疑阶段提出，以维护招标行为的公平、公正。</w:t>
      </w:r>
    </w:p>
    <w:p w14:paraId="2BBE700D">
      <w:pPr>
        <w:spacing w:line="440" w:lineRule="exact"/>
        <w:ind w:firstLine="420" w:firstLineChars="200"/>
        <w:jc w:val="left"/>
        <w:rPr>
          <w:rFonts w:ascii="宋体" w:hAnsi="宋体" w:cs="宋体"/>
          <w:szCs w:val="21"/>
        </w:rPr>
      </w:pPr>
      <w:r>
        <w:rPr>
          <w:rFonts w:hint="eastAsia" w:ascii="宋体" w:hAnsi="宋体" w:cs="宋体"/>
          <w:szCs w:val="21"/>
        </w:rPr>
        <w:t>3、供应商使用的标准必须是国际公认或国家、或地方政府颁布的同等或更高的标准，如供应商使用的标准低于上述标准,评标委员会将有权不予接受，供应商必须列表将明显的差异详细说明。</w:t>
      </w:r>
    </w:p>
    <w:p w14:paraId="3E5B0DBA">
      <w:pPr>
        <w:spacing w:line="44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bCs/>
          <w:szCs w:val="21"/>
        </w:rPr>
        <w:t>如供应商提交伪造资质证书、合同文件，一经发现按有关规定进行处罚,没收投标保证金、通报批评，并在宁波市政府采购网上公布</w:t>
      </w:r>
      <w:r>
        <w:rPr>
          <w:rFonts w:hint="eastAsia" w:ascii="宋体" w:hAnsi="宋体" w:cs="宋体"/>
          <w:szCs w:val="21"/>
        </w:rPr>
        <w:t>。</w:t>
      </w:r>
    </w:p>
    <w:p w14:paraId="707FA333">
      <w:pPr>
        <w:spacing w:line="440" w:lineRule="exact"/>
        <w:ind w:firstLine="420" w:firstLineChars="200"/>
        <w:jc w:val="left"/>
        <w:rPr>
          <w:rFonts w:ascii="宋体" w:hAnsi="宋体" w:cs="宋体"/>
          <w:szCs w:val="21"/>
        </w:rPr>
      </w:pPr>
      <w:r>
        <w:rPr>
          <w:rFonts w:hint="eastAsia" w:ascii="宋体" w:hAnsi="宋体" w:cs="宋体"/>
          <w:szCs w:val="21"/>
        </w:rPr>
        <w:t>5、违反招标文件规定及在投标过程中违法违纪，或以任何形式采取不正当竞争手段的，一经查实，由招标单位按规定给予处罚，取消本次投标资格，已经中标的终止委托管理合同，一切后果由责任者自负。</w:t>
      </w:r>
    </w:p>
    <w:p w14:paraId="0B2FFD41">
      <w:pPr>
        <w:autoSpaceDE w:val="0"/>
        <w:autoSpaceDN w:val="0"/>
        <w:adjustRightInd w:val="0"/>
        <w:spacing w:before="10" w:line="440" w:lineRule="exact"/>
        <w:ind w:left="25" w:right="60" w:firstLine="420" w:firstLineChars="200"/>
        <w:jc w:val="left"/>
        <w:rPr>
          <w:rFonts w:ascii="宋体" w:hAnsi="宋体" w:cs="宋体"/>
          <w:kern w:val="0"/>
          <w:szCs w:val="21"/>
        </w:rPr>
      </w:pPr>
      <w:r>
        <w:rPr>
          <w:rFonts w:hint="eastAsia" w:ascii="宋体" w:hAnsi="宋体" w:cs="宋体"/>
          <w:kern w:val="0"/>
          <w:szCs w:val="21"/>
        </w:rPr>
        <w:t>6、供应商应符合国家卫生许可相关管理规定；</w:t>
      </w:r>
    </w:p>
    <w:p w14:paraId="1F27C663">
      <w:pPr>
        <w:autoSpaceDE w:val="0"/>
        <w:autoSpaceDN w:val="0"/>
        <w:adjustRightInd w:val="0"/>
        <w:spacing w:line="440" w:lineRule="exact"/>
        <w:ind w:left="475" w:right="212"/>
        <w:jc w:val="left"/>
        <w:rPr>
          <w:rFonts w:ascii="宋体" w:hAnsi="宋体" w:cs="宋体"/>
          <w:kern w:val="0"/>
          <w:szCs w:val="21"/>
        </w:rPr>
      </w:pPr>
      <w:r>
        <w:rPr>
          <w:rFonts w:hint="eastAsia" w:ascii="宋体" w:hAnsi="宋体" w:cs="宋体"/>
          <w:kern w:val="0"/>
          <w:szCs w:val="21"/>
        </w:rPr>
        <w:t>7、中标单位的各岗位员工要统一服装，并由中标单位负责其员工工服配备和洗涤。</w:t>
      </w:r>
    </w:p>
    <w:p w14:paraId="517844F5">
      <w:pPr>
        <w:autoSpaceDE w:val="0"/>
        <w:autoSpaceDN w:val="0"/>
        <w:adjustRightInd w:val="0"/>
        <w:spacing w:line="440" w:lineRule="exact"/>
        <w:ind w:left="475" w:right="212"/>
        <w:jc w:val="left"/>
        <w:rPr>
          <w:rFonts w:ascii="宋体" w:hAnsi="宋体" w:cs="宋体"/>
          <w:kern w:val="0"/>
          <w:szCs w:val="21"/>
        </w:rPr>
      </w:pPr>
      <w:r>
        <w:rPr>
          <w:rFonts w:hint="eastAsia" w:ascii="宋体" w:hAnsi="宋体" w:cs="宋体"/>
          <w:kern w:val="0"/>
          <w:szCs w:val="21"/>
        </w:rPr>
        <w:t xml:space="preserve">8、中标单位有岗前培训机构，服务人员100%经过岗前培训合格才能上岗。 </w:t>
      </w:r>
    </w:p>
    <w:p w14:paraId="65306D2A">
      <w:pPr>
        <w:autoSpaceDE w:val="0"/>
        <w:autoSpaceDN w:val="0"/>
        <w:adjustRightInd w:val="0"/>
        <w:spacing w:line="440" w:lineRule="exact"/>
        <w:ind w:left="28" w:right="64" w:firstLine="453"/>
        <w:jc w:val="left"/>
        <w:rPr>
          <w:rFonts w:ascii="宋体" w:hAnsi="宋体" w:cs="宋体"/>
          <w:kern w:val="0"/>
          <w:szCs w:val="21"/>
        </w:rPr>
      </w:pPr>
      <w:r>
        <w:rPr>
          <w:rFonts w:hint="eastAsia" w:ascii="宋体" w:hAnsi="宋体" w:cs="宋体"/>
          <w:kern w:val="0"/>
          <w:szCs w:val="21"/>
        </w:rPr>
        <w:t>9、中标单位须严格按照标准化的操作程序、完善的培训体系和质量控制体系完成本项目，以保证整个系统安全、高效、有序和有计划地运转。</w:t>
      </w:r>
    </w:p>
    <w:p w14:paraId="289298E7">
      <w:pPr>
        <w:autoSpaceDE w:val="0"/>
        <w:autoSpaceDN w:val="0"/>
        <w:adjustRightInd w:val="0"/>
        <w:spacing w:line="440" w:lineRule="exact"/>
        <w:ind w:left="28" w:right="64" w:firstLine="453"/>
        <w:jc w:val="left"/>
        <w:rPr>
          <w:rFonts w:ascii="宋体" w:hAnsi="宋体" w:cs="宋体"/>
          <w:kern w:val="0"/>
          <w:szCs w:val="21"/>
        </w:rPr>
      </w:pPr>
      <w:r>
        <w:rPr>
          <w:rFonts w:hint="eastAsia" w:ascii="宋体" w:hAnsi="宋体" w:cs="宋体"/>
          <w:kern w:val="0"/>
          <w:szCs w:val="21"/>
        </w:rPr>
        <w:t>10、中标单位须严格按照国家规定给所有符合社保缴纳要求的员工缴纳各种社会保险(包括养老、医疗、工伤、生育险、失业保险等)和住房公积金。</w:t>
      </w:r>
    </w:p>
    <w:p w14:paraId="291449CA">
      <w:pPr>
        <w:autoSpaceDE w:val="0"/>
        <w:autoSpaceDN w:val="0"/>
        <w:adjustRightInd w:val="0"/>
        <w:spacing w:line="440" w:lineRule="exact"/>
        <w:ind w:left="64" w:right="21" w:firstLine="453"/>
        <w:jc w:val="left"/>
        <w:rPr>
          <w:rFonts w:ascii="宋体" w:hAnsi="宋体" w:cs="宋体"/>
          <w:kern w:val="0"/>
          <w:szCs w:val="21"/>
        </w:rPr>
      </w:pPr>
      <w:r>
        <w:rPr>
          <w:rFonts w:hint="eastAsia" w:ascii="宋体" w:hAnsi="宋体" w:cs="宋体"/>
          <w:kern w:val="0"/>
          <w:szCs w:val="21"/>
        </w:rPr>
        <w:t>11、全部服务人员的工作时间应严格按国家有关法律、法规要求的标准执行，因工作原因产生的加班(含节假日加班)应严格按国家有关法律、法规要求的标准给付员工加班薪资。并包含国家规定的员工年假费用；业主方不另外增加费用。</w:t>
      </w:r>
    </w:p>
    <w:p w14:paraId="3FF0748D">
      <w:pPr>
        <w:autoSpaceDE w:val="0"/>
        <w:autoSpaceDN w:val="0"/>
        <w:adjustRightInd w:val="0"/>
        <w:spacing w:line="440" w:lineRule="exact"/>
        <w:ind w:left="529"/>
        <w:jc w:val="left"/>
        <w:rPr>
          <w:rFonts w:ascii="宋体" w:hAnsi="宋体" w:cs="宋体"/>
          <w:kern w:val="0"/>
          <w:szCs w:val="21"/>
        </w:rPr>
      </w:pPr>
      <w:r>
        <w:rPr>
          <w:rFonts w:hint="eastAsia" w:ascii="宋体" w:hAnsi="宋体" w:cs="宋体"/>
          <w:kern w:val="0"/>
          <w:szCs w:val="21"/>
        </w:rPr>
        <w:t>12、所有员工入职服务时都必须体检，并且合格后才能持证上岗。（注：投标文件中需提供相关承诺，否则视为无效。）</w:t>
      </w:r>
    </w:p>
    <w:p w14:paraId="05A0A2E8">
      <w:pPr>
        <w:autoSpaceDE w:val="0"/>
        <w:autoSpaceDN w:val="0"/>
        <w:adjustRightInd w:val="0"/>
        <w:spacing w:line="440" w:lineRule="exact"/>
        <w:ind w:left="100" w:right="7" w:firstLine="446"/>
        <w:jc w:val="left"/>
        <w:rPr>
          <w:rFonts w:ascii="宋体" w:hAnsi="宋体" w:cs="宋体"/>
          <w:kern w:val="0"/>
          <w:szCs w:val="21"/>
        </w:rPr>
      </w:pPr>
      <w:r>
        <w:rPr>
          <w:rFonts w:hint="eastAsia" w:ascii="宋体" w:hAnsi="宋体" w:cs="宋体"/>
          <w:kern w:val="0"/>
          <w:szCs w:val="21"/>
        </w:rPr>
        <w:t>13、因供应商违反《劳动法》等法律法规而造成甲方的连带责任和损失全部由投标方承担。</w:t>
      </w:r>
    </w:p>
    <w:p w14:paraId="544DB3CD">
      <w:pPr>
        <w:keepNext w:val="0"/>
        <w:keepLines w:val="0"/>
        <w:pageBreakBefore w:val="0"/>
        <w:kinsoku/>
        <w:overflowPunct/>
        <w:topLinePunct w:val="0"/>
        <w:bidi w:val="0"/>
        <w:adjustRightInd/>
        <w:snapToGrid/>
        <w:spacing w:line="360" w:lineRule="auto"/>
        <w:ind w:firstLine="422" w:firstLineChars="200"/>
        <w:jc w:val="left"/>
        <w:outlineLvl w:val="9"/>
        <w:rPr>
          <w:rFonts w:hint="eastAsia" w:ascii="宋体" w:hAnsi="宋体" w:cs="宋体"/>
          <w:b/>
          <w:color w:val="auto"/>
          <w:szCs w:val="21"/>
          <w:highlight w:val="none"/>
        </w:rPr>
      </w:pPr>
    </w:p>
    <w:p w14:paraId="755B38A5">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outlineLvl w:val="9"/>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eastAsia="zh-CN"/>
        </w:rPr>
        <w:t>重要商务要求一览表</w:t>
      </w:r>
    </w:p>
    <w:tbl>
      <w:tblPr>
        <w:tblStyle w:val="14"/>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6"/>
        <w:gridCol w:w="6880"/>
      </w:tblGrid>
      <w:tr w14:paraId="18CD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70C7662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4E463A2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14:paraId="16432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2C271C8F">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1、服务期限</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37E7F783">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详见《第一章  公开招标采购公告》</w:t>
            </w:r>
          </w:p>
        </w:tc>
      </w:tr>
      <w:tr w14:paraId="07853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1A96E520">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2、付款方式</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297B800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（1）每月考核，根据考核结果，按月核拨；每月末根据考核情况，计算支付款项，在下月第10天支付，如遇节假日则自动顺延（特殊情况以合同为准）；</w:t>
            </w:r>
          </w:p>
          <w:p w14:paraId="7DDB616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）解除或终结合同后，在全年考核结束后结清余款。</w:t>
            </w:r>
          </w:p>
          <w:p w14:paraId="575301A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（月服务经费=1年合同总价/12）。</w:t>
            </w:r>
          </w:p>
          <w:p w14:paraId="30A48C7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val="en-US" w:eastAsia="zh-CN"/>
              </w:rPr>
            </w:pPr>
            <w:r>
              <w:rPr>
                <w:rFonts w:hint="eastAsia" w:ascii="宋体" w:hAnsi="宋体"/>
                <w:b/>
                <w:bCs/>
                <w:color w:val="auto"/>
                <w:szCs w:val="21"/>
                <w:highlight w:val="none"/>
                <w:lang w:val="en-US" w:eastAsia="zh-CN"/>
              </w:rPr>
              <w:t>注：每月按实际到岗人员按实支付。</w:t>
            </w:r>
          </w:p>
        </w:tc>
      </w:tr>
      <w:tr w14:paraId="3ACE4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50CF19B6">
            <w:pPr>
              <w:keepNext w:val="0"/>
              <w:keepLines w:val="0"/>
              <w:pageBreakBefore w:val="0"/>
              <w:widowControl w:val="0"/>
              <w:tabs>
                <w:tab w:val="left" w:pos="3234"/>
              </w:tabs>
              <w:kinsoku/>
              <w:wordWrap/>
              <w:overflowPunct/>
              <w:topLinePunct w:val="0"/>
              <w:autoSpaceDE/>
              <w:autoSpaceDN/>
              <w:bidi w:val="0"/>
              <w:adjustRightInd/>
              <w:snapToGrid/>
              <w:spacing w:line="26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、合同终止</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09395CB7">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中标人在合同有效期内，不得以任何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12D56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77E1DA8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、对采购内容进行变更的处理</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18CA589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color w:val="auto"/>
                <w:highlight w:val="none"/>
              </w:rPr>
            </w:pPr>
            <w:r>
              <w:rPr>
                <w:rFonts w:hint="eastAsia"/>
                <w:color w:val="auto"/>
                <w:highlight w:val="none"/>
              </w:rPr>
              <w:t>（1）合同期内，因故致使本项目服务范围</w:t>
            </w:r>
            <w:r>
              <w:rPr>
                <w:rFonts w:hint="eastAsia"/>
                <w:color w:val="auto"/>
                <w:highlight w:val="none"/>
                <w:lang w:val="en-US" w:eastAsia="zh-CN"/>
              </w:rPr>
              <w:t>增减</w:t>
            </w:r>
            <w:r>
              <w:rPr>
                <w:rFonts w:hint="eastAsia"/>
                <w:color w:val="auto"/>
                <w:highlight w:val="none"/>
              </w:rPr>
              <w:t>引起的费用调整，按实结算服务费（已明确承包范围的除外），以联系单为准。新增服务区域以联系单为准。产生的费用增减均计入发生期间所对应的季度结算费用中。</w:t>
            </w:r>
          </w:p>
          <w:p w14:paraId="04DFD73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color w:val="auto"/>
                <w:highlight w:val="none"/>
              </w:rPr>
            </w:pPr>
            <w:r>
              <w:rPr>
                <w:rFonts w:hint="eastAsia"/>
                <w:color w:val="auto"/>
                <w:highlight w:val="none"/>
              </w:rPr>
              <w:t>（2）国家上调最低工资标准和养老保险标准的，按实际上调额及税收另行追加服务费；</w:t>
            </w:r>
          </w:p>
          <w:p w14:paraId="41D7EEE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Cs w:val="21"/>
                <w:highlight w:val="none"/>
              </w:rPr>
            </w:pPr>
            <w:r>
              <w:rPr>
                <w:rFonts w:hint="eastAsia"/>
                <w:color w:val="auto"/>
                <w:highlight w:val="none"/>
              </w:rPr>
              <w:t>（3）因工作需要调整服务标准的，按新标准重新测算服务费。</w:t>
            </w:r>
          </w:p>
        </w:tc>
      </w:tr>
    </w:tbl>
    <w:p w14:paraId="0B75FD58">
      <w:pPr>
        <w:pStyle w:val="6"/>
        <w:ind w:left="0" w:leftChars="0" w:firstLine="0" w:firstLineChars="0"/>
        <w:rPr>
          <w:rFonts w:hint="eastAsia"/>
        </w:rPr>
        <w:sectPr>
          <w:footerReference r:id="rId8" w:type="default"/>
          <w:pgSz w:w="11906" w:h="16838"/>
          <w:pgMar w:top="1474" w:right="1797" w:bottom="1247" w:left="1797" w:header="851" w:footer="851" w:gutter="0"/>
          <w:pgNumType w:fmt="decimal" w:start="1"/>
          <w:cols w:space="720" w:num="1"/>
          <w:docGrid w:linePitch="312" w:charSpace="0"/>
        </w:sectPr>
      </w:pPr>
    </w:p>
    <w:p w14:paraId="24A78BD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4443"/>
      <w:bookmarkEnd w:id="29"/>
      <w:bookmarkStart w:id="30" w:name="_Toc184312072"/>
      <w:bookmarkEnd w:id="30"/>
      <w:bookmarkStart w:id="31" w:name="_Toc184312103"/>
      <w:bookmarkEnd w:id="31"/>
      <w:bookmarkStart w:id="32" w:name="_Toc184314463"/>
      <w:bookmarkEnd w:id="32"/>
      <w:bookmarkStart w:id="33" w:name="_Toc184314471"/>
      <w:bookmarkEnd w:id="33"/>
      <w:bookmarkStart w:id="34" w:name="_Toc184313254"/>
      <w:bookmarkEnd w:id="34"/>
      <w:bookmarkStart w:id="35" w:name="_Toc184312088"/>
      <w:bookmarkEnd w:id="35"/>
      <w:bookmarkStart w:id="36" w:name="_Toc184314428"/>
      <w:bookmarkEnd w:id="36"/>
      <w:bookmarkStart w:id="37" w:name="_Toc184312132"/>
      <w:bookmarkEnd w:id="37"/>
      <w:bookmarkStart w:id="38" w:name="_Toc184312104"/>
      <w:bookmarkEnd w:id="38"/>
      <w:bookmarkStart w:id="39" w:name="_Toc184308067"/>
      <w:bookmarkEnd w:id="39"/>
      <w:bookmarkStart w:id="40" w:name="_Toc184312086"/>
      <w:bookmarkEnd w:id="40"/>
      <w:bookmarkStart w:id="41" w:name="_Toc184314418"/>
      <w:bookmarkEnd w:id="41"/>
      <w:bookmarkStart w:id="42" w:name="_Toc184308075"/>
      <w:bookmarkEnd w:id="42"/>
      <w:bookmarkStart w:id="43" w:name="_Toc184313293"/>
      <w:bookmarkEnd w:id="43"/>
      <w:bookmarkStart w:id="44" w:name="_Toc184308049"/>
      <w:bookmarkEnd w:id="44"/>
      <w:bookmarkStart w:id="45" w:name="_Toc184314417"/>
      <w:bookmarkEnd w:id="45"/>
      <w:bookmarkStart w:id="46" w:name="_Toc184308060"/>
      <w:bookmarkEnd w:id="46"/>
      <w:bookmarkStart w:id="47" w:name="_Toc184314459"/>
      <w:bookmarkEnd w:id="47"/>
      <w:bookmarkStart w:id="48" w:name="_Toc184314464"/>
      <w:bookmarkEnd w:id="48"/>
      <w:bookmarkStart w:id="49" w:name="_Toc184308044"/>
      <w:bookmarkEnd w:id="49"/>
      <w:bookmarkStart w:id="50" w:name="_Toc184312096"/>
      <w:bookmarkEnd w:id="50"/>
      <w:bookmarkStart w:id="51" w:name="_Toc184312094"/>
      <w:bookmarkEnd w:id="51"/>
      <w:bookmarkStart w:id="52" w:name="_Toc184313277"/>
      <w:bookmarkEnd w:id="52"/>
      <w:bookmarkStart w:id="53" w:name="_Toc184308081"/>
      <w:bookmarkEnd w:id="53"/>
      <w:bookmarkStart w:id="54" w:name="_Toc184313297"/>
      <w:bookmarkEnd w:id="54"/>
      <w:bookmarkStart w:id="55" w:name="_Toc184308073"/>
      <w:bookmarkEnd w:id="55"/>
      <w:bookmarkStart w:id="56" w:name="_Toc184312089"/>
      <w:bookmarkEnd w:id="56"/>
      <w:bookmarkStart w:id="57" w:name="_Toc184308062"/>
      <w:bookmarkEnd w:id="57"/>
      <w:bookmarkStart w:id="58" w:name="_Toc184308072"/>
      <w:bookmarkEnd w:id="58"/>
      <w:bookmarkStart w:id="59" w:name="_Toc184308050"/>
      <w:bookmarkEnd w:id="59"/>
      <w:bookmarkStart w:id="60" w:name="_Toc184310335"/>
      <w:bookmarkEnd w:id="60"/>
      <w:bookmarkStart w:id="61" w:name="_Toc184310313"/>
      <w:bookmarkEnd w:id="61"/>
      <w:bookmarkStart w:id="62" w:name="_Toc184312111"/>
      <w:bookmarkEnd w:id="62"/>
      <w:bookmarkStart w:id="63" w:name="_Toc184314438"/>
      <w:bookmarkEnd w:id="63"/>
      <w:bookmarkStart w:id="64" w:name="_Toc184313275"/>
      <w:bookmarkEnd w:id="64"/>
      <w:bookmarkStart w:id="65" w:name="_Toc184313267"/>
      <w:bookmarkEnd w:id="65"/>
      <w:bookmarkStart w:id="66" w:name="_Toc184310278"/>
      <w:bookmarkEnd w:id="66"/>
      <w:bookmarkStart w:id="67" w:name="_Toc184308092"/>
      <w:bookmarkEnd w:id="67"/>
      <w:bookmarkStart w:id="68" w:name="_Toc184314423"/>
      <w:bookmarkEnd w:id="68"/>
      <w:bookmarkStart w:id="69" w:name="_Toc184310285"/>
      <w:bookmarkEnd w:id="69"/>
      <w:bookmarkStart w:id="70" w:name="_Toc184314478"/>
      <w:bookmarkEnd w:id="70"/>
      <w:bookmarkStart w:id="71" w:name="_Toc184314460"/>
      <w:bookmarkEnd w:id="71"/>
      <w:bookmarkStart w:id="72" w:name="_Toc184310302"/>
      <w:bookmarkEnd w:id="72"/>
      <w:bookmarkStart w:id="73" w:name="_Toc184314431"/>
      <w:bookmarkEnd w:id="73"/>
      <w:bookmarkStart w:id="74" w:name="_Toc184308106"/>
      <w:bookmarkEnd w:id="74"/>
      <w:bookmarkStart w:id="75" w:name="_Toc184310287"/>
      <w:bookmarkEnd w:id="75"/>
      <w:bookmarkStart w:id="76" w:name="_Toc184308097"/>
      <w:bookmarkEnd w:id="76"/>
      <w:bookmarkStart w:id="77" w:name="_Toc184312120"/>
      <w:bookmarkEnd w:id="77"/>
      <w:bookmarkStart w:id="78" w:name="_Toc184310325"/>
      <w:bookmarkEnd w:id="78"/>
      <w:bookmarkStart w:id="79" w:name="_Toc184313296"/>
      <w:bookmarkEnd w:id="79"/>
      <w:bookmarkStart w:id="80" w:name="_Toc184312106"/>
      <w:bookmarkEnd w:id="80"/>
      <w:bookmarkStart w:id="81" w:name="_Toc184310315"/>
      <w:bookmarkEnd w:id="81"/>
      <w:bookmarkStart w:id="82" w:name="_Toc184312117"/>
      <w:bookmarkEnd w:id="82"/>
      <w:bookmarkStart w:id="83" w:name="_Toc184312136"/>
      <w:bookmarkEnd w:id="83"/>
      <w:bookmarkStart w:id="84" w:name="_Toc184312092"/>
      <w:bookmarkEnd w:id="84"/>
      <w:bookmarkStart w:id="85" w:name="_Toc184313266"/>
      <w:bookmarkEnd w:id="85"/>
      <w:bookmarkStart w:id="86" w:name="_Toc184313251"/>
      <w:bookmarkEnd w:id="86"/>
      <w:bookmarkStart w:id="87" w:name="_Toc184308107"/>
      <w:bookmarkEnd w:id="87"/>
      <w:bookmarkStart w:id="88" w:name="_Toc184310320"/>
      <w:bookmarkEnd w:id="88"/>
      <w:bookmarkStart w:id="89" w:name="_Toc184310275"/>
      <w:bookmarkEnd w:id="89"/>
      <w:bookmarkStart w:id="90" w:name="_Toc184312133"/>
      <w:bookmarkEnd w:id="90"/>
      <w:bookmarkStart w:id="91" w:name="_Toc184310283"/>
      <w:bookmarkEnd w:id="91"/>
      <w:bookmarkStart w:id="92" w:name="_Toc184312107"/>
      <w:bookmarkEnd w:id="92"/>
      <w:bookmarkStart w:id="93" w:name="_Toc184312114"/>
      <w:bookmarkEnd w:id="93"/>
      <w:bookmarkStart w:id="94" w:name="_Toc184308048"/>
      <w:bookmarkEnd w:id="94"/>
      <w:bookmarkStart w:id="95" w:name="_Toc184313252"/>
      <w:bookmarkEnd w:id="95"/>
      <w:bookmarkStart w:id="96" w:name="_Toc184314481"/>
      <w:bookmarkEnd w:id="96"/>
      <w:bookmarkStart w:id="97" w:name="_Toc184308047"/>
      <w:bookmarkEnd w:id="97"/>
      <w:bookmarkStart w:id="98" w:name="_Toc184312113"/>
      <w:bookmarkEnd w:id="98"/>
      <w:bookmarkStart w:id="99" w:name="_Toc184313305"/>
      <w:bookmarkEnd w:id="99"/>
      <w:bookmarkStart w:id="100" w:name="_Toc184312084"/>
      <w:bookmarkEnd w:id="100"/>
      <w:bookmarkStart w:id="101" w:name="_Toc184314419"/>
      <w:bookmarkEnd w:id="101"/>
      <w:bookmarkStart w:id="102" w:name="_Toc184312109"/>
      <w:bookmarkEnd w:id="102"/>
      <w:bookmarkStart w:id="103" w:name="_Toc184313288"/>
      <w:bookmarkEnd w:id="103"/>
      <w:bookmarkStart w:id="104" w:name="_Toc184312070"/>
      <w:bookmarkEnd w:id="104"/>
      <w:bookmarkStart w:id="105" w:name="_Toc184312069"/>
      <w:bookmarkEnd w:id="105"/>
      <w:bookmarkStart w:id="106" w:name="_Toc184310297"/>
      <w:bookmarkEnd w:id="106"/>
      <w:bookmarkStart w:id="107" w:name="_Toc184314433"/>
      <w:bookmarkEnd w:id="107"/>
      <w:bookmarkStart w:id="108" w:name="_Toc184310342"/>
      <w:bookmarkEnd w:id="108"/>
      <w:bookmarkStart w:id="109" w:name="_Toc184314414"/>
      <w:bookmarkEnd w:id="109"/>
      <w:bookmarkStart w:id="110" w:name="_Toc184310310"/>
      <w:bookmarkEnd w:id="110"/>
      <w:bookmarkStart w:id="111" w:name="_Toc184310288"/>
      <w:bookmarkEnd w:id="111"/>
      <w:bookmarkStart w:id="112" w:name="_Toc184313265"/>
      <w:bookmarkEnd w:id="112"/>
      <w:bookmarkStart w:id="113" w:name="_Toc184312100"/>
      <w:bookmarkEnd w:id="113"/>
      <w:bookmarkStart w:id="114" w:name="_Toc184310298"/>
      <w:bookmarkEnd w:id="114"/>
      <w:bookmarkStart w:id="115" w:name="_Toc184310329"/>
      <w:bookmarkEnd w:id="115"/>
      <w:bookmarkStart w:id="116" w:name="_Toc184312122"/>
      <w:bookmarkEnd w:id="116"/>
      <w:bookmarkStart w:id="117" w:name="_Toc184308102"/>
      <w:bookmarkEnd w:id="117"/>
      <w:bookmarkStart w:id="118" w:name="_Toc184314441"/>
      <w:bookmarkEnd w:id="118"/>
      <w:bookmarkStart w:id="119" w:name="_Toc184312098"/>
      <w:bookmarkEnd w:id="119"/>
      <w:bookmarkStart w:id="120" w:name="_Toc184312102"/>
      <w:bookmarkEnd w:id="120"/>
      <w:bookmarkStart w:id="121" w:name="_Toc184308083"/>
      <w:bookmarkEnd w:id="121"/>
      <w:bookmarkStart w:id="122" w:name="_Toc184313256"/>
      <w:bookmarkEnd w:id="122"/>
      <w:bookmarkStart w:id="123" w:name="_Toc184313244"/>
      <w:bookmarkEnd w:id="123"/>
      <w:bookmarkStart w:id="124" w:name="_Toc184314427"/>
      <w:bookmarkEnd w:id="124"/>
      <w:bookmarkStart w:id="125" w:name="_Toc184314458"/>
      <w:bookmarkEnd w:id="125"/>
      <w:bookmarkStart w:id="126" w:name="_Toc184308093"/>
      <w:bookmarkEnd w:id="126"/>
      <w:bookmarkStart w:id="127" w:name="_Toc184310332"/>
      <w:bookmarkEnd w:id="127"/>
      <w:bookmarkStart w:id="128" w:name="_Toc184314473"/>
      <w:bookmarkEnd w:id="128"/>
      <w:bookmarkStart w:id="129" w:name="_Toc184308101"/>
      <w:bookmarkEnd w:id="129"/>
      <w:bookmarkStart w:id="130" w:name="_Toc184308089"/>
      <w:bookmarkEnd w:id="130"/>
      <w:bookmarkStart w:id="131" w:name="_Toc184312137"/>
      <w:bookmarkEnd w:id="131"/>
      <w:bookmarkStart w:id="132" w:name="_Toc184313242"/>
      <w:bookmarkEnd w:id="132"/>
      <w:bookmarkStart w:id="133" w:name="_Toc184308052"/>
      <w:bookmarkEnd w:id="133"/>
      <w:bookmarkStart w:id="134" w:name="_Toc184310311"/>
      <w:bookmarkEnd w:id="134"/>
      <w:bookmarkStart w:id="135" w:name="_Toc184313248"/>
      <w:bookmarkEnd w:id="135"/>
      <w:bookmarkStart w:id="136" w:name="_Toc184313272"/>
      <w:bookmarkEnd w:id="136"/>
      <w:bookmarkStart w:id="137" w:name="_Toc184310321"/>
      <w:bookmarkEnd w:id="137"/>
      <w:bookmarkStart w:id="138" w:name="_Toc184312087"/>
      <w:bookmarkEnd w:id="138"/>
      <w:bookmarkStart w:id="139" w:name="_Toc184308105"/>
      <w:bookmarkEnd w:id="139"/>
      <w:bookmarkStart w:id="140" w:name="_Toc184310327"/>
      <w:bookmarkEnd w:id="140"/>
      <w:bookmarkStart w:id="141" w:name="_Toc184314415"/>
      <w:bookmarkEnd w:id="141"/>
      <w:bookmarkStart w:id="142" w:name="_Toc184310334"/>
      <w:bookmarkEnd w:id="142"/>
      <w:bookmarkStart w:id="143" w:name="_Toc184312091"/>
      <w:bookmarkEnd w:id="143"/>
      <w:bookmarkStart w:id="144" w:name="_Toc184310322"/>
      <w:bookmarkEnd w:id="144"/>
      <w:bookmarkStart w:id="145" w:name="_Toc184308104"/>
      <w:bookmarkEnd w:id="145"/>
      <w:bookmarkStart w:id="146" w:name="_Toc184313302"/>
      <w:bookmarkEnd w:id="146"/>
      <w:bookmarkStart w:id="147" w:name="_Toc184314479"/>
      <w:bookmarkEnd w:id="147"/>
      <w:bookmarkStart w:id="148" w:name="_Toc184310343"/>
      <w:bookmarkEnd w:id="148"/>
      <w:bookmarkStart w:id="149" w:name="_Toc184312125"/>
      <w:bookmarkEnd w:id="149"/>
      <w:bookmarkStart w:id="150" w:name="_Toc184312139"/>
      <w:bookmarkEnd w:id="150"/>
      <w:bookmarkStart w:id="151" w:name="_Toc184313290"/>
      <w:bookmarkEnd w:id="151"/>
      <w:bookmarkStart w:id="152" w:name="_Toc184313287"/>
      <w:bookmarkEnd w:id="152"/>
      <w:bookmarkStart w:id="153" w:name="_Toc184313308"/>
      <w:bookmarkEnd w:id="153"/>
      <w:bookmarkStart w:id="154" w:name="_Toc184314450"/>
      <w:bookmarkEnd w:id="154"/>
      <w:bookmarkStart w:id="155" w:name="_Toc184312077"/>
      <w:bookmarkEnd w:id="155"/>
      <w:bookmarkStart w:id="156" w:name="_Toc184310286"/>
      <w:bookmarkEnd w:id="156"/>
      <w:bookmarkStart w:id="157" w:name="_Toc184314447"/>
      <w:bookmarkEnd w:id="157"/>
      <w:bookmarkStart w:id="158" w:name="_Toc184314439"/>
      <w:bookmarkEnd w:id="158"/>
      <w:bookmarkStart w:id="159" w:name="_Toc184313270"/>
      <w:bookmarkEnd w:id="159"/>
      <w:bookmarkStart w:id="160" w:name="_Toc184310326"/>
      <w:bookmarkEnd w:id="160"/>
      <w:bookmarkStart w:id="161" w:name="_Toc184310294"/>
      <w:bookmarkEnd w:id="161"/>
      <w:bookmarkStart w:id="162" w:name="_Toc184308037"/>
      <w:bookmarkEnd w:id="162"/>
      <w:bookmarkStart w:id="163" w:name="_Toc184312076"/>
      <w:bookmarkEnd w:id="163"/>
      <w:bookmarkStart w:id="164" w:name="_Toc184313273"/>
      <w:bookmarkEnd w:id="164"/>
      <w:bookmarkStart w:id="165" w:name="_Toc184310308"/>
      <w:bookmarkEnd w:id="165"/>
      <w:bookmarkStart w:id="166" w:name="_Toc184310330"/>
      <w:bookmarkEnd w:id="166"/>
      <w:bookmarkStart w:id="167" w:name="_Toc184308065"/>
      <w:bookmarkEnd w:id="167"/>
      <w:bookmarkStart w:id="168" w:name="_Toc184314411"/>
      <w:bookmarkEnd w:id="168"/>
      <w:bookmarkStart w:id="169" w:name="_Toc184312116"/>
      <w:bookmarkEnd w:id="169"/>
      <w:bookmarkStart w:id="170" w:name="_Toc184308070"/>
      <w:bookmarkEnd w:id="170"/>
      <w:bookmarkStart w:id="171" w:name="_Toc184312121"/>
      <w:bookmarkEnd w:id="171"/>
      <w:bookmarkStart w:id="172" w:name="_Toc184312118"/>
      <w:bookmarkEnd w:id="172"/>
      <w:bookmarkStart w:id="173" w:name="_Toc184313261"/>
      <w:bookmarkEnd w:id="173"/>
      <w:bookmarkStart w:id="174" w:name="_Toc184313284"/>
      <w:bookmarkEnd w:id="174"/>
      <w:bookmarkStart w:id="175" w:name="_Toc184308078"/>
      <w:bookmarkEnd w:id="175"/>
      <w:bookmarkStart w:id="176" w:name="_Toc184313299"/>
      <w:bookmarkEnd w:id="176"/>
      <w:bookmarkStart w:id="177" w:name="_Toc184308080"/>
      <w:bookmarkEnd w:id="177"/>
      <w:bookmarkStart w:id="178" w:name="_Toc184308038"/>
      <w:bookmarkEnd w:id="178"/>
      <w:bookmarkStart w:id="179" w:name="_Toc184314470"/>
      <w:bookmarkEnd w:id="179"/>
      <w:bookmarkStart w:id="180" w:name="_Toc184310324"/>
      <w:bookmarkEnd w:id="180"/>
      <w:bookmarkStart w:id="181" w:name="_Toc184313259"/>
      <w:bookmarkEnd w:id="181"/>
      <w:bookmarkStart w:id="182" w:name="_Toc184308057"/>
      <w:bookmarkEnd w:id="182"/>
      <w:bookmarkStart w:id="183" w:name="_Toc184312093"/>
      <w:bookmarkEnd w:id="183"/>
      <w:bookmarkStart w:id="184" w:name="_Toc184312090"/>
      <w:bookmarkEnd w:id="184"/>
      <w:bookmarkStart w:id="185" w:name="_Toc184308076"/>
      <w:bookmarkEnd w:id="185"/>
      <w:bookmarkStart w:id="186" w:name="_Toc184314444"/>
      <w:bookmarkEnd w:id="186"/>
      <w:bookmarkStart w:id="187" w:name="_Toc184314477"/>
      <w:bookmarkEnd w:id="187"/>
      <w:bookmarkStart w:id="188" w:name="_Toc184313268"/>
      <w:bookmarkEnd w:id="188"/>
      <w:bookmarkStart w:id="189" w:name="_Toc184310276"/>
      <w:bookmarkEnd w:id="189"/>
      <w:bookmarkStart w:id="190" w:name="_Toc184314462"/>
      <w:bookmarkEnd w:id="190"/>
      <w:bookmarkStart w:id="191" w:name="_Toc184313286"/>
      <w:bookmarkEnd w:id="191"/>
      <w:bookmarkStart w:id="192" w:name="_Toc184313263"/>
      <w:bookmarkEnd w:id="192"/>
      <w:bookmarkStart w:id="193" w:name="_Toc184308066"/>
      <w:bookmarkEnd w:id="193"/>
      <w:bookmarkStart w:id="194" w:name="_Toc184312131"/>
      <w:bookmarkEnd w:id="194"/>
      <w:bookmarkStart w:id="195" w:name="_Toc184313291"/>
      <w:bookmarkEnd w:id="195"/>
      <w:bookmarkStart w:id="196" w:name="_Toc184313289"/>
      <w:bookmarkEnd w:id="196"/>
      <w:bookmarkStart w:id="197" w:name="_Toc184313285"/>
      <w:bookmarkEnd w:id="197"/>
      <w:bookmarkStart w:id="198" w:name="_Toc184310344"/>
      <w:bookmarkEnd w:id="198"/>
      <w:bookmarkStart w:id="199" w:name="_Toc184312127"/>
      <w:bookmarkEnd w:id="199"/>
      <w:bookmarkStart w:id="200" w:name="_Toc184312099"/>
      <w:bookmarkEnd w:id="200"/>
      <w:bookmarkStart w:id="201" w:name="_Toc184310333"/>
      <w:bookmarkEnd w:id="201"/>
      <w:bookmarkStart w:id="202" w:name="_Toc184313271"/>
      <w:bookmarkEnd w:id="202"/>
      <w:bookmarkStart w:id="203" w:name="_Toc184310341"/>
      <w:bookmarkEnd w:id="203"/>
      <w:bookmarkStart w:id="204" w:name="_Toc184310316"/>
      <w:bookmarkEnd w:id="204"/>
      <w:bookmarkStart w:id="205" w:name="_Toc184312085"/>
      <w:bookmarkEnd w:id="205"/>
      <w:bookmarkStart w:id="206" w:name="_Toc184308061"/>
      <w:bookmarkEnd w:id="206"/>
      <w:bookmarkStart w:id="207" w:name="_Toc184310272"/>
      <w:bookmarkEnd w:id="207"/>
      <w:bookmarkStart w:id="208" w:name="_Toc184313243"/>
      <w:bookmarkEnd w:id="208"/>
      <w:bookmarkStart w:id="209" w:name="_Toc184308064"/>
      <w:bookmarkEnd w:id="209"/>
      <w:bookmarkStart w:id="210" w:name="_Toc184308082"/>
      <w:bookmarkEnd w:id="210"/>
      <w:bookmarkStart w:id="211" w:name="_Toc184313306"/>
      <w:bookmarkEnd w:id="211"/>
      <w:bookmarkStart w:id="212" w:name="_Toc184312079"/>
      <w:bookmarkEnd w:id="212"/>
      <w:bookmarkStart w:id="213" w:name="_Toc184314468"/>
      <w:bookmarkEnd w:id="213"/>
      <w:bookmarkStart w:id="214" w:name="_Toc184308096"/>
      <w:bookmarkEnd w:id="214"/>
      <w:bookmarkStart w:id="215" w:name="_Toc184314476"/>
      <w:bookmarkEnd w:id="215"/>
      <w:bookmarkStart w:id="216" w:name="_Toc184314436"/>
      <w:bookmarkEnd w:id="216"/>
      <w:bookmarkStart w:id="217" w:name="_Toc184308041"/>
      <w:bookmarkEnd w:id="217"/>
      <w:bookmarkStart w:id="218" w:name="_Toc184310299"/>
      <w:bookmarkEnd w:id="218"/>
      <w:bookmarkStart w:id="219" w:name="_Toc184314449"/>
      <w:bookmarkEnd w:id="219"/>
      <w:bookmarkStart w:id="220" w:name="_Toc184310331"/>
      <w:bookmarkEnd w:id="220"/>
      <w:bookmarkStart w:id="221" w:name="_Toc184310337"/>
      <w:bookmarkEnd w:id="221"/>
      <w:bookmarkStart w:id="222" w:name="_Toc184308090"/>
      <w:bookmarkEnd w:id="222"/>
      <w:bookmarkStart w:id="223" w:name="_Toc184314430"/>
      <w:bookmarkEnd w:id="223"/>
      <w:bookmarkStart w:id="224" w:name="_Toc184314452"/>
      <w:bookmarkEnd w:id="224"/>
      <w:bookmarkStart w:id="225" w:name="_Toc184313262"/>
      <w:bookmarkEnd w:id="225"/>
      <w:bookmarkStart w:id="226" w:name="_Toc184314422"/>
      <w:bookmarkEnd w:id="226"/>
      <w:bookmarkStart w:id="227" w:name="_Toc184313276"/>
      <w:bookmarkEnd w:id="227"/>
      <w:bookmarkStart w:id="228" w:name="_Toc184314416"/>
      <w:bookmarkEnd w:id="228"/>
      <w:bookmarkStart w:id="229" w:name="_Toc184313300"/>
      <w:bookmarkEnd w:id="229"/>
      <w:bookmarkStart w:id="230" w:name="_Toc184314442"/>
      <w:bookmarkEnd w:id="230"/>
      <w:bookmarkStart w:id="231" w:name="_Toc184310314"/>
      <w:bookmarkEnd w:id="231"/>
      <w:bookmarkStart w:id="232" w:name="_Toc184312068"/>
      <w:bookmarkEnd w:id="232"/>
      <w:bookmarkStart w:id="233" w:name="_Toc184313257"/>
      <w:bookmarkEnd w:id="233"/>
      <w:bookmarkStart w:id="234" w:name="_Toc184310273"/>
      <w:bookmarkEnd w:id="234"/>
      <w:bookmarkStart w:id="235" w:name="_Toc184314474"/>
      <w:bookmarkEnd w:id="235"/>
      <w:bookmarkStart w:id="236" w:name="_Toc184312074"/>
      <w:bookmarkEnd w:id="236"/>
      <w:bookmarkStart w:id="237" w:name="_Toc184310312"/>
      <w:bookmarkEnd w:id="237"/>
      <w:bookmarkStart w:id="238" w:name="_Toc184314413"/>
      <w:bookmarkEnd w:id="238"/>
      <w:bookmarkStart w:id="239" w:name="_Toc184313282"/>
      <w:bookmarkEnd w:id="239"/>
      <w:bookmarkStart w:id="240" w:name="_Toc184310274"/>
      <w:bookmarkEnd w:id="240"/>
      <w:bookmarkStart w:id="241" w:name="_Toc184313279"/>
      <w:bookmarkEnd w:id="241"/>
      <w:bookmarkStart w:id="242" w:name="_Toc184314425"/>
      <w:bookmarkEnd w:id="242"/>
      <w:bookmarkStart w:id="243" w:name="_Toc184310277"/>
      <w:bookmarkEnd w:id="243"/>
      <w:bookmarkStart w:id="244" w:name="_Toc184308053"/>
      <w:bookmarkEnd w:id="244"/>
      <w:bookmarkStart w:id="245" w:name="_Toc184310301"/>
      <w:bookmarkEnd w:id="245"/>
      <w:bookmarkStart w:id="246" w:name="_Toc184312135"/>
      <w:bookmarkEnd w:id="246"/>
      <w:bookmarkStart w:id="247" w:name="_Toc184313292"/>
      <w:bookmarkEnd w:id="247"/>
      <w:bookmarkStart w:id="248" w:name="_Toc184308063"/>
      <w:bookmarkEnd w:id="248"/>
      <w:bookmarkStart w:id="249" w:name="_Toc184308108"/>
      <w:bookmarkEnd w:id="249"/>
      <w:bookmarkStart w:id="250" w:name="_Toc184312138"/>
      <w:bookmarkEnd w:id="250"/>
      <w:bookmarkStart w:id="251" w:name="_Toc184310282"/>
      <w:bookmarkEnd w:id="251"/>
      <w:bookmarkStart w:id="252" w:name="_Toc184308051"/>
      <w:bookmarkEnd w:id="252"/>
      <w:bookmarkStart w:id="253" w:name="_Toc184313258"/>
      <w:bookmarkEnd w:id="253"/>
      <w:bookmarkStart w:id="254" w:name="_Toc184313309"/>
      <w:bookmarkEnd w:id="254"/>
      <w:bookmarkStart w:id="255" w:name="_Toc184310280"/>
      <w:bookmarkEnd w:id="255"/>
      <w:bookmarkStart w:id="256" w:name="_Toc184310303"/>
      <w:bookmarkEnd w:id="256"/>
      <w:bookmarkStart w:id="257" w:name="_Toc184313253"/>
      <w:bookmarkEnd w:id="257"/>
      <w:bookmarkStart w:id="258" w:name="_Toc184313260"/>
      <w:bookmarkEnd w:id="258"/>
      <w:bookmarkStart w:id="259" w:name="_Toc184312119"/>
      <w:bookmarkEnd w:id="259"/>
      <w:bookmarkStart w:id="260" w:name="_Toc184312081"/>
      <w:bookmarkEnd w:id="260"/>
      <w:bookmarkStart w:id="261" w:name="_Toc184314432"/>
      <w:bookmarkEnd w:id="261"/>
      <w:bookmarkStart w:id="262" w:name="_Toc184314454"/>
      <w:bookmarkEnd w:id="262"/>
      <w:bookmarkStart w:id="263" w:name="_Toc184313283"/>
      <w:bookmarkEnd w:id="263"/>
      <w:bookmarkStart w:id="264" w:name="_Toc184312078"/>
      <w:bookmarkEnd w:id="264"/>
      <w:bookmarkStart w:id="265" w:name="_Toc184312083"/>
      <w:bookmarkEnd w:id="265"/>
      <w:bookmarkStart w:id="266" w:name="_Toc184314482"/>
      <w:bookmarkEnd w:id="266"/>
      <w:bookmarkStart w:id="267" w:name="_Toc184308056"/>
      <w:bookmarkEnd w:id="267"/>
      <w:bookmarkStart w:id="268" w:name="_Toc184312134"/>
      <w:bookmarkEnd w:id="268"/>
      <w:bookmarkStart w:id="269" w:name="_Toc184308084"/>
      <w:bookmarkEnd w:id="269"/>
      <w:bookmarkStart w:id="270" w:name="_Toc184312073"/>
      <w:bookmarkEnd w:id="270"/>
      <w:bookmarkStart w:id="271" w:name="_Toc184308094"/>
      <w:bookmarkEnd w:id="271"/>
      <w:bookmarkStart w:id="272" w:name="_Toc184312071"/>
      <w:bookmarkEnd w:id="272"/>
      <w:bookmarkStart w:id="273" w:name="_Toc184308036"/>
      <w:bookmarkEnd w:id="273"/>
      <w:bookmarkStart w:id="274" w:name="_Toc184312108"/>
      <w:bookmarkEnd w:id="274"/>
      <w:bookmarkStart w:id="275" w:name="_Toc184310338"/>
      <w:bookmarkEnd w:id="275"/>
      <w:bookmarkStart w:id="276" w:name="_Toc184308088"/>
      <w:bookmarkEnd w:id="276"/>
      <w:bookmarkStart w:id="277" w:name="_Toc184314420"/>
      <w:bookmarkEnd w:id="277"/>
      <w:bookmarkStart w:id="278" w:name="_Toc184310300"/>
      <w:bookmarkEnd w:id="278"/>
      <w:bookmarkStart w:id="279" w:name="_Toc184312124"/>
      <w:bookmarkEnd w:id="279"/>
      <w:bookmarkStart w:id="280" w:name="_Toc184308040"/>
      <w:bookmarkEnd w:id="280"/>
      <w:bookmarkStart w:id="281" w:name="_Toc184308043"/>
      <w:bookmarkEnd w:id="281"/>
      <w:bookmarkStart w:id="282" w:name="_Toc184314467"/>
      <w:bookmarkEnd w:id="282"/>
      <w:bookmarkStart w:id="283" w:name="_Toc184313269"/>
      <w:bookmarkEnd w:id="283"/>
      <w:bookmarkStart w:id="284" w:name="_Toc184313310"/>
      <w:bookmarkEnd w:id="284"/>
      <w:bookmarkStart w:id="285" w:name="_Toc184308071"/>
      <w:bookmarkEnd w:id="285"/>
      <w:bookmarkStart w:id="286" w:name="_Toc184312112"/>
      <w:bookmarkEnd w:id="286"/>
      <w:bookmarkStart w:id="287" w:name="_Toc184314448"/>
      <w:bookmarkEnd w:id="287"/>
      <w:bookmarkStart w:id="288" w:name="_Toc184308099"/>
      <w:bookmarkEnd w:id="288"/>
      <w:bookmarkStart w:id="289" w:name="_Toc184310339"/>
      <w:bookmarkEnd w:id="289"/>
      <w:bookmarkStart w:id="290" w:name="_Toc184313249"/>
      <w:bookmarkEnd w:id="290"/>
      <w:bookmarkStart w:id="291" w:name="_Toc184314480"/>
      <w:bookmarkEnd w:id="291"/>
      <w:bookmarkStart w:id="292" w:name="_Toc184314451"/>
      <w:bookmarkEnd w:id="292"/>
      <w:bookmarkStart w:id="293" w:name="_Toc184308059"/>
      <w:bookmarkEnd w:id="293"/>
      <w:bookmarkStart w:id="294" w:name="_Toc184314434"/>
      <w:bookmarkEnd w:id="294"/>
      <w:bookmarkStart w:id="295" w:name="_Toc184312075"/>
      <w:bookmarkEnd w:id="295"/>
      <w:bookmarkStart w:id="296" w:name="_Toc184312123"/>
      <w:bookmarkEnd w:id="296"/>
      <w:bookmarkStart w:id="297" w:name="_Toc184308087"/>
      <w:bookmarkEnd w:id="297"/>
      <w:bookmarkStart w:id="298" w:name="_Toc184310323"/>
      <w:bookmarkEnd w:id="298"/>
      <w:bookmarkStart w:id="299" w:name="_Toc184310340"/>
      <w:bookmarkEnd w:id="299"/>
      <w:bookmarkStart w:id="300" w:name="_Toc184310317"/>
      <w:bookmarkEnd w:id="300"/>
      <w:bookmarkStart w:id="301" w:name="_Toc184314475"/>
      <w:bookmarkEnd w:id="301"/>
      <w:bookmarkStart w:id="302" w:name="_Toc184313239"/>
      <w:bookmarkEnd w:id="302"/>
      <w:bookmarkStart w:id="303" w:name="_Toc184314421"/>
      <w:bookmarkEnd w:id="303"/>
      <w:bookmarkStart w:id="304" w:name="_Toc184308095"/>
      <w:bookmarkEnd w:id="304"/>
      <w:bookmarkStart w:id="305" w:name="_Toc184313280"/>
      <w:bookmarkEnd w:id="305"/>
      <w:bookmarkStart w:id="306" w:name="_Toc184310279"/>
      <w:bookmarkEnd w:id="306"/>
      <w:bookmarkStart w:id="307" w:name="_Toc184313301"/>
      <w:bookmarkEnd w:id="307"/>
      <w:bookmarkStart w:id="308" w:name="_Toc184314440"/>
      <w:bookmarkEnd w:id="308"/>
      <w:bookmarkStart w:id="309" w:name="_Toc184312130"/>
      <w:bookmarkEnd w:id="309"/>
      <w:bookmarkStart w:id="310" w:name="_Toc184312128"/>
      <w:bookmarkEnd w:id="310"/>
      <w:bookmarkStart w:id="311" w:name="_Toc184314466"/>
      <w:bookmarkEnd w:id="311"/>
      <w:bookmarkStart w:id="312" w:name="_Toc184313295"/>
      <w:bookmarkEnd w:id="312"/>
      <w:bookmarkStart w:id="313" w:name="_Toc184313278"/>
      <w:bookmarkEnd w:id="313"/>
      <w:bookmarkStart w:id="314" w:name="_Toc184314410"/>
      <w:bookmarkEnd w:id="314"/>
      <w:bookmarkStart w:id="315" w:name="_Toc184308055"/>
      <w:bookmarkEnd w:id="315"/>
      <w:bookmarkStart w:id="316" w:name="_Toc184314461"/>
      <w:bookmarkEnd w:id="316"/>
      <w:bookmarkStart w:id="317" w:name="_Toc184308085"/>
      <w:bookmarkEnd w:id="317"/>
      <w:bookmarkStart w:id="318" w:name="_Toc184308068"/>
      <w:bookmarkEnd w:id="318"/>
      <w:bookmarkStart w:id="319" w:name="_Toc184310296"/>
      <w:bookmarkEnd w:id="319"/>
      <w:bookmarkStart w:id="320" w:name="_Toc184310289"/>
      <w:bookmarkEnd w:id="320"/>
      <w:bookmarkStart w:id="321" w:name="_Toc184312082"/>
      <w:bookmarkEnd w:id="321"/>
      <w:bookmarkStart w:id="322" w:name="_Toc184314426"/>
      <w:bookmarkEnd w:id="322"/>
      <w:bookmarkStart w:id="323" w:name="_Toc184310295"/>
      <w:bookmarkEnd w:id="323"/>
      <w:bookmarkStart w:id="324" w:name="_Toc184314424"/>
      <w:bookmarkEnd w:id="324"/>
      <w:bookmarkStart w:id="325" w:name="_Toc184308086"/>
      <w:bookmarkEnd w:id="325"/>
      <w:bookmarkStart w:id="326" w:name="_Toc184310309"/>
      <w:bookmarkEnd w:id="326"/>
      <w:bookmarkStart w:id="327" w:name="_Toc184310304"/>
      <w:bookmarkEnd w:id="327"/>
      <w:bookmarkStart w:id="328" w:name="_Toc184308098"/>
      <w:bookmarkEnd w:id="328"/>
      <w:bookmarkStart w:id="329" w:name="_Toc184308058"/>
      <w:bookmarkEnd w:id="329"/>
      <w:bookmarkStart w:id="330" w:name="_Toc184312105"/>
      <w:bookmarkEnd w:id="330"/>
      <w:bookmarkStart w:id="331" w:name="_Toc184313245"/>
      <w:bookmarkEnd w:id="331"/>
      <w:bookmarkStart w:id="332" w:name="_Toc184312097"/>
      <w:bookmarkEnd w:id="332"/>
      <w:bookmarkStart w:id="333" w:name="_Toc184313246"/>
      <w:bookmarkEnd w:id="333"/>
      <w:bookmarkStart w:id="334" w:name="_Toc184310328"/>
      <w:bookmarkEnd w:id="334"/>
      <w:bookmarkStart w:id="335" w:name="_Toc184313304"/>
      <w:bookmarkEnd w:id="335"/>
      <w:bookmarkStart w:id="336" w:name="_Toc184310305"/>
      <w:bookmarkEnd w:id="336"/>
      <w:bookmarkStart w:id="337" w:name="_Toc184312126"/>
      <w:bookmarkEnd w:id="337"/>
      <w:bookmarkStart w:id="338" w:name="_Toc184312080"/>
      <w:bookmarkEnd w:id="338"/>
      <w:bookmarkStart w:id="339" w:name="_Toc184308100"/>
      <w:bookmarkEnd w:id="339"/>
      <w:bookmarkStart w:id="340" w:name="_Toc184313307"/>
      <w:bookmarkEnd w:id="340"/>
      <w:bookmarkStart w:id="341" w:name="_Toc184310284"/>
      <w:bookmarkEnd w:id="341"/>
      <w:bookmarkStart w:id="342" w:name="_Toc184314456"/>
      <w:bookmarkEnd w:id="342"/>
      <w:bookmarkStart w:id="343" w:name="_Toc184308079"/>
      <w:bookmarkEnd w:id="343"/>
      <w:bookmarkStart w:id="344" w:name="_Toc184310307"/>
      <w:bookmarkEnd w:id="344"/>
      <w:bookmarkStart w:id="345" w:name="_Toc184312095"/>
      <w:bookmarkEnd w:id="345"/>
      <w:bookmarkStart w:id="346" w:name="_Toc184314435"/>
      <w:bookmarkEnd w:id="346"/>
      <w:bookmarkStart w:id="347" w:name="_Toc184313241"/>
      <w:bookmarkEnd w:id="347"/>
      <w:bookmarkStart w:id="348" w:name="_Toc184313303"/>
      <w:bookmarkEnd w:id="348"/>
      <w:bookmarkStart w:id="349" w:name="_Toc184308046"/>
      <w:bookmarkEnd w:id="349"/>
      <w:bookmarkStart w:id="350" w:name="_Toc184310318"/>
      <w:bookmarkEnd w:id="350"/>
      <w:bookmarkStart w:id="351" w:name="_Toc184314446"/>
      <w:bookmarkEnd w:id="351"/>
      <w:bookmarkStart w:id="352" w:name="_Toc184308091"/>
      <w:bookmarkEnd w:id="352"/>
      <w:bookmarkStart w:id="353" w:name="_Toc184308039"/>
      <w:bookmarkEnd w:id="353"/>
      <w:bookmarkStart w:id="354" w:name="_Toc184310281"/>
      <w:bookmarkEnd w:id="354"/>
      <w:bookmarkStart w:id="355" w:name="_Toc184314469"/>
      <w:bookmarkEnd w:id="355"/>
      <w:bookmarkStart w:id="356" w:name="_Toc184312129"/>
      <w:bookmarkEnd w:id="356"/>
      <w:bookmarkStart w:id="357" w:name="_Toc184310319"/>
      <w:bookmarkEnd w:id="357"/>
      <w:bookmarkStart w:id="358" w:name="_Toc184314465"/>
      <w:bookmarkEnd w:id="358"/>
      <w:bookmarkStart w:id="359" w:name="_Toc184313264"/>
      <w:bookmarkEnd w:id="359"/>
      <w:bookmarkStart w:id="360" w:name="_Toc184314455"/>
      <w:bookmarkEnd w:id="360"/>
      <w:bookmarkStart w:id="361" w:name="_Toc184312110"/>
      <w:bookmarkEnd w:id="361"/>
      <w:bookmarkStart w:id="362" w:name="_Toc184310306"/>
      <w:bookmarkEnd w:id="362"/>
      <w:bookmarkStart w:id="363" w:name="_Toc184312101"/>
      <w:bookmarkEnd w:id="363"/>
      <w:bookmarkStart w:id="364" w:name="_Toc184314437"/>
      <w:bookmarkEnd w:id="364"/>
      <w:bookmarkStart w:id="365" w:name="_Toc184312067"/>
      <w:bookmarkEnd w:id="365"/>
      <w:bookmarkStart w:id="366" w:name="_Toc184308042"/>
      <w:bookmarkEnd w:id="366"/>
      <w:bookmarkStart w:id="367" w:name="_Toc184313281"/>
      <w:bookmarkEnd w:id="367"/>
      <w:bookmarkStart w:id="368" w:name="_Toc184313238"/>
      <w:bookmarkEnd w:id="368"/>
      <w:bookmarkStart w:id="369" w:name="_Toc184313240"/>
      <w:bookmarkEnd w:id="369"/>
      <w:bookmarkStart w:id="370" w:name="_Toc184310291"/>
      <w:bookmarkEnd w:id="370"/>
      <w:bookmarkStart w:id="371" w:name="_Toc184313250"/>
      <w:bookmarkEnd w:id="371"/>
      <w:bookmarkStart w:id="372" w:name="_Toc184313255"/>
      <w:bookmarkEnd w:id="372"/>
      <w:bookmarkStart w:id="373" w:name="_Toc184308045"/>
      <w:bookmarkEnd w:id="373"/>
      <w:bookmarkStart w:id="374" w:name="_Toc184308077"/>
      <w:bookmarkEnd w:id="374"/>
      <w:bookmarkStart w:id="375" w:name="_Toc184310290"/>
      <w:bookmarkEnd w:id="375"/>
      <w:bookmarkStart w:id="376" w:name="_Toc184314412"/>
      <w:bookmarkEnd w:id="376"/>
      <w:bookmarkStart w:id="377" w:name="_Toc184314453"/>
      <w:bookmarkEnd w:id="377"/>
      <w:bookmarkStart w:id="378" w:name="_Toc184308074"/>
      <w:bookmarkEnd w:id="378"/>
      <w:bookmarkStart w:id="379" w:name="_Toc184314429"/>
      <w:bookmarkEnd w:id="379"/>
      <w:bookmarkStart w:id="380" w:name="_Toc184310336"/>
      <w:bookmarkEnd w:id="380"/>
      <w:bookmarkStart w:id="381" w:name="_Toc184313298"/>
      <w:bookmarkEnd w:id="381"/>
      <w:bookmarkStart w:id="382" w:name="_Toc184313274"/>
      <w:bookmarkEnd w:id="382"/>
      <w:bookmarkStart w:id="383" w:name="_Toc184314472"/>
      <w:bookmarkEnd w:id="383"/>
      <w:bookmarkStart w:id="384" w:name="_Toc184310293"/>
      <w:bookmarkEnd w:id="384"/>
      <w:bookmarkStart w:id="385" w:name="_Toc184314457"/>
      <w:bookmarkEnd w:id="385"/>
      <w:bookmarkStart w:id="386" w:name="_Toc184314445"/>
      <w:bookmarkEnd w:id="386"/>
      <w:bookmarkStart w:id="387" w:name="_Toc184312115"/>
      <w:bookmarkEnd w:id="387"/>
      <w:bookmarkStart w:id="388" w:name="_Toc184308069"/>
      <w:bookmarkEnd w:id="388"/>
      <w:bookmarkStart w:id="389" w:name="_Toc184308103"/>
      <w:bookmarkEnd w:id="389"/>
      <w:bookmarkStart w:id="390" w:name="_Toc184313294"/>
      <w:bookmarkEnd w:id="390"/>
      <w:bookmarkStart w:id="391" w:name="_Toc184310292"/>
      <w:bookmarkEnd w:id="391"/>
      <w:bookmarkStart w:id="392" w:name="_Toc184313247"/>
      <w:bookmarkEnd w:id="392"/>
      <w:bookmarkStart w:id="393" w:name="_Toc184308054"/>
      <w:bookmarkEnd w:id="393"/>
      <w:r>
        <w:rPr>
          <w:rFonts w:hint="eastAsia" w:ascii="宋体" w:hAnsi="宋体" w:cs="宋体"/>
          <w:b/>
          <w:color w:val="auto"/>
          <w:sz w:val="36"/>
          <w:szCs w:val="36"/>
          <w:highlight w:val="none"/>
        </w:rPr>
        <w:t>评标办法</w:t>
      </w:r>
    </w:p>
    <w:p w14:paraId="4B4392B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4"/>
        <w:tblW w:w="55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085"/>
        <w:gridCol w:w="6140"/>
        <w:gridCol w:w="626"/>
        <w:gridCol w:w="746"/>
      </w:tblGrid>
      <w:tr w14:paraId="6D6A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0" w:type="pct"/>
            <w:vAlign w:val="center"/>
          </w:tcPr>
          <w:p w14:paraId="5FE95D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3856" w:type="pct"/>
            <w:gridSpan w:val="2"/>
            <w:vAlign w:val="center"/>
          </w:tcPr>
          <w:p w14:paraId="4528E4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评分内容及标准</w:t>
            </w:r>
          </w:p>
        </w:tc>
        <w:tc>
          <w:tcPr>
            <w:tcW w:w="334" w:type="pct"/>
            <w:vAlign w:val="center"/>
          </w:tcPr>
          <w:p w14:paraId="6A1D9D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398" w:type="pct"/>
            <w:vAlign w:val="center"/>
          </w:tcPr>
          <w:p w14:paraId="44726C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r>
      <w:tr w14:paraId="7133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10" w:type="pct"/>
            <w:vMerge w:val="restart"/>
            <w:vAlign w:val="center"/>
          </w:tcPr>
          <w:p w14:paraId="2AB090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技术分商务</w:t>
            </w:r>
          </w:p>
          <w:p w14:paraId="259EA9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579" w:type="pct"/>
            <w:vMerge w:val="restart"/>
            <w:vAlign w:val="center"/>
          </w:tcPr>
          <w:p w14:paraId="7855EEF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spacing w:val="-3"/>
              </w:rPr>
              <w:t>服务方案</w:t>
            </w:r>
          </w:p>
        </w:tc>
        <w:tc>
          <w:tcPr>
            <w:tcW w:w="3277" w:type="pct"/>
            <w:vAlign w:val="top"/>
          </w:tcPr>
          <w:p w14:paraId="3E64D1BA">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(1)</w:t>
            </w:r>
            <w:r>
              <w:rPr>
                <w:rFonts w:ascii="宋体" w:hAnsi="宋体" w:eastAsia="宋体" w:cs="宋体"/>
                <w:spacing w:val="6"/>
                <w:kern w:val="2"/>
                <w:sz w:val="20"/>
                <w:szCs w:val="20"/>
                <w:lang w:val="en-US" w:eastAsia="en-US" w:bidi="ar-SA"/>
              </w:rPr>
              <w:t xml:space="preserve">根据投标人提供的管理服运作方案是否完善、合理性进行评分，满分 </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 xml:space="preserve"> 分；</w:t>
            </w:r>
          </w:p>
          <w:p w14:paraId="3523D13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①供应商提供的</w:t>
            </w:r>
            <w:r>
              <w:rPr>
                <w:rFonts w:ascii="宋体" w:hAnsi="宋体" w:eastAsia="宋体" w:cs="宋体"/>
                <w:spacing w:val="6"/>
                <w:kern w:val="2"/>
                <w:sz w:val="20"/>
                <w:szCs w:val="20"/>
                <w:lang w:val="en-US" w:eastAsia="en-US" w:bidi="ar-SA"/>
              </w:rPr>
              <w:t>管理服务运作</w:t>
            </w:r>
            <w:r>
              <w:rPr>
                <w:rFonts w:hint="eastAsia" w:ascii="宋体" w:hAnsi="宋体" w:eastAsia="宋体" w:cs="宋体"/>
                <w:spacing w:val="6"/>
                <w:kern w:val="2"/>
                <w:sz w:val="20"/>
                <w:szCs w:val="20"/>
                <w:lang w:val="en-US" w:eastAsia="en-US" w:bidi="ar-SA"/>
              </w:rPr>
              <w:t>方案全面完整、具有可操作性、可行性强，得4分；</w:t>
            </w:r>
          </w:p>
          <w:p w14:paraId="788C6F2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②供应商提供的</w:t>
            </w:r>
            <w:r>
              <w:rPr>
                <w:rFonts w:ascii="宋体" w:hAnsi="宋体" w:eastAsia="宋体" w:cs="宋体"/>
                <w:spacing w:val="6"/>
                <w:kern w:val="2"/>
                <w:sz w:val="20"/>
                <w:szCs w:val="20"/>
                <w:lang w:val="en-US" w:eastAsia="en-US" w:bidi="ar-SA"/>
              </w:rPr>
              <w:t>管理服运作</w:t>
            </w:r>
            <w:r>
              <w:rPr>
                <w:rFonts w:hint="eastAsia" w:ascii="宋体" w:hAnsi="宋体" w:eastAsia="宋体" w:cs="宋体"/>
                <w:spacing w:val="6"/>
                <w:kern w:val="2"/>
                <w:sz w:val="20"/>
                <w:szCs w:val="20"/>
                <w:lang w:val="en-US" w:eastAsia="en-US" w:bidi="ar-SA"/>
              </w:rPr>
              <w:t>方案较为可行、合理的，得3分；</w:t>
            </w:r>
          </w:p>
          <w:p w14:paraId="76F27FB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③供应商提供的</w:t>
            </w:r>
            <w:r>
              <w:rPr>
                <w:rFonts w:ascii="宋体" w:hAnsi="宋体" w:eastAsia="宋体" w:cs="宋体"/>
                <w:spacing w:val="6"/>
                <w:kern w:val="2"/>
                <w:sz w:val="20"/>
                <w:szCs w:val="20"/>
                <w:lang w:val="en-US" w:eastAsia="en-US" w:bidi="ar-SA"/>
              </w:rPr>
              <w:t>管理服务运作</w:t>
            </w:r>
            <w:r>
              <w:rPr>
                <w:rFonts w:hint="eastAsia" w:ascii="宋体" w:hAnsi="宋体" w:eastAsia="宋体" w:cs="宋体"/>
                <w:spacing w:val="6"/>
                <w:kern w:val="2"/>
                <w:sz w:val="20"/>
                <w:szCs w:val="20"/>
                <w:lang w:val="en-US" w:eastAsia="en-US" w:bidi="ar-SA"/>
              </w:rPr>
              <w:t>方案基本可行、合理的，得2分；</w:t>
            </w:r>
          </w:p>
          <w:p w14:paraId="6C9FDCF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④供应商提供的</w:t>
            </w:r>
            <w:r>
              <w:rPr>
                <w:rFonts w:ascii="宋体" w:hAnsi="宋体" w:eastAsia="宋体" w:cs="宋体"/>
                <w:spacing w:val="6"/>
                <w:kern w:val="2"/>
                <w:sz w:val="20"/>
                <w:szCs w:val="20"/>
                <w:lang w:val="en-US" w:eastAsia="en-US" w:bidi="ar-SA"/>
              </w:rPr>
              <w:t>管理服务运作</w:t>
            </w:r>
            <w:r>
              <w:rPr>
                <w:rFonts w:hint="eastAsia" w:ascii="宋体" w:hAnsi="宋体" w:eastAsia="宋体" w:cs="宋体"/>
                <w:spacing w:val="6"/>
                <w:kern w:val="2"/>
                <w:sz w:val="20"/>
                <w:szCs w:val="20"/>
                <w:lang w:val="en-US" w:eastAsia="en-US" w:bidi="ar-SA"/>
              </w:rPr>
              <w:t>方案内容欠缺，存在明显问题的，得1分</w:t>
            </w:r>
            <w:r>
              <w:rPr>
                <w:rFonts w:hint="eastAsia" w:ascii="宋体" w:hAnsi="宋体" w:eastAsia="宋体" w:cs="宋体"/>
                <w:spacing w:val="6"/>
                <w:kern w:val="2"/>
                <w:sz w:val="20"/>
                <w:szCs w:val="20"/>
                <w:lang w:val="en-US" w:eastAsia="zh-CN" w:bidi="ar-SA"/>
              </w:rPr>
              <w:t>；</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5D9315DF">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216E67C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1BF8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74EF3D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27285C1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2440DA62">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2</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 xml:space="preserve">根据投标人提供的食堂服务工作计划，各岗位分布、工作流程是否具有完整性，合理性进行评分，满分 </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634FF70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3C71303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0335CEF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2FEDDB7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55EA2DC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4A38D5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68C6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662611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6586892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111CD934">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3</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根据投标人提供的食堂消杀方案的合理性科学性进行评分，满分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3CE484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①供应商提供的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方案全面完整、具有可操作性、可行性强，得4分；</w:t>
            </w:r>
          </w:p>
          <w:p w14:paraId="3D046F1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②供应商提供的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较为可行、合理的，得3分；</w:t>
            </w:r>
          </w:p>
          <w:p w14:paraId="3DD87DE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③供应商提供的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基本可行、合理的，得2分；</w:t>
            </w:r>
          </w:p>
          <w:p w14:paraId="363CAD0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内容欠缺，存在明显问题的，得1分</w:t>
            </w:r>
            <w:r>
              <w:rPr>
                <w:rFonts w:hint="eastAsia" w:ascii="宋体" w:hAnsi="宋体" w:eastAsia="宋体" w:cs="宋体"/>
                <w:spacing w:val="6"/>
                <w:kern w:val="2"/>
                <w:sz w:val="20"/>
                <w:szCs w:val="20"/>
                <w:lang w:val="en-US" w:eastAsia="zh-CN" w:bidi="ar-SA"/>
              </w:rPr>
              <w:t>；</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66488967">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244A169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7B8E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22675D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34F823D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10925103">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4</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根据投标人提供的食堂原材料验收管理方案、成本控制方案进行评分，满分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5E4F84F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79A6DD1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070D73F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481D9B3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55360B43">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6B408CD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3B6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10" w:type="pct"/>
            <w:vMerge w:val="continue"/>
            <w:vAlign w:val="center"/>
          </w:tcPr>
          <w:p w14:paraId="1864E3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50A1CA6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606FE5B3">
            <w:pPr>
              <w:pStyle w:val="40"/>
              <w:numPr>
                <w:ilvl w:val="0"/>
                <w:numId w:val="0"/>
              </w:numPr>
              <w:spacing w:before="36" w:line="240" w:lineRule="auto"/>
              <w:ind w:right="105" w:rightChars="0"/>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5</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根据投标人提供的食品安全应急事故赔偿、处罚方案的详细全面进行评分，满</w:t>
            </w:r>
            <w:r>
              <w:rPr>
                <w:rFonts w:ascii="宋体" w:hAnsi="宋体" w:eastAsia="宋体" w:cs="宋体"/>
                <w:spacing w:val="6"/>
                <w:kern w:val="2"/>
                <w:sz w:val="21"/>
                <w:szCs w:val="21"/>
                <w:lang w:val="en-US" w:eastAsia="en-US" w:bidi="ar-SA"/>
              </w:rPr>
              <w:t>分</w:t>
            </w:r>
            <w:r>
              <w:rPr>
                <w:rFonts w:hint="eastAsia" w:ascii="宋体" w:hAnsi="宋体" w:eastAsia="宋体" w:cs="宋体"/>
                <w:spacing w:val="6"/>
                <w:kern w:val="2"/>
                <w:sz w:val="21"/>
                <w:szCs w:val="21"/>
                <w:lang w:val="en-US" w:eastAsia="zh-CN" w:bidi="ar-SA"/>
              </w:rPr>
              <w:t>4</w:t>
            </w:r>
            <w:r>
              <w:rPr>
                <w:rFonts w:ascii="宋体" w:hAnsi="宋体" w:eastAsia="宋体" w:cs="宋体"/>
                <w:spacing w:val="6"/>
                <w:kern w:val="2"/>
                <w:sz w:val="21"/>
                <w:szCs w:val="21"/>
                <w:lang w:val="en-US" w:eastAsia="en-US" w:bidi="ar-SA"/>
              </w:rPr>
              <w:t>分；</w:t>
            </w:r>
          </w:p>
          <w:p w14:paraId="777728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1"/>
                <w:szCs w:val="21"/>
                <w:lang w:val="en-US" w:eastAsia="zh-CN" w:bidi="ar-SA"/>
              </w:rPr>
              <w:t>①方案齐全、合理</w:t>
            </w:r>
            <w:r>
              <w:rPr>
                <w:rFonts w:hint="eastAsia" w:ascii="宋体" w:hAnsi="宋体" w:eastAsia="宋体" w:cs="宋体"/>
                <w:spacing w:val="6"/>
                <w:kern w:val="2"/>
                <w:sz w:val="20"/>
                <w:szCs w:val="20"/>
                <w:lang w:val="en-US" w:eastAsia="zh-CN" w:bidi="ar-SA"/>
              </w:rPr>
              <w:t>，能够充分满足项目需求的，得4分；</w:t>
            </w:r>
          </w:p>
          <w:p w14:paraId="7596790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64DC17F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12D0966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2AFF54A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43C08A7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62F6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110BB0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0A60B2D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5AB395EB">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6</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根据投标人提供的服务实施方案和技术措施及承诺；进行评分，满分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3766C87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07A578A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221E837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0B2F778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7683288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031A9DD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2442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3ED2AD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3C065EE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710FEC78">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7</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根据投标人提供的针对本项目的巡回保洁制度、检查监督制度、违规处罚制度进行评分，满分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65448B3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7A9C85D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4E8ECC2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122B051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6957006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2B0222F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796D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4EDFB0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74C8855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60402A1B">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8</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根据投标人提供的验收措施、食物留样方案等是否合理性、针对性、可行性进行评分，满分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73562FC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5AF26AD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1EB71CF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11F3593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041F38D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0AD29BF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6FD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31287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47AFD35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16FA6112">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9</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根据投标人提供企业管理的规范性如人事管理制度， 安全防范管理制度，卫生保障制度，文明服务制度，企业内部考核制度及考核记录进行评分，满分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01AD56E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1EEAFAF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57CE0A6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29B2EAD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799491F9">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71A9A3C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6161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78741D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2EEF9CB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拟投入本项目的人员保障</w:t>
            </w:r>
          </w:p>
        </w:tc>
        <w:tc>
          <w:tcPr>
            <w:tcW w:w="3277" w:type="pct"/>
            <w:vAlign w:val="center"/>
          </w:tcPr>
          <w:p w14:paraId="13C54716">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拟投入本项目的人数、资历以及安排分配情况的合理 性进行评分，满分 3 分；</w:t>
            </w:r>
          </w:p>
          <w:p w14:paraId="06FF7B4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①</w:t>
            </w:r>
            <w:r>
              <w:rPr>
                <w:rFonts w:hint="eastAsia" w:ascii="宋体" w:hAnsi="宋体" w:eastAsia="宋体" w:cs="宋体"/>
                <w:spacing w:val="6"/>
                <w:kern w:val="2"/>
                <w:sz w:val="20"/>
                <w:szCs w:val="20"/>
                <w:lang w:val="en-US" w:eastAsia="en-US" w:bidi="ar-SA"/>
              </w:rPr>
              <w:t>供应商提供的人数、资历以及安排分配方案</w:t>
            </w:r>
            <w:r>
              <w:rPr>
                <w:rFonts w:hint="eastAsia" w:ascii="宋体" w:hAnsi="宋体" w:eastAsia="宋体" w:cs="宋体"/>
                <w:spacing w:val="6"/>
                <w:kern w:val="2"/>
                <w:sz w:val="20"/>
                <w:szCs w:val="20"/>
                <w:lang w:val="en-US" w:eastAsia="zh-CN" w:bidi="ar-SA"/>
              </w:rPr>
              <w:t>全面完整、具有可操作性、可行性强</w:t>
            </w:r>
            <w:r>
              <w:rPr>
                <w:rFonts w:hint="eastAsia" w:ascii="宋体" w:hAnsi="宋体" w:eastAsia="宋体" w:cs="宋体"/>
                <w:spacing w:val="6"/>
                <w:kern w:val="2"/>
                <w:sz w:val="20"/>
                <w:szCs w:val="20"/>
                <w:lang w:val="en-US" w:eastAsia="en-US" w:bidi="ar-SA"/>
              </w:rPr>
              <w:t>，得</w:t>
            </w:r>
            <w:r>
              <w:rPr>
                <w:rFonts w:hint="eastAsia" w:ascii="宋体" w:hAnsi="宋体" w:eastAsia="宋体" w:cs="宋体"/>
                <w:spacing w:val="6"/>
                <w:kern w:val="2"/>
                <w:sz w:val="20"/>
                <w:szCs w:val="20"/>
                <w:lang w:val="en-US" w:eastAsia="zh-CN" w:bidi="ar-SA"/>
              </w:rPr>
              <w:t>3</w:t>
            </w:r>
            <w:r>
              <w:rPr>
                <w:rFonts w:hint="eastAsia" w:ascii="宋体" w:hAnsi="宋体" w:eastAsia="宋体" w:cs="宋体"/>
                <w:spacing w:val="6"/>
                <w:kern w:val="2"/>
                <w:sz w:val="20"/>
                <w:szCs w:val="20"/>
                <w:lang w:val="en-US" w:eastAsia="en-US" w:bidi="ar-SA"/>
              </w:rPr>
              <w:t>分；</w:t>
            </w:r>
          </w:p>
          <w:p w14:paraId="2288231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②</w:t>
            </w:r>
            <w:r>
              <w:rPr>
                <w:rFonts w:hint="eastAsia" w:ascii="宋体" w:hAnsi="宋体" w:eastAsia="宋体" w:cs="宋体"/>
                <w:spacing w:val="6"/>
                <w:kern w:val="2"/>
                <w:sz w:val="20"/>
                <w:szCs w:val="20"/>
                <w:lang w:val="en-US" w:eastAsia="en-US" w:bidi="ar-SA"/>
              </w:rPr>
              <w:t>供应商提供的</w:t>
            </w:r>
            <w:r>
              <w:rPr>
                <w:rFonts w:ascii="宋体" w:hAnsi="宋体" w:eastAsia="宋体" w:cs="宋体"/>
                <w:spacing w:val="6"/>
                <w:kern w:val="2"/>
                <w:sz w:val="20"/>
                <w:szCs w:val="20"/>
                <w:lang w:val="en-US" w:eastAsia="en-US" w:bidi="ar-SA"/>
              </w:rPr>
              <w:t>人数、资历以及安排分配</w:t>
            </w:r>
            <w:r>
              <w:rPr>
                <w:rFonts w:hint="eastAsia" w:ascii="宋体" w:hAnsi="宋体" w:eastAsia="宋体" w:cs="宋体"/>
                <w:spacing w:val="6"/>
                <w:kern w:val="2"/>
                <w:sz w:val="20"/>
                <w:szCs w:val="20"/>
                <w:lang w:val="en-US" w:eastAsia="en-US" w:bidi="ar-SA"/>
              </w:rPr>
              <w:t>方案</w:t>
            </w:r>
            <w:r>
              <w:rPr>
                <w:rFonts w:hint="eastAsia" w:ascii="宋体" w:hAnsi="宋体" w:eastAsia="宋体" w:cs="宋体"/>
                <w:spacing w:val="6"/>
                <w:kern w:val="2"/>
                <w:sz w:val="20"/>
                <w:szCs w:val="20"/>
                <w:lang w:val="en-US" w:eastAsia="zh-CN" w:bidi="ar-SA"/>
              </w:rPr>
              <w:t>基本</w:t>
            </w:r>
            <w:r>
              <w:rPr>
                <w:rFonts w:hint="eastAsia" w:ascii="宋体" w:hAnsi="宋体" w:eastAsia="宋体" w:cs="宋体"/>
                <w:spacing w:val="6"/>
                <w:kern w:val="2"/>
                <w:sz w:val="20"/>
                <w:szCs w:val="20"/>
                <w:lang w:val="en-US" w:eastAsia="en-US" w:bidi="ar-SA"/>
              </w:rPr>
              <w:t>可行</w:t>
            </w:r>
            <w:r>
              <w:rPr>
                <w:rFonts w:hint="eastAsia" w:ascii="宋体" w:hAnsi="宋体" w:eastAsia="宋体" w:cs="宋体"/>
                <w:spacing w:val="6"/>
                <w:kern w:val="2"/>
                <w:sz w:val="20"/>
                <w:szCs w:val="20"/>
                <w:lang w:val="en-US" w:eastAsia="zh-CN" w:bidi="ar-SA"/>
              </w:rPr>
              <w:t>、</w:t>
            </w:r>
            <w:r>
              <w:rPr>
                <w:rFonts w:hint="eastAsia" w:ascii="宋体" w:hAnsi="宋体" w:eastAsia="宋体" w:cs="宋体"/>
                <w:spacing w:val="6"/>
                <w:kern w:val="2"/>
                <w:sz w:val="20"/>
                <w:szCs w:val="20"/>
                <w:lang w:val="en-US" w:eastAsia="en-US" w:bidi="ar-SA"/>
              </w:rPr>
              <w:t>合理</w:t>
            </w:r>
            <w:r>
              <w:rPr>
                <w:rFonts w:hint="eastAsia" w:ascii="宋体" w:hAnsi="宋体" w:eastAsia="宋体" w:cs="宋体"/>
                <w:spacing w:val="6"/>
                <w:kern w:val="2"/>
                <w:sz w:val="20"/>
                <w:szCs w:val="20"/>
                <w:lang w:val="en-US" w:eastAsia="zh-CN" w:bidi="ar-SA"/>
              </w:rPr>
              <w:t>的，</w:t>
            </w:r>
            <w:r>
              <w:rPr>
                <w:rFonts w:hint="eastAsia" w:ascii="宋体" w:hAnsi="宋体" w:eastAsia="宋体" w:cs="宋体"/>
                <w:spacing w:val="6"/>
                <w:kern w:val="2"/>
                <w:sz w:val="20"/>
                <w:szCs w:val="20"/>
                <w:lang w:val="en-US" w:eastAsia="en-US" w:bidi="ar-SA"/>
              </w:rPr>
              <w:t>得</w:t>
            </w:r>
            <w:r>
              <w:rPr>
                <w:rFonts w:hint="eastAsia" w:ascii="宋体" w:hAnsi="宋体" w:eastAsia="宋体" w:cs="宋体"/>
                <w:spacing w:val="6"/>
                <w:kern w:val="2"/>
                <w:sz w:val="20"/>
                <w:szCs w:val="20"/>
                <w:lang w:val="en-US" w:eastAsia="zh-CN" w:bidi="ar-SA"/>
              </w:rPr>
              <w:t>2</w:t>
            </w:r>
            <w:r>
              <w:rPr>
                <w:rFonts w:hint="eastAsia" w:ascii="宋体" w:hAnsi="宋体" w:eastAsia="宋体" w:cs="宋体"/>
                <w:spacing w:val="6"/>
                <w:kern w:val="2"/>
                <w:sz w:val="20"/>
                <w:szCs w:val="20"/>
                <w:lang w:val="en-US" w:eastAsia="en-US" w:bidi="ar-SA"/>
              </w:rPr>
              <w:t>分；</w:t>
            </w:r>
          </w:p>
          <w:p w14:paraId="1FC6BAD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③</w:t>
            </w:r>
            <w:r>
              <w:rPr>
                <w:rFonts w:hint="eastAsia" w:ascii="宋体" w:hAnsi="宋体" w:eastAsia="宋体" w:cs="宋体"/>
                <w:spacing w:val="6"/>
                <w:kern w:val="2"/>
                <w:sz w:val="20"/>
                <w:szCs w:val="20"/>
                <w:lang w:val="en-US" w:eastAsia="en-US" w:bidi="ar-SA"/>
              </w:rPr>
              <w:t>供应商提供的</w:t>
            </w:r>
            <w:r>
              <w:rPr>
                <w:rFonts w:ascii="宋体" w:hAnsi="宋体" w:eastAsia="宋体" w:cs="宋体"/>
                <w:spacing w:val="6"/>
                <w:kern w:val="2"/>
                <w:sz w:val="20"/>
                <w:szCs w:val="20"/>
                <w:lang w:val="en-US" w:eastAsia="en-US" w:bidi="ar-SA"/>
              </w:rPr>
              <w:t>人数、资历以及安排分配</w:t>
            </w:r>
            <w:r>
              <w:rPr>
                <w:rFonts w:hint="eastAsia" w:ascii="宋体" w:hAnsi="宋体" w:eastAsia="宋体" w:cs="宋体"/>
                <w:spacing w:val="6"/>
                <w:kern w:val="2"/>
                <w:sz w:val="20"/>
                <w:szCs w:val="20"/>
                <w:lang w:val="en-US" w:eastAsia="en-US" w:bidi="ar-SA"/>
              </w:rPr>
              <w:t>方案</w:t>
            </w:r>
            <w:r>
              <w:rPr>
                <w:rFonts w:hint="eastAsia" w:ascii="宋体" w:hAnsi="宋体" w:eastAsia="宋体" w:cs="宋体"/>
                <w:spacing w:val="6"/>
                <w:kern w:val="2"/>
                <w:sz w:val="20"/>
                <w:szCs w:val="20"/>
                <w:lang w:val="en-US" w:eastAsia="zh-CN" w:bidi="ar-SA"/>
              </w:rPr>
              <w:t>内容欠缺，存在明显问题的，</w:t>
            </w:r>
            <w:r>
              <w:rPr>
                <w:rFonts w:hint="eastAsia" w:ascii="宋体" w:hAnsi="宋体" w:eastAsia="宋体" w:cs="宋体"/>
                <w:spacing w:val="6"/>
                <w:kern w:val="2"/>
                <w:sz w:val="20"/>
                <w:szCs w:val="20"/>
                <w:lang w:val="en-US" w:eastAsia="en-US" w:bidi="ar-SA"/>
              </w:rPr>
              <w:t>得</w:t>
            </w:r>
            <w:r>
              <w:rPr>
                <w:rFonts w:hint="eastAsia" w:ascii="宋体" w:hAnsi="宋体" w:eastAsia="宋体" w:cs="宋体"/>
                <w:spacing w:val="6"/>
                <w:kern w:val="2"/>
                <w:sz w:val="20"/>
                <w:szCs w:val="20"/>
                <w:lang w:val="en-US" w:eastAsia="zh-CN" w:bidi="ar-SA"/>
              </w:rPr>
              <w:t>1</w:t>
            </w:r>
            <w:r>
              <w:rPr>
                <w:rFonts w:hint="eastAsia" w:ascii="宋体" w:hAnsi="宋体" w:eastAsia="宋体" w:cs="宋体"/>
                <w:spacing w:val="6"/>
                <w:kern w:val="2"/>
                <w:sz w:val="20"/>
                <w:szCs w:val="20"/>
                <w:lang w:val="en-US" w:eastAsia="en-US" w:bidi="ar-SA"/>
              </w:rPr>
              <w:t>分</w:t>
            </w:r>
          </w:p>
          <w:p w14:paraId="1CA2234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0635167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124363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45D5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10" w:type="pct"/>
            <w:vMerge w:val="continue"/>
            <w:vAlign w:val="center"/>
          </w:tcPr>
          <w:p w14:paraId="48A583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7F30AEB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救护车急救服务方案</w:t>
            </w:r>
          </w:p>
        </w:tc>
        <w:tc>
          <w:tcPr>
            <w:tcW w:w="3277" w:type="pct"/>
            <w:vAlign w:val="center"/>
          </w:tcPr>
          <w:p w14:paraId="7ACCD63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default" w:ascii="宋体" w:hAnsi="宋体" w:eastAsia="宋体" w:cs="宋体"/>
                <w:spacing w:val="6"/>
                <w:kern w:val="2"/>
                <w:sz w:val="20"/>
                <w:szCs w:val="20"/>
                <w:lang w:val="en-US" w:eastAsia="zh-CN" w:bidi="ar-SA"/>
              </w:rPr>
              <w:t>投标人提供的</w:t>
            </w:r>
            <w:r>
              <w:rPr>
                <w:rFonts w:hint="eastAsia" w:ascii="宋体" w:hAnsi="宋体" w:eastAsia="宋体" w:cs="宋体"/>
                <w:spacing w:val="6"/>
                <w:kern w:val="2"/>
                <w:sz w:val="20"/>
                <w:szCs w:val="20"/>
                <w:lang w:val="en-US" w:eastAsia="zh-CN" w:bidi="ar-SA"/>
              </w:rPr>
              <w:t>救护车驾驶</w:t>
            </w:r>
            <w:r>
              <w:rPr>
                <w:rFonts w:hint="default" w:ascii="宋体" w:hAnsi="宋体" w:eastAsia="宋体" w:cs="宋体"/>
                <w:spacing w:val="6"/>
                <w:kern w:val="2"/>
                <w:sz w:val="20"/>
                <w:szCs w:val="20"/>
                <w:lang w:val="en-US" w:eastAsia="zh-CN" w:bidi="ar-SA"/>
              </w:rPr>
              <w:t>方案，包括但不限于驾驶救护车、‌协助急救医师进行急救诊疗、‌现场救治、‌病人转运及其他医疗保障相关工作是否合理和可行进行综合评分</w:t>
            </w:r>
            <w:r>
              <w:rPr>
                <w:rFonts w:hint="eastAsia" w:ascii="宋体" w:hAnsi="宋体" w:eastAsia="宋体" w:cs="宋体"/>
                <w:spacing w:val="6"/>
                <w:kern w:val="2"/>
                <w:sz w:val="20"/>
                <w:szCs w:val="20"/>
                <w:lang w:val="en-US" w:eastAsia="zh-CN" w:bidi="ar-SA"/>
              </w:rPr>
              <w:t>。</w:t>
            </w:r>
          </w:p>
          <w:p w14:paraId="0696267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①方案齐全、合理，能够充分满足项目需求的，得3分；</w:t>
            </w:r>
          </w:p>
          <w:p w14:paraId="584DEF0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②方案一般，能够基本满足项目需求的，得2分；</w:t>
            </w:r>
          </w:p>
          <w:p w14:paraId="54BD7E8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③方案基本齐全但不合理的，得1分；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1558CD6F">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5FDCF12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21F8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0" w:type="pct"/>
            <w:vMerge w:val="continue"/>
            <w:vAlign w:val="center"/>
          </w:tcPr>
          <w:p w14:paraId="6DF534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457B507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后勤</w:t>
            </w:r>
            <w:r>
              <w:rPr>
                <w:rFonts w:hint="eastAsia" w:ascii="宋体" w:hAnsi="宋体" w:eastAsia="宋体" w:cs="宋体"/>
                <w:spacing w:val="6"/>
                <w:kern w:val="2"/>
                <w:sz w:val="20"/>
                <w:szCs w:val="20"/>
                <w:lang w:val="en-US" w:eastAsia="en-US" w:bidi="ar-SA"/>
              </w:rPr>
              <w:t>服务</w:t>
            </w:r>
            <w:r>
              <w:rPr>
                <w:rFonts w:hint="eastAsia" w:ascii="宋体" w:hAnsi="宋体" w:eastAsia="宋体" w:cs="宋体"/>
                <w:spacing w:val="6"/>
                <w:kern w:val="2"/>
                <w:sz w:val="20"/>
                <w:szCs w:val="20"/>
                <w:lang w:val="en-US" w:eastAsia="zh-CN" w:bidi="ar-SA"/>
              </w:rPr>
              <w:t>方案</w:t>
            </w:r>
          </w:p>
        </w:tc>
        <w:tc>
          <w:tcPr>
            <w:tcW w:w="3277" w:type="pct"/>
            <w:vAlign w:val="center"/>
          </w:tcPr>
          <w:p w14:paraId="56AD3E2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投标人提供卫生</w:t>
            </w:r>
            <w:r>
              <w:rPr>
                <w:rFonts w:hint="eastAsia" w:ascii="宋体" w:hAnsi="宋体" w:eastAsia="宋体" w:cs="宋体"/>
                <w:spacing w:val="6"/>
                <w:kern w:val="2"/>
                <w:sz w:val="20"/>
                <w:szCs w:val="20"/>
                <w:lang w:val="en-US" w:eastAsia="zh-CN" w:bidi="ar-SA"/>
              </w:rPr>
              <w:t>后勤</w:t>
            </w:r>
            <w:r>
              <w:rPr>
                <w:rFonts w:hint="eastAsia" w:cs="宋体"/>
                <w:spacing w:val="6"/>
                <w:kern w:val="2"/>
                <w:sz w:val="20"/>
                <w:szCs w:val="20"/>
                <w:lang w:val="en-US" w:eastAsia="zh-CN" w:bidi="ar-SA"/>
              </w:rPr>
              <w:t>服务</w:t>
            </w:r>
            <w:r>
              <w:rPr>
                <w:rFonts w:hint="eastAsia" w:ascii="宋体" w:hAnsi="宋体" w:eastAsia="宋体" w:cs="宋体"/>
                <w:spacing w:val="6"/>
                <w:kern w:val="2"/>
                <w:sz w:val="20"/>
                <w:szCs w:val="20"/>
                <w:lang w:val="en-US" w:eastAsia="en-US" w:bidi="ar-SA"/>
              </w:rPr>
              <w:t>等方案，包括但不限于环境卫生管理等措施是否全面、到位</w:t>
            </w:r>
            <w:r>
              <w:rPr>
                <w:rFonts w:hint="eastAsia" w:ascii="宋体" w:hAnsi="宋体" w:eastAsia="宋体" w:cs="宋体"/>
                <w:spacing w:val="6"/>
                <w:kern w:val="2"/>
                <w:sz w:val="20"/>
                <w:szCs w:val="20"/>
                <w:lang w:val="en-US" w:eastAsia="zh-CN" w:bidi="ar-SA"/>
              </w:rPr>
              <w:t>等进行综合评分</w:t>
            </w:r>
            <w:r>
              <w:rPr>
                <w:rFonts w:hint="eastAsia"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满分</w:t>
            </w:r>
            <w:r>
              <w:rPr>
                <w:rFonts w:hint="eastAsia"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r>
              <w:rPr>
                <w:rFonts w:hint="eastAsia" w:ascii="宋体" w:hAnsi="宋体" w:eastAsia="宋体" w:cs="宋体"/>
                <w:spacing w:val="6"/>
                <w:kern w:val="2"/>
                <w:sz w:val="20"/>
                <w:szCs w:val="20"/>
                <w:lang w:val="en-US" w:eastAsia="en-US" w:bidi="ar-SA"/>
              </w:rPr>
              <w:t>。</w:t>
            </w:r>
          </w:p>
          <w:p w14:paraId="3A8E8A3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124947F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19BA514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5B1B80F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6CF2FFD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1816D5F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67C2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0" w:type="pct"/>
            <w:vMerge w:val="continue"/>
            <w:vAlign w:val="center"/>
          </w:tcPr>
          <w:p w14:paraId="758800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top"/>
          </w:tcPr>
          <w:p w14:paraId="5444D3F9">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p>
          <w:p w14:paraId="210710D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ascii="宋体" w:hAnsi="宋体" w:eastAsia="宋体" w:cs="宋体"/>
                <w:spacing w:val="6"/>
                <w:kern w:val="2"/>
                <w:sz w:val="20"/>
                <w:szCs w:val="20"/>
                <w:lang w:val="en-US" w:eastAsia="en-US" w:bidi="ar-SA"/>
              </w:rPr>
              <w:t>节能管理方案</w:t>
            </w:r>
          </w:p>
        </w:tc>
        <w:tc>
          <w:tcPr>
            <w:tcW w:w="3277" w:type="pct"/>
            <w:vAlign w:val="top"/>
          </w:tcPr>
          <w:p w14:paraId="0EB7E997">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根据投标人提供的针对本项目的节能降耗方案适应本项目 的需求，有目标、有创新，具备可行性，方案新颖进行评 分，满分</w:t>
            </w:r>
            <w:r>
              <w:rPr>
                <w:rFonts w:hint="eastAsia"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5D73884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600CBE2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4CC871B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6D57BED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45A3C188">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1924545A">
            <w:pPr>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1D7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10" w:type="pct"/>
            <w:vMerge w:val="continue"/>
            <w:vAlign w:val="center"/>
          </w:tcPr>
          <w:p w14:paraId="2CB147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top"/>
          </w:tcPr>
          <w:p w14:paraId="475E1D9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p>
          <w:p w14:paraId="70790C1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质量保障</w:t>
            </w:r>
          </w:p>
          <w:p w14:paraId="646E73A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p>
        </w:tc>
        <w:tc>
          <w:tcPr>
            <w:tcW w:w="3277" w:type="pct"/>
            <w:vAlign w:val="top"/>
          </w:tcPr>
          <w:p w14:paraId="10F6ECD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 xml:space="preserve">根据投标人针对本项目的质量管理保障制度、质量监管方 法及措施，监管配合，奖罚措施方案进行评分，满分 </w:t>
            </w:r>
            <w:r>
              <w:rPr>
                <w:rFonts w:hint="eastAsia" w:cs="宋体"/>
                <w:spacing w:val="6"/>
                <w:kern w:val="2"/>
                <w:sz w:val="20"/>
                <w:szCs w:val="20"/>
                <w:lang w:val="en-US" w:eastAsia="zh-CN" w:bidi="ar-SA"/>
              </w:rPr>
              <w:t>4</w:t>
            </w:r>
            <w:r>
              <w:rPr>
                <w:rFonts w:hint="eastAsia" w:ascii="宋体" w:hAnsi="宋体" w:eastAsia="宋体" w:cs="宋体"/>
                <w:spacing w:val="6"/>
                <w:kern w:val="2"/>
                <w:sz w:val="20"/>
                <w:szCs w:val="20"/>
                <w:lang w:val="en-US" w:eastAsia="zh-CN" w:bidi="ar-SA"/>
              </w:rPr>
              <w:t>分。</w:t>
            </w:r>
          </w:p>
          <w:p w14:paraId="0AB7088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2A9B490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6D1B43A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4FC9B23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332B4B46">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11CEC4AF">
            <w:pPr>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453D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0" w:type="pct"/>
            <w:vMerge w:val="continue"/>
            <w:vAlign w:val="center"/>
          </w:tcPr>
          <w:p w14:paraId="71F20E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top"/>
          </w:tcPr>
          <w:p w14:paraId="556ABB4C">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p>
          <w:p w14:paraId="11AA78D9">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p>
          <w:p w14:paraId="3DF0E1B1">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交接方案</w:t>
            </w:r>
          </w:p>
        </w:tc>
        <w:tc>
          <w:tcPr>
            <w:tcW w:w="3277" w:type="pct"/>
            <w:vAlign w:val="top"/>
          </w:tcPr>
          <w:p w14:paraId="76D9D1D4">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 xml:space="preserve">投标人提供的交接方案：过程中存在的风险及控制措施是否合理、可操作性、原有保洁人员及食堂工作人员人事关系处理进行评分，满分 </w:t>
            </w:r>
            <w:r>
              <w:rPr>
                <w:rFonts w:hint="eastAsia"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 xml:space="preserve"> 分。</w:t>
            </w:r>
          </w:p>
          <w:p w14:paraId="503E4E6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2A6AF87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0A27BA7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0CA52CF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3AE459C7">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35FC606E">
            <w:pPr>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25A5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10" w:type="pct"/>
            <w:vMerge w:val="continue"/>
            <w:vAlign w:val="center"/>
          </w:tcPr>
          <w:p w14:paraId="24C2E1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0BA808A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人员管理与培训计划</w:t>
            </w:r>
          </w:p>
        </w:tc>
        <w:tc>
          <w:tcPr>
            <w:tcW w:w="3277" w:type="pct"/>
            <w:vAlign w:val="center"/>
          </w:tcPr>
          <w:p w14:paraId="715BE97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评委根据供应商</w:t>
            </w:r>
            <w:r>
              <w:rPr>
                <w:rFonts w:hint="eastAsia" w:ascii="宋体" w:hAnsi="宋体" w:eastAsia="宋体" w:cs="宋体"/>
                <w:spacing w:val="6"/>
                <w:kern w:val="2"/>
                <w:sz w:val="20"/>
                <w:szCs w:val="20"/>
                <w:lang w:val="en-US" w:eastAsia="en-US" w:bidi="ar-SA"/>
              </w:rPr>
              <w:t>拟投入本项</w:t>
            </w:r>
            <w:r>
              <w:rPr>
                <w:rFonts w:hint="eastAsia" w:ascii="宋体" w:hAnsi="宋体" w:eastAsia="宋体" w:cs="宋体"/>
                <w:spacing w:val="6"/>
                <w:kern w:val="2"/>
                <w:sz w:val="20"/>
                <w:szCs w:val="20"/>
                <w:lang w:val="en-US" w:eastAsia="zh-CN" w:bidi="ar-SA"/>
              </w:rPr>
              <w:t>目要求</w:t>
            </w:r>
            <w:r>
              <w:rPr>
                <w:rFonts w:hint="default" w:ascii="宋体" w:hAnsi="宋体" w:eastAsia="宋体" w:cs="宋体"/>
                <w:spacing w:val="6"/>
                <w:kern w:val="2"/>
                <w:sz w:val="20"/>
                <w:szCs w:val="20"/>
                <w:lang w:val="en-US" w:eastAsia="en-US" w:bidi="ar-SA"/>
              </w:rPr>
              <w:t>提供的排班计划及方案进行评议：</w:t>
            </w:r>
          </w:p>
          <w:p w14:paraId="6B585A75">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①</w:t>
            </w:r>
            <w:r>
              <w:rPr>
                <w:rFonts w:hint="default" w:ascii="宋体" w:hAnsi="宋体" w:eastAsia="宋体" w:cs="宋体"/>
                <w:spacing w:val="6"/>
                <w:kern w:val="2"/>
                <w:sz w:val="20"/>
                <w:szCs w:val="20"/>
                <w:lang w:val="en-US" w:eastAsia="en-US" w:bidi="ar-SA"/>
              </w:rPr>
              <w:t>方案详细、编排合理、条理清晰、结构完整符合医院运营要求的得</w:t>
            </w:r>
            <w:r>
              <w:rPr>
                <w:rFonts w:hint="eastAsia" w:ascii="宋体" w:hAnsi="宋体" w:eastAsia="宋体" w:cs="宋体"/>
                <w:spacing w:val="6"/>
                <w:kern w:val="2"/>
                <w:sz w:val="20"/>
                <w:szCs w:val="20"/>
                <w:lang w:val="en-US" w:eastAsia="zh-CN" w:bidi="ar-SA"/>
              </w:rPr>
              <w:t>3</w:t>
            </w:r>
            <w:r>
              <w:rPr>
                <w:rFonts w:hint="default" w:ascii="宋体" w:hAnsi="宋体" w:eastAsia="宋体" w:cs="宋体"/>
                <w:spacing w:val="6"/>
                <w:kern w:val="2"/>
                <w:sz w:val="20"/>
                <w:szCs w:val="20"/>
                <w:lang w:val="en-US" w:eastAsia="en-US" w:bidi="ar-SA"/>
              </w:rPr>
              <w:t>分；</w:t>
            </w:r>
          </w:p>
          <w:p w14:paraId="7BE880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w:t>
            </w:r>
            <w:r>
              <w:rPr>
                <w:rFonts w:hint="default" w:ascii="宋体" w:hAnsi="宋体" w:eastAsia="宋体" w:cs="宋体"/>
                <w:spacing w:val="6"/>
                <w:kern w:val="2"/>
                <w:sz w:val="20"/>
                <w:szCs w:val="20"/>
                <w:lang w:val="en-US" w:eastAsia="en-US" w:bidi="ar-SA"/>
              </w:rPr>
              <w:t>排班计划及方案</w:t>
            </w:r>
            <w:r>
              <w:rPr>
                <w:rFonts w:hint="eastAsia" w:ascii="宋体" w:hAnsi="宋体" w:eastAsia="宋体" w:cs="宋体"/>
                <w:spacing w:val="6"/>
                <w:kern w:val="2"/>
                <w:sz w:val="20"/>
                <w:szCs w:val="20"/>
                <w:lang w:val="en-US" w:eastAsia="zh-CN" w:bidi="ar-SA"/>
              </w:rPr>
              <w:t>基本齐全、合理，能够满足项目需求的，得2分；</w:t>
            </w:r>
          </w:p>
          <w:p w14:paraId="7CE35316">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③</w:t>
            </w:r>
            <w:r>
              <w:rPr>
                <w:rFonts w:hint="default" w:ascii="宋体" w:hAnsi="宋体" w:eastAsia="宋体" w:cs="宋体"/>
                <w:spacing w:val="6"/>
                <w:kern w:val="2"/>
                <w:sz w:val="20"/>
                <w:szCs w:val="20"/>
                <w:lang w:val="en-US" w:eastAsia="en-US" w:bidi="ar-SA"/>
              </w:rPr>
              <w:t>计划编排及方案符合医院运营要求，但存在一定缺陷的得</w:t>
            </w:r>
            <w:r>
              <w:rPr>
                <w:rFonts w:hint="eastAsia" w:ascii="宋体" w:hAnsi="宋体" w:eastAsia="宋体" w:cs="宋体"/>
                <w:spacing w:val="6"/>
                <w:kern w:val="2"/>
                <w:sz w:val="20"/>
                <w:szCs w:val="20"/>
                <w:lang w:val="en-US" w:eastAsia="zh-CN" w:bidi="ar-SA"/>
              </w:rPr>
              <w:t>1</w:t>
            </w:r>
            <w:r>
              <w:rPr>
                <w:rFonts w:hint="default" w:ascii="宋体" w:hAnsi="宋体" w:eastAsia="宋体" w:cs="宋体"/>
                <w:spacing w:val="6"/>
                <w:kern w:val="2"/>
                <w:sz w:val="20"/>
                <w:szCs w:val="20"/>
                <w:lang w:val="en-US" w:eastAsia="en-US" w:bidi="ar-SA"/>
              </w:rPr>
              <w:t>分；</w:t>
            </w:r>
          </w:p>
          <w:p w14:paraId="31EC751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default" w:ascii="宋体" w:hAnsi="宋体" w:eastAsia="宋体" w:cs="宋体"/>
                <w:spacing w:val="6"/>
                <w:kern w:val="2"/>
                <w:sz w:val="20"/>
                <w:szCs w:val="20"/>
                <w:lang w:val="en-US" w:eastAsia="en-US" w:bidi="ar-SA"/>
              </w:rPr>
              <w:t>方案不合理，无法确保人员轮换</w:t>
            </w:r>
            <w:r>
              <w:rPr>
                <w:rFonts w:hint="eastAsia" w:ascii="宋体" w:hAnsi="宋体" w:eastAsia="宋体" w:cs="宋体"/>
                <w:spacing w:val="6"/>
                <w:kern w:val="2"/>
                <w:sz w:val="20"/>
                <w:szCs w:val="20"/>
                <w:lang w:val="en-US" w:eastAsia="zh-CN" w:bidi="ar-SA"/>
              </w:rPr>
              <w:t>或</w:t>
            </w:r>
            <w:r>
              <w:rPr>
                <w:rFonts w:hint="default" w:ascii="宋体" w:hAnsi="宋体" w:eastAsia="宋体" w:cs="宋体"/>
                <w:spacing w:val="6"/>
                <w:kern w:val="2"/>
                <w:sz w:val="20"/>
                <w:szCs w:val="20"/>
                <w:lang w:val="en-US" w:eastAsia="en-US" w:bidi="ar-SA"/>
              </w:rPr>
              <w:t>未提供相关内容的不得分。</w:t>
            </w:r>
          </w:p>
        </w:tc>
        <w:tc>
          <w:tcPr>
            <w:tcW w:w="334" w:type="pct"/>
            <w:vAlign w:val="center"/>
          </w:tcPr>
          <w:p w14:paraId="0871F00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44E67A7F">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2645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10" w:type="pct"/>
            <w:vMerge w:val="continue"/>
            <w:vAlign w:val="center"/>
          </w:tcPr>
          <w:p w14:paraId="2B5D61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3F8F07F7">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承诺措施</w:t>
            </w:r>
          </w:p>
          <w:p w14:paraId="6736DEA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p>
        </w:tc>
        <w:tc>
          <w:tcPr>
            <w:tcW w:w="3277" w:type="pct"/>
            <w:vAlign w:val="center"/>
          </w:tcPr>
          <w:p w14:paraId="6753766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评委根据供应商针对公共突发事件有应急预案，处理问题策略及措施具有高度的时效性、针对性和可操作性等进行综合评议：</w:t>
            </w:r>
          </w:p>
          <w:p w14:paraId="54F60F0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①方案具有时效性、针对性和可操作性的得3分；</w:t>
            </w:r>
          </w:p>
          <w:p w14:paraId="1D9B76C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②方案基本具有时效性、针对性和可操作性的得2分；</w:t>
            </w:r>
          </w:p>
          <w:p w14:paraId="75A5BB6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③方案具有时效性、针对性和可操作性内容欠缺不足的得1分；</w:t>
            </w:r>
          </w:p>
          <w:p w14:paraId="0FE3846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方案不可行、不合理、存在明显问题或未提供相关内容的不得分。</w:t>
            </w:r>
          </w:p>
        </w:tc>
        <w:tc>
          <w:tcPr>
            <w:tcW w:w="334" w:type="pct"/>
            <w:vAlign w:val="center"/>
          </w:tcPr>
          <w:p w14:paraId="7C8FD931">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EF00FA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05ED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10" w:type="pct"/>
            <w:vMerge w:val="continue"/>
            <w:vAlign w:val="center"/>
          </w:tcPr>
          <w:p w14:paraId="158E9C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4EC1F86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企业实力</w:t>
            </w:r>
          </w:p>
        </w:tc>
        <w:tc>
          <w:tcPr>
            <w:tcW w:w="3277" w:type="pct"/>
            <w:vAlign w:val="center"/>
          </w:tcPr>
          <w:p w14:paraId="5884B922">
            <w:pPr>
              <w:pStyle w:val="40"/>
              <w:numPr>
                <w:ilvl w:val="0"/>
                <w:numId w:val="0"/>
              </w:numPr>
              <w:spacing w:before="36" w:line="240" w:lineRule="auto"/>
              <w:ind w:right="105" w:rightChars="0"/>
              <w:rPr>
                <w:rFonts w:hint="eastAsia" w:ascii="宋体" w:hAnsi="宋体" w:eastAsia="宋体" w:cs="宋体"/>
                <w:spacing w:val="6"/>
                <w:kern w:val="2"/>
                <w:sz w:val="20"/>
                <w:szCs w:val="20"/>
                <w:lang w:val="zh-CN" w:eastAsia="en-US" w:bidi="ar-SA"/>
              </w:rPr>
            </w:pPr>
            <w:r>
              <w:rPr>
                <w:rFonts w:hint="eastAsia" w:ascii="宋体" w:hAnsi="宋体" w:eastAsia="宋体" w:cs="宋体"/>
                <w:spacing w:val="6"/>
                <w:kern w:val="2"/>
                <w:sz w:val="20"/>
                <w:szCs w:val="20"/>
                <w:lang w:val="zh-CN" w:eastAsia="en-US" w:bidi="ar-SA"/>
              </w:rPr>
              <w:t>自</w:t>
            </w:r>
            <w:r>
              <w:rPr>
                <w:rFonts w:hint="eastAsia" w:ascii="宋体" w:hAnsi="宋体" w:eastAsia="宋体" w:cs="宋体"/>
                <w:spacing w:val="6"/>
                <w:kern w:val="2"/>
                <w:sz w:val="20"/>
                <w:szCs w:val="20"/>
                <w:lang w:val="en-US" w:eastAsia="en-US" w:bidi="ar-SA"/>
              </w:rPr>
              <w:t>20</w:t>
            </w:r>
            <w:r>
              <w:rPr>
                <w:rFonts w:hint="eastAsia" w:ascii="宋体" w:hAnsi="宋体" w:eastAsia="宋体" w:cs="宋体"/>
                <w:spacing w:val="6"/>
                <w:kern w:val="2"/>
                <w:sz w:val="20"/>
                <w:szCs w:val="20"/>
                <w:lang w:val="en-US" w:eastAsia="zh-CN" w:bidi="ar-SA"/>
              </w:rPr>
              <w:t>21</w:t>
            </w:r>
            <w:r>
              <w:rPr>
                <w:rFonts w:hint="eastAsia" w:ascii="宋体" w:hAnsi="宋体" w:eastAsia="宋体" w:cs="宋体"/>
                <w:spacing w:val="6"/>
                <w:kern w:val="2"/>
                <w:sz w:val="20"/>
                <w:szCs w:val="20"/>
                <w:lang w:val="zh-CN" w:eastAsia="en-US" w:bidi="ar-SA"/>
              </w:rPr>
              <w:t>年1月1日至今，</w:t>
            </w:r>
            <w:r>
              <w:rPr>
                <w:rFonts w:hint="eastAsia" w:ascii="宋体" w:hAnsi="宋体" w:eastAsia="宋体" w:cs="宋体"/>
                <w:spacing w:val="6"/>
                <w:kern w:val="2"/>
                <w:sz w:val="20"/>
                <w:szCs w:val="20"/>
                <w:lang w:val="en-US" w:eastAsia="zh-CN" w:bidi="ar-SA"/>
              </w:rPr>
              <w:t xml:space="preserve"> </w:t>
            </w:r>
            <w:r>
              <w:rPr>
                <w:rFonts w:hint="eastAsia" w:ascii="宋体" w:hAnsi="宋体" w:eastAsia="宋体" w:cs="宋体"/>
                <w:spacing w:val="6"/>
                <w:kern w:val="2"/>
                <w:sz w:val="20"/>
                <w:szCs w:val="20"/>
                <w:lang w:val="zh-CN" w:eastAsia="en-US" w:bidi="ar-SA"/>
              </w:rPr>
              <w:t>投标人具有类似项目业绩的每个得</w:t>
            </w:r>
            <w:r>
              <w:rPr>
                <w:rFonts w:hint="eastAsia" w:ascii="宋体" w:hAnsi="宋体" w:eastAsia="宋体" w:cs="宋体"/>
                <w:spacing w:val="6"/>
                <w:kern w:val="2"/>
                <w:sz w:val="20"/>
                <w:szCs w:val="20"/>
                <w:lang w:val="en-US" w:eastAsia="zh-CN" w:bidi="ar-SA"/>
              </w:rPr>
              <w:t>1</w:t>
            </w:r>
            <w:r>
              <w:rPr>
                <w:rFonts w:hint="eastAsia" w:ascii="宋体" w:hAnsi="宋体" w:eastAsia="宋体" w:cs="宋体"/>
                <w:spacing w:val="6"/>
                <w:kern w:val="2"/>
                <w:sz w:val="20"/>
                <w:szCs w:val="20"/>
                <w:lang w:val="zh-CN" w:eastAsia="en-US" w:bidi="ar-SA"/>
              </w:rPr>
              <w:t>分，最高得</w:t>
            </w:r>
            <w:r>
              <w:rPr>
                <w:rFonts w:hint="eastAsia" w:ascii="宋体" w:hAnsi="宋体" w:eastAsia="宋体" w:cs="宋体"/>
                <w:spacing w:val="6"/>
                <w:kern w:val="2"/>
                <w:sz w:val="20"/>
                <w:szCs w:val="20"/>
                <w:lang w:val="en-US" w:eastAsia="zh-CN" w:bidi="ar-SA"/>
              </w:rPr>
              <w:t>3</w:t>
            </w:r>
            <w:r>
              <w:rPr>
                <w:rFonts w:hint="eastAsia" w:ascii="宋体" w:hAnsi="宋体" w:eastAsia="宋体" w:cs="宋体"/>
                <w:spacing w:val="6"/>
                <w:kern w:val="2"/>
                <w:sz w:val="20"/>
                <w:szCs w:val="20"/>
                <w:lang w:val="zh-CN" w:eastAsia="en-US" w:bidi="ar-SA"/>
              </w:rPr>
              <w:t>分。</w:t>
            </w:r>
          </w:p>
          <w:p w14:paraId="1835A41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zh-CN" w:eastAsia="zh-CN" w:bidi="ar-SA"/>
              </w:rPr>
              <w:t>（提供合同复印件未提供的不得分。）</w:t>
            </w:r>
          </w:p>
        </w:tc>
        <w:tc>
          <w:tcPr>
            <w:tcW w:w="334" w:type="pct"/>
            <w:vAlign w:val="center"/>
          </w:tcPr>
          <w:p w14:paraId="1310E019">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F82E9B8">
            <w:pPr>
              <w:pStyle w:val="40"/>
              <w:numPr>
                <w:ilvl w:val="0"/>
                <w:numId w:val="0"/>
              </w:numPr>
              <w:spacing w:before="36" w:line="240" w:lineRule="auto"/>
              <w:ind w:right="105" w:rightChars="0"/>
              <w:rPr>
                <w:rFonts w:hint="eastAsia" w:ascii="宋体" w:hAnsi="宋体" w:eastAsia="宋体" w:cs="宋体"/>
                <w:spacing w:val="6"/>
                <w:kern w:val="2"/>
                <w:sz w:val="20"/>
                <w:szCs w:val="20"/>
                <w:lang w:val="zh-CN" w:eastAsia="zh-CN" w:bidi="ar-SA"/>
              </w:rPr>
            </w:pPr>
            <w:r>
              <w:rPr>
                <w:rFonts w:hint="eastAsia" w:ascii="宋体" w:hAnsi="宋体" w:eastAsia="宋体" w:cs="宋体"/>
                <w:spacing w:val="6"/>
                <w:kern w:val="2"/>
                <w:sz w:val="20"/>
                <w:szCs w:val="20"/>
                <w:lang w:val="en-US" w:eastAsia="zh-CN" w:bidi="ar-SA"/>
              </w:rPr>
              <w:t>客观</w:t>
            </w:r>
          </w:p>
        </w:tc>
      </w:tr>
      <w:tr w14:paraId="18D6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10" w:type="pct"/>
            <w:vMerge w:val="continue"/>
            <w:vAlign w:val="center"/>
          </w:tcPr>
          <w:p w14:paraId="261B8E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7EC517E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管理体系</w:t>
            </w:r>
          </w:p>
        </w:tc>
        <w:tc>
          <w:tcPr>
            <w:tcW w:w="3277" w:type="pct"/>
            <w:vAlign w:val="center"/>
          </w:tcPr>
          <w:p w14:paraId="01C7655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投标人具有有效期内的环境管理体系认证证书、职业健康 安全管理体系认证证书、质量管理体系认证证书的，每提 供其中一个证书得 1 分，最多得 3 分。提供相应证书复印件</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未提供不得分。</w:t>
            </w:r>
          </w:p>
        </w:tc>
        <w:tc>
          <w:tcPr>
            <w:tcW w:w="334" w:type="pct"/>
            <w:vAlign w:val="center"/>
          </w:tcPr>
          <w:p w14:paraId="7D83A89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7B23F3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客观</w:t>
            </w:r>
          </w:p>
        </w:tc>
      </w:tr>
      <w:tr w14:paraId="0C98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0" w:type="pct"/>
            <w:vAlign w:val="center"/>
          </w:tcPr>
          <w:p w14:paraId="193EC37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5FEBDA06">
            <w:pPr>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3856" w:type="pct"/>
            <w:gridSpan w:val="2"/>
            <w:vAlign w:val="center"/>
          </w:tcPr>
          <w:p w14:paraId="3C84F0B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满足采购要求的有效投标且参与评审的价格最低的参与评审的价格为评标基准价，得</w:t>
            </w:r>
            <w:r>
              <w:rPr>
                <w:rFonts w:hint="eastAsia" w:ascii="宋体" w:hAnsi="宋体" w:eastAsia="宋体" w:cs="宋体"/>
                <w:spacing w:val="6"/>
                <w:kern w:val="2"/>
                <w:sz w:val="20"/>
                <w:szCs w:val="20"/>
                <w:lang w:val="en-US" w:eastAsia="zh-CN" w:bidi="ar-SA"/>
              </w:rPr>
              <w:t>30</w:t>
            </w:r>
            <w:r>
              <w:rPr>
                <w:rFonts w:hint="eastAsia" w:ascii="宋体" w:hAnsi="宋体" w:eastAsia="宋体" w:cs="宋体"/>
                <w:spacing w:val="6"/>
                <w:kern w:val="2"/>
                <w:sz w:val="20"/>
                <w:szCs w:val="20"/>
                <w:lang w:val="en-US" w:eastAsia="en-US" w:bidi="ar-SA"/>
              </w:rPr>
              <w:t>分。</w:t>
            </w:r>
          </w:p>
          <w:p w14:paraId="50CFF9A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其他投标报价得分计算公式如下：投标报价得分=（评标基准价/参与评审的价格）×</w:t>
            </w:r>
            <w:r>
              <w:rPr>
                <w:rFonts w:hint="eastAsia" w:ascii="宋体" w:hAnsi="宋体" w:eastAsia="宋体" w:cs="宋体"/>
                <w:spacing w:val="6"/>
                <w:kern w:val="2"/>
                <w:sz w:val="20"/>
                <w:szCs w:val="20"/>
                <w:lang w:val="en-US" w:eastAsia="zh-CN" w:bidi="ar-SA"/>
              </w:rPr>
              <w:t>30</w:t>
            </w:r>
            <w:r>
              <w:rPr>
                <w:rFonts w:hint="eastAsia" w:ascii="宋体" w:hAnsi="宋体" w:eastAsia="宋体" w:cs="宋体"/>
                <w:spacing w:val="6"/>
                <w:kern w:val="2"/>
                <w:sz w:val="20"/>
                <w:szCs w:val="20"/>
                <w:lang w:val="en-US" w:eastAsia="en-US" w:bidi="ar-SA"/>
              </w:rPr>
              <w:t>%×100。</w:t>
            </w:r>
          </w:p>
        </w:tc>
        <w:tc>
          <w:tcPr>
            <w:tcW w:w="334" w:type="pct"/>
            <w:vAlign w:val="center"/>
          </w:tcPr>
          <w:p w14:paraId="5A0CD4CA">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30</w:t>
            </w:r>
          </w:p>
        </w:tc>
        <w:tc>
          <w:tcPr>
            <w:tcW w:w="398" w:type="pct"/>
            <w:vAlign w:val="center"/>
          </w:tcPr>
          <w:p w14:paraId="0365AF9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客观</w:t>
            </w:r>
          </w:p>
        </w:tc>
      </w:tr>
    </w:tbl>
    <w:p w14:paraId="1E69602B">
      <w:pPr>
        <w:rPr>
          <w:color w:val="auto"/>
          <w:highlight w:val="none"/>
        </w:rPr>
      </w:pPr>
    </w:p>
    <w:p w14:paraId="23700AFE">
      <w:pPr>
        <w:snapToGrid w:val="0"/>
        <w:spacing w:line="360" w:lineRule="auto"/>
        <w:rPr>
          <w:rFonts w:ascii="宋体" w:hAnsi="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1"/>
          <w:szCs w:val="21"/>
          <w:highlight w:val="none"/>
          <w:shd w:val="clear" w:color="auto" w:fill="FFFFFF"/>
        </w:rPr>
        <w:t>*</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p w14:paraId="2C88C1BF">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3FFFD9AD">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DED47D1">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34073808">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09D3D8A0">
      <w:pPr>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6F072FF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F49BA9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1F29401B">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3F5A287B">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B8AC042">
      <w:pPr>
        <w:pStyle w:val="2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4414FF90">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756091">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34B93548">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164195EF">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5637DFEF">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F6BB2E">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471B0F06">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6D9EE256">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86A12D">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126DA2F1">
      <w:pPr>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4BD147">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87244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FF3645">
      <w:pPr>
        <w:widowControl/>
        <w:shd w:val="clear" w:color="auto" w:fill="FFFFFF"/>
        <w:adjustRightInd/>
        <w:spacing w:after="225" w:line="315" w:lineRule="atLeast"/>
        <w:jc w:val="left"/>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011C9856">
      <w:pPr>
        <w:pStyle w:val="2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36EAFB">
      <w:pPr>
        <w:pStyle w:val="7"/>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0B6C5B2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A7F4AE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33ED652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6759C3A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014D713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6E69B241">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p>
    <w:p w14:paraId="1A93FC09">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p>
    <w:p w14:paraId="64DB2C0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4D58B7F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117AC4B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3DD73434">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60A4737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68EBB5CA">
      <w:pPr>
        <w:pStyle w:val="3"/>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14:paraId="10B9DE82">
      <w:pPr>
        <w:spacing w:line="360" w:lineRule="auto"/>
        <w:ind w:firstLine="422" w:firstLineChars="200"/>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4.2.14 投标供应商的IP、MAC、硬件信息等系统信息存在异常情形的；</w:t>
      </w:r>
    </w:p>
    <w:p w14:paraId="146A1C17">
      <w:pPr>
        <w:pStyle w:val="7"/>
        <w:snapToGrid w:val="0"/>
        <w:spacing w:line="360" w:lineRule="auto"/>
        <w:ind w:firstLine="411" w:firstLineChars="196"/>
        <w:rPr>
          <w:rFonts w:cs="宋体"/>
          <w:color w:val="auto"/>
          <w:sz w:val="21"/>
          <w:szCs w:val="21"/>
          <w:highlight w:val="none"/>
        </w:rPr>
      </w:pPr>
      <w:r>
        <w:rPr>
          <w:rFonts w:hint="eastAsia" w:ascii="宋体" w:hAnsi="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法律、法规、规章（适用本市的）及省级以上规范性文件（适用本市的）规定的其他无效情形。</w:t>
      </w: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0B005D16">
      <w:pPr>
        <w:pStyle w:val="7"/>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C7BEC5B">
      <w:pPr>
        <w:pStyle w:val="7"/>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1C46CB08">
      <w:pPr>
        <w:pStyle w:val="7"/>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DC9DB36">
      <w:pPr>
        <w:pStyle w:val="7"/>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4E0EEF81">
      <w:pPr>
        <w:pStyle w:val="7"/>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13C39BEC">
      <w:pPr>
        <w:pStyle w:val="7"/>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7EFED3">
      <w:pPr>
        <w:pStyle w:val="7"/>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30BED9F2">
      <w:pPr>
        <w:pStyle w:val="7"/>
        <w:snapToGrid w:val="0"/>
        <w:spacing w:line="360" w:lineRule="auto"/>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5F7C993A">
      <w:pPr>
        <w:pStyle w:val="7"/>
        <w:snapToGrid w:val="0"/>
        <w:spacing w:line="360" w:lineRule="auto"/>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29CB048">
      <w:pPr>
        <w:pStyle w:val="7"/>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3119EB88">
      <w:pPr>
        <w:pStyle w:val="7"/>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34A5E38">
      <w:pPr>
        <w:pStyle w:val="7"/>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0F5D34B">
      <w:pPr>
        <w:widowControl/>
        <w:adjustRightInd/>
        <w:jc w:val="left"/>
        <w:rPr>
          <w:color w:val="auto"/>
          <w:szCs w:val="21"/>
          <w:highlight w:val="none"/>
        </w:rPr>
      </w:pPr>
      <w:bookmarkStart w:id="394" w:name="第五部分"/>
      <w:bookmarkStart w:id="395" w:name="_Toc86217003"/>
    </w:p>
    <w:p w14:paraId="7EF5E9F3">
      <w:pPr>
        <w:spacing w:line="240" w:lineRule="auto"/>
        <w:ind w:left="0" w:leftChars="0"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16141EF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510FEB7">
      <w:pPr>
        <w:spacing w:line="480" w:lineRule="auto"/>
        <w:jc w:val="center"/>
        <w:rPr>
          <w:rFonts w:ascii="宋体" w:hAnsi="宋体" w:cs="宋体"/>
          <w:b/>
          <w:color w:val="auto"/>
          <w:sz w:val="28"/>
          <w:szCs w:val="28"/>
          <w:highlight w:val="none"/>
        </w:rPr>
      </w:pPr>
    </w:p>
    <w:p w14:paraId="1C94126C">
      <w:pPr>
        <w:spacing w:line="480" w:lineRule="auto"/>
        <w:jc w:val="center"/>
        <w:rPr>
          <w:rFonts w:ascii="宋体" w:hAnsi="宋体" w:cs="宋体"/>
          <w:b/>
          <w:color w:val="auto"/>
          <w:sz w:val="24"/>
          <w:highlight w:val="none"/>
        </w:rPr>
      </w:pPr>
    </w:p>
    <w:p w14:paraId="48D992DA">
      <w:pPr>
        <w:spacing w:line="480" w:lineRule="auto"/>
        <w:jc w:val="center"/>
        <w:rPr>
          <w:rFonts w:ascii="宋体" w:hAnsi="宋体" w:cs="宋体"/>
          <w:b/>
          <w:color w:val="auto"/>
          <w:sz w:val="24"/>
          <w:highlight w:val="none"/>
        </w:rPr>
      </w:pPr>
    </w:p>
    <w:p w14:paraId="3971D7DD">
      <w:pPr>
        <w:autoSpaceDE w:val="0"/>
        <w:autoSpaceDN w:val="0"/>
        <w:snapToGrid w:val="0"/>
        <w:spacing w:after="120" w:line="360" w:lineRule="auto"/>
        <w:ind w:left="420" w:leftChars="200" w:firstLine="2843" w:firstLineChars="1180"/>
        <w:rPr>
          <w:rFonts w:ascii="宋体" w:hAnsi="宋体" w:cs="宋体"/>
          <w:b/>
          <w:color w:val="auto"/>
          <w:sz w:val="24"/>
          <w:highlight w:val="none"/>
        </w:rPr>
      </w:pPr>
      <w:r>
        <w:rPr>
          <w:rFonts w:hint="eastAsia" w:ascii="宋体" w:hAnsi="宋体" w:cs="宋体"/>
          <w:b/>
          <w:color w:val="auto"/>
          <w:sz w:val="24"/>
          <w:highlight w:val="none"/>
        </w:rPr>
        <w:t>第一部分 合同书</w:t>
      </w:r>
    </w:p>
    <w:p w14:paraId="6ABB3933">
      <w:pPr>
        <w:spacing w:before="120" w:line="22" w:lineRule="atLeast"/>
        <w:rPr>
          <w:rFonts w:ascii="宋体" w:hAnsi="宋体" w:cs="宋体"/>
          <w:color w:val="auto"/>
          <w:sz w:val="24"/>
          <w:highlight w:val="none"/>
        </w:rPr>
      </w:pPr>
    </w:p>
    <w:p w14:paraId="0DC9A978">
      <w:pPr>
        <w:keepNext w:val="0"/>
        <w:keepLines w:val="0"/>
        <w:adjustRightInd/>
        <w:spacing w:line="240" w:lineRule="auto"/>
        <w:ind w:left="0" w:firstLine="0"/>
        <w:jc w:val="left"/>
        <w:outlineLvl w:val="9"/>
        <w:rPr>
          <w:color w:val="auto"/>
          <w:highlight w:val="none"/>
          <w:lang w:val="zh-CN"/>
        </w:rPr>
      </w:pPr>
    </w:p>
    <w:p w14:paraId="64B5586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宁海县岔路镇中心卫生院食堂等综合服务外包项目(2025年-2027年)</w:t>
      </w:r>
      <w:r>
        <w:rPr>
          <w:rFonts w:hint="eastAsia" w:ascii="宋体" w:hAnsi="宋体" w:cs="宋体"/>
          <w:color w:val="auto"/>
          <w:sz w:val="24"/>
          <w:highlight w:val="none"/>
          <w:u w:val="single"/>
        </w:rPr>
        <w:t xml:space="preserve">  </w:t>
      </w:r>
    </w:p>
    <w:p w14:paraId="026E6A37">
      <w:pPr>
        <w:adjustRightInd/>
        <w:spacing w:before="120" w:line="22" w:lineRule="atLeast"/>
        <w:rPr>
          <w:rFonts w:ascii="宋体" w:hAnsi="宋体" w:cs="宋体"/>
          <w:color w:val="auto"/>
          <w:sz w:val="24"/>
          <w:highlight w:val="none"/>
        </w:rPr>
      </w:pPr>
    </w:p>
    <w:p w14:paraId="69550AF1">
      <w:pPr>
        <w:adjustRightInd/>
        <w:spacing w:before="120" w:line="22" w:lineRule="atLeast"/>
        <w:rPr>
          <w:rFonts w:ascii="宋体" w:hAnsi="宋体" w:cs="宋体"/>
          <w:color w:val="auto"/>
          <w:sz w:val="24"/>
          <w:highlight w:val="none"/>
        </w:rPr>
      </w:pPr>
    </w:p>
    <w:p w14:paraId="082715CA">
      <w:pPr>
        <w:rPr>
          <w:rFonts w:ascii="宋体" w:hAnsi="宋体" w:cs="宋体"/>
          <w:color w:val="auto"/>
          <w:sz w:val="24"/>
          <w:highlight w:val="none"/>
        </w:rPr>
      </w:pPr>
    </w:p>
    <w:p w14:paraId="5D7D67E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宁海县岔路镇中心卫生院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22F7BA32">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3B96CD2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279F0A6">
      <w:pPr>
        <w:spacing w:before="120" w:line="22" w:lineRule="atLeast"/>
        <w:rPr>
          <w:rFonts w:ascii="宋体" w:hAnsi="宋体" w:cs="宋体"/>
          <w:color w:val="auto"/>
          <w:sz w:val="24"/>
          <w:highlight w:val="none"/>
        </w:rPr>
      </w:pPr>
    </w:p>
    <w:p w14:paraId="738CBDE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B4276B6">
      <w:pPr>
        <w:spacing w:before="120" w:line="22" w:lineRule="atLeast"/>
        <w:rPr>
          <w:rFonts w:ascii="宋体" w:hAnsi="宋体" w:cs="宋体"/>
          <w:color w:val="auto"/>
          <w:sz w:val="24"/>
          <w:highlight w:val="none"/>
        </w:rPr>
      </w:pPr>
    </w:p>
    <w:p w14:paraId="2A57C5DD">
      <w:pPr>
        <w:spacing w:before="120" w:line="22" w:lineRule="atLeast"/>
        <w:ind w:firstLine="960" w:firstLineChars="400"/>
        <w:rPr>
          <w:rFonts w:ascii="宋体" w:hAnsi="宋体" w:cs="宋体"/>
          <w:color w:val="auto"/>
          <w:kern w:val="0"/>
          <w:sz w:val="24"/>
          <w:highlight w:val="none"/>
        </w:rPr>
        <w:sectPr>
          <w:footerReference r:id="rId9" w:type="default"/>
          <w:pgSz w:w="11907" w:h="16840"/>
          <w:pgMar w:top="1474" w:right="1814" w:bottom="1474" w:left="1814" w:header="851" w:footer="851" w:gutter="0"/>
          <w:pgNumType w:fmt="decimal"/>
          <w:cols w:space="720" w:num="1"/>
        </w:sect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D8C5EC">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合同编号：</w:t>
      </w:r>
    </w:p>
    <w:p w14:paraId="4263B0B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确认书号：</w:t>
      </w:r>
    </w:p>
    <w:p w14:paraId="5512730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甲方（采购人）： </w:t>
      </w:r>
    </w:p>
    <w:p w14:paraId="0BFB2192">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乙方（供应商）： </w:t>
      </w:r>
    </w:p>
    <w:p w14:paraId="0A0C59DB">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0CCB95AA">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甲、乙双方根据</w:t>
      </w:r>
      <w:r>
        <w:rPr>
          <w:rFonts w:hint="eastAsia" w:ascii="宋体" w:hAnsi="宋体" w:eastAsia="宋体" w:cs="宋体"/>
          <w:color w:val="auto"/>
          <w:kern w:val="0"/>
          <w:sz w:val="21"/>
          <w:szCs w:val="21"/>
          <w:highlight w:val="none"/>
          <w:u w:val="single"/>
        </w:rPr>
        <w:t xml:space="preserve">    （填写采购代理机构名称）   </w:t>
      </w:r>
      <w:r>
        <w:rPr>
          <w:rFonts w:hint="eastAsia" w:ascii="宋体" w:hAnsi="宋体" w:eastAsia="宋体" w:cs="宋体"/>
          <w:color w:val="auto"/>
          <w:kern w:val="0"/>
          <w:sz w:val="21"/>
          <w:szCs w:val="21"/>
          <w:highlight w:val="none"/>
        </w:rPr>
        <w:t>项目编号为的</w:t>
      </w:r>
      <w:r>
        <w:rPr>
          <w:rFonts w:hint="eastAsia" w:ascii="宋体" w:hAnsi="宋体" w:eastAsia="宋体" w:cs="宋体"/>
          <w:color w:val="auto"/>
          <w:kern w:val="0"/>
          <w:sz w:val="21"/>
          <w:szCs w:val="21"/>
          <w:highlight w:val="none"/>
          <w:u w:val="single"/>
        </w:rPr>
        <w:t>（标项及名称）</w:t>
      </w:r>
      <w:r>
        <w:rPr>
          <w:rFonts w:hint="eastAsia" w:ascii="宋体" w:hAnsi="宋体" w:eastAsia="宋体" w:cs="宋体"/>
          <w:color w:val="auto"/>
          <w:kern w:val="0"/>
          <w:sz w:val="21"/>
          <w:szCs w:val="21"/>
          <w:highlight w:val="none"/>
        </w:rPr>
        <w:t>项目的政府采购交易结果，签署本合同。</w:t>
      </w:r>
    </w:p>
    <w:p w14:paraId="703DF88A">
      <w:pPr>
        <w:widowControl/>
        <w:numPr>
          <w:ilvl w:val="0"/>
          <w:numId w:val="4"/>
        </w:numPr>
        <w:adjustRightInd/>
        <w:snapToGrid w:val="0"/>
        <w:spacing w:line="48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服务内容及标准</w:t>
      </w:r>
    </w:p>
    <w:p w14:paraId="72B2194A">
      <w:pPr>
        <w:widowControl/>
        <w:snapToGrid w:val="0"/>
        <w:spacing w:line="480" w:lineRule="exact"/>
        <w:ind w:left="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（按采购需求及投标文件的内容填写）</w:t>
      </w:r>
    </w:p>
    <w:p w14:paraId="606DB832">
      <w:pPr>
        <w:widowControl/>
        <w:numPr>
          <w:ilvl w:val="0"/>
          <w:numId w:val="4"/>
        </w:numPr>
        <w:adjustRightInd/>
        <w:snapToGrid w:val="0"/>
        <w:spacing w:line="48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服务价格</w:t>
      </w:r>
    </w:p>
    <w:p w14:paraId="27DC2075">
      <w:pPr>
        <w:widowControl/>
        <w:snapToGrid w:val="0"/>
        <w:spacing w:line="480" w:lineRule="exact"/>
        <w:ind w:left="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（有服务分项的，需报分项价格和总价）</w:t>
      </w:r>
    </w:p>
    <w:p w14:paraId="31F74CA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三、技术资料</w:t>
      </w:r>
    </w:p>
    <w:p w14:paraId="56B7536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1.乙方应按采购文件规定的时间向甲方提供与本项目有关的技术资料。</w:t>
      </w:r>
    </w:p>
    <w:p w14:paraId="3E8D1F5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D368C2">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四、知识产权</w:t>
      </w:r>
    </w:p>
    <w:p w14:paraId="33FEC288">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1、乙方应保证所提供的货物与服务均不会侵犯任何第三方的知识产权。</w:t>
      </w:r>
    </w:p>
    <w:p w14:paraId="7E1E5AEA">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2、乙方保证所交付的服务的所有权完全属于乙方且无任何抵押、查封等产权瑕疵。</w:t>
      </w:r>
    </w:p>
    <w:p w14:paraId="135F5B9B">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五、转包或分包</w:t>
      </w:r>
    </w:p>
    <w:p w14:paraId="0A628D1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不允许转包。</w:t>
      </w:r>
    </w:p>
    <w:p w14:paraId="38C53EA5">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允许分包部分。</w:t>
      </w:r>
    </w:p>
    <w:p w14:paraId="0AFAF93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如乙方将项目转包或将不允许分包部分进行了分包，甲方有权解除合同，没收履约保证金并追究乙方的违约责任。</w:t>
      </w:r>
    </w:p>
    <w:p w14:paraId="3B1C1E4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六、履约保证金</w:t>
      </w:r>
    </w:p>
    <w:p w14:paraId="5278BCC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1.履约保证金元。[履约保证金交至采购人处，服务完成后满（   ）个月之日起5个工作日内无息退还]</w:t>
      </w:r>
    </w:p>
    <w:p w14:paraId="188CFD79">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七、项目服务期限及实施地点</w:t>
      </w:r>
    </w:p>
    <w:p w14:paraId="415409A4">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1.服务期限：</w:t>
      </w:r>
    </w:p>
    <w:p w14:paraId="6D449709">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2.实施地点：</w:t>
      </w:r>
    </w:p>
    <w:p w14:paraId="520BEAC3">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八、付款</w:t>
      </w:r>
    </w:p>
    <w:p w14:paraId="7C4A2BFE">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付款方式：</w:t>
      </w:r>
    </w:p>
    <w:p w14:paraId="3B03125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九、税费</w:t>
      </w:r>
    </w:p>
    <w:p w14:paraId="488A770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14:paraId="7381D174">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十、违约责任</w:t>
      </w:r>
    </w:p>
    <w:p w14:paraId="12CF649E">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1.甲方无正当理由拒绝验收项目的，甲方向乙方偿付拒收合同总价的百分之五违约金。</w:t>
      </w:r>
    </w:p>
    <w:p w14:paraId="28994DE3">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2.甲方无故逾期验收和办理合同款项支付手续的,甲方应按逾期付款总额每日万分之五向乙方支付违约金。</w:t>
      </w:r>
    </w:p>
    <w:p w14:paraId="247EDFBC">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FCDD0F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4.乙方所履行的服务质量或服务数量不符合合同规定及采购文件规定的，甲方有权中止接受服务，单方面解除合同，且相关损失由乙方承担。</w:t>
      </w:r>
    </w:p>
    <w:p w14:paraId="24C27F99">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5.解除合同应按《浙江省合同管理办法》向财政备案。</w:t>
      </w:r>
    </w:p>
    <w:p w14:paraId="372F0F0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w:t>
      </w: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、不可抗力事件处理</w:t>
      </w:r>
    </w:p>
    <w:p w14:paraId="64C5FF5A">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14:paraId="7BA50F87">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2.不可抗力事件发生后，应立即通知对方，并寄送有关权威机构出具的证明。</w:t>
      </w:r>
    </w:p>
    <w:p w14:paraId="47ED2C52">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3.不可抗力事件延续120天以上，双方应通过友好协商，确定是否继续履行合同。</w:t>
      </w:r>
    </w:p>
    <w:p w14:paraId="6868F8E9">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w:t>
      </w: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、诉讼</w:t>
      </w:r>
    </w:p>
    <w:p w14:paraId="02988BFD">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双方在执行合同中所发生的一切争议，应通过协商解决。如协商不成，可向甲方所在地法院起诉。</w:t>
      </w:r>
    </w:p>
    <w:p w14:paraId="19A79C7A">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w:t>
      </w: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、合同生效及其他</w:t>
      </w:r>
    </w:p>
    <w:p w14:paraId="72889581">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1.合同经甲、乙双方签名并加盖单位公章后生效。</w:t>
      </w:r>
    </w:p>
    <w:p w14:paraId="7053B577">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2.采购文件、投标文件与本合同具有同等法律效力。</w:t>
      </w:r>
    </w:p>
    <w:p w14:paraId="451376B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3.本合同未尽事宜，遵照《中华人民共和国民法典》有关条文执行。</w:t>
      </w:r>
    </w:p>
    <w:p w14:paraId="693AABA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4.本合同一式五份，具有同等法律效力，甲、乙双方各执二份，采购代理机构一份。</w:t>
      </w:r>
    </w:p>
    <w:p w14:paraId="75C7E70A">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56F38139">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4FF050E8">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2E59B57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甲方（盖章）：                                   </w:t>
      </w:r>
    </w:p>
    <w:p w14:paraId="6BC0C46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地址：                                   </w:t>
      </w:r>
    </w:p>
    <w:p w14:paraId="75A87E3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法定（授权）代表人：                   </w:t>
      </w:r>
    </w:p>
    <w:p w14:paraId="1CAC0A9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签名日期：     年   月   日           </w:t>
      </w:r>
    </w:p>
    <w:p w14:paraId="5D135B6D">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1B5D3683">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乙方（盖章）：</w:t>
      </w:r>
    </w:p>
    <w:p w14:paraId="1988FE3E">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地址： </w:t>
      </w:r>
    </w:p>
    <w:p w14:paraId="0AF92805">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w:t>
      </w:r>
    </w:p>
    <w:p w14:paraId="6187A672">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开户账号：</w:t>
      </w:r>
    </w:p>
    <w:p w14:paraId="61BA2D7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法定（授权）代表人：</w:t>
      </w:r>
    </w:p>
    <w:p w14:paraId="1580556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签名日期：      年   月   日</w:t>
      </w:r>
    </w:p>
    <w:p w14:paraId="047BC33C">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0A296FE8">
      <w:pPr>
        <w:spacing w:line="500" w:lineRule="exact"/>
        <w:rPr>
          <w:rFonts w:hint="eastAsia" w:ascii="宋体" w:hAnsi="宋体" w:eastAsia="宋体" w:cs="宋体"/>
          <w:sz w:val="21"/>
          <w:szCs w:val="21"/>
        </w:rPr>
      </w:pPr>
    </w:p>
    <w:p w14:paraId="0EC4CC79">
      <w:pPr>
        <w:spacing w:line="500" w:lineRule="exact"/>
        <w:rPr>
          <w:rFonts w:hint="eastAsia" w:ascii="宋体" w:hAnsi="宋体" w:eastAsia="宋体" w:cs="宋体"/>
          <w:sz w:val="21"/>
          <w:szCs w:val="21"/>
          <w:lang w:eastAsia="zh-CN"/>
        </w:rPr>
      </w:pPr>
      <w:r>
        <w:rPr>
          <w:rFonts w:hint="eastAsia" w:ascii="宋体" w:hAnsi="宋体" w:eastAsia="宋体" w:cs="宋体"/>
          <w:sz w:val="21"/>
          <w:szCs w:val="21"/>
        </w:rPr>
        <w:t>见证方：</w:t>
      </w:r>
      <w:r>
        <w:rPr>
          <w:rFonts w:hint="eastAsia" w:ascii="宋体" w:hAnsi="宋体" w:eastAsia="宋体" w:cs="宋体"/>
          <w:sz w:val="21"/>
          <w:szCs w:val="21"/>
          <w:lang w:eastAsia="zh-CN"/>
        </w:rPr>
        <w:t>宁海童氏工程管理咨询有限公司</w:t>
      </w:r>
    </w:p>
    <w:p w14:paraId="5B7704E9">
      <w:pPr>
        <w:widowControl/>
        <w:jc w:val="left"/>
        <w:rPr>
          <w:rFonts w:asciiTheme="minorEastAsia" w:hAnsiTheme="minorEastAsia" w:eastAsiaTheme="minorEastAsia" w:cstheme="minorEastAsia"/>
          <w:color w:val="auto"/>
          <w:sz w:val="24"/>
          <w:highlight w:val="none"/>
        </w:rPr>
      </w:pPr>
      <w:r>
        <w:rPr>
          <w:sz w:val="21"/>
          <w:szCs w:val="21"/>
        </w:rPr>
        <w:br w:type="page"/>
      </w:r>
    </w:p>
    <w:p w14:paraId="61768FD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4C1E7FE7">
      <w:pPr>
        <w:spacing w:line="240" w:lineRule="auto"/>
        <w:jc w:val="left"/>
        <w:outlineLvl w:val="9"/>
        <w:rPr>
          <w:color w:val="auto"/>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55D54F">
      <w:pPr>
        <w:snapToGrid w:val="0"/>
        <w:spacing w:line="360" w:lineRule="auto"/>
        <w:ind w:firstLine="480" w:firstLineChars="200"/>
        <w:rPr>
          <w:rFonts w:ascii="宋体" w:hAnsi="宋体" w:cs="宋体"/>
          <w:color w:val="auto"/>
          <w:sz w:val="24"/>
          <w:highlight w:val="none"/>
        </w:rPr>
      </w:pPr>
    </w:p>
    <w:p w14:paraId="73A79414">
      <w:pPr>
        <w:spacing w:line="360" w:lineRule="auto"/>
        <w:ind w:firstLine="480" w:firstLineChars="200"/>
        <w:rPr>
          <w:rFonts w:ascii="宋体" w:hAnsi="宋体" w:cs="宋体"/>
          <w:color w:val="auto"/>
          <w:sz w:val="24"/>
          <w:highlight w:val="none"/>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宁海县岔路镇中心卫生院</w:t>
      </w:r>
      <w:r>
        <w:rPr>
          <w:rFonts w:hint="eastAsia" w:ascii="宋体" w:hAnsi="宋体" w:cs="宋体"/>
          <w:color w:val="auto"/>
          <w:sz w:val="24"/>
          <w:highlight w:val="none"/>
        </w:rPr>
        <w:t>、</w:t>
      </w:r>
      <w:r>
        <w:rPr>
          <w:rFonts w:hint="eastAsia" w:ascii="宋体" w:hAnsi="宋体" w:cs="宋体"/>
          <w:color w:val="auto"/>
          <w:sz w:val="24"/>
          <w:highlight w:val="none"/>
          <w:lang w:eastAsia="zh-CN"/>
        </w:rPr>
        <w:t>宁海童氏工程管理咨询有限公司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宁海县岔路镇中心卫生院食堂等综合服务外包项目  (2025年-2027年)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NH-TS2024-128-1</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3"/>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1D961D4">
      <w:pPr>
        <w:snapToGrid w:val="0"/>
        <w:spacing w:line="360" w:lineRule="auto"/>
        <w:jc w:val="center"/>
        <w:rPr>
          <w:rFonts w:ascii="宋体" w:hAnsi="宋体" w:cs="宋体"/>
          <w:b/>
          <w:color w:val="auto"/>
          <w:kern w:val="0"/>
          <w:sz w:val="32"/>
          <w:szCs w:val="32"/>
          <w:highlight w:val="none"/>
          <w:lang w:val="zh-CN"/>
        </w:rPr>
      </w:pPr>
    </w:p>
    <w:p w14:paraId="7F62A3DD">
      <w:pPr>
        <w:snapToGrid w:val="0"/>
        <w:spacing w:line="360" w:lineRule="auto"/>
        <w:jc w:val="center"/>
        <w:rPr>
          <w:rFonts w:ascii="宋体" w:hAnsi="宋体" w:cs="宋体"/>
          <w:b/>
          <w:color w:val="auto"/>
          <w:kern w:val="0"/>
          <w:sz w:val="32"/>
          <w:szCs w:val="32"/>
          <w:highlight w:val="none"/>
          <w:lang w:val="zh-CN"/>
        </w:rPr>
      </w:pPr>
    </w:p>
    <w:p w14:paraId="62DD17A2">
      <w:pPr>
        <w:snapToGrid w:val="0"/>
        <w:spacing w:line="360" w:lineRule="auto"/>
        <w:jc w:val="center"/>
        <w:rPr>
          <w:rFonts w:ascii="宋体" w:hAnsi="宋体" w:cs="宋体"/>
          <w:b/>
          <w:color w:val="auto"/>
          <w:kern w:val="0"/>
          <w:sz w:val="32"/>
          <w:szCs w:val="32"/>
          <w:highlight w:val="none"/>
          <w:lang w:val="zh-CN"/>
        </w:rPr>
      </w:pPr>
    </w:p>
    <w:p w14:paraId="60CB4EA1">
      <w:pPr>
        <w:snapToGrid w:val="0"/>
        <w:spacing w:line="360" w:lineRule="auto"/>
        <w:jc w:val="center"/>
        <w:rPr>
          <w:rFonts w:ascii="宋体" w:hAnsi="宋体" w:cs="宋体"/>
          <w:b/>
          <w:color w:val="auto"/>
          <w:kern w:val="0"/>
          <w:sz w:val="32"/>
          <w:szCs w:val="32"/>
          <w:highlight w:val="none"/>
          <w:lang w:val="zh-CN"/>
        </w:rPr>
      </w:pPr>
    </w:p>
    <w:p w14:paraId="08635DDB">
      <w:pPr>
        <w:snapToGrid w:val="0"/>
        <w:spacing w:line="360" w:lineRule="auto"/>
        <w:jc w:val="center"/>
        <w:rPr>
          <w:rFonts w:ascii="宋体" w:hAnsi="宋体" w:cs="宋体"/>
          <w:b/>
          <w:color w:val="auto"/>
          <w:kern w:val="0"/>
          <w:sz w:val="32"/>
          <w:szCs w:val="32"/>
          <w:highlight w:val="none"/>
          <w:lang w:val="zh-CN"/>
        </w:rPr>
      </w:pPr>
    </w:p>
    <w:p w14:paraId="20AC4550">
      <w:pPr>
        <w:snapToGrid w:val="0"/>
        <w:spacing w:line="360" w:lineRule="auto"/>
        <w:jc w:val="center"/>
        <w:rPr>
          <w:rFonts w:ascii="宋体" w:hAnsi="宋体" w:cs="宋体"/>
          <w:b/>
          <w:color w:val="auto"/>
          <w:kern w:val="0"/>
          <w:sz w:val="32"/>
          <w:szCs w:val="32"/>
          <w:highlight w:val="none"/>
          <w:lang w:val="zh-CN"/>
        </w:rPr>
      </w:pPr>
    </w:p>
    <w:p w14:paraId="573167CA">
      <w:pPr>
        <w:snapToGrid w:val="0"/>
        <w:spacing w:line="360" w:lineRule="auto"/>
        <w:jc w:val="center"/>
        <w:rPr>
          <w:rFonts w:ascii="宋体" w:hAnsi="宋体" w:cs="宋体"/>
          <w:b/>
          <w:color w:val="auto"/>
          <w:kern w:val="0"/>
          <w:sz w:val="32"/>
          <w:szCs w:val="32"/>
          <w:highlight w:val="none"/>
          <w:lang w:val="zh-CN"/>
        </w:rPr>
      </w:pPr>
    </w:p>
    <w:p w14:paraId="53DF9857">
      <w:pPr>
        <w:snapToGrid w:val="0"/>
        <w:spacing w:line="360" w:lineRule="auto"/>
        <w:jc w:val="center"/>
        <w:rPr>
          <w:rFonts w:ascii="宋体" w:hAnsi="宋体" w:cs="宋体"/>
          <w:b/>
          <w:color w:val="auto"/>
          <w:kern w:val="0"/>
          <w:sz w:val="32"/>
          <w:szCs w:val="32"/>
          <w:highlight w:val="none"/>
          <w:lang w:val="zh-CN"/>
        </w:rPr>
      </w:pPr>
    </w:p>
    <w:p w14:paraId="01A2683E">
      <w:pPr>
        <w:snapToGrid w:val="0"/>
        <w:spacing w:line="360" w:lineRule="auto"/>
        <w:jc w:val="center"/>
        <w:rPr>
          <w:rFonts w:ascii="宋体" w:hAnsi="宋体" w:cs="宋体"/>
          <w:b/>
          <w:color w:val="auto"/>
          <w:kern w:val="0"/>
          <w:sz w:val="32"/>
          <w:szCs w:val="32"/>
          <w:highlight w:val="none"/>
          <w:lang w:val="zh-CN"/>
        </w:rPr>
      </w:pPr>
    </w:p>
    <w:p w14:paraId="35310F8C">
      <w:pPr>
        <w:snapToGrid w:val="0"/>
        <w:spacing w:line="360" w:lineRule="auto"/>
        <w:jc w:val="center"/>
        <w:rPr>
          <w:rFonts w:ascii="宋体" w:hAnsi="宋体" w:cs="宋体"/>
          <w:b/>
          <w:color w:val="auto"/>
          <w:kern w:val="0"/>
          <w:sz w:val="32"/>
          <w:szCs w:val="32"/>
          <w:highlight w:val="none"/>
          <w:lang w:val="zh-CN"/>
        </w:rPr>
      </w:pPr>
    </w:p>
    <w:p w14:paraId="55435DFE">
      <w:pPr>
        <w:snapToGrid w:val="0"/>
        <w:spacing w:line="360" w:lineRule="auto"/>
        <w:jc w:val="center"/>
        <w:rPr>
          <w:rFonts w:ascii="宋体" w:hAnsi="宋体" w:cs="宋体"/>
          <w:b/>
          <w:color w:val="auto"/>
          <w:kern w:val="0"/>
          <w:sz w:val="32"/>
          <w:szCs w:val="32"/>
          <w:highlight w:val="none"/>
          <w:lang w:val="zh-CN"/>
        </w:rPr>
      </w:pPr>
    </w:p>
    <w:p w14:paraId="2DA49898">
      <w:pPr>
        <w:snapToGrid w:val="0"/>
        <w:spacing w:line="360" w:lineRule="auto"/>
        <w:jc w:val="center"/>
        <w:rPr>
          <w:rFonts w:ascii="宋体" w:hAnsi="宋体" w:cs="宋体"/>
          <w:b/>
          <w:color w:val="auto"/>
          <w:kern w:val="0"/>
          <w:sz w:val="32"/>
          <w:szCs w:val="32"/>
          <w:highlight w:val="none"/>
          <w:lang w:val="zh-CN"/>
        </w:rPr>
      </w:pPr>
    </w:p>
    <w:p w14:paraId="505B1202">
      <w:pPr>
        <w:rPr>
          <w:rFonts w:ascii="宋体" w:hAnsi="宋体" w:cs="宋体"/>
          <w:b/>
          <w:color w:val="auto"/>
          <w:kern w:val="0"/>
          <w:sz w:val="32"/>
          <w:szCs w:val="32"/>
          <w:highlight w:val="none"/>
          <w:lang w:val="zh-CN"/>
        </w:rPr>
      </w:pPr>
    </w:p>
    <w:p w14:paraId="3BFDAF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NH-TS2024-128-1</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6" w:name="_Hlk101257010"/>
      <w:r>
        <w:rPr>
          <w:rFonts w:hint="eastAsia" w:ascii="宋体" w:hAnsi="宋体" w:cs="宋体"/>
          <w:color w:val="auto"/>
          <w:sz w:val="21"/>
          <w:szCs w:val="21"/>
          <w:highlight w:val="none"/>
        </w:rPr>
        <w:t>（如果有)</w:t>
      </w:r>
      <w:bookmarkEnd w:id="396"/>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25"/>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5DA1894">
      <w:pPr>
        <w:keepNext w:val="0"/>
        <w:keepLines w:val="0"/>
        <w:pageBreakBefore w:val="0"/>
        <w:widowControl w:val="0"/>
        <w:kinsoku/>
        <w:wordWrap/>
        <w:overflowPunct/>
        <w:topLinePunct w:val="0"/>
        <w:autoSpaceDE/>
        <w:autoSpaceDN/>
        <w:bidi w:val="0"/>
        <w:snapToGrid w:val="0"/>
        <w:spacing w:line="312" w:lineRule="auto"/>
        <w:ind w:left="420" w:leftChars="200" w:firstLine="3675" w:firstLineChars="1750"/>
        <w:textAlignment w:val="auto"/>
        <w:rPr>
          <w:rFonts w:ascii="宋体" w:hAnsi="宋体" w:cs="宋体"/>
          <w:color w:val="auto"/>
          <w:kern w:val="0"/>
          <w:sz w:val="21"/>
          <w:szCs w:val="21"/>
          <w:highlight w:val="none"/>
          <w:u w:val="single"/>
        </w:rPr>
      </w:pP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602E6D">
      <w:pPr>
        <w:snapToGrid w:val="0"/>
        <w:spacing w:line="360" w:lineRule="auto"/>
        <w:jc w:val="center"/>
        <w:rPr>
          <w:rFonts w:ascii="宋体" w:hAnsi="宋体" w:cs="宋体"/>
          <w:b/>
          <w:color w:val="auto"/>
          <w:kern w:val="0"/>
          <w:sz w:val="32"/>
          <w:szCs w:val="32"/>
          <w:highlight w:val="none"/>
        </w:rPr>
      </w:pPr>
    </w:p>
    <w:p w14:paraId="15EEC4F1">
      <w:pPr>
        <w:snapToGrid w:val="0"/>
        <w:spacing w:line="360" w:lineRule="auto"/>
        <w:rPr>
          <w:rFonts w:ascii="宋体" w:hAnsi="宋体" w:cs="宋体"/>
          <w:color w:val="auto"/>
          <w:sz w:val="24"/>
          <w:highlight w:val="none"/>
        </w:rPr>
      </w:pPr>
    </w:p>
    <w:p w14:paraId="41851783"/>
    <w:p w14:paraId="31F91F9C">
      <w:pPr>
        <w:jc w:val="center"/>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NH-TS2024-128-1</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NH-TS2024-128-1</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59E05533">
      <w:pPr>
        <w:autoSpaceDE w:val="0"/>
        <w:autoSpaceDN w:val="0"/>
        <w:spacing w:line="360" w:lineRule="auto"/>
        <w:jc w:val="center"/>
        <w:rPr>
          <w:rFonts w:ascii="宋体" w:hAnsi="宋体" w:cs="宋体"/>
          <w:b/>
          <w:color w:val="auto"/>
          <w:kern w:val="0"/>
          <w:sz w:val="32"/>
          <w:szCs w:val="32"/>
          <w:highlight w:val="none"/>
          <w:lang w:val="zh-CN"/>
        </w:rPr>
      </w:pPr>
    </w:p>
    <w:p w14:paraId="3A0142B8">
      <w:pPr>
        <w:autoSpaceDE w:val="0"/>
        <w:autoSpaceDN w:val="0"/>
        <w:spacing w:line="360" w:lineRule="auto"/>
        <w:jc w:val="center"/>
        <w:rPr>
          <w:rFonts w:hint="eastAsia" w:ascii="宋体" w:hAnsi="宋体" w:cs="宋体"/>
          <w:b/>
          <w:color w:val="auto"/>
          <w:kern w:val="0"/>
          <w:sz w:val="32"/>
          <w:szCs w:val="32"/>
          <w:highlight w:val="none"/>
          <w:lang w:val="zh-CN"/>
        </w:rPr>
      </w:pPr>
    </w:p>
    <w:p w14:paraId="2B462A8E">
      <w:pPr>
        <w:autoSpaceDE w:val="0"/>
        <w:autoSpaceDN w:val="0"/>
        <w:spacing w:line="360" w:lineRule="auto"/>
        <w:jc w:val="center"/>
        <w:rPr>
          <w:rFonts w:hint="eastAsia" w:ascii="宋体" w:hAnsi="宋体" w:cs="宋体"/>
          <w:b/>
          <w:color w:val="auto"/>
          <w:kern w:val="0"/>
          <w:sz w:val="32"/>
          <w:szCs w:val="32"/>
          <w:highlight w:val="none"/>
          <w:lang w:val="zh-CN"/>
        </w:rPr>
      </w:pPr>
    </w:p>
    <w:p w14:paraId="628F7C66">
      <w:pPr>
        <w:autoSpaceDE w:val="0"/>
        <w:autoSpaceDN w:val="0"/>
        <w:spacing w:line="360" w:lineRule="auto"/>
        <w:jc w:val="center"/>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3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204C3">
            <w:pPr>
              <w:pStyle w:val="3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00AAC8">
            <w:pPr>
              <w:pStyle w:val="31"/>
              <w:adjustRightInd w:val="0"/>
              <w:spacing w:line="360" w:lineRule="auto"/>
              <w:rPr>
                <w:rFonts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3799F91D">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5CBA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jc w:val="center"/>
              <w:rPr>
                <w:rFonts w:ascii="宋体" w:hAnsi="宋体" w:cs="宋体"/>
                <w:color w:val="auto"/>
                <w:sz w:val="21"/>
                <w:szCs w:val="21"/>
                <w:highlight w:val="none"/>
              </w:rPr>
            </w:pPr>
          </w:p>
          <w:p w14:paraId="4FB2900F">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jc w:val="center"/>
              <w:rPr>
                <w:rFonts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66AF8AF2">
      <w:pPr>
        <w:jc w:val="center"/>
        <w:rPr>
          <w:rFonts w:ascii="宋体" w:hAnsi="宋体" w:cs="宋体"/>
          <w:b/>
          <w:color w:val="auto"/>
          <w:kern w:val="0"/>
          <w:sz w:val="32"/>
          <w:szCs w:val="32"/>
          <w:highlight w:val="none"/>
        </w:rPr>
      </w:pPr>
    </w:p>
    <w:p w14:paraId="6681DF90">
      <w:pPr>
        <w:jc w:val="center"/>
        <w:rPr>
          <w:rFonts w:ascii="宋体" w:hAnsi="宋体" w:cs="宋体"/>
          <w:b/>
          <w:color w:val="auto"/>
          <w:kern w:val="0"/>
          <w:sz w:val="32"/>
          <w:szCs w:val="32"/>
          <w:highlight w:val="none"/>
        </w:rPr>
      </w:pPr>
    </w:p>
    <w:p w14:paraId="758B10C0">
      <w:pPr>
        <w:jc w:val="center"/>
        <w:rPr>
          <w:rFonts w:ascii="宋体" w:hAnsi="宋体" w:cs="宋体"/>
          <w:b/>
          <w:color w:val="auto"/>
          <w:kern w:val="0"/>
          <w:sz w:val="32"/>
          <w:szCs w:val="32"/>
          <w:highlight w:val="none"/>
        </w:rPr>
      </w:pPr>
    </w:p>
    <w:p w14:paraId="16EECED7">
      <w:pPr>
        <w:pStyle w:val="2"/>
      </w:pPr>
    </w:p>
    <w:p w14:paraId="242A6951">
      <w:pPr>
        <w:jc w:val="center"/>
        <w:rPr>
          <w:rFonts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spacing w:line="360" w:lineRule="auto"/>
              <w:jc w:val="center"/>
              <w:rPr>
                <w:rFonts w:ascii="宋体" w:hAnsi="宋体" w:cs="宋体"/>
                <w:b/>
                <w:color w:val="auto"/>
                <w:sz w:val="24"/>
                <w:highlight w:val="none"/>
              </w:rPr>
            </w:pPr>
          </w:p>
          <w:p w14:paraId="343EC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spacing w:line="360" w:lineRule="auto"/>
              <w:jc w:val="center"/>
              <w:rPr>
                <w:rFonts w:ascii="宋体" w:hAnsi="宋体" w:cs="宋体"/>
                <w:b/>
                <w:color w:val="auto"/>
                <w:sz w:val="24"/>
                <w:highlight w:val="none"/>
              </w:rPr>
            </w:pPr>
          </w:p>
          <w:p w14:paraId="0249F7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9C4FFA">
            <w:pPr>
              <w:spacing w:line="360" w:lineRule="auto"/>
              <w:jc w:val="center"/>
              <w:rPr>
                <w:rFonts w:ascii="宋体" w:hAnsi="宋体" w:cs="宋体"/>
                <w:b/>
                <w:color w:val="auto"/>
                <w:sz w:val="24"/>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spacing w:line="360" w:lineRule="auto"/>
              <w:jc w:val="center"/>
              <w:rPr>
                <w:rFonts w:ascii="宋体" w:hAnsi="宋体" w:cs="宋体"/>
                <w:color w:val="auto"/>
                <w:sz w:val="24"/>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spacing w:line="360" w:lineRule="auto"/>
              <w:jc w:val="center"/>
              <w:rPr>
                <w:rFonts w:ascii="宋体" w:hAnsi="宋体" w:cs="宋体"/>
                <w:color w:val="auto"/>
                <w:sz w:val="24"/>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spacing w:line="360" w:lineRule="auto"/>
              <w:jc w:val="center"/>
              <w:rPr>
                <w:rFonts w:ascii="宋体" w:hAnsi="宋体" w:cs="宋体"/>
                <w:color w:val="auto"/>
                <w:sz w:val="24"/>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ABC1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13464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F742EA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C9AC0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80088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946F3FB">
            <w:pPr>
              <w:jc w:val="center"/>
              <w:rPr>
                <w:rFonts w:ascii="宋体" w:hAnsi="宋体" w:cs="宋体"/>
                <w:b/>
                <w:color w:val="auto"/>
                <w:kern w:val="0"/>
                <w:sz w:val="32"/>
                <w:szCs w:val="32"/>
                <w:highlight w:val="none"/>
              </w:rPr>
            </w:pPr>
          </w:p>
        </w:tc>
        <w:tc>
          <w:tcPr>
            <w:tcW w:w="3546" w:type="dxa"/>
          </w:tcPr>
          <w:p w14:paraId="1CBC3604">
            <w:pPr>
              <w:jc w:val="center"/>
              <w:rPr>
                <w:rFonts w:ascii="宋体" w:hAnsi="宋体" w:cs="宋体"/>
                <w:b/>
                <w:color w:val="auto"/>
                <w:kern w:val="0"/>
                <w:sz w:val="32"/>
                <w:szCs w:val="32"/>
                <w:highlight w:val="none"/>
              </w:rPr>
            </w:pPr>
          </w:p>
        </w:tc>
        <w:tc>
          <w:tcPr>
            <w:tcW w:w="1276" w:type="dxa"/>
          </w:tcPr>
          <w:p w14:paraId="3303CC6F">
            <w:pPr>
              <w:jc w:val="center"/>
              <w:rPr>
                <w:rFonts w:ascii="宋体" w:hAnsi="宋体" w:cs="宋体"/>
                <w:b/>
                <w:color w:val="auto"/>
                <w:kern w:val="0"/>
                <w:sz w:val="32"/>
                <w:szCs w:val="32"/>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6FF21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A9526A8">
            <w:pPr>
              <w:jc w:val="center"/>
              <w:rPr>
                <w:rFonts w:ascii="宋体" w:hAnsi="宋体" w:cs="宋体"/>
                <w:b/>
                <w:color w:val="auto"/>
                <w:kern w:val="0"/>
                <w:sz w:val="32"/>
                <w:szCs w:val="32"/>
                <w:highlight w:val="none"/>
              </w:rPr>
            </w:pPr>
          </w:p>
        </w:tc>
        <w:tc>
          <w:tcPr>
            <w:tcW w:w="3546" w:type="dxa"/>
          </w:tcPr>
          <w:p w14:paraId="305EFB6F">
            <w:pPr>
              <w:jc w:val="center"/>
              <w:rPr>
                <w:rFonts w:ascii="宋体" w:hAnsi="宋体" w:cs="宋体"/>
                <w:b/>
                <w:color w:val="auto"/>
                <w:kern w:val="0"/>
                <w:sz w:val="32"/>
                <w:szCs w:val="32"/>
                <w:highlight w:val="none"/>
              </w:rPr>
            </w:pPr>
          </w:p>
        </w:tc>
        <w:tc>
          <w:tcPr>
            <w:tcW w:w="1276" w:type="dxa"/>
          </w:tcPr>
          <w:p w14:paraId="7040C4C0">
            <w:pPr>
              <w:jc w:val="center"/>
              <w:rPr>
                <w:rFonts w:ascii="宋体" w:hAnsi="宋体" w:cs="宋体"/>
                <w:b/>
                <w:color w:val="auto"/>
                <w:kern w:val="0"/>
                <w:sz w:val="32"/>
                <w:szCs w:val="32"/>
                <w:highlight w:val="none"/>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EFED3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A7BDDCF">
            <w:pPr>
              <w:jc w:val="center"/>
              <w:rPr>
                <w:rFonts w:ascii="宋体" w:hAnsi="宋体" w:cs="宋体"/>
                <w:b/>
                <w:color w:val="auto"/>
                <w:kern w:val="0"/>
                <w:sz w:val="32"/>
                <w:szCs w:val="32"/>
                <w:highlight w:val="none"/>
              </w:rPr>
            </w:pPr>
          </w:p>
        </w:tc>
        <w:tc>
          <w:tcPr>
            <w:tcW w:w="3546" w:type="dxa"/>
          </w:tcPr>
          <w:p w14:paraId="470D6083">
            <w:pPr>
              <w:jc w:val="center"/>
              <w:rPr>
                <w:rFonts w:ascii="宋体" w:hAnsi="宋体" w:cs="宋体"/>
                <w:b/>
                <w:color w:val="auto"/>
                <w:kern w:val="0"/>
                <w:sz w:val="32"/>
                <w:szCs w:val="32"/>
                <w:highlight w:val="none"/>
              </w:rPr>
            </w:pPr>
          </w:p>
        </w:tc>
        <w:tc>
          <w:tcPr>
            <w:tcW w:w="1276" w:type="dxa"/>
          </w:tcPr>
          <w:p w14:paraId="1ADF43C9">
            <w:pPr>
              <w:jc w:val="center"/>
              <w:rPr>
                <w:rFonts w:ascii="宋体" w:hAnsi="宋体" w:cs="宋体"/>
                <w:b/>
                <w:color w:val="auto"/>
                <w:kern w:val="0"/>
                <w:sz w:val="32"/>
                <w:szCs w:val="32"/>
                <w:highlight w:val="none"/>
              </w:rPr>
            </w:pPr>
          </w:p>
        </w:tc>
      </w:tr>
    </w:tbl>
    <w:p w14:paraId="462B8E7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2CC1CC4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C1ACDDE">
      <w:pPr>
        <w:snapToGrid w:val="0"/>
        <w:spacing w:line="360" w:lineRule="auto"/>
        <w:rPr>
          <w:rFonts w:ascii="宋体" w:hAnsi="宋体" w:cs="宋体"/>
          <w:color w:val="auto"/>
          <w:sz w:val="24"/>
          <w:highlight w:val="none"/>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411EA48C">
      <w:pPr>
        <w:spacing w:line="48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89426EC">
      <w:pPr>
        <w:pStyle w:val="25"/>
        <w:rPr>
          <w:color w:val="auto"/>
          <w:highlight w:val="none"/>
        </w:rPr>
      </w:pPr>
    </w:p>
    <w:p w14:paraId="4DCDCA67">
      <w:pPr>
        <w:pStyle w:val="25"/>
        <w:rPr>
          <w:color w:val="auto"/>
          <w:highlight w:val="none"/>
        </w:rPr>
      </w:pPr>
    </w:p>
    <w:p w14:paraId="5316AC76">
      <w:pPr>
        <w:snapToGrid w:val="0"/>
        <w:spacing w:line="360" w:lineRule="auto"/>
        <w:ind w:right="480"/>
        <w:jc w:val="center"/>
        <w:rPr>
          <w:rFonts w:ascii="宋体" w:hAnsi="宋体" w:cs="宋体"/>
          <w:b/>
          <w:color w:val="auto"/>
          <w:kern w:val="0"/>
          <w:sz w:val="32"/>
          <w:szCs w:val="32"/>
          <w:highlight w:val="none"/>
        </w:rPr>
      </w:pPr>
    </w:p>
    <w:p w14:paraId="047221B4">
      <w:pPr>
        <w:snapToGrid w:val="0"/>
        <w:spacing w:line="360" w:lineRule="auto"/>
        <w:ind w:right="480"/>
        <w:jc w:val="center"/>
        <w:rPr>
          <w:rFonts w:ascii="宋体" w:hAnsi="宋体" w:cs="宋体"/>
          <w:b/>
          <w:color w:val="auto"/>
          <w:kern w:val="0"/>
          <w:sz w:val="32"/>
          <w:szCs w:val="32"/>
          <w:highlight w:val="none"/>
        </w:rPr>
      </w:pPr>
    </w:p>
    <w:p w14:paraId="3FB71C22">
      <w:pPr>
        <w:snapToGrid w:val="0"/>
        <w:spacing w:line="360" w:lineRule="auto"/>
        <w:ind w:right="480"/>
        <w:jc w:val="center"/>
        <w:rPr>
          <w:rFonts w:ascii="宋体" w:hAnsi="宋体" w:cs="宋体"/>
          <w:b/>
          <w:color w:val="auto"/>
          <w:kern w:val="0"/>
          <w:sz w:val="32"/>
          <w:szCs w:val="32"/>
          <w:highlight w:val="none"/>
        </w:rPr>
      </w:pPr>
    </w:p>
    <w:p w14:paraId="5CB8DA8E">
      <w:pPr>
        <w:snapToGrid w:val="0"/>
        <w:spacing w:line="360" w:lineRule="auto"/>
        <w:ind w:right="480"/>
        <w:jc w:val="center"/>
        <w:rPr>
          <w:rFonts w:ascii="宋体" w:hAnsi="宋体" w:cs="宋体"/>
          <w:b/>
          <w:color w:val="auto"/>
          <w:kern w:val="0"/>
          <w:sz w:val="32"/>
          <w:szCs w:val="32"/>
          <w:highlight w:val="none"/>
        </w:rPr>
      </w:pPr>
    </w:p>
    <w:p w14:paraId="7CDFB245">
      <w:pPr>
        <w:snapToGrid w:val="0"/>
        <w:spacing w:line="360" w:lineRule="auto"/>
        <w:ind w:right="480"/>
        <w:jc w:val="center"/>
        <w:rPr>
          <w:rFonts w:ascii="宋体" w:hAnsi="宋体" w:cs="宋体"/>
          <w:b/>
          <w:color w:val="auto"/>
          <w:kern w:val="0"/>
          <w:sz w:val="32"/>
          <w:szCs w:val="32"/>
          <w:highlight w:val="none"/>
        </w:rPr>
      </w:pPr>
    </w:p>
    <w:p w14:paraId="2D7843D7">
      <w:pPr>
        <w:snapToGrid w:val="0"/>
        <w:spacing w:line="360" w:lineRule="auto"/>
        <w:ind w:right="480"/>
        <w:jc w:val="center"/>
        <w:rPr>
          <w:rFonts w:ascii="宋体" w:hAnsi="宋体" w:cs="宋体"/>
          <w:b/>
          <w:color w:val="auto"/>
          <w:kern w:val="0"/>
          <w:sz w:val="32"/>
          <w:szCs w:val="32"/>
          <w:highlight w:val="none"/>
        </w:rPr>
      </w:pPr>
    </w:p>
    <w:p w14:paraId="735D6735">
      <w:pPr>
        <w:snapToGrid w:val="0"/>
        <w:spacing w:line="360" w:lineRule="auto"/>
        <w:ind w:right="480"/>
        <w:jc w:val="center"/>
        <w:rPr>
          <w:rFonts w:ascii="宋体" w:hAnsi="宋体" w:cs="宋体"/>
          <w:b/>
          <w:color w:val="auto"/>
          <w:kern w:val="0"/>
          <w:sz w:val="32"/>
          <w:szCs w:val="32"/>
          <w:highlight w:val="none"/>
        </w:rPr>
      </w:pPr>
    </w:p>
    <w:p w14:paraId="79AE1020">
      <w:pPr>
        <w:snapToGrid w:val="0"/>
        <w:spacing w:line="360" w:lineRule="auto"/>
        <w:ind w:right="480"/>
        <w:jc w:val="center"/>
        <w:rPr>
          <w:rFonts w:ascii="宋体" w:hAnsi="宋体" w:cs="宋体"/>
          <w:b/>
          <w:color w:val="auto"/>
          <w:kern w:val="0"/>
          <w:sz w:val="32"/>
          <w:szCs w:val="32"/>
          <w:highlight w:val="none"/>
        </w:rPr>
      </w:pPr>
    </w:p>
    <w:p w14:paraId="4EC4AF1D">
      <w:pPr>
        <w:snapToGrid w:val="0"/>
        <w:spacing w:line="360" w:lineRule="auto"/>
        <w:ind w:right="480"/>
        <w:jc w:val="center"/>
        <w:rPr>
          <w:rFonts w:ascii="宋体" w:hAnsi="宋体" w:cs="宋体"/>
          <w:b/>
          <w:color w:val="auto"/>
          <w:kern w:val="0"/>
          <w:sz w:val="32"/>
          <w:szCs w:val="32"/>
          <w:highlight w:val="none"/>
        </w:rPr>
      </w:pPr>
    </w:p>
    <w:p w14:paraId="1723823B">
      <w:pPr>
        <w:snapToGrid w:val="0"/>
        <w:spacing w:line="360" w:lineRule="auto"/>
        <w:ind w:right="480"/>
        <w:jc w:val="center"/>
        <w:rPr>
          <w:rFonts w:ascii="宋体" w:hAnsi="宋体" w:cs="宋体"/>
          <w:b/>
          <w:color w:val="auto"/>
          <w:kern w:val="0"/>
          <w:sz w:val="32"/>
          <w:szCs w:val="32"/>
          <w:highlight w:val="none"/>
        </w:rPr>
      </w:pPr>
    </w:p>
    <w:p w14:paraId="19C9EA19">
      <w:pPr>
        <w:snapToGrid w:val="0"/>
        <w:spacing w:line="360" w:lineRule="auto"/>
        <w:ind w:right="480"/>
        <w:jc w:val="center"/>
        <w:rPr>
          <w:rFonts w:ascii="宋体" w:hAnsi="宋体" w:cs="宋体"/>
          <w:b/>
          <w:color w:val="auto"/>
          <w:kern w:val="0"/>
          <w:sz w:val="32"/>
          <w:szCs w:val="32"/>
          <w:highlight w:val="none"/>
        </w:rPr>
      </w:pPr>
    </w:p>
    <w:p w14:paraId="334DACF0">
      <w:pPr>
        <w:snapToGrid w:val="0"/>
        <w:spacing w:line="360" w:lineRule="auto"/>
        <w:ind w:right="480"/>
        <w:jc w:val="center"/>
        <w:rPr>
          <w:rFonts w:ascii="宋体" w:hAnsi="宋体" w:cs="宋体"/>
          <w:b/>
          <w:color w:val="auto"/>
          <w:kern w:val="0"/>
          <w:sz w:val="32"/>
          <w:szCs w:val="32"/>
          <w:highlight w:val="none"/>
        </w:rPr>
      </w:pPr>
    </w:p>
    <w:p w14:paraId="071AE41F">
      <w:pPr>
        <w:snapToGrid w:val="0"/>
        <w:spacing w:line="360" w:lineRule="auto"/>
        <w:ind w:right="480"/>
        <w:jc w:val="center"/>
        <w:rPr>
          <w:rFonts w:ascii="宋体" w:hAnsi="宋体" w:cs="宋体"/>
          <w:b/>
          <w:color w:val="auto"/>
          <w:kern w:val="0"/>
          <w:sz w:val="32"/>
          <w:szCs w:val="32"/>
          <w:highlight w:val="none"/>
        </w:rPr>
      </w:pPr>
    </w:p>
    <w:p w14:paraId="53892576">
      <w:pPr>
        <w:snapToGrid w:val="0"/>
        <w:spacing w:line="360" w:lineRule="auto"/>
        <w:ind w:right="480"/>
        <w:jc w:val="center"/>
        <w:rPr>
          <w:rFonts w:ascii="宋体" w:hAnsi="宋体" w:cs="宋体"/>
          <w:b/>
          <w:color w:val="auto"/>
          <w:kern w:val="0"/>
          <w:sz w:val="32"/>
          <w:szCs w:val="32"/>
          <w:highlight w:val="none"/>
        </w:rPr>
      </w:pPr>
    </w:p>
    <w:p w14:paraId="02B73537">
      <w:pPr>
        <w:snapToGrid w:val="0"/>
        <w:spacing w:line="360" w:lineRule="auto"/>
        <w:ind w:right="480"/>
        <w:jc w:val="center"/>
        <w:rPr>
          <w:rFonts w:ascii="宋体" w:hAnsi="宋体" w:cs="宋体"/>
          <w:b/>
          <w:color w:val="auto"/>
          <w:kern w:val="0"/>
          <w:sz w:val="32"/>
          <w:szCs w:val="32"/>
          <w:highlight w:val="none"/>
        </w:rPr>
      </w:pPr>
    </w:p>
    <w:p w14:paraId="6BF0D162">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5B676EA">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5D49DCA">
      <w:pPr>
        <w:snapToGrid w:val="0"/>
        <w:spacing w:line="48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NH-TS2024-128-1</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tbl>
      <w:tblPr>
        <w:tblStyle w:val="1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874"/>
        <w:gridCol w:w="1020"/>
        <w:gridCol w:w="1105"/>
        <w:gridCol w:w="1265"/>
        <w:gridCol w:w="1145"/>
        <w:gridCol w:w="1370"/>
      </w:tblGrid>
      <w:tr w14:paraId="138B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56" w:type="dxa"/>
            <w:noWrap w:val="0"/>
            <w:vAlign w:val="center"/>
          </w:tcPr>
          <w:p w14:paraId="6DC3A2FA">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序号</w:t>
            </w:r>
          </w:p>
        </w:tc>
        <w:tc>
          <w:tcPr>
            <w:tcW w:w="1874" w:type="dxa"/>
            <w:noWrap w:val="0"/>
            <w:vAlign w:val="center"/>
          </w:tcPr>
          <w:p w14:paraId="5B257944">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服务内容</w:t>
            </w:r>
          </w:p>
        </w:tc>
        <w:tc>
          <w:tcPr>
            <w:tcW w:w="1020" w:type="dxa"/>
            <w:noWrap w:val="0"/>
            <w:vAlign w:val="center"/>
          </w:tcPr>
          <w:p w14:paraId="1BDBD163">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数量</w:t>
            </w:r>
          </w:p>
        </w:tc>
        <w:tc>
          <w:tcPr>
            <w:tcW w:w="1105" w:type="dxa"/>
            <w:noWrap w:val="0"/>
            <w:vAlign w:val="center"/>
          </w:tcPr>
          <w:p w14:paraId="1010310C">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单位</w:t>
            </w:r>
          </w:p>
        </w:tc>
        <w:tc>
          <w:tcPr>
            <w:tcW w:w="1265" w:type="dxa"/>
            <w:noWrap w:val="0"/>
            <w:vAlign w:val="center"/>
          </w:tcPr>
          <w:p w14:paraId="71EF8D7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单价（元/年）</w:t>
            </w:r>
          </w:p>
        </w:tc>
        <w:tc>
          <w:tcPr>
            <w:tcW w:w="1145" w:type="dxa"/>
            <w:noWrap w:val="0"/>
            <w:vAlign w:val="center"/>
          </w:tcPr>
          <w:p w14:paraId="3726B6CB">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三年投标</w:t>
            </w:r>
          </w:p>
          <w:p w14:paraId="2C299238">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总价</w:t>
            </w:r>
          </w:p>
        </w:tc>
        <w:tc>
          <w:tcPr>
            <w:tcW w:w="1370" w:type="dxa"/>
            <w:noWrap w:val="0"/>
            <w:vAlign w:val="center"/>
          </w:tcPr>
          <w:p w14:paraId="77A0317E">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备注</w:t>
            </w:r>
          </w:p>
        </w:tc>
      </w:tr>
      <w:tr w14:paraId="3094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56" w:type="dxa"/>
            <w:noWrap w:val="0"/>
            <w:vAlign w:val="center"/>
          </w:tcPr>
          <w:p w14:paraId="34CA1333">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p>
        </w:tc>
        <w:tc>
          <w:tcPr>
            <w:tcW w:w="1874" w:type="dxa"/>
            <w:noWrap w:val="0"/>
            <w:vAlign w:val="center"/>
          </w:tcPr>
          <w:p w14:paraId="1CFACD2E">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020" w:type="dxa"/>
            <w:noWrap w:val="0"/>
            <w:vAlign w:val="center"/>
          </w:tcPr>
          <w:p w14:paraId="3071436C">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3</w:t>
            </w:r>
          </w:p>
        </w:tc>
        <w:tc>
          <w:tcPr>
            <w:tcW w:w="1105" w:type="dxa"/>
            <w:noWrap w:val="0"/>
            <w:vAlign w:val="center"/>
          </w:tcPr>
          <w:p w14:paraId="02926CAA">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年</w:t>
            </w:r>
          </w:p>
        </w:tc>
        <w:tc>
          <w:tcPr>
            <w:tcW w:w="1265" w:type="dxa"/>
            <w:noWrap w:val="0"/>
            <w:vAlign w:val="center"/>
          </w:tcPr>
          <w:p w14:paraId="71FEF86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145" w:type="dxa"/>
            <w:noWrap w:val="0"/>
            <w:vAlign w:val="center"/>
          </w:tcPr>
          <w:p w14:paraId="397A3DB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370" w:type="dxa"/>
            <w:noWrap w:val="0"/>
            <w:vAlign w:val="center"/>
          </w:tcPr>
          <w:p w14:paraId="7C793D10">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r>
      <w:tr w14:paraId="7FFA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735" w:type="dxa"/>
            <w:gridSpan w:val="7"/>
            <w:noWrap w:val="0"/>
            <w:vAlign w:val="center"/>
          </w:tcPr>
          <w:p w14:paraId="5796D638">
            <w:pPr>
              <w:keepNext w:val="0"/>
              <w:keepLines w:val="0"/>
              <w:suppressLineNumbers w:val="0"/>
              <w:spacing w:before="0" w:beforeAutospacing="0" w:after="0" w:afterAutospacing="0" w:line="480"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三年投标总价金额大写：                               小写</w:t>
            </w:r>
            <w:r>
              <w:rPr>
                <w:rFonts w:hint="eastAsia" w:ascii="宋体" w:hAnsi="宋体" w:eastAsia="宋体"/>
                <w:color w:val="auto"/>
                <w:szCs w:val="21"/>
                <w:highlight w:val="none"/>
                <w:shd w:val="clear" w:color="auto" w:fill="FFFFFF"/>
              </w:rPr>
              <w:t>¥</w:t>
            </w:r>
            <w:r>
              <w:rPr>
                <w:rFonts w:hint="eastAsia" w:ascii="宋体" w:hAnsi="宋体" w:eastAsia="宋体"/>
                <w:color w:val="auto"/>
                <w:szCs w:val="21"/>
                <w:highlight w:val="none"/>
              </w:rPr>
              <w:t>：</w:t>
            </w:r>
          </w:p>
        </w:tc>
      </w:tr>
    </w:tbl>
    <w:p w14:paraId="3565F0F2">
      <w:pPr>
        <w:snapToGrid w:val="0"/>
        <w:spacing w:line="48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5C74741B">
      <w:pPr>
        <w:spacing w:line="48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color w:val="auto"/>
          <w:kern w:val="0"/>
          <w:sz w:val="21"/>
          <w:szCs w:val="21"/>
          <w:highlight w:val="none"/>
          <w:lang w:val="zh-CN"/>
        </w:rPr>
        <w:t>。</w:t>
      </w:r>
    </w:p>
    <w:p w14:paraId="41EA0945">
      <w:pPr>
        <w:spacing w:line="48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color w:val="auto"/>
          <w:kern w:val="0"/>
          <w:sz w:val="21"/>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45F48454">
      <w:pPr>
        <w:snapToGrid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14:paraId="5891961B">
      <w:pPr>
        <w:snapToGrid w:val="0"/>
        <w:spacing w:line="480" w:lineRule="auto"/>
        <w:ind w:firstLine="420" w:firstLineChars="200"/>
        <w:jc w:val="left"/>
        <w:rPr>
          <w:rFonts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7518AF">
      <w:pPr>
        <w:spacing w:line="360" w:lineRule="auto"/>
        <w:ind w:firstLine="422" w:firstLineChars="200"/>
        <w:rPr>
          <w:rFonts w:ascii="宋体" w:hAnsi="宋体" w:cs="宋体"/>
          <w:b/>
          <w:color w:val="auto"/>
          <w:kern w:val="0"/>
          <w:sz w:val="21"/>
          <w:szCs w:val="21"/>
          <w:highlight w:val="none"/>
        </w:rPr>
      </w:pPr>
    </w:p>
    <w:p w14:paraId="57A7D030">
      <w:pPr>
        <w:spacing w:line="400" w:lineRule="exact"/>
        <w:rPr>
          <w:rFonts w:ascii="宋体" w:hAnsi="宋体" w:cs="仿宋_GB2312"/>
          <w:color w:val="auto"/>
          <w:sz w:val="21"/>
          <w:szCs w:val="21"/>
        </w:rPr>
      </w:pPr>
    </w:p>
    <w:p w14:paraId="2EC6F461">
      <w:pPr>
        <w:spacing w:line="400" w:lineRule="exact"/>
        <w:rPr>
          <w:rFonts w:ascii="宋体" w:hAnsi="宋体" w:cs="仿宋_GB2312"/>
          <w:color w:val="auto"/>
          <w:sz w:val="24"/>
        </w:rPr>
      </w:pPr>
    </w:p>
    <w:p w14:paraId="2E09EBE6">
      <w:pPr>
        <w:spacing w:line="400" w:lineRule="exact"/>
        <w:rPr>
          <w:rFonts w:ascii="宋体" w:hAnsi="宋体" w:cs="仿宋_GB2312"/>
          <w:color w:val="auto"/>
          <w:sz w:val="24"/>
        </w:rPr>
      </w:pPr>
    </w:p>
    <w:p w14:paraId="0845B1CF">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4C16BD2E">
      <w:pPr>
        <w:pStyle w:val="9"/>
        <w:snapToGrid w:val="0"/>
        <w:spacing w:before="120" w:after="120"/>
        <w:jc w:val="center"/>
        <w:rPr>
          <w:rFonts w:hint="eastAsia" w:hAnsi="宋体"/>
          <w:b/>
          <w:sz w:val="30"/>
          <w:szCs w:val="30"/>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6629C837">
      <w:pPr>
        <w:pStyle w:val="9"/>
        <w:snapToGrid w:val="0"/>
        <w:spacing w:beforeLines="0" w:afterLines="0"/>
        <w:jc w:val="center"/>
        <w:rPr>
          <w:rFonts w:ascii="宋体" w:hAnsi="宋体" w:eastAsia="宋体"/>
          <w:color w:val="auto"/>
          <w:sz w:val="21"/>
          <w:szCs w:val="21"/>
          <w:highlight w:val="none"/>
        </w:rPr>
      </w:pPr>
    </w:p>
    <w:p w14:paraId="39B2C8B1">
      <w:pPr>
        <w:tabs>
          <w:tab w:val="left" w:pos="1418"/>
        </w:tabs>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　　　　　　　　　　　　　　　　　　　　项目编号：</w:t>
      </w:r>
    </w:p>
    <w:p w14:paraId="7668FA57">
      <w:pPr>
        <w:tabs>
          <w:tab w:val="left" w:pos="1418"/>
        </w:tabs>
        <w:snapToGrid w:val="0"/>
        <w:spacing w:line="400" w:lineRule="exact"/>
        <w:ind w:firstLine="5985" w:firstLineChars="2850"/>
        <w:rPr>
          <w:rFonts w:ascii="宋体" w:hAnsi="宋体" w:eastAsia="宋体"/>
          <w:color w:val="auto"/>
          <w:szCs w:val="21"/>
          <w:highlight w:val="none"/>
        </w:rPr>
      </w:pPr>
      <w:r>
        <w:rPr>
          <w:rFonts w:hint="eastAsia" w:ascii="宋体" w:hAnsi="宋体" w:eastAsia="宋体"/>
          <w:color w:val="auto"/>
          <w:szCs w:val="21"/>
          <w:highlight w:val="none"/>
        </w:rPr>
        <w:t>单位：</w:t>
      </w:r>
      <w:r>
        <w:rPr>
          <w:rFonts w:hint="eastAsia" w:ascii="宋体" w:hAnsi="宋体" w:eastAsia="宋体"/>
          <w:color w:val="auto"/>
          <w:szCs w:val="21"/>
          <w:highlight w:val="none"/>
          <w:lang w:val="zh-CN"/>
        </w:rPr>
        <w:t>元（人民币）</w:t>
      </w:r>
    </w:p>
    <w:tbl>
      <w:tblPr>
        <w:tblStyle w:val="14"/>
        <w:tblW w:w="8529" w:type="dxa"/>
        <w:jc w:val="center"/>
        <w:tblLayout w:type="fixed"/>
        <w:tblCellMar>
          <w:top w:w="0" w:type="dxa"/>
          <w:left w:w="108" w:type="dxa"/>
          <w:bottom w:w="0" w:type="dxa"/>
          <w:right w:w="108" w:type="dxa"/>
        </w:tblCellMar>
      </w:tblPr>
      <w:tblGrid>
        <w:gridCol w:w="747"/>
        <w:gridCol w:w="2430"/>
        <w:gridCol w:w="1575"/>
        <w:gridCol w:w="1950"/>
        <w:gridCol w:w="1826"/>
        <w:gridCol w:w="1"/>
      </w:tblGrid>
      <w:tr w14:paraId="0C06108D">
        <w:tblPrEx>
          <w:tblCellMar>
            <w:top w:w="0" w:type="dxa"/>
            <w:left w:w="108" w:type="dxa"/>
            <w:bottom w:w="0" w:type="dxa"/>
            <w:right w:w="108" w:type="dxa"/>
          </w:tblCellMar>
        </w:tblPrEx>
        <w:trPr>
          <w:gridAfter w:val="1"/>
          <w:wAfter w:w="1" w:type="dxa"/>
          <w:trHeight w:val="49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9002A">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r>
              <w:rPr>
                <w:rFonts w:hint="eastAsia" w:ascii="宋体" w:hAnsi="宋体" w:cs="Tahoma"/>
                <w:b w:val="0"/>
                <w:bCs w:val="0"/>
                <w:color w:val="000000"/>
                <w:kern w:val="0"/>
                <w:highlight w:val="none"/>
              </w:rPr>
              <w:t>序号</w:t>
            </w:r>
          </w:p>
        </w:tc>
        <w:tc>
          <w:tcPr>
            <w:tcW w:w="2430" w:type="dxa"/>
            <w:tcBorders>
              <w:top w:val="single" w:color="000000" w:sz="4" w:space="0"/>
              <w:left w:val="nil"/>
              <w:bottom w:val="single" w:color="000000" w:sz="4" w:space="0"/>
              <w:right w:val="single" w:color="auto" w:sz="4" w:space="0"/>
            </w:tcBorders>
            <w:shd w:val="clear" w:color="auto" w:fill="FFFFFF"/>
            <w:noWrap w:val="0"/>
            <w:vAlign w:val="center"/>
          </w:tcPr>
          <w:p w14:paraId="299FB3F9">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ascii="宋体" w:hAnsi="宋体" w:eastAsia="宋体" w:cs="宋体"/>
                <w:color w:val="auto"/>
                <w:szCs w:val="21"/>
                <w:highlight w:val="none"/>
              </w:rPr>
              <w:t>服务费用</w:t>
            </w:r>
          </w:p>
        </w:tc>
        <w:tc>
          <w:tcPr>
            <w:tcW w:w="1575" w:type="dxa"/>
            <w:tcBorders>
              <w:top w:val="single" w:color="000000" w:sz="4" w:space="0"/>
              <w:left w:val="nil"/>
              <w:bottom w:val="single" w:color="000000" w:sz="4" w:space="0"/>
              <w:right w:val="single" w:color="auto" w:sz="4" w:space="0"/>
            </w:tcBorders>
            <w:shd w:val="clear" w:color="auto" w:fill="FFFFFF"/>
            <w:noWrap w:val="0"/>
            <w:vAlign w:val="center"/>
          </w:tcPr>
          <w:p w14:paraId="445449B9">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highlight w:val="none"/>
              </w:rPr>
              <w:t>单价（元/年）</w:t>
            </w:r>
          </w:p>
        </w:tc>
        <w:tc>
          <w:tcPr>
            <w:tcW w:w="1950" w:type="dxa"/>
            <w:tcBorders>
              <w:top w:val="single" w:color="000000" w:sz="4" w:space="0"/>
              <w:left w:val="nil"/>
              <w:bottom w:val="single" w:color="000000" w:sz="4" w:space="0"/>
              <w:right w:val="single" w:color="auto" w:sz="4" w:space="0"/>
            </w:tcBorders>
            <w:shd w:val="clear" w:color="auto" w:fill="FFFFFF"/>
            <w:noWrap w:val="0"/>
            <w:vAlign w:val="center"/>
          </w:tcPr>
          <w:p w14:paraId="18A23369">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highlight w:val="none"/>
              </w:rPr>
              <w:t>三年投标总价</w:t>
            </w:r>
          </w:p>
        </w:tc>
        <w:tc>
          <w:tcPr>
            <w:tcW w:w="1826" w:type="dxa"/>
            <w:tcBorders>
              <w:top w:val="single" w:color="000000" w:sz="4" w:space="0"/>
              <w:left w:val="nil"/>
              <w:bottom w:val="single" w:color="000000" w:sz="4" w:space="0"/>
              <w:right w:val="single" w:color="auto" w:sz="4" w:space="0"/>
            </w:tcBorders>
            <w:shd w:val="clear" w:color="auto" w:fill="FFFFFF"/>
            <w:noWrap w:val="0"/>
            <w:vAlign w:val="center"/>
          </w:tcPr>
          <w:p w14:paraId="67B44163">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ascii="宋体" w:hAnsi="宋体" w:cs="Tahoma"/>
                <w:b w:val="0"/>
                <w:bCs w:val="0"/>
                <w:color w:val="000000"/>
                <w:kern w:val="0"/>
                <w:highlight w:val="none"/>
              </w:rPr>
              <w:t>说明</w:t>
            </w:r>
          </w:p>
        </w:tc>
      </w:tr>
      <w:tr w14:paraId="214B5AFF">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000000" w:sz="4" w:space="0"/>
            </w:tcBorders>
            <w:shd w:val="clear" w:color="auto" w:fill="FFFFFF"/>
            <w:noWrap w:val="0"/>
            <w:vAlign w:val="center"/>
          </w:tcPr>
          <w:p w14:paraId="48B170E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nil"/>
              <w:left w:val="nil"/>
              <w:bottom w:val="single" w:color="000000" w:sz="4" w:space="0"/>
              <w:right w:val="single" w:color="auto" w:sz="4" w:space="0"/>
            </w:tcBorders>
            <w:shd w:val="clear" w:color="auto" w:fill="FFFFFF"/>
            <w:noWrap w:val="0"/>
            <w:vAlign w:val="center"/>
          </w:tcPr>
          <w:p w14:paraId="5D7C2C4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nil"/>
              <w:left w:val="nil"/>
              <w:bottom w:val="single" w:color="000000" w:sz="4" w:space="0"/>
              <w:right w:val="single" w:color="auto" w:sz="4" w:space="0"/>
            </w:tcBorders>
            <w:shd w:val="clear" w:color="auto" w:fill="FFFFFF"/>
            <w:noWrap w:val="0"/>
            <w:vAlign w:val="center"/>
          </w:tcPr>
          <w:p w14:paraId="425CA33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textAlignment w:val="center"/>
              <w:rPr>
                <w:rFonts w:hint="default" w:ascii="宋体" w:hAnsi="宋体" w:cs="Tahoma"/>
                <w:b w:val="0"/>
                <w:bCs w:val="0"/>
                <w:color w:val="000000"/>
                <w:kern w:val="0"/>
                <w:highlight w:val="none"/>
              </w:rPr>
            </w:pPr>
          </w:p>
        </w:tc>
        <w:tc>
          <w:tcPr>
            <w:tcW w:w="1950" w:type="dxa"/>
            <w:tcBorders>
              <w:top w:val="nil"/>
              <w:left w:val="nil"/>
              <w:bottom w:val="single" w:color="000000" w:sz="4" w:space="0"/>
              <w:right w:val="single" w:color="auto" w:sz="4" w:space="0"/>
            </w:tcBorders>
            <w:shd w:val="clear" w:color="auto" w:fill="FFFFFF"/>
            <w:noWrap w:val="0"/>
            <w:vAlign w:val="top"/>
          </w:tcPr>
          <w:p w14:paraId="178CCB8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826" w:type="dxa"/>
            <w:tcBorders>
              <w:top w:val="nil"/>
              <w:left w:val="nil"/>
              <w:bottom w:val="single" w:color="000000" w:sz="4" w:space="0"/>
              <w:right w:val="single" w:color="auto" w:sz="4" w:space="0"/>
            </w:tcBorders>
            <w:shd w:val="clear" w:color="auto" w:fill="FFFFFF"/>
            <w:noWrap w:val="0"/>
            <w:vAlign w:val="top"/>
          </w:tcPr>
          <w:p w14:paraId="43DC0462">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r>
      <w:tr w14:paraId="3C5FCD15">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ADF204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nil"/>
              <w:left w:val="nil"/>
              <w:bottom w:val="single" w:color="auto" w:sz="4" w:space="0"/>
              <w:right w:val="single" w:color="auto" w:sz="4" w:space="0"/>
            </w:tcBorders>
            <w:shd w:val="clear" w:color="auto" w:fill="FFFFFF"/>
            <w:noWrap w:val="0"/>
            <w:vAlign w:val="center"/>
          </w:tcPr>
          <w:p w14:paraId="4F59D5D5">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nil"/>
              <w:left w:val="nil"/>
              <w:bottom w:val="single" w:color="auto" w:sz="4" w:space="0"/>
              <w:right w:val="single" w:color="auto" w:sz="4" w:space="0"/>
            </w:tcBorders>
            <w:shd w:val="clear" w:color="auto" w:fill="FFFFFF"/>
            <w:noWrap w:val="0"/>
            <w:vAlign w:val="center"/>
          </w:tcPr>
          <w:p w14:paraId="5BB55F31">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nil"/>
              <w:left w:val="nil"/>
              <w:bottom w:val="single" w:color="auto" w:sz="4" w:space="0"/>
              <w:right w:val="single" w:color="auto" w:sz="4" w:space="0"/>
            </w:tcBorders>
            <w:shd w:val="clear" w:color="auto" w:fill="FFFFFF"/>
            <w:noWrap w:val="0"/>
            <w:vAlign w:val="top"/>
          </w:tcPr>
          <w:p w14:paraId="72825064">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highlight w:val="none"/>
              </w:rPr>
            </w:pPr>
          </w:p>
        </w:tc>
        <w:tc>
          <w:tcPr>
            <w:tcW w:w="1826" w:type="dxa"/>
            <w:tcBorders>
              <w:top w:val="nil"/>
              <w:left w:val="nil"/>
              <w:bottom w:val="single" w:color="auto" w:sz="4" w:space="0"/>
              <w:right w:val="single" w:color="auto" w:sz="4" w:space="0"/>
            </w:tcBorders>
            <w:shd w:val="clear" w:color="auto" w:fill="FFFFFF"/>
            <w:noWrap w:val="0"/>
            <w:vAlign w:val="top"/>
          </w:tcPr>
          <w:p w14:paraId="74779BCD">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highlight w:val="none"/>
              </w:rPr>
            </w:pPr>
          </w:p>
        </w:tc>
      </w:tr>
      <w:tr w14:paraId="38489E5A">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05E8627">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nil"/>
              <w:left w:val="nil"/>
              <w:bottom w:val="single" w:color="auto" w:sz="4" w:space="0"/>
              <w:right w:val="single" w:color="auto" w:sz="4" w:space="0"/>
            </w:tcBorders>
            <w:shd w:val="clear" w:color="auto" w:fill="FFFFFF"/>
            <w:noWrap w:val="0"/>
            <w:vAlign w:val="center"/>
          </w:tcPr>
          <w:p w14:paraId="5812299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nil"/>
              <w:left w:val="nil"/>
              <w:bottom w:val="single" w:color="auto" w:sz="4" w:space="0"/>
              <w:right w:val="single" w:color="auto" w:sz="4" w:space="0"/>
            </w:tcBorders>
            <w:shd w:val="clear" w:color="auto" w:fill="FFFFFF"/>
            <w:noWrap w:val="0"/>
            <w:vAlign w:val="center"/>
          </w:tcPr>
          <w:p w14:paraId="3A28F504">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nil"/>
              <w:left w:val="nil"/>
              <w:bottom w:val="single" w:color="auto" w:sz="4" w:space="0"/>
              <w:right w:val="single" w:color="auto" w:sz="4" w:space="0"/>
            </w:tcBorders>
            <w:shd w:val="clear" w:color="auto" w:fill="FFFFFF"/>
            <w:noWrap w:val="0"/>
            <w:vAlign w:val="top"/>
          </w:tcPr>
          <w:p w14:paraId="3ECA6299">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kern w:val="0"/>
                <w:highlight w:val="none"/>
              </w:rPr>
            </w:pPr>
          </w:p>
        </w:tc>
        <w:tc>
          <w:tcPr>
            <w:tcW w:w="1826" w:type="dxa"/>
            <w:tcBorders>
              <w:top w:val="nil"/>
              <w:left w:val="nil"/>
              <w:bottom w:val="single" w:color="auto" w:sz="4" w:space="0"/>
              <w:right w:val="single" w:color="auto" w:sz="4" w:space="0"/>
            </w:tcBorders>
            <w:shd w:val="clear" w:color="auto" w:fill="FFFFFF"/>
            <w:noWrap w:val="0"/>
            <w:vAlign w:val="top"/>
          </w:tcPr>
          <w:p w14:paraId="02DC47D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highlight w:val="none"/>
              </w:rPr>
            </w:pPr>
          </w:p>
        </w:tc>
      </w:tr>
      <w:tr w14:paraId="25969A99">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A4BE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single" w:color="000000" w:sz="4" w:space="0"/>
              <w:left w:val="nil"/>
              <w:bottom w:val="single" w:color="000000" w:sz="4" w:space="0"/>
              <w:right w:val="single" w:color="000000" w:sz="4" w:space="0"/>
            </w:tcBorders>
            <w:shd w:val="clear" w:color="auto" w:fill="FFFFFF"/>
            <w:noWrap w:val="0"/>
            <w:vAlign w:val="center"/>
          </w:tcPr>
          <w:p w14:paraId="42F6F5CB">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56CE1BD7">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7149EB2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394FB39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536C71D7">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0D2F7CF5">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5218BDA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03FD98E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1C00D03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19764238">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43FD10EC">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1F8CEB5D">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5380CB4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63ED74A5">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0105730A">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5770DC8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78E7A0A7">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25874CD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6ED6606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0D2ED31C">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718B6324">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4DA36F5A">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4A823EF7">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28E5324C">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438AA80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0C10FDD">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401A2B92">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1A6E703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420DE64A">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1BBB987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676EF63F">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EE7776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29EB9AA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272772A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67191C73">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516E081C">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25350E74">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ED4D76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6F34969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603C471B">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3D0A4858">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2D8B76A1">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20517DA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eastAsia" w:ascii="宋体" w:hAnsi="宋体" w:eastAsia="宋体"/>
                <w:b w:val="0"/>
                <w:bCs w:val="0"/>
                <w:color w:val="000000"/>
                <w:kern w:val="0"/>
                <w:highlight w:val="none"/>
                <w:lang w:eastAsia="zh-CN"/>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208ADE7F">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1F862418">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5454CBA1">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1A6D1906">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0055BCD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4638A998">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4766BE8A">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7C35BDC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214FF562">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56E4BB6B">
        <w:tblPrEx>
          <w:tblCellMar>
            <w:top w:w="0" w:type="dxa"/>
            <w:left w:w="108" w:type="dxa"/>
            <w:bottom w:w="0" w:type="dxa"/>
            <w:right w:w="108" w:type="dxa"/>
          </w:tblCellMar>
        </w:tblPrEx>
        <w:trPr>
          <w:gridAfter w:val="1"/>
          <w:wAfter w:w="1" w:type="dxa"/>
          <w:trHeight w:val="454" w:hRule="atLeast"/>
          <w:jc w:val="center"/>
        </w:trPr>
        <w:tc>
          <w:tcPr>
            <w:tcW w:w="3177" w:type="dxa"/>
            <w:gridSpan w:val="2"/>
            <w:tcBorders>
              <w:top w:val="nil"/>
              <w:left w:val="single" w:color="000000" w:sz="4" w:space="0"/>
              <w:bottom w:val="single" w:color="auto" w:sz="4" w:space="0"/>
              <w:right w:val="single" w:color="000000" w:sz="4" w:space="0"/>
            </w:tcBorders>
            <w:shd w:val="clear" w:color="auto" w:fill="FFFFFF"/>
            <w:noWrap w:val="0"/>
            <w:vAlign w:val="center"/>
          </w:tcPr>
          <w:p w14:paraId="7C8DE3E5">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eastAsia="宋体"/>
                <w:b w:val="0"/>
                <w:bCs w:val="0"/>
                <w:color w:val="000000"/>
                <w:kern w:val="0"/>
                <w:highlight w:val="none"/>
                <w:lang w:val="en-US" w:eastAsia="zh-CN"/>
              </w:rPr>
            </w:pPr>
            <w:r>
              <w:rPr>
                <w:rFonts w:hint="eastAsia" w:ascii="宋体" w:hAnsi="宋体"/>
                <w:b w:val="0"/>
                <w:bCs w:val="0"/>
                <w:color w:val="000000"/>
                <w:kern w:val="0"/>
                <w:highlight w:val="none"/>
                <w:lang w:val="en-US" w:eastAsia="zh-CN"/>
              </w:rPr>
              <w:t>合计</w:t>
            </w: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17E98E4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3952E276">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3835EB7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3AD378DC">
        <w:tblPrEx>
          <w:tblCellMar>
            <w:top w:w="0" w:type="dxa"/>
            <w:left w:w="108" w:type="dxa"/>
            <w:bottom w:w="0" w:type="dxa"/>
            <w:right w:w="108" w:type="dxa"/>
          </w:tblCellMar>
        </w:tblPrEx>
        <w:trPr>
          <w:trHeight w:val="454" w:hRule="atLeast"/>
          <w:jc w:val="center"/>
        </w:trPr>
        <w:tc>
          <w:tcPr>
            <w:tcW w:w="8529" w:type="dxa"/>
            <w:gridSpan w:val="6"/>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9960331">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r>
              <w:rPr>
                <w:rFonts w:hint="eastAsia" w:ascii="宋体" w:hAnsi="宋体" w:eastAsia="宋体"/>
                <w:color w:val="auto"/>
                <w:szCs w:val="21"/>
                <w:highlight w:val="none"/>
              </w:rPr>
              <w:t>三年投标总价</w:t>
            </w:r>
            <w:r>
              <w:rPr>
                <w:rFonts w:hint="eastAsia" w:ascii="宋体" w:hAnsi="宋体"/>
                <w:b w:val="0"/>
                <w:bCs w:val="0"/>
                <w:highlight w:val="none"/>
              </w:rPr>
              <w:t xml:space="preserve">金额大写：                                  </w:t>
            </w:r>
          </w:p>
        </w:tc>
      </w:tr>
    </w:tbl>
    <w:p w14:paraId="293402CE">
      <w:pPr>
        <w:pStyle w:val="7"/>
        <w:spacing w:after="0" w:line="400" w:lineRule="exact"/>
        <w:ind w:firstLine="480" w:firstLineChars="200"/>
        <w:rPr>
          <w:rFonts w:ascii="宋体" w:hAnsi="宋体" w:eastAsia="宋体"/>
          <w:color w:val="auto"/>
          <w:szCs w:val="21"/>
          <w:highlight w:val="none"/>
        </w:rPr>
      </w:pPr>
    </w:p>
    <w:p w14:paraId="4517CD58">
      <w:pPr>
        <w:pStyle w:val="7"/>
        <w:spacing w:after="0" w:line="400" w:lineRule="exact"/>
        <w:ind w:firstLine="480" w:firstLineChars="200"/>
        <w:rPr>
          <w:rFonts w:ascii="宋体" w:hAnsi="宋体" w:eastAsia="宋体"/>
          <w:color w:val="auto"/>
          <w:szCs w:val="21"/>
          <w:highlight w:val="none"/>
        </w:rPr>
      </w:pPr>
    </w:p>
    <w:p w14:paraId="32EF4FE3">
      <w:pPr>
        <w:pStyle w:val="7"/>
        <w:spacing w:after="0" w:line="400" w:lineRule="exact"/>
        <w:ind w:firstLine="480" w:firstLineChars="200"/>
        <w:rPr>
          <w:rFonts w:ascii="宋体" w:hAnsi="宋体" w:eastAsia="宋体"/>
          <w:color w:val="auto"/>
          <w:szCs w:val="21"/>
          <w:highlight w:val="none"/>
        </w:rPr>
      </w:pPr>
    </w:p>
    <w:p w14:paraId="7F193A28">
      <w:pPr>
        <w:spacing w:line="360" w:lineRule="auto"/>
        <w:ind w:right="960" w:firstLine="240" w:firstLineChars="100"/>
        <w:jc w:val="right"/>
        <w:rPr>
          <w:rFonts w:ascii="仿宋" w:hAnsi="仿宋" w:eastAsia="仿宋" w:cs="仿宋_GB2312"/>
          <w:color w:val="auto"/>
          <w:sz w:val="24"/>
          <w:szCs w:val="36"/>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_GB2312"/>
          <w:color w:val="auto"/>
          <w:sz w:val="24"/>
          <w:highlight w:val="none"/>
        </w:rPr>
        <w:t>投标人名称</w:t>
      </w:r>
      <w:r>
        <w:rPr>
          <w:rFonts w:ascii="宋体" w:hAnsi="宋体"/>
          <w:color w:val="000000"/>
          <w:sz w:val="24"/>
        </w:rPr>
        <w:t>（盖章）</w:t>
      </w:r>
      <w:r>
        <w:rPr>
          <w:rFonts w:hint="eastAsia" w:ascii="仿宋" w:hAnsi="仿宋" w:eastAsia="仿宋" w:cs="仿宋_GB2312"/>
          <w:color w:val="auto"/>
          <w:sz w:val="24"/>
          <w:highlight w:val="none"/>
        </w:rPr>
        <w:t>：                                                                                   日期：  年   月   日</w:t>
      </w:r>
    </w:p>
    <w:p w14:paraId="14ACEDEE">
      <w:pPr>
        <w:pStyle w:val="33"/>
        <w:keepNext w:val="0"/>
        <w:numPr>
          <w:ilvl w:val="0"/>
          <w:numId w:val="6"/>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03F2F946">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917A159">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8F730E0">
      <w:pPr>
        <w:pStyle w:val="3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0D302D4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7F7900">
      <w:pPr>
        <w:pStyle w:val="25"/>
        <w:ind w:firstLine="482"/>
        <w:rPr>
          <w:rFonts w:ascii="宋体" w:hAnsi="宋体" w:cs="宋体"/>
          <w:b/>
          <w:color w:val="auto"/>
          <w:sz w:val="24"/>
          <w:highlight w:val="none"/>
        </w:rPr>
      </w:pPr>
    </w:p>
    <w:p w14:paraId="42ADBCB0"/>
    <w:p w14:paraId="0CE233DE">
      <w:pPr>
        <w:pStyle w:val="25"/>
        <w:ind w:firstLine="482"/>
        <w:rPr>
          <w:rFonts w:ascii="宋体" w:hAnsi="宋体" w:cs="宋体"/>
          <w:b/>
          <w:color w:val="auto"/>
          <w:sz w:val="24"/>
          <w:highlight w:val="none"/>
        </w:rPr>
      </w:pPr>
    </w:p>
    <w:p w14:paraId="038DCA8E">
      <w:pPr>
        <w:pStyle w:val="25"/>
        <w:ind w:firstLine="482"/>
        <w:rPr>
          <w:rFonts w:ascii="宋体" w:hAnsi="宋体" w:cs="宋体"/>
          <w:b/>
          <w:color w:val="auto"/>
          <w:sz w:val="24"/>
          <w:highlight w:val="none"/>
        </w:rPr>
      </w:pPr>
    </w:p>
    <w:p w14:paraId="781DB1F5">
      <w:pPr>
        <w:pStyle w:val="3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E9E928B">
      <w:pPr>
        <w:spacing w:line="360" w:lineRule="auto"/>
        <w:ind w:right="420" w:firstLine="3614" w:firstLineChars="1000"/>
        <w:rPr>
          <w:rFonts w:ascii="宋体" w:hAnsi="宋体" w:cs="宋体"/>
          <w:b/>
          <w:color w:val="auto"/>
          <w:kern w:val="0"/>
          <w:sz w:val="36"/>
          <w:szCs w:val="36"/>
          <w:highlight w:val="none"/>
        </w:rPr>
      </w:pPr>
    </w:p>
    <w:p w14:paraId="221422D8">
      <w:pPr>
        <w:spacing w:line="360" w:lineRule="auto"/>
        <w:ind w:right="420" w:firstLine="3614" w:firstLineChars="1000"/>
        <w:rPr>
          <w:rFonts w:ascii="宋体" w:hAnsi="宋体" w:cs="宋体"/>
          <w:b/>
          <w:color w:val="auto"/>
          <w:kern w:val="0"/>
          <w:sz w:val="36"/>
          <w:szCs w:val="36"/>
          <w:highlight w:val="none"/>
        </w:rPr>
      </w:pPr>
    </w:p>
    <w:p w14:paraId="2CACAE74">
      <w:pPr>
        <w:spacing w:line="360" w:lineRule="auto"/>
        <w:ind w:right="420" w:firstLine="3614" w:firstLineChars="1000"/>
        <w:rPr>
          <w:rFonts w:ascii="宋体" w:hAnsi="宋体" w:cs="宋体"/>
          <w:b/>
          <w:color w:val="auto"/>
          <w:kern w:val="0"/>
          <w:sz w:val="36"/>
          <w:szCs w:val="36"/>
          <w:highlight w:val="none"/>
        </w:rPr>
      </w:pPr>
    </w:p>
    <w:p w14:paraId="1A6D1802">
      <w:pPr>
        <w:spacing w:line="360" w:lineRule="auto"/>
        <w:ind w:right="420" w:firstLine="3614" w:firstLineChars="1000"/>
        <w:rPr>
          <w:rFonts w:ascii="宋体" w:hAnsi="宋体" w:cs="宋体"/>
          <w:b/>
          <w:color w:val="auto"/>
          <w:kern w:val="0"/>
          <w:sz w:val="36"/>
          <w:szCs w:val="36"/>
          <w:highlight w:val="none"/>
        </w:rPr>
      </w:pPr>
    </w:p>
    <w:p w14:paraId="614D4E07">
      <w:pPr>
        <w:spacing w:line="360" w:lineRule="auto"/>
        <w:ind w:right="420" w:firstLine="3614" w:firstLineChars="1000"/>
        <w:rPr>
          <w:rFonts w:ascii="宋体" w:hAnsi="宋体" w:cs="宋体"/>
          <w:b/>
          <w:color w:val="auto"/>
          <w:kern w:val="0"/>
          <w:sz w:val="36"/>
          <w:szCs w:val="36"/>
          <w:highlight w:val="none"/>
        </w:rPr>
      </w:pPr>
    </w:p>
    <w:p w14:paraId="5CC85F52">
      <w:pPr>
        <w:spacing w:line="360" w:lineRule="auto"/>
        <w:ind w:right="420" w:firstLine="3614" w:firstLineChars="1000"/>
        <w:rPr>
          <w:rFonts w:ascii="宋体" w:hAnsi="宋体" w:cs="宋体"/>
          <w:b/>
          <w:color w:val="auto"/>
          <w:kern w:val="0"/>
          <w:sz w:val="36"/>
          <w:szCs w:val="36"/>
          <w:highlight w:val="none"/>
        </w:rPr>
      </w:pPr>
    </w:p>
    <w:p w14:paraId="20FA3754">
      <w:pPr>
        <w:spacing w:line="360" w:lineRule="auto"/>
        <w:ind w:right="420" w:firstLine="3614" w:firstLineChars="1000"/>
        <w:rPr>
          <w:rFonts w:ascii="宋体" w:hAnsi="宋体" w:cs="宋体"/>
          <w:b/>
          <w:color w:val="auto"/>
          <w:kern w:val="0"/>
          <w:sz w:val="36"/>
          <w:szCs w:val="36"/>
          <w:highlight w:val="none"/>
        </w:rPr>
      </w:pPr>
    </w:p>
    <w:p w14:paraId="3322131B">
      <w:pPr>
        <w:spacing w:line="360" w:lineRule="auto"/>
        <w:ind w:right="420" w:firstLine="3614" w:firstLineChars="1000"/>
        <w:rPr>
          <w:rFonts w:ascii="宋体" w:hAnsi="宋体" w:cs="宋体"/>
          <w:b/>
          <w:color w:val="auto"/>
          <w:kern w:val="0"/>
          <w:sz w:val="36"/>
          <w:szCs w:val="36"/>
          <w:highlight w:val="none"/>
        </w:rPr>
      </w:pPr>
    </w:p>
    <w:p w14:paraId="19C201A7">
      <w:pPr>
        <w:spacing w:line="360" w:lineRule="auto"/>
        <w:ind w:right="420" w:firstLine="3614" w:firstLineChars="1000"/>
        <w:rPr>
          <w:rFonts w:ascii="宋体" w:hAnsi="宋体" w:cs="宋体"/>
          <w:b/>
          <w:color w:val="auto"/>
          <w:kern w:val="0"/>
          <w:sz w:val="36"/>
          <w:szCs w:val="36"/>
          <w:highlight w:val="none"/>
        </w:rPr>
      </w:pPr>
    </w:p>
    <w:p w14:paraId="0FF6472F">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284ED5FD">
      <w:pPr>
        <w:rPr>
          <w:rFonts w:hint="eastAsia" w:ascii="宋体" w:hAnsi="宋体" w:cs="宋体"/>
          <w:color w:val="auto"/>
          <w:highlight w:val="none"/>
        </w:rPr>
      </w:pPr>
    </w:p>
    <w:p w14:paraId="5BD1492B">
      <w:pPr>
        <w:rPr>
          <w:rFonts w:hint="eastAsia" w:ascii="宋体" w:hAnsi="宋体" w:cs="宋体"/>
          <w:color w:val="auto"/>
          <w:highlight w:val="none"/>
        </w:rPr>
      </w:pPr>
    </w:p>
    <w:p w14:paraId="590CDC2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E24F5BD">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23C87B32">
      <w:pPr>
        <w:spacing w:line="360" w:lineRule="auto"/>
        <w:rPr>
          <w:rFonts w:ascii="宋体" w:hAnsi="宋体" w:cs="宋体"/>
          <w:b/>
          <w:color w:val="auto"/>
          <w:spacing w:val="6"/>
          <w:sz w:val="21"/>
          <w:szCs w:val="21"/>
          <w:highlight w:val="none"/>
        </w:rPr>
      </w:pPr>
    </w:p>
    <w:p w14:paraId="5D78C05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宁海县岔路镇中心卫生院食堂等综合服务外包项目  (2025年-2027年)</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1BD932C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7EB237E">
      <w:pPr>
        <w:spacing w:line="360" w:lineRule="auto"/>
        <w:ind w:firstLine="420" w:firstLineChars="200"/>
        <w:rPr>
          <w:rFonts w:ascii="宋体" w:hAnsi="宋体" w:cs="宋体"/>
          <w:color w:val="auto"/>
          <w:sz w:val="21"/>
          <w:szCs w:val="21"/>
          <w:highlight w:val="none"/>
        </w:rPr>
      </w:pPr>
    </w:p>
    <w:p w14:paraId="320C589E">
      <w:pPr>
        <w:spacing w:line="360" w:lineRule="auto"/>
        <w:ind w:firstLine="420" w:firstLineChars="200"/>
        <w:rPr>
          <w:rFonts w:ascii="宋体" w:hAnsi="宋体" w:cs="宋体"/>
          <w:color w:val="auto"/>
          <w:sz w:val="21"/>
          <w:szCs w:val="21"/>
          <w:highlight w:val="none"/>
        </w:rPr>
      </w:pPr>
    </w:p>
    <w:p w14:paraId="63166A6C">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3891696">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5BD450C0">
      <w:pPr>
        <w:spacing w:line="360" w:lineRule="auto"/>
        <w:ind w:firstLine="420" w:firstLineChars="200"/>
        <w:rPr>
          <w:rFonts w:ascii="宋体" w:hAnsi="宋体" w:cs="宋体"/>
          <w:color w:val="auto"/>
          <w:sz w:val="21"/>
          <w:szCs w:val="21"/>
          <w:highlight w:val="none"/>
        </w:rPr>
      </w:pPr>
    </w:p>
    <w:p w14:paraId="1565ABF4">
      <w:pPr>
        <w:spacing w:line="360" w:lineRule="auto"/>
        <w:ind w:firstLine="420" w:firstLineChars="200"/>
        <w:rPr>
          <w:rFonts w:ascii="宋体" w:hAnsi="宋体" w:cs="宋体"/>
          <w:color w:val="auto"/>
          <w:highlight w:val="none"/>
        </w:rPr>
      </w:pPr>
    </w:p>
    <w:p w14:paraId="0FFCC425">
      <w:pPr>
        <w:spacing w:line="360" w:lineRule="auto"/>
        <w:ind w:firstLine="420" w:firstLineChars="200"/>
        <w:rPr>
          <w:rFonts w:ascii="宋体" w:hAnsi="宋体" w:cs="宋体"/>
          <w:color w:val="auto"/>
          <w:highlight w:val="none"/>
        </w:rPr>
      </w:pPr>
    </w:p>
    <w:p w14:paraId="20BA112B">
      <w:pPr>
        <w:spacing w:line="360" w:lineRule="auto"/>
        <w:ind w:firstLine="420" w:firstLineChars="200"/>
        <w:rPr>
          <w:rFonts w:ascii="宋体" w:hAnsi="宋体" w:cs="宋体"/>
          <w:color w:val="auto"/>
          <w:highlight w:val="none"/>
        </w:rPr>
      </w:pPr>
    </w:p>
    <w:p w14:paraId="611FC83C">
      <w:pPr>
        <w:spacing w:line="360" w:lineRule="auto"/>
        <w:ind w:firstLine="420" w:firstLineChars="200"/>
        <w:rPr>
          <w:rFonts w:ascii="宋体" w:hAnsi="宋体" w:cs="宋体"/>
          <w:color w:val="auto"/>
          <w:highlight w:val="none"/>
        </w:rPr>
      </w:pPr>
    </w:p>
    <w:p w14:paraId="4AA1AE2E">
      <w:pPr>
        <w:spacing w:line="360" w:lineRule="auto"/>
        <w:rPr>
          <w:rFonts w:ascii="宋体" w:hAnsi="宋体" w:cs="宋体"/>
          <w:b/>
          <w:color w:val="auto"/>
          <w:sz w:val="24"/>
          <w:highlight w:val="none"/>
        </w:rPr>
      </w:pPr>
    </w:p>
    <w:p w14:paraId="1662009E">
      <w:pPr>
        <w:spacing w:line="360" w:lineRule="auto"/>
        <w:rPr>
          <w:rFonts w:ascii="宋体" w:hAnsi="宋体" w:cs="宋体"/>
          <w:b/>
          <w:color w:val="auto"/>
          <w:sz w:val="24"/>
          <w:highlight w:val="none"/>
        </w:rPr>
      </w:pPr>
    </w:p>
    <w:p w14:paraId="13F60F41">
      <w:pPr>
        <w:spacing w:line="360" w:lineRule="auto"/>
        <w:rPr>
          <w:rFonts w:ascii="宋体" w:hAnsi="宋体" w:cs="宋体"/>
          <w:b/>
          <w:color w:val="auto"/>
          <w:sz w:val="24"/>
          <w:highlight w:val="none"/>
        </w:rPr>
      </w:pPr>
    </w:p>
    <w:p w14:paraId="54A19C32">
      <w:pPr>
        <w:spacing w:line="360" w:lineRule="auto"/>
        <w:rPr>
          <w:rFonts w:ascii="宋体" w:hAnsi="宋体" w:cs="宋体"/>
          <w:b/>
          <w:color w:val="auto"/>
          <w:sz w:val="24"/>
          <w:highlight w:val="none"/>
        </w:rPr>
      </w:pPr>
    </w:p>
    <w:p w14:paraId="6EA1EAE6">
      <w:pPr>
        <w:spacing w:line="360" w:lineRule="auto"/>
        <w:rPr>
          <w:rFonts w:ascii="宋体" w:hAnsi="宋体" w:cs="宋体"/>
          <w:b/>
          <w:color w:val="auto"/>
          <w:sz w:val="24"/>
          <w:highlight w:val="none"/>
        </w:rPr>
      </w:pPr>
    </w:p>
    <w:p w14:paraId="18954287">
      <w:pPr>
        <w:spacing w:line="360" w:lineRule="auto"/>
        <w:rPr>
          <w:rFonts w:ascii="宋体" w:hAnsi="宋体" w:cs="宋体"/>
          <w:b/>
          <w:color w:val="auto"/>
          <w:sz w:val="24"/>
          <w:highlight w:val="none"/>
        </w:rPr>
      </w:pPr>
    </w:p>
    <w:p w14:paraId="03AAA3D1">
      <w:pPr>
        <w:spacing w:line="360" w:lineRule="auto"/>
        <w:rPr>
          <w:rFonts w:ascii="宋体" w:hAnsi="宋体" w:cs="宋体"/>
          <w:b/>
          <w:color w:val="auto"/>
          <w:sz w:val="24"/>
          <w:highlight w:val="none"/>
        </w:rPr>
      </w:pPr>
    </w:p>
    <w:p w14:paraId="6D7E0379">
      <w:pPr>
        <w:spacing w:line="360" w:lineRule="auto"/>
        <w:rPr>
          <w:rFonts w:ascii="宋体" w:hAnsi="宋体" w:cs="宋体"/>
          <w:b/>
          <w:color w:val="auto"/>
          <w:sz w:val="24"/>
          <w:highlight w:val="none"/>
        </w:rPr>
      </w:pPr>
    </w:p>
    <w:p w14:paraId="7F8E1C37">
      <w:pPr>
        <w:spacing w:line="360" w:lineRule="auto"/>
        <w:rPr>
          <w:rFonts w:ascii="宋体" w:hAnsi="宋体" w:cs="宋体"/>
          <w:b/>
          <w:color w:val="auto"/>
          <w:sz w:val="24"/>
          <w:highlight w:val="none"/>
        </w:rPr>
      </w:pPr>
    </w:p>
    <w:p w14:paraId="3D9A088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13AD6D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FCC9B0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0EB20B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25593EE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5C925D9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15F6C5C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D53131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A74BBA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734C469">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11EE703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72E5CAC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CBDDB2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3F14458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48BDA77">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7FCFF6C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55DF67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0C15CC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2603A2C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595D1D1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1B141E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505F893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34070D89">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121D0E5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229A43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092A8A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48C39C4F">
      <w:pPr>
        <w:spacing w:line="360" w:lineRule="auto"/>
        <w:jc w:val="center"/>
        <w:rPr>
          <w:rFonts w:ascii="宋体" w:hAnsi="宋体" w:cs="宋体"/>
          <w:b/>
          <w:bCs/>
          <w:color w:val="auto"/>
          <w:sz w:val="21"/>
          <w:szCs w:val="21"/>
          <w:highlight w:val="none"/>
        </w:rPr>
      </w:pPr>
    </w:p>
    <w:p w14:paraId="1160FDB5">
      <w:pPr>
        <w:spacing w:line="360" w:lineRule="auto"/>
        <w:rPr>
          <w:rFonts w:ascii="宋体" w:hAnsi="宋体" w:cs="宋体"/>
          <w:b/>
          <w:color w:val="auto"/>
          <w:sz w:val="21"/>
          <w:szCs w:val="21"/>
          <w:highlight w:val="none"/>
        </w:rPr>
      </w:pPr>
    </w:p>
    <w:p w14:paraId="1D7DB023">
      <w:pPr>
        <w:spacing w:line="360" w:lineRule="auto"/>
        <w:rPr>
          <w:rFonts w:ascii="宋体" w:hAnsi="宋体" w:cs="宋体"/>
          <w:b/>
          <w:color w:val="auto"/>
          <w:sz w:val="21"/>
          <w:szCs w:val="21"/>
          <w:highlight w:val="none"/>
        </w:rPr>
      </w:pPr>
    </w:p>
    <w:p w14:paraId="21FD4DC3">
      <w:pPr>
        <w:spacing w:line="360" w:lineRule="auto"/>
        <w:rPr>
          <w:rFonts w:ascii="宋体" w:hAnsi="宋体" w:cs="宋体"/>
          <w:b/>
          <w:color w:val="auto"/>
          <w:sz w:val="21"/>
          <w:szCs w:val="21"/>
          <w:highlight w:val="none"/>
        </w:rPr>
      </w:pPr>
    </w:p>
    <w:p w14:paraId="4ACC93E5">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772A0FB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05F9A9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2F61E2F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2CEBFC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692B4BE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48C95F8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40BAF27">
      <w:pPr>
        <w:widowControl/>
        <w:spacing w:line="360" w:lineRule="auto"/>
        <w:ind w:firstLine="420" w:firstLineChars="200"/>
        <w:jc w:val="left"/>
        <w:rPr>
          <w:rFonts w:ascii="宋体" w:hAnsi="宋体" w:cs="宋体"/>
          <w:color w:val="auto"/>
          <w:sz w:val="21"/>
          <w:szCs w:val="21"/>
          <w:highlight w:val="none"/>
        </w:rPr>
      </w:pPr>
    </w:p>
    <w:p w14:paraId="5A0DF60C">
      <w:pPr>
        <w:spacing w:line="360" w:lineRule="auto"/>
        <w:jc w:val="center"/>
        <w:rPr>
          <w:rFonts w:ascii="宋体" w:hAnsi="宋体" w:cs="宋体"/>
          <w:b/>
          <w:color w:val="auto"/>
          <w:spacing w:val="6"/>
          <w:sz w:val="32"/>
          <w:szCs w:val="32"/>
          <w:highlight w:val="none"/>
        </w:rPr>
      </w:pPr>
    </w:p>
    <w:p w14:paraId="10313AF0">
      <w:pPr>
        <w:spacing w:line="360" w:lineRule="auto"/>
        <w:jc w:val="center"/>
        <w:rPr>
          <w:rFonts w:ascii="宋体" w:hAnsi="宋体" w:cs="宋体"/>
          <w:b/>
          <w:color w:val="auto"/>
          <w:spacing w:val="6"/>
          <w:sz w:val="32"/>
          <w:szCs w:val="32"/>
          <w:highlight w:val="none"/>
        </w:rPr>
      </w:pPr>
    </w:p>
    <w:p w14:paraId="57848C77">
      <w:pPr>
        <w:spacing w:line="360" w:lineRule="auto"/>
        <w:jc w:val="center"/>
        <w:rPr>
          <w:rFonts w:ascii="宋体" w:hAnsi="宋体" w:cs="宋体"/>
          <w:b/>
          <w:color w:val="auto"/>
          <w:spacing w:val="6"/>
          <w:sz w:val="32"/>
          <w:szCs w:val="32"/>
          <w:highlight w:val="none"/>
        </w:rPr>
      </w:pPr>
    </w:p>
    <w:p w14:paraId="24529EE9">
      <w:pPr>
        <w:spacing w:line="360" w:lineRule="auto"/>
        <w:jc w:val="center"/>
        <w:rPr>
          <w:rFonts w:ascii="宋体" w:hAnsi="宋体" w:cs="宋体"/>
          <w:b/>
          <w:color w:val="auto"/>
          <w:spacing w:val="6"/>
          <w:sz w:val="32"/>
          <w:szCs w:val="32"/>
          <w:highlight w:val="none"/>
        </w:rPr>
      </w:pPr>
    </w:p>
    <w:p w14:paraId="4C8FAC7E">
      <w:pPr>
        <w:spacing w:line="360" w:lineRule="auto"/>
        <w:jc w:val="center"/>
        <w:rPr>
          <w:rFonts w:ascii="宋体" w:hAnsi="宋体" w:cs="宋体"/>
          <w:b/>
          <w:color w:val="auto"/>
          <w:spacing w:val="6"/>
          <w:sz w:val="32"/>
          <w:szCs w:val="32"/>
          <w:highlight w:val="none"/>
        </w:rPr>
      </w:pPr>
    </w:p>
    <w:p w14:paraId="72038E37">
      <w:pPr>
        <w:spacing w:line="360" w:lineRule="auto"/>
        <w:jc w:val="center"/>
        <w:rPr>
          <w:rFonts w:ascii="宋体" w:hAnsi="宋体" w:cs="宋体"/>
          <w:b/>
          <w:color w:val="auto"/>
          <w:spacing w:val="6"/>
          <w:sz w:val="32"/>
          <w:szCs w:val="32"/>
          <w:highlight w:val="none"/>
        </w:rPr>
      </w:pPr>
    </w:p>
    <w:p w14:paraId="2D674E1F">
      <w:pPr>
        <w:spacing w:line="360" w:lineRule="auto"/>
        <w:jc w:val="center"/>
        <w:rPr>
          <w:rFonts w:ascii="宋体" w:hAnsi="宋体" w:cs="宋体"/>
          <w:b/>
          <w:color w:val="auto"/>
          <w:spacing w:val="6"/>
          <w:sz w:val="32"/>
          <w:szCs w:val="32"/>
          <w:highlight w:val="none"/>
        </w:rPr>
      </w:pPr>
    </w:p>
    <w:p w14:paraId="093F3C1C">
      <w:pPr>
        <w:spacing w:line="360" w:lineRule="auto"/>
        <w:jc w:val="center"/>
        <w:rPr>
          <w:rFonts w:ascii="宋体" w:hAnsi="宋体" w:cs="宋体"/>
          <w:b/>
          <w:color w:val="auto"/>
          <w:spacing w:val="6"/>
          <w:sz w:val="32"/>
          <w:szCs w:val="32"/>
          <w:highlight w:val="none"/>
        </w:rPr>
      </w:pPr>
    </w:p>
    <w:p w14:paraId="3CDC1E4A">
      <w:pPr>
        <w:spacing w:line="360" w:lineRule="auto"/>
        <w:jc w:val="center"/>
        <w:rPr>
          <w:rFonts w:ascii="宋体" w:hAnsi="宋体" w:cs="宋体"/>
          <w:b/>
          <w:color w:val="auto"/>
          <w:spacing w:val="6"/>
          <w:sz w:val="32"/>
          <w:szCs w:val="32"/>
          <w:highlight w:val="none"/>
        </w:rPr>
      </w:pPr>
    </w:p>
    <w:p w14:paraId="14CEEC47">
      <w:pPr>
        <w:spacing w:line="360" w:lineRule="auto"/>
        <w:jc w:val="center"/>
        <w:rPr>
          <w:rFonts w:ascii="宋体" w:hAnsi="宋体" w:cs="宋体"/>
          <w:b/>
          <w:color w:val="auto"/>
          <w:spacing w:val="6"/>
          <w:sz w:val="32"/>
          <w:szCs w:val="32"/>
          <w:highlight w:val="none"/>
        </w:rPr>
      </w:pPr>
    </w:p>
    <w:p w14:paraId="1858708E">
      <w:pPr>
        <w:spacing w:line="360" w:lineRule="auto"/>
        <w:jc w:val="center"/>
        <w:rPr>
          <w:rFonts w:ascii="宋体" w:hAnsi="宋体" w:cs="宋体"/>
          <w:b/>
          <w:color w:val="auto"/>
          <w:spacing w:val="6"/>
          <w:sz w:val="32"/>
          <w:szCs w:val="32"/>
          <w:highlight w:val="none"/>
        </w:rPr>
      </w:pPr>
    </w:p>
    <w:p w14:paraId="0CF2AC4F">
      <w:pPr>
        <w:spacing w:line="360" w:lineRule="auto"/>
        <w:jc w:val="center"/>
        <w:rPr>
          <w:rFonts w:ascii="宋体" w:hAnsi="宋体" w:cs="宋体"/>
          <w:b/>
          <w:color w:val="auto"/>
          <w:spacing w:val="6"/>
          <w:sz w:val="32"/>
          <w:szCs w:val="32"/>
          <w:highlight w:val="none"/>
        </w:rPr>
      </w:pPr>
    </w:p>
    <w:p w14:paraId="76A24ADC">
      <w:pPr>
        <w:spacing w:line="360" w:lineRule="auto"/>
        <w:jc w:val="left"/>
        <w:rPr>
          <w:rFonts w:ascii="宋体" w:hAnsi="宋体" w:cs="宋体"/>
          <w:b/>
          <w:color w:val="auto"/>
          <w:spacing w:val="6"/>
          <w:sz w:val="32"/>
          <w:szCs w:val="32"/>
          <w:highlight w:val="none"/>
        </w:rPr>
      </w:pPr>
    </w:p>
    <w:p w14:paraId="06FBB5A8">
      <w:pPr>
        <w:spacing w:line="360" w:lineRule="auto"/>
        <w:jc w:val="left"/>
        <w:rPr>
          <w:rFonts w:ascii="宋体" w:hAnsi="宋体" w:cs="宋体"/>
          <w:b/>
          <w:color w:val="auto"/>
          <w:spacing w:val="6"/>
          <w:sz w:val="32"/>
          <w:szCs w:val="32"/>
          <w:highlight w:val="none"/>
        </w:rPr>
      </w:pPr>
    </w:p>
    <w:p w14:paraId="2D1536AE">
      <w:pPr>
        <w:pStyle w:val="2"/>
        <w:rPr>
          <w:rFonts w:ascii="宋体" w:hAnsi="宋体" w:cs="宋体"/>
          <w:b/>
          <w:color w:val="auto"/>
          <w:spacing w:val="6"/>
          <w:sz w:val="32"/>
          <w:szCs w:val="32"/>
          <w:highlight w:val="none"/>
        </w:rPr>
      </w:pPr>
    </w:p>
    <w:p w14:paraId="12A726B2"/>
    <w:p w14:paraId="3EB7344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AD535B7">
      <w:pPr>
        <w:spacing w:line="360" w:lineRule="auto"/>
        <w:jc w:val="center"/>
        <w:rPr>
          <w:rFonts w:ascii="宋体" w:hAnsi="宋体" w:cs="宋体"/>
          <w:b/>
          <w:color w:val="auto"/>
          <w:sz w:val="24"/>
          <w:highlight w:val="none"/>
        </w:rPr>
      </w:pPr>
    </w:p>
    <w:p w14:paraId="4C826FE8">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712A6B9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00CF6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B8805F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38AC84C">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014773E">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AABF7D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549025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68B5F40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E3FC40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B64777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DE4FDC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50C736E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D4F0A07">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989EEA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3C30B5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593330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1F19A8B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9CEC10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7ECE8C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85EF87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72F8CAD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483CC7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2D9801B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57351502">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90D57A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B851B62">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229598B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3494B5C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3F93F52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52E0216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1540944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4ACEA0FA">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9758AC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59B68C9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852FB8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7C76E5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C5FE71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564CA87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07947F1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33A95312">
      <w:pPr>
        <w:spacing w:line="360" w:lineRule="auto"/>
        <w:rPr>
          <w:rFonts w:ascii="宋体" w:hAnsi="宋体" w:cs="宋体"/>
          <w:b/>
          <w:color w:val="auto"/>
          <w:sz w:val="21"/>
          <w:szCs w:val="21"/>
          <w:highlight w:val="none"/>
        </w:rPr>
      </w:pPr>
    </w:p>
    <w:p w14:paraId="38125B4F">
      <w:pPr>
        <w:spacing w:line="360" w:lineRule="auto"/>
        <w:rPr>
          <w:rFonts w:ascii="宋体" w:hAnsi="宋体" w:cs="宋体"/>
          <w:b/>
          <w:color w:val="auto"/>
          <w:sz w:val="21"/>
          <w:szCs w:val="21"/>
          <w:highlight w:val="none"/>
        </w:rPr>
      </w:pPr>
    </w:p>
    <w:p w14:paraId="6A0C15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58762F83">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7DA90D5F">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4A3CB64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D50D9F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5539079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7A6DB81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26CF57F6">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57A29DCC">
      <w:pPr>
        <w:spacing w:line="360" w:lineRule="auto"/>
        <w:rPr>
          <w:rFonts w:ascii="宋体" w:hAnsi="宋体" w:cs="宋体"/>
          <w:b/>
          <w:color w:val="auto"/>
          <w:sz w:val="24"/>
          <w:highlight w:val="none"/>
        </w:rPr>
      </w:pPr>
    </w:p>
    <w:p w14:paraId="7C421C58">
      <w:pPr>
        <w:autoSpaceDE w:val="0"/>
        <w:autoSpaceDN w:val="0"/>
        <w:jc w:val="center"/>
        <w:rPr>
          <w:rFonts w:ascii="宋体" w:hAnsi="宋体" w:cs="宋体"/>
          <w:b/>
          <w:color w:val="auto"/>
          <w:spacing w:val="6"/>
          <w:sz w:val="32"/>
          <w:szCs w:val="32"/>
          <w:highlight w:val="none"/>
        </w:rPr>
      </w:pPr>
    </w:p>
    <w:p w14:paraId="66D7C09B">
      <w:pPr>
        <w:autoSpaceDE w:val="0"/>
        <w:autoSpaceDN w:val="0"/>
        <w:jc w:val="center"/>
        <w:rPr>
          <w:rFonts w:ascii="宋体" w:hAnsi="宋体" w:cs="宋体"/>
          <w:b/>
          <w:color w:val="auto"/>
          <w:spacing w:val="6"/>
          <w:sz w:val="32"/>
          <w:szCs w:val="32"/>
          <w:highlight w:val="none"/>
        </w:rPr>
      </w:pPr>
    </w:p>
    <w:p w14:paraId="48E359D1">
      <w:pPr>
        <w:autoSpaceDE w:val="0"/>
        <w:autoSpaceDN w:val="0"/>
        <w:jc w:val="center"/>
        <w:rPr>
          <w:rFonts w:hint="eastAsia" w:ascii="宋体" w:hAnsi="宋体" w:cs="宋体"/>
          <w:b/>
          <w:color w:val="auto"/>
          <w:spacing w:val="6"/>
          <w:sz w:val="32"/>
          <w:szCs w:val="32"/>
          <w:highlight w:val="none"/>
        </w:rPr>
      </w:pPr>
    </w:p>
    <w:p w14:paraId="482AB3CD">
      <w:pPr>
        <w:autoSpaceDE w:val="0"/>
        <w:autoSpaceDN w:val="0"/>
        <w:jc w:val="center"/>
        <w:rPr>
          <w:rFonts w:hint="eastAsia" w:ascii="宋体" w:hAnsi="宋体" w:cs="宋体"/>
          <w:b/>
          <w:color w:val="auto"/>
          <w:spacing w:val="6"/>
          <w:sz w:val="32"/>
          <w:szCs w:val="32"/>
          <w:highlight w:val="none"/>
        </w:rPr>
      </w:pPr>
    </w:p>
    <w:p w14:paraId="4C8732CC">
      <w:pPr>
        <w:autoSpaceDE w:val="0"/>
        <w:autoSpaceDN w:val="0"/>
        <w:jc w:val="center"/>
        <w:rPr>
          <w:rFonts w:hint="eastAsia" w:ascii="宋体" w:hAnsi="宋体" w:cs="宋体"/>
          <w:b/>
          <w:color w:val="auto"/>
          <w:spacing w:val="6"/>
          <w:sz w:val="32"/>
          <w:szCs w:val="32"/>
          <w:highlight w:val="none"/>
        </w:rPr>
      </w:pPr>
    </w:p>
    <w:p w14:paraId="6EF0D9D7">
      <w:pPr>
        <w:autoSpaceDE w:val="0"/>
        <w:autoSpaceDN w:val="0"/>
        <w:jc w:val="center"/>
        <w:rPr>
          <w:rFonts w:hint="eastAsia" w:ascii="宋体" w:hAnsi="宋体" w:cs="宋体"/>
          <w:b/>
          <w:color w:val="auto"/>
          <w:spacing w:val="6"/>
          <w:sz w:val="32"/>
          <w:szCs w:val="32"/>
          <w:highlight w:val="none"/>
        </w:rPr>
      </w:pPr>
    </w:p>
    <w:p w14:paraId="662D8648">
      <w:pPr>
        <w:autoSpaceDE w:val="0"/>
        <w:autoSpaceDN w:val="0"/>
        <w:jc w:val="center"/>
        <w:rPr>
          <w:rFonts w:hint="eastAsia" w:ascii="宋体" w:hAnsi="宋体" w:cs="宋体"/>
          <w:b/>
          <w:color w:val="auto"/>
          <w:spacing w:val="6"/>
          <w:sz w:val="32"/>
          <w:szCs w:val="32"/>
          <w:highlight w:val="none"/>
        </w:rPr>
      </w:pPr>
    </w:p>
    <w:p w14:paraId="4FAB93E2">
      <w:pPr>
        <w:autoSpaceDE w:val="0"/>
        <w:autoSpaceDN w:val="0"/>
        <w:jc w:val="center"/>
        <w:rPr>
          <w:rFonts w:hint="eastAsia" w:ascii="宋体" w:hAnsi="宋体" w:cs="宋体"/>
          <w:b/>
          <w:color w:val="auto"/>
          <w:spacing w:val="6"/>
          <w:sz w:val="32"/>
          <w:szCs w:val="32"/>
          <w:highlight w:val="none"/>
        </w:rPr>
      </w:pPr>
    </w:p>
    <w:p w14:paraId="72CB2F0D">
      <w:pPr>
        <w:autoSpaceDE w:val="0"/>
        <w:autoSpaceDN w:val="0"/>
        <w:jc w:val="center"/>
        <w:rPr>
          <w:rFonts w:hint="eastAsia" w:ascii="宋体" w:hAnsi="宋体" w:cs="宋体"/>
          <w:b/>
          <w:color w:val="auto"/>
          <w:spacing w:val="6"/>
          <w:sz w:val="32"/>
          <w:szCs w:val="32"/>
          <w:highlight w:val="none"/>
        </w:rPr>
      </w:pPr>
    </w:p>
    <w:p w14:paraId="1B83A864">
      <w:pPr>
        <w:autoSpaceDE w:val="0"/>
        <w:autoSpaceDN w:val="0"/>
        <w:jc w:val="center"/>
        <w:rPr>
          <w:rFonts w:hint="eastAsia" w:ascii="宋体" w:hAnsi="宋体" w:cs="宋体"/>
          <w:b/>
          <w:color w:val="auto"/>
          <w:spacing w:val="6"/>
          <w:sz w:val="32"/>
          <w:szCs w:val="32"/>
          <w:highlight w:val="none"/>
        </w:rPr>
      </w:pPr>
    </w:p>
    <w:p w14:paraId="3E426011">
      <w:pPr>
        <w:autoSpaceDE w:val="0"/>
        <w:autoSpaceDN w:val="0"/>
        <w:jc w:val="center"/>
        <w:rPr>
          <w:rFonts w:hint="eastAsia" w:ascii="宋体" w:hAnsi="宋体" w:cs="宋体"/>
          <w:b/>
          <w:color w:val="auto"/>
          <w:spacing w:val="6"/>
          <w:sz w:val="32"/>
          <w:szCs w:val="32"/>
          <w:highlight w:val="none"/>
        </w:rPr>
      </w:pPr>
    </w:p>
    <w:p w14:paraId="1FAEA956">
      <w:pPr>
        <w:autoSpaceDE w:val="0"/>
        <w:autoSpaceDN w:val="0"/>
        <w:jc w:val="center"/>
        <w:rPr>
          <w:rFonts w:hint="eastAsia" w:ascii="宋体" w:hAnsi="宋体" w:cs="宋体"/>
          <w:b/>
          <w:color w:val="auto"/>
          <w:spacing w:val="6"/>
          <w:sz w:val="32"/>
          <w:szCs w:val="32"/>
          <w:highlight w:val="none"/>
        </w:rPr>
      </w:pPr>
    </w:p>
    <w:p w14:paraId="14D40248">
      <w:pPr>
        <w:autoSpaceDE w:val="0"/>
        <w:autoSpaceDN w:val="0"/>
        <w:jc w:val="center"/>
        <w:rPr>
          <w:rFonts w:hint="eastAsia" w:ascii="宋体" w:hAnsi="宋体" w:cs="宋体"/>
          <w:b/>
          <w:color w:val="auto"/>
          <w:spacing w:val="6"/>
          <w:sz w:val="32"/>
          <w:szCs w:val="32"/>
          <w:highlight w:val="none"/>
        </w:rPr>
      </w:pPr>
    </w:p>
    <w:p w14:paraId="14A0054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D5A9583">
      <w:pPr>
        <w:spacing w:line="360" w:lineRule="auto"/>
        <w:rPr>
          <w:rFonts w:ascii="宋体" w:hAnsi="宋体" w:cs="宋体"/>
          <w:color w:val="auto"/>
          <w:sz w:val="24"/>
          <w:highlight w:val="none"/>
          <w:u w:val="single"/>
        </w:rPr>
      </w:pPr>
    </w:p>
    <w:p w14:paraId="3BFE3F1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宁海县岔路镇中心卫生院</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宁海童氏工程管理咨询有限公司</w:t>
      </w:r>
      <w:r>
        <w:rPr>
          <w:rFonts w:hint="eastAsia" w:ascii="宋体" w:hAnsi="宋体" w:cs="宋体"/>
          <w:color w:val="auto"/>
          <w:sz w:val="21"/>
          <w:szCs w:val="21"/>
          <w:highlight w:val="none"/>
          <w:u w:val="single"/>
        </w:rPr>
        <w:t>：</w:t>
      </w:r>
    </w:p>
    <w:p w14:paraId="14154486">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NH-TS2024-128-1</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1C6B71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4FB137E7">
      <w:pPr>
        <w:spacing w:line="360" w:lineRule="auto"/>
        <w:ind w:firstLine="494"/>
        <w:rPr>
          <w:rFonts w:ascii="宋体" w:hAnsi="宋体" w:cs="宋体"/>
          <w:color w:val="auto"/>
          <w:sz w:val="24"/>
          <w:highlight w:val="none"/>
        </w:rPr>
      </w:pPr>
    </w:p>
    <w:p w14:paraId="41EB4B4C">
      <w:pPr>
        <w:spacing w:line="360" w:lineRule="auto"/>
        <w:ind w:firstLine="494"/>
        <w:rPr>
          <w:rFonts w:ascii="宋体" w:hAnsi="宋体" w:cs="宋体"/>
          <w:color w:val="auto"/>
          <w:sz w:val="24"/>
          <w:highlight w:val="none"/>
        </w:rPr>
      </w:pPr>
    </w:p>
    <w:p w14:paraId="2960C8EC">
      <w:pPr>
        <w:spacing w:line="360" w:lineRule="auto"/>
        <w:ind w:firstLine="494"/>
        <w:rPr>
          <w:rFonts w:ascii="宋体" w:hAnsi="宋体" w:cs="宋体"/>
          <w:color w:val="auto"/>
          <w:sz w:val="24"/>
          <w:highlight w:val="none"/>
        </w:rPr>
      </w:pPr>
    </w:p>
    <w:p w14:paraId="7AB52E1B">
      <w:pPr>
        <w:spacing w:line="360" w:lineRule="auto"/>
        <w:ind w:firstLine="494"/>
        <w:rPr>
          <w:rFonts w:ascii="宋体" w:hAnsi="宋体" w:cs="宋体"/>
          <w:color w:val="auto"/>
          <w:sz w:val="24"/>
          <w:highlight w:val="none"/>
        </w:rPr>
      </w:pPr>
    </w:p>
    <w:p w14:paraId="14286F54">
      <w:pPr>
        <w:pStyle w:val="2"/>
      </w:pPr>
    </w:p>
    <w:p w14:paraId="60ED070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06E93D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68CD14">
      <w:pPr>
        <w:rPr>
          <w:rFonts w:ascii="宋体" w:hAnsi="宋体" w:cs="宋体"/>
          <w:color w:val="auto"/>
          <w:sz w:val="24"/>
          <w:highlight w:val="none"/>
        </w:rPr>
      </w:pPr>
      <w:r>
        <w:rPr>
          <w:rFonts w:hint="eastAsia" w:ascii="宋体" w:hAnsi="宋体" w:cs="宋体"/>
          <w:b/>
          <w:bCs/>
          <w:color w:val="auto"/>
          <w:sz w:val="24"/>
          <w:highlight w:val="none"/>
        </w:rPr>
        <w:t>附：</w:t>
      </w:r>
    </w:p>
    <w:p w14:paraId="19A5CA9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4BE8899">
      <w:pPr>
        <w:autoSpaceDE w:val="0"/>
        <w:autoSpaceDN w:val="0"/>
        <w:jc w:val="center"/>
        <w:rPr>
          <w:rFonts w:ascii="宋体" w:hAnsi="宋体" w:cs="宋体"/>
          <w:b/>
          <w:color w:val="auto"/>
          <w:spacing w:val="6"/>
          <w:sz w:val="32"/>
          <w:szCs w:val="32"/>
          <w:highlight w:val="none"/>
        </w:rPr>
      </w:pPr>
    </w:p>
    <w:p w14:paraId="6DA1228D">
      <w:pPr>
        <w:autoSpaceDE w:val="0"/>
        <w:autoSpaceDN w:val="0"/>
        <w:jc w:val="center"/>
        <w:rPr>
          <w:rFonts w:ascii="宋体" w:hAnsi="宋体" w:cs="宋体"/>
          <w:b/>
          <w:color w:val="auto"/>
          <w:spacing w:val="6"/>
          <w:sz w:val="32"/>
          <w:szCs w:val="32"/>
          <w:highlight w:val="none"/>
        </w:rPr>
      </w:pPr>
    </w:p>
    <w:p w14:paraId="4DD6D0FD">
      <w:pPr>
        <w:autoSpaceDE w:val="0"/>
        <w:autoSpaceDN w:val="0"/>
        <w:jc w:val="center"/>
        <w:rPr>
          <w:rFonts w:ascii="宋体" w:hAnsi="宋体" w:cs="宋体"/>
          <w:b/>
          <w:color w:val="auto"/>
          <w:spacing w:val="6"/>
          <w:sz w:val="32"/>
          <w:szCs w:val="32"/>
          <w:highlight w:val="none"/>
        </w:rPr>
      </w:pPr>
    </w:p>
    <w:p w14:paraId="6E58F9B0">
      <w:pPr>
        <w:autoSpaceDE w:val="0"/>
        <w:autoSpaceDN w:val="0"/>
        <w:jc w:val="center"/>
        <w:rPr>
          <w:rFonts w:ascii="宋体" w:hAnsi="宋体" w:cs="宋体"/>
          <w:b/>
          <w:color w:val="auto"/>
          <w:spacing w:val="6"/>
          <w:sz w:val="32"/>
          <w:szCs w:val="32"/>
          <w:highlight w:val="none"/>
        </w:rPr>
      </w:pPr>
    </w:p>
    <w:p w14:paraId="33027D2A">
      <w:pPr>
        <w:autoSpaceDE w:val="0"/>
        <w:autoSpaceDN w:val="0"/>
        <w:jc w:val="center"/>
        <w:rPr>
          <w:rFonts w:ascii="宋体" w:hAnsi="宋体" w:cs="宋体"/>
          <w:b/>
          <w:color w:val="auto"/>
          <w:spacing w:val="6"/>
          <w:sz w:val="32"/>
          <w:szCs w:val="32"/>
          <w:highlight w:val="none"/>
        </w:rPr>
      </w:pPr>
    </w:p>
    <w:p w14:paraId="4A06D690">
      <w:pPr>
        <w:autoSpaceDE w:val="0"/>
        <w:autoSpaceDN w:val="0"/>
        <w:jc w:val="center"/>
        <w:rPr>
          <w:rFonts w:ascii="宋体" w:hAnsi="宋体" w:cs="宋体"/>
          <w:b/>
          <w:color w:val="auto"/>
          <w:spacing w:val="6"/>
          <w:sz w:val="32"/>
          <w:szCs w:val="32"/>
          <w:highlight w:val="none"/>
        </w:rPr>
      </w:pPr>
    </w:p>
    <w:p w14:paraId="180AA203">
      <w:pPr>
        <w:autoSpaceDE w:val="0"/>
        <w:autoSpaceDN w:val="0"/>
        <w:jc w:val="center"/>
        <w:rPr>
          <w:rFonts w:ascii="宋体" w:hAnsi="宋体" w:cs="宋体"/>
          <w:b/>
          <w:color w:val="auto"/>
          <w:spacing w:val="6"/>
          <w:sz w:val="32"/>
          <w:szCs w:val="32"/>
          <w:highlight w:val="none"/>
        </w:rPr>
      </w:pPr>
    </w:p>
    <w:p w14:paraId="6E84E529">
      <w:pPr>
        <w:autoSpaceDE w:val="0"/>
        <w:autoSpaceDN w:val="0"/>
        <w:jc w:val="center"/>
        <w:rPr>
          <w:rFonts w:ascii="宋体" w:hAnsi="宋体" w:cs="宋体"/>
          <w:b/>
          <w:color w:val="auto"/>
          <w:spacing w:val="6"/>
          <w:sz w:val="32"/>
          <w:szCs w:val="32"/>
          <w:highlight w:val="none"/>
        </w:rPr>
      </w:pPr>
    </w:p>
    <w:p w14:paraId="1326F256">
      <w:pPr>
        <w:autoSpaceDE w:val="0"/>
        <w:autoSpaceDN w:val="0"/>
        <w:jc w:val="center"/>
        <w:rPr>
          <w:rFonts w:ascii="宋体" w:hAnsi="宋体" w:cs="宋体"/>
          <w:b/>
          <w:color w:val="auto"/>
          <w:spacing w:val="6"/>
          <w:sz w:val="32"/>
          <w:szCs w:val="32"/>
          <w:highlight w:val="none"/>
        </w:rPr>
      </w:pPr>
    </w:p>
    <w:p w14:paraId="61158B52">
      <w:pPr>
        <w:autoSpaceDE w:val="0"/>
        <w:autoSpaceDN w:val="0"/>
        <w:jc w:val="center"/>
        <w:rPr>
          <w:rFonts w:ascii="宋体" w:hAnsi="宋体" w:cs="宋体"/>
          <w:b/>
          <w:color w:val="auto"/>
          <w:spacing w:val="6"/>
          <w:sz w:val="32"/>
          <w:szCs w:val="32"/>
          <w:highlight w:val="none"/>
        </w:rPr>
      </w:pPr>
    </w:p>
    <w:p w14:paraId="6A9FBCF6">
      <w:pPr>
        <w:autoSpaceDE w:val="0"/>
        <w:autoSpaceDN w:val="0"/>
        <w:jc w:val="center"/>
        <w:rPr>
          <w:rFonts w:ascii="宋体" w:hAnsi="宋体" w:cs="宋体"/>
          <w:b/>
          <w:color w:val="auto"/>
          <w:spacing w:val="6"/>
          <w:sz w:val="32"/>
          <w:szCs w:val="32"/>
          <w:highlight w:val="none"/>
        </w:rPr>
      </w:pPr>
    </w:p>
    <w:p w14:paraId="03A4A2C5">
      <w:pPr>
        <w:autoSpaceDE w:val="0"/>
        <w:autoSpaceDN w:val="0"/>
        <w:jc w:val="center"/>
        <w:rPr>
          <w:rFonts w:ascii="宋体" w:hAnsi="宋体" w:cs="宋体"/>
          <w:b/>
          <w:color w:val="auto"/>
          <w:spacing w:val="6"/>
          <w:sz w:val="32"/>
          <w:szCs w:val="32"/>
          <w:highlight w:val="none"/>
        </w:rPr>
      </w:pPr>
    </w:p>
    <w:p w14:paraId="3B8CAF46">
      <w:pPr>
        <w:autoSpaceDE w:val="0"/>
        <w:autoSpaceDN w:val="0"/>
        <w:jc w:val="center"/>
        <w:rPr>
          <w:rFonts w:ascii="宋体" w:hAnsi="宋体" w:cs="宋体"/>
          <w:b/>
          <w:color w:val="auto"/>
          <w:spacing w:val="6"/>
          <w:sz w:val="32"/>
          <w:szCs w:val="32"/>
          <w:highlight w:val="none"/>
        </w:rPr>
      </w:pPr>
    </w:p>
    <w:p w14:paraId="033B2220">
      <w:pPr>
        <w:autoSpaceDE w:val="0"/>
        <w:autoSpaceDN w:val="0"/>
        <w:jc w:val="center"/>
        <w:rPr>
          <w:rFonts w:ascii="宋体" w:hAnsi="宋体" w:cs="宋体"/>
          <w:b/>
          <w:color w:val="auto"/>
          <w:spacing w:val="6"/>
          <w:sz w:val="32"/>
          <w:szCs w:val="32"/>
          <w:highlight w:val="none"/>
        </w:rPr>
      </w:pPr>
    </w:p>
    <w:p w14:paraId="6CEA8AF9"/>
    <w:p w14:paraId="06DE8D5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E22A859">
      <w:pPr>
        <w:widowControl/>
        <w:spacing w:line="312"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355BE28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NH-TS2024-128-1</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01067E2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2716FE55">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160120A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5A40408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6073971F">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5080D1C8">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554DF20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24BAD08">
      <w:pPr>
        <w:snapToGrid w:val="0"/>
        <w:spacing w:line="312"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399"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399"/>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0"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0"/>
      <w:r>
        <w:rPr>
          <w:rFonts w:hint="eastAsia" w:ascii="宋体" w:hAnsi="宋体" w:cs="宋体"/>
          <w:b/>
          <w:color w:val="auto"/>
          <w:kern w:val="0"/>
          <w:sz w:val="21"/>
          <w:szCs w:val="21"/>
          <w:highlight w:val="none"/>
          <w:lang w:val="zh-CN"/>
        </w:rPr>
        <w:t>）</w:t>
      </w:r>
    </w:p>
    <w:p w14:paraId="41851A44">
      <w:pPr>
        <w:spacing w:line="312"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1"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1"/>
    </w:p>
    <w:p w14:paraId="35385E1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30B5C0A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6080CE9B">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44900BF">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09E299B">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428D721E">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26769BD">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1C919A0E">
      <w:pPr>
        <w:snapToGrid w:val="0"/>
        <w:spacing w:line="312"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1A96DC54">
      <w:pPr>
        <w:snapToGrid w:val="0"/>
        <w:spacing w:line="312"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EEAEEDB">
      <w:pPr>
        <w:spacing w:line="312" w:lineRule="auto"/>
        <w:ind w:right="420"/>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1138085F">
      <w:pPr>
        <w:autoSpaceDE w:val="0"/>
        <w:autoSpaceDN w:val="0"/>
        <w:jc w:val="center"/>
        <w:rPr>
          <w:rFonts w:ascii="宋体" w:hAnsi="宋体" w:cs="宋体"/>
          <w:b/>
          <w:color w:val="auto"/>
          <w:spacing w:val="6"/>
          <w:sz w:val="32"/>
          <w:szCs w:val="32"/>
          <w:highlight w:val="none"/>
        </w:rPr>
      </w:pPr>
    </w:p>
    <w:p w14:paraId="7E4E2B7C">
      <w:pPr>
        <w:snapToGrid w:val="0"/>
        <w:spacing w:line="360" w:lineRule="auto"/>
        <w:ind w:firstLine="2451" w:firstLineChars="1100"/>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56664257">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228FE8C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NH-TS2024-128-1</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15C95E8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73B49BF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CE7DC63">
      <w:pPr>
        <w:pStyle w:val="3"/>
        <w:ind w:left="664" w:leftChars="316" w:firstLine="200" w:firstLineChars="9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3FDD692F">
      <w:pPr>
        <w:rPr>
          <w:color w:val="auto"/>
          <w:szCs w:val="21"/>
          <w:highlight w:val="none"/>
        </w:rPr>
      </w:pPr>
      <w:r>
        <w:rPr>
          <w:rFonts w:hint="eastAsia"/>
          <w:color w:val="auto"/>
          <w:szCs w:val="21"/>
          <w:highlight w:val="none"/>
          <w:lang w:val="zh-CN"/>
        </w:rPr>
        <w:t xml:space="preserve"> </w:t>
      </w:r>
    </w:p>
    <w:p w14:paraId="533FD53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6745DF31">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1DB9290">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7FC83F6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4B37996A">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1CB95C6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079C00B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3110FF0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3414DF5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3A4D4197">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6BC703C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07FD941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3B27923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4FF7667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24603F53">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36253201">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6542364D">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73F799BE">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5DC384E0">
      <w:pPr>
        <w:autoSpaceDE w:val="0"/>
        <w:autoSpaceDN w:val="0"/>
        <w:jc w:val="both"/>
        <w:rPr>
          <w:rFonts w:ascii="宋体" w:hAnsi="宋体" w:cs="宋体"/>
          <w:b/>
          <w:color w:val="auto"/>
          <w:spacing w:val="6"/>
          <w:sz w:val="32"/>
          <w:szCs w:val="32"/>
          <w:highlight w:val="none"/>
        </w:rPr>
      </w:pPr>
    </w:p>
    <w:p w14:paraId="4843D3C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1880F89">
      <w:pPr>
        <w:spacing w:line="360" w:lineRule="auto"/>
        <w:jc w:val="center"/>
        <w:rPr>
          <w:rFonts w:ascii="宋体" w:hAnsi="宋体" w:cs="宋体"/>
          <w:color w:val="auto"/>
          <w:sz w:val="24"/>
          <w:highlight w:val="none"/>
          <w:u w:val="single"/>
        </w:rPr>
      </w:pPr>
    </w:p>
    <w:p w14:paraId="6DE984FA">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392DEB">
      <w:pPr>
        <w:spacing w:line="36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宁海县岔路镇中心卫生院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宁海县岔路镇中心卫生院食堂等综合服务外包项目  (2025年-2027年)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611433">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912CCD8">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1E3EFF1">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24121AB">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73F683">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C96A85B">
      <w:pPr>
        <w:spacing w:line="360" w:lineRule="exact"/>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3E72493">
      <w:pPr>
        <w:spacing w:line="360" w:lineRule="exact"/>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9097E8">
      <w:pPr>
        <w:spacing w:line="36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C1A680A">
      <w:pPr>
        <w:spacing w:line="360" w:lineRule="exact"/>
        <w:ind w:right="420"/>
        <w:rPr>
          <w:rFonts w:ascii="宋体" w:hAnsi="宋体" w:cs="宋体"/>
          <w:color w:val="auto"/>
          <w:sz w:val="24"/>
          <w:highlight w:val="none"/>
        </w:rPr>
      </w:pPr>
    </w:p>
    <w:p w14:paraId="19AC9D36">
      <w:pPr>
        <w:spacing w:line="360" w:lineRule="exact"/>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40E56B6">
      <w:pPr>
        <w:spacing w:line="36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D9CFF5C">
      <w:pPr>
        <w:spacing w:line="360" w:lineRule="exact"/>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30DD63"/>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575">
    <w:pPr>
      <w:pStyle w:val="1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B6F2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CB6F2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EA72">
    <w:pPr>
      <w:pStyle w:val="1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332B9">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4332B9">
                    <w:pPr>
                      <w:pStyle w:val="10"/>
                    </w:pPr>
                    <w:r>
                      <w:fldChar w:fldCharType="begin"/>
                    </w:r>
                    <w:r>
                      <w:instrText xml:space="preserve"> PAGE  \* MERGEFORMAT </w:instrText>
                    </w:r>
                    <w:r>
                      <w:fldChar w:fldCharType="separate"/>
                    </w:r>
                    <w:r>
                      <w:t>35</w:t>
                    </w:r>
                    <w:r>
                      <w:fldChar w:fldCharType="end"/>
                    </w:r>
                  </w:p>
                </w:txbxContent>
              </v:textbox>
            </v:shape>
          </w:pict>
        </mc:Fallback>
      </mc:AlternateContent>
    </w:r>
  </w:p>
  <w:p w14:paraId="76A14CA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DACF">
    <w:pPr>
      <w:pStyle w:val="1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A61B2">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AA61B2">
                    <w:pPr>
                      <w:pStyle w:val="10"/>
                    </w:pPr>
                    <w:r>
                      <w:fldChar w:fldCharType="begin"/>
                    </w:r>
                    <w:r>
                      <w:instrText xml:space="preserve"> PAGE  \* MERGEFORMAT </w:instrText>
                    </w:r>
                    <w:r>
                      <w:fldChar w:fldCharType="separate"/>
                    </w:r>
                    <w:r>
                      <w:t>33</w:t>
                    </w:r>
                    <w:r>
                      <w:fldChar w:fldCharType="end"/>
                    </w:r>
                  </w:p>
                </w:txbxContent>
              </v:textbox>
            </v:shape>
          </w:pict>
        </mc:Fallback>
      </mc:AlternateContent>
    </w:r>
  </w:p>
  <w:p w14:paraId="6089491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9069">
    <w:pPr>
      <w:pStyle w:val="1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0EAEF">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30EAEF">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86BF">
    <w:pPr>
      <w:pStyle w:val="10"/>
      <w:framePr w:wrap="around" w:vAnchor="text" w:hAnchor="margin" w:xAlign="right" w:y="1"/>
      <w:rPr>
        <w:rStyle w:val="17"/>
      </w:rPr>
    </w:pPr>
    <w:r>
      <w:fldChar w:fldCharType="begin"/>
    </w:r>
    <w:r>
      <w:rPr>
        <w:rStyle w:val="17"/>
      </w:rPr>
      <w:instrText xml:space="preserve">PAGE  </w:instrText>
    </w:r>
    <w:r>
      <w:fldChar w:fldCharType="end"/>
    </w:r>
  </w:p>
  <w:p w14:paraId="54B01409">
    <w:pPr>
      <w:pStyle w:val="1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AB1C">
    <w:pPr>
      <w:pStyle w:val="1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32F9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032F9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B212">
    <w:pPr>
      <w:pStyle w:val="10"/>
      <w:framePr w:wrap="around" w:vAnchor="text" w:hAnchor="margin" w:xAlign="right" w:y="1"/>
      <w:rPr>
        <w:rStyle w:val="17"/>
      </w:rPr>
    </w:pPr>
    <w:r>
      <w:fldChar w:fldCharType="begin"/>
    </w:r>
    <w:r>
      <w:rPr>
        <w:rStyle w:val="17"/>
      </w:rPr>
      <w:instrText xml:space="preserve">PAGE  </w:instrText>
    </w:r>
    <w:r>
      <w:fldChar w:fldCharType="end"/>
    </w:r>
  </w:p>
  <w:p w14:paraId="6D497136">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216E">
    <w:pPr>
      <w:pStyle w:val="1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DF0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4DF0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273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9655C">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39655C">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1D444">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FEF4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CFEF4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60FC">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5D041">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F5D041">
                    <w:pPr>
                      <w:pStyle w:val="10"/>
                    </w:pPr>
                    <w:r>
                      <w:fldChar w:fldCharType="begin"/>
                    </w:r>
                    <w:r>
                      <w:instrText xml:space="preserve"> PAGE  \* MERGEFORMAT </w:instrText>
                    </w:r>
                    <w:r>
                      <w:fldChar w:fldCharType="separate"/>
                    </w:r>
                    <w:r>
                      <w:t>20</w:t>
                    </w:r>
                    <w:r>
                      <w:fldChar w:fldCharType="end"/>
                    </w:r>
                  </w:p>
                </w:txbxContent>
              </v:textbox>
            </v:shape>
          </w:pict>
        </mc:Fallback>
      </mc:AlternateContent>
    </w:r>
  </w:p>
  <w:p w14:paraId="7F988F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40D">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BC436">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5BC436">
                    <w:pPr>
                      <w:pStyle w:val="10"/>
                    </w:pPr>
                    <w:r>
                      <w:fldChar w:fldCharType="begin"/>
                    </w:r>
                    <w:r>
                      <w:instrText xml:space="preserve"> PAGE  \* MERGEFORMAT </w:instrText>
                    </w:r>
                    <w:r>
                      <w:fldChar w:fldCharType="separate"/>
                    </w:r>
                    <w:r>
                      <w:t>19</w:t>
                    </w:r>
                    <w:r>
                      <w:fldChar w:fldCharType="end"/>
                    </w:r>
                  </w:p>
                </w:txbxContent>
              </v:textbox>
            </v:shape>
          </w:pict>
        </mc:Fallback>
      </mc:AlternateContent>
    </w:r>
  </w:p>
  <w:p w14:paraId="33FB95B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2628">
    <w:pPr>
      <w:pStyle w:val="1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FFFC2">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2FFFC2">
                    <w:pPr>
                      <w:pStyle w:val="10"/>
                    </w:pPr>
                    <w:r>
                      <w:fldChar w:fldCharType="begin"/>
                    </w:r>
                    <w:r>
                      <w:instrText xml:space="preserve"> PAGE  \* MERGEFORMAT </w:instrText>
                    </w:r>
                    <w:r>
                      <w:fldChar w:fldCharType="separate"/>
                    </w:r>
                    <w:r>
                      <w:t>31</w:t>
                    </w:r>
                    <w:r>
                      <w:fldChar w:fldCharType="end"/>
                    </w:r>
                  </w:p>
                </w:txbxContent>
              </v:textbox>
            </v:shape>
          </w:pict>
        </mc:Fallback>
      </mc:AlternateContent>
    </w:r>
  </w:p>
  <w:p w14:paraId="5250B2E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7CA3">
    <w:pPr>
      <w:pStyle w:val="1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5EC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3A5EC3">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1052DA7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AB0">
    <w:pPr>
      <w:pStyle w:val="11"/>
      <w:pBdr>
        <w:bottom w:val="single" w:color="auto" w:sz="6" w:space="4"/>
      </w:pBdr>
      <w:jc w:val="right"/>
    </w:pPr>
    <w:r>
      <w:t></w:t>
    </w:r>
    <w:r>
      <w:rPr>
        <w:rFonts w:hint="eastAsia"/>
      </w:rPr>
      <w:t xml:space="preserve">          </w:t>
    </w:r>
    <w:r>
      <w:t>政府采购公开招标文件</w:t>
    </w:r>
  </w:p>
  <w:p w14:paraId="18645BF2">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A182A">
    <w:pPr>
      <w:pStyle w:val="1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A20C">
    <w:pPr>
      <w:pStyle w:val="1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11"/>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11"/>
    </w:pPr>
    <w:r>
      <w:t></w:t>
    </w:r>
    <w:r>
      <w:rPr>
        <w:rFonts w:hint="eastAsia"/>
      </w:rPr>
      <w:t xml:space="preserve">         </w:t>
    </w:r>
  </w:p>
  <w:p w14:paraId="1271B64B">
    <w:pPr>
      <w:pStyle w:val="1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11"/>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1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3F55">
    <w:pPr>
      <w:pStyle w:val="11"/>
      <w:jc w:val="right"/>
      <w:rPr>
        <w:rFonts w:ascii="仿宋_GB2312" w:eastAsia="仿宋_GB2312"/>
        <w:b/>
        <w:i/>
        <w:u w:val="single"/>
      </w:rPr>
    </w:pPr>
    <w:r>
      <w:rPr>
        <w:rFonts w:hint="eastAsia"/>
      </w:rPr>
      <w:t xml:space="preserve">                                  </w:t>
    </w:r>
    <w:r>
      <w:t>政府采购公开招标文件</w:t>
    </w:r>
  </w:p>
  <w:p w14:paraId="7D05BF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C4B">
    <w:pPr>
      <w:pStyle w:val="1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ABDC">
    <w:pPr>
      <w:pStyle w:val="1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BDC67"/>
    <w:multiLevelType w:val="singleLevel"/>
    <w:tmpl w:val="8F8BDC67"/>
    <w:lvl w:ilvl="0" w:tentative="0">
      <w:start w:val="6"/>
      <w:numFmt w:val="chineseCounting"/>
      <w:suff w:val="nothing"/>
      <w:lvlText w:val="%1、"/>
      <w:lvlJc w:val="left"/>
      <w:rPr>
        <w:rFonts w:hint="eastAsia"/>
      </w:r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73CF7CB"/>
    <w:multiLevelType w:val="singleLevel"/>
    <w:tmpl w:val="F73CF7CB"/>
    <w:lvl w:ilvl="0" w:tentative="0">
      <w:start w:val="2"/>
      <w:numFmt w:val="none"/>
      <w:pStyle w:val="37"/>
      <w:lvlText w:val=""/>
      <w:lvlJc w:val="left"/>
      <w:pPr>
        <w:tabs>
          <w:tab w:val="left" w:pos="0"/>
        </w:tabs>
        <w:ind w:left="0" w:firstLine="0"/>
      </w:p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63D3182D"/>
    <w:multiLevelType w:val="singleLevel"/>
    <w:tmpl w:val="63D3182D"/>
    <w:lvl w:ilvl="0" w:tentative="0">
      <w:start w:val="1"/>
      <w:numFmt w:val="decimal"/>
      <w:suff w:val="nothing"/>
      <w:lvlText w:val="（%1）"/>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NGUzYzg1YmRmM2QwMTg2ZmFmZTdlMDQzMzdjNDgifQ=="/>
  </w:docVars>
  <w:rsids>
    <w:rsidRoot w:val="00000000"/>
    <w:rsid w:val="01145609"/>
    <w:rsid w:val="046A0822"/>
    <w:rsid w:val="0A832274"/>
    <w:rsid w:val="0B496AB5"/>
    <w:rsid w:val="0D892EDB"/>
    <w:rsid w:val="13406DD3"/>
    <w:rsid w:val="15484062"/>
    <w:rsid w:val="168A25A7"/>
    <w:rsid w:val="197A2E8F"/>
    <w:rsid w:val="1B7022F2"/>
    <w:rsid w:val="1D0B56BA"/>
    <w:rsid w:val="1D6949EA"/>
    <w:rsid w:val="1F7E25AD"/>
    <w:rsid w:val="229042F4"/>
    <w:rsid w:val="265B414F"/>
    <w:rsid w:val="285A5B8E"/>
    <w:rsid w:val="29D058E0"/>
    <w:rsid w:val="2A3F518D"/>
    <w:rsid w:val="2AE9577D"/>
    <w:rsid w:val="2C580726"/>
    <w:rsid w:val="2F5860DF"/>
    <w:rsid w:val="349A2371"/>
    <w:rsid w:val="37043D3F"/>
    <w:rsid w:val="387F71E3"/>
    <w:rsid w:val="39A81E28"/>
    <w:rsid w:val="3CA15D32"/>
    <w:rsid w:val="3D642C4B"/>
    <w:rsid w:val="3ECB105E"/>
    <w:rsid w:val="3EF30D23"/>
    <w:rsid w:val="3FA617D1"/>
    <w:rsid w:val="3FFC0FD0"/>
    <w:rsid w:val="445B497A"/>
    <w:rsid w:val="45997458"/>
    <w:rsid w:val="4789286A"/>
    <w:rsid w:val="4A405F1F"/>
    <w:rsid w:val="4CA65593"/>
    <w:rsid w:val="52796647"/>
    <w:rsid w:val="55CF16F5"/>
    <w:rsid w:val="56E250CD"/>
    <w:rsid w:val="5862030D"/>
    <w:rsid w:val="5A834832"/>
    <w:rsid w:val="60A84A7D"/>
    <w:rsid w:val="61176E18"/>
    <w:rsid w:val="656F7092"/>
    <w:rsid w:val="6ADB03C9"/>
    <w:rsid w:val="6E740F90"/>
    <w:rsid w:val="6F9644FB"/>
    <w:rsid w:val="73912E38"/>
    <w:rsid w:val="7B2779B8"/>
    <w:rsid w:val="7D484436"/>
    <w:rsid w:val="7DEB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qFormat/>
    <w:uiPriority w:val="0"/>
    <w:pPr>
      <w:ind w:firstLine="420"/>
    </w:pPr>
    <w:rPr>
      <w:rFonts w:hAnsi="Calibri" w:cs="Times New Roman"/>
      <w:snapToGrid/>
      <w:szCs w:val="20"/>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Body Text First Indent 2"/>
    <w:basedOn w:val="7"/>
    <w:qFormat/>
    <w:uiPriority w:val="0"/>
    <w:pPr>
      <w:ind w:firstLine="420" w:firstLineChars="200"/>
    </w:pPr>
    <w:rPr>
      <w:rFonts w:ascii="Times New Roman" w:hAnsi="Times New Roman" w:cs="Times New Roman"/>
      <w:lang w:val="zh-CN"/>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qFormat/>
    <w:uiPriority w:val="99"/>
    <w:rPr>
      <w:sz w:val="21"/>
      <w:szCs w:val="21"/>
    </w:rPr>
  </w:style>
  <w:style w:type="paragraph" w:customStyle="1" w:styleId="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table" w:customStyle="1" w:styleId="27">
    <w:name w:val="网格型7"/>
    <w:basedOn w:val="14"/>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8">
    <w:name w:val="列表段落1"/>
    <w:basedOn w:val="1"/>
    <w:qFormat/>
    <w:uiPriority w:val="34"/>
    <w:pPr>
      <w:adjustRightInd/>
      <w:ind w:right="238" w:firstLine="420"/>
    </w:pPr>
    <w:rPr>
      <w:rFonts w:ascii="Calibri" w:hAnsi="Calibri"/>
      <w:sz w:val="24"/>
    </w:rPr>
  </w:style>
  <w:style w:type="paragraph" w:customStyle="1" w:styleId="2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0">
    <w:name w:val="_Style 3"/>
    <w:basedOn w:val="1"/>
    <w:qFormat/>
    <w:uiPriority w:val="0"/>
    <w:pPr>
      <w:adjustRightInd/>
      <w:ind w:firstLine="420" w:firstLineChars="200"/>
    </w:pPr>
    <w:rPr>
      <w:rFonts w:eastAsia="仿宋_GB2312"/>
      <w:sz w:val="28"/>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Default"/>
    <w:qFormat/>
    <w:uiPriority w:val="0"/>
    <w:pPr>
      <w:widowControl w:val="0"/>
      <w:suppressAutoHyphens/>
    </w:pPr>
    <w:rPr>
      <w:rFonts w:ascii="黑体" w:hAnsi="黑体" w:eastAsia="黑体" w:cs="Times New Roman"/>
      <w:color w:val="000000"/>
      <w:kern w:val="1"/>
      <w:sz w:val="24"/>
      <w:lang w:val="en-US" w:eastAsia="ar-SA"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37">
    <w:name w:val="正文 第一章"/>
    <w:basedOn w:val="1"/>
    <w:next w:val="38"/>
    <w:qFormat/>
    <w:uiPriority w:val="0"/>
    <w:pPr>
      <w:pageBreakBefore/>
      <w:widowControl w:val="0"/>
      <w:numPr>
        <w:ilvl w:val="0"/>
        <w:numId w:val="1"/>
      </w:numPr>
      <w:tabs>
        <w:tab w:val="left" w:pos="360"/>
      </w:tabs>
      <w:spacing w:before="240" w:after="240" w:line="480" w:lineRule="auto"/>
      <w:ind w:left="301" w:hanging="301"/>
      <w:jc w:val="center"/>
      <w:outlineLvl w:val="0"/>
    </w:pPr>
    <w:rPr>
      <w:rFonts w:ascii="黑体" w:eastAsia="黑体" w:cs="宋体"/>
      <w:sz w:val="36"/>
    </w:rPr>
  </w:style>
  <w:style w:type="paragraph" w:customStyle="1" w:styleId="38">
    <w:name w:val="正文 1.1"/>
    <w:basedOn w:val="1"/>
    <w:next w:val="39"/>
    <w:qFormat/>
    <w:uiPriority w:val="0"/>
    <w:pPr>
      <w:ind w:left="980" w:hanging="980"/>
      <w:outlineLvl w:val="1"/>
    </w:pPr>
    <w:rPr>
      <w:rFonts w:ascii="仿宋" w:hAnsi="仿宋" w:cs="仿宋_GB2312"/>
    </w:rPr>
  </w:style>
  <w:style w:type="paragraph" w:customStyle="1" w:styleId="39">
    <w:name w:val="正文 1.1.1"/>
    <w:basedOn w:val="1"/>
    <w:next w:val="1"/>
    <w:qFormat/>
    <w:uiPriority w:val="0"/>
    <w:pPr>
      <w:tabs>
        <w:tab w:val="left" w:pos="851"/>
      </w:tabs>
      <w:outlineLvl w:val="2"/>
    </w:pPr>
    <w:rPr>
      <w:rFonts w:eastAsia="宋体" w:cs="宋体"/>
      <w:color w:val="FF0000"/>
    </w:rPr>
  </w:style>
  <w:style w:type="paragraph" w:customStyle="1" w:styleId="40">
    <w:name w:val="Table Text"/>
    <w:basedOn w:val="1"/>
    <w:semiHidden/>
    <w:qFormat/>
    <w:uiPriority w:val="0"/>
    <w:rPr>
      <w:rFonts w:ascii="宋体" w:hAnsi="宋体" w:eastAsia="宋体" w:cs="宋体"/>
      <w:sz w:val="20"/>
      <w:szCs w:val="20"/>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25020</Words>
  <Characters>26364</Characters>
  <Lines>0</Lines>
  <Paragraphs>0</Paragraphs>
  <TotalTime>0</TotalTime>
  <ScaleCrop>false</ScaleCrop>
  <LinksUpToDate>false</LinksUpToDate>
  <CharactersWithSpaces>26721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2024-10-18T06:56:00Z</dcterms:created>
  <dc:creator>Administrator</dc:creator>
  <cp:lastModifiedBy>WPS_1671501819</cp:lastModifiedBy>
  <cp:lastPrinted>2024-11-28T07:40:00Z</cp:lastPrinted>
  <dcterms:modified xsi:type="dcterms:W3CDTF">2024-12-30T08:18:02Z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4FF40E95FF874FFB94C93AF8F85F3581_12</vt:lpwstr>
  </property>
  <property fmtid="{D5CDD505-2E9C-101B-9397-08002B2CF9AE}" pid="4" name="KSOTemplateDocerSaveRecord">
    <vt:lpwstr>eyJoZGlkIjoiMDY3NGUzYzg1YmRmM2QwMTg2ZmFmZTdlMDQzMzdjNDgiLCJ1c2VySWQiOiIxNDU5OTc4MTIwIn0=</vt:lpwstr>
  </property>
</Properties>
</file>