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ind w:firstLine="480" w:firstLineChars="100"/>
        <w:jc w:val="center"/>
        <w:rPr>
          <w:rFonts w:hint="eastAsia" w:ascii="宋体" w:hAnsi="宋体" w:cs="宋体"/>
          <w:color w:val="auto"/>
          <w:sz w:val="48"/>
          <w:szCs w:val="48"/>
          <w:highlight w:val="none"/>
        </w:rPr>
      </w:pPr>
      <w:r>
        <w:rPr>
          <w:rFonts w:hint="eastAsia" w:ascii="宋体" w:hAnsi="宋体" w:cs="宋体"/>
          <w:color w:val="auto"/>
          <w:sz w:val="48"/>
          <w:szCs w:val="48"/>
          <w:highlight w:val="none"/>
          <w:lang w:eastAsia="zh-CN"/>
        </w:rPr>
        <w:t>义蓬街道头蓬社区党群服务中心装修工程</w:t>
      </w:r>
    </w:p>
    <w:p>
      <w:pPr>
        <w:adjustRightInd/>
        <w:spacing w:line="360" w:lineRule="auto"/>
        <w:ind w:firstLine="480" w:firstLineChars="100"/>
        <w:jc w:val="center"/>
        <w:rPr>
          <w:rFonts w:ascii="宋体" w:hAnsi="宋体" w:cs="宋体"/>
          <w:color w:val="auto"/>
          <w:sz w:val="48"/>
          <w:szCs w:val="48"/>
          <w:highlight w:val="none"/>
        </w:rPr>
      </w:pPr>
      <w:r>
        <w:rPr>
          <w:rFonts w:hint="eastAsia" w:ascii="宋体" w:hAnsi="宋体" w:cs="宋体"/>
          <w:color w:val="auto"/>
          <w:sz w:val="48"/>
          <w:szCs w:val="48"/>
          <w:highlight w:val="none"/>
        </w:rPr>
        <w:t>（政府采购工程）</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 xml:space="preserve"> QTCG-CS-202</w:t>
      </w:r>
      <w:r>
        <w:rPr>
          <w:rFonts w:hint="eastAsia" w:ascii="宋体" w:hAnsi="宋体" w:cs="宋体"/>
          <w:color w:val="auto"/>
          <w:sz w:val="30"/>
          <w:szCs w:val="30"/>
          <w:highlight w:val="none"/>
          <w:lang w:val="en-US" w:eastAsia="zh-CN"/>
        </w:rPr>
        <w:t>4</w:t>
      </w:r>
      <w:r>
        <w:rPr>
          <w:rFonts w:hint="eastAsia" w:ascii="宋体" w:hAnsi="宋体" w:cs="宋体"/>
          <w:color w:val="auto"/>
          <w:sz w:val="30"/>
          <w:szCs w:val="30"/>
          <w:highlight w:val="none"/>
          <w:lang w:eastAsia="zh-CN"/>
        </w:rPr>
        <w:t>-</w:t>
      </w:r>
      <w:r>
        <w:rPr>
          <w:rFonts w:hint="eastAsia" w:ascii="宋体" w:hAnsi="宋体" w:cs="宋体"/>
          <w:color w:val="auto"/>
          <w:sz w:val="30"/>
          <w:szCs w:val="30"/>
          <w:highlight w:val="none"/>
          <w:lang w:val="en-US" w:eastAsia="zh-CN"/>
        </w:rPr>
        <w:t xml:space="preserve">047 </w:t>
      </w:r>
    </w:p>
    <w:p>
      <w:pPr>
        <w:adjustRightInd/>
        <w:spacing w:line="360" w:lineRule="auto"/>
        <w:rPr>
          <w:rFonts w:ascii="宋体" w:hAnsi="宋体" w:cs="宋体"/>
          <w:color w:val="auto"/>
          <w:sz w:val="28"/>
          <w:szCs w:val="20"/>
          <w:highlight w:val="none"/>
        </w:rPr>
      </w:pPr>
    </w:p>
    <w:p>
      <w:pPr>
        <w:spacing w:line="360" w:lineRule="auto"/>
        <w:jc w:val="center"/>
        <w:rPr>
          <w:rFonts w:hint="eastAsia" w:ascii="宋体" w:hAnsi="宋体" w:cs="宋体"/>
          <w:b/>
          <w:color w:val="auto"/>
          <w:sz w:val="44"/>
          <w:szCs w:val="44"/>
          <w:highlight w:val="none"/>
        </w:rPr>
      </w:pPr>
    </w:p>
    <w:p>
      <w:pPr>
        <w:spacing w:line="360" w:lineRule="auto"/>
        <w:jc w:val="center"/>
        <w:rPr>
          <w:rFonts w:hint="eastAsia"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杭州市钱塘区人民政府义蓬街道办事处</w:t>
      </w:r>
    </w:p>
    <w:p>
      <w:pPr>
        <w:snapToGrid w:val="0"/>
        <w:spacing w:line="360" w:lineRule="auto"/>
        <w:jc w:val="center"/>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eastAsia="zh-CN"/>
        </w:rPr>
        <w:t>浙江</w:t>
      </w:r>
      <w:r>
        <w:rPr>
          <w:rFonts w:hint="eastAsia" w:ascii="宋体" w:hAnsi="宋体" w:cs="宋体"/>
          <w:bCs/>
          <w:color w:val="auto"/>
          <w:sz w:val="32"/>
          <w:szCs w:val="32"/>
          <w:highlight w:val="none"/>
          <w:lang w:val="en-US" w:eastAsia="zh-CN"/>
        </w:rPr>
        <w:t>中瑞工程管理有限公司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九</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九</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1280" w:firstLineChars="400"/>
        <w:rPr>
          <w:rFonts w:ascii="宋体" w:hAnsi="宋体" w:cs="宋体"/>
          <w:color w:val="auto"/>
          <w:sz w:val="32"/>
          <w:szCs w:val="32"/>
          <w:highlight w:val="none"/>
        </w:rPr>
      </w:pP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义蓬街道头蓬社区党群服务中心装修工程</w:t>
      </w:r>
      <w:r>
        <w:rPr>
          <w:rFonts w:hint="eastAsia" w:ascii="宋体" w:hAnsi="宋体" w:cs="宋体"/>
          <w:color w:val="auto"/>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napToGrid w:val="0"/>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QTCG-CS-202</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047    </w:t>
      </w:r>
    </w:p>
    <w:p>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义蓬街道头蓬社区党群服务中心装修工程</w:t>
      </w:r>
    </w:p>
    <w:p>
      <w:pPr>
        <w:snapToGrid w:val="0"/>
        <w:spacing w:line="360" w:lineRule="auto"/>
        <w:ind w:firstLine="482" w:firstLineChars="200"/>
        <w:rPr>
          <w:rFonts w:hint="default" w:ascii="仿宋" w:hAnsi="仿宋" w:eastAsia="仿宋" w:cs="仿宋"/>
          <w:b/>
          <w:bCs/>
          <w:i w:val="0"/>
          <w:iCs w:val="0"/>
          <w:color w:val="auto"/>
          <w:kern w:val="2"/>
          <w:sz w:val="24"/>
          <w:szCs w:val="24"/>
          <w:highlight w:val="none"/>
          <w:u w:val="none"/>
          <w:lang w:val="en-US" w:eastAsia="zh-CN" w:bidi="ar"/>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961778</w:t>
      </w:r>
      <w:r>
        <w:rPr>
          <w:rFonts w:hint="eastAsia" w:ascii="宋体" w:hAnsi="宋体" w:cs="宋体"/>
          <w:b/>
          <w:color w:val="auto"/>
          <w:sz w:val="24"/>
          <w:highlight w:val="none"/>
          <w:lang w:eastAsia="zh-CN"/>
        </w:rPr>
        <w:t>（本项目</w:t>
      </w:r>
      <w:r>
        <w:rPr>
          <w:rFonts w:hint="eastAsia" w:ascii="宋体" w:hAnsi="宋体" w:cs="宋体"/>
          <w:b/>
          <w:color w:val="auto"/>
          <w:sz w:val="24"/>
          <w:highlight w:val="none"/>
          <w:lang w:val="en-US" w:eastAsia="zh-CN"/>
        </w:rPr>
        <w:t>预算审核</w:t>
      </w:r>
      <w:r>
        <w:rPr>
          <w:rFonts w:hint="eastAsia" w:ascii="宋体" w:hAnsi="宋体" w:cs="宋体"/>
          <w:b/>
          <w:color w:val="auto"/>
          <w:sz w:val="24"/>
          <w:highlight w:val="none"/>
          <w:lang w:eastAsia="zh-CN"/>
        </w:rPr>
        <w:t>价为</w:t>
      </w:r>
      <w:r>
        <w:rPr>
          <w:rFonts w:hint="eastAsia" w:ascii="宋体" w:hAnsi="宋体" w:cs="宋体"/>
          <w:b/>
          <w:color w:val="auto"/>
          <w:sz w:val="24"/>
          <w:highlight w:val="none"/>
          <w:lang w:val="en-US" w:eastAsia="zh-CN"/>
        </w:rPr>
        <w:t>961778元</w:t>
      </w:r>
      <w:r>
        <w:rPr>
          <w:rFonts w:hint="eastAsia" w:ascii="宋体" w:hAnsi="宋体" w:cs="宋体"/>
          <w:b/>
          <w:color w:val="auto"/>
          <w:sz w:val="24"/>
          <w:highlight w:val="none"/>
          <w:lang w:eastAsia="zh-CN"/>
        </w:rPr>
        <w:t>）</w:t>
      </w:r>
    </w:p>
    <w:p>
      <w:pPr>
        <w:snapToGrid w:val="0"/>
        <w:spacing w:line="360" w:lineRule="auto"/>
        <w:ind w:firstLine="482" w:firstLineChars="200"/>
        <w:rPr>
          <w:rFonts w:hint="default" w:ascii="宋体" w:hAnsi="宋体" w:cs="宋体"/>
          <w:color w:val="auto"/>
          <w:sz w:val="24"/>
          <w:highlight w:val="yellow"/>
          <w:lang w:val="en-US"/>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865600</w:t>
      </w:r>
    </w:p>
    <w:p>
      <w:pPr>
        <w:pStyle w:val="15"/>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bCs w:val="0"/>
          <w:snapToGrid/>
          <w:color w:val="auto"/>
          <w:kern w:val="2"/>
          <w:sz w:val="24"/>
          <w:szCs w:val="24"/>
          <w:highlight w:val="none"/>
          <w:lang w:eastAsia="zh-CN"/>
        </w:rPr>
        <w:t>义蓬街道头蓬社区党群服务中心装修工程，</w:t>
      </w:r>
      <w:r>
        <w:rPr>
          <w:rFonts w:hint="eastAsia" w:hAnsi="宋体" w:cs="宋体"/>
          <w:bCs/>
          <w:snapToGrid/>
          <w:color w:val="auto"/>
          <w:kern w:val="2"/>
          <w:sz w:val="24"/>
          <w:szCs w:val="24"/>
          <w:highlight w:val="none"/>
        </w:rPr>
        <w:t>主要内容：</w:t>
      </w:r>
      <w:r>
        <w:rPr>
          <w:rFonts w:hint="eastAsia" w:hAnsi="宋体" w:cs="宋体"/>
          <w:color w:val="auto"/>
          <w:sz w:val="24"/>
          <w:highlight w:val="none"/>
          <w:lang w:eastAsia="zh-CN"/>
        </w:rPr>
        <w:t>义蓬街道头蓬社区党群服务中心装修工程</w:t>
      </w:r>
      <w:r>
        <w:rPr>
          <w:rFonts w:hint="eastAsia" w:hAnsi="宋体" w:cs="宋体"/>
          <w:bCs/>
          <w:snapToGrid/>
          <w:color w:val="auto"/>
          <w:kern w:val="2"/>
          <w:sz w:val="24"/>
          <w:szCs w:val="24"/>
          <w:highlight w:val="none"/>
        </w:rPr>
        <w:t>的竞争性磋商文件、工程量清单及施工图范围内的所有内容。详见采购文件第三部分采购需求。</w:t>
      </w:r>
    </w:p>
    <w:p>
      <w:pPr>
        <w:pStyle w:val="133"/>
        <w:snapToGrid w:val="0"/>
        <w:spacing w:before="0"/>
        <w:ind w:firstLine="482"/>
        <w:outlineLvl w:val="9"/>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color w:val="auto"/>
          <w:sz w:val="24"/>
          <w:szCs w:val="24"/>
          <w:highlight w:val="none"/>
          <w:lang w:val="en-US" w:eastAsia="zh-CN"/>
        </w:rPr>
        <w:t xml:space="preserve"> 30日历天（满足整体工程进度需要）</w:t>
      </w:r>
      <w:r>
        <w:rPr>
          <w:rFonts w:hint="eastAsia" w:hAnsi="宋体" w:cs="宋体"/>
          <w:bCs/>
          <w:snapToGrid/>
          <w:color w:val="auto"/>
          <w:kern w:val="2"/>
          <w:sz w:val="24"/>
          <w:szCs w:val="24"/>
          <w:highlight w:val="none"/>
        </w:rPr>
        <w:t>。</w:t>
      </w:r>
    </w:p>
    <w:p>
      <w:pPr>
        <w:pStyle w:val="15"/>
        <w:spacing w:line="360" w:lineRule="auto"/>
        <w:ind w:firstLine="482" w:firstLineChars="200"/>
        <w:rPr>
          <w:rFonts w:hAnsi="宋体" w:cs="宋体"/>
          <w:color w:val="auto"/>
          <w:kern w:val="0"/>
          <w:sz w:val="24"/>
          <w:highlight w:val="none"/>
        </w:rPr>
      </w:pPr>
      <w:r>
        <w:rPr>
          <w:rFonts w:hint="eastAsia" w:hAnsi="宋体" w:cs="宋体"/>
          <w:b/>
          <w:color w:val="auto"/>
          <w:sz w:val="24"/>
          <w:highlight w:val="none"/>
        </w:rPr>
        <w:t>本项目接受联合体：</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，不接受联合体理由：</w:t>
      </w:r>
      <w:r>
        <w:rPr>
          <w:rFonts w:hint="eastAsia" w:hAnsi="宋体" w:cs="宋体"/>
          <w:color w:val="auto"/>
          <w:kern w:val="0"/>
          <w:sz w:val="24"/>
          <w:highlight w:val="none"/>
          <w:lang w:val="en-US" w:eastAsia="zh-CN"/>
        </w:rPr>
        <w:t xml:space="preserve">  </w:t>
      </w:r>
      <w:r>
        <w:rPr>
          <w:rFonts w:hint="eastAsia" w:hAnsi="宋体" w:cs="宋体"/>
          <w:color w:val="auto"/>
          <w:kern w:val="0"/>
          <w:sz w:val="24"/>
          <w:highlight w:val="none"/>
        </w:rPr>
        <w:t>。</w:t>
      </w:r>
    </w:p>
    <w:p>
      <w:pPr>
        <w:pStyle w:val="133"/>
        <w:snapToGrid w:val="0"/>
        <w:spacing w:before="0"/>
        <w:ind w:firstLine="482"/>
        <w:outlineLvl w:val="9"/>
        <w:rPr>
          <w:rFonts w:ascii="宋体" w:hAnsi="宋体" w:cs="宋体"/>
          <w:b/>
          <w:color w:val="auto"/>
          <w:highlight w:val="none"/>
        </w:rPr>
      </w:pPr>
      <w:r>
        <w:rPr>
          <w:rFonts w:hint="eastAsia" w:ascii="宋体" w:hAnsi="宋体" w:cs="宋体"/>
          <w:b/>
          <w:color w:val="auto"/>
          <w:highlight w:val="none"/>
        </w:rPr>
        <w:t>注：不得限制大中型企业与小微企业组成联合体参与。</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以联合体形式参与的，提供联合协议(供应商不以联合体形式参与的，则不需要提供)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工程全部由符合政策要求的中小企业承建，提供中小企业声明函；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工程全部由符合政策要求的小微企业承建，提供中小企业声明函；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如果供应商本身提供所有标的均由中小企业承建，视同符合了资格条件，无需再与其他中小企业组成联合体参加政府采购活动，无需提供联合协议</w:t>
      </w:r>
      <w:r>
        <w:rPr>
          <w:rFonts w:hint="eastAsia" w:ascii="宋体" w:hAnsi="宋体" w:cs="宋体"/>
          <w:color w:val="auto"/>
          <w:sz w:val="24"/>
          <w:highlight w:val="none"/>
        </w:rPr>
        <w:t>；</w:t>
      </w:r>
    </w:p>
    <w:bookmarkEnd w:id="12"/>
    <w:p>
      <w:pPr>
        <w:tabs>
          <w:tab w:val="left" w:pos="840"/>
        </w:tabs>
        <w:snapToGrid w:val="0"/>
        <w:spacing w:line="360" w:lineRule="auto"/>
        <w:ind w:firstLine="480" w:firstLineChars="200"/>
        <w:rPr>
          <w:rFonts w:hint="eastAsia" w:ascii="宋体" w:hAnsi="宋体" w:eastAsia="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如果供应商本身提供所有标的均由中小企业承建，视同符合</w:t>
      </w:r>
      <w:r>
        <w:rPr>
          <w:rFonts w:hint="eastAsia" w:ascii="宋体" w:hAnsi="宋体" w:eastAsia="宋体" w:cs="宋体"/>
          <w:color w:val="auto"/>
          <w:sz w:val="24"/>
          <w:highlight w:val="none"/>
        </w:rPr>
        <w:t>了资格条件，无需再向中小企业分包，无需提供分包意向协议；</w:t>
      </w:r>
    </w:p>
    <w:p>
      <w:pPr>
        <w:numPr>
          <w:ilvl w:val="0"/>
          <w:numId w:val="0"/>
        </w:numPr>
        <w:tabs>
          <w:tab w:val="left" w:pos="840"/>
        </w:tabs>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rPr>
        <w:t>本项目的特定资格要求：</w:t>
      </w:r>
    </w:p>
    <w:p>
      <w:pPr>
        <w:numPr>
          <w:ilvl w:val="0"/>
          <w:numId w:val="1"/>
        </w:numPr>
        <w:tabs>
          <w:tab w:val="left" w:pos="84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具备</w:t>
      </w:r>
      <w:r>
        <w:rPr>
          <w:rFonts w:hint="eastAsia" w:ascii="宋体" w:hAnsi="宋体" w:eastAsia="宋体" w:cs="宋体"/>
          <w:color w:val="auto"/>
          <w:sz w:val="24"/>
          <w:highlight w:val="none"/>
          <w:lang w:val="en-US" w:eastAsia="zh-CN"/>
        </w:rPr>
        <w:t>建筑装饰装修工程专业承包贰级</w:t>
      </w:r>
      <w:r>
        <w:rPr>
          <w:rFonts w:hint="eastAsia" w:ascii="宋体" w:hAnsi="宋体" w:eastAsia="宋体" w:cs="宋体"/>
          <w:color w:val="auto"/>
          <w:sz w:val="24"/>
          <w:highlight w:val="none"/>
          <w:lang w:eastAsia="zh-CN"/>
        </w:rPr>
        <w:t>及以上资质</w:t>
      </w:r>
      <w:r>
        <w:rPr>
          <w:rFonts w:hint="eastAsia" w:ascii="宋体" w:hAnsi="宋体" w:eastAsia="宋体" w:cs="宋体"/>
          <w:color w:val="auto"/>
          <w:sz w:val="24"/>
          <w:highlight w:val="none"/>
        </w:rPr>
        <w:t>，并具有安全生产许可证的独立法人；</w:t>
      </w:r>
    </w:p>
    <w:p>
      <w:pPr>
        <w:numPr>
          <w:ilvl w:val="0"/>
          <w:numId w:val="1"/>
        </w:numPr>
        <w:tabs>
          <w:tab w:val="left" w:pos="84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项目负责人为</w:t>
      </w:r>
      <w:r>
        <w:rPr>
          <w:rFonts w:hint="eastAsia" w:ascii="宋体" w:hAnsi="宋体" w:eastAsia="宋体" w:cs="宋体"/>
          <w:color w:val="auto"/>
          <w:sz w:val="24"/>
          <w:highlight w:val="none"/>
          <w:lang w:val="en-US" w:eastAsia="zh-CN"/>
        </w:rPr>
        <w:t>建筑</w:t>
      </w:r>
      <w:r>
        <w:rPr>
          <w:rFonts w:hint="eastAsia" w:ascii="宋体" w:hAnsi="宋体" w:eastAsia="宋体" w:cs="宋体"/>
          <w:color w:val="auto"/>
          <w:sz w:val="24"/>
          <w:highlight w:val="none"/>
          <w:lang w:eastAsia="zh-CN"/>
        </w:rPr>
        <w:t>工程</w:t>
      </w:r>
      <w:r>
        <w:rPr>
          <w:rFonts w:hint="eastAsia" w:ascii="宋体" w:hAnsi="宋体" w:eastAsia="宋体" w:cs="宋体"/>
          <w:color w:val="auto"/>
          <w:sz w:val="24"/>
          <w:highlight w:val="none"/>
        </w:rPr>
        <w:t>专业</w:t>
      </w:r>
      <w:r>
        <w:rPr>
          <w:rFonts w:hint="eastAsia" w:ascii="宋体" w:hAnsi="宋体" w:cs="宋体"/>
          <w:color w:val="auto"/>
          <w:sz w:val="24"/>
          <w:highlight w:val="none"/>
          <w:lang w:val="en-US" w:eastAsia="zh-CN"/>
        </w:rPr>
        <w:t>二</w:t>
      </w:r>
      <w:r>
        <w:rPr>
          <w:rFonts w:hint="eastAsia" w:ascii="宋体" w:hAnsi="宋体" w:eastAsia="宋体" w:cs="宋体"/>
          <w:color w:val="auto"/>
          <w:sz w:val="24"/>
          <w:highlight w:val="none"/>
        </w:rPr>
        <w:t>级及以上注册建造师</w:t>
      </w:r>
      <w:r>
        <w:rPr>
          <w:rFonts w:hint="eastAsia" w:ascii="仿宋" w:hAnsi="仿宋" w:eastAsia="仿宋" w:cs="仿宋"/>
          <w:color w:val="auto"/>
          <w:spacing w:val="8"/>
          <w:kern w:val="0"/>
          <w:sz w:val="24"/>
          <w:highlight w:val="none"/>
        </w:rPr>
        <w:t>，</w:t>
      </w:r>
      <w:r>
        <w:rPr>
          <w:rFonts w:hint="eastAsia" w:ascii="宋体" w:hAnsi="宋体" w:eastAsia="宋体" w:cs="宋体"/>
          <w:color w:val="auto"/>
          <w:sz w:val="24"/>
          <w:highlight w:val="none"/>
        </w:rPr>
        <w:t>同时具有“三类人员”B类证书；</w:t>
      </w:r>
    </w:p>
    <w:p>
      <w:pPr>
        <w:numPr>
          <w:ilvl w:val="0"/>
          <w:numId w:val="1"/>
        </w:numPr>
        <w:tabs>
          <w:tab w:val="left" w:pos="84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具有有效的企业《营业执照》、企业《资质证书》、企业《安全生产许可证》；</w:t>
      </w:r>
    </w:p>
    <w:p>
      <w:pPr>
        <w:numPr>
          <w:ilvl w:val="0"/>
          <w:numId w:val="1"/>
        </w:numPr>
        <w:tabs>
          <w:tab w:val="left" w:pos="84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投标截止日存在在其他任何在建合同工程上担任项目负责人的，不得以拟派项目负责人的身份参加本次投标。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p>
    <w:p>
      <w:pPr>
        <w:tabs>
          <w:tab w:val="left" w:pos="840"/>
        </w:tabs>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5.单位负责人为同一人或者存在直接控股、管理</w:t>
      </w:r>
      <w:r>
        <w:rPr>
          <w:rFonts w:hint="eastAsia" w:ascii="宋体" w:hAnsi="宋体" w:cs="宋体"/>
          <w:color w:val="auto"/>
          <w:sz w:val="24"/>
          <w:highlight w:val="none"/>
        </w:rPr>
        <w:t>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（1）需要落实的政府采购政策：包括节约资源、保护环境、支持创新、促进中小企业发展等。详见采购文件的第二部分总则。</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（3）采购文件公告期限与竞争性磋商公告的公告期限一致。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sz w:val="24"/>
          <w:lang w:eastAsia="zh-CN"/>
        </w:rPr>
        <w:t>杭州市钱塘区人民政府义蓬街道办事处</w:t>
      </w:r>
      <w:r>
        <w:rPr>
          <w:rFonts w:hint="eastAsia" w:ascii="宋体" w:hAnsi="宋体" w:cs="宋体"/>
          <w:color w:val="auto"/>
          <w:sz w:val="24"/>
          <w:highlight w:val="none"/>
        </w:rPr>
        <w:t xml:space="preserve">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杭州市钱塘区义府大街668号</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pPr>
        <w:snapToGrid w:val="0"/>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陈小姐</w:t>
      </w:r>
    </w:p>
    <w:p>
      <w:pPr>
        <w:snapToGrid w:val="0"/>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：0571-82181247</w:t>
      </w:r>
    </w:p>
    <w:p>
      <w:pPr>
        <w:snapToGrid w:val="0"/>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沈先生</w:t>
      </w:r>
    </w:p>
    <w:p>
      <w:pPr>
        <w:snapToGrid w:val="0"/>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0571-82900581</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2.采购代理机构信息            </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浙江中瑞工程管理有限公司</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址：杭州市</w:t>
      </w:r>
      <w:r>
        <w:rPr>
          <w:rFonts w:hint="eastAsia" w:ascii="宋体" w:hAnsi="宋体" w:cs="宋体"/>
          <w:color w:val="auto"/>
          <w:sz w:val="24"/>
          <w:highlight w:val="none"/>
          <w:lang w:val="en-US" w:eastAsia="zh-CN"/>
        </w:rPr>
        <w:t>钱塘区河庄街道永丰路888号</w:t>
      </w:r>
      <w:r>
        <w:rPr>
          <w:rFonts w:hint="eastAsia" w:ascii="宋体" w:hAnsi="宋体" w:cs="宋体"/>
          <w:color w:val="auto"/>
          <w:sz w:val="24"/>
          <w:highlight w:val="none"/>
        </w:rPr>
        <w:t xml:space="preserve"> </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严成勇</w:t>
      </w:r>
      <w:r>
        <w:rPr>
          <w:rFonts w:hint="eastAsia" w:ascii="宋体" w:hAnsi="宋体" w:cs="宋体"/>
          <w:color w:val="auto"/>
          <w:sz w:val="24"/>
          <w:highlight w:val="none"/>
        </w:rPr>
        <w:t xml:space="preserve">         </w:t>
      </w:r>
    </w:p>
    <w:p>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sz w:val="24"/>
          <w:lang w:val="en-US" w:eastAsia="zh-CN"/>
        </w:rPr>
        <w:t>13967186092</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毛维蓓</w:t>
      </w:r>
      <w:r>
        <w:rPr>
          <w:rFonts w:hint="eastAsia" w:ascii="宋体" w:hAnsi="宋体" w:cs="宋体"/>
          <w:color w:val="auto"/>
          <w:sz w:val="24"/>
          <w:highlight w:val="none"/>
        </w:rPr>
        <w:t xml:space="preserve">             </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rPr>
        <w:t>18968000181</w:t>
      </w:r>
      <w:r>
        <w:rPr>
          <w:rFonts w:hint="eastAsia" w:ascii="宋体" w:hAnsi="宋体" w:cs="宋体"/>
          <w:color w:val="auto"/>
          <w:sz w:val="24"/>
          <w:highlight w:val="none"/>
        </w:rPr>
        <w:t xml:space="preserve"> </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名    称： 杭州市钱塘区财政局、浙江省政府采购行政裁决服务中心(杭州) </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地    址： 杭州市上城区四季青街道新业路市民之家G03办公室</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快递仅限ems或顺丰</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联系人 ：朱女士、王女士</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监督投诉电话：0571-85252453</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napToGrid w:val="0"/>
        <w:spacing w:line="360" w:lineRule="auto"/>
        <w:ind w:firstLine="480" w:firstLineChars="200"/>
        <w:rPr>
          <w:rFonts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color w:val="auto"/>
          <w:sz w:val="24"/>
          <w:highlight w:val="none"/>
        </w:rPr>
        <w:t>CA问题联系电话（人工）：汇信CA 400-888-4636；天谷CA 400-087-8198。</w:t>
      </w:r>
    </w:p>
    <w:p>
      <w:pPr>
        <w:pStyle w:val="34"/>
        <w:spacing w:line="360" w:lineRule="auto"/>
        <w:jc w:val="center"/>
        <w:outlineLvl w:val="0"/>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pPr>
              <w:pStyle w:val="3"/>
              <w:rPr>
                <w:rFonts w:ascii="宋体" w:hAnsi="宋体" w:eastAsia="宋体" w:cs="宋体"/>
                <w:color w:val="auto"/>
                <w:highlight w:val="none"/>
                <w:lang w:val="en-US"/>
              </w:rPr>
            </w:pPr>
            <w:r>
              <w:rPr>
                <w:rFonts w:hint="eastAsia" w:ascii="宋体" w:hAnsi="宋体" w:eastAsia="宋体" w:cs="宋体"/>
                <w:color w:val="auto"/>
                <w:kern w:val="0"/>
                <w:sz w:val="24"/>
                <w:highlight w:val="none"/>
              </w:rPr>
              <w:t>（1）标的：</w:t>
            </w:r>
            <w:r>
              <w:rPr>
                <w:rFonts w:hint="eastAsia" w:ascii="宋体" w:hAnsi="宋体" w:eastAsia="宋体" w:cs="宋体"/>
                <w:color w:val="auto"/>
                <w:kern w:val="0"/>
                <w:sz w:val="24"/>
                <w:highlight w:val="none"/>
                <w:u w:val="single"/>
                <w:lang w:eastAsia="zh-CN"/>
              </w:rPr>
              <w:t>义蓬街道头蓬社区党群服务中心装修工程</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建筑业</w:t>
            </w:r>
            <w:r>
              <w:rPr>
                <w:rFonts w:hint="eastAsia" w:ascii="宋体" w:hAnsi="宋体" w:eastAsia="宋体" w:cs="宋体"/>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pPr>
              <w:spacing w:line="360" w:lineRule="auto"/>
              <w:rPr>
                <w:rFonts w:hint="eastAsia" w:ascii="宋体" w:hAnsi="宋体" w:eastAsia="宋体" w:cs="宋体"/>
                <w:color w:val="auto"/>
                <w:sz w:val="24"/>
                <w:highlight w:val="none"/>
              </w:rPr>
            </w:pPr>
            <w:sdt>
              <w:sdtPr>
                <w:rPr>
                  <w:rFonts w:hint="eastAsia" w:ascii="仿宋_GB2312" w:hAnsi="仿宋" w:eastAsia="仿宋_GB2312" w:cs="Arial"/>
                  <w:color w:val="auto"/>
                  <w:kern w:val="0"/>
                  <w:sz w:val="24"/>
                  <w:highlight w:val="none"/>
                </w:rPr>
                <w:id w:val="14746641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highlight w:val="none"/>
                </w:rPr>
                <w:id w:val="147467792"/>
                <w:showingPlcHdr/>
              </w:sdtPr>
              <w:sdtEndPr>
                <w:rPr>
                  <w:rFonts w:hint="eastAsia" w:ascii="宋体" w:hAnsi="宋体" w:eastAsia="宋体" w:cs="宋体"/>
                  <w:color w:val="auto"/>
                  <w:kern w:val="0"/>
                  <w:sz w:val="24"/>
                  <w:highlight w:val="none"/>
                </w:rPr>
              </w:sdtEndP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cs="宋体"/>
                <w:color w:val="auto"/>
                <w:sz w:val="24"/>
                <w:highlight w:val="none"/>
                <w:u w:val="single"/>
                <w:lang w:val="en-US" w:eastAsia="zh-CN"/>
              </w:rPr>
              <w:t xml:space="preserve"> 施工劳务 </w:t>
            </w:r>
            <w:r>
              <w:rPr>
                <w:rFonts w:hint="eastAsia" w:ascii="宋体" w:hAnsi="宋体" w:eastAsia="宋体" w:cs="宋体"/>
                <w:color w:val="auto"/>
                <w:sz w:val="24"/>
                <w:highlight w:val="none"/>
              </w:rPr>
              <w:t>工作分包。</w:t>
            </w:r>
          </w:p>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6568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sdt>
                  <w:sdtPr>
                    <w:rPr>
                      <w:rFonts w:hint="eastAsia" w:ascii="宋体" w:hAnsi="宋体" w:eastAsia="宋体" w:cs="宋体"/>
                      <w:color w:val="auto"/>
                      <w:kern w:val="0"/>
                      <w:sz w:val="24"/>
                      <w:highlight w:val="none"/>
                    </w:rPr>
                    <w:id w:val="147480374"/>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同意</w:t>
            </w:r>
            <w:r>
              <w:rPr>
                <w:rFonts w:hint="eastAsia" w:ascii="宋体" w:hAnsi="宋体" w:eastAsia="宋体" w:cs="宋体"/>
                <w:color w:val="auto"/>
                <w:sz w:val="24"/>
                <w:highlight w:val="none"/>
                <w:lang w:val="en-US" w:eastAsia="zh-CN"/>
              </w:rPr>
              <w:t>中型企业向小微企业、小微企业向小微企业合理分包</w:t>
            </w:r>
            <w:r>
              <w:rPr>
                <w:rFonts w:hint="eastAsia" w:ascii="宋体" w:hAnsi="宋体" w:eastAsia="宋体" w:cs="宋体"/>
                <w:color w:val="auto"/>
                <w:sz w:val="24"/>
                <w:highlight w:val="none"/>
              </w:rPr>
              <w:t>。</w:t>
            </w:r>
          </w:p>
          <w:p>
            <w:pPr>
              <w:spacing w:line="360" w:lineRule="auto"/>
              <w:rPr>
                <w:rFonts w:ascii="宋体" w:hAnsi="宋体" w:cs="宋体"/>
                <w:color w:val="auto"/>
                <w:sz w:val="24"/>
                <w:highlight w:val="none"/>
              </w:rPr>
            </w:pPr>
            <w:sdt>
              <w:sdtPr>
                <w:rPr>
                  <w:rFonts w:hint="eastAsia" w:ascii="宋体" w:hAnsi="宋体" w:eastAsia="宋体" w:cs="宋体"/>
                  <w:color w:val="auto"/>
                  <w:kern w:val="0"/>
                  <w:sz w:val="24"/>
                  <w:highlight w:val="none"/>
                </w:rPr>
                <w:id w:val="-127633135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8244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sdt>
                  <w:sdtPr>
                    <w:rPr>
                      <w:rFonts w:hint="eastAsia" w:ascii="宋体" w:hAnsi="宋体" w:eastAsia="宋体" w:cs="宋体"/>
                      <w:color w:val="auto"/>
                      <w:kern w:val="0"/>
                      <w:sz w:val="24"/>
                      <w:highlight w:val="none"/>
                    </w:rPr>
                    <w:id w:val="147468123"/>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C</w:t>
            </w:r>
            <w:r>
              <w:rPr>
                <w:rFonts w:hint="eastAsia" w:ascii="宋体" w:hAnsi="宋体" w:eastAsia="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采购机构将通知未成交供应商在规定的时间内取回，逾期未取回的，采购人、采购机构不负保管义务；对于成交供应商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（1）在评审时安排每个供应商进行方案讲解演示。每个供应商时间不超过20分钟，讲解次序以响应文件解密时间先后次序为准，讲解演示人员不超过3人。讲解演示结束后按要求解答磋商小组提问。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27"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pPr>
              <w:snapToGrid w:val="0"/>
              <w:spacing w:line="360" w:lineRule="auto"/>
              <w:jc w:val="center"/>
              <w:rPr>
                <w:rFonts w:ascii="宋体" w:hAnsi="宋体" w:cs="宋体"/>
                <w:color w:val="auto"/>
                <w:sz w:val="24"/>
                <w:highlight w:val="none"/>
              </w:rPr>
            </w:pPr>
          </w:p>
        </w:tc>
        <w:tc>
          <w:tcPr>
            <w:tcW w:w="2093" w:type="dxa"/>
            <w:vMerge w:val="continue"/>
            <w:vAlign w:val="center"/>
          </w:tcPr>
          <w:p>
            <w:pPr>
              <w:snapToGrid w:val="0"/>
              <w:spacing w:line="360" w:lineRule="auto"/>
              <w:jc w:val="center"/>
              <w:rPr>
                <w:rFonts w:ascii="宋体" w:hAnsi="宋体" w:cs="宋体"/>
                <w:b/>
                <w:color w:val="auto"/>
                <w:sz w:val="24"/>
                <w:highlight w:val="none"/>
              </w:rPr>
            </w:pPr>
          </w:p>
        </w:tc>
        <w:tc>
          <w:tcPr>
            <w:tcW w:w="6927"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hint="eastAsia" w:ascii="宋体" w:hAnsi="宋体" w:eastAsia="宋体" w:cs="宋体"/>
                <w:b/>
                <w:color w:val="auto"/>
                <w:kern w:val="0"/>
                <w:sz w:val="24"/>
                <w:highlight w:val="none"/>
              </w:rPr>
            </w:pPr>
            <w:r>
              <w:rPr>
                <w:rFonts w:hint="eastAsia" w:ascii="宋体" w:hAnsi="宋体" w:cs="宋体"/>
                <w:b/>
                <w:color w:val="auto"/>
                <w:kern w:val="0"/>
                <w:sz w:val="24"/>
                <w:highlight w:val="none"/>
              </w:rPr>
              <w:t>供</w:t>
            </w:r>
            <w:r>
              <w:rPr>
                <w:rFonts w:hint="eastAsia" w:ascii="宋体" w:hAnsi="宋体" w:eastAsia="宋体" w:cs="宋体"/>
                <w:b/>
                <w:color w:val="auto"/>
                <w:kern w:val="0"/>
                <w:sz w:val="24"/>
                <w:highlight w:val="none"/>
              </w:rPr>
              <w:t>应商对根据修正原则修正后的报价不确认的。</w:t>
            </w:r>
          </w:p>
          <w:p>
            <w:pPr>
              <w:spacing w:line="360" w:lineRule="auto"/>
              <w:ind w:firstLine="241" w:firstLineChars="100"/>
            </w:pPr>
            <w:r>
              <w:rPr>
                <w:rFonts w:hint="eastAsia" w:ascii="宋体" w:hAnsi="宋体" w:eastAsia="宋体" w:cs="宋体"/>
                <w:b/>
                <w:color w:val="auto"/>
                <w:kern w:val="0"/>
                <w:sz w:val="24"/>
                <w:highlight w:val="none"/>
                <w:lang w:val="en-US" w:eastAsia="zh-CN"/>
              </w:rPr>
              <w:t>供应商报价低于项目预算50%的，应当在报价文件中详细阐述不影响产品质量或者诚信履约的具体原因，供应商未详细阐述的</w:t>
            </w:r>
            <w:r>
              <w:rPr>
                <w:rFonts w:hint="eastAsia" w:ascii="宋体" w:hAnsi="宋体" w:eastAsia="宋体" w:cs="宋体"/>
                <w:b/>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Merge w:val="restart"/>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pPr>
              <w:spacing w:line="360" w:lineRule="auto"/>
              <w:ind w:firstLine="420" w:firstLineChars="200"/>
              <w:jc w:val="center"/>
              <w:rPr>
                <w:rFonts w:ascii="宋体" w:hAnsi="宋体" w:cs="宋体"/>
                <w:color w:val="auto"/>
                <w:highlight w:val="none"/>
              </w:rPr>
            </w:pPr>
          </w:p>
        </w:tc>
        <w:tc>
          <w:tcPr>
            <w:tcW w:w="2093" w:type="dxa"/>
            <w:vMerge w:val="continue"/>
            <w:vAlign w:val="center"/>
          </w:tcPr>
          <w:p>
            <w:pPr>
              <w:snapToGrid w:val="0"/>
              <w:spacing w:line="360" w:lineRule="auto"/>
              <w:jc w:val="center"/>
              <w:rPr>
                <w:rFonts w:ascii="宋体" w:hAnsi="宋体" w:cs="宋体"/>
                <w:color w:val="auto"/>
                <w:highlight w:val="none"/>
              </w:rPr>
            </w:pPr>
          </w:p>
        </w:tc>
        <w:tc>
          <w:tcPr>
            <w:tcW w:w="6927" w:type="dxa"/>
            <w:vAlign w:val="center"/>
          </w:tcPr>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pPr>
              <w:pStyle w:val="34"/>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sz w:val="24"/>
                <w:highlight w:val="none"/>
                <w:u w:val="single"/>
              </w:rPr>
              <w:t xml:space="preserve"> </w:t>
            </w:r>
            <w:r>
              <w:rPr>
                <w:rFonts w:hint="eastAsia" w:hAnsi="宋体" w:cs="宋体"/>
                <w:color w:val="000000"/>
                <w:kern w:val="28"/>
                <w:sz w:val="24"/>
                <w:szCs w:val="24"/>
                <w:u w:val="single"/>
              </w:rPr>
              <w:t>杭州市</w:t>
            </w:r>
            <w:r>
              <w:rPr>
                <w:rFonts w:hint="eastAsia" w:hAnsi="宋体" w:cs="宋体"/>
                <w:color w:val="000000"/>
                <w:kern w:val="28"/>
                <w:sz w:val="24"/>
                <w:szCs w:val="24"/>
                <w:u w:val="single"/>
                <w:lang w:val="en-US" w:eastAsia="zh-CN"/>
              </w:rPr>
              <w:t>钱塘区河庄街道永丰路888号</w:t>
            </w:r>
            <w:r>
              <w:rPr>
                <w:rFonts w:hint="eastAsia" w:hAnsi="宋体" w:cs="宋体"/>
                <w:color w:val="auto"/>
                <w:kern w:val="28"/>
                <w:sz w:val="24"/>
                <w:szCs w:val="24"/>
                <w:highlight w:val="none"/>
              </w:rPr>
              <w:t>；备份响应文件签收人员联系电话：</w:t>
            </w:r>
            <w:r>
              <w:rPr>
                <w:rFonts w:hint="eastAsia" w:hAnsi="宋体" w:cs="宋体"/>
                <w:color w:val="000000"/>
                <w:kern w:val="28"/>
                <w:sz w:val="24"/>
                <w:szCs w:val="24"/>
                <w:u w:val="single"/>
                <w:lang w:val="en-US" w:eastAsia="zh-CN"/>
              </w:rPr>
              <w:t>严</w:t>
            </w:r>
            <w:r>
              <w:rPr>
                <w:rFonts w:hint="eastAsia" w:hAnsi="宋体" w:cs="宋体"/>
                <w:color w:val="000000"/>
                <w:kern w:val="28"/>
                <w:sz w:val="24"/>
                <w:szCs w:val="24"/>
                <w:u w:val="single"/>
              </w:rPr>
              <w:t>工</w:t>
            </w:r>
            <w:r>
              <w:rPr>
                <w:rFonts w:hint="eastAsia" w:hAnsi="宋体" w:cs="宋体"/>
                <w:color w:val="000000"/>
                <w:kern w:val="28"/>
                <w:sz w:val="24"/>
                <w:szCs w:val="24"/>
                <w:u w:val="single"/>
                <w:lang w:val="en-US" w:eastAsia="zh-CN"/>
              </w:rPr>
              <w:t>13967186092</w:t>
            </w:r>
            <w:r>
              <w:rPr>
                <w:rFonts w:hint="eastAsia" w:hAnsi="宋体" w:cs="宋体"/>
                <w:color w:val="auto"/>
                <w:sz w:val="24"/>
                <w:highlight w:val="none"/>
                <w:u w:val="single"/>
              </w:rPr>
              <w:t xml:space="preserve"> </w:t>
            </w:r>
            <w:r>
              <w:rPr>
                <w:rFonts w:hint="eastAsia" w:hAnsi="宋体" w:cs="宋体"/>
                <w:color w:val="auto"/>
                <w:sz w:val="24"/>
                <w:szCs w:val="24"/>
                <w:highlight w:val="none"/>
              </w:rPr>
              <w:t>。</w:t>
            </w:r>
          </w:p>
          <w:p>
            <w:pPr>
              <w:pStyle w:val="34"/>
              <w:spacing w:line="360" w:lineRule="auto"/>
              <w:rPr>
                <w:rFonts w:hAnsi="宋体" w:cs="宋体"/>
                <w:color w:val="auto"/>
                <w:kern w:val="28"/>
                <w:sz w:val="24"/>
                <w:highlight w:val="none"/>
              </w:rPr>
            </w:pPr>
            <w:r>
              <w:rPr>
                <w:rFonts w:hint="eastAsia" w:hAnsi="宋体" w:cs="宋体"/>
                <w:b/>
                <w:color w:val="auto"/>
                <w:sz w:val="24"/>
                <w:szCs w:val="24"/>
                <w:highlight w:val="none"/>
              </w:rPr>
              <w:t>采购人、采购机构不强制或变相强制供应商提交备份响应文件。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927" w:type="dxa"/>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采购代理服务费</w:t>
            </w:r>
          </w:p>
        </w:tc>
        <w:tc>
          <w:tcPr>
            <w:tcW w:w="6927" w:type="dxa"/>
            <w:vAlign w:val="center"/>
          </w:tcPr>
          <w:p>
            <w:pPr>
              <w:snapToGrid w:val="0"/>
              <w:spacing w:line="400" w:lineRule="exact"/>
              <w:ind w:right="105" w:rightChars="50" w:firstLine="0" w:firstLineChars="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本项目的采购代理费由中标人支付，以项目中标价为基数，依据发改价格[2011]534号工程类的进行计算。</w:t>
            </w:r>
          </w:p>
        </w:tc>
      </w:tr>
      <w:bookmarkEnd w:id="10"/>
    </w:tbl>
    <w:p>
      <w:pPr>
        <w:widowControl/>
        <w:adjustRightInd/>
        <w:snapToGrid/>
        <w:spacing w:line="240" w:lineRule="auto"/>
        <w:jc w:val="left"/>
        <w:outlineLvl w:val="9"/>
        <w:rPr>
          <w:rFonts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br w:type="page"/>
      </w: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jc w:val="left"/>
        <w:outlineLvl w:val="9"/>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2.定义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“采购机构”系指竞争性磋商公告中载明的本项目的采购机构。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纳入政府采购管理的修缮、装修类项目采购建材的，采购人应将绿色建筑和绿色建材性能、指标等作为实质性条件纳入采购文件和合同。</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rPr>
        <w:t xml:space="preserve">3.4.3 </w:t>
      </w:r>
      <w:r>
        <w:rPr>
          <w:rFonts w:hint="eastAsia" w:ascii="宋体" w:hAnsi="宋体" w:cs="宋体"/>
          <w:color w:val="auto"/>
          <w:sz w:val="24"/>
          <w:highlight w:val="none"/>
          <w:lang w:val="en-US" w:eastAsia="zh-CN"/>
        </w:rPr>
        <w:t>采购人应当贯彻落实知识产权保护相关法律法规，</w:t>
      </w:r>
      <w:r>
        <w:rPr>
          <w:rFonts w:hint="eastAsia" w:ascii="宋体" w:hAnsi="宋体" w:cs="宋体"/>
          <w:color w:val="auto"/>
          <w:sz w:val="24"/>
          <w:highlight w:val="none"/>
          <w:lang w:val="en-US"/>
        </w:rPr>
        <w:t>应当采购使用正版软件。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中小企业信用融资：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3.6平等对待内外资企业和符合条件的破产重整企业：</w:t>
      </w:r>
    </w:p>
    <w:p>
      <w:pPr>
        <w:snapToGrid w:val="0"/>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询问、质疑、投诉、补偿救济</w:t>
      </w:r>
    </w:p>
    <w:p>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4.1供应商询问</w:t>
      </w:r>
    </w:p>
    <w:p>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4.2供应商质疑</w:t>
      </w:r>
    </w:p>
    <w:p>
      <w:pPr>
        <w:pStyle w:val="34"/>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pPr>
        <w:pStyle w:val="34"/>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4.2.2.1对采购文件提出质疑的，质疑期限为供应商获得采购文件之日或者采购文件公告期限届满之日起计算。</w:t>
      </w:r>
    </w:p>
    <w:p>
      <w:pPr>
        <w:pStyle w:val="34"/>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4.2.2.2对采购过程提出质疑的，质疑期限为各采购程序环节结束之日起计算。</w:t>
      </w:r>
    </w:p>
    <w:p>
      <w:pPr>
        <w:pStyle w:val="34"/>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4.2.2.3对采购结果提出质疑的，质疑期限自采购结果公告期限届满之日起计算。</w:t>
      </w:r>
    </w:p>
    <w:p>
      <w:pPr>
        <w:pStyle w:val="34"/>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4.2.3</w:t>
      </w:r>
      <w:r>
        <w:rPr>
          <w:rFonts w:hint="eastAsia" w:hAnsi="宋体" w:cs="宋体"/>
          <w:color w:val="auto"/>
          <w:sz w:val="24"/>
          <w:highlight w:val="none"/>
        </w:rPr>
        <w:t>供应商提出质疑应当提交质疑函和必要的证明材料。质疑函应当包括下列内容：</w:t>
      </w:r>
    </w:p>
    <w:p>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4.2.3.1供应商的姓名或者名称、地址、邮编、联系人及联系电话；</w:t>
      </w:r>
    </w:p>
    <w:p>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4.2.3.2质疑项目的名称、编号；</w:t>
      </w:r>
    </w:p>
    <w:p>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4.2.3.3具体、明确的质疑事项和与质疑事项相关的请求；</w:t>
      </w:r>
    </w:p>
    <w:p>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4.2.3.4事实依据；</w:t>
      </w:r>
    </w:p>
    <w:p>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4.2.3.5必要的法律依据；</w:t>
      </w:r>
    </w:p>
    <w:p>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4.2.3.6提出质疑的日期。</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4.2.4对同一采购程序环节的质疑，供应商须在法定质疑期内一次性提出。</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4.2</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4.2</w:t>
      </w:r>
      <w:r>
        <w:rPr>
          <w:rFonts w:hint="eastAsia"/>
          <w:color w:val="auto"/>
          <w:highlight w:val="none"/>
        </w:rPr>
        <w:t>.6询问或者质疑事项可能影响采购结果的，采购人应当暂停签订合同，已经签订合同的，应当中止履行合同。</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4.3供应商投诉</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4.3.3供应商投诉应当有明确的请求和必要的证明材料。</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4.3.5 以联合体形式参加政府采购活动的，其投诉应当由组成联合体的所有供应商共同提出。</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4.4在线质疑、投诉。</w:t>
      </w:r>
    </w:p>
    <w:p>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pPr>
        <w:pStyle w:val="133"/>
        <w:snapToGrid w:val="0"/>
        <w:spacing w:before="0"/>
        <w:ind w:firstLine="360"/>
        <w:rPr>
          <w:rFonts w:ascii="宋体" w:hAnsi="宋体" w:cs="宋体"/>
          <w:color w:val="auto"/>
          <w:sz w:val="18"/>
          <w:szCs w:val="18"/>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6.1已获取采购文件的潜在供应商，若有问题需要澄清，应于响应文件提交（上传）截止时间前，以书面形式向采购机构提出。</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6.2 采购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23"/>
        <w:rPr>
          <w:rFonts w:hAnsi="宋体" w:cs="宋体"/>
          <w:color w:val="auto"/>
          <w:sz w:val="18"/>
          <w:szCs w:val="18"/>
          <w:highlight w:val="none"/>
          <w:lang w:val="en-US"/>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Start w:id="17" w:name="_Hlk101257010"/>
      <w:r>
        <w:rPr>
          <w:rFonts w:hint="eastAsia" w:ascii="宋体" w:hAnsi="宋体" w:cs="宋体"/>
          <w:snapToGrid w:val="0"/>
          <w:color w:val="auto"/>
          <w:kern w:val="28"/>
          <w:sz w:val="24"/>
          <w:szCs w:val="20"/>
          <w:highlight w:val="none"/>
        </w:rPr>
        <w:t>（如果有)</w:t>
      </w:r>
      <w:bookmarkEnd w:id="16"/>
      <w:bookmarkEnd w:id="17"/>
      <w:r>
        <w:rPr>
          <w:rFonts w:hint="eastAsia" w:ascii="宋体" w:hAnsi="宋体" w:cs="宋体"/>
          <w:snapToGrid w:val="0"/>
          <w:color w:val="auto"/>
          <w:kern w:val="28"/>
          <w:sz w:val="24"/>
          <w:szCs w:val="20"/>
          <w:highlight w:val="none"/>
        </w:rPr>
        <w:t>；</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5项目经理无在建工程声明</w:t>
      </w:r>
      <w:r>
        <w:rPr>
          <w:rFonts w:hint="eastAsia" w:ascii="宋体" w:hAnsi="宋体" w:cs="宋体"/>
          <w:color w:val="auto"/>
          <w:sz w:val="24"/>
          <w:highlight w:val="none"/>
        </w:rPr>
        <w:t>。</w:t>
      </w:r>
    </w:p>
    <w:tbl>
      <w:tblPr>
        <w:tblStyle w:val="62"/>
        <w:tblW w:w="9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4838"/>
        <w:gridCol w:w="4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序号</w:t>
            </w:r>
          </w:p>
        </w:tc>
        <w:tc>
          <w:tcPr>
            <w:tcW w:w="4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资格条件</w:t>
            </w:r>
          </w:p>
        </w:tc>
        <w:tc>
          <w:tcPr>
            <w:tcW w:w="4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应提供的资格审查资料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11.1.1</w:t>
            </w:r>
          </w:p>
        </w:tc>
        <w:tc>
          <w:tcPr>
            <w:tcW w:w="4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符合参加政府采购活动应当具备的一般条件的承诺函；</w:t>
            </w:r>
          </w:p>
        </w:tc>
        <w:tc>
          <w:tcPr>
            <w:tcW w:w="4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lang w:val="zh-CN"/>
              </w:rPr>
              <w:t>符合参加政府采购活动应当具备的一般条件的承诺函</w:t>
            </w:r>
            <w:r>
              <w:rPr>
                <w:rFonts w:hint="eastAsia" w:ascii="宋体" w:hAnsi="宋体" w:eastAsia="宋体" w:cs="宋体"/>
                <w:color w:val="auto"/>
                <w:kern w:val="0"/>
                <w:sz w:val="24"/>
                <w:szCs w:val="24"/>
                <w:highlight w:val="none"/>
                <w:lang w:val="en-US" w:eastAsia="zh-CN"/>
              </w:rPr>
              <w:t>》，格式以第六部分 应提交的有关格式范例为准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1</w:t>
            </w:r>
            <w:r>
              <w:rPr>
                <w:rFonts w:ascii="宋体" w:hAnsi="宋体" w:cs="宋体"/>
                <w:color w:val="auto"/>
                <w:sz w:val="24"/>
                <w:highlight w:val="none"/>
              </w:rPr>
              <w:t>1.1.2</w:t>
            </w:r>
          </w:p>
        </w:tc>
        <w:tc>
          <w:tcPr>
            <w:tcW w:w="4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lang w:eastAsia="zh-CN"/>
              </w:rPr>
              <w:t>联合体投标需提供，非联合体投标无需提供</w:t>
            </w:r>
            <w:r>
              <w:rPr>
                <w:rFonts w:hint="eastAsia" w:ascii="宋体" w:hAnsi="宋体" w:cs="宋体"/>
                <w:snapToGrid w:val="0"/>
                <w:color w:val="auto"/>
                <w:kern w:val="28"/>
                <w:sz w:val="24"/>
                <w:szCs w:val="20"/>
                <w:highlight w:val="none"/>
              </w:rPr>
              <w:t>)</w:t>
            </w:r>
          </w:p>
        </w:tc>
        <w:tc>
          <w:tcPr>
            <w:tcW w:w="4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eastAsia="zh-CN"/>
              </w:rPr>
            </w:pP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lang w:eastAsia="zh-CN"/>
              </w:rPr>
              <w:t>联合体投标需提供，非联合体投标无需提供</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eastAsia="zh-CN"/>
              </w:rPr>
              <w:t>，</w:t>
            </w:r>
            <w:r>
              <w:rPr>
                <w:rFonts w:hint="eastAsia" w:ascii="宋体" w:hAnsi="宋体" w:eastAsia="宋体" w:cs="宋体"/>
                <w:color w:val="auto"/>
                <w:kern w:val="0"/>
                <w:sz w:val="24"/>
                <w:szCs w:val="24"/>
                <w:highlight w:val="none"/>
                <w:lang w:val="en-US" w:eastAsia="zh-CN"/>
              </w:rPr>
              <w:t>格式以第六部分 应提交的有关格式范例为准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11.1.</w:t>
            </w:r>
            <w:r>
              <w:rPr>
                <w:rFonts w:ascii="宋体" w:hAnsi="宋体" w:cs="宋体"/>
                <w:color w:val="auto"/>
                <w:sz w:val="24"/>
                <w:highlight w:val="none"/>
              </w:rPr>
              <w:t>3</w:t>
            </w:r>
          </w:p>
        </w:tc>
        <w:tc>
          <w:tcPr>
            <w:tcW w:w="4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落实政府采购政策需满足的资格要求；</w:t>
            </w:r>
          </w:p>
        </w:tc>
        <w:tc>
          <w:tcPr>
            <w:tcW w:w="4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lang w:val="zh-CN"/>
              </w:rPr>
              <w:t>中小企业声明函</w:t>
            </w:r>
            <w:r>
              <w:rPr>
                <w:rFonts w:hint="eastAsia" w:ascii="宋体" w:hAnsi="宋体" w:eastAsia="宋体" w:cs="宋体"/>
                <w:color w:val="auto"/>
                <w:kern w:val="0"/>
                <w:sz w:val="24"/>
                <w:szCs w:val="24"/>
                <w:highlight w:val="none"/>
                <w:lang w:val="en-US" w:eastAsia="zh-CN"/>
              </w:rPr>
              <w:t>》，格式以附件7为准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11.1.</w:t>
            </w:r>
            <w:r>
              <w:rPr>
                <w:rFonts w:ascii="宋体" w:hAnsi="宋体" w:cs="宋体"/>
                <w:color w:val="auto"/>
                <w:sz w:val="24"/>
                <w:highlight w:val="none"/>
              </w:rPr>
              <w:t>4</w:t>
            </w:r>
          </w:p>
        </w:tc>
        <w:tc>
          <w:tcPr>
            <w:tcW w:w="4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本项目的特定资格要求</w:t>
            </w:r>
          </w:p>
        </w:tc>
        <w:tc>
          <w:tcPr>
            <w:tcW w:w="4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sz w:val="24"/>
                <w:highlight w:val="none"/>
              </w:rPr>
              <w:t>（1）</w:t>
            </w:r>
          </w:p>
        </w:tc>
        <w:tc>
          <w:tcPr>
            <w:tcW w:w="4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sz w:val="24"/>
                <w:highlight w:val="none"/>
              </w:rPr>
              <w:t>（1）、具备</w:t>
            </w:r>
            <w:r>
              <w:rPr>
                <w:rFonts w:hint="eastAsia" w:ascii="宋体" w:hAnsi="宋体" w:eastAsia="宋体" w:cs="宋体"/>
                <w:color w:val="auto"/>
                <w:sz w:val="24"/>
                <w:highlight w:val="none"/>
                <w:lang w:val="en-US" w:eastAsia="zh-CN"/>
              </w:rPr>
              <w:t>建筑装饰装修工程专业承包贰级</w:t>
            </w:r>
            <w:r>
              <w:rPr>
                <w:rFonts w:hint="eastAsia" w:ascii="宋体" w:hAnsi="宋体" w:eastAsia="宋体" w:cs="宋体"/>
                <w:color w:val="auto"/>
                <w:sz w:val="24"/>
                <w:highlight w:val="none"/>
                <w:lang w:eastAsia="zh-CN"/>
              </w:rPr>
              <w:t>及以上资质</w:t>
            </w:r>
            <w:r>
              <w:rPr>
                <w:rFonts w:hint="eastAsia" w:ascii="宋体" w:hAnsi="宋体" w:eastAsia="宋体" w:cs="宋体"/>
                <w:color w:val="auto"/>
                <w:sz w:val="24"/>
                <w:highlight w:val="none"/>
              </w:rPr>
              <w:t>，并具有安全生产许可证的独立法人；</w:t>
            </w:r>
          </w:p>
        </w:tc>
        <w:tc>
          <w:tcPr>
            <w:tcW w:w="4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提供有效的资质证书扫描件；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p>
        </w:tc>
        <w:tc>
          <w:tcPr>
            <w:tcW w:w="4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项目负责人为</w:t>
            </w:r>
            <w:r>
              <w:rPr>
                <w:rFonts w:hint="eastAsia" w:ascii="宋体" w:hAnsi="宋体" w:eastAsia="宋体" w:cs="宋体"/>
                <w:color w:val="auto"/>
                <w:sz w:val="24"/>
                <w:highlight w:val="none"/>
                <w:lang w:val="en-US" w:eastAsia="zh-CN"/>
              </w:rPr>
              <w:t>建筑</w:t>
            </w:r>
            <w:r>
              <w:rPr>
                <w:rFonts w:hint="eastAsia" w:ascii="宋体" w:hAnsi="宋体" w:eastAsia="宋体" w:cs="宋体"/>
                <w:color w:val="auto"/>
                <w:sz w:val="24"/>
                <w:highlight w:val="none"/>
              </w:rPr>
              <w:t>工程二级及以上注册建造师，同时具有“三类人员”B类证书。</w:t>
            </w:r>
          </w:p>
        </w:tc>
        <w:tc>
          <w:tcPr>
            <w:tcW w:w="4176"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300" w:lineRule="auto"/>
              <w:jc w:val="left"/>
              <w:rPr>
                <w:rFonts w:hint="eastAsia" w:ascii="宋体" w:hAnsi="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提供</w:t>
            </w:r>
            <w:r>
              <w:rPr>
                <w:rFonts w:hint="eastAsia" w:ascii="宋体" w:hAnsi="宋体" w:eastAsia="宋体" w:cs="宋体"/>
                <w:color w:val="auto"/>
                <w:sz w:val="24"/>
                <w:highlight w:val="none"/>
              </w:rPr>
              <w:t>注册建造师</w:t>
            </w:r>
            <w:r>
              <w:rPr>
                <w:rFonts w:hint="eastAsia" w:ascii="宋体" w:hAnsi="宋体" w:cs="宋体"/>
                <w:color w:val="auto"/>
                <w:sz w:val="24"/>
                <w:highlight w:val="none"/>
                <w:lang w:eastAsia="zh-CN"/>
              </w:rPr>
              <w:t>证书</w:t>
            </w:r>
            <w:r>
              <w:rPr>
                <w:rFonts w:hint="eastAsia" w:ascii="宋体" w:hAnsi="宋体" w:eastAsia="宋体" w:cs="宋体"/>
                <w:color w:val="auto"/>
                <w:kern w:val="0"/>
                <w:sz w:val="24"/>
                <w:szCs w:val="24"/>
                <w:highlight w:val="none"/>
                <w:lang w:val="zh-CN"/>
              </w:rPr>
              <w:t>扫描件</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en-US" w:eastAsia="zh-CN"/>
              </w:rPr>
              <w:t>要求在</w:t>
            </w:r>
            <w:r>
              <w:rPr>
                <w:rFonts w:hint="eastAsia" w:ascii="宋体" w:hAnsi="宋体" w:cs="宋体"/>
                <w:color w:val="auto"/>
                <w:kern w:val="0"/>
                <w:sz w:val="24"/>
                <w:szCs w:val="24"/>
                <w:highlight w:val="none"/>
                <w:lang w:val="zh-CN"/>
              </w:rPr>
              <w:t>注册有效期内和使用有效期内）；</w:t>
            </w:r>
          </w:p>
          <w:p>
            <w:pPr>
              <w:numPr>
                <w:ilvl w:val="0"/>
                <w:numId w:val="2"/>
              </w:num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提供</w:t>
            </w:r>
            <w:r>
              <w:rPr>
                <w:rFonts w:hint="eastAsia" w:ascii="宋体" w:hAnsi="宋体" w:eastAsia="宋体" w:cs="宋体"/>
                <w:color w:val="auto"/>
                <w:sz w:val="24"/>
                <w:highlight w:val="none"/>
              </w:rPr>
              <w:t>三类人员”B类证书</w:t>
            </w:r>
            <w:r>
              <w:rPr>
                <w:rFonts w:hint="eastAsia" w:ascii="宋体" w:hAnsi="宋体" w:cs="宋体"/>
                <w:color w:val="auto"/>
                <w:sz w:val="24"/>
                <w:highlight w:val="none"/>
                <w:lang w:val="en-US" w:eastAsia="zh-CN"/>
              </w:rPr>
              <w:t>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p>
        </w:tc>
        <w:tc>
          <w:tcPr>
            <w:tcW w:w="4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（3）、具有有效的企业《营业执照》、企业《资质证书》、企业《安全生产许可证》。</w:t>
            </w:r>
          </w:p>
        </w:tc>
        <w:tc>
          <w:tcPr>
            <w:tcW w:w="4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提供有效的证书扫描件；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p>
        </w:tc>
        <w:tc>
          <w:tcPr>
            <w:tcW w:w="4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投标截止日存在在其他任何在建合同工程上担任项目负责人的，不得以拟派项目负责人的身份参加本次投标。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p>
        </w:tc>
        <w:tc>
          <w:tcPr>
            <w:tcW w:w="4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提供承诺函，格式自拟。</w:t>
            </w:r>
          </w:p>
        </w:tc>
      </w:tr>
    </w:tbl>
    <w:p>
      <w:pPr>
        <w:pStyle w:val="52"/>
        <w:rPr>
          <w:color w:val="auto"/>
          <w:highlight w:val="none"/>
        </w:rPr>
      </w:pP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p>
    <w:p>
      <w:pPr>
        <w:snapToGrid w:val="0"/>
        <w:spacing w:line="360" w:lineRule="auto"/>
        <w:ind w:firstLine="960" w:firstLineChars="400"/>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供应商提供虚假材料的，响应文件无效。</w:t>
      </w:r>
    </w:p>
    <w:p>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供应商应对响应文件中材料的真实性、合法性负责。</w:t>
      </w:r>
    </w:p>
    <w:p>
      <w:pPr>
        <w:pStyle w:val="133"/>
        <w:snapToGrid w:val="0"/>
        <w:spacing w:before="0"/>
        <w:ind w:firstLine="0" w:firstLineChars="0"/>
        <w:outlineLvl w:val="9"/>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14.3采购人、采购机构可以视情况延长响应文件提交的截止时间。在上述情况下，采购机构与供应商以前在响应文件提交截止时间方面的全部权利、责任和义务，将适用于延长至新的响应文件提交截止时间。</w:t>
      </w:r>
    </w:p>
    <w:p>
      <w:pPr>
        <w:pStyle w:val="34"/>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pPr>
        <w:pStyle w:val="34"/>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但采购人、采购机构不强制或变相强制供应商提交备份响应文件。</w:t>
      </w:r>
    </w:p>
    <w:p>
      <w:pPr>
        <w:pStyle w:val="34"/>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szCs w:val="24"/>
          <w:highlight w:val="none"/>
          <w:lang w:val="en-US" w:eastAsia="zh-CN"/>
        </w:rPr>
        <w:t>U盘或</w:t>
      </w:r>
      <w:r>
        <w:rPr>
          <w:rFonts w:hint="eastAsia" w:hAnsi="宋体" w:cs="宋体"/>
          <w:color w:val="auto"/>
          <w:sz w:val="24"/>
          <w:highlight w:val="none"/>
        </w:rPr>
        <w:t>DVD光盘</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pPr>
        <w:pStyle w:val="3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15.3直接提交备份响应文件的，供应商应于响应文件提交（上传）截止时间前在竞争性磋商公告中载明的响应文件开启地点将备份响应文件提交给采购机构，采购机构将拒绝接受逾期送达的备份响应文件。</w:t>
      </w:r>
    </w:p>
    <w:p>
      <w:pPr>
        <w:pStyle w:val="3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送达时间以签收人签收时间为准。采购机构将拒绝接受逾期送达的备份响应文件。邮寄过程中，电子备份响应文件发生泄露、遗失、损坏或延期送达等情况的，由供应商自行负责。</w:t>
      </w:r>
    </w:p>
    <w:p>
      <w:pPr>
        <w:pStyle w:val="34"/>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pPr>
        <w:pStyle w:val="25"/>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pPr>
        <w:pStyle w:val="133"/>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pPr>
        <w:pStyle w:val="133"/>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17.3在原定响应文件有效期满之前，如果出现特殊情况，采购机构可以以书面形式通知供应商延长响应文件有效期。供应商同意延长的，不得要求或被允许修改其响应文件，供应商拒绝延长的，其响应文件无效。</w:t>
      </w:r>
    </w:p>
    <w:p>
      <w:pPr>
        <w:pStyle w:val="133"/>
        <w:spacing w:before="0"/>
        <w:ind w:firstLine="643"/>
        <w:rPr>
          <w:rFonts w:ascii="宋体" w:hAnsi="宋体" w:cs="宋体"/>
          <w:b/>
          <w:color w:val="auto"/>
          <w:sz w:val="32"/>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pPr>
        <w:pStyle w:val="557"/>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18.1采购机构按照采购文件规定的时间通过电子交易平台组织响应文件开启，所有供应商均应当准时在线参加。供应商不足3家的，不得开启。</w:t>
      </w:r>
    </w:p>
    <w:p>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18.2响应文件开启时，电子交易平台按响应文件开启时间自动提取所有响应文件。采购机构依托电子交易平台发起开始解密指令，供应商按照平台提示和采购文件的规定在半小时内完成在线解密。</w:t>
      </w:r>
    </w:p>
    <w:p>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pPr>
        <w:pStyle w:val="557"/>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19.1响应文件开启后，</w:t>
      </w:r>
      <w:r>
        <w:rPr>
          <w:rFonts w:hint="eastAsia" w:ascii="宋体" w:hAnsi="宋体" w:cs="宋体"/>
          <w:color w:val="auto"/>
          <w:sz w:val="24"/>
          <w:highlight w:val="none"/>
          <w:lang w:val="en-US" w:eastAsia="zh-CN"/>
        </w:rPr>
        <w:t>磋商小组</w:t>
      </w:r>
      <w:r>
        <w:rPr>
          <w:rFonts w:hint="eastAsia" w:ascii="宋体" w:hAnsi="宋体" w:cs="宋体"/>
          <w:color w:val="auto"/>
          <w:kern w:val="0"/>
          <w:szCs w:val="24"/>
          <w:highlight w:val="none"/>
        </w:rPr>
        <w:t>将依法对供应商的资格进行审查。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lang w:val="en-US" w:eastAsia="zh-CN"/>
        </w:rPr>
        <w:t>磋商小组</w:t>
      </w:r>
      <w:r>
        <w:rPr>
          <w:rFonts w:hint="eastAsia" w:ascii="宋体" w:hAnsi="宋体" w:cs="宋体"/>
          <w:color w:val="auto"/>
          <w:sz w:val="24"/>
          <w:highlight w:val="none"/>
        </w:rPr>
        <w:t>依据法律法规和采购文件的规定，对供应商的资格进行审查。</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19.3供应商未按照采购文件要求提供与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4对未通过资格审查的供应商，采购人或采购机构告知其未通过的原因。</w:t>
      </w:r>
    </w:p>
    <w:p>
      <w:pPr>
        <w:pStyle w:val="133"/>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5合格供应商不足3家的，不再评审。</w:t>
      </w:r>
    </w:p>
    <w:p>
      <w:pPr>
        <w:pStyle w:val="133"/>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6</w:t>
      </w:r>
      <w:r>
        <w:rPr>
          <w:rFonts w:hint="eastAsia" w:ascii="宋体" w:hAnsi="宋体" w:cs="宋体"/>
          <w:color w:val="auto"/>
          <w:kern w:val="0"/>
          <w:szCs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20.1信用信息查询渠道及截止时间：采购机构将在资格审查时通过“信用中国”网站(www.creditchina.gov.cn)、中国政府采购网(www.ccgp.gov.cn)渠道查询供应商接受资格审查时的信用记录。</w:t>
      </w:r>
    </w:p>
    <w:p>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3"/>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pPr>
        <w:pStyle w:val="25"/>
        <w:spacing w:line="360" w:lineRule="auto"/>
        <w:ind w:left="479" w:hanging="479" w:hangingChars="199"/>
        <w:rPr>
          <w:rFonts w:cs="宋体"/>
          <w:b/>
          <w:color w:val="auto"/>
          <w:highlight w:val="none"/>
        </w:rPr>
      </w:pPr>
      <w:r>
        <w:rPr>
          <w:rFonts w:hint="eastAsia" w:cs="宋体"/>
          <w:b/>
          <w:color w:val="auto"/>
          <w:highlight w:val="none"/>
        </w:rPr>
        <w:t>22. 确定成交供应商</w:t>
      </w:r>
    </w:p>
    <w:p>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个工作日内，采购机构通过电子交易平台向成交供应商发出成交通知书，同时编制发布采购结果公告。采购机构也可以以纸质形式进行成交通知。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采购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widowControl/>
        <w:shd w:val="clear" w:color="auto" w:fill="FFFFFF"/>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23.4</w:t>
      </w:r>
      <w:r>
        <w:rPr>
          <w:rFonts w:hint="eastAsia" w:ascii="宋体" w:hAnsi="宋体" w:eastAsia="宋体" w:cs="宋体"/>
          <w:b w:val="0"/>
          <w:bCs/>
          <w:color w:val="auto"/>
          <w:sz w:val="24"/>
          <w:szCs w:val="24"/>
          <w:highlight w:val="none"/>
        </w:rPr>
        <w:t>由于</w:t>
      </w:r>
      <w:r>
        <w:rPr>
          <w:rFonts w:hint="eastAsia" w:ascii="宋体" w:hAnsi="宋体" w:eastAsia="宋体" w:cs="宋体"/>
          <w:bCs/>
          <w:color w:val="auto"/>
          <w:sz w:val="24"/>
          <w:szCs w:val="24"/>
          <w:highlight w:val="none"/>
        </w:rPr>
        <w:t>成交供应商原因导致重新采购的，应当承担支付代理费和专家评审费等费用在内的赔偿责任。</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pPr>
        <w:pStyle w:val="25"/>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5"/>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w:t>
      </w:r>
      <w:r>
        <w:rPr>
          <w:rFonts w:hint="eastAsia" w:ascii="宋体" w:hAnsi="宋体" w:cs="宋体"/>
          <w:color w:val="auto"/>
          <w:kern w:val="0"/>
          <w:sz w:val="24"/>
          <w:highlight w:val="none"/>
          <w:lang w:eastAsia="zh-CN"/>
        </w:rPr>
        <w:t>三</w:t>
      </w:r>
      <w:r>
        <w:rPr>
          <w:rFonts w:hint="eastAsia" w:ascii="宋体" w:hAnsi="宋体" w:cs="宋体"/>
          <w:color w:val="auto"/>
          <w:kern w:val="0"/>
          <w:sz w:val="24"/>
          <w:highlight w:val="none"/>
        </w:rPr>
        <w:t>十日内，按照采购文件确定的事项签订政府采购合同，并在签订之日起</w:t>
      </w:r>
      <w:r>
        <w:rPr>
          <w:rFonts w:hint="eastAsia" w:ascii="宋体" w:hAnsi="宋体" w:cs="宋体"/>
          <w:color w:val="auto"/>
          <w:kern w:val="0"/>
          <w:sz w:val="24"/>
          <w:highlight w:val="none"/>
          <w:lang w:eastAsia="zh-CN"/>
        </w:rPr>
        <w:t>当天</w:t>
      </w:r>
      <w:r>
        <w:rPr>
          <w:rFonts w:hint="eastAsia" w:ascii="宋体" w:hAnsi="宋体" w:cs="宋体"/>
          <w:color w:val="auto"/>
          <w:kern w:val="0"/>
          <w:sz w:val="24"/>
          <w:highlight w:val="none"/>
        </w:rPr>
        <w:t>将政府采购合同在浙江政府采购网上公告。鼓励有条件的采购人视情缩减采购合同签订时限，提高采购效率，杜绝“冷、硬、横、推”等不当行为。除不可抗力等特殊情况外，原则上应当在成交通知书发出之日起10日内，与成交供应商按照采购文件确定的事项签订政府采购合同。</w:t>
      </w:r>
    </w:p>
    <w:p>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pPr>
        <w:pStyle w:val="25"/>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杭州市政府采购网公布的供应商履约评价为满分的供应商，采购单位应当免收履约保证金。确需收取履约保证金的，履约保证金缴纳最高比例由不超过合同金额的1%。采购单位鼓励供应商采取履约保函形式提供信用保证；供应商提供保函的，采购单位不得拒收。项目验收结束后应及时退还，延迟退还的，应当按照合同约定和法律规定承担相应的赔偿责任。</w:t>
      </w:r>
    </w:p>
    <w:p>
      <w:pPr>
        <w:snapToGrid w:val="0"/>
        <w:spacing w:line="360" w:lineRule="auto"/>
        <w:ind w:firstLine="480" w:firstLineChars="200"/>
        <w:rPr>
          <w:rFonts w:ascii="宋体" w:hAnsi="宋体" w:cs="宋体"/>
          <w:b/>
          <w:color w:val="auto"/>
          <w:sz w:val="32"/>
          <w:highlight w:val="none"/>
        </w:rPr>
      </w:pPr>
      <w:r>
        <w:rPr>
          <w:rFonts w:hint="eastAsia" w:ascii="宋体" w:hAnsi="宋体" w:cs="宋体"/>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pPr>
        <w:pStyle w:val="25"/>
        <w:spacing w:line="360" w:lineRule="auto"/>
        <w:ind w:firstLine="0" w:firstLineChars="0"/>
        <w:rPr>
          <w:rFonts w:cs="宋体"/>
          <w:b/>
          <w:color w:val="auto"/>
          <w:highlight w:val="none"/>
        </w:rPr>
      </w:pPr>
      <w:r>
        <w:rPr>
          <w:rFonts w:hint="eastAsia" w:cs="宋体"/>
          <w:b/>
          <w:color w:val="auto"/>
          <w:highlight w:val="none"/>
        </w:rPr>
        <w:t>29.验收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29.1采购人应当根据采购项目的具体情况，自行组织项目验收或者委托采购代理机构验收</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432"/>
        </w:tabs>
        <w:adjustRightInd w:val="0"/>
        <w:snapToGrid w:val="0"/>
        <w:ind w:left="0" w:firstLine="480" w:firstLineChars="200"/>
        <w:outlineLvl w:val="9"/>
        <w:rPr>
          <w:rFonts w:ascii="宋体" w:hAnsi="宋体" w:eastAsia="宋体" w:cs="宋体"/>
          <w:b w:val="0"/>
          <w:bCs w:val="0"/>
          <w:color w:val="auto"/>
          <w:kern w:val="0"/>
          <w:sz w:val="24"/>
          <w:szCs w:val="24"/>
          <w:highlight w:val="none"/>
          <w:lang w:val="en-US"/>
        </w:rPr>
      </w:pPr>
      <w:bookmarkStart w:id="19" w:name="_Hlt68057669"/>
      <w:bookmarkEnd w:id="19"/>
      <w:bookmarkStart w:id="20" w:name="_Hlt68073093"/>
      <w:bookmarkEnd w:id="20"/>
      <w:bookmarkStart w:id="21" w:name="_Hlt74714665"/>
      <w:bookmarkEnd w:id="21"/>
      <w:bookmarkStart w:id="22" w:name="_Hlt74707468"/>
      <w:bookmarkEnd w:id="22"/>
      <w:bookmarkStart w:id="23" w:name="_Hlt75236290"/>
      <w:bookmarkEnd w:id="23"/>
      <w:bookmarkStart w:id="24" w:name="_Hlt74729768"/>
      <w:bookmarkEnd w:id="24"/>
      <w:bookmarkStart w:id="25" w:name="_Hlt75236101"/>
      <w:bookmarkEnd w:id="25"/>
      <w:bookmarkStart w:id="26" w:name="_Hlt75236011"/>
      <w:bookmarkEnd w:id="26"/>
      <w:bookmarkStart w:id="27" w:name="_Hlt68072998"/>
      <w:bookmarkEnd w:id="27"/>
      <w:bookmarkStart w:id="28" w:name="_Hlt68403820"/>
      <w:bookmarkEnd w:id="28"/>
      <w:bookmarkStart w:id="29" w:name="_Hlt68072990"/>
      <w:bookmarkEnd w:id="29"/>
      <w:bookmarkStart w:id="30" w:name="_Hlt74730295"/>
      <w:bookmarkEnd w:id="30"/>
      <w:r>
        <w:rPr>
          <w:rFonts w:hint="eastAsia" w:ascii="宋体" w:hAnsi="宋体" w:eastAsia="宋体" w:cs="宋体"/>
          <w:b w:val="0"/>
          <w:bCs w:val="0"/>
          <w:color w:val="auto"/>
          <w:kern w:val="0"/>
          <w:sz w:val="24"/>
          <w:szCs w:val="24"/>
          <w:highlight w:val="none"/>
          <w:lang w:val="en-US" w:eastAsia="zh-CN"/>
        </w:rPr>
        <w:t>29</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tabs>
          <w:tab w:val="left" w:pos="0"/>
        </w:tabs>
        <w:spacing w:line="360" w:lineRule="auto"/>
        <w:ind w:firstLine="480"/>
        <w:rPr>
          <w:rFonts w:ascii="宋体" w:hAnsi="宋体" w:cs="宋体"/>
          <w:color w:val="auto"/>
          <w:kern w:val="0"/>
          <w:sz w:val="24"/>
          <w:highlight w:val="none"/>
        </w:rPr>
        <w:sectPr>
          <w:pgSz w:w="11906" w:h="16838"/>
          <w:pgMar w:top="1440" w:right="1080" w:bottom="1440" w:left="1080" w:header="851" w:footer="992" w:gutter="0"/>
          <w:cols w:space="720" w:num="1"/>
          <w:titlePg/>
          <w:docGrid w:linePitch="312" w:charSpace="0"/>
        </w:sectPr>
      </w:pPr>
    </w:p>
    <w:bookmarkEnd w:id="13"/>
    <w:bookmarkEnd w:id="14"/>
    <w:p>
      <w:pPr>
        <w:pStyle w:val="34"/>
        <w:spacing w:line="360" w:lineRule="auto"/>
        <w:jc w:val="center"/>
        <w:outlineLvl w:val="0"/>
        <w:rPr>
          <w:rFonts w:hint="eastAsia" w:hAnsi="宋体" w:cs="宋体"/>
          <w:b/>
          <w:snapToGrid/>
          <w:color w:val="auto"/>
          <w:sz w:val="36"/>
          <w:szCs w:val="20"/>
          <w:highlight w:val="none"/>
        </w:rPr>
      </w:pPr>
      <w:bookmarkStart w:id="31" w:name="第四部分"/>
      <w:r>
        <w:rPr>
          <w:rFonts w:hint="eastAsia" w:hAnsi="宋体" w:cs="宋体"/>
          <w:b/>
          <w:snapToGrid/>
          <w:color w:val="auto"/>
          <w:sz w:val="36"/>
          <w:szCs w:val="20"/>
          <w:highlight w:val="none"/>
        </w:rPr>
        <w:t>第三部分 采购需求</w:t>
      </w:r>
    </w:p>
    <w:p>
      <w:pPr>
        <w:spacing w:line="360" w:lineRule="auto"/>
        <w:jc w:val="left"/>
        <w:rPr>
          <w:rFonts w:ascii="宋体" w:hAnsi="宋体" w:cs="宋体"/>
          <w:b/>
          <w:bCs/>
          <w:sz w:val="24"/>
        </w:rPr>
      </w:pPr>
      <w:r>
        <w:rPr>
          <w:rFonts w:hint="eastAsia" w:ascii="宋体" w:hAnsi="宋体" w:cs="宋体"/>
          <w:b/>
          <w:bCs/>
          <w:sz w:val="24"/>
        </w:rPr>
        <w:t>一、工程概况</w:t>
      </w:r>
    </w:p>
    <w:p>
      <w:pPr>
        <w:spacing w:line="360" w:lineRule="auto"/>
        <w:ind w:firstLine="420"/>
        <w:jc w:val="left"/>
        <w:rPr>
          <w:rFonts w:hint="default" w:ascii="宋体" w:hAnsi="宋体" w:eastAsia="宋体" w:cs="宋体"/>
          <w:sz w:val="24"/>
          <w:lang w:val="en-US" w:eastAsia="zh-CN"/>
        </w:rPr>
      </w:pPr>
      <w:r>
        <w:rPr>
          <w:rFonts w:hint="eastAsia" w:ascii="宋体" w:hAnsi="宋体" w:cs="宋体"/>
          <w:sz w:val="24"/>
        </w:rPr>
        <w:t>本项目为</w:t>
      </w:r>
      <w:r>
        <w:rPr>
          <w:rFonts w:hint="eastAsia" w:ascii="宋体" w:hAnsi="宋体" w:cs="宋体"/>
          <w:sz w:val="24"/>
          <w:lang w:eastAsia="zh-CN"/>
        </w:rPr>
        <w:t>义蓬街道头蓬社区党群服务中心装修工程</w:t>
      </w:r>
      <w:r>
        <w:rPr>
          <w:rFonts w:hint="eastAsia" w:ascii="宋体" w:hAnsi="宋体" w:cs="宋体"/>
          <w:sz w:val="24"/>
        </w:rPr>
        <w:t>，</w:t>
      </w:r>
      <w:r>
        <w:rPr>
          <w:rFonts w:hint="eastAsia" w:ascii="宋体" w:hAnsi="宋体" w:cs="宋体"/>
          <w:sz w:val="24"/>
          <w:lang w:eastAsia="zh-CN"/>
        </w:rPr>
        <w:t>主要</w:t>
      </w:r>
      <w:r>
        <w:rPr>
          <w:rFonts w:hint="eastAsia" w:ascii="宋体" w:hAnsi="宋体" w:cs="宋体"/>
          <w:sz w:val="24"/>
        </w:rPr>
        <w:t>包含</w:t>
      </w:r>
      <w:r>
        <w:rPr>
          <w:rFonts w:hint="eastAsia" w:ascii="宋体" w:hAnsi="宋体" w:cs="宋体"/>
          <w:sz w:val="24"/>
          <w:lang w:val="en-US" w:eastAsia="zh-CN"/>
        </w:rPr>
        <w:t>对</w:t>
      </w:r>
      <w:r>
        <w:rPr>
          <w:rFonts w:hint="eastAsia" w:ascii="宋体" w:hAnsi="宋体" w:cs="宋体"/>
          <w:color w:val="auto"/>
          <w:sz w:val="24"/>
          <w:highlight w:val="none"/>
          <w:lang w:eastAsia="zh-CN"/>
        </w:rPr>
        <w:t>义蓬街道头蓬社区党群服务中心装修工程</w:t>
      </w:r>
      <w:r>
        <w:rPr>
          <w:rFonts w:hint="eastAsia" w:ascii="宋体" w:hAnsi="宋体" w:cs="宋体"/>
          <w:color w:val="auto"/>
          <w:sz w:val="24"/>
          <w:highlight w:val="none"/>
          <w:lang w:val="en-US" w:eastAsia="zh-CN"/>
        </w:rPr>
        <w:t>改造等内容</w:t>
      </w:r>
      <w:r>
        <w:rPr>
          <w:rFonts w:hint="eastAsia" w:ascii="宋体" w:hAnsi="宋体" w:cs="宋体"/>
          <w:sz w:val="24"/>
          <w:lang w:val="en-US" w:eastAsia="zh-CN"/>
        </w:rPr>
        <w:t>。具体内容以施工图及预算审核为准</w:t>
      </w:r>
      <w:r>
        <w:rPr>
          <w:rFonts w:hint="eastAsia" w:ascii="宋体" w:hAnsi="宋体" w:cs="宋体"/>
          <w:sz w:val="24"/>
        </w:rPr>
        <w:t>。</w:t>
      </w:r>
      <w:r>
        <w:rPr>
          <w:rFonts w:hint="eastAsia" w:ascii="宋体" w:hAnsi="宋体" w:cs="宋体"/>
          <w:sz w:val="24"/>
          <w:lang w:eastAsia="zh-CN"/>
        </w:rPr>
        <w:t>本项目预算审核价为</w:t>
      </w:r>
      <w:r>
        <w:rPr>
          <w:rFonts w:hint="eastAsia" w:ascii="宋体" w:hAnsi="宋体" w:cs="宋体"/>
          <w:sz w:val="24"/>
          <w:lang w:val="en-US" w:eastAsia="zh-CN"/>
        </w:rPr>
        <w:t>96.1778</w:t>
      </w:r>
      <w:r>
        <w:rPr>
          <w:rFonts w:hint="eastAsia" w:ascii="宋体" w:hAnsi="宋体" w:cs="宋体"/>
          <w:sz w:val="24"/>
          <w:lang w:eastAsia="zh-CN"/>
        </w:rPr>
        <w:t>万元，最终确定本项目最高限价（预算金额）为</w:t>
      </w:r>
      <w:r>
        <w:rPr>
          <w:rFonts w:hint="eastAsia" w:ascii="宋体" w:hAnsi="宋体" w:cs="宋体"/>
          <w:sz w:val="24"/>
          <w:lang w:val="en-US" w:eastAsia="zh-CN"/>
        </w:rPr>
        <w:t>86.5600万元。</w:t>
      </w:r>
    </w:p>
    <w:p>
      <w:pPr>
        <w:spacing w:line="360" w:lineRule="auto"/>
        <w:jc w:val="left"/>
        <w:rPr>
          <w:rFonts w:ascii="宋体" w:hAnsi="宋体" w:cs="宋体"/>
          <w:sz w:val="24"/>
        </w:rPr>
      </w:pPr>
      <w:r>
        <w:rPr>
          <w:rFonts w:hint="eastAsia" w:ascii="宋体" w:hAnsi="宋体" w:cs="宋体"/>
          <w:sz w:val="24"/>
        </w:rPr>
        <w:t xml:space="preserve"> </w:t>
      </w:r>
      <w:r>
        <w:rPr>
          <w:rFonts w:hint="eastAsia" w:ascii="宋体" w:hAnsi="宋体" w:cs="宋体"/>
          <w:b/>
          <w:bCs/>
          <w:sz w:val="24"/>
        </w:rPr>
        <w:t xml:space="preserve">二、工程内容 </w:t>
      </w:r>
    </w:p>
    <w:p>
      <w:pPr>
        <w:spacing w:line="360" w:lineRule="auto"/>
        <w:ind w:left="210" w:leftChars="100"/>
        <w:jc w:val="left"/>
        <w:rPr>
          <w:rFonts w:ascii="宋体" w:hAnsi="宋体" w:cs="宋体"/>
          <w:sz w:val="24"/>
        </w:rPr>
      </w:pPr>
      <w:r>
        <w:rPr>
          <w:rFonts w:hint="eastAsia" w:ascii="宋体" w:hAnsi="宋体" w:cs="宋体"/>
          <w:sz w:val="24"/>
        </w:rPr>
        <w:t>1.工程名称</w:t>
      </w:r>
    </w:p>
    <w:p>
      <w:pPr>
        <w:spacing w:line="360" w:lineRule="auto"/>
        <w:ind w:left="210" w:leftChars="100"/>
        <w:jc w:val="left"/>
        <w:rPr>
          <w:rFonts w:ascii="宋体" w:hAnsi="宋体" w:cs="宋体"/>
          <w:sz w:val="24"/>
        </w:rPr>
      </w:pPr>
      <w:r>
        <w:rPr>
          <w:rFonts w:hint="eastAsia" w:ascii="宋体" w:hAnsi="宋体" w:cs="宋体"/>
          <w:sz w:val="24"/>
          <w:lang w:eastAsia="zh-CN"/>
        </w:rPr>
        <w:t>义蓬街道头蓬社区党群服务中心装修工程</w:t>
      </w:r>
      <w:r>
        <w:rPr>
          <w:rFonts w:hint="eastAsia" w:ascii="宋体" w:hAnsi="宋体" w:cs="宋体"/>
          <w:sz w:val="24"/>
        </w:rPr>
        <w:t>。</w:t>
      </w:r>
    </w:p>
    <w:p>
      <w:pPr>
        <w:spacing w:line="360" w:lineRule="auto"/>
        <w:ind w:left="210" w:leftChars="100"/>
        <w:jc w:val="left"/>
        <w:rPr>
          <w:rFonts w:ascii="宋体" w:hAnsi="宋体" w:cs="宋体"/>
          <w:sz w:val="24"/>
        </w:rPr>
      </w:pPr>
      <w:r>
        <w:rPr>
          <w:rFonts w:hint="eastAsia" w:ascii="宋体" w:hAnsi="宋体" w:cs="宋体"/>
          <w:sz w:val="24"/>
        </w:rPr>
        <w:t>2.现场条件</w:t>
      </w:r>
    </w:p>
    <w:p>
      <w:pPr>
        <w:spacing w:line="360" w:lineRule="auto"/>
        <w:ind w:firstLine="420"/>
        <w:jc w:val="left"/>
        <w:rPr>
          <w:rFonts w:ascii="宋体" w:hAnsi="宋体" w:cs="宋体"/>
          <w:sz w:val="24"/>
        </w:rPr>
      </w:pPr>
      <w:r>
        <w:rPr>
          <w:rFonts w:hint="eastAsia" w:ascii="宋体" w:hAnsi="宋体" w:cs="宋体"/>
          <w:sz w:val="24"/>
        </w:rPr>
        <w:t>目前施工现场通水、通电工作均已完成，具备项目施工条件。</w:t>
      </w:r>
    </w:p>
    <w:p>
      <w:pPr>
        <w:spacing w:line="360" w:lineRule="auto"/>
        <w:ind w:left="210" w:leftChars="100"/>
        <w:jc w:val="left"/>
        <w:rPr>
          <w:rFonts w:ascii="宋体" w:hAnsi="宋体" w:cs="宋体"/>
          <w:sz w:val="24"/>
        </w:rPr>
      </w:pPr>
      <w:r>
        <w:rPr>
          <w:rFonts w:hint="eastAsia" w:ascii="宋体" w:hAnsi="宋体" w:cs="宋体"/>
          <w:sz w:val="24"/>
        </w:rPr>
        <w:t>3.工程承包范围</w:t>
      </w:r>
    </w:p>
    <w:p>
      <w:pPr>
        <w:spacing w:line="360" w:lineRule="auto"/>
        <w:ind w:firstLine="420"/>
        <w:jc w:val="left"/>
        <w:rPr>
          <w:rFonts w:ascii="宋体" w:hAnsi="宋体" w:cs="宋体"/>
          <w:sz w:val="24"/>
        </w:rPr>
      </w:pPr>
      <w:r>
        <w:rPr>
          <w:rFonts w:hint="eastAsia" w:ascii="宋体" w:hAnsi="宋体" w:cs="宋体"/>
          <w:sz w:val="24"/>
        </w:rPr>
        <w:t>工程承包范围为磋商文件、磋商记录、施工图纸中包含的所有内容。</w:t>
      </w:r>
    </w:p>
    <w:p>
      <w:pPr>
        <w:spacing w:line="360" w:lineRule="auto"/>
        <w:ind w:left="210" w:leftChars="100"/>
        <w:jc w:val="left"/>
        <w:rPr>
          <w:rFonts w:ascii="宋体" w:hAnsi="宋体" w:cs="宋体"/>
          <w:sz w:val="24"/>
        </w:rPr>
      </w:pPr>
      <w:r>
        <w:rPr>
          <w:rFonts w:hint="eastAsia" w:ascii="宋体" w:hAnsi="宋体" w:cs="宋体"/>
          <w:sz w:val="24"/>
        </w:rPr>
        <w:t>4.工程质量标准</w:t>
      </w:r>
    </w:p>
    <w:p>
      <w:pPr>
        <w:spacing w:line="360" w:lineRule="auto"/>
        <w:ind w:firstLine="420"/>
        <w:jc w:val="left"/>
        <w:rPr>
          <w:rFonts w:ascii="宋体" w:hAnsi="宋体" w:cs="宋体"/>
          <w:sz w:val="24"/>
        </w:rPr>
      </w:pPr>
      <w:r>
        <w:rPr>
          <w:rFonts w:hint="eastAsia" w:ascii="宋体" w:hAnsi="宋体" w:cs="宋体"/>
          <w:sz w:val="24"/>
        </w:rPr>
        <w:t>住建部现行工程质量验收规范以及合同规定的验收评定标准。</w:t>
      </w:r>
    </w:p>
    <w:p>
      <w:pPr>
        <w:spacing w:line="360" w:lineRule="auto"/>
        <w:ind w:left="210" w:leftChars="100"/>
        <w:jc w:val="left"/>
        <w:rPr>
          <w:rFonts w:ascii="宋体" w:hAnsi="宋体" w:cs="宋体"/>
          <w:sz w:val="24"/>
        </w:rPr>
      </w:pPr>
      <w:r>
        <w:rPr>
          <w:rFonts w:hint="eastAsia" w:ascii="宋体" w:hAnsi="宋体" w:cs="宋体"/>
          <w:sz w:val="24"/>
        </w:rPr>
        <w:t>5.工程施工要求</w:t>
      </w:r>
    </w:p>
    <w:p>
      <w:pPr>
        <w:pStyle w:val="19"/>
        <w:numPr>
          <w:ilvl w:val="0"/>
          <w:numId w:val="3"/>
        </w:numPr>
        <w:spacing w:line="360" w:lineRule="auto"/>
        <w:jc w:val="both"/>
        <w:rPr>
          <w:rFonts w:ascii="宋体" w:hAnsi="宋体" w:cs="宋体"/>
          <w:sz w:val="24"/>
        </w:rPr>
      </w:pPr>
      <w:r>
        <w:rPr>
          <w:rFonts w:hint="eastAsia" w:ascii="宋体" w:hAnsi="宋体" w:cs="宋体"/>
          <w:sz w:val="24"/>
        </w:rPr>
        <w:t>工程技术规范要求：</w:t>
      </w:r>
    </w:p>
    <w:p>
      <w:pPr>
        <w:pStyle w:val="19"/>
        <w:spacing w:line="360" w:lineRule="auto"/>
        <w:ind w:firstLine="480" w:firstLineChars="200"/>
        <w:jc w:val="both"/>
        <w:rPr>
          <w:rFonts w:ascii="宋体" w:hAnsi="宋体" w:cs="宋体"/>
          <w:sz w:val="24"/>
        </w:rPr>
      </w:pPr>
      <w:r>
        <w:rPr>
          <w:rFonts w:hint="eastAsia" w:ascii="宋体" w:hAnsi="宋体" w:cs="宋体"/>
          <w:sz w:val="24"/>
        </w:rPr>
        <w:t>本工程项目的材料、设备、施工必须达到现行中华人民共和国及省、市、行业的一切有关法规、规范的要求，如标准及规范要求有出入则以较严格者为准。</w:t>
      </w:r>
    </w:p>
    <w:p>
      <w:pPr>
        <w:pStyle w:val="19"/>
        <w:spacing w:line="360" w:lineRule="auto"/>
        <w:ind w:firstLine="480" w:firstLineChars="200"/>
        <w:jc w:val="both"/>
        <w:rPr>
          <w:rFonts w:ascii="宋体" w:hAnsi="宋体" w:cs="宋体"/>
          <w:sz w:val="24"/>
        </w:rPr>
      </w:pPr>
      <w:r>
        <w:rPr>
          <w:rFonts w:hint="eastAsia" w:ascii="宋体" w:hAnsi="宋体" w:cs="宋体"/>
          <w:sz w:val="24"/>
        </w:rPr>
        <w:t>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pPr>
        <w:pStyle w:val="19"/>
        <w:numPr>
          <w:ilvl w:val="0"/>
          <w:numId w:val="3"/>
        </w:numPr>
        <w:spacing w:line="360" w:lineRule="auto"/>
        <w:jc w:val="both"/>
        <w:rPr>
          <w:rFonts w:ascii="宋体" w:hAnsi="宋体" w:cs="宋体"/>
          <w:sz w:val="24"/>
        </w:rPr>
      </w:pPr>
      <w:r>
        <w:rPr>
          <w:rFonts w:hint="eastAsia" w:ascii="宋体" w:hAnsi="宋体" w:cs="宋体"/>
          <w:sz w:val="24"/>
        </w:rPr>
        <w:t>安全文明施工要求</w:t>
      </w:r>
    </w:p>
    <w:p>
      <w:pPr>
        <w:pStyle w:val="19"/>
        <w:numPr>
          <w:ilvl w:val="0"/>
          <w:numId w:val="4"/>
        </w:numPr>
        <w:spacing w:line="360" w:lineRule="auto"/>
        <w:ind w:firstLine="480" w:firstLineChars="200"/>
        <w:jc w:val="both"/>
        <w:rPr>
          <w:rFonts w:ascii="宋体" w:hAnsi="宋体" w:cs="宋体"/>
          <w:sz w:val="24"/>
        </w:rPr>
      </w:pPr>
      <w:r>
        <w:rPr>
          <w:rFonts w:hint="eastAsia" w:ascii="宋体" w:hAnsi="宋体" w:cs="宋体"/>
          <w:sz w:val="24"/>
        </w:rPr>
        <w:t>成交供应商应对进度施工现场的施工人员进行安全文明施工教育，配备必要的劳动保护用具，保证工程的施工安全和人身安全。</w:t>
      </w:r>
    </w:p>
    <w:p>
      <w:pPr>
        <w:pStyle w:val="19"/>
        <w:numPr>
          <w:ilvl w:val="0"/>
          <w:numId w:val="4"/>
        </w:numPr>
        <w:spacing w:line="360" w:lineRule="auto"/>
        <w:ind w:firstLine="480" w:firstLineChars="200"/>
        <w:jc w:val="both"/>
        <w:rPr>
          <w:rFonts w:ascii="宋体" w:hAnsi="宋体" w:cs="宋体"/>
          <w:sz w:val="24"/>
        </w:rPr>
      </w:pPr>
      <w:r>
        <w:rPr>
          <w:rFonts w:hint="eastAsia" w:ascii="宋体" w:hAnsi="宋体" w:cs="宋体"/>
          <w:sz w:val="24"/>
        </w:rPr>
        <w:t>成交供应商应强化安全意识，抓好安全生产，杜绝事故发生，施工中若因供应商原因发生安全及人身事故由成交供应商自行负责处理，并承担全部费用。</w:t>
      </w:r>
    </w:p>
    <w:p>
      <w:pPr>
        <w:pStyle w:val="19"/>
        <w:numPr>
          <w:ilvl w:val="0"/>
          <w:numId w:val="4"/>
        </w:numPr>
        <w:spacing w:line="360" w:lineRule="auto"/>
        <w:ind w:firstLine="480" w:firstLineChars="200"/>
        <w:jc w:val="both"/>
        <w:rPr>
          <w:rFonts w:ascii="宋体" w:hAnsi="宋体" w:cs="宋体"/>
          <w:sz w:val="24"/>
        </w:rPr>
      </w:pPr>
      <w:r>
        <w:rPr>
          <w:rFonts w:hint="eastAsia" w:ascii="宋体" w:hAnsi="宋体" w:cs="宋体"/>
          <w:sz w:val="24"/>
        </w:rPr>
        <w:t>成交供应商须遵守地方政府和有关部门及采购人对施工场地交通、环卫、安全和施工噪音等的管理规定，并按规定办理相关审批手续。</w:t>
      </w:r>
    </w:p>
    <w:p>
      <w:pPr>
        <w:pStyle w:val="19"/>
        <w:numPr>
          <w:ilvl w:val="0"/>
          <w:numId w:val="4"/>
        </w:numPr>
        <w:spacing w:line="360" w:lineRule="auto"/>
        <w:ind w:firstLine="480" w:firstLineChars="200"/>
        <w:jc w:val="both"/>
        <w:rPr>
          <w:rFonts w:ascii="宋体" w:hAnsi="宋体" w:cs="宋体"/>
          <w:sz w:val="24"/>
        </w:rPr>
      </w:pPr>
      <w:r>
        <w:rPr>
          <w:rFonts w:hint="eastAsia" w:ascii="宋体" w:hAnsi="宋体" w:cs="宋体"/>
          <w:sz w:val="24"/>
        </w:rPr>
        <w:t>成交供应商应采取有效措施尽量减小尘土和噪音污染，需要进行夜间作业时应经有关部门批准。</w:t>
      </w:r>
    </w:p>
    <w:p>
      <w:pPr>
        <w:pStyle w:val="19"/>
        <w:numPr>
          <w:ilvl w:val="0"/>
          <w:numId w:val="3"/>
        </w:numPr>
        <w:spacing w:line="360" w:lineRule="auto"/>
        <w:jc w:val="both"/>
        <w:rPr>
          <w:rFonts w:ascii="宋体" w:hAnsi="宋体" w:cs="宋体"/>
          <w:sz w:val="24"/>
        </w:rPr>
      </w:pPr>
      <w:r>
        <w:rPr>
          <w:rFonts w:hint="eastAsia" w:ascii="宋体" w:hAnsi="宋体" w:cs="宋体"/>
          <w:sz w:val="24"/>
        </w:rPr>
        <w:t>其它施工过程中需注意事项</w:t>
      </w:r>
    </w:p>
    <w:p>
      <w:pPr>
        <w:pStyle w:val="19"/>
        <w:numPr>
          <w:ilvl w:val="0"/>
          <w:numId w:val="5"/>
        </w:numPr>
        <w:spacing w:line="360" w:lineRule="auto"/>
        <w:ind w:firstLine="480" w:firstLineChars="200"/>
        <w:jc w:val="both"/>
        <w:rPr>
          <w:rFonts w:ascii="宋体" w:hAnsi="宋体" w:cs="宋体"/>
          <w:sz w:val="24"/>
        </w:rPr>
      </w:pPr>
      <w:r>
        <w:rPr>
          <w:rFonts w:hint="eastAsia" w:ascii="宋体" w:hAnsi="宋体" w:cs="宋体"/>
          <w:sz w:val="24"/>
        </w:rPr>
        <w:t>本工程在施工期间，成交供应商应注意保护好采购人周边现有成品，如有损坏，须无条件修复至采购人满意。</w:t>
      </w:r>
    </w:p>
    <w:p>
      <w:pPr>
        <w:pStyle w:val="19"/>
        <w:numPr>
          <w:ilvl w:val="0"/>
          <w:numId w:val="5"/>
        </w:numPr>
        <w:spacing w:line="360" w:lineRule="auto"/>
        <w:ind w:firstLine="480" w:firstLineChars="200"/>
        <w:jc w:val="both"/>
        <w:rPr>
          <w:rFonts w:ascii="宋体" w:hAnsi="宋体" w:cs="宋体"/>
          <w:sz w:val="24"/>
        </w:rPr>
      </w:pPr>
      <w:r>
        <w:rPr>
          <w:rFonts w:hint="eastAsia" w:ascii="宋体" w:hAnsi="宋体" w:cs="宋体"/>
          <w:sz w:val="24"/>
        </w:rPr>
        <w:t>废弃材料不得丢弃或随意堆放在</w:t>
      </w:r>
      <w:r>
        <w:rPr>
          <w:rFonts w:hint="eastAsia" w:ascii="宋体" w:hAnsi="宋体" w:cs="宋体"/>
          <w:sz w:val="24"/>
          <w:lang w:val="en-US" w:eastAsia="zh-CN"/>
        </w:rPr>
        <w:t>现场</w:t>
      </w:r>
      <w:r>
        <w:rPr>
          <w:rFonts w:hint="eastAsia" w:ascii="宋体" w:hAnsi="宋体" w:cs="宋体"/>
          <w:sz w:val="24"/>
        </w:rPr>
        <w:t>内，清理产生的拆除费、搬运费、交通运输费等各项费用均由供应商自行考虑并计入响应总价且一次性包干</w:t>
      </w:r>
    </w:p>
    <w:p>
      <w:pPr>
        <w:pStyle w:val="19"/>
        <w:numPr>
          <w:ilvl w:val="0"/>
          <w:numId w:val="5"/>
        </w:numPr>
        <w:spacing w:line="360" w:lineRule="auto"/>
        <w:ind w:firstLine="480" w:firstLineChars="200"/>
        <w:jc w:val="both"/>
        <w:rPr>
          <w:rFonts w:ascii="宋体" w:hAnsi="宋体" w:cs="宋体"/>
          <w:sz w:val="24"/>
        </w:rPr>
      </w:pPr>
      <w:r>
        <w:rPr>
          <w:rFonts w:hint="eastAsia" w:ascii="宋体" w:hAnsi="宋体" w:cs="宋体"/>
          <w:sz w:val="24"/>
        </w:rPr>
        <w:t>工程完工后，成交供应商需对施工现场进行全面的清洁工作。</w:t>
      </w:r>
    </w:p>
    <w:p>
      <w:pPr>
        <w:pStyle w:val="19"/>
        <w:numPr>
          <w:ilvl w:val="0"/>
          <w:numId w:val="5"/>
        </w:numPr>
        <w:spacing w:line="360" w:lineRule="auto"/>
        <w:ind w:firstLine="480" w:firstLineChars="200"/>
        <w:jc w:val="both"/>
        <w:rPr>
          <w:rFonts w:ascii="宋体" w:hAnsi="宋体" w:cs="宋体"/>
          <w:sz w:val="24"/>
        </w:rPr>
      </w:pPr>
      <w:r>
        <w:rPr>
          <w:rFonts w:hint="eastAsia" w:ascii="宋体" w:hAnsi="宋体" w:cs="宋体"/>
          <w:sz w:val="24"/>
          <w:lang w:val="en-US" w:eastAsia="zh-CN"/>
        </w:rPr>
        <w:t>本项目为改造项目，改造过程中涉及原有办公家具、设施设备、建筑垃圾等内容清理、外运、处置消纳需中标单位负责，费用自行考虑计入投标报价中，</w:t>
      </w:r>
      <w:r>
        <w:rPr>
          <w:rFonts w:hint="eastAsia" w:ascii="宋体" w:hAnsi="宋体" w:cs="宋体"/>
          <w:sz w:val="24"/>
        </w:rPr>
        <w:t>承担由此支出的一切费用。</w:t>
      </w:r>
    </w:p>
    <w:p>
      <w:pPr>
        <w:pStyle w:val="971"/>
        <w:spacing w:line="360" w:lineRule="auto"/>
        <w:ind w:left="210" w:firstLine="0" w:firstLineChars="0"/>
        <w:jc w:val="left"/>
        <w:rPr>
          <w:rFonts w:ascii="宋体" w:hAnsi="宋体" w:cs="宋体"/>
          <w:sz w:val="24"/>
        </w:rPr>
      </w:pPr>
      <w:r>
        <w:rPr>
          <w:rFonts w:hint="eastAsia" w:ascii="宋体" w:hAnsi="宋体" w:cs="宋体"/>
          <w:sz w:val="24"/>
        </w:rPr>
        <w:t>6.工程管理要求</w:t>
      </w:r>
    </w:p>
    <w:p>
      <w:pPr>
        <w:pStyle w:val="19"/>
        <w:numPr>
          <w:ilvl w:val="0"/>
          <w:numId w:val="6"/>
        </w:numPr>
        <w:spacing w:line="360" w:lineRule="auto"/>
        <w:jc w:val="both"/>
        <w:rPr>
          <w:rFonts w:ascii="宋体" w:hAnsi="宋体" w:cs="宋体"/>
          <w:sz w:val="24"/>
        </w:rPr>
      </w:pPr>
      <w:r>
        <w:rPr>
          <w:rFonts w:hint="eastAsia" w:ascii="宋体" w:hAnsi="宋体" w:cs="宋体"/>
          <w:sz w:val="24"/>
        </w:rPr>
        <w:t>工程管理原则：</w:t>
      </w:r>
    </w:p>
    <w:p>
      <w:pPr>
        <w:pStyle w:val="971"/>
        <w:tabs>
          <w:tab w:val="left" w:pos="420"/>
        </w:tabs>
        <w:spacing w:line="360" w:lineRule="auto"/>
        <w:ind w:firstLineChars="175"/>
        <w:jc w:val="left"/>
        <w:rPr>
          <w:rFonts w:ascii="宋体" w:hAnsi="宋体" w:cs="宋体"/>
          <w:sz w:val="24"/>
        </w:rPr>
      </w:pPr>
      <w:r>
        <w:rPr>
          <w:rFonts w:hint="eastAsia" w:ascii="宋体" w:hAnsi="宋体" w:cs="宋体"/>
          <w:sz w:val="24"/>
        </w:rPr>
        <w:t>①本工程承包范围内的工程项目，成交供应商未经采购人同意，一律不得转包，一经发现采购人有权立即取消其承包资格，成交供应商应承担由此引起的一切经济责任和法律责任；</w:t>
      </w:r>
    </w:p>
    <w:p>
      <w:pPr>
        <w:pStyle w:val="971"/>
        <w:tabs>
          <w:tab w:val="left" w:pos="420"/>
        </w:tabs>
        <w:spacing w:line="360" w:lineRule="auto"/>
        <w:ind w:firstLineChars="175"/>
        <w:jc w:val="left"/>
        <w:rPr>
          <w:rFonts w:ascii="宋体" w:hAnsi="宋体" w:cs="宋体"/>
          <w:sz w:val="24"/>
        </w:rPr>
      </w:pPr>
      <w:r>
        <w:rPr>
          <w:rFonts w:hint="eastAsia" w:ascii="宋体" w:hAnsi="宋体" w:cs="宋体"/>
          <w:sz w:val="24"/>
        </w:rPr>
        <w:t>②在工程实施过程中，如发现成交供应商为挂靠单位，采购人可立即终止合同。成交供应商应承担由此引起的一切经济责任和法律责任。</w:t>
      </w:r>
    </w:p>
    <w:p>
      <w:pPr>
        <w:pStyle w:val="971"/>
        <w:tabs>
          <w:tab w:val="left" w:pos="420"/>
        </w:tabs>
        <w:spacing w:line="360" w:lineRule="auto"/>
        <w:ind w:firstLineChars="175"/>
        <w:jc w:val="left"/>
        <w:rPr>
          <w:rFonts w:ascii="宋体" w:hAnsi="宋体" w:cs="宋体"/>
          <w:sz w:val="24"/>
        </w:rPr>
      </w:pPr>
      <w:r>
        <w:rPr>
          <w:rFonts w:hint="eastAsia" w:ascii="宋体" w:hAnsi="宋体" w:cs="宋体"/>
          <w:sz w:val="24"/>
        </w:rPr>
        <w:t>③成交供应商须严格按照已确认的施工技术方案组织实施，并无条件接受采购人的项目管理部门的管理。</w:t>
      </w:r>
    </w:p>
    <w:p>
      <w:pPr>
        <w:pStyle w:val="971"/>
        <w:tabs>
          <w:tab w:val="left" w:pos="420"/>
        </w:tabs>
        <w:spacing w:line="360" w:lineRule="auto"/>
        <w:ind w:firstLineChars="175"/>
        <w:jc w:val="left"/>
        <w:rPr>
          <w:rFonts w:ascii="宋体" w:hAnsi="宋体" w:cs="宋体"/>
          <w:sz w:val="24"/>
        </w:rPr>
      </w:pPr>
      <w:r>
        <w:rPr>
          <w:rFonts w:hint="eastAsia" w:ascii="宋体" w:hAnsi="宋体" w:cs="宋体"/>
          <w:sz w:val="24"/>
        </w:rPr>
        <w:t>④成交供应商在响应文件中确定的工程项目经理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p>
    <w:p>
      <w:pPr>
        <w:pStyle w:val="19"/>
        <w:numPr>
          <w:ilvl w:val="0"/>
          <w:numId w:val="6"/>
        </w:numPr>
        <w:spacing w:line="360" w:lineRule="auto"/>
        <w:jc w:val="both"/>
        <w:rPr>
          <w:rFonts w:ascii="宋体" w:hAnsi="宋体" w:cs="宋体"/>
          <w:sz w:val="24"/>
        </w:rPr>
      </w:pPr>
      <w:r>
        <w:rPr>
          <w:rFonts w:hint="eastAsia" w:ascii="宋体" w:hAnsi="宋体" w:cs="宋体"/>
          <w:sz w:val="24"/>
        </w:rPr>
        <w:t>项目管理班子人员要求:</w:t>
      </w:r>
    </w:p>
    <w:p>
      <w:pPr>
        <w:pStyle w:val="971"/>
        <w:spacing w:line="360" w:lineRule="auto"/>
        <w:ind w:firstLineChars="175"/>
        <w:jc w:val="left"/>
        <w:rPr>
          <w:rFonts w:ascii="宋体" w:hAnsi="宋体" w:cs="宋体"/>
          <w:sz w:val="24"/>
        </w:rPr>
      </w:pPr>
      <w:r>
        <w:rPr>
          <w:rFonts w:hint="eastAsia" w:ascii="宋体" w:hAnsi="宋体" w:cs="宋体"/>
          <w:sz w:val="24"/>
        </w:rPr>
        <w:t>①项目经理：本项目拟派项目经理除具备建筑工程专业注册建造师资格</w:t>
      </w:r>
      <w:r>
        <w:rPr>
          <w:rFonts w:hint="eastAsia" w:ascii="宋体" w:hAnsi="宋体" w:cs="宋体"/>
          <w:sz w:val="24"/>
          <w:lang w:eastAsia="zh-CN"/>
        </w:rPr>
        <w:t>、</w:t>
      </w:r>
      <w:r>
        <w:rPr>
          <w:rFonts w:hint="eastAsia" w:ascii="宋体" w:hAnsi="宋体" w:cs="宋体"/>
          <w:sz w:val="24"/>
          <w:lang w:val="en-US" w:eastAsia="zh-CN"/>
        </w:rPr>
        <w:t>无在建工程</w:t>
      </w:r>
      <w:r>
        <w:rPr>
          <w:rFonts w:hint="eastAsia" w:ascii="宋体" w:hAnsi="宋体" w:cs="宋体"/>
          <w:sz w:val="24"/>
        </w:rPr>
        <w:t>外，还应具有类似施工经验以及相关专业技术职称，在施工过程中，应确保到位率达到90%（含）以上；</w:t>
      </w:r>
    </w:p>
    <w:p>
      <w:pPr>
        <w:pStyle w:val="971"/>
        <w:spacing w:line="360" w:lineRule="auto"/>
        <w:ind w:firstLineChars="175"/>
        <w:jc w:val="left"/>
        <w:rPr>
          <w:rFonts w:ascii="宋体" w:hAnsi="宋体" w:cs="宋体"/>
          <w:sz w:val="24"/>
        </w:rPr>
      </w:pPr>
      <w:r>
        <w:rPr>
          <w:rFonts w:hint="eastAsia" w:ascii="宋体" w:hAnsi="宋体" w:cs="宋体"/>
          <w:sz w:val="24"/>
        </w:rPr>
        <w:t>②拟派</w:t>
      </w:r>
      <w:r>
        <w:rPr>
          <w:rFonts w:hint="eastAsia" w:ascii="宋体" w:hAnsi="宋体" w:cs="宋体"/>
          <w:sz w:val="24"/>
          <w:lang w:eastAsia="zh-CN"/>
        </w:rPr>
        <w:t>项目</w:t>
      </w:r>
      <w:r>
        <w:rPr>
          <w:rFonts w:hint="eastAsia" w:ascii="宋体" w:hAnsi="宋体" w:cs="宋体"/>
          <w:sz w:val="24"/>
          <w:lang w:val="en-US" w:eastAsia="zh-CN"/>
        </w:rPr>
        <w:t>技术负责人</w:t>
      </w:r>
      <w:r>
        <w:rPr>
          <w:rFonts w:hint="eastAsia" w:ascii="宋体" w:hAnsi="宋体" w:cs="宋体"/>
          <w:sz w:val="24"/>
        </w:rPr>
        <w:t>应具有类似工程施工经验以及相关专业技术职称</w:t>
      </w:r>
      <w:r>
        <w:rPr>
          <w:rFonts w:hint="eastAsia" w:ascii="宋体" w:hAnsi="宋体" w:cs="宋体"/>
          <w:sz w:val="24"/>
          <w:lang w:eastAsia="zh-CN"/>
        </w:rPr>
        <w:t>或</w:t>
      </w:r>
      <w:r>
        <w:rPr>
          <w:rFonts w:hint="eastAsia" w:ascii="宋体" w:hAnsi="宋体" w:cs="宋体"/>
          <w:sz w:val="24"/>
        </w:rPr>
        <w:t>具备建筑工程专业注册建造师资格；</w:t>
      </w:r>
    </w:p>
    <w:p>
      <w:pPr>
        <w:pStyle w:val="971"/>
        <w:spacing w:line="360" w:lineRule="auto"/>
        <w:ind w:firstLineChars="175"/>
        <w:jc w:val="left"/>
        <w:rPr>
          <w:rFonts w:ascii="宋体" w:hAnsi="宋体" w:cs="宋体"/>
          <w:sz w:val="24"/>
        </w:rPr>
      </w:pPr>
      <w:r>
        <w:rPr>
          <w:rFonts w:hint="eastAsia" w:ascii="宋体" w:hAnsi="宋体" w:cs="宋体"/>
          <w:sz w:val="24"/>
        </w:rPr>
        <w:t>③拟派项目管理班子中施工员、安全员、质检员、材料员</w:t>
      </w:r>
      <w:r>
        <w:rPr>
          <w:rFonts w:hint="eastAsia" w:ascii="宋体" w:hAnsi="宋体" w:cs="宋体"/>
          <w:sz w:val="24"/>
          <w:lang w:eastAsia="zh-CN"/>
        </w:rPr>
        <w:t>、</w:t>
      </w:r>
      <w:r>
        <w:rPr>
          <w:rFonts w:hint="eastAsia" w:ascii="宋体" w:hAnsi="宋体" w:cs="宋体"/>
          <w:sz w:val="24"/>
          <w:lang w:val="en-US" w:eastAsia="zh-CN"/>
        </w:rPr>
        <w:t>造价员</w:t>
      </w:r>
      <w:r>
        <w:rPr>
          <w:rFonts w:hint="eastAsia" w:ascii="宋体" w:hAnsi="宋体" w:cs="宋体"/>
          <w:sz w:val="24"/>
        </w:rPr>
        <w:t>等重要岗位应人员配置齐全。</w:t>
      </w:r>
    </w:p>
    <w:p>
      <w:pPr>
        <w:pStyle w:val="19"/>
        <w:numPr>
          <w:ilvl w:val="0"/>
          <w:numId w:val="6"/>
        </w:numPr>
        <w:spacing w:line="360" w:lineRule="auto"/>
        <w:jc w:val="both"/>
        <w:rPr>
          <w:rFonts w:ascii="宋体" w:hAnsi="宋体" w:cs="宋体"/>
          <w:sz w:val="24"/>
        </w:rPr>
      </w:pPr>
      <w:r>
        <w:rPr>
          <w:rFonts w:hint="eastAsia" w:ascii="宋体" w:hAnsi="宋体" w:cs="宋体"/>
          <w:sz w:val="24"/>
        </w:rPr>
        <w:t>工程管理其他要求</w:t>
      </w:r>
    </w:p>
    <w:p>
      <w:pPr>
        <w:pStyle w:val="971"/>
        <w:spacing w:line="360" w:lineRule="auto"/>
        <w:ind w:firstLineChars="175"/>
        <w:jc w:val="left"/>
        <w:rPr>
          <w:rFonts w:ascii="宋体" w:hAnsi="宋体" w:cs="宋体"/>
          <w:sz w:val="24"/>
        </w:rPr>
      </w:pPr>
      <w:r>
        <w:rPr>
          <w:rFonts w:hint="eastAsia" w:ascii="宋体" w:hAnsi="宋体" w:cs="宋体"/>
          <w:sz w:val="24"/>
        </w:rPr>
        <w:t>①本项目施工现场采购人不提供食宿，施工期间，所有施工人员的食宿均由成交供应商自行安排，材料的堆放及停车必须服从采购人的安排。</w:t>
      </w:r>
    </w:p>
    <w:p>
      <w:pPr>
        <w:pStyle w:val="971"/>
        <w:spacing w:line="360" w:lineRule="auto"/>
        <w:ind w:firstLineChars="175"/>
        <w:jc w:val="left"/>
        <w:rPr>
          <w:rFonts w:ascii="宋体" w:hAnsi="宋体" w:cs="宋体"/>
          <w:sz w:val="24"/>
        </w:rPr>
      </w:pPr>
      <w:r>
        <w:rPr>
          <w:rFonts w:hint="eastAsia" w:ascii="宋体" w:hAnsi="宋体" w:cs="宋体"/>
          <w:sz w:val="24"/>
        </w:rPr>
        <w:t>②施工现场严禁吸烟。</w:t>
      </w:r>
    </w:p>
    <w:p>
      <w:pPr>
        <w:pStyle w:val="971"/>
        <w:spacing w:line="360" w:lineRule="auto"/>
        <w:ind w:firstLineChars="175"/>
        <w:jc w:val="left"/>
        <w:rPr>
          <w:rFonts w:ascii="宋体" w:hAnsi="宋体" w:cs="宋体"/>
          <w:sz w:val="24"/>
        </w:rPr>
      </w:pPr>
      <w:r>
        <w:rPr>
          <w:rFonts w:hint="eastAsia" w:ascii="宋体" w:hAnsi="宋体" w:cs="宋体"/>
          <w:sz w:val="24"/>
        </w:rPr>
        <w:t>③如涉及疫情管理需要，成交供应商须严格遵守采购人要求，所有进场人员需按照采购人要求登记办理施工出入手续。</w:t>
      </w:r>
    </w:p>
    <w:p>
      <w:pPr>
        <w:spacing w:line="360" w:lineRule="auto"/>
        <w:ind w:left="210" w:leftChars="100"/>
        <w:jc w:val="left"/>
        <w:rPr>
          <w:rFonts w:ascii="宋体" w:hAnsi="宋体" w:cs="宋体"/>
          <w:sz w:val="24"/>
        </w:rPr>
      </w:pPr>
      <w:r>
        <w:rPr>
          <w:rFonts w:hint="eastAsia" w:ascii="宋体" w:hAnsi="宋体" w:cs="宋体"/>
          <w:sz w:val="24"/>
        </w:rPr>
        <w:t xml:space="preserve">7.工程主要材料（设备）要求  </w:t>
      </w:r>
    </w:p>
    <w:p>
      <w:pPr>
        <w:pStyle w:val="971"/>
        <w:numPr>
          <w:ilvl w:val="0"/>
          <w:numId w:val="7"/>
        </w:numPr>
        <w:snapToGrid w:val="0"/>
        <w:spacing w:line="360" w:lineRule="auto"/>
        <w:ind w:left="0" w:firstLine="420" w:firstLineChars="0"/>
        <w:jc w:val="left"/>
        <w:rPr>
          <w:rFonts w:ascii="宋体" w:hAnsi="宋体" w:cs="宋体"/>
          <w:sz w:val="24"/>
        </w:rPr>
      </w:pPr>
      <w:r>
        <w:rPr>
          <w:rFonts w:hint="eastAsia" w:ascii="宋体" w:hAnsi="宋体" w:cs="宋体"/>
          <w:sz w:val="24"/>
        </w:rPr>
        <w:t>本项目涉及的所有材料设备，必须经采购人/监理公司确认后方能采购、进场、加工、安装。否则一律不予承认，不予支付相应款项。</w:t>
      </w:r>
    </w:p>
    <w:p>
      <w:pPr>
        <w:pStyle w:val="971"/>
        <w:numPr>
          <w:ilvl w:val="0"/>
          <w:numId w:val="7"/>
        </w:numPr>
        <w:snapToGrid w:val="0"/>
        <w:spacing w:line="360" w:lineRule="auto"/>
        <w:ind w:left="0" w:firstLine="420" w:firstLineChars="0"/>
        <w:jc w:val="left"/>
        <w:rPr>
          <w:rFonts w:ascii="宋体" w:hAnsi="宋体" w:cs="宋体"/>
          <w:b/>
          <w:sz w:val="24"/>
        </w:rPr>
      </w:pPr>
      <w:r>
        <w:rPr>
          <w:rFonts w:hint="eastAsia" w:ascii="宋体" w:hAnsi="宋体" w:cs="宋体"/>
          <w:sz w:val="24"/>
        </w:rPr>
        <w:t>材料规格：本磋商文件涉及的主要设备和材料，各供应商须根据磋商文件要求的用材规格进行选材并报价，并符合环保要求，严禁选择不符合施工图纸要求的低档材料进行响应报价及组织施工实施，如有其它国家强制性认证要求的也必须满足；</w:t>
      </w:r>
    </w:p>
    <w:p>
      <w:pPr>
        <w:pStyle w:val="971"/>
        <w:numPr>
          <w:ilvl w:val="0"/>
          <w:numId w:val="7"/>
        </w:numPr>
        <w:snapToGrid w:val="0"/>
        <w:spacing w:line="360" w:lineRule="auto"/>
        <w:ind w:left="0" w:firstLine="420" w:firstLineChars="0"/>
        <w:jc w:val="left"/>
        <w:rPr>
          <w:rFonts w:ascii="宋体" w:hAnsi="宋体" w:cs="宋体"/>
          <w:sz w:val="24"/>
        </w:rPr>
      </w:pPr>
      <w:r>
        <w:rPr>
          <w:rFonts w:hint="eastAsia" w:ascii="宋体" w:hAnsi="宋体" w:cs="宋体"/>
          <w:sz w:val="24"/>
        </w:rPr>
        <w:t>供应商应在响应文件中写明各类主要材料（设备）的选用品牌、产地和规格，若未注明品牌的可由采购人自行选择。若成交后注明的品牌或采购人选择的品牌在施工期间市场上无现货供应，须进行订制，如该品牌无法订制时，采购人有权选择其它品牌。成交供应商不按该选用的材料和设备采购的，采购人有权拒绝验收。</w:t>
      </w:r>
    </w:p>
    <w:p>
      <w:pPr>
        <w:pStyle w:val="971"/>
        <w:numPr>
          <w:ilvl w:val="0"/>
          <w:numId w:val="7"/>
        </w:numPr>
        <w:snapToGrid w:val="0"/>
        <w:spacing w:line="360" w:lineRule="auto"/>
        <w:ind w:left="0" w:firstLine="420" w:firstLineChars="0"/>
        <w:jc w:val="left"/>
        <w:rPr>
          <w:rFonts w:ascii="宋体" w:hAnsi="宋体" w:cs="宋体"/>
          <w:sz w:val="24"/>
        </w:rPr>
      </w:pPr>
      <w:r>
        <w:rPr>
          <w:rFonts w:hint="eastAsia" w:ascii="宋体" w:hAnsi="宋体" w:cs="宋体"/>
          <w:sz w:val="24"/>
        </w:rPr>
        <w:t>供应商应当有详细的材料（设备）供应计划及质量保证措施；</w:t>
      </w:r>
    </w:p>
    <w:p>
      <w:pPr>
        <w:pStyle w:val="971"/>
        <w:numPr>
          <w:ilvl w:val="0"/>
          <w:numId w:val="7"/>
        </w:numPr>
        <w:snapToGrid w:val="0"/>
        <w:spacing w:line="360" w:lineRule="auto"/>
        <w:ind w:left="0" w:firstLine="420" w:firstLineChars="0"/>
        <w:jc w:val="left"/>
        <w:rPr>
          <w:rFonts w:ascii="宋体" w:hAnsi="宋体" w:cs="宋体"/>
          <w:sz w:val="24"/>
        </w:rPr>
      </w:pPr>
      <w:r>
        <w:rPr>
          <w:rFonts w:hint="eastAsia" w:ascii="宋体" w:hAnsi="宋体" w:cs="宋体"/>
          <w:sz w:val="24"/>
        </w:rPr>
        <w:t>材料的质量要求：材料检验按法律、法规、文件规定的见证取样和送检规定的程序进行。凡检验结果证明其有害物质含量指标超标的产品不得在工程上使用。</w:t>
      </w:r>
    </w:p>
    <w:p>
      <w:pPr>
        <w:spacing w:line="360" w:lineRule="auto"/>
        <w:jc w:val="left"/>
        <w:rPr>
          <w:rFonts w:ascii="宋体" w:hAnsi="宋体" w:cs="宋体"/>
          <w:b/>
          <w:bCs/>
          <w:sz w:val="24"/>
        </w:rPr>
      </w:pPr>
      <w:r>
        <w:rPr>
          <w:rFonts w:hint="eastAsia" w:ascii="宋体" w:hAnsi="宋体" w:cs="宋体"/>
          <w:b/>
          <w:bCs/>
          <w:sz w:val="24"/>
        </w:rPr>
        <w:t>三、</w:t>
      </w:r>
      <w:r>
        <w:rPr>
          <w:rFonts w:hint="eastAsia" w:ascii="宋体" w:hAnsi="宋体" w:cs="宋体"/>
          <w:color w:val="auto"/>
          <w:sz w:val="24"/>
          <w:szCs w:val="24"/>
          <w:highlight w:val="none"/>
        </w:rPr>
        <w:t>▲</w:t>
      </w:r>
      <w:r>
        <w:rPr>
          <w:rFonts w:hint="eastAsia" w:ascii="宋体" w:hAnsi="宋体" w:cs="宋体"/>
          <w:b/>
          <w:bCs/>
          <w:sz w:val="24"/>
        </w:rPr>
        <w:t>商务要求</w:t>
      </w:r>
    </w:p>
    <w:p>
      <w:pPr>
        <w:spacing w:line="360" w:lineRule="auto"/>
        <w:ind w:left="210" w:leftChars="100"/>
        <w:jc w:val="left"/>
        <w:rPr>
          <w:rFonts w:hint="eastAsia" w:ascii="宋体" w:hAnsi="宋体" w:cs="宋体"/>
          <w:sz w:val="24"/>
          <w:lang w:eastAsia="zh-CN"/>
        </w:rPr>
      </w:pPr>
      <w:r>
        <w:rPr>
          <w:rFonts w:hint="eastAsia" w:ascii="宋体" w:hAnsi="宋体" w:cs="宋体"/>
          <w:sz w:val="24"/>
        </w:rPr>
        <w:t>1.工期要求：</w:t>
      </w:r>
      <w:r>
        <w:rPr>
          <w:rFonts w:hint="eastAsia" w:ascii="宋体" w:hAnsi="宋体" w:cs="宋体"/>
          <w:sz w:val="24"/>
          <w:lang w:val="en-US" w:eastAsia="zh-CN"/>
        </w:rPr>
        <w:t>30</w:t>
      </w:r>
      <w:r>
        <w:rPr>
          <w:rFonts w:hint="eastAsia" w:ascii="宋体" w:hAnsi="宋体" w:cs="宋体"/>
          <w:sz w:val="24"/>
          <w:lang w:eastAsia="zh-CN"/>
        </w:rPr>
        <w:t>日历天</w:t>
      </w:r>
    </w:p>
    <w:p>
      <w:pPr>
        <w:spacing w:line="360" w:lineRule="auto"/>
        <w:ind w:left="210" w:leftChars="100"/>
        <w:jc w:val="left"/>
        <w:rPr>
          <w:rFonts w:ascii="宋体" w:hAnsi="宋体" w:cs="宋体"/>
          <w:sz w:val="24"/>
        </w:rPr>
      </w:pPr>
      <w:r>
        <w:rPr>
          <w:rFonts w:hint="eastAsia" w:ascii="宋体" w:hAnsi="宋体" w:cs="宋体"/>
          <w:sz w:val="24"/>
        </w:rPr>
        <w:t>2.工程地点：</w:t>
      </w:r>
      <w:r>
        <w:rPr>
          <w:rFonts w:hint="eastAsia" w:ascii="宋体" w:hAnsi="宋体" w:cs="宋体"/>
          <w:sz w:val="24"/>
          <w:lang w:val="en-US" w:eastAsia="zh-CN"/>
        </w:rPr>
        <w:t>义蓬</w:t>
      </w:r>
      <w:r>
        <w:rPr>
          <w:rFonts w:hint="eastAsia" w:ascii="宋体" w:hAnsi="宋体" w:cs="宋体"/>
          <w:sz w:val="24"/>
        </w:rPr>
        <w:t>街道</w:t>
      </w:r>
    </w:p>
    <w:p>
      <w:pPr>
        <w:spacing w:line="360" w:lineRule="auto"/>
        <w:ind w:left="210" w:leftChars="100"/>
        <w:jc w:val="left"/>
        <w:rPr>
          <w:rFonts w:ascii="宋体" w:hAnsi="宋体" w:cs="宋体"/>
          <w:sz w:val="24"/>
        </w:rPr>
      </w:pPr>
      <w:r>
        <w:rPr>
          <w:rFonts w:hint="eastAsia" w:ascii="宋体" w:hAnsi="宋体" w:cs="宋体"/>
          <w:sz w:val="24"/>
        </w:rPr>
        <w:t>3.付款条件：</w:t>
      </w:r>
    </w:p>
    <w:p>
      <w:pPr>
        <w:snapToGrid w:val="0"/>
        <w:spacing w:line="360" w:lineRule="auto"/>
        <w:ind w:right="143" w:rightChars="68" w:firstLine="561" w:firstLineChars="234"/>
        <w:jc w:val="left"/>
        <w:rPr>
          <w:rFonts w:hint="eastAsia" w:ascii="宋体" w:hAnsi="宋体" w:cs="宋体"/>
          <w:sz w:val="24"/>
        </w:rPr>
      </w:pPr>
      <w:r>
        <w:rPr>
          <w:rFonts w:hint="eastAsia" w:ascii="宋体" w:hAnsi="宋体" w:cs="宋体"/>
          <w:sz w:val="24"/>
        </w:rPr>
        <w:t>合同生效以及具备实施条件后5个工作日内，招标人向中标人支付合同价的40%作为预付款，</w:t>
      </w:r>
      <w:r>
        <w:rPr>
          <w:rFonts w:hint="eastAsia" w:ascii="宋体" w:hAnsi="宋体" w:cs="宋体"/>
          <w:sz w:val="24"/>
          <w:lang w:val="en-US" w:eastAsia="zh-CN"/>
        </w:rPr>
        <w:t>工程竣工经验收合格后支付中标价的70%，工程竣工验收合格且经决算审计后满一年后支付到审计价的98.5%，竣工验收合格满两年后付清</w:t>
      </w:r>
      <w:r>
        <w:rPr>
          <w:rFonts w:hint="eastAsia" w:ascii="宋体" w:hAnsi="宋体" w:cs="宋体"/>
          <w:sz w:val="24"/>
        </w:rPr>
        <w:t>。</w:t>
      </w:r>
    </w:p>
    <w:p>
      <w:pPr>
        <w:snapToGrid w:val="0"/>
        <w:spacing w:line="360" w:lineRule="auto"/>
        <w:ind w:right="143" w:rightChars="68" w:firstLine="81" w:firstLineChars="34"/>
        <w:jc w:val="left"/>
        <w:rPr>
          <w:rFonts w:ascii="宋体" w:hAnsi="宋体" w:cs="宋体"/>
          <w:sz w:val="24"/>
        </w:rPr>
      </w:pPr>
      <w:r>
        <w:rPr>
          <w:rFonts w:hint="eastAsia" w:ascii="宋体" w:hAnsi="宋体" w:cs="宋体"/>
          <w:sz w:val="24"/>
        </w:rPr>
        <w:t>4.中标人需提供相应的预收款保函后方可支付预付款。</w:t>
      </w:r>
    </w:p>
    <w:p>
      <w:pPr>
        <w:snapToGrid w:val="0"/>
        <w:spacing w:line="360" w:lineRule="auto"/>
        <w:ind w:right="143" w:rightChars="68" w:firstLine="81" w:firstLineChars="34"/>
        <w:jc w:val="left"/>
        <w:rPr>
          <w:rFonts w:ascii="宋体" w:hAnsi="宋体" w:cs="宋体"/>
          <w:sz w:val="24"/>
        </w:rPr>
      </w:pPr>
      <w:r>
        <w:rPr>
          <w:rFonts w:hint="eastAsia" w:ascii="宋体" w:hAnsi="宋体" w:cs="宋体"/>
          <w:sz w:val="24"/>
          <w:lang w:val="en-US" w:eastAsia="zh-CN"/>
        </w:rPr>
        <w:t>5</w:t>
      </w:r>
      <w:r>
        <w:rPr>
          <w:rFonts w:hint="eastAsia" w:ascii="宋体" w:hAnsi="宋体" w:cs="宋体"/>
          <w:sz w:val="24"/>
        </w:rPr>
        <w:t>.本项目履约保证金按合同价的1%计算，合同签订后5个工作日内缴纳，履约保证金以转账、金融机构、担保机构出具的保函等非现金形式缴纳。项目验收合格后退回。</w:t>
      </w:r>
    </w:p>
    <w:p>
      <w:pPr>
        <w:spacing w:line="360" w:lineRule="auto"/>
        <w:jc w:val="left"/>
        <w:rPr>
          <w:rFonts w:ascii="宋体" w:hAnsi="宋体" w:cs="宋体"/>
          <w:sz w:val="24"/>
        </w:rPr>
      </w:pPr>
      <w:r>
        <w:rPr>
          <w:rFonts w:hint="eastAsia" w:ascii="宋体" w:hAnsi="宋体" w:cs="宋体"/>
          <w:sz w:val="24"/>
          <w:lang w:val="en-US" w:eastAsia="zh-CN"/>
        </w:rPr>
        <w:t>6</w:t>
      </w:r>
      <w:r>
        <w:rPr>
          <w:rFonts w:hint="eastAsia" w:ascii="宋体" w:hAnsi="宋体" w:cs="宋体"/>
          <w:sz w:val="24"/>
        </w:rPr>
        <w:t>.工程售后服务要求</w:t>
      </w:r>
    </w:p>
    <w:p>
      <w:pPr>
        <w:snapToGrid w:val="0"/>
        <w:spacing w:line="360" w:lineRule="auto"/>
        <w:ind w:firstLine="480" w:firstLineChars="200"/>
        <w:rPr>
          <w:rFonts w:ascii="宋体" w:hAnsi="宋体" w:cs="宋体"/>
          <w:sz w:val="24"/>
        </w:rPr>
      </w:pPr>
      <w:r>
        <w:rPr>
          <w:rFonts w:hint="eastAsia" w:ascii="宋体" w:hAnsi="宋体" w:cs="宋体"/>
          <w:sz w:val="24"/>
        </w:rPr>
        <w:t>（1）保修期：按工程质量保修书规定执行，质量保证期为本项目验收合格后不少于2年（具体详见工程质量保修书）。</w:t>
      </w:r>
    </w:p>
    <w:p>
      <w:pPr>
        <w:snapToGrid w:val="0"/>
        <w:spacing w:line="360" w:lineRule="auto"/>
        <w:ind w:firstLine="480" w:firstLineChars="200"/>
        <w:rPr>
          <w:rFonts w:ascii="宋体" w:hAnsi="宋体" w:cs="宋体"/>
          <w:sz w:val="24"/>
        </w:rPr>
      </w:pPr>
      <w:r>
        <w:rPr>
          <w:rFonts w:hint="eastAsia" w:ascii="宋体" w:hAnsi="宋体" w:cs="宋体"/>
          <w:sz w:val="24"/>
        </w:rPr>
        <w:t>成交供应商应与采购人签订工程质量保修书，在质量保修期内，按照有关法律、法规、规章的管理规定和双方约定，承担本工程质量保修责任。</w:t>
      </w:r>
    </w:p>
    <w:p>
      <w:pPr>
        <w:snapToGrid w:val="0"/>
        <w:spacing w:line="360" w:lineRule="auto"/>
        <w:ind w:firstLine="480" w:firstLineChars="200"/>
        <w:rPr>
          <w:rFonts w:ascii="宋体" w:hAnsi="宋体" w:cs="宋体"/>
          <w:sz w:val="24"/>
        </w:rPr>
      </w:pPr>
      <w:r>
        <w:rPr>
          <w:rFonts w:hint="eastAsia" w:ascii="宋体" w:hAnsi="宋体" w:cs="宋体"/>
          <w:sz w:val="24"/>
        </w:rPr>
        <w:t>（2）在保修期内，成交供应商对有缺陷的部位必须无偿地给予修理与更换，并承担一切由此引起的对采购人或第三者的直接损失，除非该缺陷是由于人为破坏或合同规定的不可抗因素造成的损坏。</w:t>
      </w:r>
    </w:p>
    <w:p>
      <w:pPr>
        <w:snapToGrid w:val="0"/>
        <w:spacing w:line="360" w:lineRule="auto"/>
        <w:ind w:firstLine="480" w:firstLineChars="200"/>
        <w:rPr>
          <w:rFonts w:ascii="宋体" w:hAnsi="宋体" w:cs="宋体"/>
          <w:sz w:val="24"/>
        </w:rPr>
      </w:pPr>
      <w:r>
        <w:rPr>
          <w:rFonts w:hint="eastAsia" w:ascii="宋体" w:hAnsi="宋体" w:cs="宋体"/>
          <w:sz w:val="24"/>
        </w:rPr>
        <w:t>（3）成交供应商必须对所承包的工程的质量负全部责任，其责任不因其他材料生产商提供的保证书而减轻或更改。</w:t>
      </w:r>
    </w:p>
    <w:p>
      <w:pPr>
        <w:snapToGrid w:val="0"/>
        <w:spacing w:line="360" w:lineRule="auto"/>
        <w:ind w:firstLine="480" w:firstLineChars="200"/>
        <w:rPr>
          <w:rFonts w:ascii="宋体" w:hAnsi="宋体" w:cs="宋体"/>
          <w:sz w:val="24"/>
        </w:rPr>
      </w:pPr>
      <w:r>
        <w:rPr>
          <w:rFonts w:hint="eastAsia" w:ascii="宋体" w:hAnsi="宋体" w:cs="宋体"/>
          <w:sz w:val="24"/>
        </w:rPr>
        <w:t>（4）供应商应当在缺陷责任期内具有完善的售后技术支持和服务体系，能够提供服务标准、服务流程、服务内容。</w:t>
      </w:r>
    </w:p>
    <w:p>
      <w:pPr>
        <w:spacing w:line="360" w:lineRule="auto"/>
        <w:ind w:left="210" w:leftChars="100"/>
        <w:jc w:val="left"/>
        <w:rPr>
          <w:rFonts w:ascii="宋体" w:hAnsi="宋体" w:cs="宋体"/>
          <w:sz w:val="24"/>
        </w:rPr>
      </w:pPr>
      <w:r>
        <w:rPr>
          <w:rFonts w:hint="eastAsia" w:ascii="宋体" w:hAnsi="宋体" w:cs="宋体"/>
          <w:sz w:val="24"/>
        </w:rPr>
        <w:t>6.其他商务要求（包装和运输、保险等）</w:t>
      </w:r>
    </w:p>
    <w:p>
      <w:pPr>
        <w:spacing w:line="360" w:lineRule="auto"/>
        <w:ind w:firstLine="420"/>
        <w:jc w:val="left"/>
        <w:rPr>
          <w:rFonts w:ascii="宋体" w:hAnsi="宋体" w:cs="宋体"/>
          <w:sz w:val="24"/>
        </w:rPr>
      </w:pPr>
      <w:r>
        <w:rPr>
          <w:rFonts w:hint="eastAsia" w:ascii="宋体" w:hAnsi="宋体" w:cs="宋体"/>
          <w:sz w:val="24"/>
        </w:rPr>
        <w:t>（1）供应商应当将因搬运不便而产生的二次搬运费用计算在磋商报价中。</w:t>
      </w:r>
    </w:p>
    <w:p>
      <w:pPr>
        <w:spacing w:line="360" w:lineRule="auto"/>
        <w:ind w:firstLine="420"/>
        <w:jc w:val="left"/>
        <w:rPr>
          <w:rFonts w:ascii="宋体" w:hAnsi="宋体" w:cs="宋体"/>
          <w:sz w:val="24"/>
        </w:rPr>
      </w:pPr>
      <w:r>
        <w:rPr>
          <w:rFonts w:hint="eastAsia" w:ascii="宋体" w:hAnsi="宋体" w:cs="宋体"/>
          <w:sz w:val="24"/>
        </w:rPr>
        <w:t>（2）供应商应当将与本项目有关的农民工工伤保险相关费用计算在磋商报价中。</w:t>
      </w:r>
    </w:p>
    <w:p>
      <w:pPr>
        <w:spacing w:line="360" w:lineRule="auto"/>
        <w:jc w:val="left"/>
        <w:rPr>
          <w:rFonts w:ascii="宋体" w:hAnsi="宋体" w:cs="宋体"/>
          <w:b/>
          <w:sz w:val="24"/>
        </w:rPr>
      </w:pPr>
      <w:r>
        <w:rPr>
          <w:rFonts w:hint="eastAsia" w:ascii="宋体" w:hAnsi="宋体" w:cs="宋体"/>
          <w:b/>
          <w:sz w:val="24"/>
          <w:lang w:eastAsia="zh-CN"/>
        </w:rPr>
        <w:t>四</w:t>
      </w:r>
      <w:r>
        <w:rPr>
          <w:rFonts w:hint="eastAsia" w:ascii="宋体" w:hAnsi="宋体" w:cs="宋体"/>
          <w:b/>
          <w:sz w:val="24"/>
        </w:rPr>
        <w:t>、其他要求</w:t>
      </w:r>
    </w:p>
    <w:p>
      <w:pPr>
        <w:snapToGrid w:val="0"/>
        <w:spacing w:line="360" w:lineRule="auto"/>
        <w:ind w:firstLine="480"/>
        <w:rPr>
          <w:rFonts w:ascii="宋体" w:hAnsi="宋体" w:cs="宋体"/>
          <w:sz w:val="24"/>
        </w:rPr>
      </w:pPr>
      <w:r>
        <w:rPr>
          <w:rFonts w:hint="eastAsia" w:ascii="宋体" w:hAnsi="宋体" w:cs="宋体"/>
          <w:sz w:val="24"/>
        </w:rPr>
        <w:t>（1）各供应商应先到工地踏勘以充分了解工地位置、现状情况、及任何其它足以影响磋商报价的情况，任何因忽视或误解工地情况而导致的行政处罚、索赔或工期延长申请将不获批准。本项目为综合单价合同，除了清单和图纸（如有）外，可能涉及一些零星工程，请根据工地踏勘的实际情况进行综合考虑报价。在规定工期内完成采购范围全部工程内容的所有费用，包括完成本工程的直接费、间接费、利润、税金、风险费等，后期均不做调整。</w:t>
      </w:r>
    </w:p>
    <w:p>
      <w:pPr>
        <w:snapToGrid w:val="0"/>
        <w:spacing w:line="360" w:lineRule="auto"/>
        <w:ind w:firstLine="480"/>
        <w:rPr>
          <w:rFonts w:ascii="宋体" w:hAnsi="宋体" w:cs="宋体"/>
          <w:kern w:val="0"/>
          <w:sz w:val="24"/>
        </w:rPr>
      </w:pPr>
      <w:r>
        <w:rPr>
          <w:rFonts w:hint="eastAsia" w:ascii="宋体" w:hAnsi="宋体" w:cs="宋体"/>
          <w:kern w:val="0"/>
          <w:sz w:val="24"/>
        </w:rPr>
        <w:t>（2）因工程施工要求或工程管理要求而产生的各项潜在费用支出均由供应商自行考虑并计入响应总价且一次性包干。</w:t>
      </w:r>
    </w:p>
    <w:p>
      <w:pPr>
        <w:snapToGrid w:val="0"/>
        <w:spacing w:line="360" w:lineRule="auto"/>
        <w:ind w:firstLine="422"/>
        <w:rPr>
          <w:rFonts w:ascii="宋体" w:hAnsi="宋体" w:cs="宋体"/>
          <w:kern w:val="0"/>
          <w:sz w:val="24"/>
        </w:rPr>
      </w:pPr>
      <w:r>
        <w:rPr>
          <w:rFonts w:hint="eastAsia" w:ascii="宋体" w:hAnsi="宋体" w:cs="宋体"/>
          <w:sz w:val="24"/>
        </w:rPr>
        <w:t>（3）</w:t>
      </w:r>
      <w:r>
        <w:rPr>
          <w:rFonts w:hint="eastAsia" w:ascii="宋体" w:hAnsi="宋体" w:cs="宋体"/>
          <w:kern w:val="0"/>
          <w:sz w:val="24"/>
        </w:rPr>
        <w:t>本工程的组织措施费用为一次性包干使用，成交后不再作调整；技术措施费用中，按“项”计量的部分为一次性包干使用，成交后不再作调整。</w:t>
      </w:r>
    </w:p>
    <w:p>
      <w:pPr>
        <w:snapToGrid w:val="0"/>
        <w:spacing w:line="360" w:lineRule="auto"/>
        <w:ind w:firstLine="422"/>
        <w:rPr>
          <w:rFonts w:ascii="宋体" w:hAnsi="宋体" w:cs="宋体"/>
          <w:kern w:val="0"/>
          <w:sz w:val="24"/>
        </w:rPr>
      </w:pPr>
      <w:r>
        <w:rPr>
          <w:rFonts w:hint="eastAsia" w:ascii="宋体" w:hAnsi="宋体" w:cs="宋体"/>
          <w:sz w:val="24"/>
        </w:rPr>
        <w:t>（4）</w:t>
      </w:r>
      <w:r>
        <w:rPr>
          <w:rFonts w:hint="eastAsia" w:ascii="宋体" w:hAnsi="宋体" w:cs="宋体"/>
          <w:kern w:val="0"/>
          <w:sz w:val="24"/>
        </w:rPr>
        <w:t>与报价相关的其他事宜见本项目“工程量清单”。</w:t>
      </w:r>
    </w:p>
    <w:p>
      <w:pPr>
        <w:snapToGrid w:val="0"/>
        <w:spacing w:line="360" w:lineRule="auto"/>
        <w:ind w:firstLine="422"/>
        <w:rPr>
          <w:rFonts w:ascii="宋体" w:hAnsi="宋体" w:cs="宋体"/>
          <w:kern w:val="0"/>
          <w:sz w:val="24"/>
        </w:rPr>
      </w:pPr>
      <w:r>
        <w:rPr>
          <w:rFonts w:hint="eastAsia" w:ascii="宋体" w:hAnsi="宋体" w:cs="宋体"/>
          <w:kern w:val="0"/>
          <w:sz w:val="24"/>
        </w:rPr>
        <w:t>（5）技术响应要求：</w:t>
      </w:r>
    </w:p>
    <w:p>
      <w:pPr>
        <w:pStyle w:val="971"/>
        <w:numPr>
          <w:ilvl w:val="0"/>
          <w:numId w:val="8"/>
        </w:numPr>
        <w:spacing w:line="360" w:lineRule="auto"/>
        <w:ind w:firstLineChars="0"/>
        <w:jc w:val="left"/>
        <w:rPr>
          <w:rFonts w:ascii="宋体" w:hAnsi="宋体" w:cs="宋体"/>
          <w:sz w:val="24"/>
        </w:rPr>
      </w:pPr>
      <w:r>
        <w:rPr>
          <w:rFonts w:hint="eastAsia" w:ascii="宋体" w:hAnsi="宋体" w:cs="宋体"/>
          <w:sz w:val="24"/>
        </w:rPr>
        <w:t>供应商应当有全面、合理、针对本项目的工程施工技术方案和措施，此工程施工技术方案应当具有明确的针对性和可操作性，各项施工措施应当明确、到位；</w:t>
      </w:r>
    </w:p>
    <w:p>
      <w:pPr>
        <w:numPr>
          <w:ilvl w:val="0"/>
          <w:numId w:val="8"/>
        </w:numPr>
        <w:snapToGrid w:val="0"/>
        <w:spacing w:line="360" w:lineRule="auto"/>
        <w:ind w:firstLine="480" w:firstLineChars="200"/>
        <w:rPr>
          <w:rFonts w:ascii="宋体" w:hAnsi="宋体" w:cs="宋体"/>
          <w:sz w:val="24"/>
        </w:rPr>
      </w:pPr>
      <w:r>
        <w:rPr>
          <w:rFonts w:hint="eastAsia" w:ascii="宋体" w:hAnsi="宋体" w:cs="宋体"/>
          <w:sz w:val="24"/>
        </w:rPr>
        <w:t>供应商应当有全面、合理、针对本项目的施工</w:t>
      </w:r>
      <w:r>
        <w:rPr>
          <w:rFonts w:hint="eastAsia" w:ascii="宋体" w:hAnsi="宋体" w:cs="宋体"/>
          <w:sz w:val="24"/>
          <w:lang w:eastAsia="zh-CN"/>
        </w:rPr>
        <w:t>技术</w:t>
      </w:r>
      <w:r>
        <w:rPr>
          <w:rFonts w:hint="eastAsia" w:ascii="宋体" w:hAnsi="宋体" w:cs="宋体"/>
          <w:sz w:val="24"/>
        </w:rPr>
        <w:t xml:space="preserve">，此施工组织设计应当具有明确的针对性和可操作性，施工组织设计应当明确、到位； </w:t>
      </w:r>
    </w:p>
    <w:p>
      <w:pPr>
        <w:numPr>
          <w:ilvl w:val="0"/>
          <w:numId w:val="8"/>
        </w:numPr>
        <w:snapToGrid w:val="0"/>
        <w:spacing w:line="360" w:lineRule="auto"/>
        <w:ind w:firstLine="480" w:firstLineChars="200"/>
        <w:rPr>
          <w:rFonts w:ascii="宋体" w:hAnsi="宋体" w:cs="宋体"/>
          <w:sz w:val="24"/>
        </w:rPr>
      </w:pPr>
      <w:r>
        <w:rPr>
          <w:rFonts w:hint="eastAsia" w:ascii="宋体" w:hAnsi="宋体" w:cs="宋体"/>
          <w:sz w:val="24"/>
        </w:rPr>
        <w:t>供应商应当有特殊施工环境的具体措施、预防自然灾害(台风及防汛等)的组织和技术措施；</w:t>
      </w:r>
    </w:p>
    <w:p>
      <w:pPr>
        <w:numPr>
          <w:ilvl w:val="0"/>
          <w:numId w:val="8"/>
        </w:numPr>
        <w:snapToGrid w:val="0"/>
        <w:spacing w:line="360" w:lineRule="auto"/>
        <w:ind w:firstLine="480" w:firstLineChars="200"/>
        <w:rPr>
          <w:rFonts w:ascii="宋体" w:hAnsi="宋体" w:cs="宋体"/>
          <w:sz w:val="24"/>
        </w:rPr>
      </w:pPr>
      <w:r>
        <w:rPr>
          <w:rFonts w:hint="eastAsia" w:ascii="宋体" w:hAnsi="宋体" w:cs="宋体"/>
          <w:sz w:val="24"/>
        </w:rPr>
        <w:t>供应商应当有针对疫情防控的具体措施，包括防疫物资的发放标准、工人施工密度安排的措施、核酸检测的时间要求等具体措施；</w:t>
      </w:r>
    </w:p>
    <w:p>
      <w:pPr>
        <w:numPr>
          <w:ilvl w:val="0"/>
          <w:numId w:val="8"/>
        </w:numPr>
        <w:snapToGrid w:val="0"/>
        <w:spacing w:line="360" w:lineRule="auto"/>
        <w:ind w:firstLine="480" w:firstLineChars="200"/>
        <w:rPr>
          <w:rFonts w:ascii="宋体" w:hAnsi="宋体" w:cs="宋体"/>
          <w:sz w:val="24"/>
        </w:rPr>
      </w:pPr>
      <w:r>
        <w:rPr>
          <w:rFonts w:hint="eastAsia" w:ascii="宋体" w:hAnsi="宋体" w:cs="宋体"/>
          <w:sz w:val="24"/>
        </w:rPr>
        <w:t>供应商应当有针对工程特点、难点的分析，并根据本工程项目的特点、难点提出有针对性的施工方案与措施；</w:t>
      </w:r>
    </w:p>
    <w:p>
      <w:pPr>
        <w:numPr>
          <w:ilvl w:val="0"/>
          <w:numId w:val="8"/>
        </w:numPr>
        <w:snapToGrid w:val="0"/>
        <w:spacing w:line="360" w:lineRule="auto"/>
        <w:ind w:firstLine="480" w:firstLineChars="200"/>
        <w:rPr>
          <w:rFonts w:ascii="宋体" w:hAnsi="宋体" w:cs="宋体"/>
          <w:sz w:val="24"/>
        </w:rPr>
      </w:pPr>
      <w:r>
        <w:rPr>
          <w:rFonts w:hint="eastAsia" w:ascii="宋体" w:hAnsi="宋体" w:cs="宋体"/>
          <w:sz w:val="24"/>
        </w:rPr>
        <w:t>供应商应当有全面、合理、针对本项目的</w:t>
      </w:r>
      <w:r>
        <w:rPr>
          <w:rFonts w:hint="eastAsia" w:ascii="宋体" w:hAnsi="宋体" w:cs="宋体"/>
          <w:sz w:val="24"/>
          <w:lang w:eastAsia="zh-CN"/>
        </w:rPr>
        <w:t>专项工程</w:t>
      </w:r>
      <w:r>
        <w:rPr>
          <w:rFonts w:hint="eastAsia" w:ascii="宋体" w:hAnsi="宋体" w:cs="宋体"/>
          <w:sz w:val="24"/>
        </w:rPr>
        <w:t>施工方法，主要施工方法应当具有明确的针对性和可操作性，对施工的各道程序应当明确、到位；</w:t>
      </w:r>
    </w:p>
    <w:p>
      <w:pPr>
        <w:numPr>
          <w:ilvl w:val="0"/>
          <w:numId w:val="8"/>
        </w:numPr>
        <w:snapToGrid w:val="0"/>
        <w:spacing w:line="360" w:lineRule="auto"/>
        <w:ind w:firstLine="480" w:firstLineChars="200"/>
        <w:rPr>
          <w:rFonts w:ascii="宋体" w:hAnsi="宋体" w:cs="宋体"/>
          <w:sz w:val="24"/>
        </w:rPr>
      </w:pPr>
      <w:r>
        <w:rPr>
          <w:rFonts w:hint="eastAsia" w:ascii="宋体" w:hAnsi="宋体" w:cs="宋体"/>
          <w:sz w:val="24"/>
        </w:rPr>
        <w:t>供应商应具有针对本项目的具体施工质量控制措施，质量控制措施应当完善、到位；</w:t>
      </w:r>
    </w:p>
    <w:p>
      <w:pPr>
        <w:numPr>
          <w:ilvl w:val="0"/>
          <w:numId w:val="8"/>
        </w:numPr>
        <w:snapToGrid w:val="0"/>
        <w:spacing w:line="360" w:lineRule="auto"/>
        <w:ind w:firstLine="480" w:firstLineChars="200"/>
        <w:rPr>
          <w:rFonts w:ascii="宋体" w:hAnsi="宋体" w:cs="宋体"/>
          <w:sz w:val="24"/>
        </w:rPr>
      </w:pPr>
      <w:r>
        <w:rPr>
          <w:rFonts w:hint="eastAsia" w:ascii="宋体" w:hAnsi="宋体" w:cs="宋体"/>
          <w:sz w:val="24"/>
        </w:rPr>
        <w:t>供应商应具有针对本项目的具体安全、文明施工及市政、市容、环保、消防等的保证措施，控制措施应当完善、到位；</w:t>
      </w:r>
    </w:p>
    <w:p>
      <w:pPr>
        <w:numPr>
          <w:ilvl w:val="0"/>
          <w:numId w:val="8"/>
        </w:numPr>
        <w:snapToGrid w:val="0"/>
        <w:spacing w:line="360" w:lineRule="auto"/>
        <w:ind w:firstLine="480" w:firstLineChars="200"/>
        <w:rPr>
          <w:rFonts w:ascii="宋体" w:hAnsi="宋体" w:cs="宋体"/>
          <w:sz w:val="24"/>
        </w:rPr>
      </w:pPr>
      <w:r>
        <w:rPr>
          <w:rFonts w:hint="eastAsia" w:ascii="宋体" w:hAnsi="宋体" w:cs="宋体"/>
          <w:sz w:val="24"/>
        </w:rPr>
        <w:t>供应商拟投入的管理人员的岗位、专业及各专业工种劳动力配置应当满足施工工程现场的要求；</w:t>
      </w:r>
    </w:p>
    <w:p>
      <w:pPr>
        <w:numPr>
          <w:ilvl w:val="0"/>
          <w:numId w:val="8"/>
        </w:numPr>
        <w:snapToGrid w:val="0"/>
        <w:spacing w:line="360" w:lineRule="auto"/>
        <w:ind w:firstLine="480" w:firstLineChars="200"/>
        <w:rPr>
          <w:rFonts w:ascii="宋体" w:hAnsi="宋体" w:cs="宋体"/>
          <w:sz w:val="24"/>
        </w:rPr>
      </w:pPr>
      <w:r>
        <w:rPr>
          <w:rFonts w:hint="eastAsia" w:ascii="宋体" w:hAnsi="宋体" w:cs="宋体"/>
          <w:sz w:val="24"/>
        </w:rPr>
        <w:t>供应商拟投入的施工机具和检验仪器应当满足施工工程现场的要求，其中施工机械和设备应当同时考虑</w:t>
      </w:r>
      <w:r>
        <w:rPr>
          <w:rFonts w:hint="eastAsia" w:ascii="宋体" w:hAnsi="宋体" w:cs="宋体"/>
          <w:sz w:val="24"/>
          <w:lang w:eastAsia="zh-CN"/>
        </w:rPr>
        <w:t>项目</w:t>
      </w:r>
      <w:r>
        <w:rPr>
          <w:rFonts w:hint="eastAsia" w:ascii="宋体" w:hAnsi="宋体" w:cs="宋体"/>
          <w:sz w:val="24"/>
        </w:rPr>
        <w:t>的需要；</w:t>
      </w:r>
    </w:p>
    <w:p>
      <w:pPr>
        <w:numPr>
          <w:ilvl w:val="0"/>
          <w:numId w:val="8"/>
        </w:numPr>
        <w:snapToGrid w:val="0"/>
        <w:spacing w:line="360" w:lineRule="auto"/>
        <w:ind w:firstLine="480" w:firstLineChars="200"/>
        <w:rPr>
          <w:rFonts w:ascii="宋体" w:hAnsi="宋体" w:cs="宋体"/>
          <w:sz w:val="24"/>
        </w:rPr>
      </w:pPr>
      <w:r>
        <w:rPr>
          <w:rFonts w:hint="eastAsia" w:ascii="宋体" w:hAnsi="宋体" w:cs="宋体"/>
          <w:sz w:val="24"/>
        </w:rPr>
        <w:t>供应商应当有针对材料设备进场计划及施工计划，材料设备的进场计划应当包含材料设备进场的包装、运输、进场验收等各个环节，施工计划应当包含施工的各个环节；</w:t>
      </w:r>
    </w:p>
    <w:p>
      <w:pPr>
        <w:numPr>
          <w:ilvl w:val="0"/>
          <w:numId w:val="8"/>
        </w:numPr>
        <w:snapToGrid w:val="0"/>
        <w:spacing w:line="360" w:lineRule="auto"/>
        <w:ind w:firstLine="480" w:firstLineChars="200"/>
        <w:rPr>
          <w:rFonts w:ascii="宋体" w:hAnsi="宋体" w:cs="宋体"/>
          <w:sz w:val="24"/>
        </w:rPr>
      </w:pPr>
      <w:r>
        <w:rPr>
          <w:rFonts w:hint="eastAsia" w:ascii="宋体" w:hAnsi="宋体" w:cs="宋体"/>
          <w:sz w:val="24"/>
        </w:rPr>
        <w:t>供应商应当有针对现场施工的具体降噪措施，包括针对教学的降噪措施和针对附近居民的降噪措施；</w:t>
      </w:r>
    </w:p>
    <w:p>
      <w:pPr>
        <w:numPr>
          <w:ilvl w:val="0"/>
          <w:numId w:val="8"/>
        </w:numPr>
        <w:snapToGrid w:val="0"/>
        <w:spacing w:line="360" w:lineRule="auto"/>
        <w:ind w:firstLine="480" w:firstLineChars="200"/>
        <w:rPr>
          <w:rFonts w:ascii="宋体" w:hAnsi="宋体" w:cs="宋体"/>
          <w:sz w:val="24"/>
        </w:rPr>
      </w:pPr>
      <w:r>
        <w:rPr>
          <w:rFonts w:hint="eastAsia" w:ascii="宋体" w:hAnsi="宋体" w:cs="宋体"/>
          <w:sz w:val="24"/>
        </w:rPr>
        <w:t>供应商应当具有针对本项目的具体成品保护措施，措施应当完善、到位；</w:t>
      </w:r>
    </w:p>
    <w:p>
      <w:pPr>
        <w:numPr>
          <w:ilvl w:val="0"/>
          <w:numId w:val="8"/>
        </w:numPr>
        <w:snapToGrid w:val="0"/>
        <w:spacing w:line="360" w:lineRule="auto"/>
        <w:ind w:firstLine="480" w:firstLineChars="200"/>
        <w:rPr>
          <w:rFonts w:ascii="宋体" w:hAnsi="宋体" w:cs="宋体"/>
          <w:sz w:val="24"/>
        </w:rPr>
      </w:pPr>
      <w:r>
        <w:rPr>
          <w:rFonts w:hint="eastAsia" w:ascii="宋体" w:hAnsi="宋体" w:cs="宋体"/>
          <w:sz w:val="24"/>
        </w:rPr>
        <w:t>供应商应当具有针对本项目的</w:t>
      </w:r>
      <w:r>
        <w:rPr>
          <w:rFonts w:hint="eastAsia" w:ascii="宋体" w:hAnsi="宋体" w:cs="宋体"/>
          <w:sz w:val="24"/>
          <w:lang w:eastAsia="zh-CN"/>
        </w:rPr>
        <w:t>优惠</w:t>
      </w:r>
      <w:r>
        <w:rPr>
          <w:rFonts w:hint="eastAsia" w:ascii="宋体" w:hAnsi="宋体" w:cs="宋体"/>
          <w:sz w:val="24"/>
        </w:rPr>
        <w:t>措施，措施应当完善、到位；</w:t>
      </w:r>
    </w:p>
    <w:p>
      <w:pPr>
        <w:numPr>
          <w:ilvl w:val="0"/>
          <w:numId w:val="8"/>
        </w:numPr>
        <w:snapToGrid w:val="0"/>
        <w:spacing w:line="360" w:lineRule="auto"/>
        <w:ind w:firstLine="480" w:firstLineChars="200"/>
        <w:rPr>
          <w:rFonts w:ascii="宋体" w:hAnsi="宋体" w:cs="仿宋_GB2312"/>
          <w:color w:val="auto"/>
          <w:sz w:val="24"/>
          <w:highlight w:val="none"/>
        </w:rPr>
      </w:pPr>
      <w:r>
        <w:rPr>
          <w:rFonts w:hint="eastAsia" w:ascii="宋体" w:hAnsi="宋体" w:cs="宋体"/>
          <w:sz w:val="24"/>
        </w:rPr>
        <w:t>供应商在缺陷责任期内应当具有完善的售后技术支持和服务体系，能够保证采购人在缺陷责任期内得到不少于本磋商文件所附工程质量保修书的相关服务要求</w:t>
      </w:r>
      <w:r>
        <w:rPr>
          <w:rFonts w:hint="eastAsia" w:ascii="宋体" w:hAnsi="宋体" w:cs="仿宋_GB2312"/>
          <w:color w:val="auto"/>
          <w:sz w:val="24"/>
          <w:highlight w:val="none"/>
        </w:rPr>
        <w:t>。</w:t>
      </w:r>
    </w:p>
    <w:p>
      <w:pPr>
        <w:spacing w:line="360" w:lineRule="auto"/>
        <w:jc w:val="left"/>
        <w:rPr>
          <w:rFonts w:hint="eastAsia" w:ascii="宋体" w:hAnsi="宋体" w:cs="宋体"/>
          <w:b/>
          <w:sz w:val="24"/>
        </w:rPr>
      </w:pPr>
      <w:r>
        <w:rPr>
          <w:rFonts w:hint="eastAsia" w:ascii="宋体" w:hAnsi="宋体" w:cs="宋体"/>
          <w:b/>
          <w:sz w:val="24"/>
        </w:rPr>
        <w:t>五、施工技术要求</w:t>
      </w:r>
    </w:p>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按照国家和地方相关文件执行。</w:t>
      </w:r>
    </w:p>
    <w:p>
      <w:pPr>
        <w:spacing w:line="360" w:lineRule="auto"/>
        <w:jc w:val="left"/>
        <w:rPr>
          <w:rFonts w:hint="eastAsia" w:ascii="宋体" w:hAnsi="宋体" w:cs="宋体"/>
          <w:b/>
          <w:sz w:val="24"/>
        </w:rPr>
      </w:pPr>
      <w:r>
        <w:rPr>
          <w:rFonts w:hint="eastAsia" w:ascii="宋体" w:hAnsi="宋体" w:cs="宋体"/>
          <w:b/>
          <w:sz w:val="24"/>
          <w:lang w:val="en-US" w:eastAsia="zh-CN"/>
        </w:rPr>
        <w:t>六</w:t>
      </w:r>
      <w:r>
        <w:rPr>
          <w:rFonts w:hint="eastAsia" w:ascii="宋体" w:hAnsi="宋体" w:cs="宋体"/>
          <w:b/>
          <w:sz w:val="24"/>
        </w:rPr>
        <w:t>、其他要求</w:t>
      </w:r>
    </w:p>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1.本磋商文件中带“▲”的条款内容，为本次磋商的实质性内容，供应商必须全部响应，否则将作无效标处理。“★”的条款内容为重要性条款。</w:t>
      </w:r>
    </w:p>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2.磋商响应供应商认为优于磋商需求的其他相关证明材料。</w:t>
      </w:r>
    </w:p>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3.磋商报价要求：总报价指包括为完成本项目服务所支付的人工费、材料费、机械费、制作标书费、税费及其他一切费用。</w:t>
      </w:r>
    </w:p>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4.文件中所提的是基本服务要求，供应商应根据相关法律法规及采购人机构特点，提供更为完善的服务。</w:t>
      </w:r>
    </w:p>
    <w:p>
      <w:pPr>
        <w:snapToGrid w:val="0"/>
        <w:spacing w:line="360" w:lineRule="auto"/>
        <w:rPr>
          <w:rFonts w:hint="eastAsia" w:ascii="宋体" w:hAnsi="宋体" w:cs="宋体"/>
          <w:color w:val="auto"/>
          <w:sz w:val="24"/>
          <w:szCs w:val="24"/>
          <w:highlight w:val="none"/>
          <w:lang w:val="en-US"/>
        </w:rPr>
      </w:pPr>
    </w:p>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pPr>
        <w:pStyle w:val="34"/>
        <w:spacing w:line="360" w:lineRule="auto"/>
        <w:jc w:val="center"/>
        <w:outlineLvl w:val="0"/>
        <w:rPr>
          <w:rFonts w:hint="eastAsia" w:hAnsi="宋体" w:cs="宋体"/>
          <w:b/>
          <w:snapToGrid/>
          <w:color w:val="auto"/>
          <w:sz w:val="36"/>
          <w:szCs w:val="20"/>
          <w:highlight w:val="none"/>
        </w:rPr>
      </w:pPr>
      <w:r>
        <w:rPr>
          <w:rFonts w:hint="eastAsia" w:hAnsi="宋体" w:cs="宋体"/>
          <w:b/>
          <w:snapToGrid/>
          <w:color w:val="auto"/>
          <w:sz w:val="36"/>
          <w:szCs w:val="20"/>
          <w:highlight w:val="none"/>
        </w:rPr>
        <w:t>第四部分</w:t>
      </w:r>
      <w:bookmarkStart w:id="32" w:name="_Toc184314462"/>
      <w:bookmarkEnd w:id="32"/>
      <w:bookmarkStart w:id="33" w:name="_Toc184313275"/>
      <w:bookmarkEnd w:id="33"/>
      <w:bookmarkStart w:id="34" w:name="_Toc184314427"/>
      <w:bookmarkEnd w:id="34"/>
      <w:bookmarkStart w:id="35" w:name="_Toc184308103"/>
      <w:bookmarkEnd w:id="35"/>
      <w:bookmarkStart w:id="36" w:name="_Toc184310344"/>
      <w:bookmarkEnd w:id="36"/>
      <w:bookmarkStart w:id="37" w:name="_Toc184308069"/>
      <w:bookmarkEnd w:id="37"/>
      <w:bookmarkStart w:id="38" w:name="_Toc184312111"/>
      <w:bookmarkEnd w:id="38"/>
      <w:bookmarkStart w:id="39" w:name="_Toc184310280"/>
      <w:bookmarkEnd w:id="39"/>
      <w:bookmarkStart w:id="40" w:name="_Toc184310336"/>
      <w:bookmarkEnd w:id="40"/>
      <w:bookmarkStart w:id="41" w:name="_Toc184314459"/>
      <w:bookmarkEnd w:id="41"/>
      <w:bookmarkStart w:id="42" w:name="_Toc184310307"/>
      <w:bookmarkEnd w:id="42"/>
      <w:bookmarkStart w:id="43" w:name="_Toc184310323"/>
      <w:bookmarkEnd w:id="43"/>
      <w:bookmarkStart w:id="44" w:name="_Toc184313242"/>
      <w:bookmarkEnd w:id="44"/>
      <w:bookmarkStart w:id="45" w:name="_Toc184308102"/>
      <w:bookmarkEnd w:id="45"/>
      <w:bookmarkStart w:id="46" w:name="_Toc184313278"/>
      <w:bookmarkEnd w:id="46"/>
      <w:bookmarkStart w:id="47" w:name="_Toc184312091"/>
      <w:bookmarkEnd w:id="47"/>
      <w:bookmarkStart w:id="48" w:name="_Toc184308065"/>
      <w:bookmarkEnd w:id="48"/>
      <w:bookmarkStart w:id="49" w:name="_Toc184314428"/>
      <w:bookmarkEnd w:id="49"/>
      <w:bookmarkStart w:id="50" w:name="_Toc184310330"/>
      <w:bookmarkEnd w:id="50"/>
      <w:bookmarkStart w:id="51" w:name="_Toc184312069"/>
      <w:bookmarkEnd w:id="51"/>
      <w:bookmarkStart w:id="52" w:name="_Toc184308054"/>
      <w:bookmarkEnd w:id="52"/>
      <w:bookmarkStart w:id="53" w:name="_Toc184314468"/>
      <w:bookmarkEnd w:id="53"/>
      <w:bookmarkStart w:id="54" w:name="_Toc184312128"/>
      <w:bookmarkEnd w:id="54"/>
      <w:bookmarkStart w:id="55" w:name="_Toc184310310"/>
      <w:bookmarkEnd w:id="55"/>
      <w:bookmarkStart w:id="56" w:name="_Toc184314469"/>
      <w:bookmarkEnd w:id="56"/>
      <w:bookmarkStart w:id="57" w:name="_Toc184314470"/>
      <w:bookmarkEnd w:id="57"/>
      <w:bookmarkStart w:id="58" w:name="_Toc184314449"/>
      <w:bookmarkEnd w:id="58"/>
      <w:bookmarkStart w:id="59" w:name="_Toc184313268"/>
      <w:bookmarkEnd w:id="59"/>
      <w:bookmarkStart w:id="60" w:name="_Toc184314452"/>
      <w:bookmarkEnd w:id="60"/>
      <w:bookmarkStart w:id="61" w:name="_Toc184308049"/>
      <w:bookmarkEnd w:id="61"/>
      <w:bookmarkStart w:id="62" w:name="_Toc184308077"/>
      <w:bookmarkEnd w:id="62"/>
      <w:bookmarkStart w:id="63" w:name="_Toc184312138"/>
      <w:bookmarkEnd w:id="63"/>
      <w:bookmarkStart w:id="64" w:name="_Toc184308072"/>
      <w:bookmarkEnd w:id="64"/>
      <w:bookmarkStart w:id="65" w:name="_Toc184313258"/>
      <w:bookmarkEnd w:id="65"/>
      <w:bookmarkStart w:id="66" w:name="_Toc184313271"/>
      <w:bookmarkEnd w:id="66"/>
      <w:bookmarkStart w:id="67" w:name="_Toc184308051"/>
      <w:bookmarkEnd w:id="67"/>
      <w:bookmarkStart w:id="68" w:name="_Toc184313284"/>
      <w:bookmarkEnd w:id="68"/>
      <w:bookmarkStart w:id="69" w:name="_Toc184313255"/>
      <w:bookmarkEnd w:id="69"/>
      <w:bookmarkStart w:id="70" w:name="_Toc184314473"/>
      <w:bookmarkEnd w:id="70"/>
      <w:bookmarkStart w:id="71" w:name="_Toc184312121"/>
      <w:bookmarkEnd w:id="71"/>
      <w:bookmarkStart w:id="72" w:name="_Toc184314454"/>
      <w:bookmarkEnd w:id="72"/>
      <w:bookmarkStart w:id="73" w:name="_Toc184308073"/>
      <w:bookmarkEnd w:id="73"/>
      <w:bookmarkStart w:id="74" w:name="_Toc184313296"/>
      <w:bookmarkEnd w:id="74"/>
      <w:bookmarkStart w:id="75" w:name="_Toc184314429"/>
      <w:bookmarkEnd w:id="75"/>
      <w:bookmarkStart w:id="76" w:name="_Toc184310340"/>
      <w:bookmarkEnd w:id="76"/>
      <w:bookmarkStart w:id="77" w:name="_Toc184313269"/>
      <w:bookmarkEnd w:id="77"/>
      <w:bookmarkStart w:id="78" w:name="_Toc184308096"/>
      <w:bookmarkEnd w:id="78"/>
      <w:bookmarkStart w:id="79" w:name="_Toc184313304"/>
      <w:bookmarkEnd w:id="79"/>
      <w:bookmarkStart w:id="80" w:name="_Toc184314412"/>
      <w:bookmarkEnd w:id="80"/>
      <w:bookmarkStart w:id="81" w:name="_Toc184310283"/>
      <w:bookmarkEnd w:id="81"/>
      <w:bookmarkStart w:id="82" w:name="_Toc184308081"/>
      <w:bookmarkEnd w:id="82"/>
      <w:bookmarkStart w:id="83" w:name="_Toc184314430"/>
      <w:bookmarkEnd w:id="83"/>
      <w:bookmarkStart w:id="84" w:name="_Toc184313256"/>
      <w:bookmarkEnd w:id="84"/>
      <w:bookmarkStart w:id="85" w:name="_Toc184312131"/>
      <w:bookmarkEnd w:id="85"/>
      <w:bookmarkStart w:id="86" w:name="_Toc184308085"/>
      <w:bookmarkEnd w:id="86"/>
      <w:bookmarkStart w:id="87" w:name="_Toc184310316"/>
      <w:bookmarkEnd w:id="87"/>
      <w:bookmarkStart w:id="88" w:name="_Toc184308058"/>
      <w:bookmarkEnd w:id="88"/>
      <w:bookmarkStart w:id="89" w:name="_Toc184313306"/>
      <w:bookmarkEnd w:id="89"/>
      <w:bookmarkStart w:id="90" w:name="_Toc184312116"/>
      <w:bookmarkEnd w:id="90"/>
      <w:bookmarkStart w:id="91" w:name="_Toc184313283"/>
      <w:bookmarkEnd w:id="91"/>
      <w:bookmarkStart w:id="92" w:name="_Toc184314413"/>
      <w:bookmarkEnd w:id="92"/>
      <w:bookmarkStart w:id="93" w:name="_Toc184310281"/>
      <w:bookmarkEnd w:id="93"/>
      <w:bookmarkStart w:id="94" w:name="_Toc184313289"/>
      <w:bookmarkEnd w:id="94"/>
      <w:bookmarkStart w:id="95" w:name="_Toc184310321"/>
      <w:bookmarkEnd w:id="95"/>
      <w:bookmarkStart w:id="96" w:name="_Toc184310285"/>
      <w:bookmarkEnd w:id="96"/>
      <w:bookmarkStart w:id="97" w:name="_Toc184312137"/>
      <w:bookmarkEnd w:id="97"/>
      <w:bookmarkStart w:id="98" w:name="_Toc184313300"/>
      <w:bookmarkEnd w:id="98"/>
      <w:bookmarkStart w:id="99" w:name="_Toc184308060"/>
      <w:bookmarkEnd w:id="99"/>
      <w:bookmarkStart w:id="100" w:name="_Toc184314432"/>
      <w:bookmarkEnd w:id="100"/>
      <w:bookmarkStart w:id="101" w:name="_Toc184314421"/>
      <w:bookmarkEnd w:id="101"/>
      <w:bookmarkStart w:id="102" w:name="_Toc184308108"/>
      <w:bookmarkEnd w:id="102"/>
      <w:bookmarkStart w:id="103" w:name="_Toc184310338"/>
      <w:bookmarkEnd w:id="103"/>
      <w:bookmarkStart w:id="104" w:name="_Toc184312118"/>
      <w:bookmarkEnd w:id="104"/>
      <w:bookmarkStart w:id="105" w:name="_Toc184314415"/>
      <w:bookmarkEnd w:id="105"/>
      <w:bookmarkStart w:id="106" w:name="_Toc184313305"/>
      <w:bookmarkEnd w:id="106"/>
      <w:bookmarkStart w:id="107" w:name="_Toc184313279"/>
      <w:bookmarkEnd w:id="107"/>
      <w:bookmarkStart w:id="108" w:name="_Toc184314450"/>
      <w:bookmarkEnd w:id="108"/>
      <w:bookmarkStart w:id="109" w:name="_Toc184308098"/>
      <w:bookmarkEnd w:id="109"/>
      <w:bookmarkStart w:id="110" w:name="_Toc184312139"/>
      <w:bookmarkEnd w:id="110"/>
      <w:bookmarkStart w:id="111" w:name="_Toc184312076"/>
      <w:bookmarkEnd w:id="111"/>
      <w:bookmarkStart w:id="112" w:name="_Toc184313249"/>
      <w:bookmarkEnd w:id="112"/>
      <w:bookmarkStart w:id="113" w:name="_Toc184308100"/>
      <w:bookmarkEnd w:id="113"/>
      <w:bookmarkStart w:id="114" w:name="_Toc184314420"/>
      <w:bookmarkEnd w:id="114"/>
      <w:bookmarkStart w:id="115" w:name="_Toc184310299"/>
      <w:bookmarkEnd w:id="115"/>
      <w:bookmarkStart w:id="116" w:name="_Toc184314437"/>
      <w:bookmarkEnd w:id="116"/>
      <w:bookmarkStart w:id="117" w:name="_Toc184312133"/>
      <w:bookmarkEnd w:id="117"/>
      <w:bookmarkStart w:id="118" w:name="_Toc184308061"/>
      <w:bookmarkEnd w:id="118"/>
      <w:bookmarkStart w:id="119" w:name="_Toc184314410"/>
      <w:bookmarkEnd w:id="119"/>
      <w:bookmarkStart w:id="120" w:name="_Toc184314448"/>
      <w:bookmarkEnd w:id="120"/>
      <w:bookmarkStart w:id="121" w:name="_Toc184310276"/>
      <w:bookmarkEnd w:id="121"/>
      <w:bookmarkStart w:id="122" w:name="_Toc184310327"/>
      <w:bookmarkEnd w:id="122"/>
      <w:bookmarkStart w:id="123" w:name="_Toc184313297"/>
      <w:bookmarkEnd w:id="123"/>
      <w:bookmarkStart w:id="124" w:name="_Toc184312132"/>
      <w:bookmarkEnd w:id="124"/>
      <w:bookmarkStart w:id="125" w:name="_Toc184308075"/>
      <w:bookmarkEnd w:id="125"/>
      <w:bookmarkStart w:id="126" w:name="_Toc184310313"/>
      <w:bookmarkEnd w:id="126"/>
      <w:bookmarkStart w:id="127" w:name="_Toc184313244"/>
      <w:bookmarkEnd w:id="127"/>
      <w:bookmarkStart w:id="128" w:name="_Toc184310272"/>
      <w:bookmarkEnd w:id="128"/>
      <w:bookmarkStart w:id="129" w:name="_Toc184312090"/>
      <w:bookmarkEnd w:id="129"/>
      <w:bookmarkStart w:id="130" w:name="_Toc184314455"/>
      <w:bookmarkEnd w:id="130"/>
      <w:bookmarkStart w:id="131" w:name="_Toc184308037"/>
      <w:bookmarkEnd w:id="131"/>
      <w:bookmarkStart w:id="132" w:name="_Toc184312073"/>
      <w:bookmarkEnd w:id="132"/>
      <w:bookmarkStart w:id="133" w:name="_Toc184313290"/>
      <w:bookmarkEnd w:id="133"/>
      <w:bookmarkStart w:id="134" w:name="_Toc184313240"/>
      <w:bookmarkEnd w:id="134"/>
      <w:bookmarkStart w:id="135" w:name="_Toc184312126"/>
      <w:bookmarkEnd w:id="135"/>
      <w:bookmarkStart w:id="136" w:name="_Toc184314464"/>
      <w:bookmarkEnd w:id="136"/>
      <w:bookmarkStart w:id="137" w:name="_Toc184313262"/>
      <w:bookmarkEnd w:id="137"/>
      <w:bookmarkStart w:id="138" w:name="_Toc184313295"/>
      <w:bookmarkEnd w:id="138"/>
      <w:bookmarkStart w:id="139" w:name="_Toc184313298"/>
      <w:bookmarkEnd w:id="139"/>
      <w:bookmarkStart w:id="140" w:name="_Toc184313277"/>
      <w:bookmarkEnd w:id="140"/>
      <w:bookmarkStart w:id="141" w:name="_Toc184312083"/>
      <w:bookmarkEnd w:id="141"/>
      <w:bookmarkStart w:id="142" w:name="_Toc184313276"/>
      <w:bookmarkEnd w:id="142"/>
      <w:bookmarkStart w:id="143" w:name="_Toc184312099"/>
      <w:bookmarkEnd w:id="143"/>
      <w:bookmarkStart w:id="144" w:name="_Toc184308097"/>
      <w:bookmarkEnd w:id="144"/>
      <w:bookmarkStart w:id="145" w:name="_Toc184310288"/>
      <w:bookmarkEnd w:id="145"/>
      <w:bookmarkStart w:id="146" w:name="_Toc184312094"/>
      <w:bookmarkEnd w:id="146"/>
      <w:bookmarkStart w:id="147" w:name="_Toc184312112"/>
      <w:bookmarkEnd w:id="147"/>
      <w:bookmarkStart w:id="148" w:name="_Toc184310315"/>
      <w:bookmarkEnd w:id="148"/>
      <w:bookmarkStart w:id="149" w:name="_Toc184308064"/>
      <w:bookmarkEnd w:id="149"/>
      <w:bookmarkStart w:id="150" w:name="_Toc184312103"/>
      <w:bookmarkEnd w:id="150"/>
      <w:bookmarkStart w:id="151" w:name="_Toc184313285"/>
      <w:bookmarkEnd w:id="151"/>
      <w:bookmarkStart w:id="152" w:name="_Toc184314443"/>
      <w:bookmarkEnd w:id="152"/>
      <w:bookmarkStart w:id="153" w:name="_Toc184313259"/>
      <w:bookmarkEnd w:id="153"/>
      <w:bookmarkStart w:id="154" w:name="_Toc184310326"/>
      <w:bookmarkEnd w:id="154"/>
      <w:bookmarkStart w:id="155" w:name="_Toc184313281"/>
      <w:bookmarkEnd w:id="155"/>
      <w:bookmarkStart w:id="156" w:name="_Toc184308056"/>
      <w:bookmarkEnd w:id="156"/>
      <w:bookmarkStart w:id="157" w:name="_Toc184312122"/>
      <w:bookmarkEnd w:id="157"/>
      <w:bookmarkStart w:id="158" w:name="_Toc184310317"/>
      <w:bookmarkEnd w:id="158"/>
      <w:bookmarkStart w:id="159" w:name="_Toc184312097"/>
      <w:bookmarkEnd w:id="159"/>
      <w:bookmarkStart w:id="160" w:name="_Toc184310306"/>
      <w:bookmarkEnd w:id="160"/>
      <w:bookmarkStart w:id="161" w:name="_Toc184308047"/>
      <w:bookmarkEnd w:id="161"/>
      <w:bookmarkStart w:id="162" w:name="_Toc184314414"/>
      <w:bookmarkEnd w:id="162"/>
      <w:bookmarkStart w:id="163" w:name="_Toc184312136"/>
      <w:bookmarkEnd w:id="163"/>
      <w:bookmarkStart w:id="164" w:name="_Toc184312106"/>
      <w:bookmarkEnd w:id="164"/>
      <w:bookmarkStart w:id="165" w:name="_Toc184313260"/>
      <w:bookmarkEnd w:id="165"/>
      <w:bookmarkStart w:id="166" w:name="_Toc184313293"/>
      <w:bookmarkEnd w:id="166"/>
      <w:bookmarkStart w:id="167" w:name="_Toc184314436"/>
      <w:bookmarkEnd w:id="167"/>
      <w:bookmarkStart w:id="168" w:name="_Toc184313253"/>
      <w:bookmarkEnd w:id="168"/>
      <w:bookmarkStart w:id="169" w:name="_Toc184310289"/>
      <w:bookmarkEnd w:id="169"/>
      <w:bookmarkStart w:id="170" w:name="_Toc184312113"/>
      <w:bookmarkEnd w:id="170"/>
      <w:bookmarkStart w:id="171" w:name="_Toc184312100"/>
      <w:bookmarkEnd w:id="171"/>
      <w:bookmarkStart w:id="172" w:name="_Toc184314466"/>
      <w:bookmarkEnd w:id="172"/>
      <w:bookmarkStart w:id="173" w:name="_Toc184314446"/>
      <w:bookmarkEnd w:id="173"/>
      <w:bookmarkStart w:id="174" w:name="_Toc184314424"/>
      <w:bookmarkEnd w:id="174"/>
      <w:bookmarkStart w:id="175" w:name="_Toc184308052"/>
      <w:bookmarkEnd w:id="175"/>
      <w:bookmarkStart w:id="176" w:name="_Toc184312124"/>
      <w:bookmarkEnd w:id="176"/>
      <w:bookmarkStart w:id="177" w:name="_Toc184308090"/>
      <w:bookmarkEnd w:id="177"/>
      <w:bookmarkStart w:id="178" w:name="_Toc184313248"/>
      <w:bookmarkEnd w:id="178"/>
      <w:bookmarkStart w:id="179" w:name="_Toc184312108"/>
      <w:bookmarkEnd w:id="179"/>
      <w:bookmarkStart w:id="180" w:name="_Toc184312070"/>
      <w:bookmarkEnd w:id="180"/>
      <w:bookmarkStart w:id="181" w:name="_Toc184314475"/>
      <w:bookmarkEnd w:id="181"/>
      <w:bookmarkStart w:id="182" w:name="_Toc184312101"/>
      <w:bookmarkEnd w:id="182"/>
      <w:bookmarkStart w:id="183" w:name="_Toc184314417"/>
      <w:bookmarkEnd w:id="183"/>
      <w:bookmarkStart w:id="184" w:name="_Toc184308040"/>
      <w:bookmarkEnd w:id="184"/>
      <w:bookmarkStart w:id="185" w:name="_Toc184314422"/>
      <w:bookmarkEnd w:id="185"/>
      <w:bookmarkStart w:id="186" w:name="_Toc184310343"/>
      <w:bookmarkEnd w:id="186"/>
      <w:bookmarkStart w:id="187" w:name="_Toc184310314"/>
      <w:bookmarkEnd w:id="187"/>
      <w:bookmarkStart w:id="188" w:name="_Toc184310277"/>
      <w:bookmarkEnd w:id="188"/>
      <w:bookmarkStart w:id="189" w:name="_Toc184313239"/>
      <w:bookmarkEnd w:id="189"/>
      <w:bookmarkStart w:id="190" w:name="_Toc184310275"/>
      <w:bookmarkEnd w:id="190"/>
      <w:bookmarkStart w:id="191" w:name="_Toc184310305"/>
      <w:bookmarkEnd w:id="191"/>
      <w:bookmarkStart w:id="192" w:name="_Toc184310279"/>
      <w:bookmarkEnd w:id="192"/>
      <w:bookmarkStart w:id="193" w:name="_Toc184310291"/>
      <w:bookmarkEnd w:id="193"/>
      <w:bookmarkStart w:id="194" w:name="_Toc184308070"/>
      <w:bookmarkEnd w:id="194"/>
      <w:bookmarkStart w:id="195" w:name="_Toc184312085"/>
      <w:bookmarkEnd w:id="195"/>
      <w:bookmarkStart w:id="196" w:name="_Toc184310328"/>
      <w:bookmarkEnd w:id="196"/>
      <w:bookmarkStart w:id="197" w:name="_Toc184313286"/>
      <w:bookmarkEnd w:id="197"/>
      <w:bookmarkStart w:id="198" w:name="_Toc184313303"/>
      <w:bookmarkEnd w:id="198"/>
      <w:bookmarkStart w:id="199" w:name="_Toc184308095"/>
      <w:bookmarkEnd w:id="199"/>
      <w:bookmarkStart w:id="200" w:name="_Toc184310341"/>
      <w:bookmarkEnd w:id="200"/>
      <w:bookmarkStart w:id="201" w:name="_Toc184314439"/>
      <w:bookmarkEnd w:id="201"/>
      <w:bookmarkStart w:id="202" w:name="_Toc184310298"/>
      <w:bookmarkEnd w:id="202"/>
      <w:bookmarkStart w:id="203" w:name="_Toc184308066"/>
      <w:bookmarkEnd w:id="203"/>
      <w:bookmarkStart w:id="204" w:name="_Toc184308107"/>
      <w:bookmarkEnd w:id="204"/>
      <w:bookmarkStart w:id="205" w:name="_Toc184312079"/>
      <w:bookmarkEnd w:id="205"/>
      <w:bookmarkStart w:id="206" w:name="_Toc184312104"/>
      <w:bookmarkEnd w:id="206"/>
      <w:bookmarkStart w:id="207" w:name="_Toc184310300"/>
      <w:bookmarkEnd w:id="207"/>
      <w:bookmarkStart w:id="208" w:name="_Toc184314465"/>
      <w:bookmarkEnd w:id="208"/>
      <w:bookmarkStart w:id="209" w:name="_Toc184312088"/>
      <w:bookmarkEnd w:id="209"/>
      <w:bookmarkStart w:id="210" w:name="_Toc184312105"/>
      <w:bookmarkEnd w:id="210"/>
      <w:bookmarkStart w:id="211" w:name="_Toc184308080"/>
      <w:bookmarkEnd w:id="211"/>
      <w:bookmarkStart w:id="212" w:name="_Toc184308082"/>
      <w:bookmarkEnd w:id="212"/>
      <w:bookmarkStart w:id="213" w:name="_Toc184314435"/>
      <w:bookmarkEnd w:id="213"/>
      <w:bookmarkStart w:id="214" w:name="_Toc184313247"/>
      <w:bookmarkEnd w:id="214"/>
      <w:bookmarkStart w:id="215" w:name="_Toc184310294"/>
      <w:bookmarkEnd w:id="215"/>
      <w:bookmarkStart w:id="216" w:name="_Toc184314458"/>
      <w:bookmarkEnd w:id="216"/>
      <w:bookmarkStart w:id="217" w:name="_Toc184314471"/>
      <w:bookmarkEnd w:id="217"/>
      <w:bookmarkStart w:id="218" w:name="_Toc184312135"/>
      <w:bookmarkEnd w:id="218"/>
      <w:bookmarkStart w:id="219" w:name="_Toc184310284"/>
      <w:bookmarkEnd w:id="219"/>
      <w:bookmarkStart w:id="220" w:name="_Toc184313264"/>
      <w:bookmarkEnd w:id="220"/>
      <w:bookmarkStart w:id="221" w:name="_Toc184310332"/>
      <w:bookmarkEnd w:id="221"/>
      <w:bookmarkStart w:id="222" w:name="_Toc184308092"/>
      <w:bookmarkEnd w:id="222"/>
      <w:bookmarkStart w:id="223" w:name="_Toc184312086"/>
      <w:bookmarkEnd w:id="223"/>
      <w:bookmarkStart w:id="224" w:name="_Toc184310304"/>
      <w:bookmarkEnd w:id="224"/>
      <w:bookmarkStart w:id="225" w:name="_Toc184308088"/>
      <w:bookmarkEnd w:id="225"/>
      <w:bookmarkStart w:id="226" w:name="_Toc184313241"/>
      <w:bookmarkEnd w:id="226"/>
      <w:bookmarkStart w:id="227" w:name="_Toc184312123"/>
      <w:bookmarkEnd w:id="227"/>
      <w:bookmarkStart w:id="228" w:name="_Toc184312072"/>
      <w:bookmarkEnd w:id="228"/>
      <w:bookmarkStart w:id="229" w:name="_Toc184308038"/>
      <w:bookmarkEnd w:id="229"/>
      <w:bookmarkStart w:id="230" w:name="_Toc184308068"/>
      <w:bookmarkEnd w:id="230"/>
      <w:bookmarkStart w:id="231" w:name="_Toc184312115"/>
      <w:bookmarkEnd w:id="231"/>
      <w:bookmarkStart w:id="232" w:name="_Toc184310311"/>
      <w:bookmarkEnd w:id="232"/>
      <w:bookmarkStart w:id="233" w:name="_Toc184308045"/>
      <w:bookmarkEnd w:id="233"/>
      <w:bookmarkStart w:id="234" w:name="_Toc184314444"/>
      <w:bookmarkEnd w:id="234"/>
      <w:bookmarkStart w:id="235" w:name="_Toc184313238"/>
      <w:bookmarkEnd w:id="235"/>
      <w:bookmarkStart w:id="236" w:name="_Toc184314423"/>
      <w:bookmarkEnd w:id="236"/>
      <w:bookmarkStart w:id="237" w:name="_Toc184314482"/>
      <w:bookmarkEnd w:id="237"/>
      <w:bookmarkStart w:id="238" w:name="_Toc184308093"/>
      <w:bookmarkEnd w:id="238"/>
      <w:bookmarkStart w:id="239" w:name="_Toc184314478"/>
      <w:bookmarkEnd w:id="239"/>
      <w:bookmarkStart w:id="240" w:name="_Toc184310329"/>
      <w:bookmarkEnd w:id="240"/>
      <w:bookmarkStart w:id="241" w:name="_Toc184313309"/>
      <w:bookmarkEnd w:id="241"/>
      <w:bookmarkStart w:id="242" w:name="_Toc184314440"/>
      <w:bookmarkEnd w:id="242"/>
      <w:bookmarkStart w:id="243" w:name="_Toc184310308"/>
      <w:bookmarkEnd w:id="243"/>
      <w:bookmarkStart w:id="244" w:name="_Toc184312087"/>
      <w:bookmarkEnd w:id="244"/>
      <w:bookmarkStart w:id="245" w:name="_Toc184310293"/>
      <w:bookmarkEnd w:id="245"/>
      <w:bookmarkStart w:id="246" w:name="_Toc184308087"/>
      <w:bookmarkEnd w:id="246"/>
      <w:bookmarkStart w:id="247" w:name="_Toc184313292"/>
      <w:bookmarkEnd w:id="247"/>
      <w:bookmarkStart w:id="248" w:name="_Toc184312098"/>
      <w:bookmarkEnd w:id="248"/>
      <w:bookmarkStart w:id="249" w:name="_Toc184308043"/>
      <w:bookmarkEnd w:id="249"/>
      <w:bookmarkStart w:id="250" w:name="_Toc184313307"/>
      <w:bookmarkEnd w:id="250"/>
      <w:bookmarkStart w:id="251" w:name="_Toc184313294"/>
      <w:bookmarkEnd w:id="251"/>
      <w:bookmarkStart w:id="252" w:name="_Toc184310318"/>
      <w:bookmarkEnd w:id="252"/>
      <w:bookmarkStart w:id="253" w:name="_Toc184313287"/>
      <w:bookmarkEnd w:id="253"/>
      <w:bookmarkStart w:id="254" w:name="_Toc184310337"/>
      <w:bookmarkEnd w:id="254"/>
      <w:bookmarkStart w:id="255" w:name="_Toc184313257"/>
      <w:bookmarkEnd w:id="255"/>
      <w:bookmarkStart w:id="256" w:name="_Toc184312092"/>
      <w:bookmarkEnd w:id="256"/>
      <w:bookmarkStart w:id="257" w:name="_Toc184310297"/>
      <w:bookmarkEnd w:id="257"/>
      <w:bookmarkStart w:id="258" w:name="_Toc184313274"/>
      <w:bookmarkEnd w:id="258"/>
      <w:bookmarkStart w:id="259" w:name="_Toc184313251"/>
      <w:bookmarkEnd w:id="259"/>
      <w:bookmarkStart w:id="260" w:name="_Toc184312120"/>
      <w:bookmarkEnd w:id="260"/>
      <w:bookmarkStart w:id="261" w:name="_Toc184313308"/>
      <w:bookmarkEnd w:id="261"/>
      <w:bookmarkStart w:id="262" w:name="_Toc184314456"/>
      <w:bookmarkEnd w:id="262"/>
      <w:bookmarkStart w:id="263" w:name="_Toc184312095"/>
      <w:bookmarkEnd w:id="263"/>
      <w:bookmarkStart w:id="264" w:name="_Toc184308106"/>
      <w:bookmarkEnd w:id="264"/>
      <w:bookmarkStart w:id="265" w:name="_Toc184312084"/>
      <w:bookmarkEnd w:id="265"/>
      <w:bookmarkStart w:id="266" w:name="_Toc184312134"/>
      <w:bookmarkEnd w:id="266"/>
      <w:bookmarkStart w:id="267" w:name="_Toc184313263"/>
      <w:bookmarkEnd w:id="267"/>
      <w:bookmarkStart w:id="268" w:name="_Toc184314481"/>
      <w:bookmarkEnd w:id="268"/>
      <w:bookmarkStart w:id="269" w:name="_Toc184310331"/>
      <w:bookmarkEnd w:id="269"/>
      <w:bookmarkStart w:id="270" w:name="_Toc184312077"/>
      <w:bookmarkEnd w:id="270"/>
      <w:bookmarkStart w:id="271" w:name="_Toc184313250"/>
      <w:bookmarkEnd w:id="271"/>
      <w:bookmarkStart w:id="272" w:name="_Toc184314425"/>
      <w:bookmarkEnd w:id="272"/>
      <w:bookmarkStart w:id="273" w:name="_Toc184310286"/>
      <w:bookmarkEnd w:id="273"/>
      <w:bookmarkStart w:id="274" w:name="_Toc184310278"/>
      <w:bookmarkEnd w:id="274"/>
      <w:bookmarkStart w:id="275" w:name="_Toc184314457"/>
      <w:bookmarkEnd w:id="275"/>
      <w:bookmarkStart w:id="276" w:name="_Toc184313246"/>
      <w:bookmarkEnd w:id="276"/>
      <w:bookmarkStart w:id="277" w:name="_Toc184312117"/>
      <w:bookmarkEnd w:id="277"/>
      <w:bookmarkStart w:id="278" w:name="_Toc184312107"/>
      <w:bookmarkEnd w:id="278"/>
      <w:bookmarkStart w:id="279" w:name="_Toc184308053"/>
      <w:bookmarkEnd w:id="279"/>
      <w:bookmarkStart w:id="280" w:name="_Toc184312071"/>
      <w:bookmarkEnd w:id="280"/>
      <w:bookmarkStart w:id="281" w:name="_Toc184314474"/>
      <w:bookmarkEnd w:id="281"/>
      <w:bookmarkStart w:id="282" w:name="_Toc184308091"/>
      <w:bookmarkEnd w:id="282"/>
      <w:bookmarkStart w:id="283" w:name="_Toc184310309"/>
      <w:bookmarkEnd w:id="283"/>
      <w:bookmarkStart w:id="284" w:name="_Toc184313302"/>
      <w:bookmarkEnd w:id="284"/>
      <w:bookmarkStart w:id="285" w:name="_Toc184312114"/>
      <w:bookmarkEnd w:id="285"/>
      <w:bookmarkStart w:id="286" w:name="_Toc184313243"/>
      <w:bookmarkEnd w:id="286"/>
      <w:bookmarkStart w:id="287" w:name="_Toc184314479"/>
      <w:bookmarkEnd w:id="287"/>
      <w:bookmarkStart w:id="288" w:name="_Toc184310290"/>
      <w:bookmarkEnd w:id="288"/>
      <w:bookmarkStart w:id="289" w:name="_Toc184310295"/>
      <w:bookmarkEnd w:id="289"/>
      <w:bookmarkStart w:id="290" w:name="_Toc184312110"/>
      <w:bookmarkEnd w:id="290"/>
      <w:bookmarkStart w:id="291" w:name="_Toc184308099"/>
      <w:bookmarkEnd w:id="291"/>
      <w:bookmarkStart w:id="292" w:name="_Toc184313301"/>
      <w:bookmarkEnd w:id="292"/>
      <w:bookmarkStart w:id="293" w:name="_Toc184310333"/>
      <w:bookmarkEnd w:id="293"/>
      <w:bookmarkStart w:id="294" w:name="_Toc184310320"/>
      <w:bookmarkEnd w:id="294"/>
      <w:bookmarkStart w:id="295" w:name="_Toc184314463"/>
      <w:bookmarkEnd w:id="295"/>
      <w:bookmarkStart w:id="296" w:name="_Toc184310282"/>
      <w:bookmarkEnd w:id="296"/>
      <w:bookmarkStart w:id="297" w:name="_Toc184313299"/>
      <w:bookmarkEnd w:id="297"/>
      <w:bookmarkStart w:id="298" w:name="_Toc184314477"/>
      <w:bookmarkEnd w:id="298"/>
      <w:bookmarkStart w:id="299" w:name="_Toc184314438"/>
      <w:bookmarkEnd w:id="299"/>
      <w:bookmarkStart w:id="300" w:name="_Toc184314447"/>
      <w:bookmarkEnd w:id="300"/>
      <w:bookmarkStart w:id="301" w:name="_Toc184312078"/>
      <w:bookmarkEnd w:id="301"/>
      <w:bookmarkStart w:id="302" w:name="_Toc184308042"/>
      <w:bookmarkEnd w:id="302"/>
      <w:bookmarkStart w:id="303" w:name="_Toc184314472"/>
      <w:bookmarkEnd w:id="303"/>
      <w:bookmarkStart w:id="304" w:name="_Toc184310287"/>
      <w:bookmarkEnd w:id="304"/>
      <w:bookmarkStart w:id="305" w:name="_Toc184312130"/>
      <w:bookmarkEnd w:id="305"/>
      <w:bookmarkStart w:id="306" w:name="_Toc184313272"/>
      <w:bookmarkEnd w:id="306"/>
      <w:bookmarkStart w:id="307" w:name="_Toc184310303"/>
      <w:bookmarkEnd w:id="307"/>
      <w:bookmarkStart w:id="308" w:name="_Toc184308046"/>
      <w:bookmarkEnd w:id="308"/>
      <w:bookmarkStart w:id="309" w:name="_Toc184310334"/>
      <w:bookmarkEnd w:id="309"/>
      <w:bookmarkStart w:id="310" w:name="_Toc184314426"/>
      <w:bookmarkEnd w:id="310"/>
      <w:bookmarkStart w:id="311" w:name="_Toc184314467"/>
      <w:bookmarkEnd w:id="311"/>
      <w:bookmarkStart w:id="312" w:name="_Toc184310342"/>
      <w:bookmarkEnd w:id="312"/>
      <w:bookmarkStart w:id="313" w:name="_Toc184312127"/>
      <w:bookmarkEnd w:id="313"/>
      <w:bookmarkStart w:id="314" w:name="_Toc184313265"/>
      <w:bookmarkEnd w:id="314"/>
      <w:bookmarkStart w:id="315" w:name="_Toc184310274"/>
      <w:bookmarkEnd w:id="315"/>
      <w:bookmarkStart w:id="316" w:name="_Toc184310273"/>
      <w:bookmarkEnd w:id="316"/>
      <w:bookmarkStart w:id="317" w:name="_Toc184312119"/>
      <w:bookmarkEnd w:id="317"/>
      <w:bookmarkStart w:id="318" w:name="_Toc184308036"/>
      <w:bookmarkEnd w:id="318"/>
      <w:bookmarkStart w:id="319" w:name="_Toc184308039"/>
      <w:bookmarkEnd w:id="319"/>
      <w:bookmarkStart w:id="320" w:name="_Toc184314480"/>
      <w:bookmarkEnd w:id="320"/>
      <w:bookmarkStart w:id="321" w:name="_Toc184313282"/>
      <w:bookmarkEnd w:id="321"/>
      <w:bookmarkStart w:id="322" w:name="_Toc184308055"/>
      <w:bookmarkEnd w:id="322"/>
      <w:bookmarkStart w:id="323" w:name="_Toc184314433"/>
      <w:bookmarkEnd w:id="323"/>
      <w:bookmarkStart w:id="324" w:name="_Toc184310339"/>
      <w:bookmarkEnd w:id="324"/>
      <w:bookmarkStart w:id="325" w:name="_Toc184313252"/>
      <w:bookmarkEnd w:id="325"/>
      <w:bookmarkStart w:id="326" w:name="_Toc184308041"/>
      <w:bookmarkEnd w:id="326"/>
      <w:bookmarkStart w:id="327" w:name="_Toc184312081"/>
      <w:bookmarkEnd w:id="327"/>
      <w:bookmarkStart w:id="328" w:name="_Toc184308062"/>
      <w:bookmarkEnd w:id="328"/>
      <w:bookmarkStart w:id="329" w:name="_Toc184312082"/>
      <w:bookmarkEnd w:id="329"/>
      <w:bookmarkStart w:id="330" w:name="_Toc184308050"/>
      <w:bookmarkEnd w:id="330"/>
      <w:bookmarkStart w:id="331" w:name="_Toc184308105"/>
      <w:bookmarkEnd w:id="331"/>
      <w:bookmarkStart w:id="332" w:name="_Toc184312089"/>
      <w:bookmarkEnd w:id="332"/>
      <w:bookmarkStart w:id="333" w:name="_Toc184308104"/>
      <w:bookmarkEnd w:id="333"/>
      <w:bookmarkStart w:id="334" w:name="_Toc184314476"/>
      <w:bookmarkEnd w:id="334"/>
      <w:bookmarkStart w:id="335" w:name="_Toc184308078"/>
      <w:bookmarkEnd w:id="335"/>
      <w:bookmarkStart w:id="336" w:name="_Toc184312125"/>
      <w:bookmarkEnd w:id="336"/>
      <w:bookmarkStart w:id="337" w:name="_Toc184313261"/>
      <w:bookmarkEnd w:id="337"/>
      <w:bookmarkStart w:id="338" w:name="_Toc184314434"/>
      <w:bookmarkEnd w:id="338"/>
      <w:bookmarkStart w:id="339" w:name="_Toc184312075"/>
      <w:bookmarkEnd w:id="339"/>
      <w:bookmarkStart w:id="340" w:name="_Toc184314416"/>
      <w:bookmarkEnd w:id="340"/>
      <w:bookmarkStart w:id="341" w:name="_Toc184314418"/>
      <w:bookmarkEnd w:id="341"/>
      <w:bookmarkStart w:id="342" w:name="_Toc184313273"/>
      <w:bookmarkEnd w:id="342"/>
      <w:bookmarkStart w:id="343" w:name="_Toc184313245"/>
      <w:bookmarkEnd w:id="343"/>
      <w:bookmarkStart w:id="344" w:name="_Toc184313270"/>
      <w:bookmarkEnd w:id="344"/>
      <w:bookmarkStart w:id="345" w:name="_Toc184308094"/>
      <w:bookmarkEnd w:id="345"/>
      <w:bookmarkStart w:id="346" w:name="_Toc184308084"/>
      <w:bookmarkEnd w:id="346"/>
      <w:bookmarkStart w:id="347" w:name="_Toc184314460"/>
      <w:bookmarkEnd w:id="347"/>
      <w:bookmarkStart w:id="348" w:name="_Toc184314451"/>
      <w:bookmarkEnd w:id="348"/>
      <w:bookmarkStart w:id="349" w:name="_Toc184308076"/>
      <w:bookmarkEnd w:id="349"/>
      <w:bookmarkStart w:id="350" w:name="_Toc184314445"/>
      <w:bookmarkEnd w:id="350"/>
      <w:bookmarkStart w:id="351" w:name="_Toc184312102"/>
      <w:bookmarkEnd w:id="351"/>
      <w:bookmarkStart w:id="352" w:name="_Toc184313280"/>
      <w:bookmarkEnd w:id="352"/>
      <w:bookmarkStart w:id="353" w:name="_Toc184308089"/>
      <w:bookmarkEnd w:id="353"/>
      <w:bookmarkStart w:id="354" w:name="_Toc184314419"/>
      <w:bookmarkEnd w:id="354"/>
      <w:bookmarkStart w:id="355" w:name="_Toc184314442"/>
      <w:bookmarkEnd w:id="355"/>
      <w:bookmarkStart w:id="356" w:name="_Toc184312074"/>
      <w:bookmarkEnd w:id="356"/>
      <w:bookmarkStart w:id="357" w:name="_Toc184308079"/>
      <w:bookmarkEnd w:id="357"/>
      <w:bookmarkStart w:id="358" w:name="_Toc184310335"/>
      <w:bookmarkEnd w:id="358"/>
      <w:bookmarkStart w:id="359" w:name="_Toc184308059"/>
      <w:bookmarkEnd w:id="359"/>
      <w:bookmarkStart w:id="360" w:name="_Toc184312067"/>
      <w:bookmarkEnd w:id="360"/>
      <w:bookmarkStart w:id="361" w:name="_Toc184308063"/>
      <w:bookmarkEnd w:id="361"/>
      <w:bookmarkStart w:id="362" w:name="_Toc184314411"/>
      <w:bookmarkEnd w:id="362"/>
      <w:bookmarkStart w:id="363" w:name="_Toc184308083"/>
      <w:bookmarkEnd w:id="363"/>
      <w:bookmarkStart w:id="364" w:name="_Toc184312093"/>
      <w:bookmarkEnd w:id="364"/>
      <w:bookmarkStart w:id="365" w:name="_Toc184313254"/>
      <w:bookmarkEnd w:id="365"/>
      <w:bookmarkStart w:id="366" w:name="_Toc184310312"/>
      <w:bookmarkEnd w:id="366"/>
      <w:bookmarkStart w:id="367" w:name="_Toc184314453"/>
      <w:bookmarkEnd w:id="367"/>
      <w:bookmarkStart w:id="368" w:name="_Toc184314461"/>
      <w:bookmarkEnd w:id="368"/>
      <w:bookmarkStart w:id="369" w:name="_Toc184308074"/>
      <w:bookmarkEnd w:id="369"/>
      <w:bookmarkStart w:id="370" w:name="_Toc184310296"/>
      <w:bookmarkEnd w:id="370"/>
      <w:bookmarkStart w:id="371" w:name="_Toc184312096"/>
      <w:bookmarkEnd w:id="371"/>
      <w:bookmarkStart w:id="372" w:name="_Toc184308086"/>
      <w:bookmarkEnd w:id="372"/>
      <w:bookmarkStart w:id="373" w:name="_Toc184313288"/>
      <w:bookmarkEnd w:id="373"/>
      <w:bookmarkStart w:id="374" w:name="_Toc184314441"/>
      <w:bookmarkEnd w:id="374"/>
      <w:bookmarkStart w:id="375" w:name="_Toc184310325"/>
      <w:bookmarkEnd w:id="375"/>
      <w:bookmarkStart w:id="376" w:name="_Toc184312129"/>
      <w:bookmarkEnd w:id="376"/>
      <w:bookmarkStart w:id="377" w:name="_Toc184308071"/>
      <w:bookmarkEnd w:id="377"/>
      <w:bookmarkStart w:id="378" w:name="_Toc184310301"/>
      <w:bookmarkEnd w:id="378"/>
      <w:bookmarkStart w:id="379" w:name="_Toc184310324"/>
      <w:bookmarkEnd w:id="379"/>
      <w:bookmarkStart w:id="380" w:name="_Toc184310319"/>
      <w:bookmarkEnd w:id="380"/>
      <w:bookmarkStart w:id="381" w:name="_Toc184312068"/>
      <w:bookmarkEnd w:id="381"/>
      <w:bookmarkStart w:id="382" w:name="_Toc184308044"/>
      <w:bookmarkEnd w:id="382"/>
      <w:bookmarkStart w:id="383" w:name="_Toc184310292"/>
      <w:bookmarkEnd w:id="383"/>
      <w:bookmarkStart w:id="384" w:name="_Toc184312080"/>
      <w:bookmarkEnd w:id="384"/>
      <w:bookmarkStart w:id="385" w:name="_Toc184310302"/>
      <w:bookmarkEnd w:id="385"/>
      <w:bookmarkStart w:id="386" w:name="_Toc184308048"/>
      <w:bookmarkEnd w:id="386"/>
      <w:bookmarkStart w:id="387" w:name="_Toc184313310"/>
      <w:bookmarkEnd w:id="387"/>
      <w:bookmarkStart w:id="388" w:name="_Toc184313267"/>
      <w:bookmarkEnd w:id="388"/>
      <w:bookmarkStart w:id="389" w:name="_Toc184314431"/>
      <w:bookmarkEnd w:id="389"/>
      <w:bookmarkStart w:id="390" w:name="_Toc184308101"/>
      <w:bookmarkEnd w:id="390"/>
      <w:bookmarkStart w:id="391" w:name="_Toc184313291"/>
      <w:bookmarkEnd w:id="391"/>
      <w:bookmarkStart w:id="392" w:name="_Toc184313266"/>
      <w:bookmarkEnd w:id="392"/>
      <w:bookmarkStart w:id="393" w:name="_Toc184308057"/>
      <w:bookmarkEnd w:id="393"/>
      <w:bookmarkStart w:id="394" w:name="_Toc184310322"/>
      <w:bookmarkEnd w:id="394"/>
      <w:bookmarkStart w:id="395" w:name="_Toc184308067"/>
      <w:bookmarkEnd w:id="395"/>
      <w:bookmarkStart w:id="396" w:name="_Toc184312109"/>
      <w:bookmarkEnd w:id="396"/>
      <w:r>
        <w:rPr>
          <w:rFonts w:hint="eastAsia" w:hAnsi="宋体" w:cs="宋体"/>
          <w:b/>
          <w:snapToGrid/>
          <w:color w:val="auto"/>
          <w:sz w:val="36"/>
          <w:szCs w:val="20"/>
          <w:highlight w:val="none"/>
        </w:rPr>
        <w:t xml:space="preserve"> 评审办法</w:t>
      </w:r>
    </w:p>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评审办法前附表</w:t>
      </w:r>
    </w:p>
    <w:tbl>
      <w:tblPr>
        <w:tblStyle w:val="62"/>
        <w:tblpPr w:leftFromText="180" w:rightFromText="180" w:vertAnchor="text" w:horzAnchor="page" w:tblpX="1031" w:tblpY="126"/>
        <w:tblW w:w="9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122"/>
        <w:gridCol w:w="15"/>
        <w:gridCol w:w="4622"/>
        <w:gridCol w:w="1211"/>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890" w:type="dxa"/>
            <w:vAlign w:val="center"/>
          </w:tcPr>
          <w:p>
            <w:pPr>
              <w:shd w:val="clear"/>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5759" w:type="dxa"/>
            <w:gridSpan w:val="3"/>
            <w:vAlign w:val="center"/>
          </w:tcPr>
          <w:p>
            <w:pPr>
              <w:shd w:val="clear"/>
              <w:spacing w:line="360" w:lineRule="auto"/>
              <w:ind w:firstLine="1560" w:firstLineChars="650"/>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评标标准</w:t>
            </w:r>
          </w:p>
        </w:tc>
        <w:tc>
          <w:tcPr>
            <w:tcW w:w="1211" w:type="dxa"/>
            <w:vAlign w:val="center"/>
          </w:tcPr>
          <w:p>
            <w:pPr>
              <w:shd w:val="clea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权重</w:t>
            </w:r>
          </w:p>
        </w:tc>
        <w:tc>
          <w:tcPr>
            <w:tcW w:w="2122" w:type="dxa"/>
            <w:vAlign w:val="center"/>
          </w:tcPr>
          <w:p>
            <w:pPr>
              <w:shd w:val="clear"/>
              <w:spacing w:line="24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r>
              <w:rPr>
                <w:rFonts w:hint="eastAsia" w:ascii="宋体" w:hAnsi="宋体" w:eastAsia="宋体" w:cs="宋体"/>
                <w:color w:val="auto"/>
                <w:sz w:val="24"/>
                <w:szCs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890" w:type="dxa"/>
            <w:vAlign w:val="center"/>
          </w:tcPr>
          <w:p>
            <w:pPr>
              <w:shd w:val="clea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759" w:type="dxa"/>
            <w:gridSpan w:val="3"/>
            <w:vAlign w:val="center"/>
          </w:tcPr>
          <w:p>
            <w:pPr>
              <w:shd w:val="clea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投标人自20</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lang w:val="en-US" w:eastAsia="zh-CN"/>
              </w:rPr>
              <w:t>年1月1日以来（以合同签订时间为准）具有类似工程业绩的，每个得0.5分，本项最高得1分。（说明：须提供合同复印件加盖公章为证明材料，未提供不得分）</w:t>
            </w:r>
          </w:p>
        </w:tc>
        <w:tc>
          <w:tcPr>
            <w:tcW w:w="1211" w:type="dxa"/>
            <w:vAlign w:val="center"/>
          </w:tcPr>
          <w:p>
            <w:pPr>
              <w:shd w:val="clea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p>
            <w:pPr>
              <w:shd w:val="clea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2"/>
                <w:szCs w:val="22"/>
                <w:highlight w:val="none"/>
                <w:lang w:val="en-US" w:eastAsia="zh-CN"/>
              </w:rPr>
              <w:t>（客观分）</w:t>
            </w:r>
          </w:p>
        </w:tc>
        <w:tc>
          <w:tcPr>
            <w:tcW w:w="2122" w:type="dxa"/>
            <w:vAlign w:val="center"/>
          </w:tcPr>
          <w:p>
            <w:pPr>
              <w:shd w:val="clea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890" w:type="dxa"/>
            <w:vAlign w:val="center"/>
          </w:tcPr>
          <w:p>
            <w:pPr>
              <w:keepNext w:val="0"/>
              <w:keepLines w:val="0"/>
              <w:pageBreakBefore w:val="0"/>
              <w:widowControl w:val="0"/>
              <w:shd w:val="clear"/>
              <w:kinsoku/>
              <w:wordWrap/>
              <w:overflowPunct/>
              <w:topLinePunct w:val="0"/>
              <w:autoSpaceDE/>
              <w:autoSpaceDN/>
              <w:bidi w:val="0"/>
              <w:adjustRightInd w:val="0"/>
              <w:spacing w:beforeAutospacing="0" w:afterAutospacing="0" w:line="240" w:lineRule="auto"/>
              <w:ind w:left="0" w:leftChars="0" w:right="0" w:rightChars="0" w:firstLine="0" w:firstLineChars="0"/>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5759" w:type="dxa"/>
            <w:gridSpan w:val="3"/>
            <w:vAlign w:val="center"/>
          </w:tcPr>
          <w:p>
            <w:pPr>
              <w:keepNext w:val="0"/>
              <w:keepLines w:val="0"/>
              <w:pageBreakBefore w:val="0"/>
              <w:widowControl w:val="0"/>
              <w:shd w:val="clear" w:color="auto" w:fill="auto"/>
              <w:kinsoku/>
              <w:wordWrap/>
              <w:overflowPunct/>
              <w:topLinePunct w:val="0"/>
              <w:autoSpaceDE/>
              <w:autoSpaceDN/>
              <w:bidi w:val="0"/>
              <w:adjustRightInd w:val="0"/>
              <w:spacing w:beforeAutospacing="0" w:afterAutospacing="0" w:line="240" w:lineRule="auto"/>
              <w:ind w:left="0" w:leftChars="0" w:right="0" w:rightChars="0" w:firstLine="0" w:firstLineChars="0"/>
              <w:jc w:val="left"/>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质量管理体系认证、职业健康安全管理体系认证、环境管理体系认证且在有效期内的得每个得1分。本项最高得3分。（有效证明材料为认证证书复印件及在全国认证认可信息公共服务平台（http://cx.cnca.cn/）查询的截图，两者缺一不可，否则不得分，复印件加盖公章）注：以上证书须由评审小组现场通过中国国家认证认可监督管理委员会备案通过的认证机构颁发且在全国认证认可信息公共服务平台（www.cnca.gov.cn）的网页查询。</w:t>
            </w:r>
          </w:p>
        </w:tc>
        <w:tc>
          <w:tcPr>
            <w:tcW w:w="1211" w:type="dxa"/>
            <w:vAlign w:val="center"/>
          </w:tcPr>
          <w:p>
            <w:pPr>
              <w:shd w:val="clea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p>
            <w:pPr>
              <w:keepNext w:val="0"/>
              <w:keepLines w:val="0"/>
              <w:pageBreakBefore w:val="0"/>
              <w:widowControl w:val="0"/>
              <w:shd w:val="clear"/>
              <w:kinsoku/>
              <w:wordWrap/>
              <w:overflowPunct/>
              <w:topLinePunct w:val="0"/>
              <w:autoSpaceDE/>
              <w:autoSpaceDN/>
              <w:bidi w:val="0"/>
              <w:adjustRightInd w:val="0"/>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2"/>
                <w:szCs w:val="22"/>
                <w:highlight w:val="none"/>
                <w:lang w:val="en-US" w:eastAsia="zh-CN"/>
              </w:rPr>
              <w:t>（客观分）</w:t>
            </w:r>
          </w:p>
        </w:tc>
        <w:tc>
          <w:tcPr>
            <w:tcW w:w="2122" w:type="dxa"/>
            <w:vAlign w:val="center"/>
          </w:tcPr>
          <w:p>
            <w:pPr>
              <w:keepNext w:val="0"/>
              <w:keepLines w:val="0"/>
              <w:pageBreakBefore w:val="0"/>
              <w:widowControl w:val="0"/>
              <w:shd w:val="clear"/>
              <w:kinsoku/>
              <w:wordWrap/>
              <w:overflowPunct/>
              <w:topLinePunct w:val="0"/>
              <w:autoSpaceDE/>
              <w:autoSpaceDN/>
              <w:bidi w:val="0"/>
              <w:adjustRightInd w:val="0"/>
              <w:spacing w:beforeAutospacing="0" w:afterAutospacing="0" w:line="240" w:lineRule="auto"/>
              <w:ind w:left="0" w:leftChars="0" w:right="0" w:rightChars="0" w:firstLine="0" w:firstLineChars="0"/>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体系证书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90" w:type="dxa"/>
            <w:vAlign w:val="center"/>
          </w:tcPr>
          <w:p>
            <w:pPr>
              <w:keepNext w:val="0"/>
              <w:keepLines w:val="0"/>
              <w:pageBreakBefore w:val="0"/>
              <w:widowControl w:val="0"/>
              <w:shd w:val="clear"/>
              <w:kinsoku/>
              <w:wordWrap/>
              <w:overflowPunct/>
              <w:topLinePunct w:val="0"/>
              <w:autoSpaceDE/>
              <w:autoSpaceDN/>
              <w:bidi w:val="0"/>
              <w:adjustRightInd w:val="0"/>
              <w:spacing w:beforeAutospacing="0" w:afterAutospacing="0" w:line="240" w:lineRule="auto"/>
              <w:ind w:left="0" w:leftChars="0" w:right="0" w:rightChars="0" w:firstLine="0" w:firstLineChars="0"/>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5759" w:type="dxa"/>
            <w:gridSpan w:val="3"/>
            <w:vAlign w:val="center"/>
          </w:tcPr>
          <w:p>
            <w:pPr>
              <w:keepNext w:val="0"/>
              <w:keepLines w:val="0"/>
              <w:pageBreakBefore w:val="0"/>
              <w:widowControl w:val="0"/>
              <w:shd w:val="clear" w:color="auto" w:fill="auto"/>
              <w:kinsoku/>
              <w:wordWrap/>
              <w:overflowPunct/>
              <w:topLinePunct w:val="0"/>
              <w:autoSpaceDE/>
              <w:autoSpaceDN/>
              <w:bidi w:val="0"/>
              <w:adjustRightInd w:val="0"/>
              <w:spacing w:beforeAutospacing="0" w:afterAutospacing="0" w:line="240" w:lineRule="auto"/>
              <w:ind w:left="0" w:leftChars="0" w:right="0" w:rightChars="0" w:firstLine="0" w:firstLineChars="0"/>
              <w:jc w:val="left"/>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拟派项目负责人</w:t>
            </w:r>
            <w:r>
              <w:rPr>
                <w:rFonts w:hint="eastAsia" w:ascii="宋体" w:hAnsi="宋体" w:eastAsia="宋体" w:cs="宋体"/>
                <w:color w:val="auto"/>
                <w:sz w:val="24"/>
                <w:szCs w:val="24"/>
                <w:highlight w:val="none"/>
              </w:rPr>
              <w:t>具备中级工程师职称的，得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分；高级工程师职称的，得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分；中级工程师以下职称的，不得分</w:t>
            </w:r>
            <w:r>
              <w:rPr>
                <w:rFonts w:hint="eastAsia" w:ascii="宋体" w:hAnsi="宋体" w:eastAsia="宋体" w:cs="宋体"/>
                <w:color w:val="auto"/>
                <w:sz w:val="24"/>
                <w:szCs w:val="24"/>
                <w:highlight w:val="none"/>
                <w:lang w:val="en-US" w:eastAsia="zh-CN"/>
              </w:rPr>
              <w:t>。（证书需在有效期内）【提供相关证书复印件及近三个月社保证明，未提供的不得分】</w:t>
            </w:r>
          </w:p>
        </w:tc>
        <w:tc>
          <w:tcPr>
            <w:tcW w:w="1211" w:type="dxa"/>
            <w:vAlign w:val="center"/>
          </w:tcPr>
          <w:p>
            <w:pPr>
              <w:shd w:val="clea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p>
            <w:pPr>
              <w:keepNext w:val="0"/>
              <w:keepLines w:val="0"/>
              <w:pageBreakBefore w:val="0"/>
              <w:widowControl w:val="0"/>
              <w:shd w:val="clear"/>
              <w:kinsoku/>
              <w:wordWrap/>
              <w:overflowPunct/>
              <w:topLinePunct w:val="0"/>
              <w:autoSpaceDE/>
              <w:autoSpaceDN/>
              <w:bidi w:val="0"/>
              <w:adjustRightInd w:val="0"/>
              <w:spacing w:beforeAutospacing="0" w:afterAutospacing="0" w:line="240" w:lineRule="auto"/>
              <w:ind w:left="0" w:leftChars="0" w:right="0" w:righ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2"/>
                <w:szCs w:val="22"/>
                <w:highlight w:val="none"/>
                <w:lang w:val="en-US" w:eastAsia="zh-CN"/>
              </w:rPr>
              <w:t>（客观分）</w:t>
            </w:r>
          </w:p>
        </w:tc>
        <w:tc>
          <w:tcPr>
            <w:tcW w:w="2122" w:type="dxa"/>
            <w:vMerge w:val="restart"/>
            <w:vAlign w:val="center"/>
          </w:tcPr>
          <w:p>
            <w:pPr>
              <w:keepNext w:val="0"/>
              <w:keepLines w:val="0"/>
              <w:pageBreakBefore w:val="0"/>
              <w:widowControl w:val="0"/>
              <w:shd w:val="clear"/>
              <w:kinsoku/>
              <w:wordWrap/>
              <w:overflowPunct/>
              <w:topLinePunct w:val="0"/>
              <w:autoSpaceDE/>
              <w:autoSpaceDN/>
              <w:bidi w:val="0"/>
              <w:adjustRightInd w:val="0"/>
              <w:spacing w:beforeAutospacing="0" w:afterAutospacing="0" w:line="240" w:lineRule="auto"/>
              <w:ind w:left="0" w:leftChars="0" w:right="0" w:rightChars="0" w:firstLine="0" w:firstLineChars="0"/>
              <w:jc w:val="center"/>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cs="宋体"/>
                <w:kern w:val="0"/>
                <w:szCs w:val="21"/>
                <w:lang w:bidi="ar"/>
              </w:rPr>
              <w:t>项目组人员配置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90" w:type="dxa"/>
            <w:vAlign w:val="center"/>
          </w:tcPr>
          <w:p>
            <w:pPr>
              <w:keepNext w:val="0"/>
              <w:keepLines w:val="0"/>
              <w:pageBreakBefore w:val="0"/>
              <w:widowControl w:val="0"/>
              <w:shd w:val="clear"/>
              <w:kinsoku/>
              <w:wordWrap/>
              <w:overflowPunct/>
              <w:topLinePunct w:val="0"/>
              <w:autoSpaceDE/>
              <w:autoSpaceDN/>
              <w:bidi w:val="0"/>
              <w:adjustRightInd w:val="0"/>
              <w:spacing w:beforeAutospacing="0" w:afterAutospacing="0" w:line="240" w:lineRule="auto"/>
              <w:ind w:left="0" w:leftChars="0" w:right="0" w:rightChars="0" w:firstLine="0" w:firstLineChars="0"/>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5759" w:type="dxa"/>
            <w:gridSpan w:val="3"/>
            <w:vAlign w:val="center"/>
          </w:tcPr>
          <w:p>
            <w:pPr>
              <w:keepNext w:val="0"/>
              <w:keepLines w:val="0"/>
              <w:pageBreakBefore w:val="0"/>
              <w:widowControl w:val="0"/>
              <w:shd w:val="clear" w:color="auto" w:fill="auto"/>
              <w:kinsoku/>
              <w:wordWrap/>
              <w:overflowPunct/>
              <w:topLinePunct w:val="0"/>
              <w:autoSpaceDE/>
              <w:autoSpaceDN/>
              <w:bidi w:val="0"/>
              <w:adjustRightInd w:val="0"/>
              <w:spacing w:beforeAutospacing="0" w:afterAutospacing="0" w:line="240" w:lineRule="auto"/>
              <w:ind w:left="0" w:leftChars="0" w:right="0" w:rightChars="0" w:firstLine="0" w:firstLineChars="0"/>
              <w:jc w:val="left"/>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拟派技术负责人具备中级及以上工程师职称的得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分，其余不得分。（证书需在有效期内）【提供相关证书复印件及近三个月社保证明，未提供的不得分】</w:t>
            </w:r>
          </w:p>
        </w:tc>
        <w:tc>
          <w:tcPr>
            <w:tcW w:w="1211" w:type="dxa"/>
            <w:vAlign w:val="center"/>
          </w:tcPr>
          <w:p>
            <w:pPr>
              <w:shd w:val="clea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p>
            <w:pPr>
              <w:keepNext w:val="0"/>
              <w:keepLines w:val="0"/>
              <w:pageBreakBefore w:val="0"/>
              <w:widowControl w:val="0"/>
              <w:shd w:val="clear"/>
              <w:kinsoku/>
              <w:wordWrap/>
              <w:overflowPunct/>
              <w:topLinePunct w:val="0"/>
              <w:autoSpaceDE/>
              <w:autoSpaceDN/>
              <w:bidi w:val="0"/>
              <w:adjustRightInd w:val="0"/>
              <w:spacing w:beforeAutospacing="0" w:afterAutospacing="0" w:line="240" w:lineRule="auto"/>
              <w:ind w:left="0" w:leftChars="0" w:right="0" w:righ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2"/>
                <w:szCs w:val="22"/>
                <w:highlight w:val="none"/>
                <w:lang w:val="en-US" w:eastAsia="zh-CN"/>
              </w:rPr>
              <w:t>（客观分）</w:t>
            </w:r>
          </w:p>
        </w:tc>
        <w:tc>
          <w:tcPr>
            <w:tcW w:w="2122" w:type="dxa"/>
            <w:vMerge w:val="continue"/>
            <w:vAlign w:val="center"/>
          </w:tcPr>
          <w:p>
            <w:pPr>
              <w:keepNext w:val="0"/>
              <w:keepLines w:val="0"/>
              <w:pageBreakBefore w:val="0"/>
              <w:widowControl w:val="0"/>
              <w:shd w:val="clear"/>
              <w:kinsoku/>
              <w:wordWrap/>
              <w:overflowPunct/>
              <w:topLinePunct w:val="0"/>
              <w:autoSpaceDE/>
              <w:autoSpaceDN/>
              <w:bidi w:val="0"/>
              <w:adjustRightInd w:val="0"/>
              <w:spacing w:beforeAutospacing="0" w:afterAutospacing="0" w:line="240" w:lineRule="auto"/>
              <w:ind w:left="0" w:leftChars="0" w:right="0" w:rightChars="0" w:firstLine="0" w:firstLineChars="0"/>
              <w:jc w:val="center"/>
              <w:textAlignment w:val="auto"/>
              <w:outlineLvl w:val="0"/>
              <w:rPr>
                <w:rFonts w:hint="eastAsia" w:ascii="宋体" w:hAnsi="宋体" w:eastAsia="宋体" w:cs="宋体"/>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890" w:type="dxa"/>
            <w:vAlign w:val="center"/>
          </w:tcPr>
          <w:p>
            <w:pPr>
              <w:keepNext w:val="0"/>
              <w:keepLines w:val="0"/>
              <w:pageBreakBefore w:val="0"/>
              <w:widowControl w:val="0"/>
              <w:shd w:val="clear"/>
              <w:kinsoku/>
              <w:wordWrap/>
              <w:overflowPunct/>
              <w:topLinePunct w:val="0"/>
              <w:autoSpaceDE/>
              <w:autoSpaceDN/>
              <w:bidi w:val="0"/>
              <w:adjustRightInd w:val="0"/>
              <w:spacing w:beforeAutospacing="0" w:afterAutospacing="0" w:line="240" w:lineRule="auto"/>
              <w:ind w:left="0" w:leftChars="0" w:right="0" w:rightChars="0" w:firstLine="0" w:firstLineChars="0"/>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5759" w:type="dxa"/>
            <w:gridSpan w:val="3"/>
            <w:vAlign w:val="center"/>
          </w:tcPr>
          <w:p>
            <w:pPr>
              <w:keepNext w:val="0"/>
              <w:keepLines w:val="0"/>
              <w:pageBreakBefore w:val="0"/>
              <w:widowControl w:val="0"/>
              <w:shd w:val="clear" w:color="auto" w:fill="auto"/>
              <w:kinsoku/>
              <w:wordWrap/>
              <w:overflowPunct/>
              <w:topLinePunct w:val="0"/>
              <w:autoSpaceDE/>
              <w:autoSpaceDN/>
              <w:bidi w:val="0"/>
              <w:adjustRightInd w:val="0"/>
              <w:spacing w:beforeAutospacing="0" w:afterAutospacing="0" w:line="240" w:lineRule="auto"/>
              <w:ind w:left="0" w:leftChars="0" w:right="0" w:rightChars="0" w:firstLine="0" w:firstLineChars="0"/>
              <w:jc w:val="left"/>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拟派其他管理人员</w:t>
            </w:r>
            <w:r>
              <w:rPr>
                <w:rFonts w:hint="eastAsia" w:ascii="宋体" w:hAnsi="宋体" w:cs="宋体"/>
                <w:color w:val="auto"/>
                <w:sz w:val="24"/>
                <w:szCs w:val="24"/>
                <w:highlight w:val="none"/>
                <w:lang w:val="en-US" w:eastAsia="zh-CN"/>
              </w:rPr>
              <w:t>(除项目负责人、技术负责人外)</w:t>
            </w:r>
            <w:r>
              <w:rPr>
                <w:rFonts w:hint="eastAsia" w:ascii="宋体" w:hAnsi="宋体" w:eastAsia="宋体" w:cs="宋体"/>
                <w:color w:val="auto"/>
                <w:sz w:val="24"/>
                <w:szCs w:val="24"/>
                <w:highlight w:val="none"/>
                <w:lang w:val="en-US" w:eastAsia="zh-CN"/>
              </w:rPr>
              <w:t>具有建筑类施工员或二级及以上注册建造师的每人得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分，最高得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分。（证书需在有效期内，若单人具备多种证书的只计取其中1项得分）【提供相关证书复印件及近三个月社保证明，未提供的不得分】</w:t>
            </w:r>
          </w:p>
        </w:tc>
        <w:tc>
          <w:tcPr>
            <w:tcW w:w="1211" w:type="dxa"/>
            <w:vAlign w:val="center"/>
          </w:tcPr>
          <w:p>
            <w:pPr>
              <w:shd w:val="clea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p>
            <w:pPr>
              <w:keepNext w:val="0"/>
              <w:keepLines w:val="0"/>
              <w:pageBreakBefore w:val="0"/>
              <w:widowControl w:val="0"/>
              <w:shd w:val="clear"/>
              <w:kinsoku/>
              <w:wordWrap/>
              <w:overflowPunct/>
              <w:topLinePunct w:val="0"/>
              <w:autoSpaceDE/>
              <w:autoSpaceDN/>
              <w:bidi w:val="0"/>
              <w:adjustRightInd w:val="0"/>
              <w:spacing w:beforeAutospacing="0" w:afterAutospacing="0" w:line="240" w:lineRule="auto"/>
              <w:ind w:left="0" w:leftChars="0" w:right="0" w:righ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2"/>
                <w:szCs w:val="22"/>
                <w:highlight w:val="none"/>
                <w:lang w:val="en-US" w:eastAsia="zh-CN"/>
              </w:rPr>
              <w:t>（客观分）</w:t>
            </w:r>
          </w:p>
        </w:tc>
        <w:tc>
          <w:tcPr>
            <w:tcW w:w="2122" w:type="dxa"/>
            <w:vMerge w:val="continue"/>
            <w:vAlign w:val="center"/>
          </w:tcPr>
          <w:p>
            <w:pPr>
              <w:keepNext w:val="0"/>
              <w:keepLines w:val="0"/>
              <w:pageBreakBefore w:val="0"/>
              <w:widowControl w:val="0"/>
              <w:shd w:val="clear"/>
              <w:kinsoku/>
              <w:wordWrap/>
              <w:overflowPunct/>
              <w:topLinePunct w:val="0"/>
              <w:autoSpaceDE/>
              <w:autoSpaceDN/>
              <w:bidi w:val="0"/>
              <w:adjustRightInd w:val="0"/>
              <w:spacing w:beforeAutospacing="0" w:afterAutospacing="0" w:line="240" w:lineRule="auto"/>
              <w:ind w:left="0" w:leftChars="0" w:right="0" w:rightChars="0" w:firstLine="0" w:firstLineChars="0"/>
              <w:jc w:val="center"/>
              <w:textAlignment w:val="auto"/>
              <w:outlineLvl w:val="0"/>
              <w:rPr>
                <w:rFonts w:hint="eastAsia" w:ascii="宋体" w:hAnsi="宋体" w:eastAsia="宋体" w:cs="宋体"/>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0" w:type="dxa"/>
            <w:vAlign w:val="center"/>
          </w:tcPr>
          <w:p>
            <w:pPr>
              <w:keepNext w:val="0"/>
              <w:keepLines w:val="0"/>
              <w:pageBreakBefore w:val="0"/>
              <w:widowControl w:val="0"/>
              <w:shd w:val="clear"/>
              <w:kinsoku/>
              <w:wordWrap/>
              <w:overflowPunct/>
              <w:topLinePunct w:val="0"/>
              <w:autoSpaceDE/>
              <w:autoSpaceDN/>
              <w:bidi w:val="0"/>
              <w:adjustRightInd w:val="0"/>
              <w:spacing w:beforeAutospacing="0" w:afterAutospacing="0" w:line="240" w:lineRule="auto"/>
              <w:ind w:left="0" w:leftChars="0" w:right="0" w:rightChars="0" w:firstLine="0" w:firstLineChars="0"/>
              <w:jc w:val="center"/>
              <w:textAlignment w:val="auto"/>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5759" w:type="dxa"/>
            <w:gridSpan w:val="3"/>
            <w:vAlign w:val="center"/>
          </w:tcPr>
          <w:p>
            <w:pPr>
              <w:keepNext w:val="0"/>
              <w:keepLines w:val="0"/>
              <w:pageBreakBefore w:val="0"/>
              <w:widowControl w:val="0"/>
              <w:shd w:val="clear" w:color="auto" w:fill="auto"/>
              <w:kinsoku/>
              <w:wordWrap/>
              <w:overflowPunct/>
              <w:topLinePunct w:val="0"/>
              <w:autoSpaceDE/>
              <w:autoSpaceDN/>
              <w:bidi w:val="0"/>
              <w:adjustRightInd w:val="0"/>
              <w:spacing w:beforeAutospacing="0" w:afterAutospacing="0" w:line="240" w:lineRule="auto"/>
              <w:ind w:left="0" w:leftChars="0" w:right="0" w:rightChars="0" w:firstLine="0" w:firstLineChars="0"/>
              <w:jc w:val="left"/>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拟派其他管理人员</w:t>
            </w:r>
            <w:r>
              <w:rPr>
                <w:rFonts w:hint="eastAsia" w:ascii="宋体" w:hAnsi="宋体" w:cs="宋体"/>
                <w:color w:val="auto"/>
                <w:sz w:val="24"/>
                <w:szCs w:val="24"/>
                <w:highlight w:val="none"/>
                <w:lang w:val="en-US" w:eastAsia="zh-CN"/>
              </w:rPr>
              <w:t>(除项目负责人、技术负责人外)</w:t>
            </w:r>
            <w:r>
              <w:rPr>
                <w:rFonts w:hint="eastAsia" w:ascii="宋体" w:hAnsi="宋体" w:eastAsia="宋体" w:cs="宋体"/>
                <w:color w:val="auto"/>
                <w:sz w:val="24"/>
                <w:szCs w:val="24"/>
                <w:highlight w:val="none"/>
                <w:lang w:val="en-US" w:eastAsia="zh-CN"/>
              </w:rPr>
              <w:t>具有质量员的每个得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分，最高得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分。（证书需在有效期内，若单人具备多种证书的只计取其中1项得分）【提供相关证书复印件及近三个月社保证明，未提供的不得分】</w:t>
            </w:r>
          </w:p>
        </w:tc>
        <w:tc>
          <w:tcPr>
            <w:tcW w:w="1211" w:type="dxa"/>
            <w:vAlign w:val="center"/>
          </w:tcPr>
          <w:p>
            <w:pPr>
              <w:shd w:val="clea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p>
            <w:pPr>
              <w:keepNext w:val="0"/>
              <w:keepLines w:val="0"/>
              <w:pageBreakBefore w:val="0"/>
              <w:widowControl w:val="0"/>
              <w:shd w:val="clear"/>
              <w:kinsoku/>
              <w:wordWrap/>
              <w:overflowPunct/>
              <w:topLinePunct w:val="0"/>
              <w:autoSpaceDE/>
              <w:autoSpaceDN/>
              <w:bidi w:val="0"/>
              <w:adjustRightInd w:val="0"/>
              <w:spacing w:beforeAutospacing="0" w:afterAutospacing="0" w:line="240" w:lineRule="auto"/>
              <w:ind w:left="0" w:leftChars="0" w:right="0" w:righ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2"/>
                <w:szCs w:val="22"/>
                <w:highlight w:val="none"/>
                <w:lang w:val="en-US" w:eastAsia="zh-CN"/>
              </w:rPr>
              <w:t>（客观分）</w:t>
            </w:r>
          </w:p>
        </w:tc>
        <w:tc>
          <w:tcPr>
            <w:tcW w:w="2122" w:type="dxa"/>
            <w:vMerge w:val="continue"/>
            <w:vAlign w:val="center"/>
          </w:tcPr>
          <w:p>
            <w:pPr>
              <w:keepNext w:val="0"/>
              <w:keepLines w:val="0"/>
              <w:pageBreakBefore w:val="0"/>
              <w:widowControl w:val="0"/>
              <w:shd w:val="clear"/>
              <w:kinsoku/>
              <w:wordWrap/>
              <w:overflowPunct/>
              <w:topLinePunct w:val="0"/>
              <w:autoSpaceDE/>
              <w:autoSpaceDN/>
              <w:bidi w:val="0"/>
              <w:adjustRightInd w:val="0"/>
              <w:spacing w:beforeAutospacing="0" w:afterAutospacing="0" w:line="240" w:lineRule="auto"/>
              <w:ind w:left="0" w:leftChars="0" w:right="0" w:rightChars="0" w:firstLine="0" w:firstLineChars="0"/>
              <w:jc w:val="center"/>
              <w:textAlignment w:val="auto"/>
              <w:outlineLvl w:val="0"/>
              <w:rPr>
                <w:rFonts w:hint="eastAsia" w:ascii="宋体" w:hAnsi="宋体" w:eastAsia="宋体" w:cs="宋体"/>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890" w:type="dxa"/>
            <w:vAlign w:val="center"/>
          </w:tcPr>
          <w:p>
            <w:pPr>
              <w:keepNext w:val="0"/>
              <w:keepLines w:val="0"/>
              <w:pageBreakBefore w:val="0"/>
              <w:widowControl w:val="0"/>
              <w:shd w:val="clear"/>
              <w:kinsoku/>
              <w:wordWrap/>
              <w:overflowPunct/>
              <w:topLinePunct w:val="0"/>
              <w:autoSpaceDE/>
              <w:autoSpaceDN/>
              <w:bidi w:val="0"/>
              <w:adjustRightInd w:val="0"/>
              <w:spacing w:beforeAutospacing="0" w:afterAutospacing="0" w:line="240" w:lineRule="auto"/>
              <w:ind w:left="0" w:leftChars="0" w:right="0" w:rightChars="0" w:firstLine="0" w:firstLineChars="0"/>
              <w:jc w:val="center"/>
              <w:textAlignment w:val="auto"/>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5759" w:type="dxa"/>
            <w:gridSpan w:val="3"/>
            <w:vAlign w:val="center"/>
          </w:tcPr>
          <w:p>
            <w:pPr>
              <w:keepNext w:val="0"/>
              <w:keepLines w:val="0"/>
              <w:pageBreakBefore w:val="0"/>
              <w:widowControl w:val="0"/>
              <w:shd w:val="clear" w:color="auto" w:fill="auto"/>
              <w:kinsoku/>
              <w:wordWrap/>
              <w:overflowPunct/>
              <w:topLinePunct w:val="0"/>
              <w:autoSpaceDE/>
              <w:autoSpaceDN/>
              <w:bidi w:val="0"/>
              <w:adjustRightInd w:val="0"/>
              <w:spacing w:beforeAutospacing="0" w:afterAutospacing="0" w:line="240" w:lineRule="auto"/>
              <w:ind w:left="0" w:leftChars="0" w:right="0" w:rightChars="0" w:firstLine="0" w:firstLineChars="0"/>
              <w:jc w:val="left"/>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拟派其他管理人员</w:t>
            </w:r>
            <w:r>
              <w:rPr>
                <w:rFonts w:hint="eastAsia" w:ascii="宋体" w:hAnsi="宋体" w:cs="宋体"/>
                <w:color w:val="auto"/>
                <w:sz w:val="24"/>
                <w:szCs w:val="24"/>
                <w:highlight w:val="none"/>
                <w:lang w:val="en-US" w:eastAsia="zh-CN"/>
              </w:rPr>
              <w:t>(除项目负责人、技术负责人外)</w:t>
            </w:r>
            <w:r>
              <w:rPr>
                <w:rFonts w:hint="eastAsia" w:ascii="宋体" w:hAnsi="宋体" w:eastAsia="宋体" w:cs="宋体"/>
                <w:color w:val="auto"/>
                <w:sz w:val="24"/>
                <w:szCs w:val="24"/>
                <w:highlight w:val="none"/>
                <w:lang w:val="en-US" w:eastAsia="zh-CN"/>
              </w:rPr>
              <w:t>具有造价工程师（二级及以上）的每个得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分，最高得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分。（证书需在有效期内，若单人具备多种证书的只计取其中1项得分）【提供相关证书复印件及近三个月社保证明，未提供的不得分】</w:t>
            </w:r>
          </w:p>
        </w:tc>
        <w:tc>
          <w:tcPr>
            <w:tcW w:w="1211" w:type="dxa"/>
            <w:vAlign w:val="center"/>
          </w:tcPr>
          <w:p>
            <w:pPr>
              <w:shd w:val="clea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p>
            <w:pPr>
              <w:keepNext w:val="0"/>
              <w:keepLines w:val="0"/>
              <w:pageBreakBefore w:val="0"/>
              <w:widowControl w:val="0"/>
              <w:shd w:val="clear"/>
              <w:kinsoku/>
              <w:wordWrap/>
              <w:overflowPunct/>
              <w:topLinePunct w:val="0"/>
              <w:autoSpaceDE/>
              <w:autoSpaceDN/>
              <w:bidi w:val="0"/>
              <w:adjustRightInd w:val="0"/>
              <w:spacing w:beforeAutospacing="0" w:afterAutospacing="0" w:line="240" w:lineRule="auto"/>
              <w:ind w:left="0" w:leftChars="0" w:right="0" w:rightChars="0"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2"/>
                <w:szCs w:val="22"/>
                <w:highlight w:val="none"/>
                <w:lang w:val="en-US" w:eastAsia="zh-CN"/>
              </w:rPr>
              <w:t>（客观分）</w:t>
            </w:r>
          </w:p>
        </w:tc>
        <w:tc>
          <w:tcPr>
            <w:tcW w:w="2122" w:type="dxa"/>
            <w:vMerge w:val="continue"/>
            <w:vAlign w:val="center"/>
          </w:tcPr>
          <w:p>
            <w:pPr>
              <w:keepNext w:val="0"/>
              <w:keepLines w:val="0"/>
              <w:pageBreakBefore w:val="0"/>
              <w:widowControl w:val="0"/>
              <w:shd w:val="clear"/>
              <w:kinsoku/>
              <w:wordWrap/>
              <w:overflowPunct/>
              <w:topLinePunct w:val="0"/>
              <w:autoSpaceDE/>
              <w:autoSpaceDN/>
              <w:bidi w:val="0"/>
              <w:adjustRightInd w:val="0"/>
              <w:spacing w:beforeAutospacing="0" w:afterAutospacing="0" w:line="240" w:lineRule="auto"/>
              <w:ind w:left="0" w:leftChars="0" w:right="0" w:rightChars="0" w:firstLine="0" w:firstLineChars="0"/>
              <w:jc w:val="center"/>
              <w:textAlignment w:val="auto"/>
              <w:outlineLvl w:val="0"/>
              <w:rPr>
                <w:rFonts w:hint="eastAsia" w:ascii="宋体" w:hAnsi="宋体" w:eastAsia="宋体" w:cs="宋体"/>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90" w:type="dxa"/>
            <w:vMerge w:val="restart"/>
            <w:vAlign w:val="center"/>
          </w:tcPr>
          <w:p>
            <w:pPr>
              <w:keepNext w:val="0"/>
              <w:keepLines w:val="0"/>
              <w:pageBreakBefore w:val="0"/>
              <w:widowControl w:val="0"/>
              <w:shd w:val="clear"/>
              <w:kinsoku/>
              <w:wordWrap/>
              <w:overflowPunct/>
              <w:topLinePunct w:val="0"/>
              <w:autoSpaceDE/>
              <w:autoSpaceDN/>
              <w:bidi w:val="0"/>
              <w:adjustRightInd w:val="0"/>
              <w:spacing w:beforeAutospacing="0" w:afterAutospacing="0" w:line="240" w:lineRule="auto"/>
              <w:ind w:left="0" w:leftChars="0" w:right="0" w:rightChars="0" w:firstLine="0" w:firstLineChars="0"/>
              <w:jc w:val="center"/>
              <w:textAlignment w:val="auto"/>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1137" w:type="dxa"/>
            <w:gridSpan w:val="2"/>
            <w:vMerge w:val="restart"/>
            <w:vAlign w:val="center"/>
          </w:tcPr>
          <w:p>
            <w:pPr>
              <w:keepNext w:val="0"/>
              <w:keepLines w:val="0"/>
              <w:pageBreakBefore w:val="0"/>
              <w:widowControl w:val="0"/>
              <w:shd w:val="clear" w:color="auto" w:fill="auto"/>
              <w:kinsoku/>
              <w:wordWrap/>
              <w:overflowPunct/>
              <w:topLinePunct w:val="0"/>
              <w:autoSpaceDE/>
              <w:autoSpaceDN/>
              <w:bidi w:val="0"/>
              <w:adjustRightInd w:val="0"/>
              <w:spacing w:beforeAutospacing="0" w:afterAutospacing="0" w:line="240" w:lineRule="auto"/>
              <w:ind w:left="0" w:leftChars="0" w:right="0" w:rightChars="0" w:firstLine="0" w:firstLineChars="0"/>
              <w:jc w:val="left"/>
              <w:textAlignment w:val="auto"/>
              <w:outlineLvl w:val="0"/>
              <w:rPr>
                <w:rFonts w:hint="eastAsia" w:ascii="宋体" w:hAnsi="宋体" w:eastAsia="宋体" w:cs="宋体"/>
                <w:color w:val="auto"/>
                <w:sz w:val="24"/>
                <w:szCs w:val="24"/>
                <w:highlight w:val="none"/>
                <w:lang w:val="en-US" w:eastAsia="zh-CN"/>
              </w:rPr>
            </w:pPr>
            <w:r>
              <w:rPr>
                <w:rFonts w:hint="eastAsia" w:ascii="宋体" w:hAnsi="宋体" w:cs="宋体"/>
                <w:kern w:val="0"/>
                <w:szCs w:val="21"/>
                <w:lang w:bidi="ar"/>
              </w:rPr>
              <w:t>施工方案总体情况评价</w:t>
            </w:r>
          </w:p>
        </w:tc>
        <w:tc>
          <w:tcPr>
            <w:tcW w:w="4622" w:type="dxa"/>
            <w:vAlign w:val="center"/>
          </w:tcPr>
          <w:p>
            <w:pPr>
              <w:jc w:val="left"/>
              <w:rPr>
                <w:rFonts w:hint="eastAsia" w:ascii="宋体" w:hAnsi="宋体" w:eastAsia="宋体" w:cs="宋体"/>
                <w:kern w:val="0"/>
                <w:sz w:val="21"/>
                <w:szCs w:val="21"/>
                <w:lang w:val="en-US" w:eastAsia="zh-CN" w:bidi="ar"/>
              </w:rPr>
            </w:pPr>
            <w:r>
              <w:rPr>
                <w:rFonts w:hint="eastAsia" w:ascii="宋体" w:hAnsi="宋体" w:cs="宋体"/>
                <w:kern w:val="0"/>
                <w:szCs w:val="21"/>
                <w:lang w:bidi="ar"/>
              </w:rPr>
              <w:t>方案内容全面、合理、条理清晰，涵盖本次工程实施有关的内容，且具有针对性得5分，方案内容全面合理得3分，方案内容基本合理，满足采购需求得2分，方案内容有提及得1分。严重缺失不得分。</w:t>
            </w:r>
          </w:p>
        </w:tc>
        <w:tc>
          <w:tcPr>
            <w:tcW w:w="1211" w:type="dxa"/>
            <w:vAlign w:val="center"/>
          </w:tcPr>
          <w:p>
            <w:pPr>
              <w:shd w:val="clear"/>
              <w:jc w:val="center"/>
              <w:rPr>
                <w:rFonts w:hint="eastAsia" w:ascii="宋体" w:hAnsi="宋体" w:eastAsia="宋体" w:cs="宋体"/>
                <w:color w:val="auto"/>
                <w:sz w:val="24"/>
                <w:szCs w:val="24"/>
                <w:highlight w:val="none"/>
                <w:lang w:val="en-US" w:eastAsia="zh-CN"/>
              </w:rPr>
            </w:pPr>
            <w:r>
              <w:rPr>
                <w:rFonts w:hint="eastAsia" w:ascii="宋体" w:hAnsi="宋体" w:cs="宋体"/>
                <w:kern w:val="0"/>
                <w:szCs w:val="21"/>
                <w:lang w:bidi="ar"/>
              </w:rPr>
              <w:t>5</w:t>
            </w:r>
          </w:p>
          <w:p>
            <w:pPr>
              <w:jc w:val="center"/>
              <w:rPr>
                <w:rFonts w:hint="eastAsia" w:ascii="宋体" w:hAnsi="宋体" w:eastAsia="宋体" w:cs="宋体"/>
                <w:kern w:val="0"/>
                <w:sz w:val="21"/>
                <w:szCs w:val="21"/>
                <w:lang w:val="en-US" w:eastAsia="zh-CN" w:bidi="ar"/>
              </w:rPr>
            </w:pPr>
            <w:r>
              <w:rPr>
                <w:rFonts w:hint="eastAsia" w:ascii="宋体" w:hAnsi="宋体" w:cs="宋体"/>
                <w:color w:val="auto"/>
                <w:sz w:val="22"/>
                <w:szCs w:val="22"/>
                <w:highlight w:val="none"/>
                <w:lang w:val="en-US" w:eastAsia="zh-CN"/>
              </w:rPr>
              <w:t>（主观分）</w:t>
            </w:r>
          </w:p>
        </w:tc>
        <w:tc>
          <w:tcPr>
            <w:tcW w:w="2122" w:type="dxa"/>
            <w:vAlign w:val="center"/>
          </w:tcPr>
          <w:p>
            <w:pPr>
              <w:snapToGrid w:val="0"/>
              <w:jc w:val="left"/>
              <w:rPr>
                <w:rFonts w:hint="eastAsia" w:ascii="宋体" w:hAnsi="宋体" w:eastAsia="宋体" w:cs="宋体"/>
                <w:kern w:val="0"/>
                <w:sz w:val="21"/>
                <w:szCs w:val="21"/>
                <w:lang w:val="en-US" w:eastAsia="zh-CN" w:bidi="ar"/>
              </w:rPr>
            </w:pPr>
            <w:r>
              <w:rPr>
                <w:rFonts w:hint="eastAsia" w:ascii="宋体" w:hAnsi="宋体" w:cs="宋体"/>
                <w:kern w:val="0"/>
                <w:szCs w:val="21"/>
                <w:lang w:bidi="ar"/>
              </w:rPr>
              <w:t>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90" w:type="dxa"/>
            <w:vMerge w:val="continue"/>
            <w:vAlign w:val="center"/>
          </w:tcPr>
          <w:p>
            <w:pPr>
              <w:keepNext w:val="0"/>
              <w:keepLines w:val="0"/>
              <w:pageBreakBefore w:val="0"/>
              <w:widowControl w:val="0"/>
              <w:shd w:val="clear"/>
              <w:kinsoku/>
              <w:wordWrap/>
              <w:overflowPunct/>
              <w:topLinePunct w:val="0"/>
              <w:autoSpaceDE/>
              <w:autoSpaceDN/>
              <w:bidi w:val="0"/>
              <w:adjustRightInd w:val="0"/>
              <w:spacing w:beforeAutospacing="0" w:afterAutospacing="0" w:line="240" w:lineRule="auto"/>
              <w:ind w:left="0" w:leftChars="0" w:right="0" w:rightChars="0" w:firstLine="0" w:firstLineChars="0"/>
              <w:jc w:val="center"/>
              <w:textAlignment w:val="auto"/>
              <w:outlineLvl w:val="0"/>
              <w:rPr>
                <w:rFonts w:hint="eastAsia" w:ascii="宋体" w:hAnsi="宋体" w:cs="宋体"/>
                <w:color w:val="auto"/>
                <w:sz w:val="24"/>
                <w:szCs w:val="24"/>
                <w:highlight w:val="none"/>
                <w:lang w:val="en-US" w:eastAsia="zh-CN"/>
              </w:rPr>
            </w:pPr>
          </w:p>
        </w:tc>
        <w:tc>
          <w:tcPr>
            <w:tcW w:w="1137" w:type="dxa"/>
            <w:gridSpan w:val="2"/>
            <w:vMerge w:val="continue"/>
            <w:vAlign w:val="center"/>
          </w:tcPr>
          <w:p>
            <w:pPr>
              <w:keepNext w:val="0"/>
              <w:keepLines w:val="0"/>
              <w:pageBreakBefore w:val="0"/>
              <w:widowControl w:val="0"/>
              <w:shd w:val="clear" w:color="auto" w:fill="auto"/>
              <w:kinsoku/>
              <w:wordWrap/>
              <w:overflowPunct/>
              <w:topLinePunct w:val="0"/>
              <w:autoSpaceDE/>
              <w:autoSpaceDN/>
              <w:bidi w:val="0"/>
              <w:adjustRightInd w:val="0"/>
              <w:spacing w:beforeAutospacing="0" w:afterAutospacing="0" w:line="240" w:lineRule="auto"/>
              <w:ind w:left="0" w:leftChars="0" w:right="0" w:rightChars="0" w:firstLine="0" w:firstLineChars="0"/>
              <w:jc w:val="left"/>
              <w:textAlignment w:val="auto"/>
              <w:outlineLvl w:val="0"/>
              <w:rPr>
                <w:rFonts w:hint="eastAsia" w:ascii="宋体" w:hAnsi="宋体" w:eastAsia="宋体" w:cs="宋体"/>
                <w:color w:val="auto"/>
                <w:sz w:val="24"/>
                <w:szCs w:val="24"/>
                <w:highlight w:val="none"/>
                <w:lang w:val="en-US" w:eastAsia="zh-CN"/>
              </w:rPr>
            </w:pPr>
          </w:p>
        </w:tc>
        <w:tc>
          <w:tcPr>
            <w:tcW w:w="4622" w:type="dxa"/>
            <w:vAlign w:val="center"/>
          </w:tcPr>
          <w:p>
            <w:pPr>
              <w:jc w:val="left"/>
              <w:rPr>
                <w:rFonts w:hint="eastAsia" w:ascii="宋体" w:hAnsi="宋体" w:eastAsia="宋体" w:cs="宋体"/>
                <w:kern w:val="0"/>
                <w:sz w:val="21"/>
                <w:szCs w:val="21"/>
                <w:lang w:val="en-US" w:eastAsia="zh-CN" w:bidi="ar"/>
              </w:rPr>
            </w:pPr>
            <w:r>
              <w:rPr>
                <w:rFonts w:hint="eastAsia" w:ascii="宋体" w:hAnsi="宋体" w:cs="宋体"/>
                <w:kern w:val="0"/>
                <w:szCs w:val="21"/>
                <w:lang w:bidi="ar"/>
              </w:rPr>
              <w:t>针对本项目特殊施工环境需要采取的专门的施工技术内容科学合理，针对性强的得5分；措施内容基本合理，针对性较强得3分；措施内容基本合理得2分；措施内容一般，有提及得1分。内容缺失严重不得分。</w:t>
            </w:r>
          </w:p>
        </w:tc>
        <w:tc>
          <w:tcPr>
            <w:tcW w:w="1211" w:type="dxa"/>
            <w:vAlign w:val="center"/>
          </w:tcPr>
          <w:p>
            <w:pPr>
              <w:shd w:val="clear"/>
              <w:jc w:val="center"/>
              <w:rPr>
                <w:rFonts w:hint="eastAsia" w:ascii="宋体" w:hAnsi="宋体" w:eastAsia="宋体" w:cs="宋体"/>
                <w:color w:val="auto"/>
                <w:sz w:val="24"/>
                <w:szCs w:val="24"/>
                <w:highlight w:val="none"/>
                <w:lang w:val="en-US" w:eastAsia="zh-CN"/>
              </w:rPr>
            </w:pPr>
            <w:r>
              <w:rPr>
                <w:rFonts w:hint="eastAsia" w:ascii="宋体" w:hAnsi="宋体" w:cs="宋体"/>
                <w:kern w:val="0"/>
                <w:szCs w:val="21"/>
                <w:lang w:bidi="ar"/>
              </w:rPr>
              <w:t>5</w:t>
            </w:r>
          </w:p>
          <w:p>
            <w:pPr>
              <w:jc w:val="center"/>
              <w:rPr>
                <w:rFonts w:hint="eastAsia" w:ascii="宋体" w:hAnsi="宋体" w:eastAsia="宋体" w:cs="宋体"/>
                <w:kern w:val="0"/>
                <w:sz w:val="21"/>
                <w:szCs w:val="21"/>
                <w:lang w:val="en-US" w:eastAsia="zh-CN" w:bidi="ar"/>
              </w:rPr>
            </w:pPr>
            <w:r>
              <w:rPr>
                <w:rFonts w:hint="eastAsia" w:ascii="宋体" w:hAnsi="宋体" w:cs="宋体"/>
                <w:color w:val="auto"/>
                <w:sz w:val="22"/>
                <w:szCs w:val="22"/>
                <w:highlight w:val="none"/>
                <w:lang w:val="en-US" w:eastAsia="zh-CN"/>
              </w:rPr>
              <w:t>（主观分）</w:t>
            </w:r>
          </w:p>
        </w:tc>
        <w:tc>
          <w:tcPr>
            <w:tcW w:w="2122" w:type="dxa"/>
            <w:vAlign w:val="center"/>
          </w:tcPr>
          <w:p>
            <w:pPr>
              <w:snapToGrid w:val="0"/>
              <w:jc w:val="left"/>
              <w:rPr>
                <w:rFonts w:hint="eastAsia" w:ascii="宋体" w:hAnsi="宋体" w:eastAsia="宋体" w:cs="宋体"/>
                <w:kern w:val="0"/>
                <w:sz w:val="21"/>
                <w:szCs w:val="21"/>
                <w:lang w:val="en-US" w:eastAsia="zh-CN" w:bidi="ar"/>
              </w:rPr>
            </w:pPr>
            <w:r>
              <w:rPr>
                <w:rFonts w:hint="eastAsia" w:ascii="宋体" w:hAnsi="宋体" w:cs="宋体"/>
                <w:kern w:val="0"/>
                <w:szCs w:val="21"/>
                <w:lang w:bidi="ar"/>
              </w:rPr>
              <w:t>施工技术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0" w:type="dxa"/>
            <w:vMerge w:val="continue"/>
            <w:vAlign w:val="center"/>
          </w:tcPr>
          <w:p>
            <w:pPr>
              <w:keepNext w:val="0"/>
              <w:keepLines w:val="0"/>
              <w:pageBreakBefore w:val="0"/>
              <w:widowControl w:val="0"/>
              <w:shd w:val="clear"/>
              <w:kinsoku/>
              <w:wordWrap/>
              <w:overflowPunct/>
              <w:topLinePunct w:val="0"/>
              <w:autoSpaceDE/>
              <w:autoSpaceDN/>
              <w:bidi w:val="0"/>
              <w:adjustRightInd w:val="0"/>
              <w:spacing w:beforeAutospacing="0" w:afterAutospacing="0" w:line="240" w:lineRule="auto"/>
              <w:ind w:left="0" w:leftChars="0" w:right="0" w:rightChars="0" w:firstLine="0" w:firstLineChars="0"/>
              <w:jc w:val="center"/>
              <w:textAlignment w:val="auto"/>
              <w:outlineLvl w:val="0"/>
              <w:rPr>
                <w:rFonts w:hint="eastAsia" w:ascii="宋体" w:hAnsi="宋体" w:cs="宋体"/>
                <w:color w:val="auto"/>
                <w:sz w:val="24"/>
                <w:szCs w:val="24"/>
                <w:highlight w:val="none"/>
                <w:lang w:val="en-US" w:eastAsia="zh-CN"/>
              </w:rPr>
            </w:pPr>
          </w:p>
        </w:tc>
        <w:tc>
          <w:tcPr>
            <w:tcW w:w="1137" w:type="dxa"/>
            <w:gridSpan w:val="2"/>
            <w:vMerge w:val="continue"/>
            <w:vAlign w:val="center"/>
          </w:tcPr>
          <w:p>
            <w:pPr>
              <w:keepNext w:val="0"/>
              <w:keepLines w:val="0"/>
              <w:pageBreakBefore w:val="0"/>
              <w:widowControl w:val="0"/>
              <w:shd w:val="clear" w:color="auto" w:fill="auto"/>
              <w:kinsoku/>
              <w:wordWrap/>
              <w:overflowPunct/>
              <w:topLinePunct w:val="0"/>
              <w:autoSpaceDE/>
              <w:autoSpaceDN/>
              <w:bidi w:val="0"/>
              <w:adjustRightInd w:val="0"/>
              <w:spacing w:beforeAutospacing="0" w:afterAutospacing="0" w:line="240" w:lineRule="auto"/>
              <w:ind w:left="0" w:leftChars="0" w:right="0" w:rightChars="0" w:firstLine="0" w:firstLineChars="0"/>
              <w:jc w:val="left"/>
              <w:textAlignment w:val="auto"/>
              <w:outlineLvl w:val="0"/>
              <w:rPr>
                <w:rFonts w:hint="eastAsia" w:ascii="宋体" w:hAnsi="宋体" w:eastAsia="宋体" w:cs="宋体"/>
                <w:color w:val="auto"/>
                <w:sz w:val="24"/>
                <w:szCs w:val="24"/>
                <w:highlight w:val="none"/>
                <w:lang w:val="en-US" w:eastAsia="zh-CN"/>
              </w:rPr>
            </w:pPr>
          </w:p>
        </w:tc>
        <w:tc>
          <w:tcPr>
            <w:tcW w:w="4622" w:type="dxa"/>
            <w:vAlign w:val="center"/>
          </w:tcPr>
          <w:p>
            <w:pPr>
              <w:jc w:val="left"/>
              <w:rPr>
                <w:rFonts w:hint="eastAsia" w:ascii="宋体" w:hAnsi="宋体" w:eastAsia="宋体" w:cs="宋体"/>
                <w:kern w:val="0"/>
                <w:sz w:val="21"/>
                <w:szCs w:val="21"/>
                <w:lang w:val="en-US" w:eastAsia="zh-CN" w:bidi="ar"/>
              </w:rPr>
            </w:pPr>
            <w:r>
              <w:rPr>
                <w:rFonts w:hint="eastAsia" w:ascii="宋体" w:hAnsi="宋体" w:cs="宋体"/>
                <w:kern w:val="0"/>
                <w:szCs w:val="21"/>
                <w:lang w:bidi="ar"/>
              </w:rPr>
              <w:t>组织措施内容科学合理，针对性强的得5分；措施内容基本合理，针对性较强得3分；措施内容基本合理得2分；措施内容一般，有提及得1分。内容缺失严重不得分。</w:t>
            </w:r>
          </w:p>
        </w:tc>
        <w:tc>
          <w:tcPr>
            <w:tcW w:w="1211" w:type="dxa"/>
            <w:vAlign w:val="center"/>
          </w:tcPr>
          <w:p>
            <w:pPr>
              <w:shd w:val="clear"/>
              <w:jc w:val="center"/>
              <w:rPr>
                <w:rFonts w:hint="eastAsia" w:ascii="宋体" w:hAnsi="宋体" w:eastAsia="宋体" w:cs="宋体"/>
                <w:color w:val="auto"/>
                <w:sz w:val="24"/>
                <w:szCs w:val="24"/>
                <w:highlight w:val="none"/>
                <w:lang w:val="en-US" w:eastAsia="zh-CN"/>
              </w:rPr>
            </w:pPr>
            <w:r>
              <w:rPr>
                <w:rFonts w:hint="eastAsia" w:ascii="宋体" w:hAnsi="宋体" w:cs="宋体"/>
                <w:kern w:val="0"/>
                <w:szCs w:val="21"/>
                <w:lang w:bidi="ar"/>
              </w:rPr>
              <w:t>5</w:t>
            </w:r>
          </w:p>
          <w:p>
            <w:pPr>
              <w:jc w:val="center"/>
              <w:rPr>
                <w:rFonts w:hint="eastAsia" w:ascii="宋体" w:hAnsi="宋体" w:eastAsia="宋体" w:cs="宋体"/>
                <w:kern w:val="0"/>
                <w:sz w:val="21"/>
                <w:szCs w:val="21"/>
                <w:lang w:val="en-US" w:eastAsia="zh-CN" w:bidi="ar"/>
              </w:rPr>
            </w:pPr>
            <w:r>
              <w:rPr>
                <w:rFonts w:hint="eastAsia" w:ascii="宋体" w:hAnsi="宋体" w:cs="宋体"/>
                <w:color w:val="auto"/>
                <w:sz w:val="22"/>
                <w:szCs w:val="22"/>
                <w:highlight w:val="none"/>
                <w:lang w:val="en-US" w:eastAsia="zh-CN"/>
              </w:rPr>
              <w:t>（主观分）</w:t>
            </w:r>
          </w:p>
        </w:tc>
        <w:tc>
          <w:tcPr>
            <w:tcW w:w="2122" w:type="dxa"/>
            <w:vAlign w:val="center"/>
          </w:tcPr>
          <w:p>
            <w:pPr>
              <w:snapToGrid w:val="0"/>
              <w:jc w:val="left"/>
              <w:rPr>
                <w:rFonts w:hint="eastAsia" w:ascii="宋体" w:hAnsi="宋体" w:eastAsia="宋体" w:cs="宋体"/>
                <w:kern w:val="0"/>
                <w:sz w:val="21"/>
                <w:szCs w:val="21"/>
                <w:lang w:val="en-US" w:eastAsia="zh-CN" w:bidi="ar"/>
              </w:rPr>
            </w:pPr>
            <w:r>
              <w:rPr>
                <w:rFonts w:hint="eastAsia" w:ascii="宋体" w:hAnsi="宋体" w:cs="宋体"/>
                <w:kern w:val="0"/>
                <w:szCs w:val="21"/>
                <w:lang w:bidi="ar"/>
              </w:rPr>
              <w:t>组织措施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90" w:type="dxa"/>
            <w:vAlign w:val="center"/>
          </w:tcPr>
          <w:p>
            <w:pPr>
              <w:keepNext w:val="0"/>
              <w:keepLines w:val="0"/>
              <w:pageBreakBefore w:val="0"/>
              <w:widowControl w:val="0"/>
              <w:shd w:val="clear"/>
              <w:kinsoku/>
              <w:wordWrap/>
              <w:overflowPunct/>
              <w:topLinePunct w:val="0"/>
              <w:autoSpaceDE/>
              <w:autoSpaceDN/>
              <w:bidi w:val="0"/>
              <w:adjustRightInd w:val="0"/>
              <w:spacing w:beforeAutospacing="0" w:afterAutospacing="0" w:line="240" w:lineRule="auto"/>
              <w:ind w:left="0" w:leftChars="0" w:right="0" w:rightChars="0" w:firstLine="0" w:firstLineChars="0"/>
              <w:jc w:val="center"/>
              <w:textAlignment w:val="auto"/>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5759" w:type="dxa"/>
            <w:gridSpan w:val="3"/>
            <w:vAlign w:val="center"/>
          </w:tcPr>
          <w:p>
            <w:pPr>
              <w:jc w:val="left"/>
              <w:rPr>
                <w:rFonts w:hint="eastAsia" w:ascii="宋体" w:hAnsi="宋体" w:eastAsia="宋体" w:cs="宋体"/>
                <w:kern w:val="0"/>
                <w:sz w:val="21"/>
                <w:szCs w:val="21"/>
                <w:lang w:val="en-US" w:eastAsia="zh-CN" w:bidi="ar"/>
              </w:rPr>
            </w:pPr>
            <w:r>
              <w:rPr>
                <w:rFonts w:hint="eastAsia" w:ascii="宋体" w:hAnsi="宋体" w:cs="宋体"/>
                <w:kern w:val="0"/>
                <w:szCs w:val="21"/>
                <w:lang w:bidi="ar"/>
              </w:rPr>
              <w:t>投标人针对本项目施工重点难点分析到位，针对性强的得3分，施工重点难度内容分析合理得2分，施工重点难度内容分析基本合理得1分，内容缺失严重不得分。</w:t>
            </w:r>
          </w:p>
        </w:tc>
        <w:tc>
          <w:tcPr>
            <w:tcW w:w="1211" w:type="dxa"/>
            <w:vAlign w:val="center"/>
          </w:tcPr>
          <w:p>
            <w:pPr>
              <w:shd w:val="clear"/>
              <w:jc w:val="center"/>
              <w:rPr>
                <w:rFonts w:hint="eastAsia" w:ascii="宋体" w:hAnsi="宋体" w:eastAsia="宋体" w:cs="宋体"/>
                <w:color w:val="auto"/>
                <w:sz w:val="24"/>
                <w:szCs w:val="24"/>
                <w:highlight w:val="none"/>
                <w:lang w:val="en-US" w:eastAsia="zh-CN"/>
              </w:rPr>
            </w:pPr>
            <w:r>
              <w:rPr>
                <w:rFonts w:hint="eastAsia" w:ascii="宋体" w:hAnsi="宋体" w:cs="宋体"/>
                <w:kern w:val="0"/>
                <w:szCs w:val="21"/>
                <w:lang w:bidi="ar"/>
              </w:rPr>
              <w:t>3</w:t>
            </w:r>
          </w:p>
          <w:p>
            <w:pPr>
              <w:jc w:val="center"/>
              <w:rPr>
                <w:rFonts w:hint="eastAsia" w:ascii="宋体" w:hAnsi="宋体" w:eastAsia="宋体" w:cs="宋体"/>
                <w:kern w:val="0"/>
                <w:sz w:val="21"/>
                <w:szCs w:val="21"/>
                <w:lang w:val="en-US" w:eastAsia="zh-CN" w:bidi="ar"/>
              </w:rPr>
            </w:pPr>
            <w:r>
              <w:rPr>
                <w:rFonts w:hint="eastAsia" w:ascii="宋体" w:hAnsi="宋体" w:cs="宋体"/>
                <w:color w:val="auto"/>
                <w:sz w:val="22"/>
                <w:szCs w:val="22"/>
                <w:highlight w:val="none"/>
                <w:lang w:val="en-US" w:eastAsia="zh-CN"/>
              </w:rPr>
              <w:t>（主观分）</w:t>
            </w:r>
          </w:p>
        </w:tc>
        <w:tc>
          <w:tcPr>
            <w:tcW w:w="2122" w:type="dxa"/>
            <w:vAlign w:val="center"/>
          </w:tcPr>
          <w:p>
            <w:pPr>
              <w:snapToGrid w:val="0"/>
              <w:jc w:val="left"/>
              <w:rPr>
                <w:rFonts w:hint="eastAsia" w:ascii="宋体" w:hAnsi="宋体" w:eastAsia="宋体" w:cs="宋体"/>
                <w:kern w:val="0"/>
                <w:sz w:val="21"/>
                <w:szCs w:val="21"/>
                <w:lang w:val="en-US" w:eastAsia="zh-CN" w:bidi="ar"/>
              </w:rPr>
            </w:pPr>
            <w:r>
              <w:rPr>
                <w:rFonts w:hint="eastAsia" w:ascii="宋体" w:hAnsi="宋体" w:cs="宋体"/>
                <w:kern w:val="0"/>
                <w:szCs w:val="21"/>
                <w:lang w:bidi="ar"/>
              </w:rPr>
              <w:t>施工重点难点分析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90" w:type="dxa"/>
            <w:vAlign w:val="center"/>
          </w:tcPr>
          <w:p>
            <w:pPr>
              <w:keepNext w:val="0"/>
              <w:keepLines w:val="0"/>
              <w:pageBreakBefore w:val="0"/>
              <w:widowControl w:val="0"/>
              <w:shd w:val="clear"/>
              <w:kinsoku/>
              <w:wordWrap/>
              <w:overflowPunct/>
              <w:topLinePunct w:val="0"/>
              <w:autoSpaceDE/>
              <w:autoSpaceDN/>
              <w:bidi w:val="0"/>
              <w:adjustRightInd w:val="0"/>
              <w:spacing w:beforeAutospacing="0" w:afterAutospacing="0" w:line="240" w:lineRule="auto"/>
              <w:ind w:left="0" w:leftChars="0" w:right="0" w:rightChars="0" w:firstLine="0" w:firstLineChars="0"/>
              <w:jc w:val="center"/>
              <w:textAlignment w:val="auto"/>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5759" w:type="dxa"/>
            <w:gridSpan w:val="3"/>
            <w:vAlign w:val="center"/>
          </w:tcPr>
          <w:p>
            <w:pPr>
              <w:jc w:val="left"/>
              <w:rPr>
                <w:rFonts w:hint="eastAsia" w:ascii="宋体" w:hAnsi="宋体" w:eastAsia="宋体" w:cs="宋体"/>
                <w:kern w:val="0"/>
                <w:sz w:val="21"/>
                <w:szCs w:val="21"/>
                <w:lang w:val="en-US" w:eastAsia="zh-CN" w:bidi="ar"/>
              </w:rPr>
            </w:pPr>
            <w:r>
              <w:rPr>
                <w:rFonts w:hint="eastAsia" w:ascii="宋体" w:hAnsi="宋体" w:cs="宋体"/>
                <w:kern w:val="0"/>
                <w:szCs w:val="21"/>
                <w:lang w:bidi="ar"/>
              </w:rPr>
              <w:t>投标人针对本项目施工重点难点措施内容科学合理，针对性强的得4分；措施内容基本合理，针对性较强得3分；措施内容基本合理得2分；措施内容一般，有提及得1分。内容缺失严重不得分。</w:t>
            </w:r>
          </w:p>
        </w:tc>
        <w:tc>
          <w:tcPr>
            <w:tcW w:w="1211" w:type="dxa"/>
            <w:vAlign w:val="center"/>
          </w:tcPr>
          <w:p>
            <w:pPr>
              <w:shd w:val="clear"/>
              <w:jc w:val="center"/>
              <w:rPr>
                <w:rFonts w:hint="eastAsia" w:ascii="宋体" w:hAnsi="宋体" w:eastAsia="宋体" w:cs="宋体"/>
                <w:color w:val="auto"/>
                <w:sz w:val="24"/>
                <w:szCs w:val="24"/>
                <w:highlight w:val="none"/>
                <w:lang w:val="en-US" w:eastAsia="zh-CN"/>
              </w:rPr>
            </w:pPr>
            <w:r>
              <w:rPr>
                <w:rFonts w:hint="eastAsia" w:ascii="宋体" w:hAnsi="宋体" w:cs="宋体"/>
                <w:kern w:val="0"/>
                <w:szCs w:val="21"/>
                <w:lang w:bidi="ar"/>
              </w:rPr>
              <w:t>4</w:t>
            </w:r>
          </w:p>
          <w:p>
            <w:pPr>
              <w:jc w:val="center"/>
              <w:rPr>
                <w:rFonts w:hint="eastAsia" w:ascii="宋体" w:hAnsi="宋体" w:eastAsia="宋体" w:cs="宋体"/>
                <w:kern w:val="0"/>
                <w:sz w:val="21"/>
                <w:szCs w:val="21"/>
                <w:lang w:val="en-US" w:eastAsia="zh-CN" w:bidi="ar"/>
              </w:rPr>
            </w:pPr>
            <w:r>
              <w:rPr>
                <w:rFonts w:hint="eastAsia" w:ascii="宋体" w:hAnsi="宋体" w:cs="宋体"/>
                <w:color w:val="auto"/>
                <w:sz w:val="22"/>
                <w:szCs w:val="22"/>
                <w:highlight w:val="none"/>
                <w:lang w:val="en-US" w:eastAsia="zh-CN"/>
              </w:rPr>
              <w:t>（主观分）</w:t>
            </w:r>
          </w:p>
        </w:tc>
        <w:tc>
          <w:tcPr>
            <w:tcW w:w="2122" w:type="dxa"/>
            <w:vAlign w:val="center"/>
          </w:tcPr>
          <w:p>
            <w:pPr>
              <w:snapToGrid w:val="0"/>
              <w:jc w:val="left"/>
              <w:rPr>
                <w:rFonts w:hint="eastAsia" w:ascii="宋体" w:hAnsi="宋体" w:eastAsia="宋体" w:cs="宋体"/>
                <w:kern w:val="0"/>
                <w:sz w:val="21"/>
                <w:szCs w:val="21"/>
                <w:lang w:val="en-US" w:eastAsia="zh-CN" w:bidi="ar"/>
              </w:rPr>
            </w:pPr>
            <w:r>
              <w:rPr>
                <w:rFonts w:hint="eastAsia" w:ascii="宋体" w:hAnsi="宋体" w:cs="宋体"/>
                <w:kern w:val="0"/>
                <w:szCs w:val="21"/>
                <w:lang w:bidi="ar"/>
              </w:rPr>
              <w:t>重点难点措施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90" w:type="dxa"/>
            <w:vMerge w:val="restart"/>
            <w:vAlign w:val="center"/>
          </w:tcPr>
          <w:p>
            <w:pPr>
              <w:keepNext w:val="0"/>
              <w:keepLines w:val="0"/>
              <w:pageBreakBefore w:val="0"/>
              <w:widowControl w:val="0"/>
              <w:shd w:val="clear"/>
              <w:kinsoku/>
              <w:wordWrap/>
              <w:overflowPunct/>
              <w:topLinePunct w:val="0"/>
              <w:autoSpaceDE/>
              <w:autoSpaceDN/>
              <w:bidi w:val="0"/>
              <w:adjustRightInd w:val="0"/>
              <w:spacing w:beforeAutospacing="0" w:afterAutospacing="0" w:line="240" w:lineRule="auto"/>
              <w:ind w:left="0" w:leftChars="0" w:right="0" w:rightChars="0" w:firstLine="0" w:firstLineChars="0"/>
              <w:jc w:val="center"/>
              <w:textAlignment w:val="auto"/>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1122" w:type="dxa"/>
            <w:vMerge w:val="restart"/>
            <w:vAlign w:val="center"/>
          </w:tcPr>
          <w:p>
            <w:pPr>
              <w:keepNext w:val="0"/>
              <w:keepLines w:val="0"/>
              <w:pageBreakBefore w:val="0"/>
              <w:widowControl w:val="0"/>
              <w:shd w:val="clear" w:color="auto" w:fill="auto"/>
              <w:kinsoku/>
              <w:wordWrap/>
              <w:overflowPunct/>
              <w:topLinePunct w:val="0"/>
              <w:autoSpaceDE/>
              <w:autoSpaceDN/>
              <w:bidi w:val="0"/>
              <w:adjustRightInd w:val="0"/>
              <w:spacing w:beforeAutospacing="0" w:afterAutospacing="0" w:line="240" w:lineRule="auto"/>
              <w:ind w:left="0" w:leftChars="0" w:right="0" w:rightChars="0" w:firstLine="0" w:firstLineChars="0"/>
              <w:jc w:val="left"/>
              <w:textAlignment w:val="auto"/>
              <w:outlineLvl w:val="0"/>
              <w:rPr>
                <w:rFonts w:hint="eastAsia" w:ascii="宋体" w:hAnsi="宋体" w:eastAsia="宋体" w:cs="宋体"/>
                <w:color w:val="auto"/>
                <w:sz w:val="24"/>
                <w:szCs w:val="24"/>
                <w:highlight w:val="none"/>
                <w:lang w:val="en-US" w:eastAsia="zh-CN"/>
              </w:rPr>
            </w:pPr>
            <w:r>
              <w:rPr>
                <w:rFonts w:hint="eastAsia" w:ascii="宋体" w:hAnsi="宋体" w:cs="宋体"/>
                <w:kern w:val="0"/>
                <w:szCs w:val="21"/>
                <w:lang w:bidi="ar"/>
              </w:rPr>
              <w:t>专项施工方案</w:t>
            </w:r>
          </w:p>
        </w:tc>
        <w:tc>
          <w:tcPr>
            <w:tcW w:w="4637" w:type="dxa"/>
            <w:gridSpan w:val="2"/>
            <w:vAlign w:val="center"/>
          </w:tcPr>
          <w:p>
            <w:pPr>
              <w:jc w:val="left"/>
              <w:rPr>
                <w:rFonts w:hint="eastAsia" w:ascii="宋体" w:hAnsi="宋体" w:eastAsia="宋体" w:cs="宋体"/>
                <w:kern w:val="0"/>
                <w:sz w:val="21"/>
                <w:szCs w:val="21"/>
                <w:lang w:val="en-US" w:eastAsia="zh-CN" w:bidi="ar"/>
              </w:rPr>
            </w:pPr>
            <w:r>
              <w:rPr>
                <w:rFonts w:hint="eastAsia" w:ascii="宋体" w:hAnsi="宋体" w:cs="宋体"/>
                <w:kern w:val="0"/>
                <w:szCs w:val="21"/>
                <w:lang w:bidi="ar"/>
              </w:rPr>
              <w:t>专项施工方案内容科学合理，主要分部施工方法符合项目实际针对性强得4分，方案内容全面合理得3分，方案内容基本合理，满足采购需求得2分，方案内容有提及得1分。严重缺失不得分。</w:t>
            </w:r>
          </w:p>
        </w:tc>
        <w:tc>
          <w:tcPr>
            <w:tcW w:w="1211" w:type="dxa"/>
            <w:vAlign w:val="center"/>
          </w:tcPr>
          <w:p>
            <w:pPr>
              <w:shd w:val="clear"/>
              <w:jc w:val="center"/>
              <w:rPr>
                <w:rFonts w:hint="eastAsia" w:ascii="宋体" w:hAnsi="宋体" w:eastAsia="宋体" w:cs="宋体"/>
                <w:color w:val="auto"/>
                <w:sz w:val="24"/>
                <w:szCs w:val="24"/>
                <w:highlight w:val="none"/>
                <w:lang w:val="en-US" w:eastAsia="zh-CN"/>
              </w:rPr>
            </w:pPr>
            <w:r>
              <w:rPr>
                <w:rFonts w:hint="eastAsia" w:ascii="宋体" w:hAnsi="宋体" w:cs="宋体"/>
                <w:kern w:val="0"/>
                <w:szCs w:val="21"/>
                <w:lang w:bidi="ar"/>
              </w:rPr>
              <w:t>4</w:t>
            </w:r>
          </w:p>
          <w:p>
            <w:pPr>
              <w:jc w:val="center"/>
              <w:rPr>
                <w:rFonts w:hint="eastAsia" w:ascii="宋体" w:hAnsi="宋体" w:eastAsia="宋体" w:cs="宋体"/>
                <w:kern w:val="0"/>
                <w:sz w:val="21"/>
                <w:szCs w:val="21"/>
                <w:lang w:val="en-US" w:eastAsia="zh-CN" w:bidi="ar"/>
              </w:rPr>
            </w:pPr>
            <w:r>
              <w:rPr>
                <w:rFonts w:hint="eastAsia" w:ascii="宋体" w:hAnsi="宋体" w:cs="宋体"/>
                <w:color w:val="auto"/>
                <w:sz w:val="22"/>
                <w:szCs w:val="22"/>
                <w:highlight w:val="none"/>
                <w:lang w:val="en-US" w:eastAsia="zh-CN"/>
              </w:rPr>
              <w:t>（主观分）</w:t>
            </w:r>
          </w:p>
        </w:tc>
        <w:tc>
          <w:tcPr>
            <w:tcW w:w="2122" w:type="dxa"/>
            <w:vAlign w:val="center"/>
          </w:tcPr>
          <w:p>
            <w:pPr>
              <w:snapToGrid w:val="0"/>
              <w:jc w:val="left"/>
              <w:rPr>
                <w:rFonts w:hint="eastAsia" w:ascii="宋体" w:hAnsi="宋体" w:eastAsia="宋体" w:cs="宋体"/>
                <w:kern w:val="0"/>
                <w:sz w:val="21"/>
                <w:szCs w:val="21"/>
                <w:lang w:val="en-US" w:eastAsia="zh-CN" w:bidi="ar"/>
              </w:rPr>
            </w:pPr>
            <w:r>
              <w:rPr>
                <w:rFonts w:hint="eastAsia" w:ascii="宋体" w:hAnsi="宋体" w:cs="宋体"/>
                <w:kern w:val="0"/>
                <w:szCs w:val="21"/>
                <w:lang w:bidi="ar"/>
              </w:rPr>
              <w:t>专项施工方案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890" w:type="dxa"/>
            <w:vMerge w:val="continue"/>
            <w:vAlign w:val="center"/>
          </w:tcPr>
          <w:p>
            <w:pPr>
              <w:keepNext w:val="0"/>
              <w:keepLines w:val="0"/>
              <w:pageBreakBefore w:val="0"/>
              <w:widowControl w:val="0"/>
              <w:shd w:val="clear"/>
              <w:kinsoku/>
              <w:wordWrap/>
              <w:overflowPunct/>
              <w:topLinePunct w:val="0"/>
              <w:autoSpaceDE/>
              <w:autoSpaceDN/>
              <w:bidi w:val="0"/>
              <w:adjustRightInd w:val="0"/>
              <w:spacing w:beforeAutospacing="0" w:afterAutospacing="0" w:line="240" w:lineRule="auto"/>
              <w:ind w:left="0" w:leftChars="0" w:right="0" w:rightChars="0" w:firstLine="0" w:firstLineChars="0"/>
              <w:jc w:val="center"/>
              <w:textAlignment w:val="auto"/>
              <w:outlineLvl w:val="0"/>
              <w:rPr>
                <w:rFonts w:hint="eastAsia" w:ascii="宋体" w:hAnsi="宋体" w:cs="宋体"/>
                <w:color w:val="auto"/>
                <w:sz w:val="24"/>
                <w:szCs w:val="24"/>
                <w:highlight w:val="none"/>
                <w:lang w:val="en-US" w:eastAsia="zh-CN"/>
              </w:rPr>
            </w:pPr>
          </w:p>
        </w:tc>
        <w:tc>
          <w:tcPr>
            <w:tcW w:w="1122" w:type="dxa"/>
            <w:vMerge w:val="continue"/>
            <w:vAlign w:val="center"/>
          </w:tcPr>
          <w:p>
            <w:pPr>
              <w:keepNext w:val="0"/>
              <w:keepLines w:val="0"/>
              <w:pageBreakBefore w:val="0"/>
              <w:widowControl w:val="0"/>
              <w:shd w:val="clear" w:color="auto" w:fill="auto"/>
              <w:kinsoku/>
              <w:wordWrap/>
              <w:overflowPunct/>
              <w:topLinePunct w:val="0"/>
              <w:autoSpaceDE/>
              <w:autoSpaceDN/>
              <w:bidi w:val="0"/>
              <w:adjustRightInd w:val="0"/>
              <w:spacing w:beforeAutospacing="0" w:afterAutospacing="0" w:line="240" w:lineRule="auto"/>
              <w:ind w:left="0" w:leftChars="0" w:right="0" w:rightChars="0" w:firstLine="0" w:firstLineChars="0"/>
              <w:jc w:val="left"/>
              <w:textAlignment w:val="auto"/>
              <w:outlineLvl w:val="0"/>
              <w:rPr>
                <w:rFonts w:hint="eastAsia" w:ascii="宋体" w:hAnsi="宋体" w:eastAsia="宋体" w:cs="宋体"/>
                <w:color w:val="auto"/>
                <w:sz w:val="24"/>
                <w:szCs w:val="24"/>
                <w:highlight w:val="none"/>
                <w:lang w:val="en-US" w:eastAsia="zh-CN"/>
              </w:rPr>
            </w:pPr>
          </w:p>
        </w:tc>
        <w:tc>
          <w:tcPr>
            <w:tcW w:w="4637" w:type="dxa"/>
            <w:gridSpan w:val="2"/>
            <w:vAlign w:val="center"/>
          </w:tcPr>
          <w:p>
            <w:pPr>
              <w:jc w:val="left"/>
              <w:rPr>
                <w:rFonts w:hint="eastAsia" w:ascii="宋体" w:hAnsi="宋体" w:eastAsia="宋体" w:cs="宋体"/>
                <w:kern w:val="0"/>
                <w:sz w:val="21"/>
                <w:szCs w:val="21"/>
                <w:lang w:val="en-US" w:eastAsia="zh-CN" w:bidi="ar"/>
              </w:rPr>
            </w:pPr>
            <w:r>
              <w:rPr>
                <w:rFonts w:hint="eastAsia" w:ascii="宋体" w:hAnsi="宋体" w:cs="宋体"/>
                <w:kern w:val="0"/>
                <w:szCs w:val="21"/>
                <w:lang w:bidi="ar"/>
              </w:rPr>
              <w:t>关键工序、复杂环节的相应技术措施内容科学合理，针对性强的得4分；措施内容基本合理，针对性较强得3分；措施内容基本合理得2分；措施内容一般，有提及得1分。内容缺失严重不得分。</w:t>
            </w:r>
          </w:p>
        </w:tc>
        <w:tc>
          <w:tcPr>
            <w:tcW w:w="1211" w:type="dxa"/>
            <w:vAlign w:val="center"/>
          </w:tcPr>
          <w:p>
            <w:pPr>
              <w:shd w:val="clear"/>
              <w:jc w:val="center"/>
              <w:rPr>
                <w:rFonts w:hint="eastAsia" w:ascii="宋体" w:hAnsi="宋体" w:eastAsia="宋体" w:cs="宋体"/>
                <w:color w:val="auto"/>
                <w:sz w:val="24"/>
                <w:szCs w:val="24"/>
                <w:highlight w:val="none"/>
                <w:lang w:val="en-US" w:eastAsia="zh-CN"/>
              </w:rPr>
            </w:pPr>
            <w:r>
              <w:rPr>
                <w:rFonts w:hint="eastAsia" w:ascii="宋体" w:hAnsi="宋体" w:cs="宋体"/>
                <w:kern w:val="0"/>
                <w:szCs w:val="21"/>
                <w:lang w:bidi="ar"/>
              </w:rPr>
              <w:t>4</w:t>
            </w:r>
          </w:p>
          <w:p>
            <w:pPr>
              <w:jc w:val="center"/>
              <w:rPr>
                <w:rFonts w:hint="eastAsia" w:ascii="宋体" w:hAnsi="宋体" w:eastAsia="宋体" w:cs="宋体"/>
                <w:kern w:val="0"/>
                <w:sz w:val="21"/>
                <w:szCs w:val="21"/>
                <w:lang w:val="en-US" w:eastAsia="zh-CN" w:bidi="ar"/>
              </w:rPr>
            </w:pPr>
            <w:r>
              <w:rPr>
                <w:rFonts w:hint="eastAsia" w:ascii="宋体" w:hAnsi="宋体" w:cs="宋体"/>
                <w:color w:val="auto"/>
                <w:sz w:val="22"/>
                <w:szCs w:val="22"/>
                <w:highlight w:val="none"/>
                <w:lang w:val="en-US" w:eastAsia="zh-CN"/>
              </w:rPr>
              <w:t>（主观分）</w:t>
            </w:r>
          </w:p>
        </w:tc>
        <w:tc>
          <w:tcPr>
            <w:tcW w:w="2122" w:type="dxa"/>
            <w:vAlign w:val="center"/>
          </w:tcPr>
          <w:p>
            <w:pPr>
              <w:snapToGrid w:val="0"/>
              <w:jc w:val="left"/>
              <w:rPr>
                <w:rFonts w:hint="eastAsia" w:ascii="宋体" w:hAnsi="宋体" w:eastAsia="宋体" w:cs="宋体"/>
                <w:kern w:val="0"/>
                <w:sz w:val="21"/>
                <w:szCs w:val="21"/>
                <w:lang w:val="en-US" w:eastAsia="zh-CN" w:bidi="ar"/>
              </w:rPr>
            </w:pPr>
            <w:r>
              <w:rPr>
                <w:rFonts w:hint="eastAsia" w:ascii="宋体" w:hAnsi="宋体" w:cs="宋体"/>
                <w:kern w:val="0"/>
                <w:szCs w:val="21"/>
                <w:lang w:bidi="ar"/>
              </w:rPr>
              <w:t>关键工序、复杂环节的相应技术措施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90" w:type="dxa"/>
            <w:vAlign w:val="center"/>
          </w:tcPr>
          <w:p>
            <w:pPr>
              <w:keepNext w:val="0"/>
              <w:keepLines w:val="0"/>
              <w:pageBreakBefore w:val="0"/>
              <w:widowControl w:val="0"/>
              <w:shd w:val="clear"/>
              <w:kinsoku/>
              <w:wordWrap/>
              <w:overflowPunct/>
              <w:topLinePunct w:val="0"/>
              <w:autoSpaceDE/>
              <w:autoSpaceDN/>
              <w:bidi w:val="0"/>
              <w:adjustRightInd w:val="0"/>
              <w:spacing w:beforeAutospacing="0" w:afterAutospacing="0" w:line="240" w:lineRule="auto"/>
              <w:ind w:left="0" w:leftChars="0" w:right="0" w:rightChars="0" w:firstLine="0" w:firstLineChars="0"/>
              <w:jc w:val="center"/>
              <w:textAlignment w:val="auto"/>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5759" w:type="dxa"/>
            <w:gridSpan w:val="3"/>
            <w:vAlign w:val="center"/>
          </w:tcPr>
          <w:p>
            <w:pPr>
              <w:jc w:val="left"/>
              <w:rPr>
                <w:rFonts w:hint="eastAsia" w:ascii="宋体" w:hAnsi="宋体" w:eastAsia="宋体" w:cs="宋体"/>
                <w:kern w:val="0"/>
                <w:sz w:val="21"/>
                <w:szCs w:val="21"/>
                <w:lang w:val="en-US" w:eastAsia="zh-CN" w:bidi="ar"/>
              </w:rPr>
            </w:pPr>
            <w:r>
              <w:rPr>
                <w:rFonts w:hint="eastAsia" w:ascii="宋体" w:hAnsi="宋体" w:cs="宋体"/>
                <w:kern w:val="0"/>
                <w:szCs w:val="21"/>
                <w:lang w:bidi="ar"/>
              </w:rPr>
              <w:t>施工质量目标明确，质量控制措施科学、合理，且有技术支撑的得3分，质量措施合理得2分，质量措施基本合理得1分。严重缺失不得分。</w:t>
            </w:r>
          </w:p>
        </w:tc>
        <w:tc>
          <w:tcPr>
            <w:tcW w:w="1211" w:type="dxa"/>
            <w:vAlign w:val="center"/>
          </w:tcPr>
          <w:p>
            <w:pPr>
              <w:shd w:val="clear"/>
              <w:jc w:val="center"/>
              <w:rPr>
                <w:rFonts w:hint="eastAsia" w:ascii="宋体" w:hAnsi="宋体" w:eastAsia="宋体" w:cs="宋体"/>
                <w:color w:val="auto"/>
                <w:sz w:val="24"/>
                <w:szCs w:val="24"/>
                <w:highlight w:val="none"/>
                <w:lang w:val="en-US" w:eastAsia="zh-CN"/>
              </w:rPr>
            </w:pPr>
            <w:r>
              <w:rPr>
                <w:rFonts w:hint="eastAsia" w:ascii="宋体" w:hAnsi="宋体" w:cs="宋体"/>
                <w:kern w:val="0"/>
                <w:szCs w:val="21"/>
                <w:lang w:bidi="ar"/>
              </w:rPr>
              <w:t>3</w:t>
            </w:r>
          </w:p>
          <w:p>
            <w:pPr>
              <w:jc w:val="center"/>
              <w:rPr>
                <w:rFonts w:hint="eastAsia" w:ascii="宋体" w:hAnsi="宋体" w:eastAsia="宋体" w:cs="宋体"/>
                <w:kern w:val="0"/>
                <w:sz w:val="21"/>
                <w:szCs w:val="21"/>
                <w:lang w:val="en-US" w:eastAsia="zh-CN" w:bidi="ar"/>
              </w:rPr>
            </w:pPr>
            <w:r>
              <w:rPr>
                <w:rFonts w:hint="eastAsia" w:ascii="宋体" w:hAnsi="宋体" w:cs="宋体"/>
                <w:color w:val="auto"/>
                <w:sz w:val="22"/>
                <w:szCs w:val="22"/>
                <w:highlight w:val="none"/>
                <w:lang w:val="en-US" w:eastAsia="zh-CN"/>
              </w:rPr>
              <w:t>（主观分）</w:t>
            </w:r>
          </w:p>
        </w:tc>
        <w:tc>
          <w:tcPr>
            <w:tcW w:w="2122" w:type="dxa"/>
            <w:vAlign w:val="center"/>
          </w:tcPr>
          <w:p>
            <w:pPr>
              <w:snapToGrid w:val="0"/>
              <w:jc w:val="left"/>
              <w:rPr>
                <w:rFonts w:hint="eastAsia" w:ascii="宋体" w:hAnsi="宋体" w:eastAsia="宋体" w:cs="宋体"/>
                <w:kern w:val="0"/>
                <w:sz w:val="21"/>
                <w:szCs w:val="21"/>
                <w:lang w:val="en-US" w:eastAsia="zh-CN" w:bidi="ar"/>
              </w:rPr>
            </w:pPr>
            <w:r>
              <w:rPr>
                <w:rFonts w:hint="eastAsia" w:ascii="宋体" w:hAnsi="宋体" w:cs="宋体"/>
                <w:kern w:val="0"/>
                <w:szCs w:val="21"/>
                <w:lang w:bidi="ar"/>
              </w:rPr>
              <w:t>质量控制措施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90" w:type="dxa"/>
            <w:vAlign w:val="center"/>
          </w:tcPr>
          <w:p>
            <w:pPr>
              <w:keepNext w:val="0"/>
              <w:keepLines w:val="0"/>
              <w:pageBreakBefore w:val="0"/>
              <w:widowControl w:val="0"/>
              <w:shd w:val="clear"/>
              <w:kinsoku/>
              <w:wordWrap/>
              <w:overflowPunct/>
              <w:topLinePunct w:val="0"/>
              <w:autoSpaceDE/>
              <w:autoSpaceDN/>
              <w:bidi w:val="0"/>
              <w:adjustRightInd w:val="0"/>
              <w:spacing w:beforeAutospacing="0" w:afterAutospacing="0" w:line="240" w:lineRule="auto"/>
              <w:ind w:left="0" w:leftChars="0" w:right="0" w:rightChars="0" w:firstLine="0" w:firstLineChars="0"/>
              <w:jc w:val="center"/>
              <w:textAlignment w:val="auto"/>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5759" w:type="dxa"/>
            <w:gridSpan w:val="3"/>
            <w:vAlign w:val="center"/>
          </w:tcPr>
          <w:p>
            <w:pPr>
              <w:jc w:val="left"/>
              <w:rPr>
                <w:rFonts w:hint="eastAsia" w:ascii="宋体" w:hAnsi="宋体" w:eastAsia="宋体" w:cs="宋体"/>
                <w:kern w:val="0"/>
                <w:sz w:val="21"/>
                <w:szCs w:val="21"/>
                <w:lang w:val="en-US" w:eastAsia="zh-CN" w:bidi="ar"/>
              </w:rPr>
            </w:pPr>
            <w:r>
              <w:rPr>
                <w:rFonts w:hint="eastAsia" w:ascii="宋体" w:hAnsi="宋体" w:cs="宋体"/>
                <w:kern w:val="0"/>
                <w:szCs w:val="21"/>
                <w:lang w:bidi="ar"/>
              </w:rPr>
              <w:t>安全、文明施工及市政、市容、环保、消防等的保证措施科学、合理、到位的得3分，措施合理得2分，措施基本合理得1分。严重缺失不得分。</w:t>
            </w:r>
          </w:p>
        </w:tc>
        <w:tc>
          <w:tcPr>
            <w:tcW w:w="1211" w:type="dxa"/>
            <w:vAlign w:val="center"/>
          </w:tcPr>
          <w:p>
            <w:pPr>
              <w:shd w:val="clear"/>
              <w:jc w:val="center"/>
              <w:rPr>
                <w:rFonts w:hint="eastAsia" w:ascii="宋体" w:hAnsi="宋体" w:eastAsia="宋体" w:cs="宋体"/>
                <w:color w:val="auto"/>
                <w:sz w:val="24"/>
                <w:szCs w:val="24"/>
                <w:highlight w:val="none"/>
                <w:lang w:val="en-US" w:eastAsia="zh-CN"/>
              </w:rPr>
            </w:pPr>
            <w:r>
              <w:rPr>
                <w:rFonts w:hint="eastAsia" w:ascii="宋体" w:hAnsi="宋体" w:cs="宋体"/>
                <w:kern w:val="0"/>
                <w:szCs w:val="21"/>
                <w:lang w:bidi="ar"/>
              </w:rPr>
              <w:t>3</w:t>
            </w:r>
          </w:p>
          <w:p>
            <w:pPr>
              <w:jc w:val="center"/>
              <w:rPr>
                <w:rFonts w:hint="eastAsia" w:ascii="宋体" w:hAnsi="宋体" w:eastAsia="宋体" w:cs="宋体"/>
                <w:kern w:val="0"/>
                <w:sz w:val="21"/>
                <w:szCs w:val="21"/>
                <w:lang w:val="en-US" w:eastAsia="zh-CN" w:bidi="ar"/>
              </w:rPr>
            </w:pPr>
            <w:r>
              <w:rPr>
                <w:rFonts w:hint="eastAsia" w:ascii="宋体" w:hAnsi="宋体" w:cs="宋体"/>
                <w:color w:val="auto"/>
                <w:sz w:val="22"/>
                <w:szCs w:val="22"/>
                <w:highlight w:val="none"/>
                <w:lang w:val="en-US" w:eastAsia="zh-CN"/>
              </w:rPr>
              <w:t>（主观分）</w:t>
            </w:r>
          </w:p>
        </w:tc>
        <w:tc>
          <w:tcPr>
            <w:tcW w:w="2122" w:type="dxa"/>
            <w:vAlign w:val="center"/>
          </w:tcPr>
          <w:p>
            <w:pPr>
              <w:snapToGrid w:val="0"/>
              <w:jc w:val="left"/>
              <w:rPr>
                <w:rFonts w:hint="eastAsia" w:ascii="宋体" w:hAnsi="宋体" w:eastAsia="宋体" w:cs="宋体"/>
                <w:kern w:val="0"/>
                <w:sz w:val="21"/>
                <w:szCs w:val="21"/>
                <w:lang w:val="en-US" w:eastAsia="zh-CN" w:bidi="ar"/>
              </w:rPr>
            </w:pPr>
            <w:r>
              <w:rPr>
                <w:rFonts w:hint="eastAsia" w:ascii="宋体" w:hAnsi="宋体" w:cs="宋体"/>
                <w:kern w:val="0"/>
                <w:szCs w:val="21"/>
                <w:lang w:bidi="ar"/>
              </w:rPr>
              <w:t>安全、文明施工及市政、市容、环保、消防等的保证措施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90" w:type="dxa"/>
            <w:vAlign w:val="center"/>
          </w:tcPr>
          <w:p>
            <w:pPr>
              <w:keepNext w:val="0"/>
              <w:keepLines w:val="0"/>
              <w:pageBreakBefore w:val="0"/>
              <w:widowControl w:val="0"/>
              <w:shd w:val="clear"/>
              <w:kinsoku/>
              <w:wordWrap/>
              <w:overflowPunct/>
              <w:topLinePunct w:val="0"/>
              <w:autoSpaceDE/>
              <w:autoSpaceDN/>
              <w:bidi w:val="0"/>
              <w:adjustRightInd w:val="0"/>
              <w:spacing w:beforeAutospacing="0" w:afterAutospacing="0" w:line="240" w:lineRule="auto"/>
              <w:ind w:left="0" w:leftChars="0" w:right="0" w:rightChars="0" w:firstLine="0" w:firstLineChars="0"/>
              <w:jc w:val="center"/>
              <w:textAlignment w:val="auto"/>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5759" w:type="dxa"/>
            <w:gridSpan w:val="3"/>
            <w:vAlign w:val="center"/>
          </w:tcPr>
          <w:p>
            <w:pPr>
              <w:jc w:val="left"/>
              <w:rPr>
                <w:rFonts w:hint="eastAsia" w:ascii="宋体" w:hAnsi="宋体" w:eastAsia="宋体" w:cs="宋体"/>
                <w:kern w:val="0"/>
                <w:sz w:val="21"/>
                <w:szCs w:val="21"/>
                <w:lang w:val="en-US" w:eastAsia="zh-CN" w:bidi="ar"/>
              </w:rPr>
            </w:pPr>
            <w:r>
              <w:rPr>
                <w:rFonts w:hint="eastAsia" w:ascii="宋体" w:hAnsi="宋体" w:cs="宋体"/>
                <w:kern w:val="0"/>
                <w:szCs w:val="21"/>
                <w:lang w:bidi="ar"/>
              </w:rPr>
              <w:t>拟投入本工程的管理人员的岗位、专业及各专业工种劳动力配置科学合理证书齐全、针对性强的得3分；人员配置合理证书齐全，具有针对性得2分，人员配置基本合理得1分；严重缺失不得分。</w:t>
            </w:r>
          </w:p>
        </w:tc>
        <w:tc>
          <w:tcPr>
            <w:tcW w:w="1211" w:type="dxa"/>
            <w:vAlign w:val="center"/>
          </w:tcPr>
          <w:p>
            <w:pPr>
              <w:shd w:val="clear"/>
              <w:jc w:val="center"/>
              <w:rPr>
                <w:rFonts w:hint="eastAsia" w:ascii="宋体" w:hAnsi="宋体" w:eastAsia="宋体" w:cs="宋体"/>
                <w:color w:val="auto"/>
                <w:sz w:val="24"/>
                <w:szCs w:val="24"/>
                <w:highlight w:val="none"/>
                <w:lang w:val="en-US" w:eastAsia="zh-CN"/>
              </w:rPr>
            </w:pPr>
            <w:r>
              <w:rPr>
                <w:rFonts w:hint="eastAsia" w:ascii="宋体" w:hAnsi="宋体" w:cs="宋体"/>
                <w:kern w:val="0"/>
                <w:szCs w:val="21"/>
                <w:lang w:bidi="ar"/>
              </w:rPr>
              <w:t>3</w:t>
            </w:r>
          </w:p>
          <w:p>
            <w:pPr>
              <w:jc w:val="center"/>
              <w:rPr>
                <w:rFonts w:hint="eastAsia" w:ascii="宋体" w:hAnsi="宋体" w:eastAsia="宋体" w:cs="宋体"/>
                <w:kern w:val="0"/>
                <w:sz w:val="21"/>
                <w:szCs w:val="21"/>
                <w:lang w:val="en-US" w:eastAsia="zh-CN" w:bidi="ar"/>
              </w:rPr>
            </w:pPr>
            <w:r>
              <w:rPr>
                <w:rFonts w:hint="eastAsia" w:ascii="宋体" w:hAnsi="宋体" w:cs="宋体"/>
                <w:color w:val="auto"/>
                <w:sz w:val="22"/>
                <w:szCs w:val="22"/>
                <w:highlight w:val="none"/>
                <w:lang w:val="en-US" w:eastAsia="zh-CN"/>
              </w:rPr>
              <w:t>（主观分）</w:t>
            </w:r>
          </w:p>
        </w:tc>
        <w:tc>
          <w:tcPr>
            <w:tcW w:w="2122" w:type="dxa"/>
            <w:vAlign w:val="center"/>
          </w:tcPr>
          <w:p>
            <w:pPr>
              <w:snapToGrid w:val="0"/>
              <w:jc w:val="left"/>
              <w:rPr>
                <w:rFonts w:hint="eastAsia" w:ascii="宋体" w:hAnsi="宋体" w:eastAsia="宋体" w:cs="宋体"/>
                <w:kern w:val="0"/>
                <w:sz w:val="21"/>
                <w:szCs w:val="21"/>
                <w:lang w:val="en-US" w:eastAsia="zh-CN" w:bidi="ar"/>
              </w:rPr>
            </w:pPr>
            <w:r>
              <w:rPr>
                <w:rFonts w:hint="eastAsia" w:ascii="宋体" w:hAnsi="宋体" w:cs="宋体"/>
                <w:kern w:val="0"/>
                <w:szCs w:val="21"/>
                <w:lang w:bidi="ar"/>
              </w:rPr>
              <w:t>项目组人员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0" w:type="dxa"/>
            <w:vAlign w:val="center"/>
          </w:tcPr>
          <w:p>
            <w:pPr>
              <w:keepNext w:val="0"/>
              <w:keepLines w:val="0"/>
              <w:pageBreakBefore w:val="0"/>
              <w:widowControl w:val="0"/>
              <w:shd w:val="clear"/>
              <w:kinsoku/>
              <w:wordWrap/>
              <w:overflowPunct/>
              <w:topLinePunct w:val="0"/>
              <w:autoSpaceDE/>
              <w:autoSpaceDN/>
              <w:bidi w:val="0"/>
              <w:adjustRightInd w:val="0"/>
              <w:spacing w:beforeAutospacing="0" w:afterAutospacing="0" w:line="240" w:lineRule="auto"/>
              <w:ind w:left="0" w:leftChars="0" w:right="0" w:rightChars="0" w:firstLine="0" w:firstLineChars="0"/>
              <w:jc w:val="center"/>
              <w:textAlignment w:val="auto"/>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5759" w:type="dxa"/>
            <w:gridSpan w:val="3"/>
            <w:vAlign w:val="center"/>
          </w:tcPr>
          <w:p>
            <w:pPr>
              <w:jc w:val="left"/>
              <w:rPr>
                <w:rFonts w:hint="eastAsia" w:ascii="宋体" w:hAnsi="宋体" w:eastAsia="宋体" w:cs="宋体"/>
                <w:kern w:val="0"/>
                <w:sz w:val="21"/>
                <w:szCs w:val="21"/>
                <w:lang w:val="en-US" w:eastAsia="zh-CN" w:bidi="ar"/>
              </w:rPr>
            </w:pPr>
            <w:r>
              <w:rPr>
                <w:rFonts w:hint="eastAsia" w:ascii="宋体" w:hAnsi="宋体" w:cs="宋体"/>
                <w:kern w:val="0"/>
                <w:szCs w:val="21"/>
                <w:lang w:bidi="ar"/>
              </w:rPr>
              <w:t>施工机具和检验仪器的投入能够优于工程实施的需要，且与项目相适应针对性强得3分，施工机具和检验仪器的投入满足工程实施需求且针对性强得2分，施工机具和检验仪器的投入基本满足工程实施需求得1分。严重缺失不得分。</w:t>
            </w:r>
          </w:p>
        </w:tc>
        <w:tc>
          <w:tcPr>
            <w:tcW w:w="1211" w:type="dxa"/>
            <w:vAlign w:val="center"/>
          </w:tcPr>
          <w:p>
            <w:pPr>
              <w:shd w:val="clear"/>
              <w:jc w:val="center"/>
              <w:rPr>
                <w:rFonts w:hint="eastAsia" w:ascii="宋体" w:hAnsi="宋体" w:eastAsia="宋体" w:cs="宋体"/>
                <w:color w:val="auto"/>
                <w:sz w:val="24"/>
                <w:szCs w:val="24"/>
                <w:highlight w:val="none"/>
                <w:lang w:val="en-US" w:eastAsia="zh-CN"/>
              </w:rPr>
            </w:pPr>
            <w:r>
              <w:rPr>
                <w:rFonts w:hint="eastAsia" w:ascii="宋体" w:hAnsi="宋体" w:cs="宋体"/>
                <w:kern w:val="0"/>
                <w:szCs w:val="21"/>
                <w:lang w:bidi="ar"/>
              </w:rPr>
              <w:t>3</w:t>
            </w:r>
          </w:p>
          <w:p>
            <w:pPr>
              <w:jc w:val="center"/>
              <w:rPr>
                <w:rFonts w:hint="eastAsia" w:ascii="宋体" w:hAnsi="宋体" w:eastAsia="宋体" w:cs="宋体"/>
                <w:kern w:val="0"/>
                <w:sz w:val="21"/>
                <w:szCs w:val="21"/>
                <w:lang w:val="en-US" w:eastAsia="zh-CN" w:bidi="ar"/>
              </w:rPr>
            </w:pPr>
            <w:r>
              <w:rPr>
                <w:rFonts w:hint="eastAsia" w:ascii="宋体" w:hAnsi="宋体" w:cs="宋体"/>
                <w:color w:val="auto"/>
                <w:sz w:val="22"/>
                <w:szCs w:val="22"/>
                <w:highlight w:val="none"/>
                <w:lang w:val="en-US" w:eastAsia="zh-CN"/>
              </w:rPr>
              <w:t>（主观分）</w:t>
            </w:r>
          </w:p>
        </w:tc>
        <w:tc>
          <w:tcPr>
            <w:tcW w:w="2122" w:type="dxa"/>
            <w:vAlign w:val="center"/>
          </w:tcPr>
          <w:p>
            <w:pPr>
              <w:snapToGrid w:val="0"/>
              <w:jc w:val="left"/>
              <w:rPr>
                <w:rFonts w:hint="eastAsia" w:ascii="宋体" w:hAnsi="宋体" w:eastAsia="宋体" w:cs="宋体"/>
                <w:kern w:val="0"/>
                <w:sz w:val="21"/>
                <w:szCs w:val="21"/>
                <w:lang w:val="en-US" w:eastAsia="zh-CN" w:bidi="ar"/>
              </w:rPr>
            </w:pPr>
            <w:r>
              <w:rPr>
                <w:rFonts w:hint="eastAsia" w:ascii="宋体" w:hAnsi="宋体" w:cs="宋体"/>
                <w:kern w:val="0"/>
                <w:szCs w:val="21"/>
                <w:lang w:bidi="ar"/>
              </w:rPr>
              <w:t>施工机具和检验仪器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0" w:type="dxa"/>
            <w:vAlign w:val="center"/>
          </w:tcPr>
          <w:p>
            <w:pPr>
              <w:keepNext w:val="0"/>
              <w:keepLines w:val="0"/>
              <w:pageBreakBefore w:val="0"/>
              <w:widowControl w:val="0"/>
              <w:shd w:val="clear"/>
              <w:kinsoku/>
              <w:wordWrap/>
              <w:overflowPunct/>
              <w:topLinePunct w:val="0"/>
              <w:autoSpaceDE/>
              <w:autoSpaceDN/>
              <w:bidi w:val="0"/>
              <w:adjustRightInd w:val="0"/>
              <w:spacing w:beforeAutospacing="0" w:afterAutospacing="0" w:line="240" w:lineRule="auto"/>
              <w:ind w:left="0" w:leftChars="0" w:right="0" w:rightChars="0" w:firstLine="0" w:firstLineChars="0"/>
              <w:jc w:val="center"/>
              <w:textAlignment w:val="auto"/>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5759" w:type="dxa"/>
            <w:gridSpan w:val="3"/>
            <w:vAlign w:val="center"/>
          </w:tcPr>
          <w:p>
            <w:pPr>
              <w:jc w:val="left"/>
              <w:rPr>
                <w:rFonts w:hint="eastAsia" w:ascii="宋体" w:hAnsi="宋体" w:eastAsia="宋体" w:cs="宋体"/>
                <w:kern w:val="0"/>
                <w:sz w:val="21"/>
                <w:szCs w:val="21"/>
                <w:lang w:val="en-US" w:eastAsia="zh-CN" w:bidi="ar"/>
              </w:rPr>
            </w:pPr>
            <w:r>
              <w:rPr>
                <w:rFonts w:hint="eastAsia" w:ascii="宋体" w:hAnsi="宋体" w:cs="宋体"/>
                <w:kern w:val="0"/>
                <w:szCs w:val="21"/>
                <w:lang w:bidi="ar"/>
              </w:rPr>
              <w:t>材料设备进场计划及施工计划情况：具有详细的材料设备进场计划且计划周密，材料数量、质量控制，时间安排合理，满足施工需要，合理得</w:t>
            </w:r>
            <w:r>
              <w:rPr>
                <w:rFonts w:ascii="宋体" w:hAnsi="宋体" w:cs="宋体"/>
                <w:kern w:val="0"/>
                <w:szCs w:val="21"/>
                <w:lang w:bidi="ar"/>
              </w:rPr>
              <w:t>3</w:t>
            </w:r>
            <w:r>
              <w:rPr>
                <w:rFonts w:hint="eastAsia" w:ascii="宋体" w:hAnsi="宋体" w:cs="宋体"/>
                <w:kern w:val="0"/>
                <w:szCs w:val="21"/>
                <w:lang w:bidi="ar"/>
              </w:rPr>
              <w:t>分，基本合理得</w:t>
            </w:r>
            <w:r>
              <w:rPr>
                <w:rFonts w:ascii="宋体" w:hAnsi="宋体" w:cs="宋体"/>
                <w:kern w:val="0"/>
                <w:szCs w:val="21"/>
                <w:lang w:bidi="ar"/>
              </w:rPr>
              <w:t>2</w:t>
            </w:r>
            <w:r>
              <w:rPr>
                <w:rFonts w:hint="eastAsia" w:ascii="宋体" w:hAnsi="宋体" w:cs="宋体"/>
                <w:kern w:val="0"/>
                <w:szCs w:val="21"/>
                <w:lang w:bidi="ar"/>
              </w:rPr>
              <w:t>分，较差的得1分，未提供材料设备进场计划及施工计划的不得分。</w:t>
            </w:r>
          </w:p>
        </w:tc>
        <w:tc>
          <w:tcPr>
            <w:tcW w:w="1211" w:type="dxa"/>
            <w:vAlign w:val="center"/>
          </w:tcPr>
          <w:p>
            <w:pPr>
              <w:shd w:val="clear"/>
              <w:jc w:val="center"/>
              <w:rPr>
                <w:rFonts w:hint="eastAsia" w:ascii="宋体" w:hAnsi="宋体" w:eastAsia="宋体" w:cs="宋体"/>
                <w:color w:val="auto"/>
                <w:sz w:val="24"/>
                <w:szCs w:val="24"/>
                <w:highlight w:val="none"/>
                <w:lang w:val="en-US" w:eastAsia="zh-CN"/>
              </w:rPr>
            </w:pPr>
            <w:r>
              <w:rPr>
                <w:rFonts w:ascii="宋体" w:hAnsi="宋体" w:cs="宋体"/>
                <w:kern w:val="0"/>
                <w:szCs w:val="21"/>
                <w:lang w:bidi="ar"/>
              </w:rPr>
              <w:t>3</w:t>
            </w:r>
          </w:p>
          <w:p>
            <w:pPr>
              <w:jc w:val="center"/>
              <w:rPr>
                <w:rFonts w:hint="eastAsia" w:ascii="宋体" w:hAnsi="宋体" w:eastAsia="宋体" w:cs="宋体"/>
                <w:kern w:val="0"/>
                <w:sz w:val="21"/>
                <w:szCs w:val="21"/>
                <w:lang w:val="en-US" w:eastAsia="zh-CN" w:bidi="ar"/>
              </w:rPr>
            </w:pPr>
            <w:r>
              <w:rPr>
                <w:rFonts w:hint="eastAsia" w:ascii="宋体" w:hAnsi="宋体" w:cs="宋体"/>
                <w:color w:val="auto"/>
                <w:sz w:val="22"/>
                <w:szCs w:val="22"/>
                <w:highlight w:val="none"/>
                <w:lang w:val="en-US" w:eastAsia="zh-CN"/>
              </w:rPr>
              <w:t>（主观分）</w:t>
            </w:r>
          </w:p>
        </w:tc>
        <w:tc>
          <w:tcPr>
            <w:tcW w:w="2122" w:type="dxa"/>
            <w:vAlign w:val="center"/>
          </w:tcPr>
          <w:p>
            <w:pPr>
              <w:snapToGrid w:val="0"/>
              <w:jc w:val="left"/>
              <w:rPr>
                <w:rFonts w:hint="eastAsia" w:ascii="宋体" w:hAnsi="宋体" w:eastAsia="宋体" w:cs="宋体"/>
                <w:kern w:val="0"/>
                <w:sz w:val="21"/>
                <w:szCs w:val="21"/>
                <w:lang w:val="en-US" w:eastAsia="zh-CN" w:bidi="ar"/>
              </w:rPr>
            </w:pPr>
            <w:r>
              <w:rPr>
                <w:rFonts w:hint="eastAsia" w:ascii="宋体" w:hAnsi="宋体" w:cs="宋体"/>
                <w:kern w:val="0"/>
                <w:szCs w:val="21"/>
                <w:lang w:bidi="ar"/>
              </w:rPr>
              <w:t>材料设备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0" w:type="dxa"/>
            <w:vAlign w:val="center"/>
          </w:tcPr>
          <w:p>
            <w:pPr>
              <w:keepNext w:val="0"/>
              <w:keepLines w:val="0"/>
              <w:pageBreakBefore w:val="0"/>
              <w:widowControl w:val="0"/>
              <w:shd w:val="clear"/>
              <w:kinsoku/>
              <w:wordWrap/>
              <w:overflowPunct/>
              <w:topLinePunct w:val="0"/>
              <w:autoSpaceDE/>
              <w:autoSpaceDN/>
              <w:bidi w:val="0"/>
              <w:adjustRightInd w:val="0"/>
              <w:spacing w:beforeAutospacing="0" w:afterAutospacing="0" w:line="240" w:lineRule="auto"/>
              <w:ind w:left="0" w:leftChars="0" w:right="0" w:rightChars="0" w:firstLine="0" w:firstLineChars="0"/>
              <w:jc w:val="center"/>
              <w:textAlignment w:val="auto"/>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5759" w:type="dxa"/>
            <w:gridSpan w:val="3"/>
            <w:vAlign w:val="center"/>
          </w:tcPr>
          <w:p>
            <w:pPr>
              <w:jc w:val="left"/>
              <w:rPr>
                <w:rFonts w:hint="eastAsia" w:ascii="宋体" w:hAnsi="宋体" w:eastAsia="宋体" w:cs="宋体"/>
                <w:kern w:val="0"/>
                <w:sz w:val="21"/>
                <w:szCs w:val="21"/>
                <w:lang w:val="en-US" w:eastAsia="zh-CN" w:bidi="ar"/>
              </w:rPr>
            </w:pPr>
            <w:r>
              <w:rPr>
                <w:rFonts w:hint="eastAsia" w:ascii="宋体" w:hAnsi="宋体" w:cs="宋体"/>
                <w:kern w:val="0"/>
                <w:szCs w:val="21"/>
                <w:lang w:bidi="ar"/>
              </w:rPr>
              <w:t>投标人对成品保护的保证措施合理、科学，具有可操作性得3分，措施合理得2分，措施基本合理得1分。严重缺失不得分。</w:t>
            </w:r>
          </w:p>
        </w:tc>
        <w:tc>
          <w:tcPr>
            <w:tcW w:w="1211" w:type="dxa"/>
            <w:vAlign w:val="center"/>
          </w:tcPr>
          <w:p>
            <w:pPr>
              <w:shd w:val="clear"/>
              <w:jc w:val="center"/>
              <w:rPr>
                <w:rFonts w:hint="eastAsia" w:ascii="宋体" w:hAnsi="宋体" w:eastAsia="宋体" w:cs="宋体"/>
                <w:color w:val="auto"/>
                <w:sz w:val="24"/>
                <w:szCs w:val="24"/>
                <w:highlight w:val="none"/>
                <w:lang w:val="en-US" w:eastAsia="zh-CN"/>
              </w:rPr>
            </w:pPr>
            <w:r>
              <w:rPr>
                <w:rFonts w:hint="eastAsia" w:ascii="宋体" w:hAnsi="宋体" w:cs="宋体"/>
                <w:kern w:val="0"/>
                <w:szCs w:val="21"/>
                <w:lang w:bidi="ar"/>
              </w:rPr>
              <w:t>3</w:t>
            </w:r>
          </w:p>
          <w:p>
            <w:pPr>
              <w:jc w:val="center"/>
              <w:rPr>
                <w:rFonts w:hint="eastAsia" w:ascii="宋体" w:hAnsi="宋体" w:eastAsia="宋体" w:cs="宋体"/>
                <w:kern w:val="0"/>
                <w:sz w:val="21"/>
                <w:szCs w:val="21"/>
                <w:lang w:val="en-US" w:eastAsia="zh-CN" w:bidi="ar"/>
              </w:rPr>
            </w:pPr>
            <w:r>
              <w:rPr>
                <w:rFonts w:hint="eastAsia" w:ascii="宋体" w:hAnsi="宋体" w:cs="宋体"/>
                <w:color w:val="auto"/>
                <w:sz w:val="22"/>
                <w:szCs w:val="22"/>
                <w:highlight w:val="none"/>
                <w:lang w:val="en-US" w:eastAsia="zh-CN"/>
              </w:rPr>
              <w:t>（主观分）</w:t>
            </w:r>
          </w:p>
        </w:tc>
        <w:tc>
          <w:tcPr>
            <w:tcW w:w="2122" w:type="dxa"/>
            <w:vAlign w:val="center"/>
          </w:tcPr>
          <w:p>
            <w:pPr>
              <w:snapToGrid w:val="0"/>
              <w:jc w:val="left"/>
              <w:rPr>
                <w:rFonts w:hint="eastAsia" w:ascii="宋体" w:hAnsi="宋体" w:eastAsia="宋体" w:cs="宋体"/>
                <w:kern w:val="0"/>
                <w:sz w:val="21"/>
                <w:szCs w:val="21"/>
                <w:lang w:val="en-US" w:eastAsia="zh-CN" w:bidi="ar"/>
              </w:rPr>
            </w:pPr>
            <w:r>
              <w:rPr>
                <w:rFonts w:hint="eastAsia" w:ascii="宋体" w:hAnsi="宋体" w:cs="宋体"/>
                <w:kern w:val="0"/>
                <w:szCs w:val="21"/>
                <w:lang w:bidi="ar"/>
              </w:rPr>
              <w:t>成品保护的保证措施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0" w:type="dxa"/>
            <w:vAlign w:val="center"/>
          </w:tcPr>
          <w:p>
            <w:pPr>
              <w:keepNext w:val="0"/>
              <w:keepLines w:val="0"/>
              <w:pageBreakBefore w:val="0"/>
              <w:widowControl w:val="0"/>
              <w:shd w:val="clear"/>
              <w:kinsoku/>
              <w:wordWrap/>
              <w:overflowPunct/>
              <w:topLinePunct w:val="0"/>
              <w:autoSpaceDE/>
              <w:autoSpaceDN/>
              <w:bidi w:val="0"/>
              <w:adjustRightInd w:val="0"/>
              <w:spacing w:beforeAutospacing="0" w:afterAutospacing="0" w:line="240" w:lineRule="auto"/>
              <w:ind w:left="0" w:leftChars="0" w:right="0" w:rightChars="0" w:firstLine="0" w:firstLineChars="0"/>
              <w:jc w:val="center"/>
              <w:textAlignment w:val="auto"/>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5759" w:type="dxa"/>
            <w:gridSpan w:val="3"/>
            <w:vAlign w:val="center"/>
          </w:tcPr>
          <w:p>
            <w:pPr>
              <w:jc w:val="left"/>
              <w:rPr>
                <w:rFonts w:hint="eastAsia" w:ascii="宋体" w:hAnsi="宋体" w:eastAsia="宋体" w:cs="宋体"/>
                <w:kern w:val="0"/>
                <w:sz w:val="21"/>
                <w:szCs w:val="21"/>
                <w:lang w:val="en-US" w:eastAsia="zh-CN" w:bidi="ar"/>
              </w:rPr>
            </w:pPr>
            <w:r>
              <w:rPr>
                <w:rFonts w:hint="eastAsia" w:ascii="宋体" w:hAnsi="宋体" w:cs="宋体"/>
                <w:kern w:val="0"/>
                <w:szCs w:val="21"/>
                <w:lang w:bidi="ar"/>
              </w:rPr>
              <w:t>投标人的降噪措施合理、具有可操作性得2分，措施合理得1分，措施基本合理得0.5分。严重缺失不得分。</w:t>
            </w:r>
          </w:p>
        </w:tc>
        <w:tc>
          <w:tcPr>
            <w:tcW w:w="1211" w:type="dxa"/>
            <w:vAlign w:val="center"/>
          </w:tcPr>
          <w:p>
            <w:pPr>
              <w:shd w:val="clear"/>
              <w:jc w:val="center"/>
              <w:rPr>
                <w:rFonts w:hint="eastAsia" w:ascii="宋体" w:hAnsi="宋体" w:eastAsia="宋体" w:cs="宋体"/>
                <w:color w:val="auto"/>
                <w:sz w:val="24"/>
                <w:szCs w:val="24"/>
                <w:highlight w:val="none"/>
                <w:lang w:val="en-US" w:eastAsia="zh-CN"/>
              </w:rPr>
            </w:pPr>
            <w:r>
              <w:rPr>
                <w:rFonts w:hint="eastAsia" w:ascii="宋体" w:hAnsi="宋体" w:cs="宋体"/>
                <w:kern w:val="0"/>
                <w:szCs w:val="21"/>
                <w:lang w:bidi="ar"/>
              </w:rPr>
              <w:t>2</w:t>
            </w:r>
          </w:p>
          <w:p>
            <w:pPr>
              <w:jc w:val="center"/>
              <w:rPr>
                <w:rFonts w:hint="eastAsia" w:ascii="宋体" w:hAnsi="宋体" w:eastAsia="宋体" w:cs="宋体"/>
                <w:kern w:val="0"/>
                <w:sz w:val="21"/>
                <w:szCs w:val="21"/>
                <w:lang w:val="en-US" w:eastAsia="zh-CN" w:bidi="ar"/>
              </w:rPr>
            </w:pPr>
            <w:r>
              <w:rPr>
                <w:rFonts w:hint="eastAsia" w:ascii="宋体" w:hAnsi="宋体" w:cs="宋体"/>
                <w:color w:val="auto"/>
                <w:sz w:val="22"/>
                <w:szCs w:val="22"/>
                <w:highlight w:val="none"/>
                <w:lang w:val="en-US" w:eastAsia="zh-CN"/>
              </w:rPr>
              <w:t>（主观分）</w:t>
            </w:r>
          </w:p>
        </w:tc>
        <w:tc>
          <w:tcPr>
            <w:tcW w:w="2122" w:type="dxa"/>
            <w:vAlign w:val="center"/>
          </w:tcPr>
          <w:p>
            <w:pPr>
              <w:snapToGrid w:val="0"/>
              <w:jc w:val="left"/>
              <w:rPr>
                <w:rFonts w:hint="eastAsia" w:ascii="宋体" w:hAnsi="宋体" w:eastAsia="宋体" w:cs="宋体"/>
                <w:kern w:val="0"/>
                <w:sz w:val="21"/>
                <w:szCs w:val="21"/>
                <w:lang w:val="en-US" w:eastAsia="zh-CN" w:bidi="ar"/>
              </w:rPr>
            </w:pPr>
            <w:r>
              <w:rPr>
                <w:rFonts w:hint="eastAsia" w:ascii="宋体" w:hAnsi="宋体" w:cs="宋体"/>
                <w:kern w:val="0"/>
                <w:szCs w:val="21"/>
                <w:lang w:bidi="ar"/>
              </w:rPr>
              <w:t>降噪措施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0" w:type="dxa"/>
            <w:vAlign w:val="center"/>
          </w:tcPr>
          <w:p>
            <w:pPr>
              <w:keepNext w:val="0"/>
              <w:keepLines w:val="0"/>
              <w:pageBreakBefore w:val="0"/>
              <w:widowControl w:val="0"/>
              <w:shd w:val="clear"/>
              <w:kinsoku/>
              <w:wordWrap/>
              <w:overflowPunct/>
              <w:topLinePunct w:val="0"/>
              <w:autoSpaceDE/>
              <w:autoSpaceDN/>
              <w:bidi w:val="0"/>
              <w:adjustRightInd w:val="0"/>
              <w:spacing w:beforeAutospacing="0" w:afterAutospacing="0" w:line="240" w:lineRule="auto"/>
              <w:ind w:left="0" w:leftChars="0" w:right="0" w:rightChars="0" w:firstLine="0" w:firstLineChars="0"/>
              <w:jc w:val="center"/>
              <w:textAlignment w:val="auto"/>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5759" w:type="dxa"/>
            <w:gridSpan w:val="3"/>
            <w:vAlign w:val="center"/>
          </w:tcPr>
          <w:p>
            <w:pPr>
              <w:jc w:val="left"/>
              <w:rPr>
                <w:rFonts w:hint="eastAsia" w:ascii="宋体" w:hAnsi="宋体" w:eastAsia="宋体" w:cs="宋体"/>
                <w:kern w:val="0"/>
                <w:sz w:val="21"/>
                <w:szCs w:val="21"/>
                <w:lang w:val="en-US" w:eastAsia="zh-CN" w:bidi="ar"/>
              </w:rPr>
            </w:pPr>
            <w:r>
              <w:rPr>
                <w:rFonts w:hint="eastAsia" w:ascii="宋体" w:hAnsi="宋体" w:cs="宋体"/>
                <w:kern w:val="0"/>
                <w:szCs w:val="21"/>
                <w:lang w:bidi="ar"/>
              </w:rPr>
              <w:t>优惠措施：针对项目的优惠措施，确有利于项目实施的，每条得</w:t>
            </w:r>
            <w:r>
              <w:rPr>
                <w:rFonts w:ascii="宋体" w:hAnsi="宋体" w:cs="宋体"/>
                <w:kern w:val="0"/>
                <w:szCs w:val="21"/>
                <w:lang w:bidi="ar"/>
              </w:rPr>
              <w:t>1</w:t>
            </w:r>
            <w:r>
              <w:rPr>
                <w:rFonts w:hint="eastAsia" w:ascii="宋体" w:hAnsi="宋体" w:cs="宋体"/>
                <w:kern w:val="0"/>
                <w:szCs w:val="21"/>
                <w:lang w:bidi="ar"/>
              </w:rPr>
              <w:t>分，最高得</w:t>
            </w:r>
            <w:r>
              <w:rPr>
                <w:rFonts w:ascii="宋体" w:hAnsi="宋体" w:cs="宋体"/>
                <w:kern w:val="0"/>
                <w:szCs w:val="21"/>
                <w:lang w:bidi="ar"/>
              </w:rPr>
              <w:t>2</w:t>
            </w:r>
            <w:r>
              <w:rPr>
                <w:rFonts w:hint="eastAsia" w:ascii="宋体" w:hAnsi="宋体" w:cs="宋体"/>
                <w:kern w:val="0"/>
                <w:szCs w:val="21"/>
                <w:lang w:bidi="ar"/>
              </w:rPr>
              <w:t>分。</w:t>
            </w:r>
          </w:p>
        </w:tc>
        <w:tc>
          <w:tcPr>
            <w:tcW w:w="1211" w:type="dxa"/>
            <w:vAlign w:val="center"/>
          </w:tcPr>
          <w:p>
            <w:pPr>
              <w:shd w:val="clear"/>
              <w:jc w:val="center"/>
              <w:rPr>
                <w:rFonts w:hint="eastAsia" w:ascii="宋体" w:hAnsi="宋体" w:eastAsia="宋体" w:cs="宋体"/>
                <w:color w:val="auto"/>
                <w:sz w:val="24"/>
                <w:szCs w:val="24"/>
                <w:highlight w:val="none"/>
                <w:lang w:val="en-US" w:eastAsia="zh-CN"/>
              </w:rPr>
            </w:pPr>
            <w:r>
              <w:rPr>
                <w:rFonts w:ascii="宋体" w:hAnsi="宋体" w:cs="宋体"/>
                <w:kern w:val="0"/>
                <w:szCs w:val="21"/>
                <w:lang w:bidi="ar"/>
              </w:rPr>
              <w:t>2</w:t>
            </w:r>
          </w:p>
          <w:p>
            <w:pPr>
              <w:jc w:val="center"/>
              <w:rPr>
                <w:rFonts w:hint="eastAsia" w:ascii="宋体" w:hAnsi="宋体" w:eastAsia="宋体" w:cs="宋体"/>
                <w:kern w:val="0"/>
                <w:sz w:val="21"/>
                <w:szCs w:val="21"/>
                <w:lang w:val="en-US" w:eastAsia="zh-CN" w:bidi="ar"/>
              </w:rPr>
            </w:pPr>
            <w:r>
              <w:rPr>
                <w:rFonts w:hint="eastAsia" w:ascii="宋体" w:hAnsi="宋体" w:cs="宋体"/>
                <w:color w:val="auto"/>
                <w:sz w:val="22"/>
                <w:szCs w:val="22"/>
                <w:highlight w:val="none"/>
                <w:lang w:val="en-US" w:eastAsia="zh-CN"/>
              </w:rPr>
              <w:t>（主观分）</w:t>
            </w:r>
          </w:p>
        </w:tc>
        <w:tc>
          <w:tcPr>
            <w:tcW w:w="2122" w:type="dxa"/>
            <w:vAlign w:val="center"/>
          </w:tcPr>
          <w:p>
            <w:pPr>
              <w:snapToGrid w:val="0"/>
              <w:jc w:val="left"/>
              <w:rPr>
                <w:rFonts w:hint="eastAsia" w:ascii="宋体" w:hAnsi="宋体" w:eastAsia="宋体" w:cs="宋体"/>
                <w:kern w:val="0"/>
                <w:sz w:val="21"/>
                <w:szCs w:val="21"/>
                <w:lang w:val="en-US" w:eastAsia="zh-CN" w:bidi="ar"/>
              </w:rPr>
            </w:pPr>
            <w:r>
              <w:rPr>
                <w:rFonts w:hint="eastAsia" w:ascii="宋体" w:hAnsi="宋体" w:cs="宋体"/>
                <w:kern w:val="0"/>
                <w:szCs w:val="21"/>
                <w:lang w:bidi="ar"/>
              </w:rPr>
              <w:t>优惠措施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pPr>
              <w:shd w:val="clea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5759" w:type="dxa"/>
            <w:gridSpan w:val="3"/>
            <w:vAlign w:val="top"/>
          </w:tcPr>
          <w:p>
            <w:pPr>
              <w:shd w:val="clea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有效投标报价的最低价作为评标基准价，其最低报价为满分；按［投标报价得分=（评标基准价/投标最后报价）*30］的计算公式计算。</w:t>
            </w:r>
          </w:p>
          <w:p>
            <w:pPr>
              <w:shd w:val="clea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评标过程中，不得去掉报价中的最高报价和最低报价。</w:t>
            </w:r>
          </w:p>
          <w:p>
            <w:pPr>
              <w:shd w:val="clea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因落实政府采购政策需要进行价格调整的，以调整后的价格计算评标基准价和投标报价。</w:t>
            </w:r>
          </w:p>
        </w:tc>
        <w:tc>
          <w:tcPr>
            <w:tcW w:w="1211" w:type="dxa"/>
            <w:vAlign w:val="center"/>
          </w:tcPr>
          <w:p>
            <w:pPr>
              <w:shd w:val="clea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30</w:t>
            </w:r>
          </w:p>
        </w:tc>
        <w:tc>
          <w:tcPr>
            <w:tcW w:w="2122" w:type="dxa"/>
            <w:vAlign w:val="center"/>
          </w:tcPr>
          <w:p>
            <w:pPr>
              <w:shd w:val="clea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w:t>
            </w:r>
          </w:p>
        </w:tc>
      </w:tr>
    </w:tbl>
    <w:p>
      <w:pPr>
        <w:shd w:val="clear"/>
        <w:wordWrap/>
        <w:topLinePunct w:val="0"/>
        <w:bidi w:val="0"/>
        <w:snapToGrid w:val="0"/>
        <w:spacing w:line="360" w:lineRule="auto"/>
        <w:rPr>
          <w:rFonts w:hint="eastAsia" w:ascii="宋体" w:hAnsi="宋体" w:eastAsia="宋体" w:cs="宋体"/>
          <w:color w:val="auto"/>
          <w:sz w:val="24"/>
          <w:szCs w:val="24"/>
          <w:highlight w:val="yellow"/>
          <w:shd w:val="clear" w:color="auto" w:fill="FFFFFF"/>
        </w:rPr>
      </w:pPr>
    </w:p>
    <w:p>
      <w:pPr>
        <w:snapToGrid w:val="0"/>
        <w:spacing w:line="360" w:lineRule="auto"/>
        <w:rPr>
          <w:rFonts w:hint="eastAsia" w:ascii="宋体" w:hAnsi="宋体" w:cs="宋体"/>
          <w:b/>
          <w:color w:val="auto"/>
          <w:sz w:val="32"/>
          <w:szCs w:val="32"/>
          <w:highlight w:val="none"/>
        </w:rPr>
      </w:pPr>
      <w:r>
        <w:rPr>
          <w:rFonts w:hint="eastAsia" w:ascii="宋体" w:hAnsi="宋体" w:cs="宋体"/>
          <w:color w:val="auto"/>
          <w:sz w:val="24"/>
          <w:szCs w:val="24"/>
          <w:highlight w:val="none"/>
        </w:rPr>
        <w:t> *备注：供应商编制响应文件（商务技术文件部分）时，建议按此目录（序号和内容）提供评审标准相应的商务技术资料。 </w:t>
      </w:r>
    </w:p>
    <w:p>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2"/>
          <w:szCs w:val="32"/>
          <w:highlight w:val="none"/>
        </w:rPr>
        <w:t>一、评审方法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逐家磋商一次为一个轮次，磋商轮次根据实际情况进行（本项目磋商轮次为二轮报价即为最终报价）。</w:t>
      </w:r>
    </w:p>
    <w:p>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3.2.3 在磋商过程中，磋商小组可以根据磋商文件和磋商情况实质性变动采购需求中的“※”号技术、服务要求以及合同草案中的“※”号条款，但不得变动磋商文件中的其他内容。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left="488" w:leftChars="228" w:hanging="9" w:hangingChars="4"/>
        <w:rPr>
          <w:rFonts w:ascii="宋体" w:hAnsi="宋体" w:cs="宋体"/>
          <w:color w:val="auto"/>
          <w:kern w:val="0"/>
          <w:sz w:val="24"/>
          <w:highlight w:val="none"/>
        </w:rPr>
      </w:pPr>
      <w:r>
        <w:rPr>
          <w:rFonts w:hint="eastAsia" w:ascii="宋体" w:hAnsi="宋体" w:cs="宋体"/>
          <w:color w:val="auto"/>
          <w:kern w:val="0"/>
          <w:sz w:val="24"/>
          <w:highlight w:val="none"/>
        </w:rPr>
        <w:t>3.3.</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 xml:space="preserve"> 已提交响应文件的供应商，在提交最后报价之前，可以根据磋商情况退出磋商</w:t>
      </w:r>
      <w:r>
        <w:rPr>
          <w:rFonts w:hint="eastAsia" w:ascii="宋体" w:hAnsi="宋体" w:cs="宋体"/>
          <w:color w:val="auto"/>
          <w:kern w:val="0"/>
          <w:sz w:val="24"/>
          <w:highlight w:val="none"/>
          <w:lang w:eastAsia="zh-CN"/>
        </w:rPr>
        <w:t>。</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3.4.1.5政采云平台填报的开标一览表中的价格与上传的报价响应文件中开标一览表的报价不一致的，以上传的报价响应文件中开标一览表的价格为准，修正平台上的投标报价。</w:t>
      </w:r>
    </w:p>
    <w:p>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w:t>
      </w:r>
      <w:r>
        <w:rPr>
          <w:rFonts w:hint="eastAsia" w:ascii="宋体" w:hAnsi="宋体" w:cs="宋体"/>
          <w:color w:val="auto"/>
          <w:kern w:val="0"/>
          <w:szCs w:val="24"/>
          <w:highlight w:val="none"/>
          <w:lang w:val="en-US" w:eastAsia="zh-CN"/>
        </w:rPr>
        <w:t>6</w:t>
      </w:r>
      <w:r>
        <w:rPr>
          <w:rFonts w:hint="eastAsia" w:ascii="宋体" w:hAnsi="宋体" w:cs="宋体"/>
          <w:color w:val="auto"/>
          <w:kern w:val="0"/>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pPr>
        <w:spacing w:line="360" w:lineRule="auto"/>
        <w:ind w:firstLine="472" w:firstLineChars="196"/>
        <w:rPr>
          <w:color w:val="auto"/>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4.2.10供应商提供虚假材料</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rPr>
        <w:t>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4.2.11供应商有恶意串通、妨碍其他供应商的竞争行为、损害采购人或者其他供应商的合法权益情形的；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4.2.12供应商仅提交备份响应文件，未在电子交易平台传输递交响应文件的，响应文件无效；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 响应文件不满足采购文件的其它实质性要求的；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pPr>
        <w:pStyle w:val="25"/>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5"/>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pPr>
        <w:pStyle w:val="25"/>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pPr>
        <w:pStyle w:val="25"/>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pPr>
        <w:pStyle w:val="25"/>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pPr>
        <w:pStyle w:val="25"/>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pPr>
        <w:pStyle w:val="25"/>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pPr>
        <w:pStyle w:val="25"/>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pPr>
        <w:pStyle w:val="25"/>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pPr>
        <w:pStyle w:val="25"/>
        <w:snapToGrid w:val="0"/>
        <w:spacing w:line="360" w:lineRule="auto"/>
        <w:ind w:firstLine="0" w:firstLineChars="0"/>
        <w:rPr>
          <w:rFonts w:cs="宋体"/>
          <w:color w:val="auto"/>
          <w:highlight w:val="none"/>
        </w:rPr>
        <w:sectPr>
          <w:pgSz w:w="11907" w:h="16840"/>
          <w:pgMar w:top="1327" w:right="1080" w:bottom="1327" w:left="1080" w:header="851" w:footer="851" w:gutter="0"/>
          <w:cols w:space="720" w:num="1"/>
        </w:sectPr>
      </w:pPr>
    </w:p>
    <w:bookmarkEnd w:id="31"/>
    <w:p>
      <w:pPr>
        <w:spacing w:line="360" w:lineRule="auto"/>
        <w:jc w:val="center"/>
        <w:outlineLvl w:val="0"/>
        <w:rPr>
          <w:rFonts w:ascii="宋体" w:hAnsi="宋体" w:cs="宋体"/>
          <w:b/>
          <w:color w:val="auto"/>
          <w:sz w:val="36"/>
          <w:szCs w:val="36"/>
          <w:highlight w:val="none"/>
        </w:rPr>
      </w:pPr>
      <w:bookmarkStart w:id="397" w:name="第五部分"/>
      <w:bookmarkStart w:id="398" w:name="_Toc86217003"/>
      <w:r>
        <w:rPr>
          <w:rFonts w:hint="eastAsia" w:ascii="宋体" w:hAnsi="宋体" w:cs="宋体"/>
          <w:b/>
          <w:color w:val="auto"/>
          <w:sz w:val="36"/>
          <w:szCs w:val="36"/>
          <w:highlight w:val="none"/>
        </w:rPr>
        <w:t>第五部分 拟签订的合同文本</w:t>
      </w:r>
    </w:p>
    <w:p>
      <w:pPr>
        <w:shd w:val="clear"/>
        <w:wordWrap/>
        <w:topLinePunct w:val="0"/>
        <w:bidi w:val="0"/>
        <w:snapToGrid w:val="0"/>
        <w:spacing w:line="360" w:lineRule="auto"/>
        <w:ind w:firstLine="480" w:firstLineChars="200"/>
        <w:jc w:val="left"/>
        <w:rPr>
          <w:rFonts w:hint="eastAsia" w:ascii="仿宋" w:hAnsi="仿宋" w:eastAsia="仿宋" w:cs="仿宋"/>
          <w:snapToGrid w:val="0"/>
          <w:color w:val="auto"/>
          <w:kern w:val="0"/>
          <w:sz w:val="24"/>
          <w:szCs w:val="20"/>
          <w:highlight w:val="none"/>
        </w:rPr>
      </w:pPr>
      <w:r>
        <w:rPr>
          <w:rFonts w:hint="eastAsia" w:ascii="仿宋" w:hAnsi="仿宋" w:eastAsia="仿宋" w:cs="仿宋"/>
          <w:snapToGrid w:val="0"/>
          <w:color w:val="auto"/>
          <w:kern w:val="0"/>
          <w:sz w:val="24"/>
          <w:szCs w:val="20"/>
          <w:highlight w:val="none"/>
        </w:rPr>
        <w:t>使用住房城乡建设部、原国家工商行政管理总局制定的《建设工程施工合同（示范文本）》（GF-2017-0201）。</w:t>
      </w:r>
    </w:p>
    <w:p>
      <w:pPr>
        <w:shd w:val="clear"/>
        <w:wordWrap/>
        <w:topLinePunct w:val="0"/>
        <w:bidi w:val="0"/>
        <w:spacing w:line="360" w:lineRule="auto"/>
        <w:ind w:left="840" w:leftChars="0" w:hanging="840" w:hangingChars="3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shd w:val="clear"/>
        <w:wordWrap/>
        <w:topLinePunct w:val="0"/>
        <w:bidi w:val="0"/>
        <w:spacing w:line="360" w:lineRule="auto"/>
        <w:jc w:val="center"/>
        <w:rPr>
          <w:rFonts w:hint="eastAsia" w:ascii="仿宋" w:hAnsi="仿宋" w:eastAsia="仿宋" w:cs="仿宋"/>
          <w:b/>
          <w:bCs/>
          <w:color w:val="auto"/>
          <w:sz w:val="80"/>
          <w:szCs w:val="80"/>
          <w:highlight w:val="none"/>
        </w:rPr>
      </w:pPr>
      <w:r>
        <w:rPr>
          <w:rFonts w:hint="eastAsia" w:ascii="仿宋" w:hAnsi="仿宋" w:eastAsia="仿宋" w:cs="仿宋"/>
          <w:b/>
          <w:bCs/>
          <w:color w:val="auto"/>
          <w:sz w:val="80"/>
          <w:szCs w:val="80"/>
          <w:highlight w:val="none"/>
        </w:rPr>
        <w:t>建设工程施工合同</w:t>
      </w:r>
    </w:p>
    <w:p>
      <w:pPr>
        <w:shd w:val="clear"/>
        <w:wordWrap/>
        <w:topLinePunct w:val="0"/>
        <w:bidi w:val="0"/>
        <w:spacing w:line="360" w:lineRule="auto"/>
        <w:jc w:val="center"/>
        <w:rPr>
          <w:rFonts w:hint="eastAsia" w:ascii="仿宋" w:hAnsi="仿宋" w:eastAsia="仿宋" w:cs="仿宋"/>
          <w:b/>
          <w:bCs/>
          <w:color w:val="auto"/>
          <w:spacing w:val="26"/>
          <w:sz w:val="32"/>
          <w:szCs w:val="32"/>
          <w:highlight w:val="none"/>
        </w:rPr>
      </w:pPr>
      <w:r>
        <w:rPr>
          <w:rFonts w:hint="eastAsia" w:ascii="仿宋" w:hAnsi="仿宋" w:eastAsia="仿宋" w:cs="仿宋"/>
          <w:b/>
          <w:bCs/>
          <w:color w:val="auto"/>
          <w:spacing w:val="26"/>
          <w:sz w:val="32"/>
          <w:szCs w:val="32"/>
          <w:highlight w:val="none"/>
        </w:rPr>
        <w:t>（示范文本）</w:t>
      </w:r>
    </w:p>
    <w:p>
      <w:pPr>
        <w:shd w:val="clear"/>
        <w:wordWrap/>
        <w:topLinePunct w:val="0"/>
        <w:bidi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pPr>
        <w:shd w:val="clear"/>
        <w:wordWrap/>
        <w:topLinePunct w:val="0"/>
        <w:bidi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pPr>
        <w:shd w:val="clear"/>
        <w:wordWrap/>
        <w:topLinePunct w:val="0"/>
        <w:bidi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pPr>
        <w:shd w:val="clear"/>
        <w:wordWrap/>
        <w:topLinePunct w:val="0"/>
        <w:bidi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pPr>
        <w:shd w:val="clear"/>
        <w:wordWrap/>
        <w:topLinePunct w:val="0"/>
        <w:bidi w:val="0"/>
        <w:spacing w:line="360" w:lineRule="auto"/>
        <w:jc w:val="center"/>
        <w:rPr>
          <w:rFonts w:hint="eastAsia" w:ascii="仿宋" w:hAnsi="仿宋" w:eastAsia="仿宋" w:cs="仿宋"/>
          <w:b/>
          <w:bCs/>
          <w:color w:val="auto"/>
          <w:sz w:val="28"/>
          <w:szCs w:val="28"/>
          <w:highlight w:val="none"/>
        </w:rPr>
      </w:pPr>
    </w:p>
    <w:p>
      <w:pPr>
        <w:shd w:val="clear"/>
        <w:wordWrap/>
        <w:topLinePunct w:val="0"/>
        <w:bidi w:val="0"/>
        <w:spacing w:line="360" w:lineRule="auto"/>
        <w:jc w:val="center"/>
        <w:rPr>
          <w:rFonts w:hint="eastAsia" w:ascii="仿宋" w:hAnsi="仿宋" w:eastAsia="仿宋" w:cs="仿宋"/>
          <w:b/>
          <w:bCs/>
          <w:color w:val="auto"/>
          <w:sz w:val="28"/>
          <w:szCs w:val="28"/>
          <w:highlight w:val="none"/>
        </w:rPr>
      </w:pPr>
    </w:p>
    <w:p>
      <w:pPr>
        <w:shd w:val="clear"/>
        <w:wordWrap/>
        <w:topLinePunct w:val="0"/>
        <w:bidi w:val="0"/>
        <w:spacing w:line="360" w:lineRule="auto"/>
        <w:jc w:val="center"/>
        <w:rPr>
          <w:rFonts w:hint="eastAsia" w:ascii="仿宋" w:hAnsi="仿宋" w:eastAsia="仿宋" w:cs="仿宋"/>
          <w:b/>
          <w:bCs/>
          <w:color w:val="auto"/>
          <w:sz w:val="28"/>
          <w:szCs w:val="28"/>
          <w:highlight w:val="none"/>
        </w:rPr>
      </w:pPr>
    </w:p>
    <w:p>
      <w:pPr>
        <w:shd w:val="clear"/>
        <w:wordWrap/>
        <w:topLinePunct w:val="0"/>
        <w:bidi w:val="0"/>
        <w:spacing w:line="360" w:lineRule="auto"/>
        <w:jc w:val="center"/>
        <w:rPr>
          <w:rFonts w:hint="eastAsia" w:ascii="仿宋" w:hAnsi="仿宋" w:eastAsia="仿宋" w:cs="仿宋"/>
          <w:b/>
          <w:bCs/>
          <w:color w:val="auto"/>
          <w:sz w:val="28"/>
          <w:szCs w:val="28"/>
          <w:highlight w:val="none"/>
        </w:rPr>
      </w:pPr>
    </w:p>
    <w:p>
      <w:pPr>
        <w:shd w:val="clear"/>
        <w:wordWrap/>
        <w:topLinePunct w:val="0"/>
        <w:bidi w:val="0"/>
        <w:spacing w:line="360" w:lineRule="auto"/>
        <w:jc w:val="center"/>
        <w:rPr>
          <w:rFonts w:hint="eastAsia" w:ascii="仿宋" w:hAnsi="仿宋" w:eastAsia="仿宋" w:cs="仿宋"/>
          <w:b/>
          <w:bCs/>
          <w:color w:val="auto"/>
          <w:sz w:val="28"/>
          <w:szCs w:val="28"/>
          <w:highlight w:val="none"/>
        </w:rPr>
      </w:pPr>
    </w:p>
    <w:p>
      <w:pPr>
        <w:shd w:val="clear"/>
        <w:wordWrap/>
        <w:topLinePunct w:val="0"/>
        <w:bidi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pPr>
        <w:shd w:val="clear"/>
        <w:wordWrap/>
        <w:topLinePunct w:val="0"/>
        <w:bidi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pPr>
        <w:shd w:val="clear"/>
        <w:wordWrap/>
        <w:topLinePunct w:val="0"/>
        <w:bidi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pPr>
        <w:shd w:val="clear"/>
        <w:wordWrap/>
        <w:topLinePunct w:val="0"/>
        <w:bidi w:val="0"/>
        <w:spacing w:line="360" w:lineRule="auto"/>
        <w:ind w:firstLine="2160" w:firstLineChars="633"/>
        <w:rPr>
          <w:rFonts w:hint="eastAsia" w:ascii="仿宋" w:hAnsi="仿宋" w:eastAsia="仿宋" w:cs="仿宋"/>
          <w:b/>
          <w:bCs/>
          <w:color w:val="auto"/>
          <w:spacing w:val="20"/>
          <w:sz w:val="30"/>
          <w:szCs w:val="30"/>
          <w:highlight w:val="none"/>
        </w:rPr>
      </w:pPr>
      <w:r>
        <w:rPr>
          <w:rFonts w:hint="eastAsia" w:ascii="仿宋" w:hAnsi="仿宋" w:eastAsia="仿宋" w:cs="仿宋"/>
          <w:b/>
          <w:bCs/>
          <w:color w:val="auto"/>
          <w:spacing w:val="20"/>
          <w:sz w:val="30"/>
          <w:szCs w:val="30"/>
          <w:highlight w:val="none"/>
        </w:rPr>
        <w:t>中华人民共和国建设部</w:t>
      </w:r>
    </w:p>
    <w:p>
      <w:pPr>
        <w:shd w:val="clear"/>
        <w:wordWrap/>
        <w:topLinePunct w:val="0"/>
        <w:bidi w:val="0"/>
        <w:spacing w:line="360" w:lineRule="auto"/>
        <w:ind w:firstLine="5940" w:firstLineChars="1850"/>
        <w:rPr>
          <w:rFonts w:hint="eastAsia" w:ascii="仿宋" w:hAnsi="仿宋" w:eastAsia="仿宋" w:cs="仿宋"/>
          <w:b/>
          <w:bCs/>
          <w:color w:val="auto"/>
          <w:spacing w:val="20"/>
          <w:sz w:val="28"/>
          <w:szCs w:val="28"/>
          <w:highlight w:val="none"/>
        </w:rPr>
      </w:pPr>
      <w:r>
        <w:rPr>
          <w:rFonts w:hint="eastAsia" w:ascii="仿宋" w:hAnsi="仿宋" w:eastAsia="仿宋" w:cs="仿宋"/>
          <w:b/>
          <w:bCs/>
          <w:color w:val="auto"/>
          <w:spacing w:val="20"/>
          <w:sz w:val="28"/>
          <w:szCs w:val="28"/>
          <w:highlight w:val="none"/>
        </w:rPr>
        <w:t>制定</w:t>
      </w:r>
    </w:p>
    <w:p>
      <w:pPr>
        <w:shd w:val="clear"/>
        <w:wordWrap/>
        <w:topLinePunct w:val="0"/>
        <w:bidi w:val="0"/>
        <w:spacing w:line="360" w:lineRule="auto"/>
        <w:ind w:firstLine="2161" w:firstLineChars="579"/>
        <w:rPr>
          <w:rFonts w:hint="eastAsia" w:ascii="仿宋" w:hAnsi="仿宋" w:eastAsia="仿宋" w:cs="仿宋"/>
          <w:b/>
          <w:bCs/>
          <w:color w:val="auto"/>
          <w:spacing w:val="20"/>
          <w:sz w:val="24"/>
          <w:highlight w:val="none"/>
        </w:rPr>
      </w:pPr>
      <w:r>
        <w:rPr>
          <w:rFonts w:hint="eastAsia" w:ascii="仿宋" w:hAnsi="仿宋" w:eastAsia="仿宋" w:cs="仿宋"/>
          <w:b/>
          <w:bCs/>
          <w:color w:val="auto"/>
          <w:spacing w:val="36"/>
          <w:sz w:val="30"/>
          <w:szCs w:val="30"/>
          <w:highlight w:val="none"/>
        </w:rPr>
        <w:t>国家工商行政管理局</w:t>
      </w:r>
    </w:p>
    <w:p>
      <w:pPr>
        <w:pStyle w:val="34"/>
        <w:shd w:val="clear"/>
        <w:wordWrap/>
        <w:topLinePunct w:val="0"/>
        <w:bidi w:val="0"/>
        <w:snapToGrid w:val="0"/>
        <w:spacing w:line="360" w:lineRule="auto"/>
        <w:ind w:right="-512" w:rightChars="-244"/>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1、合同协议书</w:t>
      </w:r>
    </w:p>
    <w:p>
      <w:pPr>
        <w:pStyle w:val="34"/>
        <w:shd w:val="clear"/>
        <w:wordWrap/>
        <w:topLinePunct w:val="0"/>
        <w:bidi w:val="0"/>
        <w:spacing w:line="360" w:lineRule="auto"/>
        <w:ind w:firstLine="504" w:firstLineChars="1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pStyle w:val="34"/>
        <w:shd w:val="clear"/>
        <w:wordWrap/>
        <w:topLinePunct w:val="0"/>
        <w:bidi w:val="0"/>
        <w:spacing w:line="360" w:lineRule="auto"/>
        <w:ind w:left="418" w:leftChars="183" w:hanging="34" w:hangingChars="16"/>
        <w:rPr>
          <w:rFonts w:hint="eastAsia" w:ascii="仿宋" w:hAnsi="仿宋" w:eastAsia="仿宋" w:cs="仿宋"/>
          <w:color w:val="auto"/>
          <w:spacing w:val="2"/>
          <w:highlight w:val="none"/>
          <w:lang w:eastAsia="zh-CN"/>
        </w:rPr>
      </w:pPr>
      <w:r>
        <w:rPr>
          <w:rFonts w:hint="eastAsia" w:ascii="仿宋" w:hAnsi="仿宋" w:eastAsia="仿宋" w:cs="仿宋"/>
          <w:color w:val="auto"/>
          <w:spacing w:val="2"/>
          <w:highlight w:val="none"/>
        </w:rPr>
        <w:t>甲方：</w:t>
      </w:r>
      <w:r>
        <w:rPr>
          <w:rFonts w:hint="eastAsia" w:ascii="仿宋" w:hAnsi="仿宋" w:eastAsia="仿宋" w:cs="仿宋"/>
          <w:color w:val="auto"/>
          <w:spacing w:val="2"/>
          <w:highlight w:val="none"/>
          <w:u w:val="single"/>
          <w:lang w:eastAsia="zh-CN"/>
        </w:rPr>
        <w:t>杭州市钱塘区人民政府义蓬街道办事处</w:t>
      </w:r>
    </w:p>
    <w:p>
      <w:pPr>
        <w:pStyle w:val="34"/>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乙方：</w:t>
      </w:r>
      <w:r>
        <w:rPr>
          <w:rFonts w:hint="eastAsia" w:ascii="仿宋" w:hAnsi="仿宋" w:eastAsia="仿宋" w:cs="仿宋"/>
          <w:color w:val="auto"/>
          <w:spacing w:val="2"/>
          <w:highlight w:val="none"/>
          <w:u w:val="single"/>
        </w:rPr>
        <w:t xml:space="preserve">                                   </w:t>
      </w:r>
    </w:p>
    <w:p>
      <w:pPr>
        <w:pStyle w:val="34"/>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依据《中华人民共和国</w:t>
      </w:r>
      <w:r>
        <w:rPr>
          <w:rFonts w:hint="eastAsia" w:ascii="仿宋" w:hAnsi="仿宋" w:eastAsia="仿宋" w:cs="仿宋"/>
          <w:color w:val="auto"/>
          <w:spacing w:val="2"/>
          <w:highlight w:val="none"/>
          <w:lang w:eastAsia="zh-CN"/>
        </w:rPr>
        <w:t>民法典</w:t>
      </w:r>
      <w:r>
        <w:rPr>
          <w:rFonts w:hint="eastAsia" w:ascii="仿宋" w:hAnsi="仿宋" w:eastAsia="仿宋" w:cs="仿宋"/>
          <w:color w:val="auto"/>
          <w:spacing w:val="2"/>
          <w:highlight w:val="none"/>
        </w:rPr>
        <w:t>》、《中华人民共和国建筑法》及其他有关法律、行政法规，遵循平等、自愿、公平和诚实信用的原则，双方就本建设工程施工事项协商一致，订立本合同。</w:t>
      </w:r>
    </w:p>
    <w:p>
      <w:pPr>
        <w:pStyle w:val="34"/>
        <w:shd w:val="clear"/>
        <w:wordWrap/>
        <w:topLinePunct w:val="0"/>
        <w:bidi w:val="0"/>
        <w:snapToGrid w:val="0"/>
        <w:spacing w:line="360" w:lineRule="auto"/>
        <w:ind w:firstLine="428" w:firstLineChars="20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一、工程概况</w:t>
      </w:r>
    </w:p>
    <w:p>
      <w:pPr>
        <w:pStyle w:val="34"/>
        <w:shd w:val="clear"/>
        <w:wordWrap/>
        <w:topLinePunct w:val="0"/>
        <w:bidi w:val="0"/>
        <w:snapToGrid w:val="0"/>
        <w:spacing w:line="360" w:lineRule="auto"/>
        <w:ind w:firstLine="535" w:firstLineChars="25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1、工程名称：</w:t>
      </w:r>
      <w:r>
        <w:rPr>
          <w:rFonts w:hint="eastAsia" w:ascii="仿宋" w:hAnsi="仿宋" w:eastAsia="仿宋" w:cs="仿宋"/>
          <w:color w:val="auto"/>
          <w:highlight w:val="none"/>
          <w:u w:val="single"/>
          <w:lang w:eastAsia="zh-CN"/>
        </w:rPr>
        <w:t>义蓬街道头蓬社区党群服务中心装修工程</w:t>
      </w:r>
      <w:r>
        <w:rPr>
          <w:rFonts w:hint="eastAsia" w:ascii="仿宋" w:hAnsi="仿宋" w:eastAsia="仿宋" w:cs="仿宋"/>
          <w:color w:val="auto"/>
          <w:spacing w:val="2"/>
          <w:highlight w:val="none"/>
        </w:rPr>
        <w:t>2、工程地点：</w:t>
      </w:r>
      <w:r>
        <w:rPr>
          <w:rFonts w:hint="eastAsia" w:ascii="仿宋" w:hAnsi="仿宋" w:eastAsia="仿宋" w:cs="仿宋"/>
          <w:color w:val="auto"/>
          <w:spacing w:val="2"/>
          <w:highlight w:val="none"/>
          <w:lang w:eastAsia="zh-CN"/>
        </w:rPr>
        <w:t>杭州市</w:t>
      </w:r>
      <w:r>
        <w:rPr>
          <w:rFonts w:hint="eastAsia" w:ascii="仿宋" w:hAnsi="仿宋" w:eastAsia="仿宋" w:cs="仿宋"/>
          <w:color w:val="auto"/>
          <w:highlight w:val="none"/>
          <w:lang w:val="en-US" w:eastAsia="zh-CN"/>
        </w:rPr>
        <w:t>钱塘区</w:t>
      </w:r>
    </w:p>
    <w:p>
      <w:pPr>
        <w:pStyle w:val="34"/>
        <w:shd w:val="clear"/>
        <w:wordWrap/>
        <w:topLinePunct w:val="0"/>
        <w:bidi w:val="0"/>
        <w:snapToGrid w:val="0"/>
        <w:spacing w:line="360" w:lineRule="auto"/>
        <w:ind w:firstLine="535" w:firstLineChars="250"/>
        <w:rPr>
          <w:rFonts w:hint="eastAsia" w:ascii="仿宋" w:hAnsi="仿宋" w:eastAsia="仿宋" w:cs="仿宋"/>
          <w:color w:val="auto"/>
          <w:highlight w:val="none"/>
        </w:rPr>
      </w:pPr>
      <w:r>
        <w:rPr>
          <w:rFonts w:hint="eastAsia" w:ascii="仿宋" w:hAnsi="仿宋" w:eastAsia="仿宋" w:cs="仿宋"/>
          <w:color w:val="auto"/>
          <w:spacing w:val="2"/>
          <w:highlight w:val="none"/>
        </w:rPr>
        <w:t>3、工程内容与承包范围：具体为</w:t>
      </w:r>
      <w:r>
        <w:rPr>
          <w:rFonts w:hint="eastAsia" w:ascii="仿宋" w:hAnsi="仿宋" w:eastAsia="仿宋" w:cs="仿宋"/>
          <w:color w:val="auto"/>
          <w:spacing w:val="2"/>
          <w:sz w:val="21"/>
          <w:highlight w:val="none"/>
        </w:rPr>
        <w:t>竞争性磋商文件、工程量清单、</w:t>
      </w:r>
      <w:r>
        <w:rPr>
          <w:rFonts w:hint="eastAsia" w:ascii="仿宋" w:hAnsi="仿宋" w:eastAsia="仿宋" w:cs="仿宋"/>
          <w:color w:val="auto"/>
          <w:spacing w:val="2"/>
          <w:highlight w:val="none"/>
        </w:rPr>
        <w:t>预</w:t>
      </w:r>
      <w:r>
        <w:rPr>
          <w:rFonts w:hint="eastAsia" w:ascii="仿宋" w:hAnsi="仿宋" w:eastAsia="仿宋" w:cs="仿宋"/>
          <w:color w:val="auto"/>
          <w:highlight w:val="none"/>
        </w:rPr>
        <w:t>算审核说明及施工图范围内的所有工程。</w:t>
      </w:r>
    </w:p>
    <w:p>
      <w:pPr>
        <w:pStyle w:val="34"/>
        <w:shd w:val="clear"/>
        <w:wordWrap/>
        <w:topLinePunct w:val="0"/>
        <w:bidi w:val="0"/>
        <w:snapToGrid w:val="0"/>
        <w:spacing w:line="360" w:lineRule="auto"/>
        <w:ind w:firstLine="535" w:firstLineChars="250"/>
        <w:rPr>
          <w:rFonts w:hint="eastAsia" w:ascii="仿宋" w:hAnsi="仿宋" w:eastAsia="仿宋" w:cs="仿宋"/>
          <w:color w:val="auto"/>
          <w:highlight w:val="none"/>
        </w:rPr>
      </w:pPr>
      <w:r>
        <w:rPr>
          <w:rFonts w:hint="eastAsia" w:ascii="仿宋" w:hAnsi="仿宋" w:eastAsia="仿宋" w:cs="仿宋"/>
          <w:color w:val="auto"/>
          <w:spacing w:val="2"/>
          <w:highlight w:val="none"/>
        </w:rPr>
        <w:t>4．质量要</w:t>
      </w:r>
      <w:r>
        <w:rPr>
          <w:rFonts w:hint="eastAsia" w:ascii="仿宋" w:hAnsi="仿宋" w:eastAsia="仿宋" w:cs="仿宋"/>
          <w:color w:val="auto"/>
          <w:highlight w:val="none"/>
        </w:rPr>
        <w:t>求：合格（符合工程施工质量验收规范标准）。</w:t>
      </w:r>
    </w:p>
    <w:p>
      <w:pPr>
        <w:shd w:val="clear"/>
        <w:wordWrap/>
        <w:topLinePunct w:val="0"/>
        <w:bidi w:val="0"/>
        <w:spacing w:line="360" w:lineRule="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 xml:space="preserve">    二、工程承包方式： </w:t>
      </w:r>
    </w:p>
    <w:p>
      <w:pPr>
        <w:shd w:val="clear"/>
        <w:wordWrap/>
        <w:topLinePunct w:val="0"/>
        <w:bidi w:val="0"/>
        <w:spacing w:line="360" w:lineRule="auto"/>
        <w:ind w:firstLine="428" w:firstLineChars="200"/>
        <w:jc w:val="left"/>
        <w:rPr>
          <w:rFonts w:hint="eastAsia" w:ascii="仿宋" w:hAnsi="仿宋" w:eastAsia="仿宋" w:cs="仿宋"/>
          <w:color w:val="auto"/>
          <w:szCs w:val="21"/>
          <w:highlight w:val="none"/>
        </w:rPr>
      </w:pPr>
      <w:r>
        <w:rPr>
          <w:rFonts w:hint="eastAsia" w:ascii="仿宋" w:hAnsi="仿宋" w:eastAsia="仿宋" w:cs="仿宋"/>
          <w:color w:val="auto"/>
          <w:spacing w:val="2"/>
          <w:szCs w:val="21"/>
          <w:highlight w:val="none"/>
        </w:rPr>
        <w:t>本工程采用包工、包料、包工期、包质量、包安全的形式。工程造价根据中标价一次性</w:t>
      </w:r>
      <w:r>
        <w:rPr>
          <w:rFonts w:hint="eastAsia" w:ascii="仿宋" w:hAnsi="仿宋" w:eastAsia="仿宋" w:cs="仿宋"/>
          <w:color w:val="auto"/>
          <w:szCs w:val="21"/>
          <w:highlight w:val="none"/>
        </w:rPr>
        <w:t>(固定总价)</w:t>
      </w:r>
      <w:r>
        <w:rPr>
          <w:rFonts w:hint="eastAsia" w:ascii="仿宋" w:hAnsi="仿宋" w:eastAsia="仿宋" w:cs="仿宋"/>
          <w:color w:val="auto"/>
          <w:spacing w:val="2"/>
          <w:szCs w:val="21"/>
          <w:highlight w:val="none"/>
        </w:rPr>
        <w:t>包干，施工期间如遇国家政策性调价，市场材料价格发生变化等，本工程均不予调整。设计变更工程量同意按实调整，但均按中标优惠率让利。</w:t>
      </w:r>
    </w:p>
    <w:p>
      <w:pPr>
        <w:shd w:val="clear"/>
        <w:wordWrap/>
        <w:topLinePunct w:val="0"/>
        <w:bidi w:val="0"/>
        <w:spacing w:line="360" w:lineRule="auto"/>
        <w:ind w:firstLine="535" w:firstLineChars="250"/>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本工程由乙方实行总承包，不得转包，一旦发现转包者，甲方有权终止承包合同，并向乙方索赔中标造价10%的违约金。部分专业工程乙方无资质或有资质但资质等级未达到该工程专业资质要求的，允许分包，但需征得甲方</w:t>
      </w:r>
      <w:r>
        <w:rPr>
          <w:rFonts w:hint="eastAsia" w:ascii="仿宋" w:hAnsi="仿宋" w:eastAsia="仿宋" w:cs="仿宋"/>
          <w:color w:val="auto"/>
          <w:spacing w:val="2"/>
          <w:szCs w:val="21"/>
          <w:highlight w:val="none"/>
          <w:lang w:val="en-US" w:eastAsia="zh-Hans"/>
        </w:rPr>
        <w:t>书面</w:t>
      </w:r>
      <w:r>
        <w:rPr>
          <w:rFonts w:hint="eastAsia" w:ascii="仿宋" w:hAnsi="仿宋" w:eastAsia="仿宋" w:cs="仿宋"/>
          <w:color w:val="auto"/>
          <w:spacing w:val="2"/>
          <w:szCs w:val="21"/>
          <w:highlight w:val="none"/>
        </w:rPr>
        <w:t>同意，乙方可以分包给具有相应资质的单位，</w:t>
      </w:r>
      <w:r>
        <w:rPr>
          <w:rFonts w:hint="eastAsia" w:ascii="仿宋" w:hAnsi="仿宋" w:eastAsia="仿宋" w:cs="仿宋"/>
          <w:color w:val="auto"/>
          <w:spacing w:val="2"/>
          <w:szCs w:val="21"/>
          <w:highlight w:val="none"/>
          <w:lang w:val="en-US" w:eastAsia="zh-Hans"/>
        </w:rPr>
        <w:t>乙方对分包单位的全部行为承担连带责任</w:t>
      </w:r>
      <w:r>
        <w:rPr>
          <w:rFonts w:hint="eastAsia" w:ascii="仿宋" w:hAnsi="仿宋" w:eastAsia="仿宋" w:cs="仿宋"/>
          <w:color w:val="auto"/>
          <w:spacing w:val="2"/>
          <w:szCs w:val="21"/>
          <w:highlight w:val="none"/>
        </w:rPr>
        <w:t>。</w:t>
      </w:r>
    </w:p>
    <w:p>
      <w:pPr>
        <w:pStyle w:val="34"/>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三、中标价、服务期限</w:t>
      </w:r>
    </w:p>
    <w:p>
      <w:pPr>
        <w:shd w:val="clear"/>
        <w:wordWrap/>
        <w:topLinePunct w:val="0"/>
        <w:bidi w:val="0"/>
        <w:adjustRightInd w:val="0"/>
        <w:snapToGrid w:val="0"/>
        <w:spacing w:line="360" w:lineRule="auto"/>
        <w:ind w:firstLine="420" w:firstLineChars="200"/>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中标价为人民币（大写）：</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 xml:space="preserve">元 。                     </w:t>
      </w:r>
      <w:r>
        <w:rPr>
          <w:rFonts w:hint="eastAsia" w:ascii="仿宋" w:hAnsi="仿宋" w:eastAsia="仿宋" w:cs="仿宋"/>
          <w:color w:val="auto"/>
          <w:kern w:val="0"/>
          <w:szCs w:val="21"/>
          <w:highlight w:val="none"/>
          <w:u w:val="single"/>
        </w:rPr>
        <w:t xml:space="preserve">                                    </w:t>
      </w:r>
    </w:p>
    <w:p>
      <w:pPr>
        <w:pStyle w:val="34"/>
        <w:shd w:val="clear"/>
        <w:wordWrap/>
        <w:topLinePunct w:val="0"/>
        <w:bidi w:val="0"/>
        <w:spacing w:line="360" w:lineRule="auto"/>
        <w:ind w:firstLine="492" w:firstLineChars="23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服务期限：     年  月  日-    年  月  日</w:t>
      </w:r>
    </w:p>
    <w:p>
      <w:pPr>
        <w:pStyle w:val="34"/>
        <w:shd w:val="clear"/>
        <w:wordWrap/>
        <w:topLinePunct w:val="0"/>
        <w:bidi w:val="0"/>
        <w:spacing w:line="360" w:lineRule="auto"/>
        <w:ind w:firstLine="492" w:firstLineChars="230"/>
        <w:rPr>
          <w:rFonts w:hint="eastAsia" w:ascii="仿宋" w:hAnsi="仿宋" w:eastAsia="仿宋" w:cs="仿宋"/>
          <w:color w:val="auto"/>
          <w:spacing w:val="2"/>
          <w:highlight w:val="none"/>
        </w:rPr>
      </w:pPr>
      <w:r>
        <w:rPr>
          <w:rFonts w:hint="eastAsia" w:ascii="仿宋" w:hAnsi="仿宋" w:eastAsia="仿宋" w:cs="仿宋"/>
          <w:snapToGrid/>
          <w:color w:val="auto"/>
          <w:spacing w:val="2"/>
          <w:kern w:val="2"/>
          <w:sz w:val="21"/>
          <w:szCs w:val="21"/>
          <w:highlight w:val="none"/>
          <w:lang w:val="en-US" w:eastAsia="zh-CN" w:bidi="ar-SA"/>
        </w:rPr>
        <w:t>本项目履约保证金金额为：</w:t>
      </w:r>
      <w:r>
        <w:rPr>
          <w:rFonts w:hint="eastAsia" w:ascii="仿宋" w:hAnsi="仿宋" w:eastAsia="仿宋" w:cs="仿宋"/>
          <w:snapToGrid/>
          <w:color w:val="auto"/>
          <w:spacing w:val="2"/>
          <w:kern w:val="2"/>
          <w:sz w:val="21"/>
          <w:szCs w:val="21"/>
          <w:highlight w:val="none"/>
          <w:u w:val="single"/>
          <w:lang w:val="en-US" w:eastAsia="zh-CN" w:bidi="ar-SA"/>
        </w:rPr>
        <w:t xml:space="preserve">    </w:t>
      </w:r>
      <w:r>
        <w:rPr>
          <w:rFonts w:hint="eastAsia" w:ascii="仿宋" w:hAnsi="仿宋" w:eastAsia="仿宋" w:cs="仿宋"/>
          <w:snapToGrid/>
          <w:color w:val="auto"/>
          <w:spacing w:val="2"/>
          <w:kern w:val="2"/>
          <w:sz w:val="21"/>
          <w:szCs w:val="21"/>
          <w:highlight w:val="none"/>
          <w:lang w:val="en-US" w:eastAsia="zh-CN" w:bidi="ar-SA"/>
        </w:rPr>
        <w:t>元，即合同价的</w:t>
      </w:r>
      <w:r>
        <w:rPr>
          <w:rFonts w:hint="eastAsia" w:ascii="仿宋" w:hAnsi="仿宋" w:eastAsia="仿宋" w:cs="仿宋"/>
          <w:snapToGrid/>
          <w:color w:val="auto"/>
          <w:spacing w:val="2"/>
          <w:kern w:val="2"/>
          <w:sz w:val="21"/>
          <w:szCs w:val="21"/>
          <w:highlight w:val="none"/>
          <w:u w:val="single"/>
          <w:lang w:val="en-US" w:eastAsia="zh-CN" w:bidi="ar-SA"/>
        </w:rPr>
        <w:t xml:space="preserve">   </w:t>
      </w:r>
      <w:r>
        <w:rPr>
          <w:rFonts w:hint="eastAsia" w:ascii="仿宋" w:hAnsi="仿宋" w:eastAsia="仿宋" w:cs="仿宋"/>
          <w:snapToGrid/>
          <w:color w:val="auto"/>
          <w:spacing w:val="2"/>
          <w:kern w:val="2"/>
          <w:sz w:val="21"/>
          <w:szCs w:val="21"/>
          <w:highlight w:val="none"/>
          <w:lang w:val="en-US" w:eastAsia="zh-CN" w:bidi="ar-SA"/>
        </w:rPr>
        <w:t>%，缴纳形式：以金融机构、担保机构出具的保函等形式提交。</w:t>
      </w:r>
      <w:r>
        <w:rPr>
          <w:rFonts w:hint="eastAsia" w:ascii="仿宋" w:hAnsi="仿宋" w:eastAsia="仿宋" w:cs="仿宋"/>
          <w:snapToGrid/>
          <w:color w:val="auto"/>
          <w:spacing w:val="2"/>
          <w:kern w:val="2"/>
          <w:sz w:val="21"/>
          <w:szCs w:val="21"/>
          <w:highlight w:val="none"/>
          <w:lang w:val="en-US" w:eastAsia="zh-Hans" w:bidi="ar-SA"/>
        </w:rPr>
        <w:t>乙方应当在收到中标通知书后</w:t>
      </w:r>
      <w:r>
        <w:rPr>
          <w:rFonts w:hint="eastAsia" w:ascii="仿宋" w:hAnsi="仿宋" w:eastAsia="仿宋" w:cs="仿宋"/>
          <w:snapToGrid/>
          <w:color w:val="auto"/>
          <w:spacing w:val="2"/>
          <w:kern w:val="2"/>
          <w:sz w:val="21"/>
          <w:szCs w:val="21"/>
          <w:highlight w:val="none"/>
          <w:lang w:eastAsia="zh-Hans" w:bidi="ar-SA"/>
        </w:rPr>
        <w:t>【】</w:t>
      </w:r>
      <w:r>
        <w:rPr>
          <w:rFonts w:hint="eastAsia" w:ascii="仿宋" w:hAnsi="仿宋" w:eastAsia="仿宋" w:cs="仿宋"/>
          <w:snapToGrid/>
          <w:color w:val="auto"/>
          <w:spacing w:val="2"/>
          <w:kern w:val="2"/>
          <w:sz w:val="21"/>
          <w:szCs w:val="21"/>
          <w:highlight w:val="none"/>
          <w:lang w:val="en-US" w:eastAsia="zh-Hans" w:bidi="ar-SA"/>
        </w:rPr>
        <w:t>日内向甲方全额交纳履约保证金</w:t>
      </w:r>
      <w:r>
        <w:rPr>
          <w:rFonts w:hint="eastAsia" w:ascii="仿宋" w:hAnsi="仿宋" w:eastAsia="仿宋" w:cs="仿宋"/>
          <w:snapToGrid/>
          <w:color w:val="auto"/>
          <w:spacing w:val="2"/>
          <w:kern w:val="2"/>
          <w:sz w:val="21"/>
          <w:szCs w:val="21"/>
          <w:highlight w:val="none"/>
          <w:lang w:val="en-US" w:eastAsia="zh-CN" w:bidi="ar-SA"/>
        </w:rPr>
        <w:t>。</w:t>
      </w:r>
      <w:r>
        <w:rPr>
          <w:rFonts w:hint="eastAsia" w:ascii="仿宋" w:hAnsi="仿宋" w:eastAsia="仿宋" w:cs="仿宋"/>
          <w:snapToGrid/>
          <w:color w:val="auto"/>
          <w:spacing w:val="2"/>
          <w:kern w:val="2"/>
          <w:sz w:val="21"/>
          <w:szCs w:val="21"/>
          <w:highlight w:val="none"/>
          <w:lang w:val="en-US" w:eastAsia="zh-Hans" w:bidi="ar-SA"/>
        </w:rPr>
        <w:t>因乙方违约所产生的违约金</w:t>
      </w:r>
      <w:r>
        <w:rPr>
          <w:rFonts w:hint="eastAsia" w:ascii="仿宋" w:hAnsi="仿宋" w:eastAsia="仿宋" w:cs="仿宋"/>
          <w:snapToGrid/>
          <w:color w:val="auto"/>
          <w:spacing w:val="2"/>
          <w:kern w:val="2"/>
          <w:sz w:val="21"/>
          <w:szCs w:val="21"/>
          <w:highlight w:val="none"/>
          <w:lang w:eastAsia="zh-Hans" w:bidi="ar-SA"/>
        </w:rPr>
        <w:t>、</w:t>
      </w:r>
      <w:r>
        <w:rPr>
          <w:rFonts w:hint="eastAsia" w:ascii="仿宋" w:hAnsi="仿宋" w:eastAsia="仿宋" w:cs="仿宋"/>
          <w:snapToGrid/>
          <w:color w:val="auto"/>
          <w:spacing w:val="2"/>
          <w:kern w:val="2"/>
          <w:sz w:val="21"/>
          <w:szCs w:val="21"/>
          <w:highlight w:val="none"/>
          <w:lang w:val="en-US" w:eastAsia="zh-Hans" w:bidi="ar-SA"/>
        </w:rPr>
        <w:t>赔偿金等费用</w:t>
      </w:r>
      <w:r>
        <w:rPr>
          <w:rFonts w:hint="eastAsia" w:ascii="仿宋" w:hAnsi="仿宋" w:eastAsia="仿宋" w:cs="仿宋"/>
          <w:snapToGrid/>
          <w:color w:val="auto"/>
          <w:spacing w:val="2"/>
          <w:kern w:val="2"/>
          <w:sz w:val="21"/>
          <w:szCs w:val="21"/>
          <w:highlight w:val="none"/>
          <w:lang w:eastAsia="zh-Hans" w:bidi="ar-SA"/>
        </w:rPr>
        <w:t>，</w:t>
      </w:r>
      <w:r>
        <w:rPr>
          <w:rFonts w:hint="eastAsia" w:ascii="仿宋" w:hAnsi="仿宋" w:eastAsia="仿宋" w:cs="仿宋"/>
          <w:snapToGrid/>
          <w:color w:val="auto"/>
          <w:spacing w:val="2"/>
          <w:kern w:val="2"/>
          <w:sz w:val="21"/>
          <w:szCs w:val="21"/>
          <w:highlight w:val="none"/>
          <w:lang w:val="en-US" w:eastAsia="zh-Hans" w:bidi="ar-SA"/>
        </w:rPr>
        <w:t>甲方有权选择从履约保证金中扣除或直接从合同款中扣除</w:t>
      </w:r>
      <w:r>
        <w:rPr>
          <w:rFonts w:hint="eastAsia" w:ascii="仿宋" w:hAnsi="仿宋" w:eastAsia="仿宋" w:cs="仿宋"/>
          <w:snapToGrid/>
          <w:color w:val="auto"/>
          <w:spacing w:val="2"/>
          <w:kern w:val="2"/>
          <w:sz w:val="21"/>
          <w:szCs w:val="21"/>
          <w:highlight w:val="none"/>
          <w:lang w:eastAsia="zh-Hans" w:bidi="ar-SA"/>
        </w:rPr>
        <w:t>。</w:t>
      </w:r>
      <w:r>
        <w:rPr>
          <w:rFonts w:hint="eastAsia" w:ascii="仿宋" w:hAnsi="仿宋" w:eastAsia="仿宋" w:cs="仿宋"/>
          <w:snapToGrid/>
          <w:color w:val="auto"/>
          <w:spacing w:val="2"/>
          <w:kern w:val="2"/>
          <w:sz w:val="21"/>
          <w:szCs w:val="21"/>
          <w:highlight w:val="none"/>
          <w:lang w:val="en-US" w:eastAsia="zh-CN" w:bidi="ar-SA"/>
        </w:rPr>
        <w:t xml:space="preserve"> </w:t>
      </w:r>
    </w:p>
    <w:p>
      <w:pPr>
        <w:shd w:val="clear"/>
        <w:wordWrap/>
        <w:topLinePunct w:val="0"/>
        <w:bidi w:val="0"/>
        <w:spacing w:line="360" w:lineRule="auto"/>
        <w:ind w:firstLine="480"/>
        <w:rPr>
          <w:rFonts w:hint="eastAsia" w:ascii="仿宋" w:hAnsi="仿宋" w:eastAsia="仿宋" w:cs="仿宋"/>
          <w:color w:val="auto"/>
          <w:spacing w:val="2"/>
          <w:szCs w:val="21"/>
          <w:highlight w:val="none"/>
          <w:lang w:eastAsia="zh-Hans"/>
        </w:rPr>
      </w:pPr>
      <w:r>
        <w:rPr>
          <w:rFonts w:hint="eastAsia" w:ascii="仿宋" w:hAnsi="仿宋" w:eastAsia="仿宋" w:cs="仿宋"/>
          <w:color w:val="auto"/>
          <w:spacing w:val="2"/>
          <w:szCs w:val="21"/>
          <w:highlight w:val="none"/>
        </w:rPr>
        <w:t>本工程工期为：</w:t>
      </w:r>
      <w:r>
        <w:rPr>
          <w:rFonts w:hint="eastAsia" w:ascii="仿宋" w:hAnsi="仿宋" w:eastAsia="仿宋" w:cs="仿宋"/>
          <w:color w:val="auto"/>
          <w:spacing w:val="2"/>
          <w:szCs w:val="21"/>
          <w:highlight w:val="none"/>
          <w:lang w:val="en-US" w:eastAsia="zh-CN"/>
        </w:rPr>
        <w:t xml:space="preserve">  日历天</w:t>
      </w:r>
      <w:r>
        <w:rPr>
          <w:rFonts w:hint="eastAsia" w:ascii="仿宋" w:hAnsi="仿宋" w:eastAsia="仿宋" w:cs="仿宋"/>
          <w:color w:val="auto"/>
          <w:spacing w:val="2"/>
          <w:szCs w:val="21"/>
          <w:highlight w:val="none"/>
        </w:rPr>
        <w:t>，</w:t>
      </w:r>
      <w:r>
        <w:rPr>
          <w:rFonts w:hint="eastAsia" w:ascii="仿宋" w:hAnsi="仿宋" w:eastAsia="仿宋" w:cs="仿宋"/>
          <w:iCs w:val="0"/>
          <w:color w:val="auto"/>
          <w:spacing w:val="2"/>
          <w:szCs w:val="21"/>
          <w:highlight w:val="none"/>
        </w:rPr>
        <w:t>工期总日历天数与根据</w:t>
      </w:r>
      <w:r>
        <w:rPr>
          <w:rFonts w:hint="eastAsia" w:ascii="仿宋" w:hAnsi="仿宋" w:eastAsia="仿宋" w:cs="仿宋"/>
          <w:iCs w:val="0"/>
          <w:color w:val="auto"/>
          <w:spacing w:val="2"/>
          <w:szCs w:val="21"/>
          <w:highlight w:val="none"/>
          <w:lang w:val="en-US" w:eastAsia="zh-Hans"/>
        </w:rPr>
        <w:t>服务期限中</w:t>
      </w:r>
      <w:r>
        <w:rPr>
          <w:rFonts w:hint="eastAsia" w:ascii="仿宋" w:hAnsi="仿宋" w:eastAsia="仿宋" w:cs="仿宋"/>
          <w:iCs w:val="0"/>
          <w:color w:val="auto"/>
          <w:spacing w:val="2"/>
          <w:szCs w:val="21"/>
          <w:highlight w:val="none"/>
        </w:rPr>
        <w:t>计划开竣工日期计算的工期天数不一致的，以工期总日历天数为准。</w:t>
      </w:r>
      <w:r>
        <w:rPr>
          <w:rFonts w:hint="eastAsia" w:ascii="仿宋" w:hAnsi="仿宋" w:eastAsia="仿宋" w:cs="仿宋"/>
          <w:color w:val="auto"/>
          <w:spacing w:val="2"/>
          <w:szCs w:val="21"/>
          <w:highlight w:val="none"/>
        </w:rPr>
        <w:t>如无故</w:t>
      </w:r>
      <w:r>
        <w:rPr>
          <w:rFonts w:hint="eastAsia" w:ascii="仿宋" w:hAnsi="仿宋" w:eastAsia="仿宋" w:cs="仿宋"/>
          <w:color w:val="auto"/>
          <w:spacing w:val="2"/>
          <w:szCs w:val="21"/>
          <w:highlight w:val="none"/>
          <w:lang w:val="en-US" w:eastAsia="zh-Hans"/>
        </w:rPr>
        <w:t>未在工期内</w:t>
      </w:r>
      <w:r>
        <w:rPr>
          <w:rFonts w:hint="eastAsia" w:ascii="仿宋" w:hAnsi="仿宋" w:eastAsia="仿宋" w:cs="仿宋"/>
          <w:color w:val="auto"/>
          <w:spacing w:val="2"/>
          <w:szCs w:val="21"/>
          <w:highlight w:val="none"/>
        </w:rPr>
        <w:t>完成的，工期延误每天按中标造价的万分之五进行处罚。</w:t>
      </w:r>
    </w:p>
    <w:p>
      <w:pPr>
        <w:pStyle w:val="34"/>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四、项目经理</w:t>
      </w:r>
    </w:p>
    <w:p>
      <w:pPr>
        <w:shd w:val="clear"/>
        <w:wordWrap/>
        <w:topLinePunct w:val="0"/>
        <w:bidi w:val="0"/>
        <w:spacing w:line="360" w:lineRule="auto"/>
        <w:ind w:firstLine="428" w:firstLineChars="200"/>
        <w:contextualSpacing/>
        <w:jc w:val="left"/>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乙方派驻项目经理：</w:t>
      </w:r>
      <w:r>
        <w:rPr>
          <w:rFonts w:hint="eastAsia" w:ascii="仿宋" w:hAnsi="仿宋" w:eastAsia="仿宋" w:cs="仿宋"/>
          <w:color w:val="auto"/>
          <w:spacing w:val="2"/>
          <w:szCs w:val="21"/>
          <w:highlight w:val="none"/>
          <w:u w:val="single"/>
        </w:rPr>
        <w:t xml:space="preserve">         </w:t>
      </w:r>
      <w:r>
        <w:rPr>
          <w:rFonts w:hint="eastAsia" w:ascii="仿宋" w:hAnsi="仿宋" w:eastAsia="仿宋" w:cs="仿宋"/>
          <w:color w:val="auto"/>
          <w:spacing w:val="2"/>
          <w:szCs w:val="21"/>
          <w:highlight w:val="none"/>
        </w:rPr>
        <w:t>，资质：</w:t>
      </w:r>
      <w:r>
        <w:rPr>
          <w:rFonts w:hint="eastAsia" w:ascii="仿宋" w:hAnsi="仿宋" w:eastAsia="仿宋" w:cs="仿宋"/>
          <w:color w:val="auto"/>
          <w:spacing w:val="2"/>
          <w:szCs w:val="21"/>
          <w:highlight w:val="none"/>
          <w:u w:val="single"/>
        </w:rPr>
        <w:t xml:space="preserve">                 </w:t>
      </w:r>
      <w:r>
        <w:rPr>
          <w:rFonts w:hint="eastAsia" w:ascii="仿宋" w:hAnsi="仿宋" w:eastAsia="仿宋" w:cs="仿宋"/>
          <w:color w:val="auto"/>
          <w:spacing w:val="2"/>
          <w:szCs w:val="21"/>
          <w:highlight w:val="none"/>
        </w:rPr>
        <w:t xml:space="preserve"> 注册证号：</w:t>
      </w:r>
      <w:r>
        <w:rPr>
          <w:rFonts w:hint="eastAsia" w:ascii="仿宋" w:hAnsi="仿宋" w:eastAsia="仿宋" w:cs="仿宋"/>
          <w:color w:val="auto"/>
          <w:spacing w:val="2"/>
          <w:szCs w:val="21"/>
          <w:highlight w:val="none"/>
          <w:u w:val="single"/>
        </w:rPr>
        <w:t xml:space="preserve">                </w:t>
      </w:r>
      <w:r>
        <w:rPr>
          <w:rFonts w:hint="eastAsia" w:ascii="仿宋" w:hAnsi="仿宋" w:eastAsia="仿宋" w:cs="仿宋"/>
          <w:color w:val="auto"/>
          <w:spacing w:val="2"/>
          <w:szCs w:val="21"/>
          <w:highlight w:val="none"/>
        </w:rPr>
        <w:t>。</w:t>
      </w:r>
    </w:p>
    <w:p>
      <w:pPr>
        <w:shd w:val="clear"/>
        <w:wordWrap/>
        <w:topLinePunct w:val="0"/>
        <w:bidi w:val="0"/>
        <w:spacing w:line="360" w:lineRule="auto"/>
        <w:ind w:firstLine="420" w:firstLineChars="200"/>
        <w:contextualSpacing/>
        <w:jc w:val="left"/>
        <w:rPr>
          <w:rFonts w:hint="eastAsia" w:ascii="仿宋" w:hAnsi="仿宋" w:eastAsia="仿宋" w:cs="仿宋"/>
          <w:color w:val="auto"/>
          <w:spacing w:val="2"/>
          <w:szCs w:val="21"/>
          <w:highlight w:val="none"/>
          <w:lang w:eastAsia="zh-Hans"/>
        </w:rPr>
      </w:pPr>
      <w:r>
        <w:rPr>
          <w:rFonts w:hint="eastAsia" w:ascii="仿宋" w:hAnsi="仿宋" w:eastAsia="仿宋" w:cs="仿宋"/>
          <w:color w:val="auto"/>
          <w:szCs w:val="21"/>
          <w:highlight w:val="none"/>
        </w:rPr>
        <w:t>乙方在投标文件中明确的项目负责人必须到位，不能更换，</w:t>
      </w:r>
      <w:r>
        <w:rPr>
          <w:rFonts w:hint="eastAsia" w:ascii="仿宋" w:hAnsi="仿宋" w:eastAsia="仿宋" w:cs="仿宋"/>
          <w:color w:val="auto"/>
          <w:szCs w:val="21"/>
          <w:highlight w:val="none"/>
          <w:lang w:val="en-US" w:eastAsia="zh-Hans"/>
        </w:rPr>
        <w:t>乙方擅自更换项目负责人的</w:t>
      </w:r>
      <w:r>
        <w:rPr>
          <w:rFonts w:hint="eastAsia"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应当向甲方支付</w:t>
      </w:r>
      <w:r>
        <w:rPr>
          <w:rFonts w:hint="eastAsia"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元违约金</w:t>
      </w:r>
      <w:r>
        <w:rPr>
          <w:rFonts w:hint="eastAsia"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次</w:t>
      </w:r>
      <w:r>
        <w:rPr>
          <w:rFonts w:hint="eastAsia"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并就甲方因此所受全部损失承担赔偿责任</w:t>
      </w:r>
      <w:r>
        <w:rPr>
          <w:rFonts w:hint="eastAsia" w:ascii="仿宋" w:hAnsi="仿宋" w:eastAsia="仿宋" w:cs="仿宋"/>
          <w:color w:val="auto"/>
          <w:szCs w:val="21"/>
          <w:highlight w:val="none"/>
          <w:lang w:eastAsia="zh-Hans"/>
        </w:rPr>
        <w:t>。</w:t>
      </w:r>
      <w:r>
        <w:rPr>
          <w:rFonts w:hint="eastAsia" w:ascii="仿宋" w:hAnsi="仿宋" w:eastAsia="仿宋" w:cs="仿宋"/>
          <w:color w:val="auto"/>
          <w:szCs w:val="21"/>
          <w:highlight w:val="none"/>
        </w:rPr>
        <w:t>同时，项目负责人必须在施工现场到岗，且每月至少要到岗25天，到岗期间每天不少于8小时，否则视为未到岗，缺席一天扣300元，并列入考核内容，和甲方另行签订管理合同。</w:t>
      </w:r>
      <w:r>
        <w:rPr>
          <w:rFonts w:hint="eastAsia" w:ascii="仿宋" w:hAnsi="仿宋" w:eastAsia="仿宋" w:cs="仿宋"/>
          <w:color w:val="auto"/>
          <w:szCs w:val="21"/>
          <w:highlight w:val="none"/>
          <w:lang w:val="en-US" w:eastAsia="zh-Hans"/>
        </w:rPr>
        <w:t>甲方有权要求乙方更换工作不负责</w:t>
      </w:r>
      <w:r>
        <w:rPr>
          <w:rFonts w:hint="eastAsia"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能力不足的项目负责人</w:t>
      </w:r>
      <w:r>
        <w:rPr>
          <w:rFonts w:hint="eastAsia"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乙方应当在收到甲方要求更换项目负责人的通知之日起</w:t>
      </w:r>
      <w:r>
        <w:rPr>
          <w:rFonts w:hint="eastAsia"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日内更换</w:t>
      </w:r>
      <w:r>
        <w:rPr>
          <w:rFonts w:hint="eastAsia"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并将更换结果及时告知甲方</w:t>
      </w:r>
      <w:r>
        <w:rPr>
          <w:rFonts w:hint="eastAsia"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更换后的项目负责人应当具有同等及以上资质</w:t>
      </w:r>
      <w:r>
        <w:rPr>
          <w:rFonts w:hint="eastAsia"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更换项目负责人后应当组好工作交接</w:t>
      </w:r>
      <w:r>
        <w:rPr>
          <w:rFonts w:hint="eastAsia"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确保甲方项目能够顺利进行</w:t>
      </w:r>
      <w:r>
        <w:rPr>
          <w:rFonts w:hint="eastAsia" w:ascii="仿宋" w:hAnsi="仿宋" w:eastAsia="仿宋" w:cs="仿宋"/>
          <w:color w:val="auto"/>
          <w:szCs w:val="21"/>
          <w:highlight w:val="none"/>
          <w:lang w:eastAsia="zh-Hans"/>
        </w:rPr>
        <w:t>。</w:t>
      </w:r>
    </w:p>
    <w:p>
      <w:pPr>
        <w:pStyle w:val="34"/>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五、工程质量和检查验收</w:t>
      </w:r>
    </w:p>
    <w:p>
      <w:pPr>
        <w:pStyle w:val="34"/>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1、本工程质量标准合格。</w:t>
      </w:r>
    </w:p>
    <w:p>
      <w:pPr>
        <w:pStyle w:val="34"/>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2、工程质量标准应当达到国家或行业的质量检验评定标准。因乙方原因工程质量达不到规定标准的，</w:t>
      </w:r>
      <w:r>
        <w:rPr>
          <w:rFonts w:hint="eastAsia" w:ascii="仿宋" w:hAnsi="仿宋" w:eastAsia="仿宋" w:cs="仿宋"/>
          <w:color w:val="auto"/>
          <w:spacing w:val="2"/>
          <w:highlight w:val="none"/>
          <w:lang w:val="en-US" w:eastAsia="zh-Hans"/>
        </w:rPr>
        <w:t>乙方应当立即进行整改直至达到规定标准</w:t>
      </w:r>
      <w:r>
        <w:rPr>
          <w:rFonts w:hint="eastAsia" w:ascii="仿宋" w:hAnsi="仿宋" w:eastAsia="仿宋" w:cs="仿宋"/>
          <w:color w:val="auto"/>
          <w:spacing w:val="2"/>
          <w:highlight w:val="none"/>
          <w:lang w:eastAsia="zh-Hans"/>
        </w:rPr>
        <w:t>，</w:t>
      </w:r>
      <w:r>
        <w:rPr>
          <w:rFonts w:hint="eastAsia" w:ascii="仿宋" w:hAnsi="仿宋" w:eastAsia="仿宋" w:cs="仿宋"/>
          <w:color w:val="auto"/>
          <w:spacing w:val="2"/>
          <w:highlight w:val="none"/>
          <w:lang w:val="en-US" w:eastAsia="zh-Hans"/>
        </w:rPr>
        <w:t>因此导致乙方未能在约定期限内竣工的</w:t>
      </w:r>
      <w:r>
        <w:rPr>
          <w:rFonts w:hint="eastAsia" w:ascii="仿宋" w:hAnsi="仿宋" w:eastAsia="仿宋" w:cs="仿宋"/>
          <w:color w:val="auto"/>
          <w:spacing w:val="2"/>
          <w:highlight w:val="none"/>
          <w:lang w:eastAsia="zh-Hans"/>
        </w:rPr>
        <w:t>，</w:t>
      </w:r>
      <w:r>
        <w:rPr>
          <w:rFonts w:hint="eastAsia" w:ascii="仿宋" w:hAnsi="仿宋" w:eastAsia="仿宋" w:cs="仿宋"/>
          <w:color w:val="auto"/>
          <w:spacing w:val="2"/>
          <w:highlight w:val="none"/>
          <w:lang w:val="en-US" w:eastAsia="zh-Hans"/>
        </w:rPr>
        <w:t>乙方还应当承担逾期竣工的违约责任</w:t>
      </w:r>
      <w:r>
        <w:rPr>
          <w:rFonts w:hint="eastAsia" w:ascii="仿宋" w:hAnsi="仿宋" w:eastAsia="仿宋" w:cs="仿宋"/>
          <w:color w:val="auto"/>
          <w:spacing w:val="2"/>
          <w:highlight w:val="none"/>
        </w:rPr>
        <w:t>。</w:t>
      </w:r>
    </w:p>
    <w:p>
      <w:pPr>
        <w:pStyle w:val="34"/>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3、双方对工程质量有争议，由双方同意的工程质监站鉴定，所需费用由责任方承担。双方均有责任，根据责任分别承担。</w:t>
      </w:r>
    </w:p>
    <w:p>
      <w:pPr>
        <w:pStyle w:val="34"/>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4、隐蔽工程由乙方自检</w:t>
      </w:r>
      <w:r>
        <w:rPr>
          <w:rFonts w:hint="eastAsia" w:ascii="仿宋" w:hAnsi="仿宋" w:eastAsia="仿宋" w:cs="仿宋"/>
          <w:color w:val="auto"/>
          <w:spacing w:val="2"/>
          <w:highlight w:val="none"/>
          <w:lang w:val="en-US" w:eastAsia="zh-CN"/>
        </w:rPr>
        <w:t>保留数字影像（照片或视频）资料</w:t>
      </w:r>
      <w:r>
        <w:rPr>
          <w:rFonts w:hint="eastAsia" w:ascii="仿宋" w:hAnsi="仿宋" w:eastAsia="仿宋" w:cs="仿宋"/>
          <w:color w:val="auto"/>
          <w:spacing w:val="2"/>
          <w:highlight w:val="none"/>
        </w:rPr>
        <w:t>后，填写《隐蔽工程验收单》通知现场监理工程师及甲方代表验收认可签证后，方可进行下一道工序施工。</w:t>
      </w:r>
      <w:r>
        <w:rPr>
          <w:rFonts w:hint="eastAsia" w:ascii="仿宋" w:hAnsi="仿宋" w:eastAsia="仿宋" w:cs="仿宋"/>
          <w:color w:val="auto"/>
          <w:spacing w:val="2"/>
          <w:highlight w:val="none"/>
          <w:lang w:val="en-US" w:eastAsia="zh-CN"/>
        </w:rPr>
        <w:t>每份签证记录均需附能完整体现工程量（如长、宽、高、深、数量等）的影像资料，</w:t>
      </w:r>
      <w:r>
        <w:rPr>
          <w:rFonts w:hint="eastAsia" w:ascii="仿宋" w:hAnsi="仿宋" w:eastAsia="仿宋" w:cs="仿宋"/>
          <w:color w:val="auto"/>
          <w:spacing w:val="2"/>
          <w:highlight w:val="none"/>
        </w:rPr>
        <w:t>签证记录将作为结算依据。</w:t>
      </w:r>
      <w:r>
        <w:rPr>
          <w:rFonts w:hint="eastAsia" w:ascii="仿宋" w:hAnsi="仿宋" w:eastAsia="仿宋" w:cs="仿宋"/>
          <w:color w:val="auto"/>
          <w:spacing w:val="2"/>
          <w:highlight w:val="none"/>
          <w:lang w:val="en-US" w:eastAsia="zh-CN"/>
        </w:rPr>
        <w:t>无对应影像资料和</w:t>
      </w:r>
      <w:r>
        <w:rPr>
          <w:rFonts w:hint="eastAsia" w:ascii="仿宋" w:hAnsi="仿宋" w:eastAsia="仿宋" w:cs="仿宋"/>
          <w:color w:val="auto"/>
          <w:spacing w:val="2"/>
          <w:highlight w:val="none"/>
        </w:rPr>
        <w:t>无签证记录建设方不予结算。</w:t>
      </w:r>
      <w:r>
        <w:rPr>
          <w:rFonts w:hint="eastAsia" w:ascii="仿宋" w:hAnsi="仿宋" w:eastAsia="仿宋" w:cs="仿宋"/>
          <w:color w:val="auto"/>
          <w:spacing w:val="2"/>
          <w:highlight w:val="none"/>
          <w:lang w:val="en-US" w:eastAsia="zh-CN"/>
        </w:rPr>
        <w:t>因为资料不齐全、不完整导致结算漏算、错算、价格低等责任（包括经济损失）均由施工方自行承担。</w:t>
      </w:r>
      <w:r>
        <w:rPr>
          <w:rFonts w:hint="eastAsia" w:ascii="仿宋" w:hAnsi="仿宋" w:eastAsia="仿宋" w:cs="仿宋"/>
          <w:color w:val="auto"/>
          <w:spacing w:val="2"/>
          <w:highlight w:val="none"/>
        </w:rPr>
        <w:t>重要节点验收中，有一次验收不合格扣除30%的履约保证金，两次验收不合格扣除全部的履约保证金。竣工验收中，第一次验收不合格扣除30%的履约保证金,整改必须到位，第二次验收不合格扣除全部的履约保证金。验收不合格不予结算。</w:t>
      </w:r>
      <w:r>
        <w:rPr>
          <w:rFonts w:hint="eastAsia" w:ascii="仿宋" w:hAnsi="仿宋" w:eastAsia="仿宋" w:cs="仿宋"/>
          <w:color w:val="auto"/>
          <w:spacing w:val="2"/>
          <w:sz w:val="21"/>
          <w:highlight w:val="none"/>
        </w:rPr>
        <w:t>在履</w:t>
      </w:r>
      <w:r>
        <w:rPr>
          <w:rFonts w:hint="eastAsia" w:ascii="仿宋" w:hAnsi="仿宋" w:eastAsia="仿宋" w:cs="仿宋"/>
          <w:color w:val="auto"/>
          <w:spacing w:val="2"/>
          <w:sz w:val="21"/>
          <w:highlight w:val="none"/>
          <w:lang w:val="en-US" w:eastAsia="zh-Hans"/>
        </w:rPr>
        <w:t>行</w:t>
      </w:r>
      <w:r>
        <w:rPr>
          <w:rFonts w:hint="eastAsia" w:ascii="仿宋" w:hAnsi="仿宋" w:eastAsia="仿宋" w:cs="仿宋"/>
          <w:color w:val="auto"/>
          <w:spacing w:val="2"/>
          <w:sz w:val="21"/>
          <w:highlight w:val="none"/>
        </w:rPr>
        <w:t>合同过程中，若出现三次以上施工检查不合格（包括质量、安全、工期等），</w:t>
      </w:r>
      <w:r>
        <w:rPr>
          <w:rFonts w:hint="eastAsia" w:ascii="仿宋" w:hAnsi="仿宋" w:eastAsia="仿宋" w:cs="仿宋"/>
          <w:color w:val="auto"/>
          <w:spacing w:val="2"/>
          <w:sz w:val="21"/>
          <w:highlight w:val="none"/>
          <w:lang w:val="en-US" w:eastAsia="zh-Hans"/>
        </w:rPr>
        <w:t>甲方</w:t>
      </w:r>
      <w:r>
        <w:rPr>
          <w:rFonts w:hint="eastAsia" w:ascii="仿宋" w:hAnsi="仿宋" w:eastAsia="仿宋" w:cs="仿宋"/>
          <w:color w:val="auto"/>
          <w:spacing w:val="2"/>
          <w:sz w:val="21"/>
          <w:highlight w:val="none"/>
        </w:rPr>
        <w:t>有权终止合同</w:t>
      </w:r>
      <w:r>
        <w:rPr>
          <w:rFonts w:hint="eastAsia" w:ascii="仿宋" w:hAnsi="仿宋" w:eastAsia="仿宋" w:cs="仿宋"/>
          <w:color w:val="auto"/>
          <w:spacing w:val="2"/>
          <w:sz w:val="21"/>
          <w:highlight w:val="none"/>
          <w:lang w:val="en-US" w:eastAsia="zh-Hans"/>
        </w:rPr>
        <w:t>并</w:t>
      </w:r>
      <w:r>
        <w:rPr>
          <w:rFonts w:hint="eastAsia" w:ascii="仿宋" w:hAnsi="仿宋" w:eastAsia="仿宋" w:cs="仿宋"/>
          <w:color w:val="auto"/>
          <w:spacing w:val="2"/>
          <w:szCs w:val="21"/>
          <w:highlight w:val="none"/>
          <w:u w:val="none"/>
        </w:rPr>
        <w:t>要求</w:t>
      </w:r>
      <w:r>
        <w:rPr>
          <w:rFonts w:hint="eastAsia" w:ascii="仿宋" w:hAnsi="仿宋" w:eastAsia="仿宋" w:cs="仿宋"/>
          <w:color w:val="auto"/>
          <w:spacing w:val="2"/>
          <w:szCs w:val="21"/>
          <w:highlight w:val="none"/>
          <w:u w:val="none"/>
          <w:lang w:val="en-US" w:eastAsia="zh-Hans"/>
        </w:rPr>
        <w:t>乙方</w:t>
      </w:r>
      <w:r>
        <w:rPr>
          <w:rFonts w:hint="eastAsia" w:ascii="仿宋" w:hAnsi="仿宋" w:eastAsia="仿宋" w:cs="仿宋"/>
          <w:color w:val="auto"/>
          <w:spacing w:val="2"/>
          <w:szCs w:val="21"/>
          <w:highlight w:val="none"/>
          <w:u w:val="none"/>
        </w:rPr>
        <w:t>无条件退场，承担由此产生的各方一切损失。同时，</w:t>
      </w:r>
      <w:r>
        <w:rPr>
          <w:rFonts w:hint="eastAsia" w:ascii="仿宋" w:hAnsi="仿宋" w:eastAsia="仿宋" w:cs="仿宋"/>
          <w:color w:val="auto"/>
          <w:spacing w:val="2"/>
          <w:szCs w:val="21"/>
          <w:highlight w:val="none"/>
          <w:u w:val="none"/>
          <w:lang w:val="en-US" w:eastAsia="zh-Hans"/>
        </w:rPr>
        <w:t>甲方</w:t>
      </w:r>
      <w:r>
        <w:rPr>
          <w:rFonts w:hint="eastAsia" w:ascii="仿宋" w:hAnsi="仿宋" w:eastAsia="仿宋" w:cs="仿宋"/>
          <w:color w:val="auto"/>
          <w:spacing w:val="2"/>
          <w:szCs w:val="21"/>
          <w:highlight w:val="none"/>
          <w:u w:val="none"/>
        </w:rPr>
        <w:t>也有权安排其他施工队伍进场施工，费用经审核后从</w:t>
      </w:r>
      <w:r>
        <w:rPr>
          <w:rFonts w:hint="eastAsia" w:ascii="仿宋" w:hAnsi="仿宋" w:eastAsia="仿宋" w:cs="仿宋"/>
          <w:color w:val="auto"/>
          <w:spacing w:val="2"/>
          <w:szCs w:val="21"/>
          <w:highlight w:val="none"/>
          <w:u w:val="none"/>
          <w:lang w:val="en-US" w:eastAsia="zh-Hans"/>
        </w:rPr>
        <w:t>乙方</w:t>
      </w:r>
      <w:r>
        <w:rPr>
          <w:rFonts w:hint="eastAsia" w:ascii="仿宋" w:hAnsi="仿宋" w:eastAsia="仿宋" w:cs="仿宋"/>
          <w:color w:val="auto"/>
          <w:spacing w:val="2"/>
          <w:szCs w:val="21"/>
          <w:highlight w:val="none"/>
          <w:u w:val="none"/>
        </w:rPr>
        <w:t>合同价款中扣除；由此给</w:t>
      </w:r>
      <w:r>
        <w:rPr>
          <w:rFonts w:hint="eastAsia" w:ascii="仿宋" w:hAnsi="仿宋" w:eastAsia="仿宋" w:cs="仿宋"/>
          <w:color w:val="auto"/>
          <w:spacing w:val="2"/>
          <w:szCs w:val="21"/>
          <w:highlight w:val="none"/>
          <w:u w:val="none"/>
          <w:lang w:val="en-US" w:eastAsia="zh-Hans"/>
        </w:rPr>
        <w:t>甲方</w:t>
      </w:r>
      <w:r>
        <w:rPr>
          <w:rFonts w:hint="eastAsia" w:ascii="仿宋" w:hAnsi="仿宋" w:eastAsia="仿宋" w:cs="仿宋"/>
          <w:color w:val="auto"/>
          <w:spacing w:val="2"/>
          <w:szCs w:val="21"/>
          <w:highlight w:val="none"/>
          <w:u w:val="none"/>
        </w:rPr>
        <w:t>造成损失的，损失费用同时扣除。</w:t>
      </w:r>
    </w:p>
    <w:p>
      <w:pPr>
        <w:pStyle w:val="34"/>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5、工程完工后，经双方协商确定验收时间，由甲方组织有关部门进行竣工验收，本工程竣工验收结论报告由四方主体（包括业主方、监理方、设计方、施工方）共同参与验收并盖章，初评通过后方可到备案机关备案。竣工验收合格后乙方按招标文件规定</w:t>
      </w:r>
      <w:r>
        <w:rPr>
          <w:rFonts w:hint="eastAsia" w:ascii="仿宋" w:hAnsi="仿宋" w:eastAsia="仿宋" w:cs="仿宋"/>
          <w:color w:val="auto"/>
          <w:spacing w:val="2"/>
          <w:highlight w:val="none"/>
          <w:lang w:val="en-US" w:eastAsia="zh-Hans"/>
        </w:rPr>
        <w:t>及甲方要求</w:t>
      </w:r>
      <w:r>
        <w:rPr>
          <w:rFonts w:hint="eastAsia" w:ascii="仿宋" w:hAnsi="仿宋" w:eastAsia="仿宋" w:cs="仿宋"/>
          <w:color w:val="auto"/>
          <w:spacing w:val="2"/>
          <w:highlight w:val="none"/>
        </w:rPr>
        <w:t>整理完整的技术档案资料移交给甲方。</w:t>
      </w:r>
    </w:p>
    <w:p>
      <w:pPr>
        <w:pStyle w:val="34"/>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6、工程竣工验收合格后，工程质量保修按国家、省、区的工程建设施工招投标的有关规定执行。保修期内，如发现工程质量问题，乙方应在7日内修复；如乙方无故不修复的，由甲方派人维修，维修费用由乙方承担，在预留工程款中扣除。</w:t>
      </w:r>
    </w:p>
    <w:p>
      <w:pPr>
        <w:pStyle w:val="34"/>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7、进场材料须由监理单位验收合格后方可施工。</w:t>
      </w:r>
    </w:p>
    <w:p>
      <w:pPr>
        <w:pStyle w:val="34"/>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8、乙方在履约合同过程中，若出现</w:t>
      </w:r>
      <w:r>
        <w:rPr>
          <w:rFonts w:hint="eastAsia" w:ascii="仿宋" w:hAnsi="仿宋" w:eastAsia="仿宋" w:cs="仿宋"/>
          <w:color w:val="auto"/>
          <w:spacing w:val="2"/>
          <w:highlight w:val="none"/>
          <w:lang w:eastAsia="zh-CN"/>
        </w:rPr>
        <w:t>三次</w:t>
      </w:r>
      <w:r>
        <w:rPr>
          <w:rFonts w:hint="eastAsia" w:ascii="仿宋" w:hAnsi="仿宋" w:eastAsia="仿宋" w:cs="仿宋"/>
          <w:color w:val="auto"/>
          <w:spacing w:val="2"/>
          <w:highlight w:val="none"/>
        </w:rPr>
        <w:t>因乙方原因导致施工</w:t>
      </w:r>
      <w:r>
        <w:rPr>
          <w:rFonts w:hint="eastAsia" w:ascii="仿宋" w:hAnsi="仿宋" w:eastAsia="仿宋" w:cs="仿宋"/>
          <w:color w:val="auto"/>
          <w:spacing w:val="2"/>
          <w:highlight w:val="none"/>
          <w:lang w:eastAsia="zh-CN"/>
        </w:rPr>
        <w:t>检查</w:t>
      </w:r>
      <w:r>
        <w:rPr>
          <w:rFonts w:hint="eastAsia" w:ascii="仿宋" w:hAnsi="仿宋" w:eastAsia="仿宋" w:cs="仿宋"/>
          <w:color w:val="auto"/>
          <w:spacing w:val="2"/>
          <w:highlight w:val="none"/>
        </w:rPr>
        <w:t>验收不合格，</w:t>
      </w:r>
      <w:r>
        <w:rPr>
          <w:rFonts w:hint="eastAsia" w:ascii="仿宋" w:hAnsi="仿宋" w:eastAsia="仿宋" w:cs="仿宋"/>
          <w:color w:val="auto"/>
          <w:spacing w:val="2"/>
          <w:sz w:val="21"/>
          <w:highlight w:val="none"/>
          <w:lang w:val="en-US" w:eastAsia="zh-Hans"/>
        </w:rPr>
        <w:t>甲方</w:t>
      </w:r>
      <w:r>
        <w:rPr>
          <w:rFonts w:hint="eastAsia" w:ascii="仿宋" w:hAnsi="仿宋" w:eastAsia="仿宋" w:cs="仿宋"/>
          <w:color w:val="auto"/>
          <w:spacing w:val="2"/>
          <w:sz w:val="21"/>
          <w:highlight w:val="none"/>
        </w:rPr>
        <w:t>有权终止合同</w:t>
      </w:r>
      <w:r>
        <w:rPr>
          <w:rFonts w:hint="eastAsia" w:ascii="仿宋" w:hAnsi="仿宋" w:eastAsia="仿宋" w:cs="仿宋"/>
          <w:color w:val="auto"/>
          <w:spacing w:val="2"/>
          <w:sz w:val="21"/>
          <w:highlight w:val="none"/>
          <w:lang w:val="en-US" w:eastAsia="zh-Hans"/>
        </w:rPr>
        <w:t>并</w:t>
      </w:r>
      <w:r>
        <w:rPr>
          <w:rFonts w:hint="eastAsia" w:ascii="仿宋" w:hAnsi="仿宋" w:eastAsia="仿宋" w:cs="仿宋"/>
          <w:color w:val="auto"/>
          <w:spacing w:val="2"/>
          <w:szCs w:val="21"/>
          <w:highlight w:val="none"/>
          <w:u w:val="none"/>
        </w:rPr>
        <w:t>要求</w:t>
      </w:r>
      <w:r>
        <w:rPr>
          <w:rFonts w:hint="eastAsia" w:ascii="仿宋" w:hAnsi="仿宋" w:eastAsia="仿宋" w:cs="仿宋"/>
          <w:color w:val="auto"/>
          <w:spacing w:val="2"/>
          <w:szCs w:val="21"/>
          <w:highlight w:val="none"/>
          <w:u w:val="none"/>
          <w:lang w:val="en-US" w:eastAsia="zh-Hans"/>
        </w:rPr>
        <w:t>乙方</w:t>
      </w:r>
      <w:r>
        <w:rPr>
          <w:rFonts w:hint="eastAsia" w:ascii="仿宋" w:hAnsi="仿宋" w:eastAsia="仿宋" w:cs="仿宋"/>
          <w:color w:val="auto"/>
          <w:spacing w:val="2"/>
          <w:szCs w:val="21"/>
          <w:highlight w:val="none"/>
          <w:u w:val="none"/>
        </w:rPr>
        <w:t>无条件退场，承担由此产生的各方一切损失。同时，</w:t>
      </w:r>
      <w:r>
        <w:rPr>
          <w:rFonts w:hint="eastAsia" w:ascii="仿宋" w:hAnsi="仿宋" w:eastAsia="仿宋" w:cs="仿宋"/>
          <w:color w:val="auto"/>
          <w:spacing w:val="2"/>
          <w:szCs w:val="21"/>
          <w:highlight w:val="none"/>
          <w:u w:val="none"/>
          <w:lang w:val="en-US" w:eastAsia="zh-Hans"/>
        </w:rPr>
        <w:t>甲方</w:t>
      </w:r>
      <w:r>
        <w:rPr>
          <w:rFonts w:hint="eastAsia" w:ascii="仿宋" w:hAnsi="仿宋" w:eastAsia="仿宋" w:cs="仿宋"/>
          <w:color w:val="auto"/>
          <w:spacing w:val="2"/>
          <w:szCs w:val="21"/>
          <w:highlight w:val="none"/>
          <w:u w:val="none"/>
        </w:rPr>
        <w:t>也有权安排其他施工队伍进场施工，费用经审核后从</w:t>
      </w:r>
      <w:r>
        <w:rPr>
          <w:rFonts w:hint="eastAsia" w:ascii="仿宋" w:hAnsi="仿宋" w:eastAsia="仿宋" w:cs="仿宋"/>
          <w:color w:val="auto"/>
          <w:spacing w:val="2"/>
          <w:szCs w:val="21"/>
          <w:highlight w:val="none"/>
          <w:u w:val="none"/>
          <w:lang w:val="en-US" w:eastAsia="zh-Hans"/>
        </w:rPr>
        <w:t>乙方</w:t>
      </w:r>
      <w:r>
        <w:rPr>
          <w:rFonts w:hint="eastAsia" w:ascii="仿宋" w:hAnsi="仿宋" w:eastAsia="仿宋" w:cs="仿宋"/>
          <w:color w:val="auto"/>
          <w:spacing w:val="2"/>
          <w:szCs w:val="21"/>
          <w:highlight w:val="none"/>
          <w:u w:val="none"/>
        </w:rPr>
        <w:t>合同价款中扣除；由此给</w:t>
      </w:r>
      <w:r>
        <w:rPr>
          <w:rFonts w:hint="eastAsia" w:ascii="仿宋" w:hAnsi="仿宋" w:eastAsia="仿宋" w:cs="仿宋"/>
          <w:color w:val="auto"/>
          <w:spacing w:val="2"/>
          <w:szCs w:val="21"/>
          <w:highlight w:val="none"/>
          <w:u w:val="none"/>
          <w:lang w:val="en-US" w:eastAsia="zh-Hans"/>
        </w:rPr>
        <w:t>甲方</w:t>
      </w:r>
      <w:r>
        <w:rPr>
          <w:rFonts w:hint="eastAsia" w:ascii="仿宋" w:hAnsi="仿宋" w:eastAsia="仿宋" w:cs="仿宋"/>
          <w:color w:val="auto"/>
          <w:spacing w:val="2"/>
          <w:szCs w:val="21"/>
          <w:highlight w:val="none"/>
          <w:u w:val="none"/>
        </w:rPr>
        <w:t>造成损失的，损失费用同时扣除。</w:t>
      </w:r>
    </w:p>
    <w:p>
      <w:pPr>
        <w:pStyle w:val="34"/>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六、安全文明施工要求</w:t>
      </w:r>
    </w:p>
    <w:p>
      <w:pPr>
        <w:pStyle w:val="34"/>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1、施工现场用水、用电、施工便道由乙方自行解决，费用自理。</w:t>
      </w:r>
    </w:p>
    <w:p>
      <w:pPr>
        <w:pStyle w:val="34"/>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2、施工期间与各经营户关系的协调由乙方负责。</w:t>
      </w:r>
    </w:p>
    <w:p>
      <w:pPr>
        <w:pStyle w:val="34"/>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3、乙方必须做好与有关专业管线单位的配合工作。</w:t>
      </w:r>
    </w:p>
    <w:p>
      <w:pPr>
        <w:pStyle w:val="34"/>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4、乙方必须严格遵守安全、文明施工的操作规程，完善相关制度，落实安全措施，做好各项保险等工作，在工程开展期间发生安全事故均由乙方负责。</w:t>
      </w:r>
    </w:p>
    <w:p>
      <w:pPr>
        <w:pStyle w:val="34"/>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5、本工程凡涉及治安、市政、市容、环保、交通、所在地承包户关系协调等发生的问题和费用均由乙方负责解决并承担经济支出。</w:t>
      </w:r>
    </w:p>
    <w:p>
      <w:pPr>
        <w:pStyle w:val="34"/>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6、施工时不得损坏一切公共设施、道路周边承包户个人财物等，如有损坏必须照价赔偿或修复，费用由乙方承担。</w:t>
      </w:r>
    </w:p>
    <w:p>
      <w:pPr>
        <w:pStyle w:val="34"/>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7、施工期间应在显眼且安全的地方设置告示牌，告示牌的内容包括施工内容、施工工期、施工单位、项目负责人姓名与联系方式等。</w:t>
      </w:r>
    </w:p>
    <w:p>
      <w:pPr>
        <w:pStyle w:val="34"/>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8、施工期间，实行封闭管理，施工地段和施工设计范围必须设置有效安全设施和标志、标牌、警示灯，施工场地内外（材料、人员、车辆交通等）的安全责任由乙方负责，如发生各种事故，一切法律及经济责任由乙方承担，与甲方无涉。工程施工中和竣工后因质量问题而引发的事故一切法律责任及经济责任由乙方承担。</w:t>
      </w:r>
    </w:p>
    <w:p>
      <w:pPr>
        <w:pStyle w:val="34"/>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9、现场用电的安装、设置、使用必须符合规范要求，现场用电接线及安装电器作业必须由电工完成，他人不得随意乱接乱挂，发现电线老化，破皮等要及时整改。</w:t>
      </w:r>
    </w:p>
    <w:p>
      <w:pPr>
        <w:pStyle w:val="34"/>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10、在施工过程中应注意环境卫生，确保工地现场周围的清洁、施工废料及时清理干净。</w:t>
      </w:r>
    </w:p>
    <w:p>
      <w:pPr>
        <w:pStyle w:val="34"/>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11、所有施工工作人员的用工手续、保险手续需齐全，费用由乙方承担，施工人员上下班途中及施工期间发生的一切安全事故责任由乙方自行负责，与招标人无涉。施工现场必须按规定正确戴好安全帽；各相关工种必须按规定持证上岗。</w:t>
      </w:r>
    </w:p>
    <w:p>
      <w:pPr>
        <w:pStyle w:val="34"/>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12、乙方应委派专人负责交通安全，引导过往车辆和行人通行，确保无交通安全事故发生，如发生交通安全事故，一切法律及经济责任由乙方承担，与甲方无涉。</w:t>
      </w:r>
    </w:p>
    <w:p>
      <w:pPr>
        <w:pStyle w:val="34"/>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13、施工现场用水、用电、施工便道由乙方自行解决，费用自理。施工现场、土方及建筑材料运输途中等与本工程相关的所有安全事宜均由乙方负责，并承担由此支出的一切费用。</w:t>
      </w:r>
    </w:p>
    <w:p>
      <w:pPr>
        <w:pStyle w:val="34"/>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七、工程结算及支付</w:t>
      </w:r>
    </w:p>
    <w:p>
      <w:pPr>
        <w:pStyle w:val="34"/>
        <w:shd w:val="clear"/>
        <w:wordWrap/>
        <w:topLinePunct w:val="0"/>
        <w:bidi w:val="0"/>
        <w:spacing w:line="360" w:lineRule="auto"/>
        <w:ind w:firstLine="385" w:firstLineChars="180"/>
        <w:rPr>
          <w:rFonts w:hint="eastAsia" w:ascii="仿宋" w:hAnsi="仿宋" w:eastAsia="仿宋" w:cs="仿宋"/>
          <w:snapToGrid w:val="0"/>
          <w:color w:val="auto"/>
          <w:spacing w:val="2"/>
          <w:kern w:val="2"/>
          <w:sz w:val="21"/>
          <w:szCs w:val="21"/>
          <w:highlight w:val="none"/>
          <w:lang w:val="en-US" w:eastAsia="zh-CN" w:bidi="ar-SA"/>
        </w:rPr>
      </w:pPr>
      <w:r>
        <w:rPr>
          <w:rFonts w:hint="eastAsia" w:ascii="仿宋" w:hAnsi="仿宋" w:eastAsia="仿宋" w:cs="仿宋"/>
          <w:color w:val="auto"/>
          <w:spacing w:val="2"/>
          <w:sz w:val="21"/>
          <w:szCs w:val="21"/>
          <w:highlight w:val="none"/>
          <w:lang w:val="en-US" w:eastAsia="zh-CN"/>
        </w:rPr>
        <w:t>1、合同生效以及具备实施条件后5个工作日内，招标人向中标人支付合同价的40%作为预付款，工程竣工经验收合格后支付中标价的70%，工程竣工验收合格且经决算审计后满一年后支付到审计价的98.5%，竣工验收合格满两年后付清</w:t>
      </w:r>
      <w:bookmarkStart w:id="411" w:name="_GoBack"/>
      <w:bookmarkEnd w:id="411"/>
      <w:r>
        <w:rPr>
          <w:rFonts w:hint="eastAsia" w:ascii="仿宋" w:hAnsi="仿宋" w:eastAsia="仿宋" w:cs="仿宋"/>
          <w:color w:val="auto"/>
          <w:spacing w:val="2"/>
          <w:sz w:val="21"/>
          <w:szCs w:val="21"/>
          <w:highlight w:val="none"/>
          <w:lang w:val="en-US" w:eastAsia="zh-CN"/>
        </w:rPr>
        <w:t>。</w:t>
      </w:r>
    </w:p>
    <w:p>
      <w:pPr>
        <w:shd w:val="clear"/>
        <w:wordWrap/>
        <w:topLinePunct w:val="0"/>
        <w:bidi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2、质保期内一旦出现质量问题，乙方应随叫随到，若不作响应，罚5000元/次，直接</w:t>
      </w:r>
      <w:r>
        <w:rPr>
          <w:rFonts w:hint="eastAsia" w:ascii="仿宋" w:hAnsi="仿宋" w:eastAsia="仿宋" w:cs="仿宋"/>
          <w:color w:val="auto"/>
          <w:szCs w:val="21"/>
          <w:highlight w:val="none"/>
          <w:lang w:val="en-US" w:eastAsia="zh-Hans"/>
        </w:rPr>
        <w:t>从</w:t>
      </w:r>
      <w:r>
        <w:rPr>
          <w:rFonts w:hint="eastAsia" w:ascii="仿宋" w:hAnsi="仿宋" w:eastAsia="仿宋" w:cs="仿宋"/>
          <w:color w:val="auto"/>
          <w:szCs w:val="21"/>
          <w:highlight w:val="none"/>
        </w:rPr>
        <w:t>工程款中扣除，且甲方有权另聘施工单位维修，所需费用由乙方承担，直接从工程款中扣除。</w:t>
      </w:r>
    </w:p>
    <w:p>
      <w:pPr>
        <w:shd w:val="clear"/>
        <w:wordWrap/>
        <w:topLinePunct w:val="0"/>
        <w:bidi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3、工程结算按中标价及优惠条件结合变更联系单进行结算，无价材料以甲方单位签证为准。</w:t>
      </w:r>
    </w:p>
    <w:p>
      <w:pPr>
        <w:shd w:val="clear"/>
        <w:wordWrap/>
        <w:topLinePunct w:val="0"/>
        <w:bidi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4、工程结算最终以甲方委托相应资质的审价单位审核后为准；</w:t>
      </w:r>
    </w:p>
    <w:p>
      <w:pPr>
        <w:shd w:val="clear"/>
        <w:wordWrap/>
        <w:topLinePunct w:val="0"/>
        <w:bidi w:val="0"/>
        <w:spacing w:line="360" w:lineRule="auto"/>
        <w:ind w:left="0" w:leftChars="0" w:firstLine="420" w:firstLineChars="200"/>
        <w:rPr>
          <w:rFonts w:hint="eastAsia" w:ascii="仿宋" w:hAnsi="仿宋" w:eastAsia="仿宋" w:cs="仿宋"/>
          <w:color w:val="auto"/>
          <w:szCs w:val="21"/>
          <w:highlight w:val="none"/>
          <w:lang w:eastAsia="zh-Hans"/>
        </w:rPr>
      </w:pPr>
      <w:r>
        <w:rPr>
          <w:rFonts w:hint="eastAsia" w:ascii="仿宋" w:hAnsi="仿宋" w:eastAsia="仿宋" w:cs="仿宋"/>
          <w:color w:val="auto"/>
          <w:szCs w:val="21"/>
          <w:highlight w:val="none"/>
        </w:rPr>
        <w:t>5、</w:t>
      </w:r>
      <w:r>
        <w:rPr>
          <w:rFonts w:hint="eastAsia" w:ascii="仿宋" w:hAnsi="仿宋" w:eastAsia="仿宋" w:cs="仿宋"/>
          <w:color w:val="auto"/>
          <w:szCs w:val="21"/>
          <w:highlight w:val="none"/>
          <w:lang w:val="en-US" w:eastAsia="zh-Hans"/>
        </w:rPr>
        <w:t>甲方每次</w:t>
      </w:r>
      <w:r>
        <w:rPr>
          <w:rFonts w:hint="eastAsia" w:ascii="仿宋" w:hAnsi="仿宋" w:eastAsia="仿宋" w:cs="仿宋"/>
          <w:color w:val="auto"/>
          <w:szCs w:val="21"/>
          <w:highlight w:val="none"/>
        </w:rPr>
        <w:t>付款前乙方需提供工程发票, 税费由乙方承担。</w:t>
      </w:r>
      <w:r>
        <w:rPr>
          <w:rFonts w:hint="eastAsia" w:ascii="仿宋" w:hAnsi="仿宋" w:eastAsia="仿宋" w:cs="仿宋"/>
          <w:color w:val="auto"/>
          <w:szCs w:val="21"/>
          <w:highlight w:val="none"/>
          <w:lang w:val="en-US" w:eastAsia="zh-Hans"/>
        </w:rPr>
        <w:t>甲方在收到乙方提供的合法有效的增值税发票后</w:t>
      </w:r>
      <w:r>
        <w:rPr>
          <w:rFonts w:hint="eastAsia"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日内支付相应款项</w:t>
      </w:r>
      <w:r>
        <w:rPr>
          <w:rFonts w:hint="eastAsia"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甲方未收到发票的有权拒绝支付工程款且无需承担迟延付款的违约责任</w:t>
      </w:r>
      <w:r>
        <w:rPr>
          <w:rFonts w:hint="eastAsia"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乙方不得以甲方未付款为由暂停合同的履行</w:t>
      </w:r>
      <w:r>
        <w:rPr>
          <w:rFonts w:hint="eastAsia"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发票认证通过是甲方付款的必要前提之一</w:t>
      </w:r>
      <w:r>
        <w:rPr>
          <w:rFonts w:hint="eastAsia" w:ascii="仿宋" w:hAnsi="仿宋" w:eastAsia="仿宋" w:cs="仿宋"/>
          <w:color w:val="auto"/>
          <w:szCs w:val="21"/>
          <w:highlight w:val="none"/>
          <w:lang w:eastAsia="zh-Hans"/>
        </w:rPr>
        <w:t>。</w:t>
      </w:r>
    </w:p>
    <w:p>
      <w:pPr>
        <w:shd w:val="clear"/>
        <w:wordWrap/>
        <w:topLinePunct w:val="0"/>
        <w:bidi w:val="0"/>
        <w:spacing w:line="360" w:lineRule="auto"/>
        <w:ind w:left="420" w:leftChars="200" w:firstLine="105" w:firstLineChars="5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八、安全生产</w:t>
      </w:r>
    </w:p>
    <w:p>
      <w:pPr>
        <w:pStyle w:val="34"/>
        <w:shd w:val="clear"/>
        <w:wordWrap/>
        <w:topLinePunct w:val="0"/>
        <w:bidi w:val="0"/>
        <w:spacing w:line="360" w:lineRule="auto"/>
        <w:ind w:firstLine="385" w:firstLineChars="180"/>
        <w:rPr>
          <w:rFonts w:hint="eastAsia" w:ascii="仿宋" w:hAnsi="仿宋" w:eastAsia="仿宋" w:cs="仿宋"/>
          <w:color w:val="auto"/>
          <w:spacing w:val="2"/>
          <w:highlight w:val="none"/>
          <w:lang w:eastAsia="zh-Hans"/>
        </w:rPr>
      </w:pPr>
      <w:r>
        <w:rPr>
          <w:rFonts w:hint="eastAsia" w:ascii="仿宋" w:hAnsi="仿宋" w:eastAsia="仿宋" w:cs="仿宋"/>
          <w:color w:val="auto"/>
          <w:spacing w:val="2"/>
          <w:highlight w:val="none"/>
        </w:rPr>
        <w:t>在施工期间，乙方应做好安全生产工作，做到持证上岗。如在施工期间发生安全事故，由乙方负全责，与甲方无涉。</w:t>
      </w:r>
      <w:r>
        <w:rPr>
          <w:rFonts w:hint="eastAsia" w:ascii="仿宋" w:hAnsi="仿宋" w:eastAsia="仿宋" w:cs="仿宋"/>
          <w:color w:val="auto"/>
          <w:spacing w:val="2"/>
          <w:highlight w:val="none"/>
          <w:lang w:val="en-US" w:eastAsia="zh-Hans"/>
        </w:rPr>
        <w:t>甲方保留追究乙方责任的权利</w:t>
      </w:r>
      <w:r>
        <w:rPr>
          <w:rFonts w:hint="eastAsia" w:ascii="仿宋" w:hAnsi="仿宋" w:eastAsia="仿宋" w:cs="仿宋"/>
          <w:color w:val="auto"/>
          <w:spacing w:val="2"/>
          <w:highlight w:val="none"/>
          <w:lang w:eastAsia="zh-Hans"/>
        </w:rPr>
        <w:t>。</w:t>
      </w:r>
    </w:p>
    <w:p>
      <w:pPr>
        <w:shd w:val="clear"/>
        <w:wordWrap/>
        <w:topLinePunct w:val="0"/>
        <w:bidi w:val="0"/>
        <w:spacing w:line="360" w:lineRule="auto"/>
        <w:ind w:left="420" w:leftChars="200" w:firstLine="105" w:firstLineChars="5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九、竣工结算：按照国家相关条款执行。 </w:t>
      </w:r>
    </w:p>
    <w:p>
      <w:pPr>
        <w:pStyle w:val="34"/>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竣工结算资料应包括： 1、竣工结算合同价格（包括工程量增减部分明细及依据、分项工程明细表）；2、甲方已支付的进度款；3、应扣留的质量保证金；4、甲方应支付乙方的合同价款；5、乙方应承担的各类工程罚款、索赔；6、乙方已开具发票的数额；7、其他与工程结算有关的资料。</w:t>
      </w:r>
    </w:p>
    <w:p>
      <w:pPr>
        <w:shd w:val="clear"/>
        <w:wordWrap/>
        <w:topLinePunct w:val="0"/>
        <w:bidi w:val="0"/>
        <w:spacing w:line="360" w:lineRule="auto"/>
        <w:ind w:left="420" w:leftChars="200" w:firstLine="105" w:firstLineChars="50"/>
        <w:rPr>
          <w:rFonts w:hint="eastAsia" w:ascii="仿宋" w:hAnsi="仿宋" w:eastAsia="仿宋" w:cs="仿宋"/>
          <w:color w:val="auto"/>
          <w:szCs w:val="21"/>
          <w:highlight w:val="none"/>
        </w:rPr>
      </w:pPr>
      <w:r>
        <w:rPr>
          <w:rFonts w:hint="eastAsia" w:ascii="仿宋" w:hAnsi="仿宋" w:eastAsia="仿宋" w:cs="仿宋"/>
          <w:color w:val="auto"/>
          <w:szCs w:val="21"/>
          <w:highlight w:val="none"/>
        </w:rPr>
        <w:t>十、违约责任</w:t>
      </w:r>
    </w:p>
    <w:p>
      <w:pPr>
        <w:shd w:val="clear"/>
        <w:wordWrap/>
        <w:topLinePunct w:val="0"/>
        <w:bidi w:val="0"/>
        <w:spacing w:line="360" w:lineRule="auto"/>
        <w:ind w:firstLine="428" w:firstLineChars="200"/>
        <w:contextualSpacing/>
        <w:jc w:val="left"/>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1、因甲方原因未能按合同约定支付合同价款的违约责任：按照央行公布的同期贷款基准利率计算，工期顺延。</w:t>
      </w:r>
    </w:p>
    <w:p>
      <w:pPr>
        <w:shd w:val="clear"/>
        <w:wordWrap/>
        <w:topLinePunct w:val="0"/>
        <w:bidi w:val="0"/>
        <w:spacing w:line="360" w:lineRule="auto"/>
        <w:ind w:firstLine="428" w:firstLineChars="200"/>
        <w:contextualSpacing/>
        <w:jc w:val="left"/>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2、乙方违约责任的承担方式和计算方法：</w:t>
      </w:r>
      <w:r>
        <w:rPr>
          <w:rFonts w:hint="eastAsia" w:ascii="仿宋" w:hAnsi="仿宋" w:eastAsia="仿宋" w:cs="仿宋"/>
          <w:color w:val="auto"/>
          <w:spacing w:val="2"/>
          <w:szCs w:val="21"/>
          <w:highlight w:val="none"/>
          <w:lang w:val="en-US" w:eastAsia="zh-Hans"/>
        </w:rPr>
        <w:t>乙方</w:t>
      </w:r>
      <w:r>
        <w:rPr>
          <w:rFonts w:hint="eastAsia" w:ascii="仿宋" w:hAnsi="仿宋" w:eastAsia="仿宋" w:cs="仿宋"/>
          <w:color w:val="auto"/>
          <w:spacing w:val="2"/>
          <w:szCs w:val="21"/>
          <w:highlight w:val="none"/>
        </w:rPr>
        <w:t>无故</w:t>
      </w:r>
      <w:r>
        <w:rPr>
          <w:rFonts w:hint="eastAsia" w:ascii="仿宋" w:hAnsi="仿宋" w:eastAsia="仿宋" w:cs="仿宋"/>
          <w:color w:val="auto"/>
          <w:spacing w:val="2"/>
          <w:szCs w:val="21"/>
          <w:highlight w:val="none"/>
          <w:lang w:val="en-US" w:eastAsia="zh-Hans"/>
        </w:rPr>
        <w:t>逾期竣工的</w:t>
      </w:r>
      <w:r>
        <w:rPr>
          <w:rFonts w:hint="eastAsia" w:ascii="仿宋" w:hAnsi="仿宋" w:eastAsia="仿宋" w:cs="仿宋"/>
          <w:color w:val="auto"/>
          <w:spacing w:val="2"/>
          <w:szCs w:val="21"/>
          <w:highlight w:val="none"/>
        </w:rPr>
        <w:t>，工期延误每天按中标造价的万分之五进行处罚，但合同另有约定的除外。</w:t>
      </w:r>
    </w:p>
    <w:p>
      <w:pPr>
        <w:shd w:val="clear"/>
        <w:wordWrap/>
        <w:topLinePunct w:val="0"/>
        <w:bidi w:val="0"/>
        <w:spacing w:before="120" w:after="120" w:line="360" w:lineRule="auto"/>
        <w:ind w:left="139" w:leftChars="66" w:firstLine="312" w:firstLineChars="146"/>
        <w:contextualSpacing/>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3、因乙方违约工期延误超过7日以上的，甲方有权解除合同、</w:t>
      </w:r>
      <w:r>
        <w:rPr>
          <w:rFonts w:hint="eastAsia" w:ascii="仿宋" w:hAnsi="仿宋" w:eastAsia="仿宋" w:cs="仿宋"/>
          <w:color w:val="auto"/>
          <w:spacing w:val="2"/>
          <w:szCs w:val="21"/>
          <w:highlight w:val="none"/>
          <w:lang w:val="en-US" w:eastAsia="zh-Hans"/>
        </w:rPr>
        <w:t>要求乙方另行支付合同中标造价</w:t>
      </w:r>
      <w:r>
        <w:rPr>
          <w:rFonts w:hint="eastAsia" w:ascii="仿宋" w:hAnsi="仿宋" w:eastAsia="仿宋" w:cs="仿宋"/>
          <w:color w:val="auto"/>
          <w:spacing w:val="2"/>
          <w:szCs w:val="21"/>
          <w:highlight w:val="none"/>
          <w:lang w:eastAsia="zh-Hans"/>
        </w:rPr>
        <w:t>【】%</w:t>
      </w:r>
      <w:r>
        <w:rPr>
          <w:rFonts w:hint="eastAsia" w:ascii="仿宋" w:hAnsi="仿宋" w:eastAsia="仿宋" w:cs="仿宋"/>
          <w:color w:val="auto"/>
          <w:spacing w:val="2"/>
          <w:szCs w:val="21"/>
          <w:highlight w:val="none"/>
          <w:lang w:val="en-US" w:eastAsia="zh-Hans"/>
        </w:rPr>
        <w:t>的违约金并赔偿甲方因此所受全部损失</w:t>
      </w:r>
      <w:r>
        <w:rPr>
          <w:rFonts w:hint="eastAsia" w:ascii="仿宋" w:hAnsi="仿宋" w:eastAsia="仿宋" w:cs="仿宋"/>
          <w:color w:val="auto"/>
          <w:spacing w:val="2"/>
          <w:szCs w:val="21"/>
          <w:highlight w:val="none"/>
        </w:rPr>
        <w:t xml:space="preserve">。乙方应在收到解除通知后7日内自动清场，并注销施工许可证（如有）；逾期未清场的，视为放弃施工现场的一切物品，甲方有权自行处分。乙方未注销施工许可证，造成甲方无法建设的，相应的法律后果由乙方承担。 </w:t>
      </w:r>
    </w:p>
    <w:p>
      <w:pPr>
        <w:shd w:val="clear"/>
        <w:wordWrap/>
        <w:topLinePunct w:val="0"/>
        <w:bidi w:val="0"/>
        <w:spacing w:before="120" w:after="120" w:line="360" w:lineRule="auto"/>
        <w:ind w:left="139" w:leftChars="66" w:firstLine="312" w:firstLineChars="146"/>
        <w:contextualSpacing/>
        <w:rPr>
          <w:rFonts w:hint="eastAsia" w:ascii="仿宋" w:hAnsi="仿宋" w:eastAsia="仿宋" w:cs="仿宋"/>
          <w:color w:val="auto"/>
          <w:spacing w:val="2"/>
          <w:szCs w:val="21"/>
          <w:highlight w:val="none"/>
          <w:u w:val="none"/>
        </w:rPr>
      </w:pPr>
      <w:r>
        <w:rPr>
          <w:rFonts w:hint="eastAsia" w:ascii="仿宋" w:hAnsi="仿宋" w:eastAsia="仿宋" w:cs="仿宋"/>
          <w:color w:val="auto"/>
          <w:spacing w:val="2"/>
          <w:szCs w:val="21"/>
          <w:highlight w:val="none"/>
        </w:rPr>
        <w:t>4、</w:t>
      </w:r>
      <w:r>
        <w:rPr>
          <w:rFonts w:hint="eastAsia" w:ascii="仿宋" w:hAnsi="仿宋" w:eastAsia="仿宋" w:cs="仿宋"/>
          <w:color w:val="auto"/>
          <w:spacing w:val="2"/>
          <w:szCs w:val="21"/>
          <w:highlight w:val="none"/>
          <w:u w:val="none"/>
          <w:lang w:val="en-US" w:eastAsia="zh-Hans"/>
        </w:rPr>
        <w:t>乙方</w:t>
      </w:r>
      <w:r>
        <w:rPr>
          <w:rFonts w:hint="eastAsia" w:ascii="仿宋" w:hAnsi="仿宋" w:eastAsia="仿宋" w:cs="仿宋"/>
          <w:color w:val="auto"/>
          <w:spacing w:val="2"/>
          <w:szCs w:val="21"/>
          <w:highlight w:val="none"/>
          <w:u w:val="none"/>
        </w:rPr>
        <w:t>违反合同约定进行转包或违法分包的，一经发现，</w:t>
      </w:r>
      <w:r>
        <w:rPr>
          <w:rFonts w:hint="eastAsia" w:ascii="仿宋" w:hAnsi="仿宋" w:eastAsia="仿宋" w:cs="仿宋"/>
          <w:color w:val="auto"/>
          <w:spacing w:val="2"/>
          <w:szCs w:val="21"/>
          <w:highlight w:val="none"/>
          <w:u w:val="none"/>
          <w:lang w:val="en-US" w:eastAsia="zh-Hans"/>
        </w:rPr>
        <w:t>甲方</w:t>
      </w:r>
      <w:r>
        <w:rPr>
          <w:rFonts w:hint="eastAsia" w:ascii="仿宋" w:hAnsi="仿宋" w:eastAsia="仿宋" w:cs="仿宋"/>
          <w:color w:val="auto"/>
          <w:spacing w:val="2"/>
          <w:szCs w:val="21"/>
          <w:highlight w:val="none"/>
          <w:u w:val="none"/>
        </w:rPr>
        <w:t>有权终止合同，</w:t>
      </w:r>
      <w:r>
        <w:rPr>
          <w:rFonts w:hint="eastAsia" w:ascii="仿宋" w:hAnsi="仿宋" w:eastAsia="仿宋" w:cs="仿宋"/>
          <w:color w:val="auto"/>
          <w:spacing w:val="2"/>
          <w:szCs w:val="21"/>
          <w:highlight w:val="none"/>
          <w:u w:val="none"/>
          <w:lang w:val="en-US" w:eastAsia="zh-Hans"/>
        </w:rPr>
        <w:t>乙方</w:t>
      </w:r>
      <w:r>
        <w:rPr>
          <w:rFonts w:hint="eastAsia" w:ascii="仿宋" w:hAnsi="仿宋" w:eastAsia="仿宋" w:cs="仿宋"/>
          <w:color w:val="auto"/>
          <w:spacing w:val="2"/>
          <w:szCs w:val="21"/>
          <w:highlight w:val="none"/>
          <w:u w:val="none"/>
        </w:rPr>
        <w:t>应支付合同</w:t>
      </w:r>
      <w:r>
        <w:rPr>
          <w:rFonts w:hint="eastAsia" w:ascii="仿宋" w:hAnsi="仿宋" w:eastAsia="仿宋" w:cs="仿宋"/>
          <w:color w:val="auto"/>
          <w:spacing w:val="2"/>
          <w:szCs w:val="21"/>
          <w:highlight w:val="none"/>
          <w:u w:val="none"/>
          <w:lang w:val="en-US" w:eastAsia="zh-Hans"/>
        </w:rPr>
        <w:t>中标</w:t>
      </w:r>
      <w:r>
        <w:rPr>
          <w:rFonts w:hint="eastAsia" w:ascii="仿宋" w:hAnsi="仿宋" w:eastAsia="仿宋" w:cs="仿宋"/>
          <w:color w:val="auto"/>
          <w:spacing w:val="2"/>
          <w:szCs w:val="21"/>
          <w:highlight w:val="none"/>
          <w:u w:val="none"/>
        </w:rPr>
        <w:t>价【】%的违约金，由此所产生的一切后果及经济损失均由</w:t>
      </w:r>
      <w:r>
        <w:rPr>
          <w:rFonts w:hint="eastAsia" w:ascii="仿宋" w:hAnsi="仿宋" w:eastAsia="仿宋" w:cs="仿宋"/>
          <w:color w:val="auto"/>
          <w:spacing w:val="2"/>
          <w:szCs w:val="21"/>
          <w:highlight w:val="none"/>
          <w:u w:val="none"/>
          <w:lang w:val="en-US" w:eastAsia="zh-Hans"/>
        </w:rPr>
        <w:t>乙方</w:t>
      </w:r>
      <w:r>
        <w:rPr>
          <w:rFonts w:hint="eastAsia" w:ascii="仿宋" w:hAnsi="仿宋" w:eastAsia="仿宋" w:cs="仿宋"/>
          <w:color w:val="auto"/>
          <w:spacing w:val="2"/>
          <w:szCs w:val="21"/>
          <w:highlight w:val="none"/>
          <w:u w:val="none"/>
        </w:rPr>
        <w:t>承担。</w:t>
      </w:r>
    </w:p>
    <w:p>
      <w:pPr>
        <w:shd w:val="clear"/>
        <w:wordWrap/>
        <w:topLinePunct w:val="0"/>
        <w:bidi w:val="0"/>
        <w:spacing w:before="120" w:after="120" w:line="360" w:lineRule="auto"/>
        <w:ind w:left="139" w:leftChars="66" w:firstLine="312" w:firstLineChars="146"/>
        <w:contextualSpacing/>
        <w:rPr>
          <w:rFonts w:hint="eastAsia" w:ascii="仿宋" w:hAnsi="仿宋" w:eastAsia="仿宋" w:cs="仿宋"/>
          <w:color w:val="auto"/>
          <w:spacing w:val="2"/>
          <w:sz w:val="21"/>
          <w:szCs w:val="21"/>
          <w:highlight w:val="none"/>
          <w:u w:val="none"/>
          <w:lang w:eastAsia="zh-Hans"/>
        </w:rPr>
      </w:pPr>
      <w:r>
        <w:rPr>
          <w:rFonts w:hint="eastAsia" w:ascii="仿宋" w:hAnsi="仿宋" w:eastAsia="仿宋" w:cs="仿宋"/>
          <w:color w:val="auto"/>
          <w:spacing w:val="2"/>
          <w:szCs w:val="21"/>
          <w:highlight w:val="none"/>
          <w:u w:val="none"/>
        </w:rPr>
        <w:t>5、</w:t>
      </w:r>
      <w:r>
        <w:rPr>
          <w:rFonts w:hint="eastAsia" w:ascii="仿宋" w:hAnsi="仿宋" w:eastAsia="仿宋" w:cs="仿宋"/>
          <w:color w:val="auto"/>
          <w:spacing w:val="2"/>
          <w:sz w:val="21"/>
          <w:szCs w:val="21"/>
          <w:highlight w:val="none"/>
          <w:u w:val="none"/>
          <w:lang w:eastAsia="zh-Hans"/>
        </w:rPr>
        <w:t>承包人在施工过程中不论遇到何种困难（</w:t>
      </w:r>
      <w:r>
        <w:rPr>
          <w:rFonts w:hint="eastAsia" w:ascii="仿宋" w:hAnsi="仿宋" w:eastAsia="仿宋" w:cs="仿宋"/>
          <w:color w:val="auto"/>
          <w:spacing w:val="2"/>
          <w:sz w:val="21"/>
          <w:szCs w:val="21"/>
          <w:highlight w:val="none"/>
          <w:u w:val="none"/>
          <w:lang w:val="en-US" w:eastAsia="zh-Hans"/>
        </w:rPr>
        <w:t>甲方</w:t>
      </w:r>
      <w:r>
        <w:rPr>
          <w:rFonts w:hint="eastAsia" w:ascii="仿宋" w:hAnsi="仿宋" w:eastAsia="仿宋" w:cs="仿宋"/>
          <w:color w:val="auto"/>
          <w:spacing w:val="2"/>
          <w:sz w:val="21"/>
          <w:szCs w:val="21"/>
          <w:highlight w:val="none"/>
          <w:u w:val="none"/>
          <w:lang w:eastAsia="zh-Hans"/>
        </w:rPr>
        <w:t>原因除外），均不得以任何理由擅自停工或变相停工，否则由此造成的一切后果和经济损失均由</w:t>
      </w:r>
      <w:r>
        <w:rPr>
          <w:rFonts w:hint="eastAsia" w:ascii="仿宋" w:hAnsi="仿宋" w:eastAsia="仿宋" w:cs="仿宋"/>
          <w:color w:val="auto"/>
          <w:spacing w:val="2"/>
          <w:sz w:val="21"/>
          <w:szCs w:val="21"/>
          <w:highlight w:val="none"/>
          <w:u w:val="none"/>
          <w:lang w:val="en-US" w:eastAsia="zh-Hans"/>
        </w:rPr>
        <w:t>乙方</w:t>
      </w:r>
      <w:r>
        <w:rPr>
          <w:rFonts w:hint="eastAsia" w:ascii="仿宋" w:hAnsi="仿宋" w:eastAsia="仿宋" w:cs="仿宋"/>
          <w:color w:val="auto"/>
          <w:spacing w:val="2"/>
          <w:sz w:val="21"/>
          <w:szCs w:val="21"/>
          <w:highlight w:val="none"/>
          <w:u w:val="none"/>
          <w:lang w:eastAsia="zh-Hans"/>
        </w:rPr>
        <w:t>承担，同时</w:t>
      </w:r>
      <w:r>
        <w:rPr>
          <w:rFonts w:hint="eastAsia" w:ascii="仿宋" w:hAnsi="仿宋" w:eastAsia="仿宋" w:cs="仿宋"/>
          <w:color w:val="auto"/>
          <w:spacing w:val="2"/>
          <w:sz w:val="21"/>
          <w:szCs w:val="21"/>
          <w:highlight w:val="none"/>
          <w:u w:val="none"/>
          <w:lang w:val="en-US" w:eastAsia="zh-Hans"/>
        </w:rPr>
        <w:t>甲方</w:t>
      </w:r>
      <w:r>
        <w:rPr>
          <w:rFonts w:hint="eastAsia" w:ascii="仿宋" w:hAnsi="仿宋" w:eastAsia="仿宋" w:cs="仿宋"/>
          <w:color w:val="auto"/>
          <w:spacing w:val="2"/>
          <w:sz w:val="21"/>
          <w:szCs w:val="21"/>
          <w:highlight w:val="none"/>
          <w:u w:val="none"/>
          <w:lang w:eastAsia="zh-Hans"/>
        </w:rPr>
        <w:t>有权</w:t>
      </w:r>
      <w:r>
        <w:rPr>
          <w:rFonts w:hint="eastAsia" w:ascii="仿宋" w:hAnsi="仿宋" w:eastAsia="仿宋" w:cs="仿宋"/>
          <w:color w:val="auto"/>
          <w:spacing w:val="2"/>
          <w:sz w:val="21"/>
          <w:szCs w:val="21"/>
          <w:highlight w:val="none"/>
          <w:u w:val="none"/>
          <w:lang w:val="en-US" w:eastAsia="zh-Hans"/>
        </w:rPr>
        <w:t>根据</w:t>
      </w:r>
      <w:r>
        <w:rPr>
          <w:rFonts w:hint="eastAsia" w:ascii="仿宋" w:hAnsi="仿宋" w:eastAsia="仿宋" w:cs="仿宋"/>
          <w:color w:val="auto"/>
          <w:spacing w:val="2"/>
          <w:sz w:val="21"/>
          <w:szCs w:val="21"/>
          <w:highlight w:val="none"/>
          <w:u w:val="none"/>
          <w:lang w:eastAsia="zh-Hans"/>
        </w:rPr>
        <w:t>擅自停工或变相停工</w:t>
      </w:r>
      <w:r>
        <w:rPr>
          <w:rFonts w:hint="eastAsia" w:ascii="仿宋" w:hAnsi="仿宋" w:eastAsia="仿宋" w:cs="仿宋"/>
          <w:color w:val="auto"/>
          <w:spacing w:val="2"/>
          <w:sz w:val="21"/>
          <w:szCs w:val="21"/>
          <w:highlight w:val="none"/>
          <w:u w:val="none"/>
          <w:lang w:val="en-US" w:eastAsia="zh-Hans"/>
        </w:rPr>
        <w:t>天数按照</w:t>
      </w:r>
      <w:r>
        <w:rPr>
          <w:rFonts w:hint="eastAsia" w:ascii="仿宋" w:hAnsi="仿宋" w:eastAsia="仿宋" w:cs="仿宋"/>
          <w:color w:val="auto"/>
          <w:spacing w:val="2"/>
          <w:sz w:val="21"/>
          <w:szCs w:val="21"/>
          <w:highlight w:val="none"/>
          <w:u w:val="none"/>
          <w:lang w:eastAsia="zh-Hans"/>
        </w:rPr>
        <w:t>10000元/天</w:t>
      </w:r>
      <w:r>
        <w:rPr>
          <w:rFonts w:hint="eastAsia" w:ascii="仿宋" w:hAnsi="仿宋" w:eastAsia="仿宋" w:cs="仿宋"/>
          <w:color w:val="auto"/>
          <w:spacing w:val="2"/>
          <w:sz w:val="21"/>
          <w:szCs w:val="21"/>
          <w:highlight w:val="none"/>
          <w:u w:val="none"/>
          <w:lang w:val="en-US" w:eastAsia="zh-Hans"/>
        </w:rPr>
        <w:t>进行</w:t>
      </w:r>
      <w:r>
        <w:rPr>
          <w:rFonts w:hint="eastAsia" w:ascii="仿宋" w:hAnsi="仿宋" w:eastAsia="仿宋" w:cs="仿宋"/>
          <w:color w:val="auto"/>
          <w:spacing w:val="2"/>
          <w:sz w:val="21"/>
          <w:szCs w:val="21"/>
          <w:highlight w:val="none"/>
          <w:u w:val="none"/>
          <w:lang w:eastAsia="zh-Hans"/>
        </w:rPr>
        <w:t>处罚。</w:t>
      </w:r>
    </w:p>
    <w:p>
      <w:pPr>
        <w:shd w:val="clear"/>
        <w:wordWrap/>
        <w:topLinePunct w:val="0"/>
        <w:bidi w:val="0"/>
        <w:spacing w:before="120" w:after="120" w:line="360" w:lineRule="auto"/>
        <w:ind w:left="139" w:leftChars="66" w:firstLine="312" w:firstLineChars="146"/>
        <w:contextualSpacing/>
        <w:rPr>
          <w:rFonts w:hint="eastAsia" w:ascii="仿宋" w:hAnsi="仿宋" w:eastAsia="仿宋" w:cs="仿宋"/>
          <w:color w:val="auto"/>
          <w:spacing w:val="2"/>
          <w:szCs w:val="21"/>
          <w:highlight w:val="none"/>
        </w:rPr>
      </w:pPr>
      <w:r>
        <w:rPr>
          <w:rFonts w:hint="eastAsia" w:ascii="仿宋" w:hAnsi="仿宋" w:eastAsia="仿宋" w:cs="仿宋"/>
          <w:color w:val="auto"/>
          <w:spacing w:val="2"/>
          <w:sz w:val="21"/>
          <w:szCs w:val="21"/>
          <w:highlight w:val="none"/>
          <w:u w:val="none"/>
          <w:lang w:eastAsia="zh-Hans"/>
        </w:rPr>
        <w:t>6、</w:t>
      </w:r>
      <w:r>
        <w:rPr>
          <w:rFonts w:hint="eastAsia" w:ascii="仿宋" w:hAnsi="仿宋" w:eastAsia="仿宋" w:cs="仿宋"/>
          <w:color w:val="auto"/>
          <w:szCs w:val="21"/>
          <w:highlight w:val="none"/>
        </w:rPr>
        <w:t>工程</w:t>
      </w:r>
      <w:r>
        <w:rPr>
          <w:rFonts w:hint="eastAsia" w:ascii="仿宋" w:hAnsi="仿宋" w:eastAsia="仿宋" w:cs="仿宋"/>
          <w:color w:val="auto"/>
          <w:szCs w:val="21"/>
          <w:highlight w:val="none"/>
          <w:lang w:val="en-US" w:eastAsia="zh-Hans"/>
        </w:rPr>
        <w:t>竣工验收后</w:t>
      </w:r>
      <w:r>
        <w:rPr>
          <w:rFonts w:hint="eastAsia" w:ascii="仿宋" w:hAnsi="仿宋" w:eastAsia="仿宋" w:cs="仿宋"/>
          <w:color w:val="auto"/>
          <w:szCs w:val="21"/>
          <w:highlight w:val="none"/>
        </w:rPr>
        <w:t>【】天内现场应清除所有不再需要的临时工程、</w:t>
      </w:r>
      <w:r>
        <w:rPr>
          <w:rFonts w:hint="eastAsia" w:ascii="仿宋" w:hAnsi="仿宋" w:eastAsia="仿宋" w:cs="仿宋"/>
          <w:color w:val="auto"/>
          <w:szCs w:val="21"/>
          <w:highlight w:val="none"/>
          <w:lang w:val="en-US" w:eastAsia="zh-Hans"/>
        </w:rPr>
        <w:t>乙方</w:t>
      </w:r>
      <w:r>
        <w:rPr>
          <w:rFonts w:hint="eastAsia" w:ascii="仿宋" w:hAnsi="仿宋" w:eastAsia="仿宋" w:cs="仿宋"/>
          <w:color w:val="auto"/>
          <w:szCs w:val="21"/>
          <w:highlight w:val="none"/>
        </w:rPr>
        <w:t>的设备和多余材料、全部建筑、生活垃圾，达到</w:t>
      </w:r>
      <w:r>
        <w:rPr>
          <w:rFonts w:hint="eastAsia" w:ascii="仿宋" w:hAnsi="仿宋" w:eastAsia="仿宋" w:cs="仿宋"/>
          <w:color w:val="auto"/>
          <w:szCs w:val="21"/>
          <w:highlight w:val="none"/>
          <w:lang w:val="en-US" w:eastAsia="zh-Hans"/>
        </w:rPr>
        <w:t>甲方</w:t>
      </w:r>
      <w:r>
        <w:rPr>
          <w:rFonts w:hint="eastAsia" w:ascii="仿宋" w:hAnsi="仿宋" w:eastAsia="仿宋" w:cs="仿宋"/>
          <w:color w:val="auto"/>
          <w:szCs w:val="21"/>
          <w:highlight w:val="none"/>
        </w:rPr>
        <w:t>满意的使用状态。如</w:t>
      </w:r>
      <w:r>
        <w:rPr>
          <w:rFonts w:hint="eastAsia" w:ascii="仿宋" w:hAnsi="仿宋" w:eastAsia="仿宋" w:cs="仿宋"/>
          <w:color w:val="auto"/>
          <w:szCs w:val="21"/>
          <w:highlight w:val="none"/>
          <w:lang w:val="en-US" w:eastAsia="zh-Hans"/>
        </w:rPr>
        <w:t>乙方</w:t>
      </w:r>
      <w:r>
        <w:rPr>
          <w:rFonts w:hint="eastAsia" w:ascii="仿宋" w:hAnsi="仿宋" w:eastAsia="仿宋" w:cs="仿宋"/>
          <w:color w:val="auto"/>
          <w:szCs w:val="21"/>
          <w:highlight w:val="none"/>
        </w:rPr>
        <w:t>不履行，</w:t>
      </w:r>
      <w:r>
        <w:rPr>
          <w:rFonts w:hint="eastAsia" w:ascii="仿宋" w:hAnsi="仿宋" w:eastAsia="仿宋" w:cs="仿宋"/>
          <w:color w:val="auto"/>
          <w:szCs w:val="21"/>
          <w:highlight w:val="none"/>
          <w:lang w:val="en-US" w:eastAsia="zh-Hans"/>
        </w:rPr>
        <w:t>甲方</w:t>
      </w:r>
      <w:r>
        <w:rPr>
          <w:rFonts w:hint="eastAsia" w:ascii="仿宋" w:hAnsi="仿宋" w:eastAsia="仿宋" w:cs="仿宋"/>
          <w:color w:val="auto"/>
          <w:szCs w:val="21"/>
          <w:highlight w:val="none"/>
        </w:rPr>
        <w:t>可自行清除或另行委托他人处理，发生的费用由</w:t>
      </w:r>
      <w:r>
        <w:rPr>
          <w:rFonts w:hint="eastAsia" w:ascii="仿宋" w:hAnsi="仿宋" w:eastAsia="仿宋" w:cs="仿宋"/>
          <w:color w:val="auto"/>
          <w:szCs w:val="21"/>
          <w:highlight w:val="none"/>
          <w:lang w:val="en-US" w:eastAsia="zh-Hans"/>
        </w:rPr>
        <w:t>乙方</w:t>
      </w:r>
      <w:r>
        <w:rPr>
          <w:rFonts w:hint="eastAsia" w:ascii="仿宋" w:hAnsi="仿宋" w:eastAsia="仿宋" w:cs="仿宋"/>
          <w:color w:val="auto"/>
          <w:szCs w:val="21"/>
          <w:highlight w:val="none"/>
        </w:rPr>
        <w:t>双倍承担。</w:t>
      </w:r>
    </w:p>
    <w:p>
      <w:pPr>
        <w:widowControl/>
        <w:shd w:val="clear"/>
        <w:wordWrap/>
        <w:topLinePunct w:val="0"/>
        <w:bidi w:val="0"/>
        <w:spacing w:before="120" w:after="120" w:line="360" w:lineRule="auto"/>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十一、合同文件构成</w:t>
      </w:r>
    </w:p>
    <w:p>
      <w:pPr>
        <w:widowControl/>
        <w:shd w:val="clear"/>
        <w:wordWrap/>
        <w:topLinePunct w:val="0"/>
        <w:bidi w:val="0"/>
        <w:spacing w:before="120" w:after="120" w:line="360" w:lineRule="auto"/>
        <w:ind w:firstLine="428" w:firstLineChars="200"/>
        <w:outlineLvl w:val="9"/>
        <w:rPr>
          <w:rFonts w:hint="eastAsia" w:ascii="仿宋" w:hAnsi="仿宋" w:eastAsia="仿宋" w:cs="仿宋"/>
          <w:color w:val="auto"/>
          <w:szCs w:val="21"/>
          <w:highlight w:val="none"/>
        </w:rPr>
      </w:pPr>
      <w:r>
        <w:rPr>
          <w:rFonts w:hint="eastAsia" w:ascii="仿宋" w:hAnsi="仿宋" w:eastAsia="仿宋" w:cs="仿宋"/>
          <w:color w:val="auto"/>
          <w:spacing w:val="2"/>
          <w:szCs w:val="21"/>
          <w:highlight w:val="none"/>
        </w:rPr>
        <w:t>本协议书与下列文件一起构成合同文件：</w:t>
      </w:r>
    </w:p>
    <w:p>
      <w:pPr>
        <w:widowControl/>
        <w:shd w:val="clear"/>
        <w:wordWrap/>
        <w:topLinePunct w:val="0"/>
        <w:bidi w:val="0"/>
        <w:spacing w:line="360" w:lineRule="auto"/>
        <w:ind w:firstLine="631" w:firstLineChars="295"/>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(1) 本合同协议书；</w:t>
      </w:r>
    </w:p>
    <w:p>
      <w:pPr>
        <w:widowControl/>
        <w:shd w:val="clear"/>
        <w:wordWrap/>
        <w:topLinePunct w:val="0"/>
        <w:bidi w:val="0"/>
        <w:spacing w:line="360" w:lineRule="auto"/>
        <w:ind w:firstLine="600"/>
        <w:jc w:val="left"/>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（2）招标文件；</w:t>
      </w:r>
    </w:p>
    <w:p>
      <w:pPr>
        <w:widowControl/>
        <w:shd w:val="clear"/>
        <w:wordWrap/>
        <w:topLinePunct w:val="0"/>
        <w:bidi w:val="0"/>
        <w:spacing w:line="360" w:lineRule="auto"/>
        <w:ind w:firstLine="600"/>
        <w:jc w:val="left"/>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 xml:space="preserve">（3）中标通知书； </w:t>
      </w:r>
    </w:p>
    <w:p>
      <w:pPr>
        <w:widowControl/>
        <w:shd w:val="clear"/>
        <w:wordWrap/>
        <w:topLinePunct w:val="0"/>
        <w:bidi w:val="0"/>
        <w:spacing w:line="360" w:lineRule="auto"/>
        <w:ind w:firstLine="600"/>
        <w:jc w:val="left"/>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（4）投标函及其附录；</w:t>
      </w:r>
    </w:p>
    <w:p>
      <w:pPr>
        <w:widowControl/>
        <w:shd w:val="clear"/>
        <w:wordWrap/>
        <w:topLinePunct w:val="0"/>
        <w:bidi w:val="0"/>
        <w:spacing w:line="360" w:lineRule="auto"/>
        <w:ind w:firstLine="600"/>
        <w:jc w:val="left"/>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 xml:space="preserve"> (5) 标准规范及有关技术文件；</w:t>
      </w:r>
    </w:p>
    <w:p>
      <w:pPr>
        <w:widowControl/>
        <w:shd w:val="clear"/>
        <w:wordWrap/>
        <w:topLinePunct w:val="0"/>
        <w:bidi w:val="0"/>
        <w:spacing w:line="360" w:lineRule="auto"/>
        <w:ind w:firstLine="600"/>
        <w:jc w:val="left"/>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（6）图纸；</w:t>
      </w:r>
    </w:p>
    <w:p>
      <w:pPr>
        <w:widowControl/>
        <w:shd w:val="clear"/>
        <w:wordWrap/>
        <w:topLinePunct w:val="0"/>
        <w:bidi w:val="0"/>
        <w:spacing w:line="360" w:lineRule="auto"/>
        <w:ind w:firstLine="600"/>
        <w:jc w:val="left"/>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（7）已标价工程量清单或预算书；</w:t>
      </w:r>
    </w:p>
    <w:p>
      <w:pPr>
        <w:widowControl/>
        <w:shd w:val="clear"/>
        <w:wordWrap/>
        <w:topLinePunct w:val="0"/>
        <w:bidi w:val="0"/>
        <w:spacing w:line="360" w:lineRule="auto"/>
        <w:ind w:firstLine="600"/>
        <w:jc w:val="left"/>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（8）其他合同文件；</w:t>
      </w:r>
    </w:p>
    <w:p>
      <w:pPr>
        <w:widowControl/>
        <w:shd w:val="clear"/>
        <w:wordWrap/>
        <w:topLinePunct w:val="0"/>
        <w:bidi w:val="0"/>
        <w:spacing w:line="360" w:lineRule="auto"/>
        <w:ind w:firstLine="600"/>
        <w:jc w:val="left"/>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在合同订立及履行过程中形成的与合同有关的文件均构成合同文件组成部分。</w:t>
      </w:r>
    </w:p>
    <w:p>
      <w:pPr>
        <w:widowControl/>
        <w:shd w:val="clear"/>
        <w:wordWrap/>
        <w:topLinePunct w:val="0"/>
        <w:bidi w:val="0"/>
        <w:spacing w:line="360" w:lineRule="auto"/>
        <w:ind w:firstLine="600"/>
        <w:jc w:val="left"/>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上述各项合同文件包括合同当事人就该项合同文件所作出的补充和修改，属于同一类内容的文件，应以最新签署的为准。专用合同条款及其附件须经合同当事人签字或盖章。</w:t>
      </w:r>
    </w:p>
    <w:p>
      <w:pPr>
        <w:pStyle w:val="34"/>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十二、特殊条款</w:t>
      </w:r>
    </w:p>
    <w:p>
      <w:pPr>
        <w:pStyle w:val="34"/>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本合同条款如对特殊情况有未尽事宜，双方可根据具体情况结合有关规定议定特殊条款。</w:t>
      </w:r>
    </w:p>
    <w:p>
      <w:pPr>
        <w:pStyle w:val="34"/>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十三、附则</w:t>
      </w:r>
    </w:p>
    <w:p>
      <w:pPr>
        <w:pStyle w:val="34"/>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本合同其他未言明事项，一律按《中华人民共和国</w:t>
      </w:r>
      <w:r>
        <w:rPr>
          <w:rFonts w:hint="eastAsia" w:ascii="仿宋" w:hAnsi="仿宋" w:eastAsia="仿宋" w:cs="仿宋"/>
          <w:color w:val="auto"/>
          <w:spacing w:val="2"/>
          <w:highlight w:val="none"/>
          <w:lang w:eastAsia="zh-CN"/>
        </w:rPr>
        <w:t>民法典</w:t>
      </w:r>
      <w:r>
        <w:rPr>
          <w:rFonts w:hint="eastAsia" w:ascii="仿宋" w:hAnsi="仿宋" w:eastAsia="仿宋" w:cs="仿宋"/>
          <w:color w:val="auto"/>
          <w:spacing w:val="2"/>
          <w:highlight w:val="none"/>
        </w:rPr>
        <w:t>》和</w:t>
      </w:r>
      <w:r>
        <w:rPr>
          <w:rFonts w:hint="eastAsia" w:ascii="仿宋" w:hAnsi="仿宋" w:eastAsia="仿宋" w:cs="仿宋"/>
          <w:i w:val="0"/>
          <w:iCs w:val="0"/>
          <w:caps w:val="0"/>
          <w:color w:val="auto"/>
          <w:spacing w:val="2"/>
          <w:sz w:val="21"/>
          <w:szCs w:val="21"/>
          <w:highlight w:val="none"/>
          <w:shd w:val="clear"/>
        </w:rPr>
        <w:t>《中华人民共和国建筑法》</w:t>
      </w:r>
      <w:r>
        <w:rPr>
          <w:rFonts w:hint="eastAsia" w:ascii="仿宋" w:hAnsi="仿宋" w:eastAsia="仿宋" w:cs="仿宋"/>
          <w:color w:val="auto"/>
          <w:spacing w:val="2"/>
          <w:highlight w:val="none"/>
        </w:rPr>
        <w:t>规定执行。</w:t>
      </w:r>
    </w:p>
    <w:p>
      <w:pPr>
        <w:pStyle w:val="34"/>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本合同经双方签字盖章后生效，至合同工程竣工交验，结清工程尾款，</w:t>
      </w:r>
      <w:r>
        <w:rPr>
          <w:rFonts w:hint="eastAsia" w:ascii="仿宋" w:hAnsi="仿宋" w:eastAsia="仿宋" w:cs="仿宋"/>
          <w:color w:val="auto"/>
          <w:spacing w:val="2"/>
          <w:highlight w:val="none"/>
          <w:lang w:val="en-US" w:eastAsia="zh-Hans"/>
        </w:rPr>
        <w:t>质保期及</w:t>
      </w:r>
      <w:r>
        <w:rPr>
          <w:rFonts w:hint="eastAsia" w:ascii="仿宋" w:hAnsi="仿宋" w:eastAsia="仿宋" w:cs="仿宋"/>
          <w:color w:val="auto"/>
          <w:spacing w:val="2"/>
          <w:highlight w:val="none"/>
        </w:rPr>
        <w:t>保修期满</w:t>
      </w:r>
      <w:r>
        <w:rPr>
          <w:rFonts w:hint="eastAsia" w:ascii="仿宋" w:hAnsi="仿宋" w:eastAsia="仿宋" w:cs="仿宋"/>
          <w:color w:val="auto"/>
          <w:spacing w:val="2"/>
          <w:highlight w:val="none"/>
          <w:lang w:val="en-US" w:eastAsia="zh-Hans"/>
        </w:rPr>
        <w:t>且无争议</w:t>
      </w:r>
      <w:r>
        <w:rPr>
          <w:rFonts w:hint="eastAsia" w:ascii="仿宋" w:hAnsi="仿宋" w:eastAsia="仿宋" w:cs="仿宋"/>
          <w:color w:val="auto"/>
          <w:spacing w:val="2"/>
          <w:highlight w:val="none"/>
        </w:rPr>
        <w:t>后自动失效。</w:t>
      </w:r>
    </w:p>
    <w:p>
      <w:pPr>
        <w:pStyle w:val="34"/>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十四、合同生效</w:t>
      </w:r>
    </w:p>
    <w:p>
      <w:pPr>
        <w:widowControl/>
        <w:shd w:val="clear"/>
        <w:wordWrap/>
        <w:topLinePunct w:val="0"/>
        <w:bidi w:val="0"/>
        <w:spacing w:line="360" w:lineRule="auto"/>
        <w:ind w:firstLine="600"/>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本合同自双方盖章、签字后生效。</w:t>
      </w:r>
    </w:p>
    <w:p>
      <w:pPr>
        <w:pStyle w:val="34"/>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十五、工程保险由乙方投保并承担全部费用。</w:t>
      </w:r>
    </w:p>
    <w:p>
      <w:pPr>
        <w:shd w:val="clear"/>
        <w:wordWrap/>
        <w:topLinePunct w:val="0"/>
        <w:bidi w:val="0"/>
        <w:snapToGrid w:val="0"/>
        <w:spacing w:line="360" w:lineRule="auto"/>
        <w:ind w:firstLine="428" w:firstLineChars="200"/>
        <w:outlineLvl w:val="9"/>
        <w:rPr>
          <w:rFonts w:hint="eastAsia" w:ascii="仿宋" w:hAnsi="仿宋" w:eastAsia="仿宋" w:cs="仿宋"/>
          <w:b/>
          <w:bCs/>
          <w:color w:val="auto"/>
          <w:szCs w:val="21"/>
          <w:highlight w:val="none"/>
        </w:rPr>
      </w:pPr>
      <w:r>
        <w:rPr>
          <w:rFonts w:hint="eastAsia" w:ascii="仿宋" w:hAnsi="仿宋" w:eastAsia="仿宋" w:cs="仿宋"/>
          <w:color w:val="auto"/>
          <w:spacing w:val="2"/>
          <w:szCs w:val="21"/>
          <w:highlight w:val="none"/>
        </w:rPr>
        <w:t>十六、</w:t>
      </w:r>
      <w:r>
        <w:rPr>
          <w:rFonts w:hint="eastAsia" w:ascii="仿宋" w:hAnsi="仿宋" w:eastAsia="仿宋" w:cs="仿宋"/>
          <w:color w:val="auto"/>
          <w:szCs w:val="21"/>
          <w:highlight w:val="none"/>
        </w:rPr>
        <w:t>争议解决</w:t>
      </w:r>
    </w:p>
    <w:p>
      <w:pPr>
        <w:shd w:val="clear"/>
        <w:wordWrap/>
        <w:topLinePunct w:val="0"/>
        <w:bidi w:val="0"/>
        <w:snapToGrid w:val="0"/>
        <w:spacing w:line="360" w:lineRule="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16.1调解</w:t>
      </w:r>
    </w:p>
    <w:p>
      <w:pPr>
        <w:shd w:val="clear"/>
        <w:wordWrap/>
        <w:topLinePunct w:val="0"/>
        <w:bidi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本合同争议进行调解时，可提交</w:t>
      </w:r>
      <w:r>
        <w:rPr>
          <w:rFonts w:hint="eastAsia" w:ascii="仿宋" w:hAnsi="仿宋" w:eastAsia="仿宋" w:cs="仿宋"/>
          <w:color w:val="auto"/>
          <w:szCs w:val="21"/>
          <w:highlight w:val="none"/>
          <w:u w:val="single"/>
        </w:rPr>
        <w:t xml:space="preserve"> 建设行政主管部门 </w:t>
      </w:r>
      <w:r>
        <w:rPr>
          <w:rFonts w:hint="eastAsia" w:ascii="仿宋" w:hAnsi="仿宋" w:eastAsia="仿宋" w:cs="仿宋"/>
          <w:color w:val="auto"/>
          <w:szCs w:val="21"/>
          <w:highlight w:val="none"/>
        </w:rPr>
        <w:t>进行调解。</w:t>
      </w:r>
    </w:p>
    <w:p>
      <w:pPr>
        <w:shd w:val="clear"/>
        <w:wordWrap/>
        <w:topLinePunct w:val="0"/>
        <w:bidi w:val="0"/>
        <w:snapToGrid w:val="0"/>
        <w:spacing w:line="360" w:lineRule="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16.2仲裁或诉讼</w:t>
      </w:r>
    </w:p>
    <w:p>
      <w:pPr>
        <w:shd w:val="clear"/>
        <w:wordWrap/>
        <w:topLinePunct w:val="0"/>
        <w:bidi w:val="0"/>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合同争议的最终解决方式为下列第</w:t>
      </w:r>
      <w:r>
        <w:rPr>
          <w:rFonts w:hint="eastAsia" w:ascii="仿宋" w:hAnsi="仿宋" w:eastAsia="仿宋" w:cs="仿宋"/>
          <w:color w:val="auto"/>
          <w:szCs w:val="21"/>
          <w:highlight w:val="none"/>
          <w:u w:val="single"/>
        </w:rPr>
        <w:t xml:space="preserve">   2   </w:t>
      </w:r>
      <w:r>
        <w:rPr>
          <w:rFonts w:hint="eastAsia" w:ascii="仿宋" w:hAnsi="仿宋" w:eastAsia="仿宋" w:cs="仿宋"/>
          <w:color w:val="auto"/>
          <w:szCs w:val="21"/>
          <w:highlight w:val="none"/>
        </w:rPr>
        <w:t>种方式：</w:t>
      </w:r>
    </w:p>
    <w:p>
      <w:pPr>
        <w:shd w:val="clear"/>
        <w:wordWrap/>
        <w:topLinePunct w:val="0"/>
        <w:bidi w:val="0"/>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（1）提请</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仲裁委员会进行仲裁。</w:t>
      </w:r>
    </w:p>
    <w:p>
      <w:pPr>
        <w:shd w:val="clear"/>
        <w:wordWrap/>
        <w:topLinePunct w:val="0"/>
        <w:bidi w:val="0"/>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（2）向</w:t>
      </w:r>
      <w:r>
        <w:rPr>
          <w:rFonts w:hint="eastAsia" w:ascii="仿宋" w:hAnsi="仿宋" w:eastAsia="仿宋" w:cs="仿宋"/>
          <w:color w:val="auto"/>
          <w:szCs w:val="21"/>
          <w:highlight w:val="none"/>
          <w:u w:val="single"/>
        </w:rPr>
        <w:t xml:space="preserve">   工程所在地   </w:t>
      </w:r>
      <w:r>
        <w:rPr>
          <w:rFonts w:hint="eastAsia" w:ascii="仿宋" w:hAnsi="仿宋" w:eastAsia="仿宋" w:cs="仿宋"/>
          <w:color w:val="auto"/>
          <w:szCs w:val="21"/>
          <w:highlight w:val="none"/>
        </w:rPr>
        <w:t>人民法院提起诉讼。</w:t>
      </w:r>
    </w:p>
    <w:p>
      <w:pPr>
        <w:pStyle w:val="34"/>
        <w:shd w:val="clear"/>
        <w:wordWrap/>
        <w:topLinePunct w:val="0"/>
        <w:bidi w:val="0"/>
        <w:spacing w:line="360" w:lineRule="auto"/>
        <w:ind w:firstLine="385" w:firstLineChars="180"/>
        <w:rPr>
          <w:rFonts w:hint="eastAsia" w:ascii="仿宋" w:hAnsi="仿宋" w:eastAsia="仿宋" w:cs="仿宋"/>
          <w:color w:val="auto"/>
          <w:highlight w:val="none"/>
        </w:rPr>
      </w:pPr>
      <w:r>
        <w:rPr>
          <w:rFonts w:hint="eastAsia" w:ascii="仿宋" w:hAnsi="仿宋" w:eastAsia="仿宋" w:cs="仿宋"/>
          <w:color w:val="auto"/>
          <w:spacing w:val="2"/>
          <w:highlight w:val="none"/>
        </w:rPr>
        <w:t>十七、其他特别约定</w:t>
      </w:r>
    </w:p>
    <w:p>
      <w:pPr>
        <w:pStyle w:val="34"/>
        <w:shd w:val="clear"/>
        <w:wordWrap/>
        <w:topLinePunct w:val="0"/>
        <w:bidi w:val="0"/>
        <w:spacing w:line="360" w:lineRule="auto"/>
        <w:ind w:firstLine="385" w:firstLineChars="180"/>
        <w:rPr>
          <w:rFonts w:hint="eastAsia" w:ascii="仿宋" w:hAnsi="仿宋" w:eastAsia="仿宋" w:cs="仿宋"/>
          <w:b/>
          <w:bCs/>
          <w:color w:val="auto"/>
          <w:kern w:val="0"/>
          <w:highlight w:val="none"/>
        </w:rPr>
      </w:pPr>
      <w:r>
        <w:rPr>
          <w:rFonts w:hint="eastAsia" w:ascii="仿宋" w:hAnsi="仿宋" w:eastAsia="仿宋" w:cs="仿宋"/>
          <w:color w:val="auto"/>
          <w:spacing w:val="2"/>
          <w:highlight w:val="none"/>
        </w:rPr>
        <w:t>十八、合同份数</w:t>
      </w:r>
    </w:p>
    <w:p>
      <w:pPr>
        <w:widowControl/>
        <w:shd w:val="clear"/>
        <w:wordWrap/>
        <w:topLinePunct w:val="0"/>
        <w:bidi w:val="0"/>
        <w:spacing w:line="360" w:lineRule="auto"/>
        <w:ind w:firstLine="600"/>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本合同一式</w:t>
      </w:r>
      <w:r>
        <w:rPr>
          <w:rFonts w:hint="eastAsia" w:ascii="仿宋" w:hAnsi="仿宋" w:eastAsia="仿宋" w:cs="仿宋"/>
          <w:color w:val="auto"/>
          <w:spacing w:val="2"/>
          <w:szCs w:val="21"/>
          <w:highlight w:val="none"/>
          <w:u w:val="single"/>
        </w:rPr>
        <w:t>陆</w:t>
      </w:r>
      <w:r>
        <w:rPr>
          <w:rFonts w:hint="eastAsia" w:ascii="仿宋" w:hAnsi="仿宋" w:eastAsia="仿宋" w:cs="仿宋"/>
          <w:color w:val="auto"/>
          <w:spacing w:val="2"/>
          <w:szCs w:val="21"/>
          <w:highlight w:val="none"/>
        </w:rPr>
        <w:t>份，均具有同等法律效力，甲方执</w:t>
      </w:r>
      <w:r>
        <w:rPr>
          <w:rFonts w:hint="eastAsia" w:ascii="仿宋" w:hAnsi="仿宋" w:eastAsia="仿宋" w:cs="仿宋"/>
          <w:color w:val="auto"/>
          <w:spacing w:val="2"/>
          <w:szCs w:val="21"/>
          <w:highlight w:val="none"/>
          <w:u w:val="single"/>
        </w:rPr>
        <w:t>肆</w:t>
      </w:r>
      <w:r>
        <w:rPr>
          <w:rFonts w:hint="eastAsia" w:ascii="仿宋" w:hAnsi="仿宋" w:eastAsia="仿宋" w:cs="仿宋"/>
          <w:color w:val="auto"/>
          <w:spacing w:val="2"/>
          <w:szCs w:val="21"/>
          <w:highlight w:val="none"/>
        </w:rPr>
        <w:t>份，乙方执</w:t>
      </w:r>
      <w:r>
        <w:rPr>
          <w:rFonts w:hint="eastAsia" w:ascii="仿宋" w:hAnsi="仿宋" w:eastAsia="仿宋" w:cs="仿宋"/>
          <w:color w:val="auto"/>
          <w:spacing w:val="2"/>
          <w:szCs w:val="21"/>
          <w:highlight w:val="none"/>
          <w:u w:val="single"/>
        </w:rPr>
        <w:t>贰</w:t>
      </w:r>
      <w:r>
        <w:rPr>
          <w:rFonts w:hint="eastAsia" w:ascii="仿宋" w:hAnsi="仿宋" w:eastAsia="仿宋" w:cs="仿宋"/>
          <w:color w:val="auto"/>
          <w:spacing w:val="2"/>
          <w:szCs w:val="21"/>
          <w:highlight w:val="none"/>
        </w:rPr>
        <w:t>份。</w:t>
      </w:r>
    </w:p>
    <w:p>
      <w:pPr>
        <w:shd w:val="clear"/>
        <w:wordWrap/>
        <w:topLinePunct w:val="0"/>
        <w:bidi w:val="0"/>
        <w:spacing w:line="360" w:lineRule="auto"/>
        <w:ind w:firstLine="774" w:firstLineChars="300"/>
        <w:rPr>
          <w:rFonts w:hint="eastAsia" w:ascii="仿宋" w:hAnsi="仿宋" w:eastAsia="仿宋" w:cs="仿宋"/>
          <w:color w:val="auto"/>
          <w:spacing w:val="24"/>
          <w:szCs w:val="21"/>
          <w:highlight w:val="none"/>
        </w:rPr>
      </w:pPr>
      <w:r>
        <w:rPr>
          <w:rFonts w:hint="eastAsia" w:ascii="仿宋" w:hAnsi="仿宋" w:eastAsia="仿宋" w:cs="仿宋"/>
          <w:color w:val="auto"/>
          <w:spacing w:val="24"/>
          <w:szCs w:val="21"/>
          <w:highlight w:val="none"/>
        </w:rPr>
        <w:t xml:space="preserve"> </w:t>
      </w:r>
    </w:p>
    <w:p>
      <w:pPr>
        <w:shd w:val="clear"/>
        <w:wordWrap/>
        <w:topLinePunct w:val="0"/>
        <w:bidi w:val="0"/>
        <w:spacing w:line="360" w:lineRule="auto"/>
        <w:ind w:firstLine="774" w:firstLineChars="300"/>
        <w:rPr>
          <w:rFonts w:hint="eastAsia" w:ascii="仿宋" w:hAnsi="仿宋" w:eastAsia="仿宋" w:cs="仿宋"/>
          <w:color w:val="auto"/>
          <w:spacing w:val="24"/>
          <w:szCs w:val="21"/>
          <w:highlight w:val="none"/>
        </w:rPr>
      </w:pPr>
      <w:r>
        <w:rPr>
          <w:rFonts w:hint="eastAsia" w:ascii="仿宋" w:hAnsi="仿宋" w:eastAsia="仿宋" w:cs="仿宋"/>
          <w:color w:val="auto"/>
          <w:spacing w:val="24"/>
          <w:szCs w:val="21"/>
          <w:highlight w:val="none"/>
        </w:rPr>
        <w:t>发包人：（公章）</w:t>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 xml:space="preserve">  承包人：（公章）</w:t>
      </w:r>
    </w:p>
    <w:p>
      <w:pPr>
        <w:shd w:val="clear"/>
        <w:wordWrap/>
        <w:topLinePunct w:val="0"/>
        <w:bidi w:val="0"/>
        <w:spacing w:line="360" w:lineRule="auto"/>
        <w:ind w:firstLine="856" w:firstLineChars="332"/>
        <w:rPr>
          <w:rFonts w:hint="eastAsia" w:ascii="仿宋" w:hAnsi="仿宋" w:eastAsia="仿宋" w:cs="仿宋"/>
          <w:color w:val="auto"/>
          <w:spacing w:val="24"/>
          <w:szCs w:val="21"/>
          <w:highlight w:val="none"/>
        </w:rPr>
      </w:pPr>
      <w:r>
        <w:rPr>
          <w:rFonts w:hint="eastAsia" w:ascii="仿宋" w:hAnsi="仿宋" w:eastAsia="仿宋" w:cs="仿宋"/>
          <w:color w:val="auto"/>
          <w:spacing w:val="24"/>
          <w:szCs w:val="21"/>
          <w:highlight w:val="none"/>
        </w:rPr>
        <w:t>住     所 ：</w:t>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住      所 ：</w:t>
      </w:r>
    </w:p>
    <w:p>
      <w:pPr>
        <w:shd w:val="clear"/>
        <w:wordWrap/>
        <w:topLinePunct w:val="0"/>
        <w:bidi w:val="0"/>
        <w:spacing w:line="360" w:lineRule="auto"/>
        <w:ind w:firstLine="798" w:firstLineChars="283"/>
        <w:rPr>
          <w:rFonts w:hint="eastAsia" w:ascii="仿宋" w:hAnsi="仿宋" w:eastAsia="仿宋" w:cs="仿宋"/>
          <w:color w:val="auto"/>
          <w:spacing w:val="36"/>
          <w:szCs w:val="21"/>
          <w:highlight w:val="none"/>
        </w:rPr>
      </w:pPr>
      <w:r>
        <w:rPr>
          <w:rFonts w:hint="eastAsia" w:ascii="仿宋" w:hAnsi="仿宋" w:eastAsia="仿宋" w:cs="仿宋"/>
          <w:color w:val="auto"/>
          <w:spacing w:val="36"/>
          <w:szCs w:val="21"/>
          <w:highlight w:val="none"/>
        </w:rPr>
        <w:t>法定代表人 ：</w:t>
      </w:r>
      <w:r>
        <w:rPr>
          <w:rFonts w:hint="eastAsia" w:ascii="仿宋" w:hAnsi="仿宋" w:eastAsia="仿宋" w:cs="仿宋"/>
          <w:color w:val="auto"/>
          <w:spacing w:val="36"/>
          <w:szCs w:val="21"/>
          <w:highlight w:val="none"/>
        </w:rPr>
        <w:tab/>
      </w:r>
      <w:r>
        <w:rPr>
          <w:rFonts w:hint="eastAsia" w:ascii="仿宋" w:hAnsi="仿宋" w:eastAsia="仿宋" w:cs="仿宋"/>
          <w:color w:val="auto"/>
          <w:spacing w:val="36"/>
          <w:szCs w:val="21"/>
          <w:highlight w:val="none"/>
        </w:rPr>
        <w:tab/>
      </w:r>
      <w:r>
        <w:rPr>
          <w:rFonts w:hint="eastAsia" w:ascii="仿宋" w:hAnsi="仿宋" w:eastAsia="仿宋" w:cs="仿宋"/>
          <w:color w:val="auto"/>
          <w:spacing w:val="36"/>
          <w:szCs w:val="21"/>
          <w:highlight w:val="none"/>
        </w:rPr>
        <w:tab/>
      </w:r>
      <w:r>
        <w:rPr>
          <w:rFonts w:hint="eastAsia" w:ascii="仿宋" w:hAnsi="仿宋" w:eastAsia="仿宋" w:cs="仿宋"/>
          <w:color w:val="auto"/>
          <w:spacing w:val="36"/>
          <w:szCs w:val="21"/>
          <w:highlight w:val="none"/>
        </w:rPr>
        <w:tab/>
      </w:r>
      <w:r>
        <w:rPr>
          <w:rFonts w:hint="eastAsia" w:ascii="仿宋" w:hAnsi="仿宋" w:eastAsia="仿宋" w:cs="仿宋"/>
          <w:color w:val="auto"/>
          <w:spacing w:val="36"/>
          <w:szCs w:val="21"/>
          <w:highlight w:val="none"/>
        </w:rPr>
        <w:tab/>
      </w:r>
      <w:r>
        <w:rPr>
          <w:rFonts w:hint="eastAsia" w:ascii="仿宋" w:hAnsi="仿宋" w:eastAsia="仿宋" w:cs="仿宋"/>
          <w:color w:val="auto"/>
          <w:spacing w:val="36"/>
          <w:szCs w:val="21"/>
          <w:highlight w:val="none"/>
        </w:rPr>
        <w:t>法定代表人 ：</w:t>
      </w:r>
    </w:p>
    <w:p>
      <w:pPr>
        <w:shd w:val="clear"/>
        <w:wordWrap/>
        <w:topLinePunct w:val="0"/>
        <w:bidi w:val="0"/>
        <w:spacing w:line="360" w:lineRule="auto"/>
        <w:ind w:firstLine="798" w:firstLineChars="283"/>
        <w:rPr>
          <w:rFonts w:hint="eastAsia" w:ascii="仿宋" w:hAnsi="仿宋" w:eastAsia="仿宋" w:cs="仿宋"/>
          <w:color w:val="auto"/>
          <w:spacing w:val="36"/>
          <w:szCs w:val="21"/>
          <w:highlight w:val="none"/>
        </w:rPr>
      </w:pPr>
      <w:r>
        <w:rPr>
          <w:rFonts w:hint="eastAsia" w:ascii="仿宋" w:hAnsi="仿宋" w:eastAsia="仿宋" w:cs="仿宋"/>
          <w:color w:val="auto"/>
          <w:spacing w:val="36"/>
          <w:szCs w:val="21"/>
          <w:highlight w:val="none"/>
        </w:rPr>
        <w:t>委托代理人 ：</w:t>
      </w:r>
      <w:r>
        <w:rPr>
          <w:rFonts w:hint="eastAsia" w:ascii="仿宋" w:hAnsi="仿宋" w:eastAsia="仿宋" w:cs="仿宋"/>
          <w:color w:val="auto"/>
          <w:spacing w:val="36"/>
          <w:szCs w:val="21"/>
          <w:highlight w:val="none"/>
        </w:rPr>
        <w:tab/>
      </w:r>
      <w:r>
        <w:rPr>
          <w:rFonts w:hint="eastAsia" w:ascii="仿宋" w:hAnsi="仿宋" w:eastAsia="仿宋" w:cs="仿宋"/>
          <w:color w:val="auto"/>
          <w:spacing w:val="36"/>
          <w:szCs w:val="21"/>
          <w:highlight w:val="none"/>
        </w:rPr>
        <w:tab/>
      </w:r>
      <w:r>
        <w:rPr>
          <w:rFonts w:hint="eastAsia" w:ascii="仿宋" w:hAnsi="仿宋" w:eastAsia="仿宋" w:cs="仿宋"/>
          <w:color w:val="auto"/>
          <w:spacing w:val="36"/>
          <w:szCs w:val="21"/>
          <w:highlight w:val="none"/>
        </w:rPr>
        <w:tab/>
      </w:r>
      <w:r>
        <w:rPr>
          <w:rFonts w:hint="eastAsia" w:ascii="仿宋" w:hAnsi="仿宋" w:eastAsia="仿宋" w:cs="仿宋"/>
          <w:color w:val="auto"/>
          <w:spacing w:val="36"/>
          <w:szCs w:val="21"/>
          <w:highlight w:val="none"/>
        </w:rPr>
        <w:tab/>
      </w:r>
      <w:r>
        <w:rPr>
          <w:rFonts w:hint="eastAsia" w:ascii="仿宋" w:hAnsi="仿宋" w:eastAsia="仿宋" w:cs="仿宋"/>
          <w:color w:val="auto"/>
          <w:spacing w:val="36"/>
          <w:szCs w:val="21"/>
          <w:highlight w:val="none"/>
        </w:rPr>
        <w:tab/>
      </w:r>
      <w:r>
        <w:rPr>
          <w:rFonts w:hint="eastAsia" w:ascii="仿宋" w:hAnsi="仿宋" w:eastAsia="仿宋" w:cs="仿宋"/>
          <w:color w:val="auto"/>
          <w:spacing w:val="36"/>
          <w:szCs w:val="21"/>
          <w:highlight w:val="none"/>
        </w:rPr>
        <w:t>委托代理人 ：</w:t>
      </w:r>
    </w:p>
    <w:p>
      <w:pPr>
        <w:shd w:val="clear"/>
        <w:wordWrap/>
        <w:topLinePunct w:val="0"/>
        <w:bidi w:val="0"/>
        <w:spacing w:line="360" w:lineRule="auto"/>
        <w:ind w:firstLine="730" w:firstLineChars="283"/>
        <w:rPr>
          <w:rFonts w:hint="eastAsia" w:ascii="仿宋" w:hAnsi="仿宋" w:eastAsia="仿宋" w:cs="仿宋"/>
          <w:color w:val="auto"/>
          <w:spacing w:val="24"/>
          <w:szCs w:val="21"/>
          <w:highlight w:val="none"/>
        </w:rPr>
      </w:pPr>
      <w:r>
        <w:rPr>
          <w:rFonts w:hint="eastAsia" w:ascii="仿宋" w:hAnsi="仿宋" w:eastAsia="仿宋" w:cs="仿宋"/>
          <w:color w:val="auto"/>
          <w:spacing w:val="24"/>
          <w:szCs w:val="21"/>
          <w:highlight w:val="none"/>
        </w:rPr>
        <w:t>电      话 ：</w:t>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电      话 ：</w:t>
      </w:r>
    </w:p>
    <w:p>
      <w:pPr>
        <w:shd w:val="clear"/>
        <w:wordWrap/>
        <w:topLinePunct w:val="0"/>
        <w:bidi w:val="0"/>
        <w:spacing w:line="360" w:lineRule="auto"/>
        <w:ind w:firstLine="730" w:firstLineChars="283"/>
        <w:rPr>
          <w:rFonts w:hint="eastAsia" w:ascii="仿宋" w:hAnsi="仿宋" w:eastAsia="仿宋" w:cs="仿宋"/>
          <w:color w:val="auto"/>
          <w:spacing w:val="24"/>
          <w:szCs w:val="21"/>
          <w:highlight w:val="none"/>
        </w:rPr>
      </w:pPr>
      <w:r>
        <w:rPr>
          <w:rFonts w:hint="eastAsia" w:ascii="仿宋" w:hAnsi="仿宋" w:eastAsia="仿宋" w:cs="仿宋"/>
          <w:color w:val="auto"/>
          <w:spacing w:val="24"/>
          <w:szCs w:val="21"/>
          <w:highlight w:val="none"/>
        </w:rPr>
        <w:t>传      真 ：</w:t>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传      真 ：</w:t>
      </w:r>
    </w:p>
    <w:p>
      <w:pPr>
        <w:shd w:val="clear"/>
        <w:wordWrap/>
        <w:topLinePunct w:val="0"/>
        <w:bidi w:val="0"/>
        <w:spacing w:line="360" w:lineRule="auto"/>
        <w:ind w:firstLine="718" w:firstLineChars="283"/>
        <w:rPr>
          <w:rFonts w:hint="eastAsia" w:ascii="仿宋" w:hAnsi="仿宋" w:eastAsia="仿宋" w:cs="仿宋"/>
          <w:color w:val="auto"/>
          <w:spacing w:val="22"/>
          <w:szCs w:val="21"/>
          <w:highlight w:val="none"/>
        </w:rPr>
      </w:pPr>
      <w:r>
        <w:rPr>
          <w:rFonts w:hint="eastAsia" w:ascii="仿宋" w:hAnsi="仿宋" w:eastAsia="仿宋" w:cs="仿宋"/>
          <w:color w:val="auto"/>
          <w:spacing w:val="22"/>
          <w:szCs w:val="21"/>
          <w:highlight w:val="none"/>
        </w:rPr>
        <w:t>开 户 银 行 ：</w:t>
      </w:r>
      <w:r>
        <w:rPr>
          <w:rFonts w:hint="eastAsia" w:ascii="仿宋" w:hAnsi="仿宋" w:eastAsia="仿宋" w:cs="仿宋"/>
          <w:color w:val="auto"/>
          <w:spacing w:val="22"/>
          <w:szCs w:val="21"/>
          <w:highlight w:val="none"/>
        </w:rPr>
        <w:tab/>
      </w:r>
      <w:r>
        <w:rPr>
          <w:rFonts w:hint="eastAsia" w:ascii="仿宋" w:hAnsi="仿宋" w:eastAsia="仿宋" w:cs="仿宋"/>
          <w:color w:val="auto"/>
          <w:spacing w:val="22"/>
          <w:szCs w:val="21"/>
          <w:highlight w:val="none"/>
        </w:rPr>
        <w:tab/>
      </w:r>
      <w:r>
        <w:rPr>
          <w:rFonts w:hint="eastAsia" w:ascii="仿宋" w:hAnsi="仿宋" w:eastAsia="仿宋" w:cs="仿宋"/>
          <w:color w:val="auto"/>
          <w:spacing w:val="22"/>
          <w:szCs w:val="21"/>
          <w:highlight w:val="none"/>
        </w:rPr>
        <w:tab/>
      </w:r>
      <w:r>
        <w:rPr>
          <w:rFonts w:hint="eastAsia" w:ascii="仿宋" w:hAnsi="仿宋" w:eastAsia="仿宋" w:cs="仿宋"/>
          <w:color w:val="auto"/>
          <w:spacing w:val="22"/>
          <w:szCs w:val="21"/>
          <w:highlight w:val="none"/>
        </w:rPr>
        <w:tab/>
      </w:r>
      <w:r>
        <w:rPr>
          <w:rFonts w:hint="eastAsia" w:ascii="仿宋" w:hAnsi="仿宋" w:eastAsia="仿宋" w:cs="仿宋"/>
          <w:color w:val="auto"/>
          <w:spacing w:val="22"/>
          <w:szCs w:val="21"/>
          <w:highlight w:val="none"/>
        </w:rPr>
        <w:tab/>
      </w:r>
      <w:r>
        <w:rPr>
          <w:rFonts w:hint="eastAsia" w:ascii="仿宋" w:hAnsi="仿宋" w:eastAsia="仿宋" w:cs="仿宋"/>
          <w:color w:val="auto"/>
          <w:spacing w:val="22"/>
          <w:szCs w:val="21"/>
          <w:highlight w:val="none"/>
        </w:rPr>
        <w:tab/>
      </w:r>
      <w:r>
        <w:rPr>
          <w:rFonts w:hint="eastAsia" w:ascii="仿宋" w:hAnsi="仿宋" w:eastAsia="仿宋" w:cs="仿宋"/>
          <w:color w:val="auto"/>
          <w:spacing w:val="22"/>
          <w:szCs w:val="21"/>
          <w:highlight w:val="none"/>
        </w:rPr>
        <w:t>开 户 银 行 ：</w:t>
      </w:r>
    </w:p>
    <w:p>
      <w:pPr>
        <w:shd w:val="clear"/>
        <w:wordWrap/>
        <w:topLinePunct w:val="0"/>
        <w:bidi w:val="0"/>
        <w:spacing w:line="360" w:lineRule="auto"/>
        <w:ind w:firstLine="707" w:firstLineChars="283"/>
        <w:rPr>
          <w:rFonts w:hint="eastAsia"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账       号 ：</w:t>
      </w:r>
      <w:r>
        <w:rPr>
          <w:rFonts w:hint="eastAsia" w:ascii="仿宋" w:hAnsi="仿宋" w:eastAsia="仿宋" w:cs="仿宋"/>
          <w:color w:val="auto"/>
          <w:spacing w:val="20"/>
          <w:szCs w:val="21"/>
          <w:highlight w:val="none"/>
        </w:rPr>
        <w:tab/>
      </w:r>
      <w:r>
        <w:rPr>
          <w:rFonts w:hint="eastAsia" w:ascii="仿宋" w:hAnsi="仿宋" w:eastAsia="仿宋" w:cs="仿宋"/>
          <w:color w:val="auto"/>
          <w:spacing w:val="20"/>
          <w:szCs w:val="21"/>
          <w:highlight w:val="none"/>
        </w:rPr>
        <w:tab/>
      </w:r>
      <w:r>
        <w:rPr>
          <w:rFonts w:hint="eastAsia" w:ascii="仿宋" w:hAnsi="仿宋" w:eastAsia="仿宋" w:cs="仿宋"/>
          <w:color w:val="auto"/>
          <w:spacing w:val="20"/>
          <w:szCs w:val="21"/>
          <w:highlight w:val="none"/>
        </w:rPr>
        <w:tab/>
      </w:r>
      <w:r>
        <w:rPr>
          <w:rFonts w:hint="eastAsia" w:ascii="仿宋" w:hAnsi="仿宋" w:eastAsia="仿宋" w:cs="仿宋"/>
          <w:color w:val="auto"/>
          <w:spacing w:val="20"/>
          <w:szCs w:val="21"/>
          <w:highlight w:val="none"/>
        </w:rPr>
        <w:tab/>
      </w:r>
      <w:r>
        <w:rPr>
          <w:rFonts w:hint="eastAsia" w:ascii="仿宋" w:hAnsi="仿宋" w:eastAsia="仿宋" w:cs="仿宋"/>
          <w:color w:val="auto"/>
          <w:spacing w:val="20"/>
          <w:szCs w:val="21"/>
          <w:highlight w:val="none"/>
        </w:rPr>
        <w:tab/>
      </w:r>
      <w:r>
        <w:rPr>
          <w:rFonts w:hint="eastAsia" w:ascii="仿宋" w:hAnsi="仿宋" w:eastAsia="仿宋" w:cs="仿宋"/>
          <w:color w:val="auto"/>
          <w:spacing w:val="20"/>
          <w:szCs w:val="21"/>
          <w:highlight w:val="none"/>
        </w:rPr>
        <w:t xml:space="preserve">   账       号 ：</w:t>
      </w:r>
    </w:p>
    <w:p>
      <w:pPr>
        <w:shd w:val="clear"/>
        <w:wordWrap/>
        <w:topLinePunct w:val="0"/>
        <w:bidi w:val="0"/>
        <w:spacing w:line="360" w:lineRule="auto"/>
        <w:ind w:firstLine="718" w:firstLineChars="283"/>
        <w:rPr>
          <w:rFonts w:hint="eastAsia" w:ascii="仿宋" w:hAnsi="仿宋" w:eastAsia="仿宋" w:cs="仿宋"/>
          <w:color w:val="auto"/>
          <w:spacing w:val="2"/>
          <w:szCs w:val="21"/>
          <w:highlight w:val="none"/>
        </w:rPr>
      </w:pPr>
      <w:r>
        <w:rPr>
          <w:rFonts w:hint="eastAsia" w:ascii="仿宋" w:hAnsi="仿宋" w:eastAsia="仿宋" w:cs="仿宋"/>
          <w:color w:val="auto"/>
          <w:spacing w:val="22"/>
          <w:szCs w:val="21"/>
          <w:highlight w:val="none"/>
        </w:rPr>
        <w:t>邮 政 编 码 ：</w:t>
      </w:r>
      <w:r>
        <w:rPr>
          <w:rFonts w:hint="eastAsia" w:ascii="仿宋" w:hAnsi="仿宋" w:eastAsia="仿宋" w:cs="仿宋"/>
          <w:color w:val="auto"/>
          <w:spacing w:val="22"/>
          <w:szCs w:val="21"/>
          <w:highlight w:val="none"/>
        </w:rPr>
        <w:tab/>
      </w:r>
      <w:r>
        <w:rPr>
          <w:rFonts w:hint="eastAsia" w:ascii="仿宋" w:hAnsi="仿宋" w:eastAsia="仿宋" w:cs="仿宋"/>
          <w:color w:val="auto"/>
          <w:spacing w:val="22"/>
          <w:szCs w:val="21"/>
          <w:highlight w:val="none"/>
        </w:rPr>
        <w:tab/>
      </w:r>
      <w:r>
        <w:rPr>
          <w:rFonts w:hint="eastAsia" w:ascii="仿宋" w:hAnsi="仿宋" w:eastAsia="仿宋" w:cs="仿宋"/>
          <w:color w:val="auto"/>
          <w:spacing w:val="22"/>
          <w:szCs w:val="21"/>
          <w:highlight w:val="none"/>
        </w:rPr>
        <w:tab/>
      </w:r>
      <w:r>
        <w:rPr>
          <w:rFonts w:hint="eastAsia" w:ascii="仿宋" w:hAnsi="仿宋" w:eastAsia="仿宋" w:cs="仿宋"/>
          <w:color w:val="auto"/>
          <w:spacing w:val="22"/>
          <w:szCs w:val="21"/>
          <w:highlight w:val="none"/>
        </w:rPr>
        <w:tab/>
      </w:r>
      <w:r>
        <w:rPr>
          <w:rFonts w:hint="eastAsia" w:ascii="仿宋" w:hAnsi="仿宋" w:eastAsia="仿宋" w:cs="仿宋"/>
          <w:color w:val="auto"/>
          <w:spacing w:val="22"/>
          <w:szCs w:val="21"/>
          <w:highlight w:val="none"/>
        </w:rPr>
        <w:tab/>
      </w:r>
      <w:r>
        <w:rPr>
          <w:rFonts w:hint="eastAsia" w:ascii="仿宋" w:hAnsi="仿宋" w:eastAsia="仿宋" w:cs="仿宋"/>
          <w:color w:val="auto"/>
          <w:spacing w:val="22"/>
          <w:szCs w:val="21"/>
          <w:highlight w:val="none"/>
        </w:rPr>
        <w:tab/>
      </w:r>
      <w:r>
        <w:rPr>
          <w:rFonts w:hint="eastAsia" w:ascii="仿宋" w:hAnsi="仿宋" w:eastAsia="仿宋" w:cs="仿宋"/>
          <w:color w:val="auto"/>
          <w:spacing w:val="22"/>
          <w:szCs w:val="21"/>
          <w:highlight w:val="none"/>
        </w:rPr>
        <w:t>邮 政 编 码 ：</w:t>
      </w:r>
    </w:p>
    <w:p>
      <w:pPr>
        <w:shd w:val="clear"/>
        <w:wordWrap/>
        <w:topLinePunct w:val="0"/>
        <w:bidi w:val="0"/>
        <w:spacing w:line="360" w:lineRule="auto"/>
        <w:ind w:firstLine="4280" w:firstLineChars="2000"/>
        <w:rPr>
          <w:rFonts w:hint="eastAsia" w:ascii="仿宋" w:hAnsi="仿宋" w:eastAsia="仿宋" w:cs="仿宋"/>
          <w:color w:val="auto"/>
          <w:szCs w:val="21"/>
          <w:highlight w:val="none"/>
        </w:rPr>
      </w:pPr>
      <w:r>
        <w:rPr>
          <w:rFonts w:hint="eastAsia" w:ascii="仿宋" w:hAnsi="仿宋" w:eastAsia="仿宋" w:cs="仿宋"/>
          <w:color w:val="auto"/>
          <w:spacing w:val="2"/>
          <w:szCs w:val="21"/>
          <w:highlight w:val="none"/>
        </w:rPr>
        <w:t>合同签订日期：</w:t>
      </w:r>
      <w:r>
        <w:rPr>
          <w:rFonts w:hint="eastAsia" w:ascii="仿宋" w:hAnsi="仿宋" w:eastAsia="仿宋" w:cs="仿宋"/>
          <w:color w:val="auto"/>
          <w:szCs w:val="21"/>
          <w:highlight w:val="none"/>
        </w:rPr>
        <w:t xml:space="preserve">      年  月  日</w:t>
      </w:r>
    </w:p>
    <w:p>
      <w:pPr>
        <w:shd w:val="clear"/>
        <w:wordWrap/>
        <w:topLinePunct w:val="0"/>
        <w:bidi w:val="0"/>
        <w:spacing w:line="360" w:lineRule="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 xml:space="preserve"> </w:t>
      </w:r>
    </w:p>
    <w:p>
      <w:pPr>
        <w:rPr>
          <w:rFonts w:hint="eastAsia"/>
        </w:rPr>
      </w:pPr>
      <w:r>
        <w:rPr>
          <w:rFonts w:hint="eastAsia"/>
        </w:rPr>
        <w:br w:type="page"/>
      </w:r>
    </w:p>
    <w:p>
      <w:pPr>
        <w:shd w:val="clear"/>
        <w:wordWrap/>
        <w:topLinePunct w:val="0"/>
        <w:bidi w:val="0"/>
        <w:spacing w:line="360" w:lineRule="auto"/>
        <w:rPr>
          <w:rFonts w:hint="eastAsia" w:ascii="仿宋" w:hAnsi="仿宋" w:eastAsia="仿宋" w:cs="仿宋"/>
          <w:color w:val="auto"/>
          <w:highlight w:val="none"/>
        </w:rPr>
      </w:pPr>
      <w:r>
        <w:rPr>
          <w:rFonts w:hint="eastAsia" w:ascii="仿宋" w:hAnsi="仿宋" w:eastAsia="仿宋" w:cs="仿宋"/>
          <w:b/>
          <w:bCs/>
          <w:color w:val="auto"/>
          <w:sz w:val="30"/>
          <w:szCs w:val="30"/>
          <w:highlight w:val="none"/>
        </w:rPr>
        <w:t xml:space="preserve"> </w:t>
      </w:r>
    </w:p>
    <w:p>
      <w:pPr>
        <w:shd w:val="clear"/>
        <w:wordWrap/>
        <w:topLinePunct w:val="0"/>
        <w:bidi w:val="0"/>
        <w:spacing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2、承揽业务单位廉洁承诺书</w:t>
      </w:r>
    </w:p>
    <w:p>
      <w:pPr>
        <w:shd w:val="clear"/>
        <w:wordWrap/>
        <w:topLinePunct w:val="0"/>
        <w:bidi w:val="0"/>
        <w:spacing w:line="360" w:lineRule="auto"/>
        <w:jc w:val="center"/>
        <w:rPr>
          <w:rFonts w:hint="eastAsia" w:ascii="仿宋" w:hAnsi="仿宋" w:eastAsia="仿宋" w:cs="仿宋"/>
          <w:b/>
          <w:bCs/>
          <w:color w:val="auto"/>
          <w:spacing w:val="-12"/>
          <w:sz w:val="28"/>
          <w:szCs w:val="28"/>
          <w:highlight w:val="none"/>
        </w:rPr>
      </w:pPr>
      <w:r>
        <w:rPr>
          <w:rFonts w:hint="eastAsia" w:ascii="仿宋" w:hAnsi="仿宋" w:eastAsia="仿宋" w:cs="仿宋"/>
          <w:b/>
          <w:bCs/>
          <w:color w:val="auto"/>
          <w:spacing w:val="-12"/>
          <w:sz w:val="28"/>
          <w:szCs w:val="28"/>
          <w:highlight w:val="none"/>
        </w:rPr>
        <w:t>（须法定代表人手写填写）</w:t>
      </w:r>
    </w:p>
    <w:tbl>
      <w:tblPr>
        <w:tblStyle w:val="62"/>
        <w:tblW w:w="8550" w:type="dxa"/>
        <w:tblInd w:w="4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8"/>
        <w:gridCol w:w="2014"/>
        <w:gridCol w:w="1620"/>
        <w:gridCol w:w="2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tcBorders>
              <w:top w:val="single" w:color="auto" w:sz="4" w:space="0"/>
              <w:left w:val="single" w:color="auto" w:sz="4" w:space="0"/>
              <w:bottom w:val="single" w:color="auto" w:sz="4" w:space="0"/>
              <w:right w:val="single" w:color="auto" w:sz="4" w:space="0"/>
            </w:tcBorders>
            <w:noWrap w:val="0"/>
            <w:vAlign w:val="center"/>
          </w:tcPr>
          <w:p>
            <w:pPr>
              <w:shd w:val="clear"/>
              <w:wordWrap/>
              <w:topLinePunct w:val="0"/>
              <w:bidi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工程项目</w:t>
            </w:r>
          </w:p>
        </w:tc>
        <w:tc>
          <w:tcPr>
            <w:tcW w:w="6542" w:type="dxa"/>
            <w:gridSpan w:val="3"/>
            <w:tcBorders>
              <w:top w:val="single" w:color="auto" w:sz="4" w:space="0"/>
              <w:left w:val="nil"/>
              <w:bottom w:val="single" w:color="auto" w:sz="4" w:space="0"/>
              <w:right w:val="single" w:color="auto" w:sz="4" w:space="0"/>
            </w:tcBorders>
            <w:noWrap w:val="0"/>
            <w:vAlign w:val="top"/>
          </w:tcPr>
          <w:p>
            <w:pPr>
              <w:shd w:val="clear"/>
              <w:wordWrap/>
              <w:topLinePunct w:val="0"/>
              <w:bidi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义蓬街道义和社区党群服务中心装修工程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tcBorders>
              <w:top w:val="single" w:color="auto" w:sz="4" w:space="0"/>
              <w:left w:val="single" w:color="auto" w:sz="4" w:space="0"/>
              <w:bottom w:val="single" w:color="auto" w:sz="4" w:space="0"/>
              <w:right w:val="single" w:color="auto" w:sz="4" w:space="0"/>
            </w:tcBorders>
            <w:noWrap w:val="0"/>
            <w:vAlign w:val="center"/>
          </w:tcPr>
          <w:p>
            <w:pPr>
              <w:shd w:val="clear"/>
              <w:wordWrap/>
              <w:topLinePunct w:val="0"/>
              <w:bidi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w:t>
            </w:r>
          </w:p>
        </w:tc>
        <w:tc>
          <w:tcPr>
            <w:tcW w:w="6542" w:type="dxa"/>
            <w:gridSpan w:val="3"/>
            <w:tcBorders>
              <w:top w:val="single" w:color="auto" w:sz="4" w:space="0"/>
              <w:left w:val="nil"/>
              <w:bottom w:val="single" w:color="auto" w:sz="4" w:space="0"/>
              <w:right w:val="single" w:color="auto" w:sz="4" w:space="0"/>
            </w:tcBorders>
            <w:noWrap w:val="0"/>
            <w:vAlign w:val="top"/>
          </w:tcPr>
          <w:p>
            <w:pPr>
              <w:shd w:val="clear"/>
              <w:wordWrap/>
              <w:topLinePunct w:val="0"/>
              <w:bidi w:val="0"/>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tcBorders>
              <w:top w:val="single" w:color="auto" w:sz="4" w:space="0"/>
              <w:left w:val="single" w:color="auto" w:sz="4" w:space="0"/>
              <w:bottom w:val="single" w:color="auto" w:sz="4" w:space="0"/>
              <w:right w:val="single" w:color="auto" w:sz="4" w:space="0"/>
            </w:tcBorders>
            <w:noWrap w:val="0"/>
            <w:vAlign w:val="center"/>
          </w:tcPr>
          <w:p>
            <w:pPr>
              <w:shd w:val="clear"/>
              <w:wordWrap/>
              <w:topLinePunct w:val="0"/>
              <w:bidi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6542" w:type="dxa"/>
            <w:gridSpan w:val="3"/>
            <w:tcBorders>
              <w:top w:val="single" w:color="auto" w:sz="4" w:space="0"/>
              <w:left w:val="nil"/>
              <w:bottom w:val="single" w:color="auto" w:sz="4" w:space="0"/>
              <w:right w:val="single" w:color="auto" w:sz="4" w:space="0"/>
            </w:tcBorders>
            <w:noWrap w:val="0"/>
            <w:vAlign w:val="top"/>
          </w:tcPr>
          <w:p>
            <w:pPr>
              <w:shd w:val="clear"/>
              <w:wordWrap/>
              <w:topLinePunct w:val="0"/>
              <w:bidi w:val="0"/>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tcBorders>
              <w:top w:val="single" w:color="auto" w:sz="4" w:space="0"/>
              <w:left w:val="single" w:color="auto" w:sz="4" w:space="0"/>
              <w:bottom w:val="single" w:color="auto" w:sz="4" w:space="0"/>
              <w:right w:val="single" w:color="auto" w:sz="4" w:space="0"/>
            </w:tcBorders>
            <w:noWrap w:val="0"/>
            <w:vAlign w:val="center"/>
          </w:tcPr>
          <w:p>
            <w:pPr>
              <w:shd w:val="clear"/>
              <w:wordWrap/>
              <w:topLinePunct w:val="0"/>
              <w:bidi w:val="0"/>
              <w:spacing w:line="360" w:lineRule="auto"/>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法人代表</w:t>
            </w:r>
          </w:p>
        </w:tc>
        <w:tc>
          <w:tcPr>
            <w:tcW w:w="2014" w:type="dxa"/>
            <w:tcBorders>
              <w:top w:val="single" w:color="auto" w:sz="4" w:space="0"/>
              <w:left w:val="nil"/>
              <w:bottom w:val="single" w:color="auto" w:sz="4" w:space="0"/>
              <w:right w:val="single" w:color="auto" w:sz="4" w:space="0"/>
            </w:tcBorders>
            <w:noWrap w:val="0"/>
            <w:vAlign w:val="top"/>
          </w:tcPr>
          <w:p>
            <w:pPr>
              <w:shd w:val="clear"/>
              <w:wordWrap/>
              <w:topLinePunct w:val="0"/>
              <w:bidi w:val="0"/>
              <w:spacing w:line="360" w:lineRule="auto"/>
              <w:rPr>
                <w:rFonts w:hint="eastAsia" w:ascii="仿宋" w:hAnsi="仿宋" w:eastAsia="仿宋" w:cs="仿宋"/>
                <w:color w:val="auto"/>
                <w:sz w:val="24"/>
                <w:szCs w:val="24"/>
                <w:highlight w:val="none"/>
              </w:rPr>
            </w:pPr>
          </w:p>
        </w:tc>
        <w:tc>
          <w:tcPr>
            <w:tcW w:w="1620" w:type="dxa"/>
            <w:tcBorders>
              <w:top w:val="single" w:color="auto" w:sz="4" w:space="0"/>
              <w:left w:val="nil"/>
              <w:bottom w:val="single" w:color="auto" w:sz="4" w:space="0"/>
              <w:right w:val="single" w:color="auto" w:sz="4" w:space="0"/>
            </w:tcBorders>
            <w:noWrap w:val="0"/>
            <w:vAlign w:val="top"/>
          </w:tcPr>
          <w:p>
            <w:pPr>
              <w:shd w:val="clear"/>
              <w:wordWrap/>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2908" w:type="dxa"/>
            <w:tcBorders>
              <w:top w:val="single" w:color="auto" w:sz="4" w:space="0"/>
              <w:left w:val="nil"/>
              <w:bottom w:val="single" w:color="auto" w:sz="4" w:space="0"/>
              <w:right w:val="single" w:color="auto" w:sz="4" w:space="0"/>
            </w:tcBorders>
            <w:noWrap w:val="0"/>
            <w:vAlign w:val="top"/>
          </w:tcPr>
          <w:p>
            <w:pPr>
              <w:shd w:val="clear"/>
              <w:wordWrap/>
              <w:topLinePunct w:val="0"/>
              <w:bidi w:val="0"/>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tcBorders>
              <w:top w:val="single" w:color="auto" w:sz="4" w:space="0"/>
              <w:left w:val="single" w:color="auto" w:sz="4" w:space="0"/>
              <w:bottom w:val="single" w:color="auto" w:sz="4" w:space="0"/>
              <w:right w:val="single" w:color="auto" w:sz="4" w:space="0"/>
            </w:tcBorders>
            <w:noWrap w:val="0"/>
            <w:vAlign w:val="center"/>
          </w:tcPr>
          <w:p>
            <w:pPr>
              <w:shd w:val="clear"/>
              <w:wordWrap/>
              <w:topLinePunct w:val="0"/>
              <w:bidi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2014" w:type="dxa"/>
            <w:tcBorders>
              <w:top w:val="single" w:color="auto" w:sz="4" w:space="0"/>
              <w:left w:val="nil"/>
              <w:bottom w:val="single" w:color="auto" w:sz="4" w:space="0"/>
              <w:right w:val="single" w:color="auto" w:sz="4" w:space="0"/>
            </w:tcBorders>
            <w:noWrap w:val="0"/>
            <w:vAlign w:val="top"/>
          </w:tcPr>
          <w:p>
            <w:pPr>
              <w:shd w:val="clear"/>
              <w:wordWrap/>
              <w:topLinePunct w:val="0"/>
              <w:bidi w:val="0"/>
              <w:spacing w:line="360" w:lineRule="auto"/>
              <w:rPr>
                <w:rFonts w:hint="eastAsia" w:ascii="仿宋" w:hAnsi="仿宋" w:eastAsia="仿宋" w:cs="仿宋"/>
                <w:color w:val="auto"/>
                <w:sz w:val="24"/>
                <w:szCs w:val="24"/>
                <w:highlight w:val="none"/>
              </w:rPr>
            </w:pPr>
          </w:p>
        </w:tc>
        <w:tc>
          <w:tcPr>
            <w:tcW w:w="1620" w:type="dxa"/>
            <w:tcBorders>
              <w:top w:val="single" w:color="auto" w:sz="4" w:space="0"/>
              <w:left w:val="nil"/>
              <w:bottom w:val="single" w:color="auto" w:sz="4" w:space="0"/>
              <w:right w:val="single" w:color="auto" w:sz="4" w:space="0"/>
            </w:tcBorders>
            <w:noWrap w:val="0"/>
            <w:vAlign w:val="top"/>
          </w:tcPr>
          <w:p>
            <w:pPr>
              <w:shd w:val="clear"/>
              <w:wordWrap/>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2908" w:type="dxa"/>
            <w:tcBorders>
              <w:top w:val="single" w:color="auto" w:sz="4" w:space="0"/>
              <w:left w:val="nil"/>
              <w:bottom w:val="single" w:color="auto" w:sz="4" w:space="0"/>
              <w:right w:val="single" w:color="auto" w:sz="4" w:space="0"/>
            </w:tcBorders>
            <w:noWrap w:val="0"/>
            <w:vAlign w:val="top"/>
          </w:tcPr>
          <w:p>
            <w:pPr>
              <w:shd w:val="clear"/>
              <w:wordWrap/>
              <w:topLinePunct w:val="0"/>
              <w:bidi w:val="0"/>
              <w:spacing w:line="360" w:lineRule="auto"/>
              <w:rPr>
                <w:rFonts w:hint="eastAsia" w:ascii="仿宋" w:hAnsi="仿宋" w:eastAsia="仿宋" w:cs="仿宋"/>
                <w:color w:val="auto"/>
                <w:sz w:val="24"/>
                <w:szCs w:val="24"/>
                <w:highlight w:val="none"/>
              </w:rPr>
            </w:pPr>
          </w:p>
        </w:tc>
      </w:tr>
    </w:tbl>
    <w:p>
      <w:pPr>
        <w:shd w:val="clear"/>
        <w:wordWrap/>
        <w:topLinePunct w:val="0"/>
        <w:bidi w:val="0"/>
        <w:spacing w:line="360" w:lineRule="auto"/>
        <w:rPr>
          <w:rFonts w:hint="eastAsia" w:ascii="仿宋" w:hAnsi="仿宋" w:eastAsia="仿宋" w:cs="仿宋"/>
          <w:color w:val="auto"/>
          <w:szCs w:val="21"/>
          <w:highlight w:val="none"/>
        </w:rPr>
      </w:pPr>
      <w:r>
        <w:rPr>
          <w:rFonts w:hint="eastAsia" w:ascii="仿宋" w:hAnsi="仿宋" w:eastAsia="仿宋" w:cs="仿宋"/>
          <w:color w:val="auto"/>
          <w:highlight w:val="none"/>
        </w:rPr>
        <w:t xml:space="preserve">    </w:t>
      </w:r>
    </w:p>
    <w:p>
      <w:pPr>
        <w:shd w:val="clear"/>
        <w:wordWrap/>
        <w:topLinePunct w:val="0"/>
        <w:bidi w:val="0"/>
        <w:spacing w:line="360" w:lineRule="auto"/>
        <w:ind w:firstLine="480" w:firstLineChars="200"/>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为共同营造风清气正的发展环境，严格遵守国家法律法规和钱塘新区各项制度规定，坚持廉洁诚信、合法经营，现郑重承诺：</w:t>
      </w:r>
    </w:p>
    <w:p>
      <w:pPr>
        <w:widowControl/>
        <w:shd w:val="clear"/>
        <w:wordWrap/>
        <w:topLinePunct w:val="0"/>
        <w:bidi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widowControl/>
        <w:shd w:val="clear"/>
        <w:wordWrap/>
        <w:topLinePunct w:val="0"/>
        <w:bidi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1.不得以任何理由向公务人员赠送礼品、礼金和各种有价证券（烟卡）；</w:t>
      </w:r>
    </w:p>
    <w:p>
      <w:pPr>
        <w:widowControl/>
        <w:shd w:val="clear"/>
        <w:wordWrap/>
        <w:topLinePunct w:val="0"/>
        <w:bidi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2.不得以任何理由安排公务人员吃请或组织旅游、娱乐等活动；</w:t>
      </w:r>
    </w:p>
    <w:p>
      <w:pPr>
        <w:widowControl/>
        <w:shd w:val="clear"/>
        <w:wordWrap/>
        <w:topLinePunct w:val="0"/>
        <w:bidi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3.不得以任何理由为公务人员报销或承担应由其个人支付的费用。</w:t>
      </w:r>
    </w:p>
    <w:p>
      <w:pPr>
        <w:shd w:val="clear"/>
        <w:wordWrap/>
        <w:topLinePunct w:val="0"/>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hd w:val="clear"/>
        <w:wordWrap/>
        <w:topLinePunct w:val="0"/>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以上承诺，如有违反，本公司自愿接受严肃处理，直至终止或取消</w:t>
      </w:r>
      <w:r>
        <w:rPr>
          <w:rFonts w:hint="eastAsia" w:ascii="仿宋" w:hAnsi="仿宋" w:eastAsia="仿宋" w:cs="仿宋"/>
          <w:color w:val="auto"/>
          <w:sz w:val="24"/>
          <w:szCs w:val="24"/>
          <w:highlight w:val="none"/>
          <w:lang w:val="en-US" w:eastAsia="zh-CN"/>
        </w:rPr>
        <w:t>在本单位</w:t>
      </w:r>
      <w:r>
        <w:rPr>
          <w:rFonts w:hint="eastAsia" w:ascii="仿宋" w:hAnsi="仿宋" w:eastAsia="仿宋" w:cs="仿宋"/>
          <w:color w:val="auto"/>
          <w:sz w:val="24"/>
          <w:szCs w:val="24"/>
          <w:highlight w:val="none"/>
        </w:rPr>
        <w:t>承揽业务的资格。</w:t>
      </w:r>
    </w:p>
    <w:p>
      <w:pPr>
        <w:shd w:val="clear"/>
        <w:wordWrap/>
        <w:topLinePunct w:val="0"/>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单位盖章：</w:t>
      </w:r>
    </w:p>
    <w:p>
      <w:pPr>
        <w:shd w:val="clear"/>
        <w:wordWrap/>
        <w:topLinePunct w:val="0"/>
        <w:bidi w:val="0"/>
        <w:spacing w:line="360" w:lineRule="auto"/>
        <w:ind w:firstLine="3000" w:firstLineChars="1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 诺 人：</w:t>
      </w:r>
    </w:p>
    <w:p>
      <w:pPr>
        <w:shd w:val="clear"/>
        <w:wordWrap/>
        <w:topLinePunct w:val="0"/>
        <w:bidi w:val="0"/>
        <w:spacing w:line="360" w:lineRule="auto"/>
        <w:ind w:firstLine="5280" w:firstLineChars="2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 </w:t>
      </w:r>
    </w:p>
    <w:p>
      <w:pPr>
        <w:shd w:val="clear"/>
        <w:wordWrap/>
        <w:topLinePunct w:val="0"/>
        <w:bidi w:val="0"/>
        <w:spacing w:before="120" w:beforeLines="50" w:after="120" w:afterLines="50" w:line="360" w:lineRule="auto"/>
        <w:rPr>
          <w:rFonts w:hint="eastAsia" w:ascii="仿宋" w:hAnsi="仿宋" w:eastAsia="仿宋" w:cs="仿宋"/>
          <w:b/>
          <w:bCs/>
          <w:color w:val="auto"/>
          <w:spacing w:val="60"/>
          <w:sz w:val="30"/>
          <w:szCs w:val="30"/>
          <w:highlight w:val="none"/>
        </w:rPr>
      </w:pPr>
      <w:r>
        <w:rPr>
          <w:rFonts w:hint="eastAsia" w:ascii="仿宋" w:hAnsi="仿宋" w:eastAsia="仿宋" w:cs="仿宋"/>
          <w:b/>
          <w:bCs/>
          <w:color w:val="auto"/>
          <w:spacing w:val="60"/>
          <w:sz w:val="30"/>
          <w:szCs w:val="30"/>
          <w:highlight w:val="none"/>
        </w:rPr>
        <w:t xml:space="preserve"> </w:t>
      </w:r>
    </w:p>
    <w:p>
      <w:pPr>
        <w:pStyle w:val="23"/>
        <w:shd w:val="clear"/>
        <w:wordWrap/>
        <w:topLinePunct w:val="0"/>
        <w:bidi w:val="0"/>
        <w:spacing w:line="360" w:lineRule="auto"/>
        <w:rPr>
          <w:rFonts w:hint="eastAsia" w:ascii="仿宋" w:hAnsi="仿宋" w:eastAsia="仿宋" w:cs="仿宋"/>
          <w:color w:val="auto"/>
          <w:szCs w:val="24"/>
          <w:highlight w:val="none"/>
        </w:rPr>
      </w:pPr>
      <w:r>
        <w:rPr>
          <w:rFonts w:hint="eastAsia" w:ascii="仿宋" w:hAnsi="仿宋" w:eastAsia="仿宋" w:cs="仿宋"/>
          <w:color w:val="auto"/>
          <w:highlight w:val="none"/>
        </w:rPr>
        <w:t xml:space="preserve"> </w:t>
      </w:r>
    </w:p>
    <w:p>
      <w:pPr>
        <w:shd w:val="clear"/>
        <w:wordWrap/>
        <w:topLinePunct w:val="0"/>
        <w:bidi w:val="0"/>
        <w:spacing w:before="120" w:beforeLines="50" w:after="120" w:afterLines="50" w:line="360" w:lineRule="auto"/>
        <w:jc w:val="center"/>
        <w:rPr>
          <w:rFonts w:hint="eastAsia" w:ascii="仿宋" w:hAnsi="仿宋" w:eastAsia="仿宋" w:cs="仿宋"/>
          <w:b/>
          <w:bCs/>
          <w:color w:val="auto"/>
          <w:spacing w:val="60"/>
          <w:sz w:val="30"/>
          <w:szCs w:val="30"/>
          <w:highlight w:val="none"/>
        </w:rPr>
      </w:pPr>
    </w:p>
    <w:p>
      <w:pPr>
        <w:pStyle w:val="60"/>
        <w:shd w:val="clear"/>
        <w:wordWrap/>
        <w:topLinePunct w:val="0"/>
        <w:bidi w:val="0"/>
        <w:spacing w:line="360" w:lineRule="auto"/>
        <w:rPr>
          <w:rFonts w:hint="eastAsia" w:ascii="仿宋" w:hAnsi="仿宋" w:eastAsia="仿宋" w:cs="仿宋"/>
          <w:color w:val="auto"/>
          <w:highlight w:val="none"/>
        </w:rPr>
      </w:pPr>
      <w:r>
        <w:rPr>
          <w:rFonts w:hint="eastAsia" w:ascii="仿宋" w:hAnsi="仿宋" w:eastAsia="仿宋" w:cs="仿宋"/>
          <w:color w:val="auto"/>
          <w:spacing w:val="60"/>
          <w:highlight w:val="none"/>
        </w:rPr>
        <w:br w:type="page"/>
      </w:r>
      <w:r>
        <w:rPr>
          <w:rFonts w:hint="eastAsia" w:ascii="仿宋" w:hAnsi="仿宋" w:eastAsia="仿宋" w:cs="仿宋"/>
          <w:color w:val="auto"/>
          <w:spacing w:val="60"/>
          <w:highlight w:val="none"/>
        </w:rPr>
        <w:t>3、</w:t>
      </w:r>
      <w:r>
        <w:rPr>
          <w:rFonts w:hint="eastAsia" w:ascii="仿宋" w:hAnsi="仿宋" w:eastAsia="仿宋" w:cs="仿宋"/>
          <w:color w:val="auto"/>
          <w:highlight w:val="none"/>
        </w:rPr>
        <w:t>工程质量保修书</w:t>
      </w:r>
    </w:p>
    <w:p>
      <w:pPr>
        <w:shd w:val="clear"/>
        <w:wordWrap/>
        <w:topLinePunct w:val="0"/>
        <w:bidi w:val="0"/>
        <w:spacing w:before="120" w:beforeLines="50" w:after="120" w:afterLines="50" w:line="360" w:lineRule="auto"/>
        <w:ind w:firstLine="2048" w:firstLineChars="85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发包人（全称）：</w:t>
      </w:r>
      <w:r>
        <w:rPr>
          <w:rFonts w:hint="eastAsia" w:ascii="仿宋" w:hAnsi="仿宋" w:eastAsia="仿宋" w:cs="仿宋"/>
          <w:color w:val="auto"/>
          <w:sz w:val="24"/>
          <w:highlight w:val="none"/>
          <w:u w:val="single"/>
          <w:lang w:eastAsia="zh-CN"/>
        </w:rPr>
        <w:t>杭州市钱塘区人民政府义蓬街道办事处</w:t>
      </w:r>
      <w:r>
        <w:rPr>
          <w:rFonts w:hint="eastAsia" w:ascii="仿宋" w:hAnsi="仿宋" w:eastAsia="仿宋" w:cs="仿宋"/>
          <w:color w:val="auto"/>
          <w:sz w:val="24"/>
          <w:highlight w:val="none"/>
          <w:u w:val="single"/>
        </w:rPr>
        <w:t xml:space="preserve">  </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承包人（全称）：</w:t>
      </w:r>
      <w:r>
        <w:rPr>
          <w:rFonts w:hint="eastAsia" w:ascii="仿宋" w:hAnsi="仿宋" w:eastAsia="仿宋" w:cs="仿宋"/>
          <w:color w:val="auto"/>
          <w:sz w:val="24"/>
          <w:highlight w:val="none"/>
          <w:u w:val="single"/>
        </w:rPr>
        <w:t xml:space="preserve">                                      </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发包人和承包人根据《中华人民共和国建筑法》和《建设工程质量管理条例》，经协商一致就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义蓬街道义和社区党群服务中心装修工程</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签订工程质量保修书。</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一、工程质量保修范围和内容</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承包人在质量保修期内，按照有关法律规定和合同约定，承担工程质量保修责任。</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 xml:space="preserve">  </w:t>
      </w:r>
      <w:r>
        <w:rPr>
          <w:rFonts w:hint="eastAsia" w:ascii="仿宋" w:hAnsi="仿宋" w:eastAsia="仿宋" w:cs="仿宋"/>
          <w:color w:val="auto"/>
          <w:sz w:val="24"/>
          <w:highlight w:val="none"/>
        </w:rPr>
        <w:t>二、质量保修期</w:t>
      </w:r>
    </w:p>
    <w:p>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根据《建设工程质量管理条例》及有关规定，工程的质量保修期如下：</w:t>
      </w:r>
    </w:p>
    <w:p>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1．地基基础工程和主体结构工程为设计文件规定的工程合理使用年限；</w:t>
      </w:r>
    </w:p>
    <w:p>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2．屋面防水工程、有防水要求的卫生间、房间和外墙面的防渗漏为</w:t>
      </w:r>
      <w:r>
        <w:rPr>
          <w:rFonts w:hint="eastAsia" w:ascii="仿宋" w:hAnsi="仿宋" w:eastAsia="仿宋" w:cs="仿宋"/>
          <w:color w:val="auto"/>
          <w:sz w:val="24"/>
          <w:highlight w:val="none"/>
          <w:u w:val="single"/>
        </w:rPr>
        <w:t>5</w:t>
      </w:r>
      <w:r>
        <w:rPr>
          <w:rFonts w:hint="eastAsia" w:ascii="仿宋" w:hAnsi="仿宋" w:eastAsia="仿宋" w:cs="仿宋"/>
          <w:color w:val="auto"/>
          <w:sz w:val="24"/>
          <w:highlight w:val="none"/>
        </w:rPr>
        <w:t>年；</w:t>
      </w:r>
    </w:p>
    <w:p>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3．装修工程为</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年；</w:t>
      </w:r>
    </w:p>
    <w:p>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4．电气管线、给排水管道、设备安装工程为</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年；</w:t>
      </w:r>
    </w:p>
    <w:p>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5．供热与供冷系统为</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个采暖期、供冷期；</w:t>
      </w:r>
    </w:p>
    <w:p>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6．住宅小区内的给排水设施、道路等配套工程为</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年；</w:t>
      </w:r>
    </w:p>
    <w:p>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7．其他项目保修期限约定如下：</w:t>
      </w:r>
    </w:p>
    <w:p>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本工程质保期为两年，从取得竣工验收证书后起算。同时在质保期内由承包人负责免费维护与系统的升级工作。</w:t>
      </w:r>
    </w:p>
    <w:p>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质量保修期自工程竣工验收合格之日起计算。</w:t>
      </w:r>
    </w:p>
    <w:p>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三、缺陷责任期</w:t>
      </w:r>
    </w:p>
    <w:p>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工程缺陷责任期为</w:t>
      </w:r>
      <w:r>
        <w:rPr>
          <w:rFonts w:hint="eastAsia" w:ascii="仿宋" w:hAnsi="仿宋" w:eastAsia="仿宋" w:cs="仿宋"/>
          <w:color w:val="auto"/>
          <w:sz w:val="24"/>
          <w:highlight w:val="none"/>
          <w:u w:val="single"/>
        </w:rPr>
        <w:t xml:space="preserve"> 24 </w:t>
      </w:r>
      <w:r>
        <w:rPr>
          <w:rFonts w:hint="eastAsia" w:ascii="仿宋" w:hAnsi="仿宋" w:eastAsia="仿宋" w:cs="仿宋"/>
          <w:color w:val="auto"/>
          <w:sz w:val="24"/>
          <w:highlight w:val="none"/>
        </w:rPr>
        <w:t>个月，缺陷责任期自工程竣工验收合格之日起计算。单位工程先于全部工程进行验收，单位工程缺陷责任期自单位工程验收合格之日起算。</w:t>
      </w:r>
    </w:p>
    <w:p>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缺陷责任期终止后，发包人应退还剩余的质量保证金。</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四、质量保修责任</w:t>
      </w:r>
    </w:p>
    <w:p>
      <w:pPr>
        <w:shd w:val="clear"/>
        <w:wordWrap/>
        <w:topLinePunct w:val="0"/>
        <w:bidi w:val="0"/>
        <w:spacing w:line="360" w:lineRule="auto"/>
        <w:ind w:left="105" w:leftChars="50" w:firstLine="489" w:firstLineChars="204"/>
        <w:rPr>
          <w:rFonts w:hint="eastAsia" w:ascii="仿宋" w:hAnsi="仿宋" w:eastAsia="仿宋" w:cs="仿宋"/>
          <w:color w:val="auto"/>
          <w:sz w:val="24"/>
          <w:highlight w:val="none"/>
        </w:rPr>
      </w:pPr>
      <w:r>
        <w:rPr>
          <w:rFonts w:hint="eastAsia" w:ascii="仿宋" w:hAnsi="仿宋" w:eastAsia="仿宋" w:cs="仿宋"/>
          <w:color w:val="auto"/>
          <w:sz w:val="24"/>
          <w:highlight w:val="none"/>
        </w:rPr>
        <w:t>1．属于保修范围、内容的项目，承包人应当在接到保修通知之日起7天内派人保修。承包人不在约定期限内派人保修的，发包人可以委托他人修理。</w:t>
      </w:r>
    </w:p>
    <w:p>
      <w:pPr>
        <w:shd w:val="clear"/>
        <w:wordWrap/>
        <w:topLinePunct w:val="0"/>
        <w:bidi w:val="0"/>
        <w:spacing w:line="360" w:lineRule="auto"/>
        <w:ind w:left="105" w:leftChars="50" w:firstLine="489" w:firstLineChars="204"/>
        <w:rPr>
          <w:rFonts w:hint="eastAsia" w:ascii="仿宋" w:hAnsi="仿宋" w:eastAsia="仿宋" w:cs="仿宋"/>
          <w:color w:val="auto"/>
          <w:sz w:val="24"/>
          <w:highlight w:val="none"/>
        </w:rPr>
      </w:pPr>
      <w:r>
        <w:rPr>
          <w:rFonts w:hint="eastAsia" w:ascii="仿宋" w:hAnsi="仿宋" w:eastAsia="仿宋" w:cs="仿宋"/>
          <w:color w:val="auto"/>
          <w:sz w:val="24"/>
          <w:highlight w:val="none"/>
        </w:rPr>
        <w:t>2．发生紧急事故需抢修的，承包人在接到事故通知后，应当立即到达事故现场抢修。</w:t>
      </w:r>
    </w:p>
    <w:p>
      <w:pPr>
        <w:shd w:val="clear"/>
        <w:wordWrap/>
        <w:topLinePunct w:val="0"/>
        <w:bidi w:val="0"/>
        <w:spacing w:line="360" w:lineRule="auto"/>
        <w:ind w:left="105" w:leftChars="50" w:firstLine="489" w:firstLineChars="204"/>
        <w:rPr>
          <w:rFonts w:hint="eastAsia" w:ascii="仿宋" w:hAnsi="仿宋" w:eastAsia="仿宋" w:cs="仿宋"/>
          <w:color w:val="auto"/>
          <w:sz w:val="24"/>
          <w:highlight w:val="none"/>
        </w:rPr>
      </w:pPr>
      <w:r>
        <w:rPr>
          <w:rFonts w:hint="eastAsia" w:ascii="仿宋" w:hAnsi="仿宋" w:eastAsia="仿宋" w:cs="仿宋"/>
          <w:color w:val="auto"/>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hd w:val="clear"/>
        <w:wordWrap/>
        <w:topLinePunct w:val="0"/>
        <w:bidi w:val="0"/>
        <w:spacing w:line="360" w:lineRule="auto"/>
        <w:ind w:left="420" w:leftChars="2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4．质量保修完成后，由发包人组织验收。</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五、保修费用</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保修费用由造成质量缺陷的责任方承担。</w:t>
      </w:r>
    </w:p>
    <w:p>
      <w:pPr>
        <w:shd w:val="clear"/>
        <w:wordWrap/>
        <w:topLinePunct w:val="0"/>
        <w:bidi w:val="0"/>
        <w:spacing w:line="360" w:lineRule="auto"/>
        <w:ind w:firstLine="600"/>
        <w:jc w:val="left"/>
        <w:rPr>
          <w:rFonts w:hint="eastAsia" w:ascii="仿宋" w:hAnsi="仿宋" w:eastAsia="仿宋" w:cs="仿宋"/>
          <w:color w:val="auto"/>
          <w:sz w:val="24"/>
          <w:highlight w:val="none"/>
          <w:u w:val="single"/>
        </w:rPr>
      </w:pPr>
      <w:r>
        <w:rPr>
          <w:rFonts w:hint="eastAsia" w:ascii="仿宋" w:hAnsi="仿宋" w:eastAsia="仿宋" w:cs="仿宋"/>
          <w:b/>
          <w:bCs/>
          <w:color w:val="auto"/>
          <w:sz w:val="24"/>
          <w:highlight w:val="none"/>
        </w:rPr>
        <w:t>六</w:t>
      </w:r>
      <w:r>
        <w:rPr>
          <w:rFonts w:hint="eastAsia" w:ascii="仿宋" w:hAnsi="仿宋" w:eastAsia="仿宋" w:cs="仿宋"/>
          <w:color w:val="auto"/>
          <w:sz w:val="24"/>
          <w:highlight w:val="none"/>
        </w:rPr>
        <w:t>、双方约定的其他工程质量保修事项：</w:t>
      </w:r>
      <w:r>
        <w:rPr>
          <w:rFonts w:hint="eastAsia" w:ascii="仿宋" w:hAnsi="仿宋" w:eastAsia="仿宋" w:cs="仿宋"/>
          <w:color w:val="auto"/>
          <w:sz w:val="24"/>
          <w:highlight w:val="none"/>
          <w:u w:val="single"/>
        </w:rPr>
        <w:t xml:space="preserve">                  </w:t>
      </w:r>
    </w:p>
    <w:p>
      <w:pPr>
        <w:shd w:val="clear"/>
        <w:wordWrap/>
        <w:topLinePunct w:val="0"/>
        <w:bidi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p>
      <w:pPr>
        <w:shd w:val="clear"/>
        <w:wordWrap/>
        <w:topLinePunct w:val="0"/>
        <w:bidi w:val="0"/>
        <w:spacing w:line="360" w:lineRule="auto"/>
        <w:ind w:firstLine="456" w:firstLineChars="190"/>
        <w:rPr>
          <w:rFonts w:hint="eastAsia" w:ascii="仿宋" w:hAnsi="仿宋" w:eastAsia="仿宋" w:cs="仿宋"/>
          <w:color w:val="auto"/>
          <w:sz w:val="24"/>
          <w:highlight w:val="none"/>
        </w:rPr>
      </w:pPr>
      <w:r>
        <w:rPr>
          <w:rFonts w:hint="eastAsia" w:ascii="仿宋" w:hAnsi="仿宋" w:eastAsia="仿宋" w:cs="仿宋"/>
          <w:color w:val="auto"/>
          <w:sz w:val="24"/>
          <w:highlight w:val="none"/>
        </w:rPr>
        <w:t>工程质量保修书由发包人、承包人在工程竣工验收前共同签署，作为施工合同附件，其有效期限至保修期满。</w:t>
      </w:r>
    </w:p>
    <w:p>
      <w:pPr>
        <w:shd w:val="clear"/>
        <w:wordWrap/>
        <w:topLinePunct w:val="0"/>
        <w:bidi w:val="0"/>
        <w:spacing w:line="360" w:lineRule="auto"/>
        <w:ind w:firstLine="456" w:firstLineChars="19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发包人(公章)：</w:t>
      </w:r>
      <w:r>
        <w:rPr>
          <w:rFonts w:hint="eastAsia" w:ascii="仿宋" w:hAnsi="仿宋" w:eastAsia="仿宋" w:cs="仿宋"/>
          <w:color w:val="auto"/>
          <w:sz w:val="24"/>
          <w:highlight w:val="none"/>
          <w:u w:val="single"/>
        </w:rPr>
        <w:t xml:space="preserve">        </w:t>
      </w:r>
      <w:r>
        <w:rPr>
          <w:rFonts w:hint="eastAsia" w:ascii="仿宋" w:hAnsi="仿宋" w:eastAsia="仿宋" w:cs="仿宋"/>
          <w:color w:val="auto"/>
          <w:sz w:val="24"/>
          <w:highlight w:val="none"/>
        </w:rPr>
        <w:t xml:space="preserve"> 承包人(公章)：</w:t>
      </w:r>
      <w:r>
        <w:rPr>
          <w:rFonts w:hint="eastAsia" w:ascii="仿宋" w:hAnsi="仿宋" w:eastAsia="仿宋" w:cs="仿宋"/>
          <w:color w:val="auto"/>
          <w:sz w:val="24"/>
          <w:highlight w:val="none"/>
          <w:u w:val="single"/>
        </w:rPr>
        <w:t xml:space="preserve">           </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u w:val="single"/>
        </w:rPr>
        <w:t xml:space="preserve">       </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法定代表人(签字或盖章)：</w:t>
      </w:r>
      <w:r>
        <w:rPr>
          <w:rFonts w:hint="eastAsia" w:ascii="仿宋" w:hAnsi="仿宋" w:eastAsia="仿宋" w:cs="仿宋"/>
          <w:color w:val="auto"/>
          <w:sz w:val="24"/>
          <w:highlight w:val="none"/>
          <w:u w:val="single"/>
        </w:rPr>
        <w:t xml:space="preserve">       </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委托代理人(签字)：</w:t>
      </w:r>
      <w:r>
        <w:rPr>
          <w:rFonts w:hint="eastAsia" w:ascii="仿宋" w:hAnsi="仿宋" w:eastAsia="仿宋" w:cs="仿宋"/>
          <w:color w:val="auto"/>
          <w:sz w:val="24"/>
          <w:highlight w:val="none"/>
          <w:u w:val="single"/>
        </w:rPr>
        <w:t xml:space="preserve">       </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电  话：</w:t>
      </w:r>
      <w:r>
        <w:rPr>
          <w:rFonts w:hint="eastAsia" w:ascii="仿宋" w:hAnsi="仿宋" w:eastAsia="仿宋" w:cs="仿宋"/>
          <w:color w:val="auto"/>
          <w:sz w:val="24"/>
          <w:highlight w:val="none"/>
          <w:u w:val="single"/>
        </w:rPr>
        <w:t xml:space="preserve">     </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传  真：</w:t>
      </w:r>
      <w:r>
        <w:rPr>
          <w:rFonts w:hint="eastAsia" w:ascii="仿宋" w:hAnsi="仿宋" w:eastAsia="仿宋" w:cs="仿宋"/>
          <w:color w:val="auto"/>
          <w:sz w:val="24"/>
          <w:highlight w:val="none"/>
          <w:u w:val="single"/>
        </w:rPr>
        <w:t xml:space="preserve">     </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开户银行：</w:t>
      </w:r>
      <w:r>
        <w:rPr>
          <w:rFonts w:hint="eastAsia" w:ascii="仿宋" w:hAnsi="仿宋" w:eastAsia="仿宋" w:cs="仿宋"/>
          <w:color w:val="auto"/>
          <w:sz w:val="24"/>
          <w:highlight w:val="none"/>
          <w:u w:val="single"/>
        </w:rPr>
        <w:t xml:space="preserve">   </w:t>
      </w:r>
    </w:p>
    <w:p>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账  号：</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账  号：</w:t>
      </w:r>
      <w:r>
        <w:rPr>
          <w:rFonts w:hint="eastAsia" w:ascii="仿宋" w:hAnsi="仿宋" w:eastAsia="仿宋" w:cs="仿宋"/>
          <w:color w:val="auto"/>
          <w:sz w:val="24"/>
          <w:highlight w:val="none"/>
          <w:u w:val="single"/>
        </w:rPr>
        <w:t xml:space="preserve">     </w:t>
      </w:r>
    </w:p>
    <w:p>
      <w:pPr>
        <w:rPr>
          <w:rFonts w:hint="eastAsia" w:asciiTheme="minorEastAsia" w:hAnsiTheme="minorEastAsia" w:eastAsiaTheme="minorEastAsia"/>
          <w:szCs w:val="21"/>
        </w:rPr>
      </w:pPr>
      <w:r>
        <w:rPr>
          <w:rFonts w:hint="eastAsia" w:ascii="仿宋" w:hAnsi="仿宋" w:eastAsia="仿宋" w:cs="仿宋"/>
          <w:color w:val="auto"/>
          <w:sz w:val="24"/>
          <w:highlight w:val="none"/>
        </w:rPr>
        <w:t>邮政编码：</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邮政编码：</w:t>
      </w:r>
      <w:r>
        <w:rPr>
          <w:rFonts w:hint="eastAsia" w:ascii="仿宋" w:hAnsi="仿宋" w:eastAsia="仿宋" w:cs="仿宋"/>
          <w:color w:val="auto"/>
          <w:sz w:val="24"/>
          <w:highlight w:val="none"/>
          <w:u w:val="single"/>
        </w:rPr>
        <w:t xml:space="preserve">   </w:t>
      </w:r>
      <w:r>
        <w:rPr>
          <w:rFonts w:hint="eastAsia" w:ascii="仿宋" w:hAnsi="仿宋" w:eastAsia="仿宋"/>
        </w:rPr>
        <w:t>。</w:t>
      </w:r>
      <w:r>
        <w:rPr>
          <w:rFonts w:hint="eastAsia" w:asciiTheme="minorEastAsia" w:hAnsiTheme="minorEastAsia" w:eastAsiaTheme="minorEastAsia"/>
          <w:szCs w:val="21"/>
        </w:rPr>
        <w:br w:type="page"/>
      </w:r>
    </w:p>
    <w:p>
      <w:pPr>
        <w:kinsoku/>
        <w:wordWrap/>
        <w:overflowPunct/>
        <w:topLinePunct w:val="0"/>
        <w:bidi w:val="0"/>
        <w:spacing w:line="360" w:lineRule="auto"/>
        <w:ind w:left="0" w:leftChars="0" w:firstLine="0"/>
        <w:textAlignment w:val="auto"/>
        <w:rPr>
          <w:rFonts w:hint="eastAsia" w:ascii="宋体" w:hAnsi="宋体" w:eastAsia="宋体" w:cs="宋体"/>
          <w:color w:val="auto"/>
          <w:sz w:val="24"/>
          <w:szCs w:val="24"/>
          <w:highlight w:val="none"/>
          <w:u w:val="single"/>
        </w:rPr>
      </w:pPr>
      <w:bookmarkStart w:id="399" w:name="_Toc534620509"/>
      <w:bookmarkStart w:id="400" w:name="_Toc249091536"/>
    </w:p>
    <w:bookmarkEnd w:id="399"/>
    <w:bookmarkEnd w:id="400"/>
    <w:p>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rPr>
          <w:rFonts w:ascii="宋体" w:hAnsi="宋体" w:cs="宋体"/>
          <w:color w:val="auto"/>
          <w:sz w:val="24"/>
          <w:highlight w:val="none"/>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）项目经理无在建工程声明……………………………………………（页码）</w:t>
      </w: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杭州市钱塘区人民政府义蓬街道办事处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浙江中瑞工程管理有限公司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义蓬街道头蓬社区党群服务中心装修工程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047</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440" w:right="1080" w:bottom="1440" w:left="1080" w:header="851" w:footer="992" w:gutter="0"/>
          <w:cols w:space="720" w:num="1"/>
          <w:titlePg/>
          <w:docGrid w:linePitch="312" w:charSpace="0"/>
        </w:sect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[以联合体形式参与的，提供联合协议（附件5）；供应商不以联合体形式投参与的，则不需要提供]</w:t>
      </w:r>
    </w:p>
    <w:p>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hint="eastAsia" w:ascii="宋体" w:hAnsi="宋体" w:cs="宋体"/>
          <w:b/>
          <w:bCs/>
          <w:color w:val="auto"/>
          <w:kern w:val="0"/>
          <w:sz w:val="24"/>
          <w:highlight w:val="none"/>
        </w:rPr>
      </w:pPr>
    </w:p>
    <w:p>
      <w:pPr>
        <w:widowControl/>
        <w:spacing w:line="360" w:lineRule="auto"/>
        <w:ind w:firstLine="480"/>
        <w:jc w:val="left"/>
        <w:rPr>
          <w:rFonts w:ascii="宋体" w:hAnsi="宋体" w:cs="宋体"/>
          <w:color w:val="auto"/>
          <w:sz w:val="24"/>
          <w:highlight w:val="none"/>
        </w:rPr>
      </w:pPr>
      <w:r>
        <w:rPr>
          <w:rFonts w:hint="eastAsia" w:ascii="宋体" w:hAnsi="宋体" w:cs="宋体"/>
          <w:b/>
          <w:bCs/>
          <w:color w:val="auto"/>
          <w:kern w:val="0"/>
          <w:sz w:val="24"/>
          <w:highlight w:val="none"/>
        </w:rPr>
        <w:t>标的：</w:t>
      </w:r>
      <w:r>
        <w:rPr>
          <w:rFonts w:hint="eastAsia" w:ascii="宋体" w:hAnsi="宋体" w:cs="宋体"/>
          <w:b/>
          <w:bCs/>
          <w:color w:val="auto"/>
          <w:kern w:val="0"/>
          <w:sz w:val="24"/>
          <w:highlight w:val="none"/>
          <w:u w:val="single"/>
          <w:lang w:eastAsia="zh-CN"/>
        </w:rPr>
        <w:t>义蓬街道头蓬社区党群服务中心装修工程</w:t>
      </w:r>
      <w:r>
        <w:rPr>
          <w:rFonts w:hint="eastAsia" w:ascii="宋体" w:hAnsi="宋体" w:cs="宋体"/>
          <w:b/>
          <w:bCs/>
          <w:color w:val="auto"/>
          <w:kern w:val="0"/>
          <w:sz w:val="24"/>
          <w:highlight w:val="none"/>
        </w:rPr>
        <w:t>，属于</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u w:val="single"/>
          <w:lang w:eastAsia="zh-CN"/>
        </w:rPr>
        <w:t>建筑业</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rPr>
        <w:t>行业；</w:t>
      </w:r>
    </w:p>
    <w:p>
      <w:pPr>
        <w:widowControl/>
        <w:spacing w:line="360" w:lineRule="auto"/>
        <w:ind w:firstLine="472" w:firstLineChars="196"/>
        <w:jc w:val="left"/>
        <w:rPr>
          <w:rFonts w:hint="eastAsia" w:ascii="宋体" w:hAnsi="宋体" w:cs="宋体"/>
          <w:b/>
          <w:color w:val="auto"/>
          <w:sz w:val="24"/>
          <w:highlight w:val="none"/>
        </w:rPr>
      </w:pPr>
    </w:p>
    <w:p>
      <w:pPr>
        <w:pStyle w:val="83"/>
        <w:rPr>
          <w:rFonts w:hint="eastAsia"/>
          <w:color w:val="auto"/>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w:t>
      </w:r>
    </w:p>
    <w:p>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项目经理无在建工程声明函</w:t>
      </w:r>
    </w:p>
    <w:p>
      <w:pPr>
        <w:pStyle w:val="34"/>
        <w:snapToGrid w:val="0"/>
        <w:spacing w:line="300" w:lineRule="auto"/>
        <w:jc w:val="center"/>
        <w:rPr>
          <w:rFonts w:cs="Calibri"/>
          <w:b/>
          <w:bCs/>
          <w:color w:val="auto"/>
          <w:sz w:val="32"/>
          <w:szCs w:val="32"/>
          <w:highlight w:val="none"/>
        </w:rPr>
      </w:pPr>
    </w:p>
    <w:p>
      <w:pPr>
        <w:snapToGrid w:val="0"/>
        <w:spacing w:line="360" w:lineRule="auto"/>
        <w:ind w:firstLine="480" w:firstLineChars="200"/>
        <w:rPr>
          <w:rFonts w:ascii="宋体" w:hAnsi="宋体" w:cs="Calibri"/>
          <w:snapToGrid w:val="0"/>
          <w:color w:val="auto"/>
          <w:sz w:val="24"/>
          <w:highlight w:val="none"/>
          <w:u w:val="single"/>
        </w:rPr>
      </w:pPr>
      <w:r>
        <w:rPr>
          <w:rFonts w:hint="eastAsia" w:ascii="宋体" w:hAnsi="宋体" w:cs="Calibri"/>
          <w:snapToGrid w:val="0"/>
          <w:color w:val="auto"/>
          <w:sz w:val="24"/>
          <w:highlight w:val="none"/>
          <w:u w:val="single"/>
        </w:rPr>
        <w:t>（</w:t>
      </w:r>
      <w:r>
        <w:rPr>
          <w:rFonts w:hint="eastAsia" w:ascii="宋体" w:hAnsi="宋体" w:cs="Calibri"/>
          <w:snapToGrid w:val="0"/>
          <w:color w:val="auto"/>
          <w:sz w:val="24"/>
          <w:highlight w:val="none"/>
          <w:u w:val="single"/>
          <w:lang w:eastAsia="zh-CN"/>
        </w:rPr>
        <w:t>杭州市钱塘区人民政府义蓬街道办事处</w:t>
      </w:r>
      <w:r>
        <w:rPr>
          <w:rFonts w:hint="eastAsia" w:ascii="宋体" w:hAnsi="宋体" w:cs="Calibri"/>
          <w:snapToGrid w:val="0"/>
          <w:color w:val="auto"/>
          <w:sz w:val="24"/>
          <w:highlight w:val="none"/>
          <w:u w:val="single"/>
        </w:rPr>
        <w:t>）、（</w:t>
      </w:r>
      <w:r>
        <w:rPr>
          <w:rFonts w:hint="eastAsia" w:ascii="宋体" w:hAnsi="宋体" w:cs="Calibri"/>
          <w:snapToGrid w:val="0"/>
          <w:color w:val="auto"/>
          <w:sz w:val="24"/>
          <w:highlight w:val="none"/>
          <w:u w:val="single"/>
          <w:lang w:eastAsia="zh-CN"/>
        </w:rPr>
        <w:t>浙江中瑞工程管理有限公司</w:t>
      </w:r>
      <w:r>
        <w:rPr>
          <w:rFonts w:hint="eastAsia" w:ascii="宋体" w:hAnsi="宋体" w:cs="Calibri"/>
          <w:snapToGrid w:val="0"/>
          <w:color w:val="auto"/>
          <w:sz w:val="24"/>
          <w:highlight w:val="none"/>
          <w:u w:val="single"/>
        </w:rPr>
        <w:t>）：</w:t>
      </w:r>
    </w:p>
    <w:p>
      <w:pPr>
        <w:snapToGrid w:val="0"/>
        <w:spacing w:line="360" w:lineRule="auto"/>
        <w:ind w:firstLine="480" w:firstLineChars="200"/>
        <w:rPr>
          <w:rFonts w:ascii="宋体" w:hAnsi="宋体" w:cs="Calibri"/>
          <w:color w:val="auto"/>
          <w:sz w:val="24"/>
          <w:highlight w:val="none"/>
        </w:rPr>
      </w:pPr>
      <w:r>
        <w:rPr>
          <w:rFonts w:ascii="宋体" w:hAnsi="宋体" w:cs="Calibri"/>
          <w:color w:val="auto"/>
          <w:sz w:val="24"/>
          <w:highlight w:val="none"/>
        </w:rPr>
        <w:t>我方参加（</w:t>
      </w:r>
      <w:r>
        <w:rPr>
          <w:rFonts w:hint="eastAsia" w:ascii="宋体" w:hAnsi="宋体" w:cs="Calibri"/>
          <w:snapToGrid w:val="0"/>
          <w:color w:val="auto"/>
          <w:sz w:val="24"/>
          <w:highlight w:val="none"/>
          <w:u w:val="single"/>
          <w:lang w:eastAsia="zh-CN"/>
        </w:rPr>
        <w:t>杭州市钱塘区人民政府义蓬街道办事处</w:t>
      </w:r>
      <w:r>
        <w:rPr>
          <w:rFonts w:ascii="宋体" w:hAnsi="宋体" w:cs="Calibri"/>
          <w:color w:val="auto"/>
          <w:sz w:val="24"/>
          <w:highlight w:val="none"/>
        </w:rPr>
        <w:t>）（</w:t>
      </w:r>
      <w:r>
        <w:rPr>
          <w:rFonts w:hint="eastAsia" w:ascii="宋体" w:hAnsi="宋体" w:cs="Calibri"/>
          <w:color w:val="auto"/>
          <w:sz w:val="24"/>
          <w:highlight w:val="none"/>
          <w:lang w:eastAsia="zh-CN"/>
        </w:rPr>
        <w:t>义蓬街道头蓬社区党群服务中心装修工程</w:t>
      </w:r>
      <w:r>
        <w:rPr>
          <w:rFonts w:ascii="宋体" w:hAnsi="宋体" w:cs="Calibri"/>
          <w:color w:val="auto"/>
          <w:sz w:val="24"/>
          <w:highlight w:val="none"/>
        </w:rPr>
        <w:t>）（</w:t>
      </w:r>
      <w:r>
        <w:rPr>
          <w:rFonts w:hint="eastAsia" w:ascii="宋体" w:hAnsi="宋体" w:cs="宋体"/>
          <w:color w:val="auto"/>
          <w:sz w:val="24"/>
          <w:highlight w:val="none"/>
          <w:lang w:eastAsia="zh-CN"/>
        </w:rPr>
        <w:t>QTCG-CS-202</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047 </w:t>
      </w:r>
      <w:r>
        <w:rPr>
          <w:rFonts w:ascii="宋体" w:hAnsi="宋体" w:cs="Calibri"/>
          <w:color w:val="auto"/>
          <w:sz w:val="24"/>
          <w:highlight w:val="none"/>
        </w:rPr>
        <w:t>）采购活动，拟派</w:t>
      </w:r>
      <w:r>
        <w:rPr>
          <w:rFonts w:hint="eastAsia" w:ascii="宋体" w:hAnsi="宋体" w:cs="Calibri"/>
          <w:color w:val="auto"/>
          <w:sz w:val="24"/>
          <w:highlight w:val="none"/>
        </w:rPr>
        <w:t>本项目的</w:t>
      </w:r>
      <w:r>
        <w:rPr>
          <w:rFonts w:ascii="宋体" w:hAnsi="宋体" w:cs="Calibri"/>
          <w:color w:val="auto"/>
          <w:sz w:val="24"/>
          <w:highlight w:val="none"/>
        </w:rPr>
        <w:t>项目经理</w:t>
      </w:r>
      <w:r>
        <w:rPr>
          <w:rFonts w:hint="eastAsia" w:ascii="宋体" w:hAnsi="宋体" w:cs="Calibri"/>
          <w:color w:val="auto"/>
          <w:sz w:val="24"/>
          <w:highlight w:val="none"/>
        </w:rPr>
        <w:t>（</w:t>
      </w:r>
      <w:r>
        <w:rPr>
          <w:rFonts w:hint="eastAsia" w:ascii="宋体" w:hAnsi="宋体" w:cs="Calibri"/>
          <w:color w:val="auto"/>
          <w:sz w:val="24"/>
          <w:highlight w:val="none"/>
          <w:u w:val="single"/>
        </w:rPr>
        <w:t>姓名： 联系方式： ）</w:t>
      </w:r>
      <w:r>
        <w:rPr>
          <w:rFonts w:ascii="宋体" w:hAnsi="宋体" w:cs="Calibri"/>
          <w:color w:val="auto"/>
          <w:sz w:val="24"/>
          <w:highlight w:val="none"/>
        </w:rPr>
        <w:t>无在建工程。</w:t>
      </w:r>
    </w:p>
    <w:p>
      <w:pPr>
        <w:snapToGrid w:val="0"/>
        <w:spacing w:line="360" w:lineRule="auto"/>
        <w:ind w:firstLine="480" w:firstLineChars="200"/>
        <w:rPr>
          <w:rFonts w:ascii="宋体" w:hAnsi="宋体" w:cs="Calibri"/>
          <w:color w:val="auto"/>
          <w:kern w:val="0"/>
          <w:sz w:val="24"/>
          <w:highlight w:val="none"/>
        </w:rPr>
      </w:pPr>
      <w:r>
        <w:rPr>
          <w:rFonts w:ascii="宋体" w:hAnsi="宋体" w:cs="Calibri"/>
          <w:color w:val="auto"/>
          <w:kern w:val="0"/>
          <w:sz w:val="24"/>
          <w:highlight w:val="none"/>
        </w:rPr>
        <w:t>本公司对上述声明的真实性负责。如有虚假，愿意承担相应责任，对此无任何异议。</w:t>
      </w:r>
    </w:p>
    <w:p>
      <w:pPr>
        <w:snapToGrid w:val="0"/>
        <w:spacing w:line="360" w:lineRule="auto"/>
        <w:ind w:firstLine="480" w:firstLineChars="200"/>
        <w:rPr>
          <w:rFonts w:ascii="宋体" w:hAnsi="宋体" w:cs="Calibri"/>
          <w:color w:val="auto"/>
          <w:sz w:val="24"/>
          <w:highlight w:val="none"/>
        </w:rPr>
      </w:pPr>
      <w:r>
        <w:rPr>
          <w:rFonts w:ascii="宋体" w:hAnsi="宋体" w:cs="Calibri"/>
          <w:color w:val="auto"/>
          <w:sz w:val="24"/>
          <w:highlight w:val="none"/>
        </w:rPr>
        <w:t>特此声明！</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rPr>
          <w:color w:val="auto"/>
          <w:highlight w:val="none"/>
        </w:rPr>
      </w:pPr>
    </w:p>
    <w:p>
      <w:pPr>
        <w:pStyle w:val="23"/>
        <w:ind w:firstLine="480" w:firstLineChars="200"/>
        <w:rPr>
          <w:rFonts w:hint="eastAsia"/>
          <w:lang w:eastAsia="zh-CN"/>
        </w:rPr>
      </w:pPr>
    </w:p>
    <w:p>
      <w:pPr>
        <w:pStyle w:val="23"/>
        <w:ind w:firstLine="480" w:firstLineChars="200"/>
        <w:rPr>
          <w:rFonts w:hint="eastAsia" w:eastAsia="宋体"/>
          <w:lang w:eastAsia="zh-CN"/>
        </w:rPr>
      </w:pPr>
      <w:r>
        <w:rPr>
          <w:rFonts w:hint="eastAsia"/>
          <w:lang w:eastAsia="zh-CN"/>
        </w:rPr>
        <w:t>注：</w:t>
      </w:r>
      <w:r>
        <w:rPr>
          <w:rFonts w:hint="eastAsia"/>
        </w:rPr>
        <w:t>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r>
        <w:rPr>
          <w:rFonts w:hint="eastAsia"/>
          <w:lang w:eastAsia="zh-CN"/>
        </w:rPr>
        <w:t>。</w:t>
      </w:r>
    </w:p>
    <w:p>
      <w:pPr>
        <w:rPr>
          <w:color w:val="auto"/>
          <w:highlight w:val="none"/>
        </w:rPr>
        <w:sectPr>
          <w:pgSz w:w="11906" w:h="16838"/>
          <w:pgMar w:top="1440" w:right="1080" w:bottom="1440" w:left="1080" w:header="851" w:footer="992" w:gutter="0"/>
          <w:pgNumType w:fmt="decimal"/>
          <w:cols w:space="720" w:num="1"/>
          <w:titlePg/>
          <w:docGrid w:linePitch="312" w:charSpace="0"/>
        </w:sectPr>
      </w:pPr>
    </w:p>
    <w:p>
      <w:pPr>
        <w:spacing w:line="360" w:lineRule="auto"/>
        <w:ind w:right="420" w:firstLine="3614" w:firstLineChars="1000"/>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9"/>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numPr>
          <w:ilvl w:val="255"/>
          <w:numId w:val="0"/>
        </w:numPr>
        <w:snapToGrid w:val="0"/>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pPr>
        <w:numPr>
          <w:ilvl w:val="255"/>
          <w:numId w:val="0"/>
        </w:numPr>
        <w:snapToGrid w:val="0"/>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杭州市钱塘区人民政府义蓬街道办事处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浙江中瑞工程管理有限公司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义蓬街道头蓬社区党群服务中心装修工程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047</w:t>
      </w:r>
      <w:r>
        <w:rPr>
          <w:rFonts w:hint="eastAsia" w:ascii="宋体" w:hAnsi="宋体" w:cs="宋体"/>
          <w:color w:val="auto"/>
          <w:sz w:val="24"/>
          <w:highlight w:val="none"/>
        </w:rPr>
        <w:t>】采购的有关活动，并对此项目提交响应文件及报价。为此：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90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2.3.3中小企业声明函。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.3.4 报价情况说明（如供应商报价低于项目预算50%的，应当提交本文档，详细阐述不影响产品质量或者诚信履约的具体原因）。</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3、我方承诺除商务技术偏离表列出的偏离外，我方响应采购文件的全部要求。对响应文件中材料的真实性、合法性负责。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lang w:val="en-US" w:eastAsia="zh-CN"/>
        </w:rPr>
        <w:t>响应</w:t>
      </w:r>
      <w:r>
        <w:rPr>
          <w:rFonts w:hint="eastAsia" w:ascii="宋体" w:hAnsi="宋体" w:cs="宋体"/>
          <w:b/>
          <w:bCs/>
          <w:color w:val="auto"/>
          <w:sz w:val="32"/>
          <w:szCs w:val="32"/>
          <w:highlight w:val="none"/>
          <w:lang w:val="zh-CN"/>
        </w:rPr>
        <w:t>）</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杭州市钱塘区人民政府义蓬街道办事处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浙江中瑞工程管理有限公司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义蓬街道头蓬社区党群服务中心装修工程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047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lang w:val="en-US" w:eastAsia="zh-CN"/>
        </w:rPr>
        <w:t>响应</w:t>
      </w:r>
      <w:r>
        <w:rPr>
          <w:rFonts w:hint="eastAsia" w:ascii="宋体" w:hAnsi="宋体" w:cs="宋体"/>
          <w:b/>
          <w:bCs/>
          <w:color w:val="auto"/>
          <w:sz w:val="32"/>
          <w:szCs w:val="32"/>
          <w:highlight w:val="none"/>
          <w:lang w:val="zh-CN"/>
        </w:rPr>
        <w:t>）</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杭州市钱塘区人民政府义蓬街道办事处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浙江中瑞工程管理有限公司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义蓬街道头蓬社区党群服务中心装修工程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047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napToGrid w:val="0"/>
        <w:jc w:val="center"/>
        <w:rPr>
          <w:rFonts w:hint="eastAsia" w:ascii="宋体" w:hAnsi="宋体" w:cs="宋体"/>
          <w:b/>
          <w:bCs/>
          <w:color w:val="auto"/>
          <w:sz w:val="32"/>
          <w:szCs w:val="32"/>
          <w:highlight w:val="none"/>
          <w:lang w:val="zh-CN"/>
        </w:rPr>
      </w:pPr>
    </w:p>
    <w:p>
      <w:pPr>
        <w:snapToGrid w:val="0"/>
        <w:jc w:val="center"/>
        <w:rPr>
          <w:rFonts w:hint="eastAsia" w:ascii="宋体" w:hAnsi="宋体" w:cs="宋体"/>
          <w:b/>
          <w:bCs/>
          <w:color w:val="auto"/>
          <w:sz w:val="32"/>
          <w:szCs w:val="32"/>
          <w:highlight w:val="none"/>
          <w:lang w:val="zh-CN"/>
        </w:r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w:t>
      </w:r>
      <w:r>
        <w:rPr>
          <w:rFonts w:hint="eastAsia" w:ascii="宋体" w:hAnsi="宋体" w:cs="宋体"/>
          <w:b/>
          <w:bCs/>
          <w:color w:val="auto"/>
          <w:sz w:val="32"/>
          <w:szCs w:val="32"/>
          <w:highlight w:val="none"/>
          <w:lang w:val="en-US" w:eastAsia="zh-CN"/>
        </w:rPr>
        <w:t>响应</w:t>
      </w:r>
      <w:r>
        <w:rPr>
          <w:rFonts w:hint="eastAsia" w:ascii="宋体" w:hAnsi="宋体" w:cs="宋体"/>
          <w:b/>
          <w:bCs/>
          <w:color w:val="auto"/>
          <w:sz w:val="32"/>
          <w:szCs w:val="32"/>
          <w:highlight w:val="none"/>
        </w:rPr>
        <w:t>）</w:t>
      </w:r>
    </w:p>
    <w:p>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51"/>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pPr>
        <w:widowControl/>
        <w:spacing w:line="360" w:lineRule="auto"/>
        <w:ind w:firstLine="120" w:firstLineChars="50"/>
        <w:jc w:val="left"/>
        <w:rPr>
          <w:rFonts w:ascii="宋体" w:hAnsi="宋体" w:cs="宋体"/>
          <w:color w:val="auto"/>
          <w:sz w:val="24"/>
          <w:highlight w:val="none"/>
        </w:rPr>
      </w:pPr>
      <w:bookmarkStart w:id="401"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401"/>
    <w:p>
      <w:pPr>
        <w:snapToGrid w:val="0"/>
        <w:spacing w:line="360" w:lineRule="auto"/>
        <w:rPr>
          <w:rFonts w:ascii="宋体" w:hAnsi="宋体" w:cs="宋体"/>
          <w:color w:val="auto"/>
          <w:kern w:val="0"/>
          <w:sz w:val="24"/>
          <w:highlight w:val="none"/>
        </w:r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pPr>
              <w:rPr>
                <w:rFonts w:ascii="宋体" w:hAnsi="宋体" w:cs="宋体"/>
                <w:color w:val="auto"/>
                <w:sz w:val="24"/>
                <w:highlight w:val="none"/>
              </w:rPr>
            </w:pPr>
            <w:r>
              <w:rPr>
                <w:rFonts w:hint="eastAsia" w:ascii="宋体" w:hAnsi="宋体" w:cs="宋体"/>
                <w:color w:val="auto"/>
                <w:sz w:val="24"/>
                <w:highlight w:val="none"/>
              </w:rPr>
              <w:t>见响应文件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pPr>
              <w:rPr>
                <w:rFonts w:ascii="宋体" w:hAnsi="宋体" w:cs="宋体"/>
                <w:color w:val="auto"/>
                <w:sz w:val="24"/>
                <w:highlight w:val="none"/>
              </w:rPr>
            </w:pPr>
            <w:r>
              <w:rPr>
                <w:rFonts w:hint="eastAsia" w:ascii="宋体" w:hAnsi="宋体" w:cs="宋体"/>
                <w:color w:val="auto"/>
                <w:sz w:val="24"/>
                <w:highlight w:val="none"/>
              </w:rPr>
              <w:t>见响应文件</w:t>
            </w:r>
          </w:p>
          <w:p>
            <w:pPr>
              <w:pStyle w:val="3"/>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4</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numPr>
          <w:ilvl w:val="0"/>
          <w:numId w:val="9"/>
        </w:numPr>
        <w:snapToGrid w:val="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评审标准相应的商务技术资料</w:t>
      </w:r>
    </w:p>
    <w:p>
      <w:pPr>
        <w:pStyle w:val="80"/>
        <w:numPr>
          <w:ilvl w:val="0"/>
          <w:numId w:val="0"/>
        </w:numPr>
        <w:rPr>
          <w:color w:val="auto"/>
          <w:highlight w:val="none"/>
        </w:rPr>
      </w:pP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numPr>
          <w:ilvl w:val="0"/>
          <w:numId w:val="9"/>
        </w:numPr>
        <w:snapToGrid w:val="0"/>
        <w:ind w:left="0" w:leftChars="0" w:firstLine="0" w:firstLineChars="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商务技术偏离表</w:t>
      </w:r>
    </w:p>
    <w:p>
      <w:pPr>
        <w:pStyle w:val="80"/>
        <w:numPr>
          <w:ilvl w:val="0"/>
          <w:numId w:val="0"/>
        </w:numPr>
        <w:ind w:leftChars="0"/>
        <w:rPr>
          <w:color w:val="auto"/>
          <w:highlight w:val="none"/>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sectPr>
          <w:footerReference r:id="rId13" w:type="first"/>
          <w:footerReference r:id="rId12" w:type="default"/>
          <w:pgSz w:w="11906" w:h="16838"/>
          <w:pgMar w:top="1440" w:right="1080" w:bottom="1440" w:left="1080" w:header="851" w:footer="992" w:gutter="0"/>
          <w:cols w:space="720" w:num="1"/>
          <w:titlePg/>
          <w:docGrid w:linePitch="312" w:charSpace="0"/>
        </w:sectPr>
      </w:pPr>
    </w:p>
    <w:p>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杭州市钱塘区人民政府义蓬街道办事处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浙江中瑞工程管理有限公司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（1）报价单…………………………………………………………………………（页码）</w:t>
      </w:r>
    </w:p>
    <w:p>
      <w:pPr>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报价情况说明（如有）</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）已标价工程量清单……………………………………………………………（页码）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6" w:type="first"/>
          <w:headerReference r:id="rId14" w:type="default"/>
          <w:footerReference r:id="rId15" w:type="default"/>
          <w:pgSz w:w="11906" w:h="16838"/>
          <w:pgMar w:top="1440" w:right="1080" w:bottom="1440" w:left="1080"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杭州市钱塘区人民政府义蓬街道办事处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浙江中瑞工程管理有限公司</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lang w:eastAsia="zh-CN"/>
        </w:rPr>
        <w:t>义蓬街道头蓬社区党群服务中心装修工程</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QTCG-CS-202</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047</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施工工期</w:t>
            </w:r>
          </w:p>
        </w:tc>
        <w:tc>
          <w:tcPr>
            <w:tcW w:w="255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198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3119"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2552"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7655" w:type="dxa"/>
            <w:gridSpan w:val="3"/>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7655" w:type="dxa"/>
            <w:gridSpan w:val="3"/>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3、特别提示：采购机构将对项目名称和项目编号，成交供应商名称、地址和成交金额、施工范围、施工工期、项目经理、执业证书信息、品牌（如果有）、规格型号、数量、单价等予以公示。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pPr>
        <w:pStyle w:val="693"/>
        <w:keepNext w:val="0"/>
        <w:pageBreakBefore/>
        <w:tabs>
          <w:tab w:val="clear" w:pos="720"/>
        </w:tabs>
        <w:snapToGrid w:val="0"/>
        <w:spacing w:before="120" w:after="12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pPr>
        <w:keepNext w:val="0"/>
        <w:pageBreakBefore w:val="0"/>
        <w:snapToGrid w:val="0"/>
        <w:spacing w:before="120" w:after="120"/>
        <w:outlineLvl w:val="9"/>
        <w:rPr>
          <w:rFonts w:hint="eastAsia"/>
          <w:color w:val="auto"/>
          <w:highlight w:val="none"/>
          <w:lang w:val="en-US" w:eastAsia="zh-CN"/>
        </w:rPr>
      </w:pPr>
    </w:p>
    <w:p>
      <w:pPr>
        <w:keepNext w:val="0"/>
        <w:pageBreakBefore w:val="0"/>
        <w:tabs>
          <w:tab w:val="left" w:pos="1313"/>
        </w:tabs>
        <w:snapToGrid w:val="0"/>
        <w:spacing w:before="120" w:after="120"/>
        <w:jc w:val="left"/>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br w:type="page"/>
      </w:r>
    </w:p>
    <w:p>
      <w:pPr>
        <w:pStyle w:val="693"/>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、已标价工程量清单</w:t>
      </w:r>
    </w:p>
    <w:p>
      <w:pPr>
        <w:ind w:right="420"/>
        <w:rPr>
          <w:rFonts w:ascii="宋体" w:hAnsi="宋体" w:cs="宋体"/>
          <w:color w:val="auto"/>
          <w:sz w:val="24"/>
          <w:highlight w:val="none"/>
        </w:rPr>
      </w:pPr>
      <w:r>
        <w:rPr>
          <w:rFonts w:hint="eastAsia" w:ascii="宋体" w:hAnsi="宋体" w:cs="宋体"/>
          <w:color w:val="auto"/>
          <w:sz w:val="24"/>
          <w:highlight w:val="none"/>
        </w:rPr>
        <w:t xml:space="preserve">注：按采购文件工程量清单编制 </w:t>
      </w:r>
    </w:p>
    <w:p>
      <w:pPr>
        <w:pStyle w:val="26"/>
        <w:ind w:firstLine="480"/>
        <w:rPr>
          <w:rFonts w:cs="宋体"/>
          <w:color w:val="auto"/>
          <w:sz w:val="24"/>
          <w:highlight w:val="none"/>
        </w:rPr>
      </w:pPr>
    </w:p>
    <w:p>
      <w:pPr>
        <w:pStyle w:val="26"/>
        <w:ind w:firstLine="420"/>
        <w:rPr>
          <w:rFonts w:cs="宋体"/>
          <w:color w:val="auto"/>
          <w:sz w:val="24"/>
          <w:highlight w:val="none"/>
        </w:rPr>
        <w:sectPr>
          <w:footerReference r:id="rId20" w:type="first"/>
          <w:headerReference r:id="rId17" w:type="default"/>
          <w:footerReference r:id="rId18" w:type="default"/>
          <w:footerReference r:id="rId19" w:type="even"/>
          <w:pgSz w:w="11906" w:h="16838"/>
          <w:pgMar w:top="1440" w:right="1080" w:bottom="1440" w:left="1080"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四</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3"/>
        <w:keepNext w:val="0"/>
        <w:pageBreakBefore w:val="0"/>
        <w:tabs>
          <w:tab w:val="clear" w:pos="720"/>
        </w:tabs>
        <w:snapToGrid w:val="0"/>
        <w:spacing w:before="120" w:after="120"/>
        <w:jc w:val="both"/>
        <w:outlineLvl w:val="9"/>
        <w:rPr>
          <w:rFonts w:ascii="宋体" w:hAnsi="宋体" w:eastAsia="宋体" w:cs="宋体"/>
          <w:b w:val="0"/>
          <w:color w:val="auto"/>
          <w:sz w:val="32"/>
          <w:szCs w:val="32"/>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lang w:eastAsia="zh-CN"/>
        </w:rPr>
        <w:t>义蓬街道头蓬社区党群服务中心装修工程</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建筑业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24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pPr>
        <w:spacing w:line="360" w:lineRule="auto"/>
        <w:jc w:val="center"/>
        <w:rPr>
          <w:rFonts w:hint="eastAsia" w:ascii="宋体" w:hAnsi="宋体" w:eastAsia="宋体" w:cs="宋体"/>
          <w:b/>
          <w:color w:val="auto"/>
          <w:szCs w:val="21"/>
          <w:highlight w:val="none"/>
        </w:rPr>
      </w:pPr>
      <w:bookmarkStart w:id="402" w:name="_Toc465665161"/>
      <w:r>
        <w:rPr>
          <w:rFonts w:hint="eastAsia" w:ascii="宋体" w:hAnsi="宋体" w:eastAsia="宋体" w:cs="宋体"/>
          <w:b/>
          <w:color w:val="auto"/>
          <w:szCs w:val="21"/>
          <w:highlight w:val="none"/>
        </w:rPr>
        <w:t>关于钱塘区政府采购支持中小企业信用融资相关事项通知</w:t>
      </w:r>
    </w:p>
    <w:p>
      <w:pPr>
        <w:spacing w:line="360" w:lineRule="auto"/>
        <w:jc w:val="center"/>
        <w:rPr>
          <w:rFonts w:hint="eastAsia" w:ascii="宋体" w:hAnsi="宋体" w:eastAsia="宋体" w:cs="宋体"/>
          <w:b/>
          <w:color w:val="auto"/>
          <w:szCs w:val="21"/>
          <w:highlight w:val="none"/>
        </w:rPr>
      </w:pP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一、适用对象</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在浙江“政采云”平台注册入库，并取得钱塘区政府采购合同的中小企业供应商。</w:t>
      </w:r>
    </w:p>
    <w:p>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二、相关信息获取方式</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请登陆杭州钱塘新区管理委员会官网（http://qt.hangzhou.gov.cn） “公告公示”专栏，查看信用融资政策文件及各相关银行服务方案。</w:t>
      </w:r>
    </w:p>
    <w:p>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三、申请方式和步骤</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1、供应商若有融资意向，需先与钱塘区财政局合作的银行对接，办理相关融资前期手续；</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2、中标后，供应商应与采购单位或者采购代理机构及时联系，告知融资需求；</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3、相关合作银行联系并审核供应商及相关中标信息，办理相关融资事宜；</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、采购单位应及时将信用融资合同提交备案。</w:t>
      </w:r>
    </w:p>
    <w:p>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四、注意事项</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请各采购单位和采购代理机构积极支持和配合政府采购信用融资工作，在合同备案环节务必请仔细核对收款银行、账号信息等内容。</w:t>
      </w:r>
    </w:p>
    <w:p>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五、合作银行及联系方式</w:t>
      </w:r>
    </w:p>
    <w:tbl>
      <w:tblPr>
        <w:tblStyle w:val="62"/>
        <w:tblW w:w="9960" w:type="dxa"/>
        <w:tblInd w:w="0" w:type="dxa"/>
        <w:tblLayout w:type="fixed"/>
        <w:tblCellMar>
          <w:top w:w="0" w:type="dxa"/>
          <w:left w:w="108" w:type="dxa"/>
          <w:bottom w:w="0" w:type="dxa"/>
          <w:right w:w="108" w:type="dxa"/>
        </w:tblCellMar>
      </w:tblPr>
      <w:tblGrid>
        <w:gridCol w:w="1229"/>
        <w:gridCol w:w="3442"/>
        <w:gridCol w:w="1618"/>
        <w:gridCol w:w="3671"/>
      </w:tblGrid>
      <w:tr>
        <w:tblPrEx>
          <w:tblCellMar>
            <w:top w:w="0" w:type="dxa"/>
            <w:left w:w="108" w:type="dxa"/>
            <w:bottom w:w="0" w:type="dxa"/>
            <w:right w:w="108" w:type="dxa"/>
          </w:tblCellMar>
        </w:tblPrEx>
        <w:trPr>
          <w:trHeight w:val="750"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44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银行</w:t>
            </w:r>
          </w:p>
        </w:tc>
        <w:tc>
          <w:tcPr>
            <w:tcW w:w="161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联系人</w:t>
            </w:r>
          </w:p>
        </w:tc>
        <w:tc>
          <w:tcPr>
            <w:tcW w:w="367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电话</w:t>
            </w:r>
          </w:p>
        </w:tc>
      </w:tr>
      <w:tr>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w:t>
            </w:r>
          </w:p>
        </w:tc>
        <w:tc>
          <w:tcPr>
            <w:tcW w:w="344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建设银行钱塘支行</w:t>
            </w:r>
          </w:p>
        </w:tc>
        <w:tc>
          <w:tcPr>
            <w:tcW w:w="161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张苏航</w:t>
            </w:r>
          </w:p>
        </w:tc>
        <w:tc>
          <w:tcPr>
            <w:tcW w:w="367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13065710830</w:t>
            </w:r>
          </w:p>
        </w:tc>
      </w:tr>
      <w:tr>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w:t>
            </w:r>
          </w:p>
        </w:tc>
        <w:tc>
          <w:tcPr>
            <w:tcW w:w="344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中信银行开发支行</w:t>
            </w:r>
          </w:p>
        </w:tc>
        <w:tc>
          <w:tcPr>
            <w:tcW w:w="161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左劼</w:t>
            </w:r>
          </w:p>
        </w:tc>
        <w:tc>
          <w:tcPr>
            <w:tcW w:w="367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13777889798</w:t>
            </w:r>
          </w:p>
        </w:tc>
      </w:tr>
      <w:tr>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w:t>
            </w:r>
          </w:p>
        </w:tc>
        <w:tc>
          <w:tcPr>
            <w:tcW w:w="344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民生银行下沙支行</w:t>
            </w:r>
          </w:p>
        </w:tc>
        <w:tc>
          <w:tcPr>
            <w:tcW w:w="161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吕刚</w:t>
            </w:r>
          </w:p>
        </w:tc>
        <w:tc>
          <w:tcPr>
            <w:tcW w:w="367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13906811832</w:t>
            </w:r>
          </w:p>
        </w:tc>
      </w:tr>
      <w:tr>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4</w:t>
            </w:r>
          </w:p>
        </w:tc>
        <w:tc>
          <w:tcPr>
            <w:tcW w:w="344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杭州银行钱塘支行</w:t>
            </w:r>
          </w:p>
        </w:tc>
        <w:tc>
          <w:tcPr>
            <w:tcW w:w="161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费莎</w:t>
            </w:r>
          </w:p>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严培蓓</w:t>
            </w:r>
          </w:p>
        </w:tc>
        <w:tc>
          <w:tcPr>
            <w:tcW w:w="367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13388617781</w:t>
            </w:r>
          </w:p>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13858023883</w:t>
            </w:r>
          </w:p>
        </w:tc>
      </w:tr>
      <w:tr>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5</w:t>
            </w:r>
          </w:p>
        </w:tc>
        <w:tc>
          <w:tcPr>
            <w:tcW w:w="344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兴业银行开发区支行</w:t>
            </w:r>
          </w:p>
        </w:tc>
        <w:tc>
          <w:tcPr>
            <w:tcW w:w="161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丁萍</w:t>
            </w:r>
          </w:p>
        </w:tc>
        <w:tc>
          <w:tcPr>
            <w:tcW w:w="367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13777421564</w:t>
            </w:r>
          </w:p>
        </w:tc>
      </w:tr>
      <w:tr>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6</w:t>
            </w:r>
          </w:p>
        </w:tc>
        <w:tc>
          <w:tcPr>
            <w:tcW w:w="344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中国银行钱塘支行</w:t>
            </w:r>
          </w:p>
        </w:tc>
        <w:tc>
          <w:tcPr>
            <w:tcW w:w="161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沈振华</w:t>
            </w:r>
          </w:p>
        </w:tc>
        <w:tc>
          <w:tcPr>
            <w:tcW w:w="367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13957168926</w:t>
            </w:r>
          </w:p>
        </w:tc>
      </w:tr>
      <w:tr>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7</w:t>
            </w:r>
          </w:p>
        </w:tc>
        <w:tc>
          <w:tcPr>
            <w:tcW w:w="344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工商银行开发区支行</w:t>
            </w:r>
          </w:p>
        </w:tc>
        <w:tc>
          <w:tcPr>
            <w:tcW w:w="161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李燕珍</w:t>
            </w:r>
          </w:p>
        </w:tc>
        <w:tc>
          <w:tcPr>
            <w:tcW w:w="367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13735710338</w:t>
            </w:r>
          </w:p>
        </w:tc>
      </w:tr>
      <w:tr>
        <w:tblPrEx>
          <w:tblCellMar>
            <w:top w:w="0" w:type="dxa"/>
            <w:left w:w="108" w:type="dxa"/>
            <w:bottom w:w="0" w:type="dxa"/>
            <w:right w:w="108" w:type="dxa"/>
          </w:tblCellMar>
        </w:tblPrEx>
        <w:trPr>
          <w:trHeight w:val="555" w:hRule="atLeast"/>
        </w:trPr>
        <w:tc>
          <w:tcPr>
            <w:tcW w:w="122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8</w:t>
            </w:r>
          </w:p>
        </w:tc>
        <w:tc>
          <w:tcPr>
            <w:tcW w:w="344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宁波银行开发区支行</w:t>
            </w:r>
          </w:p>
        </w:tc>
        <w:tc>
          <w:tcPr>
            <w:tcW w:w="161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贾磊</w:t>
            </w:r>
          </w:p>
        </w:tc>
        <w:tc>
          <w:tcPr>
            <w:tcW w:w="367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13575745232</w:t>
            </w:r>
          </w:p>
        </w:tc>
      </w:tr>
      <w:tr>
        <w:tblPrEx>
          <w:tblCellMar>
            <w:top w:w="0" w:type="dxa"/>
            <w:left w:w="108" w:type="dxa"/>
            <w:bottom w:w="0" w:type="dxa"/>
            <w:right w:w="108" w:type="dxa"/>
          </w:tblCellMar>
        </w:tblPrEx>
        <w:trPr>
          <w:trHeight w:val="480" w:hRule="atLeast"/>
        </w:trPr>
        <w:tc>
          <w:tcPr>
            <w:tcW w:w="122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9</w:t>
            </w:r>
          </w:p>
        </w:tc>
        <w:tc>
          <w:tcPr>
            <w:tcW w:w="344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杭州联合银行下沙支行</w:t>
            </w:r>
          </w:p>
        </w:tc>
        <w:tc>
          <w:tcPr>
            <w:tcW w:w="161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王宁</w:t>
            </w:r>
          </w:p>
        </w:tc>
        <w:tc>
          <w:tcPr>
            <w:tcW w:w="367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18906520030</w:t>
            </w:r>
          </w:p>
        </w:tc>
      </w:tr>
      <w:tr>
        <w:tblPrEx>
          <w:tblCellMar>
            <w:top w:w="0" w:type="dxa"/>
            <w:left w:w="108" w:type="dxa"/>
            <w:bottom w:w="0" w:type="dxa"/>
            <w:right w:w="108" w:type="dxa"/>
          </w:tblCellMar>
        </w:tblPrEx>
        <w:trPr>
          <w:trHeight w:val="562" w:hRule="atLeast"/>
        </w:trPr>
        <w:tc>
          <w:tcPr>
            <w:tcW w:w="122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10</w:t>
            </w:r>
          </w:p>
        </w:tc>
        <w:tc>
          <w:tcPr>
            <w:tcW w:w="344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农业银行钱塘支行</w:t>
            </w:r>
          </w:p>
        </w:tc>
        <w:tc>
          <w:tcPr>
            <w:tcW w:w="161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王安东</w:t>
            </w:r>
          </w:p>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方若愚</w:t>
            </w:r>
          </w:p>
        </w:tc>
        <w:tc>
          <w:tcPr>
            <w:tcW w:w="367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15158025713</w:t>
            </w:r>
          </w:p>
          <w:p>
            <w:pPr>
              <w:widowControl/>
              <w:jc w:val="center"/>
              <w:rPr>
                <w:rFonts w:hint="eastAsia" w:ascii="宋体" w:hAnsi="宋体" w:eastAsia="宋体" w:cs="宋体"/>
                <w:color w:val="auto"/>
                <w:highlight w:val="none"/>
              </w:rPr>
            </w:pPr>
            <w:r>
              <w:rPr>
                <w:rFonts w:hint="eastAsia" w:ascii="宋体" w:hAnsi="宋体" w:eastAsia="宋体" w:cs="宋体"/>
                <w:color w:val="auto"/>
                <w:kern w:val="0"/>
                <w:sz w:val="24"/>
                <w:highlight w:val="none"/>
              </w:rPr>
              <w:t>15067483470</w:t>
            </w:r>
          </w:p>
        </w:tc>
      </w:tr>
      <w:tr>
        <w:tblPrEx>
          <w:tblCellMar>
            <w:top w:w="0" w:type="dxa"/>
            <w:left w:w="108" w:type="dxa"/>
            <w:bottom w:w="0" w:type="dxa"/>
            <w:right w:w="108" w:type="dxa"/>
          </w:tblCellMar>
        </w:tblPrEx>
        <w:trPr>
          <w:trHeight w:val="510"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11</w:t>
            </w:r>
          </w:p>
        </w:tc>
        <w:tc>
          <w:tcPr>
            <w:tcW w:w="344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浙商银行杭州钱塘支行</w:t>
            </w:r>
          </w:p>
        </w:tc>
        <w:tc>
          <w:tcPr>
            <w:tcW w:w="161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徐伟刚</w:t>
            </w:r>
          </w:p>
        </w:tc>
        <w:tc>
          <w:tcPr>
            <w:tcW w:w="367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82921293，18258888258</w:t>
            </w:r>
          </w:p>
        </w:tc>
      </w:tr>
      <w:tr>
        <w:tblPrEx>
          <w:tblCellMar>
            <w:top w:w="0" w:type="dxa"/>
            <w:left w:w="108" w:type="dxa"/>
            <w:bottom w:w="0" w:type="dxa"/>
            <w:right w:w="108" w:type="dxa"/>
          </w:tblCellMar>
        </w:tblPrEx>
        <w:trPr>
          <w:trHeight w:val="510"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12</w:t>
            </w:r>
          </w:p>
        </w:tc>
        <w:tc>
          <w:tcPr>
            <w:tcW w:w="344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浦发银行</w:t>
            </w:r>
          </w:p>
        </w:tc>
        <w:tc>
          <w:tcPr>
            <w:tcW w:w="161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林云鹏</w:t>
            </w:r>
          </w:p>
        </w:tc>
        <w:tc>
          <w:tcPr>
            <w:tcW w:w="367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18805812679</w:t>
            </w:r>
          </w:p>
        </w:tc>
      </w:tr>
    </w:tbl>
    <w:p>
      <w:pPr>
        <w:spacing w:line="360" w:lineRule="auto"/>
        <w:ind w:left="5060" w:hanging="5060" w:hangingChars="2100"/>
        <w:rPr>
          <w:rFonts w:hint="eastAsia" w:ascii="宋体" w:hAnsi="宋体" w:eastAsia="宋体" w:cs="宋体"/>
          <w:b/>
          <w:bCs/>
          <w:color w:val="auto"/>
          <w:kern w:val="0"/>
          <w:sz w:val="24"/>
          <w:highlight w:val="none"/>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bookmarkEnd w:id="402"/>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403" w:name="OLE_LINK13"/>
      <w:bookmarkStart w:id="404" w:name="OLE_LINK14"/>
      <w:r>
        <w:rPr>
          <w:rFonts w:hint="eastAsia" w:ascii="宋体" w:hAnsi="宋体" w:cs="宋体"/>
          <w:b/>
          <w:color w:val="auto"/>
          <w:spacing w:val="6"/>
          <w:sz w:val="32"/>
          <w:szCs w:val="32"/>
          <w:highlight w:val="none"/>
        </w:rPr>
        <w:t>残疾人福利性单位声明函</w:t>
      </w:r>
    </w:p>
    <w:bookmarkEnd w:id="403"/>
    <w:bookmarkEnd w:id="404"/>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pStyle w:val="82"/>
        <w:rPr>
          <w:color w:val="auto"/>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u w:val="single"/>
          <w:lang w:eastAsia="zh-CN"/>
        </w:rPr>
        <w:t>杭州市钱塘区人民政府义蓬街道办事处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浙江中瑞工程管理有限公司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义蓬街道头蓬社区党群服务中心装修工程</w:t>
      </w:r>
      <w:r>
        <w:rPr>
          <w:rFonts w:hint="eastAsia" w:ascii="宋体" w:hAnsi="宋体" w:cs="宋体"/>
          <w:color w:val="auto"/>
          <w:sz w:val="24"/>
          <w:highlight w:val="none"/>
        </w:rPr>
        <w:t>项目【项目编号：</w:t>
      </w:r>
      <w:r>
        <w:rPr>
          <w:rFonts w:hint="eastAsia" w:ascii="宋体" w:hAnsi="宋体" w:cs="宋体"/>
          <w:color w:val="auto"/>
          <w:sz w:val="24"/>
          <w:highlight w:val="none"/>
          <w:lang w:eastAsia="zh-CN"/>
        </w:rPr>
        <w:t xml:space="preserve"> QTCG-CS-202</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047</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default" w:ascii="宋体" w:hAnsi="宋体" w:cs="宋体"/>
          <w:b/>
          <w:bCs/>
          <w:color w:val="auto"/>
          <w:sz w:val="24"/>
          <w:highlight w:val="none"/>
          <w:lang w:val="en-U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default" w:ascii="宋体" w:hAnsi="宋体" w:cs="宋体"/>
          <w:b/>
          <w:bCs/>
          <w:color w:val="auto"/>
          <w:sz w:val="24"/>
          <w:highlight w:val="none"/>
          <w:lang w:val="en-U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lang w:val="en-US" w:eastAsia="zh-CN"/>
        </w:rPr>
        <w:t>供应商</w:t>
      </w:r>
      <w:r>
        <w:rPr>
          <w:rFonts w:hint="eastAsia" w:ascii="宋体" w:hAnsi="宋体" w:cs="宋体"/>
          <w:color w:val="auto"/>
          <w:sz w:val="24"/>
          <w:highlight w:val="none"/>
        </w:rPr>
        <w:t xml:space="preserve">法定名称章（印模）                </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义蓬街道头蓬社区党群服务中心装修工程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QTCG-CS-202</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047</w:t>
      </w:r>
      <w:r>
        <w:rPr>
          <w:rFonts w:hint="eastAsia" w:ascii="宋体" w:hAnsi="宋体" w:cs="宋体"/>
          <w:color w:val="auto"/>
          <w:sz w:val="24"/>
          <w:highlight w:val="none"/>
        </w:rPr>
        <w:t>】</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lang w:val="en-US" w:eastAsia="zh-CN"/>
        </w:rPr>
        <w:t>响应内容</w:t>
      </w:r>
      <w:r>
        <w:rPr>
          <w:rFonts w:hint="eastAsia" w:ascii="宋体" w:hAnsi="宋体" w:cs="宋体"/>
          <w:color w:val="auto"/>
          <w:kern w:val="0"/>
          <w:sz w:val="24"/>
          <w:highlight w:val="none"/>
          <w:lang w:val="zh-CN"/>
        </w:rPr>
        <w:t>而对采购人、采购机构所作的任何合法承诺，包括书面澄清及相应等均对联合投标各方产生约束力。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中，分工如下：</w:t>
      </w:r>
    </w:p>
    <w:p>
      <w:pPr>
        <w:snapToGrid w:val="0"/>
        <w:spacing w:line="360" w:lineRule="auto"/>
        <w:ind w:firstLine="576"/>
        <w:rPr>
          <w:rFonts w:ascii="宋体" w:hAnsi="宋体" w:cs="宋体"/>
          <w:color w:val="auto"/>
          <w:kern w:val="0"/>
          <w:sz w:val="24"/>
          <w:highlight w:val="none"/>
          <w:lang w:val="zh-CN"/>
        </w:rPr>
      </w:pPr>
      <w:bookmarkStart w:id="405"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05"/>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pageBreakBefore w:val="0"/>
        <w:widowControl/>
        <w:kinsoku/>
        <w:wordWrap/>
        <w:overflowPunct/>
        <w:topLinePunct w:val="0"/>
        <w:autoSpaceDE/>
        <w:autoSpaceDN/>
        <w:bidi w:val="0"/>
        <w:spacing w:line="312" w:lineRule="auto"/>
        <w:ind w:firstLine="120" w:firstLineChars="50"/>
        <w:jc w:val="left"/>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义蓬街道头蓬社区党群服务中心装修工程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047</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ageBreakBefore w:val="0"/>
        <w:tabs>
          <w:tab w:val="left" w:pos="432"/>
        </w:tabs>
        <w:kinsoku/>
        <w:wordWrap/>
        <w:overflowPunct/>
        <w:topLinePunct w:val="0"/>
        <w:autoSpaceDE/>
        <w:autoSpaceDN/>
        <w:bidi w:val="0"/>
        <w:spacing w:line="312" w:lineRule="auto"/>
        <w:ind w:left="664" w:leftChars="316" w:firstLine="228" w:firstLineChars="95"/>
        <w:textAlignment w:val="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pageBreakBefore w:val="0"/>
        <w:kinsoku/>
        <w:wordWrap/>
        <w:overflowPunct/>
        <w:topLinePunct w:val="0"/>
        <w:autoSpaceDE/>
        <w:autoSpaceDN/>
        <w:bidi w:val="0"/>
        <w:snapToGrid w:val="0"/>
        <w:spacing w:line="312" w:lineRule="auto"/>
        <w:ind w:firstLine="576"/>
        <w:textAlignment w:val="auto"/>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pageBreakBefore w:val="0"/>
        <w:kinsoku/>
        <w:wordWrap/>
        <w:overflowPunct/>
        <w:topLinePunct w:val="0"/>
        <w:autoSpaceDE/>
        <w:autoSpaceDN/>
        <w:bidi w:val="0"/>
        <w:spacing w:line="312" w:lineRule="auto"/>
        <w:ind w:firstLine="480" w:firstLineChars="200"/>
        <w:textAlignment w:val="auto"/>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06"/>
    </w:p>
    <w:p>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highlight w:val="none"/>
          <w:u w:val="single"/>
        </w:rPr>
      </w:pPr>
      <w:r>
        <w:rPr>
          <w:rFonts w:hint="eastAsia" w:ascii="宋体" w:hAnsi="宋体" w:cs="宋体"/>
          <w:color w:val="auto"/>
          <w:highlight w:val="none"/>
          <w:u w:val="single"/>
        </w:rPr>
        <w:t xml:space="preserve">                                                                                  </w:t>
      </w:r>
    </w:p>
    <w:p>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pageBreakBefore w:val="0"/>
        <w:kinsoku/>
        <w:wordWrap/>
        <w:overflowPunct/>
        <w:topLinePunct w:val="0"/>
        <w:autoSpaceDE/>
        <w:autoSpaceDN/>
        <w:bidi w:val="0"/>
        <w:snapToGrid w:val="0"/>
        <w:spacing w:line="312" w:lineRule="auto"/>
        <w:ind w:left="573" w:leftChars="273"/>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pageBreakBefore w:val="0"/>
        <w:kinsoku/>
        <w:wordWrap/>
        <w:overflowPunct/>
        <w:topLinePunct w:val="0"/>
        <w:autoSpaceDE/>
        <w:autoSpaceDN/>
        <w:bidi w:val="0"/>
        <w:snapToGrid w:val="0"/>
        <w:spacing w:line="312" w:lineRule="auto"/>
        <w:ind w:left="573" w:leftChars="273"/>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杭州市钱塘区人民政府义蓬街道办事处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义蓬街道头蓬社区党群服务中心装修工程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义蓬街道头蓬社区党群服务中心装修工程</w:t>
      </w:r>
      <w:r>
        <w:rPr>
          <w:rFonts w:hint="eastAsia" w:ascii="宋体" w:hAnsi="宋体" w:cs="宋体"/>
          <w:color w:val="auto"/>
          <w:sz w:val="24"/>
          <w:highlight w:val="none"/>
        </w:rPr>
        <w:t>，属于</w:t>
      </w:r>
      <w:r>
        <w:rPr>
          <w:rFonts w:hint="eastAsia" w:ascii="宋体" w:hAnsi="宋体" w:cs="宋体"/>
          <w:color w:val="auto"/>
          <w:sz w:val="24"/>
          <w:highlight w:val="none"/>
          <w:u w:val="single"/>
          <w:lang w:eastAsia="zh-CN"/>
        </w:rPr>
        <w:t>建筑业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firstLine="480" w:firstLineChars="200"/>
        <w:rPr>
          <w:rFonts w:ascii="宋体" w:hAnsi="宋体" w:cs="宋体"/>
          <w:color w:val="auto"/>
          <w:sz w:val="24"/>
          <w:highlight w:val="none"/>
        </w:rPr>
      </w:pP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rPr>
          <w:rFonts w:ascii="宋体" w:hAnsi="宋体" w:cs="宋体"/>
          <w:bCs/>
          <w:color w:val="auto"/>
          <w:sz w:val="24"/>
          <w:highlight w:val="none"/>
        </w:rPr>
        <w:sectPr>
          <w:pgSz w:w="11906" w:h="16838"/>
          <w:pgMar w:top="1440" w:right="1080" w:bottom="1440" w:left="1080" w:header="851" w:footer="992" w:gutter="0"/>
          <w:cols w:space="720" w:num="1"/>
          <w:titlePg/>
          <w:docGrid w:linePitch="312" w:charSpace="0"/>
        </w:sectPr>
      </w:pP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pPr>
        <w:spacing w:line="360" w:lineRule="auto"/>
        <w:rPr>
          <w:rFonts w:ascii="宋体" w:hAnsi="宋体" w:cs="宋体"/>
          <w:b/>
          <w:color w:val="auto"/>
          <w:spacing w:val="6"/>
          <w:sz w:val="32"/>
          <w:szCs w:val="32"/>
          <w:highlight w:val="none"/>
        </w:rPr>
      </w:pP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pPr>
        <w:pStyle w:val="25"/>
        <w:rPr>
          <w:color w:val="auto"/>
          <w:highlight w:val="none"/>
        </w:rPr>
        <w:sectPr>
          <w:pgSz w:w="11906" w:h="16838"/>
          <w:pgMar w:top="1440" w:right="1080" w:bottom="1440" w:left="1080" w:header="851" w:footer="992" w:gutter="0"/>
          <w:cols w:space="720" w:num="1"/>
          <w:titlePg/>
          <w:docGrid w:linePitch="312" w:charSpace="0"/>
        </w:sectPr>
      </w:pPr>
    </w:p>
    <w:p>
      <w:pPr>
        <w:rPr>
          <w:color w:val="auto"/>
          <w:highlight w:val="none"/>
        </w:rPr>
      </w:pPr>
      <w:r>
        <w:rPr>
          <w:rFonts w:hint="eastAsia" w:ascii="仿宋" w:hAnsi="仿宋" w:eastAsia="仿宋" w:cs="仿宋"/>
          <w:color w:val="auto"/>
          <w:highlight w:val="none"/>
        </w:rPr>
        <w:drawing>
          <wp:inline distT="0" distB="0" distL="114300" distR="114300">
            <wp:extent cx="9091295" cy="5498465"/>
            <wp:effectExtent l="0" t="0" r="1460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stretch>
                      <a:fillRect/>
                    </a:stretch>
                  </pic:blipFill>
                  <pic:spPr>
                    <a:xfrm>
                      <a:off x="0" y="0"/>
                      <a:ext cx="9091295" cy="5498465"/>
                    </a:xfrm>
                    <a:prstGeom prst="rect">
                      <a:avLst/>
                    </a:prstGeom>
                    <a:noFill/>
                    <a:ln>
                      <a:noFill/>
                    </a:ln>
                  </pic:spPr>
                </pic:pic>
              </a:graphicData>
            </a:graphic>
          </wp:inline>
        </w:drawing>
      </w:r>
    </w:p>
    <w:sectPr>
      <w:pgSz w:w="16838" w:h="11906" w:orient="landscape"/>
      <w:pgMar w:top="1080" w:right="1440" w:bottom="1080" w:left="144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modern"/>
    <w:pitch w:val="default"/>
    <w:sig w:usb0="E00006FF" w:usb1="420024FF" w:usb2="02000000" w:usb3="00000000" w:csb0="2000019F" w:csb1="00000000"/>
  </w:font>
  <w:font w:name="微软雅黑">
    <w:panose1 w:val="020B0503020204020204"/>
    <w:charset w:val="86"/>
    <w:family w:val="decorative"/>
    <w:pitch w:val="default"/>
    <w:sig w:usb0="80000287" w:usb1="2ACF3C50" w:usb2="00000016" w:usb3="00000000" w:csb0="0004001F" w:csb1="00000000"/>
  </w:font>
  <w:font w:name="隶书">
    <w:panose1 w:val="02010509060101010101"/>
    <w:charset w:val="86"/>
    <w:family w:val="swiss"/>
    <w:pitch w:val="default"/>
    <w:sig w:usb0="00000001" w:usb1="080E0000" w:usb2="00000000" w:usb3="00000000" w:csb0="00040000" w:csb1="00000000"/>
  </w:font>
  <w:font w:name="楷体_GB2312">
    <w:altName w:val="楷体"/>
    <w:panose1 w:val="00000000000000000000"/>
    <w:charset w:val="86"/>
    <w:family w:val="swiss"/>
    <w:pitch w:val="default"/>
    <w:sig w:usb0="00000000" w:usb1="00000000" w:usb2="00000000" w:usb3="00000000" w:csb0="00040000" w:csb1="00000000"/>
  </w:font>
  <w:font w:name="Futura Bk">
    <w:altName w:val="Segoe Print"/>
    <w:panose1 w:val="00000000000000000000"/>
    <w:charset w:val="00"/>
    <w:family w:val="decorative"/>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decorative"/>
    <w:pitch w:val="default"/>
    <w:sig w:usb0="E1002EFF" w:usb1="C000605B" w:usb2="00000029" w:usb3="00000000" w:csb0="200101FF" w:csb1="20280000"/>
  </w:font>
  <w:font w:name="MS Sans Serif">
    <w:altName w:val="Segoe Print"/>
    <w:panose1 w:val="00000000000000000000"/>
    <w:charset w:val="00"/>
    <w:family w:val="decorative"/>
    <w:pitch w:val="default"/>
    <w:sig w:usb0="00000000" w:usb1="00000000" w:usb2="00000000" w:usb3="00000000" w:csb0="00000001" w:csb1="00000000"/>
  </w:font>
  <w:font w:name="Lucida Sans">
    <w:altName w:val="Lucida Sans Unicode"/>
    <w:panose1 w:val="020B0602030504020204"/>
    <w:charset w:val="00"/>
    <w:family w:val="decorative"/>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decorative"/>
    <w:pitch w:val="default"/>
    <w:sig w:usb0="A00006FF" w:usb1="4000205B" w:usb2="00000010" w:usb3="00000000" w:csb0="2000019F" w:csb1="00000000"/>
  </w:font>
  <w:font w:name="ˎ̥">
    <w:altName w:val="微软雅黑"/>
    <w:panose1 w:val="00000000000000000000"/>
    <w:charset w:val="00"/>
    <w:family w:val="modern"/>
    <w:pitch w:val="default"/>
    <w:sig w:usb0="00000000" w:usb1="00000000" w:usb2="00000000" w:usb3="00000000" w:csb0="00040001" w:csb1="00000000"/>
  </w:font>
  <w:font w:name="幼圆">
    <w:panose1 w:val="02010509060101010101"/>
    <w:charset w:val="86"/>
    <w:family w:val="swiss"/>
    <w:pitch w:val="default"/>
    <w:sig w:usb0="00000001" w:usb1="080E0000" w:usb2="00000000" w:usb3="00000000" w:csb0="00040000" w:csb1="00000000"/>
  </w:font>
  <w:font w:name="Arial Narrow">
    <w:panose1 w:val="020B0606020202030204"/>
    <w:charset w:val="00"/>
    <w:family w:val="decorative"/>
    <w:pitch w:val="default"/>
    <w:sig w:usb0="00000287" w:usb1="00000800" w:usb2="00000000" w:usb3="00000000" w:csb0="2000009F" w:csb1="DFD7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0000000000000000000"/>
    <w:charset w:val="00"/>
    <w:family w:val="decorative"/>
    <w:pitch w:val="default"/>
    <w:sig w:usb0="00000000" w:usb1="00000000" w:usb2="00000000" w:usb3="00000000" w:csb0="00000000"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decorative"/>
    <w:pitch w:val="default"/>
    <w:sig w:usb0="00000000" w:usb1="00000000" w:usb2="00000000" w:usb3="00000000" w:csb0="000001FB" w:csb1="00000000"/>
  </w:font>
  <w:font w:name="Segoe UI">
    <w:panose1 w:val="020B0502040204020203"/>
    <w:charset w:val="00"/>
    <w:family w:val="decorative"/>
    <w:pitch w:val="default"/>
    <w:sig w:usb0="E4002EFF" w:usb1="C000E47F" w:usb2="00000009" w:usb3="00000000" w:csb0="200001FF" w:csb1="00000000"/>
  </w:font>
  <w:font w:name="Latha">
    <w:altName w:val="Segoe Print"/>
    <w:panose1 w:val="020B0604020202020204"/>
    <w:charset w:val="00"/>
    <w:family w:val="decorative"/>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swiss"/>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decorative"/>
    <w:pitch w:val="default"/>
    <w:sig w:usb0="00000287" w:usb1="00000000" w:usb2="00000000" w:usb3="00000000" w:csb0="2000009F" w:csb1="DFD7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宋体"/>
    <w:panose1 w:val="02020603050405020304"/>
    <w:charset w:val="86"/>
    <w:family w:val="swiss"/>
    <w:pitch w:val="default"/>
    <w:sig w:usb0="00000000" w:usb1="00000000" w:usb2="00000000" w:usb3="00000000" w:csb0="00000000" w:csb1="00000000"/>
  </w:font>
  <w:font w:name="MS Gothic">
    <w:panose1 w:val="020B0609070205080204"/>
    <w:charset w:val="80"/>
    <w:family w:val="swiss"/>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407" w:name="_Toc36110187"/>
    <w:bookmarkStart w:id="408" w:name="_Toc131845147"/>
    <w:bookmarkStart w:id="409" w:name="_Toc164085800"/>
    <w:bookmarkStart w:id="410" w:name="_Toc91899912"/>
    <w:r>
      <w:rPr>
        <w:rFonts w:hint="eastAsia" w:ascii="仿宋_GB2312" w:eastAsia="仿宋_GB2312"/>
        <w:kern w:val="0"/>
        <w:szCs w:val="21"/>
      </w:rPr>
      <w:t xml:space="preserve"> 页</w:t>
    </w:r>
    <w:bookmarkEnd w:id="407"/>
    <w:bookmarkEnd w:id="408"/>
    <w:bookmarkEnd w:id="409"/>
    <w:bookmarkEnd w:id="41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1">
    <w:nsid w:val="00000002"/>
    <w:multiLevelType w:val="singleLevel"/>
    <w:tmpl w:val="00000002"/>
    <w:lvl w:ilvl="0" w:tentative="0">
      <w:start w:val="1"/>
      <w:numFmt w:val="decimalEnclosedCircleChinese"/>
      <w:suff w:val="nothing"/>
      <w:lvlText w:val="%1　"/>
      <w:lvlJc w:val="left"/>
      <w:pPr>
        <w:ind w:left="26" w:firstLine="400"/>
      </w:pPr>
      <w:rPr>
        <w:rFonts w:hint="eastAsia" w:ascii="宋体" w:hAnsi="宋体" w:eastAsia="宋体" w:cs="宋体"/>
        <w:lang w:val="en-US"/>
      </w:rPr>
    </w:lvl>
  </w:abstractNum>
  <w:abstractNum w:abstractNumId="2">
    <w:nsid w:val="00000004"/>
    <w:multiLevelType w:val="multilevel"/>
    <w:tmpl w:val="00000004"/>
    <w:lvl w:ilvl="0" w:tentative="0">
      <w:start w:val="1"/>
      <w:numFmt w:val="decimal"/>
      <w:suff w:val="nothing"/>
      <w:lvlText w:val="（%1）"/>
      <w:lvlJc w:val="left"/>
      <w:pPr>
        <w:ind w:left="840" w:hanging="420"/>
      </w:pPr>
      <w:rPr>
        <w:rFonts w:hint="default"/>
        <w:b w:val="0"/>
        <w:bCs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0000006"/>
    <w:multiLevelType w:val="singleLevel"/>
    <w:tmpl w:val="00000006"/>
    <w:lvl w:ilvl="0" w:tentative="0">
      <w:start w:val="1"/>
      <w:numFmt w:val="decimal"/>
      <w:suff w:val="nothing"/>
      <w:lvlText w:val="（%1）"/>
      <w:lvlJc w:val="left"/>
      <w:pPr>
        <w:tabs>
          <w:tab w:val="left" w:pos="0"/>
        </w:tabs>
      </w:pPr>
      <w:rPr>
        <w:rFonts w:hint="default"/>
      </w:rPr>
    </w:lvl>
  </w:abstractNum>
  <w:abstractNum w:abstractNumId="4">
    <w:nsid w:val="00000007"/>
    <w:multiLevelType w:val="singleLevel"/>
    <w:tmpl w:val="00000007"/>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5">
    <w:nsid w:val="0053208E"/>
    <w:multiLevelType w:val="singleLevel"/>
    <w:tmpl w:val="0053208E"/>
    <w:lvl w:ilvl="0" w:tentative="0">
      <w:start w:val="1"/>
      <w:numFmt w:val="decimal"/>
      <w:suff w:val="nothing"/>
      <w:lvlText w:val="（%1）"/>
      <w:lvlJc w:val="left"/>
      <w:pPr>
        <w:tabs>
          <w:tab w:val="left" w:pos="0"/>
        </w:tabs>
      </w:pPr>
      <w:rPr>
        <w:rFonts w:hint="default"/>
      </w:rPr>
    </w:lvl>
  </w:abstractNum>
  <w:abstractNum w:abstractNumId="6">
    <w:nsid w:val="14D79456"/>
    <w:multiLevelType w:val="singleLevel"/>
    <w:tmpl w:val="14D79456"/>
    <w:lvl w:ilvl="0" w:tentative="0">
      <w:start w:val="5"/>
      <w:numFmt w:val="chineseCounting"/>
      <w:suff w:val="nothing"/>
      <w:lvlText w:val="%1、"/>
      <w:lvlJc w:val="left"/>
      <w:rPr>
        <w:rFonts w:hint="eastAsia"/>
      </w:rPr>
    </w:lvl>
  </w:abstractNum>
  <w:abstractNum w:abstractNumId="7">
    <w:nsid w:val="56E424EE"/>
    <w:multiLevelType w:val="singleLevel"/>
    <w:tmpl w:val="56E424EE"/>
    <w:lvl w:ilvl="0" w:tentative="0">
      <w:start w:val="1"/>
      <w:numFmt w:val="decimal"/>
      <w:suff w:val="nothing"/>
      <w:lvlText w:val="（%1）"/>
      <w:lvlJc w:val="left"/>
    </w:lvl>
  </w:abstractNum>
  <w:abstractNum w:abstractNumId="8">
    <w:nsid w:val="7580D385"/>
    <w:multiLevelType w:val="singleLevel"/>
    <w:tmpl w:val="7580D385"/>
    <w:lvl w:ilvl="0" w:tentative="0">
      <w:start w:val="1"/>
      <w:numFmt w:val="decimal"/>
      <w:suff w:val="nothing"/>
      <w:lvlText w:val="%1、"/>
      <w:lvlJc w:val="left"/>
    </w:lvl>
  </w:abstractNum>
  <w:num w:numId="1">
    <w:abstractNumId w:val="7"/>
  </w:num>
  <w:num w:numId="2">
    <w:abstractNumId w:val="8"/>
  </w:num>
  <w:num w:numId="3">
    <w:abstractNumId w:val="5"/>
  </w:num>
  <w:num w:numId="4">
    <w:abstractNumId w:val="4"/>
  </w:num>
  <w:num w:numId="5">
    <w:abstractNumId w:val="0"/>
  </w:num>
  <w:num w:numId="6">
    <w:abstractNumId w:val="3"/>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5M2I3YmU3NTM3ZTI3NmMxNDEzZTM2MmU3OTNiNjIifQ=="/>
    <w:docVar w:name="KSO_WPS_MARK_KEY" w:val="92c410df-794e-49a1-804b-7547f6c0d46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FE0"/>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A14"/>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3C4"/>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0F92"/>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253ED"/>
    <w:rsid w:val="011F6449"/>
    <w:rsid w:val="01236AFB"/>
    <w:rsid w:val="012F41F1"/>
    <w:rsid w:val="01301C55"/>
    <w:rsid w:val="01426AE8"/>
    <w:rsid w:val="018B55A4"/>
    <w:rsid w:val="018F0382"/>
    <w:rsid w:val="019F7441"/>
    <w:rsid w:val="01B37585"/>
    <w:rsid w:val="01D55165"/>
    <w:rsid w:val="01DF6BF8"/>
    <w:rsid w:val="01EC2C57"/>
    <w:rsid w:val="01F61EF2"/>
    <w:rsid w:val="0210580B"/>
    <w:rsid w:val="024975C9"/>
    <w:rsid w:val="02503846"/>
    <w:rsid w:val="025F0711"/>
    <w:rsid w:val="026B2E25"/>
    <w:rsid w:val="02824D4D"/>
    <w:rsid w:val="02A76D3E"/>
    <w:rsid w:val="02DC4B10"/>
    <w:rsid w:val="02DD76CE"/>
    <w:rsid w:val="02F36323"/>
    <w:rsid w:val="02F5619C"/>
    <w:rsid w:val="030806B1"/>
    <w:rsid w:val="0326446A"/>
    <w:rsid w:val="032D5555"/>
    <w:rsid w:val="034443F1"/>
    <w:rsid w:val="036634D2"/>
    <w:rsid w:val="03A04148"/>
    <w:rsid w:val="03BE185C"/>
    <w:rsid w:val="03DD35E4"/>
    <w:rsid w:val="03E67D83"/>
    <w:rsid w:val="04076900"/>
    <w:rsid w:val="041A5A3B"/>
    <w:rsid w:val="042311BA"/>
    <w:rsid w:val="042B157A"/>
    <w:rsid w:val="04333FF8"/>
    <w:rsid w:val="047A7A32"/>
    <w:rsid w:val="048F763B"/>
    <w:rsid w:val="04904D42"/>
    <w:rsid w:val="049F330E"/>
    <w:rsid w:val="04AA775C"/>
    <w:rsid w:val="04AF1889"/>
    <w:rsid w:val="04C64E6C"/>
    <w:rsid w:val="04CB3BFD"/>
    <w:rsid w:val="04F66F48"/>
    <w:rsid w:val="05251E14"/>
    <w:rsid w:val="0526590B"/>
    <w:rsid w:val="055A307B"/>
    <w:rsid w:val="058645FB"/>
    <w:rsid w:val="059565ED"/>
    <w:rsid w:val="059A29F4"/>
    <w:rsid w:val="05A16594"/>
    <w:rsid w:val="05A7762D"/>
    <w:rsid w:val="05CF5717"/>
    <w:rsid w:val="05F51BB7"/>
    <w:rsid w:val="060E5941"/>
    <w:rsid w:val="06110FAF"/>
    <w:rsid w:val="061E21DC"/>
    <w:rsid w:val="06314567"/>
    <w:rsid w:val="06493522"/>
    <w:rsid w:val="06493CA7"/>
    <w:rsid w:val="065A6178"/>
    <w:rsid w:val="066F1CF3"/>
    <w:rsid w:val="066F6E3E"/>
    <w:rsid w:val="0671740D"/>
    <w:rsid w:val="06760E07"/>
    <w:rsid w:val="06930BB8"/>
    <w:rsid w:val="06F31702"/>
    <w:rsid w:val="06F3181D"/>
    <w:rsid w:val="07245D42"/>
    <w:rsid w:val="07264C62"/>
    <w:rsid w:val="07666493"/>
    <w:rsid w:val="07676900"/>
    <w:rsid w:val="076E6C10"/>
    <w:rsid w:val="0779354C"/>
    <w:rsid w:val="07811D40"/>
    <w:rsid w:val="0797664C"/>
    <w:rsid w:val="07CC279A"/>
    <w:rsid w:val="07D17DB0"/>
    <w:rsid w:val="07D97EA1"/>
    <w:rsid w:val="07F83335"/>
    <w:rsid w:val="08061376"/>
    <w:rsid w:val="081E0B1B"/>
    <w:rsid w:val="0825634E"/>
    <w:rsid w:val="082C3238"/>
    <w:rsid w:val="08452D77"/>
    <w:rsid w:val="084762C4"/>
    <w:rsid w:val="085966AD"/>
    <w:rsid w:val="086401F8"/>
    <w:rsid w:val="08751CAA"/>
    <w:rsid w:val="08760957"/>
    <w:rsid w:val="087E4C40"/>
    <w:rsid w:val="08A871D0"/>
    <w:rsid w:val="08D66AD6"/>
    <w:rsid w:val="08DA33A3"/>
    <w:rsid w:val="08E80F13"/>
    <w:rsid w:val="09043664"/>
    <w:rsid w:val="092148A7"/>
    <w:rsid w:val="092403B3"/>
    <w:rsid w:val="09335624"/>
    <w:rsid w:val="093D0A5E"/>
    <w:rsid w:val="0944690F"/>
    <w:rsid w:val="09535675"/>
    <w:rsid w:val="095F057D"/>
    <w:rsid w:val="09642282"/>
    <w:rsid w:val="09733572"/>
    <w:rsid w:val="09767D1F"/>
    <w:rsid w:val="09772C16"/>
    <w:rsid w:val="098353B5"/>
    <w:rsid w:val="09A92330"/>
    <w:rsid w:val="09B06B87"/>
    <w:rsid w:val="09C13146"/>
    <w:rsid w:val="09D05E45"/>
    <w:rsid w:val="09E04166"/>
    <w:rsid w:val="09FB497B"/>
    <w:rsid w:val="0A1C0718"/>
    <w:rsid w:val="0A3E7710"/>
    <w:rsid w:val="0A454A85"/>
    <w:rsid w:val="0A550002"/>
    <w:rsid w:val="0A5B7E63"/>
    <w:rsid w:val="0A617F01"/>
    <w:rsid w:val="0A6C6ACB"/>
    <w:rsid w:val="0A6D4AE7"/>
    <w:rsid w:val="0A703465"/>
    <w:rsid w:val="0A742C74"/>
    <w:rsid w:val="0A927580"/>
    <w:rsid w:val="0AA374A5"/>
    <w:rsid w:val="0AAB7649"/>
    <w:rsid w:val="0ABC5606"/>
    <w:rsid w:val="0AD100C7"/>
    <w:rsid w:val="0AD7498C"/>
    <w:rsid w:val="0ADE1079"/>
    <w:rsid w:val="0B30404E"/>
    <w:rsid w:val="0B4C6C14"/>
    <w:rsid w:val="0B547599"/>
    <w:rsid w:val="0B631A88"/>
    <w:rsid w:val="0B683D45"/>
    <w:rsid w:val="0B7A075E"/>
    <w:rsid w:val="0B7F3F11"/>
    <w:rsid w:val="0B884417"/>
    <w:rsid w:val="0B8F5464"/>
    <w:rsid w:val="0BAA5E29"/>
    <w:rsid w:val="0BD51E39"/>
    <w:rsid w:val="0BD53BE7"/>
    <w:rsid w:val="0BF6188C"/>
    <w:rsid w:val="0BF73C91"/>
    <w:rsid w:val="0C170175"/>
    <w:rsid w:val="0C5505BD"/>
    <w:rsid w:val="0C571A41"/>
    <w:rsid w:val="0C5C1171"/>
    <w:rsid w:val="0C5E1CBC"/>
    <w:rsid w:val="0C615B50"/>
    <w:rsid w:val="0C8445DA"/>
    <w:rsid w:val="0C87121B"/>
    <w:rsid w:val="0C894D83"/>
    <w:rsid w:val="0C966D79"/>
    <w:rsid w:val="0CC007F7"/>
    <w:rsid w:val="0CC617AC"/>
    <w:rsid w:val="0CE618DF"/>
    <w:rsid w:val="0CF63E15"/>
    <w:rsid w:val="0CFE707A"/>
    <w:rsid w:val="0D063BDA"/>
    <w:rsid w:val="0D08375F"/>
    <w:rsid w:val="0D184CFB"/>
    <w:rsid w:val="0D2B473A"/>
    <w:rsid w:val="0D477310"/>
    <w:rsid w:val="0D4A7419"/>
    <w:rsid w:val="0D6C5618"/>
    <w:rsid w:val="0D821571"/>
    <w:rsid w:val="0D827401"/>
    <w:rsid w:val="0D84094E"/>
    <w:rsid w:val="0D892CAF"/>
    <w:rsid w:val="0D8A00E9"/>
    <w:rsid w:val="0D8B6C53"/>
    <w:rsid w:val="0D8D589E"/>
    <w:rsid w:val="0D9642F0"/>
    <w:rsid w:val="0DA01C73"/>
    <w:rsid w:val="0DD63300"/>
    <w:rsid w:val="0DF50604"/>
    <w:rsid w:val="0DF702FE"/>
    <w:rsid w:val="0DF84EDC"/>
    <w:rsid w:val="0E060E51"/>
    <w:rsid w:val="0E243D07"/>
    <w:rsid w:val="0E5604B2"/>
    <w:rsid w:val="0E6D5D79"/>
    <w:rsid w:val="0E925DBF"/>
    <w:rsid w:val="0E9D0089"/>
    <w:rsid w:val="0EA3277B"/>
    <w:rsid w:val="0EB22DDA"/>
    <w:rsid w:val="0EB803EE"/>
    <w:rsid w:val="0EF94D4B"/>
    <w:rsid w:val="0EFE6317"/>
    <w:rsid w:val="0F072309"/>
    <w:rsid w:val="0F137227"/>
    <w:rsid w:val="0F4958DC"/>
    <w:rsid w:val="0F4C27CC"/>
    <w:rsid w:val="0F515DF7"/>
    <w:rsid w:val="0F596BA8"/>
    <w:rsid w:val="0F6248D2"/>
    <w:rsid w:val="0F693536"/>
    <w:rsid w:val="0F7B0511"/>
    <w:rsid w:val="0F7B76D9"/>
    <w:rsid w:val="0F7E4C87"/>
    <w:rsid w:val="0F816ACD"/>
    <w:rsid w:val="0F92120F"/>
    <w:rsid w:val="0F9832DB"/>
    <w:rsid w:val="0FBF3FD2"/>
    <w:rsid w:val="0FBF7FF3"/>
    <w:rsid w:val="0FF26B15"/>
    <w:rsid w:val="0FF46D31"/>
    <w:rsid w:val="10176DD9"/>
    <w:rsid w:val="1034443E"/>
    <w:rsid w:val="1053014D"/>
    <w:rsid w:val="10646583"/>
    <w:rsid w:val="10707EFD"/>
    <w:rsid w:val="107D4B15"/>
    <w:rsid w:val="108A3C80"/>
    <w:rsid w:val="10C26171"/>
    <w:rsid w:val="10CD30DE"/>
    <w:rsid w:val="10D34984"/>
    <w:rsid w:val="10D6121D"/>
    <w:rsid w:val="10E82390"/>
    <w:rsid w:val="10E943BC"/>
    <w:rsid w:val="10F33360"/>
    <w:rsid w:val="10FC16EA"/>
    <w:rsid w:val="110F1D40"/>
    <w:rsid w:val="111D38D7"/>
    <w:rsid w:val="11266F33"/>
    <w:rsid w:val="11292A0B"/>
    <w:rsid w:val="11430EC2"/>
    <w:rsid w:val="11553800"/>
    <w:rsid w:val="118963A1"/>
    <w:rsid w:val="11AE585A"/>
    <w:rsid w:val="11BE0EFC"/>
    <w:rsid w:val="11C6522A"/>
    <w:rsid w:val="11E104CC"/>
    <w:rsid w:val="11E20309"/>
    <w:rsid w:val="12255233"/>
    <w:rsid w:val="12271454"/>
    <w:rsid w:val="12530213"/>
    <w:rsid w:val="127723A9"/>
    <w:rsid w:val="127E5EA2"/>
    <w:rsid w:val="12862074"/>
    <w:rsid w:val="12883966"/>
    <w:rsid w:val="129E45B4"/>
    <w:rsid w:val="12D81596"/>
    <w:rsid w:val="13072A44"/>
    <w:rsid w:val="13542B43"/>
    <w:rsid w:val="135F4BE2"/>
    <w:rsid w:val="13806C8C"/>
    <w:rsid w:val="139B1A0A"/>
    <w:rsid w:val="139D25C7"/>
    <w:rsid w:val="13B54A2A"/>
    <w:rsid w:val="13BF3CE4"/>
    <w:rsid w:val="13F37300"/>
    <w:rsid w:val="13F445A5"/>
    <w:rsid w:val="14072DAB"/>
    <w:rsid w:val="141008D8"/>
    <w:rsid w:val="14125FE6"/>
    <w:rsid w:val="146D271E"/>
    <w:rsid w:val="14982588"/>
    <w:rsid w:val="149A5AD9"/>
    <w:rsid w:val="149E54BE"/>
    <w:rsid w:val="14A7619D"/>
    <w:rsid w:val="14B4083D"/>
    <w:rsid w:val="14EC10AF"/>
    <w:rsid w:val="150536C3"/>
    <w:rsid w:val="150C1963"/>
    <w:rsid w:val="151447A0"/>
    <w:rsid w:val="152B4878"/>
    <w:rsid w:val="15342D09"/>
    <w:rsid w:val="1546224D"/>
    <w:rsid w:val="154A6454"/>
    <w:rsid w:val="155471F6"/>
    <w:rsid w:val="15762120"/>
    <w:rsid w:val="158C1DA8"/>
    <w:rsid w:val="15A947E5"/>
    <w:rsid w:val="15B35447"/>
    <w:rsid w:val="15DB3250"/>
    <w:rsid w:val="16353C00"/>
    <w:rsid w:val="168D3A3C"/>
    <w:rsid w:val="16A8729C"/>
    <w:rsid w:val="16B33777"/>
    <w:rsid w:val="16BC70A7"/>
    <w:rsid w:val="16C6339E"/>
    <w:rsid w:val="16CB5E37"/>
    <w:rsid w:val="16D301F3"/>
    <w:rsid w:val="16EB25B6"/>
    <w:rsid w:val="17011D34"/>
    <w:rsid w:val="171A2386"/>
    <w:rsid w:val="172F2D79"/>
    <w:rsid w:val="17380012"/>
    <w:rsid w:val="17557BEF"/>
    <w:rsid w:val="177D585E"/>
    <w:rsid w:val="1782031A"/>
    <w:rsid w:val="17D349C1"/>
    <w:rsid w:val="180A2E6A"/>
    <w:rsid w:val="1830729E"/>
    <w:rsid w:val="185A70B9"/>
    <w:rsid w:val="1870062C"/>
    <w:rsid w:val="187A7D80"/>
    <w:rsid w:val="18817102"/>
    <w:rsid w:val="18830A15"/>
    <w:rsid w:val="18852B28"/>
    <w:rsid w:val="188B5321"/>
    <w:rsid w:val="18CA565E"/>
    <w:rsid w:val="18CE3E98"/>
    <w:rsid w:val="18E65685"/>
    <w:rsid w:val="18F55FDC"/>
    <w:rsid w:val="1986007D"/>
    <w:rsid w:val="19932372"/>
    <w:rsid w:val="199930AE"/>
    <w:rsid w:val="19A20DD5"/>
    <w:rsid w:val="19AE03F1"/>
    <w:rsid w:val="19D76D7C"/>
    <w:rsid w:val="1A071A03"/>
    <w:rsid w:val="1A1F16AE"/>
    <w:rsid w:val="1A3B5C77"/>
    <w:rsid w:val="1A6F5CF5"/>
    <w:rsid w:val="1A712403"/>
    <w:rsid w:val="1A984BAD"/>
    <w:rsid w:val="1AB8220E"/>
    <w:rsid w:val="1AC35E60"/>
    <w:rsid w:val="1AE4166C"/>
    <w:rsid w:val="1AF06CFB"/>
    <w:rsid w:val="1AF11B8D"/>
    <w:rsid w:val="1B002FFA"/>
    <w:rsid w:val="1B11359C"/>
    <w:rsid w:val="1B1D4C62"/>
    <w:rsid w:val="1B272E92"/>
    <w:rsid w:val="1B2A271F"/>
    <w:rsid w:val="1B3C6D99"/>
    <w:rsid w:val="1B3F1E98"/>
    <w:rsid w:val="1B4C0363"/>
    <w:rsid w:val="1B4F4E1D"/>
    <w:rsid w:val="1B530544"/>
    <w:rsid w:val="1B6E16CC"/>
    <w:rsid w:val="1B713184"/>
    <w:rsid w:val="1BA209CF"/>
    <w:rsid w:val="1BB4777D"/>
    <w:rsid w:val="1BD75AB8"/>
    <w:rsid w:val="1BDC2BFF"/>
    <w:rsid w:val="1BFB1448"/>
    <w:rsid w:val="1C0459C2"/>
    <w:rsid w:val="1C1B3B4A"/>
    <w:rsid w:val="1C5C42B0"/>
    <w:rsid w:val="1C7725CD"/>
    <w:rsid w:val="1C88086E"/>
    <w:rsid w:val="1C9B1AA4"/>
    <w:rsid w:val="1D266CE1"/>
    <w:rsid w:val="1D275FCD"/>
    <w:rsid w:val="1D342403"/>
    <w:rsid w:val="1D3963AF"/>
    <w:rsid w:val="1D3D0FE5"/>
    <w:rsid w:val="1D5105C1"/>
    <w:rsid w:val="1D54148D"/>
    <w:rsid w:val="1D570A82"/>
    <w:rsid w:val="1D6A673C"/>
    <w:rsid w:val="1D7B69ED"/>
    <w:rsid w:val="1D905BC0"/>
    <w:rsid w:val="1D9247AE"/>
    <w:rsid w:val="1DB567EC"/>
    <w:rsid w:val="1DC146E5"/>
    <w:rsid w:val="1DF4775D"/>
    <w:rsid w:val="1DF51A98"/>
    <w:rsid w:val="1E0839A8"/>
    <w:rsid w:val="1E322B1A"/>
    <w:rsid w:val="1E3D060F"/>
    <w:rsid w:val="1E3F7D2E"/>
    <w:rsid w:val="1E4134E4"/>
    <w:rsid w:val="1E4F64CB"/>
    <w:rsid w:val="1E5062B3"/>
    <w:rsid w:val="1E523514"/>
    <w:rsid w:val="1E714A66"/>
    <w:rsid w:val="1E722324"/>
    <w:rsid w:val="1E802593"/>
    <w:rsid w:val="1E8A6AB3"/>
    <w:rsid w:val="1E8B6156"/>
    <w:rsid w:val="1EA27958"/>
    <w:rsid w:val="1EA703CC"/>
    <w:rsid w:val="1EB7330C"/>
    <w:rsid w:val="1F071EB1"/>
    <w:rsid w:val="1F0A0FF3"/>
    <w:rsid w:val="1F3B41CE"/>
    <w:rsid w:val="1F3D3B25"/>
    <w:rsid w:val="1F470500"/>
    <w:rsid w:val="1F5771FF"/>
    <w:rsid w:val="1F69785E"/>
    <w:rsid w:val="1F904124"/>
    <w:rsid w:val="1FD41CBC"/>
    <w:rsid w:val="1FE868A9"/>
    <w:rsid w:val="20034907"/>
    <w:rsid w:val="20106F09"/>
    <w:rsid w:val="20121CB2"/>
    <w:rsid w:val="20173E4B"/>
    <w:rsid w:val="202076CF"/>
    <w:rsid w:val="204A7214"/>
    <w:rsid w:val="204C276E"/>
    <w:rsid w:val="204E48BC"/>
    <w:rsid w:val="208921B3"/>
    <w:rsid w:val="20973DEB"/>
    <w:rsid w:val="20B26522"/>
    <w:rsid w:val="20B44310"/>
    <w:rsid w:val="211116EB"/>
    <w:rsid w:val="216133FC"/>
    <w:rsid w:val="21985EFA"/>
    <w:rsid w:val="21AE1E97"/>
    <w:rsid w:val="21CC6C28"/>
    <w:rsid w:val="21CE282C"/>
    <w:rsid w:val="21D56769"/>
    <w:rsid w:val="21DF0E1D"/>
    <w:rsid w:val="21E52EF3"/>
    <w:rsid w:val="21FB5D7B"/>
    <w:rsid w:val="22015E94"/>
    <w:rsid w:val="220A4192"/>
    <w:rsid w:val="220B1C3D"/>
    <w:rsid w:val="220C15E8"/>
    <w:rsid w:val="221A365E"/>
    <w:rsid w:val="221D1D20"/>
    <w:rsid w:val="22334A87"/>
    <w:rsid w:val="22456F79"/>
    <w:rsid w:val="227171AF"/>
    <w:rsid w:val="227B6E3E"/>
    <w:rsid w:val="2295531E"/>
    <w:rsid w:val="22BE6801"/>
    <w:rsid w:val="22D327D6"/>
    <w:rsid w:val="22F32E79"/>
    <w:rsid w:val="233500BF"/>
    <w:rsid w:val="233712A1"/>
    <w:rsid w:val="23377FF7"/>
    <w:rsid w:val="234848A5"/>
    <w:rsid w:val="236B425F"/>
    <w:rsid w:val="23836192"/>
    <w:rsid w:val="23901F29"/>
    <w:rsid w:val="239C0061"/>
    <w:rsid w:val="23B908A4"/>
    <w:rsid w:val="23BF4A65"/>
    <w:rsid w:val="23DE179B"/>
    <w:rsid w:val="23E95BEF"/>
    <w:rsid w:val="23FD0064"/>
    <w:rsid w:val="24532A74"/>
    <w:rsid w:val="245375B0"/>
    <w:rsid w:val="24642C0A"/>
    <w:rsid w:val="24760426"/>
    <w:rsid w:val="24A51F50"/>
    <w:rsid w:val="24B22173"/>
    <w:rsid w:val="24B95AD9"/>
    <w:rsid w:val="24BE24DA"/>
    <w:rsid w:val="24C94AE6"/>
    <w:rsid w:val="24CF5825"/>
    <w:rsid w:val="24D663E6"/>
    <w:rsid w:val="24D77F2B"/>
    <w:rsid w:val="24D804D4"/>
    <w:rsid w:val="25042435"/>
    <w:rsid w:val="258B00E2"/>
    <w:rsid w:val="258C4EA7"/>
    <w:rsid w:val="25A917A6"/>
    <w:rsid w:val="25AD693C"/>
    <w:rsid w:val="25BE27CC"/>
    <w:rsid w:val="25C87603"/>
    <w:rsid w:val="25F74A5C"/>
    <w:rsid w:val="260D36F0"/>
    <w:rsid w:val="2628662C"/>
    <w:rsid w:val="262D45DE"/>
    <w:rsid w:val="2643443F"/>
    <w:rsid w:val="26524268"/>
    <w:rsid w:val="267776DE"/>
    <w:rsid w:val="26871DC8"/>
    <w:rsid w:val="26A53EF9"/>
    <w:rsid w:val="26A94201"/>
    <w:rsid w:val="26AC274F"/>
    <w:rsid w:val="26D14BAB"/>
    <w:rsid w:val="26DB7EA6"/>
    <w:rsid w:val="26E42C82"/>
    <w:rsid w:val="27044A29"/>
    <w:rsid w:val="271D34C8"/>
    <w:rsid w:val="273D46C2"/>
    <w:rsid w:val="276142BF"/>
    <w:rsid w:val="276736FF"/>
    <w:rsid w:val="27675BE3"/>
    <w:rsid w:val="276E51C4"/>
    <w:rsid w:val="27783712"/>
    <w:rsid w:val="27907362"/>
    <w:rsid w:val="27BA5D13"/>
    <w:rsid w:val="281A3657"/>
    <w:rsid w:val="28333E1D"/>
    <w:rsid w:val="28454BD6"/>
    <w:rsid w:val="28455253"/>
    <w:rsid w:val="28551971"/>
    <w:rsid w:val="285B1C53"/>
    <w:rsid w:val="286F78A7"/>
    <w:rsid w:val="289F7086"/>
    <w:rsid w:val="28AF7842"/>
    <w:rsid w:val="28C32028"/>
    <w:rsid w:val="28CA2242"/>
    <w:rsid w:val="28CC490F"/>
    <w:rsid w:val="28DE40AA"/>
    <w:rsid w:val="28EC7A64"/>
    <w:rsid w:val="28EF668C"/>
    <w:rsid w:val="29211DC2"/>
    <w:rsid w:val="29345E77"/>
    <w:rsid w:val="294C65AD"/>
    <w:rsid w:val="29620769"/>
    <w:rsid w:val="296E2B85"/>
    <w:rsid w:val="29791BFE"/>
    <w:rsid w:val="29806583"/>
    <w:rsid w:val="298B3C4C"/>
    <w:rsid w:val="29B24C09"/>
    <w:rsid w:val="29C54E43"/>
    <w:rsid w:val="29E347C4"/>
    <w:rsid w:val="29F26D24"/>
    <w:rsid w:val="29F97C59"/>
    <w:rsid w:val="2A15033F"/>
    <w:rsid w:val="2A1662C1"/>
    <w:rsid w:val="2A1C7367"/>
    <w:rsid w:val="2A2815FA"/>
    <w:rsid w:val="2A28268F"/>
    <w:rsid w:val="2A310451"/>
    <w:rsid w:val="2A35353C"/>
    <w:rsid w:val="2A4144C9"/>
    <w:rsid w:val="2A6D6092"/>
    <w:rsid w:val="2A7D76B4"/>
    <w:rsid w:val="2A7E571E"/>
    <w:rsid w:val="2A9A4101"/>
    <w:rsid w:val="2AE50C92"/>
    <w:rsid w:val="2AE52B6B"/>
    <w:rsid w:val="2AFC349E"/>
    <w:rsid w:val="2B2A7653"/>
    <w:rsid w:val="2B437463"/>
    <w:rsid w:val="2B7807EE"/>
    <w:rsid w:val="2B910285"/>
    <w:rsid w:val="2B9D103D"/>
    <w:rsid w:val="2BA50BF7"/>
    <w:rsid w:val="2BBF00EC"/>
    <w:rsid w:val="2BC37CFD"/>
    <w:rsid w:val="2BCD6736"/>
    <w:rsid w:val="2BD5237F"/>
    <w:rsid w:val="2BDD24F6"/>
    <w:rsid w:val="2BE46963"/>
    <w:rsid w:val="2BE536CE"/>
    <w:rsid w:val="2BE758D9"/>
    <w:rsid w:val="2BE77953"/>
    <w:rsid w:val="2C09049E"/>
    <w:rsid w:val="2C0A653C"/>
    <w:rsid w:val="2C191F85"/>
    <w:rsid w:val="2C5129BE"/>
    <w:rsid w:val="2C57136D"/>
    <w:rsid w:val="2C7B2FE8"/>
    <w:rsid w:val="2C8358CD"/>
    <w:rsid w:val="2CE82D6F"/>
    <w:rsid w:val="2D034FA6"/>
    <w:rsid w:val="2D0B7C88"/>
    <w:rsid w:val="2D1556A6"/>
    <w:rsid w:val="2D1E0AF2"/>
    <w:rsid w:val="2D343236"/>
    <w:rsid w:val="2D683A0A"/>
    <w:rsid w:val="2D850B71"/>
    <w:rsid w:val="2D9054C8"/>
    <w:rsid w:val="2DC5658B"/>
    <w:rsid w:val="2DD15014"/>
    <w:rsid w:val="2DEB6954"/>
    <w:rsid w:val="2DED0E87"/>
    <w:rsid w:val="2DF72DE4"/>
    <w:rsid w:val="2E0220AF"/>
    <w:rsid w:val="2E024D18"/>
    <w:rsid w:val="2E220883"/>
    <w:rsid w:val="2E2C5491"/>
    <w:rsid w:val="2E382745"/>
    <w:rsid w:val="2E45579B"/>
    <w:rsid w:val="2E496F7F"/>
    <w:rsid w:val="2E4B082A"/>
    <w:rsid w:val="2E5D4E86"/>
    <w:rsid w:val="2E5D790B"/>
    <w:rsid w:val="2E926CEC"/>
    <w:rsid w:val="2E9A3C18"/>
    <w:rsid w:val="2E9C43C4"/>
    <w:rsid w:val="2EB77450"/>
    <w:rsid w:val="2EBB0FEE"/>
    <w:rsid w:val="2EC63002"/>
    <w:rsid w:val="2F0A6B38"/>
    <w:rsid w:val="2F777619"/>
    <w:rsid w:val="2F843483"/>
    <w:rsid w:val="2F8F5CD7"/>
    <w:rsid w:val="2F946CCB"/>
    <w:rsid w:val="2FCF11CB"/>
    <w:rsid w:val="2FD25781"/>
    <w:rsid w:val="2FDA5341"/>
    <w:rsid w:val="2FDC745C"/>
    <w:rsid w:val="2FE22DAD"/>
    <w:rsid w:val="2FFD7934"/>
    <w:rsid w:val="30323F26"/>
    <w:rsid w:val="30474D99"/>
    <w:rsid w:val="306453B6"/>
    <w:rsid w:val="30733ACD"/>
    <w:rsid w:val="308C3862"/>
    <w:rsid w:val="309379D8"/>
    <w:rsid w:val="309C0037"/>
    <w:rsid w:val="30A270F7"/>
    <w:rsid w:val="30AD3B19"/>
    <w:rsid w:val="30DF1478"/>
    <w:rsid w:val="30E266E3"/>
    <w:rsid w:val="30EC586F"/>
    <w:rsid w:val="31043373"/>
    <w:rsid w:val="3117675C"/>
    <w:rsid w:val="314D5E4A"/>
    <w:rsid w:val="315F792B"/>
    <w:rsid w:val="319C6071"/>
    <w:rsid w:val="31AC537E"/>
    <w:rsid w:val="31E3679B"/>
    <w:rsid w:val="31E732FD"/>
    <w:rsid w:val="32462F60"/>
    <w:rsid w:val="32517576"/>
    <w:rsid w:val="328B4E7C"/>
    <w:rsid w:val="32A2229A"/>
    <w:rsid w:val="32BE5C2C"/>
    <w:rsid w:val="32D63C1D"/>
    <w:rsid w:val="32E75BAD"/>
    <w:rsid w:val="32FB6478"/>
    <w:rsid w:val="33092F71"/>
    <w:rsid w:val="332410BB"/>
    <w:rsid w:val="33254336"/>
    <w:rsid w:val="33263B3F"/>
    <w:rsid w:val="33286205"/>
    <w:rsid w:val="336963EB"/>
    <w:rsid w:val="33816EEB"/>
    <w:rsid w:val="33A855B9"/>
    <w:rsid w:val="33B65F28"/>
    <w:rsid w:val="33C87A09"/>
    <w:rsid w:val="33D072F4"/>
    <w:rsid w:val="33EB55CD"/>
    <w:rsid w:val="33EC4C02"/>
    <w:rsid w:val="33F37E8B"/>
    <w:rsid w:val="340D2360"/>
    <w:rsid w:val="3410665D"/>
    <w:rsid w:val="34211214"/>
    <w:rsid w:val="342E63AB"/>
    <w:rsid w:val="345E7FB1"/>
    <w:rsid w:val="345F4318"/>
    <w:rsid w:val="34943763"/>
    <w:rsid w:val="34950E68"/>
    <w:rsid w:val="34986E94"/>
    <w:rsid w:val="34AF62C9"/>
    <w:rsid w:val="34B73B25"/>
    <w:rsid w:val="34CB4388"/>
    <w:rsid w:val="34EC3BCC"/>
    <w:rsid w:val="34FA6E12"/>
    <w:rsid w:val="350466DA"/>
    <w:rsid w:val="351053DE"/>
    <w:rsid w:val="352670DE"/>
    <w:rsid w:val="354D7158"/>
    <w:rsid w:val="35531BEF"/>
    <w:rsid w:val="358D5588"/>
    <w:rsid w:val="35911E96"/>
    <w:rsid w:val="35A0047C"/>
    <w:rsid w:val="35EE5A12"/>
    <w:rsid w:val="363A3B40"/>
    <w:rsid w:val="365302AE"/>
    <w:rsid w:val="36607A0A"/>
    <w:rsid w:val="366E227C"/>
    <w:rsid w:val="366F2E0D"/>
    <w:rsid w:val="367B6A5C"/>
    <w:rsid w:val="36A74ADA"/>
    <w:rsid w:val="36AD60D5"/>
    <w:rsid w:val="36B224F9"/>
    <w:rsid w:val="36D05F99"/>
    <w:rsid w:val="36EC0CC9"/>
    <w:rsid w:val="36FA2CD3"/>
    <w:rsid w:val="37046FAB"/>
    <w:rsid w:val="373D2A5F"/>
    <w:rsid w:val="373F410B"/>
    <w:rsid w:val="37C91FA2"/>
    <w:rsid w:val="37DA5F5D"/>
    <w:rsid w:val="37EE7094"/>
    <w:rsid w:val="38296C89"/>
    <w:rsid w:val="383002EB"/>
    <w:rsid w:val="38586797"/>
    <w:rsid w:val="38965DC0"/>
    <w:rsid w:val="38BC0149"/>
    <w:rsid w:val="38BE13DB"/>
    <w:rsid w:val="38D87D1C"/>
    <w:rsid w:val="3914549F"/>
    <w:rsid w:val="39636459"/>
    <w:rsid w:val="396B7F6C"/>
    <w:rsid w:val="39736E9C"/>
    <w:rsid w:val="397F0B6A"/>
    <w:rsid w:val="398203AB"/>
    <w:rsid w:val="399A77E0"/>
    <w:rsid w:val="39B417A9"/>
    <w:rsid w:val="39C46EC5"/>
    <w:rsid w:val="39CC2AF9"/>
    <w:rsid w:val="39FC5695"/>
    <w:rsid w:val="3A006D8E"/>
    <w:rsid w:val="3A204F94"/>
    <w:rsid w:val="3A292B5E"/>
    <w:rsid w:val="3A3651E5"/>
    <w:rsid w:val="3A744481"/>
    <w:rsid w:val="3A8C7BEF"/>
    <w:rsid w:val="3A906246"/>
    <w:rsid w:val="3A946897"/>
    <w:rsid w:val="3AA30888"/>
    <w:rsid w:val="3ABE0DDE"/>
    <w:rsid w:val="3AD33C5B"/>
    <w:rsid w:val="3B225C51"/>
    <w:rsid w:val="3B2349B7"/>
    <w:rsid w:val="3B263F55"/>
    <w:rsid w:val="3B3B66F9"/>
    <w:rsid w:val="3B616CFF"/>
    <w:rsid w:val="3B6259F6"/>
    <w:rsid w:val="3B6C15C2"/>
    <w:rsid w:val="3B976654"/>
    <w:rsid w:val="3BC01EFC"/>
    <w:rsid w:val="3BC0486E"/>
    <w:rsid w:val="3BCA786A"/>
    <w:rsid w:val="3BD31E2F"/>
    <w:rsid w:val="3BD621EB"/>
    <w:rsid w:val="3BF15831"/>
    <w:rsid w:val="3C105946"/>
    <w:rsid w:val="3C1934F8"/>
    <w:rsid w:val="3C1C4D96"/>
    <w:rsid w:val="3C3417FB"/>
    <w:rsid w:val="3C471448"/>
    <w:rsid w:val="3C5F759A"/>
    <w:rsid w:val="3C6C525A"/>
    <w:rsid w:val="3C824F12"/>
    <w:rsid w:val="3C933F12"/>
    <w:rsid w:val="3C942B7F"/>
    <w:rsid w:val="3CB90837"/>
    <w:rsid w:val="3CC01BC6"/>
    <w:rsid w:val="3CCE23CB"/>
    <w:rsid w:val="3CCF4271"/>
    <w:rsid w:val="3CD17D17"/>
    <w:rsid w:val="3D003C82"/>
    <w:rsid w:val="3D08531B"/>
    <w:rsid w:val="3D130038"/>
    <w:rsid w:val="3D3C7F39"/>
    <w:rsid w:val="3D436353"/>
    <w:rsid w:val="3D440F09"/>
    <w:rsid w:val="3D4504A0"/>
    <w:rsid w:val="3D4E0799"/>
    <w:rsid w:val="3D713683"/>
    <w:rsid w:val="3D8734BB"/>
    <w:rsid w:val="3D9A11D4"/>
    <w:rsid w:val="3D9B6799"/>
    <w:rsid w:val="3DA16D89"/>
    <w:rsid w:val="3DA364BE"/>
    <w:rsid w:val="3DB75A1D"/>
    <w:rsid w:val="3DE041CB"/>
    <w:rsid w:val="3DF34F93"/>
    <w:rsid w:val="3E0D48F6"/>
    <w:rsid w:val="3E1868B4"/>
    <w:rsid w:val="3E377251"/>
    <w:rsid w:val="3E42664B"/>
    <w:rsid w:val="3E5A7334"/>
    <w:rsid w:val="3E7570D2"/>
    <w:rsid w:val="3E7B105E"/>
    <w:rsid w:val="3E7B5D6B"/>
    <w:rsid w:val="3E8375FD"/>
    <w:rsid w:val="3E843E66"/>
    <w:rsid w:val="3E8F51FE"/>
    <w:rsid w:val="3E926F87"/>
    <w:rsid w:val="3E9A59DE"/>
    <w:rsid w:val="3EAF4836"/>
    <w:rsid w:val="3EC33DFA"/>
    <w:rsid w:val="3F060E16"/>
    <w:rsid w:val="3F1D1096"/>
    <w:rsid w:val="3F2F0234"/>
    <w:rsid w:val="3F5B40F4"/>
    <w:rsid w:val="3F6363FE"/>
    <w:rsid w:val="3F756B8F"/>
    <w:rsid w:val="3F7D0E0C"/>
    <w:rsid w:val="3F7D11F8"/>
    <w:rsid w:val="3F95482B"/>
    <w:rsid w:val="3FFA644F"/>
    <w:rsid w:val="4019356B"/>
    <w:rsid w:val="40592157"/>
    <w:rsid w:val="406423BE"/>
    <w:rsid w:val="4065070C"/>
    <w:rsid w:val="406E1CAE"/>
    <w:rsid w:val="408E004E"/>
    <w:rsid w:val="409C131D"/>
    <w:rsid w:val="40A0133A"/>
    <w:rsid w:val="40A47108"/>
    <w:rsid w:val="40C31A53"/>
    <w:rsid w:val="40DA7863"/>
    <w:rsid w:val="40EF21F3"/>
    <w:rsid w:val="40FE44B6"/>
    <w:rsid w:val="40FF545D"/>
    <w:rsid w:val="410067C8"/>
    <w:rsid w:val="4116094A"/>
    <w:rsid w:val="416176D3"/>
    <w:rsid w:val="418036D2"/>
    <w:rsid w:val="418F0D2A"/>
    <w:rsid w:val="41B36150"/>
    <w:rsid w:val="41D01505"/>
    <w:rsid w:val="41E81277"/>
    <w:rsid w:val="41F733F4"/>
    <w:rsid w:val="42357F60"/>
    <w:rsid w:val="42474939"/>
    <w:rsid w:val="424C3C57"/>
    <w:rsid w:val="42613FF3"/>
    <w:rsid w:val="42660D96"/>
    <w:rsid w:val="428667D2"/>
    <w:rsid w:val="42921365"/>
    <w:rsid w:val="42923776"/>
    <w:rsid w:val="42CD1CE0"/>
    <w:rsid w:val="42CD5957"/>
    <w:rsid w:val="42D27F5D"/>
    <w:rsid w:val="42E1381E"/>
    <w:rsid w:val="42ED6459"/>
    <w:rsid w:val="42FE58DD"/>
    <w:rsid w:val="43174B3D"/>
    <w:rsid w:val="434B790E"/>
    <w:rsid w:val="43525542"/>
    <w:rsid w:val="4360274F"/>
    <w:rsid w:val="43760F19"/>
    <w:rsid w:val="43864FE1"/>
    <w:rsid w:val="439148A0"/>
    <w:rsid w:val="43977AB6"/>
    <w:rsid w:val="43A3342B"/>
    <w:rsid w:val="43BE6733"/>
    <w:rsid w:val="43C77C27"/>
    <w:rsid w:val="43DE09EE"/>
    <w:rsid w:val="43F004D8"/>
    <w:rsid w:val="44002FAD"/>
    <w:rsid w:val="441C37AA"/>
    <w:rsid w:val="443D1D4E"/>
    <w:rsid w:val="449101DD"/>
    <w:rsid w:val="4499769B"/>
    <w:rsid w:val="44AC3A83"/>
    <w:rsid w:val="44DC1567"/>
    <w:rsid w:val="44DE1391"/>
    <w:rsid w:val="44DE22C0"/>
    <w:rsid w:val="44E4429C"/>
    <w:rsid w:val="451B225C"/>
    <w:rsid w:val="452410C9"/>
    <w:rsid w:val="45317DFB"/>
    <w:rsid w:val="453749EF"/>
    <w:rsid w:val="45533A0C"/>
    <w:rsid w:val="45606E50"/>
    <w:rsid w:val="4562592A"/>
    <w:rsid w:val="456D3CE4"/>
    <w:rsid w:val="4579042C"/>
    <w:rsid w:val="457F0571"/>
    <w:rsid w:val="45851176"/>
    <w:rsid w:val="45912351"/>
    <w:rsid w:val="45C55BC2"/>
    <w:rsid w:val="45C63B94"/>
    <w:rsid w:val="460E7DA5"/>
    <w:rsid w:val="46422483"/>
    <w:rsid w:val="4659254A"/>
    <w:rsid w:val="465B0637"/>
    <w:rsid w:val="465E3F0D"/>
    <w:rsid w:val="466A16E6"/>
    <w:rsid w:val="466E09AE"/>
    <w:rsid w:val="46731A57"/>
    <w:rsid w:val="46893F2B"/>
    <w:rsid w:val="46C444E6"/>
    <w:rsid w:val="46C4686E"/>
    <w:rsid w:val="46DA3F91"/>
    <w:rsid w:val="471D6915"/>
    <w:rsid w:val="475B6938"/>
    <w:rsid w:val="477B778F"/>
    <w:rsid w:val="478203EC"/>
    <w:rsid w:val="47B025FA"/>
    <w:rsid w:val="47CA1B4A"/>
    <w:rsid w:val="4809698F"/>
    <w:rsid w:val="4811697D"/>
    <w:rsid w:val="48516FB5"/>
    <w:rsid w:val="487A3E25"/>
    <w:rsid w:val="488B5503"/>
    <w:rsid w:val="48937E21"/>
    <w:rsid w:val="489A0361"/>
    <w:rsid w:val="489B5817"/>
    <w:rsid w:val="48B94FF3"/>
    <w:rsid w:val="48E37AAB"/>
    <w:rsid w:val="48EE3617"/>
    <w:rsid w:val="48FB1816"/>
    <w:rsid w:val="48FC21D7"/>
    <w:rsid w:val="48FD4B4C"/>
    <w:rsid w:val="4901555D"/>
    <w:rsid w:val="490A68E0"/>
    <w:rsid w:val="491055FE"/>
    <w:rsid w:val="491237A9"/>
    <w:rsid w:val="495F5B3E"/>
    <w:rsid w:val="496F77D7"/>
    <w:rsid w:val="49724248"/>
    <w:rsid w:val="497654FD"/>
    <w:rsid w:val="497D0896"/>
    <w:rsid w:val="49B64211"/>
    <w:rsid w:val="49D41AAC"/>
    <w:rsid w:val="49F6167F"/>
    <w:rsid w:val="4A064FA0"/>
    <w:rsid w:val="4A16615C"/>
    <w:rsid w:val="4A3E412A"/>
    <w:rsid w:val="4A4424D7"/>
    <w:rsid w:val="4A4534F8"/>
    <w:rsid w:val="4A626435"/>
    <w:rsid w:val="4A942560"/>
    <w:rsid w:val="4AB82D0F"/>
    <w:rsid w:val="4AEB7664"/>
    <w:rsid w:val="4AF47CE8"/>
    <w:rsid w:val="4AFD7C19"/>
    <w:rsid w:val="4B01452B"/>
    <w:rsid w:val="4B0567D1"/>
    <w:rsid w:val="4B236AAE"/>
    <w:rsid w:val="4B2F799D"/>
    <w:rsid w:val="4B4B72D8"/>
    <w:rsid w:val="4B5001E7"/>
    <w:rsid w:val="4B5A6554"/>
    <w:rsid w:val="4B707271"/>
    <w:rsid w:val="4B721FAC"/>
    <w:rsid w:val="4B7763FA"/>
    <w:rsid w:val="4B9739F7"/>
    <w:rsid w:val="4BEE2503"/>
    <w:rsid w:val="4BF727EA"/>
    <w:rsid w:val="4BFE1DC3"/>
    <w:rsid w:val="4C2125A3"/>
    <w:rsid w:val="4C245A30"/>
    <w:rsid w:val="4C387642"/>
    <w:rsid w:val="4C985EAF"/>
    <w:rsid w:val="4CA9658D"/>
    <w:rsid w:val="4CB6685F"/>
    <w:rsid w:val="4CC367FE"/>
    <w:rsid w:val="4CD805F1"/>
    <w:rsid w:val="4D077F3C"/>
    <w:rsid w:val="4D123355"/>
    <w:rsid w:val="4D2A3B31"/>
    <w:rsid w:val="4D2C26AC"/>
    <w:rsid w:val="4D2D5941"/>
    <w:rsid w:val="4D312C52"/>
    <w:rsid w:val="4D4E28D6"/>
    <w:rsid w:val="4D5812E8"/>
    <w:rsid w:val="4D8214B5"/>
    <w:rsid w:val="4D862070"/>
    <w:rsid w:val="4D905305"/>
    <w:rsid w:val="4D964A72"/>
    <w:rsid w:val="4D9C1254"/>
    <w:rsid w:val="4D9E5B15"/>
    <w:rsid w:val="4DC915A1"/>
    <w:rsid w:val="4DC91F90"/>
    <w:rsid w:val="4E127DA7"/>
    <w:rsid w:val="4E602AF5"/>
    <w:rsid w:val="4E793892"/>
    <w:rsid w:val="4E800872"/>
    <w:rsid w:val="4E870795"/>
    <w:rsid w:val="4E8746E7"/>
    <w:rsid w:val="4EAD497E"/>
    <w:rsid w:val="4EC569ED"/>
    <w:rsid w:val="4ED50EA1"/>
    <w:rsid w:val="4EEC050C"/>
    <w:rsid w:val="4F005E52"/>
    <w:rsid w:val="4F104EC3"/>
    <w:rsid w:val="4F1662AD"/>
    <w:rsid w:val="4F47354A"/>
    <w:rsid w:val="4F911C54"/>
    <w:rsid w:val="4F933B78"/>
    <w:rsid w:val="4FE625E0"/>
    <w:rsid w:val="5021480F"/>
    <w:rsid w:val="505C301C"/>
    <w:rsid w:val="50646C06"/>
    <w:rsid w:val="5073375E"/>
    <w:rsid w:val="50883755"/>
    <w:rsid w:val="50962ECB"/>
    <w:rsid w:val="50A42E38"/>
    <w:rsid w:val="50A4577F"/>
    <w:rsid w:val="50AC11E4"/>
    <w:rsid w:val="50B73D1F"/>
    <w:rsid w:val="50BD5BC9"/>
    <w:rsid w:val="50C11EEE"/>
    <w:rsid w:val="50E97CFC"/>
    <w:rsid w:val="50FA4028"/>
    <w:rsid w:val="510D65B7"/>
    <w:rsid w:val="511157AB"/>
    <w:rsid w:val="51165E00"/>
    <w:rsid w:val="51297903"/>
    <w:rsid w:val="512C5624"/>
    <w:rsid w:val="5142540C"/>
    <w:rsid w:val="514E605D"/>
    <w:rsid w:val="516369D5"/>
    <w:rsid w:val="51677464"/>
    <w:rsid w:val="517D5C03"/>
    <w:rsid w:val="5185160D"/>
    <w:rsid w:val="51863957"/>
    <w:rsid w:val="518832C8"/>
    <w:rsid w:val="51915487"/>
    <w:rsid w:val="519D3C50"/>
    <w:rsid w:val="51A0432A"/>
    <w:rsid w:val="51A40D74"/>
    <w:rsid w:val="51A833F7"/>
    <w:rsid w:val="51A86090"/>
    <w:rsid w:val="51B7396D"/>
    <w:rsid w:val="51B82A14"/>
    <w:rsid w:val="51BD627C"/>
    <w:rsid w:val="51DB5D4D"/>
    <w:rsid w:val="51FE3848"/>
    <w:rsid w:val="5212481A"/>
    <w:rsid w:val="522E4CC3"/>
    <w:rsid w:val="5244713B"/>
    <w:rsid w:val="525C20F3"/>
    <w:rsid w:val="52615633"/>
    <w:rsid w:val="5267535B"/>
    <w:rsid w:val="526F4DE4"/>
    <w:rsid w:val="527821A3"/>
    <w:rsid w:val="52790F03"/>
    <w:rsid w:val="52977FD4"/>
    <w:rsid w:val="52A25790"/>
    <w:rsid w:val="52A96B6F"/>
    <w:rsid w:val="52B45975"/>
    <w:rsid w:val="52B4767F"/>
    <w:rsid w:val="52B7716F"/>
    <w:rsid w:val="52D94AA4"/>
    <w:rsid w:val="52EA3A62"/>
    <w:rsid w:val="52F50BB8"/>
    <w:rsid w:val="53097272"/>
    <w:rsid w:val="531E6161"/>
    <w:rsid w:val="533E2B0B"/>
    <w:rsid w:val="534C1537"/>
    <w:rsid w:val="53544462"/>
    <w:rsid w:val="5385101B"/>
    <w:rsid w:val="53933A15"/>
    <w:rsid w:val="5397158E"/>
    <w:rsid w:val="53AB5AC3"/>
    <w:rsid w:val="53B12890"/>
    <w:rsid w:val="54013861"/>
    <w:rsid w:val="540A4CC2"/>
    <w:rsid w:val="54161C73"/>
    <w:rsid w:val="543C5B7E"/>
    <w:rsid w:val="54487265"/>
    <w:rsid w:val="544D6070"/>
    <w:rsid w:val="54605E1E"/>
    <w:rsid w:val="54B3506A"/>
    <w:rsid w:val="54BD4105"/>
    <w:rsid w:val="54CA0D16"/>
    <w:rsid w:val="54DA0EF3"/>
    <w:rsid w:val="54DD4057"/>
    <w:rsid w:val="54E7490F"/>
    <w:rsid w:val="55065838"/>
    <w:rsid w:val="550764A4"/>
    <w:rsid w:val="550B2BF6"/>
    <w:rsid w:val="550C37A2"/>
    <w:rsid w:val="551F76C9"/>
    <w:rsid w:val="55214EB5"/>
    <w:rsid w:val="552A4A91"/>
    <w:rsid w:val="55364EFD"/>
    <w:rsid w:val="55544A33"/>
    <w:rsid w:val="55582E57"/>
    <w:rsid w:val="555D4828"/>
    <w:rsid w:val="556B350B"/>
    <w:rsid w:val="557A4C8B"/>
    <w:rsid w:val="55886615"/>
    <w:rsid w:val="558931E1"/>
    <w:rsid w:val="55923347"/>
    <w:rsid w:val="55925180"/>
    <w:rsid w:val="55983B1B"/>
    <w:rsid w:val="55A734CB"/>
    <w:rsid w:val="55A8376B"/>
    <w:rsid w:val="55C0052D"/>
    <w:rsid w:val="55CD4B49"/>
    <w:rsid w:val="55DC29B6"/>
    <w:rsid w:val="55DD4241"/>
    <w:rsid w:val="5608544B"/>
    <w:rsid w:val="560D05BE"/>
    <w:rsid w:val="564451BE"/>
    <w:rsid w:val="56556BF5"/>
    <w:rsid w:val="566B6D1E"/>
    <w:rsid w:val="56900687"/>
    <w:rsid w:val="56D81F6E"/>
    <w:rsid w:val="57032A2C"/>
    <w:rsid w:val="570F5219"/>
    <w:rsid w:val="572E78E5"/>
    <w:rsid w:val="572F51E9"/>
    <w:rsid w:val="57565535"/>
    <w:rsid w:val="575A6B72"/>
    <w:rsid w:val="575D12B5"/>
    <w:rsid w:val="57610A87"/>
    <w:rsid w:val="577214FD"/>
    <w:rsid w:val="57742CBE"/>
    <w:rsid w:val="577B1140"/>
    <w:rsid w:val="577B7F21"/>
    <w:rsid w:val="577F181B"/>
    <w:rsid w:val="57921984"/>
    <w:rsid w:val="579737F0"/>
    <w:rsid w:val="579E26AC"/>
    <w:rsid w:val="57AB7B30"/>
    <w:rsid w:val="57AF5251"/>
    <w:rsid w:val="57B26373"/>
    <w:rsid w:val="57B63F04"/>
    <w:rsid w:val="57CD20C2"/>
    <w:rsid w:val="57CF6D09"/>
    <w:rsid w:val="57D675AB"/>
    <w:rsid w:val="57D95FDD"/>
    <w:rsid w:val="57DB56AE"/>
    <w:rsid w:val="57F8095F"/>
    <w:rsid w:val="5835390E"/>
    <w:rsid w:val="585C1DFE"/>
    <w:rsid w:val="58917D2F"/>
    <w:rsid w:val="5894085C"/>
    <w:rsid w:val="58AE4F0C"/>
    <w:rsid w:val="58B2640F"/>
    <w:rsid w:val="58B85899"/>
    <w:rsid w:val="58E363A9"/>
    <w:rsid w:val="58E6255C"/>
    <w:rsid w:val="59010851"/>
    <w:rsid w:val="595E1678"/>
    <w:rsid w:val="596D5BD4"/>
    <w:rsid w:val="597D4C6F"/>
    <w:rsid w:val="597E3DD8"/>
    <w:rsid w:val="599C23EA"/>
    <w:rsid w:val="59AA5338"/>
    <w:rsid w:val="59B84D79"/>
    <w:rsid w:val="59E545C2"/>
    <w:rsid w:val="59F80043"/>
    <w:rsid w:val="5A09252F"/>
    <w:rsid w:val="5A0B2778"/>
    <w:rsid w:val="5A2A7C7B"/>
    <w:rsid w:val="5A3E2560"/>
    <w:rsid w:val="5A5D3B6E"/>
    <w:rsid w:val="5A637A76"/>
    <w:rsid w:val="5A6D33BA"/>
    <w:rsid w:val="5A792B1F"/>
    <w:rsid w:val="5A874767"/>
    <w:rsid w:val="5AA53ED3"/>
    <w:rsid w:val="5AA85BE2"/>
    <w:rsid w:val="5AAD6F28"/>
    <w:rsid w:val="5AB20948"/>
    <w:rsid w:val="5ABD7AE8"/>
    <w:rsid w:val="5ABE2749"/>
    <w:rsid w:val="5AD63A24"/>
    <w:rsid w:val="5AE51A4D"/>
    <w:rsid w:val="5AEE022E"/>
    <w:rsid w:val="5B0637C0"/>
    <w:rsid w:val="5B2E1A1D"/>
    <w:rsid w:val="5B463948"/>
    <w:rsid w:val="5B50627E"/>
    <w:rsid w:val="5B5A4B3C"/>
    <w:rsid w:val="5B843A1C"/>
    <w:rsid w:val="5B873E3F"/>
    <w:rsid w:val="5B882544"/>
    <w:rsid w:val="5BB14242"/>
    <w:rsid w:val="5BED59B0"/>
    <w:rsid w:val="5C02690E"/>
    <w:rsid w:val="5C196DA7"/>
    <w:rsid w:val="5C2A048C"/>
    <w:rsid w:val="5C4D2220"/>
    <w:rsid w:val="5C5D3D2F"/>
    <w:rsid w:val="5C80234E"/>
    <w:rsid w:val="5C8A680C"/>
    <w:rsid w:val="5C9E132E"/>
    <w:rsid w:val="5CC46711"/>
    <w:rsid w:val="5D0A3484"/>
    <w:rsid w:val="5D0C4701"/>
    <w:rsid w:val="5D0F0395"/>
    <w:rsid w:val="5D221076"/>
    <w:rsid w:val="5D397964"/>
    <w:rsid w:val="5D5A391C"/>
    <w:rsid w:val="5D5E5A9E"/>
    <w:rsid w:val="5D5F10C0"/>
    <w:rsid w:val="5D790E2F"/>
    <w:rsid w:val="5D891B7B"/>
    <w:rsid w:val="5DAD38EE"/>
    <w:rsid w:val="5DFE7762"/>
    <w:rsid w:val="5E006862"/>
    <w:rsid w:val="5E0207B9"/>
    <w:rsid w:val="5E1834A1"/>
    <w:rsid w:val="5E1A28CC"/>
    <w:rsid w:val="5E261785"/>
    <w:rsid w:val="5E3E2A04"/>
    <w:rsid w:val="5E4A7017"/>
    <w:rsid w:val="5E552BBA"/>
    <w:rsid w:val="5E5D506F"/>
    <w:rsid w:val="5E611C10"/>
    <w:rsid w:val="5E7A0F3F"/>
    <w:rsid w:val="5EAA7669"/>
    <w:rsid w:val="5EFC7377"/>
    <w:rsid w:val="5F010FD3"/>
    <w:rsid w:val="5F06174D"/>
    <w:rsid w:val="5F223BC2"/>
    <w:rsid w:val="5F3A3602"/>
    <w:rsid w:val="5F453A54"/>
    <w:rsid w:val="5F45733B"/>
    <w:rsid w:val="5F4B4EC7"/>
    <w:rsid w:val="5F6277C6"/>
    <w:rsid w:val="5F635BF1"/>
    <w:rsid w:val="5F697D26"/>
    <w:rsid w:val="5F6D0B1D"/>
    <w:rsid w:val="5F8D0B82"/>
    <w:rsid w:val="5FA47678"/>
    <w:rsid w:val="5FCC5339"/>
    <w:rsid w:val="5FDB506F"/>
    <w:rsid w:val="5FE34A5B"/>
    <w:rsid w:val="5FFE1E36"/>
    <w:rsid w:val="60232584"/>
    <w:rsid w:val="603B0CDD"/>
    <w:rsid w:val="605F7CA3"/>
    <w:rsid w:val="60633324"/>
    <w:rsid w:val="6065645C"/>
    <w:rsid w:val="6068521B"/>
    <w:rsid w:val="607330CE"/>
    <w:rsid w:val="60825176"/>
    <w:rsid w:val="609D1752"/>
    <w:rsid w:val="609F2AC4"/>
    <w:rsid w:val="60D20A0C"/>
    <w:rsid w:val="60D85ADF"/>
    <w:rsid w:val="60E509C5"/>
    <w:rsid w:val="60FA2EE8"/>
    <w:rsid w:val="61054A27"/>
    <w:rsid w:val="610A52BC"/>
    <w:rsid w:val="610D059B"/>
    <w:rsid w:val="611D2366"/>
    <w:rsid w:val="61223D68"/>
    <w:rsid w:val="6125059E"/>
    <w:rsid w:val="61421856"/>
    <w:rsid w:val="615227C4"/>
    <w:rsid w:val="61654E3F"/>
    <w:rsid w:val="6182292A"/>
    <w:rsid w:val="619D5782"/>
    <w:rsid w:val="619F7F92"/>
    <w:rsid w:val="61BD067B"/>
    <w:rsid w:val="61CB5846"/>
    <w:rsid w:val="61D218D0"/>
    <w:rsid w:val="61D246F2"/>
    <w:rsid w:val="61D37271"/>
    <w:rsid w:val="61ED3E04"/>
    <w:rsid w:val="61F94C26"/>
    <w:rsid w:val="62000E56"/>
    <w:rsid w:val="62002009"/>
    <w:rsid w:val="621243C2"/>
    <w:rsid w:val="622C3B9E"/>
    <w:rsid w:val="624F1172"/>
    <w:rsid w:val="624F3E49"/>
    <w:rsid w:val="62632286"/>
    <w:rsid w:val="626D1570"/>
    <w:rsid w:val="62885958"/>
    <w:rsid w:val="62B31701"/>
    <w:rsid w:val="62E06D1C"/>
    <w:rsid w:val="62F40B65"/>
    <w:rsid w:val="62FC2CFE"/>
    <w:rsid w:val="62FD1D28"/>
    <w:rsid w:val="63024505"/>
    <w:rsid w:val="630C0804"/>
    <w:rsid w:val="6318774C"/>
    <w:rsid w:val="63283217"/>
    <w:rsid w:val="635600A5"/>
    <w:rsid w:val="635B1DB5"/>
    <w:rsid w:val="63711FED"/>
    <w:rsid w:val="63880DDC"/>
    <w:rsid w:val="638D750D"/>
    <w:rsid w:val="63AC6CC0"/>
    <w:rsid w:val="63AD2842"/>
    <w:rsid w:val="63FC06B4"/>
    <w:rsid w:val="64055776"/>
    <w:rsid w:val="6410335F"/>
    <w:rsid w:val="641F5B67"/>
    <w:rsid w:val="64240056"/>
    <w:rsid w:val="643E143A"/>
    <w:rsid w:val="64491666"/>
    <w:rsid w:val="64852BFC"/>
    <w:rsid w:val="648B6EEF"/>
    <w:rsid w:val="64C158BF"/>
    <w:rsid w:val="64CE2EAA"/>
    <w:rsid w:val="64E81443"/>
    <w:rsid w:val="653C3090"/>
    <w:rsid w:val="65854376"/>
    <w:rsid w:val="658767BE"/>
    <w:rsid w:val="65892531"/>
    <w:rsid w:val="65D525D1"/>
    <w:rsid w:val="65E10333"/>
    <w:rsid w:val="66077CC5"/>
    <w:rsid w:val="66187ACD"/>
    <w:rsid w:val="66195831"/>
    <w:rsid w:val="662E75B1"/>
    <w:rsid w:val="66342C2E"/>
    <w:rsid w:val="663E784C"/>
    <w:rsid w:val="664A2A65"/>
    <w:rsid w:val="66636F9A"/>
    <w:rsid w:val="668B6A45"/>
    <w:rsid w:val="66AA4EE5"/>
    <w:rsid w:val="66AB21C3"/>
    <w:rsid w:val="66C57C55"/>
    <w:rsid w:val="66DB1226"/>
    <w:rsid w:val="66E14363"/>
    <w:rsid w:val="66F978FF"/>
    <w:rsid w:val="67112C4A"/>
    <w:rsid w:val="672F3F24"/>
    <w:rsid w:val="673E055F"/>
    <w:rsid w:val="674443CC"/>
    <w:rsid w:val="67551CE3"/>
    <w:rsid w:val="67605B9E"/>
    <w:rsid w:val="67843DCC"/>
    <w:rsid w:val="67A22552"/>
    <w:rsid w:val="67B22DCC"/>
    <w:rsid w:val="67BE71AA"/>
    <w:rsid w:val="67CF7323"/>
    <w:rsid w:val="67D90273"/>
    <w:rsid w:val="67DE5875"/>
    <w:rsid w:val="67E55852"/>
    <w:rsid w:val="67EB1AB4"/>
    <w:rsid w:val="67F00D02"/>
    <w:rsid w:val="67F9782B"/>
    <w:rsid w:val="67FA1285"/>
    <w:rsid w:val="683D34AF"/>
    <w:rsid w:val="68476448"/>
    <w:rsid w:val="68551F4F"/>
    <w:rsid w:val="685C4125"/>
    <w:rsid w:val="687C10C9"/>
    <w:rsid w:val="68840C16"/>
    <w:rsid w:val="68876EFB"/>
    <w:rsid w:val="68884654"/>
    <w:rsid w:val="688D598D"/>
    <w:rsid w:val="689F444F"/>
    <w:rsid w:val="68A624A0"/>
    <w:rsid w:val="68B96DBB"/>
    <w:rsid w:val="68CA2805"/>
    <w:rsid w:val="68E937A3"/>
    <w:rsid w:val="68F17EB2"/>
    <w:rsid w:val="68FB149A"/>
    <w:rsid w:val="6912439F"/>
    <w:rsid w:val="69295F35"/>
    <w:rsid w:val="693C63AF"/>
    <w:rsid w:val="693E15D3"/>
    <w:rsid w:val="69427553"/>
    <w:rsid w:val="69496B26"/>
    <w:rsid w:val="69627681"/>
    <w:rsid w:val="697510D0"/>
    <w:rsid w:val="6977531D"/>
    <w:rsid w:val="69AA611C"/>
    <w:rsid w:val="69CC2BFF"/>
    <w:rsid w:val="69FD55B8"/>
    <w:rsid w:val="6A0B1C62"/>
    <w:rsid w:val="6A1C386D"/>
    <w:rsid w:val="6A2406C8"/>
    <w:rsid w:val="6A4946F9"/>
    <w:rsid w:val="6A7D43A3"/>
    <w:rsid w:val="6A7E25F5"/>
    <w:rsid w:val="6A86139C"/>
    <w:rsid w:val="6A9516EC"/>
    <w:rsid w:val="6A9A1ADF"/>
    <w:rsid w:val="6ABC7372"/>
    <w:rsid w:val="6ADE0BD1"/>
    <w:rsid w:val="6AE81378"/>
    <w:rsid w:val="6AE96859"/>
    <w:rsid w:val="6AF8536B"/>
    <w:rsid w:val="6B147746"/>
    <w:rsid w:val="6B24787C"/>
    <w:rsid w:val="6B546B21"/>
    <w:rsid w:val="6B573233"/>
    <w:rsid w:val="6B5B6274"/>
    <w:rsid w:val="6B935D53"/>
    <w:rsid w:val="6BB0686D"/>
    <w:rsid w:val="6BBD0EFB"/>
    <w:rsid w:val="6BEF4116"/>
    <w:rsid w:val="6C196F71"/>
    <w:rsid w:val="6C226FCB"/>
    <w:rsid w:val="6C31226F"/>
    <w:rsid w:val="6C517EC7"/>
    <w:rsid w:val="6C552F0B"/>
    <w:rsid w:val="6C8C67B7"/>
    <w:rsid w:val="6C9D744C"/>
    <w:rsid w:val="6CEC67F2"/>
    <w:rsid w:val="6D167928"/>
    <w:rsid w:val="6D26299B"/>
    <w:rsid w:val="6D4772EC"/>
    <w:rsid w:val="6D87733D"/>
    <w:rsid w:val="6D9078AF"/>
    <w:rsid w:val="6DAA3FEF"/>
    <w:rsid w:val="6DC0172B"/>
    <w:rsid w:val="6DCB690C"/>
    <w:rsid w:val="6DD41A5B"/>
    <w:rsid w:val="6DE56617"/>
    <w:rsid w:val="6DED00D0"/>
    <w:rsid w:val="6DF43C2E"/>
    <w:rsid w:val="6DF51CA3"/>
    <w:rsid w:val="6DFF3A4C"/>
    <w:rsid w:val="6E0830F2"/>
    <w:rsid w:val="6E107E3E"/>
    <w:rsid w:val="6E331948"/>
    <w:rsid w:val="6E3631E6"/>
    <w:rsid w:val="6E644ED1"/>
    <w:rsid w:val="6E645FA5"/>
    <w:rsid w:val="6E8335BD"/>
    <w:rsid w:val="6E895767"/>
    <w:rsid w:val="6E8E12EF"/>
    <w:rsid w:val="6E972936"/>
    <w:rsid w:val="6E9A79E9"/>
    <w:rsid w:val="6EBA5112"/>
    <w:rsid w:val="6EC277E4"/>
    <w:rsid w:val="6ED446C5"/>
    <w:rsid w:val="6F265009"/>
    <w:rsid w:val="6F2A7D94"/>
    <w:rsid w:val="6F493A81"/>
    <w:rsid w:val="6F615F3F"/>
    <w:rsid w:val="6F8331F1"/>
    <w:rsid w:val="6FA86604"/>
    <w:rsid w:val="6FAE1A09"/>
    <w:rsid w:val="6FD75BF8"/>
    <w:rsid w:val="7014337E"/>
    <w:rsid w:val="701E76F2"/>
    <w:rsid w:val="70230F84"/>
    <w:rsid w:val="703717DF"/>
    <w:rsid w:val="70425E72"/>
    <w:rsid w:val="706510B7"/>
    <w:rsid w:val="707723D0"/>
    <w:rsid w:val="70B334A8"/>
    <w:rsid w:val="70BC118D"/>
    <w:rsid w:val="70F5661B"/>
    <w:rsid w:val="70F97B3E"/>
    <w:rsid w:val="710226DE"/>
    <w:rsid w:val="712463B0"/>
    <w:rsid w:val="71360107"/>
    <w:rsid w:val="713B688E"/>
    <w:rsid w:val="7148279F"/>
    <w:rsid w:val="71A375BB"/>
    <w:rsid w:val="71CE0425"/>
    <w:rsid w:val="71D43752"/>
    <w:rsid w:val="71E7506F"/>
    <w:rsid w:val="71F1796A"/>
    <w:rsid w:val="71FB63D5"/>
    <w:rsid w:val="72133F6A"/>
    <w:rsid w:val="72150831"/>
    <w:rsid w:val="72154626"/>
    <w:rsid w:val="721C7F6D"/>
    <w:rsid w:val="72262B5D"/>
    <w:rsid w:val="72283FF7"/>
    <w:rsid w:val="722E7212"/>
    <w:rsid w:val="723A0474"/>
    <w:rsid w:val="724A6E80"/>
    <w:rsid w:val="725923E4"/>
    <w:rsid w:val="72864BF7"/>
    <w:rsid w:val="729023FC"/>
    <w:rsid w:val="72A03324"/>
    <w:rsid w:val="72A56499"/>
    <w:rsid w:val="72DC4B43"/>
    <w:rsid w:val="7315161C"/>
    <w:rsid w:val="73411922"/>
    <w:rsid w:val="739369E5"/>
    <w:rsid w:val="73A429A0"/>
    <w:rsid w:val="73A77042"/>
    <w:rsid w:val="73C0646E"/>
    <w:rsid w:val="73C453B0"/>
    <w:rsid w:val="742222F5"/>
    <w:rsid w:val="74420908"/>
    <w:rsid w:val="74476126"/>
    <w:rsid w:val="745E12B7"/>
    <w:rsid w:val="74706664"/>
    <w:rsid w:val="747F3682"/>
    <w:rsid w:val="749C4185"/>
    <w:rsid w:val="74CE0A2B"/>
    <w:rsid w:val="75067759"/>
    <w:rsid w:val="752E6DCD"/>
    <w:rsid w:val="7551380D"/>
    <w:rsid w:val="75600BE5"/>
    <w:rsid w:val="7564475C"/>
    <w:rsid w:val="75805DAD"/>
    <w:rsid w:val="7583797F"/>
    <w:rsid w:val="759E3B4B"/>
    <w:rsid w:val="75B17224"/>
    <w:rsid w:val="75D20F1D"/>
    <w:rsid w:val="75DA2C18"/>
    <w:rsid w:val="75F54412"/>
    <w:rsid w:val="75FA1A63"/>
    <w:rsid w:val="76127132"/>
    <w:rsid w:val="761D08E0"/>
    <w:rsid w:val="765D347C"/>
    <w:rsid w:val="76826699"/>
    <w:rsid w:val="76C87133"/>
    <w:rsid w:val="76CD08D5"/>
    <w:rsid w:val="76DB4B92"/>
    <w:rsid w:val="76E01F41"/>
    <w:rsid w:val="77052AA4"/>
    <w:rsid w:val="770C35E3"/>
    <w:rsid w:val="771334D2"/>
    <w:rsid w:val="77136511"/>
    <w:rsid w:val="77272DD5"/>
    <w:rsid w:val="77302EC9"/>
    <w:rsid w:val="773109EF"/>
    <w:rsid w:val="77340A39"/>
    <w:rsid w:val="77351FD0"/>
    <w:rsid w:val="77472422"/>
    <w:rsid w:val="77617D97"/>
    <w:rsid w:val="777141A8"/>
    <w:rsid w:val="777F31F2"/>
    <w:rsid w:val="7785446F"/>
    <w:rsid w:val="779F3BAA"/>
    <w:rsid w:val="77D1700D"/>
    <w:rsid w:val="77EC04CC"/>
    <w:rsid w:val="77F71C38"/>
    <w:rsid w:val="77FB436F"/>
    <w:rsid w:val="78232A2D"/>
    <w:rsid w:val="78704689"/>
    <w:rsid w:val="78775729"/>
    <w:rsid w:val="7883019C"/>
    <w:rsid w:val="78A42DB0"/>
    <w:rsid w:val="78A551F0"/>
    <w:rsid w:val="78A656AB"/>
    <w:rsid w:val="78B2245C"/>
    <w:rsid w:val="78E172CC"/>
    <w:rsid w:val="78EA1D1F"/>
    <w:rsid w:val="78FA1BAC"/>
    <w:rsid w:val="79036DC3"/>
    <w:rsid w:val="7904172F"/>
    <w:rsid w:val="790F7E27"/>
    <w:rsid w:val="791B3704"/>
    <w:rsid w:val="792A231A"/>
    <w:rsid w:val="79314269"/>
    <w:rsid w:val="79316829"/>
    <w:rsid w:val="797E66A9"/>
    <w:rsid w:val="798518A4"/>
    <w:rsid w:val="799D3347"/>
    <w:rsid w:val="79A97383"/>
    <w:rsid w:val="79E27E8B"/>
    <w:rsid w:val="79F850CE"/>
    <w:rsid w:val="79FD443C"/>
    <w:rsid w:val="7A1D1975"/>
    <w:rsid w:val="7A3E5150"/>
    <w:rsid w:val="7A4670D6"/>
    <w:rsid w:val="7A534B63"/>
    <w:rsid w:val="7A560E98"/>
    <w:rsid w:val="7A615382"/>
    <w:rsid w:val="7A67303B"/>
    <w:rsid w:val="7AAB1D04"/>
    <w:rsid w:val="7ABA4368"/>
    <w:rsid w:val="7AC178E1"/>
    <w:rsid w:val="7AD05746"/>
    <w:rsid w:val="7AE65922"/>
    <w:rsid w:val="7B0E1E12"/>
    <w:rsid w:val="7B257FFD"/>
    <w:rsid w:val="7B343476"/>
    <w:rsid w:val="7B4E6013"/>
    <w:rsid w:val="7B5A2978"/>
    <w:rsid w:val="7B5A7E4C"/>
    <w:rsid w:val="7B667AF9"/>
    <w:rsid w:val="7B7468F8"/>
    <w:rsid w:val="7BEE0103"/>
    <w:rsid w:val="7C0171AF"/>
    <w:rsid w:val="7C046174"/>
    <w:rsid w:val="7C0A0FE4"/>
    <w:rsid w:val="7C254906"/>
    <w:rsid w:val="7C281CA5"/>
    <w:rsid w:val="7C2823C0"/>
    <w:rsid w:val="7C3B0FE1"/>
    <w:rsid w:val="7C590818"/>
    <w:rsid w:val="7C61195D"/>
    <w:rsid w:val="7C661E25"/>
    <w:rsid w:val="7C745605"/>
    <w:rsid w:val="7C7C10F6"/>
    <w:rsid w:val="7C853BEA"/>
    <w:rsid w:val="7C881368"/>
    <w:rsid w:val="7CBA5840"/>
    <w:rsid w:val="7CD60D99"/>
    <w:rsid w:val="7CE27788"/>
    <w:rsid w:val="7CEE0329"/>
    <w:rsid w:val="7D0C32F1"/>
    <w:rsid w:val="7D0F408D"/>
    <w:rsid w:val="7D465B99"/>
    <w:rsid w:val="7D491C6C"/>
    <w:rsid w:val="7D4E2E80"/>
    <w:rsid w:val="7D5429C0"/>
    <w:rsid w:val="7D5C7354"/>
    <w:rsid w:val="7D6E474B"/>
    <w:rsid w:val="7D6E6D43"/>
    <w:rsid w:val="7D883F06"/>
    <w:rsid w:val="7DB57A34"/>
    <w:rsid w:val="7DC35DEC"/>
    <w:rsid w:val="7DE60973"/>
    <w:rsid w:val="7DEF0916"/>
    <w:rsid w:val="7DF804B8"/>
    <w:rsid w:val="7E1E5218"/>
    <w:rsid w:val="7E2F58A0"/>
    <w:rsid w:val="7E454A5A"/>
    <w:rsid w:val="7E490D14"/>
    <w:rsid w:val="7E5D031B"/>
    <w:rsid w:val="7E5D6E0E"/>
    <w:rsid w:val="7E6C679B"/>
    <w:rsid w:val="7E9A4E1F"/>
    <w:rsid w:val="7EA7723A"/>
    <w:rsid w:val="7EF56FBB"/>
    <w:rsid w:val="7F0768EB"/>
    <w:rsid w:val="7F143BEC"/>
    <w:rsid w:val="7F253F27"/>
    <w:rsid w:val="7F715AF2"/>
    <w:rsid w:val="7F7B47F9"/>
    <w:rsid w:val="7F886E69"/>
    <w:rsid w:val="7F8A1B91"/>
    <w:rsid w:val="7FB21DE9"/>
    <w:rsid w:val="7FC55D23"/>
    <w:rsid w:val="7FCB5F7C"/>
    <w:rsid w:val="7FFD5B9C"/>
    <w:rsid w:val="BB7FA927"/>
    <w:rsid w:val="BE4BDA3C"/>
    <w:rsid w:val="F5FFD31F"/>
    <w:rsid w:val="FF4F5B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unhideWhenUsed/>
    <w:qFormat/>
    <w:uiPriority w:val="1"/>
  </w:style>
  <w:style w:type="table" w:default="1" w:styleId="62">
    <w:name w:val="Normal Table"/>
    <w:autoRedefine/>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4"/>
    <w:autoRedefine/>
    <w:qFormat/>
    <w:uiPriority w:val="0"/>
    <w:pPr>
      <w:shd w:val="clear" w:color="auto" w:fill="000080"/>
    </w:pPr>
  </w:style>
  <w:style w:type="paragraph" w:styleId="19">
    <w:name w:val="annotation text"/>
    <w:basedOn w:val="1"/>
    <w:link w:val="345"/>
    <w:autoRedefine/>
    <w:qFormat/>
    <w:uiPriority w:val="99"/>
    <w:pPr>
      <w:jc w:val="left"/>
    </w:pPr>
  </w:style>
  <w:style w:type="paragraph" w:styleId="20">
    <w:name w:val="Salutation"/>
    <w:basedOn w:val="1"/>
    <w:next w:val="1"/>
    <w:link w:val="299"/>
    <w:autoRedefine/>
    <w:qFormat/>
    <w:uiPriority w:val="0"/>
    <w:rPr>
      <w:rFonts w:ascii="仿宋_GB2312" w:eastAsia="仿宋_GB2312"/>
      <w:sz w:val="28"/>
      <w:szCs w:val="20"/>
    </w:rPr>
  </w:style>
  <w:style w:type="paragraph" w:styleId="21">
    <w:name w:val="Body Text 3"/>
    <w:basedOn w:val="1"/>
    <w:link w:val="331"/>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2"/>
    <w:autoRedefine/>
    <w:qFormat/>
    <w:uiPriority w:val="0"/>
    <w:pPr>
      <w:ind w:firstLine="420"/>
    </w:pPr>
    <w:rPr>
      <w:rFonts w:hAnsi="Calibri" w:cs="Times New Roman"/>
      <w:snapToGrid/>
      <w:szCs w:val="20"/>
    </w:rPr>
  </w:style>
  <w:style w:type="paragraph" w:styleId="25">
    <w:name w:val="Body Text Indent"/>
    <w:basedOn w:val="1"/>
    <w:next w:val="26"/>
    <w:link w:val="266"/>
    <w:autoRedefine/>
    <w:qFormat/>
    <w:uiPriority w:val="0"/>
    <w:pPr>
      <w:spacing w:line="480" w:lineRule="exact"/>
      <w:ind w:firstLine="480" w:firstLineChars="200"/>
    </w:pPr>
    <w:rPr>
      <w:rFonts w:ascii="宋体" w:hAnsi="宋体"/>
      <w:sz w:val="24"/>
    </w:rPr>
  </w:style>
  <w:style w:type="paragraph" w:styleId="26">
    <w:name w:val="Body Text First Indent 2"/>
    <w:basedOn w:val="25"/>
    <w:link w:val="123"/>
    <w:autoRedefine/>
    <w:qFormat/>
    <w:uiPriority w:val="0"/>
    <w:pPr>
      <w:adjustRightInd/>
      <w:spacing w:after="120" w:line="240" w:lineRule="auto"/>
      <w:ind w:left="420" w:leftChars="200" w:firstLine="210"/>
    </w:pPr>
    <w:rPr>
      <w:sz w:val="21"/>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7"/>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3"/>
    <w:autoRedefine/>
    <w:qFormat/>
    <w:uiPriority w:val="0"/>
    <w:pPr>
      <w:ind w:left="100" w:leftChars="2500"/>
    </w:pPr>
    <w:rPr>
      <w:rFonts w:ascii="宋体"/>
      <w:sz w:val="24"/>
      <w:szCs w:val="21"/>
      <w:lang w:val="zh-CN"/>
    </w:rPr>
  </w:style>
  <w:style w:type="paragraph" w:styleId="38">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2"/>
    <w:autoRedefine/>
    <w:qFormat/>
    <w:uiPriority w:val="0"/>
    <w:rPr>
      <w:lang w:val="zh-CN"/>
    </w:rPr>
  </w:style>
  <w:style w:type="paragraph" w:styleId="40">
    <w:name w:val="Balloon Text"/>
    <w:basedOn w:val="1"/>
    <w:link w:val="190"/>
    <w:autoRedefine/>
    <w:qFormat/>
    <w:uiPriority w:val="0"/>
    <w:rPr>
      <w:sz w:val="18"/>
      <w:szCs w:val="18"/>
    </w:rPr>
  </w:style>
  <w:style w:type="paragraph" w:styleId="41">
    <w:name w:val="footer"/>
    <w:basedOn w:val="1"/>
    <w:link w:val="384"/>
    <w:autoRedefine/>
    <w:qFormat/>
    <w:uiPriority w:val="99"/>
    <w:pPr>
      <w:tabs>
        <w:tab w:val="center" w:pos="4153"/>
        <w:tab w:val="right" w:pos="8306"/>
      </w:tabs>
      <w:snapToGrid w:val="0"/>
      <w:jc w:val="left"/>
    </w:pPr>
    <w:rPr>
      <w:sz w:val="18"/>
      <w:szCs w:val="18"/>
    </w:rPr>
  </w:style>
  <w:style w:type="paragraph" w:styleId="42">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5"/>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6"/>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3"/>
    <w:autoRedefine/>
    <w:qFormat/>
    <w:uiPriority w:val="0"/>
    <w:pPr>
      <w:spacing w:after="120" w:line="480" w:lineRule="auto"/>
    </w:pPr>
  </w:style>
  <w:style w:type="paragraph" w:styleId="58">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8"/>
    <w:autoRedefine/>
    <w:qFormat/>
    <w:uiPriority w:val="0"/>
    <w:rPr>
      <w:b/>
      <w:bCs/>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_Style 3"/>
    <w:basedOn w:val="1"/>
    <w:autoRedefine/>
    <w:qFormat/>
    <w:uiPriority w:val="0"/>
    <w:pPr>
      <w:adjustRightInd/>
      <w:ind w:firstLine="420" w:firstLineChars="200"/>
    </w:pPr>
    <w:rPr>
      <w:rFonts w:eastAsia="仿宋_GB2312"/>
      <w:sz w:val="28"/>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paragraph" w:customStyle="1" w:styleId="82">
    <w:name w:val="Normal Indent1"/>
    <w:basedOn w:val="1"/>
    <w:autoRedefine/>
    <w:qFormat/>
    <w:uiPriority w:val="0"/>
    <w:pPr>
      <w:ind w:firstLine="420" w:firstLineChars="200"/>
    </w:pPr>
  </w:style>
  <w:style w:type="paragraph" w:customStyle="1" w:styleId="83">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字符"/>
    <w:link w:val="61"/>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26"/>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69"/>
    <w:autoRedefine/>
    <w:qFormat/>
    <w:uiPriority w:val="0"/>
    <w:rPr>
      <w:rFonts w:ascii="Arial" w:hAnsi="Arial" w:eastAsia="黑体" w:cs="Arial"/>
      <w:snapToGrid w:val="0"/>
      <w:kern w:val="0"/>
      <w:szCs w:val="21"/>
    </w:rPr>
  </w:style>
  <w:style w:type="character" w:customStyle="1" w:styleId="127">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字符"/>
    <w:link w:val="48"/>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字符"/>
    <w:link w:val="7"/>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3"/>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字符"/>
    <w:link w:val="37"/>
    <w:autoRedefine/>
    <w:qFormat/>
    <w:uiPriority w:val="0"/>
    <w:rPr>
      <w:rFonts w:ascii="宋体"/>
      <w:kern w:val="2"/>
      <w:sz w:val="24"/>
      <w:szCs w:val="21"/>
      <w:lang w:val="zh-CN"/>
    </w:rPr>
  </w:style>
  <w:style w:type="character" w:customStyle="1" w:styleId="184">
    <w:name w:val="标题 9 字符"/>
    <w:link w:val="10"/>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字符1"/>
    <w:link w:val="40"/>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字符"/>
    <w:link w:val="18"/>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69"/>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字符"/>
    <w:link w:val="31"/>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5"/>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字符"/>
    <w:link w:val="16"/>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83"/>
    <w:autoRedefine/>
    <w:qFormat/>
    <w:uiPriority w:val="0"/>
    <w:rPr>
      <w:rFonts w:ascii="仿宋_GB2312"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字符1"/>
    <w:link w:val="25"/>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字符1"/>
    <w:link w:val="2"/>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字符"/>
    <w:link w:val="60"/>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字符"/>
    <w:link w:val="6"/>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字符"/>
    <w:link w:val="20"/>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字符"/>
    <w:link w:val="58"/>
    <w:autoRedefine/>
    <w:qFormat/>
    <w:uiPriority w:val="0"/>
    <w:rPr>
      <w:rFonts w:ascii="黑体" w:hAnsi="Courier New" w:eastAsia="黑体"/>
    </w:rPr>
  </w:style>
  <w:style w:type="character" w:customStyle="1" w:styleId="303">
    <w:name w:val="正文文本 2 字符1"/>
    <w:link w:val="57"/>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5"/>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字符"/>
    <w:link w:val="8"/>
    <w:autoRedefine/>
    <w:qFormat/>
    <w:uiPriority w:val="0"/>
    <w:rPr>
      <w:b/>
      <w:bCs/>
      <w:kern w:val="2"/>
      <w:sz w:val="24"/>
      <w:szCs w:val="24"/>
    </w:rPr>
  </w:style>
  <w:style w:type="character" w:customStyle="1" w:styleId="309">
    <w:name w:val="正文文本缩进 2 字符"/>
    <w:link w:val="38"/>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字符"/>
    <w:link w:val="51"/>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文本首行缩进 字符"/>
    <w:link w:val="24"/>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字符1"/>
    <w:link w:val="5"/>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字符"/>
    <w:link w:val="21"/>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字符1"/>
    <w:link w:val="19"/>
    <w:autoRedefine/>
    <w:qFormat/>
    <w:uiPriority w:val="0"/>
    <w:rPr>
      <w:kern w:val="2"/>
      <w:sz w:val="21"/>
      <w:szCs w:val="24"/>
    </w:rPr>
  </w:style>
  <w:style w:type="character" w:customStyle="1" w:styleId="346">
    <w:name w:val="签名 字符"/>
    <w:link w:val="43"/>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9"/>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字符"/>
    <w:link w:val="54"/>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字符2"/>
    <w:link w:val="41"/>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字符2"/>
    <w:link w:val="42"/>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69"/>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15"/>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69"/>
    <w:autoRedefine/>
    <w:qFormat/>
    <w:uiPriority w:val="0"/>
    <w:rPr>
      <w:rFonts w:ascii="Arial" w:hAnsi="Arial" w:eastAsia="黑体" w:cs="Arial"/>
      <w:snapToGrid w:val="0"/>
      <w:kern w:val="0"/>
      <w:szCs w:val="21"/>
    </w:rPr>
  </w:style>
  <w:style w:type="character" w:customStyle="1" w:styleId="433">
    <w:name w:val="hui"/>
    <w:basedOn w:val="69"/>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No Spacing"/>
    <w:basedOn w:val="1"/>
    <w:link w:val="933"/>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4"/>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6"/>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83"/>
    <w:next w:val="83"/>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83"/>
    <w:next w:val="83"/>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2"/>
    <w:autoRedefine/>
    <w:qFormat/>
    <w:uiPriority w:val="0"/>
    <w:pPr>
      <w:tabs>
        <w:tab w:val="left" w:pos="840"/>
      </w:tabs>
      <w:adjustRightInd/>
      <w:ind w:left="840" w:hanging="420"/>
    </w:pPr>
  </w:style>
  <w:style w:type="paragraph" w:customStyle="1" w:styleId="626">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8"/>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autoRedefine/>
    <w:qFormat/>
    <w:uiPriority w:val="0"/>
    <w:pPr>
      <w:tabs>
        <w:tab w:val="left" w:pos="1080"/>
      </w:tabs>
      <w:ind w:left="1080" w:hanging="1080"/>
    </w:pPr>
  </w:style>
  <w:style w:type="paragraph" w:customStyle="1" w:styleId="897">
    <w:name w:val="数字标题1"/>
    <w:basedOn w:val="2"/>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4"/>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字符"/>
    <w:link w:val="39"/>
    <w:autoRedefine/>
    <w:qFormat/>
    <w:uiPriority w:val="0"/>
    <w:rPr>
      <w:kern w:val="2"/>
      <w:sz w:val="21"/>
      <w:szCs w:val="24"/>
      <w:lang w:val="zh-CN"/>
    </w:rPr>
  </w:style>
  <w:style w:type="character" w:customStyle="1" w:styleId="933">
    <w:name w:val="无间隔 字符"/>
    <w:link w:val="484"/>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9"/>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autoRedefine/>
    <w:qFormat/>
    <w:uiPriority w:val="0"/>
    <w:pPr>
      <w:tabs>
        <w:tab w:val="left" w:pos="1080"/>
        <w:tab w:val="clear" w:pos="432"/>
      </w:tabs>
      <w:spacing w:before="100" w:line="400" w:lineRule="exact"/>
      <w:ind w:left="432" w:hanging="432"/>
    </w:pPr>
    <w:rPr>
      <w:rFonts w:ascii="Times New Roman" w:hAnsi="Times New Roman" w:eastAsia="黑体" w:cs="宋体"/>
      <w:b w:val="0"/>
      <w:sz w:val="28"/>
      <w:szCs w:val="20"/>
    </w:rPr>
  </w:style>
  <w:style w:type="paragraph" w:customStyle="1" w:styleId="965">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6">
    <w:name w:val="Revision"/>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first-child"/>
    <w:basedOn w:val="69"/>
    <w:autoRedefine/>
    <w:qFormat/>
    <w:uiPriority w:val="0"/>
  </w:style>
  <w:style w:type="character" w:customStyle="1" w:styleId="968">
    <w:name w:val="hover7"/>
    <w:basedOn w:val="69"/>
    <w:autoRedefine/>
    <w:qFormat/>
    <w:uiPriority w:val="0"/>
    <w:rPr>
      <w:shd w:val="clear" w:fill="F3F3F3"/>
    </w:rPr>
  </w:style>
  <w:style w:type="character" w:customStyle="1" w:styleId="969">
    <w:name w:val="hover8"/>
    <w:basedOn w:val="69"/>
    <w:autoRedefine/>
    <w:qFormat/>
    <w:uiPriority w:val="0"/>
    <w:rPr>
      <w:sz w:val="11"/>
      <w:szCs w:val="11"/>
    </w:rPr>
  </w:style>
  <w:style w:type="character" w:customStyle="1" w:styleId="970">
    <w:name w:val="layui-layer-tabnow"/>
    <w:basedOn w:val="69"/>
    <w:autoRedefine/>
    <w:qFormat/>
    <w:uiPriority w:val="0"/>
    <w:rPr>
      <w:bdr w:val="single" w:color="CCCCCC" w:sz="4" w:space="0"/>
      <w:shd w:val="clear" w:fill="FFFFFF"/>
    </w:rPr>
  </w:style>
  <w:style w:type="paragraph" w:customStyle="1" w:styleId="971">
    <w:name w:val="List Paragraph_41d0cc91-dce1-4733-b767-3adef058dad0"/>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40803</Words>
  <Characters>42752</Characters>
  <Lines>407</Lines>
  <Paragraphs>114</Paragraphs>
  <TotalTime>0</TotalTime>
  <ScaleCrop>false</ScaleCrop>
  <LinksUpToDate>false</LinksUpToDate>
  <CharactersWithSpaces>47923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2022-05-07T15:35:00Z</dcterms:created>
  <dc:creator>玥</dc:creator>
  <cp:lastModifiedBy>凌晨</cp:lastModifiedBy>
  <cp:lastPrinted>2024-05-07T02:27:00Z</cp:lastPrinted>
  <dcterms:modified xsi:type="dcterms:W3CDTF">2024-09-09T08:57:27Z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3ADA7A1BEA1B42FC99A8372FD905BAE5_13</vt:lpwstr>
  </property>
  <property fmtid="{D5CDD505-2E9C-101B-9397-08002B2CF9AE}" pid="5" name="commondata">
    <vt:lpwstr>eyJoZGlkIjoiNGNlMmFkMDQ1NDY0ZmRiM2Q0NjY4NTFjN2IwMTllYjMifQ==</vt:lpwstr>
  </property>
</Properties>
</file>