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center"/>
        <w:rPr>
          <w:rFonts w:ascii="宋体" w:hAnsi="宋体" w:cs="宋体"/>
          <w:b/>
          <w:bCs/>
          <w:sz w:val="36"/>
          <w:szCs w:val="36"/>
        </w:rPr>
      </w:pPr>
    </w:p>
    <w:p>
      <w:pPr>
        <w:pStyle w:val="33"/>
        <w:rPr>
          <w:rFonts w:ascii="宋体" w:hAnsi="宋体" w:cs="宋体"/>
          <w:b/>
          <w:bCs/>
          <w:sz w:val="48"/>
          <w:szCs w:val="48"/>
        </w:rPr>
      </w:pPr>
    </w:p>
    <w:p>
      <w:pPr>
        <w:pStyle w:val="33"/>
        <w:jc w:val="center"/>
        <w:outlineLvl w:val="0"/>
        <w:rPr>
          <w:rFonts w:hint="eastAsia" w:ascii="宋体" w:hAnsi="宋体" w:eastAsia="宋体" w:cs="宋体"/>
          <w:b/>
          <w:bCs/>
          <w:sz w:val="52"/>
          <w:szCs w:val="52"/>
          <w:lang w:eastAsia="zh-CN"/>
        </w:rPr>
      </w:pPr>
      <w:bookmarkStart w:id="0" w:name="_Toc398"/>
      <w:bookmarkStart w:id="1" w:name="_Toc2200"/>
      <w:bookmarkStart w:id="2" w:name="_Toc16451"/>
      <w:bookmarkStart w:id="3" w:name="_Toc19519"/>
      <w:r>
        <w:rPr>
          <w:rFonts w:hint="eastAsia" w:ascii="宋体" w:hAnsi="宋体" w:cs="宋体"/>
          <w:b/>
          <w:bCs/>
          <w:sz w:val="52"/>
          <w:szCs w:val="52"/>
          <w:lang w:eastAsia="zh-CN"/>
        </w:rPr>
        <w:t>海曙区第四次全国文物普查野外调查项目</w:t>
      </w:r>
    </w:p>
    <w:p>
      <w:pPr>
        <w:pStyle w:val="33"/>
        <w:jc w:val="center"/>
        <w:rPr>
          <w:rFonts w:hAnsi="宋体" w:cs="宋体"/>
          <w:b/>
          <w:sz w:val="72"/>
          <w:szCs w:val="72"/>
        </w:rPr>
      </w:pPr>
    </w:p>
    <w:p>
      <w:pPr>
        <w:pStyle w:val="33"/>
        <w:jc w:val="center"/>
        <w:outlineLvl w:val="0"/>
        <w:rPr>
          <w:rFonts w:hAnsi="宋体" w:cs="宋体"/>
          <w:b/>
          <w:sz w:val="72"/>
          <w:szCs w:val="72"/>
        </w:rPr>
      </w:pPr>
      <w:bookmarkStart w:id="4" w:name="_Toc620"/>
      <w:bookmarkStart w:id="5" w:name="_Toc12608"/>
      <w:r>
        <w:rPr>
          <w:rFonts w:hint="eastAsia" w:hAnsi="宋体" w:cs="宋体"/>
          <w:b/>
          <w:sz w:val="72"/>
          <w:szCs w:val="72"/>
        </w:rPr>
        <w:t>竞争性磋商文件</w:t>
      </w:r>
      <w:bookmarkEnd w:id="0"/>
      <w:bookmarkEnd w:id="1"/>
      <w:bookmarkEnd w:id="2"/>
      <w:bookmarkEnd w:id="3"/>
      <w:bookmarkEnd w:id="4"/>
      <w:bookmarkEnd w:id="5"/>
    </w:p>
    <w:p>
      <w:pPr>
        <w:pStyle w:val="35"/>
        <w:ind w:firstLine="0"/>
        <w:rPr>
          <w:rFonts w:ascii="宋体" w:hAnsi="宋体" w:cs="宋体"/>
          <w:b/>
          <w:bCs/>
          <w:sz w:val="36"/>
          <w:szCs w:val="36"/>
        </w:rPr>
      </w:pPr>
    </w:p>
    <w:p>
      <w:pPr>
        <w:pStyle w:val="35"/>
        <w:ind w:firstLine="0"/>
        <w:rPr>
          <w:rFonts w:ascii="宋体" w:hAnsi="宋体" w:cs="宋体"/>
          <w:b/>
          <w:sz w:val="32"/>
          <w:szCs w:val="52"/>
        </w:rPr>
      </w:pPr>
    </w:p>
    <w:p>
      <w:pPr>
        <w:pStyle w:val="35"/>
        <w:ind w:firstLine="0"/>
        <w:rPr>
          <w:rFonts w:ascii="宋体" w:hAnsi="宋体" w:cs="宋体"/>
          <w:b/>
          <w:sz w:val="32"/>
          <w:szCs w:val="52"/>
        </w:rPr>
      </w:pPr>
    </w:p>
    <w:p>
      <w:pPr>
        <w:pStyle w:val="35"/>
        <w:ind w:firstLine="0"/>
        <w:rPr>
          <w:rFonts w:ascii="宋体" w:hAnsi="宋体" w:cs="宋体"/>
          <w:b/>
          <w:sz w:val="32"/>
          <w:szCs w:val="52"/>
        </w:rPr>
      </w:pPr>
    </w:p>
    <w:p>
      <w:pPr>
        <w:pStyle w:val="12"/>
        <w:snapToGrid w:val="0"/>
        <w:spacing w:before="120" w:after="120"/>
        <w:ind w:left="280" w:leftChars="100"/>
        <w:outlineLvl w:val="0"/>
        <w:rPr>
          <w:rFonts w:hint="eastAsia" w:ascii="宋体" w:hAnsi="宋体" w:eastAsia="宋体" w:cs="宋体"/>
          <w:b/>
          <w:bCs/>
          <w:sz w:val="32"/>
          <w:szCs w:val="32"/>
          <w:lang w:eastAsia="zh-CN"/>
        </w:rPr>
      </w:pPr>
      <w:bookmarkStart w:id="6" w:name="_Toc14252"/>
      <w:bookmarkStart w:id="7" w:name="_Toc13217"/>
      <w:bookmarkStart w:id="8" w:name="_Toc23839"/>
      <w:bookmarkStart w:id="9" w:name="_Toc5972"/>
      <w:bookmarkStart w:id="10" w:name="_Toc22663"/>
      <w:bookmarkStart w:id="11" w:name="_Toc21889"/>
      <w:r>
        <w:rPr>
          <w:rFonts w:hint="eastAsia" w:ascii="宋体" w:hAnsi="宋体" w:cs="宋体"/>
          <w:b/>
          <w:bCs/>
          <w:sz w:val="32"/>
          <w:szCs w:val="32"/>
        </w:rPr>
        <w:t>项目编号：</w:t>
      </w:r>
      <w:bookmarkEnd w:id="6"/>
      <w:bookmarkEnd w:id="7"/>
      <w:bookmarkEnd w:id="8"/>
      <w:bookmarkEnd w:id="9"/>
      <w:bookmarkEnd w:id="10"/>
      <w:bookmarkEnd w:id="11"/>
      <w:r>
        <w:rPr>
          <w:rFonts w:hint="eastAsia" w:ascii="宋体" w:hAnsi="宋体" w:cs="宋体"/>
          <w:b/>
          <w:bCs/>
          <w:sz w:val="32"/>
          <w:szCs w:val="32"/>
          <w:lang w:eastAsia="zh-CN"/>
        </w:rPr>
        <w:t>2024NBHSWCS263</w:t>
      </w:r>
    </w:p>
    <w:p>
      <w:pPr>
        <w:pStyle w:val="12"/>
        <w:snapToGrid w:val="0"/>
        <w:spacing w:before="120" w:after="120"/>
        <w:ind w:left="319" w:leftChars="100" w:hanging="39" w:hangingChars="12"/>
        <w:outlineLvl w:val="0"/>
        <w:rPr>
          <w:rFonts w:ascii="宋体" w:hAnsi="宋体" w:cs="宋体"/>
          <w:b/>
          <w:bCs/>
          <w:sz w:val="32"/>
          <w:szCs w:val="32"/>
        </w:rPr>
      </w:pPr>
      <w:bookmarkStart w:id="12" w:name="_Toc9412"/>
      <w:bookmarkStart w:id="13" w:name="_Toc17589"/>
      <w:bookmarkStart w:id="14" w:name="_Toc1338"/>
      <w:bookmarkStart w:id="15" w:name="_Toc9759"/>
      <w:bookmarkStart w:id="16" w:name="_Toc23320"/>
      <w:bookmarkStart w:id="17" w:name="_Toc19342"/>
      <w:r>
        <w:rPr>
          <w:rFonts w:hint="eastAsia" w:ascii="宋体" w:hAnsi="宋体" w:cs="宋体"/>
          <w:b/>
          <w:bCs/>
          <w:sz w:val="32"/>
          <w:szCs w:val="32"/>
        </w:rPr>
        <w:t>采购 人：</w:t>
      </w:r>
      <w:bookmarkEnd w:id="12"/>
      <w:bookmarkEnd w:id="13"/>
      <w:bookmarkEnd w:id="14"/>
      <w:bookmarkEnd w:id="15"/>
      <w:bookmarkEnd w:id="16"/>
      <w:r>
        <w:rPr>
          <w:rFonts w:hint="eastAsia" w:ascii="宋体" w:hAnsi="宋体" w:cs="宋体"/>
          <w:b/>
          <w:bCs/>
          <w:sz w:val="32"/>
          <w:szCs w:val="32"/>
        </w:rPr>
        <w:t>宁波市海曙区文物管理所</w:t>
      </w:r>
      <w:bookmarkEnd w:id="17"/>
    </w:p>
    <w:p>
      <w:pPr>
        <w:pStyle w:val="12"/>
        <w:snapToGrid w:val="0"/>
        <w:spacing w:before="120" w:after="120"/>
        <w:ind w:firstLine="279" w:firstLineChars="87"/>
        <w:outlineLvl w:val="0"/>
        <w:rPr>
          <w:rFonts w:ascii="宋体" w:hAnsi="宋体" w:cs="宋体"/>
          <w:b/>
          <w:bCs/>
          <w:sz w:val="32"/>
          <w:szCs w:val="32"/>
        </w:rPr>
      </w:pPr>
      <w:bookmarkStart w:id="18" w:name="_Toc3421"/>
      <w:bookmarkStart w:id="19" w:name="_Toc22505"/>
      <w:bookmarkStart w:id="20" w:name="_Toc25172"/>
      <w:bookmarkStart w:id="21" w:name="_Toc11082"/>
      <w:bookmarkStart w:id="22" w:name="_Toc23142"/>
      <w:bookmarkStart w:id="23" w:name="_Toc30292"/>
      <w:r>
        <w:rPr>
          <w:rFonts w:hint="eastAsia" w:ascii="宋体" w:hAnsi="宋体" w:cs="宋体"/>
          <w:b/>
          <w:bCs/>
          <w:sz w:val="32"/>
          <w:szCs w:val="32"/>
        </w:rPr>
        <w:t>代理机构：</w:t>
      </w:r>
      <w:bookmarkEnd w:id="18"/>
      <w:bookmarkEnd w:id="19"/>
      <w:bookmarkEnd w:id="20"/>
      <w:bookmarkEnd w:id="21"/>
      <w:bookmarkEnd w:id="22"/>
      <w:r>
        <w:rPr>
          <w:rFonts w:hint="eastAsia" w:ascii="宋体" w:hAnsi="宋体" w:cs="宋体"/>
          <w:b/>
          <w:bCs/>
          <w:sz w:val="32"/>
          <w:szCs w:val="32"/>
        </w:rPr>
        <w:t>宁波中竖项目管理咨询有限公司</w:t>
      </w:r>
      <w:bookmarkEnd w:id="23"/>
    </w:p>
    <w:p>
      <w:pPr>
        <w:pStyle w:val="12"/>
        <w:snapToGrid w:val="0"/>
        <w:spacing w:before="120" w:after="120"/>
        <w:ind w:firstLine="279" w:firstLineChars="87"/>
        <w:rPr>
          <w:rFonts w:ascii="宋体" w:hAnsi="宋体" w:cs="宋体"/>
          <w:b/>
          <w:bCs/>
          <w:sz w:val="32"/>
          <w:szCs w:val="32"/>
        </w:rPr>
      </w:pPr>
      <w:r>
        <w:rPr>
          <w:rFonts w:hint="eastAsia" w:ascii="宋体" w:hAnsi="宋体" w:cs="宋体"/>
          <w:b/>
          <w:bCs/>
          <w:sz w:val="32"/>
          <w:szCs w:val="32"/>
        </w:rPr>
        <w:t>编制时间：2024年6月</w:t>
      </w:r>
    </w:p>
    <w:p>
      <w:pPr>
        <w:pStyle w:val="12"/>
        <w:snapToGrid w:val="0"/>
        <w:spacing w:before="120" w:after="120"/>
        <w:rPr>
          <w:rFonts w:ascii="宋体" w:hAnsi="宋体" w:cs="宋体"/>
          <w:b/>
          <w:bCs/>
          <w:w w:val="95"/>
          <w:sz w:val="32"/>
          <w:szCs w:val="32"/>
        </w:rPr>
      </w:pPr>
    </w:p>
    <w:p>
      <w:pPr>
        <w:snapToGrid w:val="0"/>
        <w:spacing w:before="120" w:beforeLines="50"/>
        <w:jc w:val="center"/>
        <w:rPr>
          <w:rFonts w:hAnsi="宋体" w:eastAsia="宋体" w:cs="宋体"/>
          <w:b/>
          <w:bCs/>
          <w:w w:val="95"/>
          <w:sz w:val="32"/>
          <w:szCs w:val="32"/>
        </w:rPr>
      </w:pPr>
    </w:p>
    <w:p>
      <w:pPr>
        <w:snapToGrid w:val="0"/>
        <w:spacing w:before="120" w:beforeLines="50"/>
        <w:jc w:val="center"/>
        <w:rPr>
          <w:rFonts w:hAnsi="宋体" w:eastAsia="宋体" w:cs="宋体"/>
          <w:b/>
          <w:bCs/>
          <w:w w:val="95"/>
          <w:sz w:val="32"/>
          <w:szCs w:val="32"/>
        </w:rPr>
      </w:pPr>
    </w:p>
    <w:p>
      <w:pPr>
        <w:pStyle w:val="35"/>
        <w:ind w:firstLine="0"/>
        <w:jc w:val="both"/>
        <w:rPr>
          <w:rFonts w:ascii="宋体" w:hAnsi="宋体" w:cs="宋体"/>
          <w:b/>
          <w:sz w:val="30"/>
          <w:szCs w:val="48"/>
        </w:rPr>
        <w:sectPr>
          <w:footerReference r:id="rId5" w:type="default"/>
          <w:pgSz w:w="11906" w:h="16838"/>
          <w:pgMar w:top="1440" w:right="1800" w:bottom="1440" w:left="1800" w:header="851" w:footer="851" w:gutter="0"/>
          <w:pgNumType w:start="1"/>
          <w:cols w:space="720" w:num="1"/>
          <w:docGrid w:linePitch="312" w:charSpace="0"/>
        </w:sectPr>
      </w:pPr>
    </w:p>
    <w:p>
      <w:pPr>
        <w:pStyle w:val="20"/>
        <w:tabs>
          <w:tab w:val="left" w:pos="1200"/>
          <w:tab w:val="right" w:leader="dot" w:pos="9060"/>
        </w:tabs>
        <w:jc w:val="center"/>
        <w:rPr>
          <w:rFonts w:ascii="宋体" w:hAnsi="宋体" w:cs="宋体"/>
          <w:sz w:val="32"/>
          <w:szCs w:val="32"/>
        </w:rPr>
      </w:pPr>
      <w:bookmarkStart w:id="24" w:name="_Toc513029200"/>
      <w:bookmarkStart w:id="25" w:name="_Toc479757206"/>
      <w:bookmarkStart w:id="26" w:name="_Toc403986986"/>
      <w:bookmarkStart w:id="27" w:name="_Toc523127445"/>
      <w:bookmarkStart w:id="28" w:name="_Toc16938516"/>
      <w:bookmarkStart w:id="29" w:name="_Toc403987193"/>
      <w:bookmarkStart w:id="30" w:name="_Toc120614210"/>
      <w:bookmarkStart w:id="31" w:name="_Toc20823272"/>
      <w:r>
        <w:rPr>
          <w:rFonts w:hint="eastAsia" w:ascii="宋体" w:hAnsi="宋体" w:cs="宋体"/>
          <w:sz w:val="32"/>
          <w:szCs w:val="32"/>
        </w:rPr>
        <w:t>目  录</w:t>
      </w:r>
      <w:bookmarkEnd w:id="24"/>
      <w:bookmarkEnd w:id="25"/>
      <w:bookmarkEnd w:id="26"/>
      <w:bookmarkEnd w:id="27"/>
      <w:bookmarkEnd w:id="28"/>
      <w:bookmarkEnd w:id="29"/>
      <w:bookmarkEnd w:id="30"/>
      <w:bookmarkEnd w:id="31"/>
    </w:p>
    <w:sdt>
      <w:sdtPr>
        <w:rPr>
          <w:rFonts w:hAnsi="宋体" w:eastAsia="宋体"/>
          <w:sz w:val="21"/>
        </w:rPr>
        <w:id w:val="147457509"/>
        <w:docPartObj>
          <w:docPartGallery w:val="Table of Contents"/>
          <w:docPartUnique/>
        </w:docPartObj>
      </w:sdtPr>
      <w:sdtEndPr>
        <w:rPr>
          <w:rFonts w:hint="eastAsia" w:hAnsi="宋体" w:eastAsia="宋体" w:cs="宋体"/>
          <w:sz w:val="24"/>
          <w:szCs w:val="24"/>
        </w:rPr>
      </w:sdtEndPr>
      <w:sdtContent>
        <w:p>
          <w:pPr>
            <w:spacing w:line="240" w:lineRule="auto"/>
            <w:jc w:val="center"/>
          </w:pPr>
          <w:r>
            <w:rPr>
              <w:rFonts w:hint="eastAsia" w:hAnsi="宋体" w:eastAsia="宋体" w:cs="宋体"/>
              <w:sz w:val="24"/>
              <w:szCs w:val="24"/>
            </w:rPr>
            <w:fldChar w:fldCharType="begin"/>
          </w:r>
          <w:r>
            <w:rPr>
              <w:rFonts w:hint="eastAsia" w:hAnsi="宋体" w:eastAsia="宋体" w:cs="宋体"/>
              <w:sz w:val="24"/>
              <w:szCs w:val="24"/>
            </w:rPr>
            <w:instrText xml:space="preserve">TOC \o "1-1" \h \u </w:instrText>
          </w:r>
          <w:r>
            <w:rPr>
              <w:rFonts w:hint="eastAsia" w:hAnsi="宋体" w:eastAsia="宋体" w:cs="宋体"/>
              <w:sz w:val="24"/>
              <w:szCs w:val="24"/>
            </w:rPr>
            <w:fldChar w:fldCharType="separate"/>
          </w:r>
        </w:p>
        <w:p>
          <w:pPr>
            <w:pStyle w:val="20"/>
            <w:tabs>
              <w:tab w:val="right" w:leader="dot" w:pos="8958"/>
            </w:tabs>
            <w:rPr>
              <w:b w:val="0"/>
              <w:bCs w:val="0"/>
              <w:sz w:val="24"/>
              <w:szCs w:val="24"/>
            </w:rPr>
          </w:pPr>
          <w:r>
            <w:fldChar w:fldCharType="begin"/>
          </w:r>
          <w:r>
            <w:instrText xml:space="preserve"> HYPERLINK \l "_Toc28453" </w:instrText>
          </w:r>
          <w:r>
            <w:fldChar w:fldCharType="separate"/>
          </w:r>
          <w:r>
            <w:rPr>
              <w:rFonts w:hint="eastAsia" w:ascii="宋体" w:hAnsi="宋体" w:cs="宋体"/>
              <w:b w:val="0"/>
              <w:bCs w:val="0"/>
              <w:sz w:val="24"/>
              <w:szCs w:val="24"/>
            </w:rPr>
            <w:t>第一章 竞争性磋商公告</w:t>
          </w:r>
          <w:r>
            <w:rPr>
              <w:b w:val="0"/>
              <w:bCs w:val="0"/>
              <w:sz w:val="24"/>
              <w:szCs w:val="24"/>
            </w:rPr>
            <w:tab/>
          </w:r>
          <w:r>
            <w:rPr>
              <w:b w:val="0"/>
              <w:bCs w:val="0"/>
              <w:sz w:val="24"/>
              <w:szCs w:val="24"/>
            </w:rPr>
            <w:fldChar w:fldCharType="begin"/>
          </w:r>
          <w:r>
            <w:rPr>
              <w:b w:val="0"/>
              <w:bCs w:val="0"/>
              <w:sz w:val="24"/>
              <w:szCs w:val="24"/>
            </w:rPr>
            <w:instrText xml:space="preserve"> PAGEREF _Toc28453 \h </w:instrText>
          </w:r>
          <w:r>
            <w:rPr>
              <w:b w:val="0"/>
              <w:bCs w:val="0"/>
              <w:sz w:val="24"/>
              <w:szCs w:val="24"/>
            </w:rPr>
            <w:fldChar w:fldCharType="separate"/>
          </w:r>
          <w:r>
            <w:rPr>
              <w:b w:val="0"/>
              <w:bCs w:val="0"/>
              <w:sz w:val="24"/>
              <w:szCs w:val="24"/>
            </w:rPr>
            <w:t>2</w:t>
          </w:r>
          <w:r>
            <w:rPr>
              <w:b w:val="0"/>
              <w:bCs w:val="0"/>
              <w:sz w:val="24"/>
              <w:szCs w:val="24"/>
            </w:rPr>
            <w:fldChar w:fldCharType="end"/>
          </w:r>
          <w:r>
            <w:rPr>
              <w:b w:val="0"/>
              <w:bCs w:val="0"/>
              <w:sz w:val="24"/>
              <w:szCs w:val="24"/>
            </w:rPr>
            <w:fldChar w:fldCharType="end"/>
          </w:r>
        </w:p>
        <w:p>
          <w:pPr>
            <w:pStyle w:val="20"/>
            <w:tabs>
              <w:tab w:val="right" w:leader="dot" w:pos="8958"/>
            </w:tabs>
            <w:rPr>
              <w:b w:val="0"/>
              <w:bCs w:val="0"/>
              <w:sz w:val="24"/>
              <w:szCs w:val="24"/>
            </w:rPr>
          </w:pPr>
          <w:r>
            <w:fldChar w:fldCharType="begin"/>
          </w:r>
          <w:r>
            <w:instrText xml:space="preserve"> HYPERLINK \l "_Toc19254" </w:instrText>
          </w:r>
          <w:r>
            <w:fldChar w:fldCharType="separate"/>
          </w:r>
          <w:r>
            <w:rPr>
              <w:rFonts w:hint="eastAsia"/>
              <w:b w:val="0"/>
              <w:bCs w:val="0"/>
              <w:sz w:val="24"/>
              <w:szCs w:val="24"/>
            </w:rPr>
            <w:t>第二章 供应商须知</w:t>
          </w:r>
          <w:r>
            <w:rPr>
              <w:b w:val="0"/>
              <w:bCs w:val="0"/>
              <w:sz w:val="24"/>
              <w:szCs w:val="24"/>
            </w:rPr>
            <w:tab/>
          </w:r>
          <w:r>
            <w:rPr>
              <w:b w:val="0"/>
              <w:bCs w:val="0"/>
              <w:sz w:val="24"/>
              <w:szCs w:val="24"/>
            </w:rPr>
            <w:fldChar w:fldCharType="begin"/>
          </w:r>
          <w:r>
            <w:rPr>
              <w:b w:val="0"/>
              <w:bCs w:val="0"/>
              <w:sz w:val="24"/>
              <w:szCs w:val="24"/>
            </w:rPr>
            <w:instrText xml:space="preserve"> PAGEREF _Toc19254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rPr>
            <w:fldChar w:fldCharType="end"/>
          </w:r>
        </w:p>
        <w:p>
          <w:pPr>
            <w:pStyle w:val="20"/>
            <w:tabs>
              <w:tab w:val="right" w:leader="dot" w:pos="8958"/>
            </w:tabs>
            <w:rPr>
              <w:b w:val="0"/>
              <w:bCs w:val="0"/>
              <w:sz w:val="24"/>
              <w:szCs w:val="24"/>
            </w:rPr>
          </w:pPr>
          <w:r>
            <w:fldChar w:fldCharType="begin"/>
          </w:r>
          <w:r>
            <w:instrText xml:space="preserve"> HYPERLINK \l "_Toc3494" </w:instrText>
          </w:r>
          <w:r>
            <w:fldChar w:fldCharType="separate"/>
          </w:r>
          <w:r>
            <w:rPr>
              <w:rFonts w:hint="eastAsia"/>
              <w:b w:val="0"/>
              <w:bCs w:val="0"/>
              <w:sz w:val="24"/>
              <w:szCs w:val="24"/>
            </w:rPr>
            <w:t>第三章 项目需求</w:t>
          </w:r>
          <w:r>
            <w:rPr>
              <w:b w:val="0"/>
              <w:bCs w:val="0"/>
              <w:sz w:val="24"/>
              <w:szCs w:val="24"/>
            </w:rPr>
            <w:tab/>
          </w:r>
          <w:r>
            <w:rPr>
              <w:b w:val="0"/>
              <w:bCs w:val="0"/>
              <w:sz w:val="24"/>
              <w:szCs w:val="24"/>
            </w:rPr>
            <w:fldChar w:fldCharType="begin"/>
          </w:r>
          <w:r>
            <w:rPr>
              <w:b w:val="0"/>
              <w:bCs w:val="0"/>
              <w:sz w:val="24"/>
              <w:szCs w:val="24"/>
            </w:rPr>
            <w:instrText xml:space="preserve"> PAGEREF _Toc3494 \h </w:instrText>
          </w:r>
          <w:r>
            <w:rPr>
              <w:b w:val="0"/>
              <w:bCs w:val="0"/>
              <w:sz w:val="24"/>
              <w:szCs w:val="24"/>
            </w:rPr>
            <w:fldChar w:fldCharType="separate"/>
          </w:r>
          <w:r>
            <w:rPr>
              <w:b w:val="0"/>
              <w:bCs w:val="0"/>
              <w:sz w:val="24"/>
              <w:szCs w:val="24"/>
            </w:rPr>
            <w:t>19</w:t>
          </w:r>
          <w:r>
            <w:rPr>
              <w:b w:val="0"/>
              <w:bCs w:val="0"/>
              <w:sz w:val="24"/>
              <w:szCs w:val="24"/>
            </w:rPr>
            <w:fldChar w:fldCharType="end"/>
          </w:r>
          <w:r>
            <w:rPr>
              <w:b w:val="0"/>
              <w:bCs w:val="0"/>
              <w:sz w:val="24"/>
              <w:szCs w:val="24"/>
            </w:rPr>
            <w:fldChar w:fldCharType="end"/>
          </w:r>
        </w:p>
        <w:p>
          <w:pPr>
            <w:pStyle w:val="20"/>
            <w:tabs>
              <w:tab w:val="right" w:leader="dot" w:pos="8958"/>
            </w:tabs>
            <w:rPr>
              <w:b w:val="0"/>
              <w:bCs w:val="0"/>
              <w:sz w:val="24"/>
              <w:szCs w:val="24"/>
            </w:rPr>
          </w:pPr>
          <w:r>
            <w:fldChar w:fldCharType="begin"/>
          </w:r>
          <w:r>
            <w:instrText xml:space="preserve"> HYPERLINK \l "_Toc994" </w:instrText>
          </w:r>
          <w:r>
            <w:fldChar w:fldCharType="separate"/>
          </w:r>
          <w:r>
            <w:rPr>
              <w:rFonts w:hint="eastAsia"/>
              <w:b w:val="0"/>
              <w:bCs w:val="0"/>
              <w:sz w:val="24"/>
              <w:szCs w:val="24"/>
            </w:rPr>
            <w:t>第四章 评审标准</w:t>
          </w:r>
          <w:r>
            <w:rPr>
              <w:b w:val="0"/>
              <w:bCs w:val="0"/>
              <w:sz w:val="24"/>
              <w:szCs w:val="24"/>
            </w:rPr>
            <w:tab/>
          </w:r>
          <w:r>
            <w:rPr>
              <w:b w:val="0"/>
              <w:bCs w:val="0"/>
              <w:sz w:val="24"/>
              <w:szCs w:val="24"/>
            </w:rPr>
            <w:fldChar w:fldCharType="begin"/>
          </w:r>
          <w:r>
            <w:rPr>
              <w:b w:val="0"/>
              <w:bCs w:val="0"/>
              <w:sz w:val="24"/>
              <w:szCs w:val="24"/>
            </w:rPr>
            <w:instrText xml:space="preserve"> PAGEREF _Toc994 \h </w:instrText>
          </w:r>
          <w:r>
            <w:rPr>
              <w:b w:val="0"/>
              <w:bCs w:val="0"/>
              <w:sz w:val="24"/>
              <w:szCs w:val="24"/>
            </w:rPr>
            <w:fldChar w:fldCharType="separate"/>
          </w:r>
          <w:r>
            <w:rPr>
              <w:b w:val="0"/>
              <w:bCs w:val="0"/>
              <w:sz w:val="24"/>
              <w:szCs w:val="24"/>
            </w:rPr>
            <w:t>25</w:t>
          </w:r>
          <w:r>
            <w:rPr>
              <w:b w:val="0"/>
              <w:bCs w:val="0"/>
              <w:sz w:val="24"/>
              <w:szCs w:val="24"/>
            </w:rPr>
            <w:fldChar w:fldCharType="end"/>
          </w:r>
          <w:r>
            <w:rPr>
              <w:b w:val="0"/>
              <w:bCs w:val="0"/>
              <w:sz w:val="24"/>
              <w:szCs w:val="24"/>
            </w:rPr>
            <w:fldChar w:fldCharType="end"/>
          </w:r>
        </w:p>
        <w:p>
          <w:pPr>
            <w:pStyle w:val="20"/>
            <w:tabs>
              <w:tab w:val="right" w:leader="dot" w:pos="8958"/>
            </w:tabs>
            <w:rPr>
              <w:b w:val="0"/>
              <w:bCs w:val="0"/>
              <w:sz w:val="24"/>
              <w:szCs w:val="24"/>
            </w:rPr>
          </w:pPr>
          <w:r>
            <w:fldChar w:fldCharType="begin"/>
          </w:r>
          <w:r>
            <w:instrText xml:space="preserve"> HYPERLINK \l "_Toc25660" </w:instrText>
          </w:r>
          <w:r>
            <w:fldChar w:fldCharType="separate"/>
          </w:r>
          <w:r>
            <w:rPr>
              <w:rFonts w:hint="eastAsia"/>
              <w:b w:val="0"/>
              <w:bCs w:val="0"/>
              <w:sz w:val="24"/>
              <w:szCs w:val="24"/>
            </w:rPr>
            <w:t>第五章 合同条款及格式</w:t>
          </w:r>
          <w:r>
            <w:rPr>
              <w:b w:val="0"/>
              <w:bCs w:val="0"/>
              <w:sz w:val="24"/>
              <w:szCs w:val="24"/>
            </w:rPr>
            <w:tab/>
          </w:r>
          <w:r>
            <w:rPr>
              <w:b w:val="0"/>
              <w:bCs w:val="0"/>
              <w:sz w:val="24"/>
              <w:szCs w:val="24"/>
            </w:rPr>
            <w:fldChar w:fldCharType="begin"/>
          </w:r>
          <w:r>
            <w:rPr>
              <w:b w:val="0"/>
              <w:bCs w:val="0"/>
              <w:sz w:val="24"/>
              <w:szCs w:val="24"/>
            </w:rPr>
            <w:instrText xml:space="preserve"> PAGEREF _Toc25660 \h </w:instrText>
          </w:r>
          <w:r>
            <w:rPr>
              <w:b w:val="0"/>
              <w:bCs w:val="0"/>
              <w:sz w:val="24"/>
              <w:szCs w:val="24"/>
            </w:rPr>
            <w:fldChar w:fldCharType="separate"/>
          </w:r>
          <w:r>
            <w:rPr>
              <w:b w:val="0"/>
              <w:bCs w:val="0"/>
              <w:sz w:val="24"/>
              <w:szCs w:val="24"/>
            </w:rPr>
            <w:t>30</w:t>
          </w:r>
          <w:r>
            <w:rPr>
              <w:b w:val="0"/>
              <w:bCs w:val="0"/>
              <w:sz w:val="24"/>
              <w:szCs w:val="24"/>
            </w:rPr>
            <w:fldChar w:fldCharType="end"/>
          </w:r>
          <w:r>
            <w:rPr>
              <w:b w:val="0"/>
              <w:bCs w:val="0"/>
              <w:sz w:val="24"/>
              <w:szCs w:val="24"/>
            </w:rPr>
            <w:fldChar w:fldCharType="end"/>
          </w:r>
        </w:p>
        <w:p>
          <w:pPr>
            <w:pStyle w:val="20"/>
            <w:tabs>
              <w:tab w:val="right" w:leader="dot" w:pos="8958"/>
            </w:tabs>
            <w:rPr>
              <w:b w:val="0"/>
              <w:bCs w:val="0"/>
              <w:sz w:val="24"/>
              <w:szCs w:val="24"/>
            </w:rPr>
          </w:pPr>
          <w:r>
            <w:fldChar w:fldCharType="begin"/>
          </w:r>
          <w:r>
            <w:instrText xml:space="preserve"> HYPERLINK \l "_Toc18162" </w:instrText>
          </w:r>
          <w:r>
            <w:fldChar w:fldCharType="separate"/>
          </w:r>
          <w:r>
            <w:rPr>
              <w:rFonts w:hint="eastAsia"/>
              <w:b w:val="0"/>
              <w:bCs w:val="0"/>
              <w:sz w:val="24"/>
              <w:szCs w:val="24"/>
            </w:rPr>
            <w:t>第六章 响应文件格式</w:t>
          </w:r>
          <w:r>
            <w:rPr>
              <w:b w:val="0"/>
              <w:bCs w:val="0"/>
              <w:sz w:val="24"/>
              <w:szCs w:val="24"/>
            </w:rPr>
            <w:tab/>
          </w:r>
          <w:r>
            <w:rPr>
              <w:b w:val="0"/>
              <w:bCs w:val="0"/>
              <w:sz w:val="24"/>
              <w:szCs w:val="24"/>
            </w:rPr>
            <w:fldChar w:fldCharType="begin"/>
          </w:r>
          <w:r>
            <w:rPr>
              <w:b w:val="0"/>
              <w:bCs w:val="0"/>
              <w:sz w:val="24"/>
              <w:szCs w:val="24"/>
            </w:rPr>
            <w:instrText xml:space="preserve"> PAGEREF _Toc18162 \h </w:instrText>
          </w:r>
          <w:r>
            <w:rPr>
              <w:b w:val="0"/>
              <w:bCs w:val="0"/>
              <w:sz w:val="24"/>
              <w:szCs w:val="24"/>
            </w:rPr>
            <w:fldChar w:fldCharType="separate"/>
          </w:r>
          <w:r>
            <w:rPr>
              <w:b w:val="0"/>
              <w:bCs w:val="0"/>
              <w:sz w:val="24"/>
              <w:szCs w:val="24"/>
            </w:rPr>
            <w:t>33</w:t>
          </w:r>
          <w:r>
            <w:rPr>
              <w:b w:val="0"/>
              <w:bCs w:val="0"/>
              <w:sz w:val="24"/>
              <w:szCs w:val="24"/>
            </w:rPr>
            <w:fldChar w:fldCharType="end"/>
          </w:r>
          <w:r>
            <w:rPr>
              <w:b w:val="0"/>
              <w:bCs w:val="0"/>
              <w:sz w:val="24"/>
              <w:szCs w:val="24"/>
            </w:rPr>
            <w:fldChar w:fldCharType="end"/>
          </w:r>
        </w:p>
        <w:p>
          <w:pPr>
            <w:widowControl/>
            <w:adjustRightInd/>
            <w:spacing w:line="600" w:lineRule="exact"/>
            <w:textAlignment w:val="auto"/>
            <w:rPr>
              <w:rFonts w:hAnsi="宋体" w:eastAsia="宋体" w:cs="宋体"/>
              <w:sz w:val="24"/>
              <w:szCs w:val="24"/>
            </w:rPr>
          </w:pPr>
          <w:r>
            <w:rPr>
              <w:rFonts w:hint="eastAsia" w:hAnsi="宋体" w:eastAsia="宋体" w:cs="宋体"/>
              <w:szCs w:val="24"/>
            </w:rPr>
            <w:fldChar w:fldCharType="end"/>
          </w:r>
        </w:p>
      </w:sdtContent>
    </w:sdt>
    <w:p>
      <w:pPr>
        <w:rPr>
          <w:rFonts w:hAnsi="宋体" w:eastAsia="宋体" w:cs="宋体"/>
        </w:rPr>
      </w:pPr>
      <w:r>
        <w:rPr>
          <w:rFonts w:hint="eastAsia" w:hAnsi="宋体" w:eastAsia="宋体" w:cs="宋体"/>
        </w:rPr>
        <w:br w:type="page"/>
      </w:r>
    </w:p>
    <w:p>
      <w:pPr>
        <w:pStyle w:val="5"/>
        <w:jc w:val="center"/>
        <w:rPr>
          <w:rFonts w:cs="宋体"/>
        </w:rPr>
      </w:pPr>
      <w:bookmarkStart w:id="32" w:name="_Toc10828"/>
      <w:bookmarkStart w:id="33" w:name="_Toc28453"/>
      <w:r>
        <w:rPr>
          <w:rFonts w:hint="eastAsia" w:cs="宋体"/>
        </w:rPr>
        <w:t>第一章 竞争性磋商公告</w:t>
      </w:r>
      <w:bookmarkEnd w:id="32"/>
      <w:bookmarkEnd w:id="33"/>
    </w:p>
    <w:tbl>
      <w:tblPr>
        <w:tblStyle w:val="27"/>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noWrap/>
          </w:tcPr>
          <w:p>
            <w:pPr>
              <w:adjustRightInd/>
              <w:textAlignment w:val="auto"/>
              <w:rPr>
                <w:rFonts w:hAnsi="宋体" w:eastAsia="宋体" w:cs="宋体"/>
                <w:sz w:val="21"/>
              </w:rPr>
            </w:pPr>
            <w:bookmarkStart w:id="34" w:name="_Toc35393621"/>
            <w:bookmarkStart w:id="35" w:name="_Toc28359079"/>
            <w:bookmarkStart w:id="36" w:name="_Toc28359002"/>
            <w:bookmarkStart w:id="37" w:name="_Toc35393790"/>
            <w:bookmarkStart w:id="38" w:name="_Hlk24379207"/>
            <w:r>
              <w:rPr>
                <w:rFonts w:hint="eastAsia" w:hAnsi="宋体" w:eastAsia="宋体" w:cs="宋体"/>
                <w:sz w:val="21"/>
              </w:rPr>
              <w:t>项目概况：</w:t>
            </w:r>
          </w:p>
          <w:p>
            <w:pPr>
              <w:pStyle w:val="37"/>
              <w:widowControl w:val="0"/>
              <w:snapToGrid/>
              <w:spacing w:afterLines="0" w:line="360" w:lineRule="auto"/>
              <w:ind w:firstLine="420"/>
              <w:rPr>
                <w:rFonts w:ascii="宋体" w:hAnsi="宋体" w:cs="宋体"/>
                <w:sz w:val="21"/>
                <w:szCs w:val="21"/>
              </w:rPr>
            </w:pPr>
            <w:r>
              <w:rPr>
                <w:rFonts w:hint="eastAsia" w:ascii="宋体" w:hAnsi="宋体" w:cs="宋体"/>
                <w:sz w:val="21"/>
                <w:szCs w:val="21"/>
                <w:u w:val="single"/>
                <w:lang w:eastAsia="zh-CN"/>
              </w:rPr>
              <w:t>海曙区第四次全国文物普查野外调查项目</w:t>
            </w:r>
            <w:r>
              <w:rPr>
                <w:rFonts w:hint="eastAsia" w:ascii="宋体" w:hAnsi="宋体" w:cs="宋体"/>
                <w:sz w:val="21"/>
                <w:szCs w:val="21"/>
              </w:rPr>
              <w:t>的潜在供应商应在政府采购云平台</w:t>
            </w:r>
            <w:r>
              <w:rPr>
                <w:rFonts w:hint="eastAsia" w:ascii="宋体" w:hAnsi="宋体" w:cs="宋体"/>
                <w:sz w:val="21"/>
                <w:szCs w:val="21"/>
                <w:u w:val="single"/>
              </w:rPr>
              <w:t>（http://www.zcygov.cn/）</w:t>
            </w:r>
            <w:r>
              <w:rPr>
                <w:rFonts w:hint="eastAsia" w:ascii="宋体" w:hAnsi="宋体" w:cs="宋体"/>
                <w:sz w:val="21"/>
                <w:szCs w:val="21"/>
              </w:rPr>
              <w:t>获取（下载）采购文件，并于</w:t>
            </w:r>
            <w:r>
              <w:rPr>
                <w:rFonts w:hint="eastAsia" w:ascii="宋体" w:hAnsi="宋体" w:cs="宋体"/>
                <w:sz w:val="21"/>
                <w:szCs w:val="21"/>
                <w:u w:val="single"/>
              </w:rPr>
              <w:t>2024</w:t>
            </w:r>
            <w:r>
              <w:rPr>
                <w:rFonts w:hint="eastAsia" w:ascii="宋体" w:hAnsi="宋体" w:cs="宋体"/>
                <w:bCs/>
                <w:sz w:val="21"/>
                <w:szCs w:val="21"/>
                <w:u w:val="single"/>
              </w:rPr>
              <w:t>年</w:t>
            </w:r>
            <w:r>
              <w:rPr>
                <w:rFonts w:hint="eastAsia" w:ascii="宋体" w:hAnsi="宋体" w:cs="宋体"/>
                <w:bCs/>
                <w:sz w:val="21"/>
                <w:szCs w:val="21"/>
                <w:u w:val="single"/>
                <w:lang w:val="en-US" w:eastAsia="zh-CN"/>
              </w:rPr>
              <w:t>7</w:t>
            </w:r>
            <w:r>
              <w:rPr>
                <w:rFonts w:hint="eastAsia" w:ascii="宋体" w:hAnsi="宋体" w:cs="宋体"/>
                <w:bCs/>
                <w:sz w:val="21"/>
                <w:szCs w:val="21"/>
                <w:u w:val="single"/>
              </w:rPr>
              <w:t>月</w:t>
            </w:r>
            <w:r>
              <w:rPr>
                <w:rFonts w:hint="eastAsia" w:ascii="宋体" w:hAnsi="宋体" w:cs="宋体"/>
                <w:bCs/>
                <w:sz w:val="21"/>
                <w:szCs w:val="21"/>
                <w:u w:val="single"/>
                <w:lang w:val="en-US" w:eastAsia="zh-CN"/>
              </w:rPr>
              <w:t>8</w:t>
            </w:r>
            <w:r>
              <w:rPr>
                <w:rFonts w:hint="eastAsia" w:ascii="宋体" w:hAnsi="宋体" w:cs="宋体"/>
                <w:bCs/>
                <w:sz w:val="21"/>
                <w:szCs w:val="21"/>
                <w:u w:val="single"/>
              </w:rPr>
              <w:t>日9:00（北京时间）</w:t>
            </w:r>
            <w:r>
              <w:rPr>
                <w:rFonts w:hint="eastAsia" w:ascii="宋体" w:hAnsi="宋体" w:cs="宋体"/>
                <w:bCs/>
                <w:sz w:val="21"/>
                <w:szCs w:val="21"/>
              </w:rPr>
              <w:t>前递交（上传）响应文件</w:t>
            </w:r>
            <w:r>
              <w:rPr>
                <w:rFonts w:hint="eastAsia" w:ascii="宋体" w:hAnsi="宋体" w:cs="宋体"/>
                <w:sz w:val="21"/>
                <w:szCs w:val="21"/>
              </w:rPr>
              <w:t>。</w:t>
            </w:r>
          </w:p>
        </w:tc>
      </w:tr>
    </w:tbl>
    <w:p>
      <w:pPr>
        <w:tabs>
          <w:tab w:val="left" w:pos="720"/>
        </w:tabs>
        <w:adjustRightInd/>
        <w:textAlignment w:val="auto"/>
        <w:rPr>
          <w:rFonts w:hAnsi="宋体" w:eastAsia="宋体" w:cs="宋体"/>
          <w:b/>
          <w:sz w:val="21"/>
        </w:rPr>
      </w:pPr>
      <w:r>
        <w:rPr>
          <w:rFonts w:hint="eastAsia" w:hAnsi="宋体" w:eastAsia="宋体" w:cs="宋体"/>
          <w:b/>
          <w:sz w:val="21"/>
        </w:rPr>
        <w:t>一、项目基本情况</w:t>
      </w:r>
      <w:bookmarkEnd w:id="34"/>
      <w:bookmarkEnd w:id="35"/>
      <w:bookmarkEnd w:id="36"/>
      <w:bookmarkEnd w:id="37"/>
    </w:p>
    <w:p>
      <w:pPr>
        <w:adjustRightInd/>
        <w:ind w:firstLine="420" w:firstLineChars="200"/>
        <w:textAlignment w:val="auto"/>
        <w:rPr>
          <w:rFonts w:hint="eastAsia" w:hAnsi="宋体" w:eastAsia="宋体" w:cs="宋体"/>
          <w:sz w:val="21"/>
          <w:lang w:eastAsia="zh-CN"/>
        </w:rPr>
      </w:pPr>
      <w:r>
        <w:rPr>
          <w:rFonts w:hint="eastAsia" w:hAnsi="宋体" w:eastAsia="宋体" w:cs="宋体"/>
          <w:sz w:val="21"/>
        </w:rPr>
        <w:t>项目编号：</w:t>
      </w:r>
      <w:r>
        <w:rPr>
          <w:rFonts w:hint="eastAsia" w:hAnsi="宋体" w:eastAsia="宋体" w:cs="宋体"/>
          <w:sz w:val="21"/>
          <w:lang w:eastAsia="zh-CN"/>
        </w:rPr>
        <w:t>2024NBHSWCS263</w:t>
      </w:r>
    </w:p>
    <w:p>
      <w:pPr>
        <w:adjustRightInd/>
        <w:ind w:firstLine="420" w:firstLineChars="200"/>
        <w:textAlignment w:val="auto"/>
        <w:rPr>
          <w:rFonts w:hint="eastAsia" w:hAnsi="宋体" w:eastAsia="宋体" w:cs="宋体"/>
          <w:sz w:val="21"/>
          <w:lang w:eastAsia="zh-CN"/>
        </w:rPr>
      </w:pPr>
      <w:r>
        <w:rPr>
          <w:rFonts w:hint="eastAsia" w:hAnsi="宋体" w:eastAsia="宋体" w:cs="宋体"/>
          <w:sz w:val="21"/>
        </w:rPr>
        <w:t>项目名称：</w:t>
      </w:r>
      <w:bookmarkEnd w:id="38"/>
      <w:r>
        <w:rPr>
          <w:rFonts w:hint="eastAsia" w:hAnsi="宋体" w:eastAsia="宋体" w:cs="宋体"/>
          <w:sz w:val="21"/>
          <w:lang w:eastAsia="zh-CN"/>
        </w:rPr>
        <w:t>海曙区第四次全国文物普查野外调查项目</w:t>
      </w:r>
    </w:p>
    <w:p>
      <w:pPr>
        <w:adjustRightInd/>
        <w:ind w:firstLine="420" w:firstLineChars="200"/>
        <w:textAlignment w:val="auto"/>
        <w:rPr>
          <w:rFonts w:hAnsi="宋体" w:eastAsia="宋体" w:cs="宋体"/>
          <w:sz w:val="21"/>
        </w:rPr>
      </w:pPr>
      <w:r>
        <w:rPr>
          <w:rFonts w:hint="eastAsia" w:hAnsi="宋体" w:eastAsia="宋体" w:cs="宋体"/>
          <w:sz w:val="21"/>
        </w:rPr>
        <w:t>采购方式：竞争性磋商</w:t>
      </w:r>
    </w:p>
    <w:p>
      <w:pPr>
        <w:adjustRightInd/>
        <w:ind w:firstLine="420" w:firstLineChars="200"/>
        <w:textAlignment w:val="auto"/>
        <w:rPr>
          <w:rFonts w:hAnsi="宋体" w:eastAsia="宋体" w:cs="宋体"/>
          <w:sz w:val="21"/>
        </w:rPr>
      </w:pPr>
      <w:r>
        <w:rPr>
          <w:rFonts w:hint="eastAsia" w:hAnsi="宋体" w:eastAsia="宋体" w:cs="宋体"/>
          <w:sz w:val="21"/>
        </w:rPr>
        <w:t>预算金额（元）：2990000</w:t>
      </w:r>
    </w:p>
    <w:p>
      <w:pPr>
        <w:adjustRightInd/>
        <w:ind w:firstLine="420" w:firstLineChars="200"/>
        <w:textAlignment w:val="auto"/>
        <w:rPr>
          <w:rFonts w:hAnsi="宋体" w:eastAsia="宋体" w:cs="宋体"/>
          <w:sz w:val="21"/>
        </w:rPr>
      </w:pPr>
      <w:r>
        <w:rPr>
          <w:rFonts w:hint="eastAsia" w:hAnsi="宋体" w:eastAsia="宋体" w:cs="宋体"/>
          <w:sz w:val="21"/>
        </w:rPr>
        <w:t>最高限价（元）：2990000</w:t>
      </w:r>
    </w:p>
    <w:p>
      <w:pPr>
        <w:adjustRightInd/>
        <w:ind w:firstLine="420" w:firstLineChars="200"/>
        <w:textAlignment w:val="auto"/>
        <w:rPr>
          <w:rFonts w:hAnsi="宋体" w:eastAsia="宋体" w:cs="宋体"/>
          <w:sz w:val="21"/>
        </w:rPr>
      </w:pPr>
      <w:r>
        <w:rPr>
          <w:rFonts w:hint="eastAsia" w:hAnsi="宋体" w:eastAsia="宋体" w:cs="宋体"/>
          <w:sz w:val="21"/>
        </w:rPr>
        <w:t>采购需求：</w:t>
      </w:r>
    </w:p>
    <w:p>
      <w:pPr>
        <w:adjustRightInd/>
        <w:ind w:firstLine="420" w:firstLineChars="200"/>
        <w:textAlignment w:val="auto"/>
        <w:rPr>
          <w:rFonts w:hAnsi="宋体" w:eastAsia="宋体" w:cs="宋体"/>
          <w:sz w:val="21"/>
        </w:rPr>
      </w:pPr>
      <w:r>
        <w:rPr>
          <w:rFonts w:hint="eastAsia" w:hAnsi="宋体" w:eastAsia="宋体" w:cs="宋体"/>
          <w:sz w:val="21"/>
        </w:rPr>
        <w:t>数量：1</w:t>
      </w:r>
    </w:p>
    <w:p>
      <w:pPr>
        <w:adjustRightInd/>
        <w:ind w:firstLine="420" w:firstLineChars="200"/>
        <w:textAlignment w:val="auto"/>
        <w:rPr>
          <w:rFonts w:hAnsi="宋体" w:eastAsia="宋体" w:cs="宋体"/>
          <w:sz w:val="21"/>
        </w:rPr>
      </w:pPr>
      <w:r>
        <w:rPr>
          <w:rFonts w:hint="eastAsia" w:hAnsi="宋体" w:eastAsia="宋体" w:cs="宋体"/>
          <w:sz w:val="21"/>
        </w:rPr>
        <w:t>预算金额（元）:2990000</w:t>
      </w:r>
    </w:p>
    <w:p>
      <w:pPr>
        <w:adjustRightInd/>
        <w:ind w:firstLine="420" w:firstLineChars="200"/>
        <w:textAlignment w:val="auto"/>
      </w:pPr>
      <w:r>
        <w:rPr>
          <w:rFonts w:hint="eastAsia" w:hAnsi="宋体" w:eastAsia="宋体" w:cs="宋体"/>
          <w:sz w:val="21"/>
        </w:rPr>
        <w:t>单位：项</w:t>
      </w:r>
    </w:p>
    <w:p>
      <w:pPr>
        <w:adjustRightInd/>
        <w:ind w:firstLine="420" w:firstLineChars="200"/>
        <w:textAlignment w:val="auto"/>
        <w:rPr>
          <w:rFonts w:hAnsi="宋体" w:eastAsia="宋体" w:cs="宋体"/>
          <w:sz w:val="21"/>
        </w:rPr>
      </w:pPr>
      <w:r>
        <w:rPr>
          <w:rFonts w:hint="eastAsia" w:hAnsi="宋体" w:eastAsia="宋体" w:cs="宋体"/>
          <w:sz w:val="21"/>
        </w:rPr>
        <w:t>简要规格描述或项目基本概况介绍、用途：开展</w:t>
      </w:r>
      <w:r>
        <w:rPr>
          <w:rFonts w:hint="eastAsia" w:hAnsi="宋体" w:eastAsia="宋体" w:cs="宋体"/>
          <w:sz w:val="21"/>
          <w:lang w:eastAsia="zh-CN"/>
        </w:rPr>
        <w:t>海曙区第四次全国文物普查野外调查项目</w:t>
      </w:r>
      <w:r>
        <w:rPr>
          <w:rFonts w:hint="eastAsia" w:hAnsi="宋体" w:eastAsia="宋体" w:cs="宋体"/>
          <w:sz w:val="21"/>
        </w:rPr>
        <w:t>工作，详见竞争性磋商文件第三章“项目需求”。</w:t>
      </w:r>
    </w:p>
    <w:p>
      <w:pPr>
        <w:ind w:firstLine="420" w:firstLineChars="200"/>
        <w:rPr>
          <w:rFonts w:ascii="仿宋_GB2312" w:hAnsi="黑体" w:eastAsia="仿宋_GB2312" w:cs="黑体"/>
          <w:bCs/>
          <w:spacing w:val="-11"/>
          <w:sz w:val="32"/>
          <w:szCs w:val="32"/>
        </w:rPr>
      </w:pPr>
      <w:r>
        <w:rPr>
          <w:rFonts w:hint="eastAsia" w:hAnsi="宋体" w:eastAsia="宋体" w:cs="宋体"/>
          <w:sz w:val="21"/>
        </w:rPr>
        <w:t>合同履约期限：自合同签订之日起至2026年6月，做好后续免费维护期相关工作。</w:t>
      </w:r>
    </w:p>
    <w:p>
      <w:pPr>
        <w:adjustRightInd/>
        <w:ind w:firstLine="420" w:firstLineChars="200"/>
        <w:textAlignment w:val="auto"/>
        <w:rPr>
          <w:rFonts w:hAnsi="宋体" w:eastAsia="宋体" w:cs="宋体"/>
          <w:sz w:val="21"/>
        </w:rPr>
      </w:pPr>
      <w:r>
        <w:rPr>
          <w:rFonts w:hint="eastAsia" w:hAnsi="宋体" w:eastAsia="宋体" w:cs="宋体"/>
          <w:sz w:val="21"/>
        </w:rPr>
        <w:t>本项目（否）接受联合体投标。</w:t>
      </w:r>
    </w:p>
    <w:p>
      <w:pPr>
        <w:tabs>
          <w:tab w:val="left" w:pos="720"/>
        </w:tabs>
        <w:adjustRightInd/>
        <w:textAlignment w:val="auto"/>
        <w:rPr>
          <w:rFonts w:hAnsi="宋体" w:eastAsia="宋体" w:cs="宋体"/>
          <w:b/>
          <w:sz w:val="21"/>
        </w:rPr>
      </w:pPr>
      <w:bookmarkStart w:id="39" w:name="_Toc35393791"/>
      <w:bookmarkStart w:id="40" w:name="_Toc35393622"/>
      <w:bookmarkStart w:id="41" w:name="_Toc28359080"/>
      <w:bookmarkStart w:id="42" w:name="_Toc28359003"/>
      <w:r>
        <w:rPr>
          <w:rFonts w:hint="eastAsia" w:hAnsi="宋体" w:eastAsia="宋体" w:cs="宋体"/>
          <w:b/>
          <w:sz w:val="21"/>
        </w:rPr>
        <w:t>二、申请人的资格要求：</w:t>
      </w:r>
      <w:bookmarkEnd w:id="39"/>
      <w:bookmarkEnd w:id="40"/>
      <w:bookmarkEnd w:id="41"/>
      <w:bookmarkEnd w:id="42"/>
    </w:p>
    <w:p>
      <w:pPr>
        <w:adjustRightInd/>
        <w:ind w:firstLine="420" w:firstLineChars="200"/>
        <w:textAlignment w:val="auto"/>
        <w:rPr>
          <w:rFonts w:hAnsi="宋体" w:eastAsia="宋体" w:cs="宋体"/>
          <w:sz w:val="21"/>
        </w:rPr>
      </w:pPr>
      <w:r>
        <w:rPr>
          <w:rFonts w:hint="eastAsia" w:hAnsi="宋体" w:eastAsia="宋体" w:cs="宋体"/>
          <w:sz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ind w:firstLine="420" w:firstLineChars="200"/>
        <w:rPr>
          <w:rFonts w:hAnsi="宋体" w:eastAsia="宋体" w:cs="宋体"/>
          <w:sz w:val="21"/>
        </w:rPr>
      </w:pPr>
      <w:bookmarkStart w:id="43" w:name="_Toc28359081"/>
      <w:bookmarkStart w:id="44" w:name="_Toc28359004"/>
      <w:r>
        <w:rPr>
          <w:rFonts w:hint="eastAsia" w:hAnsi="宋体" w:eastAsia="宋体" w:cs="宋体"/>
          <w:sz w:val="21"/>
        </w:rPr>
        <w:t>2.落实政府采购政策需满足的资格要求：本项目专门面向中小企业。</w:t>
      </w:r>
    </w:p>
    <w:p>
      <w:pPr>
        <w:adjustRightInd/>
        <w:ind w:firstLine="420" w:firstLineChars="200"/>
        <w:rPr>
          <w:rFonts w:hAnsi="宋体" w:eastAsia="宋体" w:cs="宋体"/>
          <w:sz w:val="21"/>
        </w:rPr>
      </w:pPr>
      <w:r>
        <w:rPr>
          <w:rFonts w:hint="eastAsia" w:hAnsi="宋体" w:eastAsia="宋体" w:cs="宋体"/>
          <w:sz w:val="21"/>
        </w:rPr>
        <w:t>3.本项目的特定资格要求：供应商具有文物保护工程勘察设计乙级及以上资质。</w:t>
      </w:r>
    </w:p>
    <w:p>
      <w:pPr>
        <w:tabs>
          <w:tab w:val="left" w:pos="720"/>
        </w:tabs>
        <w:adjustRightInd/>
        <w:textAlignment w:val="auto"/>
        <w:rPr>
          <w:rFonts w:hAnsi="宋体" w:eastAsia="宋体" w:cs="宋体"/>
          <w:b/>
          <w:sz w:val="21"/>
        </w:rPr>
      </w:pPr>
      <w:bookmarkStart w:id="45" w:name="_Toc35393792"/>
      <w:bookmarkStart w:id="46" w:name="_Toc35393623"/>
      <w:r>
        <w:rPr>
          <w:rFonts w:hint="eastAsia" w:hAnsi="宋体" w:eastAsia="宋体" w:cs="宋体"/>
          <w:b/>
          <w:sz w:val="21"/>
        </w:rPr>
        <w:t>三、</w:t>
      </w:r>
      <w:bookmarkEnd w:id="43"/>
      <w:bookmarkEnd w:id="44"/>
      <w:bookmarkEnd w:id="45"/>
      <w:bookmarkEnd w:id="46"/>
      <w:r>
        <w:rPr>
          <w:rFonts w:hint="eastAsia" w:hAnsi="宋体" w:eastAsia="宋体" w:cs="宋体"/>
          <w:b/>
          <w:sz w:val="21"/>
        </w:rPr>
        <w:t>获取（下载）采购文件</w:t>
      </w:r>
    </w:p>
    <w:p>
      <w:pPr>
        <w:adjustRightInd/>
        <w:ind w:firstLine="540"/>
        <w:textAlignment w:val="auto"/>
        <w:rPr>
          <w:rFonts w:hAnsi="宋体" w:eastAsia="宋体" w:cs="宋体"/>
          <w:sz w:val="21"/>
        </w:rPr>
      </w:pPr>
      <w:r>
        <w:rPr>
          <w:rFonts w:hint="eastAsia" w:hAnsi="宋体" w:eastAsia="宋体" w:cs="宋体"/>
          <w:sz w:val="21"/>
        </w:rPr>
        <w:t>1.时间：</w:t>
      </w:r>
      <w:r>
        <w:rPr>
          <w:rFonts w:hint="eastAsia" w:hAnsi="宋体" w:eastAsia="宋体" w:cs="宋体"/>
          <w:sz w:val="21"/>
          <w:u w:val="single"/>
        </w:rPr>
        <w:t>2024年</w:t>
      </w:r>
      <w:r>
        <w:rPr>
          <w:rFonts w:hint="eastAsia" w:hAnsi="宋体" w:eastAsia="宋体" w:cs="宋体"/>
          <w:sz w:val="21"/>
          <w:u w:val="single"/>
          <w:lang w:val="en-US" w:eastAsia="zh-CN"/>
        </w:rPr>
        <w:t>6</w:t>
      </w:r>
      <w:r>
        <w:rPr>
          <w:rFonts w:hint="eastAsia" w:hAnsi="宋体" w:eastAsia="宋体" w:cs="宋体"/>
          <w:sz w:val="21"/>
          <w:u w:val="single"/>
        </w:rPr>
        <w:t>月</w:t>
      </w:r>
      <w:r>
        <w:rPr>
          <w:rFonts w:hint="eastAsia" w:hAnsi="宋体" w:eastAsia="宋体" w:cs="宋体"/>
          <w:sz w:val="21"/>
          <w:u w:val="single"/>
          <w:lang w:val="en-US" w:eastAsia="zh-CN"/>
        </w:rPr>
        <w:t>28</w:t>
      </w:r>
      <w:r>
        <w:rPr>
          <w:rFonts w:hint="eastAsia" w:hAnsi="宋体" w:eastAsia="宋体" w:cs="宋体"/>
          <w:sz w:val="21"/>
          <w:u w:val="single"/>
        </w:rPr>
        <w:t>日</w:t>
      </w:r>
      <w:r>
        <w:rPr>
          <w:rFonts w:hint="eastAsia" w:hAnsi="宋体" w:eastAsia="宋体" w:cs="宋体"/>
          <w:sz w:val="21"/>
        </w:rPr>
        <w:t>至</w:t>
      </w:r>
      <w:r>
        <w:rPr>
          <w:rFonts w:hint="eastAsia" w:hAnsi="宋体" w:eastAsia="宋体" w:cs="宋体"/>
          <w:sz w:val="21"/>
          <w:u w:val="single"/>
        </w:rPr>
        <w:t>2024年</w:t>
      </w:r>
      <w:r>
        <w:rPr>
          <w:rFonts w:hint="eastAsia" w:hAnsi="宋体" w:eastAsia="宋体" w:cs="宋体"/>
          <w:sz w:val="21"/>
          <w:u w:val="single"/>
          <w:lang w:val="en-US" w:eastAsia="zh-CN"/>
        </w:rPr>
        <w:t>7</w:t>
      </w:r>
      <w:r>
        <w:rPr>
          <w:rFonts w:hint="eastAsia" w:hAnsi="宋体" w:eastAsia="宋体" w:cs="宋体"/>
          <w:sz w:val="21"/>
          <w:u w:val="single"/>
        </w:rPr>
        <w:t>月</w:t>
      </w:r>
      <w:r>
        <w:rPr>
          <w:rFonts w:hint="eastAsia" w:hAnsi="宋体" w:eastAsia="宋体" w:cs="宋体"/>
          <w:sz w:val="21"/>
          <w:u w:val="single"/>
          <w:lang w:val="en-US" w:eastAsia="zh-CN"/>
        </w:rPr>
        <w:t>5</w:t>
      </w:r>
      <w:r>
        <w:rPr>
          <w:rFonts w:hint="eastAsia" w:hAnsi="宋体" w:eastAsia="宋体" w:cs="宋体"/>
          <w:sz w:val="21"/>
          <w:u w:val="single"/>
        </w:rPr>
        <w:t>日</w:t>
      </w:r>
      <w:r>
        <w:rPr>
          <w:rFonts w:hint="eastAsia" w:hAnsi="宋体" w:eastAsia="宋体" w:cs="宋体"/>
          <w:sz w:val="21"/>
        </w:rPr>
        <w:t>，每天上午</w:t>
      </w:r>
      <w:r>
        <w:rPr>
          <w:rFonts w:hint="eastAsia" w:hAnsi="宋体" w:eastAsia="宋体" w:cs="宋体"/>
          <w:sz w:val="21"/>
          <w:u w:val="single"/>
        </w:rPr>
        <w:t>00:00</w:t>
      </w:r>
      <w:r>
        <w:rPr>
          <w:rFonts w:hint="eastAsia" w:hAnsi="宋体" w:eastAsia="宋体" w:cs="宋体"/>
          <w:sz w:val="21"/>
        </w:rPr>
        <w:t>至</w:t>
      </w:r>
      <w:r>
        <w:rPr>
          <w:rFonts w:hint="eastAsia" w:hAnsi="宋体" w:eastAsia="宋体" w:cs="宋体"/>
          <w:sz w:val="21"/>
          <w:u w:val="single"/>
        </w:rPr>
        <w:t>12:00</w:t>
      </w:r>
      <w:r>
        <w:rPr>
          <w:rFonts w:hint="eastAsia" w:hAnsi="宋体" w:eastAsia="宋体" w:cs="宋体"/>
          <w:sz w:val="21"/>
        </w:rPr>
        <w:t>，下午</w:t>
      </w:r>
      <w:r>
        <w:rPr>
          <w:rFonts w:hint="eastAsia" w:hAnsi="宋体" w:eastAsia="宋体" w:cs="宋体"/>
          <w:sz w:val="21"/>
          <w:u w:val="single"/>
        </w:rPr>
        <w:t>12:00</w:t>
      </w:r>
      <w:r>
        <w:rPr>
          <w:rFonts w:hint="eastAsia" w:hAnsi="宋体" w:eastAsia="宋体" w:cs="宋体"/>
          <w:sz w:val="21"/>
        </w:rPr>
        <w:t>至</w:t>
      </w:r>
      <w:r>
        <w:rPr>
          <w:rFonts w:hint="eastAsia" w:hAnsi="宋体" w:eastAsia="宋体" w:cs="宋体"/>
          <w:sz w:val="21"/>
          <w:u w:val="single"/>
        </w:rPr>
        <w:t>23:59</w:t>
      </w:r>
      <w:r>
        <w:rPr>
          <w:rFonts w:hint="eastAsia" w:hAnsi="宋体" w:eastAsia="宋体" w:cs="宋体"/>
          <w:sz w:val="21"/>
        </w:rPr>
        <w:t>（北京时间，线上获取法定节假日均可，线下获取文件法定节假日除外）。</w:t>
      </w:r>
    </w:p>
    <w:p>
      <w:pPr>
        <w:adjustRightInd/>
        <w:ind w:firstLine="540"/>
        <w:textAlignment w:val="auto"/>
        <w:rPr>
          <w:rFonts w:hAnsi="宋体" w:eastAsia="宋体" w:cs="宋体"/>
          <w:sz w:val="21"/>
          <w:u w:val="single"/>
        </w:rPr>
      </w:pPr>
      <w:r>
        <w:rPr>
          <w:rFonts w:hint="eastAsia" w:hAnsi="宋体" w:eastAsia="宋体" w:cs="宋体"/>
          <w:sz w:val="21"/>
        </w:rPr>
        <w:t>2.地点（网址）：政府采购云平台（http://www.zcygov.cn/）。</w:t>
      </w:r>
    </w:p>
    <w:p>
      <w:pPr>
        <w:adjustRightInd/>
        <w:ind w:firstLine="540"/>
        <w:textAlignment w:val="auto"/>
        <w:rPr>
          <w:rFonts w:hAnsi="宋体" w:eastAsia="宋体" w:cs="宋体"/>
          <w:sz w:val="21"/>
          <w:u w:val="single"/>
        </w:rPr>
      </w:pPr>
      <w:r>
        <w:rPr>
          <w:rFonts w:hint="eastAsia" w:hAnsi="宋体" w:eastAsia="宋体" w:cs="宋体"/>
          <w:sz w:val="21"/>
        </w:rPr>
        <w:t>3.方式：供应商注册后直接登录“政府采购云平台”（http://www.zcygov.cn/）下载电子磋商文件。供应商未在规定时间内或未按上述方式获取磋商文件的，其投标无效。</w:t>
      </w:r>
    </w:p>
    <w:p>
      <w:pPr>
        <w:adjustRightInd/>
        <w:ind w:firstLine="540"/>
        <w:textAlignment w:val="auto"/>
        <w:rPr>
          <w:rFonts w:hAnsi="宋体" w:eastAsia="宋体" w:cs="宋体"/>
          <w:sz w:val="21"/>
        </w:rPr>
      </w:pPr>
      <w:r>
        <w:rPr>
          <w:rFonts w:hint="eastAsia" w:hAnsi="宋体" w:eastAsia="宋体" w:cs="宋体"/>
          <w:sz w:val="21"/>
        </w:rPr>
        <w:t>4.售价（元）：0</w:t>
      </w:r>
    </w:p>
    <w:p>
      <w:pPr>
        <w:tabs>
          <w:tab w:val="left" w:pos="720"/>
        </w:tabs>
        <w:adjustRightInd/>
        <w:textAlignment w:val="auto"/>
        <w:rPr>
          <w:rFonts w:hAnsi="宋体" w:eastAsia="宋体" w:cs="宋体"/>
          <w:b/>
          <w:sz w:val="21"/>
        </w:rPr>
      </w:pPr>
      <w:bookmarkStart w:id="47" w:name="_Toc28359082"/>
      <w:bookmarkStart w:id="48" w:name="_Toc35393793"/>
      <w:bookmarkStart w:id="49" w:name="_Toc28359005"/>
      <w:bookmarkStart w:id="50" w:name="_Toc35393624"/>
      <w:r>
        <w:rPr>
          <w:rFonts w:hint="eastAsia" w:hAnsi="宋体" w:eastAsia="宋体" w:cs="宋体"/>
          <w:b/>
          <w:sz w:val="21"/>
        </w:rPr>
        <w:t>四、</w:t>
      </w:r>
      <w:bookmarkEnd w:id="47"/>
      <w:bookmarkEnd w:id="48"/>
      <w:bookmarkEnd w:id="49"/>
      <w:bookmarkEnd w:id="50"/>
      <w:r>
        <w:rPr>
          <w:rFonts w:hint="eastAsia" w:hAnsi="宋体" w:eastAsia="宋体" w:cs="宋体"/>
          <w:b/>
          <w:sz w:val="21"/>
        </w:rPr>
        <w:t>响应文件提交（上传）</w:t>
      </w:r>
    </w:p>
    <w:p>
      <w:pPr>
        <w:adjustRightInd/>
        <w:spacing w:line="336" w:lineRule="auto"/>
        <w:ind w:firstLine="540"/>
        <w:textAlignment w:val="auto"/>
        <w:rPr>
          <w:rFonts w:hAnsi="宋体" w:eastAsia="宋体" w:cs="宋体"/>
          <w:sz w:val="21"/>
        </w:rPr>
      </w:pPr>
      <w:r>
        <w:rPr>
          <w:rFonts w:hint="eastAsia" w:hAnsi="宋体" w:eastAsia="宋体" w:cs="宋体"/>
          <w:sz w:val="21"/>
        </w:rPr>
        <w:t>1.截止时间：2024年</w:t>
      </w:r>
      <w:r>
        <w:rPr>
          <w:rFonts w:hint="eastAsia" w:hAnsi="宋体" w:eastAsia="宋体" w:cs="宋体"/>
          <w:sz w:val="21"/>
          <w:lang w:val="en-US" w:eastAsia="zh-CN"/>
        </w:rPr>
        <w:t>7</w:t>
      </w:r>
      <w:r>
        <w:rPr>
          <w:rFonts w:hint="eastAsia" w:hAnsi="宋体" w:eastAsia="宋体" w:cs="宋体"/>
          <w:sz w:val="21"/>
        </w:rPr>
        <w:t>月</w:t>
      </w:r>
      <w:r>
        <w:rPr>
          <w:rFonts w:hint="eastAsia" w:hAnsi="宋体" w:eastAsia="宋体" w:cs="宋体"/>
          <w:sz w:val="21"/>
          <w:lang w:val="en-US" w:eastAsia="zh-CN"/>
        </w:rPr>
        <w:t>8</w:t>
      </w:r>
      <w:r>
        <w:rPr>
          <w:rFonts w:hint="eastAsia" w:hAnsi="宋体" w:eastAsia="宋体" w:cs="宋体"/>
          <w:sz w:val="21"/>
        </w:rPr>
        <w:t>日9:00（北京时间）。</w:t>
      </w:r>
    </w:p>
    <w:p>
      <w:pPr>
        <w:adjustRightInd/>
        <w:spacing w:line="336" w:lineRule="auto"/>
        <w:ind w:firstLine="540"/>
        <w:textAlignment w:val="auto"/>
        <w:rPr>
          <w:rFonts w:hAnsi="宋体" w:eastAsia="宋体" w:cs="宋体"/>
          <w:sz w:val="21"/>
        </w:rPr>
      </w:pPr>
      <w:r>
        <w:rPr>
          <w:rFonts w:hint="eastAsia" w:hAnsi="宋体" w:eastAsia="宋体" w:cs="宋体"/>
          <w:sz w:val="21"/>
        </w:rPr>
        <w:t>2.地点（网址）：宁波市海曙区公共资源交易中心二楼开标室</w:t>
      </w:r>
      <w:r>
        <w:rPr>
          <w:rFonts w:hint="eastAsia" w:hAnsi="宋体" w:eastAsia="宋体" w:cs="宋体"/>
          <w:sz w:val="21"/>
          <w:lang w:val="en-US" w:eastAsia="zh-CN"/>
        </w:rPr>
        <w:t>3</w:t>
      </w:r>
      <w:r>
        <w:rPr>
          <w:rFonts w:hint="eastAsia" w:hAnsi="宋体" w:eastAsia="宋体" w:cs="宋体"/>
          <w:sz w:val="21"/>
        </w:rPr>
        <w:t>[宁波市海曙区气象路58号(南门上)]。政府采购云平台（http://www.zcygov.cn/）。</w:t>
      </w:r>
    </w:p>
    <w:p>
      <w:pPr>
        <w:adjustRightInd/>
        <w:spacing w:line="336" w:lineRule="auto"/>
        <w:textAlignment w:val="auto"/>
        <w:rPr>
          <w:rFonts w:hAnsi="宋体" w:eastAsia="宋体" w:cs="宋体"/>
          <w:sz w:val="21"/>
        </w:rPr>
      </w:pPr>
      <w:r>
        <w:rPr>
          <w:rFonts w:hint="eastAsia" w:hAnsi="宋体" w:eastAsia="宋体" w:cs="宋体"/>
          <w:b/>
          <w:sz w:val="21"/>
        </w:rPr>
        <w:t>五、响应文件开启</w:t>
      </w:r>
    </w:p>
    <w:p>
      <w:pPr>
        <w:adjustRightInd/>
        <w:spacing w:line="336" w:lineRule="auto"/>
        <w:ind w:firstLine="540"/>
        <w:textAlignment w:val="auto"/>
        <w:rPr>
          <w:rFonts w:hAnsi="宋体" w:eastAsia="宋体" w:cs="宋体"/>
          <w:sz w:val="21"/>
        </w:rPr>
      </w:pPr>
      <w:r>
        <w:rPr>
          <w:rFonts w:hint="eastAsia" w:hAnsi="宋体" w:eastAsia="宋体" w:cs="宋体"/>
          <w:sz w:val="21"/>
        </w:rPr>
        <w:t>1.开启时间：2024年</w:t>
      </w:r>
      <w:r>
        <w:rPr>
          <w:rFonts w:hint="eastAsia" w:hAnsi="宋体" w:eastAsia="宋体" w:cs="宋体"/>
          <w:sz w:val="21"/>
          <w:lang w:val="en-US" w:eastAsia="zh-CN"/>
        </w:rPr>
        <w:t>7</w:t>
      </w:r>
      <w:r>
        <w:rPr>
          <w:rFonts w:hint="eastAsia" w:hAnsi="宋体" w:eastAsia="宋体" w:cs="宋体"/>
          <w:sz w:val="21"/>
        </w:rPr>
        <w:t>月</w:t>
      </w:r>
      <w:r>
        <w:rPr>
          <w:rFonts w:hint="eastAsia" w:hAnsi="宋体" w:eastAsia="宋体" w:cs="宋体"/>
          <w:sz w:val="21"/>
          <w:lang w:val="en-US" w:eastAsia="zh-CN"/>
        </w:rPr>
        <w:t>8</w:t>
      </w:r>
      <w:r>
        <w:rPr>
          <w:rFonts w:hint="eastAsia" w:hAnsi="宋体" w:eastAsia="宋体" w:cs="宋体"/>
          <w:sz w:val="21"/>
        </w:rPr>
        <w:t>日9:00（北京时间）。</w:t>
      </w:r>
    </w:p>
    <w:p>
      <w:pPr>
        <w:adjustRightInd/>
        <w:ind w:firstLine="540"/>
        <w:textAlignment w:val="auto"/>
        <w:rPr>
          <w:rFonts w:hAnsi="宋体" w:eastAsia="宋体" w:cs="宋体"/>
          <w:sz w:val="21"/>
        </w:rPr>
      </w:pPr>
      <w:r>
        <w:rPr>
          <w:rFonts w:hint="eastAsia" w:hAnsi="宋体" w:eastAsia="宋体" w:cs="宋体"/>
          <w:sz w:val="21"/>
        </w:rPr>
        <w:t>2.地点（网址）：宁波市海曙区公共资源交易中心二楼开标室</w:t>
      </w:r>
      <w:r>
        <w:rPr>
          <w:rFonts w:hint="eastAsia" w:hAnsi="宋体" w:eastAsia="宋体" w:cs="宋体"/>
          <w:sz w:val="21"/>
          <w:lang w:val="en-US" w:eastAsia="zh-CN"/>
        </w:rPr>
        <w:t>3</w:t>
      </w:r>
      <w:r>
        <w:rPr>
          <w:rFonts w:hint="eastAsia" w:hAnsi="宋体" w:eastAsia="宋体" w:cs="宋体"/>
          <w:sz w:val="21"/>
        </w:rPr>
        <w:t>[宁波市海曙区气象路58号(南门上)]。政府采购云平台（http://www.zcygov.cn/）。</w:t>
      </w:r>
    </w:p>
    <w:p>
      <w:pPr>
        <w:tabs>
          <w:tab w:val="left" w:pos="720"/>
        </w:tabs>
        <w:adjustRightInd/>
        <w:textAlignment w:val="auto"/>
        <w:rPr>
          <w:rFonts w:hAnsi="宋体" w:eastAsia="宋体" w:cs="宋体"/>
          <w:b/>
          <w:sz w:val="21"/>
        </w:rPr>
      </w:pPr>
      <w:bookmarkStart w:id="51" w:name="_Toc28359084"/>
      <w:bookmarkStart w:id="52" w:name="_Toc35393625"/>
      <w:bookmarkStart w:id="53" w:name="_Toc35393794"/>
      <w:bookmarkStart w:id="54" w:name="_Toc28359007"/>
      <w:r>
        <w:rPr>
          <w:rFonts w:hint="eastAsia" w:hAnsi="宋体" w:eastAsia="宋体" w:cs="宋体"/>
          <w:b/>
          <w:sz w:val="21"/>
        </w:rPr>
        <w:t>六、公告期限</w:t>
      </w:r>
      <w:bookmarkEnd w:id="51"/>
      <w:bookmarkEnd w:id="52"/>
      <w:bookmarkEnd w:id="53"/>
      <w:bookmarkEnd w:id="54"/>
    </w:p>
    <w:p>
      <w:pPr>
        <w:adjustRightInd/>
        <w:ind w:firstLine="420" w:firstLineChars="200"/>
        <w:textAlignment w:val="auto"/>
        <w:rPr>
          <w:rFonts w:hAnsi="宋体" w:eastAsia="宋体" w:cs="宋体"/>
          <w:sz w:val="21"/>
        </w:rPr>
      </w:pPr>
      <w:r>
        <w:rPr>
          <w:rFonts w:hint="eastAsia" w:hAnsi="宋体" w:eastAsia="宋体" w:cs="宋体"/>
          <w:sz w:val="21"/>
        </w:rPr>
        <w:t>自本公告发布之日起3个工作日。</w:t>
      </w:r>
    </w:p>
    <w:p>
      <w:pPr>
        <w:tabs>
          <w:tab w:val="left" w:pos="720"/>
        </w:tabs>
        <w:adjustRightInd/>
        <w:textAlignment w:val="auto"/>
        <w:rPr>
          <w:rFonts w:hAnsi="宋体" w:eastAsia="宋体" w:cs="宋体"/>
          <w:b/>
          <w:sz w:val="21"/>
        </w:rPr>
      </w:pPr>
      <w:r>
        <w:rPr>
          <w:rFonts w:hint="eastAsia" w:hAnsi="宋体" w:eastAsia="宋体" w:cs="宋体"/>
          <w:b/>
          <w:sz w:val="21"/>
        </w:rPr>
        <w:t>七、其他补充事宜</w:t>
      </w:r>
    </w:p>
    <w:p>
      <w:pPr>
        <w:widowControl/>
        <w:adjustRightInd/>
        <w:ind w:firstLine="420" w:firstLineChars="200"/>
        <w:textAlignment w:val="auto"/>
        <w:rPr>
          <w:rFonts w:hAnsi="宋体" w:eastAsia="宋体" w:cs="宋体"/>
          <w:sz w:val="21"/>
        </w:rPr>
      </w:pPr>
      <w:r>
        <w:rPr>
          <w:rFonts w:hint="eastAsia" w:hAnsi="宋体" w:eastAsia="宋体" w:cs="宋体"/>
          <w:sz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ind w:firstLine="420" w:firstLineChars="200"/>
        <w:textAlignment w:val="auto"/>
        <w:rPr>
          <w:rFonts w:hAnsi="宋体" w:eastAsia="宋体" w:cs="宋体"/>
          <w:sz w:val="21"/>
        </w:rPr>
      </w:pPr>
      <w:r>
        <w:rPr>
          <w:rFonts w:hint="eastAsia" w:hAnsi="宋体" w:eastAsia="宋体" w:cs="宋体"/>
          <w:sz w:val="21"/>
        </w:rPr>
        <w:t>2.其他事项：</w:t>
      </w:r>
    </w:p>
    <w:p>
      <w:pPr>
        <w:widowControl/>
        <w:adjustRightInd/>
        <w:ind w:firstLine="420" w:firstLineChars="200"/>
        <w:textAlignment w:val="auto"/>
        <w:rPr>
          <w:rFonts w:hAnsi="宋体" w:eastAsia="宋体" w:cs="宋体"/>
          <w:sz w:val="21"/>
        </w:rPr>
      </w:pPr>
      <w:r>
        <w:rPr>
          <w:rFonts w:hint="eastAsia" w:hAnsi="宋体" w:eastAsia="宋体" w:cs="宋体"/>
          <w:sz w:val="21"/>
        </w:rPr>
        <w:t>2.1落实的政策：《关于促进残疾人就业政府采购政策的通知》（财库〔2017〕141号）、《政府采购促进中小企业发展管理办法》（财库〔2020〕46号）、《关于政府采购支持监狱企业发展有关问题的通知》(财库〔2014〕68号)、《浙江省财政厅关于进一步加大政府采购支持中小企业力度助力扎实稳住经济的通知》（浙财采监〔2023〕8号）。</w:t>
      </w:r>
    </w:p>
    <w:p>
      <w:pPr>
        <w:widowControl/>
        <w:adjustRightInd/>
        <w:ind w:firstLine="420" w:firstLineChars="200"/>
        <w:textAlignment w:val="auto"/>
        <w:rPr>
          <w:rFonts w:hAnsi="宋体" w:eastAsia="宋体" w:cs="宋体"/>
          <w:sz w:val="21"/>
        </w:rPr>
      </w:pPr>
      <w:r>
        <w:rPr>
          <w:rFonts w:hint="eastAsia" w:hAnsi="宋体" w:eastAsia="宋体" w:cs="宋体"/>
          <w:sz w:val="21"/>
        </w:rPr>
        <w:t>2.2投标与开标注意事项</w:t>
      </w:r>
    </w:p>
    <w:p>
      <w:pPr>
        <w:widowControl/>
        <w:numPr>
          <w:ilvl w:val="0"/>
          <w:numId w:val="2"/>
        </w:numPr>
        <w:adjustRightInd/>
        <w:textAlignment w:val="auto"/>
        <w:rPr>
          <w:rFonts w:hAnsi="宋体" w:eastAsia="宋体" w:cs="宋体"/>
          <w:sz w:val="21"/>
        </w:rPr>
      </w:pPr>
      <w:r>
        <w:rPr>
          <w:rFonts w:hint="eastAsia" w:hAnsi="宋体" w:eastAsia="宋体" w:cs="宋体"/>
          <w:sz w:val="21"/>
        </w:rPr>
        <w:t>本项目实行网上投标，采用电子响应文件。若供应商参与投标，自行承担投标一切费用。</w:t>
      </w:r>
    </w:p>
    <w:p>
      <w:pPr>
        <w:widowControl/>
        <w:numPr>
          <w:ilvl w:val="0"/>
          <w:numId w:val="2"/>
        </w:numPr>
        <w:adjustRightInd/>
        <w:textAlignment w:val="auto"/>
        <w:rPr>
          <w:rFonts w:hAnsi="宋体" w:eastAsia="宋体" w:cs="宋体"/>
          <w:sz w:val="21"/>
        </w:rPr>
      </w:pPr>
      <w:r>
        <w:rPr>
          <w:rFonts w:hint="eastAsia" w:hAnsi="宋体" w:eastAsia="宋体" w:cs="宋体"/>
          <w:sz w:val="21"/>
        </w:rPr>
        <w:t>标前准备：因未办理CA数字证书等原因造成无法投标或投标失败等后果由供应商自行承担。</w:t>
      </w:r>
    </w:p>
    <w:p>
      <w:pPr>
        <w:widowControl/>
        <w:numPr>
          <w:ilvl w:val="0"/>
          <w:numId w:val="2"/>
        </w:numPr>
        <w:adjustRightInd/>
        <w:textAlignment w:val="auto"/>
        <w:rPr>
          <w:rFonts w:hAnsi="宋体" w:eastAsia="宋体" w:cs="宋体"/>
          <w:sz w:val="21"/>
        </w:rPr>
      </w:pPr>
      <w:r>
        <w:rPr>
          <w:rFonts w:hint="eastAsia" w:hAnsi="宋体" w:eastAsia="宋体" w:cs="宋体"/>
          <w:sz w:val="21"/>
        </w:rPr>
        <w:t>响应文件制作：</w:t>
      </w:r>
    </w:p>
    <w:p>
      <w:pPr>
        <w:widowControl/>
        <w:numPr>
          <w:ilvl w:val="0"/>
          <w:numId w:val="3"/>
        </w:numPr>
        <w:adjustRightInd/>
        <w:textAlignment w:val="auto"/>
        <w:rPr>
          <w:rFonts w:hAnsi="宋体" w:eastAsia="宋体" w:cs="宋体"/>
          <w:sz w:val="21"/>
        </w:rPr>
      </w:pPr>
      <w:r>
        <w:rPr>
          <w:rFonts w:hint="eastAsia" w:hAnsi="宋体" w:eastAsia="宋体" w:cs="宋体"/>
          <w:sz w:val="21"/>
        </w:rPr>
        <w:t>应按照本项目磋商文件和政府采购云平台的要求编制、加密并递交响应文件。供应商在使用系统进行投标的过程中遇到涉及平台使用的任何问题，可致电政府采购云平台技术支持热线95763咨询。</w:t>
      </w:r>
    </w:p>
    <w:p>
      <w:pPr>
        <w:widowControl/>
        <w:numPr>
          <w:ilvl w:val="0"/>
          <w:numId w:val="3"/>
        </w:numPr>
        <w:adjustRightInd/>
        <w:textAlignment w:val="auto"/>
        <w:rPr>
          <w:rFonts w:hAnsi="宋体" w:eastAsia="宋体" w:cs="宋体"/>
          <w:sz w:val="21"/>
        </w:rPr>
      </w:pPr>
      <w:r>
        <w:rPr>
          <w:rFonts w:hint="eastAsia" w:hAnsi="宋体" w:eastAsia="宋体" w:cs="宋体"/>
          <w:sz w:val="21"/>
        </w:rPr>
        <w:t>供应商通过政府采购云平台电子投标工具制作响应文件，电子投标工具请供应商自行前往浙江政府采购网下载并安装，响应文件制作具体流程详见政府采购云平台。</w:t>
      </w:r>
    </w:p>
    <w:p>
      <w:pPr>
        <w:widowControl/>
        <w:numPr>
          <w:ilvl w:val="0"/>
          <w:numId w:val="3"/>
        </w:numPr>
        <w:adjustRightInd/>
        <w:textAlignment w:val="auto"/>
        <w:rPr>
          <w:rFonts w:hAnsi="宋体" w:eastAsia="宋体" w:cs="宋体"/>
          <w:sz w:val="21"/>
        </w:rPr>
      </w:pPr>
      <w:r>
        <w:rPr>
          <w:rFonts w:hint="eastAsia" w:hAnsi="宋体" w:eastAsia="宋体" w:cs="宋体"/>
          <w:sz w:val="21"/>
        </w:rPr>
        <w:t>以U盘存储的电子备份响应文件1份，供应商上传平台的是后缀为.jmbs的加密文件，递交给招标代理公司的是后缀为.bfbs的备份文件，未及时解密的责任自负。</w:t>
      </w:r>
    </w:p>
    <w:p>
      <w:pPr>
        <w:adjustRightInd/>
        <w:ind w:firstLine="420"/>
        <w:textAlignment w:val="auto"/>
        <w:rPr>
          <w:rFonts w:hAnsi="宋体" w:eastAsia="宋体" w:cs="宋体"/>
          <w:bCs/>
          <w:kern w:val="2"/>
          <w:sz w:val="21"/>
        </w:rPr>
      </w:pPr>
      <w:r>
        <w:rPr>
          <w:rFonts w:hint="eastAsia" w:hAnsi="宋体" w:eastAsia="宋体" w:cs="宋体"/>
          <w:sz w:val="21"/>
        </w:rPr>
        <w:t>2.3供应商应在规定的磋商文件获取期限内在政采云平台登录供应商注册的账号后获取磋商文件，未按上述方式获取磋商文件的，不得对磋商文件提起质疑投诉。</w:t>
      </w:r>
    </w:p>
    <w:p>
      <w:pPr>
        <w:widowControl/>
        <w:adjustRightInd/>
        <w:ind w:firstLine="420" w:firstLineChars="200"/>
        <w:textAlignment w:val="auto"/>
        <w:rPr>
          <w:rFonts w:hAnsi="宋体" w:eastAsia="宋体" w:cs="宋体"/>
          <w:sz w:val="21"/>
        </w:rPr>
      </w:pPr>
      <w:r>
        <w:rPr>
          <w:rFonts w:hint="eastAsia" w:hAnsi="宋体" w:eastAsia="宋体" w:cs="宋体"/>
          <w:sz w:val="21"/>
        </w:rPr>
        <w:t>2.4供应商应于响应文件提交（上传）截止时间前将电子响应文件上传到政府采购云平台www.zcygov.cn，未上传电子响应文件，视为供应商放弃投标。</w:t>
      </w:r>
    </w:p>
    <w:p>
      <w:pPr>
        <w:widowControl/>
        <w:adjustRightInd/>
        <w:ind w:firstLine="420" w:firstLineChars="200"/>
        <w:textAlignment w:val="auto"/>
        <w:rPr>
          <w:rFonts w:hAnsi="宋体" w:eastAsia="宋体" w:cs="宋体"/>
          <w:sz w:val="21"/>
        </w:rPr>
      </w:pPr>
      <w:r>
        <w:rPr>
          <w:rFonts w:hint="eastAsia" w:hAnsi="宋体" w:eastAsia="宋体" w:cs="宋体"/>
          <w:sz w:val="21"/>
        </w:rPr>
        <w:t>2.5供应商如提供备份响应文件的，应于响应文件提交（上传）截止时间前，将以U盘存储的电子备份响应文件密封，逾期送达或未密封将予以拒收。供应商仅提供备份响应文件的，投标无效。</w:t>
      </w:r>
    </w:p>
    <w:p>
      <w:pPr>
        <w:widowControl/>
        <w:adjustRightInd/>
        <w:ind w:firstLine="420" w:firstLineChars="200"/>
        <w:textAlignment w:val="auto"/>
        <w:rPr>
          <w:rFonts w:hAnsi="宋体" w:eastAsia="宋体" w:cs="宋体"/>
          <w:sz w:val="21"/>
        </w:rPr>
      </w:pPr>
      <w:r>
        <w:rPr>
          <w:rFonts w:hint="eastAsia" w:hAnsi="宋体" w:eastAsia="宋体" w:cs="宋体"/>
          <w:sz w:val="21"/>
        </w:rPr>
        <w:t>2.6采购代理机构将在磋商文件规定的响应文件开启时间通过政府采购云平台组织开标、开启响应文件，所有供应商均应准时在线参加。响应文件开启时间后30分钟内供应商可以登录政府采购云平台www.zcygov.cn，用“项目采购－开标评标”功能进行解密响应文件。</w:t>
      </w:r>
    </w:p>
    <w:p>
      <w:pPr>
        <w:widowControl/>
        <w:adjustRightInd/>
        <w:ind w:firstLine="420" w:firstLineChars="200"/>
        <w:textAlignment w:val="auto"/>
        <w:rPr>
          <w:rFonts w:hAnsi="宋体" w:eastAsia="宋体" w:cs="宋体"/>
          <w:sz w:val="21"/>
        </w:rPr>
      </w:pPr>
      <w:r>
        <w:rPr>
          <w:rFonts w:hint="eastAsia" w:hAnsi="宋体" w:eastAsia="宋体" w:cs="宋体"/>
          <w:sz w:val="21"/>
        </w:rPr>
        <w:t>2.7供应商可采用邮寄（含快递）方式或现场方式递交备份响应文件。</w:t>
      </w:r>
    </w:p>
    <w:p>
      <w:pPr>
        <w:widowControl/>
        <w:numPr>
          <w:ilvl w:val="0"/>
          <w:numId w:val="4"/>
        </w:numPr>
        <w:adjustRightInd/>
        <w:textAlignment w:val="auto"/>
        <w:rPr>
          <w:rFonts w:hAnsi="宋体" w:eastAsia="宋体" w:cs="宋体"/>
          <w:sz w:val="21"/>
        </w:rPr>
      </w:pPr>
      <w:r>
        <w:rPr>
          <w:rFonts w:hint="eastAsia" w:hAnsi="宋体" w:eastAsia="宋体" w:cs="宋体"/>
          <w:sz w:val="21"/>
        </w:rPr>
        <w:t>采用邮寄方式递交备份响应文件，需按以下要求递交：</w:t>
      </w:r>
    </w:p>
    <w:p>
      <w:pPr>
        <w:widowControl/>
        <w:adjustRightInd/>
        <w:ind w:firstLine="420" w:firstLineChars="200"/>
        <w:textAlignment w:val="auto"/>
        <w:rPr>
          <w:rFonts w:hAnsi="宋体" w:eastAsia="宋体" w:cs="宋体"/>
          <w:sz w:val="21"/>
        </w:rPr>
      </w:pPr>
      <w:r>
        <w:rPr>
          <w:rFonts w:hint="eastAsia" w:hAnsi="宋体" w:eastAsia="宋体" w:cs="宋体"/>
          <w:sz w:val="21"/>
        </w:rPr>
        <w:t>各供应商自行考虑邮寄在途时间，邮寄过程中无论何种因素导致备份响应文件未按时递交的后果，均由供应商自行负责。备份响应文件递交时间以采购代理实际收到备份响应文件的时间为准。</w:t>
      </w:r>
    </w:p>
    <w:p>
      <w:pPr>
        <w:widowControl/>
        <w:adjustRightInd/>
        <w:ind w:firstLine="420" w:firstLineChars="200"/>
        <w:textAlignment w:val="auto"/>
        <w:rPr>
          <w:rFonts w:hAnsi="宋体" w:eastAsia="宋体" w:cs="宋体"/>
          <w:sz w:val="21"/>
        </w:rPr>
      </w:pPr>
      <w:r>
        <w:rPr>
          <w:rFonts w:hint="eastAsia" w:hAnsi="宋体" w:eastAsia="宋体" w:cs="宋体"/>
          <w:sz w:val="21"/>
        </w:rPr>
        <w:t>请各供应商确保密封包装在邮寄过程密封包装完好，因邮寄过程的密封破损造成不符合开标要求的，本采购代理及采购人概不负责。</w:t>
      </w:r>
    </w:p>
    <w:p>
      <w:pPr>
        <w:widowControl/>
        <w:numPr>
          <w:ilvl w:val="0"/>
          <w:numId w:val="4"/>
        </w:numPr>
        <w:adjustRightInd/>
        <w:textAlignment w:val="auto"/>
        <w:rPr>
          <w:rFonts w:hAnsi="宋体" w:eastAsia="宋体" w:cs="宋体"/>
          <w:sz w:val="21"/>
        </w:rPr>
      </w:pPr>
      <w:r>
        <w:rPr>
          <w:rFonts w:hint="eastAsia" w:hAnsi="宋体" w:eastAsia="宋体" w:cs="宋体"/>
          <w:sz w:val="21"/>
        </w:rPr>
        <w:t>采用现场方式送达备份响应文件，需按以下要求递交：</w:t>
      </w:r>
    </w:p>
    <w:p>
      <w:pPr>
        <w:widowControl/>
        <w:adjustRightInd/>
        <w:ind w:firstLine="420" w:firstLineChars="200"/>
        <w:textAlignment w:val="auto"/>
        <w:rPr>
          <w:rFonts w:hAnsi="宋体" w:eastAsia="宋体" w:cs="宋体"/>
          <w:sz w:val="21"/>
        </w:rPr>
      </w:pPr>
      <w:r>
        <w:rPr>
          <w:rFonts w:hint="eastAsia" w:hAnsi="宋体" w:eastAsia="宋体" w:cs="宋体"/>
          <w:sz w:val="21"/>
        </w:rPr>
        <w:t>所有供应商可安排相关人员（原则上不超过一名）在响应文件提交（上传）截止时间前将备份响应文件送至宁波市海曙区公共资源交易中心二楼开标室（南门上，宁波市海曙区气象路58号）。响应文件递交时需同时递交供应商的法定代表人（或其委托代理人）联系方式，并保证开标期间联系方式的畅通。</w:t>
      </w:r>
    </w:p>
    <w:p>
      <w:pPr>
        <w:widowControl/>
        <w:adjustRightInd/>
        <w:ind w:firstLine="420" w:firstLineChars="200"/>
        <w:textAlignment w:val="auto"/>
        <w:rPr>
          <w:rFonts w:hAnsi="宋体" w:eastAsia="宋体" w:cs="宋体"/>
          <w:sz w:val="21"/>
        </w:rPr>
      </w:pPr>
      <w:r>
        <w:rPr>
          <w:rFonts w:hint="eastAsia" w:hAnsi="宋体" w:eastAsia="宋体" w:cs="宋体"/>
          <w:sz w:val="21"/>
        </w:rPr>
        <w:t>2.8本公告发布媒体：中国政府采购网（www.ccgp.gov.cn）、浙江政府采购网（www.zjzfcg.gov.cn）、宁波政府采购网（www.nbzfcg.cn）、浙江省公共资源交易服务平台（ggzy.zj.gov.cn）、宁波市公共资源交易电子服务系统（甬易阳光）（jyxt.zwb.ningbo.gov.cn:4011/website/home）。</w:t>
      </w:r>
    </w:p>
    <w:p>
      <w:pPr>
        <w:widowControl/>
        <w:adjustRightInd/>
        <w:ind w:firstLine="420" w:firstLineChars="200"/>
        <w:textAlignment w:val="auto"/>
        <w:rPr>
          <w:rFonts w:hAnsi="宋体" w:eastAsia="宋体" w:cs="宋体"/>
          <w:sz w:val="21"/>
        </w:rPr>
      </w:pPr>
      <w:r>
        <w:rPr>
          <w:rFonts w:hint="eastAsia" w:hAnsi="宋体" w:eastAsia="宋体" w:cs="宋体"/>
          <w:sz w:val="21"/>
        </w:rPr>
        <w:t>2.9海曙区“政采贷”助力中小企业金融服务，有需要的中标（成交）供应商请于网站https://jyxt.zwb.ningbo.gov.cn:4011/website/announcementDetails?article_ID=9174636&amp;code=0101&amp;project_ID=N&amp;isShowTypeSteps=false&amp;project_NO=N&amp;sidebarID=办理具体业务。</w:t>
      </w:r>
    </w:p>
    <w:p>
      <w:pPr>
        <w:tabs>
          <w:tab w:val="left" w:pos="720"/>
        </w:tabs>
        <w:adjustRightInd/>
        <w:textAlignment w:val="auto"/>
        <w:rPr>
          <w:rFonts w:hAnsi="宋体" w:eastAsia="宋体" w:cs="宋体"/>
          <w:b/>
          <w:sz w:val="21"/>
        </w:rPr>
      </w:pPr>
      <w:bookmarkStart w:id="55" w:name="_Toc35393627"/>
      <w:bookmarkStart w:id="56" w:name="_Toc28359008"/>
      <w:bookmarkStart w:id="57" w:name="_Toc35393796"/>
      <w:bookmarkStart w:id="58" w:name="_Toc28359085"/>
      <w:r>
        <w:rPr>
          <w:rFonts w:hint="eastAsia" w:hAnsi="宋体" w:eastAsia="宋体" w:cs="宋体"/>
          <w:b/>
          <w:sz w:val="21"/>
        </w:rPr>
        <w:t>八、</w:t>
      </w:r>
      <w:bookmarkEnd w:id="55"/>
      <w:bookmarkEnd w:id="56"/>
      <w:bookmarkEnd w:id="57"/>
      <w:bookmarkEnd w:id="58"/>
      <w:r>
        <w:rPr>
          <w:rFonts w:hint="eastAsia" w:hAnsi="宋体" w:eastAsia="宋体" w:cs="宋体"/>
          <w:b/>
          <w:sz w:val="21"/>
        </w:rPr>
        <w:t>凡对本次招标提出询问、质疑、投诉，请按以下方式联系</w:t>
      </w:r>
    </w:p>
    <w:p>
      <w:pPr>
        <w:numPr>
          <w:ilvl w:val="0"/>
          <w:numId w:val="5"/>
        </w:numPr>
        <w:snapToGrid w:val="0"/>
        <w:rPr>
          <w:rFonts w:hAnsi="宋体" w:eastAsia="宋体" w:cs="宋体"/>
          <w:sz w:val="21"/>
        </w:rPr>
      </w:pPr>
      <w:r>
        <w:rPr>
          <w:rFonts w:hint="eastAsia" w:hAnsi="宋体" w:eastAsia="宋体" w:cs="宋体"/>
          <w:sz w:val="21"/>
        </w:rPr>
        <w:t>采购人信息</w:t>
      </w:r>
    </w:p>
    <w:p>
      <w:pPr>
        <w:snapToGrid w:val="0"/>
        <w:ind w:firstLine="411" w:firstLineChars="196"/>
        <w:rPr>
          <w:rFonts w:hAnsi="宋体" w:eastAsia="宋体" w:cs="宋体"/>
          <w:sz w:val="21"/>
        </w:rPr>
      </w:pPr>
      <w:r>
        <w:rPr>
          <w:rFonts w:hint="eastAsia" w:hAnsi="宋体" w:eastAsia="宋体" w:cs="宋体"/>
          <w:sz w:val="21"/>
        </w:rPr>
        <w:t>名    称：宁波市海曙区文物管理所</w:t>
      </w:r>
    </w:p>
    <w:p>
      <w:pPr>
        <w:snapToGrid w:val="0"/>
        <w:ind w:firstLine="411" w:firstLineChars="196"/>
        <w:rPr>
          <w:rFonts w:hAnsi="宋体" w:eastAsia="宋体" w:cs="宋体"/>
          <w:sz w:val="21"/>
        </w:rPr>
      </w:pPr>
      <w:r>
        <w:rPr>
          <w:rFonts w:hint="eastAsia" w:hAnsi="宋体" w:eastAsia="宋体" w:cs="宋体"/>
          <w:sz w:val="21"/>
        </w:rPr>
        <w:t>地    址：宁波市海曙区苍水街194号 </w:t>
      </w:r>
    </w:p>
    <w:p>
      <w:pPr>
        <w:snapToGrid w:val="0"/>
        <w:ind w:firstLine="411" w:firstLineChars="196"/>
        <w:rPr>
          <w:rFonts w:hAnsi="宋体" w:eastAsia="宋体" w:cs="宋体"/>
          <w:sz w:val="21"/>
        </w:rPr>
      </w:pPr>
      <w:r>
        <w:rPr>
          <w:rFonts w:hint="eastAsia" w:hAnsi="宋体" w:eastAsia="宋体" w:cs="宋体"/>
          <w:sz w:val="21"/>
        </w:rPr>
        <w:t>项目联系人：蒋老师</w:t>
      </w:r>
    </w:p>
    <w:p>
      <w:pPr>
        <w:snapToGrid w:val="0"/>
        <w:ind w:firstLine="411" w:firstLineChars="196"/>
        <w:rPr>
          <w:rFonts w:hAnsi="宋体" w:eastAsia="宋体" w:cs="宋体"/>
          <w:sz w:val="21"/>
        </w:rPr>
      </w:pPr>
      <w:r>
        <w:rPr>
          <w:rFonts w:hint="eastAsia" w:hAnsi="宋体" w:eastAsia="宋体" w:cs="宋体"/>
          <w:sz w:val="21"/>
        </w:rPr>
        <w:t>项目联系方式：0574-87166387</w:t>
      </w:r>
    </w:p>
    <w:p>
      <w:pPr>
        <w:snapToGrid w:val="0"/>
        <w:ind w:firstLine="411" w:firstLineChars="196"/>
        <w:rPr>
          <w:rFonts w:hAnsi="宋体" w:eastAsia="宋体" w:cs="宋体"/>
          <w:sz w:val="21"/>
        </w:rPr>
      </w:pPr>
      <w:r>
        <w:rPr>
          <w:rFonts w:hint="eastAsia" w:hAnsi="宋体" w:eastAsia="宋体" w:cs="宋体"/>
          <w:sz w:val="21"/>
        </w:rPr>
        <w:t>项目质疑人：窦老师</w:t>
      </w:r>
    </w:p>
    <w:p>
      <w:pPr>
        <w:snapToGrid w:val="0"/>
        <w:ind w:firstLine="411" w:firstLineChars="196"/>
        <w:rPr>
          <w:rFonts w:hAnsi="宋体" w:eastAsia="宋体" w:cs="宋体"/>
          <w:sz w:val="21"/>
        </w:rPr>
      </w:pPr>
      <w:r>
        <w:rPr>
          <w:rFonts w:hint="eastAsia" w:hAnsi="宋体" w:eastAsia="宋体" w:cs="宋体"/>
          <w:sz w:val="21"/>
        </w:rPr>
        <w:t>质疑联系方式：0574-87167330</w:t>
      </w:r>
    </w:p>
    <w:p>
      <w:pPr>
        <w:pStyle w:val="25"/>
        <w:ind w:firstLine="210"/>
        <w:rPr>
          <w:rFonts w:ascii="宋体" w:hAnsi="宋体" w:cs="宋体"/>
          <w:sz w:val="21"/>
        </w:rPr>
      </w:pPr>
    </w:p>
    <w:p>
      <w:pPr>
        <w:numPr>
          <w:ilvl w:val="0"/>
          <w:numId w:val="5"/>
        </w:numPr>
        <w:snapToGrid w:val="0"/>
        <w:rPr>
          <w:rFonts w:hAnsi="宋体" w:eastAsia="宋体" w:cs="宋体"/>
          <w:sz w:val="21"/>
        </w:rPr>
      </w:pPr>
      <w:r>
        <w:rPr>
          <w:rFonts w:hint="eastAsia" w:hAnsi="宋体" w:eastAsia="宋体" w:cs="宋体"/>
          <w:sz w:val="21"/>
        </w:rPr>
        <w:t>采购代理机构信息</w:t>
      </w:r>
    </w:p>
    <w:p>
      <w:pPr>
        <w:snapToGrid w:val="0"/>
        <w:ind w:firstLine="411" w:firstLineChars="196"/>
        <w:rPr>
          <w:rFonts w:hAnsi="宋体" w:eastAsia="宋体" w:cs="宋体"/>
          <w:sz w:val="21"/>
        </w:rPr>
      </w:pPr>
      <w:r>
        <w:rPr>
          <w:rFonts w:hint="eastAsia" w:hAnsi="宋体" w:eastAsia="宋体" w:cs="宋体"/>
          <w:sz w:val="21"/>
        </w:rPr>
        <w:t>名    称：宁波中竖项目管理咨询有限公司 </w:t>
      </w:r>
    </w:p>
    <w:p>
      <w:pPr>
        <w:snapToGrid w:val="0"/>
        <w:ind w:firstLine="411" w:firstLineChars="196"/>
        <w:rPr>
          <w:rFonts w:hAnsi="宋体" w:eastAsia="宋体" w:cs="宋体"/>
          <w:sz w:val="21"/>
        </w:rPr>
      </w:pPr>
      <w:r>
        <w:rPr>
          <w:rFonts w:hint="eastAsia" w:hAnsi="宋体" w:eastAsia="宋体" w:cs="宋体"/>
          <w:sz w:val="21"/>
        </w:rPr>
        <w:t>地    址：宁波市鄞州区河清北路369号新府银座三号楼902室 </w:t>
      </w:r>
    </w:p>
    <w:p>
      <w:pPr>
        <w:snapToGrid w:val="0"/>
        <w:ind w:firstLine="411" w:firstLineChars="196"/>
        <w:rPr>
          <w:rFonts w:hAnsi="宋体" w:eastAsia="宋体" w:cs="宋体"/>
          <w:sz w:val="21"/>
        </w:rPr>
      </w:pPr>
      <w:r>
        <w:rPr>
          <w:rFonts w:hint="eastAsia" w:hAnsi="宋体" w:eastAsia="宋体" w:cs="宋体"/>
          <w:sz w:val="21"/>
        </w:rPr>
        <w:t>项目联系人（询问）：方巧飞、袁玲 </w:t>
      </w:r>
    </w:p>
    <w:p>
      <w:pPr>
        <w:snapToGrid w:val="0"/>
        <w:ind w:firstLine="411" w:firstLineChars="196"/>
        <w:rPr>
          <w:rFonts w:hAnsi="宋体" w:eastAsia="宋体" w:cs="宋体"/>
          <w:sz w:val="21"/>
        </w:rPr>
      </w:pPr>
      <w:r>
        <w:rPr>
          <w:rFonts w:hint="eastAsia" w:hAnsi="宋体" w:eastAsia="宋体" w:cs="宋体"/>
          <w:sz w:val="21"/>
        </w:rPr>
        <w:t>项目联系方式（询问）：0574-28803980</w:t>
      </w:r>
    </w:p>
    <w:p>
      <w:pPr>
        <w:snapToGrid w:val="0"/>
        <w:ind w:firstLine="411" w:firstLineChars="196"/>
        <w:rPr>
          <w:rFonts w:hAnsi="宋体" w:eastAsia="宋体" w:cs="宋体"/>
          <w:sz w:val="21"/>
        </w:rPr>
      </w:pPr>
      <w:r>
        <w:rPr>
          <w:rFonts w:hint="eastAsia" w:hAnsi="宋体" w:eastAsia="宋体" w:cs="宋体"/>
          <w:sz w:val="21"/>
        </w:rPr>
        <w:t>质疑联系人：胡萍萍</w:t>
      </w:r>
    </w:p>
    <w:p>
      <w:pPr>
        <w:snapToGrid w:val="0"/>
        <w:ind w:firstLine="411" w:firstLineChars="196"/>
        <w:rPr>
          <w:rFonts w:hAnsi="宋体" w:eastAsia="宋体" w:cs="宋体"/>
          <w:sz w:val="21"/>
        </w:rPr>
      </w:pPr>
      <w:r>
        <w:rPr>
          <w:rFonts w:hint="eastAsia" w:hAnsi="宋体" w:eastAsia="宋体" w:cs="宋体"/>
          <w:sz w:val="21"/>
        </w:rPr>
        <w:t>质疑联系方式：13906615849</w:t>
      </w:r>
    </w:p>
    <w:p>
      <w:pPr>
        <w:pStyle w:val="11"/>
        <w:rPr>
          <w:rFonts w:ascii="宋体" w:hAnsi="宋体" w:cs="宋体"/>
          <w:sz w:val="21"/>
        </w:rPr>
      </w:pPr>
    </w:p>
    <w:p>
      <w:pPr>
        <w:numPr>
          <w:ilvl w:val="0"/>
          <w:numId w:val="5"/>
        </w:numPr>
        <w:snapToGrid w:val="0"/>
        <w:rPr>
          <w:rFonts w:hAnsi="宋体" w:eastAsia="宋体" w:cs="宋体"/>
          <w:sz w:val="21"/>
        </w:rPr>
      </w:pPr>
      <w:r>
        <w:rPr>
          <w:rFonts w:hint="eastAsia" w:hAnsi="宋体" w:eastAsia="宋体" w:cs="宋体"/>
          <w:sz w:val="21"/>
        </w:rPr>
        <w:t>同级政府采购监督管理部门</w:t>
      </w:r>
    </w:p>
    <w:p>
      <w:pPr>
        <w:spacing w:line="336" w:lineRule="auto"/>
        <w:ind w:firstLine="420" w:firstLineChars="200"/>
        <w:rPr>
          <w:rFonts w:hAnsi="宋体" w:eastAsia="宋体" w:cs="宋体"/>
          <w:sz w:val="21"/>
        </w:rPr>
      </w:pPr>
      <w:r>
        <w:rPr>
          <w:rFonts w:hint="eastAsia" w:hAnsi="宋体" w:eastAsia="宋体" w:cs="宋体"/>
          <w:sz w:val="21"/>
        </w:rPr>
        <w:t>名    称：宁波市海曙区政府采购办公室</w:t>
      </w:r>
    </w:p>
    <w:p>
      <w:pPr>
        <w:spacing w:line="336" w:lineRule="auto"/>
        <w:ind w:firstLine="420" w:firstLineChars="200"/>
        <w:rPr>
          <w:rFonts w:hAnsi="宋体" w:eastAsia="宋体" w:cs="宋体"/>
          <w:sz w:val="21"/>
        </w:rPr>
      </w:pPr>
      <w:r>
        <w:rPr>
          <w:rFonts w:hint="eastAsia" w:hAnsi="宋体" w:eastAsia="宋体" w:cs="宋体"/>
          <w:sz w:val="21"/>
        </w:rPr>
        <w:t xml:space="preserve">地    址：宁波市海曙区大梁街48号天之海大厦2楼                              </w:t>
      </w:r>
    </w:p>
    <w:p>
      <w:pPr>
        <w:spacing w:line="336" w:lineRule="auto"/>
        <w:ind w:firstLine="420" w:firstLineChars="200"/>
        <w:rPr>
          <w:rFonts w:hAnsi="宋体" w:eastAsia="宋体" w:cs="宋体"/>
          <w:sz w:val="21"/>
        </w:rPr>
      </w:pPr>
      <w:r>
        <w:rPr>
          <w:rFonts w:hint="eastAsia" w:hAnsi="宋体" w:eastAsia="宋体" w:cs="宋体"/>
          <w:sz w:val="21"/>
        </w:rPr>
        <w:t xml:space="preserve">联系人 ：王老师             </w:t>
      </w:r>
    </w:p>
    <w:p>
      <w:pPr>
        <w:spacing w:line="336" w:lineRule="auto"/>
        <w:ind w:firstLine="420" w:firstLineChars="200"/>
        <w:rPr>
          <w:rFonts w:hAnsi="宋体" w:eastAsia="宋体" w:cs="宋体"/>
          <w:sz w:val="21"/>
        </w:rPr>
      </w:pPr>
      <w:r>
        <w:rPr>
          <w:rFonts w:hint="eastAsia" w:hAnsi="宋体" w:eastAsia="宋体" w:cs="宋体"/>
          <w:sz w:val="21"/>
        </w:rPr>
        <w:t>投诉电话：0574-87297540</w:t>
      </w:r>
    </w:p>
    <w:p>
      <w:pPr>
        <w:pStyle w:val="11"/>
        <w:rPr>
          <w:rFonts w:ascii="宋体" w:hAnsi="宋体" w:cs="宋体"/>
          <w:sz w:val="21"/>
        </w:rPr>
      </w:pPr>
    </w:p>
    <w:p>
      <w:pPr>
        <w:ind w:firstLine="420" w:firstLineChars="200"/>
        <w:rPr>
          <w:rFonts w:hAnsi="宋体" w:eastAsia="宋体" w:cs="宋体"/>
          <w:sz w:val="21"/>
        </w:rPr>
      </w:pPr>
      <w:r>
        <w:rPr>
          <w:rFonts w:hint="eastAsia" w:hAnsi="宋体" w:eastAsia="宋体" w:cs="宋体"/>
          <w:sz w:val="21"/>
        </w:rPr>
        <w:t>若对项目采购电子交易系统操作有疑问，可登录政采云（https：//www.zcygov.cn/），点击右侧咨询小采，获取采小蜜智能服务管家帮助，或拨打政采云服务热线95763获取热线服务帮助。        </w:t>
      </w:r>
    </w:p>
    <w:p>
      <w:pPr>
        <w:ind w:firstLine="420" w:firstLineChars="200"/>
        <w:rPr>
          <w:rFonts w:hAnsi="宋体" w:eastAsia="宋体" w:cs="宋体"/>
          <w:sz w:val="21"/>
        </w:rPr>
      </w:pPr>
      <w:r>
        <w:rPr>
          <w:rFonts w:hint="eastAsia" w:hAnsi="宋体" w:eastAsia="宋体" w:cs="宋体"/>
          <w:sz w:val="21"/>
        </w:rPr>
        <w:t>CA问题服务电话（人工）：汇信CA 400-888-4636；天谷CA 400-087-8198</w:t>
      </w:r>
    </w:p>
    <w:p>
      <w:pPr>
        <w:pStyle w:val="37"/>
        <w:widowControl w:val="0"/>
        <w:snapToGrid/>
        <w:spacing w:afterLines="0" w:line="336" w:lineRule="auto"/>
        <w:ind w:firstLine="420"/>
        <w:jc w:val="left"/>
        <w:rPr>
          <w:rFonts w:ascii="宋体" w:hAnsi="宋体" w:cs="宋体"/>
          <w:sz w:val="21"/>
          <w:szCs w:val="21"/>
        </w:rPr>
      </w:pPr>
    </w:p>
    <w:p>
      <w:pPr>
        <w:pStyle w:val="12"/>
        <w:adjustRightInd/>
        <w:snapToGrid w:val="0"/>
        <w:jc w:val="center"/>
        <w:textAlignment w:val="auto"/>
        <w:rPr>
          <w:rFonts w:ascii="宋体" w:hAnsi="宋体" w:cs="宋体"/>
          <w:b/>
          <w:kern w:val="2"/>
          <w:sz w:val="32"/>
          <w:szCs w:val="32"/>
        </w:rPr>
        <w:sectPr>
          <w:headerReference r:id="rId6" w:type="default"/>
          <w:footerReference r:id="rId7" w:type="default"/>
          <w:pgSz w:w="11906" w:h="16838"/>
          <w:pgMar w:top="1474" w:right="1474" w:bottom="1247" w:left="1474" w:header="851" w:footer="850" w:gutter="0"/>
          <w:pgNumType w:start="1"/>
          <w:cols w:space="720" w:num="1"/>
          <w:docGrid w:linePitch="312" w:charSpace="0"/>
        </w:sectPr>
      </w:pPr>
    </w:p>
    <w:p>
      <w:pPr>
        <w:pStyle w:val="5"/>
        <w:numPr>
          <w:ilvl w:val="0"/>
          <w:numId w:val="6"/>
        </w:numPr>
        <w:jc w:val="center"/>
      </w:pPr>
      <w:bookmarkStart w:id="59" w:name="_Toc19254"/>
      <w:bookmarkStart w:id="60" w:name="_Toc27715"/>
      <w:bookmarkStart w:id="61" w:name="_Toc439"/>
      <w:r>
        <w:rPr>
          <w:rFonts w:hint="eastAsia"/>
        </w:rPr>
        <w:t>供应商须知</w:t>
      </w:r>
      <w:bookmarkEnd w:id="59"/>
      <w:bookmarkEnd w:id="60"/>
      <w:bookmarkEnd w:id="61"/>
      <w:bookmarkStart w:id="62" w:name="_Toc479757207"/>
      <w:bookmarkStart w:id="63" w:name="_Toc513029242"/>
      <w:bookmarkStart w:id="64" w:name="_Toc120614221"/>
      <w:bookmarkStart w:id="65" w:name="_Toc20823314"/>
      <w:bookmarkStart w:id="66" w:name="_Toc16938558"/>
    </w:p>
    <w:tbl>
      <w:tblPr>
        <w:tblStyle w:val="27"/>
        <w:tblW w:w="9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100"/>
        <w:gridCol w:w="7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ign w:val="bottom"/>
          </w:tcPr>
          <w:p>
            <w:pPr>
              <w:adjustRightInd/>
              <w:jc w:val="center"/>
              <w:rPr>
                <w:rFonts w:hAnsi="宋体" w:eastAsia="宋体" w:cs="宋体"/>
                <w:b/>
                <w:bCs/>
                <w:sz w:val="21"/>
              </w:rPr>
            </w:pPr>
            <w:r>
              <w:rPr>
                <w:rFonts w:hint="eastAsia" w:hAnsi="宋体" w:eastAsia="宋体" w:cs="宋体"/>
                <w:b/>
                <w:bCs/>
                <w:sz w:val="21"/>
              </w:rPr>
              <w:t>序号</w:t>
            </w:r>
          </w:p>
        </w:tc>
        <w:tc>
          <w:tcPr>
            <w:tcW w:w="8547" w:type="dxa"/>
            <w:gridSpan w:val="2"/>
            <w:tcBorders>
              <w:top w:val="single" w:color="auto" w:sz="4" w:space="0"/>
              <w:left w:val="single" w:color="auto" w:sz="4" w:space="0"/>
              <w:bottom w:val="single" w:color="auto" w:sz="4" w:space="0"/>
              <w:right w:val="single" w:color="auto" w:sz="4" w:space="0"/>
            </w:tcBorders>
            <w:noWrap/>
            <w:vAlign w:val="bottom"/>
          </w:tcPr>
          <w:p>
            <w:pPr>
              <w:adjustRightInd/>
              <w:jc w:val="center"/>
              <w:rPr>
                <w:rFonts w:hAnsi="宋体" w:eastAsia="宋体" w:cs="宋体"/>
                <w:b/>
                <w:bCs/>
                <w:sz w:val="21"/>
              </w:rPr>
            </w:pPr>
            <w:r>
              <w:rPr>
                <w:rFonts w:hint="eastAsia" w:hAnsi="宋体" w:eastAsia="宋体" w:cs="宋体"/>
                <w:b/>
                <w:bCs/>
                <w:sz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★1</w:t>
            </w:r>
          </w:p>
        </w:tc>
        <w:tc>
          <w:tcPr>
            <w:tcW w:w="1100"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投标报价和预算</w:t>
            </w:r>
          </w:p>
        </w:tc>
        <w:tc>
          <w:tcPr>
            <w:tcW w:w="7447" w:type="dxa"/>
            <w:tcBorders>
              <w:top w:val="single" w:color="auto" w:sz="4" w:space="0"/>
              <w:left w:val="single" w:color="auto" w:sz="4" w:space="0"/>
              <w:bottom w:val="single" w:color="auto" w:sz="4" w:space="0"/>
              <w:right w:val="single" w:color="auto" w:sz="4" w:space="0"/>
            </w:tcBorders>
            <w:noWrap/>
            <w:vAlign w:val="center"/>
          </w:tcPr>
          <w:p>
            <w:pPr>
              <w:adjustRightInd/>
              <w:spacing w:line="288" w:lineRule="auto"/>
              <w:textAlignment w:val="auto"/>
              <w:rPr>
                <w:rFonts w:hAnsi="宋体" w:eastAsia="宋体" w:cs="宋体"/>
                <w:b/>
                <w:bCs/>
                <w:kern w:val="2"/>
                <w:sz w:val="21"/>
              </w:rPr>
            </w:pPr>
            <w:r>
              <w:rPr>
                <w:rFonts w:hint="eastAsia" w:hAnsi="宋体" w:eastAsia="宋体" w:cs="宋体"/>
                <w:b/>
                <w:bCs/>
                <w:kern w:val="2"/>
                <w:sz w:val="21"/>
              </w:rPr>
              <w:t>响应报价及费用：</w:t>
            </w:r>
          </w:p>
          <w:p>
            <w:pPr>
              <w:numPr>
                <w:ilvl w:val="0"/>
                <w:numId w:val="7"/>
              </w:numPr>
              <w:adjustRightInd/>
              <w:spacing w:line="336" w:lineRule="auto"/>
              <w:textAlignment w:val="auto"/>
              <w:rPr>
                <w:rFonts w:hAnsi="宋体" w:eastAsia="宋体" w:cs="宋体"/>
                <w:kern w:val="2"/>
                <w:sz w:val="21"/>
              </w:rPr>
            </w:pPr>
            <w:r>
              <w:rPr>
                <w:rFonts w:hint="eastAsia" w:hAnsi="宋体" w:eastAsia="宋体" w:cs="宋体"/>
                <w:kern w:val="2"/>
                <w:sz w:val="21"/>
              </w:rPr>
              <w:t>本项目响应应采用人民币报价。</w:t>
            </w:r>
          </w:p>
          <w:p>
            <w:pPr>
              <w:spacing w:line="400" w:lineRule="exact"/>
              <w:rPr>
                <w:rFonts w:hAnsi="宋体" w:eastAsia="宋体" w:cs="宋体"/>
                <w:sz w:val="21"/>
              </w:rPr>
            </w:pPr>
            <w:r>
              <w:rPr>
                <w:rFonts w:hint="eastAsia" w:hAnsi="宋体" w:eastAsia="宋体" w:cs="宋体"/>
                <w:kern w:val="2"/>
                <w:sz w:val="21"/>
              </w:rPr>
              <w:t>2）响应报价：报价应是竞争性磋商文件确定的采购范围内的全部内容的价格体现，是履行合同的最终价格，包含但不限于为完成采购内容所需的诸如人工费、设备设施使用费、成果编制及提交、配合验收费、专家咨询费、管理费、利润、税、中标服务费等所有费用。</w:t>
            </w:r>
          </w:p>
          <w:p>
            <w:pPr>
              <w:adjustRightInd/>
              <w:snapToGrid w:val="0"/>
              <w:spacing w:before="24" w:beforeLines="10" w:after="24" w:afterLines="10"/>
              <w:textAlignment w:val="auto"/>
              <w:rPr>
                <w:rFonts w:hAnsi="宋体" w:eastAsia="宋体" w:cs="宋体"/>
                <w:b/>
                <w:kern w:val="2"/>
                <w:sz w:val="21"/>
              </w:rPr>
            </w:pPr>
            <w:r>
              <w:rPr>
                <w:rFonts w:hint="eastAsia" w:hAnsi="宋体" w:eastAsia="宋体" w:cs="宋体"/>
                <w:b/>
                <w:kern w:val="2"/>
                <w:sz w:val="21"/>
              </w:rPr>
              <w:t>3）最高限价详见《第一章  竞争性磋商公告》 ，供应商响应报价超过预算金额或最高限价的作无效标处理。</w:t>
            </w:r>
          </w:p>
          <w:p>
            <w:pPr>
              <w:adjustRightInd/>
              <w:spacing w:line="336" w:lineRule="auto"/>
              <w:textAlignment w:val="auto"/>
              <w:rPr>
                <w:rFonts w:hAnsi="宋体" w:eastAsia="宋体" w:cs="宋体"/>
                <w:kern w:val="2"/>
                <w:sz w:val="21"/>
              </w:rPr>
            </w:pPr>
            <w:r>
              <w:rPr>
                <w:rFonts w:hint="eastAsia" w:hAnsi="宋体" w:eastAsia="宋体" w:cs="宋体"/>
                <w:kern w:val="2"/>
                <w:sz w:val="21"/>
              </w:rPr>
              <w:t>4）不论投标结果如何，供应商均应自行承担应承担的全部费用。</w:t>
            </w:r>
          </w:p>
          <w:p>
            <w:pPr>
              <w:adjustRightInd/>
              <w:spacing w:line="336" w:lineRule="auto"/>
              <w:textAlignment w:val="auto"/>
              <w:rPr>
                <w:rFonts w:hAnsi="宋体" w:eastAsia="宋体" w:cs="宋体"/>
                <w:kern w:val="2"/>
                <w:sz w:val="21"/>
              </w:rPr>
            </w:pPr>
            <w:r>
              <w:rPr>
                <w:rFonts w:hint="eastAsia" w:hAnsi="宋体" w:eastAsia="宋体" w:cs="宋体"/>
                <w:kern w:val="2"/>
                <w:sz w:val="21"/>
              </w:rPr>
              <w:t>5）本招标公司参照国家发改委发改办价格[2003]857号通知和原国家计委计价格[2002]1980号文件的规定的服务类招标费率标准，根据成交金额计算招标代理费，由成交供应商在领取中标通知书前支付服务费。</w:t>
            </w:r>
          </w:p>
          <w:p>
            <w:pPr>
              <w:adjustRightInd/>
              <w:spacing w:line="336" w:lineRule="auto"/>
              <w:textAlignment w:val="auto"/>
              <w:rPr>
                <w:rFonts w:hAnsi="宋体" w:eastAsia="宋体" w:cs="宋体"/>
                <w:kern w:val="2"/>
                <w:sz w:val="21"/>
              </w:rPr>
            </w:pPr>
            <w:r>
              <w:rPr>
                <w:rFonts w:hint="eastAsia" w:hAnsi="宋体" w:eastAsia="宋体" w:cs="宋体"/>
                <w:kern w:val="2"/>
                <w:sz w:val="21"/>
              </w:rPr>
              <w:t>服务费汇入账户：</w:t>
            </w:r>
          </w:p>
          <w:p>
            <w:pPr>
              <w:adjustRightInd/>
              <w:spacing w:line="336" w:lineRule="auto"/>
              <w:textAlignment w:val="auto"/>
              <w:rPr>
                <w:rFonts w:hAnsi="宋体" w:eastAsia="宋体" w:cs="宋体"/>
                <w:kern w:val="2"/>
                <w:sz w:val="21"/>
              </w:rPr>
            </w:pPr>
            <w:r>
              <w:rPr>
                <w:rFonts w:hint="eastAsia" w:hAnsi="宋体" w:eastAsia="宋体" w:cs="宋体"/>
                <w:kern w:val="2"/>
                <w:sz w:val="21"/>
              </w:rPr>
              <w:t>户    名：宁波中竖项目管理咨询有限公司</w:t>
            </w:r>
          </w:p>
          <w:p>
            <w:pPr>
              <w:adjustRightInd/>
              <w:spacing w:line="336" w:lineRule="auto"/>
              <w:textAlignment w:val="auto"/>
              <w:rPr>
                <w:rFonts w:hAnsi="宋体" w:eastAsia="宋体" w:cs="宋体"/>
                <w:kern w:val="2"/>
                <w:sz w:val="21"/>
              </w:rPr>
            </w:pPr>
            <w:r>
              <w:rPr>
                <w:rFonts w:hint="eastAsia" w:hAnsi="宋体" w:eastAsia="宋体" w:cs="宋体"/>
                <w:kern w:val="2"/>
                <w:sz w:val="21"/>
              </w:rPr>
              <w:t>开户银行： 宁波银行股份有限公司东吴支行</w:t>
            </w:r>
          </w:p>
          <w:p>
            <w:pPr>
              <w:adjustRightInd/>
              <w:spacing w:line="336" w:lineRule="auto"/>
              <w:textAlignment w:val="auto"/>
              <w:rPr>
                <w:rFonts w:hAnsi="宋体" w:eastAsia="宋体" w:cs="宋体"/>
                <w:kern w:val="2"/>
                <w:sz w:val="21"/>
              </w:rPr>
            </w:pPr>
            <w:r>
              <w:rPr>
                <w:rFonts w:hint="eastAsia" w:hAnsi="宋体" w:eastAsia="宋体" w:cs="宋体"/>
                <w:kern w:val="2"/>
                <w:sz w:val="21"/>
              </w:rPr>
              <w:t>帐    号： 32040122000078121</w:t>
            </w:r>
          </w:p>
          <w:p>
            <w:pPr>
              <w:adjustRightInd/>
              <w:spacing w:line="336" w:lineRule="auto"/>
              <w:textAlignment w:val="auto"/>
              <w:rPr>
                <w:rFonts w:hAnsi="宋体" w:eastAsia="宋体" w:cs="宋体"/>
                <w:kern w:val="2"/>
                <w:sz w:val="21"/>
              </w:rPr>
            </w:pPr>
            <w:r>
              <w:rPr>
                <w:rFonts w:hint="eastAsia" w:hAnsi="宋体" w:eastAsia="宋体" w:cs="宋体"/>
                <w:kern w:val="2"/>
                <w:sz w:val="21"/>
              </w:rPr>
              <w:t>成交供应商应当在采购代理机构发出中标通知书5个工作日内支付招标代理服务费。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58"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2</w:t>
            </w:r>
          </w:p>
        </w:tc>
        <w:tc>
          <w:tcPr>
            <w:tcW w:w="1100"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付款及保证金</w:t>
            </w:r>
          </w:p>
        </w:tc>
        <w:tc>
          <w:tcPr>
            <w:tcW w:w="744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eastAsia="宋体" w:cs="宋体"/>
                <w:sz w:val="21"/>
              </w:rPr>
            </w:pPr>
            <w:r>
              <w:rPr>
                <w:rFonts w:hint="eastAsia" w:hAnsi="宋体" w:eastAsia="宋体" w:cs="宋体"/>
                <w:sz w:val="21"/>
              </w:rPr>
              <w:t>1.付款方式：</w:t>
            </w:r>
          </w:p>
          <w:p>
            <w:pPr>
              <w:adjustRightInd/>
              <w:spacing w:line="336" w:lineRule="auto"/>
              <w:textAlignment w:val="auto"/>
              <w:rPr>
                <w:rFonts w:hAnsi="宋体" w:eastAsia="宋体" w:cs="宋体"/>
                <w:kern w:val="2"/>
                <w:sz w:val="21"/>
              </w:rPr>
            </w:pPr>
            <w:r>
              <w:rPr>
                <w:rFonts w:hint="eastAsia" w:hAnsi="宋体" w:eastAsia="宋体" w:cs="宋体"/>
                <w:kern w:val="2"/>
                <w:sz w:val="21"/>
              </w:rPr>
              <w:t>2024年：本项目合同签订并收到成交供应商发票后7个工作日内支付合同金额的40%；2024年9月底完成省文物部门进度安排且收到成交供应商发票后支付合同金额的15%；</w:t>
            </w:r>
          </w:p>
          <w:p>
            <w:pPr>
              <w:adjustRightInd/>
              <w:spacing w:line="336" w:lineRule="auto"/>
              <w:textAlignment w:val="auto"/>
              <w:rPr>
                <w:rFonts w:hAnsi="宋体" w:eastAsia="宋体" w:cs="宋体"/>
                <w:kern w:val="2"/>
                <w:sz w:val="21"/>
              </w:rPr>
            </w:pPr>
            <w:r>
              <w:rPr>
                <w:rFonts w:hint="eastAsia" w:hAnsi="宋体" w:eastAsia="宋体" w:cs="宋体"/>
                <w:kern w:val="2"/>
                <w:sz w:val="21"/>
              </w:rPr>
              <w:t>2025年：完成全部“三普”复核工作并录入普查系统且收到成交供应商发票后支付合同金额的10%；按省市文物部门进度要求完成新线索调查等工作且收到成交供应商发票后支付合同金额的15%；</w:t>
            </w:r>
          </w:p>
          <w:p>
            <w:pPr>
              <w:adjustRightInd/>
              <w:spacing w:line="336" w:lineRule="auto"/>
              <w:textAlignment w:val="auto"/>
              <w:rPr>
                <w:rFonts w:hAnsi="宋体" w:eastAsia="宋体" w:cs="宋体"/>
                <w:kern w:val="2"/>
                <w:sz w:val="21"/>
              </w:rPr>
            </w:pPr>
            <w:r>
              <w:rPr>
                <w:rFonts w:hint="eastAsia" w:hAnsi="宋体" w:eastAsia="宋体" w:cs="宋体"/>
                <w:kern w:val="2"/>
                <w:sz w:val="21"/>
              </w:rPr>
              <w:t>2026年：完成并提交电子版成果、根据“四普”相关部门工作要求，通过上级文物部门对“四普”软件系统录入信息审核（含机审和人工审）后且收到成交供应商发票后7个工作日内支付合同金额的10%；全部项目成果提交上级文物部门，通过最终审核，并修改、完善、存档且收到成交供应商发票后7个工作日内支付合同金额的10%。</w:t>
            </w:r>
          </w:p>
          <w:p>
            <w:pPr>
              <w:adjustRightInd/>
              <w:rPr>
                <w:rFonts w:hAnsi="宋体" w:eastAsia="宋体" w:cs="宋体"/>
                <w:sz w:val="21"/>
              </w:rPr>
            </w:pPr>
            <w:r>
              <w:rPr>
                <w:rFonts w:hint="eastAsia" w:hAnsi="宋体" w:eastAsia="宋体" w:cs="宋体"/>
                <w:sz w:val="21"/>
              </w:rPr>
              <w:t>2.履约保证金：无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3</w:t>
            </w:r>
          </w:p>
        </w:tc>
        <w:tc>
          <w:tcPr>
            <w:tcW w:w="1100"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采购方式</w:t>
            </w:r>
          </w:p>
        </w:tc>
        <w:tc>
          <w:tcPr>
            <w:tcW w:w="7447" w:type="dxa"/>
            <w:tcBorders>
              <w:top w:val="single" w:color="auto" w:sz="4" w:space="0"/>
              <w:left w:val="single" w:color="auto" w:sz="4" w:space="0"/>
              <w:bottom w:val="single" w:color="auto" w:sz="4" w:space="0"/>
              <w:right w:val="single" w:color="auto" w:sz="4" w:space="0"/>
            </w:tcBorders>
            <w:noWrap/>
            <w:vAlign w:val="center"/>
          </w:tcPr>
          <w:p>
            <w:pPr>
              <w:adjustRightInd/>
              <w:rPr>
                <w:rFonts w:hAnsi="宋体" w:eastAsia="宋体" w:cs="宋体"/>
                <w:sz w:val="21"/>
              </w:rPr>
            </w:pPr>
            <w:r>
              <w:rPr>
                <w:rFonts w:hint="eastAsia" w:hAnsi="宋体" w:eastAsia="宋体" w:cs="宋体"/>
                <w:sz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4</w:t>
            </w:r>
          </w:p>
        </w:tc>
        <w:tc>
          <w:tcPr>
            <w:tcW w:w="1100"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评分办法</w:t>
            </w:r>
          </w:p>
        </w:tc>
        <w:tc>
          <w:tcPr>
            <w:tcW w:w="7447" w:type="dxa"/>
            <w:tcBorders>
              <w:top w:val="single" w:color="auto" w:sz="4" w:space="0"/>
              <w:left w:val="single" w:color="auto" w:sz="4" w:space="0"/>
              <w:bottom w:val="single" w:color="auto" w:sz="4" w:space="0"/>
              <w:right w:val="single" w:color="auto" w:sz="4" w:space="0"/>
            </w:tcBorders>
            <w:noWrap/>
            <w:vAlign w:val="center"/>
          </w:tcPr>
          <w:p>
            <w:pPr>
              <w:adjustRightInd/>
              <w:jc w:val="left"/>
              <w:rPr>
                <w:rFonts w:hAnsi="宋体" w:eastAsia="宋体" w:cs="宋体"/>
                <w:sz w:val="21"/>
              </w:rPr>
            </w:pPr>
            <w:r>
              <w:rPr>
                <w:rFonts w:hint="eastAsia" w:hAnsi="宋体" w:eastAsia="宋体" w:cs="宋体"/>
                <w:sz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658"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★5</w:t>
            </w:r>
          </w:p>
        </w:tc>
        <w:tc>
          <w:tcPr>
            <w:tcW w:w="1100"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投标有效期</w:t>
            </w:r>
          </w:p>
        </w:tc>
        <w:tc>
          <w:tcPr>
            <w:tcW w:w="7447" w:type="dxa"/>
            <w:tcBorders>
              <w:top w:val="single" w:color="auto" w:sz="4" w:space="0"/>
              <w:left w:val="single" w:color="auto" w:sz="4" w:space="0"/>
              <w:bottom w:val="single" w:color="auto" w:sz="4" w:space="0"/>
              <w:right w:val="single" w:color="auto" w:sz="4" w:space="0"/>
            </w:tcBorders>
            <w:noWrap/>
            <w:vAlign w:val="center"/>
          </w:tcPr>
          <w:p>
            <w:pPr>
              <w:adjustRightInd/>
              <w:rPr>
                <w:rFonts w:hAnsi="宋体" w:eastAsia="宋体" w:cs="宋体"/>
                <w:sz w:val="21"/>
              </w:rPr>
            </w:pPr>
            <w:r>
              <w:rPr>
                <w:rFonts w:hint="eastAsia" w:hAnsi="宋体" w:eastAsia="宋体" w:cs="宋体"/>
                <w:sz w:val="21"/>
              </w:rPr>
              <w:t>提交首次响应文件之日起60天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58"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6</w:t>
            </w:r>
          </w:p>
        </w:tc>
        <w:tc>
          <w:tcPr>
            <w:tcW w:w="1100"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响应文件份数</w:t>
            </w:r>
          </w:p>
        </w:tc>
        <w:tc>
          <w:tcPr>
            <w:tcW w:w="7447" w:type="dxa"/>
            <w:tcBorders>
              <w:top w:val="single" w:color="auto" w:sz="4" w:space="0"/>
              <w:left w:val="single" w:color="auto" w:sz="4" w:space="0"/>
              <w:bottom w:val="single" w:color="auto" w:sz="4" w:space="0"/>
              <w:right w:val="single" w:color="auto" w:sz="4" w:space="0"/>
            </w:tcBorders>
            <w:noWrap/>
            <w:vAlign w:val="center"/>
          </w:tcPr>
          <w:p>
            <w:pPr>
              <w:adjustRightInd/>
              <w:jc w:val="left"/>
              <w:rPr>
                <w:rFonts w:hAnsi="宋体" w:eastAsia="宋体" w:cs="宋体"/>
                <w:sz w:val="21"/>
              </w:rPr>
            </w:pPr>
            <w:r>
              <w:rPr>
                <w:rFonts w:hint="eastAsia" w:hAnsi="宋体" w:eastAsia="宋体" w:cs="宋体"/>
                <w:sz w:val="21"/>
              </w:rPr>
              <w:t>响应文件组成与份数：</w:t>
            </w:r>
          </w:p>
          <w:p>
            <w:pPr>
              <w:adjustRightInd/>
              <w:jc w:val="left"/>
              <w:rPr>
                <w:rFonts w:hAnsi="宋体" w:eastAsia="宋体" w:cs="宋体"/>
                <w:sz w:val="21"/>
              </w:rPr>
            </w:pPr>
            <w:r>
              <w:rPr>
                <w:rFonts w:hint="eastAsia" w:hAnsi="宋体" w:eastAsia="宋体" w:cs="宋体"/>
                <w:sz w:val="21"/>
              </w:rPr>
              <w:t>上传到政府采购云平台的电子响应文件（含资格文件、商务技术文件、报价文件）1份。</w:t>
            </w:r>
          </w:p>
          <w:p>
            <w:pPr>
              <w:adjustRightInd/>
              <w:jc w:val="left"/>
              <w:rPr>
                <w:rFonts w:hAnsi="宋体" w:eastAsia="宋体" w:cs="宋体"/>
                <w:sz w:val="21"/>
              </w:rPr>
            </w:pPr>
            <w:r>
              <w:rPr>
                <w:rFonts w:hint="eastAsia" w:hAnsi="宋体" w:eastAsia="宋体" w:cs="宋体"/>
                <w:sz w:val="21"/>
              </w:rPr>
              <w:t>以U盘存储的电子备份响应文件（含资格文件、商务技术文件、报价文件）1份。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7</w:t>
            </w:r>
          </w:p>
        </w:tc>
        <w:tc>
          <w:tcPr>
            <w:tcW w:w="1100" w:type="dxa"/>
            <w:tcBorders>
              <w:top w:val="single" w:color="auto" w:sz="4" w:space="0"/>
              <w:left w:val="single" w:color="auto" w:sz="4" w:space="0"/>
              <w:bottom w:val="single" w:color="auto" w:sz="4" w:space="0"/>
              <w:right w:val="single" w:color="auto" w:sz="4" w:space="0"/>
            </w:tcBorders>
            <w:noWrap/>
            <w:vAlign w:val="center"/>
          </w:tcPr>
          <w:p>
            <w:pPr>
              <w:adjustRightInd/>
              <w:jc w:val="center"/>
              <w:rPr>
                <w:rFonts w:hAnsi="宋体" w:eastAsia="宋体" w:cs="宋体"/>
                <w:sz w:val="21"/>
              </w:rPr>
            </w:pPr>
            <w:r>
              <w:rPr>
                <w:rFonts w:hint="eastAsia" w:hAnsi="宋体" w:eastAsia="宋体" w:cs="宋体"/>
                <w:sz w:val="21"/>
              </w:rPr>
              <w:t>签订合同时间</w:t>
            </w:r>
          </w:p>
        </w:tc>
        <w:tc>
          <w:tcPr>
            <w:tcW w:w="7447" w:type="dxa"/>
            <w:tcBorders>
              <w:top w:val="single" w:color="auto" w:sz="4" w:space="0"/>
              <w:left w:val="single" w:color="auto" w:sz="4" w:space="0"/>
              <w:bottom w:val="single" w:color="auto" w:sz="4" w:space="0"/>
              <w:right w:val="single" w:color="auto" w:sz="4" w:space="0"/>
            </w:tcBorders>
            <w:noWrap/>
            <w:vAlign w:val="center"/>
          </w:tcPr>
          <w:p>
            <w:pPr>
              <w:adjustRightInd/>
              <w:jc w:val="left"/>
              <w:rPr>
                <w:rFonts w:hAnsi="宋体" w:eastAsia="宋体" w:cs="宋体"/>
                <w:sz w:val="21"/>
              </w:rPr>
            </w:pPr>
            <w:r>
              <w:rPr>
                <w:rFonts w:hint="eastAsia" w:hAnsi="宋体" w:eastAsia="宋体" w:cs="宋体"/>
                <w:sz w:val="21"/>
              </w:rPr>
              <w:t>成交通知书发出后30日内。</w:t>
            </w:r>
          </w:p>
        </w:tc>
      </w:tr>
    </w:tbl>
    <w:p>
      <w:pPr>
        <w:rPr>
          <w:rFonts w:hAnsi="宋体" w:eastAsia="宋体" w:cs="宋体"/>
          <w:b/>
          <w:sz w:val="21"/>
        </w:rPr>
      </w:pPr>
      <w:r>
        <w:rPr>
          <w:rFonts w:hint="eastAsia" w:hAnsi="宋体" w:eastAsia="宋体" w:cs="宋体"/>
          <w:b/>
          <w:sz w:val="21"/>
        </w:rPr>
        <w:br w:type="page"/>
      </w:r>
    </w:p>
    <w:p>
      <w:pPr>
        <w:jc w:val="center"/>
        <w:rPr>
          <w:rFonts w:hAnsi="宋体" w:eastAsia="宋体" w:cs="宋体"/>
          <w:b/>
          <w:bCs/>
          <w:sz w:val="21"/>
        </w:rPr>
      </w:pPr>
      <w:r>
        <w:rPr>
          <w:rFonts w:hint="eastAsia" w:hAnsi="宋体" w:eastAsia="宋体" w:cs="宋体"/>
          <w:b/>
          <w:bCs/>
          <w:sz w:val="21"/>
        </w:rPr>
        <w:t>一  总  则</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（一） 适用范围</w:t>
      </w:r>
    </w:p>
    <w:p>
      <w:pPr>
        <w:pStyle w:val="12"/>
        <w:adjustRightInd/>
        <w:spacing w:line="400" w:lineRule="exact"/>
        <w:ind w:firstLine="420" w:firstLineChars="200"/>
        <w:rPr>
          <w:rFonts w:ascii="宋体" w:hAnsi="宋体" w:cs="宋体"/>
        </w:rPr>
      </w:pPr>
      <w:r>
        <w:rPr>
          <w:rFonts w:hint="eastAsia" w:ascii="宋体" w:hAnsi="宋体" w:cs="宋体"/>
        </w:rPr>
        <w:t>本磋商文件适用于本项目的采购邀请、响应、评审、验收、合同履约、付款等行为（法律、法规另有规定的，从其规定）。除非另有规定和说明，本须知中的“供应商”一词亦指联合体各方。</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（二）定义</w:t>
      </w:r>
    </w:p>
    <w:p>
      <w:pPr>
        <w:pStyle w:val="12"/>
        <w:adjustRightInd/>
        <w:spacing w:line="400" w:lineRule="exact"/>
        <w:ind w:firstLine="420" w:firstLineChars="200"/>
        <w:rPr>
          <w:rFonts w:ascii="宋体" w:hAnsi="宋体" w:cs="宋体"/>
        </w:rPr>
      </w:pPr>
      <w:r>
        <w:rPr>
          <w:rFonts w:hint="eastAsia" w:ascii="宋体" w:hAnsi="宋体" w:cs="宋体"/>
        </w:rPr>
        <w:t>1.“采购单位”系指组织本次采购的代理机构和采购人。</w:t>
      </w:r>
    </w:p>
    <w:p>
      <w:pPr>
        <w:pStyle w:val="12"/>
        <w:adjustRightInd/>
        <w:spacing w:line="400" w:lineRule="exact"/>
        <w:ind w:firstLine="420" w:firstLineChars="200"/>
        <w:rPr>
          <w:rFonts w:ascii="宋体" w:hAnsi="宋体" w:cs="宋体"/>
        </w:rPr>
      </w:pPr>
      <w:r>
        <w:rPr>
          <w:rFonts w:hint="eastAsia" w:ascii="宋体" w:hAnsi="宋体" w:cs="宋体"/>
        </w:rPr>
        <w:t>2.“供应商”系指向采购单位提交响应文件的单位或个人。</w:t>
      </w:r>
    </w:p>
    <w:p>
      <w:pPr>
        <w:pStyle w:val="12"/>
        <w:adjustRightInd/>
        <w:spacing w:line="400" w:lineRule="exact"/>
        <w:ind w:firstLine="420" w:firstLineChars="200"/>
        <w:rPr>
          <w:rFonts w:ascii="宋体" w:hAnsi="宋体" w:cs="宋体"/>
        </w:rPr>
      </w:pPr>
      <w:r>
        <w:rPr>
          <w:rFonts w:hint="eastAsia" w:ascii="宋体" w:hAnsi="宋体" w:cs="宋体"/>
        </w:rPr>
        <w:t>3.“产品”系指供应商按磋商文件规定，须向采购人提供的一切设备、保险、税金、备品备件、工具、手册及其它有关技术资料和材料。</w:t>
      </w:r>
    </w:p>
    <w:p>
      <w:pPr>
        <w:pStyle w:val="12"/>
        <w:adjustRightInd/>
        <w:spacing w:line="400" w:lineRule="exact"/>
        <w:ind w:firstLine="420" w:firstLineChars="200"/>
        <w:rPr>
          <w:rFonts w:ascii="宋体" w:hAnsi="宋体" w:cs="宋体"/>
        </w:rPr>
      </w:pPr>
      <w:r>
        <w:rPr>
          <w:rFonts w:hint="eastAsia" w:ascii="宋体" w:hAnsi="宋体" w:cs="宋体"/>
        </w:rPr>
        <w:t>4.“服务”系指磋商文件规定供应商须提供的本项目相关服务以及其他类似的义务。</w:t>
      </w:r>
    </w:p>
    <w:p>
      <w:pPr>
        <w:pStyle w:val="12"/>
        <w:adjustRightInd/>
        <w:spacing w:line="400" w:lineRule="exact"/>
        <w:ind w:firstLine="420" w:firstLineChars="200"/>
        <w:rPr>
          <w:rFonts w:ascii="宋体" w:hAnsi="宋体" w:cs="宋体"/>
        </w:rPr>
      </w:pPr>
      <w:r>
        <w:rPr>
          <w:rFonts w:hint="eastAsia" w:ascii="宋体" w:hAnsi="宋体" w:cs="宋体"/>
        </w:rPr>
        <w:t>5.“项目”系指供应商按磋商文件规定向采购人提供的产品和服务。</w:t>
      </w:r>
    </w:p>
    <w:p>
      <w:pPr>
        <w:pStyle w:val="12"/>
        <w:adjustRightInd/>
        <w:spacing w:line="400" w:lineRule="exact"/>
        <w:ind w:firstLine="420" w:firstLineChars="200"/>
        <w:rPr>
          <w:rFonts w:ascii="宋体" w:hAnsi="宋体" w:cs="宋体"/>
        </w:rPr>
      </w:pPr>
      <w:r>
        <w:rPr>
          <w:rFonts w:hint="eastAsia" w:ascii="宋体" w:hAnsi="宋体" w:cs="宋体"/>
        </w:rPr>
        <w:t>6.“书面形式”包括信函、传真、电函等。</w:t>
      </w:r>
    </w:p>
    <w:p>
      <w:pPr>
        <w:pStyle w:val="12"/>
        <w:adjustRightInd/>
        <w:spacing w:line="400" w:lineRule="exact"/>
        <w:ind w:firstLine="420" w:firstLineChars="200"/>
        <w:rPr>
          <w:rFonts w:ascii="宋体" w:hAnsi="宋体" w:cs="宋体"/>
        </w:rPr>
      </w:pPr>
      <w:r>
        <w:rPr>
          <w:rFonts w:hint="eastAsia" w:ascii="宋体" w:hAnsi="宋体" w:cs="宋体"/>
        </w:rPr>
        <w:t>7.“★”系指实质性要求条款，供应商的投标对任何带“★”号的重要商务和技术条款的偏离和未作实质性响应都将直接导致投标无效。</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（三）采购方式</w:t>
      </w:r>
    </w:p>
    <w:p>
      <w:pPr>
        <w:pStyle w:val="12"/>
        <w:adjustRightInd/>
        <w:spacing w:line="400" w:lineRule="exact"/>
        <w:ind w:firstLine="420" w:firstLineChars="200"/>
        <w:rPr>
          <w:rFonts w:ascii="宋体" w:hAnsi="宋体" w:cs="宋体"/>
        </w:rPr>
      </w:pPr>
      <w:r>
        <w:rPr>
          <w:rFonts w:hint="eastAsia" w:ascii="宋体" w:hAnsi="宋体" w:cs="宋体"/>
        </w:rPr>
        <w:t>本次采购采用竞争性磋商方式进行。</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（四）磋商委托</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如供应商派授权代表出席磋商会议，授权代表须携带有效身份证件。如授权代表不是法定代表人，须有法定代表人出具的授权委托书（格式见第六章）。</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（五）磋商费用</w:t>
      </w:r>
    </w:p>
    <w:p>
      <w:pPr>
        <w:pStyle w:val="12"/>
        <w:adjustRightInd/>
        <w:spacing w:line="400" w:lineRule="exact"/>
        <w:ind w:firstLine="420" w:firstLineChars="200"/>
        <w:rPr>
          <w:rFonts w:ascii="宋体" w:hAnsi="宋体" w:cs="宋体"/>
        </w:rPr>
      </w:pPr>
      <w:r>
        <w:rPr>
          <w:rFonts w:hint="eastAsia" w:ascii="宋体" w:hAnsi="宋体" w:cs="宋体"/>
        </w:rPr>
        <w:t>不论采购结果如何，供应商均应自行承担所有与采购有关的全部费用（磋商文件有相关规定除外）。</w:t>
      </w:r>
    </w:p>
    <w:p>
      <w:pPr>
        <w:pStyle w:val="6"/>
        <w:numPr>
          <w:ilvl w:val="0"/>
          <w:numId w:val="0"/>
        </w:numPr>
        <w:tabs>
          <w:tab w:val="left" w:pos="720"/>
          <w:tab w:val="center" w:pos="4810"/>
        </w:tabs>
        <w:adjustRightInd/>
        <w:spacing w:line="400" w:lineRule="exact"/>
        <w:ind w:firstLine="422" w:firstLineChars="200"/>
        <w:rPr>
          <w:rFonts w:hAnsi="宋体" w:eastAsia="宋体" w:cs="宋体"/>
          <w:b/>
          <w:sz w:val="21"/>
        </w:rPr>
      </w:pPr>
      <w:r>
        <w:rPr>
          <w:rFonts w:hint="eastAsia" w:hAnsi="宋体" w:eastAsia="宋体" w:cs="宋体"/>
          <w:b/>
          <w:sz w:val="21"/>
        </w:rPr>
        <w:t>（六）联合体报价</w:t>
      </w:r>
    </w:p>
    <w:p>
      <w:pPr>
        <w:pStyle w:val="12"/>
        <w:adjustRightInd/>
        <w:spacing w:line="400" w:lineRule="exact"/>
        <w:ind w:firstLine="420" w:firstLineChars="200"/>
        <w:rPr>
          <w:rFonts w:ascii="宋体" w:hAnsi="宋体" w:cs="宋体"/>
          <w:bCs/>
        </w:rPr>
      </w:pPr>
      <w:r>
        <w:rPr>
          <w:rFonts w:hint="eastAsia" w:ascii="宋体" w:hAnsi="宋体" w:cs="宋体"/>
          <w:bCs/>
        </w:rPr>
        <w:t>本项目不接受联合体报价。</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（七）转包与分包</w:t>
      </w:r>
    </w:p>
    <w:p>
      <w:pPr>
        <w:pStyle w:val="12"/>
        <w:adjustRightInd/>
        <w:spacing w:line="400" w:lineRule="exact"/>
        <w:ind w:firstLine="420" w:firstLineChars="200"/>
        <w:rPr>
          <w:rFonts w:ascii="宋体" w:hAnsi="宋体" w:cs="宋体"/>
          <w:bCs/>
        </w:rPr>
      </w:pPr>
      <w:r>
        <w:rPr>
          <w:rFonts w:hint="eastAsia" w:ascii="宋体" w:hAnsi="宋体" w:cs="宋体"/>
          <w:bCs/>
        </w:rPr>
        <w:t>本项目不允许转包，未经采购人同意，不得分包。</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（八）特别说明</w:t>
      </w:r>
    </w:p>
    <w:p>
      <w:pPr>
        <w:pStyle w:val="12"/>
        <w:adjustRightInd/>
        <w:spacing w:line="400" w:lineRule="exact"/>
        <w:ind w:firstLine="420" w:firstLineChars="200"/>
        <w:rPr>
          <w:rFonts w:ascii="宋体" w:hAnsi="宋体" w:cs="宋体"/>
        </w:rPr>
      </w:pPr>
      <w:r>
        <w:rPr>
          <w:rFonts w:hint="eastAsia" w:ascii="宋体" w:hAnsi="宋体" w:cs="宋体"/>
        </w:rPr>
        <w:t>★1.供应商磋商所使用的资格、信誉、荣誉、业绩与企业认证必须为其所拥有。</w:t>
      </w:r>
    </w:p>
    <w:p>
      <w:pPr>
        <w:pStyle w:val="12"/>
        <w:adjustRightInd/>
        <w:spacing w:line="400" w:lineRule="exact"/>
        <w:ind w:firstLine="420" w:firstLineChars="200"/>
        <w:rPr>
          <w:rFonts w:ascii="宋体" w:hAnsi="宋体" w:cs="宋体"/>
        </w:rPr>
      </w:pPr>
      <w:r>
        <w:rPr>
          <w:rFonts w:hint="eastAsia" w:ascii="宋体" w:hAnsi="宋体" w:cs="宋体"/>
        </w:rPr>
        <w:t>★2.供应商应仔细阅读磋商文件的所有内容，按照磋商文件的要求提交响应文件，并对所提供的全部资料的真实性承担法律责任。</w:t>
      </w:r>
    </w:p>
    <w:p>
      <w:pPr>
        <w:pStyle w:val="12"/>
        <w:adjustRightInd/>
        <w:spacing w:line="400" w:lineRule="exact"/>
        <w:ind w:firstLine="420" w:firstLineChars="200"/>
        <w:rPr>
          <w:rFonts w:ascii="宋体" w:hAnsi="宋体" w:cs="宋体"/>
        </w:rPr>
      </w:pPr>
      <w:r>
        <w:rPr>
          <w:rFonts w:hint="eastAsia" w:ascii="宋体" w:hAnsi="宋体" w:cs="宋体"/>
        </w:rPr>
        <w:t>★3.供应商在采购活动中提供任何虚假材料,其响应文件无效，并报监管部门查处；成交后发现的,成交人须依照相关规定赔偿采购人，且民事赔偿并不免除违法供应商的行政与刑事责任。</w:t>
      </w:r>
    </w:p>
    <w:p>
      <w:pPr>
        <w:pStyle w:val="12"/>
        <w:adjustRightInd/>
        <w:spacing w:line="400" w:lineRule="exact"/>
        <w:ind w:firstLine="420" w:firstLineChars="200"/>
        <w:rPr>
          <w:rFonts w:ascii="宋体" w:hAnsi="宋体" w:cs="宋体"/>
        </w:rPr>
      </w:pPr>
      <w:r>
        <w:rPr>
          <w:rFonts w:hint="eastAsia" w:ascii="宋体" w:hAnsi="宋体" w:cs="宋体"/>
        </w:rPr>
        <w:t>4.如货物类招标情形提供相同品牌产品且通过资格审查、符合性审查的不同供应商参加同一合同项下投标的，按一家供应商计算。</w:t>
      </w:r>
    </w:p>
    <w:p>
      <w:pPr>
        <w:pStyle w:val="12"/>
        <w:adjustRightInd/>
        <w:spacing w:line="400" w:lineRule="exact"/>
        <w:ind w:firstLine="420" w:firstLineChars="200"/>
        <w:rPr>
          <w:rFonts w:ascii="宋体" w:hAnsi="宋体" w:cs="宋体"/>
        </w:rPr>
      </w:pPr>
      <w:r>
        <w:rPr>
          <w:rFonts w:hint="eastAsia" w:ascii="宋体" w:hAnsi="宋体" w:cs="宋体"/>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pPr>
        <w:pStyle w:val="12"/>
        <w:adjustRightInd/>
        <w:spacing w:line="400" w:lineRule="exact"/>
        <w:ind w:firstLine="420" w:firstLineChars="200"/>
        <w:rPr>
          <w:rFonts w:ascii="宋体" w:hAnsi="宋体" w:cs="宋体"/>
        </w:rPr>
      </w:pPr>
      <w:r>
        <w:rPr>
          <w:rFonts w:hint="eastAsia" w:ascii="宋体" w:hAnsi="宋体" w:cs="宋体"/>
        </w:rPr>
        <w:t>非单一产品采购项目，供应商使用相同制造产品（相同制造产品是指磋商文件中指定的“核心产品”）作为其项目的一部分，按一家供应商认定。</w:t>
      </w:r>
    </w:p>
    <w:p>
      <w:pPr>
        <w:pStyle w:val="12"/>
        <w:adjustRightInd/>
        <w:spacing w:line="400" w:lineRule="exact"/>
        <w:ind w:firstLine="422" w:firstLineChars="200"/>
        <w:rPr>
          <w:rFonts w:ascii="宋体" w:hAnsi="宋体" w:cs="宋体"/>
          <w:b/>
        </w:rPr>
      </w:pPr>
      <w:r>
        <w:rPr>
          <w:rFonts w:hint="eastAsia" w:ascii="宋体" w:hAnsi="宋体" w:cs="宋体"/>
          <w:b/>
        </w:rPr>
        <w:t>（九）关于分公司投标</w:t>
      </w:r>
    </w:p>
    <w:p>
      <w:pPr>
        <w:pStyle w:val="12"/>
        <w:adjustRightInd/>
        <w:spacing w:line="400" w:lineRule="exact"/>
        <w:ind w:firstLine="420" w:firstLineChars="200"/>
        <w:rPr>
          <w:rFonts w:ascii="宋体" w:hAnsi="宋体" w:cs="宋体"/>
        </w:rPr>
      </w:pPr>
      <w:r>
        <w:rPr>
          <w:rFonts w:hint="eastAsia" w:ascii="宋体" w:hAnsi="宋体" w:cs="宋体"/>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（十）关于知识产权</w:t>
      </w:r>
    </w:p>
    <w:p>
      <w:pPr>
        <w:pStyle w:val="12"/>
        <w:adjustRightInd/>
        <w:spacing w:line="400" w:lineRule="exact"/>
        <w:ind w:firstLine="420" w:firstLineChars="200"/>
        <w:rPr>
          <w:rFonts w:ascii="宋体" w:hAnsi="宋体" w:cs="宋体"/>
        </w:rPr>
      </w:pPr>
      <w:r>
        <w:rPr>
          <w:rFonts w:hint="eastAsia" w:ascii="宋体" w:hAnsi="宋体" w:cs="宋体"/>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12"/>
        <w:adjustRightInd/>
        <w:spacing w:line="400" w:lineRule="exact"/>
        <w:ind w:firstLine="420" w:firstLineChars="200"/>
        <w:rPr>
          <w:rFonts w:ascii="宋体" w:hAnsi="宋体" w:cs="宋体"/>
        </w:rPr>
      </w:pPr>
      <w:r>
        <w:rPr>
          <w:rFonts w:hint="eastAsia" w:ascii="宋体" w:hAnsi="宋体" w:cs="宋体"/>
        </w:rPr>
        <w:t>2、投标报价应包含所有应向所有权人支付的专利权、商标权或其它知识产权的一切相关费用。</w:t>
      </w:r>
    </w:p>
    <w:p>
      <w:pPr>
        <w:pStyle w:val="12"/>
        <w:adjustRightInd/>
        <w:spacing w:line="400" w:lineRule="exact"/>
        <w:ind w:firstLine="420" w:firstLineChars="200"/>
        <w:rPr>
          <w:rFonts w:ascii="宋体" w:hAnsi="宋体" w:cs="宋体"/>
        </w:rPr>
      </w:pPr>
      <w:r>
        <w:rPr>
          <w:rFonts w:hint="eastAsia" w:ascii="宋体" w:hAnsi="宋体" w:cs="宋体"/>
        </w:rPr>
        <w:t>3、系统软件、通用软件必须是具有在中国境内的合法使用权或版权的正版软件，涉及到第三方提出侵权或知识产权的起诉及支付版税等费用由供应商承担所有责任及费用。</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（十一）质疑和投诉</w:t>
      </w:r>
    </w:p>
    <w:p>
      <w:pPr>
        <w:pStyle w:val="12"/>
        <w:adjustRightInd/>
        <w:spacing w:line="400" w:lineRule="exact"/>
        <w:ind w:firstLine="420" w:firstLineChars="200"/>
        <w:rPr>
          <w:rFonts w:ascii="宋体" w:hAnsi="宋体" w:cs="宋体"/>
        </w:rPr>
      </w:pPr>
      <w:r>
        <w:rPr>
          <w:rFonts w:hint="eastAsia" w:ascii="宋体" w:hAnsi="宋体" w:cs="宋体"/>
        </w:rPr>
        <w:t>1. 供应商认为磋商文件、采购过程、中标或者成交结果使自己的权益受到损害的，须在应知其利益受损之日起7个工作日内以书面形式向采购人、采购代理机构提出质疑。供应商应当在法定质疑期内一次性提出针对同一采购程序环节的质疑。</w:t>
      </w:r>
    </w:p>
    <w:p>
      <w:pPr>
        <w:pStyle w:val="12"/>
        <w:adjustRightInd/>
        <w:spacing w:line="400" w:lineRule="exact"/>
        <w:ind w:firstLine="420" w:firstLineChars="200"/>
        <w:rPr>
          <w:rFonts w:ascii="宋体" w:hAnsi="宋体" w:cs="宋体"/>
        </w:rPr>
      </w:pPr>
      <w:r>
        <w:rPr>
          <w:rFonts w:hint="eastAsia" w:ascii="宋体" w:hAnsi="宋体" w:cs="宋体"/>
        </w:rPr>
        <w:t>2. 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pPr>
        <w:pStyle w:val="12"/>
        <w:adjustRightInd/>
        <w:spacing w:line="400" w:lineRule="exact"/>
        <w:ind w:firstLine="420" w:firstLineChars="200"/>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3.供应商提出质疑应当提交质疑函和必要的证明材料，质疑函应当面以书面形式提出，质疑函格式和内容须符合财政部《质疑函范本》要求，供应商可到浙江政府采购网自行下载财政部《质疑函范本》。</w:t>
      </w:r>
    </w:p>
    <w:p>
      <w:pPr>
        <w:pStyle w:val="12"/>
        <w:adjustRightInd/>
        <w:spacing w:line="400" w:lineRule="exact"/>
        <w:ind w:firstLine="420" w:firstLineChars="200"/>
        <w:rPr>
          <w:rFonts w:ascii="宋体" w:hAnsi="宋体" w:cs="宋体"/>
        </w:rPr>
      </w:pPr>
      <w:r>
        <w:rPr>
          <w:rFonts w:hint="eastAsia" w:ascii="宋体" w:hAnsi="宋体" w:cs="宋体"/>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pPr>
        <w:pStyle w:val="12"/>
        <w:adjustRightInd/>
        <w:spacing w:line="400" w:lineRule="exact"/>
        <w:ind w:firstLine="420" w:firstLineChars="200"/>
        <w:rPr>
          <w:rFonts w:ascii="宋体" w:hAnsi="宋体" w:cs="宋体"/>
        </w:rPr>
      </w:pPr>
      <w:r>
        <w:rPr>
          <w:rFonts w:hint="eastAsia" w:ascii="宋体" w:hAnsi="宋体" w:cs="宋体"/>
        </w:rPr>
        <w:t>5. 供应商对采购人或采购代理机构的质疑答复不满意或者采购人或采购代理机构未在规定时间内作出答复的，可以在答复期满后十五个工作日内向同级采购监管部门投诉。</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二  磋商文件</w:t>
      </w:r>
    </w:p>
    <w:p>
      <w:pPr>
        <w:pStyle w:val="6"/>
        <w:numPr>
          <w:ilvl w:val="0"/>
          <w:numId w:val="8"/>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磋商文件的构成</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本磋商文件由以下部分组成：</w:t>
      </w:r>
    </w:p>
    <w:p>
      <w:pPr>
        <w:pStyle w:val="12"/>
        <w:adjustRightInd/>
        <w:spacing w:line="400" w:lineRule="exact"/>
        <w:ind w:firstLine="420" w:firstLineChars="200"/>
        <w:rPr>
          <w:rFonts w:ascii="宋体" w:hAnsi="宋体" w:cs="宋体"/>
        </w:rPr>
      </w:pPr>
      <w:r>
        <w:rPr>
          <w:rFonts w:hint="eastAsia" w:ascii="宋体" w:hAnsi="宋体" w:cs="宋体"/>
        </w:rPr>
        <w:t>1.竞争性磋商公告</w:t>
      </w:r>
    </w:p>
    <w:p>
      <w:pPr>
        <w:pStyle w:val="12"/>
        <w:adjustRightInd/>
        <w:spacing w:line="400" w:lineRule="exact"/>
        <w:ind w:firstLine="420" w:firstLineChars="200"/>
        <w:rPr>
          <w:rFonts w:ascii="宋体" w:hAnsi="宋体" w:cs="宋体"/>
        </w:rPr>
      </w:pPr>
      <w:r>
        <w:rPr>
          <w:rFonts w:hint="eastAsia" w:ascii="宋体" w:hAnsi="宋体" w:cs="宋体"/>
        </w:rPr>
        <w:t>2.供应商须知</w:t>
      </w:r>
    </w:p>
    <w:p>
      <w:pPr>
        <w:pStyle w:val="12"/>
        <w:adjustRightInd/>
        <w:spacing w:line="400" w:lineRule="exact"/>
        <w:ind w:firstLine="420" w:firstLineChars="200"/>
        <w:rPr>
          <w:rFonts w:ascii="宋体" w:hAnsi="宋体" w:cs="宋体"/>
        </w:rPr>
      </w:pPr>
      <w:r>
        <w:rPr>
          <w:rFonts w:hint="eastAsia" w:ascii="宋体" w:hAnsi="宋体" w:cs="宋体"/>
        </w:rPr>
        <w:t>3.项目需求</w:t>
      </w:r>
    </w:p>
    <w:p>
      <w:pPr>
        <w:pStyle w:val="12"/>
        <w:adjustRightInd/>
        <w:spacing w:line="400" w:lineRule="exact"/>
        <w:ind w:firstLine="420" w:firstLineChars="200"/>
        <w:rPr>
          <w:rFonts w:ascii="宋体" w:hAnsi="宋体" w:cs="宋体"/>
        </w:rPr>
      </w:pPr>
      <w:r>
        <w:rPr>
          <w:rFonts w:hint="eastAsia" w:ascii="宋体" w:hAnsi="宋体" w:cs="宋体"/>
        </w:rPr>
        <w:t>4.评审标准</w:t>
      </w:r>
    </w:p>
    <w:p>
      <w:pPr>
        <w:pStyle w:val="12"/>
        <w:adjustRightInd/>
        <w:spacing w:line="400" w:lineRule="exact"/>
        <w:ind w:firstLine="420" w:firstLineChars="200"/>
        <w:rPr>
          <w:rFonts w:ascii="宋体" w:hAnsi="宋体" w:cs="宋体"/>
        </w:rPr>
      </w:pPr>
      <w:r>
        <w:rPr>
          <w:rFonts w:hint="eastAsia" w:ascii="宋体" w:hAnsi="宋体" w:cs="宋体"/>
        </w:rPr>
        <w:t>5.合同条款及格式</w:t>
      </w:r>
    </w:p>
    <w:p>
      <w:pPr>
        <w:pStyle w:val="12"/>
        <w:adjustRightInd/>
        <w:spacing w:line="400" w:lineRule="exact"/>
        <w:ind w:firstLine="420" w:firstLineChars="200"/>
        <w:rPr>
          <w:rFonts w:ascii="宋体" w:hAnsi="宋体" w:cs="宋体"/>
        </w:rPr>
      </w:pPr>
      <w:r>
        <w:rPr>
          <w:rFonts w:hint="eastAsia" w:ascii="宋体" w:hAnsi="宋体" w:cs="宋体"/>
        </w:rPr>
        <w:t>6.响应文件格式</w:t>
      </w:r>
    </w:p>
    <w:p>
      <w:pPr>
        <w:pStyle w:val="12"/>
        <w:adjustRightInd/>
        <w:spacing w:line="400" w:lineRule="exact"/>
        <w:ind w:firstLine="420" w:firstLineChars="200"/>
        <w:rPr>
          <w:rFonts w:ascii="宋体" w:hAnsi="宋体" w:cs="宋体"/>
        </w:rPr>
      </w:pPr>
      <w:r>
        <w:rPr>
          <w:rFonts w:hint="eastAsia" w:ascii="宋体" w:hAnsi="宋体" w:cs="宋体"/>
        </w:rPr>
        <w:t>7.本项目磋商文件的澄清、答复、修改、补充的内容</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（二）供应商的风险</w:t>
      </w:r>
    </w:p>
    <w:p>
      <w:pPr>
        <w:pStyle w:val="12"/>
        <w:adjustRightInd/>
        <w:spacing w:line="400" w:lineRule="exact"/>
        <w:ind w:firstLine="420" w:firstLineChars="200"/>
        <w:rPr>
          <w:rFonts w:ascii="宋体" w:hAnsi="宋体" w:cs="宋体"/>
        </w:rPr>
      </w:pPr>
      <w:r>
        <w:rPr>
          <w:rFonts w:hint="eastAsia" w:ascii="宋体" w:hAnsi="宋体" w:cs="宋体"/>
        </w:rPr>
        <w:t>供应商没有按照磋商文件要求提供全部资料，或者供应商没有对磋商文件在各方面作出实质性响应是供应商的风险，并可能导致其响应文件被拒绝。</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 xml:space="preserve">（三）磋商文件的澄清与修改 </w:t>
      </w:r>
    </w:p>
    <w:p>
      <w:pPr>
        <w:pStyle w:val="12"/>
        <w:adjustRightInd/>
        <w:spacing w:line="400" w:lineRule="exact"/>
        <w:ind w:firstLine="420" w:firstLineChars="200"/>
        <w:rPr>
          <w:rFonts w:ascii="宋体" w:hAnsi="宋体" w:cs="宋体"/>
        </w:rPr>
      </w:pPr>
      <w:r>
        <w:rPr>
          <w:rFonts w:hint="eastAsia" w:ascii="宋体" w:hAnsi="宋体" w:cs="宋体"/>
        </w:rPr>
        <w:t>1.</w:t>
      </w:r>
      <w:r>
        <w:rPr>
          <w:rFonts w:hint="eastAsia" w:ascii="宋体" w:hAnsi="宋体" w:cs="宋体"/>
          <w:shd w:val="clear" w:color="auto" w:fill="FFFFFF"/>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宋体" w:hAnsi="宋体" w:cs="宋体"/>
          <w:bCs/>
        </w:rPr>
        <w:t>在原公告发布媒体上发布澄清公告</w:t>
      </w:r>
      <w:r>
        <w:rPr>
          <w:rFonts w:hint="eastAsia" w:ascii="宋体" w:hAnsi="宋体" w:cs="宋体"/>
          <w:shd w:val="clear" w:color="auto" w:fill="FFFFFF"/>
        </w:rPr>
        <w:t>；不足5日的，采购人、采购代理机构应当顺延提交首次响应文件截止时间。</w:t>
      </w:r>
    </w:p>
    <w:p>
      <w:pPr>
        <w:adjustRightInd/>
        <w:spacing w:line="400" w:lineRule="exact"/>
        <w:ind w:firstLine="420" w:firstLineChars="200"/>
        <w:rPr>
          <w:rFonts w:hAnsi="宋体" w:eastAsia="宋体" w:cs="宋体"/>
          <w:bCs/>
          <w:kern w:val="2"/>
          <w:sz w:val="21"/>
        </w:rPr>
      </w:pPr>
      <w:r>
        <w:rPr>
          <w:rFonts w:hint="eastAsia" w:hAnsi="宋体" w:eastAsia="宋体" w:cs="宋体"/>
          <w:bCs/>
          <w:kern w:val="2"/>
          <w:sz w:val="21"/>
        </w:rPr>
        <w:t>2.澄清公告为磋商文件的组成部分，一经在网站发布，视同已通知所有磋商文件的收受人，不再采用其它方式传达相关信息,若因未能及时了解到网站上发布的相关信息而导致的一切后果自行承担。</w:t>
      </w:r>
    </w:p>
    <w:p>
      <w:pPr>
        <w:adjustRightInd/>
        <w:spacing w:line="400" w:lineRule="exact"/>
        <w:ind w:firstLine="420" w:firstLineChars="200"/>
        <w:rPr>
          <w:rFonts w:hAnsi="宋体" w:eastAsia="宋体" w:cs="宋体"/>
          <w:bCs/>
          <w:kern w:val="2"/>
          <w:sz w:val="21"/>
        </w:rPr>
      </w:pPr>
      <w:r>
        <w:rPr>
          <w:rFonts w:hint="eastAsia" w:hAnsi="宋体" w:eastAsia="宋体" w:cs="宋体"/>
          <w:bCs/>
          <w:kern w:val="2"/>
          <w:sz w:val="21"/>
        </w:rPr>
        <w:t>3.磋商文件澄清、答复、修改、补充的内容为磋商文件的组成部分。当磋商文件与磋商文件的答复、澄清、修改、补充通知就同一内容的表述不一致时，以最后发出的澄清公告为准。</w:t>
      </w:r>
    </w:p>
    <w:p>
      <w:pPr>
        <w:pStyle w:val="12"/>
        <w:adjustRightInd/>
        <w:spacing w:line="400" w:lineRule="exact"/>
        <w:ind w:firstLine="420" w:firstLineChars="200"/>
        <w:rPr>
          <w:rFonts w:ascii="宋体" w:hAnsi="宋体" w:cs="宋体"/>
        </w:rPr>
      </w:pPr>
      <w:r>
        <w:rPr>
          <w:rFonts w:hint="eastAsia" w:ascii="宋体" w:hAnsi="宋体" w:cs="宋体"/>
          <w:bCs/>
          <w:kern w:val="2"/>
        </w:rPr>
        <w:t>4.磋商文件的澄清、答复、修改或补充都应该通过本代理机构以法定形式发布，采购人非通过本机构，不得擅自澄清、答复、修改或补充磋商文件。</w:t>
      </w:r>
    </w:p>
    <w:p>
      <w:pPr>
        <w:pStyle w:val="12"/>
        <w:adjustRightInd/>
        <w:spacing w:line="400" w:lineRule="exact"/>
        <w:ind w:firstLine="422" w:firstLineChars="200"/>
        <w:rPr>
          <w:rFonts w:ascii="宋体" w:hAnsi="宋体" w:cs="宋体"/>
          <w:b/>
        </w:rPr>
      </w:pPr>
      <w:r>
        <w:rPr>
          <w:rFonts w:hint="eastAsia" w:ascii="宋体" w:hAnsi="宋体" w:cs="宋体"/>
          <w:b/>
        </w:rPr>
        <w:t>三  响应文件的编制</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（一）响应文件的组成</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响应文件由资格文件、商务技术文件和报价文件三部分组成。</w:t>
      </w:r>
    </w:p>
    <w:p>
      <w:pPr>
        <w:pStyle w:val="6"/>
        <w:numPr>
          <w:ilvl w:val="0"/>
          <w:numId w:val="9"/>
        </w:numPr>
        <w:tabs>
          <w:tab w:val="left" w:pos="720"/>
        </w:tabs>
        <w:adjustRightInd/>
        <w:spacing w:line="400" w:lineRule="exact"/>
        <w:rPr>
          <w:rFonts w:hAnsi="宋体" w:eastAsia="宋体" w:cs="宋体"/>
          <w:b/>
          <w:sz w:val="21"/>
        </w:rPr>
      </w:pPr>
      <w:r>
        <w:rPr>
          <w:rFonts w:hint="eastAsia" w:hAnsi="宋体" w:eastAsia="宋体" w:cs="宋体"/>
          <w:b/>
          <w:sz w:val="21"/>
        </w:rPr>
        <w:t>资格文件内容包括</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（1）供应商资格声明函（格式详见第六章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（3）供应商落实政府采购政策的证明文件：详见“第一章  竞争性磋商公告 二、申请人的资格要求：2.落实政府采购政策需满足的资格要求”；</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（4）供应商特定资格条件的证明文件：详见“第一章  竞争性磋商公告 二、申请人的资格要求：3.本项目的特定资格要求”；</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（5）磋商文件要求的其他资格条件证明材料（如有）；</w:t>
      </w:r>
    </w:p>
    <w:p>
      <w:pPr>
        <w:pStyle w:val="6"/>
        <w:numPr>
          <w:ilvl w:val="0"/>
          <w:numId w:val="9"/>
        </w:numPr>
        <w:tabs>
          <w:tab w:val="left" w:pos="720"/>
        </w:tabs>
        <w:adjustRightInd/>
        <w:spacing w:line="400" w:lineRule="exact"/>
        <w:rPr>
          <w:rFonts w:hAnsi="宋体" w:eastAsia="宋体" w:cs="宋体"/>
          <w:b/>
          <w:sz w:val="21"/>
        </w:rPr>
      </w:pPr>
      <w:r>
        <w:rPr>
          <w:rFonts w:hint="eastAsia" w:hAnsi="宋体" w:eastAsia="宋体" w:cs="宋体"/>
          <w:b/>
          <w:sz w:val="21"/>
        </w:rPr>
        <w:t>商务技术文件内容包括</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（1）符合性自查表（格式详见第六章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（2）投标函（格式详见第六章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（3）法定代表人身份证明及授权委托书（格式详见第六章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（4）需求条款响应（偏离）表（格式详见第六章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（5）商务条款响应（偏离）表（格式详见第六章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（6）技术部分：针对本项目第三章项目需求和第四章评审标准中的条款拟定完整方案，格式自拟；</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（7）业绩一览表（格式详见第六章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（8）供应商认为有需要提供的其它有关证明资料。</w:t>
      </w:r>
    </w:p>
    <w:p>
      <w:pPr>
        <w:pStyle w:val="6"/>
        <w:numPr>
          <w:ilvl w:val="0"/>
          <w:numId w:val="9"/>
        </w:numPr>
        <w:tabs>
          <w:tab w:val="left" w:pos="720"/>
        </w:tabs>
        <w:adjustRightInd/>
        <w:spacing w:line="400" w:lineRule="exact"/>
        <w:rPr>
          <w:rFonts w:hAnsi="宋体" w:eastAsia="宋体" w:cs="宋体"/>
          <w:b/>
          <w:sz w:val="21"/>
        </w:rPr>
      </w:pPr>
      <w:r>
        <w:rPr>
          <w:rFonts w:hint="eastAsia" w:hAnsi="宋体" w:eastAsia="宋体" w:cs="宋体"/>
          <w:b/>
          <w:sz w:val="21"/>
        </w:rPr>
        <w:t>报价文件内容包括</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（1）报价一览表（格式详见第六章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（2）分项报价表（格式详见第六章 响应文件格式）；</w:t>
      </w:r>
    </w:p>
    <w:p>
      <w:pPr>
        <w:pStyle w:val="6"/>
        <w:numPr>
          <w:ilvl w:val="0"/>
          <w:numId w:val="0"/>
        </w:numPr>
        <w:tabs>
          <w:tab w:val="left" w:pos="720"/>
        </w:tabs>
        <w:adjustRightInd/>
        <w:spacing w:line="400" w:lineRule="exact"/>
        <w:ind w:firstLine="420" w:firstLineChars="200"/>
        <w:rPr>
          <w:rFonts w:hAnsi="宋体" w:eastAsia="宋体" w:cs="宋体"/>
          <w:bCs/>
          <w:sz w:val="21"/>
        </w:rPr>
      </w:pPr>
      <w:r>
        <w:rPr>
          <w:rFonts w:hint="eastAsia" w:hAnsi="宋体" w:eastAsia="宋体" w:cs="宋体"/>
          <w:bCs/>
          <w:sz w:val="21"/>
        </w:rPr>
        <w:t>（3）供应商针对报价需要说明的其他文件和说明（格式自拟）；</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（二）响应文件的语言及计量</w:t>
      </w:r>
    </w:p>
    <w:p>
      <w:pPr>
        <w:adjustRightInd/>
        <w:spacing w:line="400" w:lineRule="exact"/>
        <w:ind w:firstLine="422" w:firstLineChars="200"/>
        <w:jc w:val="left"/>
        <w:rPr>
          <w:rFonts w:hAnsi="宋体" w:eastAsia="宋体" w:cs="宋体"/>
          <w:b/>
          <w:sz w:val="21"/>
        </w:rPr>
      </w:pPr>
      <w:r>
        <w:rPr>
          <w:rFonts w:hint="eastAsia" w:hAnsi="宋体" w:eastAsia="宋体" w:cs="宋体"/>
          <w:b/>
          <w:sz w:val="21"/>
        </w:rPr>
        <w:t>★1.响应文件以及供应商与采购单位就有关磋商事宜的所有来往函电，均应以中文汉语书写。除签名、盖章、专用名称等特殊情形外，以中文汉语以外的文字表述的响应文件视同未提供。</w:t>
      </w:r>
    </w:p>
    <w:p>
      <w:pPr>
        <w:adjustRightInd/>
        <w:spacing w:line="400" w:lineRule="exact"/>
        <w:ind w:firstLine="422" w:firstLineChars="200"/>
        <w:jc w:val="left"/>
        <w:rPr>
          <w:rFonts w:hAnsi="宋体" w:eastAsia="宋体" w:cs="宋体"/>
          <w:b/>
          <w:sz w:val="21"/>
        </w:rPr>
      </w:pPr>
      <w:r>
        <w:rPr>
          <w:rFonts w:hint="eastAsia" w:hAnsi="宋体" w:eastAsia="宋体" w:cs="宋体"/>
          <w:b/>
          <w:sz w:val="21"/>
        </w:rPr>
        <w:t>★2.报价计量单位：磋商文件已有明确规定的，使用磋商文件规定的计量单位；磋商文件没有规定的，应采用中华人民共和国法定计量单位（货币单位：人民币元），否则视同未响应。</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（三）报价要求</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1.报价应按磋商文件中相关附表格式填写。</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★2.响应文件只允许有一个报价，有选择的或有条件的报价将不予接受。</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（四）响应文件的有效期</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★1.自递交首次响应文件截止日起</w:t>
      </w:r>
      <w:r>
        <w:rPr>
          <w:rFonts w:hint="eastAsia" w:hAnsi="宋体" w:eastAsia="宋体" w:cs="宋体"/>
          <w:sz w:val="21"/>
          <w:u w:val="single"/>
        </w:rPr>
        <w:t xml:space="preserve"> 60 </w:t>
      </w:r>
      <w:r>
        <w:rPr>
          <w:rFonts w:hint="eastAsia" w:hAnsi="宋体" w:eastAsia="宋体" w:cs="宋体"/>
          <w:sz w:val="21"/>
        </w:rPr>
        <w:t>天响应文件应保持有效。</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2.在特殊情况下，采购人可与供应商协商延长响应文件的有效期，这种要求和答复均以书面形式进行。</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 xml:space="preserve">3.供应商可拒绝接受延期要求，但不能修改响应文件。 </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4.成交人的响应文件自递交首次响应文件截止之日起至合同履行完毕止均应保持有效。</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（五）响应文件的签署和份数</w:t>
      </w:r>
    </w:p>
    <w:p>
      <w:pPr>
        <w:adjustRightInd/>
        <w:spacing w:line="400" w:lineRule="exact"/>
        <w:ind w:firstLine="420" w:firstLineChars="200"/>
        <w:textAlignment w:val="auto"/>
        <w:rPr>
          <w:rFonts w:hAnsi="宋体" w:eastAsia="宋体" w:cs="宋体"/>
          <w:kern w:val="2"/>
          <w:sz w:val="21"/>
        </w:rPr>
      </w:pPr>
      <w:r>
        <w:rPr>
          <w:rFonts w:hint="eastAsia" w:hAnsi="宋体" w:eastAsia="宋体" w:cs="宋体"/>
          <w:kern w:val="2"/>
          <w:sz w:val="21"/>
        </w:rPr>
        <w:t>1.供应商应按本磋商文件规定的格式和顺序编制、装订响应文件，响应文件要求有目录并标注页码，响应文件内容不完整、编排混乱导致响应文件被误读、漏读或者查找不到相关内容的，是供应商的责任。</w:t>
      </w:r>
    </w:p>
    <w:p>
      <w:pPr>
        <w:adjustRightInd/>
        <w:spacing w:line="400" w:lineRule="exact"/>
        <w:ind w:firstLine="420" w:firstLineChars="200"/>
        <w:textAlignment w:val="auto"/>
        <w:rPr>
          <w:rFonts w:hAnsi="宋体" w:eastAsia="宋体" w:cs="宋体"/>
          <w:kern w:val="2"/>
          <w:sz w:val="21"/>
        </w:rPr>
      </w:pPr>
      <w:r>
        <w:rPr>
          <w:rFonts w:hint="eastAsia" w:hAnsi="宋体" w:eastAsia="宋体" w:cs="宋体"/>
          <w:kern w:val="2"/>
          <w:sz w:val="21"/>
        </w:rPr>
        <w:t>2.响应文件的份数：</w:t>
      </w:r>
    </w:p>
    <w:p>
      <w:pPr>
        <w:adjustRightInd/>
        <w:spacing w:line="400" w:lineRule="exact"/>
        <w:ind w:firstLine="420" w:firstLineChars="200"/>
        <w:textAlignment w:val="auto"/>
        <w:rPr>
          <w:rFonts w:hAnsi="宋体" w:eastAsia="宋体" w:cs="宋体"/>
          <w:kern w:val="2"/>
          <w:sz w:val="21"/>
        </w:rPr>
      </w:pPr>
      <w:r>
        <w:rPr>
          <w:rFonts w:hint="eastAsia" w:hAnsi="宋体" w:eastAsia="宋体" w:cs="宋体"/>
          <w:kern w:val="2"/>
          <w:sz w:val="21"/>
        </w:rPr>
        <w:t>本项目实行网上投标，供应商应准备以下响应文件：</w:t>
      </w:r>
    </w:p>
    <w:p>
      <w:pPr>
        <w:adjustRightInd/>
        <w:spacing w:line="400" w:lineRule="exact"/>
        <w:ind w:firstLine="420" w:firstLineChars="200"/>
        <w:textAlignment w:val="auto"/>
        <w:rPr>
          <w:rFonts w:hAnsi="宋体" w:eastAsia="宋体" w:cs="宋体"/>
          <w:kern w:val="2"/>
          <w:sz w:val="21"/>
        </w:rPr>
      </w:pPr>
      <w:r>
        <w:rPr>
          <w:rFonts w:hint="eastAsia" w:hAnsi="宋体" w:eastAsia="宋体" w:cs="宋体"/>
          <w:kern w:val="2"/>
          <w:sz w:val="21"/>
        </w:rPr>
        <w:t>（1）上传到政府采购云平台的电子响应文件（含资格文件、商务技术文件、报价文件）1份。</w:t>
      </w:r>
    </w:p>
    <w:p>
      <w:pPr>
        <w:adjustRightInd/>
        <w:spacing w:line="400" w:lineRule="exact"/>
        <w:ind w:firstLine="420" w:firstLineChars="200"/>
        <w:textAlignment w:val="auto"/>
        <w:rPr>
          <w:rFonts w:hAnsi="宋体" w:eastAsia="宋体" w:cs="宋体"/>
          <w:kern w:val="2"/>
          <w:sz w:val="21"/>
        </w:rPr>
      </w:pPr>
      <w:r>
        <w:rPr>
          <w:rFonts w:hint="eastAsia" w:hAnsi="宋体" w:eastAsia="宋体" w:cs="宋体"/>
          <w:kern w:val="2"/>
          <w:sz w:val="21"/>
        </w:rPr>
        <w:t>（2）以U盘存储的电子备份响应文件（含资格文件、商务技术文件、报价文件）1份。</w:t>
      </w:r>
    </w:p>
    <w:p>
      <w:pPr>
        <w:adjustRightInd/>
        <w:spacing w:line="400" w:lineRule="exact"/>
        <w:ind w:firstLine="420" w:firstLineChars="200"/>
        <w:textAlignment w:val="auto"/>
        <w:rPr>
          <w:rFonts w:hAnsi="宋体" w:eastAsia="宋体" w:cs="宋体"/>
          <w:kern w:val="2"/>
          <w:sz w:val="21"/>
        </w:rPr>
      </w:pPr>
      <w:r>
        <w:rPr>
          <w:rFonts w:hint="eastAsia" w:hAnsi="宋体" w:eastAsia="宋体" w:cs="宋体"/>
          <w:kern w:val="2"/>
          <w:sz w:val="21"/>
        </w:rPr>
        <w:t>3.电子响应文件：</w:t>
      </w:r>
    </w:p>
    <w:p>
      <w:pPr>
        <w:adjustRightInd/>
        <w:spacing w:line="400" w:lineRule="exact"/>
        <w:ind w:firstLine="420" w:firstLineChars="200"/>
        <w:textAlignment w:val="auto"/>
        <w:rPr>
          <w:rFonts w:hAnsi="宋体" w:eastAsia="宋体" w:cs="宋体"/>
          <w:kern w:val="2"/>
          <w:sz w:val="21"/>
        </w:rPr>
      </w:pPr>
      <w:r>
        <w:rPr>
          <w:rFonts w:hint="eastAsia" w:hAnsi="宋体" w:eastAsia="宋体" w:cs="宋体"/>
          <w:kern w:val="2"/>
          <w:sz w:val="21"/>
        </w:rPr>
        <w:t>3.1供应商应根据政采云平台及本磋商文件规定的格式和顺序编制电子响应文件并进行关联定位。</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（六）响应文件的包装、递交、修改和撤回</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1.</w:t>
      </w:r>
      <w:r>
        <w:rPr>
          <w:rFonts w:hint="eastAsia" w:hAnsi="宋体" w:eastAsia="宋体" w:cs="宋体"/>
          <w:sz w:val="21"/>
        </w:rPr>
        <w:t>以U盘存储的电子备份响应文件</w:t>
      </w:r>
      <w:r>
        <w:rPr>
          <w:rFonts w:hint="eastAsia" w:hAnsi="宋体" w:eastAsia="宋体" w:cs="宋体"/>
          <w:kern w:val="2"/>
          <w:sz w:val="21"/>
        </w:rPr>
        <w:t>用封袋密封后递交。</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bCs/>
          <w:kern w:val="2"/>
          <w:sz w:val="21"/>
        </w:rPr>
        <w:t>2.电子备份</w:t>
      </w:r>
      <w:r>
        <w:rPr>
          <w:rFonts w:hint="eastAsia" w:hAnsi="宋体" w:eastAsia="宋体" w:cs="宋体"/>
          <w:kern w:val="2"/>
          <w:sz w:val="21"/>
        </w:rPr>
        <w:t>响应文件的包装封面上应注明供应商名称、供应商地址、响应文件名称、投标项目名称、项目编号、标项号，并加盖供应商公章。</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3.未按规定密封或标记的响应文件将被拒绝，由此造成响应文件被误投或提前拆封的风险由供应商承担。</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4.供应商在</w:t>
      </w:r>
      <w:r>
        <w:rPr>
          <w:rFonts w:hint="eastAsia" w:hAnsi="宋体" w:eastAsia="宋体" w:cs="宋体"/>
          <w:sz w:val="21"/>
        </w:rPr>
        <w:t>递交首次响应文件截止时间</w:t>
      </w:r>
      <w:r>
        <w:rPr>
          <w:rFonts w:hint="eastAsia" w:hAnsi="宋体" w:eastAsia="宋体" w:cs="宋体"/>
          <w:kern w:val="2"/>
          <w:sz w:val="21"/>
        </w:rPr>
        <w:t>之前，可以对已提交的</w:t>
      </w:r>
      <w:r>
        <w:rPr>
          <w:rFonts w:hint="eastAsia" w:hAnsi="宋体" w:eastAsia="宋体" w:cs="宋体"/>
          <w:sz w:val="21"/>
        </w:rPr>
        <w:t>电子备份响应文件</w:t>
      </w:r>
      <w:r>
        <w:rPr>
          <w:rFonts w:hint="eastAsia" w:hAnsi="宋体" w:eastAsia="宋体" w:cs="宋体"/>
          <w:kern w:val="2"/>
          <w:sz w:val="21"/>
        </w:rPr>
        <w:t>进行修改或撤回，并书面通知招标采购单位；在</w:t>
      </w:r>
      <w:r>
        <w:rPr>
          <w:rFonts w:hint="eastAsia" w:hAnsi="宋体" w:eastAsia="宋体" w:cs="宋体"/>
          <w:sz w:val="21"/>
        </w:rPr>
        <w:t>递交首次响应文件截止时间</w:t>
      </w:r>
      <w:r>
        <w:rPr>
          <w:rFonts w:hint="eastAsia" w:hAnsi="宋体" w:eastAsia="宋体" w:cs="宋体"/>
          <w:kern w:val="2"/>
          <w:sz w:val="21"/>
        </w:rPr>
        <w:t>后，供应商不得撤回、修改响应文件。修改后重新递交的电子备份响应文件应当按本磋商文件的要求签署、盖章和密封。</w:t>
      </w:r>
    </w:p>
    <w:p>
      <w:pPr>
        <w:adjustRightInd/>
        <w:spacing w:line="400" w:lineRule="exact"/>
        <w:ind w:firstLine="420" w:firstLineChars="200"/>
        <w:jc w:val="left"/>
        <w:textAlignment w:val="auto"/>
        <w:rPr>
          <w:rFonts w:hAnsi="宋体" w:eastAsia="宋体" w:cs="宋体"/>
          <w:bCs/>
          <w:sz w:val="21"/>
        </w:rPr>
      </w:pPr>
      <w:r>
        <w:rPr>
          <w:rFonts w:hint="eastAsia" w:hAnsi="宋体" w:eastAsia="宋体" w:cs="宋体"/>
          <w:kern w:val="2"/>
          <w:sz w:val="21"/>
        </w:rPr>
        <w:t>5.供应商应当在首次递交响应文件截止时间前完成电子响应文件的传输递交，并可以补充、修改或者撤回电子响应文件。补充或者修改电子响应文件的，应当先行撤回原文件，补充、修改后重新传输递交。首次递交响应文件截止时间前未完成传输的，视为撤回响应文件。投标、响应截止时间后传输递交的投标、响应文件，将被拒收。</w:t>
      </w:r>
    </w:p>
    <w:p>
      <w:p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（七）响应文件的形式和效力</w:t>
      </w:r>
    </w:p>
    <w:p>
      <w:pPr>
        <w:adjustRightInd/>
        <w:snapToGrid w:val="0"/>
        <w:spacing w:line="400" w:lineRule="exact"/>
        <w:ind w:firstLine="420"/>
        <w:jc w:val="left"/>
        <w:textAlignment w:val="auto"/>
        <w:rPr>
          <w:rFonts w:hAnsi="宋体" w:eastAsia="宋体" w:cs="宋体"/>
          <w:sz w:val="21"/>
        </w:rPr>
      </w:pPr>
      <w:r>
        <w:rPr>
          <w:rFonts w:hint="eastAsia" w:hAnsi="宋体" w:eastAsia="宋体" w:cs="宋体"/>
          <w:sz w:val="21"/>
        </w:rPr>
        <w:t>1.响应文件分为：“电子响应文件”、“电子备份响应文件”、。</w:t>
      </w:r>
    </w:p>
    <w:p>
      <w:pPr>
        <w:adjustRightInd/>
        <w:snapToGrid w:val="0"/>
        <w:spacing w:line="400" w:lineRule="exact"/>
        <w:ind w:firstLine="420"/>
        <w:jc w:val="left"/>
        <w:textAlignment w:val="auto"/>
        <w:rPr>
          <w:rFonts w:hAnsi="宋体" w:eastAsia="宋体" w:cs="宋体"/>
          <w:sz w:val="21"/>
        </w:rPr>
      </w:pPr>
      <w:r>
        <w:rPr>
          <w:rFonts w:hint="eastAsia" w:hAnsi="宋体" w:eastAsia="宋体" w:cs="宋体"/>
          <w:sz w:val="21"/>
        </w:rPr>
        <w:t>2.“电子响应文件”是指通过“政采云电子交易客户端”完成响应文件编制后生成并加密的数据电文形式的响应文件（文件后缀为：jmbs）。</w:t>
      </w:r>
    </w:p>
    <w:p>
      <w:pPr>
        <w:adjustRightInd/>
        <w:snapToGrid w:val="0"/>
        <w:spacing w:line="400" w:lineRule="exact"/>
        <w:ind w:firstLine="420"/>
        <w:jc w:val="left"/>
        <w:textAlignment w:val="auto"/>
        <w:rPr>
          <w:rFonts w:hAnsi="宋体" w:eastAsia="宋体" w:cs="宋体"/>
          <w:sz w:val="21"/>
        </w:rPr>
      </w:pPr>
      <w:r>
        <w:rPr>
          <w:rFonts w:hint="eastAsia" w:hAnsi="宋体" w:eastAsia="宋体" w:cs="宋体"/>
          <w:sz w:val="21"/>
        </w:rPr>
        <w:t>3.“电子备份响应文件”是指与“电子响应文件”同时生成的数据电文形式的电子文件文件后缀为：bfbs（备份标书），其他方式编制的备份响应文件视为无效备份响应文件。</w:t>
      </w:r>
    </w:p>
    <w:p>
      <w:pPr>
        <w:adjustRightInd/>
        <w:snapToGrid w:val="0"/>
        <w:spacing w:line="400" w:lineRule="exact"/>
        <w:ind w:firstLine="420"/>
        <w:jc w:val="left"/>
        <w:textAlignment w:val="auto"/>
        <w:rPr>
          <w:rFonts w:hAnsi="宋体" w:eastAsia="宋体" w:cs="宋体"/>
          <w:sz w:val="21"/>
        </w:rPr>
      </w:pPr>
      <w:r>
        <w:rPr>
          <w:rFonts w:hint="eastAsia" w:hAnsi="宋体" w:eastAsia="宋体" w:cs="宋体"/>
          <w:sz w:val="21"/>
        </w:rPr>
        <w:t>4.响应文件的效力：响应文件的启用，按先后顺位分别为“电子响应文件”、“电子备份响应文件”。</w:t>
      </w:r>
    </w:p>
    <w:p>
      <w:pPr>
        <w:adjustRightInd/>
        <w:snapToGrid w:val="0"/>
        <w:spacing w:line="400" w:lineRule="exact"/>
        <w:ind w:firstLine="420"/>
        <w:jc w:val="left"/>
        <w:textAlignment w:val="auto"/>
        <w:rPr>
          <w:rFonts w:hAnsi="宋体" w:eastAsia="宋体" w:cs="宋体"/>
          <w:sz w:val="21"/>
        </w:rPr>
      </w:pPr>
      <w:r>
        <w:rPr>
          <w:rFonts w:hint="eastAsia" w:hAnsi="宋体" w:eastAsia="宋体" w:cs="宋体"/>
          <w:sz w:val="21"/>
        </w:rPr>
        <w:t>在“电子备份响应文件”启用时，“电子响应文件”自动失效。“电子响应文件”在规定解密时间内无法解密时，供应商若在响应文件提交（上传）截止时间之前递交了“电子备份响应文件”的，由采购代理机构上传“电子备份响应文件”进行异常处理，并对“电子备份响应文件”进行解密，未在响应文件提交（上传）截止时间之前递交“电子备份响应文件”的视为放弃投标。其余供应商通过“政府采购云平台”上传递交的已按时解密的“电子响应文件”继续有效，其“电子备份响应文件”自动失效。</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（八）响应无效的情形</w:t>
      </w:r>
    </w:p>
    <w:p>
      <w:pPr>
        <w:pStyle w:val="8"/>
        <w:adjustRightInd/>
        <w:spacing w:after="0" w:line="400" w:lineRule="exact"/>
        <w:ind w:left="0" w:leftChars="0" w:firstLine="420" w:firstLineChars="200"/>
        <w:rPr>
          <w:rFonts w:ascii="宋体" w:hAnsi="宋体" w:cs="宋体"/>
          <w:sz w:val="21"/>
        </w:rPr>
      </w:pPr>
      <w:r>
        <w:rPr>
          <w:rFonts w:hint="eastAsia" w:ascii="宋体" w:hAnsi="宋体" w:cs="宋体"/>
          <w:sz w:val="21"/>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★上传响应文件同一网卡地址、同一IP地址的为无效标。</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1.在资格审查时，如发现下列情形之一的，响应文件将被视为无效：</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（1）资格证明文件不全的，或者不符合磋商文件标明的资格要求的。</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2.在符合性审查（商务技术文件）时，如发现下列情形之一的，响应文件将被视为无效：</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（1）未提交投标函或投标函内容不符合磋商文件要求；</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（2）未按照磋商文件规定要求签署或盖章；</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 xml:space="preserve">（3）响应文件规定部分无法定代表人签署本人姓名（或印盖本人姓名章），或签署人未提供有效的法定代表人授权委托书或授权委托书填写项目不齐全的； </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（4）响应文件标明的响应或偏离与事实不符或虚假投标的；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（5）响应文件的实质性内容未使用中文表述、意思表述不明确、前后矛盾或者使用计量单位不符合磋商文件要求的（经磋商小组认定并允许其当场更正的笔误除外）；</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（6）带“★”的条款不能满足磋商文件要求、未实质性响应磋商文件要求或者响应文件有采购人不能接受的附加条件的；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（7）投标技术方案不明确，存在一个或一个以上备选（替代）投标方案的；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（8）法律、法规和磋商文件规定的其他无效情形；</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（9）响应文件的有效期不满足磋商文件要求。</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3.在符合性审查（报价文件）时，如发现下列情形之一的，响应文件将被视为无效：</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（1）未按照磋商文件规定要求签署或盖章；</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（2）未采用人民币报价或者未按照磋商文件标明的币种报价的；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（3）报价超出最高限价，或者超出采购预算金额，采购人不能支付的；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（4）投标报价具有选择性的；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（5）投标报价中出现重大缺项、漏项；</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（6）磋商小组认为供应商的报价明显低于其他通过符合性审查供应商的报价，有可能影响产品质量或者不能诚信履约的，且不能在评标现场合理时间内提供相关证明材料说明其报价的合理性的；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（7）响应文件（报价文件）内容与响应文件（商务技术文件）内容有重大差异的；</w:t>
      </w:r>
    </w:p>
    <w:p>
      <w:pPr>
        <w:pStyle w:val="6"/>
        <w:numPr>
          <w:ilvl w:val="0"/>
          <w:numId w:val="0"/>
        </w:numPr>
        <w:tabs>
          <w:tab w:val="left" w:pos="720"/>
        </w:tabs>
        <w:adjustRightInd/>
        <w:spacing w:line="400" w:lineRule="exact"/>
        <w:ind w:firstLine="420" w:firstLineChars="200"/>
        <w:rPr>
          <w:rFonts w:hAnsi="宋体" w:eastAsia="宋体" w:cs="宋体"/>
          <w:sz w:val="21"/>
        </w:rPr>
      </w:pPr>
      <w:r>
        <w:rPr>
          <w:rFonts w:hint="eastAsia" w:hAnsi="宋体" w:eastAsia="宋体" w:cs="宋体"/>
          <w:sz w:val="21"/>
        </w:rPr>
        <w:t>（8）法律、法规和磋商文件规定的其他无效情形。</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四、磋商程序</w:t>
      </w:r>
    </w:p>
    <w:p>
      <w:pPr>
        <w:pStyle w:val="12"/>
        <w:adjustRightInd/>
        <w:spacing w:line="400" w:lineRule="exact"/>
        <w:ind w:firstLine="422" w:firstLineChars="200"/>
        <w:rPr>
          <w:rFonts w:ascii="宋体" w:hAnsi="宋体" w:cs="宋体"/>
          <w:b/>
        </w:rPr>
      </w:pPr>
      <w:r>
        <w:rPr>
          <w:rFonts w:hint="eastAsia" w:ascii="宋体" w:hAnsi="宋体" w:cs="宋体"/>
          <w:b/>
        </w:rPr>
        <w:t>（一）磋商准备</w:t>
      </w:r>
    </w:p>
    <w:p>
      <w:pPr>
        <w:pStyle w:val="12"/>
        <w:adjustRightInd/>
        <w:spacing w:line="400" w:lineRule="exact"/>
        <w:ind w:firstLine="420" w:firstLineChars="200"/>
        <w:rPr>
          <w:rFonts w:ascii="宋体" w:hAnsi="宋体" w:cs="宋体"/>
          <w:bCs/>
        </w:rPr>
      </w:pPr>
      <w:r>
        <w:rPr>
          <w:rFonts w:hint="eastAsia" w:ascii="宋体" w:hAnsi="宋体" w:cs="宋体"/>
          <w:bCs/>
        </w:rPr>
        <w:t>采购代理机构将在规定的时间和地点进行磋商，供应商的法定代表人或授权代表可参加磋商会议。供应商的法定代表人或授权代表未参加磋商会议的，视同放弃磋商权利、认可磋商结果。</w:t>
      </w:r>
    </w:p>
    <w:p>
      <w:pPr>
        <w:pStyle w:val="12"/>
        <w:adjustRightInd/>
        <w:spacing w:line="400" w:lineRule="exact"/>
        <w:ind w:firstLine="422" w:firstLineChars="200"/>
        <w:rPr>
          <w:rFonts w:ascii="宋体" w:hAnsi="宋体" w:cs="宋体"/>
          <w:b/>
        </w:rPr>
      </w:pPr>
      <w:r>
        <w:rPr>
          <w:rFonts w:hint="eastAsia" w:ascii="宋体" w:hAnsi="宋体" w:cs="宋体"/>
          <w:b/>
        </w:rPr>
        <w:t>（二）磋商程序：</w:t>
      </w:r>
    </w:p>
    <w:p>
      <w:pPr>
        <w:adjustRightInd/>
        <w:spacing w:line="400" w:lineRule="exact"/>
        <w:ind w:firstLine="420" w:firstLineChars="200"/>
        <w:jc w:val="left"/>
        <w:textAlignment w:val="auto"/>
        <w:rPr>
          <w:rFonts w:hAnsi="宋体" w:eastAsia="宋体" w:cs="宋体"/>
          <w:bCs/>
          <w:kern w:val="2"/>
          <w:sz w:val="21"/>
        </w:rPr>
      </w:pPr>
      <w:r>
        <w:rPr>
          <w:rFonts w:hint="eastAsia" w:hAnsi="宋体" w:eastAsia="宋体" w:cs="宋体"/>
          <w:bCs/>
          <w:kern w:val="2"/>
          <w:sz w:val="21"/>
        </w:rPr>
        <w:t>1、电子招投标开标程序：</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第一阶段：</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（1）首次递交响应文件截止时间后，供应商登录政府采购云平台，用“项目采购-开标评标”功能对电子响应文件进行在线解密，在线解密电子响应文件时间为首次递交响应文件截止时间后30分钟内。</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第二阶段：</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bCs/>
          <w:sz w:val="21"/>
        </w:rPr>
        <w:t>（</w:t>
      </w:r>
      <w:r>
        <w:rPr>
          <w:rFonts w:hint="eastAsia" w:hAnsi="宋体" w:eastAsia="宋体" w:cs="宋体"/>
          <w:kern w:val="2"/>
          <w:sz w:val="21"/>
        </w:rPr>
        <w:t>1）采购人或采购代理机构查阅响应文件，不符合资格审查的供应商将被拒绝。</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（2）如磋商小组对响应文件有疑义，将向供应商在线发送询标函，供应商应在规定的时间内对在线询标函做出询标澄清。逾期澄清或未澄清的供应商视同认可磋商结果。</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（3）在磋商过程中，磋商小组可以根据磋商文件和磋商情况实质性变动采购需求中的技术、服务要求（即本磋商文件第三章 项目需求）以及合同草案条款（即本磋商文件第五章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（4）经磋商确定最终采购需求和提交最后报价的供应商后，由磋商小组采用综合评分法对提交最后报价的供应商的响应文件和最后报价进行综合评分（评分标准详见第四章 评审标准）；</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（5）磋商小组根据综合评分情况，按照评审得分由高到低顺序推荐3名以上成交候选人，并编写评审报告。若评审得分相同，则最后报价低者排名在前；评审得分且最后报价相同的则由抽签决定。</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（6）在</w:t>
      </w:r>
      <w:r>
        <w:rPr>
          <w:rFonts w:hint="eastAsia" w:hAnsi="宋体" w:eastAsia="宋体" w:cs="宋体"/>
          <w:sz w:val="21"/>
        </w:rPr>
        <w:t>政府采购云平台</w:t>
      </w:r>
      <w:r>
        <w:rPr>
          <w:rFonts w:hint="eastAsia" w:hAnsi="宋体" w:eastAsia="宋体" w:cs="宋体"/>
          <w:kern w:val="2"/>
          <w:sz w:val="21"/>
        </w:rPr>
        <w:t>公布评审结果。</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（7）磋商会议结束。</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（8）采购人从评审报告提出的成交候选人中，按照得分排序由高到低的原则确定1名成交人。采购代理机构在磋商公告发布的网站上公布成交结果。</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2、特别说明：</w:t>
      </w:r>
      <w:r>
        <w:rPr>
          <w:rFonts w:hint="eastAsia" w:hAnsi="宋体" w:eastAsia="宋体" w:cs="宋体"/>
          <w:sz w:val="21"/>
        </w:rPr>
        <w:t>政府采购云平台</w:t>
      </w:r>
      <w:r>
        <w:rPr>
          <w:rFonts w:hint="eastAsia" w:hAnsi="宋体" w:eastAsia="宋体" w:cs="宋体"/>
          <w:kern w:val="2"/>
          <w:sz w:val="21"/>
        </w:rPr>
        <w:t>如对电子化开标及评审程序有调整的，按调整后的程序操作。</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本项目原则上采用政采云</w:t>
      </w:r>
      <w:r>
        <w:rPr>
          <w:rFonts w:hint="eastAsia" w:hAnsi="宋体" w:eastAsia="宋体" w:cs="宋体"/>
          <w:bCs/>
          <w:kern w:val="2"/>
          <w:sz w:val="21"/>
        </w:rPr>
        <w:t>电子招投标开标程序</w:t>
      </w:r>
      <w:r>
        <w:rPr>
          <w:rFonts w:hint="eastAsia" w:hAnsi="宋体" w:eastAsia="宋体" w:cs="宋体"/>
          <w:kern w:val="2"/>
          <w:sz w:val="21"/>
        </w:rPr>
        <w:t>，但有以下情形之一的，按以下情况处理：</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（1）若供应商在规定时间内无法解密或解密失败，代理机构将开启解密失败供应商递交的</w:t>
      </w:r>
      <w:r>
        <w:rPr>
          <w:rFonts w:hint="eastAsia" w:hAnsi="宋体" w:eastAsia="宋体" w:cs="宋体"/>
          <w:sz w:val="21"/>
        </w:rPr>
        <w:t>以U盘存储的电子备份响应文件</w:t>
      </w:r>
      <w:r>
        <w:rPr>
          <w:rFonts w:hint="eastAsia" w:hAnsi="宋体" w:eastAsia="宋体" w:cs="宋体"/>
          <w:kern w:val="2"/>
          <w:sz w:val="21"/>
        </w:rPr>
        <w:t>，上传至政采云平台项目采购模块，电子响应文件自动失效。</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（2）采购过程中出现以下情形，导致电子交易平台无法正常运行，或者无法保证电子交易的公平、公正和安全时，采购人（或代理机构）可中止电子交易活动：</w:t>
      </w:r>
    </w:p>
    <w:p>
      <w:pPr>
        <w:numPr>
          <w:ilvl w:val="0"/>
          <w:numId w:val="10"/>
        </w:numPr>
        <w:adjustRightInd/>
        <w:spacing w:line="400" w:lineRule="exact"/>
        <w:jc w:val="left"/>
        <w:textAlignment w:val="auto"/>
        <w:rPr>
          <w:rFonts w:hAnsi="宋体" w:eastAsia="宋体" w:cs="宋体"/>
          <w:kern w:val="2"/>
          <w:sz w:val="21"/>
        </w:rPr>
      </w:pPr>
      <w:r>
        <w:rPr>
          <w:rFonts w:hint="eastAsia" w:hAnsi="宋体" w:eastAsia="宋体" w:cs="宋体"/>
          <w:kern w:val="2"/>
          <w:sz w:val="21"/>
        </w:rPr>
        <w:t xml:space="preserve">电子交易平台发生故障而无法登录访问的； </w:t>
      </w:r>
    </w:p>
    <w:p>
      <w:pPr>
        <w:numPr>
          <w:ilvl w:val="0"/>
          <w:numId w:val="10"/>
        </w:numPr>
        <w:adjustRightInd/>
        <w:spacing w:line="400" w:lineRule="exact"/>
        <w:jc w:val="left"/>
        <w:textAlignment w:val="auto"/>
        <w:rPr>
          <w:rFonts w:hAnsi="宋体" w:eastAsia="宋体" w:cs="宋体"/>
          <w:kern w:val="2"/>
          <w:sz w:val="21"/>
        </w:rPr>
      </w:pPr>
      <w:r>
        <w:rPr>
          <w:rFonts w:hint="eastAsia" w:hAnsi="宋体" w:eastAsia="宋体" w:cs="宋体"/>
          <w:kern w:val="2"/>
          <w:sz w:val="21"/>
        </w:rPr>
        <w:t>电子交易平台应用或数据库出现错误，不能进行正常操作的；</w:t>
      </w:r>
    </w:p>
    <w:p>
      <w:pPr>
        <w:numPr>
          <w:ilvl w:val="0"/>
          <w:numId w:val="10"/>
        </w:numPr>
        <w:adjustRightInd/>
        <w:spacing w:line="400" w:lineRule="exact"/>
        <w:jc w:val="left"/>
        <w:textAlignment w:val="auto"/>
        <w:rPr>
          <w:rFonts w:hAnsi="宋体" w:eastAsia="宋体" w:cs="宋体"/>
          <w:kern w:val="2"/>
          <w:sz w:val="21"/>
        </w:rPr>
      </w:pPr>
      <w:r>
        <w:rPr>
          <w:rFonts w:hint="eastAsia" w:hAnsi="宋体" w:eastAsia="宋体" w:cs="宋体"/>
          <w:kern w:val="2"/>
          <w:sz w:val="21"/>
        </w:rPr>
        <w:t>电子交易平台发现严重安全漏洞，有潜在泄密危险的；</w:t>
      </w:r>
    </w:p>
    <w:p>
      <w:pPr>
        <w:numPr>
          <w:ilvl w:val="0"/>
          <w:numId w:val="10"/>
        </w:numPr>
        <w:adjustRightInd/>
        <w:spacing w:line="400" w:lineRule="exact"/>
        <w:jc w:val="left"/>
        <w:textAlignment w:val="auto"/>
        <w:rPr>
          <w:rFonts w:hAnsi="宋体" w:eastAsia="宋体" w:cs="宋体"/>
          <w:kern w:val="2"/>
          <w:sz w:val="21"/>
        </w:rPr>
      </w:pPr>
      <w:r>
        <w:rPr>
          <w:rFonts w:hint="eastAsia" w:hAnsi="宋体" w:eastAsia="宋体" w:cs="宋体"/>
          <w:kern w:val="2"/>
          <w:sz w:val="21"/>
        </w:rPr>
        <w:t xml:space="preserve">病毒发作导致不能进行正常操作的； </w:t>
      </w:r>
    </w:p>
    <w:p>
      <w:pPr>
        <w:numPr>
          <w:ilvl w:val="0"/>
          <w:numId w:val="10"/>
        </w:numPr>
        <w:adjustRightInd/>
        <w:spacing w:line="400" w:lineRule="exact"/>
        <w:jc w:val="left"/>
        <w:textAlignment w:val="auto"/>
        <w:rPr>
          <w:rFonts w:hAnsi="宋体" w:eastAsia="宋体" w:cs="宋体"/>
          <w:kern w:val="2"/>
          <w:sz w:val="21"/>
        </w:rPr>
      </w:pPr>
      <w:r>
        <w:rPr>
          <w:rFonts w:hint="eastAsia" w:hAnsi="宋体" w:eastAsia="宋体" w:cs="宋体"/>
          <w:kern w:val="2"/>
          <w:sz w:val="21"/>
        </w:rPr>
        <w:t>其他无法保证电子交易的公平、公正和安全的情况。</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出现前款规定情形，不影响采购公平、公正性的，采购人（或代理机构）可以待上述情形消除后继续组织电子交易活动。</w:t>
      </w:r>
    </w:p>
    <w:p>
      <w:pPr>
        <w:adjustRightInd/>
        <w:spacing w:line="400" w:lineRule="exact"/>
        <w:ind w:firstLine="420" w:firstLineChars="200"/>
        <w:jc w:val="left"/>
        <w:textAlignment w:val="auto"/>
        <w:rPr>
          <w:rFonts w:hAnsi="宋体" w:eastAsia="宋体" w:cs="宋体"/>
          <w:kern w:val="2"/>
          <w:sz w:val="21"/>
        </w:rPr>
      </w:pPr>
      <w:r>
        <w:rPr>
          <w:rFonts w:hint="eastAsia" w:hAnsi="宋体" w:eastAsia="宋体" w:cs="宋体"/>
          <w:kern w:val="2"/>
          <w:sz w:val="21"/>
        </w:rPr>
        <w:t>（3）未开启的备份响应文件现场予以退还。</w:t>
      </w:r>
    </w:p>
    <w:p>
      <w:pPr>
        <w:pStyle w:val="6"/>
        <w:numPr>
          <w:ilvl w:val="0"/>
          <w:numId w:val="0"/>
        </w:numPr>
        <w:tabs>
          <w:tab w:val="left" w:pos="720"/>
        </w:tabs>
        <w:adjustRightInd/>
        <w:spacing w:line="400" w:lineRule="exact"/>
        <w:ind w:firstLine="422" w:firstLineChars="200"/>
        <w:rPr>
          <w:rFonts w:hAnsi="宋体" w:eastAsia="宋体" w:cs="宋体"/>
          <w:b/>
          <w:sz w:val="21"/>
        </w:rPr>
      </w:pPr>
      <w:r>
        <w:rPr>
          <w:rFonts w:hint="eastAsia" w:hAnsi="宋体" w:eastAsia="宋体" w:cs="宋体"/>
          <w:b/>
          <w:sz w:val="21"/>
        </w:rPr>
        <w:t>五、评审</w:t>
      </w:r>
    </w:p>
    <w:p>
      <w:pPr>
        <w:pStyle w:val="12"/>
        <w:adjustRightInd/>
        <w:spacing w:line="400" w:lineRule="exact"/>
        <w:ind w:firstLine="422" w:firstLineChars="200"/>
        <w:rPr>
          <w:rFonts w:ascii="宋体" w:hAnsi="宋体" w:cs="宋体"/>
          <w:b/>
        </w:rPr>
      </w:pPr>
      <w:r>
        <w:rPr>
          <w:rFonts w:hint="eastAsia" w:ascii="宋体" w:hAnsi="宋体" w:cs="宋体"/>
          <w:b/>
        </w:rPr>
        <w:t>（一）组建磋商小组</w:t>
      </w:r>
    </w:p>
    <w:p>
      <w:pPr>
        <w:pStyle w:val="12"/>
        <w:adjustRightInd/>
        <w:spacing w:line="400" w:lineRule="exact"/>
        <w:ind w:firstLine="420" w:firstLineChars="200"/>
        <w:rPr>
          <w:rFonts w:ascii="宋体" w:hAnsi="宋体" w:cs="宋体"/>
        </w:rPr>
      </w:pPr>
      <w:r>
        <w:rPr>
          <w:rFonts w:hint="eastAsia" w:ascii="宋体" w:hAnsi="宋体" w:cs="宋体"/>
        </w:rPr>
        <w:t>磋商小组根据国家相关规定和有关的法规组成。</w:t>
      </w:r>
    </w:p>
    <w:p>
      <w:pPr>
        <w:pStyle w:val="12"/>
        <w:adjustRightInd/>
        <w:spacing w:line="400" w:lineRule="exact"/>
        <w:ind w:firstLine="422" w:firstLineChars="200"/>
        <w:rPr>
          <w:rFonts w:ascii="宋体" w:hAnsi="宋体" w:cs="宋体"/>
          <w:b/>
        </w:rPr>
      </w:pPr>
      <w:r>
        <w:rPr>
          <w:rFonts w:hint="eastAsia" w:ascii="宋体" w:hAnsi="宋体" w:cs="宋体"/>
          <w:b/>
        </w:rPr>
        <w:t>（二）评审的方式</w:t>
      </w:r>
    </w:p>
    <w:p>
      <w:pPr>
        <w:pStyle w:val="12"/>
        <w:adjustRightInd/>
        <w:spacing w:line="400" w:lineRule="exact"/>
        <w:ind w:firstLine="420" w:firstLineChars="200"/>
        <w:rPr>
          <w:rFonts w:ascii="宋体" w:hAnsi="宋体" w:cs="宋体"/>
        </w:rPr>
      </w:pPr>
      <w:r>
        <w:rPr>
          <w:rFonts w:hint="eastAsia" w:ascii="宋体" w:hAnsi="宋体" w:cs="宋体"/>
        </w:rPr>
        <w:t>本项目采用不公开方式评审，评审的依据为磋商文件和响应文件。</w:t>
      </w:r>
    </w:p>
    <w:p>
      <w:pPr>
        <w:pStyle w:val="12"/>
        <w:adjustRightInd/>
        <w:spacing w:line="400" w:lineRule="exact"/>
        <w:ind w:firstLine="422" w:firstLineChars="200"/>
        <w:rPr>
          <w:rFonts w:ascii="宋体" w:hAnsi="宋体" w:cs="宋体"/>
          <w:b/>
        </w:rPr>
      </w:pPr>
      <w:r>
        <w:rPr>
          <w:rFonts w:hint="eastAsia" w:ascii="宋体" w:hAnsi="宋体" w:cs="宋体"/>
          <w:b/>
        </w:rPr>
        <w:t>（三）</w:t>
      </w:r>
      <w:r>
        <w:rPr>
          <w:rFonts w:hint="eastAsia" w:ascii="宋体" w:hAnsi="宋体" w:cs="宋体"/>
          <w:b/>
          <w:bCs/>
        </w:rPr>
        <w:t>评审程序</w:t>
      </w:r>
    </w:p>
    <w:p>
      <w:pPr>
        <w:adjustRightInd/>
        <w:spacing w:line="400" w:lineRule="exact"/>
        <w:ind w:firstLine="420" w:firstLineChars="200"/>
        <w:rPr>
          <w:rFonts w:hAnsi="宋体" w:eastAsia="宋体" w:cs="宋体"/>
          <w:sz w:val="21"/>
        </w:rPr>
      </w:pPr>
      <w:r>
        <w:rPr>
          <w:rFonts w:hint="eastAsia" w:hAnsi="宋体" w:eastAsia="宋体" w:cs="宋体"/>
          <w:sz w:val="21"/>
        </w:rPr>
        <w:t>（1）采购人代表或代理机构工作人员对供应商的资格进行审查。</w:t>
      </w:r>
    </w:p>
    <w:p>
      <w:pPr>
        <w:adjustRightInd/>
        <w:spacing w:line="400" w:lineRule="exact"/>
        <w:ind w:firstLine="420" w:firstLineChars="200"/>
        <w:rPr>
          <w:rFonts w:hAnsi="宋体" w:eastAsia="宋体" w:cs="宋体"/>
          <w:sz w:val="21"/>
        </w:rPr>
      </w:pPr>
      <w:r>
        <w:rPr>
          <w:rFonts w:hint="eastAsia" w:hAnsi="宋体" w:eastAsia="宋体" w:cs="宋体"/>
          <w:sz w:val="21"/>
        </w:rPr>
        <w:t>（2）磋商小组审查通过资格审查的供应商提供的响应文件的实质性内容是否符合磋商文件的实质性要求。磋商小组将根据供应商的响应文件进行审查、核对,如有疑问,将对供应商进行询问,供应商要向磋商小组澄清有关问题,并最终以规定形式进行答复。</w:t>
      </w:r>
    </w:p>
    <w:p>
      <w:pPr>
        <w:adjustRightInd/>
        <w:spacing w:line="400" w:lineRule="exact"/>
        <w:ind w:firstLine="420" w:firstLineChars="200"/>
        <w:rPr>
          <w:rFonts w:hAnsi="宋体" w:eastAsia="宋体" w:cs="宋体"/>
          <w:sz w:val="21"/>
        </w:rPr>
      </w:pPr>
      <w:r>
        <w:rPr>
          <w:rFonts w:hint="eastAsia" w:hAnsi="宋体" w:eastAsia="宋体" w:cs="宋体"/>
          <w:sz w:val="21"/>
        </w:rPr>
        <w:t>供应商代表未到场或者拒绝澄清或者澄清的内容改变了响应文件的实质性内容的，磋商小组有权对该响应文件作出不利于供应商的评判。</w:t>
      </w:r>
    </w:p>
    <w:p>
      <w:pPr>
        <w:adjustRightInd/>
        <w:spacing w:line="400" w:lineRule="exact"/>
        <w:ind w:firstLine="420" w:firstLineChars="200"/>
        <w:rPr>
          <w:rFonts w:hAnsi="宋体" w:eastAsia="宋体" w:cs="宋体"/>
          <w:sz w:val="21"/>
        </w:rPr>
      </w:pPr>
      <w:r>
        <w:rPr>
          <w:rFonts w:hint="eastAsia" w:hAnsi="宋体" w:eastAsia="宋体" w:cs="宋体"/>
          <w:sz w:val="21"/>
        </w:rPr>
        <w:t>（3）各供应商的技术商务得分为所有磋商小组成员的有效评分的算术平均数，由指定专人进行计算复核。</w:t>
      </w:r>
    </w:p>
    <w:p>
      <w:pPr>
        <w:adjustRightInd/>
        <w:spacing w:line="400" w:lineRule="exact"/>
        <w:ind w:firstLine="420" w:firstLineChars="200"/>
        <w:rPr>
          <w:rFonts w:hAnsi="宋体" w:eastAsia="宋体" w:cs="宋体"/>
          <w:sz w:val="21"/>
        </w:rPr>
      </w:pPr>
      <w:r>
        <w:rPr>
          <w:rFonts w:hint="eastAsia" w:hAnsi="宋体" w:eastAsia="宋体" w:cs="宋体"/>
          <w:sz w:val="21"/>
        </w:rPr>
        <w:t>（4）代理机构工作人员协助磋商小组根据本项目的评分标准计算各供应商的报价得分。</w:t>
      </w:r>
    </w:p>
    <w:p>
      <w:pPr>
        <w:adjustRightInd/>
        <w:spacing w:line="400" w:lineRule="exact"/>
        <w:ind w:firstLine="420" w:firstLineChars="200"/>
        <w:rPr>
          <w:rFonts w:hAnsi="宋体" w:eastAsia="宋体" w:cs="宋体"/>
          <w:sz w:val="21"/>
        </w:rPr>
      </w:pPr>
      <w:r>
        <w:rPr>
          <w:rFonts w:hint="eastAsia" w:hAnsi="宋体" w:eastAsia="宋体" w:cs="宋体"/>
          <w:sz w:val="21"/>
        </w:rPr>
        <w:t>（5）磋商小组完成评审后,评审成员对各部分得分汇总，计算出本项目最终得分，对明显畸高、畸低的评分（其主观总评分偏离所有评审成员主观总评分平均值30%以上的），磋商小组组长提醒相关评审人员进行复核或书面说明理由。磋商小组按评审原则推荐成交候选人同时起草评审报告。</w:t>
      </w:r>
    </w:p>
    <w:p>
      <w:pPr>
        <w:adjustRightInd/>
        <w:spacing w:line="400" w:lineRule="exact"/>
        <w:ind w:firstLine="422" w:firstLineChars="200"/>
        <w:rPr>
          <w:rFonts w:hAnsi="宋体" w:eastAsia="宋体" w:cs="宋体"/>
          <w:b/>
          <w:sz w:val="21"/>
        </w:rPr>
      </w:pPr>
      <w:r>
        <w:rPr>
          <w:rFonts w:hint="eastAsia" w:hAnsi="宋体" w:eastAsia="宋体" w:cs="宋体"/>
          <w:b/>
          <w:sz w:val="21"/>
        </w:rPr>
        <w:t>（四）澄清问题的形式</w:t>
      </w:r>
    </w:p>
    <w:p>
      <w:pPr>
        <w:adjustRightInd/>
        <w:spacing w:line="400" w:lineRule="exact"/>
        <w:ind w:firstLine="420" w:firstLineChars="200"/>
        <w:rPr>
          <w:rFonts w:hAnsi="宋体" w:eastAsia="宋体" w:cs="宋体"/>
          <w:sz w:val="21"/>
        </w:rPr>
      </w:pPr>
      <w:r>
        <w:rPr>
          <w:rFonts w:hint="eastAsia" w:hAnsi="宋体" w:eastAsia="宋体" w:cs="宋体"/>
          <w:sz w:val="21"/>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pPr>
        <w:adjustRightInd/>
        <w:spacing w:line="400" w:lineRule="exact"/>
        <w:ind w:firstLine="422" w:firstLineChars="200"/>
        <w:rPr>
          <w:rFonts w:hAnsi="宋体" w:eastAsia="宋体" w:cs="宋体"/>
          <w:b/>
          <w:sz w:val="21"/>
        </w:rPr>
      </w:pPr>
      <w:r>
        <w:rPr>
          <w:rFonts w:hint="eastAsia" w:hAnsi="宋体" w:eastAsia="宋体" w:cs="宋体"/>
          <w:b/>
          <w:sz w:val="21"/>
        </w:rPr>
        <w:t>（五）错误修正</w:t>
      </w:r>
    </w:p>
    <w:p>
      <w:pPr>
        <w:adjustRightInd/>
        <w:spacing w:line="400" w:lineRule="exact"/>
        <w:ind w:firstLine="420" w:firstLineChars="200"/>
        <w:rPr>
          <w:rFonts w:hAnsi="宋体" w:eastAsia="宋体" w:cs="宋体"/>
          <w:sz w:val="21"/>
        </w:rPr>
      </w:pPr>
      <w:r>
        <w:rPr>
          <w:rFonts w:hint="eastAsia" w:hAnsi="宋体" w:eastAsia="宋体" w:cs="宋体"/>
          <w:sz w:val="21"/>
        </w:rPr>
        <w:t>磋商文件如果出现计算或表达上的错误，修正错误的原则如下：</w:t>
      </w:r>
    </w:p>
    <w:p>
      <w:pPr>
        <w:adjustRightInd/>
        <w:spacing w:line="400" w:lineRule="exact"/>
        <w:ind w:firstLine="420" w:firstLineChars="200"/>
        <w:rPr>
          <w:rFonts w:hAnsi="宋体" w:eastAsia="宋体" w:cs="宋体"/>
          <w:sz w:val="21"/>
        </w:rPr>
      </w:pPr>
      <w:r>
        <w:rPr>
          <w:rFonts w:hint="eastAsia" w:hAnsi="宋体" w:eastAsia="宋体" w:cs="宋体"/>
          <w:sz w:val="21"/>
        </w:rPr>
        <w:t>1、磋商文件中报价一览表（报价表）内容与磋商文件中相应内容不一致的，以报价一览表（报价表）为准；</w:t>
      </w:r>
    </w:p>
    <w:p>
      <w:pPr>
        <w:adjustRightInd/>
        <w:spacing w:line="400" w:lineRule="exact"/>
        <w:ind w:firstLine="420" w:firstLineChars="200"/>
        <w:rPr>
          <w:rFonts w:hAnsi="宋体" w:eastAsia="宋体" w:cs="宋体"/>
          <w:sz w:val="21"/>
        </w:rPr>
      </w:pPr>
      <w:r>
        <w:rPr>
          <w:rFonts w:hint="eastAsia" w:hAnsi="宋体" w:eastAsia="宋体" w:cs="宋体"/>
          <w:sz w:val="21"/>
        </w:rPr>
        <w:t>2、大写金额和小写金额不一致的，以大写金额为准；</w:t>
      </w:r>
    </w:p>
    <w:p>
      <w:pPr>
        <w:adjustRightInd/>
        <w:spacing w:line="400" w:lineRule="exact"/>
        <w:ind w:firstLine="420" w:firstLineChars="200"/>
        <w:rPr>
          <w:rFonts w:hAnsi="宋体" w:eastAsia="宋体" w:cs="宋体"/>
          <w:sz w:val="21"/>
        </w:rPr>
      </w:pPr>
      <w:r>
        <w:rPr>
          <w:rFonts w:hint="eastAsia" w:hAnsi="宋体" w:eastAsia="宋体" w:cs="宋体"/>
          <w:sz w:val="21"/>
        </w:rPr>
        <w:t>3、单价金额小数点或者百分比有明显错位的，以报价一览表的总价为准，并修改单价；</w:t>
      </w:r>
    </w:p>
    <w:p>
      <w:pPr>
        <w:adjustRightInd/>
        <w:spacing w:line="400" w:lineRule="exact"/>
        <w:ind w:firstLine="420" w:firstLineChars="200"/>
        <w:rPr>
          <w:rFonts w:hAnsi="宋体" w:eastAsia="宋体" w:cs="宋体"/>
          <w:sz w:val="21"/>
        </w:rPr>
      </w:pPr>
      <w:r>
        <w:rPr>
          <w:rFonts w:hint="eastAsia" w:hAnsi="宋体" w:eastAsia="宋体" w:cs="宋体"/>
          <w:sz w:val="21"/>
        </w:rPr>
        <w:t>4、总价金额与按单价汇总金额不一致的，以单价金额计算结果为准。</w:t>
      </w:r>
    </w:p>
    <w:p>
      <w:pPr>
        <w:adjustRightInd/>
        <w:spacing w:line="400" w:lineRule="exact"/>
        <w:ind w:firstLine="420" w:firstLineChars="200"/>
        <w:rPr>
          <w:rFonts w:hAnsi="宋体" w:eastAsia="宋体" w:cs="宋体"/>
          <w:sz w:val="21"/>
        </w:rPr>
      </w:pPr>
      <w:r>
        <w:rPr>
          <w:rFonts w:hint="eastAsia" w:hAnsi="宋体" w:eastAsia="宋体" w:cs="宋体"/>
          <w:sz w:val="21"/>
        </w:rPr>
        <w:t>5、政采云平台填报的报价一览表中的价格与上传的报价文件中报价一览表（报价表）的报价不一致的，以上传的报价文件为准。</w:t>
      </w:r>
    </w:p>
    <w:p>
      <w:pPr>
        <w:pStyle w:val="12"/>
        <w:tabs>
          <w:tab w:val="left" w:pos="630"/>
        </w:tabs>
        <w:adjustRightInd/>
        <w:spacing w:line="400" w:lineRule="exact"/>
        <w:ind w:firstLine="420" w:firstLineChars="200"/>
        <w:rPr>
          <w:rFonts w:ascii="宋体" w:hAnsi="宋体" w:cs="宋体"/>
          <w:bCs/>
        </w:rPr>
      </w:pPr>
      <w:r>
        <w:rPr>
          <w:rFonts w:hint="eastAsia" w:ascii="宋体" w:hAnsi="宋体" w:cs="宋体"/>
          <w:bCs/>
        </w:rPr>
        <w:t>同时出现两种以上不一致的，按照前款规定的顺序修正。修正后的报价按照磋商文件的规定经供应商确认后产生约束力，供应商不确认的，其投标无效。</w:t>
      </w:r>
    </w:p>
    <w:p>
      <w:pPr>
        <w:pStyle w:val="12"/>
        <w:tabs>
          <w:tab w:val="left" w:pos="630"/>
        </w:tabs>
        <w:adjustRightInd/>
        <w:spacing w:line="400" w:lineRule="exact"/>
        <w:ind w:firstLine="422" w:firstLineChars="200"/>
        <w:rPr>
          <w:rFonts w:ascii="宋体" w:hAnsi="宋体" w:cs="宋体"/>
          <w:b/>
        </w:rPr>
      </w:pPr>
      <w:r>
        <w:rPr>
          <w:rFonts w:hint="eastAsia" w:ascii="宋体" w:hAnsi="宋体" w:cs="宋体"/>
          <w:b/>
        </w:rPr>
        <w:t>（六）评审原则和评审办法</w:t>
      </w:r>
    </w:p>
    <w:p>
      <w:pPr>
        <w:pStyle w:val="12"/>
        <w:adjustRightInd/>
        <w:spacing w:line="400" w:lineRule="exact"/>
        <w:ind w:firstLine="420" w:firstLineChars="200"/>
        <w:rPr>
          <w:rFonts w:ascii="宋体" w:hAnsi="宋体" w:cs="宋体"/>
        </w:rPr>
      </w:pPr>
      <w:r>
        <w:rPr>
          <w:rFonts w:hint="eastAsia" w:ascii="宋体" w:hAnsi="宋体" w:cs="宋体"/>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12"/>
        <w:tabs>
          <w:tab w:val="left" w:pos="630"/>
        </w:tabs>
        <w:adjustRightInd/>
        <w:spacing w:line="400" w:lineRule="exact"/>
        <w:ind w:firstLine="420" w:firstLineChars="200"/>
        <w:rPr>
          <w:rFonts w:ascii="宋体" w:hAnsi="宋体" w:cs="宋体"/>
        </w:rPr>
      </w:pPr>
      <w:r>
        <w:rPr>
          <w:rFonts w:hint="eastAsia" w:ascii="宋体" w:hAnsi="宋体" w:cs="宋体"/>
        </w:rPr>
        <w:t>2.评审办法。本项目评审办法是</w:t>
      </w:r>
      <w:r>
        <w:rPr>
          <w:rFonts w:hint="eastAsia" w:ascii="宋体" w:hAnsi="宋体" w:cs="宋体"/>
          <w:b/>
          <w:u w:val="single"/>
        </w:rPr>
        <w:t xml:space="preserve"> 综合评分法</w:t>
      </w:r>
      <w:r>
        <w:rPr>
          <w:rFonts w:hint="eastAsia" w:ascii="宋体" w:hAnsi="宋体" w:cs="宋体"/>
        </w:rPr>
        <w:t>，具体评审内容及评分标准等详见《第四章：评审标准》。</w:t>
      </w:r>
    </w:p>
    <w:p>
      <w:pPr>
        <w:pStyle w:val="12"/>
        <w:tabs>
          <w:tab w:val="left" w:pos="630"/>
        </w:tabs>
        <w:adjustRightInd/>
        <w:spacing w:line="400" w:lineRule="exact"/>
        <w:ind w:firstLine="420" w:firstLineChars="200"/>
        <w:rPr>
          <w:rFonts w:ascii="宋体" w:hAnsi="宋体" w:cs="宋体"/>
        </w:rPr>
      </w:pPr>
      <w:r>
        <w:rPr>
          <w:rFonts w:hint="eastAsia" w:ascii="宋体" w:hAnsi="宋体" w:cs="宋体"/>
        </w:rPr>
        <w:t>3.若出现首次递交响应文件的供应商不足3家的情况，本项目作废标处理。</w:t>
      </w:r>
    </w:p>
    <w:p>
      <w:pPr>
        <w:pStyle w:val="12"/>
        <w:tabs>
          <w:tab w:val="left" w:pos="630"/>
        </w:tabs>
        <w:adjustRightInd/>
        <w:spacing w:line="400" w:lineRule="exact"/>
        <w:ind w:firstLine="422" w:firstLineChars="200"/>
        <w:rPr>
          <w:rFonts w:ascii="宋体" w:hAnsi="宋体" w:cs="宋体"/>
          <w:b/>
        </w:rPr>
      </w:pPr>
      <w:r>
        <w:rPr>
          <w:rFonts w:hint="eastAsia" w:ascii="宋体" w:hAnsi="宋体" w:cs="宋体"/>
          <w:b/>
        </w:rPr>
        <w:t>（七）评审专家有下列情形之一的，受到邀请应主动提出回避，采购当事人也可以要求该评审专家回避：</w:t>
      </w:r>
    </w:p>
    <w:p>
      <w:pPr>
        <w:adjustRightInd/>
        <w:spacing w:line="400" w:lineRule="exact"/>
        <w:ind w:firstLine="420" w:firstLineChars="200"/>
        <w:rPr>
          <w:rFonts w:hAnsi="宋体" w:eastAsia="宋体" w:cs="宋体"/>
          <w:sz w:val="21"/>
        </w:rPr>
      </w:pPr>
      <w:r>
        <w:rPr>
          <w:rFonts w:hint="eastAsia" w:hAnsi="宋体" w:eastAsia="宋体" w:cs="宋体"/>
          <w:sz w:val="21"/>
        </w:rPr>
        <w:t>1、参加采购活动前三年内，与供应商存在劳动关系，或者担任过供应商的董事、监事，或者是供应商的控股股东或实际控制人；</w:t>
      </w:r>
    </w:p>
    <w:p>
      <w:pPr>
        <w:adjustRightInd/>
        <w:spacing w:line="400" w:lineRule="exact"/>
        <w:ind w:firstLine="420" w:firstLineChars="200"/>
        <w:rPr>
          <w:rFonts w:hAnsi="宋体" w:eastAsia="宋体" w:cs="宋体"/>
          <w:sz w:val="21"/>
        </w:rPr>
      </w:pPr>
      <w:r>
        <w:rPr>
          <w:rFonts w:hint="eastAsia" w:hAnsi="宋体" w:eastAsia="宋体" w:cs="宋体"/>
          <w:sz w:val="21"/>
        </w:rPr>
        <w:t>2、与供应商的法定代表人或者负责人有夫妻、直系血亲、三代以内旁系血亲或者近姻亲关系；</w:t>
      </w:r>
    </w:p>
    <w:p>
      <w:pPr>
        <w:adjustRightInd/>
        <w:spacing w:line="400" w:lineRule="exact"/>
        <w:ind w:firstLine="420" w:firstLineChars="200"/>
        <w:rPr>
          <w:rFonts w:hAnsi="宋体" w:eastAsia="宋体" w:cs="宋体"/>
          <w:sz w:val="21"/>
        </w:rPr>
      </w:pPr>
      <w:r>
        <w:rPr>
          <w:rFonts w:hint="eastAsia" w:hAnsi="宋体" w:eastAsia="宋体" w:cs="宋体"/>
          <w:sz w:val="21"/>
        </w:rPr>
        <w:t>3、与供应商有其他可能影响政府采购活动公平、公正进行的关系；</w:t>
      </w:r>
    </w:p>
    <w:p>
      <w:pPr>
        <w:adjustRightInd/>
        <w:spacing w:line="400" w:lineRule="exact"/>
        <w:ind w:firstLine="420" w:firstLineChars="200"/>
        <w:rPr>
          <w:rFonts w:hAnsi="宋体" w:eastAsia="宋体" w:cs="宋体"/>
          <w:sz w:val="21"/>
        </w:rPr>
      </w:pPr>
      <w:r>
        <w:rPr>
          <w:rFonts w:hint="eastAsia" w:hAnsi="宋体" w:eastAsia="宋体" w:cs="宋体"/>
          <w:sz w:val="21"/>
        </w:rPr>
        <w:t>4、参与过采购项目进口产品论证；</w:t>
      </w:r>
    </w:p>
    <w:p>
      <w:pPr>
        <w:adjustRightInd/>
        <w:spacing w:line="400" w:lineRule="exact"/>
        <w:ind w:firstLine="420" w:firstLineChars="200"/>
        <w:rPr>
          <w:rFonts w:hAnsi="宋体" w:eastAsia="宋体" w:cs="宋体"/>
          <w:sz w:val="21"/>
        </w:rPr>
      </w:pPr>
      <w:r>
        <w:rPr>
          <w:rFonts w:hint="eastAsia" w:hAnsi="宋体" w:eastAsia="宋体" w:cs="宋体"/>
          <w:sz w:val="21"/>
        </w:rPr>
        <w:t>5、通过随机抽到本单位的评审专家，</w:t>
      </w:r>
      <w:r>
        <w:fldChar w:fldCharType="begin"/>
      </w:r>
      <w:r>
        <w:instrText xml:space="preserve"> HYPERLINK "http://www.caigou2003.com/cgr/" \t "/home/czj/Documentsx/_blank" </w:instrText>
      </w:r>
      <w:r>
        <w:fldChar w:fldCharType="separate"/>
      </w:r>
      <w:r>
        <w:rPr>
          <w:rFonts w:hint="eastAsia" w:hAnsi="宋体" w:eastAsia="宋体" w:cs="宋体"/>
          <w:sz w:val="21"/>
        </w:rPr>
        <w:t>采购人</w:t>
      </w:r>
      <w:r>
        <w:rPr>
          <w:rFonts w:hint="eastAsia" w:hAnsi="宋体" w:eastAsia="宋体" w:cs="宋体"/>
          <w:sz w:val="21"/>
        </w:rPr>
        <w:fldChar w:fldCharType="end"/>
      </w:r>
      <w:r>
        <w:rPr>
          <w:rFonts w:hint="eastAsia" w:hAnsi="宋体" w:eastAsia="宋体" w:cs="宋体"/>
          <w:sz w:val="21"/>
        </w:rPr>
        <w:t>已经指定了采购人代表，该评审专家应当回避，采购人自行选定相应专业领域评审专家情形除外；</w:t>
      </w:r>
    </w:p>
    <w:p>
      <w:pPr>
        <w:adjustRightInd/>
        <w:spacing w:line="400" w:lineRule="exact"/>
        <w:ind w:firstLine="420" w:firstLineChars="200"/>
        <w:rPr>
          <w:rFonts w:hAnsi="宋体" w:eastAsia="宋体" w:cs="宋体"/>
          <w:sz w:val="21"/>
        </w:rPr>
      </w:pPr>
      <w:r>
        <w:rPr>
          <w:rFonts w:hint="eastAsia" w:hAnsi="宋体" w:eastAsia="宋体" w:cs="宋体"/>
          <w:sz w:val="21"/>
        </w:rPr>
        <w:t>6、法律、法规、规章规定应当回避以及其他可能影响公正评审的。</w:t>
      </w:r>
    </w:p>
    <w:p>
      <w:pPr>
        <w:pStyle w:val="12"/>
        <w:tabs>
          <w:tab w:val="left" w:pos="630"/>
        </w:tabs>
        <w:adjustRightInd/>
        <w:spacing w:line="400" w:lineRule="exact"/>
        <w:ind w:firstLine="422" w:firstLineChars="200"/>
        <w:rPr>
          <w:rFonts w:ascii="宋体" w:hAnsi="宋体" w:cs="宋体"/>
          <w:b/>
        </w:rPr>
      </w:pPr>
      <w:r>
        <w:rPr>
          <w:rFonts w:hint="eastAsia" w:ascii="宋体" w:hAnsi="宋体" w:cs="宋体"/>
          <w:b/>
        </w:rPr>
        <w:t>（八）磋商小组判断响应文件的有效性、合格性和响应情况，仅依据供应商所提交一切文件的真实表述，不受与本项目无直接关联的外部信息、传言而影响自身的专业判断。</w:t>
      </w:r>
    </w:p>
    <w:p>
      <w:pPr>
        <w:pStyle w:val="12"/>
        <w:tabs>
          <w:tab w:val="left" w:pos="630"/>
        </w:tabs>
        <w:adjustRightInd/>
        <w:spacing w:line="400" w:lineRule="exact"/>
        <w:ind w:firstLine="422" w:firstLineChars="200"/>
        <w:rPr>
          <w:rFonts w:ascii="宋体" w:hAnsi="宋体" w:cs="宋体"/>
          <w:b/>
        </w:rPr>
      </w:pPr>
      <w:r>
        <w:rPr>
          <w:rFonts w:hint="eastAsia" w:ascii="宋体" w:hAnsi="宋体" w:cs="宋体"/>
          <w:b/>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pPr>
        <w:pStyle w:val="12"/>
        <w:tabs>
          <w:tab w:val="left" w:pos="630"/>
        </w:tabs>
        <w:adjustRightInd/>
        <w:spacing w:line="400" w:lineRule="exact"/>
        <w:ind w:firstLine="422" w:firstLineChars="200"/>
        <w:rPr>
          <w:rFonts w:ascii="宋体" w:hAnsi="宋体" w:cs="宋体"/>
          <w:b/>
        </w:rPr>
      </w:pPr>
      <w:r>
        <w:rPr>
          <w:rFonts w:hint="eastAsia" w:ascii="宋体" w:hAnsi="宋体" w:cs="宋体"/>
          <w:b/>
        </w:rPr>
        <w:t>（十）评标过程的监控</w:t>
      </w:r>
    </w:p>
    <w:p>
      <w:pPr>
        <w:adjustRightInd/>
        <w:spacing w:line="400" w:lineRule="exact"/>
        <w:ind w:firstLine="420" w:firstLineChars="200"/>
        <w:rPr>
          <w:rFonts w:hAnsi="宋体" w:eastAsia="宋体" w:cs="宋体"/>
          <w:sz w:val="21"/>
        </w:rPr>
      </w:pPr>
      <w:r>
        <w:rPr>
          <w:rFonts w:hint="eastAsia" w:hAnsi="宋体" w:eastAsia="宋体" w:cs="宋体"/>
          <w:sz w:val="21"/>
        </w:rPr>
        <w:t>1.本项目评标过程实行全程录音、录像监控，供应商在评标过程中所进行的试图影响评标结果的不公正活动，可能导致其投标被拒绝。</w:t>
      </w:r>
    </w:p>
    <w:p>
      <w:pPr>
        <w:pStyle w:val="12"/>
        <w:adjustRightInd/>
        <w:spacing w:line="400" w:lineRule="exact"/>
        <w:ind w:firstLine="420" w:firstLineChars="200"/>
        <w:rPr>
          <w:rFonts w:ascii="宋体" w:hAnsi="宋体" w:cs="宋体"/>
        </w:rPr>
      </w:pPr>
      <w:r>
        <w:rPr>
          <w:rFonts w:hint="eastAsia" w:ascii="宋体" w:hAnsi="宋体" w:cs="宋体"/>
        </w:rPr>
        <w:t>2.成交通知书发出之前，所有涉及磋商小组名单以及对响应文件的澄清、评价、比较等情况，磋商小组成员、采购人和采购代理机构的有关人员均不得向供应商或其他无关人员透露。</w:t>
      </w:r>
    </w:p>
    <w:p>
      <w:pPr>
        <w:pStyle w:val="12"/>
        <w:adjustRightInd/>
        <w:spacing w:line="400" w:lineRule="exact"/>
        <w:ind w:firstLine="422" w:firstLineChars="200"/>
        <w:rPr>
          <w:rFonts w:ascii="宋体" w:hAnsi="宋体" w:cs="宋体"/>
          <w:b/>
          <w:bCs/>
        </w:rPr>
      </w:pPr>
      <w:r>
        <w:rPr>
          <w:rFonts w:hint="eastAsia" w:ascii="宋体" w:hAnsi="宋体" w:cs="宋体"/>
          <w:b/>
        </w:rPr>
        <w:t>六、确定成交人：</w:t>
      </w:r>
      <w:r>
        <w:rPr>
          <w:rFonts w:hint="eastAsia" w:ascii="宋体" w:hAnsi="宋体" w:cs="宋体"/>
          <w:b/>
          <w:bCs/>
        </w:rPr>
        <w:t>本项目由采购人确定成交人。</w:t>
      </w:r>
    </w:p>
    <w:p>
      <w:pPr>
        <w:adjustRightInd/>
        <w:spacing w:line="400" w:lineRule="exact"/>
        <w:ind w:firstLine="420" w:firstLineChars="200"/>
        <w:rPr>
          <w:rFonts w:hAnsi="宋体" w:eastAsia="宋体" w:cs="宋体"/>
          <w:sz w:val="21"/>
        </w:rPr>
      </w:pPr>
      <w:r>
        <w:rPr>
          <w:rFonts w:hint="eastAsia" w:hAnsi="宋体" w:eastAsia="宋体" w:cs="宋体"/>
          <w:sz w:val="21"/>
        </w:rPr>
        <w:t>1.采购代理机构应当在评审结束后2个工作日内将评审报告送采购人确认。</w:t>
      </w:r>
    </w:p>
    <w:p>
      <w:pPr>
        <w:adjustRightInd/>
        <w:spacing w:line="400" w:lineRule="exact"/>
        <w:ind w:firstLine="420" w:firstLineChars="200"/>
        <w:rPr>
          <w:rFonts w:hAnsi="宋体" w:eastAsia="宋体" w:cs="宋体"/>
          <w:sz w:val="21"/>
        </w:rPr>
      </w:pPr>
      <w:r>
        <w:rPr>
          <w:rFonts w:hint="eastAsia" w:hAnsi="宋体" w:eastAsia="宋体" w:cs="宋体"/>
          <w:sz w:val="21"/>
        </w:rPr>
        <w:t>2.采购人应当在收到评审报告后5个工作日内，从评审报告提出的成交候选人中，按照排序由高到低的原则确定成交人，也可以书面授权磋商小组直接确定成交人。采购人逾期未确定成交人且不提出异议的，视为确定评审报告提出的排序第一的供应商为成交人。</w:t>
      </w:r>
    </w:p>
    <w:p>
      <w:pPr>
        <w:adjustRightInd/>
        <w:spacing w:line="400" w:lineRule="exact"/>
        <w:ind w:firstLine="420" w:firstLineChars="200"/>
        <w:rPr>
          <w:rFonts w:hAnsi="宋体" w:eastAsia="宋体" w:cs="宋体"/>
          <w:sz w:val="21"/>
        </w:rPr>
      </w:pPr>
      <w:r>
        <w:rPr>
          <w:rFonts w:hint="eastAsia" w:hAnsi="宋体" w:eastAsia="宋体" w:cs="宋体"/>
          <w:sz w:val="21"/>
        </w:rPr>
        <w:t>3.采购人或者采购代理机构应当在成交人确定后2个工作日内，在省级以上财政部门指定的政府采购信息发布媒体上公告成交结果，同时向成交人发出成交通知书。</w:t>
      </w:r>
    </w:p>
    <w:p>
      <w:pPr>
        <w:adjustRightInd/>
        <w:spacing w:line="400" w:lineRule="exact"/>
        <w:ind w:firstLine="420" w:firstLineChars="200"/>
        <w:rPr>
          <w:rFonts w:hAnsi="宋体" w:eastAsia="宋体" w:cs="宋体"/>
          <w:sz w:val="21"/>
        </w:rPr>
      </w:pPr>
      <w:r>
        <w:rPr>
          <w:rFonts w:hint="eastAsia" w:hAnsi="宋体" w:eastAsia="宋体" w:cs="宋体"/>
          <w:sz w:val="21"/>
        </w:rPr>
        <w:t xml:space="preserve">4.若成交人放弃成交，或因不可抗力提出不能履行合同，或不按磋商文件规定提交履约保证金，或其它原因被依法撤销成交资格，则采购人重新组织招标。  </w:t>
      </w:r>
    </w:p>
    <w:p>
      <w:pPr>
        <w:pStyle w:val="12"/>
        <w:adjustRightInd/>
        <w:spacing w:line="400" w:lineRule="exact"/>
        <w:ind w:firstLine="422" w:firstLineChars="200"/>
        <w:rPr>
          <w:rFonts w:ascii="宋体" w:hAnsi="宋体" w:cs="宋体"/>
          <w:b/>
        </w:rPr>
      </w:pPr>
      <w:r>
        <w:rPr>
          <w:rFonts w:hint="eastAsia" w:ascii="宋体" w:hAnsi="宋体" w:cs="宋体"/>
          <w:b/>
        </w:rPr>
        <w:t>七、合同授予</w:t>
      </w:r>
    </w:p>
    <w:p>
      <w:pPr>
        <w:adjustRightInd/>
        <w:spacing w:line="400" w:lineRule="exact"/>
        <w:ind w:firstLine="420" w:firstLineChars="200"/>
        <w:rPr>
          <w:rFonts w:hAnsi="宋体" w:eastAsia="宋体" w:cs="宋体"/>
          <w:sz w:val="21"/>
        </w:rPr>
      </w:pPr>
      <w:r>
        <w:rPr>
          <w:rFonts w:hint="eastAsia" w:hAnsi="宋体" w:eastAsia="宋体" w:cs="宋体"/>
          <w:sz w:val="21"/>
        </w:rPr>
        <w:t>1.采购人与成交人应当在《成交通知书》发出之日起</w:t>
      </w:r>
      <w:r>
        <w:rPr>
          <w:rFonts w:hint="eastAsia" w:hAnsi="宋体" w:eastAsia="宋体" w:cs="宋体"/>
          <w:b/>
          <w:sz w:val="21"/>
          <w:u w:val="single"/>
        </w:rPr>
        <w:t>30</w:t>
      </w:r>
      <w:r>
        <w:rPr>
          <w:rFonts w:hint="eastAsia" w:hAnsi="宋体" w:eastAsia="宋体" w:cs="宋体"/>
          <w:sz w:val="21"/>
        </w:rPr>
        <w:t>日内签订合同。同时，采购代理机构对合同内容进行审查，如发现与采购结果和响应承诺内容不一致的，应予以纠正。</w:t>
      </w:r>
    </w:p>
    <w:p>
      <w:pPr>
        <w:adjustRightInd/>
        <w:spacing w:line="400" w:lineRule="exact"/>
        <w:ind w:firstLine="420" w:firstLineChars="200"/>
        <w:rPr>
          <w:rFonts w:hAnsi="宋体" w:eastAsia="宋体" w:cs="宋体"/>
          <w:sz w:val="21"/>
        </w:rPr>
      </w:pPr>
      <w:r>
        <w:rPr>
          <w:rFonts w:hint="eastAsia" w:hAnsi="宋体" w:eastAsia="宋体" w:cs="宋体"/>
          <w:sz w:val="21"/>
        </w:rPr>
        <w:t>2.成交人拖延、拒签合同的,将被取消成交资格。</w:t>
      </w:r>
    </w:p>
    <w:p>
      <w:pPr>
        <w:adjustRightInd/>
        <w:spacing w:line="400" w:lineRule="exact"/>
        <w:ind w:firstLine="420" w:firstLineChars="200"/>
        <w:rPr>
          <w:rFonts w:hAnsi="宋体" w:eastAsia="宋体" w:cs="宋体"/>
          <w:sz w:val="21"/>
        </w:rPr>
      </w:pPr>
      <w:r>
        <w:rPr>
          <w:rFonts w:hint="eastAsia" w:hAnsi="宋体" w:eastAsia="宋体" w:cs="宋体"/>
          <w:sz w:val="21"/>
        </w:rPr>
        <w:t>3.成交人拒绝与采购人签订合同的，采购人可以按照评审报告推荐的成交候选人名单排序，确定下一候选人为成交人或重新组织招标。拒绝签订政府采购合同的成交人不得参加该项目重新开展的采购活动。</w:t>
      </w:r>
    </w:p>
    <w:p>
      <w:pPr>
        <w:adjustRightInd/>
        <w:spacing w:line="400" w:lineRule="exact"/>
        <w:ind w:firstLine="420" w:firstLineChars="200"/>
        <w:rPr>
          <w:rFonts w:hAnsi="宋体" w:eastAsia="宋体" w:cs="宋体"/>
          <w:sz w:val="21"/>
        </w:rPr>
      </w:pPr>
      <w:r>
        <w:rPr>
          <w:rFonts w:hint="eastAsia" w:hAnsi="宋体" w:eastAsia="宋体" w:cs="宋体"/>
          <w:sz w:val="21"/>
        </w:rPr>
        <w:t>4.成交人如不遵守磋商文件或响应文件各项条款的邀约与要约，或在接到成交通知书后借故拖延，拒签合同的，采购人将按《浙江省政府采购供应商注册及诚信管理暂行办法》的规定上报诚信状况。给采购人造成的损失的还应当予以赔偿。</w:t>
      </w:r>
    </w:p>
    <w:p>
      <w:pPr>
        <w:pStyle w:val="12"/>
        <w:adjustRightInd/>
        <w:spacing w:line="400" w:lineRule="exact"/>
        <w:ind w:firstLine="422" w:firstLineChars="200"/>
        <w:rPr>
          <w:rFonts w:ascii="宋体" w:hAnsi="宋体" w:cs="宋体"/>
          <w:b/>
        </w:rPr>
      </w:pPr>
      <w:bookmarkStart w:id="67" w:name="_Toc8588"/>
      <w:r>
        <w:rPr>
          <w:rFonts w:hint="eastAsia" w:ascii="宋体" w:hAnsi="宋体" w:cs="宋体"/>
          <w:b/>
        </w:rPr>
        <w:t>八、履约验收</w:t>
      </w:r>
      <w:bookmarkEnd w:id="67"/>
    </w:p>
    <w:p>
      <w:pPr>
        <w:adjustRightInd/>
        <w:spacing w:line="400" w:lineRule="exact"/>
        <w:ind w:firstLine="420" w:firstLineChars="200"/>
        <w:rPr>
          <w:rFonts w:hAnsi="宋体" w:eastAsia="宋体" w:cs="宋体"/>
          <w:sz w:val="21"/>
        </w:rPr>
      </w:pPr>
      <w:r>
        <w:rPr>
          <w:rFonts w:hint="eastAsia" w:hAnsi="宋体" w:eastAsia="宋体" w:cs="宋体"/>
          <w:sz w:val="21"/>
        </w:rPr>
        <w:t>采购人负责对成交人的履约行为进行验收。政府向社会公众提供的公共服务项目，验收时应当邀请服务对象参与并出具意见，验收结果应当向社会公告。</w:t>
      </w:r>
    </w:p>
    <w:p>
      <w:pPr>
        <w:pStyle w:val="12"/>
        <w:adjustRightInd/>
        <w:spacing w:line="400" w:lineRule="exact"/>
        <w:ind w:firstLine="422" w:firstLineChars="200"/>
        <w:rPr>
          <w:rFonts w:ascii="宋体" w:hAnsi="宋体" w:cs="宋体"/>
          <w:b/>
        </w:rPr>
      </w:pPr>
      <w:r>
        <w:rPr>
          <w:rFonts w:hint="eastAsia" w:ascii="宋体" w:hAnsi="宋体" w:cs="宋体"/>
          <w:b/>
        </w:rPr>
        <w:t>九、特别说明</w:t>
      </w:r>
    </w:p>
    <w:p>
      <w:pPr>
        <w:adjustRightInd/>
        <w:snapToGrid w:val="0"/>
        <w:spacing w:line="400" w:lineRule="exact"/>
        <w:ind w:firstLine="420"/>
        <w:jc w:val="left"/>
        <w:textAlignment w:val="auto"/>
        <w:rPr>
          <w:rFonts w:hAnsi="宋体" w:eastAsia="宋体" w:cs="宋体"/>
          <w:b/>
          <w:bCs/>
          <w:kern w:val="2"/>
          <w:sz w:val="21"/>
          <w:lang w:val="zh-CN"/>
        </w:rPr>
      </w:pPr>
      <w:r>
        <w:rPr>
          <w:rFonts w:hint="eastAsia" w:hAnsi="宋体" w:eastAsia="宋体" w:cs="宋体"/>
          <w:b/>
          <w:bCs/>
          <w:kern w:val="2"/>
          <w:sz w:val="21"/>
          <w:lang w:val="zh-CN"/>
        </w:rPr>
        <w:t>1</w:t>
      </w:r>
      <w:r>
        <w:rPr>
          <w:rFonts w:hint="eastAsia" w:hAnsi="宋体" w:eastAsia="宋体" w:cs="宋体"/>
          <w:b/>
          <w:bCs/>
          <w:kern w:val="2"/>
          <w:sz w:val="21"/>
        </w:rPr>
        <w:t>.</w:t>
      </w:r>
      <w:r>
        <w:rPr>
          <w:rFonts w:hint="eastAsia" w:hAnsi="宋体" w:eastAsia="宋体" w:cs="宋体"/>
          <w:b/>
          <w:bCs/>
          <w:kern w:val="2"/>
          <w:sz w:val="21"/>
          <w:lang w:val="zh-CN"/>
        </w:rPr>
        <w:t>本项目</w:t>
      </w:r>
      <w:r>
        <w:rPr>
          <w:rFonts w:hint="eastAsia" w:hAnsi="宋体" w:eastAsia="宋体" w:cs="宋体"/>
          <w:b/>
          <w:bCs/>
          <w:kern w:val="2"/>
          <w:sz w:val="21"/>
          <w:u w:val="single"/>
        </w:rPr>
        <w:t xml:space="preserve"> 是</w:t>
      </w:r>
      <w:r>
        <w:rPr>
          <w:rFonts w:hint="eastAsia" w:hAnsi="宋体" w:eastAsia="宋体" w:cs="宋体"/>
          <w:b/>
          <w:bCs/>
          <w:kern w:val="2"/>
          <w:sz w:val="21"/>
          <w:lang w:val="zh-CN"/>
        </w:rPr>
        <w:t>专门面向中小企业采购。</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2</w:t>
      </w:r>
      <w:r>
        <w:rPr>
          <w:rFonts w:hint="eastAsia" w:hAnsi="宋体" w:eastAsia="宋体" w:cs="宋体"/>
          <w:kern w:val="2"/>
          <w:sz w:val="21"/>
        </w:rPr>
        <w:t>.</w:t>
      </w:r>
      <w:r>
        <w:rPr>
          <w:rFonts w:hint="eastAsia" w:hAnsi="宋体" w:eastAsia="宋体" w:cs="宋体"/>
          <w:kern w:val="2"/>
          <w:sz w:val="21"/>
          <w:lang w:val="zh-CN"/>
        </w:rPr>
        <w:t>本项目对应的中小企业划分标准所属行业：</w:t>
      </w:r>
      <w:r>
        <w:rPr>
          <w:rFonts w:hint="eastAsia" w:hAnsi="宋体" w:eastAsia="宋体" w:cs="宋体"/>
          <w:kern w:val="2"/>
          <w:sz w:val="21"/>
          <w:u w:val="single"/>
        </w:rPr>
        <w:t>其他未列明行业</w:t>
      </w:r>
      <w:r>
        <w:rPr>
          <w:rFonts w:hint="eastAsia" w:hAnsi="宋体" w:eastAsia="宋体" w:cs="宋体"/>
          <w:kern w:val="2"/>
          <w:sz w:val="21"/>
          <w:lang w:val="zh-CN"/>
        </w:rPr>
        <w:t xml:space="preserve">。 </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3</w:t>
      </w:r>
      <w:r>
        <w:rPr>
          <w:rFonts w:hint="eastAsia" w:hAnsi="宋体" w:eastAsia="宋体" w:cs="宋体"/>
          <w:kern w:val="2"/>
          <w:sz w:val="21"/>
        </w:rPr>
        <w:t>.</w:t>
      </w:r>
      <w:r>
        <w:rPr>
          <w:rFonts w:hint="eastAsia" w:hAnsi="宋体" w:eastAsia="宋体" w:cs="宋体"/>
          <w:kern w:val="2"/>
          <w:sz w:val="21"/>
          <w:lang w:val="zh-CN"/>
        </w:rPr>
        <w:t>小微企业是指中华人民共和国境内依法设立，依据国务院批准的中小企业划分标准确定的小型企业和微型企业，但与大企业的负责人为同一人，或者与大企业存在直接控股、管理关系的除外。</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符合中小企业划分标准的个体工商户，在政府采购活动中视同中小企业。</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国务院批准的中小企业划分标准：具体见工信部联企业〔2011〕300号。</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4</w:t>
      </w:r>
      <w:r>
        <w:rPr>
          <w:rFonts w:hint="eastAsia" w:hAnsi="宋体" w:eastAsia="宋体" w:cs="宋体"/>
          <w:kern w:val="2"/>
          <w:sz w:val="21"/>
        </w:rPr>
        <w:t>.</w:t>
      </w:r>
      <w:r>
        <w:rPr>
          <w:rFonts w:hint="eastAsia" w:hAnsi="宋体" w:eastAsia="宋体" w:cs="宋体"/>
          <w:kern w:val="2"/>
          <w:sz w:val="21"/>
          <w:lang w:val="zh-CN"/>
        </w:rPr>
        <w:t>在政府采购活动中，供应商提供的货物、工程或者服务符合下列情形的，符合本项目落实政府采购政策需满足的资格要求：</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（1）在货物采购项目中，货物由中小企业制造，即货物由中小企业生产且使用该中小企业商号或者注册商标；</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（2）在工程采购项目中，工程由中小企业承建，即工程施工单位为中小企业；</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lang w:val="zh-CN"/>
        </w:rPr>
        <w:t>（3）在服务采购项目中，服务由中小企业承接，即提供服务的人员为中小企业依照《中华人民共和国劳动合同法》订立劳动合同的从业人员。</w:t>
      </w:r>
    </w:p>
    <w:p>
      <w:pPr>
        <w:adjustRightInd/>
        <w:snapToGrid w:val="0"/>
        <w:spacing w:line="400" w:lineRule="exact"/>
        <w:ind w:firstLine="420"/>
        <w:jc w:val="left"/>
        <w:textAlignment w:val="auto"/>
        <w:rPr>
          <w:rFonts w:hAnsi="宋体" w:eastAsia="宋体" w:cs="宋体"/>
          <w:b/>
          <w:bCs/>
          <w:kern w:val="2"/>
          <w:sz w:val="21"/>
          <w:lang w:val="zh-CN"/>
        </w:rPr>
      </w:pPr>
      <w:r>
        <w:rPr>
          <w:rFonts w:hint="eastAsia" w:hAnsi="宋体" w:eastAsia="宋体" w:cs="宋体"/>
          <w:b/>
          <w:bCs/>
          <w:kern w:val="2"/>
          <w:sz w:val="21"/>
          <w:lang w:val="zh-CN"/>
        </w:rPr>
        <w:t>以联合体形式参加政府采购活动，联合体各方均为中小企业的，联合体视同中小企业（</w:t>
      </w:r>
      <w:r>
        <w:rPr>
          <w:rFonts w:hint="eastAsia" w:hAnsi="宋体" w:eastAsia="宋体" w:cs="宋体"/>
          <w:b/>
          <w:bCs/>
          <w:kern w:val="2"/>
          <w:sz w:val="21"/>
        </w:rPr>
        <w:t>本项目不适用</w:t>
      </w:r>
      <w:r>
        <w:rPr>
          <w:rFonts w:hint="eastAsia" w:hAnsi="宋体" w:eastAsia="宋体" w:cs="宋体"/>
          <w:b/>
          <w:bCs/>
          <w:kern w:val="2"/>
          <w:sz w:val="21"/>
          <w:lang w:val="zh-CN"/>
        </w:rPr>
        <w:t>）。</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rPr>
        <w:t>5.</w:t>
      </w:r>
      <w:r>
        <w:rPr>
          <w:rFonts w:hint="eastAsia" w:hAnsi="宋体" w:eastAsia="宋体" w:cs="宋体"/>
          <w:kern w:val="2"/>
          <w:sz w:val="21"/>
          <w:lang w:val="zh-CN"/>
        </w:rPr>
        <w:t>小微企业应按照磋商文件格式要求提供《中小企业声明函》。</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rPr>
        <w:t>6.</w:t>
      </w:r>
      <w:r>
        <w:rPr>
          <w:rFonts w:hint="eastAsia" w:hAnsi="宋体" w:eastAsia="宋体" w:cs="宋体"/>
          <w:kern w:val="2"/>
          <w:sz w:val="21"/>
          <w:lang w:val="zh-CN"/>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rPr>
        <w:t>7.</w:t>
      </w:r>
      <w:r>
        <w:rPr>
          <w:rFonts w:hint="eastAsia" w:hAnsi="宋体" w:eastAsia="宋体" w:cs="宋体"/>
          <w:kern w:val="2"/>
          <w:sz w:val="21"/>
          <w:lang w:val="zh-CN"/>
        </w:rPr>
        <w:t>根据《关于促进残疾人就业政府采购政策的通知》（财库〔2017〕141号）规定，在政府采购活动中，残疾人福利性单位视同小型、微型企业。残疾人福利性单位参加政府采购活动时，提供《残疾人福利性单位声明函》。</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rPr>
        <w:t>8.</w:t>
      </w:r>
      <w:r>
        <w:rPr>
          <w:rFonts w:hint="eastAsia" w:hAnsi="宋体" w:eastAsia="宋体" w:cs="宋体"/>
          <w:kern w:val="2"/>
          <w:sz w:val="21"/>
          <w:lang w:val="zh-CN"/>
        </w:rPr>
        <w:t>按规定享受扶持政策获得政府采购合同的，小微企业不得将合同分包给大中型企业，中型企业不得将合同分包给大型企业。</w:t>
      </w:r>
    </w:p>
    <w:p>
      <w:pPr>
        <w:adjustRightInd/>
        <w:snapToGrid w:val="0"/>
        <w:spacing w:line="400" w:lineRule="exact"/>
        <w:ind w:firstLine="420"/>
        <w:jc w:val="left"/>
        <w:textAlignment w:val="auto"/>
        <w:rPr>
          <w:rFonts w:hAnsi="宋体" w:eastAsia="宋体" w:cs="宋体"/>
          <w:kern w:val="2"/>
          <w:sz w:val="21"/>
          <w:lang w:val="zh-CN"/>
        </w:rPr>
      </w:pPr>
      <w:r>
        <w:rPr>
          <w:rFonts w:hint="eastAsia" w:hAnsi="宋体" w:eastAsia="宋体" w:cs="宋体"/>
          <w:kern w:val="2"/>
          <w:sz w:val="21"/>
        </w:rPr>
        <w:t>9.</w:t>
      </w:r>
      <w:r>
        <w:rPr>
          <w:rFonts w:hint="eastAsia" w:hAnsi="宋体" w:eastAsia="宋体" w:cs="宋体"/>
          <w:kern w:val="2"/>
          <w:sz w:val="21"/>
          <w:lang w:val="zh-CN"/>
        </w:rPr>
        <w:t>供应商按照《政府采购促进中小企业发展管理办法》（财库﹝2020﹞46号）规定提供声明函内容不实的，属于提供虚假材料谋取中标、成交，依照《中华人民共和国政府采购法》等国家有关规定追究相应责任。</w:t>
      </w:r>
    </w:p>
    <w:p>
      <w:pPr>
        <w:adjustRightInd/>
        <w:spacing w:line="400" w:lineRule="exact"/>
        <w:ind w:firstLine="420" w:firstLineChars="200"/>
        <w:rPr>
          <w:rFonts w:hAnsi="宋体" w:eastAsia="宋体" w:cs="宋体"/>
          <w:sz w:val="21"/>
        </w:rPr>
      </w:pPr>
    </w:p>
    <w:p>
      <w:pPr>
        <w:spacing w:line="440" w:lineRule="exact"/>
      </w:pPr>
      <w:r>
        <w:rPr>
          <w:rFonts w:hint="eastAsia" w:hAnsi="宋体" w:eastAsia="宋体" w:cs="宋体"/>
          <w:b/>
          <w:kern w:val="2"/>
          <w:sz w:val="21"/>
        </w:rPr>
        <w:br w:type="page"/>
      </w:r>
      <w:bookmarkEnd w:id="62"/>
      <w:bookmarkEnd w:id="63"/>
      <w:bookmarkEnd w:id="64"/>
      <w:bookmarkEnd w:id="65"/>
      <w:bookmarkEnd w:id="66"/>
      <w:bookmarkStart w:id="68" w:name="_Toc16938590"/>
      <w:bookmarkStart w:id="69" w:name="_Toc120614244"/>
      <w:bookmarkStart w:id="70" w:name="_Toc5824"/>
      <w:bookmarkStart w:id="71" w:name="_Toc20823346"/>
      <w:bookmarkStart w:id="72" w:name="_Toc479757211"/>
      <w:bookmarkStart w:id="73" w:name="_Toc462564139"/>
    </w:p>
    <w:p>
      <w:pPr>
        <w:pStyle w:val="5"/>
        <w:jc w:val="center"/>
      </w:pPr>
      <w:bookmarkStart w:id="74" w:name="_Toc18942"/>
      <w:bookmarkStart w:id="75" w:name="_Toc3494"/>
      <w:r>
        <w:rPr>
          <w:rFonts w:hint="eastAsia"/>
        </w:rPr>
        <w:t>第三章 项目需求</w:t>
      </w:r>
      <w:bookmarkEnd w:id="68"/>
      <w:bookmarkEnd w:id="69"/>
      <w:bookmarkEnd w:id="70"/>
      <w:bookmarkEnd w:id="71"/>
      <w:bookmarkEnd w:id="74"/>
      <w:bookmarkEnd w:id="75"/>
      <w:bookmarkStart w:id="76" w:name="_Toc348790040"/>
      <w:bookmarkStart w:id="77" w:name="_Toc303512745"/>
      <w:bookmarkStart w:id="78" w:name="_Toc49090575"/>
      <w:bookmarkStart w:id="79" w:name="_Toc26554093"/>
    </w:p>
    <w:bookmarkEnd w:id="76"/>
    <w:bookmarkEnd w:id="77"/>
    <w:p>
      <w:pPr>
        <w:widowControl/>
        <w:spacing w:before="225" w:after="225"/>
        <w:ind w:left="420"/>
        <w:jc w:val="left"/>
        <w:rPr>
          <w:rFonts w:hAnsi="宋体" w:eastAsia="宋体" w:cs="宋体"/>
          <w:b/>
          <w:bCs/>
          <w:sz w:val="21"/>
        </w:rPr>
      </w:pPr>
      <w:bookmarkStart w:id="80" w:name="_Toc30249"/>
      <w:bookmarkStart w:id="81" w:name="_Toc18061"/>
      <w:bookmarkStart w:id="82" w:name="_Toc120614281"/>
      <w:r>
        <w:rPr>
          <w:rFonts w:hint="eastAsia" w:hAnsi="宋体" w:eastAsia="宋体" w:cs="宋体"/>
          <w:b/>
          <w:bCs/>
          <w:sz w:val="21"/>
        </w:rPr>
        <w:t>一、项目背景</w:t>
      </w:r>
    </w:p>
    <w:p>
      <w:pPr>
        <w:ind w:firstLine="420" w:firstLineChars="200"/>
        <w:rPr>
          <w:rFonts w:hAnsi="宋体" w:eastAsia="宋体" w:cs="宋体"/>
          <w:sz w:val="21"/>
        </w:rPr>
      </w:pPr>
      <w:r>
        <w:rPr>
          <w:rFonts w:hint="eastAsia" w:hAnsi="宋体" w:eastAsia="宋体" w:cs="宋体"/>
          <w:sz w:val="21"/>
        </w:rPr>
        <w:t>为深入贯彻落实《国务院关于开展第四次全国文物普查的通知》（国发〔2023]18号）精神，积极响应《第四次全国文物普查总体方案》及《浙江省第四次全国文物普查实施方案》要求，为保质保量完成海曙区第四次全国不可移动文物普查（以下简称“四普”）工作，现拟面向社会公开选取一家供应商委托开展相关不可移动文物调查工作。</w:t>
      </w:r>
    </w:p>
    <w:p>
      <w:pPr>
        <w:widowControl/>
        <w:spacing w:before="225" w:after="225"/>
        <w:ind w:left="420"/>
        <w:jc w:val="left"/>
        <w:rPr>
          <w:rFonts w:hAnsi="宋体" w:eastAsia="宋体" w:cs="宋体"/>
          <w:b/>
          <w:bCs/>
          <w:sz w:val="21"/>
        </w:rPr>
      </w:pPr>
      <w:r>
        <w:rPr>
          <w:rFonts w:hint="eastAsia" w:hAnsi="宋体" w:eastAsia="宋体" w:cs="宋体"/>
          <w:b/>
          <w:bCs/>
          <w:sz w:val="21"/>
        </w:rPr>
        <w:t>二、普查范围</w:t>
      </w:r>
    </w:p>
    <w:p>
      <w:pPr>
        <w:ind w:firstLine="420" w:firstLineChars="200"/>
        <w:rPr>
          <w:rFonts w:hAnsi="宋体" w:eastAsia="宋体" w:cs="宋体"/>
          <w:sz w:val="21"/>
        </w:rPr>
      </w:pPr>
      <w:r>
        <w:rPr>
          <w:rFonts w:hint="eastAsia" w:hAnsi="宋体" w:eastAsia="宋体" w:cs="宋体"/>
          <w:sz w:val="21"/>
        </w:rPr>
        <w:t>海曙区地上、地下、水下的不可移动文物均纳入此次普查范围，包括古文化遗址、古墓葬、古建筑、石窟寺及石刻、近现代重要史迹及代表性建筑、其他，共六个类别，共计63个细分类别。</w:t>
      </w:r>
    </w:p>
    <w:p>
      <w:pPr>
        <w:widowControl/>
        <w:spacing w:before="225" w:after="225"/>
        <w:ind w:left="420"/>
        <w:jc w:val="left"/>
        <w:rPr>
          <w:rFonts w:hAnsi="宋体" w:eastAsia="宋体" w:cs="宋体"/>
          <w:b/>
          <w:bCs/>
          <w:sz w:val="21"/>
        </w:rPr>
      </w:pPr>
      <w:r>
        <w:rPr>
          <w:rFonts w:hint="eastAsia" w:hAnsi="宋体" w:eastAsia="宋体" w:cs="宋体"/>
          <w:b/>
          <w:bCs/>
          <w:sz w:val="21"/>
        </w:rPr>
        <w:t>三、普查对象和内容</w:t>
      </w:r>
    </w:p>
    <w:p>
      <w:pPr>
        <w:ind w:firstLine="420" w:firstLineChars="200"/>
        <w:rPr>
          <w:rFonts w:hAnsi="宋体" w:eastAsia="宋体" w:cs="宋体"/>
          <w:strike/>
          <w:sz w:val="21"/>
        </w:rPr>
      </w:pPr>
      <w:r>
        <w:rPr>
          <w:rFonts w:hint="eastAsia" w:hAnsi="宋体" w:eastAsia="宋体" w:cs="宋体"/>
          <w:sz w:val="21"/>
        </w:rPr>
        <w:t>“四普”工作包含“三普”已登记的1600余处不可移动文物以及2012年以来调查、认定、登记新发现的不可移动文物。新发现不可移动文物按200处估算（最终未达到200处的按实结算；超过200处的按200处结算）。根据以上计算方式，我区“四普”预计共需调查、登记1800余处。普查内容主要包括普查对象名称、空间位置、保护级别、文物类别、年代、权属、使用情况、保存状况等。普查成果包括：按《第四次全国文物普查总体方案》、《浙江省第四次全国文物普查实施方案》、《宁波市第四次全国文物普查实施方案》及国家文物局下发的《第四次全国文物普查标准、登记表和著录说明》（以下简称《说明》）等相关标准录入数据采集系统；建立全区新发现不可移动文物目录，形成全区不可移动文物资源目录；汇总生成不可移动文物空间分布图，最终汇总生成全区不可移动文物空间分布“一张图”；形成全区每一处不可移动文物基础信息数据及其他相关统计数据；编制工作报告和分析报告等。</w:t>
      </w:r>
    </w:p>
    <w:p>
      <w:pPr>
        <w:widowControl/>
        <w:spacing w:before="225" w:after="225"/>
        <w:ind w:firstLine="422" w:firstLineChars="200"/>
        <w:jc w:val="left"/>
        <w:rPr>
          <w:rFonts w:hAnsi="宋体" w:eastAsia="宋体" w:cs="宋体"/>
          <w:b/>
          <w:bCs/>
          <w:sz w:val="21"/>
        </w:rPr>
      </w:pPr>
      <w:r>
        <w:rPr>
          <w:rFonts w:hint="eastAsia" w:hAnsi="宋体" w:eastAsia="宋体" w:cs="宋体"/>
          <w:b/>
          <w:bCs/>
          <w:sz w:val="21"/>
        </w:rPr>
        <w:t>四、供应商工作内容</w:t>
      </w:r>
    </w:p>
    <w:p>
      <w:pPr>
        <w:ind w:firstLine="422" w:firstLineChars="200"/>
        <w:rPr>
          <w:rFonts w:hAnsi="宋体" w:eastAsia="宋体" w:cs="宋体"/>
          <w:b/>
          <w:bCs/>
          <w:sz w:val="21"/>
        </w:rPr>
      </w:pPr>
      <w:r>
        <w:rPr>
          <w:rFonts w:hint="eastAsia" w:hAnsi="宋体" w:eastAsia="宋体" w:cs="宋体"/>
          <w:b/>
          <w:bCs/>
          <w:sz w:val="21"/>
        </w:rPr>
        <w:t>4.1“三普”登录不可移动文物复查</w:t>
      </w:r>
    </w:p>
    <w:p>
      <w:pPr>
        <w:ind w:firstLine="420" w:firstLineChars="200"/>
        <w:rPr>
          <w:rFonts w:hAnsi="宋体" w:eastAsia="宋体" w:cs="宋体"/>
          <w:sz w:val="21"/>
        </w:rPr>
      </w:pPr>
      <w:r>
        <w:rPr>
          <w:rFonts w:hint="eastAsia" w:hAnsi="宋体" w:eastAsia="宋体" w:cs="宋体"/>
          <w:sz w:val="21"/>
        </w:rPr>
        <w:t>对“三普”已登记的1600余处不可移动文物进行现场核实、信息补全和更新，确保数据的准确性和完整性。</w:t>
      </w:r>
    </w:p>
    <w:p>
      <w:pPr>
        <w:ind w:firstLine="420" w:firstLineChars="200"/>
        <w:rPr>
          <w:rFonts w:hAnsi="宋体" w:eastAsia="宋体" w:cs="宋体"/>
          <w:sz w:val="21"/>
        </w:rPr>
      </w:pPr>
      <w:r>
        <w:rPr>
          <w:rFonts w:hint="eastAsia" w:hAnsi="宋体" w:eastAsia="宋体" w:cs="宋体"/>
          <w:sz w:val="21"/>
        </w:rPr>
        <w:t>4.1.1现场复查：需要对每处不可移动文物进行实地复查，核实其空间位置、权属、面积、级别、年代、构成、简介、保存状况、使用情况等信息，并通过使用地图、照片、访谈等多种手段，进行信息补充与更正，确保信息的准确性。</w:t>
      </w:r>
    </w:p>
    <w:p>
      <w:pPr>
        <w:ind w:firstLine="420" w:firstLineChars="200"/>
        <w:rPr>
          <w:rFonts w:hAnsi="宋体" w:eastAsia="宋体" w:cs="宋体"/>
          <w:sz w:val="21"/>
        </w:rPr>
      </w:pPr>
      <w:r>
        <w:rPr>
          <w:rFonts w:hint="eastAsia" w:hAnsi="宋体" w:eastAsia="宋体" w:cs="宋体"/>
          <w:sz w:val="21"/>
        </w:rPr>
        <w:t>4.1.2不可移动文物定位：利用现代手段如北斗定位仪等，对每处不可移动文物进行准确的空间位置定位，并在国家文物局下发的普查系统中进行标注。</w:t>
      </w:r>
    </w:p>
    <w:p>
      <w:pPr>
        <w:ind w:firstLine="420" w:firstLineChars="200"/>
        <w:rPr>
          <w:rFonts w:hAnsi="宋体" w:eastAsia="宋体" w:cs="宋体"/>
          <w:sz w:val="21"/>
        </w:rPr>
      </w:pPr>
      <w:r>
        <w:rPr>
          <w:rFonts w:hint="eastAsia" w:hAnsi="宋体" w:eastAsia="宋体" w:cs="宋体"/>
          <w:sz w:val="21"/>
        </w:rPr>
        <w:t>4.1.3照片图纸：在现场利用无人机、照相机等工具，根据《说明》要求拍摄每处不可移动文物全景照片（部分区域为无人机禁飞区，需自行配备其他全景照片拍摄设备）、反映不可移动文物本体及年代的照片等，每处不可移动文物不少于10张（全景照片至少1张、每处单体文物1-3张、能反映年代信息的照片不少于3张，文保单位、文保点至少1张照片为保护标志碑照片、每个附属文物至少1张、至少1张终端拍摄、复查文物需有一张与“三普”照片角度相同等），精度要求为1600万像素及以上；图纸包括位置图和平面示意图；核实区级及以上文保单位的保护范围和建控地带矢量数据。</w:t>
      </w:r>
    </w:p>
    <w:p>
      <w:pPr>
        <w:ind w:firstLine="420" w:firstLineChars="200"/>
        <w:rPr>
          <w:rFonts w:hAnsi="宋体" w:eastAsia="宋体" w:cs="宋体"/>
          <w:sz w:val="21"/>
        </w:rPr>
      </w:pPr>
      <w:r>
        <w:rPr>
          <w:rFonts w:hint="eastAsia" w:hAnsi="宋体" w:eastAsia="宋体" w:cs="宋体"/>
          <w:sz w:val="21"/>
        </w:rPr>
        <w:t>4.1.4信息补全及数据更新：在现场核实的过程中，对不完整、不准确、有变化的信息及时核准、补充、完善，重点确认复查不可移动文物本体构成和当前保存状况，全面了解掌握变更、变化情况，确保信息的实时性、准确性，并完成普查系统录入和相关表格填写。</w:t>
      </w:r>
    </w:p>
    <w:p>
      <w:pPr>
        <w:ind w:firstLine="420" w:firstLineChars="200"/>
        <w:rPr>
          <w:rFonts w:hAnsi="宋体" w:eastAsia="宋体" w:cs="宋体"/>
          <w:sz w:val="21"/>
        </w:rPr>
      </w:pPr>
      <w:r>
        <w:rPr>
          <w:rFonts w:hint="eastAsia" w:hAnsi="宋体" w:eastAsia="宋体" w:cs="宋体"/>
          <w:sz w:val="21"/>
        </w:rPr>
        <w:t>4.1.5未尽事宜以国家、省“四普办”相关要求为准。</w:t>
      </w:r>
    </w:p>
    <w:p>
      <w:pPr>
        <w:ind w:firstLine="422" w:firstLineChars="200"/>
        <w:rPr>
          <w:rFonts w:hAnsi="宋体" w:eastAsia="宋体" w:cs="宋体"/>
          <w:b/>
          <w:bCs/>
          <w:sz w:val="21"/>
        </w:rPr>
      </w:pPr>
      <w:r>
        <w:rPr>
          <w:rFonts w:hint="eastAsia" w:hAnsi="宋体" w:eastAsia="宋体" w:cs="宋体"/>
          <w:b/>
          <w:bCs/>
          <w:sz w:val="21"/>
        </w:rPr>
        <w:t>4.2新发现不可移动文物登记</w:t>
      </w:r>
    </w:p>
    <w:p>
      <w:pPr>
        <w:ind w:firstLine="420" w:firstLineChars="200"/>
        <w:rPr>
          <w:rFonts w:hAnsi="宋体" w:eastAsia="宋体" w:cs="宋体"/>
          <w:sz w:val="21"/>
        </w:rPr>
      </w:pPr>
      <w:r>
        <w:rPr>
          <w:rFonts w:hint="eastAsia" w:hAnsi="宋体" w:eastAsia="宋体" w:cs="宋体"/>
          <w:sz w:val="21"/>
        </w:rPr>
        <w:t>对2012年以来新发现的不可移动文物进行现场调查、认定和登记，包括不可移动文物的名称、年代、类别、保护级别、权属、使用情况、保存状况等基本信息。</w:t>
      </w:r>
    </w:p>
    <w:p>
      <w:pPr>
        <w:ind w:firstLine="420" w:firstLineChars="200"/>
        <w:rPr>
          <w:rFonts w:hAnsi="宋体" w:eastAsia="宋体" w:cs="宋体"/>
          <w:sz w:val="21"/>
        </w:rPr>
      </w:pPr>
      <w:r>
        <w:rPr>
          <w:rFonts w:hint="eastAsia" w:hAnsi="宋体" w:eastAsia="宋体" w:cs="宋体"/>
          <w:sz w:val="21"/>
        </w:rPr>
        <w:t>4.2.1现场调查：对2012年以来新发现不可移动文物及新发现线索进行现场调查，以确认其存在和真实性。现场调查包括走访、勘察、拍照、录像等方式，收集、录入相关信息。</w:t>
      </w:r>
    </w:p>
    <w:p>
      <w:pPr>
        <w:ind w:firstLine="420" w:firstLineChars="200"/>
        <w:rPr>
          <w:rFonts w:hAnsi="宋体" w:eastAsia="宋体" w:cs="宋体"/>
          <w:sz w:val="21"/>
        </w:rPr>
      </w:pPr>
      <w:r>
        <w:rPr>
          <w:rFonts w:hint="eastAsia" w:hAnsi="宋体" w:eastAsia="宋体" w:cs="宋体"/>
          <w:sz w:val="21"/>
        </w:rPr>
        <w:t>4.2.2不可移动文物定位：利用现代手段如北斗定位仪等，对每处不可移动文物进行准确的空间位置定位，并在国家文物局下发的普查系统中进行标注。</w:t>
      </w:r>
    </w:p>
    <w:p>
      <w:pPr>
        <w:ind w:firstLine="420" w:firstLineChars="200"/>
        <w:rPr>
          <w:rFonts w:hAnsi="宋体" w:eastAsia="宋体" w:cs="宋体"/>
          <w:sz w:val="21"/>
        </w:rPr>
      </w:pPr>
      <w:r>
        <w:rPr>
          <w:rFonts w:hint="eastAsia" w:hAnsi="宋体" w:eastAsia="宋体" w:cs="宋体"/>
          <w:sz w:val="21"/>
        </w:rPr>
        <w:t>4.2.3照片图纸：在现场利用无人机、照相机等工具，根据《说明》要求拍摄每处不可移动文物全景照片（部分区域为无人机禁飞区，需自行配备其他全景照片拍摄设备）、反映不可移动文物本体及年代的照片等，每处不可移动文物不少于10张（全景照片至少1张、每处单体文物1-3张、能反映年代信息的照片不少于3张，每个附属文物至少</w:t>
      </w:r>
      <w:r>
        <w:rPr>
          <w:rFonts w:hAnsi="宋体" w:eastAsia="宋体" w:cs="宋体"/>
          <w:sz w:val="21"/>
        </w:rPr>
        <w:t>1张、至少1张终端拍摄）</w:t>
      </w:r>
      <w:r>
        <w:rPr>
          <w:rFonts w:hint="eastAsia" w:hAnsi="宋体" w:eastAsia="宋体" w:cs="宋体"/>
          <w:sz w:val="21"/>
        </w:rPr>
        <w:t>，精度要求为</w:t>
      </w:r>
      <w:r>
        <w:rPr>
          <w:rFonts w:hAnsi="宋体" w:eastAsia="宋体" w:cs="宋体"/>
          <w:sz w:val="21"/>
        </w:rPr>
        <w:t>1600万像素及以上；图纸包括位置图、平面示意图和平面图（柱网图）；</w:t>
      </w:r>
      <w:r>
        <w:rPr>
          <w:rFonts w:hint="eastAsia" w:hAnsi="宋体" w:eastAsia="宋体" w:cs="宋体"/>
          <w:sz w:val="21"/>
        </w:rPr>
        <w:t>并配合上级文物部门要求落图。</w:t>
      </w:r>
    </w:p>
    <w:p>
      <w:pPr>
        <w:ind w:firstLine="420" w:firstLineChars="200"/>
        <w:rPr>
          <w:rFonts w:hAnsi="宋体" w:eastAsia="宋体" w:cs="宋体"/>
          <w:sz w:val="21"/>
        </w:rPr>
      </w:pPr>
      <w:r>
        <w:rPr>
          <w:rFonts w:hint="eastAsia" w:hAnsi="宋体" w:eastAsia="宋体" w:cs="宋体"/>
          <w:sz w:val="21"/>
        </w:rPr>
        <w:t>4.2.4收集基本信息：除基本信息外，还需收集文物的使用情况、保存状况等信息。通过调查员的观察、与相关单位的沟通和咨询专家等方式，确保信息准确。</w:t>
      </w:r>
    </w:p>
    <w:p>
      <w:pPr>
        <w:ind w:firstLine="422" w:firstLineChars="200"/>
        <w:rPr>
          <w:rFonts w:hAnsi="宋体" w:eastAsia="宋体" w:cs="宋体"/>
          <w:b/>
          <w:bCs/>
          <w:sz w:val="21"/>
        </w:rPr>
      </w:pPr>
      <w:r>
        <w:rPr>
          <w:rFonts w:hint="eastAsia" w:hAnsi="宋体" w:eastAsia="宋体" w:cs="宋体"/>
          <w:b/>
          <w:bCs/>
          <w:sz w:val="21"/>
        </w:rPr>
        <w:t>4.3普查成果</w:t>
      </w:r>
    </w:p>
    <w:p>
      <w:pPr>
        <w:ind w:firstLine="420" w:firstLineChars="200"/>
        <w:rPr>
          <w:rFonts w:hAnsi="宋体" w:eastAsia="宋体" w:cs="宋体"/>
          <w:sz w:val="21"/>
        </w:rPr>
      </w:pPr>
      <w:r>
        <w:rPr>
          <w:rFonts w:hint="eastAsia" w:hAnsi="宋体" w:eastAsia="宋体" w:cs="宋体"/>
          <w:sz w:val="21"/>
        </w:rPr>
        <w:t>对所有普查数据进行整理、分析和统计，形成不可移动文物资源目录、基础数据库、不可移动文物“一张图”和文物分布专题图等，主要内容包括：</w:t>
      </w:r>
    </w:p>
    <w:p>
      <w:pPr>
        <w:ind w:firstLine="420" w:firstLineChars="200"/>
        <w:rPr>
          <w:rFonts w:hAnsi="宋体" w:eastAsia="宋体" w:cs="宋体"/>
          <w:sz w:val="21"/>
        </w:rPr>
      </w:pPr>
      <w:r>
        <w:rPr>
          <w:rFonts w:hint="eastAsia" w:hAnsi="宋体" w:eastAsia="宋体" w:cs="宋体"/>
          <w:sz w:val="21"/>
        </w:rPr>
        <w:t>4.3.1数据成果</w:t>
      </w:r>
    </w:p>
    <w:p>
      <w:pPr>
        <w:ind w:firstLine="420" w:firstLineChars="200"/>
        <w:rPr>
          <w:rFonts w:hAnsi="宋体" w:eastAsia="宋体" w:cs="宋体"/>
          <w:sz w:val="21"/>
        </w:rPr>
      </w:pPr>
      <w:r>
        <w:rPr>
          <w:rFonts w:hint="eastAsia" w:hAnsi="宋体" w:eastAsia="宋体" w:cs="宋体"/>
          <w:sz w:val="21"/>
        </w:rPr>
        <w:t>（1）基础数据：对不可移动文物数据进行整理，确保数据的准确性和完整性，并形成每一处不可移动文物基础信息数据，包括登记表信息、测绘数据、图像及相关文件等。</w:t>
      </w:r>
    </w:p>
    <w:p>
      <w:pPr>
        <w:ind w:firstLine="420" w:firstLineChars="200"/>
        <w:rPr>
          <w:rFonts w:hAnsi="宋体" w:eastAsia="宋体" w:cs="宋体"/>
          <w:sz w:val="21"/>
        </w:rPr>
      </w:pPr>
      <w:r>
        <w:rPr>
          <w:rFonts w:hint="eastAsia" w:hAnsi="宋体" w:eastAsia="宋体" w:cs="宋体"/>
          <w:sz w:val="21"/>
        </w:rPr>
        <w:t>（2）统计数据：形成全区不可移动文物数量、保护级别、文物类别、年代、权属、使用情况、保存状况等统计数据。</w:t>
      </w:r>
    </w:p>
    <w:p>
      <w:pPr>
        <w:ind w:firstLine="420" w:firstLineChars="200"/>
        <w:rPr>
          <w:rFonts w:hAnsi="宋体" w:eastAsia="宋体" w:cs="宋体"/>
          <w:sz w:val="21"/>
        </w:rPr>
      </w:pPr>
      <w:r>
        <w:rPr>
          <w:rFonts w:hint="eastAsia" w:hAnsi="宋体" w:eastAsia="宋体" w:cs="宋体"/>
          <w:sz w:val="21"/>
        </w:rPr>
        <w:t>4.3.2图件成果</w:t>
      </w:r>
    </w:p>
    <w:p>
      <w:pPr>
        <w:ind w:firstLine="420" w:firstLineChars="200"/>
        <w:rPr>
          <w:rFonts w:hAnsi="宋体" w:eastAsia="宋体" w:cs="宋体"/>
          <w:sz w:val="21"/>
        </w:rPr>
      </w:pPr>
      <w:r>
        <w:rPr>
          <w:rFonts w:hint="eastAsia" w:hAnsi="宋体" w:eastAsia="宋体" w:cs="宋体"/>
          <w:sz w:val="21"/>
        </w:rPr>
        <w:t>（1）不可移动文物空间分布图：基于普查数据成果，汇总生成不可移动文物空间分布图，最终汇总生成各镇（乡）街道不可移动文物空间分布“一张图”、全区不可移动文物空间分布“一张图”。</w:t>
      </w:r>
    </w:p>
    <w:p>
      <w:pPr>
        <w:ind w:firstLine="420" w:firstLineChars="200"/>
        <w:rPr>
          <w:rFonts w:hAnsi="宋体" w:eastAsia="宋体" w:cs="宋体"/>
          <w:sz w:val="21"/>
        </w:rPr>
      </w:pPr>
      <w:r>
        <w:rPr>
          <w:rFonts w:hint="eastAsia" w:hAnsi="宋体" w:eastAsia="宋体" w:cs="宋体"/>
          <w:sz w:val="21"/>
        </w:rPr>
        <w:t>（2）文物空间分布专题图：分类生成全区古文化遗址、古墓葬、古建筑、石窟寺及石刻、近现代重要史迹及代表性建筑、其他等六类文物空间分布专题图。</w:t>
      </w:r>
    </w:p>
    <w:p>
      <w:pPr>
        <w:ind w:firstLine="420" w:firstLineChars="200"/>
        <w:rPr>
          <w:rFonts w:hAnsi="宋体" w:eastAsia="宋体" w:cs="宋体"/>
          <w:sz w:val="21"/>
        </w:rPr>
      </w:pPr>
      <w:r>
        <w:rPr>
          <w:rFonts w:hint="eastAsia" w:hAnsi="宋体" w:eastAsia="宋体" w:cs="宋体"/>
          <w:sz w:val="21"/>
        </w:rPr>
        <w:t>（3）汇总形成全区区级及以上文物保护单位保护范围和建设控制地带图录。</w:t>
      </w:r>
    </w:p>
    <w:p>
      <w:pPr>
        <w:ind w:firstLine="420" w:firstLineChars="200"/>
        <w:rPr>
          <w:rFonts w:hAnsi="宋体" w:eastAsia="宋体" w:cs="宋体"/>
          <w:sz w:val="21"/>
        </w:rPr>
      </w:pPr>
      <w:r>
        <w:rPr>
          <w:rFonts w:hint="eastAsia" w:hAnsi="宋体" w:eastAsia="宋体" w:cs="宋体"/>
          <w:sz w:val="21"/>
        </w:rPr>
        <w:t>（4）测绘图纸：对文保单位、文保点（古墓葬、古遗址除外）中的廊桥类、宗教类、寺庙塔幢类及部分具有当地传统建筑特色的代表性民居类建筑实施三维数字化测绘及相关数据采集。</w:t>
      </w:r>
    </w:p>
    <w:p>
      <w:pPr>
        <w:ind w:firstLine="420" w:firstLineChars="200"/>
        <w:rPr>
          <w:rFonts w:hAnsi="宋体" w:eastAsia="宋体" w:cs="宋体"/>
          <w:sz w:val="21"/>
        </w:rPr>
      </w:pPr>
      <w:r>
        <w:rPr>
          <w:rFonts w:hint="eastAsia" w:hAnsi="宋体" w:eastAsia="宋体" w:cs="宋体"/>
          <w:sz w:val="21"/>
        </w:rPr>
        <w:t>4.3.3报告成果</w:t>
      </w:r>
    </w:p>
    <w:p>
      <w:pPr>
        <w:ind w:firstLine="420" w:firstLineChars="200"/>
        <w:rPr>
          <w:rFonts w:hAnsi="宋体" w:eastAsia="宋体" w:cs="宋体"/>
          <w:sz w:val="21"/>
        </w:rPr>
      </w:pPr>
      <w:r>
        <w:rPr>
          <w:rFonts w:hint="eastAsia" w:hAnsi="宋体" w:eastAsia="宋体" w:cs="宋体"/>
          <w:sz w:val="21"/>
        </w:rPr>
        <w:t>对整理好的文物数据进行分析，提取有价值的信息，如文物的分布规律、保护状况等，形成分析报告。具体内容包括：</w:t>
      </w:r>
    </w:p>
    <w:p>
      <w:pPr>
        <w:ind w:firstLine="420" w:firstLineChars="200"/>
        <w:rPr>
          <w:rFonts w:hAnsi="宋体" w:eastAsia="宋体" w:cs="宋体"/>
          <w:sz w:val="21"/>
        </w:rPr>
      </w:pPr>
      <w:r>
        <w:rPr>
          <w:rFonts w:hint="eastAsia" w:hAnsi="宋体" w:eastAsia="宋体" w:cs="宋体"/>
          <w:sz w:val="21"/>
        </w:rPr>
        <w:t>（1）文物数量和类型统计：对普查得到的文物数量进行，分析各类型文物的数量分布情况，如古遗址、古墓葬、古建筑、石窟寺及石刻等，形成相关表单，与普查结果同步提交。</w:t>
      </w:r>
    </w:p>
    <w:p>
      <w:pPr>
        <w:ind w:firstLine="420" w:firstLineChars="200"/>
        <w:rPr>
          <w:rFonts w:hAnsi="宋体" w:eastAsia="宋体" w:cs="宋体"/>
          <w:sz w:val="21"/>
        </w:rPr>
      </w:pPr>
      <w:r>
        <w:rPr>
          <w:rFonts w:hint="eastAsia" w:hAnsi="宋体" w:eastAsia="宋体" w:cs="宋体"/>
          <w:sz w:val="21"/>
        </w:rPr>
        <w:t>（2）文物分布规律分析：分析文物的空间分布规律，包括地域分布、年代分布、保护级别分布等。通过分析，可以揭示文物的空间分布特征，了解文物在不同地区、不同年代、不同保护级别的分布情况，并形成相关报告。</w:t>
      </w:r>
    </w:p>
    <w:p>
      <w:pPr>
        <w:ind w:firstLine="420" w:firstLineChars="200"/>
        <w:rPr>
          <w:rFonts w:hAnsi="宋体" w:eastAsia="宋体" w:cs="宋体"/>
          <w:sz w:val="21"/>
        </w:rPr>
      </w:pPr>
      <w:r>
        <w:rPr>
          <w:rFonts w:hint="eastAsia" w:hAnsi="宋体" w:eastAsia="宋体" w:cs="宋体"/>
          <w:sz w:val="21"/>
        </w:rPr>
        <w:t>（3）文物保存状况评估：对普查得到的文物保存状况数据进行评估，分析文物的损毁状况、修缮情况等，并形成相关报告。</w:t>
      </w:r>
    </w:p>
    <w:p>
      <w:pPr>
        <w:ind w:firstLine="420" w:firstLineChars="200"/>
        <w:rPr>
          <w:rFonts w:hAnsi="宋体" w:eastAsia="宋体" w:cs="宋体"/>
          <w:sz w:val="21"/>
        </w:rPr>
      </w:pPr>
      <w:r>
        <w:rPr>
          <w:rFonts w:hint="eastAsia" w:hAnsi="宋体" w:eastAsia="宋体" w:cs="宋体"/>
          <w:sz w:val="21"/>
        </w:rPr>
        <w:t>（4）文物利用状况分析：分析文物的利用情况，包括文化旅游、教育科研、社会参与等方面的利用。通过分析，可以了解文物的利用现状，为提高文物利用效率提供依据。</w:t>
      </w:r>
    </w:p>
    <w:p>
      <w:pPr>
        <w:ind w:firstLine="420" w:firstLineChars="200"/>
        <w:rPr>
          <w:rFonts w:hAnsi="宋体" w:eastAsia="宋体" w:cs="宋体"/>
          <w:sz w:val="21"/>
        </w:rPr>
      </w:pPr>
      <w:r>
        <w:rPr>
          <w:rFonts w:hint="eastAsia" w:hAnsi="宋体" w:eastAsia="宋体" w:cs="宋体"/>
          <w:sz w:val="21"/>
        </w:rPr>
        <w:t>（5）文物环境因素分析：分析文物所处的环境因素，如自然灾害、人为破坏、周边经济发展等对文物的影响。通过分析，可以了解文物所面临的风险因素，为制定文物环境保护措施提供依据。</w:t>
      </w:r>
    </w:p>
    <w:p>
      <w:pPr>
        <w:ind w:firstLine="420" w:firstLineChars="200"/>
        <w:rPr>
          <w:rFonts w:hAnsi="宋体" w:eastAsia="宋体" w:cs="宋体"/>
          <w:sz w:val="21"/>
        </w:rPr>
      </w:pPr>
      <w:r>
        <w:rPr>
          <w:rFonts w:hint="eastAsia" w:hAnsi="宋体" w:eastAsia="宋体" w:cs="宋体"/>
          <w:sz w:val="21"/>
        </w:rPr>
        <w:t>（6）文物资源保护与管理分析：分析文物资源的保护与管理情况，包括法律法规、管理机构、保护措施等方面的分析。通过分析，可以了解文物资源保护与管理存在的问题，为完善文物保护管理体系提供依据。</w:t>
      </w:r>
    </w:p>
    <w:p>
      <w:pPr>
        <w:ind w:firstLine="420" w:firstLineChars="200"/>
        <w:rPr>
          <w:rFonts w:hAnsi="宋体" w:eastAsia="宋体" w:cs="宋体"/>
          <w:sz w:val="21"/>
        </w:rPr>
      </w:pPr>
      <w:r>
        <w:rPr>
          <w:rFonts w:hint="eastAsia" w:hAnsi="宋体" w:eastAsia="宋体" w:cs="宋体"/>
          <w:sz w:val="21"/>
        </w:rPr>
        <w:t>（7）文物价值评估：对普查得到的文物价值数据进行评估，分析文物的历史价值、艺术价值、科学价值等。通过评估，可以了解文物的价值内涵，为文物的保护利用提供依据。</w:t>
      </w:r>
    </w:p>
    <w:p>
      <w:pPr>
        <w:ind w:firstLine="420" w:firstLineChars="200"/>
        <w:rPr>
          <w:rFonts w:hAnsi="宋体" w:eastAsia="宋体" w:cs="宋体"/>
          <w:sz w:val="21"/>
        </w:rPr>
      </w:pPr>
      <w:r>
        <w:rPr>
          <w:rFonts w:hint="eastAsia" w:hAnsi="宋体" w:eastAsia="宋体" w:cs="宋体"/>
          <w:sz w:val="21"/>
        </w:rPr>
        <w:t>4.3.4编制目录和数据库</w:t>
      </w:r>
    </w:p>
    <w:p>
      <w:pPr>
        <w:ind w:firstLine="420" w:firstLineChars="200"/>
        <w:rPr>
          <w:rFonts w:hAnsi="宋体" w:eastAsia="宋体" w:cs="宋体"/>
          <w:sz w:val="21"/>
        </w:rPr>
      </w:pPr>
      <w:r>
        <w:rPr>
          <w:rFonts w:hint="eastAsia" w:hAnsi="宋体" w:eastAsia="宋体" w:cs="宋体"/>
          <w:sz w:val="21"/>
        </w:rPr>
        <w:t>根据分析结果，编制不可移动文物资源目录和基础数据库。目录应包括不可移动文物的名称、年代、地点、类型、保护级别等信息，数据库应包含文物的详细信息，如文物的历史背景、建筑特点、文化价值等。</w:t>
      </w:r>
    </w:p>
    <w:p>
      <w:pPr>
        <w:ind w:firstLine="420" w:firstLineChars="200"/>
        <w:rPr>
          <w:rFonts w:hAnsi="宋体" w:eastAsia="宋体" w:cs="宋体"/>
          <w:sz w:val="21"/>
        </w:rPr>
      </w:pPr>
      <w:r>
        <w:rPr>
          <w:rFonts w:hint="eastAsia" w:hAnsi="宋体" w:eastAsia="宋体" w:cs="宋体"/>
          <w:sz w:val="21"/>
        </w:rPr>
        <w:t>4.3.5专题成果研究</w:t>
      </w:r>
    </w:p>
    <w:p>
      <w:pPr>
        <w:ind w:firstLine="420" w:firstLineChars="200"/>
        <w:rPr>
          <w:rFonts w:hAnsi="宋体" w:eastAsia="宋体" w:cs="宋体"/>
          <w:sz w:val="21"/>
        </w:rPr>
      </w:pPr>
      <w:r>
        <w:rPr>
          <w:rFonts w:hint="eastAsia" w:hAnsi="宋体" w:eastAsia="宋体" w:cs="宋体"/>
          <w:sz w:val="21"/>
        </w:rPr>
        <w:t>（1）阶段成果总结：对全区普查信息进行梳理、分析，结合历史资料研究，形成海曙区四普工作总结报告（包括上级要求的分阶段总结报告）；</w:t>
      </w:r>
    </w:p>
    <w:p>
      <w:pPr>
        <w:ind w:firstLine="420" w:firstLineChars="200"/>
        <w:rPr>
          <w:rFonts w:hAnsi="宋体" w:eastAsia="宋体" w:cs="宋体"/>
          <w:sz w:val="21"/>
        </w:rPr>
      </w:pPr>
      <w:r>
        <w:rPr>
          <w:rFonts w:hint="eastAsia" w:hAnsi="宋体" w:eastAsia="宋体" w:cs="宋体"/>
          <w:sz w:val="21"/>
        </w:rPr>
        <w:t>（2）专题分类调查：一是开展廊桥资源调查。厘清全区不可移动文物中，廊桥类文物建筑数量、类型、分布、特征及保护利用状况，采集历史沿革、地理情况、精细绘图等常规数据，通过3D建模、三维激光扫描切片、木材无损检测、雷达探伤、文物本体病害分析等建立数字档案。</w:t>
      </w:r>
    </w:p>
    <w:p>
      <w:pPr>
        <w:ind w:firstLine="420" w:firstLineChars="200"/>
        <w:rPr>
          <w:rFonts w:hAnsi="宋体" w:eastAsia="宋体" w:cs="宋体"/>
          <w:sz w:val="21"/>
        </w:rPr>
      </w:pPr>
      <w:r>
        <w:rPr>
          <w:rFonts w:hint="eastAsia" w:hAnsi="宋体" w:eastAsia="宋体" w:cs="宋体"/>
          <w:sz w:val="21"/>
        </w:rPr>
        <w:t>二是在实地调查中，针对廊桥、水利遗产、文物建筑彩绘等上级文物部门要求同步开展的专项调查，根据不可移动文物的特征，填写相应专项调查表单，与普查结果同步提交，并形成专题研究成果。</w:t>
      </w:r>
    </w:p>
    <w:p>
      <w:pPr>
        <w:widowControl/>
        <w:spacing w:before="225" w:after="225"/>
        <w:ind w:left="420"/>
        <w:jc w:val="left"/>
        <w:rPr>
          <w:rFonts w:hAnsi="宋体" w:eastAsia="宋体" w:cs="宋体"/>
          <w:b/>
          <w:bCs/>
          <w:sz w:val="21"/>
        </w:rPr>
      </w:pPr>
      <w:r>
        <w:rPr>
          <w:rFonts w:hint="eastAsia" w:hAnsi="宋体" w:eastAsia="宋体" w:cs="宋体"/>
          <w:b/>
          <w:bCs/>
          <w:sz w:val="21"/>
        </w:rPr>
        <w:t>五、人员要求</w:t>
      </w:r>
    </w:p>
    <w:p>
      <w:pPr>
        <w:ind w:firstLine="420" w:firstLineChars="200"/>
        <w:rPr>
          <w:rFonts w:hAnsi="宋体" w:eastAsia="宋体" w:cs="宋体"/>
          <w:b w:val="0"/>
          <w:bCs w:val="0"/>
          <w:color w:val="auto"/>
          <w:sz w:val="21"/>
        </w:rPr>
      </w:pPr>
      <w:r>
        <w:rPr>
          <w:rFonts w:hint="eastAsia" w:hAnsi="宋体" w:eastAsia="宋体" w:cs="宋体"/>
          <w:b w:val="0"/>
          <w:bCs w:val="0"/>
          <w:color w:val="auto"/>
          <w:sz w:val="21"/>
        </w:rPr>
        <w:t>供应商拟派本项目人员须不少于15人。其中项目负责人要求有有文物保护工程责任设计师证书或文物保护工程从业人员上岗证书或文物博物系列中级及以上资质，同时具有不可移动文物保护相关工作经验不少于10年，其他人员要求具有文保工程相关从业经验3年以上的或具有文物保护工程责任设计师或文物保护工程从业人员上岗证、工程师等相关资质的不少于</w:t>
      </w:r>
      <w:r>
        <w:rPr>
          <w:rFonts w:hAnsi="宋体" w:eastAsia="宋体" w:cs="宋体"/>
          <w:b w:val="0"/>
          <w:bCs w:val="0"/>
          <w:color w:val="auto"/>
          <w:sz w:val="21"/>
        </w:rPr>
        <w:t>5</w:t>
      </w:r>
      <w:r>
        <w:rPr>
          <w:rFonts w:hint="eastAsia" w:hAnsi="宋体" w:eastAsia="宋体" w:cs="宋体"/>
          <w:b w:val="0"/>
          <w:bCs w:val="0"/>
          <w:color w:val="auto"/>
          <w:sz w:val="21"/>
        </w:rPr>
        <w:t>人、测绘相关专业不少于</w:t>
      </w:r>
      <w:r>
        <w:rPr>
          <w:rFonts w:hAnsi="宋体" w:eastAsia="宋体" w:cs="宋体"/>
          <w:b w:val="0"/>
          <w:bCs w:val="0"/>
          <w:color w:val="auto"/>
          <w:sz w:val="21"/>
        </w:rPr>
        <w:t>3</w:t>
      </w:r>
      <w:r>
        <w:rPr>
          <w:rFonts w:hint="eastAsia" w:hAnsi="宋体" w:eastAsia="宋体" w:cs="宋体"/>
          <w:b w:val="0"/>
          <w:bCs w:val="0"/>
          <w:color w:val="auto"/>
          <w:sz w:val="21"/>
        </w:rPr>
        <w:t>人。需有1~2名专职人员统筹负责做好普查数据录入，图纸及照片录入、填报工作。</w:t>
      </w:r>
    </w:p>
    <w:p>
      <w:pPr>
        <w:ind w:firstLine="420" w:firstLineChars="200"/>
        <w:rPr>
          <w:rFonts w:hAnsi="宋体" w:eastAsia="宋体" w:cs="宋体"/>
          <w:b w:val="0"/>
          <w:bCs w:val="0"/>
          <w:color w:val="auto"/>
          <w:sz w:val="21"/>
        </w:rPr>
      </w:pPr>
      <w:r>
        <w:rPr>
          <w:rFonts w:hint="eastAsia" w:hAnsi="宋体" w:eastAsia="宋体" w:cs="宋体"/>
          <w:b w:val="0"/>
          <w:bCs w:val="0"/>
          <w:color w:val="auto"/>
          <w:sz w:val="21"/>
        </w:rPr>
        <w:t>注：投标文件中须提供人员名单、对应证书扫描件、经验证明资料及近开标日3个月内的社保缴纳证明（社保缴纳单位应与投标单位一致）。</w:t>
      </w:r>
    </w:p>
    <w:p>
      <w:pPr>
        <w:widowControl/>
        <w:spacing w:before="225" w:after="225"/>
        <w:ind w:left="420"/>
        <w:jc w:val="left"/>
        <w:rPr>
          <w:rFonts w:hAnsi="宋体" w:eastAsia="宋体" w:cs="宋体"/>
          <w:b/>
          <w:bCs/>
          <w:sz w:val="21"/>
        </w:rPr>
      </w:pPr>
      <w:r>
        <w:rPr>
          <w:rFonts w:hint="eastAsia" w:hAnsi="宋体" w:eastAsia="宋体" w:cs="宋体"/>
          <w:b/>
          <w:bCs/>
          <w:sz w:val="21"/>
        </w:rPr>
        <w:t>六、设备要求</w:t>
      </w:r>
    </w:p>
    <w:p>
      <w:pPr>
        <w:ind w:firstLine="420" w:firstLineChars="200"/>
        <w:rPr>
          <w:rFonts w:hAnsi="宋体" w:eastAsia="宋体" w:cs="宋体"/>
          <w:b/>
          <w:bCs/>
          <w:sz w:val="21"/>
        </w:rPr>
      </w:pPr>
      <w:r>
        <w:rPr>
          <w:rFonts w:hint="eastAsia" w:hAnsi="宋体" w:eastAsia="宋体" w:cs="宋体"/>
          <w:sz w:val="21"/>
        </w:rPr>
        <w:t>供应商须自行配备能全面满足本项目需求的设施设备，确保按时完成普查相应工作任务。如：需自行配备RTK、相机、无人机等满足普查要求的设备，及台式电脑、打印机等相关信息录入设备和办公设备。</w:t>
      </w:r>
    </w:p>
    <w:p>
      <w:pPr>
        <w:ind w:left="560" w:leftChars="200"/>
        <w:rPr>
          <w:rFonts w:hAnsi="宋体" w:eastAsia="宋体" w:cs="宋体"/>
          <w:b/>
          <w:bCs/>
          <w:sz w:val="21"/>
        </w:rPr>
      </w:pPr>
    </w:p>
    <w:p>
      <w:pPr>
        <w:ind w:left="560" w:leftChars="200"/>
        <w:rPr>
          <w:rFonts w:hAnsi="宋体" w:eastAsia="宋体" w:cs="宋体"/>
          <w:b/>
          <w:bCs/>
          <w:sz w:val="21"/>
        </w:rPr>
      </w:pPr>
      <w:r>
        <w:rPr>
          <w:rFonts w:hint="eastAsia" w:hAnsi="宋体" w:eastAsia="宋体" w:cs="宋体"/>
          <w:b/>
          <w:bCs/>
          <w:sz w:val="21"/>
        </w:rPr>
        <w:t>七、成果提交要求</w:t>
      </w:r>
    </w:p>
    <w:p>
      <w:pPr>
        <w:ind w:left="560" w:leftChars="200"/>
        <w:rPr>
          <w:rFonts w:hAnsi="宋体" w:eastAsia="宋体" w:cs="宋体"/>
          <w:sz w:val="21"/>
        </w:rPr>
      </w:pPr>
      <w:r>
        <w:rPr>
          <w:rFonts w:hint="eastAsia" w:hAnsi="宋体" w:eastAsia="宋体" w:cs="宋体"/>
          <w:sz w:val="21"/>
        </w:rPr>
        <w:t>7.1.提交方式要求</w:t>
      </w:r>
    </w:p>
    <w:p>
      <w:pPr>
        <w:ind w:firstLine="420" w:firstLineChars="200"/>
        <w:rPr>
          <w:rFonts w:hAnsi="宋体" w:eastAsia="宋体" w:cs="宋体"/>
          <w:sz w:val="21"/>
        </w:rPr>
      </w:pPr>
      <w:r>
        <w:rPr>
          <w:rFonts w:hint="eastAsia" w:hAnsi="宋体" w:eastAsia="宋体" w:cs="宋体"/>
          <w:sz w:val="21"/>
        </w:rPr>
        <w:t>整理和核对文物登记表、图片、矢量数据等资料和数据；调查资料录入到普查软件系统等数据库中，形成电子与纸质基础数据成果和图件成果等；保证资料、信息和各项原始数据真实和完整。</w:t>
      </w:r>
    </w:p>
    <w:p>
      <w:pPr>
        <w:ind w:left="566" w:leftChars="202"/>
        <w:rPr>
          <w:rFonts w:hAnsi="宋体" w:eastAsia="宋体" w:cs="宋体"/>
          <w:sz w:val="21"/>
        </w:rPr>
      </w:pPr>
      <w:r>
        <w:rPr>
          <w:rFonts w:hint="eastAsia" w:hAnsi="宋体" w:eastAsia="宋体" w:cs="宋体"/>
          <w:sz w:val="21"/>
        </w:rPr>
        <w:t>7.1.1电子成果</w:t>
      </w:r>
    </w:p>
    <w:p>
      <w:pPr>
        <w:ind w:firstLine="420" w:firstLineChars="200"/>
        <w:rPr>
          <w:rFonts w:hAnsi="宋体" w:eastAsia="宋体" w:cs="宋体"/>
          <w:sz w:val="21"/>
        </w:rPr>
      </w:pPr>
      <w:r>
        <w:rPr>
          <w:rFonts w:hint="eastAsia" w:hAnsi="宋体" w:eastAsia="宋体" w:cs="宋体"/>
          <w:sz w:val="21"/>
        </w:rPr>
        <w:t>（1）普查软件系统：对实地调查的相关内容填入普查软件系统，并通过上级部门及专家认可。同时提供一台存储所有基础数据的RTK设备。表格及文档成果：对于整理的统计数据、分类调查的信息、相关成果报告等需以表格及文档形式呈现。</w:t>
      </w:r>
    </w:p>
    <w:p>
      <w:pPr>
        <w:ind w:firstLine="420" w:firstLineChars="200"/>
        <w:rPr>
          <w:rFonts w:hAnsi="宋体" w:eastAsia="宋体" w:cs="宋体"/>
          <w:sz w:val="21"/>
        </w:rPr>
      </w:pPr>
      <w:r>
        <w:rPr>
          <w:rFonts w:hint="eastAsia" w:hAnsi="宋体" w:eastAsia="宋体" w:cs="宋体"/>
          <w:sz w:val="21"/>
        </w:rPr>
        <w:t>（2）图件成果：文物分布专题图、对文保单位、文保点（古墓葬、古遗址除外）中的廊桥类、寺庙塔幢、宗祠类及部分具有当地传统建筑特色的代表性民居类建筑实施三维数字化测绘，图纸需以图片格式提交，并附相应CAD等源文件。</w:t>
      </w:r>
    </w:p>
    <w:p>
      <w:pPr>
        <w:ind w:firstLine="420" w:firstLineChars="200"/>
        <w:rPr>
          <w:rFonts w:hAnsi="宋体" w:eastAsia="宋体" w:cs="宋体"/>
          <w:sz w:val="21"/>
        </w:rPr>
      </w:pPr>
      <w:r>
        <w:rPr>
          <w:rFonts w:hint="eastAsia" w:hAnsi="宋体" w:eastAsia="宋体" w:cs="宋体"/>
          <w:sz w:val="21"/>
        </w:rPr>
        <w:t>7.1.2纸质成果</w:t>
      </w:r>
    </w:p>
    <w:p>
      <w:pPr>
        <w:ind w:firstLine="420" w:firstLineChars="200"/>
        <w:rPr>
          <w:rFonts w:hAnsi="宋体" w:eastAsia="宋体" w:cs="宋体"/>
          <w:sz w:val="21"/>
        </w:rPr>
      </w:pPr>
      <w:r>
        <w:rPr>
          <w:rFonts w:hint="eastAsia" w:hAnsi="宋体" w:eastAsia="宋体" w:cs="宋体"/>
          <w:sz w:val="21"/>
        </w:rPr>
        <w:t>调查资料录入到普查软件系统等数据库中，形成电子与纸质基础数据成果等，保证资料、信息和各项原始数据真实和完整。</w:t>
      </w:r>
    </w:p>
    <w:p>
      <w:pPr>
        <w:ind w:firstLine="420" w:firstLineChars="200"/>
        <w:rPr>
          <w:rFonts w:hAnsi="宋体" w:eastAsia="宋体" w:cs="宋体"/>
          <w:sz w:val="21"/>
        </w:rPr>
      </w:pPr>
      <w:r>
        <w:rPr>
          <w:rFonts w:hint="eastAsia" w:hAnsi="宋体" w:eastAsia="宋体" w:cs="宋体"/>
          <w:sz w:val="21"/>
        </w:rPr>
        <w:t>除普查软件系统录入的相应表格、文档及图件成果原则上需按相关制图规范及省、市普查办要求提供对应的图册、图档等纸质文档。</w:t>
      </w:r>
    </w:p>
    <w:p>
      <w:pPr>
        <w:ind w:left="420"/>
        <w:rPr>
          <w:rFonts w:hAnsi="宋体" w:eastAsia="宋体" w:cs="宋体"/>
          <w:sz w:val="21"/>
        </w:rPr>
      </w:pPr>
      <w:r>
        <w:rPr>
          <w:rFonts w:hint="eastAsia" w:hAnsi="宋体" w:eastAsia="宋体" w:cs="宋体"/>
          <w:sz w:val="21"/>
        </w:rPr>
        <w:t>7.2提交时间要求</w:t>
      </w:r>
    </w:p>
    <w:p>
      <w:pPr>
        <w:ind w:firstLine="420" w:firstLineChars="200"/>
        <w:rPr>
          <w:rFonts w:hint="eastAsia" w:hAnsi="宋体" w:eastAsia="宋体" w:cs="宋体"/>
          <w:sz w:val="21"/>
        </w:rPr>
      </w:pPr>
      <w:r>
        <w:rPr>
          <w:rFonts w:hint="eastAsia" w:hAnsi="宋体" w:eastAsia="宋体" w:cs="宋体"/>
          <w:sz w:val="21"/>
        </w:rPr>
        <w:t>实地勘察、信息录入、报告撰写等过程成果进度需严格按照国家、省、市文物部门要求，并定期配合成果抽查。最终成果提交需严格按照时间安排，不得迟交。</w:t>
      </w:r>
    </w:p>
    <w:p>
      <w:pPr>
        <w:bidi w:val="0"/>
        <w:rPr>
          <w:rFonts w:hint="eastAsia"/>
          <w:sz w:val="15"/>
          <w:szCs w:val="15"/>
        </w:rPr>
      </w:pPr>
    </w:p>
    <w:p>
      <w:pPr>
        <w:pStyle w:val="2"/>
        <w:numPr>
          <w:ilvl w:val="0"/>
          <w:numId w:val="0"/>
        </w:numPr>
        <w:ind w:leftChars="200" w:right="1960" w:rightChars="700"/>
        <w:rPr>
          <w:rFonts w:hint="eastAsia" w:hAnsi="宋体" w:eastAsia="宋体" w:cs="宋体"/>
          <w:b/>
          <w:bCs/>
          <w:sz w:val="21"/>
          <w:szCs w:val="21"/>
          <w:lang w:val="en-US" w:eastAsia="zh-CN" w:bidi="ar-SA"/>
        </w:rPr>
      </w:pPr>
      <w:r>
        <w:rPr>
          <w:rFonts w:hint="eastAsia" w:hAnsi="宋体" w:eastAsia="宋体" w:cs="宋体"/>
          <w:b/>
          <w:bCs/>
          <w:sz w:val="21"/>
          <w:lang w:val="en-US" w:eastAsia="zh-CN"/>
        </w:rPr>
        <w:t>八、</w:t>
      </w:r>
      <w:r>
        <w:rPr>
          <w:rFonts w:hint="eastAsia" w:hAnsi="宋体" w:eastAsia="宋体" w:cs="宋体"/>
          <w:b/>
          <w:bCs/>
          <w:sz w:val="21"/>
          <w:szCs w:val="21"/>
          <w:lang w:val="en-US" w:eastAsia="zh-CN" w:bidi="ar-SA"/>
        </w:rPr>
        <w:t>其他要求</w:t>
      </w:r>
    </w:p>
    <w:p>
      <w:pPr>
        <w:bidi w:val="0"/>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8.1中标人实际开展本项目的团队人员，需与投标文件中项目人员信息一致，如出现特殊情况需要更换人员的，需提前征得采购人同意，新更换的人员要求不低于被更换人员的资格条件，否则采购人有权解除合同，并要求中标人承担由此造成的损失。</w:t>
      </w:r>
    </w:p>
    <w:p>
      <w:pPr>
        <w:bidi w:val="0"/>
        <w:ind w:firstLine="422" w:firstLineChars="200"/>
        <w:rPr>
          <w:rFonts w:hint="eastAsia" w:hAnsi="宋体" w:eastAsia="宋体" w:cs="宋体"/>
          <w:b/>
          <w:bCs/>
          <w:sz w:val="21"/>
          <w:highlight w:val="none"/>
          <w:lang w:val="en-US" w:eastAsia="zh-CN"/>
        </w:rPr>
      </w:pPr>
      <w:r>
        <w:rPr>
          <w:rFonts w:hint="eastAsia" w:ascii="宋体" w:hAnsi="宋体" w:eastAsia="宋体" w:cs="宋体"/>
          <w:b/>
          <w:bCs/>
          <w:sz w:val="21"/>
          <w:szCs w:val="21"/>
          <w:highlight w:val="none"/>
          <w:lang w:val="en-US" w:eastAsia="zh-CN"/>
        </w:rPr>
        <w:t>8.2在本项目合同履约期间及项目结束后的</w:t>
      </w:r>
      <w:r>
        <w:rPr>
          <w:rFonts w:hint="eastAsia" w:ascii="宋体" w:hAnsi="宋体" w:eastAsia="宋体" w:cs="宋体"/>
          <w:b/>
          <w:bCs/>
          <w:color w:val="000000"/>
          <w:sz w:val="21"/>
          <w:szCs w:val="21"/>
          <w:highlight w:val="none"/>
        </w:rPr>
        <w:t>免费维护期</w:t>
      </w:r>
      <w:r>
        <w:rPr>
          <w:rFonts w:hint="eastAsia" w:ascii="宋体" w:hAnsi="宋体" w:eastAsia="宋体" w:cs="宋体"/>
          <w:b/>
          <w:bCs/>
          <w:color w:val="000000"/>
          <w:sz w:val="21"/>
          <w:szCs w:val="21"/>
          <w:highlight w:val="none"/>
          <w:lang w:val="en-US" w:eastAsia="zh-CN"/>
        </w:rPr>
        <w:t>间</w:t>
      </w:r>
      <w:r>
        <w:rPr>
          <w:rFonts w:hint="eastAsia" w:ascii="宋体" w:hAnsi="宋体" w:eastAsia="宋体" w:cs="宋体"/>
          <w:b/>
          <w:bCs/>
          <w:sz w:val="21"/>
          <w:szCs w:val="21"/>
          <w:highlight w:val="none"/>
          <w:lang w:val="en-US" w:eastAsia="zh-CN"/>
        </w:rPr>
        <w:t>，因上级部门对本项目提出新的工作内容或要求，视同为本次招标范围内容，中标人无条件接受。</w:t>
      </w:r>
    </w:p>
    <w:p>
      <w:pPr>
        <w:widowControl/>
        <w:spacing w:before="225" w:after="225" w:line="300" w:lineRule="atLeast"/>
        <w:ind w:left="420"/>
        <w:jc w:val="left"/>
        <w:rPr>
          <w:rFonts w:hAnsi="宋体" w:eastAsia="宋体" w:cs="宋体"/>
          <w:b/>
          <w:bCs/>
          <w:sz w:val="21"/>
        </w:rPr>
      </w:pPr>
      <w:r>
        <w:rPr>
          <w:rFonts w:hint="eastAsia" w:hAnsi="宋体" w:eastAsia="宋体" w:cs="宋体"/>
          <w:b/>
          <w:bCs/>
          <w:sz w:val="21"/>
          <w:lang w:val="en-US" w:eastAsia="zh-CN"/>
        </w:rPr>
        <w:t>九</w:t>
      </w:r>
      <w:r>
        <w:rPr>
          <w:rFonts w:hint="eastAsia" w:hAnsi="宋体" w:eastAsia="宋体" w:cs="宋体"/>
          <w:b/>
          <w:bCs/>
          <w:sz w:val="21"/>
        </w:rPr>
        <w:t>、商务条款</w:t>
      </w:r>
    </w:p>
    <w:tbl>
      <w:tblPr>
        <w:tblStyle w:val="27"/>
        <w:tblW w:w="8520" w:type="dxa"/>
        <w:jc w:val="center"/>
        <w:tblLayout w:type="fixed"/>
        <w:tblCellMar>
          <w:top w:w="0" w:type="dxa"/>
          <w:left w:w="108" w:type="dxa"/>
          <w:bottom w:w="0" w:type="dxa"/>
          <w:right w:w="108" w:type="dxa"/>
        </w:tblCellMar>
      </w:tblPr>
      <w:tblGrid>
        <w:gridCol w:w="797"/>
        <w:gridCol w:w="7723"/>
      </w:tblGrid>
      <w:tr>
        <w:tblPrEx>
          <w:tblCellMar>
            <w:top w:w="0" w:type="dxa"/>
            <w:left w:w="108" w:type="dxa"/>
            <w:bottom w:w="0" w:type="dxa"/>
            <w:right w:w="108" w:type="dxa"/>
          </w:tblCellMar>
        </w:tblPrEx>
        <w:trPr>
          <w:trHeight w:val="454" w:hRule="atLeast"/>
          <w:jc w:val="center"/>
        </w:trPr>
        <w:tc>
          <w:tcPr>
            <w:tcW w:w="797" w:type="dxa"/>
            <w:tcBorders>
              <w:top w:val="single" w:color="auto" w:sz="4" w:space="0"/>
              <w:left w:val="single" w:color="auto" w:sz="4" w:space="0"/>
              <w:bottom w:val="single" w:color="000000" w:sz="6" w:space="0"/>
              <w:right w:val="single" w:color="000000" w:sz="6" w:space="0"/>
            </w:tcBorders>
            <w:noWrap/>
            <w:vAlign w:val="center"/>
          </w:tcPr>
          <w:p>
            <w:pPr>
              <w:autoSpaceDE w:val="0"/>
              <w:autoSpaceDN w:val="0"/>
              <w:spacing w:line="400" w:lineRule="exact"/>
              <w:rPr>
                <w:rFonts w:hAnsi="宋体" w:eastAsia="宋体" w:cs="宋体"/>
                <w:b/>
                <w:bCs/>
                <w:sz w:val="21"/>
              </w:rPr>
            </w:pPr>
            <w:r>
              <w:rPr>
                <w:rFonts w:hint="eastAsia" w:hAnsi="宋体" w:eastAsia="宋体" w:cs="宋体"/>
                <w:b/>
                <w:bCs/>
                <w:sz w:val="21"/>
              </w:rPr>
              <w:t>序号</w:t>
            </w:r>
          </w:p>
        </w:tc>
        <w:tc>
          <w:tcPr>
            <w:tcW w:w="7723" w:type="dxa"/>
            <w:tcBorders>
              <w:top w:val="single" w:color="auto" w:sz="4" w:space="0"/>
              <w:left w:val="nil"/>
              <w:bottom w:val="single" w:color="000000" w:sz="6" w:space="0"/>
              <w:right w:val="single" w:color="auto" w:sz="4" w:space="0"/>
            </w:tcBorders>
            <w:noWrap/>
            <w:vAlign w:val="center"/>
          </w:tcPr>
          <w:p>
            <w:pPr>
              <w:autoSpaceDE w:val="0"/>
              <w:autoSpaceDN w:val="0"/>
              <w:spacing w:line="400" w:lineRule="exact"/>
              <w:jc w:val="center"/>
              <w:rPr>
                <w:rFonts w:hAnsi="宋体" w:eastAsia="宋体" w:cs="宋体"/>
                <w:b/>
                <w:bCs/>
                <w:sz w:val="21"/>
              </w:rPr>
            </w:pPr>
            <w:r>
              <w:rPr>
                <w:rFonts w:hint="eastAsia" w:hAnsi="宋体" w:eastAsia="宋体" w:cs="宋体"/>
                <w:b/>
                <w:bCs/>
                <w:sz w:val="21"/>
              </w:rPr>
              <w:t>内      容</w:t>
            </w:r>
          </w:p>
        </w:tc>
      </w:tr>
      <w:tr>
        <w:tblPrEx>
          <w:tblCellMar>
            <w:top w:w="0" w:type="dxa"/>
            <w:left w:w="108" w:type="dxa"/>
            <w:bottom w:w="0" w:type="dxa"/>
            <w:right w:w="108" w:type="dxa"/>
          </w:tblCellMar>
        </w:tblPrEx>
        <w:trPr>
          <w:trHeight w:val="20" w:hRule="atLeast"/>
          <w:jc w:val="center"/>
        </w:trPr>
        <w:tc>
          <w:tcPr>
            <w:tcW w:w="797"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400" w:lineRule="exact"/>
              <w:rPr>
                <w:rFonts w:hAnsi="宋体" w:eastAsia="宋体" w:cs="宋体"/>
                <w:sz w:val="21"/>
              </w:rPr>
            </w:pPr>
            <w:r>
              <w:rPr>
                <w:rFonts w:hint="eastAsia" w:hAnsi="宋体" w:eastAsia="宋体" w:cs="宋体"/>
                <w:sz w:val="21"/>
              </w:rPr>
              <w:t>★1</w:t>
            </w:r>
          </w:p>
        </w:tc>
        <w:tc>
          <w:tcPr>
            <w:tcW w:w="7723" w:type="dxa"/>
            <w:tcBorders>
              <w:top w:val="single" w:color="000000" w:sz="6" w:space="0"/>
              <w:left w:val="nil"/>
              <w:bottom w:val="single" w:color="000000" w:sz="6" w:space="0"/>
              <w:right w:val="single" w:color="auto" w:sz="4" w:space="0"/>
            </w:tcBorders>
            <w:noWrap/>
            <w:vAlign w:val="center"/>
          </w:tcPr>
          <w:p>
            <w:pPr>
              <w:spacing w:line="400" w:lineRule="exact"/>
              <w:rPr>
                <w:rFonts w:hAnsi="宋体" w:eastAsia="宋体" w:cs="宋体"/>
                <w:sz w:val="21"/>
              </w:rPr>
            </w:pPr>
            <w:r>
              <w:rPr>
                <w:rFonts w:hint="eastAsia" w:hAnsi="宋体" w:eastAsia="宋体" w:cs="宋体"/>
                <w:sz w:val="21"/>
              </w:rPr>
              <w:t>服务期限：分为前期资料搜集和梳理、实地勘察、数据整理和录入共三个阶段。</w:t>
            </w:r>
          </w:p>
          <w:p>
            <w:pPr>
              <w:spacing w:line="400" w:lineRule="exact"/>
              <w:ind w:firstLine="420" w:firstLineChars="200"/>
              <w:rPr>
                <w:rFonts w:hAnsi="宋体" w:eastAsia="宋体" w:cs="宋体"/>
                <w:sz w:val="21"/>
              </w:rPr>
            </w:pPr>
            <w:r>
              <w:rPr>
                <w:rFonts w:hint="eastAsia" w:hAnsi="宋体" w:eastAsia="宋体" w:cs="宋体"/>
                <w:sz w:val="21"/>
              </w:rPr>
              <w:t>1.自合同签订之日起至2024年12月完成“三普”登录点复核工作，包括现场核实和勘察、照片拍摄、图纸绘制、点位测量和记录等工作，并完成相应信息整理录入。调查进度需严格按照省市文物部门要求推进。</w:t>
            </w:r>
          </w:p>
          <w:p>
            <w:pPr>
              <w:spacing w:line="400" w:lineRule="exact"/>
              <w:ind w:firstLine="420" w:firstLineChars="200"/>
              <w:rPr>
                <w:rFonts w:hAnsi="宋体" w:eastAsia="宋体" w:cs="宋体"/>
                <w:sz w:val="21"/>
              </w:rPr>
            </w:pPr>
            <w:r>
              <w:rPr>
                <w:rFonts w:hint="eastAsia" w:hAnsi="宋体" w:eastAsia="宋体" w:cs="宋体"/>
                <w:sz w:val="21"/>
              </w:rPr>
              <w:t>2.2025年1月至2025年5月完成新发现不可移动文物线索的现场核实和勘察、照片拍摄、图纸绘制、点位测量和记录等工作，并完成相应信息整理录入。调查进度需严格按照省市文物部门要求推进。</w:t>
            </w:r>
          </w:p>
          <w:p>
            <w:pPr>
              <w:spacing w:line="400" w:lineRule="exact"/>
              <w:ind w:firstLine="420" w:firstLineChars="200"/>
              <w:rPr>
                <w:rFonts w:hAnsi="宋体" w:eastAsia="宋体" w:cs="宋体"/>
                <w:sz w:val="21"/>
              </w:rPr>
            </w:pPr>
            <w:r>
              <w:rPr>
                <w:rFonts w:hint="eastAsia" w:hAnsi="宋体" w:eastAsia="宋体" w:cs="宋体"/>
                <w:sz w:val="21"/>
              </w:rPr>
              <w:t>3.2025年3月至2025年6月对已整理录入的数据进行核准与校验，并绘制各类图纸，整理相关数据并进行统计和分析形成工作报告、分析报告及专题研究报告等，如有其他新发现线索，需同步完成调查，调查进度需严格按照省市文物部门要求落实。</w:t>
            </w:r>
          </w:p>
          <w:p>
            <w:pPr>
              <w:spacing w:line="400" w:lineRule="exact"/>
              <w:ind w:firstLine="420" w:firstLineChars="200"/>
              <w:rPr>
                <w:rFonts w:hAnsi="宋体" w:eastAsia="宋体" w:cs="宋体"/>
                <w:sz w:val="21"/>
              </w:rPr>
            </w:pPr>
            <w:r>
              <w:rPr>
                <w:rFonts w:hint="eastAsia" w:hAnsi="宋体" w:eastAsia="宋体" w:cs="宋体"/>
                <w:sz w:val="21"/>
              </w:rPr>
              <w:t>4.2025年6月至2026年6月完成本项目研究报告及其他上级文物部门规定成果。</w:t>
            </w:r>
          </w:p>
          <w:p>
            <w:pPr>
              <w:spacing w:line="400" w:lineRule="exact"/>
              <w:ind w:firstLine="422" w:firstLineChars="200"/>
              <w:rPr>
                <w:rFonts w:hAnsi="宋体" w:eastAsia="宋体" w:cs="宋体"/>
                <w:sz w:val="21"/>
              </w:rPr>
            </w:pPr>
            <w:r>
              <w:rPr>
                <w:rFonts w:hint="eastAsia" w:hAnsi="宋体" w:eastAsia="宋体" w:cs="宋体"/>
                <w:b/>
                <w:bCs/>
                <w:sz w:val="21"/>
              </w:rPr>
              <w:t>若因</w:t>
            </w:r>
            <w:r>
              <w:rPr>
                <w:rFonts w:hint="eastAsia" w:hAnsi="宋体" w:eastAsia="宋体" w:cs="宋体"/>
                <w:b/>
                <w:bCs/>
                <w:kern w:val="2"/>
                <w:sz w:val="21"/>
              </w:rPr>
              <w:t>成交供应商</w:t>
            </w:r>
            <w:r>
              <w:rPr>
                <w:rFonts w:hint="eastAsia" w:hAnsi="宋体" w:eastAsia="宋体" w:cs="宋体"/>
                <w:b/>
                <w:bCs/>
                <w:sz w:val="21"/>
              </w:rPr>
              <w:t>自身原因，导致未按照相应时间节点及上级文物部门进度要求完成工作的，逾期应按合同额每日千分之一支付违约金。</w:t>
            </w:r>
          </w:p>
        </w:tc>
      </w:tr>
      <w:tr>
        <w:tblPrEx>
          <w:tblCellMar>
            <w:top w:w="0" w:type="dxa"/>
            <w:left w:w="108" w:type="dxa"/>
            <w:bottom w:w="0" w:type="dxa"/>
            <w:right w:w="108" w:type="dxa"/>
          </w:tblCellMar>
        </w:tblPrEx>
        <w:trPr>
          <w:trHeight w:val="20" w:hRule="atLeast"/>
          <w:jc w:val="center"/>
        </w:trPr>
        <w:tc>
          <w:tcPr>
            <w:tcW w:w="797"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400" w:lineRule="exact"/>
              <w:rPr>
                <w:rFonts w:hAnsi="宋体" w:eastAsia="宋体" w:cs="宋体"/>
                <w:sz w:val="21"/>
              </w:rPr>
            </w:pPr>
            <w:r>
              <w:rPr>
                <w:rFonts w:hint="eastAsia" w:hAnsi="宋体" w:eastAsia="宋体" w:cs="宋体"/>
                <w:sz w:val="21"/>
              </w:rPr>
              <w:t>★2</w:t>
            </w:r>
          </w:p>
        </w:tc>
        <w:tc>
          <w:tcPr>
            <w:tcW w:w="7723" w:type="dxa"/>
            <w:tcBorders>
              <w:top w:val="single" w:color="000000" w:sz="6" w:space="0"/>
              <w:left w:val="nil"/>
              <w:bottom w:val="single" w:color="000000" w:sz="6" w:space="0"/>
              <w:right w:val="single" w:color="auto" w:sz="4" w:space="0"/>
            </w:tcBorders>
            <w:noWrap/>
            <w:vAlign w:val="center"/>
          </w:tcPr>
          <w:p>
            <w:pPr>
              <w:spacing w:line="400" w:lineRule="exact"/>
              <w:rPr>
                <w:rFonts w:hAnsi="宋体" w:eastAsia="宋体" w:cs="宋体"/>
                <w:sz w:val="21"/>
              </w:rPr>
            </w:pPr>
            <w:r>
              <w:rPr>
                <w:rFonts w:hint="eastAsia" w:hAnsi="宋体" w:eastAsia="宋体" w:cs="宋体"/>
                <w:sz w:val="21"/>
              </w:rPr>
              <w:t>服务地点：采购人指定地点。</w:t>
            </w:r>
          </w:p>
        </w:tc>
      </w:tr>
      <w:tr>
        <w:tblPrEx>
          <w:tblCellMar>
            <w:top w:w="0" w:type="dxa"/>
            <w:left w:w="108" w:type="dxa"/>
            <w:bottom w:w="0" w:type="dxa"/>
            <w:right w:w="108" w:type="dxa"/>
          </w:tblCellMar>
        </w:tblPrEx>
        <w:trPr>
          <w:trHeight w:val="20" w:hRule="atLeast"/>
          <w:jc w:val="center"/>
        </w:trPr>
        <w:tc>
          <w:tcPr>
            <w:tcW w:w="797"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400" w:lineRule="exact"/>
              <w:rPr>
                <w:rFonts w:hAnsi="宋体" w:eastAsia="宋体" w:cs="宋体"/>
                <w:sz w:val="21"/>
              </w:rPr>
            </w:pPr>
            <w:r>
              <w:rPr>
                <w:rFonts w:hint="eastAsia" w:hAnsi="宋体" w:eastAsia="宋体" w:cs="宋体"/>
                <w:sz w:val="21"/>
              </w:rPr>
              <w:t>★3</w:t>
            </w:r>
          </w:p>
        </w:tc>
        <w:tc>
          <w:tcPr>
            <w:tcW w:w="7723" w:type="dxa"/>
            <w:tcBorders>
              <w:top w:val="single" w:color="000000" w:sz="6" w:space="0"/>
              <w:left w:val="nil"/>
              <w:bottom w:val="single" w:color="000000" w:sz="6" w:space="0"/>
              <w:right w:val="single" w:color="auto" w:sz="4" w:space="0"/>
            </w:tcBorders>
            <w:noWrap/>
            <w:vAlign w:val="center"/>
          </w:tcPr>
          <w:p>
            <w:pPr>
              <w:spacing w:line="400" w:lineRule="exact"/>
              <w:rPr>
                <w:rFonts w:hAnsi="宋体" w:eastAsia="宋体" w:cs="宋体"/>
                <w:sz w:val="21"/>
              </w:rPr>
            </w:pPr>
            <w:r>
              <w:rPr>
                <w:rFonts w:hint="eastAsia" w:hAnsi="宋体" w:eastAsia="宋体" w:cs="宋体"/>
                <w:sz w:val="21"/>
              </w:rPr>
              <w:t>服务质量要求：执行国家相关标准、行业标准、地方标准或者其它标准、规范，具体以采购要求中的要求为准。</w:t>
            </w:r>
          </w:p>
        </w:tc>
      </w:tr>
      <w:tr>
        <w:tblPrEx>
          <w:tblCellMar>
            <w:top w:w="0" w:type="dxa"/>
            <w:left w:w="108" w:type="dxa"/>
            <w:bottom w:w="0" w:type="dxa"/>
            <w:right w:w="108" w:type="dxa"/>
          </w:tblCellMar>
        </w:tblPrEx>
        <w:trPr>
          <w:trHeight w:val="20" w:hRule="atLeast"/>
          <w:jc w:val="center"/>
        </w:trPr>
        <w:tc>
          <w:tcPr>
            <w:tcW w:w="797"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400" w:lineRule="exact"/>
              <w:rPr>
                <w:rFonts w:hAnsi="宋体" w:eastAsia="宋体" w:cs="宋体"/>
                <w:sz w:val="21"/>
              </w:rPr>
            </w:pPr>
            <w:r>
              <w:rPr>
                <w:rFonts w:hint="eastAsia" w:hAnsi="宋体" w:eastAsia="宋体" w:cs="宋体"/>
                <w:sz w:val="21"/>
              </w:rPr>
              <w:t>★4</w:t>
            </w:r>
          </w:p>
        </w:tc>
        <w:tc>
          <w:tcPr>
            <w:tcW w:w="7723" w:type="dxa"/>
            <w:tcBorders>
              <w:top w:val="single" w:color="000000" w:sz="6" w:space="0"/>
              <w:left w:val="nil"/>
              <w:bottom w:val="single" w:color="000000" w:sz="6" w:space="0"/>
              <w:right w:val="single" w:color="auto" w:sz="4" w:space="0"/>
            </w:tcBorders>
            <w:noWrap/>
            <w:vAlign w:val="center"/>
          </w:tcPr>
          <w:p>
            <w:pPr>
              <w:spacing w:line="400" w:lineRule="exact"/>
              <w:rPr>
                <w:rFonts w:hAnsi="宋体" w:eastAsia="宋体" w:cs="宋体"/>
                <w:sz w:val="21"/>
              </w:rPr>
            </w:pPr>
            <w:r>
              <w:rPr>
                <w:rFonts w:hint="eastAsia" w:hAnsi="宋体" w:eastAsia="宋体" w:cs="宋体"/>
                <w:sz w:val="21"/>
              </w:rPr>
              <w:t>免费维护期：自完成本项目全部工作且通过各级文物部门审核后至2026年12月31日。</w:t>
            </w:r>
          </w:p>
          <w:p>
            <w:pPr>
              <w:spacing w:line="400" w:lineRule="exact"/>
              <w:rPr>
                <w:rFonts w:hAnsi="宋体" w:eastAsia="宋体" w:cs="宋体"/>
                <w:sz w:val="21"/>
              </w:rPr>
            </w:pPr>
            <w:r>
              <w:rPr>
                <w:rFonts w:hint="eastAsia" w:hAnsi="宋体" w:eastAsia="宋体" w:cs="宋体"/>
                <w:sz w:val="21"/>
              </w:rPr>
              <w:t>维护内容及要求包括不仅限于：</w:t>
            </w:r>
          </w:p>
          <w:p>
            <w:pPr>
              <w:spacing w:line="400" w:lineRule="exact"/>
              <w:ind w:firstLine="420" w:firstLineChars="200"/>
              <w:rPr>
                <w:rFonts w:hAnsi="宋体" w:eastAsia="宋体" w:cs="宋体"/>
                <w:sz w:val="21"/>
              </w:rPr>
            </w:pPr>
            <w:r>
              <w:rPr>
                <w:rFonts w:hint="eastAsia" w:hAnsi="宋体" w:eastAsia="宋体" w:cs="宋体"/>
                <w:sz w:val="21"/>
              </w:rPr>
              <w:t>1.在免费维护期内发现服务质量缺陷，成交供应商负责返工或采取补救措施；</w:t>
            </w:r>
          </w:p>
          <w:p>
            <w:pPr>
              <w:spacing w:line="400" w:lineRule="exact"/>
              <w:ind w:firstLine="420" w:firstLineChars="200"/>
              <w:rPr>
                <w:rFonts w:hAnsi="宋体" w:eastAsia="宋体" w:cs="宋体"/>
                <w:sz w:val="21"/>
              </w:rPr>
            </w:pPr>
            <w:r>
              <w:rPr>
                <w:rFonts w:hint="eastAsia" w:hAnsi="宋体" w:eastAsia="宋体" w:cs="宋体"/>
                <w:sz w:val="21"/>
              </w:rPr>
              <w:t>2.返工或采取补救措施所产生的费用均由成交供应商承担。</w:t>
            </w:r>
          </w:p>
        </w:tc>
      </w:tr>
      <w:tr>
        <w:tblPrEx>
          <w:tblCellMar>
            <w:top w:w="0" w:type="dxa"/>
            <w:left w:w="108" w:type="dxa"/>
            <w:bottom w:w="0" w:type="dxa"/>
            <w:right w:w="108" w:type="dxa"/>
          </w:tblCellMar>
        </w:tblPrEx>
        <w:trPr>
          <w:trHeight w:val="20" w:hRule="atLeast"/>
          <w:jc w:val="center"/>
        </w:trPr>
        <w:tc>
          <w:tcPr>
            <w:tcW w:w="797"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400" w:lineRule="exact"/>
              <w:rPr>
                <w:rFonts w:hAnsi="宋体" w:eastAsia="宋体" w:cs="宋体"/>
                <w:sz w:val="21"/>
              </w:rPr>
            </w:pPr>
            <w:r>
              <w:rPr>
                <w:rFonts w:hint="eastAsia" w:hAnsi="宋体" w:eastAsia="宋体" w:cs="宋体"/>
                <w:sz w:val="21"/>
              </w:rPr>
              <w:t>★5</w:t>
            </w:r>
          </w:p>
        </w:tc>
        <w:tc>
          <w:tcPr>
            <w:tcW w:w="7723" w:type="dxa"/>
            <w:tcBorders>
              <w:top w:val="single" w:color="000000" w:sz="6" w:space="0"/>
              <w:left w:val="nil"/>
              <w:bottom w:val="single" w:color="000000" w:sz="6" w:space="0"/>
              <w:right w:val="single" w:color="auto" w:sz="4" w:space="0"/>
            </w:tcBorders>
            <w:noWrap/>
            <w:vAlign w:val="center"/>
          </w:tcPr>
          <w:p>
            <w:pPr>
              <w:spacing w:line="400" w:lineRule="exact"/>
              <w:rPr>
                <w:rFonts w:hAnsi="宋体" w:eastAsia="宋体" w:cs="宋体"/>
                <w:sz w:val="21"/>
              </w:rPr>
            </w:pPr>
            <w:r>
              <w:rPr>
                <w:rFonts w:hint="eastAsia" w:hAnsi="宋体" w:eastAsia="宋体" w:cs="宋体"/>
                <w:sz w:val="21"/>
              </w:rPr>
              <w:t>付款方式：</w:t>
            </w:r>
          </w:p>
          <w:p>
            <w:pPr>
              <w:widowControl/>
              <w:jc w:val="left"/>
              <w:rPr>
                <w:rFonts w:hAnsi="宋体" w:eastAsia="宋体" w:cs="宋体"/>
                <w:sz w:val="21"/>
              </w:rPr>
            </w:pPr>
            <w:r>
              <w:rPr>
                <w:rFonts w:hint="eastAsia" w:hAnsi="宋体" w:eastAsia="宋体" w:cs="宋体"/>
                <w:sz w:val="21"/>
              </w:rPr>
              <w:t>1.付款方式：</w:t>
            </w:r>
          </w:p>
          <w:p>
            <w:pPr>
              <w:adjustRightInd/>
              <w:spacing w:line="336" w:lineRule="auto"/>
              <w:textAlignment w:val="auto"/>
              <w:rPr>
                <w:rFonts w:hAnsi="宋体" w:eastAsia="宋体" w:cs="宋体"/>
                <w:kern w:val="2"/>
                <w:sz w:val="21"/>
              </w:rPr>
            </w:pPr>
            <w:r>
              <w:rPr>
                <w:rFonts w:hint="eastAsia" w:hAnsi="宋体" w:eastAsia="宋体" w:cs="宋体"/>
                <w:kern w:val="2"/>
                <w:sz w:val="21"/>
              </w:rPr>
              <w:t>2024年：本项目合同签订并收到成交供应商发票后7个工作日内支付合同金额的40%；2024年9月底完成省文物部门进度安排且收到成交供应商发票后支付合同金额的15%；</w:t>
            </w:r>
          </w:p>
          <w:p>
            <w:pPr>
              <w:adjustRightInd/>
              <w:spacing w:line="336" w:lineRule="auto"/>
              <w:textAlignment w:val="auto"/>
              <w:rPr>
                <w:rFonts w:hAnsi="宋体" w:eastAsia="宋体" w:cs="宋体"/>
                <w:kern w:val="2"/>
                <w:sz w:val="21"/>
              </w:rPr>
            </w:pPr>
            <w:r>
              <w:rPr>
                <w:rFonts w:hint="eastAsia" w:hAnsi="宋体" w:eastAsia="宋体" w:cs="宋体"/>
                <w:kern w:val="2"/>
                <w:sz w:val="21"/>
              </w:rPr>
              <w:t>2025年：完成全部“三普”复核工作并录入普查系统且收到成交供应商发票后支付合同金额的10%；按省市文物部门进度要求完成新线索调查等工作且收到成交供应商发票后支付合同金额的15%；</w:t>
            </w:r>
          </w:p>
          <w:p>
            <w:pPr>
              <w:adjustRightInd/>
              <w:spacing w:line="336" w:lineRule="auto"/>
              <w:textAlignment w:val="auto"/>
              <w:rPr>
                <w:rFonts w:hAnsi="宋体" w:eastAsia="宋体" w:cs="宋体"/>
                <w:kern w:val="2"/>
                <w:sz w:val="21"/>
              </w:rPr>
            </w:pPr>
            <w:r>
              <w:rPr>
                <w:rFonts w:hint="eastAsia" w:hAnsi="宋体" w:eastAsia="宋体" w:cs="宋体"/>
                <w:kern w:val="2"/>
                <w:sz w:val="21"/>
              </w:rPr>
              <w:t>2026年：完成并提交电子版成果、根据“四普”相关工作安排，通过上级文物部门对“四普”软件系统录入信息审核（含机审和人工审）后且收到成交供应商发票后7个工作日内支付合同金额的10%；全部项目成果提交上级文物部门，通过最终审核，并修改、完善、存档且收到成交供应商发票后7个工作日内支付合同金额的10%。</w:t>
            </w:r>
          </w:p>
        </w:tc>
      </w:tr>
      <w:tr>
        <w:tblPrEx>
          <w:tblCellMar>
            <w:top w:w="0" w:type="dxa"/>
            <w:left w:w="108" w:type="dxa"/>
            <w:bottom w:w="0" w:type="dxa"/>
            <w:right w:w="108" w:type="dxa"/>
          </w:tblCellMar>
        </w:tblPrEx>
        <w:trPr>
          <w:trHeight w:val="20" w:hRule="atLeast"/>
          <w:jc w:val="center"/>
        </w:trPr>
        <w:tc>
          <w:tcPr>
            <w:tcW w:w="797" w:type="dxa"/>
            <w:tcBorders>
              <w:top w:val="single" w:color="000000" w:sz="6" w:space="0"/>
              <w:left w:val="single" w:color="auto" w:sz="4" w:space="0"/>
              <w:bottom w:val="single" w:color="000000" w:sz="6" w:space="0"/>
              <w:right w:val="single" w:color="000000" w:sz="6" w:space="0"/>
            </w:tcBorders>
            <w:noWrap/>
            <w:vAlign w:val="center"/>
          </w:tcPr>
          <w:p>
            <w:pPr>
              <w:spacing w:line="400" w:lineRule="exact"/>
              <w:rPr>
                <w:rFonts w:hAnsi="宋体" w:eastAsia="宋体" w:cs="宋体"/>
                <w:sz w:val="21"/>
              </w:rPr>
            </w:pPr>
            <w:r>
              <w:rPr>
                <w:rFonts w:hint="eastAsia" w:hAnsi="宋体" w:eastAsia="宋体" w:cs="宋体"/>
                <w:sz w:val="21"/>
              </w:rPr>
              <w:t>★6</w:t>
            </w:r>
          </w:p>
        </w:tc>
        <w:tc>
          <w:tcPr>
            <w:tcW w:w="7723" w:type="dxa"/>
            <w:tcBorders>
              <w:top w:val="single" w:color="000000" w:sz="6" w:space="0"/>
              <w:left w:val="nil"/>
              <w:bottom w:val="single" w:color="000000" w:sz="6" w:space="0"/>
              <w:right w:val="single" w:color="auto" w:sz="4" w:space="0"/>
            </w:tcBorders>
            <w:noWrap/>
            <w:vAlign w:val="center"/>
          </w:tcPr>
          <w:p>
            <w:pPr>
              <w:spacing w:line="400" w:lineRule="exact"/>
              <w:rPr>
                <w:rFonts w:hAnsi="宋体" w:eastAsia="宋体" w:cs="宋体"/>
                <w:sz w:val="21"/>
                <w:lang w:val="zh-CN"/>
              </w:rPr>
            </w:pPr>
            <w:r>
              <w:rPr>
                <w:rFonts w:hint="eastAsia" w:hAnsi="宋体" w:eastAsia="宋体" w:cs="宋体"/>
                <w:sz w:val="21"/>
                <w:lang w:val="zh-CN"/>
              </w:rPr>
              <w:t>售后技术服务要求：</w:t>
            </w:r>
          </w:p>
          <w:p>
            <w:pPr>
              <w:spacing w:line="400" w:lineRule="exact"/>
              <w:ind w:firstLine="420" w:firstLineChars="200"/>
              <w:rPr>
                <w:rFonts w:hAnsi="宋体" w:eastAsia="宋体" w:cs="宋体"/>
                <w:sz w:val="21"/>
                <w:lang w:val="zh-CN"/>
              </w:rPr>
            </w:pPr>
            <w:r>
              <w:rPr>
                <w:rFonts w:hAnsi="宋体" w:eastAsia="宋体" w:cs="宋体"/>
                <w:sz w:val="21"/>
              </w:rPr>
              <w:t>1</w:t>
            </w:r>
            <w:r>
              <w:rPr>
                <w:rFonts w:hAnsi="宋体" w:eastAsia="宋体" w:cs="宋体"/>
                <w:sz w:val="21"/>
                <w:lang w:val="zh-CN"/>
              </w:rPr>
              <w:t>.</w:t>
            </w:r>
            <w:r>
              <w:rPr>
                <w:rFonts w:hint="eastAsia" w:hAnsi="宋体" w:eastAsia="宋体" w:cs="宋体"/>
                <w:sz w:val="21"/>
                <w:lang w:val="zh-CN"/>
              </w:rPr>
              <w:t>维护期内采用现场维护方式，</w:t>
            </w:r>
            <w:r>
              <w:rPr>
                <w:rFonts w:hint="eastAsia" w:hAnsi="宋体" w:eastAsia="宋体" w:cs="宋体"/>
                <w:sz w:val="21"/>
              </w:rPr>
              <w:t>供应商</w:t>
            </w:r>
            <w:r>
              <w:rPr>
                <w:rFonts w:hint="eastAsia" w:hAnsi="宋体" w:eastAsia="宋体" w:cs="宋体"/>
                <w:sz w:val="21"/>
                <w:lang w:val="zh-CN"/>
              </w:rPr>
              <w:t>4小时热线响应，在接到电话要求后4小时之内到达维护地点，一般问题在4小时内解决，严重问题要求及时提出用户方可接受的解决方案和服务承诺。</w:t>
            </w:r>
          </w:p>
          <w:p>
            <w:pPr>
              <w:spacing w:line="400" w:lineRule="exact"/>
              <w:ind w:firstLine="420" w:firstLineChars="200"/>
              <w:rPr>
                <w:rFonts w:hAnsi="宋体" w:eastAsia="宋体" w:cs="宋体"/>
                <w:sz w:val="21"/>
                <w:lang w:val="zh-CN"/>
              </w:rPr>
            </w:pPr>
            <w:r>
              <w:rPr>
                <w:rFonts w:hint="eastAsia" w:hAnsi="宋体" w:eastAsia="宋体" w:cs="宋体"/>
                <w:sz w:val="21"/>
              </w:rPr>
              <w:t>2.其他见第三章（如有）。</w:t>
            </w:r>
          </w:p>
        </w:tc>
      </w:tr>
      <w:tr>
        <w:tblPrEx>
          <w:tblCellMar>
            <w:top w:w="0" w:type="dxa"/>
            <w:left w:w="108" w:type="dxa"/>
            <w:bottom w:w="0" w:type="dxa"/>
            <w:right w:w="108" w:type="dxa"/>
          </w:tblCellMar>
        </w:tblPrEx>
        <w:trPr>
          <w:trHeight w:val="470" w:hRule="atLeast"/>
          <w:jc w:val="center"/>
        </w:trPr>
        <w:tc>
          <w:tcPr>
            <w:tcW w:w="797" w:type="dxa"/>
            <w:tcBorders>
              <w:top w:val="single" w:color="000000" w:sz="6" w:space="0"/>
              <w:left w:val="single" w:color="auto" w:sz="4" w:space="0"/>
              <w:right w:val="single" w:color="000000" w:sz="6" w:space="0"/>
            </w:tcBorders>
            <w:noWrap/>
            <w:vAlign w:val="center"/>
          </w:tcPr>
          <w:p>
            <w:pPr>
              <w:autoSpaceDE w:val="0"/>
              <w:autoSpaceDN w:val="0"/>
              <w:spacing w:line="400" w:lineRule="exact"/>
              <w:rPr>
                <w:rFonts w:hAnsi="宋体" w:eastAsia="宋体" w:cs="宋体"/>
                <w:sz w:val="21"/>
              </w:rPr>
            </w:pPr>
            <w:r>
              <w:rPr>
                <w:rFonts w:hint="eastAsia" w:hAnsi="宋体" w:eastAsia="宋体" w:cs="宋体"/>
                <w:sz w:val="21"/>
              </w:rPr>
              <w:t>★7</w:t>
            </w:r>
          </w:p>
        </w:tc>
        <w:tc>
          <w:tcPr>
            <w:tcW w:w="7723" w:type="dxa"/>
            <w:tcBorders>
              <w:top w:val="single" w:color="000000" w:sz="6" w:space="0"/>
              <w:left w:val="nil"/>
              <w:bottom w:val="single" w:color="000000" w:sz="6" w:space="0"/>
              <w:right w:val="single" w:color="auto" w:sz="4" w:space="0"/>
            </w:tcBorders>
            <w:noWrap/>
            <w:vAlign w:val="center"/>
          </w:tcPr>
          <w:p>
            <w:pPr>
              <w:spacing w:line="400" w:lineRule="exact"/>
              <w:rPr>
                <w:rFonts w:hAnsi="宋体" w:eastAsia="宋体" w:cs="宋体"/>
                <w:sz w:val="21"/>
                <w:lang w:val="zh-CN"/>
              </w:rPr>
            </w:pPr>
            <w:r>
              <w:rPr>
                <w:rFonts w:hint="eastAsia" w:hAnsi="宋体" w:eastAsia="宋体" w:cs="宋体"/>
                <w:sz w:val="21"/>
                <w:lang w:val="zh-CN"/>
              </w:rPr>
              <w:t>履约保证金金额：</w:t>
            </w:r>
            <w:r>
              <w:rPr>
                <w:rFonts w:hint="eastAsia" w:hAnsi="宋体" w:eastAsia="宋体" w:cs="宋体"/>
                <w:sz w:val="21"/>
              </w:rPr>
              <w:t>本项目不适用。</w:t>
            </w:r>
          </w:p>
        </w:tc>
      </w:tr>
      <w:tr>
        <w:tblPrEx>
          <w:tblCellMar>
            <w:top w:w="0" w:type="dxa"/>
            <w:left w:w="108" w:type="dxa"/>
            <w:bottom w:w="0" w:type="dxa"/>
            <w:right w:w="108" w:type="dxa"/>
          </w:tblCellMar>
        </w:tblPrEx>
        <w:trPr>
          <w:trHeight w:val="20" w:hRule="atLeast"/>
          <w:jc w:val="center"/>
        </w:trPr>
        <w:tc>
          <w:tcPr>
            <w:tcW w:w="797"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400" w:lineRule="exact"/>
              <w:rPr>
                <w:rFonts w:hAnsi="宋体" w:eastAsia="宋体" w:cs="宋体"/>
                <w:sz w:val="21"/>
              </w:rPr>
            </w:pPr>
            <w:r>
              <w:rPr>
                <w:rFonts w:hint="eastAsia" w:hAnsi="宋体" w:eastAsia="宋体" w:cs="宋体"/>
                <w:sz w:val="21"/>
              </w:rPr>
              <w:t>★8</w:t>
            </w:r>
          </w:p>
        </w:tc>
        <w:tc>
          <w:tcPr>
            <w:tcW w:w="7723" w:type="dxa"/>
            <w:tcBorders>
              <w:top w:val="single" w:color="000000" w:sz="6" w:space="0"/>
              <w:left w:val="nil"/>
              <w:bottom w:val="single" w:color="000000" w:sz="6" w:space="0"/>
              <w:right w:val="single" w:color="auto" w:sz="4" w:space="0"/>
            </w:tcBorders>
            <w:noWrap/>
            <w:vAlign w:val="center"/>
          </w:tcPr>
          <w:p>
            <w:pPr>
              <w:autoSpaceDE w:val="0"/>
              <w:autoSpaceDN w:val="0"/>
              <w:spacing w:line="400" w:lineRule="exact"/>
              <w:rPr>
                <w:rFonts w:hAnsi="宋体" w:eastAsia="宋体" w:cs="宋体"/>
                <w:sz w:val="21"/>
                <w:lang w:val="zh-CN"/>
              </w:rPr>
            </w:pPr>
            <w:r>
              <w:rPr>
                <w:rFonts w:hint="eastAsia" w:hAnsi="宋体" w:eastAsia="宋体" w:cs="宋体"/>
                <w:sz w:val="21"/>
                <w:lang w:val="zh-CN"/>
              </w:rPr>
              <w:t>授予合同：</w:t>
            </w:r>
          </w:p>
          <w:p>
            <w:pPr>
              <w:autoSpaceDE w:val="0"/>
              <w:autoSpaceDN w:val="0"/>
              <w:spacing w:line="400" w:lineRule="exact"/>
              <w:ind w:firstLine="420" w:firstLineChars="200"/>
              <w:rPr>
                <w:rFonts w:hAnsi="宋体" w:eastAsia="宋体" w:cs="宋体"/>
                <w:sz w:val="21"/>
                <w:lang w:val="zh-CN"/>
              </w:rPr>
            </w:pPr>
            <w:r>
              <w:rPr>
                <w:rFonts w:hint="eastAsia" w:hAnsi="宋体" w:eastAsia="宋体" w:cs="宋体"/>
                <w:sz w:val="21"/>
                <w:lang w:val="zh-CN"/>
              </w:rPr>
              <w:t>①中标通知书发出之日起30天内，</w:t>
            </w:r>
            <w:r>
              <w:rPr>
                <w:rFonts w:hint="eastAsia" w:hAnsi="宋体" w:eastAsia="宋体" w:cs="宋体"/>
                <w:sz w:val="21"/>
              </w:rPr>
              <w:t>供应商</w:t>
            </w:r>
            <w:r>
              <w:rPr>
                <w:rFonts w:hint="eastAsia" w:hAnsi="宋体" w:eastAsia="宋体" w:cs="宋体"/>
                <w:sz w:val="21"/>
                <w:lang w:val="zh-CN"/>
              </w:rPr>
              <w:t>应按照采购文件的规定、供应商的投标响应及中标通知书确定的金额签订合同。</w:t>
            </w:r>
          </w:p>
          <w:p>
            <w:pPr>
              <w:autoSpaceDE w:val="0"/>
              <w:autoSpaceDN w:val="0"/>
              <w:spacing w:line="400" w:lineRule="exact"/>
              <w:ind w:firstLine="420" w:firstLineChars="200"/>
              <w:rPr>
                <w:rFonts w:hAnsi="宋体" w:eastAsia="宋体" w:cs="宋体"/>
                <w:sz w:val="21"/>
                <w:lang w:val="zh-CN"/>
              </w:rPr>
            </w:pPr>
            <w:r>
              <w:rPr>
                <w:rFonts w:hint="eastAsia" w:hAnsi="宋体" w:eastAsia="宋体" w:cs="宋体"/>
                <w:sz w:val="21"/>
                <w:lang w:val="zh-CN"/>
              </w:rPr>
              <w:t>②供应商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bl>
    <w:p>
      <w:pPr>
        <w:rPr>
          <w:rFonts w:hAnsi="宋体" w:eastAsia="宋体" w:cs="宋体"/>
          <w:sz w:val="21"/>
        </w:rPr>
      </w:pPr>
      <w:r>
        <w:rPr>
          <w:rFonts w:hint="eastAsia" w:hAnsi="宋体" w:eastAsia="宋体" w:cs="宋体"/>
          <w:sz w:val="21"/>
        </w:rPr>
        <w:br w:type="page"/>
      </w:r>
    </w:p>
    <w:p>
      <w:pPr>
        <w:pStyle w:val="5"/>
        <w:jc w:val="center"/>
      </w:pPr>
      <w:bookmarkStart w:id="83" w:name="_Toc994"/>
      <w:r>
        <w:rPr>
          <w:rFonts w:hint="eastAsia"/>
        </w:rPr>
        <w:t>第四章 评审标准</w:t>
      </w:r>
      <w:bookmarkEnd w:id="80"/>
      <w:bookmarkEnd w:id="81"/>
      <w:bookmarkEnd w:id="83"/>
    </w:p>
    <w:bookmarkEnd w:id="78"/>
    <w:bookmarkEnd w:id="79"/>
    <w:bookmarkEnd w:id="82"/>
    <w:p>
      <w:pPr>
        <w:pStyle w:val="15"/>
        <w:adjustRightInd/>
        <w:spacing w:after="0" w:line="500" w:lineRule="exact"/>
        <w:ind w:left="0" w:leftChars="0" w:firstLine="420" w:firstLineChars="200"/>
        <w:rPr>
          <w:rFonts w:ascii="宋体" w:hAnsi="宋体" w:cs="宋体"/>
          <w:sz w:val="21"/>
        </w:rPr>
      </w:pPr>
      <w:bookmarkStart w:id="84" w:name="OLE_LINK1"/>
      <w:bookmarkEnd w:id="84"/>
      <w:bookmarkStart w:id="85" w:name="OLE_LINK2"/>
      <w:bookmarkEnd w:id="85"/>
      <w:r>
        <w:rPr>
          <w:rFonts w:hint="eastAsia" w:ascii="宋体" w:hAnsi="宋体" w:cs="宋体"/>
          <w:sz w:val="21"/>
        </w:rPr>
        <w:t>本办法严格遵照《中华人民共和国政府采购法》、《中华人民共和国政府采购法实施条例》、《政府采购竞争性磋商采购方式管理暂行办法》，结合项目所在地政府有关政府采购规定和项目的实际情况制定。</w:t>
      </w:r>
    </w:p>
    <w:p>
      <w:pPr>
        <w:adjustRightInd/>
        <w:spacing w:line="500" w:lineRule="exact"/>
        <w:rPr>
          <w:rFonts w:hAnsi="宋体" w:eastAsia="宋体" w:cs="宋体"/>
          <w:b/>
          <w:bCs/>
          <w:sz w:val="21"/>
        </w:rPr>
      </w:pPr>
      <w:r>
        <w:rPr>
          <w:rFonts w:hint="eastAsia" w:hAnsi="宋体" w:eastAsia="宋体" w:cs="宋体"/>
          <w:b/>
          <w:bCs/>
          <w:sz w:val="21"/>
        </w:rPr>
        <w:t>一. 总则</w:t>
      </w:r>
    </w:p>
    <w:p>
      <w:pPr>
        <w:adjustRightInd/>
        <w:spacing w:line="500" w:lineRule="exact"/>
        <w:ind w:firstLine="420" w:firstLineChars="200"/>
        <w:rPr>
          <w:rFonts w:hAnsi="宋体" w:eastAsia="宋体" w:cs="宋体"/>
          <w:sz w:val="21"/>
        </w:rPr>
      </w:pPr>
      <w:r>
        <w:rPr>
          <w:rFonts w:hint="eastAsia" w:hAnsi="宋体" w:eastAsia="宋体" w:cs="宋体"/>
          <w:sz w:val="21"/>
        </w:rPr>
        <w:t>本次磋商遵循公平、公正、科学、择优的原则依法进行，磋商活动及当事人接受依法实施的监督。本次磋商采用综合评分法。</w:t>
      </w:r>
    </w:p>
    <w:p>
      <w:pPr>
        <w:adjustRightInd/>
        <w:spacing w:line="500" w:lineRule="exact"/>
        <w:rPr>
          <w:rFonts w:hAnsi="宋体" w:eastAsia="宋体" w:cs="宋体"/>
          <w:b/>
          <w:bCs/>
          <w:sz w:val="21"/>
        </w:rPr>
      </w:pPr>
      <w:r>
        <w:rPr>
          <w:rFonts w:hint="eastAsia" w:hAnsi="宋体" w:eastAsia="宋体" w:cs="宋体"/>
          <w:b/>
          <w:bCs/>
          <w:sz w:val="21"/>
        </w:rPr>
        <w:t>二. 磋商程序</w:t>
      </w:r>
    </w:p>
    <w:p>
      <w:pPr>
        <w:pStyle w:val="6"/>
        <w:numPr>
          <w:ilvl w:val="0"/>
          <w:numId w:val="0"/>
        </w:numPr>
        <w:tabs>
          <w:tab w:val="left" w:pos="720"/>
        </w:tabs>
        <w:adjustRightInd/>
        <w:spacing w:line="500" w:lineRule="exact"/>
        <w:ind w:firstLine="420"/>
        <w:rPr>
          <w:rFonts w:hAnsi="宋体" w:eastAsia="宋体" w:cs="宋体"/>
          <w:kern w:val="2"/>
          <w:sz w:val="21"/>
        </w:rPr>
      </w:pPr>
      <w:r>
        <w:rPr>
          <w:rFonts w:hint="eastAsia" w:hAnsi="宋体" w:eastAsia="宋体" w:cs="宋体"/>
          <w:kern w:val="2"/>
          <w:sz w:val="21"/>
        </w:rPr>
        <w:t>详见第二章供应商须知 四、磋商程序</w:t>
      </w:r>
    </w:p>
    <w:p>
      <w:pPr>
        <w:adjustRightInd/>
        <w:spacing w:line="500" w:lineRule="exact"/>
        <w:rPr>
          <w:rFonts w:hAnsi="宋体" w:eastAsia="宋体" w:cs="宋体"/>
          <w:b/>
          <w:bCs/>
          <w:sz w:val="21"/>
        </w:rPr>
      </w:pPr>
      <w:r>
        <w:rPr>
          <w:rFonts w:hint="eastAsia" w:hAnsi="宋体" w:eastAsia="宋体" w:cs="宋体"/>
          <w:b/>
          <w:bCs/>
          <w:sz w:val="21"/>
        </w:rPr>
        <w:t>三．评审程序</w:t>
      </w:r>
    </w:p>
    <w:p>
      <w:pPr>
        <w:pStyle w:val="6"/>
        <w:numPr>
          <w:ilvl w:val="0"/>
          <w:numId w:val="0"/>
        </w:numPr>
        <w:tabs>
          <w:tab w:val="left" w:pos="720"/>
        </w:tabs>
        <w:adjustRightInd/>
        <w:spacing w:line="500" w:lineRule="exact"/>
        <w:rPr>
          <w:rFonts w:hAnsi="宋体" w:eastAsia="宋体" w:cs="宋体"/>
          <w:kern w:val="2"/>
          <w:sz w:val="21"/>
        </w:rPr>
      </w:pPr>
      <w:r>
        <w:rPr>
          <w:rFonts w:hint="eastAsia" w:hAnsi="宋体" w:eastAsia="宋体" w:cs="宋体"/>
          <w:kern w:val="2"/>
          <w:sz w:val="21"/>
        </w:rPr>
        <w:t xml:space="preserve">    详见第二章供应商须知 五、评审</w:t>
      </w:r>
    </w:p>
    <w:p>
      <w:pPr>
        <w:numPr>
          <w:ilvl w:val="0"/>
          <w:numId w:val="11"/>
        </w:numPr>
        <w:spacing w:line="500" w:lineRule="exact"/>
        <w:rPr>
          <w:rFonts w:hAnsi="宋体" w:eastAsia="宋体" w:cs="宋体"/>
          <w:b/>
          <w:bCs/>
          <w:sz w:val="21"/>
        </w:rPr>
      </w:pPr>
      <w:r>
        <w:rPr>
          <w:rFonts w:hint="eastAsia" w:hAnsi="宋体" w:eastAsia="宋体" w:cs="宋体"/>
          <w:b/>
          <w:bCs/>
          <w:sz w:val="21"/>
        </w:rPr>
        <w:t>评分标准</w:t>
      </w:r>
    </w:p>
    <w:p>
      <w:pPr>
        <w:pStyle w:val="11"/>
      </w:pPr>
    </w:p>
    <w:tbl>
      <w:tblPr>
        <w:tblStyle w:val="27"/>
        <w:tblW w:w="980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35"/>
        <w:gridCol w:w="975"/>
        <w:gridCol w:w="6645"/>
        <w:gridCol w:w="690"/>
        <w:gridCol w:w="86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55" w:hRule="atLeast"/>
          <w:jc w:val="center"/>
        </w:trPr>
        <w:tc>
          <w:tcPr>
            <w:tcW w:w="635" w:type="dxa"/>
            <w:tcBorders>
              <w:top w:val="single" w:color="auto" w:sz="4" w:space="0"/>
            </w:tcBorders>
            <w:noWrap/>
            <w:vAlign w:val="center"/>
          </w:tcPr>
          <w:p>
            <w:pPr>
              <w:spacing w:before="120" w:beforeLines="50" w:after="120" w:afterLines="50" w:line="360" w:lineRule="exact"/>
              <w:jc w:val="center"/>
              <w:rPr>
                <w:rFonts w:hAnsi="宋体" w:eastAsia="宋体" w:cs="宋体"/>
                <w:b/>
                <w:bCs/>
                <w:color w:val="auto"/>
                <w:sz w:val="21"/>
              </w:rPr>
            </w:pPr>
            <w:r>
              <w:rPr>
                <w:rFonts w:hint="eastAsia" w:hAnsi="宋体" w:eastAsia="宋体" w:cs="宋体"/>
                <w:b/>
                <w:bCs/>
                <w:color w:val="auto"/>
                <w:sz w:val="21"/>
              </w:rPr>
              <w:t>分类</w:t>
            </w:r>
          </w:p>
        </w:tc>
        <w:tc>
          <w:tcPr>
            <w:tcW w:w="975" w:type="dxa"/>
            <w:tcBorders>
              <w:top w:val="single" w:color="auto" w:sz="4" w:space="0"/>
            </w:tcBorders>
            <w:noWrap/>
            <w:vAlign w:val="center"/>
          </w:tcPr>
          <w:p>
            <w:pPr>
              <w:spacing w:before="120" w:beforeLines="50" w:after="120" w:afterLines="50" w:line="360" w:lineRule="exact"/>
              <w:jc w:val="center"/>
              <w:rPr>
                <w:rFonts w:hAnsi="宋体" w:eastAsia="宋体" w:cs="宋体"/>
                <w:b/>
                <w:bCs/>
                <w:color w:val="auto"/>
                <w:sz w:val="21"/>
              </w:rPr>
            </w:pPr>
            <w:r>
              <w:rPr>
                <w:rFonts w:hint="eastAsia" w:hAnsi="宋体" w:eastAsia="宋体" w:cs="宋体"/>
                <w:b/>
                <w:bCs/>
                <w:color w:val="auto"/>
                <w:sz w:val="21"/>
              </w:rPr>
              <w:t>评分项</w:t>
            </w:r>
          </w:p>
        </w:tc>
        <w:tc>
          <w:tcPr>
            <w:tcW w:w="6645" w:type="dxa"/>
            <w:tcBorders>
              <w:top w:val="single" w:color="auto" w:sz="4" w:space="0"/>
            </w:tcBorders>
            <w:noWrap/>
            <w:vAlign w:val="center"/>
          </w:tcPr>
          <w:p>
            <w:pPr>
              <w:spacing w:line="360" w:lineRule="exact"/>
              <w:ind w:firstLine="560"/>
              <w:jc w:val="center"/>
              <w:rPr>
                <w:rFonts w:hAnsi="宋体" w:eastAsia="宋体" w:cs="宋体"/>
                <w:b/>
                <w:bCs/>
                <w:color w:val="auto"/>
                <w:sz w:val="21"/>
              </w:rPr>
            </w:pPr>
            <w:r>
              <w:rPr>
                <w:rFonts w:hint="eastAsia" w:hAnsi="宋体" w:eastAsia="宋体" w:cs="宋体"/>
                <w:b/>
                <w:bCs/>
                <w:color w:val="auto"/>
                <w:sz w:val="21"/>
              </w:rPr>
              <w:t>评分标准</w:t>
            </w:r>
          </w:p>
        </w:tc>
        <w:tc>
          <w:tcPr>
            <w:tcW w:w="690" w:type="dxa"/>
            <w:tcBorders>
              <w:top w:val="single" w:color="auto" w:sz="4" w:space="0"/>
              <w:bottom w:val="single" w:color="auto" w:sz="4" w:space="0"/>
            </w:tcBorders>
            <w:noWrap/>
            <w:vAlign w:val="center"/>
          </w:tcPr>
          <w:p>
            <w:pPr>
              <w:snapToGrid w:val="0"/>
              <w:spacing w:line="360" w:lineRule="exact"/>
              <w:jc w:val="center"/>
              <w:rPr>
                <w:rFonts w:hAnsi="宋体" w:eastAsia="宋体" w:cs="宋体"/>
                <w:b/>
                <w:bCs/>
                <w:color w:val="auto"/>
                <w:sz w:val="21"/>
              </w:rPr>
            </w:pPr>
            <w:r>
              <w:rPr>
                <w:rFonts w:hint="eastAsia" w:hAnsi="宋体" w:eastAsia="宋体" w:cs="宋体"/>
                <w:b/>
                <w:bCs/>
                <w:color w:val="auto"/>
                <w:sz w:val="21"/>
              </w:rPr>
              <w:t>分值</w:t>
            </w:r>
          </w:p>
        </w:tc>
        <w:tc>
          <w:tcPr>
            <w:tcW w:w="861" w:type="dxa"/>
            <w:tcBorders>
              <w:top w:val="single" w:color="auto" w:sz="4" w:space="0"/>
              <w:bottom w:val="single" w:color="auto" w:sz="4" w:space="0"/>
            </w:tcBorders>
            <w:noWrap/>
            <w:vAlign w:val="center"/>
          </w:tcPr>
          <w:p>
            <w:pPr>
              <w:snapToGrid w:val="0"/>
              <w:spacing w:line="360" w:lineRule="exact"/>
              <w:jc w:val="center"/>
              <w:rPr>
                <w:rFonts w:hAnsi="宋体" w:eastAsia="宋体" w:cs="宋体"/>
                <w:b/>
                <w:bCs/>
                <w:color w:val="auto"/>
                <w:sz w:val="21"/>
              </w:rPr>
            </w:pPr>
            <w:r>
              <w:rPr>
                <w:rFonts w:hint="eastAsia" w:hAnsi="宋体" w:eastAsia="宋体" w:cs="宋体"/>
                <w:b/>
                <w:bCs/>
                <w:color w:val="auto"/>
                <w:sz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635" w:type="dxa"/>
            <w:vMerge w:val="restart"/>
            <w:tcBorders>
              <w:top w:val="single" w:color="auto" w:sz="4" w:space="0"/>
            </w:tcBorders>
            <w:noWrap/>
            <w:vAlign w:val="center"/>
          </w:tcPr>
          <w:p>
            <w:pPr>
              <w:spacing w:before="120" w:beforeLines="50" w:after="120" w:afterLines="50" w:line="360" w:lineRule="exact"/>
              <w:jc w:val="center"/>
              <w:rPr>
                <w:rFonts w:hAnsi="宋体" w:eastAsia="宋体" w:cs="宋体"/>
                <w:color w:val="auto"/>
                <w:sz w:val="21"/>
              </w:rPr>
            </w:pPr>
            <w:r>
              <w:rPr>
                <w:rFonts w:hint="eastAsia" w:hAnsi="宋体" w:eastAsia="宋体" w:cs="宋体"/>
                <w:color w:val="auto"/>
                <w:sz w:val="21"/>
              </w:rPr>
              <w:t>商务技术分90分</w:t>
            </w:r>
          </w:p>
        </w:tc>
        <w:tc>
          <w:tcPr>
            <w:tcW w:w="975" w:type="dxa"/>
            <w:tcBorders>
              <w:top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1、项目总体理解</w:t>
            </w:r>
          </w:p>
        </w:tc>
        <w:tc>
          <w:tcPr>
            <w:tcW w:w="6645" w:type="dxa"/>
            <w:tcBorders>
              <w:top w:val="single" w:color="auto" w:sz="4" w:space="0"/>
            </w:tcBorders>
            <w:noWrap/>
            <w:vAlign w:val="center"/>
          </w:tcPr>
          <w:p>
            <w:pPr>
              <w:spacing w:line="360" w:lineRule="exact"/>
              <w:rPr>
                <w:rFonts w:hAnsi="宋体" w:eastAsia="宋体" w:cs="宋体"/>
                <w:color w:val="auto"/>
                <w:sz w:val="21"/>
              </w:rPr>
            </w:pPr>
            <w:r>
              <w:rPr>
                <w:rFonts w:hint="eastAsia" w:hAnsi="宋体" w:eastAsia="宋体" w:cs="宋体"/>
                <w:color w:val="auto"/>
                <w:sz w:val="21"/>
              </w:rPr>
              <w:t>根据供应商对第四次全国文物普查工作的了解和熟悉程度，进行综合评议：</w:t>
            </w:r>
          </w:p>
          <w:p>
            <w:pPr>
              <w:spacing w:line="360" w:lineRule="exact"/>
              <w:rPr>
                <w:rFonts w:hAnsi="宋体" w:eastAsia="宋体" w:cs="宋体"/>
                <w:color w:val="auto"/>
                <w:sz w:val="21"/>
              </w:rPr>
            </w:pPr>
            <w:r>
              <w:rPr>
                <w:rFonts w:hint="eastAsia" w:hAnsi="宋体" w:eastAsia="宋体" w:cs="宋体"/>
                <w:color w:val="auto"/>
                <w:sz w:val="21"/>
              </w:rPr>
              <w:t>供应商对海曙区第四次全国文物普查工作了解全面，与项目实际相符；对采购需求分析到位，准确清晰的得4-6分；</w:t>
            </w:r>
          </w:p>
          <w:p>
            <w:pPr>
              <w:spacing w:line="360" w:lineRule="exact"/>
              <w:rPr>
                <w:rFonts w:hAnsi="宋体" w:eastAsia="宋体" w:cs="宋体"/>
                <w:color w:val="auto"/>
                <w:sz w:val="21"/>
              </w:rPr>
            </w:pPr>
            <w:r>
              <w:rPr>
                <w:rFonts w:hint="eastAsia" w:hAnsi="宋体" w:eastAsia="宋体" w:cs="宋体"/>
                <w:color w:val="auto"/>
                <w:sz w:val="21"/>
              </w:rPr>
              <w:t>供应商对海曙区第四次全国文物普查工作了解较为全面，基本符合项目实际；对采购需求分析较为到位，基本准确清晰的得2-3.9分；</w:t>
            </w:r>
          </w:p>
          <w:p>
            <w:pPr>
              <w:spacing w:line="360" w:lineRule="exact"/>
              <w:rPr>
                <w:rFonts w:hAnsi="宋体" w:eastAsia="宋体" w:cs="宋体"/>
                <w:color w:val="auto"/>
                <w:sz w:val="21"/>
              </w:rPr>
            </w:pPr>
            <w:r>
              <w:rPr>
                <w:rFonts w:hint="eastAsia" w:hAnsi="宋体" w:eastAsia="宋体" w:cs="宋体"/>
                <w:color w:val="auto"/>
                <w:sz w:val="21"/>
              </w:rPr>
              <w:t>供应商对海曙区第四次全国文物普查工作了解不够全面，不符合项目实际情况；对采购需求分析不够到位，内容笼统的得0-1.9分；</w:t>
            </w:r>
          </w:p>
          <w:p>
            <w:pPr>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635" w:type="dxa"/>
            <w:vMerge w:val="continue"/>
            <w:noWrap/>
            <w:vAlign w:val="center"/>
          </w:tcPr>
          <w:p>
            <w:pPr>
              <w:spacing w:before="120" w:beforeLines="50" w:after="120" w:afterLines="50" w:line="360" w:lineRule="exact"/>
              <w:rPr>
                <w:rFonts w:hAnsi="宋体" w:eastAsia="宋体" w:cs="宋体"/>
                <w:color w:val="auto"/>
                <w:sz w:val="21"/>
              </w:rPr>
            </w:pPr>
          </w:p>
        </w:tc>
        <w:tc>
          <w:tcPr>
            <w:tcW w:w="975" w:type="dxa"/>
            <w:vMerge w:val="restart"/>
            <w:tcBorders>
              <w:top w:val="single" w:color="auto" w:sz="4" w:space="0"/>
            </w:tcBorders>
            <w:noWrap/>
            <w:vAlign w:val="center"/>
          </w:tcPr>
          <w:p>
            <w:pPr>
              <w:spacing w:line="360" w:lineRule="exact"/>
              <w:rPr>
                <w:rFonts w:hAnsi="宋体" w:eastAsia="宋体" w:cs="宋体"/>
                <w:color w:val="auto"/>
                <w:sz w:val="21"/>
              </w:rPr>
            </w:pPr>
            <w:r>
              <w:rPr>
                <w:rFonts w:hint="eastAsia" w:hAnsi="宋体" w:eastAsia="宋体" w:cs="宋体"/>
                <w:color w:val="auto"/>
                <w:sz w:val="21"/>
              </w:rPr>
              <w:t>2、实施方案</w:t>
            </w:r>
          </w:p>
        </w:tc>
        <w:tc>
          <w:tcPr>
            <w:tcW w:w="6645" w:type="dxa"/>
            <w:tcBorders>
              <w:top w:val="single" w:color="auto" w:sz="4" w:space="0"/>
            </w:tcBorders>
            <w:noWrap/>
            <w:vAlign w:val="center"/>
          </w:tcPr>
          <w:p>
            <w:pPr>
              <w:spacing w:line="360" w:lineRule="exact"/>
              <w:rPr>
                <w:rFonts w:hAnsi="宋体" w:eastAsia="宋体" w:cs="宋体"/>
                <w:color w:val="auto"/>
                <w:sz w:val="21"/>
              </w:rPr>
            </w:pPr>
            <w:r>
              <w:rPr>
                <w:rFonts w:hint="eastAsia" w:hAnsi="宋体" w:eastAsia="宋体" w:cs="宋体"/>
                <w:color w:val="auto"/>
                <w:sz w:val="21"/>
              </w:rPr>
              <w:t>2.1根据供应商对海曙区各级不可移动文物基本情况、“四普”工作安排及实施方案等进行综合评议：</w:t>
            </w:r>
          </w:p>
          <w:p>
            <w:pPr>
              <w:spacing w:line="360" w:lineRule="exact"/>
              <w:rPr>
                <w:rFonts w:hAnsi="宋体" w:eastAsia="宋体" w:cs="宋体"/>
                <w:color w:val="auto"/>
                <w:sz w:val="21"/>
              </w:rPr>
            </w:pPr>
            <w:r>
              <w:rPr>
                <w:rFonts w:hint="eastAsia" w:hAnsi="宋体" w:eastAsia="宋体" w:cs="宋体"/>
                <w:color w:val="auto"/>
                <w:sz w:val="21"/>
              </w:rPr>
              <w:t>供应商对海曙区各级不可移动文物基本情况了解透彻，“四普”工作安排进度合理，思路清晰，提供的实施方案内容完整，符合项目实际需求的得4-6分；</w:t>
            </w:r>
          </w:p>
          <w:p>
            <w:pPr>
              <w:spacing w:line="360" w:lineRule="exact"/>
              <w:rPr>
                <w:rFonts w:hAnsi="宋体" w:eastAsia="宋体" w:cs="宋体"/>
                <w:color w:val="auto"/>
                <w:sz w:val="21"/>
              </w:rPr>
            </w:pPr>
            <w:r>
              <w:rPr>
                <w:rFonts w:hint="eastAsia" w:hAnsi="宋体" w:eastAsia="宋体" w:cs="宋体"/>
                <w:color w:val="auto"/>
                <w:sz w:val="21"/>
              </w:rPr>
              <w:t>供应商对海曙区各级不可移动文物基本情况较为熟悉，“四普”工作安排进度较为合理，思路较为清晰，提供的实施方案内容基本符合项目实际需求的得2-3.9分；</w:t>
            </w:r>
          </w:p>
          <w:p>
            <w:pPr>
              <w:spacing w:line="360" w:lineRule="exact"/>
              <w:rPr>
                <w:rFonts w:hAnsi="宋体" w:eastAsia="宋体" w:cs="宋体"/>
                <w:color w:val="auto"/>
                <w:sz w:val="21"/>
              </w:rPr>
            </w:pPr>
            <w:r>
              <w:rPr>
                <w:rFonts w:hint="eastAsia" w:hAnsi="宋体" w:eastAsia="宋体" w:cs="宋体"/>
                <w:color w:val="auto"/>
                <w:sz w:val="21"/>
              </w:rPr>
              <w:t>供应商对海曙区各级不可移动文物基本情况不够了解，“四普”工作安排思路模糊不清，提供的实施方案内容笼统的得0-1.9分；</w:t>
            </w:r>
          </w:p>
          <w:p>
            <w:pPr>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635" w:type="dxa"/>
            <w:vMerge w:val="continue"/>
            <w:noWrap/>
            <w:vAlign w:val="center"/>
          </w:tcPr>
          <w:p>
            <w:pPr>
              <w:spacing w:before="120" w:beforeLines="50" w:after="120" w:afterLines="50" w:line="360" w:lineRule="exact"/>
              <w:rPr>
                <w:rFonts w:hAnsi="宋体" w:eastAsia="宋体" w:cs="宋体"/>
                <w:color w:val="auto"/>
                <w:sz w:val="21"/>
              </w:rPr>
            </w:pPr>
          </w:p>
        </w:tc>
        <w:tc>
          <w:tcPr>
            <w:tcW w:w="975" w:type="dxa"/>
            <w:vMerge w:val="continue"/>
            <w:noWrap/>
            <w:vAlign w:val="center"/>
          </w:tcPr>
          <w:p>
            <w:pPr>
              <w:spacing w:line="360" w:lineRule="exact"/>
              <w:jc w:val="center"/>
              <w:rPr>
                <w:rFonts w:hAnsi="宋体" w:eastAsia="宋体" w:cs="宋体"/>
                <w:color w:val="auto"/>
                <w:sz w:val="21"/>
              </w:rPr>
            </w:pPr>
          </w:p>
        </w:tc>
        <w:tc>
          <w:tcPr>
            <w:tcW w:w="6645" w:type="dxa"/>
            <w:tcBorders>
              <w:top w:val="single" w:color="auto" w:sz="4" w:space="0"/>
            </w:tcBorders>
            <w:noWrap/>
            <w:vAlign w:val="center"/>
          </w:tcPr>
          <w:p>
            <w:pPr>
              <w:spacing w:line="360" w:lineRule="exact"/>
              <w:rPr>
                <w:rFonts w:hAnsi="宋体" w:eastAsia="宋体" w:cs="宋体"/>
                <w:color w:val="auto"/>
                <w:sz w:val="21"/>
              </w:rPr>
            </w:pPr>
            <w:r>
              <w:rPr>
                <w:rFonts w:hint="eastAsia" w:hAnsi="宋体" w:eastAsia="宋体" w:cs="宋体"/>
                <w:color w:val="auto"/>
                <w:sz w:val="21"/>
              </w:rPr>
              <w:t>2.2根据供应商对本项目的现场照片拍摄、建筑测绘、残损情况调查、图纸制作的流程方案等进行综合评议：</w:t>
            </w:r>
          </w:p>
          <w:p>
            <w:pPr>
              <w:spacing w:line="360" w:lineRule="exact"/>
              <w:rPr>
                <w:rFonts w:hAnsi="宋体" w:eastAsia="宋体" w:cs="宋体"/>
                <w:color w:val="auto"/>
                <w:sz w:val="21"/>
              </w:rPr>
            </w:pPr>
            <w:r>
              <w:rPr>
                <w:rFonts w:hint="eastAsia" w:hAnsi="宋体" w:eastAsia="宋体" w:cs="宋体"/>
                <w:color w:val="auto"/>
                <w:sz w:val="21"/>
              </w:rPr>
              <w:t>对文物普查中涉及到的测绘工作内容熟悉、提供的操作方案切实可行，流程规范，采用的技术符合要求，完全满足采购需求的得4-6分；</w:t>
            </w:r>
          </w:p>
          <w:p>
            <w:pPr>
              <w:spacing w:line="360" w:lineRule="exact"/>
              <w:rPr>
                <w:rFonts w:hAnsi="宋体" w:eastAsia="宋体" w:cs="宋体"/>
                <w:color w:val="auto"/>
                <w:sz w:val="21"/>
              </w:rPr>
            </w:pPr>
            <w:r>
              <w:rPr>
                <w:rFonts w:hint="eastAsia" w:hAnsi="宋体" w:eastAsia="宋体" w:cs="宋体"/>
                <w:color w:val="auto"/>
                <w:sz w:val="21"/>
              </w:rPr>
              <w:t>对文物普查中涉及到的测绘工作内容基本完整、方案的操作性较强，流程较为规范，基本符合采购需求的得2-3.9分；</w:t>
            </w:r>
          </w:p>
          <w:p>
            <w:pPr>
              <w:spacing w:line="360" w:lineRule="exact"/>
              <w:rPr>
                <w:rFonts w:hAnsi="宋体" w:eastAsia="宋体" w:cs="宋体"/>
                <w:color w:val="auto"/>
                <w:sz w:val="21"/>
              </w:rPr>
            </w:pPr>
            <w:r>
              <w:rPr>
                <w:rFonts w:hint="eastAsia" w:hAnsi="宋体" w:eastAsia="宋体" w:cs="宋体"/>
                <w:color w:val="auto"/>
                <w:sz w:val="21"/>
              </w:rPr>
              <w:t>对文物普查中涉及到的测绘工作不够熟悉，提供的方案内容不够完善，一定程度上偏离了采购需求的得0-1.9分。</w:t>
            </w:r>
          </w:p>
          <w:p>
            <w:pPr>
              <w:spacing w:line="360" w:lineRule="exact"/>
              <w:rPr>
                <w:rFonts w:hAnsi="宋体" w:eastAsia="宋体" w:cs="宋体"/>
                <w:b/>
                <w:bCs/>
                <w:color w:val="auto"/>
                <w:sz w:val="21"/>
              </w:rPr>
            </w:pPr>
            <w:r>
              <w:rPr>
                <w:rFonts w:hint="eastAsia" w:hAnsi="宋体" w:eastAsia="宋体" w:cs="宋体"/>
                <w:color w:val="auto"/>
                <w:sz w:val="21"/>
              </w:rPr>
              <w:t>未提供不得分。</w:t>
            </w:r>
          </w:p>
        </w:tc>
        <w:tc>
          <w:tcPr>
            <w:tcW w:w="690"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635" w:type="dxa"/>
            <w:vMerge w:val="continue"/>
            <w:noWrap/>
            <w:vAlign w:val="center"/>
          </w:tcPr>
          <w:p>
            <w:pPr>
              <w:spacing w:before="120" w:beforeLines="50" w:after="120" w:afterLines="50" w:line="360" w:lineRule="exact"/>
              <w:rPr>
                <w:rFonts w:hAnsi="宋体" w:eastAsia="宋体" w:cs="宋体"/>
                <w:color w:val="auto"/>
                <w:sz w:val="21"/>
              </w:rPr>
            </w:pPr>
          </w:p>
        </w:tc>
        <w:tc>
          <w:tcPr>
            <w:tcW w:w="975" w:type="dxa"/>
            <w:vMerge w:val="continue"/>
            <w:noWrap/>
            <w:vAlign w:val="center"/>
          </w:tcPr>
          <w:p>
            <w:pPr>
              <w:spacing w:line="360" w:lineRule="exact"/>
              <w:jc w:val="center"/>
              <w:rPr>
                <w:rFonts w:hAnsi="宋体" w:eastAsia="宋体" w:cs="宋体"/>
                <w:color w:val="auto"/>
                <w:sz w:val="21"/>
              </w:rPr>
            </w:pPr>
          </w:p>
        </w:tc>
        <w:tc>
          <w:tcPr>
            <w:tcW w:w="6645" w:type="dxa"/>
            <w:tcBorders>
              <w:top w:val="single" w:color="auto" w:sz="4" w:space="0"/>
            </w:tcBorders>
            <w:noWrap/>
            <w:vAlign w:val="center"/>
          </w:tcPr>
          <w:p>
            <w:pPr>
              <w:spacing w:line="360" w:lineRule="exact"/>
              <w:rPr>
                <w:rFonts w:hAnsi="宋体" w:eastAsia="宋体" w:cs="宋体"/>
                <w:color w:val="auto"/>
                <w:sz w:val="21"/>
                <w:lang w:val="zh-CN"/>
              </w:rPr>
            </w:pPr>
            <w:r>
              <w:rPr>
                <w:rFonts w:hint="eastAsia" w:hAnsi="宋体" w:eastAsia="宋体" w:cs="宋体"/>
                <w:color w:val="auto"/>
                <w:sz w:val="21"/>
              </w:rPr>
              <w:t>2.3根据</w:t>
            </w:r>
            <w:r>
              <w:rPr>
                <w:rFonts w:hint="eastAsia" w:hAnsi="宋体" w:eastAsia="宋体" w:cs="宋体"/>
                <w:color w:val="auto"/>
                <w:sz w:val="21"/>
                <w:lang w:val="zh-CN"/>
              </w:rPr>
              <w:t>供应商提供</w:t>
            </w:r>
            <w:r>
              <w:rPr>
                <w:rFonts w:hint="eastAsia" w:hAnsi="宋体" w:eastAsia="宋体" w:cs="宋体"/>
                <w:color w:val="auto"/>
                <w:sz w:val="21"/>
              </w:rPr>
              <w:t>“四普”实地调查具体工作方案（根据普查对象总量及分布情况，进行内业、外业工作安排）</w:t>
            </w:r>
            <w:r>
              <w:rPr>
                <w:rFonts w:hint="eastAsia" w:hAnsi="宋体" w:eastAsia="宋体" w:cs="宋体"/>
                <w:color w:val="auto"/>
                <w:sz w:val="21"/>
                <w:lang w:val="zh-CN"/>
              </w:rPr>
              <w:t>评委根据</w:t>
            </w:r>
            <w:r>
              <w:rPr>
                <w:rFonts w:hint="eastAsia" w:hAnsi="宋体" w:eastAsia="宋体" w:cs="宋体"/>
                <w:color w:val="auto"/>
                <w:sz w:val="21"/>
              </w:rPr>
              <w:t>方案</w:t>
            </w:r>
            <w:r>
              <w:rPr>
                <w:rFonts w:hint="eastAsia" w:hAnsi="宋体" w:eastAsia="宋体" w:cs="宋体"/>
                <w:color w:val="auto"/>
                <w:sz w:val="21"/>
                <w:lang w:val="zh-CN"/>
              </w:rPr>
              <w:t>完整性进行</w:t>
            </w:r>
            <w:r>
              <w:rPr>
                <w:rFonts w:hint="eastAsia" w:hAnsi="宋体" w:eastAsia="宋体" w:cs="宋体"/>
                <w:color w:val="auto"/>
                <w:sz w:val="21"/>
              </w:rPr>
              <w:t>综合评议</w:t>
            </w:r>
            <w:r>
              <w:rPr>
                <w:rFonts w:hint="eastAsia" w:hAnsi="宋体" w:eastAsia="宋体" w:cs="宋体"/>
                <w:color w:val="auto"/>
                <w:sz w:val="21"/>
                <w:lang w:val="zh-CN"/>
              </w:rPr>
              <w:t>：</w:t>
            </w:r>
          </w:p>
          <w:p>
            <w:pPr>
              <w:spacing w:line="360" w:lineRule="exact"/>
              <w:rPr>
                <w:rFonts w:hAnsi="宋体" w:eastAsia="宋体" w:cs="宋体"/>
                <w:color w:val="auto"/>
                <w:sz w:val="21"/>
              </w:rPr>
            </w:pPr>
            <w:r>
              <w:rPr>
                <w:rFonts w:hint="eastAsia" w:hAnsi="宋体" w:eastAsia="宋体" w:cs="宋体"/>
                <w:color w:val="auto"/>
                <w:sz w:val="21"/>
              </w:rPr>
              <w:t>方案内容详细完整，对普查对象总量及分布情况熟悉，内业、外业工作安排合理清晰的</w:t>
            </w:r>
            <w:r>
              <w:rPr>
                <w:rFonts w:hint="eastAsia" w:hAnsi="宋体" w:eastAsia="宋体" w:cs="宋体"/>
                <w:color w:val="auto"/>
                <w:sz w:val="21"/>
                <w:lang w:val="zh-CN"/>
              </w:rPr>
              <w:t>得</w:t>
            </w:r>
            <w:r>
              <w:rPr>
                <w:rFonts w:hint="eastAsia" w:hAnsi="宋体" w:eastAsia="宋体" w:cs="宋体"/>
                <w:color w:val="auto"/>
                <w:sz w:val="21"/>
              </w:rPr>
              <w:t>4-6</w:t>
            </w:r>
            <w:r>
              <w:rPr>
                <w:rFonts w:hint="eastAsia" w:hAnsi="宋体" w:eastAsia="宋体" w:cs="宋体"/>
                <w:color w:val="auto"/>
                <w:sz w:val="21"/>
                <w:lang w:val="zh-CN"/>
              </w:rPr>
              <w:t>分；</w:t>
            </w:r>
          </w:p>
          <w:p>
            <w:pPr>
              <w:spacing w:line="360" w:lineRule="exact"/>
              <w:rPr>
                <w:rFonts w:hAnsi="宋体" w:eastAsia="宋体" w:cs="宋体"/>
                <w:color w:val="auto"/>
                <w:sz w:val="21"/>
                <w:lang w:val="zh-CN"/>
              </w:rPr>
            </w:pPr>
            <w:r>
              <w:rPr>
                <w:rFonts w:hint="eastAsia" w:hAnsi="宋体" w:eastAsia="宋体" w:cs="宋体"/>
                <w:color w:val="auto"/>
                <w:sz w:val="21"/>
              </w:rPr>
              <w:t>方案内容较为完整，对普查对象总量及分布情况较为熟悉，内业、外业工作安排较为合理的</w:t>
            </w:r>
            <w:r>
              <w:rPr>
                <w:rFonts w:hint="eastAsia" w:hAnsi="宋体" w:eastAsia="宋体" w:cs="宋体"/>
                <w:color w:val="auto"/>
                <w:sz w:val="21"/>
                <w:lang w:val="zh-CN"/>
              </w:rPr>
              <w:t>得</w:t>
            </w:r>
            <w:r>
              <w:rPr>
                <w:rFonts w:hint="eastAsia" w:hAnsi="宋体" w:eastAsia="宋体" w:cs="宋体"/>
                <w:color w:val="auto"/>
                <w:sz w:val="21"/>
              </w:rPr>
              <w:t>2-3.9</w:t>
            </w:r>
            <w:r>
              <w:rPr>
                <w:rFonts w:hint="eastAsia" w:hAnsi="宋体" w:eastAsia="宋体" w:cs="宋体"/>
                <w:color w:val="auto"/>
                <w:sz w:val="21"/>
                <w:lang w:val="zh-CN"/>
              </w:rPr>
              <w:t>分；</w:t>
            </w:r>
          </w:p>
          <w:p>
            <w:pPr>
              <w:spacing w:line="360" w:lineRule="exact"/>
              <w:rPr>
                <w:rFonts w:hAnsi="宋体" w:eastAsia="宋体" w:cs="宋体"/>
                <w:color w:val="auto"/>
                <w:sz w:val="21"/>
                <w:lang w:val="zh-CN"/>
              </w:rPr>
            </w:pPr>
            <w:r>
              <w:rPr>
                <w:rFonts w:hint="eastAsia" w:hAnsi="宋体" w:eastAsia="宋体" w:cs="宋体"/>
                <w:color w:val="auto"/>
                <w:sz w:val="21"/>
              </w:rPr>
              <w:t>方案内容不够完整，对普查对象总量及分布情况不够熟悉，方法不够专业，内业、外业工作安排不够合理清晰的</w:t>
            </w:r>
            <w:r>
              <w:rPr>
                <w:rFonts w:hint="eastAsia" w:hAnsi="宋体" w:eastAsia="宋体" w:cs="宋体"/>
                <w:color w:val="auto"/>
                <w:sz w:val="21"/>
                <w:lang w:val="zh-CN"/>
              </w:rPr>
              <w:t>得</w:t>
            </w:r>
            <w:r>
              <w:rPr>
                <w:rFonts w:hint="eastAsia" w:hAnsi="宋体" w:eastAsia="宋体" w:cs="宋体"/>
                <w:color w:val="auto"/>
                <w:sz w:val="21"/>
              </w:rPr>
              <w:t>0-1.9</w:t>
            </w:r>
            <w:r>
              <w:rPr>
                <w:rFonts w:hint="eastAsia" w:hAnsi="宋体" w:eastAsia="宋体" w:cs="宋体"/>
                <w:color w:val="auto"/>
                <w:sz w:val="21"/>
                <w:lang w:val="zh-CN"/>
              </w:rPr>
              <w:t>分。</w:t>
            </w:r>
          </w:p>
          <w:p>
            <w:pPr>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054" w:hRule="atLeast"/>
          <w:jc w:val="center"/>
        </w:trPr>
        <w:tc>
          <w:tcPr>
            <w:tcW w:w="635" w:type="dxa"/>
            <w:vMerge w:val="continue"/>
            <w:noWrap/>
            <w:vAlign w:val="center"/>
          </w:tcPr>
          <w:p>
            <w:pPr>
              <w:spacing w:before="120" w:beforeLines="50" w:after="120" w:afterLines="50" w:line="360" w:lineRule="exact"/>
              <w:rPr>
                <w:rFonts w:hAnsi="宋体" w:eastAsia="宋体" w:cs="宋体"/>
                <w:color w:val="auto"/>
                <w:sz w:val="21"/>
              </w:rPr>
            </w:pPr>
          </w:p>
        </w:tc>
        <w:tc>
          <w:tcPr>
            <w:tcW w:w="975" w:type="dxa"/>
            <w:vMerge w:val="continue"/>
            <w:noWrap/>
            <w:vAlign w:val="center"/>
          </w:tcPr>
          <w:p>
            <w:pPr>
              <w:spacing w:line="360" w:lineRule="exact"/>
              <w:jc w:val="center"/>
              <w:rPr>
                <w:rFonts w:hAnsi="宋体" w:eastAsia="宋体" w:cs="宋体"/>
                <w:color w:val="auto"/>
                <w:sz w:val="21"/>
              </w:rPr>
            </w:pPr>
          </w:p>
        </w:tc>
        <w:tc>
          <w:tcPr>
            <w:tcW w:w="6645" w:type="dxa"/>
            <w:tcBorders>
              <w:top w:val="single" w:color="auto" w:sz="4" w:space="0"/>
            </w:tcBorders>
            <w:noWrap/>
            <w:vAlign w:val="center"/>
          </w:tcPr>
          <w:p>
            <w:pPr>
              <w:spacing w:line="360" w:lineRule="exact"/>
              <w:rPr>
                <w:rFonts w:hAnsi="宋体" w:eastAsia="宋体" w:cs="宋体"/>
                <w:color w:val="auto"/>
                <w:sz w:val="21"/>
              </w:rPr>
            </w:pPr>
            <w:r>
              <w:rPr>
                <w:rFonts w:hint="eastAsia" w:hAnsi="宋体" w:eastAsia="宋体" w:cs="宋体"/>
                <w:color w:val="auto"/>
                <w:sz w:val="21"/>
              </w:rPr>
              <w:t>2.4根据供应商提供针对本</w:t>
            </w:r>
            <w:r>
              <w:rPr>
                <w:rFonts w:hint="eastAsia" w:hAnsi="宋体" w:eastAsia="宋体" w:cs="宋体"/>
                <w:color w:val="auto"/>
                <w:sz w:val="21"/>
                <w:lang w:val="zh-CN"/>
              </w:rPr>
              <w:t>项目</w:t>
            </w:r>
            <w:r>
              <w:rPr>
                <w:rFonts w:hint="eastAsia" w:hAnsi="宋体" w:eastAsia="宋体" w:cs="宋体"/>
                <w:color w:val="auto"/>
                <w:sz w:val="21"/>
              </w:rPr>
              <w:t>的重点、难点分析情况及难点解决措施进行综合评议：</w:t>
            </w:r>
          </w:p>
          <w:p>
            <w:pPr>
              <w:widowControl/>
              <w:spacing w:line="400" w:lineRule="exact"/>
              <w:rPr>
                <w:rFonts w:hAnsi="宋体" w:eastAsia="宋体" w:cs="宋体"/>
                <w:color w:val="auto"/>
                <w:sz w:val="21"/>
              </w:rPr>
            </w:pPr>
            <w:r>
              <w:rPr>
                <w:rFonts w:hint="eastAsia" w:hAnsi="宋体" w:eastAsia="宋体" w:cs="宋体"/>
                <w:color w:val="auto"/>
                <w:sz w:val="21"/>
              </w:rPr>
              <w:t>重点、难点分析到位且具有针对性，对项目的关键节点有深刻理解；难点解决措施契合项目实际情况，能够有效减少文物普查工作出现的问题，提升工作效率的得4-6分；</w:t>
            </w:r>
          </w:p>
          <w:p>
            <w:pPr>
              <w:widowControl/>
              <w:spacing w:line="400" w:lineRule="exact"/>
              <w:rPr>
                <w:rFonts w:hAnsi="宋体" w:eastAsia="宋体" w:cs="宋体"/>
                <w:color w:val="auto"/>
                <w:sz w:val="21"/>
              </w:rPr>
            </w:pPr>
            <w:r>
              <w:rPr>
                <w:rFonts w:hint="eastAsia" w:hAnsi="宋体" w:eastAsia="宋体" w:cs="宋体"/>
                <w:color w:val="auto"/>
                <w:sz w:val="21"/>
              </w:rPr>
              <w:t>重点、难点分析较为清晰全面、具有一定的针对性；难点解决措施较详细、与实际情况较为契合的得2-3.9分；</w:t>
            </w:r>
          </w:p>
          <w:p>
            <w:pPr>
              <w:widowControl/>
              <w:spacing w:line="400" w:lineRule="exact"/>
              <w:rPr>
                <w:rFonts w:hAnsi="宋体" w:eastAsia="宋体" w:cs="宋体"/>
                <w:color w:val="auto"/>
                <w:sz w:val="21"/>
              </w:rPr>
            </w:pPr>
            <w:r>
              <w:rPr>
                <w:rFonts w:hint="eastAsia" w:hAnsi="宋体" w:eastAsia="宋体" w:cs="宋体"/>
                <w:color w:val="auto"/>
                <w:sz w:val="21"/>
              </w:rPr>
              <w:t>重点、难点分析内容简单粗略、片面、内容较少，解决方案与项目实际情况无关联的得0-1.9分；</w:t>
            </w:r>
          </w:p>
          <w:p>
            <w:pPr>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331" w:hRule="atLeast"/>
          <w:jc w:val="center"/>
        </w:trPr>
        <w:tc>
          <w:tcPr>
            <w:tcW w:w="635" w:type="dxa"/>
            <w:vMerge w:val="continue"/>
            <w:noWrap/>
            <w:textDirection w:val="tbRlV"/>
            <w:vAlign w:val="center"/>
          </w:tcPr>
          <w:p>
            <w:pPr>
              <w:spacing w:before="120" w:beforeLines="50" w:after="120" w:afterLines="50" w:line="360" w:lineRule="exact"/>
              <w:ind w:firstLine="560"/>
              <w:jc w:val="center"/>
              <w:rPr>
                <w:rFonts w:hAnsi="宋体" w:eastAsia="宋体" w:cs="宋体"/>
                <w:color w:val="auto"/>
                <w:sz w:val="21"/>
              </w:rPr>
            </w:pPr>
          </w:p>
        </w:tc>
        <w:tc>
          <w:tcPr>
            <w:tcW w:w="975" w:type="dxa"/>
            <w:tcBorders>
              <w:top w:val="single" w:color="auto" w:sz="4" w:space="0"/>
            </w:tcBorders>
            <w:noWrap/>
            <w:vAlign w:val="center"/>
          </w:tcPr>
          <w:p>
            <w:pPr>
              <w:spacing w:before="120" w:beforeLines="50" w:after="120" w:afterLines="50" w:line="360" w:lineRule="exact"/>
              <w:jc w:val="center"/>
              <w:rPr>
                <w:rFonts w:hAnsi="宋体" w:eastAsia="宋体" w:cs="宋体"/>
                <w:color w:val="auto"/>
                <w:sz w:val="21"/>
              </w:rPr>
            </w:pPr>
            <w:r>
              <w:rPr>
                <w:rFonts w:hint="eastAsia" w:hAnsi="宋体" w:eastAsia="宋体" w:cs="宋体"/>
                <w:color w:val="auto"/>
                <w:sz w:val="21"/>
              </w:rPr>
              <w:t>3、进度及质量控制方案</w:t>
            </w:r>
          </w:p>
        </w:tc>
        <w:tc>
          <w:tcPr>
            <w:tcW w:w="6645" w:type="dxa"/>
            <w:tcBorders>
              <w:top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根据供应商对本项目的作业过程质量控制方案的描述（包含时间进度安排、作业人员控制、调查质量控制等）进行综合评议：</w:t>
            </w:r>
          </w:p>
          <w:p>
            <w:pPr>
              <w:spacing w:line="360" w:lineRule="exact"/>
              <w:rPr>
                <w:rFonts w:hAnsi="宋体" w:eastAsia="宋体" w:cs="宋体"/>
                <w:color w:val="auto"/>
                <w:sz w:val="21"/>
              </w:rPr>
            </w:pPr>
            <w:r>
              <w:rPr>
                <w:rFonts w:hint="eastAsia" w:hAnsi="宋体" w:eastAsia="宋体" w:cs="宋体"/>
                <w:color w:val="auto"/>
                <w:sz w:val="21"/>
              </w:rPr>
              <w:t>时间进度安排符合采购人要求，技术力量精良；调查过程中设有先进的质量控制方法，能够全面保证作业过程质量的得4-6分；</w:t>
            </w:r>
          </w:p>
          <w:p>
            <w:pPr>
              <w:spacing w:line="360" w:lineRule="exact"/>
              <w:rPr>
                <w:rFonts w:hAnsi="宋体" w:eastAsia="宋体" w:cs="宋体"/>
                <w:color w:val="auto"/>
                <w:sz w:val="21"/>
              </w:rPr>
            </w:pPr>
            <w:r>
              <w:rPr>
                <w:rFonts w:hint="eastAsia" w:hAnsi="宋体" w:eastAsia="宋体" w:cs="宋体"/>
                <w:color w:val="auto"/>
                <w:sz w:val="21"/>
              </w:rPr>
              <w:t>时间进度安排基本符合采购人要求，技术力量较为精良；调查过程中设有质量控制方法，基本上能保证作业过程质量的得2-3.9分；</w:t>
            </w:r>
          </w:p>
          <w:p>
            <w:pPr>
              <w:spacing w:line="360" w:lineRule="exact"/>
              <w:rPr>
                <w:color w:val="auto"/>
              </w:rPr>
            </w:pPr>
            <w:r>
              <w:rPr>
                <w:rFonts w:hint="eastAsia" w:hAnsi="宋体" w:eastAsia="宋体" w:cs="宋体"/>
                <w:color w:val="auto"/>
                <w:sz w:val="21"/>
              </w:rPr>
              <w:t>时间进度安排偏离了采购人要求，技术力量一般；调查过程中的质量控制方法缺乏针对性，无法保证作业过程质量的得0-1.9分；</w:t>
            </w:r>
          </w:p>
          <w:p>
            <w:pPr>
              <w:spacing w:line="360" w:lineRule="exact"/>
              <w:rPr>
                <w:rFonts w:hAnsi="宋体" w:eastAsia="宋体" w:cs="宋体"/>
                <w:color w:val="auto"/>
                <w:sz w:val="21"/>
              </w:rPr>
            </w:pPr>
            <w:r>
              <w:rPr>
                <w:rFonts w:hint="eastAsia" w:hAnsi="宋体" w:eastAsia="宋体" w:cs="宋体"/>
                <w:color w:val="auto"/>
                <w:sz w:val="21"/>
              </w:rPr>
              <w:t>未提供的不得分。</w:t>
            </w:r>
          </w:p>
        </w:tc>
        <w:tc>
          <w:tcPr>
            <w:tcW w:w="690"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tcBorders>
              <w:top w:val="single" w:color="auto" w:sz="4" w:space="0"/>
              <w:bottom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749" w:hRule="atLeast"/>
          <w:jc w:val="center"/>
        </w:trPr>
        <w:tc>
          <w:tcPr>
            <w:tcW w:w="635" w:type="dxa"/>
            <w:vMerge w:val="continue"/>
            <w:noWrap/>
            <w:vAlign w:val="center"/>
          </w:tcPr>
          <w:p>
            <w:pPr>
              <w:spacing w:before="120" w:beforeLines="50" w:after="120" w:afterLines="50" w:line="360" w:lineRule="exact"/>
              <w:ind w:firstLine="560"/>
              <w:jc w:val="center"/>
              <w:rPr>
                <w:rFonts w:hAnsi="宋体" w:eastAsia="宋体" w:cs="宋体"/>
                <w:color w:val="auto"/>
                <w:sz w:val="21"/>
              </w:rPr>
            </w:pPr>
          </w:p>
        </w:tc>
        <w:tc>
          <w:tcPr>
            <w:tcW w:w="975" w:type="dxa"/>
            <w:tcBorders>
              <w:right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4、项目实施过程的安全与保密</w:t>
            </w:r>
          </w:p>
        </w:tc>
        <w:tc>
          <w:tcPr>
            <w:tcW w:w="6645" w:type="dxa"/>
            <w:tcBorders>
              <w:left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根据供应商提供的项目实施过程中的安全与保密进行综合评议：</w:t>
            </w:r>
          </w:p>
          <w:p>
            <w:pPr>
              <w:wordWrap w:val="0"/>
              <w:spacing w:line="360" w:lineRule="exact"/>
              <w:rPr>
                <w:rFonts w:hAnsi="宋体" w:eastAsia="宋体" w:cs="宋体"/>
                <w:color w:val="auto"/>
                <w:sz w:val="21"/>
              </w:rPr>
            </w:pPr>
            <w:r>
              <w:rPr>
                <w:rFonts w:hint="eastAsia" w:hAnsi="宋体" w:eastAsia="宋体" w:cs="宋体"/>
                <w:color w:val="auto"/>
                <w:sz w:val="21"/>
              </w:rPr>
              <w:t>安全与保密制度周密详实，目标导向明确，对涉敏和涉密数据、资料的保障措施详细具体，措施有力得当的得4-6分；</w:t>
            </w:r>
          </w:p>
          <w:p>
            <w:pPr>
              <w:wordWrap w:val="0"/>
              <w:spacing w:line="360" w:lineRule="exact"/>
              <w:rPr>
                <w:rFonts w:hAnsi="宋体" w:eastAsia="宋体" w:cs="宋体"/>
                <w:color w:val="auto"/>
                <w:sz w:val="21"/>
              </w:rPr>
            </w:pPr>
            <w:r>
              <w:rPr>
                <w:rFonts w:hint="eastAsia" w:hAnsi="宋体" w:eastAsia="宋体" w:cs="宋体"/>
                <w:color w:val="auto"/>
                <w:sz w:val="21"/>
              </w:rPr>
              <w:t>安全与保密制度较周密详实，对涉敏和涉密数据、资料的保障措施可执行力度较强的得2-3.9分；</w:t>
            </w:r>
          </w:p>
          <w:p>
            <w:pPr>
              <w:wordWrap w:val="0"/>
              <w:spacing w:line="360" w:lineRule="exact"/>
              <w:rPr>
                <w:rFonts w:hAnsi="宋体" w:eastAsia="宋体" w:cs="宋体"/>
                <w:color w:val="auto"/>
                <w:sz w:val="21"/>
              </w:rPr>
            </w:pPr>
            <w:r>
              <w:rPr>
                <w:rFonts w:hint="eastAsia" w:hAnsi="宋体" w:eastAsia="宋体" w:cs="宋体"/>
                <w:color w:val="auto"/>
                <w:sz w:val="21"/>
              </w:rPr>
              <w:t>安全与保密制度内容片面、有泄密风险，可能会影响项目履约的得0-1.9分；</w:t>
            </w:r>
          </w:p>
          <w:p>
            <w:pPr>
              <w:wordWrap w:val="0"/>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681" w:hRule="atLeast"/>
          <w:jc w:val="center"/>
        </w:trPr>
        <w:tc>
          <w:tcPr>
            <w:tcW w:w="635" w:type="dxa"/>
            <w:vMerge w:val="continue"/>
            <w:noWrap/>
            <w:vAlign w:val="center"/>
          </w:tcPr>
          <w:p>
            <w:pPr>
              <w:spacing w:before="120" w:beforeLines="50" w:after="120" w:afterLines="50" w:line="360" w:lineRule="exact"/>
              <w:ind w:firstLine="560"/>
              <w:jc w:val="center"/>
              <w:rPr>
                <w:rFonts w:hAnsi="宋体" w:eastAsia="宋体" w:cs="宋体"/>
                <w:color w:val="auto"/>
                <w:sz w:val="21"/>
              </w:rPr>
            </w:pPr>
          </w:p>
        </w:tc>
        <w:tc>
          <w:tcPr>
            <w:tcW w:w="975" w:type="dxa"/>
            <w:tcBorders>
              <w:right w:val="single" w:color="auto" w:sz="4" w:space="0"/>
            </w:tcBorders>
            <w:noWrap/>
            <w:vAlign w:val="center"/>
          </w:tcPr>
          <w:p>
            <w:pPr>
              <w:spacing w:before="120" w:beforeLines="50" w:after="120" w:afterLines="50" w:line="360" w:lineRule="exact"/>
              <w:jc w:val="center"/>
              <w:rPr>
                <w:rFonts w:hAnsi="宋体" w:eastAsia="宋体" w:cs="宋体"/>
                <w:color w:val="auto"/>
                <w:sz w:val="21"/>
              </w:rPr>
            </w:pPr>
            <w:r>
              <w:rPr>
                <w:rFonts w:hint="eastAsia" w:hAnsi="宋体" w:eastAsia="宋体" w:cs="宋体"/>
                <w:color w:val="auto"/>
                <w:sz w:val="21"/>
              </w:rPr>
              <w:t>5、安全保障方案</w:t>
            </w:r>
          </w:p>
        </w:tc>
        <w:tc>
          <w:tcPr>
            <w:tcW w:w="6645" w:type="dxa"/>
            <w:tcBorders>
              <w:left w:val="single" w:color="auto" w:sz="4" w:space="0"/>
            </w:tcBorders>
            <w:noWrap/>
            <w:vAlign w:val="center"/>
          </w:tcPr>
          <w:p>
            <w:pPr>
              <w:snapToGrid w:val="0"/>
              <w:spacing w:line="360" w:lineRule="exact"/>
              <w:rPr>
                <w:rFonts w:hAnsi="宋体" w:eastAsia="宋体" w:cs="宋体"/>
                <w:snapToGrid w:val="0"/>
                <w:color w:val="auto"/>
                <w:sz w:val="21"/>
              </w:rPr>
            </w:pPr>
            <w:r>
              <w:rPr>
                <w:rFonts w:hint="eastAsia" w:hAnsi="宋体" w:eastAsia="宋体" w:cs="宋体"/>
                <w:snapToGrid w:val="0"/>
                <w:color w:val="auto"/>
                <w:sz w:val="21"/>
              </w:rPr>
              <w:t>根据供应商针对本项目提供的安全保障方案进行综合评议：</w:t>
            </w:r>
          </w:p>
          <w:p>
            <w:pPr>
              <w:snapToGrid w:val="0"/>
              <w:spacing w:line="360" w:lineRule="exact"/>
              <w:rPr>
                <w:rFonts w:hAnsi="宋体" w:eastAsia="宋体" w:cs="宋体"/>
                <w:snapToGrid w:val="0"/>
                <w:color w:val="auto"/>
                <w:sz w:val="21"/>
              </w:rPr>
            </w:pPr>
            <w:r>
              <w:rPr>
                <w:rFonts w:hint="eastAsia" w:hAnsi="宋体" w:eastAsia="宋体" w:cs="宋体"/>
                <w:snapToGrid w:val="0"/>
                <w:color w:val="auto"/>
                <w:sz w:val="21"/>
              </w:rPr>
              <w:t>安全保障方案完善，有设立专门的安全责任人，安全措施内容齐全、描述清晰、具有很强针对性、切实可行的得3-4分；</w:t>
            </w:r>
          </w:p>
          <w:p>
            <w:pPr>
              <w:snapToGrid w:val="0"/>
              <w:spacing w:line="360" w:lineRule="exact"/>
              <w:rPr>
                <w:rFonts w:hAnsi="宋体" w:eastAsia="宋体" w:cs="宋体"/>
                <w:snapToGrid w:val="0"/>
                <w:color w:val="auto"/>
                <w:sz w:val="21"/>
              </w:rPr>
            </w:pPr>
            <w:r>
              <w:rPr>
                <w:rFonts w:hint="eastAsia" w:hAnsi="宋体" w:eastAsia="宋体" w:cs="宋体"/>
                <w:snapToGrid w:val="0"/>
                <w:color w:val="auto"/>
                <w:sz w:val="21"/>
              </w:rPr>
              <w:t>安全保障方案较为完善，措施内容较齐全，描述基本清晰、较全面细致、具有一定针对性的得2-2.9分；</w:t>
            </w:r>
          </w:p>
          <w:p>
            <w:pPr>
              <w:snapToGrid w:val="0"/>
              <w:spacing w:line="360" w:lineRule="exact"/>
              <w:rPr>
                <w:rFonts w:hAnsi="宋体" w:eastAsia="宋体" w:cs="宋体"/>
                <w:snapToGrid w:val="0"/>
                <w:color w:val="auto"/>
                <w:sz w:val="21"/>
              </w:rPr>
            </w:pPr>
            <w:r>
              <w:rPr>
                <w:rFonts w:hint="eastAsia" w:hAnsi="宋体" w:eastAsia="宋体" w:cs="宋体"/>
                <w:snapToGrid w:val="0"/>
                <w:color w:val="auto"/>
                <w:sz w:val="21"/>
              </w:rPr>
              <w:t>安全保障方案不够完善，措施不够全面细致、缺乏针对性的得0-1.9分；</w:t>
            </w:r>
          </w:p>
          <w:p>
            <w:pPr>
              <w:wordWrap w:val="0"/>
              <w:spacing w:line="360" w:lineRule="exact"/>
              <w:rPr>
                <w:rFonts w:hAnsi="宋体" w:eastAsia="宋体" w:cs="宋体"/>
                <w:color w:val="auto"/>
                <w:sz w:val="21"/>
              </w:rPr>
            </w:pPr>
            <w:r>
              <w:rPr>
                <w:rFonts w:hint="eastAsia" w:hAnsi="宋体" w:eastAsia="宋体" w:cs="宋体"/>
                <w:snapToGrid w:val="0"/>
                <w:color w:val="auto"/>
                <w:sz w:val="21"/>
              </w:rPr>
              <w:t>未提供不得分。</w:t>
            </w:r>
          </w:p>
        </w:tc>
        <w:tc>
          <w:tcPr>
            <w:tcW w:w="690"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4</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681" w:hRule="atLeast"/>
          <w:jc w:val="center"/>
        </w:trPr>
        <w:tc>
          <w:tcPr>
            <w:tcW w:w="635" w:type="dxa"/>
            <w:vMerge w:val="continue"/>
            <w:noWrap/>
            <w:vAlign w:val="center"/>
          </w:tcPr>
          <w:p>
            <w:pPr>
              <w:spacing w:before="120" w:beforeLines="50" w:after="120" w:afterLines="50" w:line="360" w:lineRule="exact"/>
              <w:ind w:firstLine="560"/>
              <w:jc w:val="center"/>
              <w:rPr>
                <w:rFonts w:hAnsi="宋体" w:eastAsia="宋体" w:cs="宋体"/>
                <w:color w:val="auto"/>
                <w:sz w:val="21"/>
              </w:rPr>
            </w:pPr>
          </w:p>
        </w:tc>
        <w:tc>
          <w:tcPr>
            <w:tcW w:w="975" w:type="dxa"/>
            <w:tcBorders>
              <w:right w:val="single" w:color="auto" w:sz="4" w:space="0"/>
            </w:tcBorders>
            <w:noWrap/>
            <w:vAlign w:val="center"/>
          </w:tcPr>
          <w:p>
            <w:pPr>
              <w:spacing w:before="120" w:beforeLines="50" w:after="120" w:afterLines="50" w:line="360" w:lineRule="exact"/>
              <w:jc w:val="center"/>
              <w:rPr>
                <w:rFonts w:hAnsi="宋体" w:eastAsia="宋体" w:cs="宋体"/>
                <w:color w:val="auto"/>
                <w:sz w:val="21"/>
              </w:rPr>
            </w:pPr>
            <w:r>
              <w:rPr>
                <w:rFonts w:hint="eastAsia" w:hAnsi="宋体" w:eastAsia="宋体" w:cs="宋体"/>
                <w:color w:val="auto"/>
                <w:sz w:val="21"/>
              </w:rPr>
              <w:t>6、团队管理及管理制度</w:t>
            </w:r>
          </w:p>
        </w:tc>
        <w:tc>
          <w:tcPr>
            <w:tcW w:w="6645" w:type="dxa"/>
            <w:tcBorders>
              <w:left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根据供应商提供的团队管理及管理制度（包括纪律、物品、卫生、操作、档案保护等）进行综合评议：</w:t>
            </w:r>
          </w:p>
          <w:p>
            <w:pPr>
              <w:wordWrap w:val="0"/>
              <w:spacing w:line="360" w:lineRule="exact"/>
              <w:rPr>
                <w:rFonts w:hAnsi="宋体" w:eastAsia="宋体" w:cs="宋体"/>
                <w:color w:val="auto"/>
                <w:sz w:val="21"/>
              </w:rPr>
            </w:pPr>
            <w:r>
              <w:rPr>
                <w:rFonts w:hint="eastAsia" w:hAnsi="宋体" w:eastAsia="宋体" w:cs="宋体"/>
                <w:color w:val="auto"/>
                <w:sz w:val="21"/>
              </w:rPr>
              <w:t>管理方案详细，内容完善，人员管理各项制度健全，容完全符合项目实际需求的得4-6分；</w:t>
            </w:r>
          </w:p>
          <w:p>
            <w:pPr>
              <w:wordWrap w:val="0"/>
              <w:spacing w:line="360" w:lineRule="exact"/>
              <w:rPr>
                <w:rFonts w:hAnsi="宋体" w:eastAsia="宋体" w:cs="宋体"/>
                <w:color w:val="auto"/>
                <w:sz w:val="21"/>
              </w:rPr>
            </w:pPr>
            <w:r>
              <w:rPr>
                <w:rFonts w:hint="eastAsia" w:hAnsi="宋体" w:eastAsia="宋体" w:cs="宋体"/>
                <w:color w:val="auto"/>
                <w:sz w:val="21"/>
              </w:rPr>
              <w:t>管理方案较为详细，人员管理各项制度均有设置，基本上符合项目实际需求的得2-3.9分；</w:t>
            </w:r>
          </w:p>
          <w:p>
            <w:pPr>
              <w:wordWrap w:val="0"/>
              <w:spacing w:line="360" w:lineRule="exact"/>
              <w:rPr>
                <w:rFonts w:hAnsi="宋体" w:eastAsia="宋体" w:cs="宋体"/>
                <w:color w:val="auto"/>
                <w:sz w:val="21"/>
              </w:rPr>
            </w:pPr>
            <w:r>
              <w:rPr>
                <w:rFonts w:hint="eastAsia" w:hAnsi="宋体" w:eastAsia="宋体" w:cs="宋体"/>
                <w:color w:val="auto"/>
                <w:sz w:val="21"/>
              </w:rPr>
              <w:t>管理方案简单粗略，人员管理制度有缺失，偏离了项目实际需求的得0-1.9分；</w:t>
            </w:r>
          </w:p>
          <w:p>
            <w:pPr>
              <w:wordWrap w:val="0"/>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681" w:hRule="atLeast"/>
          <w:jc w:val="center"/>
        </w:trPr>
        <w:tc>
          <w:tcPr>
            <w:tcW w:w="635" w:type="dxa"/>
            <w:vMerge w:val="continue"/>
            <w:noWrap/>
            <w:vAlign w:val="center"/>
          </w:tcPr>
          <w:p>
            <w:pPr>
              <w:spacing w:before="120" w:beforeLines="50" w:after="120" w:afterLines="50" w:line="360" w:lineRule="exact"/>
              <w:ind w:firstLine="560"/>
              <w:jc w:val="center"/>
              <w:rPr>
                <w:rFonts w:hAnsi="宋体" w:eastAsia="宋体" w:cs="宋体"/>
                <w:color w:val="auto"/>
                <w:sz w:val="21"/>
              </w:rPr>
            </w:pPr>
          </w:p>
        </w:tc>
        <w:tc>
          <w:tcPr>
            <w:tcW w:w="975" w:type="dxa"/>
            <w:tcBorders>
              <w:right w:val="single" w:color="auto" w:sz="4" w:space="0"/>
            </w:tcBorders>
            <w:noWrap/>
            <w:vAlign w:val="center"/>
          </w:tcPr>
          <w:p>
            <w:pPr>
              <w:spacing w:before="120" w:beforeLines="50" w:after="120" w:afterLines="50" w:line="360" w:lineRule="exact"/>
              <w:jc w:val="center"/>
              <w:rPr>
                <w:rFonts w:hAnsi="宋体" w:eastAsia="宋体" w:cs="宋体"/>
                <w:color w:val="auto"/>
                <w:sz w:val="21"/>
              </w:rPr>
            </w:pPr>
            <w:r>
              <w:rPr>
                <w:rFonts w:hint="eastAsia" w:hAnsi="宋体" w:eastAsia="宋体" w:cs="宋体"/>
                <w:color w:val="auto"/>
                <w:sz w:val="21"/>
              </w:rPr>
              <w:t>7、售后服务方案</w:t>
            </w:r>
          </w:p>
        </w:tc>
        <w:tc>
          <w:tcPr>
            <w:tcW w:w="6645" w:type="dxa"/>
            <w:tcBorders>
              <w:left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根据供应商的售后服务方案进行综合评议：</w:t>
            </w:r>
          </w:p>
          <w:p>
            <w:pPr>
              <w:wordWrap w:val="0"/>
              <w:spacing w:line="360" w:lineRule="exact"/>
              <w:rPr>
                <w:rFonts w:hAnsi="宋体" w:eastAsia="宋体" w:cs="宋体"/>
                <w:color w:val="auto"/>
                <w:sz w:val="21"/>
              </w:rPr>
            </w:pPr>
            <w:r>
              <w:rPr>
                <w:rFonts w:hint="eastAsia" w:hAnsi="宋体" w:eastAsia="宋体" w:cs="宋体"/>
                <w:color w:val="auto"/>
                <w:sz w:val="21"/>
              </w:rPr>
              <w:t>售后服务方案科学完善，服务团队人员素质高、经验丰富，响应服务速度完全符合采购需求的得4-6分；</w:t>
            </w:r>
          </w:p>
          <w:p>
            <w:pPr>
              <w:wordWrap w:val="0"/>
              <w:spacing w:line="360" w:lineRule="exact"/>
              <w:rPr>
                <w:rFonts w:hAnsi="宋体" w:eastAsia="宋体" w:cs="宋体"/>
                <w:color w:val="auto"/>
                <w:sz w:val="21"/>
              </w:rPr>
            </w:pPr>
            <w:r>
              <w:rPr>
                <w:rFonts w:hint="eastAsia" w:hAnsi="宋体" w:eastAsia="宋体" w:cs="宋体"/>
                <w:color w:val="auto"/>
                <w:sz w:val="21"/>
              </w:rPr>
              <w:t>售后服务方案较为科学完善、服务团队人员有一定的经验，响应服务速度基本符合采购需求的得2-3.9分；</w:t>
            </w:r>
          </w:p>
          <w:p>
            <w:pPr>
              <w:wordWrap w:val="0"/>
              <w:spacing w:line="360" w:lineRule="exact"/>
              <w:rPr>
                <w:rFonts w:hAnsi="宋体" w:eastAsia="宋体" w:cs="宋体"/>
                <w:color w:val="auto"/>
                <w:sz w:val="21"/>
              </w:rPr>
            </w:pPr>
            <w:r>
              <w:rPr>
                <w:rFonts w:hint="eastAsia" w:hAnsi="宋体" w:eastAsia="宋体" w:cs="宋体"/>
                <w:color w:val="auto"/>
                <w:sz w:val="21"/>
              </w:rPr>
              <w:t>售后服务方案不够科学完善、服务团队人员专业性一般，响应服务速度不符合采购需求的得0-1.9分。</w:t>
            </w:r>
          </w:p>
          <w:p>
            <w:pPr>
              <w:wordWrap w:val="0"/>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681" w:hRule="atLeast"/>
          <w:jc w:val="center"/>
        </w:trPr>
        <w:tc>
          <w:tcPr>
            <w:tcW w:w="635" w:type="dxa"/>
            <w:vMerge w:val="continue"/>
            <w:noWrap/>
            <w:vAlign w:val="center"/>
          </w:tcPr>
          <w:p>
            <w:pPr>
              <w:spacing w:before="120" w:beforeLines="50" w:after="120" w:afterLines="50" w:line="360" w:lineRule="exact"/>
              <w:ind w:firstLine="560"/>
              <w:jc w:val="center"/>
              <w:rPr>
                <w:rFonts w:hAnsi="宋体" w:eastAsia="宋体" w:cs="宋体"/>
                <w:color w:val="auto"/>
                <w:sz w:val="21"/>
              </w:rPr>
            </w:pPr>
          </w:p>
        </w:tc>
        <w:tc>
          <w:tcPr>
            <w:tcW w:w="975" w:type="dxa"/>
            <w:tcBorders>
              <w:right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8、应急响应方案</w:t>
            </w:r>
          </w:p>
        </w:tc>
        <w:tc>
          <w:tcPr>
            <w:tcW w:w="6645" w:type="dxa"/>
            <w:tcBorders>
              <w:left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根据供应商提供的应急响应服务方案，包括应急响应的流程和服务标准等内容进行综合评议。</w:t>
            </w:r>
          </w:p>
          <w:p>
            <w:pPr>
              <w:wordWrap w:val="0"/>
              <w:spacing w:line="360" w:lineRule="exact"/>
              <w:rPr>
                <w:rFonts w:hAnsi="宋体" w:eastAsia="宋体" w:cs="宋体"/>
                <w:color w:val="auto"/>
                <w:sz w:val="21"/>
              </w:rPr>
            </w:pPr>
            <w:r>
              <w:rPr>
                <w:rFonts w:hint="eastAsia" w:hAnsi="宋体" w:eastAsia="宋体" w:cs="宋体"/>
                <w:color w:val="auto"/>
                <w:sz w:val="21"/>
              </w:rPr>
              <w:t>应急响应方案内容阐述详实全面，应急响应流程合理规范，服务标准根据不同突发事件等级进行细化的得4-6分；</w:t>
            </w:r>
          </w:p>
          <w:p>
            <w:pPr>
              <w:wordWrap w:val="0"/>
              <w:spacing w:line="360" w:lineRule="exact"/>
              <w:rPr>
                <w:rFonts w:hAnsi="宋体" w:eastAsia="宋体" w:cs="宋体"/>
                <w:color w:val="auto"/>
                <w:sz w:val="21"/>
              </w:rPr>
            </w:pPr>
            <w:r>
              <w:rPr>
                <w:rFonts w:hint="eastAsia" w:hAnsi="宋体" w:eastAsia="宋体" w:cs="宋体"/>
                <w:color w:val="auto"/>
                <w:sz w:val="21"/>
              </w:rPr>
              <w:t>应急响应服务方案内容基本完整，应急响应流程比较规范，服务标准基本合理的得2-3.9分；</w:t>
            </w:r>
          </w:p>
          <w:p>
            <w:pPr>
              <w:wordWrap w:val="0"/>
              <w:spacing w:line="360" w:lineRule="exact"/>
              <w:rPr>
                <w:rFonts w:hAnsi="宋体" w:eastAsia="宋体" w:cs="宋体"/>
                <w:color w:val="auto"/>
                <w:sz w:val="21"/>
              </w:rPr>
            </w:pPr>
            <w:r>
              <w:rPr>
                <w:rFonts w:hint="eastAsia" w:hAnsi="宋体" w:eastAsia="宋体" w:cs="宋体"/>
                <w:color w:val="auto"/>
                <w:sz w:val="21"/>
              </w:rPr>
              <w:t>应急响应服务方案内容阐述简单粗略，响应流程或服务标准内容有瑕疵纰漏的得0-1.9分；</w:t>
            </w:r>
          </w:p>
          <w:p>
            <w:pPr>
              <w:wordWrap w:val="0"/>
              <w:spacing w:line="360" w:lineRule="exact"/>
              <w:rPr>
                <w:rFonts w:hAnsi="宋体" w:eastAsia="宋体" w:cs="宋体"/>
                <w:color w:val="auto"/>
                <w:sz w:val="21"/>
              </w:rPr>
            </w:pPr>
            <w:r>
              <w:rPr>
                <w:rFonts w:hint="eastAsia" w:hAnsi="宋体" w:eastAsia="宋体" w:cs="宋体"/>
                <w:color w:val="auto"/>
                <w:sz w:val="21"/>
              </w:rPr>
              <w:t>未提供方案不得分。</w:t>
            </w:r>
          </w:p>
        </w:tc>
        <w:tc>
          <w:tcPr>
            <w:tcW w:w="690"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635" w:type="dxa"/>
            <w:vMerge w:val="continue"/>
            <w:noWrap/>
            <w:vAlign w:val="center"/>
          </w:tcPr>
          <w:p>
            <w:pPr>
              <w:spacing w:before="120" w:beforeLines="50" w:after="120" w:afterLines="50" w:line="360" w:lineRule="exact"/>
              <w:ind w:firstLine="560"/>
              <w:jc w:val="center"/>
              <w:rPr>
                <w:rFonts w:hAnsi="宋体" w:eastAsia="宋体" w:cs="宋体"/>
                <w:color w:val="auto"/>
                <w:sz w:val="21"/>
              </w:rPr>
            </w:pPr>
          </w:p>
        </w:tc>
        <w:tc>
          <w:tcPr>
            <w:tcW w:w="975" w:type="dxa"/>
            <w:tcBorders>
              <w:right w:val="single" w:color="auto" w:sz="4" w:space="0"/>
            </w:tcBorders>
            <w:noWrap/>
            <w:vAlign w:val="center"/>
          </w:tcPr>
          <w:p>
            <w:pPr>
              <w:spacing w:before="120" w:beforeLines="50" w:after="120" w:afterLines="50" w:line="360" w:lineRule="exact"/>
              <w:jc w:val="center"/>
              <w:rPr>
                <w:rFonts w:hAnsi="宋体" w:eastAsia="宋体" w:cs="宋体"/>
                <w:color w:val="auto"/>
                <w:sz w:val="21"/>
              </w:rPr>
            </w:pPr>
            <w:r>
              <w:rPr>
                <w:rFonts w:hint="eastAsia" w:hAnsi="宋体" w:eastAsia="宋体" w:cs="宋体"/>
                <w:color w:val="auto"/>
                <w:sz w:val="21"/>
              </w:rPr>
              <w:t>9、拟投入设备</w:t>
            </w:r>
          </w:p>
        </w:tc>
        <w:tc>
          <w:tcPr>
            <w:tcW w:w="6645" w:type="dxa"/>
            <w:tcBorders>
              <w:left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根据供应商提供的为完成本项目要求的拟投入设备情况进行综合评议：</w:t>
            </w:r>
          </w:p>
          <w:p>
            <w:pPr>
              <w:wordWrap w:val="0"/>
              <w:spacing w:line="360" w:lineRule="exact"/>
              <w:rPr>
                <w:rFonts w:hAnsi="宋体" w:eastAsia="宋体" w:cs="宋体"/>
                <w:color w:val="auto"/>
                <w:sz w:val="21"/>
              </w:rPr>
            </w:pPr>
            <w:r>
              <w:rPr>
                <w:rFonts w:hint="eastAsia" w:hAnsi="宋体" w:eastAsia="宋体" w:cs="宋体"/>
                <w:color w:val="auto"/>
                <w:sz w:val="21"/>
              </w:rPr>
              <w:t>开展本项目需要的设施设备配置完整，完全满足本项目文物普查要求的得4-6分；</w:t>
            </w:r>
          </w:p>
          <w:p>
            <w:pPr>
              <w:wordWrap w:val="0"/>
              <w:spacing w:line="360" w:lineRule="exact"/>
              <w:rPr>
                <w:rFonts w:hAnsi="宋体" w:eastAsia="宋体" w:cs="宋体"/>
                <w:color w:val="auto"/>
                <w:sz w:val="21"/>
              </w:rPr>
            </w:pPr>
            <w:r>
              <w:rPr>
                <w:rFonts w:hint="eastAsia" w:hAnsi="宋体" w:eastAsia="宋体" w:cs="宋体"/>
                <w:color w:val="auto"/>
                <w:sz w:val="21"/>
              </w:rPr>
              <w:t>开展本项目需要的设施设备配置较为完整，基本满足本项目文物普查要求的得2-3.9分；</w:t>
            </w:r>
          </w:p>
          <w:p>
            <w:pPr>
              <w:wordWrap w:val="0"/>
              <w:spacing w:line="360" w:lineRule="exact"/>
              <w:rPr>
                <w:rFonts w:hAnsi="宋体" w:eastAsia="宋体" w:cs="宋体"/>
                <w:color w:val="auto"/>
                <w:sz w:val="21"/>
              </w:rPr>
            </w:pPr>
            <w:r>
              <w:rPr>
                <w:rFonts w:hint="eastAsia" w:hAnsi="宋体" w:eastAsia="宋体" w:cs="宋体"/>
                <w:color w:val="auto"/>
                <w:sz w:val="21"/>
              </w:rPr>
              <w:t>开展本项目需要的设施设备配置不够完整，不能满足本项目文物普查要求的的得0-1.9分；</w:t>
            </w:r>
          </w:p>
          <w:p>
            <w:pPr>
              <w:wordWrap w:val="0"/>
              <w:spacing w:line="360" w:lineRule="exact"/>
              <w:rPr>
                <w:rFonts w:hAnsi="宋体" w:eastAsia="宋体" w:cs="宋体"/>
                <w:color w:val="auto"/>
                <w:sz w:val="21"/>
              </w:rPr>
            </w:pPr>
            <w:r>
              <w:rPr>
                <w:rFonts w:hint="eastAsia" w:hAnsi="宋体" w:eastAsia="宋体" w:cs="宋体"/>
                <w:color w:val="auto"/>
                <w:sz w:val="21"/>
              </w:rPr>
              <w:t>未提供不得分。</w:t>
            </w:r>
          </w:p>
        </w:tc>
        <w:tc>
          <w:tcPr>
            <w:tcW w:w="690"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6</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635" w:type="dxa"/>
            <w:vMerge w:val="continue"/>
            <w:noWrap/>
            <w:vAlign w:val="center"/>
          </w:tcPr>
          <w:p>
            <w:pPr>
              <w:snapToGrid w:val="0"/>
              <w:spacing w:line="360" w:lineRule="exact"/>
              <w:ind w:firstLine="336" w:firstLineChars="200"/>
              <w:rPr>
                <w:rFonts w:hAnsi="宋体" w:eastAsia="宋体" w:cs="宋体"/>
                <w:color w:val="auto"/>
                <w:w w:val="80"/>
                <w:sz w:val="21"/>
              </w:rPr>
            </w:pPr>
          </w:p>
        </w:tc>
        <w:tc>
          <w:tcPr>
            <w:tcW w:w="975" w:type="dxa"/>
            <w:vMerge w:val="restart"/>
            <w:tcBorders>
              <w:right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10、拟投入项目团队情况</w:t>
            </w:r>
          </w:p>
        </w:tc>
        <w:tc>
          <w:tcPr>
            <w:tcW w:w="6645" w:type="dxa"/>
            <w:tcBorders>
              <w:left w:val="single" w:color="auto" w:sz="4" w:space="0"/>
            </w:tcBorders>
            <w:noWrap/>
            <w:vAlign w:val="center"/>
          </w:tcPr>
          <w:p>
            <w:pPr>
              <w:spacing w:line="360" w:lineRule="exact"/>
              <w:rPr>
                <w:rFonts w:hAnsi="宋体" w:eastAsia="宋体" w:cs="宋体"/>
                <w:color w:val="auto"/>
                <w:sz w:val="21"/>
              </w:rPr>
            </w:pPr>
            <w:r>
              <w:rPr>
                <w:rFonts w:hint="eastAsia" w:hAnsi="宋体" w:eastAsia="宋体" w:cs="宋体"/>
                <w:color w:val="auto"/>
                <w:sz w:val="21"/>
              </w:rPr>
              <w:t>10.1项目负责人具有文物博物</w:t>
            </w:r>
            <w:r>
              <w:rPr>
                <w:rFonts w:hint="eastAsia" w:hAnsi="宋体" w:eastAsia="宋体" w:cs="宋体"/>
                <w:b w:val="0"/>
                <w:bCs/>
                <w:color w:val="auto"/>
                <w:sz w:val="21"/>
              </w:rPr>
              <w:t>系列副高级及以上</w:t>
            </w:r>
            <w:r>
              <w:rPr>
                <w:rFonts w:hint="eastAsia" w:hAnsi="宋体" w:eastAsia="宋体" w:cs="宋体"/>
                <w:color w:val="auto"/>
                <w:sz w:val="21"/>
              </w:rPr>
              <w:t>职称得2分,最高得2分。</w:t>
            </w:r>
          </w:p>
          <w:p>
            <w:pPr>
              <w:spacing w:line="360" w:lineRule="exact"/>
              <w:rPr>
                <w:rFonts w:hAnsi="宋体" w:eastAsia="宋体" w:cs="宋体"/>
                <w:color w:val="auto"/>
                <w:sz w:val="21"/>
              </w:rPr>
            </w:pPr>
            <w:r>
              <w:rPr>
                <w:rFonts w:hint="eastAsia" w:hAnsi="宋体" w:eastAsia="宋体" w:cs="宋体"/>
                <w:color w:val="auto"/>
                <w:sz w:val="21"/>
              </w:rPr>
              <w:t>注：响应文件中需提供项目负责人职称或资质证书及开标日前3个月的社保证明，未提供不得分。</w:t>
            </w:r>
          </w:p>
        </w:tc>
        <w:tc>
          <w:tcPr>
            <w:tcW w:w="690"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2</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客观分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61" w:hRule="atLeast"/>
          <w:jc w:val="center"/>
        </w:trPr>
        <w:tc>
          <w:tcPr>
            <w:tcW w:w="635" w:type="dxa"/>
            <w:vMerge w:val="continue"/>
            <w:noWrap/>
            <w:vAlign w:val="center"/>
          </w:tcPr>
          <w:p>
            <w:pPr>
              <w:snapToGrid w:val="0"/>
              <w:spacing w:line="360" w:lineRule="exact"/>
              <w:ind w:firstLine="336" w:firstLineChars="200"/>
              <w:rPr>
                <w:rFonts w:hAnsi="宋体" w:eastAsia="宋体" w:cs="宋体"/>
                <w:color w:val="auto"/>
                <w:w w:val="80"/>
                <w:sz w:val="21"/>
              </w:rPr>
            </w:pPr>
          </w:p>
        </w:tc>
        <w:tc>
          <w:tcPr>
            <w:tcW w:w="975" w:type="dxa"/>
            <w:vMerge w:val="continue"/>
            <w:tcBorders>
              <w:right w:val="single" w:color="auto" w:sz="4" w:space="0"/>
            </w:tcBorders>
            <w:noWrap/>
            <w:vAlign w:val="center"/>
          </w:tcPr>
          <w:p>
            <w:pPr>
              <w:spacing w:line="360" w:lineRule="exact"/>
              <w:jc w:val="center"/>
              <w:rPr>
                <w:rFonts w:hAnsi="宋体" w:eastAsia="宋体" w:cs="宋体"/>
                <w:color w:val="auto"/>
                <w:sz w:val="21"/>
              </w:rPr>
            </w:pPr>
          </w:p>
        </w:tc>
        <w:tc>
          <w:tcPr>
            <w:tcW w:w="6645" w:type="dxa"/>
            <w:tcBorders>
              <w:left w:val="single" w:color="auto" w:sz="4" w:space="0"/>
            </w:tcBorders>
            <w:noWrap/>
            <w:vAlign w:val="center"/>
          </w:tcPr>
          <w:p>
            <w:pPr>
              <w:spacing w:line="3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10.2技术负责人（与项目负责人不可为同一人）具备国家注册类注册证书且具备工程相关类正高级职称（或教授级高级职称）的得2分，最高得2分。</w:t>
            </w:r>
          </w:p>
          <w:p>
            <w:pPr>
              <w:spacing w:line="3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注：响应文件中需提供技术负责人相关证书及开标日前3个月的社保证明，未提供不得分。</w:t>
            </w:r>
          </w:p>
        </w:tc>
        <w:tc>
          <w:tcPr>
            <w:tcW w:w="690" w:type="dxa"/>
            <w:noWrap/>
            <w:vAlign w:val="center"/>
          </w:tcPr>
          <w:p>
            <w:pPr>
              <w:spacing w:line="360" w:lineRule="exact"/>
              <w:jc w:val="center"/>
              <w:rPr>
                <w:rFonts w:hAnsi="宋体" w:eastAsia="宋体" w:cs="宋体"/>
                <w:color w:val="auto"/>
                <w:sz w:val="21"/>
              </w:rPr>
            </w:pPr>
            <w:r>
              <w:rPr>
                <w:rFonts w:hAnsi="宋体" w:eastAsia="宋体" w:cs="宋体"/>
                <w:color w:val="auto"/>
                <w:sz w:val="21"/>
              </w:rPr>
              <w:t>2</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客观分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68" w:hRule="atLeast"/>
          <w:jc w:val="center"/>
        </w:trPr>
        <w:tc>
          <w:tcPr>
            <w:tcW w:w="635" w:type="dxa"/>
            <w:vMerge w:val="continue"/>
            <w:noWrap/>
            <w:vAlign w:val="center"/>
          </w:tcPr>
          <w:p>
            <w:pPr>
              <w:snapToGrid w:val="0"/>
              <w:spacing w:line="360" w:lineRule="exact"/>
              <w:ind w:firstLine="336" w:firstLineChars="200"/>
              <w:rPr>
                <w:rFonts w:hAnsi="宋体" w:eastAsia="宋体" w:cs="宋体"/>
                <w:color w:val="auto"/>
                <w:w w:val="80"/>
                <w:sz w:val="21"/>
              </w:rPr>
            </w:pPr>
          </w:p>
        </w:tc>
        <w:tc>
          <w:tcPr>
            <w:tcW w:w="975" w:type="dxa"/>
            <w:vMerge w:val="continue"/>
            <w:tcBorders>
              <w:right w:val="single" w:color="auto" w:sz="4" w:space="0"/>
            </w:tcBorders>
            <w:noWrap/>
            <w:vAlign w:val="center"/>
          </w:tcPr>
          <w:p>
            <w:pPr>
              <w:spacing w:line="360" w:lineRule="exact"/>
              <w:jc w:val="center"/>
              <w:rPr>
                <w:rFonts w:hAnsi="宋体" w:eastAsia="宋体" w:cs="宋体"/>
                <w:color w:val="auto"/>
                <w:sz w:val="21"/>
              </w:rPr>
            </w:pPr>
          </w:p>
        </w:tc>
        <w:tc>
          <w:tcPr>
            <w:tcW w:w="6645" w:type="dxa"/>
            <w:tcBorders>
              <w:left w:val="single" w:color="auto" w:sz="4" w:space="0"/>
            </w:tcBorders>
            <w:noWrap/>
            <w:vAlign w:val="center"/>
          </w:tcPr>
          <w:p>
            <w:pPr>
              <w:pStyle w:val="11"/>
              <w:rPr>
                <w:rFonts w:hint="eastAsia" w:ascii="宋体" w:hAnsi="宋体" w:eastAsia="宋体" w:cs="宋体"/>
                <w:b w:val="0"/>
                <w:bCs w:val="0"/>
                <w:color w:val="auto"/>
                <w:kern w:val="2"/>
                <w:sz w:val="21"/>
                <w:szCs w:val="21"/>
              </w:rPr>
            </w:pPr>
            <w:r>
              <w:rPr>
                <w:rFonts w:hint="eastAsia" w:ascii="宋体" w:hAnsi="宋体" w:eastAsia="宋体" w:cs="宋体"/>
                <w:b w:val="0"/>
                <w:bCs w:val="0"/>
                <w:color w:val="auto"/>
                <w:sz w:val="21"/>
                <w:szCs w:val="21"/>
              </w:rPr>
              <w:t>10.</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项目团队人员中具有</w:t>
            </w:r>
            <w:r>
              <w:rPr>
                <w:rFonts w:hint="eastAsia" w:ascii="宋体" w:hAnsi="宋体" w:eastAsia="宋体" w:cs="宋体"/>
                <w:b w:val="0"/>
                <w:bCs w:val="0"/>
                <w:color w:val="auto"/>
                <w:kern w:val="2"/>
                <w:sz w:val="21"/>
                <w:szCs w:val="21"/>
              </w:rPr>
              <w:t>具有民用无人机驾驶航空器操控员执照的得2分</w:t>
            </w:r>
            <w:r>
              <w:rPr>
                <w:rFonts w:hint="eastAsia" w:ascii="宋体" w:hAnsi="宋体" w:eastAsia="宋体" w:cs="宋体"/>
                <w:b w:val="0"/>
                <w:bCs w:val="0"/>
                <w:color w:val="auto"/>
                <w:sz w:val="21"/>
                <w:szCs w:val="21"/>
              </w:rPr>
              <w:t>，具有</w:t>
            </w:r>
            <w:r>
              <w:rPr>
                <w:rFonts w:hint="eastAsia" w:ascii="宋体" w:hAnsi="宋体" w:eastAsia="宋体" w:cs="宋体"/>
                <w:b w:val="0"/>
                <w:bCs w:val="0"/>
                <w:color w:val="auto"/>
                <w:kern w:val="2"/>
                <w:sz w:val="21"/>
                <w:szCs w:val="21"/>
              </w:rPr>
              <w:t>图形图像制作专业的得2分，</w:t>
            </w:r>
            <w:r>
              <w:rPr>
                <w:rFonts w:hint="eastAsia" w:ascii="宋体" w:hAnsi="宋体" w:eastAsia="宋体" w:cs="宋体"/>
                <w:b w:val="0"/>
                <w:bCs w:val="0"/>
                <w:color w:val="auto"/>
                <w:sz w:val="21"/>
                <w:szCs w:val="21"/>
              </w:rPr>
              <w:t>最高得4分。</w:t>
            </w:r>
          </w:p>
          <w:p>
            <w:pPr>
              <w:pStyle w:val="11"/>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注：响应文件中需提供人员相关证书及开标日前3个月的社保证明复印件，未提供不得分。</w:t>
            </w:r>
          </w:p>
        </w:tc>
        <w:tc>
          <w:tcPr>
            <w:tcW w:w="690" w:type="dxa"/>
            <w:noWrap/>
            <w:vAlign w:val="center"/>
          </w:tcPr>
          <w:p>
            <w:pPr>
              <w:spacing w:line="360" w:lineRule="exact"/>
              <w:jc w:val="center"/>
              <w:rPr>
                <w:rFonts w:hAnsi="宋体" w:eastAsia="宋体" w:cs="宋体"/>
                <w:color w:val="auto"/>
                <w:sz w:val="21"/>
              </w:rPr>
            </w:pPr>
            <w:r>
              <w:rPr>
                <w:rFonts w:ascii="Times New Roman" w:hAnsi="宋体" w:eastAsia="宋体" w:cs="宋体"/>
                <w:b w:val="0"/>
                <w:bCs/>
                <w:color w:val="auto"/>
                <w:sz w:val="21"/>
              </w:rPr>
              <w:t>4</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客观分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07" w:hRule="atLeast"/>
          <w:jc w:val="center"/>
        </w:trPr>
        <w:tc>
          <w:tcPr>
            <w:tcW w:w="635" w:type="dxa"/>
            <w:vMerge w:val="continue"/>
            <w:noWrap/>
            <w:vAlign w:val="center"/>
          </w:tcPr>
          <w:p>
            <w:pPr>
              <w:snapToGrid w:val="0"/>
              <w:spacing w:line="360" w:lineRule="exact"/>
              <w:ind w:firstLine="336" w:firstLineChars="200"/>
              <w:rPr>
                <w:rFonts w:hAnsi="宋体" w:eastAsia="宋体" w:cs="宋体"/>
                <w:color w:val="auto"/>
                <w:w w:val="80"/>
                <w:sz w:val="21"/>
              </w:rPr>
            </w:pPr>
          </w:p>
        </w:tc>
        <w:tc>
          <w:tcPr>
            <w:tcW w:w="975" w:type="dxa"/>
            <w:vMerge w:val="continue"/>
            <w:tcBorders>
              <w:right w:val="single" w:color="auto" w:sz="4" w:space="0"/>
            </w:tcBorders>
            <w:noWrap/>
            <w:vAlign w:val="center"/>
          </w:tcPr>
          <w:p>
            <w:pPr>
              <w:spacing w:line="360" w:lineRule="exact"/>
              <w:jc w:val="center"/>
              <w:rPr>
                <w:rFonts w:hAnsi="宋体" w:eastAsia="宋体" w:cs="宋体"/>
                <w:color w:val="auto"/>
                <w:sz w:val="21"/>
              </w:rPr>
            </w:pPr>
          </w:p>
        </w:tc>
        <w:tc>
          <w:tcPr>
            <w:tcW w:w="6645" w:type="dxa"/>
            <w:tcBorders>
              <w:left w:val="single" w:color="auto" w:sz="4" w:space="0"/>
            </w:tcBorders>
            <w:noWrap/>
            <w:vAlign w:val="center"/>
          </w:tcPr>
          <w:p>
            <w:pPr>
              <w:widowControl/>
              <w:spacing w:line="360" w:lineRule="exact"/>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w:t>
            </w:r>
            <w:r>
              <w:rPr>
                <w:rFonts w:hint="eastAsia"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根据供应商拟为本项目配置的团队服务人员（除项目负责人、技术负责人外）情况进行综合评议：</w:t>
            </w:r>
          </w:p>
          <w:p>
            <w:pPr>
              <w:widowControl/>
              <w:spacing w:line="360" w:lineRule="exact"/>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团队服务人员配置、人员数量、经验，资质优于“第三章项目需求，五、人员要求”的得</w:t>
            </w:r>
            <w:r>
              <w:rPr>
                <w:rFonts w:hint="eastAsia" w:hAnsi="宋体" w:eastAsia="宋体" w:cs="宋体"/>
                <w:b w:val="0"/>
                <w:bCs w:val="0"/>
                <w:color w:val="auto"/>
                <w:sz w:val="21"/>
                <w:szCs w:val="21"/>
                <w:lang w:val="en-US" w:eastAsia="zh-CN"/>
              </w:rPr>
              <w:t>3-4</w:t>
            </w:r>
            <w:r>
              <w:rPr>
                <w:rFonts w:hint="eastAsia" w:ascii="宋体" w:hAnsi="宋体" w:eastAsia="宋体" w:cs="宋体"/>
                <w:b w:val="0"/>
                <w:bCs w:val="0"/>
                <w:color w:val="auto"/>
                <w:sz w:val="21"/>
                <w:szCs w:val="21"/>
              </w:rPr>
              <w:t>分；</w:t>
            </w:r>
          </w:p>
          <w:p>
            <w:pPr>
              <w:widowControl/>
              <w:spacing w:line="360" w:lineRule="exact"/>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团队服务人员配置、人员数量、经验，资质基本满足“第三章项目需求，五、人员要求”的得2-</w:t>
            </w:r>
            <w:r>
              <w:rPr>
                <w:rFonts w:hint="eastAsia"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.9分；</w:t>
            </w:r>
          </w:p>
          <w:p>
            <w:pPr>
              <w:widowControl/>
              <w:spacing w:line="360" w:lineRule="exact"/>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团队服务人员配置、人员数量、经验，资质不能满足“第三章项目需求，五、人员要求”的得0-1.9分；</w:t>
            </w:r>
          </w:p>
          <w:p>
            <w:pPr>
              <w:widowControl/>
              <w:spacing w:line="360" w:lineRule="exact"/>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未提供不得分。</w:t>
            </w:r>
          </w:p>
          <w:p>
            <w:pPr>
              <w:widowControl/>
              <w:spacing w:line="360" w:lineRule="exact"/>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注：响应文件中需附团队服务人员相关证书及开标日前3个月的社保证明复印件，所有复印件加盖供应商公章。</w:t>
            </w:r>
          </w:p>
        </w:tc>
        <w:tc>
          <w:tcPr>
            <w:tcW w:w="690" w:type="dxa"/>
            <w:noWrap/>
            <w:vAlign w:val="center"/>
          </w:tcPr>
          <w:p>
            <w:pPr>
              <w:spacing w:line="360" w:lineRule="exact"/>
              <w:jc w:val="center"/>
              <w:rPr>
                <w:rFonts w:hint="eastAsia" w:hAnsi="宋体" w:eastAsia="宋体" w:cs="宋体"/>
                <w:b/>
                <w:color w:val="auto"/>
                <w:sz w:val="21"/>
                <w:lang w:eastAsia="zh-CN"/>
              </w:rPr>
            </w:pPr>
            <w:r>
              <w:rPr>
                <w:rFonts w:hint="eastAsia" w:hAnsi="宋体" w:eastAsia="宋体" w:cs="宋体"/>
                <w:bCs/>
                <w:color w:val="auto"/>
                <w:sz w:val="21"/>
                <w:lang w:val="en-US" w:eastAsia="zh-CN"/>
              </w:rPr>
              <w:t>4</w:t>
            </w:r>
          </w:p>
        </w:tc>
        <w:tc>
          <w:tcPr>
            <w:tcW w:w="861" w:type="dxa"/>
            <w:noWrap/>
            <w:vAlign w:val="center"/>
          </w:tcPr>
          <w:p>
            <w:pPr>
              <w:spacing w:line="360" w:lineRule="exact"/>
              <w:jc w:val="center"/>
              <w:rPr>
                <w:rFonts w:hAnsi="宋体" w:eastAsia="宋体" w:cs="宋体"/>
                <w:bCs/>
                <w:color w:val="auto"/>
                <w:sz w:val="21"/>
              </w:rPr>
            </w:pPr>
            <w:r>
              <w:rPr>
                <w:rFonts w:hint="eastAsia" w:hAnsi="宋体" w:eastAsia="宋体" w:cs="宋体"/>
                <w:bCs/>
                <w:color w:val="auto"/>
                <w:sz w:val="21"/>
              </w:rPr>
              <w:t>主观分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635" w:type="dxa"/>
            <w:vMerge w:val="continue"/>
            <w:noWrap/>
            <w:vAlign w:val="center"/>
          </w:tcPr>
          <w:p>
            <w:pPr>
              <w:snapToGrid w:val="0"/>
              <w:spacing w:line="360" w:lineRule="exact"/>
              <w:ind w:firstLine="336" w:firstLineChars="200"/>
              <w:rPr>
                <w:rFonts w:hAnsi="宋体" w:eastAsia="宋体" w:cs="宋体"/>
                <w:color w:val="auto"/>
                <w:w w:val="80"/>
                <w:sz w:val="21"/>
              </w:rPr>
            </w:pPr>
          </w:p>
        </w:tc>
        <w:tc>
          <w:tcPr>
            <w:tcW w:w="975" w:type="dxa"/>
            <w:vMerge w:val="restart"/>
            <w:tcBorders>
              <w:top w:val="single" w:color="auto" w:sz="2" w:space="0"/>
              <w:right w:val="single" w:color="auto" w:sz="4" w:space="0"/>
            </w:tcBorders>
            <w:noWrap/>
            <w:vAlign w:val="center"/>
          </w:tcPr>
          <w:p>
            <w:pPr>
              <w:spacing w:line="360" w:lineRule="exact"/>
              <w:jc w:val="center"/>
              <w:rPr>
                <w:rFonts w:hAnsi="宋体" w:eastAsia="宋体" w:cs="宋体"/>
                <w:bCs/>
                <w:color w:val="auto"/>
                <w:sz w:val="21"/>
              </w:rPr>
            </w:pPr>
            <w:r>
              <w:rPr>
                <w:rFonts w:hint="eastAsia" w:hAnsi="宋体" w:eastAsia="宋体" w:cs="宋体"/>
                <w:bCs/>
                <w:color w:val="auto"/>
                <w:sz w:val="21"/>
              </w:rPr>
              <w:t>11、履约能力</w:t>
            </w:r>
          </w:p>
        </w:tc>
        <w:tc>
          <w:tcPr>
            <w:tcW w:w="6645" w:type="dxa"/>
            <w:tcBorders>
              <w:top w:val="single" w:color="auto" w:sz="2" w:space="0"/>
              <w:left w:val="single" w:color="auto" w:sz="4" w:space="0"/>
              <w:bottom w:val="single" w:color="auto" w:sz="4" w:space="0"/>
            </w:tcBorders>
            <w:noWrap/>
            <w:vAlign w:val="center"/>
          </w:tcPr>
          <w:p>
            <w:pPr>
              <w:spacing w:line="360" w:lineRule="exact"/>
              <w:rPr>
                <w:rFonts w:hAnsi="宋体" w:eastAsia="宋体" w:cs="宋体"/>
                <w:bCs/>
                <w:color w:val="auto"/>
                <w:sz w:val="21"/>
              </w:rPr>
            </w:pPr>
            <w:r>
              <w:rPr>
                <w:rFonts w:hint="eastAsia" w:hAnsi="宋体" w:eastAsia="宋体" w:cs="宋体"/>
                <w:bCs/>
                <w:color w:val="auto"/>
                <w:sz w:val="21"/>
              </w:rPr>
              <w:t>11.1供应商具有质量管理体系认证、环境管理体系认证、职业健康安全管理体系认证的，每个得1分，最高得3分。</w:t>
            </w:r>
          </w:p>
          <w:p>
            <w:pPr>
              <w:spacing w:line="360" w:lineRule="exact"/>
              <w:rPr>
                <w:rFonts w:hAnsi="宋体" w:eastAsia="宋体" w:cs="宋体"/>
                <w:bCs/>
                <w:color w:val="auto"/>
                <w:sz w:val="21"/>
              </w:rPr>
            </w:pPr>
            <w:r>
              <w:rPr>
                <w:rFonts w:hint="eastAsia" w:hAnsi="宋体" w:eastAsia="宋体" w:cs="宋体"/>
                <w:bCs/>
                <w:color w:val="auto"/>
                <w:sz w:val="21"/>
              </w:rPr>
              <w:t>注：响应文件中须同时提供有效认证证书扫描件、并需同时提供“国家市场监督管理总局全国认证认可信息公共服务平台”查询结果截图，并加盖公章，未提供或提供不全的不得分。</w:t>
            </w:r>
          </w:p>
        </w:tc>
        <w:tc>
          <w:tcPr>
            <w:tcW w:w="690" w:type="dxa"/>
            <w:noWrap/>
            <w:vAlign w:val="center"/>
          </w:tcPr>
          <w:p>
            <w:pPr>
              <w:spacing w:line="360" w:lineRule="exact"/>
              <w:jc w:val="center"/>
              <w:rPr>
                <w:rFonts w:hAnsi="宋体" w:eastAsia="宋体" w:cs="宋体"/>
                <w:bCs/>
                <w:color w:val="auto"/>
                <w:sz w:val="21"/>
              </w:rPr>
            </w:pPr>
            <w:r>
              <w:rPr>
                <w:rFonts w:hint="eastAsia" w:hAnsi="宋体" w:eastAsia="宋体" w:cs="宋体"/>
                <w:bCs/>
                <w:color w:val="auto"/>
                <w:sz w:val="21"/>
              </w:rPr>
              <w:t>3</w:t>
            </w:r>
          </w:p>
        </w:tc>
        <w:tc>
          <w:tcPr>
            <w:tcW w:w="861" w:type="dxa"/>
            <w:noWrap/>
            <w:vAlign w:val="center"/>
          </w:tcPr>
          <w:p>
            <w:pPr>
              <w:spacing w:line="360" w:lineRule="exact"/>
              <w:jc w:val="center"/>
              <w:rPr>
                <w:rFonts w:hAnsi="宋体" w:eastAsia="宋体" w:cs="宋体"/>
                <w:bCs/>
                <w:color w:val="auto"/>
                <w:sz w:val="21"/>
              </w:rPr>
            </w:pPr>
            <w:r>
              <w:rPr>
                <w:rFonts w:hint="eastAsia" w:hAnsi="宋体" w:eastAsia="宋体" w:cs="宋体"/>
                <w:color w:val="auto"/>
                <w:sz w:val="21"/>
              </w:rPr>
              <w:t>客观分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635" w:type="dxa"/>
            <w:vMerge w:val="continue"/>
            <w:noWrap/>
            <w:vAlign w:val="center"/>
          </w:tcPr>
          <w:p>
            <w:pPr>
              <w:snapToGrid w:val="0"/>
              <w:spacing w:line="360" w:lineRule="exact"/>
              <w:ind w:firstLine="336" w:firstLineChars="200"/>
              <w:rPr>
                <w:rFonts w:hAnsi="宋体" w:eastAsia="宋体" w:cs="宋体"/>
                <w:color w:val="auto"/>
                <w:w w:val="80"/>
                <w:sz w:val="21"/>
              </w:rPr>
            </w:pPr>
          </w:p>
        </w:tc>
        <w:tc>
          <w:tcPr>
            <w:tcW w:w="975" w:type="dxa"/>
            <w:vMerge w:val="continue"/>
            <w:tcBorders>
              <w:right w:val="single" w:color="auto" w:sz="4" w:space="0"/>
            </w:tcBorders>
            <w:noWrap/>
            <w:vAlign w:val="center"/>
          </w:tcPr>
          <w:p>
            <w:pPr>
              <w:spacing w:line="360" w:lineRule="exact"/>
              <w:jc w:val="center"/>
              <w:rPr>
                <w:rFonts w:hAnsi="宋体" w:eastAsia="宋体" w:cs="宋体"/>
                <w:b/>
                <w:color w:val="auto"/>
                <w:sz w:val="21"/>
              </w:rPr>
            </w:pPr>
          </w:p>
        </w:tc>
        <w:tc>
          <w:tcPr>
            <w:tcW w:w="6645" w:type="dxa"/>
            <w:tcBorders>
              <w:top w:val="single" w:color="auto" w:sz="4" w:space="0"/>
              <w:left w:val="single" w:color="auto" w:sz="4" w:space="0"/>
            </w:tcBorders>
            <w:noWrap/>
            <w:vAlign w:val="center"/>
          </w:tcPr>
          <w:p>
            <w:pPr>
              <w:spacing w:line="360" w:lineRule="exact"/>
              <w:rPr>
                <w:rFonts w:hAnsi="宋体" w:eastAsia="宋体" w:cs="宋体"/>
                <w:bCs/>
                <w:color w:val="auto"/>
                <w:sz w:val="21"/>
              </w:rPr>
            </w:pPr>
            <w:r>
              <w:rPr>
                <w:rFonts w:hint="eastAsia" w:hAnsi="宋体" w:eastAsia="宋体" w:cs="宋体"/>
                <w:bCs/>
                <w:color w:val="auto"/>
                <w:sz w:val="21"/>
              </w:rPr>
              <w:t>11.2供应商具有建筑行业（建筑工程）甲级资质的得2分，具有工程测绘乙级及以上资质的</w:t>
            </w:r>
            <w:r>
              <w:rPr>
                <w:rFonts w:hint="eastAsia" w:hAnsi="宋体" w:eastAsia="宋体" w:cs="宋体"/>
                <w:b w:val="0"/>
                <w:bCs w:val="0"/>
                <w:color w:val="auto"/>
                <w:sz w:val="21"/>
                <w:lang w:val="en-US" w:eastAsia="zh-CN"/>
              </w:rPr>
              <w:t>得</w:t>
            </w:r>
            <w:r>
              <w:rPr>
                <w:rFonts w:hAnsi="宋体" w:eastAsia="宋体" w:cs="宋体"/>
                <w:b w:val="0"/>
                <w:bCs w:val="0"/>
                <w:color w:val="auto"/>
                <w:sz w:val="21"/>
              </w:rPr>
              <w:t>2</w:t>
            </w:r>
            <w:r>
              <w:rPr>
                <w:rFonts w:hint="eastAsia" w:hAnsi="宋体" w:eastAsia="宋体" w:cs="宋体"/>
                <w:b w:val="0"/>
                <w:bCs w:val="0"/>
                <w:color w:val="auto"/>
                <w:sz w:val="21"/>
              </w:rPr>
              <w:t>分</w:t>
            </w:r>
            <w:r>
              <w:rPr>
                <w:rFonts w:hint="eastAsia" w:hAnsi="宋体" w:eastAsia="宋体" w:cs="宋体"/>
                <w:bCs/>
                <w:color w:val="auto"/>
                <w:sz w:val="21"/>
              </w:rPr>
              <w:t>，最高得</w:t>
            </w:r>
            <w:r>
              <w:rPr>
                <w:rFonts w:hAnsi="宋体" w:eastAsia="宋体" w:cs="宋体"/>
                <w:b w:val="0"/>
                <w:bCs w:val="0"/>
                <w:color w:val="auto"/>
                <w:sz w:val="21"/>
              </w:rPr>
              <w:t>4</w:t>
            </w:r>
            <w:r>
              <w:rPr>
                <w:rFonts w:hint="eastAsia" w:hAnsi="宋体" w:eastAsia="宋体" w:cs="宋体"/>
                <w:bCs/>
                <w:color w:val="auto"/>
                <w:sz w:val="21"/>
              </w:rPr>
              <w:t>分。</w:t>
            </w:r>
          </w:p>
          <w:p>
            <w:pPr>
              <w:spacing w:line="360" w:lineRule="exact"/>
              <w:rPr>
                <w:rFonts w:hAnsi="宋体" w:eastAsia="宋体" w:cs="宋体"/>
                <w:bCs/>
                <w:color w:val="auto"/>
                <w:sz w:val="21"/>
              </w:rPr>
            </w:pPr>
            <w:r>
              <w:rPr>
                <w:rFonts w:hint="eastAsia" w:hAnsi="宋体" w:eastAsia="宋体" w:cs="宋体"/>
                <w:bCs/>
                <w:color w:val="auto"/>
                <w:sz w:val="21"/>
              </w:rPr>
              <w:t>注：提供有效证书扫描件加盖单位公章，未提供不得分。</w:t>
            </w:r>
          </w:p>
        </w:tc>
        <w:tc>
          <w:tcPr>
            <w:tcW w:w="690" w:type="dxa"/>
            <w:noWrap/>
            <w:vAlign w:val="center"/>
          </w:tcPr>
          <w:p>
            <w:pPr>
              <w:spacing w:line="360" w:lineRule="exact"/>
              <w:jc w:val="center"/>
              <w:rPr>
                <w:rFonts w:hAnsi="宋体" w:eastAsia="宋体" w:cs="宋体"/>
                <w:b w:val="0"/>
                <w:bCs/>
                <w:color w:val="auto"/>
                <w:sz w:val="21"/>
              </w:rPr>
            </w:pPr>
            <w:r>
              <w:rPr>
                <w:rFonts w:hAnsi="宋体" w:eastAsia="宋体" w:cs="宋体"/>
                <w:b w:val="0"/>
                <w:bCs/>
                <w:color w:val="auto"/>
                <w:sz w:val="21"/>
              </w:rPr>
              <w:t>4</w:t>
            </w:r>
          </w:p>
        </w:tc>
        <w:tc>
          <w:tcPr>
            <w:tcW w:w="861" w:type="dxa"/>
            <w:noWrap/>
            <w:vAlign w:val="center"/>
          </w:tcPr>
          <w:p>
            <w:pPr>
              <w:spacing w:line="360" w:lineRule="exact"/>
              <w:jc w:val="center"/>
              <w:rPr>
                <w:rFonts w:hAnsi="宋体" w:eastAsia="宋体" w:cs="宋体"/>
                <w:bCs/>
                <w:color w:val="auto"/>
                <w:sz w:val="21"/>
              </w:rPr>
            </w:pPr>
            <w:r>
              <w:rPr>
                <w:rFonts w:hint="eastAsia" w:hAnsi="宋体" w:eastAsia="宋体" w:cs="宋体"/>
                <w:color w:val="auto"/>
                <w:sz w:val="21"/>
              </w:rPr>
              <w:t>客观分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635" w:type="dxa"/>
            <w:vMerge w:val="continue"/>
            <w:noWrap/>
            <w:vAlign w:val="center"/>
          </w:tcPr>
          <w:p>
            <w:pPr>
              <w:snapToGrid w:val="0"/>
              <w:spacing w:line="360" w:lineRule="exact"/>
              <w:ind w:firstLine="336" w:firstLineChars="200"/>
              <w:rPr>
                <w:rFonts w:hAnsi="宋体" w:eastAsia="宋体" w:cs="宋体"/>
                <w:color w:val="auto"/>
                <w:w w:val="80"/>
                <w:sz w:val="21"/>
              </w:rPr>
            </w:pPr>
          </w:p>
        </w:tc>
        <w:tc>
          <w:tcPr>
            <w:tcW w:w="975" w:type="dxa"/>
            <w:tcBorders>
              <w:right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12、类似业绩</w:t>
            </w:r>
          </w:p>
        </w:tc>
        <w:tc>
          <w:tcPr>
            <w:tcW w:w="6645" w:type="dxa"/>
            <w:tcBorders>
              <w:left w:val="single" w:color="auto" w:sz="4" w:space="0"/>
            </w:tcBorders>
            <w:noWrap/>
            <w:vAlign w:val="center"/>
          </w:tcPr>
          <w:p>
            <w:pPr>
              <w:wordWrap w:val="0"/>
              <w:spacing w:line="360" w:lineRule="exact"/>
              <w:rPr>
                <w:rFonts w:hAnsi="宋体" w:eastAsia="宋体" w:cs="宋体"/>
                <w:color w:val="auto"/>
                <w:sz w:val="21"/>
              </w:rPr>
            </w:pPr>
            <w:r>
              <w:rPr>
                <w:rFonts w:hint="eastAsia" w:hAnsi="宋体" w:eastAsia="宋体" w:cs="宋体"/>
                <w:color w:val="auto"/>
                <w:sz w:val="21"/>
              </w:rPr>
              <w:t>提供自2021年1月1日以来（以合</w:t>
            </w:r>
            <w:bookmarkStart w:id="96" w:name="_GoBack"/>
            <w:bookmarkEnd w:id="96"/>
            <w:r>
              <w:rPr>
                <w:rFonts w:hint="eastAsia" w:hAnsi="宋体" w:eastAsia="宋体" w:cs="宋体"/>
                <w:color w:val="auto"/>
                <w:sz w:val="21"/>
              </w:rPr>
              <w:t>同签订日期为准），供应商完成过文物保护单位保护规划编制项目、文物保护单位“四有”档案编制、相关文物普查项目的业绩、历史文化资源调查评估项目、历史建筑修缮类的业绩，每提供一个业</w:t>
            </w:r>
            <w:r>
              <w:rPr>
                <w:rFonts w:hint="eastAsia" w:hAnsi="宋体" w:eastAsia="宋体" w:cs="宋体"/>
                <w:b w:val="0"/>
                <w:bCs w:val="0"/>
                <w:color w:val="auto"/>
                <w:sz w:val="21"/>
              </w:rPr>
              <w:t>绩得</w:t>
            </w:r>
            <w:r>
              <w:rPr>
                <w:rFonts w:hint="eastAsia" w:hAnsi="宋体" w:eastAsia="宋体" w:cs="宋体"/>
                <w:b w:val="0"/>
                <w:bCs w:val="0"/>
                <w:color w:val="auto"/>
                <w:sz w:val="21"/>
                <w:lang w:val="en-US" w:eastAsia="zh-CN"/>
              </w:rPr>
              <w:t>0.5</w:t>
            </w:r>
            <w:r>
              <w:rPr>
                <w:rFonts w:hint="eastAsia" w:hAnsi="宋体" w:eastAsia="宋体" w:cs="宋体"/>
                <w:b w:val="0"/>
                <w:bCs w:val="0"/>
                <w:color w:val="auto"/>
                <w:sz w:val="21"/>
              </w:rPr>
              <w:t>分，最高</w:t>
            </w:r>
            <w:r>
              <w:rPr>
                <w:rFonts w:hint="eastAsia" w:hAnsi="宋体" w:eastAsia="宋体" w:cs="宋体"/>
                <w:b w:val="0"/>
                <w:bCs w:val="0"/>
                <w:color w:val="auto"/>
                <w:sz w:val="21"/>
                <w:lang w:val="en-US" w:eastAsia="zh-CN"/>
              </w:rPr>
              <w:t>1</w:t>
            </w:r>
            <w:r>
              <w:rPr>
                <w:rFonts w:hint="eastAsia" w:hAnsi="宋体" w:eastAsia="宋体" w:cs="宋体"/>
                <w:b w:val="0"/>
                <w:bCs w:val="0"/>
                <w:color w:val="auto"/>
                <w:sz w:val="21"/>
              </w:rPr>
              <w:t>分</w:t>
            </w:r>
            <w:r>
              <w:rPr>
                <w:rFonts w:hint="eastAsia" w:hAnsi="宋体" w:eastAsia="宋体" w:cs="宋体"/>
                <w:color w:val="auto"/>
                <w:sz w:val="21"/>
              </w:rPr>
              <w:t>。</w:t>
            </w:r>
          </w:p>
          <w:p>
            <w:pPr>
              <w:spacing w:line="360" w:lineRule="exact"/>
              <w:rPr>
                <w:rFonts w:hAnsi="宋体" w:eastAsia="宋体" w:cs="宋体"/>
                <w:color w:val="auto"/>
                <w:sz w:val="21"/>
              </w:rPr>
            </w:pPr>
            <w:r>
              <w:rPr>
                <w:rFonts w:hint="eastAsia" w:hAnsi="宋体" w:eastAsia="宋体" w:cs="宋体"/>
                <w:color w:val="auto"/>
                <w:sz w:val="21"/>
              </w:rPr>
              <w:t>注：响应文件中需提供公开招标的中标通知书、业绩合同（协议），未提供的不得分。</w:t>
            </w:r>
          </w:p>
        </w:tc>
        <w:tc>
          <w:tcPr>
            <w:tcW w:w="690" w:type="dxa"/>
            <w:noWrap/>
            <w:vAlign w:val="center"/>
          </w:tcPr>
          <w:p>
            <w:pPr>
              <w:spacing w:line="360" w:lineRule="exact"/>
              <w:jc w:val="center"/>
              <w:rPr>
                <w:rFonts w:hint="eastAsia" w:hAnsi="宋体" w:eastAsia="宋体" w:cs="宋体"/>
                <w:b w:val="0"/>
                <w:bCs/>
                <w:color w:val="auto"/>
                <w:sz w:val="21"/>
                <w:lang w:eastAsia="zh-CN"/>
              </w:rPr>
            </w:pPr>
            <w:r>
              <w:rPr>
                <w:rFonts w:hint="eastAsia" w:hAnsi="宋体" w:eastAsia="宋体" w:cs="宋体"/>
                <w:b w:val="0"/>
                <w:bCs/>
                <w:color w:val="auto"/>
                <w:sz w:val="21"/>
                <w:lang w:val="en-US" w:eastAsia="zh-CN"/>
              </w:rPr>
              <w:t>1</w:t>
            </w:r>
          </w:p>
        </w:tc>
        <w:tc>
          <w:tcPr>
            <w:tcW w:w="861" w:type="dxa"/>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客观分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69" w:hRule="atLeast"/>
          <w:jc w:val="center"/>
        </w:trPr>
        <w:tc>
          <w:tcPr>
            <w:tcW w:w="1610" w:type="dxa"/>
            <w:gridSpan w:val="2"/>
            <w:tcBorders>
              <w:right w:val="single" w:color="auto" w:sz="4" w:space="0"/>
            </w:tcBorders>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价格分</w:t>
            </w:r>
          </w:p>
        </w:tc>
        <w:tc>
          <w:tcPr>
            <w:tcW w:w="6645" w:type="dxa"/>
            <w:tcBorders>
              <w:left w:val="single" w:color="auto" w:sz="4" w:space="0"/>
            </w:tcBorders>
            <w:noWrap/>
            <w:vAlign w:val="center"/>
          </w:tcPr>
          <w:p>
            <w:pPr>
              <w:snapToGrid w:val="0"/>
              <w:spacing w:before="120" w:beforeLines="50" w:after="120" w:afterLines="50"/>
              <w:rPr>
                <w:rFonts w:hAnsi="宋体" w:eastAsia="宋体" w:cs="宋体"/>
                <w:color w:val="auto"/>
                <w:sz w:val="21"/>
              </w:rPr>
            </w:pPr>
            <w:r>
              <w:rPr>
                <w:rFonts w:hint="eastAsia" w:hAnsi="宋体" w:eastAsia="宋体" w:cs="宋体"/>
                <w:color w:val="auto"/>
                <w:sz w:val="21"/>
              </w:rPr>
              <w:t>评标基准价=满足磋商文件要求且最终报价最低的参与评审的价格</w:t>
            </w:r>
          </w:p>
          <w:p>
            <w:pPr>
              <w:snapToGrid w:val="0"/>
              <w:spacing w:before="120" w:beforeLines="50" w:after="120" w:afterLines="50"/>
              <w:rPr>
                <w:rFonts w:hAnsi="宋体" w:eastAsia="宋体" w:cs="宋体"/>
                <w:color w:val="auto"/>
                <w:sz w:val="21"/>
              </w:rPr>
            </w:pPr>
            <w:r>
              <w:rPr>
                <w:rFonts w:hint="eastAsia" w:hAnsi="宋体" w:eastAsia="宋体" w:cs="宋体"/>
                <w:color w:val="auto"/>
                <w:sz w:val="21"/>
              </w:rPr>
              <w:t>基准价得分为满分。</w:t>
            </w:r>
          </w:p>
          <w:p>
            <w:pPr>
              <w:snapToGrid w:val="0"/>
              <w:spacing w:before="120" w:beforeLines="50" w:after="120" w:afterLines="50"/>
              <w:rPr>
                <w:rFonts w:hAnsi="宋体" w:eastAsia="宋体" w:cs="宋体"/>
                <w:color w:val="auto"/>
                <w:sz w:val="21"/>
              </w:rPr>
            </w:pPr>
            <w:r>
              <w:rPr>
                <w:rFonts w:hint="eastAsia" w:hAnsi="宋体" w:eastAsia="宋体" w:cs="宋体"/>
                <w:color w:val="auto"/>
                <w:sz w:val="21"/>
              </w:rPr>
              <w:t>投标报价得分=(评标基准价/参与评审的最终报价)×价格权重×100</w:t>
            </w:r>
          </w:p>
          <w:p>
            <w:pPr>
              <w:spacing w:line="360" w:lineRule="exact"/>
              <w:rPr>
                <w:rFonts w:hAnsi="宋体" w:eastAsia="宋体" w:cs="宋体"/>
                <w:color w:val="auto"/>
                <w:sz w:val="21"/>
              </w:rPr>
            </w:pPr>
            <w:r>
              <w:rPr>
                <w:rFonts w:hint="eastAsia" w:hAnsi="宋体" w:eastAsia="宋体" w:cs="宋体"/>
                <w:color w:val="auto"/>
                <w:sz w:val="21"/>
              </w:rPr>
              <w:t>投标报价得分以四舍五入保留小数点后2位。</w:t>
            </w:r>
          </w:p>
        </w:tc>
        <w:tc>
          <w:tcPr>
            <w:tcW w:w="1551" w:type="dxa"/>
            <w:gridSpan w:val="2"/>
            <w:noWrap/>
            <w:vAlign w:val="center"/>
          </w:tcPr>
          <w:p>
            <w:pPr>
              <w:spacing w:line="360" w:lineRule="exact"/>
              <w:jc w:val="center"/>
              <w:rPr>
                <w:rFonts w:hAnsi="宋体" w:eastAsia="宋体" w:cs="宋体"/>
                <w:color w:val="auto"/>
                <w:sz w:val="21"/>
              </w:rPr>
            </w:pPr>
            <w:r>
              <w:rPr>
                <w:rFonts w:hint="eastAsia" w:hAnsi="宋体" w:eastAsia="宋体" w:cs="宋体"/>
                <w:color w:val="auto"/>
                <w:sz w:val="21"/>
              </w:rPr>
              <w:t>10</w:t>
            </w:r>
          </w:p>
        </w:tc>
      </w:tr>
    </w:tbl>
    <w:p>
      <w:pPr>
        <w:adjustRightInd/>
        <w:spacing w:line="500" w:lineRule="exact"/>
        <w:textAlignment w:val="auto"/>
        <w:rPr>
          <w:rFonts w:hAnsi="宋体" w:eastAsia="宋体" w:cs="宋体"/>
          <w:kern w:val="2"/>
          <w:sz w:val="21"/>
        </w:rPr>
      </w:pPr>
      <w:r>
        <w:rPr>
          <w:rFonts w:hint="eastAsia" w:hAnsi="宋体" w:eastAsia="宋体" w:cs="宋体"/>
          <w:kern w:val="2"/>
          <w:sz w:val="21"/>
        </w:rPr>
        <w:t>注：1、评委在上表设定的分值范围内打分（四舍五入保留一位小数），对缺项的项目按零分计。分数汇总后，计算算术平均值作为资信技术分，平均分值计算四舍五入保留两位小数点。</w:t>
      </w:r>
    </w:p>
    <w:p>
      <w:pPr>
        <w:adjustRightInd/>
        <w:spacing w:line="500" w:lineRule="exact"/>
        <w:textAlignment w:val="auto"/>
        <w:rPr>
          <w:rFonts w:hAnsi="宋体" w:eastAsia="宋体" w:cs="宋体"/>
          <w:kern w:val="2"/>
          <w:sz w:val="21"/>
        </w:rPr>
      </w:pPr>
      <w:r>
        <w:rPr>
          <w:rFonts w:hint="eastAsia" w:hAnsi="宋体" w:eastAsia="宋体" w:cs="宋体"/>
          <w:kern w:val="2"/>
          <w:sz w:val="21"/>
        </w:rPr>
        <w:t>2、评委对需要共同认定的事项存在争议的，按少数服从多数的原则做出结论。</w:t>
      </w:r>
    </w:p>
    <w:p>
      <w:pPr>
        <w:rPr>
          <w:rFonts w:hAnsi="宋体" w:eastAsia="宋体" w:cs="宋体"/>
          <w:kern w:val="2"/>
          <w:sz w:val="21"/>
        </w:rPr>
      </w:pPr>
      <w:r>
        <w:rPr>
          <w:rFonts w:hint="eastAsia" w:hAnsi="宋体" w:eastAsia="宋体" w:cs="宋体"/>
          <w:kern w:val="2"/>
          <w:sz w:val="21"/>
        </w:rPr>
        <w:br w:type="page"/>
      </w:r>
    </w:p>
    <w:p>
      <w:pPr>
        <w:adjustRightInd/>
        <w:spacing w:line="500" w:lineRule="exact"/>
        <w:textAlignment w:val="auto"/>
        <w:rPr>
          <w:rFonts w:hAnsi="宋体" w:eastAsia="宋体" w:cs="宋体"/>
          <w:sz w:val="21"/>
        </w:rPr>
      </w:pPr>
    </w:p>
    <w:bookmarkEnd w:id="72"/>
    <w:bookmarkEnd w:id="73"/>
    <w:p>
      <w:pPr>
        <w:pStyle w:val="5"/>
        <w:jc w:val="center"/>
        <w:rPr>
          <w:kern w:val="2"/>
          <w:szCs w:val="32"/>
        </w:rPr>
      </w:pPr>
      <w:bookmarkStart w:id="86" w:name="_Toc8874"/>
      <w:bookmarkStart w:id="87" w:name="_Toc30719"/>
      <w:bookmarkStart w:id="88" w:name="_Toc25660"/>
      <w:bookmarkStart w:id="89" w:name="_Toc1823"/>
      <w:bookmarkStart w:id="90" w:name="_Toc2339"/>
      <w:bookmarkStart w:id="91" w:name="_Toc23854"/>
      <w:r>
        <w:rPr>
          <w:rStyle w:val="42"/>
          <w:rFonts w:hint="eastAsia"/>
          <w:b/>
          <w:bCs/>
        </w:rPr>
        <w:t>第五章 合同条款及格式</w:t>
      </w:r>
      <w:bookmarkEnd w:id="86"/>
      <w:bookmarkEnd w:id="87"/>
      <w:bookmarkEnd w:id="88"/>
    </w:p>
    <w:p>
      <w:pPr>
        <w:spacing w:line="440" w:lineRule="exact"/>
        <w:jc w:val="center"/>
        <w:rPr>
          <w:rFonts w:hAnsi="宋体" w:eastAsia="宋体" w:cs="宋体"/>
          <w:sz w:val="21"/>
        </w:rPr>
      </w:pPr>
      <w:r>
        <w:rPr>
          <w:rFonts w:hint="eastAsia" w:hAnsi="宋体" w:eastAsia="宋体" w:cs="宋体"/>
          <w:sz w:val="21"/>
        </w:rPr>
        <w:t>（合同文件仅供参考，具体以合同签订时甲乙双方确定的版本为准）</w:t>
      </w:r>
    </w:p>
    <w:p>
      <w:pPr>
        <w:widowControl/>
        <w:snapToGrid w:val="0"/>
        <w:spacing w:before="100" w:beforeAutospacing="1" w:after="100" w:afterAutospacing="1" w:line="400" w:lineRule="exact"/>
        <w:jc w:val="left"/>
        <w:rPr>
          <w:rFonts w:hAnsi="宋体" w:eastAsia="宋体" w:cs="宋体"/>
          <w:sz w:val="21"/>
        </w:rPr>
      </w:pPr>
      <w:r>
        <w:rPr>
          <w:rFonts w:hint="eastAsia" w:hAnsi="宋体" w:eastAsia="宋体" w:cs="宋体"/>
          <w:sz w:val="21"/>
        </w:rPr>
        <w:t xml:space="preserve">项目名称： </w:t>
      </w:r>
      <w:r>
        <w:rPr>
          <w:rFonts w:hint="eastAsia" w:hAnsi="宋体" w:eastAsia="宋体" w:cs="宋体"/>
          <w:sz w:val="21"/>
          <w:lang w:eastAsia="zh-CN"/>
        </w:rPr>
        <w:t>海曙区第四次全国文物普查野外调查项目</w:t>
      </w:r>
      <w:r>
        <w:rPr>
          <w:rFonts w:hint="eastAsia" w:hAnsi="宋体" w:eastAsia="宋体" w:cs="宋体"/>
          <w:sz w:val="21"/>
        </w:rPr>
        <w:t xml:space="preserve">                                    项目编号： </w:t>
      </w:r>
    </w:p>
    <w:p>
      <w:pPr>
        <w:widowControl/>
        <w:snapToGrid w:val="0"/>
        <w:spacing w:line="500" w:lineRule="exact"/>
        <w:jc w:val="left"/>
        <w:rPr>
          <w:rFonts w:hAnsi="宋体" w:eastAsia="宋体" w:cs="宋体"/>
          <w:sz w:val="21"/>
        </w:rPr>
      </w:pPr>
      <w:r>
        <w:rPr>
          <w:rFonts w:hint="eastAsia" w:hAnsi="宋体" w:eastAsia="宋体" w:cs="宋体"/>
          <w:sz w:val="21"/>
        </w:rPr>
        <w:t>甲方： 宁波市海曙区文物管理所</w:t>
      </w:r>
    </w:p>
    <w:p>
      <w:pPr>
        <w:widowControl/>
        <w:snapToGrid w:val="0"/>
        <w:spacing w:line="500" w:lineRule="exact"/>
        <w:jc w:val="left"/>
        <w:rPr>
          <w:rFonts w:hAnsi="宋体" w:eastAsia="宋体" w:cs="宋体"/>
          <w:sz w:val="21"/>
        </w:rPr>
      </w:pPr>
      <w:r>
        <w:rPr>
          <w:rFonts w:hint="eastAsia" w:hAnsi="宋体" w:eastAsia="宋体" w:cs="宋体"/>
          <w:sz w:val="21"/>
        </w:rPr>
        <w:t>乙方：</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甲、乙双方根据</w:t>
      </w:r>
      <w:r>
        <w:rPr>
          <w:rFonts w:hint="eastAsia" w:hAnsi="宋体" w:eastAsia="宋体" w:cs="宋体"/>
          <w:sz w:val="21"/>
          <w:u w:val="single"/>
          <w:lang w:eastAsia="zh-CN"/>
        </w:rPr>
        <w:t>海曙区第四次全国文物普查野外调查项目</w:t>
      </w:r>
      <w:r>
        <w:rPr>
          <w:rFonts w:hint="eastAsia" w:hAnsi="宋体" w:eastAsia="宋体" w:cs="宋体"/>
          <w:sz w:val="21"/>
        </w:rPr>
        <w:t>公开采购的结果，签署本合同。</w:t>
      </w:r>
    </w:p>
    <w:p>
      <w:pPr>
        <w:widowControl/>
        <w:snapToGrid w:val="0"/>
        <w:spacing w:line="500" w:lineRule="exact"/>
        <w:jc w:val="left"/>
        <w:rPr>
          <w:rFonts w:hAnsi="宋体" w:eastAsia="宋体" w:cs="宋体"/>
          <w:b/>
          <w:sz w:val="21"/>
        </w:rPr>
      </w:pPr>
      <w:r>
        <w:rPr>
          <w:rFonts w:hint="eastAsia" w:hAnsi="宋体" w:eastAsia="宋体" w:cs="宋体"/>
          <w:b/>
          <w:sz w:val="21"/>
        </w:rPr>
        <w:t>一、服务内容、服务期限</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1、服务内容：详见采购文件“第三章 项目需求”。</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2、服务期限：。</w:t>
      </w:r>
    </w:p>
    <w:p>
      <w:pPr>
        <w:widowControl/>
        <w:snapToGrid w:val="0"/>
        <w:spacing w:line="500" w:lineRule="exact"/>
        <w:jc w:val="left"/>
        <w:rPr>
          <w:rFonts w:hAnsi="宋体" w:eastAsia="宋体" w:cs="宋体"/>
          <w:b/>
          <w:sz w:val="21"/>
        </w:rPr>
      </w:pPr>
      <w:r>
        <w:rPr>
          <w:rFonts w:hint="eastAsia" w:hAnsi="宋体" w:eastAsia="宋体" w:cs="宋体"/>
          <w:b/>
          <w:sz w:val="21"/>
        </w:rPr>
        <w:t>二、合同金额</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本合同总金额为：</w:t>
      </w:r>
      <w:r>
        <w:rPr>
          <w:rFonts w:hint="eastAsia" w:hAnsi="宋体" w:eastAsia="宋体" w:cs="宋体"/>
          <w:sz w:val="21"/>
          <w:u w:val="single"/>
        </w:rPr>
        <w:t xml:space="preserve">              。</w:t>
      </w:r>
    </w:p>
    <w:p>
      <w:pPr>
        <w:widowControl/>
        <w:snapToGrid w:val="0"/>
        <w:spacing w:line="500" w:lineRule="exact"/>
        <w:jc w:val="left"/>
        <w:rPr>
          <w:rFonts w:hAnsi="宋体" w:eastAsia="宋体" w:cs="宋体"/>
          <w:b/>
          <w:sz w:val="21"/>
        </w:rPr>
      </w:pPr>
      <w:r>
        <w:rPr>
          <w:rFonts w:hint="eastAsia" w:hAnsi="宋体" w:eastAsia="宋体" w:cs="宋体"/>
          <w:b/>
          <w:sz w:val="21"/>
        </w:rPr>
        <w:t>三、技术资料及设备</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1、乙方应按采购文件规定的时间向甲方提供有关普查成果，详见采购文件“第三章 项目需求”。</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500" w:lineRule="exact"/>
        <w:ind w:left="360" w:hanging="361" w:hangingChars="171"/>
        <w:jc w:val="left"/>
        <w:rPr>
          <w:rFonts w:hAnsi="宋体" w:eastAsia="宋体" w:cs="宋体"/>
          <w:b/>
          <w:sz w:val="21"/>
        </w:rPr>
      </w:pPr>
      <w:r>
        <w:rPr>
          <w:rFonts w:hint="eastAsia" w:hAnsi="宋体" w:eastAsia="宋体" w:cs="宋体"/>
          <w:b/>
          <w:sz w:val="21"/>
        </w:rPr>
        <w:t>四、知识产权</w:t>
      </w:r>
    </w:p>
    <w:p>
      <w:pPr>
        <w:widowControl/>
        <w:snapToGrid w:val="0"/>
        <w:spacing w:line="500" w:lineRule="exact"/>
        <w:ind w:left="476" w:leftChars="170"/>
        <w:jc w:val="left"/>
        <w:rPr>
          <w:rFonts w:hAnsi="宋体" w:eastAsia="宋体" w:cs="宋体"/>
          <w:sz w:val="21"/>
        </w:rPr>
      </w:pPr>
      <w:r>
        <w:rPr>
          <w:rFonts w:hint="eastAsia" w:hAnsi="宋体" w:eastAsia="宋体" w:cs="宋体"/>
          <w:sz w:val="21"/>
        </w:rPr>
        <w:t>乙方应保证提供服务过程中不会侵犯任何第三方的知识产权。</w:t>
      </w:r>
    </w:p>
    <w:p>
      <w:pPr>
        <w:widowControl/>
        <w:snapToGrid w:val="0"/>
        <w:spacing w:line="500" w:lineRule="exact"/>
        <w:ind w:left="358" w:hanging="358" w:hangingChars="170"/>
        <w:jc w:val="left"/>
        <w:rPr>
          <w:rFonts w:hAnsi="宋体" w:eastAsia="宋体" w:cs="宋体"/>
          <w:b/>
          <w:sz w:val="21"/>
        </w:rPr>
      </w:pPr>
      <w:r>
        <w:rPr>
          <w:rFonts w:hint="eastAsia" w:hAnsi="宋体" w:eastAsia="宋体" w:cs="宋体"/>
          <w:b/>
          <w:sz w:val="21"/>
        </w:rPr>
        <w:t>五、履约保证金</w:t>
      </w:r>
    </w:p>
    <w:p>
      <w:pPr>
        <w:snapToGrid w:val="0"/>
        <w:spacing w:line="500" w:lineRule="exact"/>
        <w:ind w:firstLine="422" w:firstLineChars="200"/>
        <w:rPr>
          <w:rFonts w:hAnsi="宋体" w:eastAsia="宋体" w:cs="宋体"/>
          <w:b/>
          <w:sz w:val="21"/>
        </w:rPr>
      </w:pPr>
      <w:r>
        <w:rPr>
          <w:rFonts w:hint="eastAsia" w:hAnsi="宋体" w:eastAsia="宋体" w:cs="宋体"/>
          <w:b/>
          <w:sz w:val="21"/>
        </w:rPr>
        <w:t>/</w:t>
      </w:r>
    </w:p>
    <w:p>
      <w:pPr>
        <w:snapToGrid w:val="0"/>
        <w:spacing w:line="500" w:lineRule="exact"/>
        <w:rPr>
          <w:rFonts w:hAnsi="宋体" w:eastAsia="宋体" w:cs="宋体"/>
          <w:b/>
          <w:sz w:val="21"/>
        </w:rPr>
      </w:pPr>
      <w:r>
        <w:rPr>
          <w:rFonts w:hint="eastAsia" w:hAnsi="宋体" w:eastAsia="宋体" w:cs="宋体"/>
          <w:b/>
          <w:sz w:val="21"/>
        </w:rPr>
        <w:t>六、转包或分包</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本项目不允许转包或分包，否则，甲方有权解除合同并追究乙方的违约责任。</w:t>
      </w:r>
    </w:p>
    <w:p>
      <w:pPr>
        <w:widowControl/>
        <w:snapToGrid w:val="0"/>
        <w:spacing w:line="500" w:lineRule="exact"/>
        <w:jc w:val="left"/>
        <w:rPr>
          <w:rFonts w:hAnsi="宋体" w:eastAsia="宋体" w:cs="宋体"/>
          <w:b/>
          <w:sz w:val="21"/>
        </w:rPr>
      </w:pPr>
      <w:r>
        <w:rPr>
          <w:rFonts w:hint="eastAsia" w:hAnsi="宋体" w:eastAsia="宋体" w:cs="宋体"/>
          <w:b/>
          <w:sz w:val="21"/>
        </w:rPr>
        <w:t>七、执行时间及执行地点</w:t>
      </w:r>
    </w:p>
    <w:p>
      <w:pPr>
        <w:widowControl/>
        <w:snapToGrid w:val="0"/>
        <w:spacing w:line="500" w:lineRule="exact"/>
        <w:ind w:firstLine="420" w:firstLineChars="200"/>
        <w:jc w:val="left"/>
        <w:rPr>
          <w:rFonts w:hAnsi="宋体" w:eastAsia="宋体" w:cs="宋体"/>
          <w:sz w:val="21"/>
        </w:rPr>
      </w:pPr>
      <w:r>
        <w:rPr>
          <w:rFonts w:hint="eastAsia" w:hAnsi="宋体" w:eastAsia="宋体" w:cs="宋体"/>
          <w:bCs/>
          <w:sz w:val="21"/>
        </w:rPr>
        <w:t>1.</w:t>
      </w:r>
      <w:r>
        <w:rPr>
          <w:rFonts w:hint="eastAsia" w:hAnsi="宋体" w:eastAsia="宋体" w:cs="宋体"/>
          <w:sz w:val="21"/>
        </w:rPr>
        <w:t>执行时间：。</w:t>
      </w:r>
    </w:p>
    <w:p>
      <w:pPr>
        <w:widowControl/>
        <w:snapToGrid w:val="0"/>
        <w:spacing w:line="500" w:lineRule="exact"/>
        <w:ind w:firstLine="420" w:firstLineChars="200"/>
        <w:jc w:val="left"/>
        <w:rPr>
          <w:rFonts w:hAnsi="宋体" w:eastAsia="宋体" w:cs="宋体"/>
          <w:bCs/>
          <w:sz w:val="21"/>
        </w:rPr>
      </w:pPr>
      <w:r>
        <w:rPr>
          <w:rFonts w:hint="eastAsia" w:hAnsi="宋体" w:eastAsia="宋体" w:cs="宋体"/>
          <w:bCs/>
          <w:sz w:val="21"/>
        </w:rPr>
        <w:t>2.</w:t>
      </w:r>
      <w:r>
        <w:rPr>
          <w:rFonts w:hint="eastAsia" w:hAnsi="宋体" w:eastAsia="宋体" w:cs="宋体"/>
          <w:sz w:val="21"/>
        </w:rPr>
        <w:t>执行地点</w:t>
      </w:r>
      <w:r>
        <w:rPr>
          <w:rFonts w:hint="eastAsia" w:hAnsi="宋体" w:eastAsia="宋体" w:cs="宋体"/>
          <w:bCs/>
          <w:sz w:val="21"/>
        </w:rPr>
        <w:t>：。</w:t>
      </w:r>
    </w:p>
    <w:p>
      <w:pPr>
        <w:widowControl/>
        <w:snapToGrid w:val="0"/>
        <w:spacing w:line="500" w:lineRule="exact"/>
        <w:jc w:val="left"/>
        <w:rPr>
          <w:rFonts w:hAnsi="宋体" w:eastAsia="宋体" w:cs="宋体"/>
          <w:b/>
          <w:sz w:val="21"/>
        </w:rPr>
      </w:pPr>
      <w:r>
        <w:rPr>
          <w:rFonts w:hint="eastAsia" w:hAnsi="宋体" w:eastAsia="宋体" w:cs="宋体"/>
          <w:b/>
          <w:sz w:val="21"/>
        </w:rPr>
        <w:t>八、款项支付</w:t>
      </w:r>
    </w:p>
    <w:p>
      <w:pPr>
        <w:widowControl/>
        <w:jc w:val="left"/>
        <w:rPr>
          <w:rFonts w:hAnsi="宋体" w:eastAsia="宋体" w:cs="宋体"/>
          <w:sz w:val="21"/>
        </w:rPr>
      </w:pPr>
      <w:r>
        <w:rPr>
          <w:rFonts w:hint="eastAsia" w:hAnsi="宋体" w:eastAsia="宋体" w:cs="宋体"/>
          <w:sz w:val="21"/>
        </w:rPr>
        <w:t>1.付款方式：</w:t>
      </w:r>
    </w:p>
    <w:p>
      <w:pPr>
        <w:widowControl/>
        <w:snapToGrid w:val="0"/>
        <w:spacing w:line="500" w:lineRule="exact"/>
        <w:ind w:firstLine="420" w:firstLineChars="200"/>
        <w:jc w:val="left"/>
        <w:rPr>
          <w:rFonts w:hAnsi="宋体" w:eastAsia="宋体" w:cs="宋体"/>
          <w:bCs/>
          <w:sz w:val="21"/>
        </w:rPr>
      </w:pPr>
      <w:r>
        <w:rPr>
          <w:rFonts w:hint="eastAsia" w:hAnsi="宋体" w:eastAsia="宋体" w:cs="宋体"/>
          <w:kern w:val="2"/>
          <w:sz w:val="21"/>
        </w:rPr>
        <w:t>2024年：本项目合同签订并收到成交供应商发票后7个工作日内支付合同金额的40%，</w:t>
      </w:r>
      <w:r>
        <w:rPr>
          <w:rFonts w:hint="eastAsia" w:hAnsi="宋体" w:eastAsia="宋体" w:cs="宋体"/>
          <w:bCs/>
          <w:sz w:val="21"/>
        </w:rPr>
        <w:t>即人民币</w:t>
      </w:r>
      <w:r>
        <w:rPr>
          <w:rFonts w:hint="eastAsia" w:hAnsi="宋体" w:eastAsia="宋体" w:cs="宋体"/>
          <w:bCs/>
          <w:sz w:val="21"/>
          <w:u w:val="single"/>
        </w:rPr>
        <w:t xml:space="preserve">      元</w:t>
      </w:r>
      <w:r>
        <w:rPr>
          <w:rFonts w:hint="eastAsia" w:hAnsi="宋体" w:eastAsia="宋体" w:cs="宋体"/>
          <w:kern w:val="2"/>
          <w:sz w:val="21"/>
        </w:rPr>
        <w:t>；2024年9月底完成省文物部门进度安排且收到成交供应商发票后支付合同金额的15%，</w:t>
      </w:r>
      <w:r>
        <w:rPr>
          <w:rFonts w:hint="eastAsia" w:hAnsi="宋体" w:eastAsia="宋体" w:cs="宋体"/>
          <w:bCs/>
          <w:sz w:val="21"/>
        </w:rPr>
        <w:t>即人民币</w:t>
      </w:r>
      <w:r>
        <w:rPr>
          <w:rFonts w:hint="eastAsia" w:hAnsi="宋体" w:eastAsia="宋体" w:cs="宋体"/>
          <w:bCs/>
          <w:sz w:val="21"/>
          <w:u w:val="single"/>
        </w:rPr>
        <w:t xml:space="preserve">      元</w:t>
      </w:r>
      <w:r>
        <w:rPr>
          <w:rFonts w:hint="eastAsia" w:hAnsi="宋体" w:eastAsia="宋体" w:cs="宋体"/>
          <w:kern w:val="2"/>
          <w:sz w:val="21"/>
        </w:rPr>
        <w:t>；</w:t>
      </w:r>
    </w:p>
    <w:p>
      <w:pPr>
        <w:adjustRightInd/>
        <w:spacing w:line="336" w:lineRule="auto"/>
        <w:ind w:firstLine="420" w:firstLineChars="200"/>
        <w:textAlignment w:val="auto"/>
        <w:rPr>
          <w:rFonts w:hAnsi="宋体" w:eastAsia="宋体" w:cs="宋体"/>
          <w:kern w:val="2"/>
          <w:sz w:val="21"/>
        </w:rPr>
      </w:pPr>
      <w:r>
        <w:rPr>
          <w:rFonts w:hint="eastAsia" w:hAnsi="宋体" w:eastAsia="宋体" w:cs="宋体"/>
          <w:kern w:val="2"/>
          <w:sz w:val="21"/>
        </w:rPr>
        <w:t>2025年：完成全部“三普”复核工作并录入普查系统且收到成交供应商发票后支付合同金额的10%，</w:t>
      </w:r>
      <w:r>
        <w:rPr>
          <w:rFonts w:hint="eastAsia" w:hAnsi="宋体" w:eastAsia="宋体" w:cs="宋体"/>
          <w:bCs/>
          <w:sz w:val="21"/>
        </w:rPr>
        <w:t>即人民币</w:t>
      </w:r>
      <w:r>
        <w:rPr>
          <w:rFonts w:hint="eastAsia" w:hAnsi="宋体" w:eastAsia="宋体" w:cs="宋体"/>
          <w:bCs/>
          <w:sz w:val="21"/>
          <w:u w:val="single"/>
        </w:rPr>
        <w:t xml:space="preserve">      元</w:t>
      </w:r>
      <w:r>
        <w:rPr>
          <w:rFonts w:hint="eastAsia" w:hAnsi="宋体" w:eastAsia="宋体" w:cs="宋体"/>
          <w:kern w:val="2"/>
          <w:sz w:val="21"/>
        </w:rPr>
        <w:t>；按省市文物部门进度要求完成新线索调查等工作且收到成交供应商发票后支付合同金额的15%，</w:t>
      </w:r>
      <w:r>
        <w:rPr>
          <w:rFonts w:hint="eastAsia" w:hAnsi="宋体" w:eastAsia="宋体" w:cs="宋体"/>
          <w:bCs/>
          <w:sz w:val="21"/>
        </w:rPr>
        <w:t>即人民币</w:t>
      </w:r>
      <w:r>
        <w:rPr>
          <w:rFonts w:hint="eastAsia" w:hAnsi="宋体" w:eastAsia="宋体" w:cs="宋体"/>
          <w:bCs/>
          <w:sz w:val="21"/>
          <w:u w:val="single"/>
        </w:rPr>
        <w:t xml:space="preserve">      元</w:t>
      </w:r>
      <w:r>
        <w:rPr>
          <w:rFonts w:hint="eastAsia" w:hAnsi="宋体" w:eastAsia="宋体" w:cs="宋体"/>
          <w:kern w:val="2"/>
          <w:sz w:val="21"/>
        </w:rPr>
        <w:t>；</w:t>
      </w:r>
    </w:p>
    <w:p>
      <w:pPr>
        <w:adjustRightInd/>
        <w:spacing w:line="336" w:lineRule="auto"/>
        <w:ind w:firstLine="420" w:firstLineChars="200"/>
        <w:textAlignment w:val="auto"/>
        <w:rPr>
          <w:rFonts w:hAnsi="宋体" w:eastAsia="宋体" w:cs="宋体"/>
          <w:kern w:val="2"/>
          <w:sz w:val="21"/>
        </w:rPr>
      </w:pPr>
      <w:r>
        <w:rPr>
          <w:rFonts w:hint="eastAsia" w:hAnsi="宋体" w:eastAsia="宋体" w:cs="宋体"/>
          <w:kern w:val="2"/>
          <w:sz w:val="21"/>
        </w:rPr>
        <w:t>2026年：完成并提交电子版成果、根据“四普”相关工作安排，通过上级文物部门对“四普”软件系统录入信息审核（含机审和人工审）后且收到成交供应商发票后7个工作日内支付合同金额的10%，</w:t>
      </w:r>
      <w:r>
        <w:rPr>
          <w:rFonts w:hint="eastAsia" w:hAnsi="宋体" w:eastAsia="宋体" w:cs="宋体"/>
          <w:bCs/>
          <w:sz w:val="21"/>
        </w:rPr>
        <w:t>即人民币</w:t>
      </w:r>
      <w:r>
        <w:rPr>
          <w:rFonts w:hint="eastAsia" w:hAnsi="宋体" w:eastAsia="宋体" w:cs="宋体"/>
          <w:bCs/>
          <w:sz w:val="21"/>
          <w:u w:val="single"/>
        </w:rPr>
        <w:t xml:space="preserve">      元</w:t>
      </w:r>
      <w:r>
        <w:rPr>
          <w:rFonts w:hint="eastAsia" w:hAnsi="宋体" w:eastAsia="宋体" w:cs="宋体"/>
          <w:kern w:val="2"/>
          <w:sz w:val="21"/>
        </w:rPr>
        <w:t>；全部项目成果提交上级文物部门，通过最终审核，并修改、完善、存档且收到成交供应商发票后7个工作日内支付合同金额的10%，</w:t>
      </w:r>
      <w:r>
        <w:rPr>
          <w:rFonts w:hint="eastAsia" w:hAnsi="宋体" w:eastAsia="宋体" w:cs="宋体"/>
          <w:bCs/>
          <w:sz w:val="21"/>
        </w:rPr>
        <w:t>即人民币</w:t>
      </w:r>
      <w:r>
        <w:rPr>
          <w:rFonts w:hint="eastAsia" w:hAnsi="宋体" w:eastAsia="宋体" w:cs="宋体"/>
          <w:bCs/>
          <w:sz w:val="21"/>
          <w:u w:val="single"/>
        </w:rPr>
        <w:t xml:space="preserve">      元</w:t>
      </w:r>
      <w:r>
        <w:rPr>
          <w:rFonts w:hint="eastAsia" w:hAnsi="宋体" w:eastAsia="宋体" w:cs="宋体"/>
          <w:kern w:val="2"/>
          <w:sz w:val="21"/>
        </w:rPr>
        <w:t>。</w:t>
      </w:r>
    </w:p>
    <w:p>
      <w:pPr>
        <w:snapToGrid w:val="0"/>
        <w:spacing w:line="500" w:lineRule="exact"/>
        <w:rPr>
          <w:rFonts w:hAnsi="宋体" w:eastAsia="宋体" w:cs="宋体"/>
          <w:b/>
          <w:sz w:val="21"/>
        </w:rPr>
      </w:pPr>
      <w:r>
        <w:rPr>
          <w:rFonts w:hint="eastAsia" w:hAnsi="宋体" w:eastAsia="宋体" w:cs="宋体"/>
          <w:b/>
          <w:sz w:val="21"/>
        </w:rPr>
        <w:t>九、税费</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本合同执行中相关的一切税费均由乙方负担。</w:t>
      </w:r>
    </w:p>
    <w:p>
      <w:pPr>
        <w:widowControl/>
        <w:snapToGrid w:val="0"/>
        <w:spacing w:line="500" w:lineRule="exact"/>
        <w:ind w:left="360" w:hanging="361" w:hangingChars="171"/>
        <w:jc w:val="left"/>
        <w:rPr>
          <w:rFonts w:hAnsi="宋体" w:eastAsia="宋体" w:cs="宋体"/>
          <w:sz w:val="21"/>
        </w:rPr>
      </w:pPr>
      <w:r>
        <w:rPr>
          <w:rFonts w:hint="eastAsia" w:hAnsi="宋体" w:eastAsia="宋体" w:cs="宋体"/>
          <w:b/>
          <w:sz w:val="21"/>
        </w:rPr>
        <w:t>十、</w:t>
      </w:r>
      <w:r>
        <w:rPr>
          <w:rFonts w:hint="eastAsia" w:hAnsi="宋体" w:eastAsia="宋体" w:cs="宋体"/>
          <w:b/>
          <w:bCs/>
          <w:sz w:val="21"/>
        </w:rPr>
        <w:t>免费维护期及后续服务</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1．免费维护期：自完成本项目全部工作且通过各级文物部门审核后至2026年12月31日。</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2．乙方提供的服务成果如不符合“四普”相关要求的，乙方应负责免费进行修改完善工作，直至符合相关工作标准。对达不到要求者，根据实际情况，经双方协商，可按以下办法处理：</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（1）</w:t>
      </w:r>
      <w:r>
        <w:rPr>
          <w:rFonts w:hint="eastAsia" w:hAnsi="宋体" w:eastAsia="宋体" w:cs="宋体"/>
          <w:bCs/>
          <w:sz w:val="21"/>
        </w:rPr>
        <w:t>若因</w:t>
      </w:r>
      <w:r>
        <w:rPr>
          <w:rFonts w:hint="eastAsia" w:hAnsi="宋体" w:eastAsia="宋体" w:cs="宋体"/>
          <w:bCs/>
          <w:kern w:val="2"/>
          <w:sz w:val="21"/>
        </w:rPr>
        <w:t>成交供应商</w:t>
      </w:r>
      <w:r>
        <w:rPr>
          <w:rFonts w:hint="eastAsia" w:hAnsi="宋体" w:eastAsia="宋体" w:cs="宋体"/>
          <w:bCs/>
          <w:sz w:val="21"/>
        </w:rPr>
        <w:t>自身原因，导致未按照相应时间节点及上级文物部门进度、质量要求完成工作的，逾期应按合同额每日千分之一支付违约金。</w:t>
      </w:r>
    </w:p>
    <w:p>
      <w:pPr>
        <w:widowControl/>
        <w:snapToGrid w:val="0"/>
        <w:spacing w:line="500" w:lineRule="exact"/>
        <w:ind w:firstLine="420" w:firstLineChars="200"/>
        <w:jc w:val="left"/>
        <w:rPr>
          <w:rFonts w:hAnsi="宋体" w:eastAsia="宋体" w:cs="宋体"/>
          <w:bCs/>
          <w:sz w:val="21"/>
        </w:rPr>
      </w:pPr>
      <w:r>
        <w:rPr>
          <w:rFonts w:hint="eastAsia" w:hAnsi="宋体" w:eastAsia="宋体" w:cs="宋体"/>
          <w:bCs/>
          <w:sz w:val="21"/>
        </w:rPr>
        <w:t>（2）在免费维护期内发现服务质量缺陷，乙方负责返工或采取补救措施；</w:t>
      </w:r>
    </w:p>
    <w:p>
      <w:pPr>
        <w:widowControl/>
        <w:snapToGrid w:val="0"/>
        <w:spacing w:line="500" w:lineRule="exact"/>
        <w:ind w:firstLine="420" w:firstLineChars="200"/>
        <w:jc w:val="left"/>
        <w:rPr>
          <w:rFonts w:hAnsi="宋体" w:eastAsia="宋体" w:cs="宋体"/>
          <w:bCs/>
          <w:sz w:val="21"/>
        </w:rPr>
      </w:pPr>
      <w:r>
        <w:rPr>
          <w:rFonts w:hint="eastAsia" w:hAnsi="宋体" w:eastAsia="宋体" w:cs="宋体"/>
          <w:bCs/>
          <w:sz w:val="21"/>
        </w:rPr>
        <w:t>（3）返工或采取补救措施所产生的费用均由乙方承担。</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3．如在普查成果各级文物部门审核、验收阶段内发现重大问题，乙方在接到甲方通知后需在</w:t>
      </w:r>
      <w:r>
        <w:rPr>
          <w:rFonts w:hAnsi="宋体" w:eastAsia="宋体" w:cs="宋体"/>
          <w:sz w:val="21"/>
        </w:rPr>
        <w:t>4</w:t>
      </w:r>
      <w:r>
        <w:rPr>
          <w:rFonts w:hint="eastAsia" w:hAnsi="宋体" w:eastAsia="宋体" w:cs="宋体"/>
          <w:sz w:val="21"/>
        </w:rPr>
        <w:t>小时内到达甲方指定的现场进行处理。</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4．在免费维护期内，乙方应对出现的质量问题负责处理解决并承担一切费用。</w:t>
      </w:r>
    </w:p>
    <w:p>
      <w:pPr>
        <w:widowControl/>
        <w:snapToGrid w:val="0"/>
        <w:spacing w:line="500" w:lineRule="exact"/>
        <w:jc w:val="left"/>
        <w:rPr>
          <w:rFonts w:hAnsi="宋体" w:eastAsia="宋体" w:cs="宋体"/>
          <w:b/>
          <w:sz w:val="21"/>
        </w:rPr>
      </w:pPr>
      <w:r>
        <w:rPr>
          <w:rFonts w:hint="eastAsia" w:hAnsi="宋体" w:eastAsia="宋体" w:cs="宋体"/>
          <w:b/>
          <w:sz w:val="21"/>
        </w:rPr>
        <w:t>十一、违约责任</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1．甲方无正当理由拒收接受服务的，甲方向乙方偿付合同款项千分之一作为违约金。</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2．甲方无故逾期验收和办理款项支付手续的，甲方应按逾期付款总额每日万分之五向乙方支付违约金。</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 xml:space="preserve">3．乙方未能如期提供服务的，每日向甲方支付合同款项的千分之一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4．乙方须与甲方签订保密协议，确保不得将保密信息披露给第三方，否则，甲方有权解除合同，并不予退还履约保证金，同时，乙方还将承担所有责任。</w:t>
      </w:r>
    </w:p>
    <w:p>
      <w:pPr>
        <w:widowControl/>
        <w:snapToGrid w:val="0"/>
        <w:spacing w:line="500" w:lineRule="exact"/>
        <w:jc w:val="left"/>
        <w:rPr>
          <w:rFonts w:hAnsi="宋体" w:eastAsia="宋体" w:cs="宋体"/>
          <w:b/>
          <w:sz w:val="21"/>
        </w:rPr>
      </w:pPr>
      <w:r>
        <w:rPr>
          <w:rFonts w:hint="eastAsia" w:hAnsi="宋体" w:eastAsia="宋体" w:cs="宋体"/>
          <w:b/>
          <w:sz w:val="21"/>
        </w:rPr>
        <w:t>十二、不可抗力事件处理</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1．在合同有效期内，任何一方因不可抗力事件导致不能履行合同，则合同履行期可延长，其延长期与不可抗力影响期相同。</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2．不可抗力事件发生后，应立即通知对方，并寄送有关证明。</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3．不可抗力事件延续120天以上，双方应通过友好协商，确定是否继续履行合同。</w:t>
      </w:r>
    </w:p>
    <w:p>
      <w:pPr>
        <w:widowControl/>
        <w:snapToGrid w:val="0"/>
        <w:spacing w:line="500" w:lineRule="exact"/>
        <w:jc w:val="left"/>
        <w:rPr>
          <w:rFonts w:hAnsi="宋体" w:eastAsia="宋体" w:cs="宋体"/>
          <w:b/>
          <w:sz w:val="21"/>
        </w:rPr>
      </w:pPr>
      <w:r>
        <w:rPr>
          <w:rFonts w:hint="eastAsia" w:hAnsi="宋体" w:eastAsia="宋体" w:cs="宋体"/>
          <w:b/>
          <w:sz w:val="21"/>
        </w:rPr>
        <w:t>十三、诉讼</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双方在执行合同中所发生的一切争议，应通过协商解决。如协商不成，可向甲方所在地法院起诉。</w:t>
      </w:r>
    </w:p>
    <w:p>
      <w:pPr>
        <w:widowControl/>
        <w:snapToGrid w:val="0"/>
        <w:spacing w:line="500" w:lineRule="exact"/>
        <w:jc w:val="left"/>
        <w:rPr>
          <w:rFonts w:hAnsi="宋体" w:eastAsia="宋体" w:cs="宋体"/>
          <w:b/>
          <w:sz w:val="21"/>
        </w:rPr>
      </w:pPr>
      <w:r>
        <w:rPr>
          <w:rFonts w:hint="eastAsia" w:hAnsi="宋体" w:eastAsia="宋体" w:cs="宋体"/>
          <w:b/>
          <w:sz w:val="21"/>
        </w:rPr>
        <w:t>十四、合同生效及其它</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1．合同经双方法定代表人或授权代表签字并加盖单位公章后生效。</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2．相关采购文件、投标文件与本合同具有同等法律效力。</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3．本合同未尽事宜，遵照《民法典》有关条文执行。</w:t>
      </w:r>
    </w:p>
    <w:p>
      <w:pPr>
        <w:widowControl/>
        <w:snapToGrid w:val="0"/>
        <w:spacing w:line="500" w:lineRule="exact"/>
        <w:ind w:firstLine="420" w:firstLineChars="200"/>
        <w:jc w:val="left"/>
        <w:rPr>
          <w:rFonts w:hAnsi="宋体" w:eastAsia="宋体" w:cs="宋体"/>
          <w:sz w:val="21"/>
        </w:rPr>
      </w:pPr>
      <w:r>
        <w:rPr>
          <w:rFonts w:hint="eastAsia" w:hAnsi="宋体" w:eastAsia="宋体" w:cs="宋体"/>
          <w:sz w:val="21"/>
        </w:rPr>
        <w:t>4．本合同一式二份，签字、盖章后有效，甲乙各持一份，具有同等法律效力。</w:t>
      </w:r>
    </w:p>
    <w:p>
      <w:pPr>
        <w:widowControl/>
        <w:snapToGrid w:val="0"/>
        <w:spacing w:line="500" w:lineRule="exact"/>
        <w:ind w:left="420" w:hanging="420" w:hangingChars="200"/>
        <w:jc w:val="left"/>
        <w:rPr>
          <w:rFonts w:hAnsi="宋体" w:eastAsia="宋体" w:cs="宋体"/>
          <w:sz w:val="21"/>
        </w:rPr>
      </w:pPr>
    </w:p>
    <w:p>
      <w:pPr>
        <w:widowControl/>
        <w:snapToGrid w:val="0"/>
        <w:spacing w:line="500" w:lineRule="exact"/>
        <w:ind w:left="420" w:hanging="420" w:hangingChars="200"/>
        <w:jc w:val="left"/>
        <w:rPr>
          <w:rFonts w:hAnsi="宋体" w:eastAsia="宋体" w:cs="宋体"/>
          <w:sz w:val="21"/>
        </w:rPr>
      </w:pPr>
      <w:r>
        <w:rPr>
          <w:rFonts w:hint="eastAsia" w:hAnsi="宋体" w:eastAsia="宋体" w:cs="宋体"/>
          <w:sz w:val="21"/>
        </w:rPr>
        <w:t xml:space="preserve">  甲方：                                   乙方： </w:t>
      </w:r>
    </w:p>
    <w:p>
      <w:pPr>
        <w:widowControl/>
        <w:snapToGrid w:val="0"/>
        <w:spacing w:line="500" w:lineRule="exact"/>
        <w:ind w:left="420" w:hanging="420" w:hangingChars="200"/>
        <w:jc w:val="left"/>
        <w:rPr>
          <w:rFonts w:hAnsi="宋体" w:eastAsia="宋体" w:cs="宋体"/>
          <w:sz w:val="21"/>
        </w:rPr>
      </w:pPr>
      <w:r>
        <w:rPr>
          <w:rFonts w:hint="eastAsia" w:hAnsi="宋体" w:eastAsia="宋体" w:cs="宋体"/>
          <w:sz w:val="21"/>
        </w:rPr>
        <w:t xml:space="preserve">  地址：                                   地址： </w:t>
      </w:r>
    </w:p>
    <w:p>
      <w:pPr>
        <w:widowControl/>
        <w:snapToGrid w:val="0"/>
        <w:spacing w:line="500" w:lineRule="exact"/>
        <w:ind w:left="420" w:hanging="420" w:hangingChars="200"/>
        <w:jc w:val="left"/>
        <w:rPr>
          <w:rFonts w:hAnsi="宋体" w:eastAsia="宋体" w:cs="宋体"/>
          <w:sz w:val="21"/>
        </w:rPr>
      </w:pPr>
      <w:r>
        <w:rPr>
          <w:rFonts w:hint="eastAsia" w:hAnsi="宋体" w:eastAsia="宋体" w:cs="宋体"/>
          <w:sz w:val="21"/>
        </w:rPr>
        <w:t xml:space="preserve">  法定（授权）代表人：                     法定（授权）代表人：</w:t>
      </w:r>
    </w:p>
    <w:p>
      <w:pPr>
        <w:widowControl/>
        <w:snapToGrid w:val="0"/>
        <w:spacing w:line="500" w:lineRule="exact"/>
        <w:ind w:left="420" w:hanging="420" w:hangingChars="200"/>
        <w:jc w:val="left"/>
        <w:rPr>
          <w:rFonts w:hAnsi="宋体" w:eastAsia="宋体" w:cs="宋体"/>
          <w:sz w:val="21"/>
        </w:rPr>
      </w:pPr>
      <w:r>
        <w:rPr>
          <w:rFonts w:hint="eastAsia" w:hAnsi="宋体" w:eastAsia="宋体" w:cs="宋体"/>
          <w:sz w:val="21"/>
        </w:rPr>
        <w:t xml:space="preserve">  签字日期：      年  月  日               签字日期：      年  月  日</w:t>
      </w:r>
    </w:p>
    <w:p>
      <w:pPr>
        <w:rPr>
          <w:rFonts w:hAnsi="宋体" w:eastAsia="宋体" w:cs="宋体"/>
          <w:sz w:val="21"/>
        </w:rPr>
      </w:pPr>
      <w:r>
        <w:rPr>
          <w:rFonts w:hint="eastAsia" w:hAnsi="宋体" w:eastAsia="宋体" w:cs="宋体"/>
          <w:sz w:val="21"/>
        </w:rPr>
        <w:br w:type="page"/>
      </w:r>
    </w:p>
    <w:p>
      <w:pPr>
        <w:pStyle w:val="5"/>
        <w:jc w:val="center"/>
        <w:rPr>
          <w:rFonts w:cs="宋体"/>
        </w:rPr>
      </w:pPr>
      <w:bookmarkStart w:id="92" w:name="_Toc18162"/>
      <w:r>
        <w:rPr>
          <w:rStyle w:val="42"/>
          <w:rFonts w:hint="eastAsia"/>
          <w:b/>
          <w:bCs/>
        </w:rPr>
        <w:t>第六章 响应文件格式</w:t>
      </w:r>
      <w:bookmarkEnd w:id="89"/>
      <w:bookmarkEnd w:id="90"/>
      <w:bookmarkEnd w:id="91"/>
      <w:bookmarkEnd w:id="92"/>
    </w:p>
    <w:p>
      <w:pPr>
        <w:snapToGrid w:val="0"/>
        <w:jc w:val="center"/>
        <w:rPr>
          <w:rFonts w:hAnsi="宋体" w:eastAsia="宋体" w:cs="宋体"/>
          <w:b/>
          <w:sz w:val="21"/>
        </w:rPr>
      </w:pPr>
      <w:bookmarkStart w:id="93" w:name="_Toc294193701"/>
      <w:bookmarkStart w:id="94" w:name="_Toc294085258"/>
      <w:bookmarkStart w:id="95" w:name="_Toc294085997"/>
    </w:p>
    <w:p>
      <w:pPr>
        <w:snapToGrid w:val="0"/>
        <w:jc w:val="left"/>
        <w:rPr>
          <w:rFonts w:hAnsi="宋体" w:eastAsia="宋体" w:cs="宋体"/>
          <w:b/>
          <w:sz w:val="21"/>
        </w:rPr>
      </w:pPr>
      <w:r>
        <w:rPr>
          <w:rFonts w:hint="eastAsia" w:hAnsi="宋体" w:eastAsia="宋体" w:cs="宋体"/>
          <w:b/>
          <w:sz w:val="21"/>
        </w:rPr>
        <w:t>1.外包装格式（提供电子备份投标文件信封密封时使用）</w:t>
      </w:r>
    </w:p>
    <w:p>
      <w:pPr>
        <w:snapToGrid w:val="0"/>
        <w:jc w:val="left"/>
        <w:rPr>
          <w:rFonts w:hAnsi="宋体" w:eastAsia="宋体" w:cs="宋体"/>
          <w:bCs/>
          <w:sz w:val="21"/>
        </w:rPr>
      </w:pPr>
      <w:r>
        <w:rPr>
          <w:rFonts w:hint="eastAsia" w:hAnsi="宋体" w:eastAsia="宋体" w:cs="宋体"/>
          <w:bCs/>
          <w:sz w:val="21"/>
        </w:rPr>
        <w:t>电子备份投标文件</w:t>
      </w:r>
    </w:p>
    <w:p>
      <w:pPr>
        <w:snapToGrid w:val="0"/>
        <w:jc w:val="left"/>
        <w:rPr>
          <w:rFonts w:hAnsi="宋体" w:eastAsia="宋体" w:cs="宋体"/>
          <w:bCs/>
          <w:sz w:val="21"/>
        </w:rPr>
      </w:pPr>
      <w:r>
        <w:rPr>
          <w:rFonts w:hint="eastAsia" w:hAnsi="宋体" w:eastAsia="宋体" w:cs="宋体"/>
          <w:bCs/>
          <w:sz w:val="21"/>
        </w:rPr>
        <w:t>项目名称：</w:t>
      </w:r>
    </w:p>
    <w:p>
      <w:pPr>
        <w:snapToGrid w:val="0"/>
        <w:jc w:val="left"/>
        <w:rPr>
          <w:rFonts w:hAnsi="宋体" w:eastAsia="宋体" w:cs="宋体"/>
          <w:bCs/>
          <w:sz w:val="21"/>
        </w:rPr>
      </w:pPr>
      <w:r>
        <w:rPr>
          <w:rFonts w:hint="eastAsia" w:hAnsi="宋体" w:eastAsia="宋体" w:cs="宋体"/>
          <w:bCs/>
          <w:sz w:val="21"/>
        </w:rPr>
        <w:t>项目编号：</w:t>
      </w:r>
    </w:p>
    <w:p>
      <w:pPr>
        <w:snapToGrid w:val="0"/>
        <w:jc w:val="left"/>
        <w:rPr>
          <w:rFonts w:hAnsi="宋体" w:eastAsia="宋体" w:cs="宋体"/>
          <w:bCs/>
          <w:sz w:val="21"/>
        </w:rPr>
      </w:pPr>
      <w:r>
        <w:rPr>
          <w:rFonts w:hint="eastAsia" w:hAnsi="宋体" w:eastAsia="宋体" w:cs="宋体"/>
          <w:bCs/>
          <w:sz w:val="21"/>
        </w:rPr>
        <w:t>供应商名称（加盖公章）：</w:t>
      </w:r>
    </w:p>
    <w:p>
      <w:pPr>
        <w:snapToGrid w:val="0"/>
        <w:jc w:val="left"/>
        <w:rPr>
          <w:rFonts w:hAnsi="宋体" w:eastAsia="宋体" w:cs="宋体"/>
          <w:bCs/>
          <w:sz w:val="21"/>
        </w:rPr>
      </w:pPr>
      <w:r>
        <w:rPr>
          <w:rFonts w:hint="eastAsia" w:hAnsi="宋体" w:eastAsia="宋体" w:cs="宋体"/>
          <w:bCs/>
          <w:sz w:val="21"/>
        </w:rPr>
        <w:t>供应商地址：</w:t>
      </w:r>
    </w:p>
    <w:p>
      <w:pPr>
        <w:snapToGrid w:val="0"/>
        <w:jc w:val="center"/>
        <w:rPr>
          <w:rFonts w:hAnsi="宋体" w:eastAsia="宋体" w:cs="宋体"/>
          <w:bCs/>
          <w:sz w:val="21"/>
        </w:rPr>
      </w:pPr>
      <w:r>
        <w:rPr>
          <w:rFonts w:hint="eastAsia" w:hAnsi="宋体" w:eastAsia="宋体" w:cs="宋体"/>
          <w:bCs/>
          <w:sz w:val="21"/>
        </w:rPr>
        <w:t>（投标截止时间前不得启封）</w:t>
      </w:r>
    </w:p>
    <w:p>
      <w:pPr>
        <w:snapToGrid w:val="0"/>
        <w:jc w:val="left"/>
        <w:rPr>
          <w:rFonts w:hAnsi="宋体" w:eastAsia="宋体" w:cs="宋体"/>
          <w:bCs/>
          <w:sz w:val="21"/>
        </w:rPr>
      </w:pPr>
      <w:r>
        <w:rPr>
          <w:rFonts w:hint="eastAsia" w:hAnsi="宋体" w:eastAsia="宋体" w:cs="宋体"/>
          <w:bCs/>
          <w:sz w:val="21"/>
        </w:rPr>
        <w:t xml:space="preserve">                                                            年  月  日</w:t>
      </w: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r>
        <w:rPr>
          <w:rFonts w:hint="eastAsia" w:hAnsi="宋体" w:eastAsia="宋体" w:cs="宋体"/>
          <w:b/>
          <w:sz w:val="21"/>
        </w:rPr>
        <w:t>2.投标文件封面格式</w:t>
      </w:r>
    </w:p>
    <w:p>
      <w:pPr>
        <w:snapToGrid w:val="0"/>
        <w:jc w:val="left"/>
        <w:rPr>
          <w:rFonts w:hAnsi="宋体" w:eastAsia="宋体" w:cs="宋体"/>
          <w:bCs/>
          <w:sz w:val="21"/>
        </w:rPr>
      </w:pPr>
    </w:p>
    <w:p>
      <w:pPr>
        <w:snapToGrid w:val="0"/>
        <w:ind w:firstLine="3360" w:firstLineChars="1600"/>
        <w:jc w:val="left"/>
        <w:rPr>
          <w:rFonts w:hAnsi="宋体" w:eastAsia="宋体" w:cs="宋体"/>
          <w:bCs/>
          <w:sz w:val="21"/>
        </w:rPr>
      </w:pPr>
      <w:r>
        <w:rPr>
          <w:rFonts w:hint="eastAsia" w:hAnsi="宋体" w:eastAsia="宋体" w:cs="宋体"/>
          <w:bCs/>
          <w:sz w:val="21"/>
        </w:rPr>
        <w:t>资格文件/商务技术文件/报价文件</w:t>
      </w:r>
    </w:p>
    <w:p>
      <w:pPr>
        <w:snapToGrid w:val="0"/>
        <w:jc w:val="left"/>
        <w:rPr>
          <w:rFonts w:hAnsi="宋体" w:eastAsia="宋体" w:cs="宋体"/>
          <w:bCs/>
          <w:sz w:val="21"/>
        </w:rPr>
      </w:pPr>
    </w:p>
    <w:p>
      <w:pPr>
        <w:snapToGrid w:val="0"/>
        <w:jc w:val="left"/>
        <w:rPr>
          <w:rFonts w:hAnsi="宋体" w:eastAsia="宋体" w:cs="宋体"/>
          <w:bCs/>
          <w:sz w:val="21"/>
        </w:rPr>
      </w:pPr>
      <w:r>
        <w:rPr>
          <w:rFonts w:hint="eastAsia" w:hAnsi="宋体" w:eastAsia="宋体" w:cs="宋体"/>
          <w:bCs/>
          <w:sz w:val="21"/>
        </w:rPr>
        <w:t>项目名称：</w:t>
      </w:r>
    </w:p>
    <w:p>
      <w:pPr>
        <w:snapToGrid w:val="0"/>
        <w:jc w:val="left"/>
        <w:rPr>
          <w:rFonts w:hAnsi="宋体" w:eastAsia="宋体" w:cs="宋体"/>
          <w:bCs/>
          <w:sz w:val="21"/>
        </w:rPr>
      </w:pPr>
      <w:r>
        <w:rPr>
          <w:rFonts w:hint="eastAsia" w:hAnsi="宋体" w:eastAsia="宋体" w:cs="宋体"/>
          <w:bCs/>
          <w:sz w:val="21"/>
        </w:rPr>
        <w:t>项目编号：</w:t>
      </w:r>
    </w:p>
    <w:p>
      <w:pPr>
        <w:snapToGrid w:val="0"/>
        <w:jc w:val="left"/>
        <w:rPr>
          <w:rFonts w:hAnsi="宋体" w:eastAsia="宋体" w:cs="宋体"/>
          <w:bCs/>
          <w:sz w:val="21"/>
        </w:rPr>
      </w:pPr>
      <w:r>
        <w:rPr>
          <w:rFonts w:hint="eastAsia" w:hAnsi="宋体" w:eastAsia="宋体" w:cs="宋体"/>
          <w:bCs/>
          <w:sz w:val="21"/>
        </w:rPr>
        <w:t>供应商名称（加盖公章）：</w:t>
      </w:r>
    </w:p>
    <w:p>
      <w:pPr>
        <w:snapToGrid w:val="0"/>
        <w:jc w:val="left"/>
        <w:rPr>
          <w:rFonts w:hAnsi="宋体" w:eastAsia="宋体" w:cs="宋体"/>
          <w:bCs/>
          <w:sz w:val="21"/>
        </w:rPr>
      </w:pPr>
      <w:r>
        <w:rPr>
          <w:rFonts w:hint="eastAsia" w:hAnsi="宋体" w:eastAsia="宋体" w:cs="宋体"/>
          <w:bCs/>
          <w:sz w:val="21"/>
        </w:rPr>
        <w:t>供应商地址：</w:t>
      </w:r>
    </w:p>
    <w:p>
      <w:pPr>
        <w:snapToGrid w:val="0"/>
        <w:jc w:val="left"/>
        <w:rPr>
          <w:rFonts w:hAnsi="宋体" w:eastAsia="宋体" w:cs="宋体"/>
          <w:bCs/>
          <w:sz w:val="21"/>
        </w:rPr>
      </w:pPr>
    </w:p>
    <w:p>
      <w:pPr>
        <w:snapToGrid w:val="0"/>
        <w:jc w:val="left"/>
        <w:rPr>
          <w:rFonts w:hAnsi="宋体" w:eastAsia="宋体" w:cs="宋体"/>
          <w:bCs/>
          <w:sz w:val="21"/>
        </w:rPr>
      </w:pPr>
    </w:p>
    <w:p>
      <w:pPr>
        <w:snapToGrid w:val="0"/>
        <w:jc w:val="left"/>
        <w:rPr>
          <w:rFonts w:hAnsi="宋体" w:eastAsia="宋体" w:cs="宋体"/>
          <w:bCs/>
          <w:sz w:val="21"/>
        </w:rPr>
      </w:pPr>
      <w:r>
        <w:rPr>
          <w:rFonts w:hint="eastAsia" w:hAnsi="宋体" w:eastAsia="宋体" w:cs="宋体"/>
          <w:bCs/>
          <w:sz w:val="21"/>
        </w:rPr>
        <w:t xml:space="preserve">  年  月  日</w:t>
      </w: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pPr>
    </w:p>
    <w:p>
      <w:pPr>
        <w:snapToGrid w:val="0"/>
        <w:jc w:val="left"/>
        <w:rPr>
          <w:rFonts w:hAnsi="宋体" w:eastAsia="宋体" w:cs="宋体"/>
          <w:b/>
          <w:sz w:val="21"/>
        </w:rPr>
        <w:sectPr>
          <w:headerReference r:id="rId8" w:type="default"/>
          <w:footerReference r:id="rId9" w:type="default"/>
          <w:pgSz w:w="11906" w:h="16838"/>
          <w:pgMar w:top="1474" w:right="1474" w:bottom="1247" w:left="1474" w:header="851" w:footer="850" w:gutter="0"/>
          <w:cols w:space="720" w:num="1"/>
          <w:docGrid w:linePitch="312" w:charSpace="0"/>
        </w:sectPr>
      </w:pPr>
    </w:p>
    <w:p>
      <w:pPr>
        <w:snapToGrid w:val="0"/>
        <w:jc w:val="left"/>
        <w:rPr>
          <w:rFonts w:hAnsi="宋体" w:eastAsia="宋体" w:cs="宋体"/>
          <w:b/>
          <w:sz w:val="21"/>
        </w:rPr>
      </w:pPr>
      <w:r>
        <w:rPr>
          <w:rFonts w:hint="eastAsia" w:hAnsi="宋体" w:eastAsia="宋体" w:cs="宋体"/>
          <w:b/>
          <w:sz w:val="21"/>
        </w:rPr>
        <w:t>3.资格文件内容包括：</w:t>
      </w:r>
    </w:p>
    <w:p>
      <w:pPr>
        <w:pStyle w:val="6"/>
        <w:numPr>
          <w:ilvl w:val="0"/>
          <w:numId w:val="0"/>
        </w:numPr>
        <w:tabs>
          <w:tab w:val="left" w:pos="720"/>
        </w:tabs>
        <w:snapToGrid w:val="0"/>
        <w:rPr>
          <w:rFonts w:hAnsi="宋体" w:eastAsia="宋体" w:cs="宋体"/>
          <w:bCs/>
          <w:sz w:val="21"/>
        </w:rPr>
      </w:pPr>
      <w:r>
        <w:rPr>
          <w:rFonts w:hint="eastAsia" w:hAnsi="宋体" w:eastAsia="宋体" w:cs="宋体"/>
          <w:bCs/>
          <w:sz w:val="21"/>
        </w:rPr>
        <w:t>（1）供应商资格声明函（</w:t>
      </w:r>
      <w:r>
        <w:rPr>
          <w:rFonts w:hint="eastAsia" w:hAnsi="宋体" w:eastAsia="宋体" w:cs="宋体"/>
          <w:sz w:val="21"/>
        </w:rPr>
        <w:t>格式详见第六章 响应文件格式</w:t>
      </w:r>
      <w:r>
        <w:rPr>
          <w:rFonts w:hint="eastAsia" w:hAnsi="宋体" w:eastAsia="宋体" w:cs="宋体"/>
          <w:bCs/>
          <w:sz w:val="21"/>
        </w:rPr>
        <w:t>）；</w:t>
      </w:r>
    </w:p>
    <w:p>
      <w:pPr>
        <w:pStyle w:val="6"/>
        <w:numPr>
          <w:ilvl w:val="0"/>
          <w:numId w:val="0"/>
        </w:numPr>
        <w:tabs>
          <w:tab w:val="left" w:pos="720"/>
        </w:tabs>
        <w:snapToGrid w:val="0"/>
        <w:rPr>
          <w:rFonts w:hAnsi="宋体" w:eastAsia="宋体" w:cs="宋体"/>
          <w:bCs/>
          <w:sz w:val="21"/>
        </w:rPr>
      </w:pPr>
      <w:r>
        <w:rPr>
          <w:rFonts w:hint="eastAsia" w:hAnsi="宋体" w:eastAsia="宋体" w:cs="宋体"/>
          <w:bCs/>
          <w:sz w:val="21"/>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6"/>
        <w:numPr>
          <w:ilvl w:val="0"/>
          <w:numId w:val="0"/>
        </w:numPr>
        <w:tabs>
          <w:tab w:val="left" w:pos="720"/>
        </w:tabs>
        <w:adjustRightInd/>
        <w:spacing w:line="400" w:lineRule="exact"/>
        <w:rPr>
          <w:rFonts w:hAnsi="宋体" w:eastAsia="宋体" w:cs="宋体"/>
          <w:bCs/>
          <w:sz w:val="21"/>
        </w:rPr>
      </w:pPr>
      <w:r>
        <w:rPr>
          <w:rFonts w:hint="eastAsia" w:hAnsi="宋体" w:eastAsia="宋体" w:cs="宋体"/>
          <w:bCs/>
          <w:sz w:val="21"/>
        </w:rPr>
        <w:t>（3）供应商落实政府采购政策的证明文件：详见“第一章  竞争性磋商公告 二、申请人的资格要求：2.落实政府采购政策需满足的资格要求”；</w:t>
      </w:r>
    </w:p>
    <w:p>
      <w:pPr>
        <w:pStyle w:val="6"/>
        <w:numPr>
          <w:ilvl w:val="0"/>
          <w:numId w:val="0"/>
        </w:numPr>
        <w:tabs>
          <w:tab w:val="left" w:pos="720"/>
        </w:tabs>
        <w:snapToGrid w:val="0"/>
        <w:rPr>
          <w:rFonts w:hAnsi="宋体" w:eastAsia="宋体" w:cs="宋体"/>
          <w:bCs/>
          <w:sz w:val="21"/>
        </w:rPr>
      </w:pPr>
      <w:r>
        <w:rPr>
          <w:rFonts w:hint="eastAsia" w:hAnsi="宋体" w:eastAsia="宋体" w:cs="宋体"/>
          <w:bCs/>
          <w:sz w:val="21"/>
        </w:rPr>
        <w:t>（4）供应商特定资格条件的证明文件：详见“第一章  竞争性磋商公告 二、申请人的资格要求：3.本项目的特定资格要求”</w:t>
      </w:r>
    </w:p>
    <w:p>
      <w:pPr>
        <w:pStyle w:val="6"/>
        <w:numPr>
          <w:ilvl w:val="0"/>
          <w:numId w:val="0"/>
        </w:numPr>
        <w:tabs>
          <w:tab w:val="left" w:pos="720"/>
        </w:tabs>
        <w:snapToGrid w:val="0"/>
        <w:rPr>
          <w:rFonts w:hAnsi="宋体" w:eastAsia="宋体" w:cs="宋体"/>
          <w:bCs/>
          <w:sz w:val="21"/>
        </w:rPr>
      </w:pPr>
      <w:r>
        <w:rPr>
          <w:rFonts w:hint="eastAsia" w:hAnsi="宋体" w:eastAsia="宋体" w:cs="宋体"/>
          <w:bCs/>
          <w:sz w:val="21"/>
        </w:rPr>
        <w:t>（5）磋商文件要求的其他资格条件证明材料（如有）；</w:t>
      </w:r>
    </w:p>
    <w:p>
      <w:pPr>
        <w:pStyle w:val="6"/>
        <w:numPr>
          <w:ilvl w:val="0"/>
          <w:numId w:val="0"/>
        </w:numPr>
        <w:tabs>
          <w:tab w:val="left" w:pos="720"/>
        </w:tabs>
        <w:snapToGrid w:val="0"/>
        <w:spacing w:before="120" w:beforeLines="50"/>
        <w:ind w:left="549" w:leftChars="196"/>
        <w:rPr>
          <w:rFonts w:hAnsi="宋体" w:cs="宋体"/>
          <w:bCs/>
          <w:sz w:val="21"/>
        </w:rPr>
      </w:pPr>
    </w:p>
    <w:p>
      <w:pPr>
        <w:pStyle w:val="6"/>
        <w:numPr>
          <w:ilvl w:val="0"/>
          <w:numId w:val="0"/>
        </w:numPr>
        <w:tabs>
          <w:tab w:val="left" w:pos="720"/>
        </w:tabs>
        <w:snapToGrid w:val="0"/>
        <w:spacing w:before="120" w:beforeLines="50"/>
        <w:ind w:left="549" w:leftChars="196"/>
        <w:rPr>
          <w:rFonts w:hAnsi="宋体" w:cs="宋体"/>
          <w:bCs/>
          <w:sz w:val="21"/>
        </w:rPr>
      </w:pPr>
    </w:p>
    <w:p>
      <w:pPr>
        <w:snapToGrid w:val="0"/>
        <w:jc w:val="left"/>
        <w:rPr>
          <w:rFonts w:hAnsi="宋体" w:eastAsia="宋体" w:cs="宋体"/>
          <w:b/>
          <w:sz w:val="21"/>
        </w:rPr>
        <w:sectPr>
          <w:pgSz w:w="11906" w:h="16838"/>
          <w:pgMar w:top="1474" w:right="1474" w:bottom="1247" w:left="1474" w:header="851" w:footer="850" w:gutter="0"/>
          <w:cols w:space="720" w:num="1"/>
          <w:docGrid w:linePitch="312" w:charSpace="0"/>
        </w:sectPr>
      </w:pPr>
    </w:p>
    <w:bookmarkEnd w:id="93"/>
    <w:bookmarkEnd w:id="94"/>
    <w:bookmarkEnd w:id="95"/>
    <w:p>
      <w:pPr>
        <w:pStyle w:val="36"/>
        <w:ind w:left="0" w:firstLine="0"/>
        <w:rPr>
          <w:rFonts w:hAnsi="宋体" w:cs="宋体"/>
          <w:b/>
        </w:rPr>
      </w:pPr>
      <w:r>
        <w:rPr>
          <w:rFonts w:hint="eastAsia" w:hAnsi="宋体" w:cs="宋体"/>
          <w:b/>
        </w:rPr>
        <w:t>（1）供应商资格声明函</w:t>
      </w:r>
    </w:p>
    <w:p>
      <w:pPr>
        <w:pStyle w:val="36"/>
        <w:spacing w:line="400" w:lineRule="exact"/>
        <w:jc w:val="center"/>
        <w:rPr>
          <w:rFonts w:hAnsi="宋体" w:cs="宋体"/>
          <w:b/>
        </w:rPr>
      </w:pPr>
      <w:r>
        <w:rPr>
          <w:rFonts w:hint="eastAsia" w:hAnsi="宋体" w:cs="宋体"/>
          <w:b/>
        </w:rPr>
        <w:t>供应商资格声明函</w:t>
      </w:r>
    </w:p>
    <w:p>
      <w:pPr>
        <w:spacing w:line="400" w:lineRule="exact"/>
        <w:rPr>
          <w:rFonts w:hAnsi="宋体" w:eastAsia="宋体" w:cs="宋体"/>
          <w:b/>
          <w:kern w:val="2"/>
          <w:sz w:val="21"/>
          <w:szCs w:val="24"/>
        </w:rPr>
      </w:pPr>
      <w:r>
        <w:rPr>
          <w:rFonts w:hint="eastAsia" w:hAnsi="宋体" w:eastAsia="宋体" w:cs="宋体"/>
          <w:b/>
          <w:kern w:val="2"/>
          <w:sz w:val="21"/>
          <w:szCs w:val="24"/>
          <w:u w:val="single"/>
        </w:rPr>
        <w:t>宁波中竖项目管理咨询有限公司</w:t>
      </w:r>
      <w:r>
        <w:rPr>
          <w:rFonts w:hint="eastAsia" w:hAnsi="宋体" w:eastAsia="宋体" w:cs="宋体"/>
          <w:b/>
          <w:kern w:val="2"/>
          <w:sz w:val="21"/>
          <w:szCs w:val="24"/>
        </w:rPr>
        <w:t>：</w:t>
      </w:r>
    </w:p>
    <w:p>
      <w:pPr>
        <w:adjustRightInd/>
        <w:snapToGrid w:val="0"/>
        <w:spacing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关于贵司年</w:t>
      </w:r>
      <w:r>
        <w:rPr>
          <w:rFonts w:hint="eastAsia" w:hAnsi="宋体" w:eastAsia="宋体" w:cs="宋体"/>
          <w:kern w:val="2"/>
          <w:sz w:val="21"/>
          <w:szCs w:val="24"/>
          <w:u w:val="single"/>
        </w:rPr>
        <w:t>　　</w:t>
      </w:r>
      <w:r>
        <w:rPr>
          <w:rFonts w:hint="eastAsia" w:hAnsi="宋体" w:eastAsia="宋体" w:cs="宋体"/>
          <w:kern w:val="2"/>
          <w:sz w:val="21"/>
          <w:szCs w:val="24"/>
        </w:rPr>
        <w:t>月</w:t>
      </w:r>
      <w:r>
        <w:rPr>
          <w:rFonts w:hint="eastAsia" w:hAnsi="宋体" w:eastAsia="宋体" w:cs="宋体"/>
          <w:kern w:val="2"/>
          <w:sz w:val="21"/>
          <w:szCs w:val="24"/>
          <w:u w:val="single"/>
        </w:rPr>
        <w:t>　　</w:t>
      </w:r>
      <w:r>
        <w:rPr>
          <w:rFonts w:hint="eastAsia" w:hAnsi="宋体" w:eastAsia="宋体" w:cs="宋体"/>
          <w:kern w:val="2"/>
          <w:sz w:val="21"/>
          <w:szCs w:val="24"/>
        </w:rPr>
        <w:t>日发布</w:t>
      </w:r>
      <w:r>
        <w:rPr>
          <w:rFonts w:hint="eastAsia" w:hAnsi="宋体" w:eastAsia="宋体" w:cs="宋体"/>
          <w:kern w:val="2"/>
          <w:sz w:val="21"/>
          <w:szCs w:val="24"/>
          <w:u w:val="single"/>
        </w:rPr>
        <w:t>（项目名称）</w:t>
      </w:r>
      <w:r>
        <w:rPr>
          <w:rFonts w:hint="eastAsia" w:hAnsi="宋体" w:eastAsia="宋体" w:cs="宋体"/>
          <w:kern w:val="2"/>
          <w:sz w:val="21"/>
          <w:szCs w:val="24"/>
        </w:rPr>
        <w:t>项目（项目编号：</w:t>
      </w:r>
      <w:r>
        <w:rPr>
          <w:rFonts w:hint="eastAsia" w:hAnsi="宋体" w:eastAsia="宋体" w:cs="宋体"/>
          <w:kern w:val="2"/>
          <w:sz w:val="21"/>
          <w:szCs w:val="24"/>
          <w:u w:val="single"/>
        </w:rPr>
        <w:t>　　　</w:t>
      </w:r>
      <w:r>
        <w:rPr>
          <w:rFonts w:hint="eastAsia" w:hAnsi="宋体" w:eastAsia="宋体" w:cs="宋体"/>
          <w:kern w:val="2"/>
          <w:sz w:val="21"/>
          <w:szCs w:val="24"/>
        </w:rPr>
        <w:t>）的 竞争性磋商公告，本公司（企业）愿意参加投标响应，并声明：</w:t>
      </w:r>
    </w:p>
    <w:p>
      <w:pPr>
        <w:adjustRightInd/>
        <w:snapToGrid w:val="0"/>
        <w:spacing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1.本公司（企业）具备《中华人民共和国政府采购法》第二十二条资格条件，并已清楚磋商文件的要求及有关文件规定。</w:t>
      </w:r>
    </w:p>
    <w:p>
      <w:pPr>
        <w:numPr>
          <w:ilvl w:val="0"/>
          <w:numId w:val="12"/>
        </w:numPr>
        <w:adjustRightInd/>
        <w:snapToGrid w:val="0"/>
        <w:spacing w:line="400" w:lineRule="exact"/>
        <w:textAlignment w:val="auto"/>
        <w:rPr>
          <w:rFonts w:hAnsi="宋体" w:eastAsia="宋体" w:cs="宋体"/>
          <w:kern w:val="2"/>
          <w:sz w:val="21"/>
          <w:szCs w:val="24"/>
        </w:rPr>
      </w:pPr>
      <w:r>
        <w:rPr>
          <w:rFonts w:hint="eastAsia" w:hAnsi="宋体" w:eastAsia="宋体" w:cs="宋体"/>
          <w:kern w:val="2"/>
          <w:sz w:val="21"/>
          <w:szCs w:val="24"/>
        </w:rPr>
        <w:t>具有独立承担民事责任的能力；</w:t>
      </w:r>
    </w:p>
    <w:p>
      <w:pPr>
        <w:numPr>
          <w:ilvl w:val="0"/>
          <w:numId w:val="12"/>
        </w:numPr>
        <w:adjustRightInd/>
        <w:snapToGrid w:val="0"/>
        <w:spacing w:line="400" w:lineRule="exact"/>
        <w:textAlignment w:val="auto"/>
        <w:rPr>
          <w:rFonts w:hAnsi="宋体" w:eastAsia="宋体" w:cs="宋体"/>
          <w:kern w:val="2"/>
          <w:sz w:val="21"/>
          <w:szCs w:val="24"/>
        </w:rPr>
      </w:pPr>
      <w:r>
        <w:rPr>
          <w:rFonts w:hint="eastAsia" w:hAnsi="宋体" w:eastAsia="宋体" w:cs="宋体"/>
          <w:kern w:val="2"/>
          <w:sz w:val="21"/>
          <w:szCs w:val="24"/>
        </w:rPr>
        <w:t>具有良好的商业信誉和健全的财务会计制度；</w:t>
      </w:r>
    </w:p>
    <w:p>
      <w:pPr>
        <w:numPr>
          <w:ilvl w:val="0"/>
          <w:numId w:val="12"/>
        </w:numPr>
        <w:adjustRightInd/>
        <w:snapToGrid w:val="0"/>
        <w:spacing w:line="400" w:lineRule="exact"/>
        <w:textAlignment w:val="auto"/>
        <w:rPr>
          <w:rFonts w:hAnsi="宋体" w:eastAsia="宋体" w:cs="宋体"/>
          <w:kern w:val="2"/>
          <w:sz w:val="21"/>
          <w:szCs w:val="24"/>
        </w:rPr>
      </w:pPr>
      <w:r>
        <w:rPr>
          <w:rFonts w:hint="eastAsia" w:hAnsi="宋体" w:eastAsia="宋体" w:cs="宋体"/>
          <w:kern w:val="2"/>
          <w:sz w:val="21"/>
          <w:szCs w:val="24"/>
        </w:rPr>
        <w:t>具有履行合同所必需的设备和专业技术能力；</w:t>
      </w:r>
    </w:p>
    <w:p>
      <w:pPr>
        <w:numPr>
          <w:ilvl w:val="0"/>
          <w:numId w:val="12"/>
        </w:numPr>
        <w:adjustRightInd/>
        <w:snapToGrid w:val="0"/>
        <w:spacing w:line="400" w:lineRule="exact"/>
        <w:textAlignment w:val="auto"/>
        <w:rPr>
          <w:rFonts w:hAnsi="宋体" w:eastAsia="宋体" w:cs="宋体"/>
          <w:kern w:val="2"/>
          <w:sz w:val="21"/>
          <w:szCs w:val="24"/>
        </w:rPr>
      </w:pPr>
      <w:r>
        <w:rPr>
          <w:rFonts w:hint="eastAsia" w:hAnsi="宋体" w:eastAsia="宋体" w:cs="宋体"/>
          <w:kern w:val="2"/>
          <w:sz w:val="21"/>
          <w:szCs w:val="24"/>
        </w:rPr>
        <w:t>有依法缴纳税收和社会保障资金的良好记录；</w:t>
      </w:r>
    </w:p>
    <w:p>
      <w:pPr>
        <w:numPr>
          <w:ilvl w:val="0"/>
          <w:numId w:val="12"/>
        </w:numPr>
        <w:adjustRightInd/>
        <w:snapToGrid w:val="0"/>
        <w:spacing w:line="400" w:lineRule="exact"/>
        <w:textAlignment w:val="auto"/>
        <w:rPr>
          <w:rFonts w:hAnsi="宋体" w:eastAsia="宋体" w:cs="宋体"/>
          <w:kern w:val="2"/>
          <w:sz w:val="21"/>
          <w:szCs w:val="24"/>
        </w:rPr>
      </w:pPr>
      <w:r>
        <w:rPr>
          <w:rFonts w:hint="eastAsia" w:hAnsi="宋体" w:eastAsia="宋体" w:cs="宋体"/>
          <w:kern w:val="2"/>
          <w:sz w:val="21"/>
          <w:szCs w:val="24"/>
        </w:rPr>
        <w:t>参加政府采购活动前三年内，在经营活动中没有重大违法记录；</w:t>
      </w:r>
    </w:p>
    <w:p>
      <w:pPr>
        <w:numPr>
          <w:ilvl w:val="0"/>
          <w:numId w:val="12"/>
        </w:numPr>
        <w:adjustRightInd/>
        <w:snapToGrid w:val="0"/>
        <w:spacing w:line="400" w:lineRule="exact"/>
        <w:textAlignment w:val="auto"/>
        <w:rPr>
          <w:rFonts w:hAnsi="宋体" w:eastAsia="宋体" w:cs="宋体"/>
          <w:kern w:val="2"/>
          <w:sz w:val="21"/>
          <w:szCs w:val="24"/>
        </w:rPr>
      </w:pPr>
      <w:r>
        <w:rPr>
          <w:rFonts w:hint="eastAsia" w:hAnsi="宋体" w:eastAsia="宋体" w:cs="宋体"/>
          <w:kern w:val="2"/>
          <w:sz w:val="21"/>
          <w:szCs w:val="24"/>
        </w:rPr>
        <w:t>法律、行政法规规定的其他条件。</w:t>
      </w:r>
    </w:p>
    <w:p>
      <w:pPr>
        <w:adjustRightInd/>
        <w:snapToGrid w:val="0"/>
        <w:spacing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2.本公司（企业）的法定代表人或单位负责人与所参投的本采购项目的其他供应商的法定代表人或单位负责人不为同一人且与其他供应商之间不存在直接控股、管理关系。</w:t>
      </w:r>
    </w:p>
    <w:p>
      <w:pPr>
        <w:adjustRightInd/>
        <w:snapToGrid w:val="0"/>
        <w:spacing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adjustRightInd/>
        <w:snapToGrid w:val="0"/>
        <w:spacing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4.本公司（企业）具有履行合同所必需的设备和专业技术能力，且本公司（企业）参加政府采购活动前3年内在经营活动中没有重大违法记录。否则，由此所造成的损失、不良后果及法律责任，一律由我公司（企业）承担。</w:t>
      </w:r>
    </w:p>
    <w:p>
      <w:pPr>
        <w:adjustRightInd/>
        <w:snapToGrid w:val="0"/>
        <w:spacing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5.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adjustRightInd/>
        <w:snapToGrid w:val="0"/>
        <w:spacing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本次采购活动中，如有违法、违规、弄虚作假行为，所造成的损失、不良后果及法律责任，一律由我公司（企业）承担。</w:t>
      </w:r>
    </w:p>
    <w:p>
      <w:pPr>
        <w:adjustRightInd/>
        <w:snapToGrid w:val="0"/>
        <w:spacing w:before="156" w:beforeLines="50"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特此声明！</w:t>
      </w:r>
    </w:p>
    <w:p>
      <w:pPr>
        <w:adjustRightInd/>
        <w:snapToGrid w:val="0"/>
        <w:spacing w:before="156" w:beforeLines="50"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供应商名称（公章）：</w:t>
      </w:r>
    </w:p>
    <w:p>
      <w:pPr>
        <w:adjustRightInd/>
        <w:snapToGrid w:val="0"/>
        <w:spacing w:before="156" w:beforeLines="50" w:line="400" w:lineRule="exact"/>
        <w:ind w:firstLine="424" w:firstLineChars="202"/>
        <w:textAlignment w:val="auto"/>
        <w:rPr>
          <w:rFonts w:hAnsi="宋体" w:eastAsia="宋体" w:cs="宋体"/>
          <w:kern w:val="2"/>
          <w:sz w:val="21"/>
          <w:szCs w:val="24"/>
        </w:rPr>
      </w:pPr>
      <w:r>
        <w:rPr>
          <w:rFonts w:hint="eastAsia" w:hAnsi="宋体" w:eastAsia="宋体" w:cs="宋体"/>
          <w:kern w:val="2"/>
          <w:sz w:val="21"/>
          <w:szCs w:val="24"/>
        </w:rPr>
        <w:t>年    月    日</w:t>
      </w:r>
    </w:p>
    <w:p>
      <w:pPr>
        <w:rPr>
          <w:rFonts w:hAnsi="宋体" w:eastAsia="宋体" w:cs="宋体"/>
          <w:kern w:val="2"/>
          <w:sz w:val="21"/>
          <w:szCs w:val="24"/>
        </w:rPr>
      </w:pPr>
      <w:r>
        <w:rPr>
          <w:rFonts w:hint="eastAsia" w:hAnsi="宋体" w:eastAsia="宋体" w:cs="宋体"/>
          <w:kern w:val="2"/>
          <w:sz w:val="21"/>
          <w:szCs w:val="24"/>
        </w:rPr>
        <w:br w:type="page"/>
      </w:r>
    </w:p>
    <w:p>
      <w:pPr>
        <w:snapToGrid w:val="0"/>
        <w:spacing w:before="50" w:after="50"/>
        <w:rPr>
          <w:rFonts w:hAnsi="宋体" w:eastAsia="宋体" w:cs="宋体"/>
          <w:b/>
          <w:bCs/>
          <w:sz w:val="21"/>
        </w:rPr>
      </w:pPr>
      <w:r>
        <w:rPr>
          <w:rFonts w:hint="eastAsia" w:hAnsi="宋体" w:eastAsia="宋体" w:cs="宋体"/>
          <w:b/>
          <w:bCs/>
          <w:sz w:val="21"/>
        </w:rPr>
        <w:t>（2）</w:t>
      </w:r>
      <w:r>
        <w:rPr>
          <w:rFonts w:hint="eastAsia" w:hAnsi="宋体" w:eastAsia="宋体" w:cs="宋体"/>
          <w:b/>
          <w:sz w:val="21"/>
        </w:rPr>
        <w:t>中小企业声明函</w:t>
      </w:r>
    </w:p>
    <w:p>
      <w:pPr>
        <w:pStyle w:val="6"/>
        <w:numPr>
          <w:ilvl w:val="0"/>
          <w:numId w:val="0"/>
        </w:numPr>
        <w:tabs>
          <w:tab w:val="left" w:pos="720"/>
        </w:tabs>
        <w:snapToGrid w:val="0"/>
        <w:spacing w:before="156" w:beforeLines="50"/>
        <w:rPr>
          <w:rFonts w:hAnsi="宋体" w:cs="宋体"/>
          <w:sz w:val="21"/>
        </w:rPr>
      </w:pPr>
    </w:p>
    <w:p>
      <w:pPr>
        <w:snapToGrid w:val="0"/>
        <w:spacing w:before="50" w:after="50"/>
        <w:jc w:val="center"/>
        <w:rPr>
          <w:rFonts w:hAnsi="宋体" w:eastAsia="宋体" w:cs="宋体"/>
          <w:b/>
          <w:sz w:val="21"/>
        </w:rPr>
      </w:pPr>
      <w:r>
        <w:rPr>
          <w:rFonts w:hint="eastAsia" w:hAnsi="宋体" w:eastAsia="宋体" w:cs="宋体"/>
          <w:b/>
          <w:sz w:val="21"/>
        </w:rPr>
        <w:t>中小企业声明函</w:t>
      </w:r>
    </w:p>
    <w:p>
      <w:pPr>
        <w:adjustRightInd/>
        <w:spacing w:line="500" w:lineRule="exact"/>
        <w:ind w:firstLine="420" w:firstLineChars="200"/>
        <w:textAlignment w:val="auto"/>
        <w:rPr>
          <w:rFonts w:hAnsi="宋体" w:eastAsia="宋体" w:cs="宋体"/>
          <w:kern w:val="2"/>
          <w:sz w:val="21"/>
        </w:rPr>
      </w:pPr>
      <w:r>
        <w:rPr>
          <w:rFonts w:hint="eastAsia" w:hAnsi="宋体" w:eastAsia="宋体" w:cs="宋体"/>
          <w:kern w:val="2"/>
          <w:sz w:val="21"/>
        </w:rPr>
        <w:t>本公司（联合体）郑重声明，根据《政府采购促进中小企业发展管理办法》（财库﹝2020﹞46 号）的规定，本公司（联合体）参加</w:t>
      </w:r>
      <w:r>
        <w:rPr>
          <w:rFonts w:hint="eastAsia" w:hAnsi="宋体" w:eastAsia="宋体" w:cs="宋体"/>
          <w:kern w:val="2"/>
          <w:sz w:val="21"/>
          <w:u w:val="single"/>
        </w:rPr>
        <w:t>（单位名称）</w:t>
      </w:r>
      <w:r>
        <w:rPr>
          <w:rFonts w:hint="eastAsia" w:hAnsi="宋体" w:eastAsia="宋体" w:cs="宋体"/>
          <w:kern w:val="2"/>
          <w:sz w:val="21"/>
        </w:rPr>
        <w:t>的</w:t>
      </w:r>
      <w:r>
        <w:rPr>
          <w:rFonts w:hint="eastAsia" w:hAnsi="宋体" w:eastAsia="宋体" w:cs="宋体"/>
          <w:kern w:val="2"/>
          <w:sz w:val="21"/>
          <w:u w:val="single"/>
        </w:rPr>
        <w:t>（项目名称）</w:t>
      </w:r>
      <w:r>
        <w:rPr>
          <w:rFonts w:hint="eastAsia" w:hAnsi="宋体" w:eastAsia="宋体" w:cs="宋体"/>
          <w:kern w:val="2"/>
          <w:sz w:val="21"/>
        </w:rPr>
        <w:t>采购活动，服务全部由符合政策要求的中小企业承接。相关企业（含联合体中的中小企业、签订分包意向协议的中小企业）的具体情况如下：</w:t>
      </w:r>
    </w:p>
    <w:p>
      <w:pPr>
        <w:adjustRightInd/>
        <w:spacing w:line="500" w:lineRule="exact"/>
        <w:ind w:firstLine="420" w:firstLineChars="200"/>
        <w:textAlignment w:val="auto"/>
        <w:rPr>
          <w:rFonts w:hAnsi="宋体" w:eastAsia="宋体" w:cs="宋体"/>
          <w:kern w:val="2"/>
          <w:sz w:val="21"/>
        </w:rPr>
      </w:pPr>
      <w:r>
        <w:rPr>
          <w:rFonts w:hint="eastAsia" w:hAnsi="宋体" w:eastAsia="宋体" w:cs="宋体"/>
          <w:kern w:val="2"/>
          <w:sz w:val="21"/>
        </w:rPr>
        <w:t>1.</w:t>
      </w:r>
      <w:r>
        <w:rPr>
          <w:rFonts w:hint="eastAsia" w:hAnsi="宋体" w:eastAsia="宋体" w:cs="宋体"/>
          <w:kern w:val="2"/>
          <w:sz w:val="21"/>
          <w:u w:val="single"/>
        </w:rPr>
        <w:t xml:space="preserve"> （</w:t>
      </w:r>
      <w:r>
        <w:rPr>
          <w:rFonts w:hint="eastAsia" w:hAnsi="宋体" w:eastAsia="宋体" w:cs="宋体"/>
          <w:kern w:val="2"/>
          <w:sz w:val="21"/>
          <w:u w:val="single"/>
          <w:lang w:eastAsia="zh-CN"/>
        </w:rPr>
        <w:t>海曙区第四次全国文物普查野外调查项目</w:t>
      </w:r>
      <w:r>
        <w:rPr>
          <w:rFonts w:hint="eastAsia" w:hAnsi="宋体" w:eastAsia="宋体" w:cs="宋体"/>
          <w:kern w:val="2"/>
          <w:sz w:val="21"/>
          <w:u w:val="single"/>
        </w:rPr>
        <w:t xml:space="preserve">） </w:t>
      </w:r>
      <w:r>
        <w:rPr>
          <w:rFonts w:hint="eastAsia" w:hAnsi="宋体" w:eastAsia="宋体" w:cs="宋体"/>
          <w:kern w:val="2"/>
          <w:sz w:val="21"/>
        </w:rPr>
        <w:t>，属于</w:t>
      </w:r>
      <w:r>
        <w:rPr>
          <w:rFonts w:hint="eastAsia" w:hAnsi="宋体" w:eastAsia="宋体" w:cs="宋体"/>
          <w:kern w:val="2"/>
          <w:sz w:val="21"/>
          <w:u w:val="single"/>
        </w:rPr>
        <w:t>（其他未列明行业）</w:t>
      </w:r>
      <w:r>
        <w:rPr>
          <w:rFonts w:hint="eastAsia" w:hAnsi="宋体" w:eastAsia="宋体" w:cs="宋体"/>
          <w:kern w:val="2"/>
          <w:sz w:val="21"/>
        </w:rPr>
        <w:t>；承接企业为</w:t>
      </w:r>
      <w:r>
        <w:rPr>
          <w:rFonts w:hint="eastAsia" w:hAnsi="宋体" w:eastAsia="宋体" w:cs="宋体"/>
          <w:kern w:val="2"/>
          <w:sz w:val="21"/>
          <w:u w:val="single"/>
        </w:rPr>
        <w:t>（企业名称）</w:t>
      </w:r>
      <w:r>
        <w:rPr>
          <w:rFonts w:hint="eastAsia" w:hAnsi="宋体" w:eastAsia="宋体" w:cs="宋体"/>
          <w:kern w:val="2"/>
          <w:sz w:val="21"/>
        </w:rPr>
        <w:t>，从业人员人，营业收入为万元，资产总额为万元，属于</w:t>
      </w:r>
      <w:r>
        <w:rPr>
          <w:rFonts w:hint="eastAsia" w:hAnsi="宋体" w:eastAsia="宋体" w:cs="宋体"/>
          <w:kern w:val="2"/>
          <w:sz w:val="21"/>
          <w:u w:val="single"/>
        </w:rPr>
        <w:t>（中型企业、小型企业、微型企业）</w:t>
      </w:r>
      <w:r>
        <w:rPr>
          <w:rFonts w:hint="eastAsia" w:hAnsi="宋体" w:eastAsia="宋体" w:cs="宋体"/>
          <w:kern w:val="2"/>
          <w:sz w:val="21"/>
        </w:rPr>
        <w:t>；</w:t>
      </w:r>
    </w:p>
    <w:p>
      <w:pPr>
        <w:adjustRightInd/>
        <w:spacing w:line="500" w:lineRule="exact"/>
        <w:ind w:firstLine="420" w:firstLineChars="200"/>
        <w:textAlignment w:val="auto"/>
        <w:rPr>
          <w:rFonts w:hAnsi="宋体" w:eastAsia="宋体" w:cs="宋体"/>
          <w:kern w:val="2"/>
          <w:sz w:val="21"/>
        </w:rPr>
      </w:pPr>
      <w:r>
        <w:rPr>
          <w:rFonts w:hint="eastAsia" w:hAnsi="宋体" w:eastAsia="宋体" w:cs="宋体"/>
          <w:kern w:val="2"/>
          <w:sz w:val="21"/>
        </w:rPr>
        <w:t>……</w:t>
      </w:r>
    </w:p>
    <w:p>
      <w:pPr>
        <w:adjustRightInd/>
        <w:spacing w:line="500" w:lineRule="exact"/>
        <w:ind w:firstLine="420" w:firstLineChars="200"/>
        <w:textAlignment w:val="auto"/>
        <w:rPr>
          <w:rFonts w:hAnsi="宋体" w:eastAsia="宋体" w:cs="宋体"/>
          <w:kern w:val="2"/>
          <w:sz w:val="21"/>
        </w:rPr>
      </w:pPr>
      <w:r>
        <w:rPr>
          <w:rFonts w:hint="eastAsia" w:hAnsi="宋体" w:eastAsia="宋体" w:cs="宋体"/>
          <w:kern w:val="2"/>
          <w:sz w:val="21"/>
        </w:rPr>
        <w:t>以上企业，不属于大企业的分支机构，不存在控股股东为大企业的情形，也不存在与大企业的负责人为同一人的情形。</w:t>
      </w:r>
    </w:p>
    <w:p>
      <w:pPr>
        <w:adjustRightInd/>
        <w:spacing w:line="500" w:lineRule="exact"/>
        <w:ind w:firstLine="420" w:firstLineChars="200"/>
        <w:textAlignment w:val="auto"/>
        <w:rPr>
          <w:rFonts w:hAnsi="宋体" w:eastAsia="宋体" w:cs="宋体"/>
          <w:kern w:val="2"/>
          <w:sz w:val="21"/>
        </w:rPr>
      </w:pPr>
      <w:r>
        <w:rPr>
          <w:rFonts w:hint="eastAsia" w:hAnsi="宋体" w:eastAsia="宋体" w:cs="宋体"/>
          <w:kern w:val="2"/>
          <w:sz w:val="21"/>
        </w:rPr>
        <w:t>本企业对上述声明内容的真实性负责。如有虚假，将依法承担相应责任。</w:t>
      </w:r>
    </w:p>
    <w:p>
      <w:pPr>
        <w:adjustRightInd/>
        <w:spacing w:line="500" w:lineRule="exact"/>
        <w:textAlignment w:val="auto"/>
        <w:rPr>
          <w:rFonts w:hAnsi="宋体" w:eastAsia="宋体" w:cs="宋体"/>
          <w:kern w:val="2"/>
          <w:sz w:val="21"/>
        </w:rPr>
      </w:pPr>
      <w:r>
        <w:rPr>
          <w:rFonts w:hint="eastAsia" w:hAnsi="宋体" w:eastAsia="宋体" w:cs="宋体"/>
          <w:kern w:val="2"/>
          <w:sz w:val="21"/>
        </w:rPr>
        <w:t xml:space="preserve">                        企业名称（盖章）：</w:t>
      </w:r>
    </w:p>
    <w:p>
      <w:pPr>
        <w:adjustRightInd/>
        <w:spacing w:line="500" w:lineRule="exact"/>
        <w:textAlignment w:val="auto"/>
        <w:rPr>
          <w:rFonts w:hAnsi="宋体" w:eastAsia="宋体" w:cs="宋体"/>
          <w:kern w:val="2"/>
          <w:sz w:val="21"/>
        </w:rPr>
      </w:pPr>
      <w:r>
        <w:rPr>
          <w:rFonts w:hint="eastAsia" w:hAnsi="宋体" w:eastAsia="宋体" w:cs="宋体"/>
          <w:kern w:val="2"/>
          <w:sz w:val="21"/>
        </w:rPr>
        <w:t xml:space="preserve">                        日期：</w:t>
      </w:r>
    </w:p>
    <w:p>
      <w:pPr>
        <w:adjustRightInd/>
        <w:spacing w:line="500" w:lineRule="exact"/>
        <w:textAlignment w:val="auto"/>
        <w:rPr>
          <w:rFonts w:hAnsi="宋体" w:eastAsia="宋体" w:cs="宋体"/>
          <w:kern w:val="2"/>
          <w:sz w:val="21"/>
        </w:rPr>
      </w:pPr>
    </w:p>
    <w:p>
      <w:pPr>
        <w:rPr>
          <w:rFonts w:hAnsi="宋体" w:eastAsia="宋体" w:cs="宋体"/>
          <w:spacing w:val="-4"/>
          <w:kern w:val="2"/>
          <w:sz w:val="18"/>
        </w:rPr>
      </w:pPr>
      <w:r>
        <w:rPr>
          <w:rFonts w:hint="eastAsia" w:hAnsi="宋体" w:eastAsia="宋体" w:cs="宋体"/>
          <w:spacing w:val="-4"/>
          <w:kern w:val="2"/>
          <w:sz w:val="18"/>
        </w:rPr>
        <w:t>说明：</w:t>
      </w:r>
    </w:p>
    <w:p>
      <w:pPr>
        <w:rPr>
          <w:rFonts w:hAnsi="宋体" w:eastAsia="宋体" w:cs="宋体"/>
          <w:spacing w:val="-4"/>
          <w:kern w:val="2"/>
          <w:sz w:val="18"/>
        </w:rPr>
      </w:pPr>
      <w:r>
        <w:rPr>
          <w:rFonts w:hint="eastAsia" w:hAnsi="宋体" w:eastAsia="宋体" w:cs="宋体"/>
          <w:spacing w:val="-4"/>
          <w:kern w:val="2"/>
          <w:sz w:val="18"/>
        </w:rPr>
        <w:t>1、从业人员、营业收入、资产总额填报上一年度数据，无上一年度数据的新成立企业可不填报。</w:t>
      </w:r>
    </w:p>
    <w:p>
      <w:pPr>
        <w:rPr>
          <w:rFonts w:hAnsi="宋体" w:eastAsia="宋体" w:cs="宋体"/>
          <w:spacing w:val="-4"/>
          <w:kern w:val="2"/>
          <w:sz w:val="18"/>
        </w:rPr>
      </w:pPr>
      <w:r>
        <w:rPr>
          <w:rFonts w:hint="eastAsia" w:hAnsi="宋体" w:eastAsia="宋体" w:cs="宋体"/>
          <w:spacing w:val="-4"/>
          <w:kern w:val="2"/>
          <w:sz w:val="18"/>
        </w:rPr>
        <w:t>2、根据工信部联企业[2011]300号规定。其他未列明行业：从业人员300人以下的为中小微型企业。其中，从业人员100人及以上的为中型企业；从业人员10人及以上的为小型企业；从业人员10人以下的为微型企业。</w:t>
      </w:r>
    </w:p>
    <w:p>
      <w:pPr>
        <w:rPr>
          <w:rFonts w:hAnsi="宋体" w:eastAsia="宋体" w:cs="宋体"/>
          <w:spacing w:val="-4"/>
          <w:kern w:val="2"/>
          <w:sz w:val="18"/>
        </w:rPr>
      </w:pPr>
      <w:r>
        <w:rPr>
          <w:rFonts w:hint="eastAsia" w:hAnsi="宋体" w:eastAsia="宋体" w:cs="宋体"/>
          <w:spacing w:val="-4"/>
          <w:kern w:val="2"/>
          <w:sz w:val="18"/>
        </w:rPr>
        <w:t>风险提示：</w:t>
      </w:r>
    </w:p>
    <w:p>
      <w:pPr>
        <w:numPr>
          <w:ilvl w:val="0"/>
          <w:numId w:val="13"/>
        </w:numPr>
        <w:snapToGrid w:val="0"/>
        <w:rPr>
          <w:rFonts w:hAnsi="宋体" w:eastAsia="宋体" w:cs="宋体"/>
          <w:spacing w:val="-4"/>
          <w:kern w:val="2"/>
          <w:sz w:val="18"/>
        </w:rPr>
      </w:pPr>
      <w:r>
        <w:rPr>
          <w:rFonts w:hint="eastAsia" w:hAnsi="宋体" w:eastAsia="宋体" w:cs="宋体"/>
          <w:spacing w:val="-4"/>
          <w:kern w:val="2"/>
          <w:sz w:val="18"/>
        </w:rPr>
        <w:t>供应商应当对其出具的《中小企业声明函》真实性负责，供应商出具的《中小企业声明函》内容不实的，属于提供虚假材料谋取中标。在实际操作中，供应商希望获得政策支持的，应从制造商处获得充分、准确的信息。对相关制造商信息了解不充分，或者不能确定相关信息真实、准确的，不建议出具《中小企业声明函》。</w:t>
      </w:r>
    </w:p>
    <w:p>
      <w:pPr>
        <w:jc w:val="center"/>
        <w:rPr>
          <w:rFonts w:hAnsi="宋体" w:eastAsia="宋体" w:cs="宋体"/>
          <w:b/>
          <w:sz w:val="21"/>
        </w:rPr>
      </w:pPr>
      <w:r>
        <w:rPr>
          <w:rFonts w:hint="eastAsia" w:hAnsi="宋体" w:eastAsia="宋体" w:cs="宋体"/>
          <w:b/>
          <w:bCs/>
        </w:rPr>
        <w:br w:type="page"/>
      </w:r>
      <w:r>
        <w:rPr>
          <w:rFonts w:hint="eastAsia" w:hAnsi="宋体" w:eastAsia="宋体" w:cs="宋体"/>
          <w:b/>
          <w:sz w:val="21"/>
        </w:rPr>
        <w:t>残疾人福利性单位声明函</w:t>
      </w:r>
    </w:p>
    <w:p>
      <w:pPr>
        <w:spacing w:line="588" w:lineRule="exact"/>
        <w:rPr>
          <w:rFonts w:hAnsi="宋体" w:eastAsia="宋体" w:cs="宋体"/>
          <w:b/>
          <w:spacing w:val="6"/>
          <w:sz w:val="21"/>
        </w:rPr>
      </w:pPr>
    </w:p>
    <w:p>
      <w:pPr>
        <w:spacing w:line="588" w:lineRule="exact"/>
        <w:ind w:firstLine="444" w:firstLineChars="200"/>
        <w:rPr>
          <w:rFonts w:hAnsi="宋体" w:eastAsia="宋体" w:cs="宋体"/>
          <w:spacing w:val="6"/>
          <w:sz w:val="21"/>
        </w:rPr>
      </w:pPr>
      <w:r>
        <w:rPr>
          <w:rFonts w:hint="eastAsia" w:hAnsi="宋体" w:eastAsia="宋体" w:cs="宋体"/>
          <w:spacing w:val="6"/>
          <w:sz w:val="21"/>
        </w:rPr>
        <w:t>本单位郑重声明，根据《财政部 民政部 中国残疾人联合会关于促进残疾人就业政府采购政策的通知》（财库</w:t>
      </w:r>
      <w:r>
        <w:rPr>
          <w:rFonts w:hint="eastAsia" w:hAnsi="宋体" w:eastAsia="宋体" w:cs="宋体"/>
          <w:sz w:val="21"/>
        </w:rPr>
        <w:t>〔2017〕 141</w:t>
      </w:r>
      <w:r>
        <w:rPr>
          <w:rFonts w:hint="eastAsia" w:hAnsi="宋体" w:eastAsia="宋体" w:cs="宋体"/>
          <w:spacing w:val="6"/>
          <w:sz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Ansi="宋体" w:eastAsia="宋体" w:cs="宋体"/>
          <w:spacing w:val="6"/>
          <w:sz w:val="21"/>
        </w:rPr>
      </w:pPr>
      <w:r>
        <w:rPr>
          <w:rFonts w:hint="eastAsia" w:hAnsi="宋体" w:eastAsia="宋体" w:cs="宋体"/>
          <w:spacing w:val="6"/>
          <w:sz w:val="21"/>
        </w:rPr>
        <w:t>本单位对上述声明的真实性负责。如有虚假，将依法承担相应责任。</w:t>
      </w:r>
    </w:p>
    <w:p>
      <w:pPr>
        <w:spacing w:line="588" w:lineRule="exact"/>
        <w:ind w:firstLine="444" w:firstLineChars="200"/>
        <w:rPr>
          <w:rFonts w:hAnsi="宋体" w:eastAsia="宋体" w:cs="宋体"/>
          <w:spacing w:val="6"/>
          <w:sz w:val="21"/>
        </w:rPr>
      </w:pPr>
    </w:p>
    <w:p>
      <w:pPr>
        <w:tabs>
          <w:tab w:val="left" w:pos="4860"/>
        </w:tabs>
        <w:spacing w:line="588" w:lineRule="exact"/>
        <w:ind w:right="1560" w:firstLine="444" w:firstLineChars="200"/>
        <w:jc w:val="center"/>
        <w:rPr>
          <w:rFonts w:hAnsi="宋体" w:eastAsia="宋体" w:cs="宋体"/>
          <w:spacing w:val="6"/>
          <w:sz w:val="21"/>
        </w:rPr>
      </w:pPr>
      <w:r>
        <w:rPr>
          <w:rFonts w:hint="eastAsia" w:hAnsi="宋体" w:eastAsia="宋体" w:cs="宋体"/>
          <w:spacing w:val="6"/>
          <w:sz w:val="21"/>
        </w:rPr>
        <w:t xml:space="preserve">               单位名称（盖章）：</w:t>
      </w:r>
    </w:p>
    <w:p>
      <w:pPr>
        <w:tabs>
          <w:tab w:val="left" w:pos="4860"/>
        </w:tabs>
        <w:spacing w:line="588" w:lineRule="exact"/>
        <w:ind w:right="1560" w:firstLine="444" w:firstLineChars="200"/>
        <w:jc w:val="center"/>
      </w:pPr>
      <w:r>
        <w:rPr>
          <w:rFonts w:hint="eastAsia" w:hAnsi="宋体" w:eastAsia="宋体" w:cs="宋体"/>
          <w:spacing w:val="6"/>
          <w:sz w:val="21"/>
        </w:rPr>
        <w:t xml:space="preserve">       日  期：</w:t>
      </w:r>
    </w:p>
    <w:p>
      <w:pPr>
        <w:jc w:val="left"/>
        <w:rPr>
          <w:rFonts w:hAnsi="宋体" w:eastAsia="宋体" w:cs="宋体"/>
          <w:sz w:val="18"/>
          <w:szCs w:val="18"/>
        </w:rPr>
      </w:pPr>
      <w:r>
        <w:rPr>
          <w:rFonts w:hint="eastAsia" w:hAnsi="宋体" w:eastAsia="宋体" w:cs="宋体"/>
          <w:sz w:val="18"/>
          <w:szCs w:val="18"/>
        </w:rPr>
        <w:t>注：1、如供应商为非残疾人福利性单位的可不提供本声明函。</w:t>
      </w:r>
    </w:p>
    <w:p>
      <w:pPr>
        <w:jc w:val="left"/>
        <w:rPr>
          <w:rFonts w:hAnsi="宋体" w:eastAsia="宋体" w:cs="宋体"/>
          <w:sz w:val="18"/>
          <w:szCs w:val="18"/>
        </w:rPr>
      </w:pPr>
      <w:r>
        <w:rPr>
          <w:rFonts w:hint="eastAsia" w:hAnsi="宋体" w:eastAsia="宋体" w:cs="宋体"/>
          <w:sz w:val="18"/>
          <w:szCs w:val="18"/>
        </w:rPr>
        <w:t>2、享受政府采购支持政策的残疾人福利性单位应当同时满足以下条件：</w:t>
      </w:r>
    </w:p>
    <w:p>
      <w:pPr>
        <w:jc w:val="left"/>
        <w:rPr>
          <w:rFonts w:hAnsi="宋体" w:eastAsia="宋体" w:cs="宋体"/>
          <w:sz w:val="18"/>
          <w:szCs w:val="18"/>
        </w:rPr>
      </w:pPr>
      <w:r>
        <w:rPr>
          <w:rFonts w:hint="eastAsia" w:hAnsi="宋体" w:eastAsia="宋体" w:cs="宋体"/>
          <w:sz w:val="18"/>
          <w:szCs w:val="18"/>
        </w:rPr>
        <w:t>（一）安置的残疾人占本单位在职职工人数的比例不低于25%（含25%），并且安置的残疾人人数不少于10人（含10人）；</w:t>
      </w:r>
    </w:p>
    <w:p>
      <w:pPr>
        <w:jc w:val="left"/>
        <w:rPr>
          <w:rFonts w:hAnsi="宋体" w:eastAsia="宋体" w:cs="宋体"/>
          <w:sz w:val="18"/>
          <w:szCs w:val="18"/>
        </w:rPr>
      </w:pPr>
      <w:r>
        <w:rPr>
          <w:rFonts w:hint="eastAsia" w:hAnsi="宋体" w:eastAsia="宋体" w:cs="宋体"/>
          <w:sz w:val="18"/>
          <w:szCs w:val="18"/>
        </w:rPr>
        <w:t>（二）依法与安置的每位残疾人签订了一年以上（含一年）的劳动合同或服务协议；</w:t>
      </w:r>
    </w:p>
    <w:p>
      <w:pPr>
        <w:jc w:val="left"/>
        <w:rPr>
          <w:rFonts w:hAnsi="宋体" w:eastAsia="宋体" w:cs="宋体"/>
          <w:sz w:val="18"/>
          <w:szCs w:val="18"/>
        </w:rPr>
      </w:pPr>
      <w:r>
        <w:rPr>
          <w:rFonts w:hint="eastAsia" w:hAnsi="宋体" w:eastAsia="宋体" w:cs="宋体"/>
          <w:sz w:val="18"/>
          <w:szCs w:val="18"/>
        </w:rPr>
        <w:t>（三）为安置的每位残疾人按月足额缴纳了基本养老保险、基本医疗保险、失业保险、工伤保险和生育保险等社会保险费；</w:t>
      </w:r>
    </w:p>
    <w:p>
      <w:pPr>
        <w:jc w:val="left"/>
        <w:rPr>
          <w:rFonts w:hAnsi="宋体" w:eastAsia="宋体" w:cs="宋体"/>
          <w:sz w:val="18"/>
          <w:szCs w:val="18"/>
        </w:rPr>
      </w:pPr>
      <w:r>
        <w:rPr>
          <w:rFonts w:hint="eastAsia" w:hAnsi="宋体" w:eastAsia="宋体" w:cs="宋体"/>
          <w:sz w:val="18"/>
          <w:szCs w:val="18"/>
        </w:rPr>
        <w:t>（四）通过银行等金融机构向安置的每位残疾人，按月支付了不低于单位所在区县适用的经省级人民政府批准的月最低工资标准的工资；</w:t>
      </w:r>
    </w:p>
    <w:p>
      <w:pPr>
        <w:jc w:val="left"/>
        <w:rPr>
          <w:rFonts w:hAnsi="宋体" w:eastAsia="宋体" w:cs="宋体"/>
          <w:sz w:val="18"/>
          <w:szCs w:val="18"/>
        </w:rPr>
      </w:pPr>
      <w:r>
        <w:rPr>
          <w:rFonts w:hint="eastAsia" w:hAnsi="宋体" w:eastAsia="宋体" w:cs="宋体"/>
          <w:sz w:val="18"/>
          <w:szCs w:val="18"/>
        </w:rPr>
        <w:t>（五）提供本单位制造的货物、承担的工程或者服务（以下简称产品），或者提供其他残疾人福利性单位制造的货物（不包括使用非残疾人福利性单位注册商标的货物）。</w:t>
      </w:r>
    </w:p>
    <w:p>
      <w:pPr>
        <w:jc w:val="left"/>
        <w:rPr>
          <w:rFonts w:hAnsi="宋体" w:eastAsia="宋体" w:cs="宋体"/>
          <w:b/>
          <w:bCs/>
          <w:sz w:val="18"/>
          <w:szCs w:val="18"/>
        </w:rPr>
      </w:pPr>
      <w:r>
        <w:rPr>
          <w:rFonts w:hint="eastAsia" w:hAnsi="宋体" w:eastAsia="宋体" w:cs="宋体"/>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pPr>
    </w:p>
    <w:p>
      <w:pPr>
        <w:pStyle w:val="6"/>
        <w:numPr>
          <w:ilvl w:val="0"/>
          <w:numId w:val="14"/>
        </w:numPr>
        <w:tabs>
          <w:tab w:val="left" w:pos="720"/>
        </w:tabs>
        <w:adjustRightInd/>
        <w:spacing w:line="400" w:lineRule="exact"/>
        <w:ind w:left="0" w:firstLine="0"/>
        <w:rPr>
          <w:rFonts w:hAnsi="宋体" w:eastAsia="宋体" w:cs="宋体"/>
          <w:b/>
          <w:bCs/>
          <w:sz w:val="21"/>
        </w:rPr>
      </w:pPr>
      <w:r>
        <w:rPr>
          <w:rFonts w:hint="eastAsia" w:hAnsi="宋体" w:cs="宋体"/>
        </w:rPr>
        <w:br w:type="page"/>
      </w:r>
    </w:p>
    <w:p>
      <w:pPr>
        <w:pStyle w:val="6"/>
        <w:numPr>
          <w:ilvl w:val="0"/>
          <w:numId w:val="0"/>
        </w:numPr>
        <w:tabs>
          <w:tab w:val="left" w:pos="720"/>
        </w:tabs>
        <w:snapToGrid w:val="0"/>
        <w:spacing w:before="156" w:beforeLines="50"/>
        <w:rPr>
          <w:rFonts w:hAnsi="宋体" w:eastAsia="宋体" w:cs="宋体"/>
          <w:b/>
          <w:bCs/>
          <w:sz w:val="21"/>
        </w:rPr>
        <w:sectPr>
          <w:headerReference r:id="rId10" w:type="default"/>
          <w:footerReference r:id="rId11" w:type="default"/>
          <w:footnotePr>
            <w:numFmt w:val="decimalEnclosedCircleChinese"/>
          </w:footnotePr>
          <w:pgSz w:w="11906" w:h="16838"/>
          <w:pgMar w:top="1440" w:right="1080" w:bottom="1440" w:left="1080" w:header="964" w:footer="567" w:gutter="567"/>
          <w:cols w:space="720" w:num="1"/>
          <w:docGrid w:type="lines" w:linePitch="312" w:charSpace="0"/>
        </w:sectPr>
      </w:pPr>
    </w:p>
    <w:p>
      <w:pPr>
        <w:pStyle w:val="6"/>
        <w:numPr>
          <w:ilvl w:val="0"/>
          <w:numId w:val="0"/>
        </w:numPr>
        <w:tabs>
          <w:tab w:val="left" w:pos="720"/>
        </w:tabs>
        <w:snapToGrid w:val="0"/>
        <w:spacing w:before="156" w:beforeLines="50"/>
        <w:rPr>
          <w:rFonts w:hAnsi="宋体" w:eastAsia="宋体" w:cs="宋体"/>
          <w:b/>
          <w:bCs/>
          <w:sz w:val="21"/>
        </w:rPr>
      </w:pPr>
      <w:r>
        <w:rPr>
          <w:rFonts w:hint="eastAsia" w:hAnsi="宋体" w:eastAsia="宋体" w:cs="宋体"/>
          <w:b/>
          <w:bCs/>
          <w:sz w:val="21"/>
        </w:rPr>
        <w:t>4.商务技术文件内容包括：</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（1）符合性自查表（格式详见第六章 响应文件格式）；</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（2）投标函（格式详见第六章 响应文件格式）；</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（3）法定代表人身份证明及授权委托书（格式详见第六章 响应文件格式）；</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（4）需求条款响应（偏离）表（格式详见第六章 响应文件格式）；</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（5）商务条款响应（偏离）表（格式详见第六章 响应文件格式）；</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（6）技术部分：针对本项目第三章项目需求和第四章评审标准中的条款拟定完整方案，格式自拟；</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（7）业绩一览表（格式详见第六章 响应文件格式）；</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（8）供应商认为有需要提供的其它有关证明资料。</w:t>
      </w:r>
    </w:p>
    <w:p>
      <w:pPr>
        <w:snapToGrid w:val="0"/>
        <w:rPr>
          <w:rFonts w:hAnsi="宋体" w:cs="宋体"/>
          <w:b/>
        </w:rPr>
      </w:pPr>
      <w:r>
        <w:rPr>
          <w:rFonts w:hint="eastAsia" w:hAnsi="宋体" w:eastAsia="宋体" w:cs="宋体"/>
          <w:sz w:val="21"/>
        </w:rPr>
        <w:br w:type="page"/>
      </w:r>
      <w:r>
        <w:rPr>
          <w:rFonts w:hint="eastAsia" w:hAnsi="宋体" w:eastAsia="宋体" w:cs="宋体"/>
          <w:b/>
          <w:kern w:val="2"/>
          <w:sz w:val="21"/>
        </w:rPr>
        <w:t>（1）符合性自查表</w:t>
      </w:r>
    </w:p>
    <w:p>
      <w:pPr>
        <w:adjustRightInd/>
        <w:spacing w:line="240" w:lineRule="auto"/>
        <w:jc w:val="center"/>
        <w:textAlignment w:val="auto"/>
        <w:rPr>
          <w:rFonts w:hAnsi="宋体" w:eastAsia="宋体" w:cs="宋体"/>
          <w:b/>
          <w:kern w:val="2"/>
          <w:sz w:val="21"/>
        </w:rPr>
      </w:pPr>
      <w:r>
        <w:rPr>
          <w:rFonts w:hint="eastAsia" w:hAnsi="宋体" w:eastAsia="宋体" w:cs="宋体"/>
          <w:b/>
          <w:kern w:val="2"/>
          <w:sz w:val="21"/>
        </w:rPr>
        <w:t>符合性自查表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评审内容</w:t>
            </w:r>
          </w:p>
        </w:tc>
        <w:tc>
          <w:tcPr>
            <w:tcW w:w="4175"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磋商文件要求</w:t>
            </w:r>
          </w:p>
        </w:tc>
        <w:tc>
          <w:tcPr>
            <w:tcW w:w="1410"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自查结论</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符合性审</w:t>
            </w:r>
          </w:p>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查（商务技术文件）</w:t>
            </w: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（一）投标函已提交并符合磋商文件要求；</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（二）按照磋商文件规定要求签署或盖章；</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（三）响应文件规定部分有法定代表人签署本人姓名（或印盖本人姓名章），或签署人提供有效的法定代表人授权委托书且授权委托书填写项目齐全的；</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（四）响应文件标明的响应或偏离与事实相符且无虚假投标的；</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（五）响应文件的实质性内容使用中文表述且意思表述明确，前后无矛盾且使用计量单位符合磋商文件要求的；</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（六）带“★”的条款满足磋商文件要求、已实质性响应磋商文件要求且响应文件无采购人不能接受的附加条件的；</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（七）投标技术方案明确，不存在一个或一个以上备选（替代）投标方案的；</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（八）不存在法律、法规和磋商文件规定的其他无效情形；</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ign w:val="center"/>
          </w:tcPr>
          <w:p>
            <w:pPr>
              <w:adjustRightInd/>
              <w:spacing w:line="280" w:lineRule="exact"/>
              <w:jc w:val="center"/>
              <w:textAlignment w:val="auto"/>
              <w:rPr>
                <w:rFonts w:hAnsi="宋体" w:eastAsia="宋体" w:cs="宋体"/>
                <w:kern w:val="2"/>
                <w:sz w:val="21"/>
              </w:rPr>
            </w:pPr>
          </w:p>
        </w:tc>
        <w:tc>
          <w:tcPr>
            <w:tcW w:w="4175" w:type="dxa"/>
            <w:noWrap/>
            <w:vAlign w:val="center"/>
          </w:tcPr>
          <w:p>
            <w:pPr>
              <w:adjustRightInd/>
              <w:spacing w:line="280" w:lineRule="exact"/>
              <w:jc w:val="left"/>
              <w:textAlignment w:val="auto"/>
              <w:rPr>
                <w:rFonts w:hAnsi="宋体" w:eastAsia="宋体" w:cs="宋体"/>
                <w:kern w:val="2"/>
                <w:sz w:val="21"/>
              </w:rPr>
            </w:pPr>
            <w:r>
              <w:rPr>
                <w:rFonts w:hint="eastAsia" w:hAnsi="宋体" w:eastAsia="宋体" w:cs="宋体"/>
                <w:kern w:val="2"/>
                <w:sz w:val="21"/>
              </w:rPr>
              <w:t>（九）不存在响应文件的有效期不满足磋商文件要求情形；</w:t>
            </w:r>
          </w:p>
        </w:tc>
        <w:tc>
          <w:tcPr>
            <w:tcW w:w="1410" w:type="dxa"/>
            <w:noWrap/>
            <w:vAlign w:val="center"/>
          </w:tcPr>
          <w:p>
            <w:pPr>
              <w:adjustRightInd/>
              <w:spacing w:line="280" w:lineRule="exact"/>
              <w:textAlignment w:val="auto"/>
              <w:rPr>
                <w:rFonts w:hAnsi="宋体" w:eastAsia="宋体" w:cs="宋体"/>
                <w:kern w:val="2"/>
                <w:sz w:val="21"/>
              </w:rPr>
            </w:pPr>
            <w:r>
              <w:rPr>
                <w:rFonts w:hint="eastAsia" w:hAnsi="宋体" w:eastAsia="宋体" w:cs="宋体"/>
                <w:kern w:val="2"/>
                <w:sz w:val="21"/>
              </w:rPr>
              <w:t xml:space="preserve">□通过 </w:t>
            </w:r>
          </w:p>
          <w:p>
            <w:pPr>
              <w:adjustRightInd/>
              <w:spacing w:line="280" w:lineRule="exact"/>
              <w:textAlignment w:val="auto"/>
              <w:rPr>
                <w:rFonts w:hAnsi="宋体" w:eastAsia="宋体" w:cs="宋体"/>
                <w:kern w:val="2"/>
                <w:sz w:val="21"/>
              </w:rPr>
            </w:pPr>
            <w:r>
              <w:rPr>
                <w:rFonts w:hint="eastAsia" w:hAnsi="宋体" w:eastAsia="宋体" w:cs="宋体"/>
                <w:kern w:val="2"/>
                <w:sz w:val="21"/>
              </w:rPr>
              <w:t>□不通过</w:t>
            </w:r>
          </w:p>
        </w:tc>
        <w:tc>
          <w:tcPr>
            <w:tcW w:w="2192" w:type="dxa"/>
            <w:noWrap/>
            <w:vAlign w:val="center"/>
          </w:tcPr>
          <w:p>
            <w:pPr>
              <w:adjustRightInd/>
              <w:spacing w:line="280" w:lineRule="exact"/>
              <w:jc w:val="center"/>
              <w:textAlignment w:val="auto"/>
              <w:rPr>
                <w:rFonts w:hAnsi="宋体" w:eastAsia="宋体" w:cs="宋体"/>
                <w:kern w:val="2"/>
                <w:sz w:val="21"/>
              </w:rPr>
            </w:pPr>
            <w:r>
              <w:rPr>
                <w:rFonts w:hint="eastAsia" w:hAnsi="宋体" w:eastAsia="宋体" w:cs="宋体"/>
                <w:kern w:val="2"/>
                <w:sz w:val="21"/>
              </w:rPr>
              <w:t>第（ ）页</w:t>
            </w:r>
          </w:p>
        </w:tc>
      </w:tr>
    </w:tbl>
    <w:p>
      <w:pPr>
        <w:adjustRightInd/>
        <w:snapToGrid w:val="0"/>
        <w:spacing w:line="240" w:lineRule="auto"/>
        <w:textAlignment w:val="auto"/>
        <w:rPr>
          <w:rFonts w:hAnsi="宋体" w:eastAsia="宋体" w:cs="宋体"/>
          <w:b/>
          <w:kern w:val="2"/>
          <w:sz w:val="21"/>
        </w:rPr>
      </w:pPr>
      <w:r>
        <w:rPr>
          <w:rFonts w:hint="eastAsia" w:hAnsi="宋体" w:eastAsia="宋体" w:cs="宋体"/>
          <w:b/>
          <w:kern w:val="2"/>
          <w:sz w:val="21"/>
        </w:rPr>
        <w:t xml:space="preserve">备注：符合性自查表将作为供应商有效性审查的重要内容之一，供应商必须严格按照其内容及序列要求在响应文件中对应如实提供，对证明文件的任何缺漏和不符合项将会直接导致投标无效！ </w:t>
      </w:r>
    </w:p>
    <w:p>
      <w:pPr>
        <w:snapToGrid w:val="0"/>
        <w:rPr>
          <w:rFonts w:hAnsi="宋体" w:eastAsia="宋体" w:cs="宋体"/>
        </w:rPr>
      </w:pPr>
      <w:r>
        <w:rPr>
          <w:rFonts w:hint="eastAsia" w:hAnsi="宋体" w:eastAsia="宋体" w:cs="宋体"/>
          <w:b/>
          <w:sz w:val="21"/>
        </w:rPr>
        <w:br w:type="page"/>
      </w:r>
      <w:r>
        <w:rPr>
          <w:rFonts w:hint="eastAsia" w:hAnsi="宋体" w:eastAsia="宋体" w:cs="宋体"/>
          <w:b/>
          <w:bCs/>
          <w:kern w:val="2"/>
          <w:sz w:val="21"/>
        </w:rPr>
        <w:t>（2）投标函</w:t>
      </w:r>
    </w:p>
    <w:p>
      <w:pPr>
        <w:adjustRightInd/>
        <w:spacing w:line="400" w:lineRule="exact"/>
        <w:jc w:val="center"/>
        <w:textAlignment w:val="auto"/>
        <w:rPr>
          <w:rFonts w:hAnsi="宋体" w:eastAsia="宋体" w:cs="宋体"/>
          <w:b/>
          <w:kern w:val="2"/>
          <w:sz w:val="21"/>
        </w:rPr>
      </w:pPr>
      <w:r>
        <w:rPr>
          <w:rFonts w:hint="eastAsia" w:hAnsi="宋体" w:eastAsia="宋体" w:cs="宋体"/>
          <w:b/>
          <w:kern w:val="2"/>
          <w:sz w:val="21"/>
        </w:rPr>
        <w:t>投 标 函</w:t>
      </w:r>
    </w:p>
    <w:p>
      <w:pPr>
        <w:snapToGrid w:val="0"/>
        <w:spacing w:before="156" w:beforeLines="50" w:after="50" w:line="400" w:lineRule="exact"/>
        <w:jc w:val="center"/>
        <w:rPr>
          <w:rFonts w:hAnsi="宋体" w:eastAsia="宋体" w:cs="宋体"/>
          <w:b/>
          <w:sz w:val="21"/>
        </w:rPr>
      </w:pPr>
    </w:p>
    <w:p>
      <w:pPr>
        <w:snapToGrid w:val="0"/>
        <w:spacing w:line="400" w:lineRule="exact"/>
        <w:rPr>
          <w:rFonts w:hAnsi="宋体" w:eastAsia="宋体" w:cs="宋体"/>
          <w:sz w:val="21"/>
        </w:rPr>
      </w:pPr>
      <w:r>
        <w:rPr>
          <w:rFonts w:hint="eastAsia" w:hAnsi="宋体" w:eastAsia="宋体" w:cs="宋体"/>
          <w:sz w:val="21"/>
        </w:rPr>
        <w:t>致：（采购单位名称）：</w:t>
      </w:r>
    </w:p>
    <w:p>
      <w:pPr>
        <w:snapToGrid w:val="0"/>
        <w:spacing w:line="400" w:lineRule="exact"/>
        <w:ind w:firstLine="480"/>
        <w:rPr>
          <w:rFonts w:hAnsi="宋体" w:eastAsia="宋体" w:cs="宋体"/>
          <w:sz w:val="21"/>
        </w:rPr>
      </w:pPr>
      <w:r>
        <w:rPr>
          <w:rFonts w:hint="eastAsia" w:hAnsi="宋体" w:eastAsia="宋体" w:cs="宋体"/>
          <w:sz w:val="21"/>
        </w:rPr>
        <w:t>根据贵方为</w:t>
      </w:r>
      <w:r>
        <w:rPr>
          <w:rFonts w:hint="eastAsia" w:hAnsi="宋体" w:eastAsia="宋体" w:cs="宋体"/>
          <w:sz w:val="21"/>
          <w:u w:val="single"/>
        </w:rPr>
        <w:t>（项目名称）</w:t>
      </w:r>
      <w:r>
        <w:rPr>
          <w:rFonts w:hint="eastAsia" w:hAnsi="宋体" w:eastAsia="宋体" w:cs="宋体"/>
          <w:sz w:val="21"/>
        </w:rPr>
        <w:t>项目的竞争性磋商公告（项目编号：），签字代表</w:t>
      </w:r>
      <w:r>
        <w:rPr>
          <w:rFonts w:hint="eastAsia" w:hAnsi="宋体" w:eastAsia="宋体" w:cs="宋体"/>
          <w:sz w:val="21"/>
          <w:u w:val="single"/>
        </w:rPr>
        <w:t xml:space="preserve">         （全名）</w:t>
      </w:r>
      <w:r>
        <w:rPr>
          <w:rFonts w:hint="eastAsia" w:hAnsi="宋体" w:eastAsia="宋体" w:cs="宋体"/>
          <w:sz w:val="21"/>
        </w:rPr>
        <w:t>经正式授权并代表供应商</w:t>
      </w:r>
      <w:r>
        <w:rPr>
          <w:rFonts w:hint="eastAsia" w:hAnsi="宋体" w:eastAsia="宋体" w:cs="宋体"/>
          <w:sz w:val="21"/>
          <w:u w:val="single"/>
        </w:rPr>
        <w:t xml:space="preserve">       （供应商名称）</w:t>
      </w:r>
      <w:r>
        <w:rPr>
          <w:rFonts w:hint="eastAsia" w:hAnsi="宋体" w:eastAsia="宋体" w:cs="宋体"/>
          <w:sz w:val="21"/>
        </w:rPr>
        <w:t>提交响应文件。</w:t>
      </w:r>
    </w:p>
    <w:p>
      <w:pPr>
        <w:snapToGrid w:val="0"/>
        <w:spacing w:line="400" w:lineRule="exact"/>
        <w:ind w:firstLine="420" w:firstLineChars="200"/>
        <w:rPr>
          <w:rFonts w:hAnsi="宋体" w:eastAsia="宋体" w:cs="宋体"/>
          <w:sz w:val="21"/>
        </w:rPr>
      </w:pPr>
      <w:r>
        <w:rPr>
          <w:rFonts w:hint="eastAsia" w:hAnsi="宋体" w:eastAsia="宋体" w:cs="宋体"/>
          <w:sz w:val="21"/>
        </w:rPr>
        <w:t>据此函，签字代表宣布同意如下：</w:t>
      </w:r>
    </w:p>
    <w:p>
      <w:pPr>
        <w:snapToGrid w:val="0"/>
        <w:spacing w:line="400" w:lineRule="exact"/>
        <w:ind w:firstLine="420" w:firstLineChars="200"/>
        <w:rPr>
          <w:rFonts w:hAnsi="宋体" w:eastAsia="宋体" w:cs="宋体"/>
          <w:sz w:val="21"/>
        </w:rPr>
      </w:pPr>
      <w:r>
        <w:rPr>
          <w:rFonts w:hint="eastAsia" w:hAnsi="宋体" w:eastAsia="宋体" w:cs="宋体"/>
          <w:sz w:val="21"/>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400" w:lineRule="exact"/>
        <w:ind w:firstLine="420" w:firstLineChars="200"/>
        <w:rPr>
          <w:rFonts w:hAnsi="宋体" w:eastAsia="宋体" w:cs="宋体"/>
          <w:sz w:val="21"/>
        </w:rPr>
      </w:pPr>
      <w:r>
        <w:rPr>
          <w:rFonts w:hint="eastAsia" w:hAnsi="宋体" w:eastAsia="宋体" w:cs="宋体"/>
          <w:sz w:val="21"/>
        </w:rPr>
        <w:t>2.供应商在投标之前已经与贵方进行了充分的沟通，完全理解并接受磋商文件的各项规定和要求，对磋商文件的合理性、合法性不再有异议。</w:t>
      </w:r>
    </w:p>
    <w:p>
      <w:pPr>
        <w:snapToGrid w:val="0"/>
        <w:spacing w:line="400" w:lineRule="exact"/>
        <w:ind w:firstLine="420" w:firstLineChars="200"/>
        <w:rPr>
          <w:rFonts w:hAnsi="宋体" w:eastAsia="宋体" w:cs="宋体"/>
          <w:sz w:val="21"/>
        </w:rPr>
      </w:pPr>
      <w:r>
        <w:rPr>
          <w:rFonts w:hint="eastAsia" w:hAnsi="宋体" w:eastAsia="宋体" w:cs="宋体"/>
          <w:sz w:val="21"/>
        </w:rPr>
        <w:t>3.本投标有效期自开标日起60天。</w:t>
      </w:r>
    </w:p>
    <w:p>
      <w:pPr>
        <w:snapToGrid w:val="0"/>
        <w:spacing w:line="400" w:lineRule="exact"/>
        <w:ind w:firstLine="420" w:firstLineChars="200"/>
        <w:rPr>
          <w:rFonts w:hAnsi="宋体" w:eastAsia="宋体" w:cs="宋体"/>
          <w:sz w:val="21"/>
        </w:rPr>
      </w:pPr>
      <w:r>
        <w:rPr>
          <w:rFonts w:hint="eastAsia" w:hAnsi="宋体" w:eastAsia="宋体" w:cs="宋体"/>
          <w:sz w:val="21"/>
        </w:rPr>
        <w:t>4.如成交，本响应文件至本项目合同履行完毕止均保持有效，本供应商将按“磋商文件”及政府采购法律、法规的规定履行合同责任和义务。</w:t>
      </w:r>
    </w:p>
    <w:p>
      <w:pPr>
        <w:snapToGrid w:val="0"/>
        <w:spacing w:line="400" w:lineRule="exact"/>
        <w:ind w:firstLine="420" w:firstLineChars="200"/>
        <w:rPr>
          <w:rFonts w:hAnsi="宋体" w:eastAsia="宋体" w:cs="宋体"/>
          <w:sz w:val="21"/>
        </w:rPr>
      </w:pPr>
      <w:r>
        <w:rPr>
          <w:rFonts w:hint="eastAsia" w:hAnsi="宋体" w:eastAsia="宋体" w:cs="宋体"/>
          <w:sz w:val="21"/>
        </w:rPr>
        <w:t>5.供应商同意按照贵方要求提供与投标有关的一切数据或资料。</w:t>
      </w:r>
    </w:p>
    <w:p>
      <w:pPr>
        <w:snapToGrid w:val="0"/>
        <w:spacing w:line="400" w:lineRule="exact"/>
        <w:ind w:firstLine="420" w:firstLineChars="200"/>
        <w:rPr>
          <w:rFonts w:hAnsi="宋体" w:eastAsia="宋体" w:cs="宋体"/>
          <w:sz w:val="21"/>
          <w:lang w:val="zh-CN"/>
        </w:rPr>
      </w:pPr>
      <w:r>
        <w:rPr>
          <w:rFonts w:hint="eastAsia" w:hAnsi="宋体" w:eastAsia="宋体" w:cs="宋体"/>
          <w:sz w:val="21"/>
        </w:rPr>
        <w:t>6.</w:t>
      </w:r>
      <w:r>
        <w:rPr>
          <w:rFonts w:hint="eastAsia" w:hAnsi="宋体" w:eastAsia="宋体" w:cs="宋体"/>
          <w:sz w:val="21"/>
          <w:lang w:val="zh-CN"/>
        </w:rPr>
        <w:t>我们郑重声明：本响应文件提供的情况和文件完全是真实的。</w:t>
      </w:r>
    </w:p>
    <w:p>
      <w:pPr>
        <w:snapToGrid w:val="0"/>
        <w:spacing w:line="400" w:lineRule="exact"/>
        <w:ind w:firstLine="420" w:firstLineChars="200"/>
        <w:rPr>
          <w:rFonts w:hAnsi="宋体" w:eastAsia="宋体" w:cs="宋体"/>
          <w:sz w:val="21"/>
          <w:lang w:val="zh-CN"/>
        </w:rPr>
      </w:pPr>
      <w:r>
        <w:rPr>
          <w:rFonts w:hint="eastAsia" w:hAnsi="宋体" w:eastAsia="宋体" w:cs="宋体"/>
          <w:sz w:val="21"/>
        </w:rPr>
        <w:t>7.</w:t>
      </w:r>
      <w:r>
        <w:rPr>
          <w:rFonts w:hint="eastAsia" w:hAnsi="宋体" w:eastAsia="宋体" w:cs="宋体"/>
          <w:sz w:val="21"/>
          <w:lang w:val="zh-CN"/>
        </w:rPr>
        <w:t>按照</w:t>
      </w:r>
      <w:r>
        <w:rPr>
          <w:rFonts w:hint="eastAsia" w:hAnsi="宋体" w:eastAsia="宋体" w:cs="宋体"/>
          <w:sz w:val="21"/>
        </w:rPr>
        <w:t>磋商</w:t>
      </w:r>
      <w:r>
        <w:rPr>
          <w:rFonts w:hint="eastAsia" w:hAnsi="宋体" w:eastAsia="宋体" w:cs="宋体"/>
          <w:sz w:val="21"/>
          <w:lang w:val="zh-CN"/>
        </w:rPr>
        <w:t>文件的规定，在</w:t>
      </w:r>
      <w:r>
        <w:rPr>
          <w:rFonts w:hint="eastAsia" w:hAnsi="宋体" w:eastAsia="宋体" w:cs="宋体"/>
          <w:sz w:val="21"/>
        </w:rPr>
        <w:t>成交</w:t>
      </w:r>
      <w:r>
        <w:rPr>
          <w:rFonts w:hint="eastAsia" w:hAnsi="宋体" w:eastAsia="宋体" w:cs="宋体"/>
          <w:sz w:val="21"/>
          <w:lang w:val="zh-CN"/>
        </w:rPr>
        <w:t>后向</w:t>
      </w:r>
      <w:r>
        <w:rPr>
          <w:rFonts w:hint="eastAsia" w:hAnsi="宋体" w:eastAsia="宋体" w:cs="宋体"/>
          <w:sz w:val="21"/>
        </w:rPr>
        <w:t>采购代理机构</w:t>
      </w:r>
      <w:r>
        <w:rPr>
          <w:rFonts w:hint="eastAsia" w:hAnsi="宋体" w:eastAsia="宋体" w:cs="宋体"/>
          <w:sz w:val="21"/>
          <w:lang w:val="zh-CN"/>
        </w:rPr>
        <w:t>一次性支付招标代理</w:t>
      </w:r>
      <w:r>
        <w:rPr>
          <w:rFonts w:hint="eastAsia" w:hAnsi="宋体" w:eastAsia="宋体" w:cs="宋体"/>
          <w:sz w:val="21"/>
        </w:rPr>
        <w:t>服务</w:t>
      </w:r>
      <w:r>
        <w:rPr>
          <w:rFonts w:hint="eastAsia" w:hAnsi="宋体" w:eastAsia="宋体" w:cs="宋体"/>
          <w:sz w:val="21"/>
          <w:lang w:val="zh-CN"/>
        </w:rPr>
        <w:t>费。</w:t>
      </w:r>
    </w:p>
    <w:p>
      <w:pPr>
        <w:snapToGrid w:val="0"/>
        <w:spacing w:line="400" w:lineRule="exact"/>
        <w:ind w:firstLine="420" w:firstLineChars="200"/>
        <w:rPr>
          <w:rFonts w:hAnsi="宋体" w:eastAsia="宋体" w:cs="宋体"/>
          <w:sz w:val="21"/>
        </w:rPr>
      </w:pPr>
      <w:r>
        <w:rPr>
          <w:rFonts w:hint="eastAsia" w:hAnsi="宋体" w:eastAsia="宋体" w:cs="宋体"/>
          <w:sz w:val="21"/>
        </w:rPr>
        <w:t>8.与本投标有关的一切正式往来信函请寄：</w:t>
      </w:r>
    </w:p>
    <w:p>
      <w:pPr>
        <w:snapToGrid w:val="0"/>
        <w:spacing w:line="400" w:lineRule="exact"/>
        <w:rPr>
          <w:rFonts w:hAnsi="宋体" w:eastAsia="宋体" w:cs="宋体"/>
          <w:sz w:val="21"/>
        </w:rPr>
      </w:pPr>
      <w:r>
        <w:rPr>
          <w:rFonts w:hint="eastAsia" w:hAnsi="宋体" w:eastAsia="宋体" w:cs="宋体"/>
          <w:sz w:val="21"/>
        </w:rPr>
        <w:t>地址：邮编：__________   电话：______________</w:t>
      </w:r>
    </w:p>
    <w:p>
      <w:pPr>
        <w:snapToGrid w:val="0"/>
        <w:spacing w:line="400" w:lineRule="exact"/>
        <w:rPr>
          <w:rFonts w:hAnsi="宋体" w:eastAsia="宋体" w:cs="宋体"/>
          <w:sz w:val="21"/>
        </w:rPr>
      </w:pPr>
      <w:r>
        <w:rPr>
          <w:rFonts w:hint="eastAsia" w:hAnsi="宋体" w:eastAsia="宋体" w:cs="宋体"/>
          <w:sz w:val="21"/>
        </w:rPr>
        <w:t>传真：______________供应商代表姓名 ___________  职务：_____________</w:t>
      </w:r>
    </w:p>
    <w:p>
      <w:pPr>
        <w:snapToGrid w:val="0"/>
        <w:spacing w:line="400" w:lineRule="exact"/>
        <w:rPr>
          <w:rFonts w:hAnsi="宋体" w:eastAsia="宋体" w:cs="宋体"/>
          <w:sz w:val="21"/>
        </w:rPr>
      </w:pPr>
    </w:p>
    <w:p>
      <w:pPr>
        <w:snapToGrid w:val="0"/>
        <w:spacing w:line="400" w:lineRule="exact"/>
        <w:rPr>
          <w:rFonts w:hAnsi="宋体" w:eastAsia="宋体" w:cs="宋体"/>
          <w:sz w:val="21"/>
        </w:rPr>
      </w:pPr>
      <w:r>
        <w:rPr>
          <w:rFonts w:hint="eastAsia" w:hAnsi="宋体" w:eastAsia="宋体" w:cs="宋体"/>
          <w:sz w:val="21"/>
        </w:rPr>
        <w:t>供应商名称(公章):___________________</w:t>
      </w:r>
    </w:p>
    <w:p>
      <w:pPr>
        <w:rPr>
          <w:rFonts w:hAnsi="宋体" w:eastAsia="宋体" w:cs="宋体"/>
          <w:b/>
          <w:bCs/>
          <w:sz w:val="21"/>
        </w:rPr>
      </w:pPr>
      <w:r>
        <w:rPr>
          <w:rFonts w:hint="eastAsia" w:hAnsi="宋体" w:eastAsia="宋体" w:cs="宋体"/>
          <w:sz w:val="21"/>
        </w:rPr>
        <w:t>日期：</w:t>
      </w:r>
      <w:r>
        <w:rPr>
          <w:rFonts w:hint="eastAsia" w:hAnsi="宋体" w:eastAsia="宋体" w:cs="宋体"/>
          <w:b/>
          <w:bCs/>
          <w:sz w:val="21"/>
        </w:rPr>
        <w:br w:type="page"/>
      </w:r>
    </w:p>
    <w:p>
      <w:pPr>
        <w:spacing w:line="400" w:lineRule="exact"/>
        <w:rPr>
          <w:rFonts w:hAnsi="宋体" w:eastAsia="宋体" w:cs="宋体"/>
          <w:b/>
          <w:bCs/>
          <w:sz w:val="21"/>
        </w:rPr>
      </w:pPr>
      <w:r>
        <w:rPr>
          <w:rFonts w:hint="eastAsia" w:hAnsi="宋体" w:eastAsia="宋体" w:cs="宋体"/>
          <w:b/>
          <w:bCs/>
          <w:sz w:val="21"/>
        </w:rPr>
        <w:t>（3）法定代表人身份证明及授权委托书</w:t>
      </w:r>
    </w:p>
    <w:p>
      <w:pPr>
        <w:pStyle w:val="8"/>
        <w:ind w:left="560"/>
        <w:rPr>
          <w:rFonts w:ascii="宋体" w:hAnsi="宋体" w:cs="宋体"/>
          <w:sz w:val="21"/>
        </w:rPr>
      </w:pPr>
    </w:p>
    <w:p>
      <w:pPr>
        <w:jc w:val="center"/>
        <w:rPr>
          <w:rFonts w:hAnsi="宋体" w:eastAsia="宋体" w:cs="宋体"/>
          <w:bCs/>
          <w:sz w:val="21"/>
        </w:rPr>
      </w:pPr>
      <w:r>
        <w:rPr>
          <w:rFonts w:hint="eastAsia" w:hAnsi="宋体" w:eastAsia="宋体" w:cs="宋体"/>
          <w:b/>
          <w:sz w:val="21"/>
        </w:rPr>
        <w:t>法定代表人身份证明</w:t>
      </w:r>
    </w:p>
    <w:p>
      <w:pPr>
        <w:spacing w:line="480" w:lineRule="auto"/>
        <w:jc w:val="center"/>
        <w:rPr>
          <w:rFonts w:hAnsi="宋体" w:eastAsia="宋体" w:cs="宋体"/>
          <w:b/>
          <w:sz w:val="21"/>
        </w:rPr>
      </w:pPr>
      <w:r>
        <w:rPr>
          <w:rFonts w:hint="eastAsia" w:hAnsi="宋体" w:eastAsia="宋体" w:cs="宋体"/>
          <w:bCs/>
          <w:sz w:val="21"/>
        </w:rPr>
        <w:t>（法定代表人参加投标的须提供）</w:t>
      </w:r>
    </w:p>
    <w:p>
      <w:pPr>
        <w:spacing w:line="480" w:lineRule="auto"/>
        <w:ind w:firstLine="420" w:firstLineChars="200"/>
        <w:rPr>
          <w:rFonts w:hAnsi="宋体" w:eastAsia="宋体" w:cs="宋体"/>
          <w:sz w:val="21"/>
        </w:rPr>
      </w:pPr>
      <w:r>
        <w:rPr>
          <w:rFonts w:hint="eastAsia" w:hAnsi="宋体" w:eastAsia="宋体" w:cs="宋体"/>
          <w:sz w:val="21"/>
        </w:rPr>
        <w:t>供应商名称：</w:t>
      </w:r>
    </w:p>
    <w:p>
      <w:pPr>
        <w:spacing w:line="480" w:lineRule="auto"/>
        <w:ind w:firstLine="420" w:firstLineChars="200"/>
        <w:rPr>
          <w:rFonts w:hAnsi="宋体" w:eastAsia="宋体" w:cs="宋体"/>
          <w:sz w:val="21"/>
        </w:rPr>
      </w:pPr>
      <w:r>
        <w:rPr>
          <w:rFonts w:hint="eastAsia" w:hAnsi="宋体" w:eastAsia="宋体" w:cs="宋体"/>
          <w:sz w:val="21"/>
        </w:rPr>
        <w:t>单位性质：</w:t>
      </w:r>
    </w:p>
    <w:p>
      <w:pPr>
        <w:spacing w:line="480" w:lineRule="auto"/>
        <w:ind w:firstLine="420" w:firstLineChars="200"/>
        <w:rPr>
          <w:rFonts w:hAnsi="宋体" w:eastAsia="宋体" w:cs="宋体"/>
          <w:sz w:val="21"/>
        </w:rPr>
      </w:pPr>
      <w:r>
        <w:rPr>
          <w:rFonts w:hint="eastAsia" w:hAnsi="宋体" w:eastAsia="宋体" w:cs="宋体"/>
          <w:sz w:val="21"/>
        </w:rPr>
        <w:t>地址：</w:t>
      </w:r>
    </w:p>
    <w:p>
      <w:pPr>
        <w:spacing w:line="480" w:lineRule="auto"/>
        <w:ind w:firstLine="420" w:firstLineChars="200"/>
        <w:rPr>
          <w:rFonts w:hAnsi="宋体" w:eastAsia="宋体" w:cs="宋体"/>
          <w:sz w:val="21"/>
        </w:rPr>
      </w:pPr>
      <w:r>
        <w:rPr>
          <w:rFonts w:hint="eastAsia" w:hAnsi="宋体" w:eastAsia="宋体" w:cs="宋体"/>
          <w:sz w:val="21"/>
        </w:rPr>
        <w:t>成立时间：年月日</w:t>
      </w:r>
    </w:p>
    <w:p>
      <w:pPr>
        <w:spacing w:line="480" w:lineRule="auto"/>
        <w:ind w:firstLine="420" w:firstLineChars="200"/>
        <w:rPr>
          <w:rFonts w:hAnsi="宋体" w:eastAsia="宋体" w:cs="宋体"/>
          <w:sz w:val="21"/>
        </w:rPr>
      </w:pPr>
      <w:r>
        <w:rPr>
          <w:rFonts w:hint="eastAsia" w:hAnsi="宋体" w:eastAsia="宋体" w:cs="宋体"/>
          <w:sz w:val="21"/>
        </w:rPr>
        <w:t>经营期限：</w:t>
      </w:r>
    </w:p>
    <w:p>
      <w:pPr>
        <w:spacing w:line="480" w:lineRule="auto"/>
        <w:ind w:firstLine="420" w:firstLineChars="200"/>
        <w:rPr>
          <w:rFonts w:hAnsi="宋体" w:eastAsia="宋体" w:cs="宋体"/>
          <w:sz w:val="21"/>
        </w:rPr>
      </w:pPr>
      <w:r>
        <w:rPr>
          <w:rFonts w:hint="eastAsia" w:hAnsi="宋体" w:eastAsia="宋体" w:cs="宋体"/>
          <w:sz w:val="21"/>
        </w:rPr>
        <w:t>姓名：性别：年龄：</w:t>
      </w:r>
      <w:r>
        <w:rPr>
          <w:rFonts w:hint="eastAsia" w:hAnsi="宋体" w:eastAsia="宋体" w:cs="宋体"/>
          <w:sz w:val="21"/>
          <w:u w:val="single"/>
        </w:rPr>
        <w:t xml:space="preserve">    周岁  </w:t>
      </w:r>
      <w:r>
        <w:rPr>
          <w:rFonts w:hint="eastAsia" w:hAnsi="宋体" w:eastAsia="宋体" w:cs="宋体"/>
          <w:sz w:val="21"/>
        </w:rPr>
        <w:t>职务：</w:t>
      </w:r>
    </w:p>
    <w:p>
      <w:pPr>
        <w:spacing w:line="480" w:lineRule="auto"/>
        <w:ind w:firstLine="420" w:firstLineChars="200"/>
        <w:rPr>
          <w:rFonts w:hAnsi="宋体" w:eastAsia="宋体" w:cs="宋体"/>
          <w:sz w:val="21"/>
          <w:u w:val="single"/>
        </w:rPr>
      </w:pPr>
      <w:r>
        <w:rPr>
          <w:rFonts w:hint="eastAsia" w:hAnsi="宋体" w:eastAsia="宋体" w:cs="宋体"/>
          <w:sz w:val="21"/>
        </w:rPr>
        <w:t>身份证号码：</w:t>
      </w:r>
    </w:p>
    <w:p>
      <w:pPr>
        <w:spacing w:line="480" w:lineRule="auto"/>
        <w:ind w:firstLine="420" w:firstLineChars="200"/>
        <w:rPr>
          <w:rFonts w:hAnsi="宋体" w:eastAsia="宋体" w:cs="宋体"/>
          <w:sz w:val="21"/>
        </w:rPr>
      </w:pPr>
      <w:r>
        <w:rPr>
          <w:rFonts w:hint="eastAsia" w:hAnsi="宋体" w:eastAsia="宋体" w:cs="宋体"/>
          <w:sz w:val="21"/>
        </w:rPr>
        <w:t>系（供应商名称）的法定代表人。</w:t>
      </w:r>
    </w:p>
    <w:p>
      <w:pPr>
        <w:ind w:firstLine="420" w:firstLineChars="200"/>
        <w:rPr>
          <w:rFonts w:hAnsi="宋体" w:eastAsia="宋体" w:cs="宋体"/>
          <w:bCs/>
          <w:sz w:val="21"/>
        </w:rPr>
      </w:pPr>
      <w:r>
        <w:rPr>
          <w:rFonts w:hint="eastAsia" w:hAnsi="宋体" w:eastAsia="宋体" w:cs="宋体"/>
          <w:sz w:val="21"/>
        </w:rPr>
        <w:t>特此证明。</w:t>
      </w:r>
    </w:p>
    <w:p>
      <w:pPr>
        <w:rPr>
          <w:rFonts w:hAnsi="宋体" w:eastAsia="宋体" w:cs="宋体"/>
          <w:bCs/>
          <w:sz w:val="21"/>
        </w:rPr>
      </w:pPr>
    </w:p>
    <w:p>
      <w:pPr>
        <w:rPr>
          <w:rFonts w:hAnsi="宋体" w:eastAsia="宋体" w:cs="宋体"/>
          <w:bCs/>
          <w:sz w:val="21"/>
        </w:rPr>
      </w:pPr>
    </w:p>
    <w:p>
      <w:pPr>
        <w:rPr>
          <w:rFonts w:hAnsi="宋体" w:eastAsia="宋体" w:cs="宋体"/>
          <w:bCs/>
          <w:sz w:val="21"/>
        </w:rPr>
      </w:pPr>
      <w:r>
        <w:rPr>
          <w:rFonts w:hint="eastAsia" w:hAnsi="宋体" w:eastAsia="宋体" w:cs="宋体"/>
          <w:bCs/>
          <w:sz w:val="21"/>
        </w:rPr>
        <w:t>供应商名称（公章）：</w:t>
      </w:r>
    </w:p>
    <w:p>
      <w:pPr>
        <w:rPr>
          <w:rFonts w:hAnsi="宋体" w:eastAsia="宋体" w:cs="宋体"/>
          <w:bCs/>
          <w:sz w:val="21"/>
        </w:rPr>
      </w:pPr>
      <w:r>
        <w:rPr>
          <w:rFonts w:hint="eastAsia" w:hAnsi="宋体" w:eastAsia="宋体" w:cs="宋体"/>
          <w:bCs/>
          <w:sz w:val="21"/>
        </w:rPr>
        <w:t xml:space="preserve">供应商法定代表人（签名或印章）：                       </w:t>
      </w:r>
    </w:p>
    <w:p>
      <w:pPr>
        <w:pStyle w:val="12"/>
        <w:snapToGrid w:val="0"/>
        <w:rPr>
          <w:rFonts w:ascii="宋体" w:hAnsi="宋体" w:cs="宋体"/>
        </w:rPr>
      </w:pPr>
      <w:r>
        <w:rPr>
          <w:rFonts w:hint="eastAsia" w:ascii="宋体" w:hAnsi="宋体" w:cs="宋体"/>
          <w:bCs/>
        </w:rPr>
        <w:t>日期：</w:t>
      </w:r>
      <w:r>
        <w:rPr>
          <w:rFonts w:hint="eastAsia" w:ascii="宋体" w:hAnsi="宋体" w:cs="宋体"/>
          <w:bCs/>
          <w:lang w:val="en-US" w:eastAsia="zh-CN"/>
        </w:rPr>
        <w:t xml:space="preserve">   </w:t>
      </w:r>
      <w:r>
        <w:rPr>
          <w:rFonts w:hint="eastAsia" w:ascii="宋体" w:hAnsi="宋体" w:cs="宋体"/>
          <w:bCs/>
        </w:rPr>
        <w:t>年  月  日</w:t>
      </w:r>
    </w:p>
    <w:p>
      <w:pPr>
        <w:pStyle w:val="12"/>
        <w:snapToGrid w:val="0"/>
        <w:ind w:left="403"/>
        <w:rPr>
          <w:rFonts w:ascii="宋体" w:hAnsi="宋体" w:cs="宋体"/>
        </w:rPr>
      </w:pPr>
    </w:p>
    <w:p>
      <w:pPr>
        <w:jc w:val="center"/>
        <w:rPr>
          <w:rFonts w:hAnsi="宋体" w:eastAsia="宋体" w:cs="宋体"/>
          <w:b/>
          <w:bCs/>
          <w:sz w:val="21"/>
        </w:rPr>
      </w:pPr>
    </w:p>
    <w:p>
      <w:pPr>
        <w:rPr>
          <w:rFonts w:hAnsi="宋体" w:eastAsia="宋体" w:cs="宋体"/>
          <w:b/>
          <w:bCs/>
          <w:sz w:val="21"/>
        </w:rPr>
      </w:pPr>
      <w:r>
        <w:rPr>
          <w:rFonts w:hint="eastAsia" w:hAnsi="宋体" w:eastAsia="宋体" w:cs="宋体"/>
          <w:b/>
          <w:bCs/>
          <w:sz w:val="21"/>
        </w:rPr>
        <w:t>附：法定代表人身份证复印件（正反面）</w:t>
      </w:r>
    </w:p>
    <w:p>
      <w:pPr>
        <w:jc w:val="center"/>
        <w:rPr>
          <w:rFonts w:hAnsi="宋体" w:eastAsia="宋体" w:cs="宋体"/>
          <w:b/>
          <w:bCs/>
          <w:sz w:val="21"/>
        </w:rPr>
      </w:pPr>
    </w:p>
    <w:p>
      <w:pPr>
        <w:jc w:val="center"/>
        <w:rPr>
          <w:rFonts w:hAnsi="宋体" w:eastAsia="宋体" w:cs="宋体"/>
          <w:b/>
          <w:sz w:val="21"/>
        </w:rPr>
      </w:pPr>
      <w:r>
        <w:rPr>
          <w:rFonts w:hint="eastAsia" w:hAnsi="宋体" w:eastAsia="宋体" w:cs="宋体"/>
          <w:sz w:val="21"/>
        </w:rPr>
        <w:br w:type="page"/>
      </w:r>
      <w:r>
        <w:rPr>
          <w:rFonts w:hint="eastAsia" w:hAnsi="宋体" w:eastAsia="宋体" w:cs="宋体"/>
          <w:b/>
          <w:sz w:val="21"/>
        </w:rPr>
        <w:t>法定代表人授权委托书</w:t>
      </w:r>
    </w:p>
    <w:p>
      <w:pPr>
        <w:spacing w:line="480" w:lineRule="auto"/>
        <w:jc w:val="center"/>
        <w:rPr>
          <w:rFonts w:hAnsi="宋体" w:eastAsia="宋体" w:cs="宋体"/>
          <w:b/>
          <w:sz w:val="21"/>
        </w:rPr>
      </w:pPr>
      <w:r>
        <w:rPr>
          <w:rFonts w:hint="eastAsia" w:hAnsi="宋体" w:eastAsia="宋体" w:cs="宋体"/>
          <w:bCs/>
          <w:sz w:val="21"/>
        </w:rPr>
        <w:t>（授权代表参加投标的须提供）</w:t>
      </w:r>
    </w:p>
    <w:p>
      <w:pPr>
        <w:snapToGrid w:val="0"/>
        <w:rPr>
          <w:rFonts w:hAnsi="宋体" w:eastAsia="宋体" w:cs="宋体"/>
          <w:bCs/>
          <w:sz w:val="21"/>
        </w:rPr>
      </w:pPr>
    </w:p>
    <w:p>
      <w:pPr>
        <w:snapToGrid w:val="0"/>
        <w:rPr>
          <w:rFonts w:hAnsi="宋体" w:eastAsia="宋体" w:cs="宋体"/>
          <w:sz w:val="21"/>
        </w:rPr>
      </w:pPr>
      <w:r>
        <w:rPr>
          <w:rFonts w:hint="eastAsia" w:hAnsi="宋体" w:eastAsia="宋体" w:cs="宋体"/>
          <w:bCs/>
          <w:sz w:val="21"/>
        </w:rPr>
        <w:t>致：</w:t>
      </w:r>
      <w:r>
        <w:rPr>
          <w:rFonts w:hint="eastAsia" w:hAnsi="宋体" w:eastAsia="宋体" w:cs="宋体"/>
          <w:sz w:val="21"/>
        </w:rPr>
        <w:t>（采购单位名称）：</w:t>
      </w:r>
    </w:p>
    <w:p>
      <w:pPr>
        <w:snapToGrid w:val="0"/>
        <w:ind w:firstLine="420" w:firstLineChars="200"/>
        <w:rPr>
          <w:rFonts w:hAnsi="宋体" w:eastAsia="宋体" w:cs="宋体"/>
          <w:sz w:val="21"/>
          <w:u w:val="single"/>
        </w:rPr>
      </w:pPr>
      <w:r>
        <w:rPr>
          <w:rFonts w:hint="eastAsia" w:hAnsi="宋体" w:eastAsia="宋体" w:cs="宋体"/>
          <w:sz w:val="21"/>
        </w:rPr>
        <w:t>我（法人姓名）系</w:t>
      </w:r>
      <w:r>
        <w:rPr>
          <w:rFonts w:hint="eastAsia" w:hAnsi="宋体" w:eastAsia="宋体" w:cs="宋体"/>
          <w:sz w:val="21"/>
          <w:u w:val="single"/>
        </w:rPr>
        <w:t xml:space="preserve">           （供应商名称）</w:t>
      </w:r>
      <w:r>
        <w:rPr>
          <w:rFonts w:hint="eastAsia" w:hAnsi="宋体" w:eastAsia="宋体" w:cs="宋体"/>
          <w:sz w:val="21"/>
        </w:rPr>
        <w:t>的法定代表人，现授权委托本单位在职职工 （被委托人姓名）以我方的名义参加</w:t>
      </w:r>
      <w:r>
        <w:rPr>
          <w:rFonts w:hint="eastAsia" w:hAnsi="宋体" w:eastAsia="宋体" w:cs="宋体"/>
          <w:sz w:val="21"/>
          <w:u w:val="single"/>
        </w:rPr>
        <w:t>（项目名称）</w:t>
      </w:r>
      <w:r>
        <w:rPr>
          <w:rFonts w:hint="eastAsia" w:hAnsi="宋体" w:eastAsia="宋体" w:cs="宋体"/>
          <w:sz w:val="21"/>
        </w:rPr>
        <w:t>项目的投标活动，并代表我方全权办理针对上述项目的投标、开标、评标、签约等具体事务和签署相关文件。</w:t>
      </w:r>
    </w:p>
    <w:p>
      <w:pPr>
        <w:snapToGrid w:val="0"/>
        <w:ind w:firstLine="420" w:firstLineChars="200"/>
        <w:rPr>
          <w:rFonts w:hAnsi="宋体" w:eastAsia="宋体" w:cs="宋体"/>
          <w:sz w:val="21"/>
          <w:u w:val="single"/>
        </w:rPr>
      </w:pPr>
      <w:r>
        <w:rPr>
          <w:rFonts w:hint="eastAsia" w:hAnsi="宋体" w:eastAsia="宋体" w:cs="宋体"/>
          <w:sz w:val="21"/>
        </w:rPr>
        <w:t>我方对授权代表的签名事项负全部责任。</w:t>
      </w:r>
    </w:p>
    <w:p>
      <w:pPr>
        <w:snapToGrid w:val="0"/>
        <w:ind w:firstLine="420" w:firstLineChars="200"/>
        <w:rPr>
          <w:rFonts w:hAnsi="宋体" w:eastAsia="宋体" w:cs="宋体"/>
          <w:sz w:val="21"/>
        </w:rPr>
      </w:pPr>
      <w:r>
        <w:rPr>
          <w:rFonts w:hint="eastAsia" w:hAnsi="宋体" w:eastAsia="宋体" w:cs="宋体"/>
          <w:sz w:val="21"/>
        </w:rPr>
        <w:t>在撤销授权的书面通知以前，本授权书一直有效。授权代表人在授权书有效期内签署的所有文件不因授权的撤销而失效。</w:t>
      </w:r>
    </w:p>
    <w:p>
      <w:pPr>
        <w:snapToGrid w:val="0"/>
        <w:ind w:firstLine="480"/>
        <w:rPr>
          <w:rFonts w:hAnsi="宋体" w:eastAsia="宋体" w:cs="宋体"/>
          <w:sz w:val="21"/>
        </w:rPr>
      </w:pPr>
      <w:r>
        <w:rPr>
          <w:rFonts w:hint="eastAsia" w:hAnsi="宋体" w:eastAsia="宋体" w:cs="宋体"/>
          <w:sz w:val="21"/>
        </w:rPr>
        <w:t>授权代表无转委托权，特此委托。</w:t>
      </w:r>
    </w:p>
    <w:p>
      <w:pPr>
        <w:snapToGrid w:val="0"/>
        <w:rPr>
          <w:rFonts w:hAnsi="宋体" w:eastAsia="宋体" w:cs="宋体"/>
          <w:sz w:val="21"/>
        </w:rPr>
      </w:pPr>
    </w:p>
    <w:p>
      <w:pPr>
        <w:snapToGrid w:val="0"/>
        <w:rPr>
          <w:rFonts w:hAnsi="宋体" w:eastAsia="宋体" w:cs="宋体"/>
          <w:sz w:val="21"/>
        </w:rPr>
      </w:pPr>
    </w:p>
    <w:p>
      <w:pPr>
        <w:snapToGrid w:val="0"/>
        <w:rPr>
          <w:rFonts w:hAnsi="宋体" w:eastAsia="宋体" w:cs="宋体"/>
          <w:sz w:val="21"/>
          <w:u w:val="single"/>
        </w:rPr>
      </w:pPr>
      <w:r>
        <w:rPr>
          <w:rFonts w:hint="eastAsia" w:hAnsi="宋体" w:eastAsia="宋体" w:cs="宋体"/>
          <w:sz w:val="21"/>
        </w:rPr>
        <w:t>授权代表（签名或印章）：                         法定代表人（签名或印章）：</w:t>
      </w:r>
    </w:p>
    <w:p>
      <w:pPr>
        <w:snapToGrid w:val="0"/>
        <w:rPr>
          <w:rFonts w:hAnsi="宋体" w:eastAsia="宋体" w:cs="宋体"/>
          <w:sz w:val="21"/>
        </w:rPr>
      </w:pPr>
      <w:r>
        <w:rPr>
          <w:rFonts w:hint="eastAsia" w:hAnsi="宋体" w:eastAsia="宋体" w:cs="宋体"/>
          <w:sz w:val="21"/>
        </w:rPr>
        <w:t xml:space="preserve">职务：                                    职务：           </w:t>
      </w:r>
    </w:p>
    <w:p>
      <w:pPr>
        <w:snapToGrid w:val="0"/>
        <w:rPr>
          <w:rFonts w:hAnsi="宋体" w:eastAsia="宋体" w:cs="宋体"/>
          <w:sz w:val="21"/>
        </w:rPr>
      </w:pPr>
      <w:r>
        <w:rPr>
          <w:rFonts w:hint="eastAsia" w:hAnsi="宋体" w:eastAsia="宋体" w:cs="宋体"/>
          <w:sz w:val="21"/>
        </w:rPr>
        <w:t>授权代表身份证号码：</w:t>
      </w:r>
    </w:p>
    <w:p>
      <w:pPr>
        <w:snapToGrid w:val="0"/>
        <w:rPr>
          <w:rFonts w:hAnsi="宋体" w:eastAsia="宋体" w:cs="宋体"/>
          <w:sz w:val="21"/>
        </w:rPr>
      </w:pPr>
    </w:p>
    <w:p>
      <w:pPr>
        <w:snapToGrid w:val="0"/>
        <w:rPr>
          <w:rFonts w:hAnsi="宋体" w:eastAsia="宋体" w:cs="宋体"/>
          <w:sz w:val="21"/>
        </w:rPr>
      </w:pPr>
    </w:p>
    <w:p>
      <w:pPr>
        <w:snapToGrid w:val="0"/>
        <w:ind w:firstLine="4830" w:firstLineChars="2300"/>
        <w:rPr>
          <w:rFonts w:hAnsi="宋体" w:eastAsia="宋体" w:cs="宋体"/>
          <w:sz w:val="21"/>
        </w:rPr>
      </w:pPr>
      <w:r>
        <w:rPr>
          <w:rFonts w:hint="eastAsia" w:hAnsi="宋体" w:eastAsia="宋体" w:cs="宋体"/>
          <w:sz w:val="21"/>
        </w:rPr>
        <w:t>供应商名称（公章）：</w:t>
      </w:r>
    </w:p>
    <w:p>
      <w:pPr>
        <w:snapToGrid w:val="0"/>
        <w:ind w:firstLine="4830" w:firstLineChars="2300"/>
        <w:rPr>
          <w:rFonts w:hAnsi="宋体" w:eastAsia="宋体" w:cs="宋体"/>
          <w:sz w:val="21"/>
        </w:rPr>
      </w:pPr>
    </w:p>
    <w:p>
      <w:pPr>
        <w:snapToGrid w:val="0"/>
        <w:jc w:val="center"/>
        <w:rPr>
          <w:rFonts w:hAnsi="宋体" w:eastAsia="宋体" w:cs="宋体"/>
          <w:sz w:val="21"/>
        </w:rPr>
      </w:pPr>
      <w:r>
        <w:rPr>
          <w:rFonts w:hint="eastAsia" w:hAnsi="宋体" w:eastAsia="宋体" w:cs="宋体"/>
          <w:sz w:val="21"/>
        </w:rPr>
        <w:t xml:space="preserve">                                        年    月    日</w:t>
      </w:r>
    </w:p>
    <w:p>
      <w:pPr>
        <w:rPr>
          <w:rFonts w:hAnsi="宋体" w:eastAsia="宋体" w:cs="宋体"/>
          <w:b/>
          <w:sz w:val="21"/>
        </w:rPr>
      </w:pPr>
    </w:p>
    <w:p>
      <w:pPr>
        <w:rPr>
          <w:rFonts w:hAnsi="宋体" w:eastAsia="宋体" w:cs="宋体"/>
          <w:b/>
          <w:sz w:val="21"/>
        </w:rPr>
      </w:pPr>
    </w:p>
    <w:p>
      <w:pPr>
        <w:snapToGrid w:val="0"/>
        <w:spacing w:before="50" w:after="50" w:line="360" w:lineRule="atLeast"/>
        <w:rPr>
          <w:rFonts w:hAnsi="宋体" w:eastAsia="宋体" w:cs="宋体"/>
          <w:b/>
          <w:bCs/>
          <w:sz w:val="21"/>
        </w:rPr>
      </w:pPr>
      <w:r>
        <w:rPr>
          <w:rFonts w:hint="eastAsia" w:hAnsi="宋体" w:eastAsia="宋体" w:cs="宋体"/>
          <w:b/>
          <w:sz w:val="21"/>
        </w:rPr>
        <w:t>附：（1）</w:t>
      </w:r>
      <w:r>
        <w:rPr>
          <w:rFonts w:hint="eastAsia" w:hAnsi="宋体" w:eastAsia="宋体" w:cs="宋体"/>
          <w:b/>
          <w:bCs/>
          <w:sz w:val="21"/>
        </w:rPr>
        <w:t>法定代表人身份证复印件（正反面）</w:t>
      </w:r>
    </w:p>
    <w:p>
      <w:pPr>
        <w:snapToGrid w:val="0"/>
        <w:spacing w:before="50" w:after="50" w:line="360" w:lineRule="atLeast"/>
        <w:rPr>
          <w:rFonts w:hAnsi="宋体" w:eastAsia="宋体" w:cs="宋体"/>
          <w:b/>
          <w:kern w:val="2"/>
          <w:sz w:val="21"/>
        </w:rPr>
      </w:pPr>
      <w:r>
        <w:rPr>
          <w:rFonts w:hint="eastAsia" w:hAnsi="宋体" w:eastAsia="宋体" w:cs="宋体"/>
          <w:b/>
          <w:sz w:val="21"/>
        </w:rPr>
        <w:t>（2）授权代表身份证复印件（正反面）及授权代表开标日前近100天（任意一个月）当地相关部门出具的社保证明。</w:t>
      </w:r>
    </w:p>
    <w:p>
      <w:pPr>
        <w:snapToGrid w:val="0"/>
        <w:spacing w:before="50"/>
        <w:rPr>
          <w:rFonts w:hAnsi="宋体" w:eastAsia="宋体" w:cs="宋体"/>
          <w:sz w:val="21"/>
        </w:rPr>
      </w:pPr>
      <w:r>
        <w:rPr>
          <w:rFonts w:hint="eastAsia" w:hAnsi="宋体" w:cs="宋体"/>
          <w:b/>
        </w:rPr>
        <w:br w:type="page"/>
      </w:r>
      <w:r>
        <w:rPr>
          <w:rFonts w:hint="eastAsia" w:hAnsi="宋体" w:eastAsia="宋体" w:cs="宋体"/>
          <w:b/>
          <w:bCs/>
          <w:sz w:val="21"/>
        </w:rPr>
        <w:t>（4）需求条款响应（偏离）表；</w:t>
      </w:r>
    </w:p>
    <w:p>
      <w:pPr>
        <w:snapToGrid w:val="0"/>
        <w:spacing w:before="50" w:after="156" w:afterLines="50"/>
        <w:jc w:val="center"/>
        <w:rPr>
          <w:rFonts w:hAnsi="宋体" w:eastAsia="宋体" w:cs="宋体"/>
          <w:b/>
          <w:bCs/>
          <w:sz w:val="21"/>
        </w:rPr>
      </w:pPr>
      <w:r>
        <w:rPr>
          <w:rFonts w:hint="eastAsia" w:hAnsi="宋体" w:eastAsia="宋体" w:cs="宋体"/>
          <w:b/>
          <w:bCs/>
          <w:sz w:val="21"/>
        </w:rPr>
        <w:t>需求条款响应（偏离）表</w:t>
      </w:r>
    </w:p>
    <w:p>
      <w:pPr>
        <w:snapToGrid w:val="0"/>
        <w:spacing w:before="50"/>
        <w:rPr>
          <w:rFonts w:hAnsi="宋体" w:eastAsia="宋体" w:cs="宋体"/>
          <w:sz w:val="21"/>
          <w:u w:val="single"/>
        </w:rPr>
      </w:pPr>
      <w:r>
        <w:rPr>
          <w:rFonts w:hint="eastAsia" w:hAnsi="宋体" w:eastAsia="宋体" w:cs="宋体"/>
          <w:sz w:val="21"/>
        </w:rPr>
        <w:t xml:space="preserve">项目编号：                   项目名称：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noWrap/>
            <w:vAlign w:val="center"/>
          </w:tcPr>
          <w:p>
            <w:pPr>
              <w:jc w:val="center"/>
              <w:rPr>
                <w:rFonts w:hAnsi="宋体" w:eastAsia="宋体" w:cs="宋体"/>
                <w:sz w:val="21"/>
              </w:rPr>
            </w:pPr>
            <w:r>
              <w:rPr>
                <w:rFonts w:hint="eastAsia" w:hAnsi="宋体" w:eastAsia="宋体" w:cs="宋体"/>
                <w:sz w:val="21"/>
              </w:rPr>
              <w:t>序号</w:t>
            </w:r>
          </w:p>
        </w:tc>
        <w:tc>
          <w:tcPr>
            <w:tcW w:w="4647" w:type="dxa"/>
            <w:noWrap/>
            <w:vAlign w:val="center"/>
          </w:tcPr>
          <w:p>
            <w:pPr>
              <w:jc w:val="center"/>
              <w:rPr>
                <w:rFonts w:hAnsi="宋体" w:eastAsia="宋体" w:cs="宋体"/>
                <w:sz w:val="21"/>
              </w:rPr>
            </w:pPr>
            <w:r>
              <w:rPr>
                <w:rFonts w:hint="eastAsia" w:hAnsi="宋体" w:eastAsia="宋体" w:cs="宋体"/>
                <w:sz w:val="21"/>
              </w:rPr>
              <w:t>磋商文件的需求条款</w:t>
            </w:r>
          </w:p>
        </w:tc>
        <w:tc>
          <w:tcPr>
            <w:tcW w:w="1575" w:type="dxa"/>
            <w:noWrap/>
            <w:vAlign w:val="center"/>
          </w:tcPr>
          <w:p>
            <w:pPr>
              <w:jc w:val="center"/>
              <w:rPr>
                <w:rFonts w:hAnsi="宋体" w:eastAsia="宋体" w:cs="宋体"/>
                <w:sz w:val="21"/>
              </w:rPr>
            </w:pPr>
            <w:r>
              <w:rPr>
                <w:rFonts w:hint="eastAsia" w:hAnsi="宋体" w:eastAsia="宋体" w:cs="宋体"/>
                <w:sz w:val="21"/>
              </w:rPr>
              <w:t>响应文件的</w:t>
            </w:r>
          </w:p>
          <w:p>
            <w:pPr>
              <w:jc w:val="center"/>
              <w:rPr>
                <w:rFonts w:hAnsi="宋体" w:eastAsia="宋体" w:cs="宋体"/>
                <w:sz w:val="21"/>
              </w:rPr>
            </w:pPr>
            <w:r>
              <w:rPr>
                <w:rFonts w:hint="eastAsia" w:hAnsi="宋体" w:eastAsia="宋体" w:cs="宋体"/>
                <w:sz w:val="21"/>
              </w:rPr>
              <w:t>响应情况</w:t>
            </w:r>
          </w:p>
        </w:tc>
        <w:tc>
          <w:tcPr>
            <w:tcW w:w="1185" w:type="dxa"/>
            <w:noWrap/>
            <w:vAlign w:val="center"/>
          </w:tcPr>
          <w:p>
            <w:pPr>
              <w:jc w:val="center"/>
              <w:rPr>
                <w:rFonts w:hAnsi="宋体" w:eastAsia="宋体" w:cs="宋体"/>
                <w:sz w:val="21"/>
              </w:rPr>
            </w:pPr>
            <w:r>
              <w:rPr>
                <w:rFonts w:hint="eastAsia" w:hAnsi="宋体" w:eastAsia="宋体" w:cs="宋体"/>
                <w:sz w:val="21"/>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bl>
    <w:p>
      <w:pPr>
        <w:snapToGrid w:val="0"/>
        <w:spacing w:before="50"/>
        <w:rPr>
          <w:rFonts w:hAnsi="宋体" w:eastAsia="宋体" w:cs="宋体"/>
          <w:sz w:val="21"/>
        </w:rPr>
      </w:pPr>
      <w:r>
        <w:rPr>
          <w:rFonts w:hint="eastAsia" w:hAnsi="宋体" w:eastAsia="宋体" w:cs="宋体"/>
          <w:sz w:val="21"/>
        </w:rPr>
        <w:t>注：供应商须按“第三章 项目需求要求逐项填写，并根据要求提交对应资料，无偏离应在本表空白处醒目地注明“无偏离”的字样。</w:t>
      </w:r>
    </w:p>
    <w:p>
      <w:pPr>
        <w:snapToGrid w:val="0"/>
        <w:spacing w:before="50"/>
        <w:ind w:firstLine="4200" w:firstLineChars="2000"/>
        <w:rPr>
          <w:rFonts w:hAnsi="宋体" w:eastAsia="宋体" w:cs="宋体"/>
          <w:sz w:val="21"/>
        </w:rPr>
      </w:pPr>
      <w:r>
        <w:rPr>
          <w:rFonts w:hint="eastAsia" w:hAnsi="宋体" w:eastAsia="宋体" w:cs="宋体"/>
          <w:sz w:val="21"/>
        </w:rPr>
        <w:t>供应商名称（公章）：</w:t>
      </w:r>
    </w:p>
    <w:p>
      <w:pPr>
        <w:snapToGrid w:val="0"/>
        <w:spacing w:before="50"/>
        <w:ind w:firstLine="4410" w:firstLineChars="2100"/>
        <w:rPr>
          <w:rFonts w:hAnsi="宋体" w:eastAsia="宋体" w:cs="宋体"/>
          <w:sz w:val="21"/>
        </w:rPr>
      </w:pPr>
      <w:r>
        <w:rPr>
          <w:rFonts w:hint="eastAsia" w:hAnsi="宋体" w:eastAsia="宋体" w:cs="宋体"/>
          <w:sz w:val="21"/>
        </w:rPr>
        <w:t xml:space="preserve">年    月    日  </w:t>
      </w:r>
    </w:p>
    <w:p>
      <w:pPr>
        <w:snapToGrid w:val="0"/>
        <w:spacing w:before="50"/>
        <w:rPr>
          <w:rFonts w:hAnsi="宋体" w:eastAsia="宋体" w:cs="宋体"/>
          <w:b/>
          <w:bCs/>
          <w:sz w:val="21"/>
        </w:rPr>
      </w:pPr>
      <w:r>
        <w:rPr>
          <w:rFonts w:hint="eastAsia" w:hAnsi="宋体" w:eastAsia="宋体" w:cs="宋体"/>
          <w:b/>
          <w:bCs/>
          <w:sz w:val="21"/>
        </w:rPr>
        <w:br w:type="page"/>
      </w:r>
      <w:r>
        <w:rPr>
          <w:rFonts w:hint="eastAsia" w:hAnsi="宋体" w:eastAsia="宋体" w:cs="宋体"/>
          <w:b/>
          <w:bCs/>
          <w:sz w:val="21"/>
        </w:rPr>
        <w:t>（5）商务条款响应（偏离）表；</w:t>
      </w:r>
    </w:p>
    <w:p>
      <w:pPr>
        <w:snapToGrid w:val="0"/>
        <w:spacing w:before="50" w:after="156" w:afterLines="50"/>
        <w:jc w:val="center"/>
        <w:rPr>
          <w:rFonts w:hAnsi="宋体" w:eastAsia="宋体" w:cs="宋体"/>
          <w:b/>
          <w:bCs/>
          <w:sz w:val="21"/>
        </w:rPr>
      </w:pPr>
      <w:r>
        <w:rPr>
          <w:rFonts w:hint="eastAsia" w:hAnsi="宋体" w:eastAsia="宋体" w:cs="宋体"/>
          <w:b/>
          <w:bCs/>
          <w:sz w:val="21"/>
        </w:rPr>
        <w:t>商务条款响应（偏离）表</w:t>
      </w:r>
    </w:p>
    <w:p>
      <w:pPr>
        <w:snapToGrid w:val="0"/>
        <w:spacing w:before="50"/>
        <w:rPr>
          <w:rFonts w:hAnsi="宋体" w:eastAsia="宋体" w:cs="宋体"/>
          <w:sz w:val="21"/>
          <w:u w:val="single"/>
        </w:rPr>
      </w:pPr>
      <w:r>
        <w:rPr>
          <w:rFonts w:hint="eastAsia" w:hAnsi="宋体" w:eastAsia="宋体" w:cs="宋体"/>
          <w:sz w:val="21"/>
        </w:rPr>
        <w:t xml:space="preserve">项目编号：                   项目名称：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ign w:val="center"/>
          </w:tcPr>
          <w:p>
            <w:pPr>
              <w:jc w:val="center"/>
              <w:rPr>
                <w:rFonts w:hAnsi="宋体" w:eastAsia="宋体" w:cs="宋体"/>
                <w:sz w:val="21"/>
              </w:rPr>
            </w:pPr>
            <w:r>
              <w:rPr>
                <w:rFonts w:hint="eastAsia" w:hAnsi="宋体" w:eastAsia="宋体" w:cs="宋体"/>
                <w:sz w:val="21"/>
              </w:rPr>
              <w:t>序号</w:t>
            </w:r>
          </w:p>
        </w:tc>
        <w:tc>
          <w:tcPr>
            <w:tcW w:w="4647" w:type="dxa"/>
            <w:noWrap/>
            <w:vAlign w:val="center"/>
          </w:tcPr>
          <w:p>
            <w:pPr>
              <w:jc w:val="center"/>
              <w:rPr>
                <w:rFonts w:hAnsi="宋体" w:eastAsia="宋体" w:cs="宋体"/>
                <w:sz w:val="21"/>
              </w:rPr>
            </w:pPr>
            <w:r>
              <w:rPr>
                <w:rFonts w:hint="eastAsia" w:hAnsi="宋体" w:eastAsia="宋体" w:cs="宋体"/>
                <w:sz w:val="21"/>
              </w:rPr>
              <w:t>磋商文件的商务条款</w:t>
            </w:r>
          </w:p>
        </w:tc>
        <w:tc>
          <w:tcPr>
            <w:tcW w:w="1575" w:type="dxa"/>
            <w:noWrap/>
            <w:vAlign w:val="center"/>
          </w:tcPr>
          <w:p>
            <w:pPr>
              <w:jc w:val="center"/>
              <w:rPr>
                <w:rFonts w:hAnsi="宋体" w:eastAsia="宋体" w:cs="宋体"/>
                <w:sz w:val="21"/>
              </w:rPr>
            </w:pPr>
            <w:r>
              <w:rPr>
                <w:rFonts w:hint="eastAsia" w:hAnsi="宋体" w:eastAsia="宋体" w:cs="宋体"/>
                <w:sz w:val="21"/>
              </w:rPr>
              <w:t>响应文件的</w:t>
            </w:r>
          </w:p>
          <w:p>
            <w:pPr>
              <w:jc w:val="center"/>
              <w:rPr>
                <w:rFonts w:hAnsi="宋体" w:eastAsia="宋体" w:cs="宋体"/>
                <w:sz w:val="21"/>
              </w:rPr>
            </w:pPr>
            <w:r>
              <w:rPr>
                <w:rFonts w:hint="eastAsia" w:hAnsi="宋体" w:eastAsia="宋体" w:cs="宋体"/>
                <w:sz w:val="21"/>
              </w:rPr>
              <w:t>响应情况</w:t>
            </w:r>
          </w:p>
        </w:tc>
        <w:tc>
          <w:tcPr>
            <w:tcW w:w="1185" w:type="dxa"/>
            <w:noWrap/>
            <w:vAlign w:val="center"/>
          </w:tcPr>
          <w:p>
            <w:pPr>
              <w:jc w:val="center"/>
              <w:rPr>
                <w:rFonts w:hAnsi="宋体" w:eastAsia="宋体" w:cs="宋体"/>
                <w:sz w:val="21"/>
              </w:rPr>
            </w:pPr>
            <w:r>
              <w:rPr>
                <w:rFonts w:hint="eastAsia" w:hAnsi="宋体" w:eastAsia="宋体" w:cs="宋体"/>
                <w:sz w:val="21"/>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b/>
                <w:bCs/>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pPr>
              <w:jc w:val="center"/>
              <w:rPr>
                <w:rFonts w:hAnsi="宋体" w:eastAsia="宋体" w:cs="宋体"/>
                <w:sz w:val="21"/>
              </w:rPr>
            </w:pPr>
          </w:p>
        </w:tc>
        <w:tc>
          <w:tcPr>
            <w:tcW w:w="4647" w:type="dxa"/>
            <w:noWrap/>
            <w:vAlign w:val="center"/>
          </w:tcPr>
          <w:p>
            <w:pPr>
              <w:rPr>
                <w:rFonts w:hAnsi="宋体" w:eastAsia="宋体" w:cs="宋体"/>
                <w:sz w:val="21"/>
              </w:rPr>
            </w:pPr>
          </w:p>
        </w:tc>
        <w:tc>
          <w:tcPr>
            <w:tcW w:w="1575" w:type="dxa"/>
            <w:noWrap/>
            <w:vAlign w:val="center"/>
          </w:tcPr>
          <w:p>
            <w:pPr>
              <w:jc w:val="center"/>
              <w:rPr>
                <w:rFonts w:hAnsi="宋体" w:eastAsia="宋体" w:cs="宋体"/>
                <w:sz w:val="21"/>
              </w:rPr>
            </w:pPr>
          </w:p>
        </w:tc>
        <w:tc>
          <w:tcPr>
            <w:tcW w:w="1185" w:type="dxa"/>
            <w:noWrap/>
            <w:vAlign w:val="center"/>
          </w:tcPr>
          <w:p>
            <w:pPr>
              <w:jc w:val="center"/>
              <w:rPr>
                <w:rFonts w:hAnsi="宋体" w:eastAsia="宋体" w:cs="宋体"/>
                <w:sz w:val="21"/>
              </w:rPr>
            </w:pPr>
          </w:p>
        </w:tc>
      </w:tr>
    </w:tbl>
    <w:p>
      <w:pPr>
        <w:snapToGrid w:val="0"/>
        <w:spacing w:before="50"/>
        <w:rPr>
          <w:rFonts w:hAnsi="宋体" w:eastAsia="宋体" w:cs="宋体"/>
          <w:sz w:val="21"/>
        </w:rPr>
      </w:pPr>
      <w:r>
        <w:rPr>
          <w:rFonts w:hint="eastAsia" w:hAnsi="宋体" w:eastAsia="宋体" w:cs="宋体"/>
          <w:sz w:val="21"/>
        </w:rPr>
        <w:t>注：供应商须按“第三章 项目需求商务要求逐项填写，并根据“第五章 合同条款及格式”内容自行补充。无偏离应在本表空白处醒目地注明“无偏离”的字样。</w:t>
      </w:r>
    </w:p>
    <w:p>
      <w:pPr>
        <w:snapToGrid w:val="0"/>
        <w:spacing w:before="50"/>
        <w:rPr>
          <w:rFonts w:hAnsi="宋体" w:eastAsia="宋体" w:cs="宋体"/>
          <w:sz w:val="21"/>
        </w:rPr>
      </w:pPr>
    </w:p>
    <w:p>
      <w:pPr>
        <w:snapToGrid w:val="0"/>
        <w:spacing w:before="50"/>
        <w:ind w:firstLine="4200" w:firstLineChars="2000"/>
        <w:rPr>
          <w:rFonts w:hAnsi="宋体" w:eastAsia="宋体" w:cs="宋体"/>
          <w:sz w:val="21"/>
        </w:rPr>
      </w:pPr>
      <w:r>
        <w:rPr>
          <w:rFonts w:hint="eastAsia" w:hAnsi="宋体" w:eastAsia="宋体" w:cs="宋体"/>
          <w:sz w:val="21"/>
        </w:rPr>
        <w:t>供应商名称（公章）：</w:t>
      </w:r>
    </w:p>
    <w:p>
      <w:pPr>
        <w:snapToGrid w:val="0"/>
        <w:spacing w:before="50"/>
        <w:ind w:firstLine="4200" w:firstLineChars="2000"/>
        <w:rPr>
          <w:rFonts w:hAnsi="宋体" w:eastAsia="宋体" w:cs="宋体"/>
          <w:sz w:val="21"/>
        </w:rPr>
      </w:pPr>
      <w:r>
        <w:rPr>
          <w:rFonts w:hint="eastAsia" w:hAnsi="宋体" w:eastAsia="宋体" w:cs="宋体"/>
          <w:sz w:val="21"/>
        </w:rPr>
        <w:t xml:space="preserve"> 年    月    日</w:t>
      </w:r>
    </w:p>
    <w:p>
      <w:pPr>
        <w:adjustRightInd/>
        <w:jc w:val="left"/>
        <w:textAlignment w:val="auto"/>
        <w:rPr>
          <w:rFonts w:hAnsi="宋体" w:eastAsia="宋体" w:cs="宋体"/>
          <w:b/>
          <w:sz w:val="21"/>
        </w:rPr>
      </w:pPr>
    </w:p>
    <w:p>
      <w:pPr>
        <w:adjustRightInd/>
        <w:jc w:val="left"/>
        <w:textAlignment w:val="auto"/>
        <w:rPr>
          <w:rFonts w:hAnsi="宋体" w:eastAsia="宋体" w:cs="宋体"/>
          <w:b/>
          <w:sz w:val="21"/>
        </w:rPr>
      </w:pPr>
    </w:p>
    <w:p>
      <w:pPr>
        <w:adjustRightInd/>
        <w:jc w:val="left"/>
        <w:textAlignment w:val="auto"/>
        <w:rPr>
          <w:rFonts w:hAnsi="宋体" w:eastAsia="宋体" w:cs="宋体"/>
          <w:b/>
          <w:sz w:val="21"/>
        </w:rPr>
      </w:pPr>
    </w:p>
    <w:p>
      <w:pPr>
        <w:adjustRightInd/>
        <w:jc w:val="left"/>
        <w:textAlignment w:val="auto"/>
        <w:rPr>
          <w:rFonts w:hAnsi="宋体" w:eastAsia="宋体" w:cs="宋体"/>
          <w:b/>
          <w:sz w:val="21"/>
        </w:rPr>
      </w:pPr>
    </w:p>
    <w:p>
      <w:pPr>
        <w:adjustRightInd/>
        <w:jc w:val="left"/>
        <w:textAlignment w:val="auto"/>
        <w:rPr>
          <w:rFonts w:hAnsi="宋体" w:eastAsia="宋体" w:cs="宋体"/>
          <w:b/>
          <w:sz w:val="21"/>
        </w:rPr>
      </w:pPr>
      <w:r>
        <w:rPr>
          <w:rFonts w:hint="eastAsia" w:hAnsi="宋体" w:eastAsia="宋体" w:cs="宋体"/>
          <w:b/>
          <w:sz w:val="21"/>
        </w:rPr>
        <w:t>（6）技术部分：针对本项目第三章项目需求和第四章评审标准中的条款拟定完整方案，格式自拟；</w:t>
      </w:r>
    </w:p>
    <w:p>
      <w:pPr>
        <w:adjustRightInd/>
        <w:jc w:val="left"/>
        <w:textAlignment w:val="auto"/>
        <w:rPr>
          <w:rFonts w:hAnsi="宋体" w:eastAsia="宋体" w:cs="宋体"/>
          <w:b/>
          <w:sz w:val="21"/>
        </w:rPr>
      </w:pPr>
    </w:p>
    <w:p>
      <w:pPr>
        <w:adjustRightInd/>
        <w:jc w:val="left"/>
        <w:textAlignment w:val="auto"/>
        <w:rPr>
          <w:rFonts w:hAnsi="宋体" w:eastAsia="宋体" w:cs="宋体"/>
          <w:b/>
          <w:bCs/>
          <w:sz w:val="21"/>
        </w:rPr>
      </w:pPr>
      <w:r>
        <w:rPr>
          <w:rFonts w:hint="eastAsia" w:hAnsi="宋体" w:eastAsia="宋体" w:cs="宋体"/>
          <w:b/>
          <w:sz w:val="21"/>
        </w:rPr>
        <w:t>（7）业绩一览表</w:t>
      </w:r>
    </w:p>
    <w:p>
      <w:pPr>
        <w:pStyle w:val="12"/>
        <w:snapToGrid w:val="0"/>
        <w:ind w:left="420"/>
        <w:jc w:val="center"/>
        <w:rPr>
          <w:rFonts w:ascii="宋体" w:hAnsi="宋体" w:cs="宋体"/>
          <w:b/>
          <w:bCs/>
        </w:rPr>
      </w:pPr>
      <w:r>
        <w:rPr>
          <w:rFonts w:hint="eastAsia" w:ascii="宋体" w:hAnsi="宋体" w:cs="宋体"/>
          <w:b/>
          <w:bCs/>
        </w:rPr>
        <w:t>业绩一览表</w:t>
      </w:r>
    </w:p>
    <w:p>
      <w:pPr>
        <w:tabs>
          <w:tab w:val="left" w:pos="3165"/>
        </w:tabs>
        <w:rPr>
          <w:rFonts w:hAnsi="宋体" w:eastAsia="宋体" w:cs="宋体"/>
          <w:sz w:val="21"/>
        </w:rPr>
      </w:pPr>
      <w:r>
        <w:rPr>
          <w:rFonts w:hint="eastAsia" w:hAnsi="宋体" w:eastAsia="宋体" w:cs="宋体"/>
          <w:sz w:val="21"/>
        </w:rPr>
        <w:t xml:space="preserve">项目编号：                         项目名称：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ign w:val="center"/>
          </w:tcPr>
          <w:p>
            <w:pPr>
              <w:tabs>
                <w:tab w:val="left" w:pos="3165"/>
              </w:tabs>
              <w:rPr>
                <w:rFonts w:hAnsi="宋体" w:eastAsia="宋体" w:cs="宋体"/>
                <w:sz w:val="21"/>
              </w:rPr>
            </w:pPr>
            <w:r>
              <w:rPr>
                <w:rFonts w:hint="eastAsia" w:hAnsi="宋体" w:eastAsia="宋体" w:cs="宋体"/>
                <w:sz w:val="21"/>
              </w:rPr>
              <w:t>序号</w:t>
            </w:r>
          </w:p>
        </w:tc>
        <w:tc>
          <w:tcPr>
            <w:tcW w:w="1895" w:type="dxa"/>
            <w:noWrap/>
            <w:vAlign w:val="center"/>
          </w:tcPr>
          <w:p>
            <w:pPr>
              <w:tabs>
                <w:tab w:val="left" w:pos="3165"/>
              </w:tabs>
              <w:jc w:val="center"/>
              <w:rPr>
                <w:rFonts w:hAnsi="宋体" w:eastAsia="宋体" w:cs="宋体"/>
                <w:sz w:val="21"/>
              </w:rPr>
            </w:pPr>
            <w:r>
              <w:rPr>
                <w:rFonts w:hint="eastAsia" w:hAnsi="宋体" w:eastAsia="宋体" w:cs="宋体"/>
                <w:sz w:val="21"/>
              </w:rPr>
              <w:t>项目名称</w:t>
            </w:r>
          </w:p>
        </w:tc>
        <w:tc>
          <w:tcPr>
            <w:tcW w:w="1267" w:type="dxa"/>
            <w:noWrap/>
            <w:vAlign w:val="center"/>
          </w:tcPr>
          <w:p>
            <w:pPr>
              <w:tabs>
                <w:tab w:val="left" w:pos="3165"/>
              </w:tabs>
              <w:rPr>
                <w:rFonts w:hAnsi="宋体" w:eastAsia="宋体" w:cs="宋体"/>
                <w:sz w:val="21"/>
              </w:rPr>
            </w:pPr>
            <w:r>
              <w:rPr>
                <w:rFonts w:hint="eastAsia" w:hAnsi="宋体" w:eastAsia="宋体" w:cs="宋体"/>
                <w:sz w:val="21"/>
              </w:rPr>
              <w:t>业主单位</w:t>
            </w:r>
          </w:p>
        </w:tc>
        <w:tc>
          <w:tcPr>
            <w:tcW w:w="1267" w:type="dxa"/>
            <w:noWrap/>
            <w:vAlign w:val="center"/>
          </w:tcPr>
          <w:p>
            <w:pPr>
              <w:tabs>
                <w:tab w:val="left" w:pos="3165"/>
              </w:tabs>
              <w:rPr>
                <w:rFonts w:hAnsi="宋体" w:eastAsia="宋体" w:cs="宋体"/>
                <w:sz w:val="21"/>
              </w:rPr>
            </w:pPr>
            <w:r>
              <w:rPr>
                <w:rFonts w:hint="eastAsia" w:hAnsi="宋体" w:eastAsia="宋体" w:cs="宋体"/>
                <w:sz w:val="21"/>
              </w:rPr>
              <w:t>合同金额</w:t>
            </w:r>
          </w:p>
        </w:tc>
        <w:tc>
          <w:tcPr>
            <w:tcW w:w="1741" w:type="dxa"/>
            <w:noWrap/>
            <w:vAlign w:val="center"/>
          </w:tcPr>
          <w:p>
            <w:pPr>
              <w:tabs>
                <w:tab w:val="left" w:pos="3165"/>
              </w:tabs>
              <w:rPr>
                <w:rFonts w:hAnsi="宋体" w:eastAsia="宋体" w:cs="宋体"/>
                <w:sz w:val="21"/>
              </w:rPr>
            </w:pPr>
            <w:r>
              <w:rPr>
                <w:rFonts w:hint="eastAsia" w:hAnsi="宋体" w:eastAsia="宋体" w:cs="宋体"/>
                <w:sz w:val="21"/>
              </w:rPr>
              <w:t>合同签订日期</w:t>
            </w:r>
          </w:p>
        </w:tc>
        <w:tc>
          <w:tcPr>
            <w:tcW w:w="1986" w:type="dxa"/>
            <w:noWrap/>
            <w:vAlign w:val="center"/>
          </w:tcPr>
          <w:p>
            <w:pPr>
              <w:tabs>
                <w:tab w:val="left" w:pos="3165"/>
              </w:tabs>
              <w:jc w:val="center"/>
              <w:rPr>
                <w:rFonts w:hAnsi="宋体" w:eastAsia="宋体" w:cs="宋体"/>
                <w:sz w:val="21"/>
              </w:rPr>
            </w:pPr>
            <w:r>
              <w:rPr>
                <w:rFonts w:hint="eastAsia" w:hAnsi="宋体" w:eastAsia="宋体" w:cs="宋体"/>
                <w:sz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tcPr>
          <w:p>
            <w:pPr>
              <w:tabs>
                <w:tab w:val="left" w:pos="3165"/>
              </w:tabs>
              <w:ind w:firstLine="420"/>
              <w:rPr>
                <w:rFonts w:hAnsi="宋体" w:eastAsia="宋体" w:cs="宋体"/>
                <w:sz w:val="21"/>
              </w:rPr>
            </w:pPr>
          </w:p>
        </w:tc>
        <w:tc>
          <w:tcPr>
            <w:tcW w:w="1895"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741" w:type="dxa"/>
            <w:noWrap/>
          </w:tcPr>
          <w:p>
            <w:pPr>
              <w:tabs>
                <w:tab w:val="left" w:pos="3165"/>
              </w:tabs>
              <w:ind w:firstLine="420"/>
              <w:rPr>
                <w:rFonts w:hAnsi="宋体" w:eastAsia="宋体" w:cs="宋体"/>
                <w:sz w:val="21"/>
              </w:rPr>
            </w:pPr>
          </w:p>
        </w:tc>
        <w:tc>
          <w:tcPr>
            <w:tcW w:w="1986" w:type="dxa"/>
            <w:noWrap/>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tcPr>
          <w:p>
            <w:pPr>
              <w:tabs>
                <w:tab w:val="left" w:pos="3165"/>
              </w:tabs>
              <w:ind w:firstLine="420"/>
              <w:rPr>
                <w:rFonts w:hAnsi="宋体" w:eastAsia="宋体" w:cs="宋体"/>
                <w:sz w:val="21"/>
              </w:rPr>
            </w:pPr>
          </w:p>
        </w:tc>
        <w:tc>
          <w:tcPr>
            <w:tcW w:w="1895"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741" w:type="dxa"/>
            <w:noWrap/>
          </w:tcPr>
          <w:p>
            <w:pPr>
              <w:tabs>
                <w:tab w:val="left" w:pos="3165"/>
              </w:tabs>
              <w:ind w:firstLine="420"/>
              <w:rPr>
                <w:rFonts w:hAnsi="宋体" w:eastAsia="宋体" w:cs="宋体"/>
                <w:sz w:val="21"/>
              </w:rPr>
            </w:pPr>
          </w:p>
        </w:tc>
        <w:tc>
          <w:tcPr>
            <w:tcW w:w="1986" w:type="dxa"/>
            <w:noWrap/>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tcPr>
          <w:p>
            <w:pPr>
              <w:tabs>
                <w:tab w:val="left" w:pos="3165"/>
              </w:tabs>
              <w:ind w:firstLine="420"/>
              <w:rPr>
                <w:rFonts w:hAnsi="宋体" w:eastAsia="宋体" w:cs="宋体"/>
                <w:sz w:val="21"/>
              </w:rPr>
            </w:pPr>
          </w:p>
        </w:tc>
        <w:tc>
          <w:tcPr>
            <w:tcW w:w="1895"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741" w:type="dxa"/>
            <w:noWrap/>
          </w:tcPr>
          <w:p>
            <w:pPr>
              <w:tabs>
                <w:tab w:val="left" w:pos="3165"/>
              </w:tabs>
              <w:ind w:firstLine="420"/>
              <w:rPr>
                <w:rFonts w:hAnsi="宋体" w:eastAsia="宋体" w:cs="宋体"/>
                <w:sz w:val="21"/>
              </w:rPr>
            </w:pPr>
          </w:p>
        </w:tc>
        <w:tc>
          <w:tcPr>
            <w:tcW w:w="1986" w:type="dxa"/>
            <w:noWrap/>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tcPr>
          <w:p>
            <w:pPr>
              <w:tabs>
                <w:tab w:val="left" w:pos="3165"/>
              </w:tabs>
              <w:ind w:firstLine="420"/>
              <w:rPr>
                <w:rFonts w:hAnsi="宋体" w:eastAsia="宋体" w:cs="宋体"/>
                <w:sz w:val="21"/>
              </w:rPr>
            </w:pPr>
          </w:p>
        </w:tc>
        <w:tc>
          <w:tcPr>
            <w:tcW w:w="1895"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741" w:type="dxa"/>
            <w:noWrap/>
          </w:tcPr>
          <w:p>
            <w:pPr>
              <w:tabs>
                <w:tab w:val="left" w:pos="3165"/>
              </w:tabs>
              <w:ind w:firstLine="420"/>
              <w:rPr>
                <w:rFonts w:hAnsi="宋体" w:eastAsia="宋体" w:cs="宋体"/>
                <w:sz w:val="21"/>
              </w:rPr>
            </w:pPr>
          </w:p>
        </w:tc>
        <w:tc>
          <w:tcPr>
            <w:tcW w:w="1986" w:type="dxa"/>
            <w:noWrap/>
          </w:tcPr>
          <w:p>
            <w:pPr>
              <w:tabs>
                <w:tab w:val="left" w:pos="3165"/>
              </w:tabs>
              <w:ind w:firstLine="420"/>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tcPr>
          <w:p>
            <w:pPr>
              <w:tabs>
                <w:tab w:val="left" w:pos="3165"/>
              </w:tabs>
              <w:ind w:firstLine="420"/>
              <w:rPr>
                <w:rFonts w:hAnsi="宋体" w:eastAsia="宋体" w:cs="宋体"/>
                <w:sz w:val="21"/>
              </w:rPr>
            </w:pPr>
          </w:p>
        </w:tc>
        <w:tc>
          <w:tcPr>
            <w:tcW w:w="1895"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267" w:type="dxa"/>
            <w:noWrap/>
          </w:tcPr>
          <w:p>
            <w:pPr>
              <w:tabs>
                <w:tab w:val="left" w:pos="3165"/>
              </w:tabs>
              <w:ind w:firstLine="420"/>
              <w:rPr>
                <w:rFonts w:hAnsi="宋体" w:eastAsia="宋体" w:cs="宋体"/>
                <w:sz w:val="21"/>
              </w:rPr>
            </w:pPr>
          </w:p>
        </w:tc>
        <w:tc>
          <w:tcPr>
            <w:tcW w:w="1741" w:type="dxa"/>
            <w:noWrap/>
          </w:tcPr>
          <w:p>
            <w:pPr>
              <w:tabs>
                <w:tab w:val="left" w:pos="3165"/>
              </w:tabs>
              <w:ind w:firstLine="420"/>
              <w:rPr>
                <w:rFonts w:hAnsi="宋体" w:eastAsia="宋体" w:cs="宋体"/>
                <w:sz w:val="21"/>
              </w:rPr>
            </w:pPr>
          </w:p>
        </w:tc>
        <w:tc>
          <w:tcPr>
            <w:tcW w:w="1986" w:type="dxa"/>
            <w:noWrap/>
          </w:tcPr>
          <w:p>
            <w:pPr>
              <w:tabs>
                <w:tab w:val="left" w:pos="3165"/>
              </w:tabs>
              <w:ind w:firstLine="420"/>
              <w:rPr>
                <w:rFonts w:hAnsi="宋体" w:eastAsia="宋体" w:cs="宋体"/>
                <w:sz w:val="21"/>
              </w:rPr>
            </w:pPr>
          </w:p>
        </w:tc>
      </w:tr>
    </w:tbl>
    <w:p>
      <w:pPr>
        <w:pStyle w:val="9"/>
        <w:snapToGrid w:val="0"/>
        <w:spacing w:line="360" w:lineRule="auto"/>
        <w:rPr>
          <w:rFonts w:ascii="宋体" w:hAnsi="宋体" w:eastAsia="宋体" w:cs="宋体"/>
          <w:sz w:val="21"/>
          <w:szCs w:val="21"/>
        </w:rPr>
      </w:pPr>
      <w:r>
        <w:rPr>
          <w:rFonts w:hint="eastAsia" w:ascii="宋体" w:hAnsi="宋体" w:eastAsia="宋体" w:cs="宋体"/>
          <w:sz w:val="21"/>
          <w:szCs w:val="21"/>
        </w:rPr>
        <w:t>注：响应文件中须提供符合“第四章 评审标准  四．评分标准”要求的证明材料复印件并加盖公章。</w:t>
      </w:r>
    </w:p>
    <w:p>
      <w:pPr>
        <w:snapToGrid w:val="0"/>
        <w:spacing w:before="50"/>
        <w:ind w:firstLine="4200" w:firstLineChars="2000"/>
        <w:rPr>
          <w:rFonts w:hAnsi="宋体" w:eastAsia="宋体" w:cs="宋体"/>
          <w:sz w:val="21"/>
        </w:rPr>
      </w:pPr>
      <w:r>
        <w:rPr>
          <w:rFonts w:hint="eastAsia" w:hAnsi="宋体" w:eastAsia="宋体" w:cs="宋体"/>
          <w:sz w:val="21"/>
        </w:rPr>
        <w:t>供应商名称（公章）：</w:t>
      </w:r>
    </w:p>
    <w:p>
      <w:pPr>
        <w:snapToGrid w:val="0"/>
        <w:spacing w:before="50"/>
        <w:ind w:firstLine="4200" w:firstLineChars="2000"/>
        <w:rPr>
          <w:rFonts w:hAnsi="宋体" w:eastAsia="宋体" w:cs="宋体"/>
          <w:sz w:val="21"/>
        </w:rPr>
      </w:pPr>
      <w:r>
        <w:rPr>
          <w:rFonts w:hint="eastAsia" w:hAnsi="宋体" w:eastAsia="宋体" w:cs="宋体"/>
          <w:sz w:val="21"/>
        </w:rPr>
        <w:t xml:space="preserve"> 年    月    日</w:t>
      </w:r>
    </w:p>
    <w:p>
      <w:pPr>
        <w:snapToGrid w:val="0"/>
        <w:spacing w:before="156" w:beforeLines="50" w:after="50"/>
        <w:rPr>
          <w:rFonts w:hAnsi="宋体" w:eastAsia="宋体" w:cs="宋体"/>
        </w:rPr>
      </w:pPr>
      <w:r>
        <w:rPr>
          <w:rFonts w:hint="eastAsia" w:hAnsi="宋体" w:eastAsia="宋体" w:cs="宋体"/>
          <w:b/>
          <w:bCs/>
          <w:sz w:val="21"/>
        </w:rPr>
        <w:t>（8）供应商认为有需要提供的其它有关证明资料。</w:t>
      </w:r>
    </w:p>
    <w:p>
      <w:pPr>
        <w:pStyle w:val="6"/>
        <w:numPr>
          <w:ilvl w:val="0"/>
          <w:numId w:val="0"/>
        </w:numPr>
        <w:tabs>
          <w:tab w:val="left" w:pos="720"/>
        </w:tabs>
        <w:snapToGrid w:val="0"/>
        <w:spacing w:before="156" w:beforeLines="50"/>
        <w:rPr>
          <w:rFonts w:hAnsi="宋体" w:eastAsia="宋体" w:cs="宋体"/>
          <w:sz w:val="21"/>
        </w:rPr>
      </w:pPr>
      <w:r>
        <w:rPr>
          <w:rFonts w:hint="eastAsia" w:hAnsi="宋体" w:cs="宋体"/>
        </w:rPr>
        <w:br w:type="page"/>
      </w:r>
      <w:r>
        <w:rPr>
          <w:rFonts w:hint="eastAsia" w:hAnsi="宋体" w:eastAsia="宋体" w:cs="宋体"/>
          <w:b/>
          <w:bCs/>
          <w:sz w:val="21"/>
        </w:rPr>
        <w:t>5.报价文件格式</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（1）报价一览表（格式见附件）；</w:t>
      </w:r>
    </w:p>
    <w:p>
      <w:pPr>
        <w:pStyle w:val="6"/>
        <w:numPr>
          <w:ilvl w:val="0"/>
          <w:numId w:val="0"/>
        </w:numPr>
        <w:tabs>
          <w:tab w:val="left" w:pos="720"/>
        </w:tabs>
        <w:adjustRightInd/>
        <w:spacing w:line="348" w:lineRule="auto"/>
        <w:ind w:firstLine="420" w:firstLineChars="200"/>
        <w:rPr>
          <w:rFonts w:hAnsi="宋体" w:eastAsia="宋体" w:cs="宋体"/>
          <w:bCs/>
          <w:sz w:val="21"/>
        </w:rPr>
      </w:pPr>
      <w:r>
        <w:rPr>
          <w:rFonts w:hint="eastAsia" w:hAnsi="宋体" w:eastAsia="宋体" w:cs="宋体"/>
          <w:bCs/>
          <w:sz w:val="21"/>
        </w:rPr>
        <w:t>（2）分项报价表（格式见附件）；</w:t>
      </w:r>
    </w:p>
    <w:p>
      <w:pPr>
        <w:pStyle w:val="6"/>
        <w:numPr>
          <w:ilvl w:val="0"/>
          <w:numId w:val="0"/>
        </w:numPr>
        <w:tabs>
          <w:tab w:val="left" w:pos="720"/>
        </w:tabs>
        <w:adjustRightInd/>
        <w:spacing w:line="348" w:lineRule="auto"/>
        <w:ind w:firstLine="420" w:firstLineChars="200"/>
        <w:rPr>
          <w:rFonts w:hAnsi="宋体" w:cs="宋体"/>
        </w:rPr>
      </w:pPr>
      <w:r>
        <w:rPr>
          <w:rFonts w:hint="eastAsia" w:hAnsi="宋体" w:eastAsia="宋体" w:cs="宋体"/>
          <w:bCs/>
          <w:sz w:val="21"/>
        </w:rPr>
        <w:t>（3）供应商针对报价需要说明的其他文件和说明（格式自拟）；</w:t>
      </w: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b/>
          <w:sz w:val="21"/>
        </w:rPr>
      </w:pPr>
    </w:p>
    <w:p>
      <w:pPr>
        <w:rPr>
          <w:rFonts w:hAnsi="宋体" w:eastAsia="宋体" w:cs="宋体"/>
          <w:sz w:val="21"/>
        </w:rPr>
      </w:pPr>
      <w:r>
        <w:rPr>
          <w:rFonts w:hint="eastAsia" w:hAnsi="宋体" w:eastAsia="宋体" w:cs="宋体"/>
          <w:b/>
          <w:sz w:val="21"/>
        </w:rPr>
        <w:br w:type="page"/>
      </w:r>
      <w:r>
        <w:rPr>
          <w:rFonts w:hint="eastAsia" w:hAnsi="宋体" w:eastAsia="宋体" w:cs="宋体"/>
          <w:b/>
          <w:sz w:val="21"/>
        </w:rPr>
        <w:t>（1）报价一览表格式</w:t>
      </w:r>
    </w:p>
    <w:p>
      <w:pPr>
        <w:pStyle w:val="12"/>
        <w:snapToGrid w:val="0"/>
        <w:ind w:left="420"/>
        <w:jc w:val="center"/>
        <w:rPr>
          <w:rFonts w:ascii="宋体" w:hAnsi="宋体" w:cs="宋体"/>
          <w:b/>
        </w:rPr>
      </w:pPr>
      <w:r>
        <w:rPr>
          <w:rFonts w:hint="eastAsia" w:ascii="宋体" w:hAnsi="宋体" w:cs="宋体"/>
          <w:b/>
        </w:rPr>
        <w:t>报价一览表</w:t>
      </w:r>
    </w:p>
    <w:p>
      <w:pPr>
        <w:pStyle w:val="11"/>
      </w:pPr>
    </w:p>
    <w:p>
      <w:pPr>
        <w:pStyle w:val="8"/>
        <w:ind w:left="-238" w:leftChars="-85" w:firstLine="525" w:firstLineChars="250"/>
        <w:rPr>
          <w:sz w:val="21"/>
        </w:rPr>
      </w:pPr>
      <w:r>
        <w:rPr>
          <w:sz w:val="21"/>
        </w:rPr>
        <w:t>项目</w:t>
      </w:r>
      <w:r>
        <w:rPr>
          <w:rFonts w:hint="eastAsia"/>
          <w:sz w:val="21"/>
        </w:rPr>
        <w:t>名称</w:t>
      </w:r>
      <w:r>
        <w:rPr>
          <w:sz w:val="21"/>
        </w:rPr>
        <w:t>：                  项目</w:t>
      </w:r>
      <w:r>
        <w:rPr>
          <w:rFonts w:hint="eastAsia"/>
          <w:sz w:val="21"/>
        </w:rPr>
        <w:t>编号</w:t>
      </w:r>
      <w:r>
        <w:rPr>
          <w:sz w:val="21"/>
        </w:rPr>
        <w:t>：                       单位：元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148"/>
        <w:gridCol w:w="35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23"/>
              <w:widowControl w:val="0"/>
              <w:snapToGrid w:val="0"/>
              <w:spacing w:before="0" w:beforeAutospacing="0" w:after="120" w:afterAutospacing="0"/>
              <w:jc w:val="center"/>
              <w:rPr>
                <w:rFonts w:hAnsi="宋体" w:eastAsia="宋体" w:cs="宋体"/>
                <w:sz w:val="21"/>
              </w:rPr>
            </w:pPr>
            <w:r>
              <w:rPr>
                <w:rFonts w:hint="eastAsia" w:hAnsi="宋体" w:eastAsia="宋体" w:cs="宋体"/>
                <w:spacing w:val="-4"/>
                <w:kern w:val="2"/>
                <w:sz w:val="21"/>
              </w:rPr>
              <w:t>序号</w:t>
            </w:r>
          </w:p>
        </w:tc>
        <w:tc>
          <w:tcPr>
            <w:tcW w:w="2148" w:type="dxa"/>
            <w:tcBorders>
              <w:top w:val="single" w:color="auto" w:sz="4" w:space="0"/>
              <w:left w:val="single" w:color="auto" w:sz="4" w:space="0"/>
              <w:bottom w:val="single" w:color="auto" w:sz="4" w:space="0"/>
              <w:right w:val="single" w:color="auto" w:sz="4" w:space="0"/>
            </w:tcBorders>
            <w:vAlign w:val="center"/>
          </w:tcPr>
          <w:p>
            <w:pPr>
              <w:pStyle w:val="23"/>
              <w:widowControl w:val="0"/>
              <w:snapToGrid w:val="0"/>
              <w:spacing w:before="0" w:beforeAutospacing="0" w:after="120" w:afterAutospacing="0"/>
              <w:jc w:val="center"/>
              <w:rPr>
                <w:rFonts w:hAnsi="宋体" w:eastAsia="宋体" w:cs="宋体"/>
                <w:spacing w:val="-4"/>
                <w:kern w:val="2"/>
                <w:sz w:val="21"/>
              </w:rPr>
            </w:pPr>
            <w:r>
              <w:rPr>
                <w:rFonts w:hint="eastAsia" w:hAnsi="宋体" w:eastAsia="宋体" w:cs="宋体"/>
                <w:spacing w:val="-4"/>
                <w:kern w:val="2"/>
                <w:sz w:val="21"/>
              </w:rPr>
              <w:t>服务内容</w:t>
            </w:r>
          </w:p>
        </w:tc>
        <w:tc>
          <w:tcPr>
            <w:tcW w:w="3573" w:type="dxa"/>
            <w:tcBorders>
              <w:top w:val="single" w:color="auto" w:sz="4" w:space="0"/>
              <w:left w:val="single" w:color="auto" w:sz="4" w:space="0"/>
              <w:right w:val="single" w:color="auto" w:sz="4" w:space="0"/>
            </w:tcBorders>
            <w:vAlign w:val="center"/>
          </w:tcPr>
          <w:p>
            <w:pPr>
              <w:pStyle w:val="23"/>
              <w:widowControl w:val="0"/>
              <w:snapToGrid w:val="0"/>
              <w:spacing w:before="0" w:beforeAutospacing="0" w:after="120" w:afterAutospacing="0"/>
              <w:jc w:val="center"/>
              <w:rPr>
                <w:rFonts w:hAnsi="宋体" w:eastAsia="宋体" w:cs="宋体"/>
                <w:spacing w:val="-4"/>
                <w:kern w:val="2"/>
                <w:sz w:val="21"/>
              </w:rPr>
            </w:pPr>
            <w:r>
              <w:rPr>
                <w:rFonts w:hint="eastAsia" w:hAnsi="宋体" w:eastAsia="宋体" w:cs="宋体"/>
                <w:spacing w:val="-4"/>
                <w:kern w:val="2"/>
                <w:sz w:val="21"/>
              </w:rPr>
              <w:t>响应初次报价</w:t>
            </w:r>
          </w:p>
        </w:tc>
        <w:tc>
          <w:tcPr>
            <w:tcW w:w="2348" w:type="dxa"/>
            <w:tcBorders>
              <w:top w:val="single" w:color="auto" w:sz="4" w:space="0"/>
              <w:left w:val="single" w:color="auto" w:sz="4" w:space="0"/>
              <w:bottom w:val="single" w:color="auto" w:sz="4" w:space="0"/>
              <w:right w:val="single" w:color="auto" w:sz="4" w:space="0"/>
            </w:tcBorders>
            <w:vAlign w:val="center"/>
          </w:tcPr>
          <w:p>
            <w:pPr>
              <w:pStyle w:val="23"/>
              <w:widowControl w:val="0"/>
              <w:snapToGrid w:val="0"/>
              <w:spacing w:before="0" w:beforeAutospacing="0" w:after="120" w:afterAutospacing="0"/>
              <w:jc w:val="center"/>
              <w:rPr>
                <w:rFonts w:hAnsi="宋体" w:eastAsia="宋体" w:cs="宋体"/>
                <w:spacing w:val="-4"/>
                <w:sz w:val="21"/>
              </w:rPr>
            </w:pPr>
            <w:r>
              <w:rPr>
                <w:rFonts w:hint="eastAsia" w:hAnsi="宋体" w:eastAsia="宋体" w:cs="宋体"/>
                <w:spacing w:val="-4"/>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279" w:type="dxa"/>
            <w:tcBorders>
              <w:top w:val="single" w:color="auto" w:sz="4" w:space="0"/>
              <w:left w:val="single" w:color="auto" w:sz="4" w:space="0"/>
              <w:bottom w:val="single" w:color="auto" w:sz="4" w:space="0"/>
              <w:right w:val="single" w:color="auto" w:sz="4" w:space="0"/>
            </w:tcBorders>
            <w:vAlign w:val="center"/>
          </w:tcPr>
          <w:p>
            <w:pPr>
              <w:pStyle w:val="23"/>
              <w:widowControl w:val="0"/>
              <w:snapToGrid w:val="0"/>
              <w:spacing w:before="0" w:beforeAutospacing="0" w:after="120" w:afterAutospacing="0"/>
              <w:ind w:firstLine="420"/>
              <w:jc w:val="both"/>
              <w:rPr>
                <w:rFonts w:hAnsi="宋体" w:eastAsia="宋体" w:cs="宋体"/>
                <w:sz w:val="21"/>
              </w:rPr>
            </w:pPr>
            <w:r>
              <w:rPr>
                <w:rFonts w:hint="eastAsia" w:hAnsi="宋体" w:eastAsia="宋体" w:cs="宋体"/>
                <w:sz w:val="21"/>
              </w:rPr>
              <w:t>1</w:t>
            </w:r>
          </w:p>
        </w:tc>
        <w:tc>
          <w:tcPr>
            <w:tcW w:w="2148" w:type="dxa"/>
            <w:tcBorders>
              <w:top w:val="single" w:color="auto" w:sz="4" w:space="0"/>
              <w:left w:val="single" w:color="auto" w:sz="4" w:space="0"/>
              <w:bottom w:val="single" w:color="auto" w:sz="4" w:space="0"/>
              <w:right w:val="single" w:color="auto" w:sz="4" w:space="0"/>
            </w:tcBorders>
            <w:vAlign w:val="center"/>
          </w:tcPr>
          <w:p>
            <w:pPr>
              <w:pStyle w:val="23"/>
              <w:widowControl w:val="0"/>
              <w:spacing w:before="0" w:beforeAutospacing="0" w:after="120" w:afterAutospacing="0"/>
              <w:jc w:val="both"/>
              <w:rPr>
                <w:rFonts w:hint="eastAsia" w:hAnsi="宋体" w:eastAsia="宋体" w:cs="宋体"/>
                <w:sz w:val="21"/>
                <w:lang w:eastAsia="zh-CN"/>
              </w:rPr>
            </w:pPr>
            <w:r>
              <w:rPr>
                <w:rFonts w:hint="eastAsia" w:hAnsi="宋体" w:eastAsia="宋体" w:cs="宋体"/>
                <w:sz w:val="21"/>
                <w:lang w:eastAsia="zh-CN"/>
              </w:rPr>
              <w:t>海曙区第四次全国文物普查野外调查项目</w:t>
            </w:r>
          </w:p>
        </w:tc>
        <w:tc>
          <w:tcPr>
            <w:tcW w:w="3573" w:type="dxa"/>
            <w:tcBorders>
              <w:left w:val="single" w:color="auto" w:sz="4" w:space="0"/>
              <w:bottom w:val="single" w:color="auto" w:sz="4" w:space="0"/>
              <w:right w:val="single" w:color="auto" w:sz="4" w:space="0"/>
            </w:tcBorders>
            <w:vAlign w:val="center"/>
          </w:tcPr>
          <w:p>
            <w:pPr>
              <w:pStyle w:val="23"/>
              <w:widowControl w:val="0"/>
              <w:spacing w:before="0" w:beforeAutospacing="0" w:after="120" w:afterAutospacing="0"/>
              <w:rPr>
                <w:rFonts w:hAnsi="宋体" w:eastAsia="宋体" w:cs="宋体"/>
                <w:sz w:val="21"/>
              </w:rPr>
            </w:pPr>
            <w:r>
              <w:rPr>
                <w:rFonts w:hint="eastAsia" w:hAnsi="宋体" w:eastAsia="宋体" w:cs="宋体"/>
                <w:sz w:val="21"/>
              </w:rPr>
              <w:t>小写:</w:t>
            </w:r>
          </w:p>
          <w:p>
            <w:pPr>
              <w:pStyle w:val="23"/>
              <w:widowControl w:val="0"/>
              <w:spacing w:before="0" w:beforeAutospacing="0" w:after="120" w:afterAutospacing="0"/>
              <w:rPr>
                <w:rFonts w:hAnsi="宋体" w:eastAsia="宋体" w:cs="宋体"/>
                <w:sz w:val="21"/>
              </w:rPr>
            </w:pPr>
          </w:p>
          <w:p>
            <w:pPr>
              <w:pStyle w:val="23"/>
              <w:widowControl w:val="0"/>
              <w:spacing w:before="0" w:beforeAutospacing="0" w:after="120" w:afterAutospacing="0"/>
              <w:rPr>
                <w:rFonts w:hAnsi="宋体" w:eastAsia="宋体" w:cs="宋体"/>
                <w:sz w:val="21"/>
              </w:rPr>
            </w:pPr>
            <w:r>
              <w:rPr>
                <w:rFonts w:hint="eastAsia" w:hAnsi="宋体" w:eastAsia="宋体" w:cs="宋体"/>
                <w:sz w:val="21"/>
              </w:rPr>
              <w:t>大写：</w:t>
            </w:r>
          </w:p>
        </w:tc>
        <w:tc>
          <w:tcPr>
            <w:tcW w:w="2348" w:type="dxa"/>
            <w:tcBorders>
              <w:top w:val="single" w:color="auto" w:sz="4" w:space="0"/>
              <w:left w:val="single" w:color="auto" w:sz="4" w:space="0"/>
              <w:bottom w:val="single" w:color="auto" w:sz="4" w:space="0"/>
              <w:right w:val="single" w:color="auto" w:sz="4" w:space="0"/>
            </w:tcBorders>
            <w:vAlign w:val="center"/>
          </w:tcPr>
          <w:p>
            <w:pPr>
              <w:pStyle w:val="23"/>
              <w:widowControl w:val="0"/>
              <w:spacing w:before="0" w:beforeAutospacing="0" w:after="120" w:afterAutospacing="0"/>
              <w:jc w:val="both"/>
              <w:rPr>
                <w:rFonts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427" w:type="dxa"/>
            <w:gridSpan w:val="2"/>
            <w:tcBorders>
              <w:top w:val="single" w:color="auto" w:sz="4" w:space="0"/>
              <w:left w:val="single" w:color="auto" w:sz="4" w:space="0"/>
              <w:bottom w:val="single" w:color="auto" w:sz="4" w:space="0"/>
              <w:right w:val="single" w:color="auto" w:sz="4" w:space="0"/>
            </w:tcBorders>
            <w:vAlign w:val="center"/>
          </w:tcPr>
          <w:p>
            <w:pPr>
              <w:pStyle w:val="23"/>
              <w:widowControl w:val="0"/>
              <w:snapToGrid w:val="0"/>
              <w:spacing w:before="0" w:beforeAutospacing="0" w:after="120" w:afterAutospacing="0"/>
              <w:ind w:firstLine="404"/>
              <w:jc w:val="center"/>
              <w:rPr>
                <w:rFonts w:hAnsi="宋体" w:eastAsia="宋体" w:cs="宋体"/>
                <w:spacing w:val="-4"/>
                <w:kern w:val="2"/>
                <w:sz w:val="21"/>
              </w:rPr>
            </w:pPr>
            <w:r>
              <w:rPr>
                <w:rFonts w:hint="eastAsia" w:hAnsi="宋体" w:eastAsia="宋体" w:cs="宋体"/>
                <w:spacing w:val="-4"/>
                <w:kern w:val="2"/>
                <w:sz w:val="21"/>
              </w:rPr>
              <w:t>磋商声明</w:t>
            </w:r>
          </w:p>
        </w:tc>
        <w:tc>
          <w:tcPr>
            <w:tcW w:w="5921" w:type="dxa"/>
            <w:gridSpan w:val="2"/>
            <w:tcBorders>
              <w:top w:val="single" w:color="auto" w:sz="4" w:space="0"/>
              <w:left w:val="single" w:color="auto" w:sz="4" w:space="0"/>
              <w:bottom w:val="single" w:color="auto" w:sz="4" w:space="0"/>
              <w:right w:val="single" w:color="auto" w:sz="4" w:space="0"/>
            </w:tcBorders>
            <w:vAlign w:val="center"/>
          </w:tcPr>
          <w:p>
            <w:pPr>
              <w:pStyle w:val="23"/>
              <w:widowControl w:val="0"/>
              <w:spacing w:before="0" w:beforeAutospacing="0" w:after="120" w:afterAutospacing="0"/>
              <w:ind w:firstLine="404"/>
              <w:rPr>
                <w:rFonts w:hAnsi="宋体" w:eastAsia="宋体" w:cs="宋体"/>
                <w:spacing w:val="-4"/>
                <w:kern w:val="2"/>
                <w:sz w:val="21"/>
              </w:rPr>
            </w:pPr>
          </w:p>
        </w:tc>
      </w:tr>
    </w:tbl>
    <w:p>
      <w:pPr>
        <w:snapToGrid w:val="0"/>
        <w:spacing w:before="50" w:after="50"/>
        <w:jc w:val="left"/>
        <w:rPr>
          <w:rFonts w:hAnsi="宋体" w:eastAsia="宋体" w:cs="宋体"/>
          <w:sz w:val="21"/>
        </w:rPr>
      </w:pPr>
      <w:r>
        <w:rPr>
          <w:rFonts w:hint="eastAsia" w:hAnsi="宋体" w:eastAsia="宋体" w:cs="宋体"/>
          <w:sz w:val="21"/>
        </w:rPr>
        <w:t>注: 1、报价一经涂改，应在涂改处加盖单位公章或者由法定代表人或授权委托人签字或盖章，否则其投标作无效标处理。</w:t>
      </w:r>
    </w:p>
    <w:p>
      <w:pPr>
        <w:numPr>
          <w:ilvl w:val="0"/>
          <w:numId w:val="15"/>
        </w:numPr>
        <w:snapToGrid w:val="0"/>
        <w:spacing w:before="50" w:after="50"/>
        <w:jc w:val="left"/>
        <w:rPr>
          <w:rFonts w:hAnsi="宋体" w:eastAsia="宋体" w:cs="宋体"/>
          <w:sz w:val="21"/>
        </w:rPr>
      </w:pPr>
      <w:r>
        <w:rPr>
          <w:rFonts w:hint="eastAsia" w:hAnsi="宋体" w:eastAsia="宋体" w:cs="宋体"/>
          <w:sz w:val="21"/>
        </w:rPr>
        <w:t>以上报价合计应与“分项报价表”中的“合计”相一致。</w:t>
      </w:r>
    </w:p>
    <w:p/>
    <w:p>
      <w:pPr>
        <w:ind w:firstLine="4830" w:firstLineChars="2300"/>
        <w:rPr>
          <w:rFonts w:hAnsi="宋体" w:eastAsia="宋体" w:cs="宋体"/>
          <w:sz w:val="21"/>
        </w:rPr>
      </w:pPr>
    </w:p>
    <w:p>
      <w:pPr>
        <w:ind w:firstLine="3990" w:firstLineChars="1900"/>
        <w:rPr>
          <w:rFonts w:hAnsi="宋体" w:eastAsia="宋体" w:cs="宋体"/>
          <w:sz w:val="21"/>
        </w:rPr>
      </w:pPr>
      <w:r>
        <w:rPr>
          <w:rFonts w:hint="eastAsia" w:hAnsi="宋体" w:eastAsia="宋体" w:cs="宋体"/>
          <w:sz w:val="21"/>
        </w:rPr>
        <w:t>供应商名称（加盖公章）：</w:t>
      </w:r>
    </w:p>
    <w:p>
      <w:pPr>
        <w:ind w:firstLine="3990" w:firstLineChars="1900"/>
        <w:rPr>
          <w:b/>
        </w:rPr>
      </w:pPr>
      <w:r>
        <w:rPr>
          <w:rFonts w:hint="eastAsia" w:hAnsi="宋体" w:eastAsia="宋体" w:cs="宋体"/>
          <w:sz w:val="21"/>
        </w:rPr>
        <w:t>日    期：</w:t>
      </w:r>
    </w:p>
    <w:p>
      <w:pPr>
        <w:pStyle w:val="12"/>
        <w:snapToGrid w:val="0"/>
        <w:ind w:left="420"/>
        <w:rPr>
          <w:rFonts w:ascii="宋体" w:hAnsi="宋体" w:cs="宋体"/>
        </w:rPr>
      </w:pPr>
    </w:p>
    <w:p>
      <w:pPr>
        <w:rPr>
          <w:rFonts w:hAnsi="宋体" w:cs="宋体"/>
        </w:rPr>
      </w:pPr>
      <w:r>
        <w:rPr>
          <w:rFonts w:hint="eastAsia" w:hAnsi="宋体" w:cs="宋体"/>
        </w:rPr>
        <w:br w:type="page"/>
      </w:r>
    </w:p>
    <w:p>
      <w:pPr>
        <w:rPr>
          <w:rFonts w:hAnsi="宋体" w:eastAsia="宋体" w:cs="宋体"/>
          <w:b/>
          <w:bCs/>
          <w:sz w:val="21"/>
        </w:rPr>
      </w:pPr>
      <w:r>
        <w:rPr>
          <w:rFonts w:hint="eastAsia" w:hAnsi="宋体" w:eastAsia="宋体" w:cs="宋体"/>
          <w:b/>
          <w:bCs/>
          <w:sz w:val="21"/>
        </w:rPr>
        <w:t>（2）分项报价表格式</w:t>
      </w:r>
    </w:p>
    <w:p>
      <w:pPr>
        <w:pStyle w:val="11"/>
        <w:jc w:val="center"/>
        <w:rPr>
          <w:rFonts w:ascii="宋体" w:hAnsi="宋体" w:cs="宋体"/>
          <w:b/>
          <w:bCs/>
          <w:sz w:val="21"/>
        </w:rPr>
      </w:pPr>
      <w:r>
        <w:rPr>
          <w:rFonts w:hint="eastAsia" w:ascii="宋体" w:hAnsi="宋体" w:cs="宋体"/>
          <w:b/>
          <w:bCs/>
          <w:sz w:val="21"/>
        </w:rPr>
        <w:t>分项报价表</w:t>
      </w:r>
    </w:p>
    <w:p>
      <w:pPr>
        <w:pStyle w:val="8"/>
        <w:ind w:left="-238" w:leftChars="-85" w:firstLine="525" w:firstLineChars="250"/>
        <w:jc w:val="center"/>
        <w:rPr>
          <w:rFonts w:ascii="宋体" w:hAnsi="宋体" w:cs="宋体"/>
          <w:sz w:val="21"/>
        </w:rPr>
      </w:pPr>
      <w:r>
        <w:rPr>
          <w:rFonts w:hint="eastAsia" w:ascii="宋体" w:hAnsi="宋体" w:cs="宋体"/>
          <w:sz w:val="21"/>
        </w:rPr>
        <w:t>项目名称：                  项目编号：                       单位：元</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069"/>
        <w:gridCol w:w="1492"/>
        <w:gridCol w:w="1584"/>
        <w:gridCol w:w="2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95" w:type="dxa"/>
            <w:tcBorders>
              <w:top w:val="single" w:color="auto" w:sz="4" w:space="0"/>
              <w:left w:val="single" w:color="auto" w:sz="4" w:space="0"/>
            </w:tcBorders>
            <w:vAlign w:val="center"/>
          </w:tcPr>
          <w:p>
            <w:pPr>
              <w:spacing w:line="240" w:lineRule="exact"/>
              <w:jc w:val="center"/>
              <w:rPr>
                <w:rFonts w:hAnsi="宋体" w:eastAsia="宋体" w:cs="宋体"/>
                <w:sz w:val="21"/>
              </w:rPr>
            </w:pPr>
            <w:r>
              <w:rPr>
                <w:rFonts w:hint="eastAsia" w:hAnsi="宋体" w:eastAsia="宋体" w:cs="宋体"/>
                <w:sz w:val="21"/>
              </w:rPr>
              <w:t>序号</w:t>
            </w:r>
          </w:p>
        </w:tc>
        <w:tc>
          <w:tcPr>
            <w:tcW w:w="2069" w:type="dxa"/>
            <w:tcBorders>
              <w:top w:val="single" w:color="auto" w:sz="4" w:space="0"/>
            </w:tcBorders>
            <w:vAlign w:val="center"/>
          </w:tcPr>
          <w:p>
            <w:pPr>
              <w:spacing w:line="240" w:lineRule="exact"/>
              <w:jc w:val="center"/>
              <w:rPr>
                <w:rFonts w:hAnsi="宋体" w:eastAsia="宋体" w:cs="宋体"/>
                <w:sz w:val="21"/>
              </w:rPr>
            </w:pPr>
            <w:r>
              <w:rPr>
                <w:rFonts w:hint="eastAsia" w:hAnsi="宋体" w:eastAsia="宋体" w:cs="宋体"/>
                <w:sz w:val="21"/>
              </w:rPr>
              <w:t>服务内容</w:t>
            </w:r>
          </w:p>
        </w:tc>
        <w:tc>
          <w:tcPr>
            <w:tcW w:w="1492" w:type="dxa"/>
            <w:tcBorders>
              <w:top w:val="single" w:color="auto" w:sz="4" w:space="0"/>
            </w:tcBorders>
            <w:vAlign w:val="center"/>
          </w:tcPr>
          <w:p>
            <w:pPr>
              <w:spacing w:line="240" w:lineRule="exact"/>
              <w:jc w:val="center"/>
              <w:rPr>
                <w:rFonts w:hAnsi="宋体" w:eastAsia="宋体" w:cs="宋体"/>
                <w:sz w:val="21"/>
              </w:rPr>
            </w:pPr>
            <w:r>
              <w:rPr>
                <w:rFonts w:hint="eastAsia" w:hAnsi="宋体" w:eastAsia="宋体" w:cs="宋体"/>
                <w:sz w:val="21"/>
              </w:rPr>
              <w:t>数量</w:t>
            </w:r>
          </w:p>
        </w:tc>
        <w:tc>
          <w:tcPr>
            <w:tcW w:w="1584" w:type="dxa"/>
            <w:tcBorders>
              <w:top w:val="single" w:color="auto" w:sz="4" w:space="0"/>
            </w:tcBorders>
            <w:vAlign w:val="center"/>
          </w:tcPr>
          <w:p>
            <w:pPr>
              <w:spacing w:line="240" w:lineRule="exact"/>
              <w:jc w:val="center"/>
              <w:rPr>
                <w:rFonts w:hAnsi="宋体" w:eastAsia="宋体" w:cs="宋体"/>
                <w:sz w:val="21"/>
              </w:rPr>
            </w:pPr>
            <w:r>
              <w:rPr>
                <w:rFonts w:hint="eastAsia" w:hAnsi="宋体" w:eastAsia="宋体" w:cs="宋体"/>
                <w:sz w:val="21"/>
              </w:rPr>
              <w:t>单价</w:t>
            </w:r>
          </w:p>
        </w:tc>
        <w:tc>
          <w:tcPr>
            <w:tcW w:w="2854" w:type="dxa"/>
            <w:tcBorders>
              <w:top w:val="single" w:color="auto" w:sz="4" w:space="0"/>
              <w:right w:val="single" w:color="auto" w:sz="4" w:space="0"/>
            </w:tcBorders>
            <w:vAlign w:val="center"/>
          </w:tcPr>
          <w:p>
            <w:pPr>
              <w:spacing w:line="240" w:lineRule="exact"/>
              <w:jc w:val="center"/>
              <w:rPr>
                <w:rFonts w:hAnsi="宋体" w:eastAsia="宋体" w:cs="宋体"/>
                <w:sz w:val="21"/>
              </w:rPr>
            </w:pPr>
            <w:r>
              <w:rPr>
                <w:rFonts w:hint="eastAsia" w:hAnsi="宋体" w:eastAsia="宋体" w:cs="宋体"/>
                <w:sz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5" w:type="dxa"/>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1</w:t>
            </w:r>
          </w:p>
        </w:tc>
        <w:tc>
          <w:tcPr>
            <w:tcW w:w="2069"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492"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584"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5" w:type="dxa"/>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2</w:t>
            </w:r>
          </w:p>
        </w:tc>
        <w:tc>
          <w:tcPr>
            <w:tcW w:w="2069"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492"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584"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5" w:type="dxa"/>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3</w:t>
            </w:r>
          </w:p>
        </w:tc>
        <w:tc>
          <w:tcPr>
            <w:tcW w:w="2069"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492"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584"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5" w:type="dxa"/>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4</w:t>
            </w:r>
          </w:p>
        </w:tc>
        <w:tc>
          <w:tcPr>
            <w:tcW w:w="2069"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492"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584"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5" w:type="dxa"/>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5</w:t>
            </w:r>
          </w:p>
        </w:tc>
        <w:tc>
          <w:tcPr>
            <w:tcW w:w="2069"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492"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584"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5" w:type="dxa"/>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6</w:t>
            </w:r>
          </w:p>
        </w:tc>
        <w:tc>
          <w:tcPr>
            <w:tcW w:w="2069"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492"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584"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5" w:type="dxa"/>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w:t>
            </w:r>
          </w:p>
        </w:tc>
        <w:tc>
          <w:tcPr>
            <w:tcW w:w="2069" w:type="dxa"/>
            <w:tcBorders>
              <w:top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w:t>
            </w:r>
          </w:p>
        </w:tc>
        <w:tc>
          <w:tcPr>
            <w:tcW w:w="1492"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1584" w:type="dxa"/>
            <w:tcBorders>
              <w:top w:val="single" w:color="auto" w:sz="4" w:space="0"/>
              <w:bottom w:val="single" w:color="auto" w:sz="4" w:space="0"/>
            </w:tcBorders>
            <w:vAlign w:val="center"/>
          </w:tcPr>
          <w:p>
            <w:pPr>
              <w:spacing w:line="400" w:lineRule="exact"/>
              <w:jc w:val="center"/>
              <w:rPr>
                <w:rFonts w:hAnsi="宋体" w:eastAsia="宋体" w:cs="宋体"/>
                <w:sz w:val="21"/>
              </w:rPr>
            </w:pP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0" w:type="dxa"/>
            <w:gridSpan w:val="4"/>
            <w:tcBorders>
              <w:top w:val="single" w:color="auto" w:sz="4" w:space="0"/>
              <w:left w:val="single" w:color="auto" w:sz="4" w:space="0"/>
              <w:bottom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合计</w:t>
            </w:r>
          </w:p>
        </w:tc>
        <w:tc>
          <w:tcPr>
            <w:tcW w:w="2854" w:type="dxa"/>
            <w:tcBorders>
              <w:top w:val="single" w:color="auto" w:sz="4" w:space="0"/>
              <w:bottom w:val="single" w:color="auto" w:sz="4" w:space="0"/>
              <w:right w:val="single" w:color="auto" w:sz="4" w:space="0"/>
            </w:tcBorders>
            <w:vAlign w:val="center"/>
          </w:tcPr>
          <w:p>
            <w:pPr>
              <w:tabs>
                <w:tab w:val="left" w:pos="4648"/>
              </w:tabs>
              <w:spacing w:line="400" w:lineRule="exact"/>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报价（小写）</w:t>
            </w:r>
          </w:p>
        </w:tc>
        <w:tc>
          <w:tcPr>
            <w:tcW w:w="2854" w:type="dxa"/>
            <w:tcBorders>
              <w:top w:val="single" w:color="auto" w:sz="4" w:space="0"/>
              <w:left w:val="single" w:color="auto" w:sz="4" w:space="0"/>
              <w:bottom w:val="single" w:color="auto" w:sz="4" w:space="0"/>
              <w:right w:val="single" w:color="auto" w:sz="4" w:space="0"/>
            </w:tcBorders>
            <w:vAlign w:val="center"/>
          </w:tcPr>
          <w:p>
            <w:pPr>
              <w:spacing w:line="400" w:lineRule="exact"/>
              <w:ind w:left="184"/>
              <w:jc w:val="center"/>
              <w:rPr>
                <w:rFonts w:hAnsi="宋体" w:eastAsia="宋体" w:cs="宋体"/>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eastAsia="宋体" w:cs="宋体"/>
                <w:sz w:val="21"/>
              </w:rPr>
            </w:pPr>
            <w:r>
              <w:rPr>
                <w:rFonts w:hint="eastAsia" w:hAnsi="宋体" w:eastAsia="宋体" w:cs="宋体"/>
                <w:sz w:val="21"/>
              </w:rPr>
              <w:t>报价（大写）</w:t>
            </w:r>
          </w:p>
        </w:tc>
        <w:tc>
          <w:tcPr>
            <w:tcW w:w="2854" w:type="dxa"/>
            <w:tcBorders>
              <w:top w:val="single" w:color="auto" w:sz="4" w:space="0"/>
              <w:left w:val="single" w:color="auto" w:sz="4" w:space="0"/>
              <w:bottom w:val="single" w:color="auto" w:sz="4" w:space="0"/>
              <w:right w:val="single" w:color="auto" w:sz="4" w:space="0"/>
            </w:tcBorders>
            <w:vAlign w:val="center"/>
          </w:tcPr>
          <w:p>
            <w:pPr>
              <w:spacing w:line="400" w:lineRule="exact"/>
              <w:ind w:left="267"/>
              <w:jc w:val="center"/>
              <w:rPr>
                <w:rFonts w:hAnsi="宋体" w:eastAsia="宋体" w:cs="宋体"/>
                <w:sz w:val="21"/>
              </w:rPr>
            </w:pPr>
          </w:p>
        </w:tc>
      </w:tr>
    </w:tbl>
    <w:p>
      <w:pPr>
        <w:rPr>
          <w:rFonts w:hAnsi="宋体" w:eastAsia="宋体" w:cs="宋体"/>
          <w:sz w:val="21"/>
        </w:rPr>
      </w:pPr>
    </w:p>
    <w:p>
      <w:pPr>
        <w:pStyle w:val="25"/>
        <w:ind w:firstLine="210"/>
        <w:jc w:val="left"/>
        <w:rPr>
          <w:rFonts w:ascii="宋体" w:hAnsi="宋体" w:cs="宋体"/>
          <w:sz w:val="21"/>
        </w:rPr>
      </w:pPr>
      <w:r>
        <w:rPr>
          <w:rFonts w:hint="eastAsia"/>
          <w:sz w:val="21"/>
        </w:rPr>
        <w:t>备注：报价明细表格格式可由中标人要求自行设计，</w:t>
      </w:r>
      <w:r>
        <w:rPr>
          <w:rFonts w:hint="eastAsia" w:ascii="宋体" w:hAnsi="宋体" w:cs="宋体"/>
          <w:sz w:val="21"/>
        </w:rPr>
        <w:t>上述表格分项内容仅作参考，中标人须根据自身对本项目工作内容的理解对分项内容进行重新分解并报价；本项目根据中标人所报单价按实结算。</w:t>
      </w:r>
    </w:p>
    <w:p>
      <w:pPr>
        <w:pStyle w:val="21"/>
        <w:ind w:left="0"/>
        <w:rPr>
          <w:rFonts w:ascii="宋体" w:hAnsi="宋体" w:eastAsia="宋体" w:cs="宋体"/>
          <w:sz w:val="21"/>
          <w:szCs w:val="21"/>
        </w:rPr>
      </w:pPr>
    </w:p>
    <w:p>
      <w:pPr>
        <w:ind w:firstLine="3990" w:firstLineChars="1900"/>
        <w:rPr>
          <w:rFonts w:hAnsi="宋体" w:eastAsia="宋体" w:cs="宋体"/>
          <w:sz w:val="21"/>
        </w:rPr>
      </w:pPr>
      <w:r>
        <w:rPr>
          <w:rFonts w:hint="eastAsia" w:hAnsi="宋体" w:eastAsia="宋体" w:cs="宋体"/>
          <w:sz w:val="21"/>
        </w:rPr>
        <w:t>供应商名称（加盖公章）：</w:t>
      </w:r>
    </w:p>
    <w:p>
      <w:pPr>
        <w:ind w:firstLine="3990" w:firstLineChars="1900"/>
        <w:rPr>
          <w:b/>
        </w:rPr>
      </w:pPr>
      <w:r>
        <w:rPr>
          <w:rFonts w:hint="eastAsia" w:hAnsi="宋体" w:eastAsia="宋体" w:cs="宋体"/>
          <w:sz w:val="21"/>
        </w:rPr>
        <w:t>日    期：</w:t>
      </w:r>
    </w:p>
    <w:p>
      <w:pPr>
        <w:rPr>
          <w:rFonts w:hAnsi="宋体" w:eastAsia="宋体" w:cs="宋体"/>
          <w:sz w:val="21"/>
        </w:rPr>
      </w:pPr>
    </w:p>
    <w:p>
      <w:pPr>
        <w:pStyle w:val="11"/>
        <w:rPr>
          <w:rFonts w:ascii="宋体" w:hAnsi="宋体" w:cs="宋体"/>
          <w:sz w:val="21"/>
        </w:rPr>
      </w:pPr>
    </w:p>
    <w:p/>
    <w:sectPr>
      <w:footnotePr>
        <w:numFmt w:val="decimalEnclosedCircleChinese"/>
      </w:footnotePr>
      <w:pgSz w:w="11906" w:h="16838"/>
      <w:pgMar w:top="1440" w:right="1134" w:bottom="1440" w:left="1134" w:header="964" w:footer="567" w:gutter="56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方正隶变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Fonts w:eastAsia="仿宋"/>
                            </w:rPr>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7"/>
                      <w:rPr>
                        <w:rFonts w:eastAsia="仿宋"/>
                      </w:rPr>
                    </w:pPr>
                    <w:r>
                      <w:fldChar w:fldCharType="begin"/>
                    </w:r>
                    <w:r>
                      <w:instrText xml:space="preserve"> PAGE  \* MERGEFORMAT </w:instrText>
                    </w:r>
                    <w:r>
                      <w:fldChar w:fldCharType="separate"/>
                    </w:r>
                    <w:r>
                      <w:t>5</w:t>
                    </w:r>
                    <w:r>
                      <w:fldChar w:fldCharType="end"/>
                    </w:r>
                  </w:p>
                </w:txbxContent>
              </v:textbox>
            </v:shape>
          </w:pict>
        </mc:Fallback>
      </mc:AlternateContent>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428"/>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14935" cy="284480"/>
              <wp:effectExtent l="0" t="0" r="0" b="0"/>
              <wp:wrapNone/>
              <wp:docPr id="23"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pPr>
                            <w:pStyle w:val="17"/>
                          </w:pPr>
                        </w:p>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22.4pt;width:9.05pt;mso-position-horizontal:left;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N7L0mIRAgAAEgQAAA4AAABkcnMvZTJvRG9jLnhtbK1TzY7TMBC+I/EO&#10;lu80bbegJWq6WrYqQlp+pIUHcB2nsYg91thtUh4A3oATF+48V5+DsZOUZbnsgUs0sWe+me+bz8ur&#10;zjTsoNBrsAWfTaacKSuh1HZX8E8fN88uOfNB2FI0YFXBj8rzq9XTJ8vW5WoONTSlQkYg1uetK3gd&#10;gsuzzMtaGeEn4JSlywrQiEC/uMtKFC2hmyabT6cvshawdAhSeU+n6/6SD4j4GECoKi3VGuTeKBt6&#10;VFSNCETJ19p5vkrTVpWS4X1VeRVYU3BiGtKXmlC8jd9stRT5DoWrtRxGEI8Z4QEnI7SlpmeotQiC&#10;7VH/A2W0RPBQhYkEk/VEkiLEYjZ9oM1dLZxKXEhq786i+/8HK98dPiDTZcHnF5xZYWjjp+/fTj9+&#10;nX5+ZbN5FKh1Pqe8O0eZoXsFHdkmkfXuFuRnzyzc1MLu1DUitLUSJQ04i5XZvdIex0eQbfsWSmok&#10;9gESUFehieqRHozQaTnH83JUF5iMLWeLlxfPOZN0Nb9cLC7T8jKRj8UOfXitwLAYFBxp9wlcHG59&#10;iMOIfEyJvSxsdNOk/Tf2rwNK7E9UMtBQHanE6Xseodt2gzRbKI9ECqE3Fz0tCmrAL5y1ZKyCW3pH&#10;nDVvLMkSPTgGOAbbMRBWUmHBA2d9eBN6r+4d6l1NuKPw1yTdRidacbB+hkFwskpiO9g6evH+f8r6&#10;85R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nTGy0AAAAAMBAAAPAAAAAAAAAAEAIAAAACIA&#10;AABkcnMvZG93bnJldi54bWxQSwECFAAUAAAACACHTuJA3svSYhECAAASBAAADgAAAAAAAAABACAA&#10;AAAfAQAAZHJzL2Uyb0RvYy54bWxQSwUGAAAAAAYABgBZAQAAogUAAAAA&#10;">
              <v:fill on="f" focussize="0,0"/>
              <v:stroke on="f"/>
              <v:imagedata o:title=""/>
              <o:lock v:ext="edit" aspectratio="f"/>
              <v:textbox inset="0mm,0mm,0mm,0mm" style="mso-fit-shape-to-text:t;">
                <w:txbxContent>
                  <w:p>
                    <w:pPr>
                      <w:pStyle w:val="17"/>
                    </w:pPr>
                  </w:p>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Fonts w:eastAsia="仿宋"/>
                            </w:rPr>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7"/>
                      <w:rPr>
                        <w:rFonts w:eastAsia="仿宋"/>
                      </w:rPr>
                    </w:pPr>
                    <w:r>
                      <w:fldChar w:fldCharType="begin"/>
                    </w:r>
                    <w:r>
                      <w:instrText xml:space="preserve"> PAGE  \* MERGEFORMAT </w:instrText>
                    </w:r>
                    <w:r>
                      <w:fldChar w:fldCharType="separate"/>
                    </w:r>
                    <w:r>
                      <w:t>37</w:t>
                    </w:r>
                    <w:r>
                      <w:fldChar w:fldCharType="end"/>
                    </w:r>
                  </w:p>
                </w:txbxContent>
              </v:textbox>
            </v:shape>
          </w:pict>
        </mc:Fallback>
      </mc:AlternateContent>
    </w:r>
  </w:p>
  <w:p>
    <w:pPr>
      <w:pStyle w:val="1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9180"/>
        <w:tab w:val="clear" w:pos="4153"/>
        <w:tab w:val="clear" w:pos="8306"/>
      </w:tabs>
      <w:spacing w:line="0" w:lineRule="atLeast"/>
      <w:ind w:left="-360" w:right="-336"/>
      <w:jc w:val="left"/>
    </w:pPr>
    <w:r>
      <w:rPr>
        <w:rFonts w:hint="eastAsia" w:ascii="方正隶变简体" w:hAnsi="宋体" w:eastAsia="方正隶变简体" w:cs="宋体"/>
        <w:w w:val="80"/>
        <w:sz w:val="15"/>
        <w:szCs w:val="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1947F"/>
    <w:multiLevelType w:val="singleLevel"/>
    <w:tmpl w:val="8B61947F"/>
    <w:lvl w:ilvl="0" w:tentative="0">
      <w:start w:val="2"/>
      <w:numFmt w:val="decimal"/>
      <w:suff w:val="nothing"/>
      <w:lvlText w:val="（%1）"/>
      <w:lvlJc w:val="left"/>
    </w:lvl>
  </w:abstractNum>
  <w:abstractNum w:abstractNumId="1">
    <w:nsid w:val="98F34B6D"/>
    <w:multiLevelType w:val="singleLevel"/>
    <w:tmpl w:val="98F34B6D"/>
    <w:lvl w:ilvl="0" w:tentative="0">
      <w:start w:val="1"/>
      <w:numFmt w:val="decimal"/>
      <w:lvlText w:val="(%1)"/>
      <w:lvlJc w:val="left"/>
      <w:pPr>
        <w:ind w:left="425" w:hanging="425"/>
      </w:pPr>
      <w:rPr>
        <w:rFonts w:hint="default"/>
      </w:rPr>
    </w:lvl>
  </w:abstractNum>
  <w:abstractNum w:abstractNumId="2">
    <w:nsid w:val="99DC72EB"/>
    <w:multiLevelType w:val="singleLevel"/>
    <w:tmpl w:val="99DC72EB"/>
    <w:lvl w:ilvl="0" w:tentative="0">
      <w:start w:val="2"/>
      <w:numFmt w:val="chineseCounting"/>
      <w:suff w:val="space"/>
      <w:lvlText w:val="第%1章"/>
      <w:lvlJc w:val="left"/>
      <w:rPr>
        <w:rFonts w:hint="eastAsia"/>
      </w:rPr>
    </w:lvl>
  </w:abstractNum>
  <w:abstractNum w:abstractNumId="3">
    <w:nsid w:val="9A7B5E9D"/>
    <w:multiLevelType w:val="singleLevel"/>
    <w:tmpl w:val="9A7B5E9D"/>
    <w:lvl w:ilvl="0" w:tentative="0">
      <w:start w:val="1"/>
      <w:numFmt w:val="chineseCounting"/>
      <w:suff w:val="nothing"/>
      <w:lvlText w:val="（%1）"/>
      <w:lvlJc w:val="left"/>
      <w:rPr>
        <w:rFonts w:hint="eastAsia"/>
      </w:rPr>
    </w:lvl>
  </w:abstractNum>
  <w:abstractNum w:abstractNumId="4">
    <w:nsid w:val="9CBC6050"/>
    <w:multiLevelType w:val="singleLevel"/>
    <w:tmpl w:val="9CBC6050"/>
    <w:lvl w:ilvl="0" w:tentative="0">
      <w:start w:val="1"/>
      <w:numFmt w:val="decimal"/>
      <w:lvlText w:val="%1."/>
      <w:lvlJc w:val="left"/>
      <w:pPr>
        <w:tabs>
          <w:tab w:val="left" w:pos="312"/>
        </w:tabs>
      </w:pPr>
    </w:lvl>
  </w:abstractNum>
  <w:abstractNum w:abstractNumId="5">
    <w:nsid w:val="C55B6119"/>
    <w:multiLevelType w:val="singleLevel"/>
    <w:tmpl w:val="C55B6119"/>
    <w:lvl w:ilvl="0" w:tentative="0">
      <w:start w:val="1"/>
      <w:numFmt w:val="decimal"/>
      <w:lvlText w:val="%1)"/>
      <w:lvlJc w:val="left"/>
      <w:pPr>
        <w:ind w:left="425" w:hanging="425"/>
      </w:pPr>
      <w:rPr>
        <w:rFonts w:hint="default"/>
      </w:rPr>
    </w:lvl>
  </w:abstractNum>
  <w:abstractNum w:abstractNumId="6">
    <w:nsid w:val="D75221DA"/>
    <w:multiLevelType w:val="singleLevel"/>
    <w:tmpl w:val="D75221DA"/>
    <w:lvl w:ilvl="0" w:tentative="0">
      <w:start w:val="1"/>
      <w:numFmt w:val="decimal"/>
      <w:lvlText w:val="%1)"/>
      <w:lvlJc w:val="left"/>
      <w:pPr>
        <w:ind w:left="425" w:hanging="425"/>
      </w:pPr>
      <w:rPr>
        <w:rFonts w:hint="default"/>
      </w:rPr>
    </w:lvl>
  </w:abstractNum>
  <w:abstractNum w:abstractNumId="7">
    <w:nsid w:val="027DCDAE"/>
    <w:multiLevelType w:val="singleLevel"/>
    <w:tmpl w:val="027DCDAE"/>
    <w:lvl w:ilvl="0" w:tentative="0">
      <w:start w:val="1"/>
      <w:numFmt w:val="decimal"/>
      <w:lvlText w:val="%1."/>
      <w:lvlJc w:val="left"/>
      <w:pPr>
        <w:ind w:left="425" w:hanging="425"/>
      </w:pPr>
      <w:rPr>
        <w:rFonts w:hint="default"/>
      </w:rPr>
    </w:lvl>
  </w:abstractNum>
  <w:abstractNum w:abstractNumId="8">
    <w:nsid w:val="0B987B8D"/>
    <w:multiLevelType w:val="singleLevel"/>
    <w:tmpl w:val="0B987B8D"/>
    <w:lvl w:ilvl="0" w:tentative="0">
      <w:start w:val="2"/>
      <w:numFmt w:val="decimal"/>
      <w:suff w:val="nothing"/>
      <w:lvlText w:val="%1、"/>
      <w:lvlJc w:val="left"/>
    </w:lvl>
  </w:abstractNum>
  <w:abstractNum w:abstractNumId="9">
    <w:nsid w:val="29477719"/>
    <w:multiLevelType w:val="singleLevel"/>
    <w:tmpl w:val="29477719"/>
    <w:lvl w:ilvl="0" w:tentative="0">
      <w:start w:val="1"/>
      <w:numFmt w:val="decimal"/>
      <w:suff w:val="nothing"/>
      <w:lvlText w:val="%1）"/>
      <w:lvlJc w:val="left"/>
    </w:lvl>
  </w:abstractNum>
  <w:abstractNum w:abstractNumId="10">
    <w:nsid w:val="42C4834D"/>
    <w:multiLevelType w:val="singleLevel"/>
    <w:tmpl w:val="42C4834D"/>
    <w:lvl w:ilvl="0" w:tentative="0">
      <w:start w:val="4"/>
      <w:numFmt w:val="chineseCounting"/>
      <w:suff w:val="nothing"/>
      <w:lvlText w:val="%1．"/>
      <w:lvlJc w:val="left"/>
      <w:rPr>
        <w:rFonts w:hint="eastAsia"/>
      </w:rPr>
    </w:lvl>
  </w:abstractNum>
  <w:abstractNum w:abstractNumId="11">
    <w:nsid w:val="4B3ABF6F"/>
    <w:multiLevelType w:val="singleLevel"/>
    <w:tmpl w:val="4B3ABF6F"/>
    <w:lvl w:ilvl="0" w:tentative="0">
      <w:start w:val="1"/>
      <w:numFmt w:val="decimal"/>
      <w:lvlText w:val="(%1)"/>
      <w:lvlJc w:val="left"/>
      <w:pPr>
        <w:ind w:left="425" w:hanging="425"/>
      </w:pPr>
      <w:rPr>
        <w:rFonts w:hint="default"/>
      </w:rPr>
    </w:lvl>
  </w:abstractNum>
  <w:abstractNum w:abstractNumId="12">
    <w:nsid w:val="4E010C2E"/>
    <w:multiLevelType w:val="singleLevel"/>
    <w:tmpl w:val="4E010C2E"/>
    <w:lvl w:ilvl="0" w:tentative="0">
      <w:start w:val="1"/>
      <w:numFmt w:val="decimal"/>
      <w:lvlText w:val="(%1)"/>
      <w:lvlJc w:val="left"/>
      <w:pPr>
        <w:ind w:left="425" w:hanging="425"/>
      </w:pPr>
      <w:rPr>
        <w:rFonts w:hint="default"/>
      </w:rPr>
    </w:lvl>
  </w:abstractNum>
  <w:abstractNum w:abstractNumId="13">
    <w:nsid w:val="5BAEEE46"/>
    <w:multiLevelType w:val="singleLevel"/>
    <w:tmpl w:val="5BAEEE46"/>
    <w:lvl w:ilvl="0" w:tentative="0">
      <w:start w:val="1"/>
      <w:numFmt w:val="decimal"/>
      <w:lvlText w:val="%1."/>
      <w:lvlJc w:val="left"/>
      <w:pPr>
        <w:ind w:left="425" w:hanging="425"/>
      </w:pPr>
      <w:rPr>
        <w:rFonts w:hint="default"/>
      </w:rPr>
    </w:lvl>
  </w:abstractNum>
  <w:abstractNum w:abstractNumId="14">
    <w:nsid w:val="65C2BEA0"/>
    <w:multiLevelType w:val="singleLevel"/>
    <w:tmpl w:val="65C2BEA0"/>
    <w:lvl w:ilvl="0" w:tentative="0">
      <w:start w:val="1"/>
      <w:numFmt w:val="decimal"/>
      <w:pStyle w:val="6"/>
      <w:lvlText w:val="%1."/>
      <w:lvlJc w:val="left"/>
      <w:pPr>
        <w:tabs>
          <w:tab w:val="left" w:pos="360"/>
        </w:tabs>
        <w:ind w:left="360" w:hanging="360"/>
      </w:pPr>
    </w:lvl>
  </w:abstractNum>
  <w:num w:numId="1">
    <w:abstractNumId w:val="14"/>
  </w:num>
  <w:num w:numId="2">
    <w:abstractNumId w:val="1"/>
  </w:num>
  <w:num w:numId="3">
    <w:abstractNumId w:val="5"/>
  </w:num>
  <w:num w:numId="4">
    <w:abstractNumId w:val="11"/>
  </w:num>
  <w:num w:numId="5">
    <w:abstractNumId w:val="7"/>
  </w:num>
  <w:num w:numId="6">
    <w:abstractNumId w:val="2"/>
  </w:num>
  <w:num w:numId="7">
    <w:abstractNumId w:val="9"/>
  </w:num>
  <w:num w:numId="8">
    <w:abstractNumId w:val="3"/>
  </w:num>
  <w:num w:numId="9">
    <w:abstractNumId w:val="13"/>
  </w:num>
  <w:num w:numId="10">
    <w:abstractNumId w:val="6"/>
  </w:num>
  <w:num w:numId="11">
    <w:abstractNumId w:val="10"/>
  </w:num>
  <w:num w:numId="12">
    <w:abstractNumId w:val="12"/>
  </w:num>
  <w:num w:numId="13">
    <w:abstractNumId w:val="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YzVlNGQ4ZTQ3Y2M2NTI5ZTFjZDg4MzI5YmExZTkifQ=="/>
    <w:docVar w:name="KSO_WPS_MARK_KEY" w:val="5442b779-280b-4c53-a031-0483c1201b9a"/>
  </w:docVars>
  <w:rsids>
    <w:rsidRoot w:val="00E9356B"/>
    <w:rsid w:val="00032E03"/>
    <w:rsid w:val="000449FC"/>
    <w:rsid w:val="000D252D"/>
    <w:rsid w:val="00124847"/>
    <w:rsid w:val="001348D5"/>
    <w:rsid w:val="00150627"/>
    <w:rsid w:val="00157C40"/>
    <w:rsid w:val="00171299"/>
    <w:rsid w:val="00175093"/>
    <w:rsid w:val="001835D9"/>
    <w:rsid w:val="001A4569"/>
    <w:rsid w:val="001B7C8C"/>
    <w:rsid w:val="001F1141"/>
    <w:rsid w:val="00202AC6"/>
    <w:rsid w:val="00264E69"/>
    <w:rsid w:val="002E71E0"/>
    <w:rsid w:val="00333828"/>
    <w:rsid w:val="00366B99"/>
    <w:rsid w:val="003A5138"/>
    <w:rsid w:val="003F6FCD"/>
    <w:rsid w:val="00436220"/>
    <w:rsid w:val="004545C3"/>
    <w:rsid w:val="004D2749"/>
    <w:rsid w:val="0056358F"/>
    <w:rsid w:val="00584785"/>
    <w:rsid w:val="005F3BFC"/>
    <w:rsid w:val="005F448D"/>
    <w:rsid w:val="00601EF4"/>
    <w:rsid w:val="0066264E"/>
    <w:rsid w:val="006632CC"/>
    <w:rsid w:val="006A6F33"/>
    <w:rsid w:val="006B640C"/>
    <w:rsid w:val="00702588"/>
    <w:rsid w:val="00702D61"/>
    <w:rsid w:val="0073350B"/>
    <w:rsid w:val="00734D7B"/>
    <w:rsid w:val="007F3823"/>
    <w:rsid w:val="00862059"/>
    <w:rsid w:val="00903FD2"/>
    <w:rsid w:val="00906075"/>
    <w:rsid w:val="00915B5D"/>
    <w:rsid w:val="00933276"/>
    <w:rsid w:val="00934752"/>
    <w:rsid w:val="00945CE3"/>
    <w:rsid w:val="00951298"/>
    <w:rsid w:val="00955A5F"/>
    <w:rsid w:val="00996ACB"/>
    <w:rsid w:val="00997C2B"/>
    <w:rsid w:val="009B3C43"/>
    <w:rsid w:val="009B6258"/>
    <w:rsid w:val="009C48D3"/>
    <w:rsid w:val="009C7ECB"/>
    <w:rsid w:val="00A11CF2"/>
    <w:rsid w:val="00A27E42"/>
    <w:rsid w:val="00AC282E"/>
    <w:rsid w:val="00B17331"/>
    <w:rsid w:val="00B27859"/>
    <w:rsid w:val="00B4279A"/>
    <w:rsid w:val="00B62707"/>
    <w:rsid w:val="00BC3799"/>
    <w:rsid w:val="00C076A0"/>
    <w:rsid w:val="00C16881"/>
    <w:rsid w:val="00C173EA"/>
    <w:rsid w:val="00C46D73"/>
    <w:rsid w:val="00C55992"/>
    <w:rsid w:val="00C74109"/>
    <w:rsid w:val="00CC4592"/>
    <w:rsid w:val="00D05D5D"/>
    <w:rsid w:val="00D067B4"/>
    <w:rsid w:val="00D258F1"/>
    <w:rsid w:val="00D626A4"/>
    <w:rsid w:val="00D94C1C"/>
    <w:rsid w:val="00DC6CF4"/>
    <w:rsid w:val="00E1624C"/>
    <w:rsid w:val="00E33AFD"/>
    <w:rsid w:val="00E5024B"/>
    <w:rsid w:val="00E9356B"/>
    <w:rsid w:val="00EB0213"/>
    <w:rsid w:val="00ED1683"/>
    <w:rsid w:val="00EE29EA"/>
    <w:rsid w:val="00F71D20"/>
    <w:rsid w:val="00F779C1"/>
    <w:rsid w:val="00FF2BFB"/>
    <w:rsid w:val="0112363F"/>
    <w:rsid w:val="015123B9"/>
    <w:rsid w:val="0154451D"/>
    <w:rsid w:val="01981D96"/>
    <w:rsid w:val="01AE3368"/>
    <w:rsid w:val="01AF70E0"/>
    <w:rsid w:val="01C012ED"/>
    <w:rsid w:val="01DF5E22"/>
    <w:rsid w:val="02152329"/>
    <w:rsid w:val="02447828"/>
    <w:rsid w:val="02493291"/>
    <w:rsid w:val="025A704C"/>
    <w:rsid w:val="02624FE3"/>
    <w:rsid w:val="029D33DC"/>
    <w:rsid w:val="02D8428E"/>
    <w:rsid w:val="030576A0"/>
    <w:rsid w:val="030C2457"/>
    <w:rsid w:val="031A67DB"/>
    <w:rsid w:val="03226379"/>
    <w:rsid w:val="032D7CC8"/>
    <w:rsid w:val="0331105F"/>
    <w:rsid w:val="03597303"/>
    <w:rsid w:val="03627032"/>
    <w:rsid w:val="03AD764F"/>
    <w:rsid w:val="03CF0A05"/>
    <w:rsid w:val="03CF4F1E"/>
    <w:rsid w:val="041B0A5C"/>
    <w:rsid w:val="04241E52"/>
    <w:rsid w:val="043D360C"/>
    <w:rsid w:val="044004C3"/>
    <w:rsid w:val="04463D2B"/>
    <w:rsid w:val="045D2966"/>
    <w:rsid w:val="047E6FEC"/>
    <w:rsid w:val="04A071A7"/>
    <w:rsid w:val="04AE44B2"/>
    <w:rsid w:val="04C165A7"/>
    <w:rsid w:val="04C80BE4"/>
    <w:rsid w:val="04E92909"/>
    <w:rsid w:val="051424EC"/>
    <w:rsid w:val="056B77C2"/>
    <w:rsid w:val="058D7738"/>
    <w:rsid w:val="05AA653C"/>
    <w:rsid w:val="05B105A5"/>
    <w:rsid w:val="05C3236B"/>
    <w:rsid w:val="05E25F5C"/>
    <w:rsid w:val="05F50E0B"/>
    <w:rsid w:val="05F61781"/>
    <w:rsid w:val="06030107"/>
    <w:rsid w:val="060A3E44"/>
    <w:rsid w:val="070D3A05"/>
    <w:rsid w:val="07217122"/>
    <w:rsid w:val="074F094A"/>
    <w:rsid w:val="07700C9D"/>
    <w:rsid w:val="07C57E33"/>
    <w:rsid w:val="07DD1C6C"/>
    <w:rsid w:val="07DF6953"/>
    <w:rsid w:val="07EA0E72"/>
    <w:rsid w:val="08002443"/>
    <w:rsid w:val="083E541F"/>
    <w:rsid w:val="087E1C51"/>
    <w:rsid w:val="093E029E"/>
    <w:rsid w:val="09510A86"/>
    <w:rsid w:val="09523172"/>
    <w:rsid w:val="09594501"/>
    <w:rsid w:val="09805C05"/>
    <w:rsid w:val="0A226AC8"/>
    <w:rsid w:val="0ABA59FC"/>
    <w:rsid w:val="0AFA3DBD"/>
    <w:rsid w:val="0AFF2EF4"/>
    <w:rsid w:val="0B2E2C5C"/>
    <w:rsid w:val="0B2E5519"/>
    <w:rsid w:val="0B492353"/>
    <w:rsid w:val="0B5624E7"/>
    <w:rsid w:val="0B941075"/>
    <w:rsid w:val="0BB84DE3"/>
    <w:rsid w:val="0BFE0F08"/>
    <w:rsid w:val="0C0250BE"/>
    <w:rsid w:val="0C060244"/>
    <w:rsid w:val="0C3E7172"/>
    <w:rsid w:val="0C3E79DE"/>
    <w:rsid w:val="0C935725"/>
    <w:rsid w:val="0D183D8B"/>
    <w:rsid w:val="0D1B564F"/>
    <w:rsid w:val="0D214B90"/>
    <w:rsid w:val="0D2C440F"/>
    <w:rsid w:val="0D946268"/>
    <w:rsid w:val="0D9D0734"/>
    <w:rsid w:val="0DA53698"/>
    <w:rsid w:val="0DA67939"/>
    <w:rsid w:val="0E2055ED"/>
    <w:rsid w:val="0E26697C"/>
    <w:rsid w:val="0E583092"/>
    <w:rsid w:val="0E5E1627"/>
    <w:rsid w:val="0E9377BB"/>
    <w:rsid w:val="0E9953A0"/>
    <w:rsid w:val="0EB61AAE"/>
    <w:rsid w:val="0EB851B9"/>
    <w:rsid w:val="0ECA7307"/>
    <w:rsid w:val="0ED8117B"/>
    <w:rsid w:val="0F130CAE"/>
    <w:rsid w:val="0F135152"/>
    <w:rsid w:val="0F144A26"/>
    <w:rsid w:val="0F340C24"/>
    <w:rsid w:val="0F522A6F"/>
    <w:rsid w:val="0F596A44"/>
    <w:rsid w:val="0F661726"/>
    <w:rsid w:val="0F7554C5"/>
    <w:rsid w:val="0F8605CD"/>
    <w:rsid w:val="0FA57735"/>
    <w:rsid w:val="0FDD306A"/>
    <w:rsid w:val="10150A56"/>
    <w:rsid w:val="106C04B5"/>
    <w:rsid w:val="106C2D6C"/>
    <w:rsid w:val="10AE5329"/>
    <w:rsid w:val="11035310"/>
    <w:rsid w:val="110805BA"/>
    <w:rsid w:val="11194576"/>
    <w:rsid w:val="11252F1A"/>
    <w:rsid w:val="112E25B6"/>
    <w:rsid w:val="112F5B47"/>
    <w:rsid w:val="11393235"/>
    <w:rsid w:val="11470E93"/>
    <w:rsid w:val="11BD4B14"/>
    <w:rsid w:val="11C22850"/>
    <w:rsid w:val="12485112"/>
    <w:rsid w:val="126E4189"/>
    <w:rsid w:val="1272218F"/>
    <w:rsid w:val="129A0DC8"/>
    <w:rsid w:val="12A04F4F"/>
    <w:rsid w:val="12B47B62"/>
    <w:rsid w:val="12B66927"/>
    <w:rsid w:val="12E0534B"/>
    <w:rsid w:val="1319085D"/>
    <w:rsid w:val="13207E3D"/>
    <w:rsid w:val="132C233E"/>
    <w:rsid w:val="132D4C2B"/>
    <w:rsid w:val="13370CE3"/>
    <w:rsid w:val="133F3025"/>
    <w:rsid w:val="13573133"/>
    <w:rsid w:val="138403CC"/>
    <w:rsid w:val="13BC5DB8"/>
    <w:rsid w:val="140263D0"/>
    <w:rsid w:val="14520113"/>
    <w:rsid w:val="145558C5"/>
    <w:rsid w:val="14BF5298"/>
    <w:rsid w:val="14C30A80"/>
    <w:rsid w:val="14E235DC"/>
    <w:rsid w:val="14E611CB"/>
    <w:rsid w:val="15282FD9"/>
    <w:rsid w:val="153D44DA"/>
    <w:rsid w:val="156C37B3"/>
    <w:rsid w:val="15802E15"/>
    <w:rsid w:val="158A474B"/>
    <w:rsid w:val="15B30B8E"/>
    <w:rsid w:val="15C251DC"/>
    <w:rsid w:val="15F155E8"/>
    <w:rsid w:val="162E2871"/>
    <w:rsid w:val="162F06A7"/>
    <w:rsid w:val="16381930"/>
    <w:rsid w:val="166149F5"/>
    <w:rsid w:val="16851D5F"/>
    <w:rsid w:val="16D2144F"/>
    <w:rsid w:val="16EE79E7"/>
    <w:rsid w:val="16EF0253"/>
    <w:rsid w:val="17123241"/>
    <w:rsid w:val="171F66D2"/>
    <w:rsid w:val="1732013F"/>
    <w:rsid w:val="17535ED4"/>
    <w:rsid w:val="175A692D"/>
    <w:rsid w:val="17895268"/>
    <w:rsid w:val="178C5AA1"/>
    <w:rsid w:val="18001FEB"/>
    <w:rsid w:val="18094F0A"/>
    <w:rsid w:val="185B1402"/>
    <w:rsid w:val="185E1E9B"/>
    <w:rsid w:val="18F41B50"/>
    <w:rsid w:val="18F559EC"/>
    <w:rsid w:val="191F5D0B"/>
    <w:rsid w:val="193403F5"/>
    <w:rsid w:val="196E444C"/>
    <w:rsid w:val="197D7D98"/>
    <w:rsid w:val="197E766C"/>
    <w:rsid w:val="19864D35"/>
    <w:rsid w:val="19CB5CDA"/>
    <w:rsid w:val="19E219A9"/>
    <w:rsid w:val="1A155476"/>
    <w:rsid w:val="1A240213"/>
    <w:rsid w:val="1A332204"/>
    <w:rsid w:val="1A404921"/>
    <w:rsid w:val="1A45123C"/>
    <w:rsid w:val="1A7A42D7"/>
    <w:rsid w:val="1A89771E"/>
    <w:rsid w:val="1AD02149"/>
    <w:rsid w:val="1AF5010A"/>
    <w:rsid w:val="1AFE504E"/>
    <w:rsid w:val="1B09565B"/>
    <w:rsid w:val="1B124A1A"/>
    <w:rsid w:val="1BA50EE0"/>
    <w:rsid w:val="1BC31CAE"/>
    <w:rsid w:val="1BD17F27"/>
    <w:rsid w:val="1BE22134"/>
    <w:rsid w:val="1BE92F28"/>
    <w:rsid w:val="1BFA13F5"/>
    <w:rsid w:val="1C122186"/>
    <w:rsid w:val="1C1222ED"/>
    <w:rsid w:val="1C291EFA"/>
    <w:rsid w:val="1C686CEC"/>
    <w:rsid w:val="1C7F3E27"/>
    <w:rsid w:val="1C9D3970"/>
    <w:rsid w:val="1CBF2475"/>
    <w:rsid w:val="1CBF5384"/>
    <w:rsid w:val="1CCB706C"/>
    <w:rsid w:val="1CCE0183"/>
    <w:rsid w:val="1CDD0B4D"/>
    <w:rsid w:val="1D0F5CA7"/>
    <w:rsid w:val="1D352737"/>
    <w:rsid w:val="1D3B0044"/>
    <w:rsid w:val="1D3F5FB8"/>
    <w:rsid w:val="1D8164D4"/>
    <w:rsid w:val="1D8A6A42"/>
    <w:rsid w:val="1D8F0099"/>
    <w:rsid w:val="1D920095"/>
    <w:rsid w:val="1DA664C1"/>
    <w:rsid w:val="1DC94F26"/>
    <w:rsid w:val="1DCA1CC3"/>
    <w:rsid w:val="1E104084"/>
    <w:rsid w:val="1E5A7ADD"/>
    <w:rsid w:val="1E996955"/>
    <w:rsid w:val="1EAC6CA6"/>
    <w:rsid w:val="1EEC32CA"/>
    <w:rsid w:val="1EFC16AA"/>
    <w:rsid w:val="1EFD1865"/>
    <w:rsid w:val="1F354C71"/>
    <w:rsid w:val="1F574BE7"/>
    <w:rsid w:val="1F7E2A30"/>
    <w:rsid w:val="1F95570F"/>
    <w:rsid w:val="1F9A4AD4"/>
    <w:rsid w:val="1FA77B14"/>
    <w:rsid w:val="1FBC3495"/>
    <w:rsid w:val="1FC3227C"/>
    <w:rsid w:val="1FE03D81"/>
    <w:rsid w:val="20694266"/>
    <w:rsid w:val="206C021E"/>
    <w:rsid w:val="20790B8D"/>
    <w:rsid w:val="2087598D"/>
    <w:rsid w:val="20C32203"/>
    <w:rsid w:val="20C938C2"/>
    <w:rsid w:val="20E64F6E"/>
    <w:rsid w:val="21040F56"/>
    <w:rsid w:val="21061C42"/>
    <w:rsid w:val="2193477D"/>
    <w:rsid w:val="21A8797C"/>
    <w:rsid w:val="21BA4BC4"/>
    <w:rsid w:val="21DE339D"/>
    <w:rsid w:val="21E309B4"/>
    <w:rsid w:val="21EA2072"/>
    <w:rsid w:val="22176847"/>
    <w:rsid w:val="222D60D3"/>
    <w:rsid w:val="227C6F46"/>
    <w:rsid w:val="22A90A8C"/>
    <w:rsid w:val="22CE51C0"/>
    <w:rsid w:val="230120C7"/>
    <w:rsid w:val="23AB1BB8"/>
    <w:rsid w:val="23B9712D"/>
    <w:rsid w:val="23BF2D5B"/>
    <w:rsid w:val="23C6233B"/>
    <w:rsid w:val="23E80503"/>
    <w:rsid w:val="23F17B59"/>
    <w:rsid w:val="240A5C58"/>
    <w:rsid w:val="245711E5"/>
    <w:rsid w:val="246F4DAF"/>
    <w:rsid w:val="24A75DD1"/>
    <w:rsid w:val="24C525F3"/>
    <w:rsid w:val="2514232F"/>
    <w:rsid w:val="252764F1"/>
    <w:rsid w:val="25423C43"/>
    <w:rsid w:val="25D27B05"/>
    <w:rsid w:val="25F628FE"/>
    <w:rsid w:val="26237E66"/>
    <w:rsid w:val="26661BB3"/>
    <w:rsid w:val="271561A5"/>
    <w:rsid w:val="271D6716"/>
    <w:rsid w:val="27391076"/>
    <w:rsid w:val="273B4DEE"/>
    <w:rsid w:val="27454D0B"/>
    <w:rsid w:val="27702CEA"/>
    <w:rsid w:val="277A1B2F"/>
    <w:rsid w:val="27A61653"/>
    <w:rsid w:val="27A64E65"/>
    <w:rsid w:val="27B23302"/>
    <w:rsid w:val="27BC5F2F"/>
    <w:rsid w:val="27BE5F4D"/>
    <w:rsid w:val="27CA2931"/>
    <w:rsid w:val="27E921E9"/>
    <w:rsid w:val="27F31225"/>
    <w:rsid w:val="28096C9A"/>
    <w:rsid w:val="28213FE4"/>
    <w:rsid w:val="2842381A"/>
    <w:rsid w:val="28537F15"/>
    <w:rsid w:val="286914E7"/>
    <w:rsid w:val="289E741E"/>
    <w:rsid w:val="28B9215C"/>
    <w:rsid w:val="28C74960"/>
    <w:rsid w:val="28C80903"/>
    <w:rsid w:val="28C826B1"/>
    <w:rsid w:val="28DB23E5"/>
    <w:rsid w:val="2916035C"/>
    <w:rsid w:val="29213A2F"/>
    <w:rsid w:val="29361D11"/>
    <w:rsid w:val="294E5EC4"/>
    <w:rsid w:val="296248B4"/>
    <w:rsid w:val="29840421"/>
    <w:rsid w:val="29930F11"/>
    <w:rsid w:val="29D60DFE"/>
    <w:rsid w:val="29E4351B"/>
    <w:rsid w:val="2A110088"/>
    <w:rsid w:val="2A1262DA"/>
    <w:rsid w:val="2A3E70CF"/>
    <w:rsid w:val="2A44220C"/>
    <w:rsid w:val="2A564B96"/>
    <w:rsid w:val="2A7B6D80"/>
    <w:rsid w:val="2A8966E0"/>
    <w:rsid w:val="2A8F34F5"/>
    <w:rsid w:val="2AB63109"/>
    <w:rsid w:val="2ACD7074"/>
    <w:rsid w:val="2AE44D52"/>
    <w:rsid w:val="2AE61515"/>
    <w:rsid w:val="2AF754D0"/>
    <w:rsid w:val="2B033E75"/>
    <w:rsid w:val="2B090C0F"/>
    <w:rsid w:val="2B436B3D"/>
    <w:rsid w:val="2B595843"/>
    <w:rsid w:val="2B5C570D"/>
    <w:rsid w:val="2B6242E5"/>
    <w:rsid w:val="2B663DE2"/>
    <w:rsid w:val="2B6761B2"/>
    <w:rsid w:val="2B977CDD"/>
    <w:rsid w:val="2B9845BD"/>
    <w:rsid w:val="2B9D1AFC"/>
    <w:rsid w:val="2BEF5312"/>
    <w:rsid w:val="2C0B3811"/>
    <w:rsid w:val="2C22657D"/>
    <w:rsid w:val="2C4E1120"/>
    <w:rsid w:val="2C567FD4"/>
    <w:rsid w:val="2C5F332D"/>
    <w:rsid w:val="2CB44DD0"/>
    <w:rsid w:val="2CF10601"/>
    <w:rsid w:val="2D355AC5"/>
    <w:rsid w:val="2D393B7E"/>
    <w:rsid w:val="2D421E52"/>
    <w:rsid w:val="2D4542D1"/>
    <w:rsid w:val="2D766B80"/>
    <w:rsid w:val="2DA653D2"/>
    <w:rsid w:val="2DBE22D5"/>
    <w:rsid w:val="2E2840B7"/>
    <w:rsid w:val="2E5175C2"/>
    <w:rsid w:val="2E601D2F"/>
    <w:rsid w:val="2E71144D"/>
    <w:rsid w:val="2E797F46"/>
    <w:rsid w:val="2EA63495"/>
    <w:rsid w:val="2F285C58"/>
    <w:rsid w:val="2F5131E0"/>
    <w:rsid w:val="2F594063"/>
    <w:rsid w:val="2F5E5B70"/>
    <w:rsid w:val="2F6A2D1C"/>
    <w:rsid w:val="2F6F7D2B"/>
    <w:rsid w:val="2F800C5D"/>
    <w:rsid w:val="2F8512FC"/>
    <w:rsid w:val="2FB50B65"/>
    <w:rsid w:val="2FBE036A"/>
    <w:rsid w:val="2FD04D90"/>
    <w:rsid w:val="2FE04785"/>
    <w:rsid w:val="300E12F2"/>
    <w:rsid w:val="3038636F"/>
    <w:rsid w:val="304F76D1"/>
    <w:rsid w:val="30566C7C"/>
    <w:rsid w:val="305D5DD5"/>
    <w:rsid w:val="30A13F14"/>
    <w:rsid w:val="30DB6CFA"/>
    <w:rsid w:val="31010E56"/>
    <w:rsid w:val="31256139"/>
    <w:rsid w:val="315973DA"/>
    <w:rsid w:val="31806F39"/>
    <w:rsid w:val="318D157A"/>
    <w:rsid w:val="319A392C"/>
    <w:rsid w:val="31AF2889"/>
    <w:rsid w:val="31D57218"/>
    <w:rsid w:val="31F963AA"/>
    <w:rsid w:val="323629ED"/>
    <w:rsid w:val="323B5CA2"/>
    <w:rsid w:val="32737B32"/>
    <w:rsid w:val="328A2F93"/>
    <w:rsid w:val="328E2276"/>
    <w:rsid w:val="32D52DCC"/>
    <w:rsid w:val="32E12E90"/>
    <w:rsid w:val="32EE3C86"/>
    <w:rsid w:val="333F2E0A"/>
    <w:rsid w:val="33633703"/>
    <w:rsid w:val="3364747B"/>
    <w:rsid w:val="33706788"/>
    <w:rsid w:val="33BC3853"/>
    <w:rsid w:val="340108E6"/>
    <w:rsid w:val="346D643D"/>
    <w:rsid w:val="347D07F4"/>
    <w:rsid w:val="34A357B5"/>
    <w:rsid w:val="350727B3"/>
    <w:rsid w:val="35223149"/>
    <w:rsid w:val="35696FCA"/>
    <w:rsid w:val="357E259C"/>
    <w:rsid w:val="3583008C"/>
    <w:rsid w:val="358856A2"/>
    <w:rsid w:val="35AE2716"/>
    <w:rsid w:val="36080591"/>
    <w:rsid w:val="36637EBD"/>
    <w:rsid w:val="36695095"/>
    <w:rsid w:val="366F0610"/>
    <w:rsid w:val="36947599"/>
    <w:rsid w:val="369B1405"/>
    <w:rsid w:val="36E31C1E"/>
    <w:rsid w:val="36F80606"/>
    <w:rsid w:val="374D6BA3"/>
    <w:rsid w:val="374E46CA"/>
    <w:rsid w:val="37667C65"/>
    <w:rsid w:val="37670629"/>
    <w:rsid w:val="37743C09"/>
    <w:rsid w:val="37875D16"/>
    <w:rsid w:val="37A4078E"/>
    <w:rsid w:val="37C52BDE"/>
    <w:rsid w:val="37F40336"/>
    <w:rsid w:val="38184D3B"/>
    <w:rsid w:val="38BE2643"/>
    <w:rsid w:val="39045C73"/>
    <w:rsid w:val="390D7AD7"/>
    <w:rsid w:val="39205BF2"/>
    <w:rsid w:val="39243934"/>
    <w:rsid w:val="39267AE8"/>
    <w:rsid w:val="394468F7"/>
    <w:rsid w:val="395D0804"/>
    <w:rsid w:val="39974106"/>
    <w:rsid w:val="399C796E"/>
    <w:rsid w:val="399D5494"/>
    <w:rsid w:val="39E017F6"/>
    <w:rsid w:val="39FD22BA"/>
    <w:rsid w:val="3A045513"/>
    <w:rsid w:val="3A2A31CC"/>
    <w:rsid w:val="3A3A2CE3"/>
    <w:rsid w:val="3A3E1424"/>
    <w:rsid w:val="3A5868F7"/>
    <w:rsid w:val="3A795E27"/>
    <w:rsid w:val="3A7A470E"/>
    <w:rsid w:val="3A804B9A"/>
    <w:rsid w:val="3A993EAE"/>
    <w:rsid w:val="3AC0768C"/>
    <w:rsid w:val="3AFF711C"/>
    <w:rsid w:val="3B62337E"/>
    <w:rsid w:val="3B88174D"/>
    <w:rsid w:val="3BA743A8"/>
    <w:rsid w:val="3BAA5C47"/>
    <w:rsid w:val="3BDF04FA"/>
    <w:rsid w:val="3BE73BB9"/>
    <w:rsid w:val="3BFF2436"/>
    <w:rsid w:val="3C0B2B89"/>
    <w:rsid w:val="3C1852A6"/>
    <w:rsid w:val="3C315CBE"/>
    <w:rsid w:val="3C4165AB"/>
    <w:rsid w:val="3C5D28E5"/>
    <w:rsid w:val="3C6A7E17"/>
    <w:rsid w:val="3C6C6760"/>
    <w:rsid w:val="3C756255"/>
    <w:rsid w:val="3CD44DA5"/>
    <w:rsid w:val="3CD63197"/>
    <w:rsid w:val="3CF65E89"/>
    <w:rsid w:val="3D0A4BEF"/>
    <w:rsid w:val="3D102F07"/>
    <w:rsid w:val="3D1E5A66"/>
    <w:rsid w:val="3D393726"/>
    <w:rsid w:val="3D4621AD"/>
    <w:rsid w:val="3D625462"/>
    <w:rsid w:val="3D9A41C5"/>
    <w:rsid w:val="3DF81AC5"/>
    <w:rsid w:val="3E3F4D6C"/>
    <w:rsid w:val="3E4D1237"/>
    <w:rsid w:val="3E724089"/>
    <w:rsid w:val="3E8558DF"/>
    <w:rsid w:val="3E895FE7"/>
    <w:rsid w:val="3E8D1F7B"/>
    <w:rsid w:val="3E90381A"/>
    <w:rsid w:val="3EA07E8A"/>
    <w:rsid w:val="3EA8251B"/>
    <w:rsid w:val="3ED5122D"/>
    <w:rsid w:val="3F051B12"/>
    <w:rsid w:val="3F2226C4"/>
    <w:rsid w:val="3F4F5483"/>
    <w:rsid w:val="3F6211A5"/>
    <w:rsid w:val="3FA806EF"/>
    <w:rsid w:val="3FA92F6B"/>
    <w:rsid w:val="3FDB2873"/>
    <w:rsid w:val="402204A1"/>
    <w:rsid w:val="407D185C"/>
    <w:rsid w:val="40E4161B"/>
    <w:rsid w:val="40ED4F53"/>
    <w:rsid w:val="40EE684D"/>
    <w:rsid w:val="40FE4BEC"/>
    <w:rsid w:val="4101455B"/>
    <w:rsid w:val="410858E9"/>
    <w:rsid w:val="410F0A26"/>
    <w:rsid w:val="411617A1"/>
    <w:rsid w:val="411973B8"/>
    <w:rsid w:val="41232723"/>
    <w:rsid w:val="41434B73"/>
    <w:rsid w:val="41517290"/>
    <w:rsid w:val="415C79E3"/>
    <w:rsid w:val="41661A64"/>
    <w:rsid w:val="41DB2F33"/>
    <w:rsid w:val="42317B9D"/>
    <w:rsid w:val="423B4165"/>
    <w:rsid w:val="423E6961"/>
    <w:rsid w:val="42470693"/>
    <w:rsid w:val="42533766"/>
    <w:rsid w:val="425D35F1"/>
    <w:rsid w:val="4267663F"/>
    <w:rsid w:val="427D40B5"/>
    <w:rsid w:val="429338D8"/>
    <w:rsid w:val="42A7238E"/>
    <w:rsid w:val="43210EE4"/>
    <w:rsid w:val="434F7C91"/>
    <w:rsid w:val="435B22FC"/>
    <w:rsid w:val="437454B8"/>
    <w:rsid w:val="43796551"/>
    <w:rsid w:val="437B6F4A"/>
    <w:rsid w:val="443A225E"/>
    <w:rsid w:val="44463BE1"/>
    <w:rsid w:val="44724439"/>
    <w:rsid w:val="44C9538F"/>
    <w:rsid w:val="44CB5AB1"/>
    <w:rsid w:val="44DB2CE4"/>
    <w:rsid w:val="450760D6"/>
    <w:rsid w:val="453942C3"/>
    <w:rsid w:val="4541761C"/>
    <w:rsid w:val="4561381A"/>
    <w:rsid w:val="45E60753"/>
    <w:rsid w:val="463158E2"/>
    <w:rsid w:val="4637418B"/>
    <w:rsid w:val="463D3C64"/>
    <w:rsid w:val="46403E78"/>
    <w:rsid w:val="46BA67DF"/>
    <w:rsid w:val="46D74849"/>
    <w:rsid w:val="46E22739"/>
    <w:rsid w:val="46F35770"/>
    <w:rsid w:val="47086637"/>
    <w:rsid w:val="470A5B38"/>
    <w:rsid w:val="476D294A"/>
    <w:rsid w:val="477A5CCB"/>
    <w:rsid w:val="4798231F"/>
    <w:rsid w:val="47E51FEA"/>
    <w:rsid w:val="47F00216"/>
    <w:rsid w:val="482079BC"/>
    <w:rsid w:val="48254FD3"/>
    <w:rsid w:val="482A25E9"/>
    <w:rsid w:val="484B78FD"/>
    <w:rsid w:val="48961C1B"/>
    <w:rsid w:val="48B40105"/>
    <w:rsid w:val="48C20A74"/>
    <w:rsid w:val="48E607A0"/>
    <w:rsid w:val="492A25C8"/>
    <w:rsid w:val="495668FA"/>
    <w:rsid w:val="49723E41"/>
    <w:rsid w:val="49A87C69"/>
    <w:rsid w:val="49D7054F"/>
    <w:rsid w:val="49E1317B"/>
    <w:rsid w:val="49E669E4"/>
    <w:rsid w:val="4A2D3660"/>
    <w:rsid w:val="4A977AF4"/>
    <w:rsid w:val="4AD14F9E"/>
    <w:rsid w:val="4ADA474E"/>
    <w:rsid w:val="4B1F1002"/>
    <w:rsid w:val="4B282D9F"/>
    <w:rsid w:val="4B447E66"/>
    <w:rsid w:val="4B736055"/>
    <w:rsid w:val="4B826B7C"/>
    <w:rsid w:val="4B887D52"/>
    <w:rsid w:val="4BAC48C9"/>
    <w:rsid w:val="4BBC17AA"/>
    <w:rsid w:val="4C003D8D"/>
    <w:rsid w:val="4C213D03"/>
    <w:rsid w:val="4C3439FF"/>
    <w:rsid w:val="4C453E95"/>
    <w:rsid w:val="4C6E6C27"/>
    <w:rsid w:val="4C8C5620"/>
    <w:rsid w:val="4CBB5F06"/>
    <w:rsid w:val="4CCD782D"/>
    <w:rsid w:val="4CD46FC7"/>
    <w:rsid w:val="4D0C6761"/>
    <w:rsid w:val="4D1675E0"/>
    <w:rsid w:val="4D1D096E"/>
    <w:rsid w:val="4D20220D"/>
    <w:rsid w:val="4D2E0522"/>
    <w:rsid w:val="4D3161AB"/>
    <w:rsid w:val="4D6C111E"/>
    <w:rsid w:val="4D826A23"/>
    <w:rsid w:val="4DB02CC3"/>
    <w:rsid w:val="4DE66FB2"/>
    <w:rsid w:val="4E015B9A"/>
    <w:rsid w:val="4E3553A3"/>
    <w:rsid w:val="4E426100"/>
    <w:rsid w:val="4E4D5FC8"/>
    <w:rsid w:val="4E88341A"/>
    <w:rsid w:val="4E8D742E"/>
    <w:rsid w:val="4E962786"/>
    <w:rsid w:val="4EA50589"/>
    <w:rsid w:val="4F026BFE"/>
    <w:rsid w:val="4F181F1E"/>
    <w:rsid w:val="4FFA6DD9"/>
    <w:rsid w:val="502703E7"/>
    <w:rsid w:val="5039786D"/>
    <w:rsid w:val="50575F45"/>
    <w:rsid w:val="50AE7B0C"/>
    <w:rsid w:val="50E45AA3"/>
    <w:rsid w:val="51622F82"/>
    <w:rsid w:val="517741D8"/>
    <w:rsid w:val="517A1C84"/>
    <w:rsid w:val="51B55619"/>
    <w:rsid w:val="51C0710F"/>
    <w:rsid w:val="52151C14"/>
    <w:rsid w:val="523656C7"/>
    <w:rsid w:val="5255379E"/>
    <w:rsid w:val="52642B9B"/>
    <w:rsid w:val="528C391E"/>
    <w:rsid w:val="529F107F"/>
    <w:rsid w:val="52C40848"/>
    <w:rsid w:val="52E90D86"/>
    <w:rsid w:val="530F36A6"/>
    <w:rsid w:val="53310CD0"/>
    <w:rsid w:val="5345428B"/>
    <w:rsid w:val="537312E8"/>
    <w:rsid w:val="53980D4F"/>
    <w:rsid w:val="539A5C67"/>
    <w:rsid w:val="53E23CC7"/>
    <w:rsid w:val="53FE2C5D"/>
    <w:rsid w:val="541F2B3F"/>
    <w:rsid w:val="54493C55"/>
    <w:rsid w:val="54505185"/>
    <w:rsid w:val="546E1AAF"/>
    <w:rsid w:val="54992FD0"/>
    <w:rsid w:val="54BF4DCF"/>
    <w:rsid w:val="54C011D2"/>
    <w:rsid w:val="54E0475B"/>
    <w:rsid w:val="54E148E3"/>
    <w:rsid w:val="54FC530D"/>
    <w:rsid w:val="54FF6E2A"/>
    <w:rsid w:val="551E34D6"/>
    <w:rsid w:val="551E7032"/>
    <w:rsid w:val="5540021F"/>
    <w:rsid w:val="554C1DF1"/>
    <w:rsid w:val="5563713A"/>
    <w:rsid w:val="55DD0C9B"/>
    <w:rsid w:val="563C2632"/>
    <w:rsid w:val="564C0350"/>
    <w:rsid w:val="56A3365D"/>
    <w:rsid w:val="56CB4F97"/>
    <w:rsid w:val="56D46542"/>
    <w:rsid w:val="56F45634"/>
    <w:rsid w:val="571526B6"/>
    <w:rsid w:val="574C6007"/>
    <w:rsid w:val="57685710"/>
    <w:rsid w:val="57D21880"/>
    <w:rsid w:val="57D61E46"/>
    <w:rsid w:val="58450B79"/>
    <w:rsid w:val="58A861DF"/>
    <w:rsid w:val="58B32187"/>
    <w:rsid w:val="58B70CCC"/>
    <w:rsid w:val="58C93758"/>
    <w:rsid w:val="5934151A"/>
    <w:rsid w:val="593B4656"/>
    <w:rsid w:val="5954056B"/>
    <w:rsid w:val="596A0A97"/>
    <w:rsid w:val="59755B41"/>
    <w:rsid w:val="599313F5"/>
    <w:rsid w:val="599F63FC"/>
    <w:rsid w:val="59A0095D"/>
    <w:rsid w:val="59A73A9A"/>
    <w:rsid w:val="59AA79C7"/>
    <w:rsid w:val="59B33A5B"/>
    <w:rsid w:val="59CA34CB"/>
    <w:rsid w:val="59E6355E"/>
    <w:rsid w:val="59FA62BF"/>
    <w:rsid w:val="5A1137EC"/>
    <w:rsid w:val="5A170DB1"/>
    <w:rsid w:val="5A292701"/>
    <w:rsid w:val="5A7616BE"/>
    <w:rsid w:val="5A7A0667"/>
    <w:rsid w:val="5A7E49A3"/>
    <w:rsid w:val="5AB75F10"/>
    <w:rsid w:val="5B1F58B2"/>
    <w:rsid w:val="5B303F63"/>
    <w:rsid w:val="5B353327"/>
    <w:rsid w:val="5B486700"/>
    <w:rsid w:val="5B5F03A4"/>
    <w:rsid w:val="5B7B7882"/>
    <w:rsid w:val="5B905E0D"/>
    <w:rsid w:val="5BC546AB"/>
    <w:rsid w:val="5BC86A08"/>
    <w:rsid w:val="5BCF0331"/>
    <w:rsid w:val="5BCF1086"/>
    <w:rsid w:val="5BE34B31"/>
    <w:rsid w:val="5C1A56F9"/>
    <w:rsid w:val="5C205D85"/>
    <w:rsid w:val="5C471564"/>
    <w:rsid w:val="5CB26CC0"/>
    <w:rsid w:val="5CD728E8"/>
    <w:rsid w:val="5D0E745D"/>
    <w:rsid w:val="5D120035"/>
    <w:rsid w:val="5D691F20"/>
    <w:rsid w:val="5D972077"/>
    <w:rsid w:val="5DA54794"/>
    <w:rsid w:val="5DF34AE3"/>
    <w:rsid w:val="5DF9648A"/>
    <w:rsid w:val="5E0526A1"/>
    <w:rsid w:val="5E506ADF"/>
    <w:rsid w:val="5EA02011"/>
    <w:rsid w:val="5EA52572"/>
    <w:rsid w:val="5F230066"/>
    <w:rsid w:val="5F750ADC"/>
    <w:rsid w:val="5F9C3975"/>
    <w:rsid w:val="5FBF7663"/>
    <w:rsid w:val="5FD378E7"/>
    <w:rsid w:val="60003F04"/>
    <w:rsid w:val="60041889"/>
    <w:rsid w:val="6017124D"/>
    <w:rsid w:val="60567FC7"/>
    <w:rsid w:val="605F6017"/>
    <w:rsid w:val="60771CEC"/>
    <w:rsid w:val="60E01876"/>
    <w:rsid w:val="610616F7"/>
    <w:rsid w:val="61AA3C45"/>
    <w:rsid w:val="61B950B2"/>
    <w:rsid w:val="61ED55C6"/>
    <w:rsid w:val="61EE2D49"/>
    <w:rsid w:val="61F730E4"/>
    <w:rsid w:val="62481B92"/>
    <w:rsid w:val="629848C7"/>
    <w:rsid w:val="62C756EB"/>
    <w:rsid w:val="630A235D"/>
    <w:rsid w:val="632C14B3"/>
    <w:rsid w:val="634A21A8"/>
    <w:rsid w:val="63600598"/>
    <w:rsid w:val="63726167"/>
    <w:rsid w:val="63AF31D1"/>
    <w:rsid w:val="63C20EEC"/>
    <w:rsid w:val="63CA3324"/>
    <w:rsid w:val="6429154F"/>
    <w:rsid w:val="64436AB5"/>
    <w:rsid w:val="644A0760"/>
    <w:rsid w:val="647D6F42"/>
    <w:rsid w:val="64A97FA8"/>
    <w:rsid w:val="64DF4A2F"/>
    <w:rsid w:val="64FE5C59"/>
    <w:rsid w:val="65401246"/>
    <w:rsid w:val="655E1B6C"/>
    <w:rsid w:val="65AE7F5E"/>
    <w:rsid w:val="65CB4FB4"/>
    <w:rsid w:val="65E42087"/>
    <w:rsid w:val="661F2C7F"/>
    <w:rsid w:val="66560D21"/>
    <w:rsid w:val="66642BCD"/>
    <w:rsid w:val="66827388"/>
    <w:rsid w:val="668E5790"/>
    <w:rsid w:val="668F7D8F"/>
    <w:rsid w:val="66B5531C"/>
    <w:rsid w:val="66BC351E"/>
    <w:rsid w:val="66C94643"/>
    <w:rsid w:val="66E77BCB"/>
    <w:rsid w:val="66F57DCC"/>
    <w:rsid w:val="67B1542E"/>
    <w:rsid w:val="67FF0F45"/>
    <w:rsid w:val="6837248C"/>
    <w:rsid w:val="683A01CF"/>
    <w:rsid w:val="688D6550"/>
    <w:rsid w:val="68BE495C"/>
    <w:rsid w:val="68CF6B69"/>
    <w:rsid w:val="68D67EF7"/>
    <w:rsid w:val="68E75530"/>
    <w:rsid w:val="68F71C1C"/>
    <w:rsid w:val="68FB1AE6"/>
    <w:rsid w:val="68FE744E"/>
    <w:rsid w:val="690A6016"/>
    <w:rsid w:val="6933534A"/>
    <w:rsid w:val="69B701B8"/>
    <w:rsid w:val="69BB0E9B"/>
    <w:rsid w:val="6A042842"/>
    <w:rsid w:val="6A4A545B"/>
    <w:rsid w:val="6A8F6B5B"/>
    <w:rsid w:val="6AA656A7"/>
    <w:rsid w:val="6AD5702B"/>
    <w:rsid w:val="6B2566C4"/>
    <w:rsid w:val="6B510E99"/>
    <w:rsid w:val="6B5415A7"/>
    <w:rsid w:val="6B596BBE"/>
    <w:rsid w:val="6C613F7C"/>
    <w:rsid w:val="6C68355C"/>
    <w:rsid w:val="6CA34594"/>
    <w:rsid w:val="6CAE4CE7"/>
    <w:rsid w:val="6CB15338"/>
    <w:rsid w:val="6CD46F27"/>
    <w:rsid w:val="6CEE58BD"/>
    <w:rsid w:val="6D0112BB"/>
    <w:rsid w:val="6D125276"/>
    <w:rsid w:val="6D156B14"/>
    <w:rsid w:val="6D266F73"/>
    <w:rsid w:val="6D282F0D"/>
    <w:rsid w:val="6D392803"/>
    <w:rsid w:val="6D5058D6"/>
    <w:rsid w:val="6D633D24"/>
    <w:rsid w:val="6D6A5D1E"/>
    <w:rsid w:val="6D7535FD"/>
    <w:rsid w:val="6D7B1D62"/>
    <w:rsid w:val="6D930DF0"/>
    <w:rsid w:val="6DC75C60"/>
    <w:rsid w:val="6DEA7FA1"/>
    <w:rsid w:val="6E027D25"/>
    <w:rsid w:val="6E272FA3"/>
    <w:rsid w:val="6E3B07FD"/>
    <w:rsid w:val="6E4E6782"/>
    <w:rsid w:val="6E4F0007"/>
    <w:rsid w:val="6E6526AD"/>
    <w:rsid w:val="6E731D44"/>
    <w:rsid w:val="6E867CCA"/>
    <w:rsid w:val="6EBB7C0F"/>
    <w:rsid w:val="6ED529FF"/>
    <w:rsid w:val="6EDD18B4"/>
    <w:rsid w:val="6EEF50B6"/>
    <w:rsid w:val="6EF966EE"/>
    <w:rsid w:val="6EFF7A7C"/>
    <w:rsid w:val="6F2A2001"/>
    <w:rsid w:val="6FB1521A"/>
    <w:rsid w:val="6FDE5875"/>
    <w:rsid w:val="70142B8D"/>
    <w:rsid w:val="70345878"/>
    <w:rsid w:val="705F6A24"/>
    <w:rsid w:val="7071336D"/>
    <w:rsid w:val="70857D91"/>
    <w:rsid w:val="70981F36"/>
    <w:rsid w:val="70A02B99"/>
    <w:rsid w:val="70A91001"/>
    <w:rsid w:val="70B825D8"/>
    <w:rsid w:val="712467B8"/>
    <w:rsid w:val="71506009"/>
    <w:rsid w:val="717644D3"/>
    <w:rsid w:val="71CF1988"/>
    <w:rsid w:val="71E93B82"/>
    <w:rsid w:val="720F0614"/>
    <w:rsid w:val="721455EC"/>
    <w:rsid w:val="72426F0E"/>
    <w:rsid w:val="72596438"/>
    <w:rsid w:val="7278201F"/>
    <w:rsid w:val="7278653E"/>
    <w:rsid w:val="72BB04EE"/>
    <w:rsid w:val="72E06611"/>
    <w:rsid w:val="72EC6569"/>
    <w:rsid w:val="72FC49FE"/>
    <w:rsid w:val="73313BD5"/>
    <w:rsid w:val="73D613AB"/>
    <w:rsid w:val="74027121"/>
    <w:rsid w:val="744D4DE6"/>
    <w:rsid w:val="74B65081"/>
    <w:rsid w:val="750162FC"/>
    <w:rsid w:val="750F61BB"/>
    <w:rsid w:val="75362A98"/>
    <w:rsid w:val="753722BF"/>
    <w:rsid w:val="754D1541"/>
    <w:rsid w:val="756F6187"/>
    <w:rsid w:val="75784357"/>
    <w:rsid w:val="75B25848"/>
    <w:rsid w:val="75D30DB6"/>
    <w:rsid w:val="762F50EB"/>
    <w:rsid w:val="76524D63"/>
    <w:rsid w:val="76876745"/>
    <w:rsid w:val="76A809F9"/>
    <w:rsid w:val="76BC532F"/>
    <w:rsid w:val="76D90BB3"/>
    <w:rsid w:val="76E0475F"/>
    <w:rsid w:val="76F34B96"/>
    <w:rsid w:val="770060B3"/>
    <w:rsid w:val="7702635B"/>
    <w:rsid w:val="77057BFA"/>
    <w:rsid w:val="77275DC2"/>
    <w:rsid w:val="77431009"/>
    <w:rsid w:val="775A7F45"/>
    <w:rsid w:val="777728A5"/>
    <w:rsid w:val="77B11365"/>
    <w:rsid w:val="77BE38CD"/>
    <w:rsid w:val="77D10952"/>
    <w:rsid w:val="77D86C09"/>
    <w:rsid w:val="77FE4D75"/>
    <w:rsid w:val="78511537"/>
    <w:rsid w:val="786163AE"/>
    <w:rsid w:val="788039DC"/>
    <w:rsid w:val="78DF4BA6"/>
    <w:rsid w:val="792720A9"/>
    <w:rsid w:val="79B84D4E"/>
    <w:rsid w:val="79C318FE"/>
    <w:rsid w:val="79FA156C"/>
    <w:rsid w:val="7A232871"/>
    <w:rsid w:val="7A6B246A"/>
    <w:rsid w:val="7A7B6F27"/>
    <w:rsid w:val="7A831494"/>
    <w:rsid w:val="7A8E16FA"/>
    <w:rsid w:val="7ABB5863"/>
    <w:rsid w:val="7ABC10AC"/>
    <w:rsid w:val="7ACD5E95"/>
    <w:rsid w:val="7B086FEB"/>
    <w:rsid w:val="7B190E38"/>
    <w:rsid w:val="7B3776BF"/>
    <w:rsid w:val="7B4C7763"/>
    <w:rsid w:val="7B7535A0"/>
    <w:rsid w:val="7BA479E1"/>
    <w:rsid w:val="7BCC3BBF"/>
    <w:rsid w:val="7BD44F78"/>
    <w:rsid w:val="7BDA3403"/>
    <w:rsid w:val="7BE2675B"/>
    <w:rsid w:val="7C3D5BBC"/>
    <w:rsid w:val="7C70732D"/>
    <w:rsid w:val="7C7C48F4"/>
    <w:rsid w:val="7C92491A"/>
    <w:rsid w:val="7CAD7632"/>
    <w:rsid w:val="7CD6399C"/>
    <w:rsid w:val="7CD95616"/>
    <w:rsid w:val="7CDB5685"/>
    <w:rsid w:val="7D6A4C5A"/>
    <w:rsid w:val="7DC7626D"/>
    <w:rsid w:val="7DD32800"/>
    <w:rsid w:val="7DE927FB"/>
    <w:rsid w:val="7DEC38C1"/>
    <w:rsid w:val="7E0B0D0E"/>
    <w:rsid w:val="7E551467"/>
    <w:rsid w:val="7E8B30DA"/>
    <w:rsid w:val="7E9C7095"/>
    <w:rsid w:val="7EAA17B2"/>
    <w:rsid w:val="7ECF0354"/>
    <w:rsid w:val="7ED014F7"/>
    <w:rsid w:val="7F170D81"/>
    <w:rsid w:val="7F1F0EA3"/>
    <w:rsid w:val="7F9B5B0E"/>
    <w:rsid w:val="7FB36445"/>
    <w:rsid w:val="7FB421BD"/>
    <w:rsid w:val="7FC27C35"/>
    <w:rsid w:val="7FD05249"/>
    <w:rsid w:val="7FD75A4C"/>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3">
    <w:name w:val="heading 1"/>
    <w:basedOn w:val="1"/>
    <w:next w:val="1"/>
    <w:qFormat/>
    <w:uiPriority w:val="0"/>
    <w:pPr>
      <w:keepNext/>
      <w:keepLines/>
      <w:spacing w:line="576" w:lineRule="auto"/>
      <w:jc w:val="center"/>
      <w:outlineLvl w:val="0"/>
    </w:pPr>
    <w:rPr>
      <w:b/>
      <w:bCs/>
      <w:kern w:val="44"/>
      <w:sz w:val="30"/>
      <w:szCs w:val="44"/>
    </w:rPr>
  </w:style>
  <w:style w:type="paragraph" w:styleId="4">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42"/>
    <w:unhideWhenUsed/>
    <w:qFormat/>
    <w:uiPriority w:val="0"/>
    <w:pPr>
      <w:keepNext/>
      <w:keepLines/>
      <w:spacing w:line="413" w:lineRule="auto"/>
      <w:outlineLvl w:val="2"/>
    </w:pPr>
    <w:rPr>
      <w:rFonts w:hAnsi="宋体" w:eastAsia="宋体"/>
      <w:b/>
      <w:sz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List Number"/>
    <w:basedOn w:val="1"/>
    <w:qFormat/>
    <w:uiPriority w:val="0"/>
    <w:pPr>
      <w:numPr>
        <w:ilvl w:val="0"/>
        <w:numId w:val="1"/>
      </w:numPr>
    </w:pPr>
  </w:style>
  <w:style w:type="paragraph" w:styleId="7">
    <w:name w:val="Normal Indent"/>
    <w:basedOn w:val="1"/>
    <w:next w:val="8"/>
    <w:qFormat/>
    <w:uiPriority w:val="0"/>
    <w:pPr>
      <w:ind w:firstLine="420" w:firstLineChars="200"/>
    </w:pPr>
    <w:rPr>
      <w:rFonts w:ascii="Times New Roman" w:eastAsia="宋体"/>
      <w:sz w:val="24"/>
    </w:rPr>
  </w:style>
  <w:style w:type="paragraph" w:styleId="8">
    <w:name w:val="Body Text Indent"/>
    <w:basedOn w:val="1"/>
    <w:next w:val="1"/>
    <w:qFormat/>
    <w:uiPriority w:val="0"/>
    <w:pPr>
      <w:spacing w:after="120"/>
      <w:ind w:left="420" w:leftChars="200"/>
    </w:pPr>
    <w:rPr>
      <w:rFonts w:ascii="Times New Roman" w:eastAsia="宋体"/>
      <w:sz w:val="24"/>
    </w:rPr>
  </w:style>
  <w:style w:type="paragraph" w:styleId="9">
    <w:name w:val="caption"/>
    <w:basedOn w:val="1"/>
    <w:next w:val="1"/>
    <w:qFormat/>
    <w:uiPriority w:val="0"/>
    <w:pPr>
      <w:spacing w:before="152" w:after="160" w:line="360" w:lineRule="atLeast"/>
    </w:pPr>
    <w:rPr>
      <w:rFonts w:ascii="Arial" w:hAnsi="Arial" w:eastAsia="黑体" w:cs="Arial"/>
      <w:kern w:val="2"/>
      <w:sz w:val="20"/>
      <w:szCs w:val="20"/>
    </w:rPr>
  </w:style>
  <w:style w:type="paragraph" w:styleId="10">
    <w:name w:val="annotation text"/>
    <w:basedOn w:val="1"/>
    <w:qFormat/>
    <w:uiPriority w:val="0"/>
  </w:style>
  <w:style w:type="paragraph" w:styleId="11">
    <w:name w:val="Body Text"/>
    <w:basedOn w:val="1"/>
    <w:next w:val="1"/>
    <w:qFormat/>
    <w:uiPriority w:val="0"/>
    <w:pPr>
      <w:spacing w:after="120"/>
    </w:pPr>
    <w:rPr>
      <w:rFonts w:ascii="Times New Roman" w:eastAsia="宋体"/>
      <w:sz w:val="24"/>
    </w:rPr>
  </w:style>
  <w:style w:type="paragraph" w:styleId="12">
    <w:name w:val="Plain Text"/>
    <w:basedOn w:val="1"/>
    <w:next w:val="1"/>
    <w:qFormat/>
    <w:uiPriority w:val="0"/>
    <w:rPr>
      <w:rFonts w:ascii="Times New Roman" w:hAnsi="Courier New" w:eastAsia="宋体"/>
      <w:sz w:val="21"/>
    </w:rPr>
  </w:style>
  <w:style w:type="paragraph" w:styleId="13">
    <w:name w:val="toc 8"/>
    <w:basedOn w:val="1"/>
    <w:next w:val="1"/>
    <w:qFormat/>
    <w:uiPriority w:val="0"/>
    <w:pPr>
      <w:ind w:left="1680"/>
      <w:jc w:val="left"/>
    </w:pPr>
    <w:rPr>
      <w:rFonts w:ascii="Calibri"/>
      <w:sz w:val="18"/>
      <w:szCs w:val="18"/>
    </w:rPr>
  </w:style>
  <w:style w:type="paragraph" w:styleId="14">
    <w:name w:val="Date"/>
    <w:basedOn w:val="1"/>
    <w:next w:val="1"/>
    <w:qFormat/>
    <w:uiPriority w:val="0"/>
    <w:pPr>
      <w:ind w:left="100" w:leftChars="2500"/>
    </w:pPr>
    <w:rPr>
      <w:sz w:val="24"/>
    </w:rPr>
  </w:style>
  <w:style w:type="paragraph" w:styleId="15">
    <w:name w:val="Body Text Indent 2"/>
    <w:basedOn w:val="1"/>
    <w:qFormat/>
    <w:uiPriority w:val="0"/>
    <w:pPr>
      <w:spacing w:after="120" w:line="480" w:lineRule="auto"/>
      <w:ind w:left="420" w:leftChars="200"/>
    </w:pPr>
    <w:rPr>
      <w:rFonts w:ascii="Times New Roman" w:eastAsia="宋体"/>
      <w:sz w:val="24"/>
    </w:rPr>
  </w:style>
  <w:style w:type="paragraph" w:styleId="16">
    <w:name w:val="Balloon Text"/>
    <w:basedOn w:val="1"/>
    <w:next w:val="13"/>
    <w:qFormat/>
    <w:uiPriority w:val="0"/>
    <w:rPr>
      <w:sz w:val="18"/>
      <w:szCs w:val="18"/>
    </w:rPr>
  </w:style>
  <w:style w:type="paragraph" w:styleId="17">
    <w:name w:val="footer"/>
    <w:basedOn w:val="1"/>
    <w:qFormat/>
    <w:uiPriority w:val="0"/>
    <w:pPr>
      <w:tabs>
        <w:tab w:val="center" w:pos="4153"/>
        <w:tab w:val="right" w:pos="8306"/>
      </w:tabs>
      <w:snapToGrid w:val="0"/>
      <w:spacing w:line="240" w:lineRule="atLeast"/>
      <w:jc w:val="left"/>
    </w:pPr>
    <w:rPr>
      <w:rFonts w:ascii="Times New Roman" w:eastAsia="宋体"/>
      <w:sz w:val="18"/>
      <w:szCs w:val="18"/>
    </w:rPr>
  </w:style>
  <w:style w:type="paragraph" w:styleId="18">
    <w:name w:val="envelope return"/>
    <w:basedOn w:val="1"/>
    <w:unhideWhenUsed/>
    <w:qFormat/>
    <w:uiPriority w:val="99"/>
    <w:pPr>
      <w:snapToGrid w:val="0"/>
      <w:spacing w:line="280" w:lineRule="exact"/>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qFormat/>
    <w:uiPriority w:val="0"/>
    <w:pPr>
      <w:spacing w:before="120" w:after="120"/>
      <w:jc w:val="left"/>
    </w:pPr>
    <w:rPr>
      <w:rFonts w:ascii="Calibri" w:hAnsi="Calibri" w:eastAsia="宋体"/>
      <w:b/>
      <w:bCs/>
      <w:caps/>
      <w:szCs w:val="20"/>
    </w:rPr>
  </w:style>
  <w:style w:type="paragraph" w:styleId="21">
    <w:name w:val="toc 6"/>
    <w:basedOn w:val="1"/>
    <w:next w:val="1"/>
    <w:qFormat/>
    <w:uiPriority w:val="0"/>
    <w:pPr>
      <w:ind w:left="1050"/>
      <w:jc w:val="left"/>
    </w:pPr>
    <w:rPr>
      <w:rFonts w:ascii="Calibri" w:hAnsi="Calibri" w:cs="Calibri"/>
      <w:sz w:val="18"/>
      <w:szCs w:val="18"/>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sz w:val="24"/>
    </w:rPr>
  </w:style>
  <w:style w:type="paragraph" w:styleId="24">
    <w:name w:val="Title"/>
    <w:basedOn w:val="1"/>
    <w:next w:val="1"/>
    <w:qFormat/>
    <w:uiPriority w:val="0"/>
    <w:pPr>
      <w:spacing w:before="240" w:after="60"/>
      <w:jc w:val="center"/>
      <w:outlineLvl w:val="0"/>
    </w:pPr>
    <w:rPr>
      <w:rFonts w:ascii="Cambria" w:hAnsi="Cambria"/>
      <w:b/>
      <w:sz w:val="32"/>
    </w:rPr>
  </w:style>
  <w:style w:type="paragraph" w:styleId="25">
    <w:name w:val="Body Text First Indent"/>
    <w:basedOn w:val="11"/>
    <w:next w:val="1"/>
    <w:qFormat/>
    <w:uiPriority w:val="0"/>
    <w:pPr>
      <w:ind w:firstLine="420" w:firstLineChars="100"/>
    </w:pPr>
  </w:style>
  <w:style w:type="paragraph" w:styleId="26">
    <w:name w:val="Body Text First Indent 2"/>
    <w:basedOn w:val="8"/>
    <w:next w:val="1"/>
    <w:unhideWhenUsed/>
    <w:qFormat/>
    <w:uiPriority w:val="99"/>
    <w:pPr>
      <w:spacing w:line="240" w:lineRule="auto"/>
      <w:ind w:firstLine="420"/>
    </w:pPr>
    <w:rPr>
      <w:rFonts w:cs="宋体"/>
      <w:sz w:val="21"/>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eastAsia="华文楷体" w:cs="Times New Roman"/>
      <w:b/>
      <w:bCs/>
      <w:sz w:val="28"/>
    </w:rPr>
  </w:style>
  <w:style w:type="character" w:styleId="31">
    <w:name w:val="page number"/>
    <w:basedOn w:val="29"/>
    <w:qFormat/>
    <w:uiPriority w:val="0"/>
  </w:style>
  <w:style w:type="character" w:styleId="32">
    <w:name w:val="annotation reference"/>
    <w:basedOn w:val="29"/>
    <w:qFormat/>
    <w:uiPriority w:val="0"/>
    <w:rPr>
      <w:sz w:val="21"/>
      <w:szCs w:val="21"/>
    </w:rPr>
  </w:style>
  <w:style w:type="paragraph" w:customStyle="1" w:styleId="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表格文字"/>
    <w:basedOn w:val="1"/>
    <w:next w:val="11"/>
    <w:qFormat/>
    <w:uiPriority w:val="0"/>
    <w:pPr>
      <w:jc w:val="center"/>
    </w:pPr>
    <w:rPr>
      <w:sz w:val="24"/>
      <w:szCs w:val="20"/>
    </w:rPr>
  </w:style>
  <w:style w:type="paragraph" w:customStyle="1" w:styleId="35">
    <w:name w:val="普通正文"/>
    <w:basedOn w:val="1"/>
    <w:qFormat/>
    <w:uiPriority w:val="0"/>
    <w:pPr>
      <w:spacing w:before="120" w:after="120"/>
      <w:ind w:firstLine="480"/>
      <w:jc w:val="left"/>
    </w:pPr>
    <w:rPr>
      <w:rFonts w:ascii="Arial" w:hAnsi="Arial" w:eastAsia="宋体"/>
      <w:szCs w:val="24"/>
    </w:rPr>
  </w:style>
  <w:style w:type="paragraph" w:customStyle="1" w:styleId="36">
    <w:name w:val="正文1"/>
    <w:basedOn w:val="1"/>
    <w:qFormat/>
    <w:uiPriority w:val="0"/>
    <w:pPr>
      <w:spacing w:line="318" w:lineRule="atLeast"/>
      <w:ind w:left="369" w:firstLine="369"/>
    </w:pPr>
    <w:rPr>
      <w:rFonts w:eastAsia="宋体"/>
      <w:sz w:val="21"/>
      <w:szCs w:val="20"/>
    </w:rPr>
  </w:style>
  <w:style w:type="paragraph" w:customStyle="1" w:styleId="37">
    <w:name w:val="正文段"/>
    <w:basedOn w:val="1"/>
    <w:qFormat/>
    <w:uiPriority w:val="0"/>
    <w:pPr>
      <w:widowControl/>
      <w:adjustRightInd/>
      <w:snapToGrid w:val="0"/>
      <w:spacing w:afterLines="50" w:line="240" w:lineRule="auto"/>
      <w:ind w:firstLine="200" w:firstLineChars="200"/>
      <w:textAlignment w:val="auto"/>
    </w:pPr>
    <w:rPr>
      <w:rFonts w:ascii="Times New Roman" w:eastAsia="宋体"/>
      <w:sz w:val="24"/>
      <w:szCs w:val="20"/>
    </w:rPr>
  </w:style>
  <w:style w:type="paragraph" w:customStyle="1" w:styleId="38">
    <w:name w:val="正文空2格  1."/>
    <w:basedOn w:val="1"/>
    <w:qFormat/>
    <w:uiPriority w:val="0"/>
    <w:pPr>
      <w:ind w:firstLine="480" w:firstLineChars="200"/>
    </w:pPr>
    <w:rPr>
      <w:rFonts w:ascii="Times New Roman" w:eastAsia="宋体" w:cs="宋体"/>
      <w:szCs w:val="20"/>
    </w:rPr>
  </w:style>
  <w:style w:type="paragraph" w:customStyle="1" w:styleId="39">
    <w:name w:val="列出段落1"/>
    <w:basedOn w:val="1"/>
    <w:qFormat/>
    <w:uiPriority w:val="0"/>
    <w:pPr>
      <w:ind w:firstLine="420" w:firstLineChars="200"/>
    </w:pPr>
    <w:rPr>
      <w:rFonts w:ascii="Times New Roman" w:eastAsia="宋体"/>
    </w:rPr>
  </w:style>
  <w:style w:type="paragraph" w:customStyle="1" w:styleId="40">
    <w:name w:val="Table Paragraph"/>
    <w:basedOn w:val="1"/>
    <w:qFormat/>
    <w:uiPriority w:val="1"/>
    <w:rPr>
      <w:rFonts w:hAnsi="宋体" w:eastAsia="宋体" w:cs="宋体"/>
      <w:lang w:val="zh-CN" w:bidi="zh-CN"/>
    </w:rPr>
  </w:style>
  <w:style w:type="paragraph" w:customStyle="1" w:styleId="4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2">
    <w:name w:val="标题 3 Char"/>
    <w:link w:val="5"/>
    <w:qFormat/>
    <w:uiPriority w:val="0"/>
    <w:rPr>
      <w:rFonts w:ascii="宋体" w:hAnsi="宋体" w:eastAsia="宋体"/>
      <w:b/>
      <w:sz w:val="32"/>
    </w:rPr>
  </w:style>
  <w:style w:type="paragraph" w:customStyle="1" w:styleId="43">
    <w:name w:val="WPSOffice手动目录 1"/>
    <w:qFormat/>
    <w:uiPriority w:val="0"/>
    <w:rPr>
      <w:rFonts w:asciiTheme="minorHAnsi" w:hAnsiTheme="minorHAnsi" w:eastAsiaTheme="minorEastAsia" w:cstheme="minorBidi"/>
      <w:lang w:val="en-US" w:eastAsia="zh-CN" w:bidi="ar-SA"/>
    </w:rPr>
  </w:style>
  <w:style w:type="paragraph" w:customStyle="1" w:styleId="4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纯文本1"/>
    <w:basedOn w:val="1"/>
    <w:qFormat/>
    <w:uiPriority w:val="0"/>
    <w:rPr>
      <w:rFonts w:hAnsi="Courier New"/>
    </w:rPr>
  </w:style>
  <w:style w:type="paragraph" w:customStyle="1" w:styleId="46">
    <w:name w:val="普通(网站)1"/>
    <w:basedOn w:val="1"/>
    <w:qFormat/>
    <w:uiPriority w:val="0"/>
    <w:rPr>
      <w:rFonts w:hAnsi="Calibri"/>
      <w:szCs w:val="24"/>
    </w:rPr>
  </w:style>
  <w:style w:type="paragraph" w:customStyle="1" w:styleId="47">
    <w:name w:val="正文11"/>
    <w:basedOn w:val="1"/>
    <w:qFormat/>
    <w:uiPriority w:val="0"/>
    <w:pPr>
      <w:widowControl/>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30168</Words>
  <Characters>31605</Characters>
  <Lines>244</Lines>
  <Paragraphs>68</Paragraphs>
  <TotalTime>32</TotalTime>
  <ScaleCrop>false</ScaleCrop>
  <LinksUpToDate>false</LinksUpToDate>
  <CharactersWithSpaces>32661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2024-06-21T03:44:00Z</dcterms:created>
  <dc:creator>YY</dc:creator>
  <cp:lastModifiedBy>M(*^o^*)</cp:lastModifiedBy>
  <cp:lastPrinted>2024-06-25T01:58:00Z</cp:lastPrinted>
  <dcterms:modified xsi:type="dcterms:W3CDTF">2024-06-26T09:07:07Z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EB59A0A5DC3946678BEFA011AEA5B82B_13</vt:lpwstr>
  </property>
</Properties>
</file>