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764DA">
      <w:pPr>
        <w:wordWrap w:val="0"/>
        <w:jc w:val="right"/>
        <w:rPr>
          <w:color w:val="auto"/>
          <w:sz w:val="28"/>
          <w:highlight w:val="none"/>
        </w:rPr>
      </w:pPr>
    </w:p>
    <w:p w14:paraId="614CBEB0">
      <w:pPr>
        <w:jc w:val="right"/>
        <w:rPr>
          <w:color w:val="auto"/>
          <w:sz w:val="28"/>
          <w:highlight w:val="none"/>
        </w:rPr>
      </w:pPr>
    </w:p>
    <w:p w14:paraId="277F0C8B">
      <w:pPr>
        <w:spacing w:after="120"/>
        <w:jc w:val="center"/>
        <w:rPr>
          <w:b/>
          <w:color w:val="auto"/>
          <w:sz w:val="52"/>
          <w:szCs w:val="52"/>
          <w:highlight w:val="none"/>
        </w:rPr>
      </w:pPr>
      <w:r>
        <w:rPr>
          <w:b/>
          <w:color w:val="auto"/>
          <w:sz w:val="52"/>
          <w:szCs w:val="52"/>
          <w:highlight w:val="none"/>
        </w:rPr>
        <w:t>政府采购项目</w:t>
      </w:r>
    </w:p>
    <w:p w14:paraId="38DE786D">
      <w:pPr>
        <w:spacing w:after="120"/>
        <w:jc w:val="center"/>
        <w:rPr>
          <w:b/>
          <w:color w:val="auto"/>
          <w:sz w:val="72"/>
          <w:highlight w:val="none"/>
        </w:rPr>
      </w:pPr>
      <w:r>
        <w:rPr>
          <w:b/>
          <w:color w:val="auto"/>
          <w:sz w:val="72"/>
          <w:highlight w:val="none"/>
        </w:rPr>
        <w:t>国内</w:t>
      </w:r>
      <w:r>
        <w:rPr>
          <w:rFonts w:hint="eastAsia"/>
          <w:b/>
          <w:color w:val="auto"/>
          <w:sz w:val="72"/>
          <w:highlight w:val="none"/>
        </w:rPr>
        <w:t>公开</w:t>
      </w:r>
      <w:r>
        <w:rPr>
          <w:b/>
          <w:color w:val="auto"/>
          <w:sz w:val="72"/>
          <w:highlight w:val="none"/>
        </w:rPr>
        <w:t>招标文件</w:t>
      </w:r>
    </w:p>
    <w:p w14:paraId="7DE3D4CE">
      <w:pPr>
        <w:jc w:val="center"/>
        <w:rPr>
          <w:bCs/>
          <w:color w:val="auto"/>
          <w:sz w:val="44"/>
          <w:szCs w:val="44"/>
          <w:highlight w:val="none"/>
        </w:rPr>
      </w:pPr>
      <w:r>
        <w:rPr>
          <w:rFonts w:hint="eastAsia"/>
          <w:bCs/>
          <w:color w:val="auto"/>
          <w:sz w:val="44"/>
          <w:szCs w:val="44"/>
          <w:highlight w:val="none"/>
        </w:rPr>
        <w:t>（电子招投标版本）</w:t>
      </w:r>
    </w:p>
    <w:p w14:paraId="793F39CA">
      <w:pPr>
        <w:jc w:val="center"/>
        <w:rPr>
          <w:color w:val="auto"/>
          <w:sz w:val="28"/>
          <w:highlight w:val="none"/>
        </w:rPr>
      </w:pPr>
    </w:p>
    <w:p w14:paraId="1F1B5E57">
      <w:pPr>
        <w:jc w:val="center"/>
        <w:rPr>
          <w:color w:val="auto"/>
          <w:sz w:val="28"/>
          <w:highlight w:val="none"/>
        </w:rPr>
      </w:pPr>
    </w:p>
    <w:p w14:paraId="229D4D91">
      <w:pPr>
        <w:jc w:val="center"/>
        <w:rPr>
          <w:color w:val="auto"/>
          <w:sz w:val="28"/>
          <w:highlight w:val="none"/>
        </w:rPr>
      </w:pPr>
    </w:p>
    <w:tbl>
      <w:tblPr>
        <w:tblStyle w:val="32"/>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7730"/>
      </w:tblGrid>
      <w:tr w14:paraId="3264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33BDD688">
            <w:pPr>
              <w:spacing w:line="520" w:lineRule="exact"/>
              <w:ind w:right="-216"/>
              <w:jc w:val="center"/>
              <w:rPr>
                <w:b/>
                <w:color w:val="auto"/>
                <w:sz w:val="32"/>
                <w:szCs w:val="32"/>
                <w:highlight w:val="none"/>
              </w:rPr>
            </w:pPr>
            <w:r>
              <w:rPr>
                <w:rFonts w:hint="eastAsia"/>
                <w:b/>
                <w:color w:val="auto"/>
                <w:sz w:val="32"/>
                <w:szCs w:val="32"/>
                <w:highlight w:val="none"/>
              </w:rPr>
              <w:t>项目编号：</w:t>
            </w:r>
          </w:p>
        </w:tc>
        <w:tc>
          <w:tcPr>
            <w:tcW w:w="7730" w:type="dxa"/>
            <w:tcBorders>
              <w:top w:val="nil"/>
              <w:left w:val="nil"/>
              <w:bottom w:val="single" w:color="auto" w:sz="4" w:space="0"/>
              <w:right w:val="nil"/>
            </w:tcBorders>
            <w:vAlign w:val="center"/>
          </w:tcPr>
          <w:p w14:paraId="62629120">
            <w:pPr>
              <w:spacing w:line="560" w:lineRule="exact"/>
              <w:jc w:val="center"/>
              <w:rPr>
                <w:rFonts w:hint="eastAsia"/>
                <w:b/>
                <w:color w:val="auto"/>
                <w:sz w:val="32"/>
                <w:szCs w:val="32"/>
                <w:highlight w:val="none"/>
                <w:lang w:eastAsia="zh-CN"/>
              </w:rPr>
            </w:pPr>
            <w:r>
              <w:rPr>
                <w:rFonts w:hint="eastAsia"/>
                <w:b/>
                <w:color w:val="auto"/>
                <w:sz w:val="32"/>
                <w:szCs w:val="32"/>
                <w:highlight w:val="none"/>
              </w:rPr>
              <w:t>NBXY-2024-009</w:t>
            </w:r>
          </w:p>
        </w:tc>
      </w:tr>
      <w:tr w14:paraId="78E2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26BCE262">
            <w:pPr>
              <w:spacing w:line="520" w:lineRule="exact"/>
              <w:ind w:right="-216"/>
              <w:jc w:val="center"/>
              <w:rPr>
                <w:b/>
                <w:color w:val="auto"/>
                <w:sz w:val="32"/>
                <w:szCs w:val="32"/>
                <w:highlight w:val="none"/>
              </w:rPr>
            </w:pPr>
            <w:r>
              <w:rPr>
                <w:rFonts w:hint="eastAsia"/>
                <w:b/>
                <w:color w:val="auto"/>
                <w:sz w:val="32"/>
                <w:szCs w:val="32"/>
                <w:highlight w:val="none"/>
              </w:rPr>
              <w:t>项目名称：</w:t>
            </w:r>
          </w:p>
        </w:tc>
        <w:tc>
          <w:tcPr>
            <w:tcW w:w="7730" w:type="dxa"/>
            <w:tcBorders>
              <w:top w:val="single" w:color="auto" w:sz="4" w:space="0"/>
              <w:left w:val="nil"/>
              <w:bottom w:val="single" w:color="auto" w:sz="4" w:space="0"/>
              <w:right w:val="nil"/>
            </w:tcBorders>
            <w:vAlign w:val="center"/>
          </w:tcPr>
          <w:p w14:paraId="26C4766A">
            <w:pPr>
              <w:spacing w:line="560" w:lineRule="exact"/>
              <w:jc w:val="center"/>
              <w:rPr>
                <w:rFonts w:hint="eastAsia"/>
                <w:b/>
                <w:color w:val="auto"/>
                <w:sz w:val="32"/>
                <w:szCs w:val="32"/>
                <w:highlight w:val="none"/>
                <w:lang w:eastAsia="zh-CN"/>
              </w:rPr>
            </w:pPr>
            <w:r>
              <w:rPr>
                <w:rFonts w:hint="eastAsia"/>
                <w:b/>
                <w:color w:val="auto"/>
                <w:sz w:val="32"/>
                <w:szCs w:val="32"/>
                <w:highlight w:val="none"/>
              </w:rPr>
              <w:t>金源路汽车公园及东港紧固件北侧地块运营服务</w:t>
            </w:r>
          </w:p>
        </w:tc>
      </w:tr>
      <w:tr w14:paraId="11AE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26634B73">
            <w:pPr>
              <w:spacing w:line="520" w:lineRule="exact"/>
              <w:ind w:right="-216"/>
              <w:jc w:val="center"/>
              <w:rPr>
                <w:b/>
                <w:color w:val="auto"/>
                <w:sz w:val="32"/>
                <w:szCs w:val="32"/>
                <w:highlight w:val="none"/>
              </w:rPr>
            </w:pPr>
            <w:r>
              <w:rPr>
                <w:rFonts w:hint="eastAsia"/>
                <w:b/>
                <w:color w:val="auto"/>
                <w:sz w:val="32"/>
                <w:szCs w:val="32"/>
                <w:highlight w:val="none"/>
              </w:rPr>
              <w:t>采 购 人：</w:t>
            </w:r>
          </w:p>
        </w:tc>
        <w:tc>
          <w:tcPr>
            <w:tcW w:w="7730" w:type="dxa"/>
            <w:tcBorders>
              <w:top w:val="single" w:color="auto" w:sz="4" w:space="0"/>
              <w:left w:val="nil"/>
              <w:bottom w:val="single" w:color="auto" w:sz="4" w:space="0"/>
              <w:right w:val="nil"/>
            </w:tcBorders>
            <w:vAlign w:val="center"/>
          </w:tcPr>
          <w:p w14:paraId="081F3F1A">
            <w:pPr>
              <w:spacing w:line="560" w:lineRule="exact"/>
              <w:jc w:val="center"/>
              <w:rPr>
                <w:b/>
                <w:color w:val="auto"/>
                <w:sz w:val="32"/>
                <w:szCs w:val="32"/>
                <w:highlight w:val="none"/>
              </w:rPr>
            </w:pPr>
            <w:r>
              <w:rPr>
                <w:rFonts w:hint="eastAsia"/>
                <w:b/>
                <w:color w:val="auto"/>
                <w:sz w:val="32"/>
                <w:szCs w:val="32"/>
                <w:highlight w:val="none"/>
              </w:rPr>
              <w:t>宁波市鄞州区人民政府潘火街道办事处（盖章）</w:t>
            </w:r>
          </w:p>
        </w:tc>
      </w:tr>
      <w:tr w14:paraId="44BB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90" w:type="dxa"/>
            <w:tcBorders>
              <w:top w:val="nil"/>
              <w:left w:val="nil"/>
              <w:bottom w:val="nil"/>
              <w:right w:val="nil"/>
            </w:tcBorders>
            <w:vAlign w:val="center"/>
          </w:tcPr>
          <w:p w14:paraId="1CC2BFB9">
            <w:pPr>
              <w:spacing w:line="520" w:lineRule="exact"/>
              <w:ind w:right="-216"/>
              <w:jc w:val="center"/>
              <w:rPr>
                <w:b/>
                <w:color w:val="auto"/>
                <w:sz w:val="32"/>
                <w:szCs w:val="32"/>
                <w:highlight w:val="none"/>
              </w:rPr>
            </w:pPr>
            <w:r>
              <w:rPr>
                <w:rFonts w:hint="eastAsia"/>
                <w:b/>
                <w:color w:val="auto"/>
                <w:sz w:val="32"/>
                <w:szCs w:val="32"/>
                <w:highlight w:val="none"/>
              </w:rPr>
              <w:t>采购代理：</w:t>
            </w:r>
          </w:p>
        </w:tc>
        <w:tc>
          <w:tcPr>
            <w:tcW w:w="7730" w:type="dxa"/>
            <w:tcBorders>
              <w:top w:val="single" w:color="auto" w:sz="4" w:space="0"/>
              <w:left w:val="nil"/>
              <w:bottom w:val="single" w:color="auto" w:sz="4" w:space="0"/>
              <w:right w:val="nil"/>
            </w:tcBorders>
            <w:vAlign w:val="center"/>
          </w:tcPr>
          <w:p w14:paraId="3C6585BF">
            <w:pPr>
              <w:spacing w:line="560" w:lineRule="exact"/>
              <w:jc w:val="center"/>
              <w:rPr>
                <w:b/>
                <w:color w:val="auto"/>
                <w:sz w:val="32"/>
                <w:szCs w:val="32"/>
                <w:highlight w:val="none"/>
              </w:rPr>
            </w:pPr>
            <w:r>
              <w:rPr>
                <w:rFonts w:hint="eastAsia"/>
                <w:b/>
                <w:color w:val="auto"/>
                <w:sz w:val="32"/>
                <w:szCs w:val="32"/>
                <w:highlight w:val="none"/>
              </w:rPr>
              <w:t>宁波星益工程项目管理咨询有限公司（盖章）</w:t>
            </w:r>
          </w:p>
        </w:tc>
      </w:tr>
    </w:tbl>
    <w:p w14:paraId="536DA027">
      <w:pPr>
        <w:rPr>
          <w:b/>
          <w:color w:val="auto"/>
          <w:highlight w:val="none"/>
        </w:rPr>
      </w:pPr>
    </w:p>
    <w:p w14:paraId="7EC1D8A8">
      <w:pPr>
        <w:rPr>
          <w:b/>
          <w:color w:val="auto"/>
          <w:highlight w:val="none"/>
        </w:rPr>
      </w:pPr>
    </w:p>
    <w:p w14:paraId="6580C443">
      <w:pPr>
        <w:rPr>
          <w:b/>
          <w:color w:val="auto"/>
          <w:highlight w:val="none"/>
        </w:rPr>
      </w:pPr>
    </w:p>
    <w:p w14:paraId="69C33AD3">
      <w:pPr>
        <w:rPr>
          <w:b/>
          <w:color w:val="auto"/>
          <w:highlight w:val="none"/>
        </w:rPr>
      </w:pPr>
    </w:p>
    <w:p w14:paraId="5E0C72B8">
      <w:pPr>
        <w:pStyle w:val="15"/>
        <w:rPr>
          <w:color w:val="auto"/>
          <w:highlight w:val="none"/>
        </w:rPr>
      </w:pPr>
    </w:p>
    <w:p w14:paraId="30F368F8">
      <w:pPr>
        <w:rPr>
          <w:b/>
          <w:color w:val="auto"/>
          <w:highlight w:val="none"/>
        </w:rPr>
      </w:pPr>
    </w:p>
    <w:p w14:paraId="200FEB04">
      <w:pPr>
        <w:rPr>
          <w:b/>
          <w:color w:val="auto"/>
          <w:highlight w:val="none"/>
        </w:rPr>
      </w:pPr>
    </w:p>
    <w:p w14:paraId="2563465E">
      <w:pPr>
        <w:rPr>
          <w:b/>
          <w:color w:val="auto"/>
          <w:highlight w:val="none"/>
        </w:rPr>
      </w:pPr>
    </w:p>
    <w:p w14:paraId="38B68963">
      <w:pPr>
        <w:rPr>
          <w:b/>
          <w:color w:val="auto"/>
          <w:highlight w:val="none"/>
        </w:rPr>
      </w:pPr>
    </w:p>
    <w:p w14:paraId="245B5E07">
      <w:pPr>
        <w:rPr>
          <w:b/>
          <w:color w:val="auto"/>
          <w:highlight w:val="none"/>
        </w:rPr>
      </w:pPr>
    </w:p>
    <w:p w14:paraId="78EF4552">
      <w:pPr>
        <w:spacing w:line="480" w:lineRule="auto"/>
        <w:jc w:val="center"/>
        <w:rPr>
          <w:color w:val="auto"/>
          <w:sz w:val="44"/>
          <w:highlight w:val="none"/>
        </w:rPr>
        <w:sectPr>
          <w:footerReference r:id="rId4" w:type="first"/>
          <w:footerReference r:id="rId3" w:type="default"/>
          <w:pgSz w:w="11907" w:h="16840"/>
          <w:pgMar w:top="1417" w:right="1417" w:bottom="1417" w:left="141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color w:val="auto"/>
          <w:sz w:val="36"/>
          <w:szCs w:val="16"/>
          <w:highlight w:val="none"/>
        </w:rPr>
        <w:t>二○二</w:t>
      </w:r>
      <w:r>
        <w:rPr>
          <w:rFonts w:hint="eastAsia"/>
          <w:color w:val="auto"/>
          <w:sz w:val="36"/>
          <w:szCs w:val="16"/>
          <w:highlight w:val="none"/>
          <w:lang w:val="en-US" w:eastAsia="zh-CN"/>
        </w:rPr>
        <w:t>四</w:t>
      </w:r>
      <w:r>
        <w:rPr>
          <w:rFonts w:hint="eastAsia"/>
          <w:color w:val="auto"/>
          <w:sz w:val="36"/>
          <w:szCs w:val="16"/>
          <w:highlight w:val="none"/>
        </w:rPr>
        <w:t>年</w:t>
      </w:r>
      <w:r>
        <w:rPr>
          <w:rFonts w:hint="eastAsia"/>
          <w:color w:val="auto"/>
          <w:sz w:val="36"/>
          <w:szCs w:val="16"/>
          <w:highlight w:val="none"/>
          <w:lang w:val="en-US" w:eastAsia="zh-CN"/>
        </w:rPr>
        <w:t>八</w:t>
      </w:r>
      <w:r>
        <w:rPr>
          <w:rFonts w:hint="eastAsia"/>
          <w:color w:val="auto"/>
          <w:sz w:val="36"/>
          <w:szCs w:val="16"/>
          <w:highlight w:val="none"/>
        </w:rPr>
        <w:t>月</w:t>
      </w:r>
    </w:p>
    <w:p w14:paraId="00B42095">
      <w:pPr>
        <w:spacing w:line="480" w:lineRule="auto"/>
        <w:jc w:val="center"/>
        <w:rPr>
          <w:b/>
          <w:color w:val="auto"/>
          <w:sz w:val="44"/>
          <w:highlight w:val="none"/>
        </w:rPr>
      </w:pPr>
      <w:r>
        <w:rPr>
          <w:b/>
          <w:color w:val="auto"/>
          <w:sz w:val="44"/>
          <w:highlight w:val="none"/>
        </w:rPr>
        <w:t>目    录</w:t>
      </w:r>
    </w:p>
    <w:p w14:paraId="6826F744">
      <w:pPr>
        <w:spacing w:line="440" w:lineRule="exact"/>
        <w:rPr>
          <w:color w:val="auto"/>
          <w:sz w:val="28"/>
          <w:highlight w:val="none"/>
        </w:rPr>
      </w:pPr>
      <w:r>
        <w:rPr>
          <w:color w:val="auto"/>
          <w:sz w:val="28"/>
          <w:highlight w:val="none"/>
        </w:rPr>
        <w:t>第</w:t>
      </w:r>
      <w:r>
        <w:rPr>
          <w:rFonts w:hint="eastAsia"/>
          <w:color w:val="auto"/>
          <w:sz w:val="28"/>
          <w:highlight w:val="none"/>
        </w:rPr>
        <w:t>一</w:t>
      </w:r>
      <w:r>
        <w:rPr>
          <w:color w:val="auto"/>
          <w:sz w:val="28"/>
          <w:highlight w:val="none"/>
        </w:rPr>
        <w:t xml:space="preserve">部分     </w:t>
      </w:r>
      <w:r>
        <w:rPr>
          <w:rFonts w:hint="eastAsia"/>
          <w:color w:val="auto"/>
          <w:sz w:val="28"/>
          <w:highlight w:val="none"/>
        </w:rPr>
        <w:t>招标公告</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1</w:t>
      </w:r>
    </w:p>
    <w:p w14:paraId="1C5AD3FD">
      <w:pPr>
        <w:spacing w:line="440" w:lineRule="exact"/>
        <w:rPr>
          <w:color w:val="auto"/>
          <w:sz w:val="28"/>
          <w:highlight w:val="none"/>
        </w:rPr>
      </w:pPr>
      <w:r>
        <w:rPr>
          <w:color w:val="auto"/>
          <w:sz w:val="28"/>
          <w:highlight w:val="none"/>
        </w:rPr>
        <w:t>第</w:t>
      </w:r>
      <w:r>
        <w:rPr>
          <w:rFonts w:hint="eastAsia"/>
          <w:color w:val="auto"/>
          <w:sz w:val="28"/>
          <w:highlight w:val="none"/>
        </w:rPr>
        <w:t>二</w:t>
      </w:r>
      <w:r>
        <w:rPr>
          <w:color w:val="auto"/>
          <w:sz w:val="28"/>
          <w:highlight w:val="none"/>
        </w:rPr>
        <w:t xml:space="preserve">部分     </w:t>
      </w:r>
      <w:r>
        <w:rPr>
          <w:rFonts w:hint="eastAsia"/>
          <w:color w:val="auto"/>
          <w:sz w:val="28"/>
          <w:highlight w:val="none"/>
        </w:rPr>
        <w:t>投标人须知及前附表</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5</w:t>
      </w:r>
    </w:p>
    <w:p w14:paraId="08C6F605">
      <w:pPr>
        <w:tabs>
          <w:tab w:val="left" w:pos="7980"/>
        </w:tabs>
        <w:spacing w:line="440" w:lineRule="exact"/>
        <w:rPr>
          <w:color w:val="auto"/>
          <w:sz w:val="28"/>
          <w:highlight w:val="none"/>
        </w:rPr>
      </w:pPr>
      <w:r>
        <w:rPr>
          <w:color w:val="auto"/>
          <w:sz w:val="28"/>
          <w:highlight w:val="none"/>
        </w:rPr>
        <w:t>第</w:t>
      </w:r>
      <w:r>
        <w:rPr>
          <w:rFonts w:hint="eastAsia"/>
          <w:color w:val="auto"/>
          <w:sz w:val="28"/>
          <w:highlight w:val="none"/>
        </w:rPr>
        <w:t>三</w:t>
      </w:r>
      <w:r>
        <w:rPr>
          <w:color w:val="auto"/>
          <w:sz w:val="28"/>
          <w:highlight w:val="none"/>
        </w:rPr>
        <w:t>部分     评标</w:t>
      </w:r>
      <w:r>
        <w:rPr>
          <w:rFonts w:hint="eastAsia"/>
          <w:color w:val="auto"/>
          <w:sz w:val="28"/>
          <w:highlight w:val="none"/>
        </w:rPr>
        <w:t>标准</w:t>
      </w:r>
      <w:r>
        <w:rPr>
          <w:color w:val="auto"/>
          <w:sz w:val="28"/>
          <w:highlight w:val="none"/>
        </w:rPr>
        <w:t>………………</w:t>
      </w:r>
      <w:r>
        <w:rPr>
          <w:rFonts w:hint="eastAsia"/>
          <w:color w:val="auto"/>
          <w:sz w:val="28"/>
          <w:highlight w:val="none"/>
        </w:rPr>
        <w:t>............................................14</w:t>
      </w:r>
    </w:p>
    <w:p w14:paraId="6C0386EE">
      <w:pPr>
        <w:tabs>
          <w:tab w:val="left" w:pos="7980"/>
        </w:tabs>
        <w:spacing w:line="440" w:lineRule="exact"/>
        <w:rPr>
          <w:rFonts w:hint="default" w:eastAsia="宋体"/>
          <w:color w:val="auto"/>
          <w:sz w:val="28"/>
          <w:highlight w:val="none"/>
          <w:lang w:val="en-US" w:eastAsia="zh-CN"/>
        </w:rPr>
      </w:pPr>
      <w:r>
        <w:rPr>
          <w:color w:val="auto"/>
          <w:sz w:val="28"/>
          <w:highlight w:val="none"/>
        </w:rPr>
        <w:t>第</w:t>
      </w:r>
      <w:r>
        <w:rPr>
          <w:rFonts w:hint="eastAsia"/>
          <w:color w:val="auto"/>
          <w:sz w:val="28"/>
          <w:highlight w:val="none"/>
        </w:rPr>
        <w:t>四</w:t>
      </w:r>
      <w:r>
        <w:rPr>
          <w:color w:val="auto"/>
          <w:sz w:val="28"/>
          <w:highlight w:val="none"/>
        </w:rPr>
        <w:t xml:space="preserve">部分     </w:t>
      </w:r>
      <w:r>
        <w:rPr>
          <w:rFonts w:hint="eastAsia"/>
          <w:color w:val="auto"/>
          <w:sz w:val="28"/>
          <w:highlight w:val="none"/>
          <w:lang w:val="en-US" w:eastAsia="zh-CN"/>
        </w:rPr>
        <w:t>采购需</w:t>
      </w:r>
      <w:r>
        <w:rPr>
          <w:rFonts w:hint="eastAsia"/>
          <w:color w:val="auto"/>
          <w:sz w:val="28"/>
          <w:highlight w:val="none"/>
        </w:rPr>
        <w:t>求</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rPr>
        <w:t>..................</w:t>
      </w:r>
      <w:r>
        <w:rPr>
          <w:rFonts w:hint="eastAsia"/>
          <w:color w:val="auto"/>
          <w:sz w:val="28"/>
          <w:highlight w:val="none"/>
          <w:lang w:val="en-US" w:eastAsia="zh-CN"/>
        </w:rPr>
        <w:t>20</w:t>
      </w:r>
    </w:p>
    <w:p w14:paraId="15A314AF">
      <w:pPr>
        <w:spacing w:line="440" w:lineRule="exact"/>
        <w:rPr>
          <w:rFonts w:hint="default" w:eastAsia="宋体"/>
          <w:color w:val="auto"/>
          <w:sz w:val="28"/>
          <w:highlight w:val="none"/>
          <w:lang w:val="en-US" w:eastAsia="zh-CN"/>
        </w:rPr>
      </w:pPr>
      <w:r>
        <w:rPr>
          <w:rFonts w:hint="eastAsia"/>
          <w:color w:val="auto"/>
          <w:sz w:val="28"/>
          <w:highlight w:val="none"/>
        </w:rPr>
        <w:t>第五部分</w:t>
      </w:r>
      <w:r>
        <w:rPr>
          <w:color w:val="auto"/>
          <w:sz w:val="28"/>
          <w:highlight w:val="none"/>
        </w:rPr>
        <w:t xml:space="preserve">     </w:t>
      </w:r>
      <w:r>
        <w:rPr>
          <w:rFonts w:hint="eastAsia"/>
          <w:color w:val="auto"/>
          <w:sz w:val="28"/>
          <w:highlight w:val="none"/>
        </w:rPr>
        <w:t>合同条款及合同格式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38</w:t>
      </w:r>
    </w:p>
    <w:p w14:paraId="46A82CF2">
      <w:pPr>
        <w:spacing w:line="440" w:lineRule="exact"/>
        <w:rPr>
          <w:rFonts w:hint="default" w:eastAsia="宋体"/>
          <w:color w:val="auto"/>
          <w:sz w:val="28"/>
          <w:highlight w:val="none"/>
          <w:lang w:val="en-US" w:eastAsia="zh-CN"/>
        </w:rPr>
      </w:pPr>
      <w:r>
        <w:rPr>
          <w:rFonts w:hint="eastAsia"/>
          <w:color w:val="auto"/>
          <w:sz w:val="28"/>
          <w:highlight w:val="none"/>
        </w:rPr>
        <w:t>第六部分     附件（投标文件格式）</w:t>
      </w:r>
      <w:r>
        <w:rPr>
          <w:color w:val="auto"/>
          <w:sz w:val="28"/>
          <w:highlight w:val="none"/>
        </w:rPr>
        <w:t>……………………</w:t>
      </w:r>
      <w:r>
        <w:rPr>
          <w:rFonts w:hint="eastAsia"/>
          <w:color w:val="auto"/>
          <w:sz w:val="28"/>
          <w:highlight w:val="none"/>
        </w:rPr>
        <w:t>....</w:t>
      </w:r>
      <w:r>
        <w:rPr>
          <w:color w:val="auto"/>
          <w:sz w:val="28"/>
          <w:highlight w:val="none"/>
        </w:rPr>
        <w:t>……</w:t>
      </w:r>
      <w:r>
        <w:rPr>
          <w:rFonts w:hint="eastAsia"/>
          <w:color w:val="auto"/>
          <w:sz w:val="28"/>
          <w:highlight w:val="none"/>
          <w:lang w:val="en-US" w:eastAsia="zh-CN"/>
        </w:rPr>
        <w:t>41</w:t>
      </w:r>
    </w:p>
    <w:p w14:paraId="1112C6D5">
      <w:pPr>
        <w:rPr>
          <w:b/>
          <w:color w:val="auto"/>
          <w:sz w:val="36"/>
          <w:szCs w:val="36"/>
          <w:highlight w:val="none"/>
        </w:rPr>
      </w:pPr>
    </w:p>
    <w:p w14:paraId="0B2301D2">
      <w:pPr>
        <w:pStyle w:val="3"/>
        <w:rPr>
          <w:color w:val="auto"/>
          <w:highlight w:val="none"/>
        </w:rPr>
        <w:sectPr>
          <w:pgSz w:w="11907" w:h="16840"/>
          <w:pgMar w:top="1440" w:right="1797" w:bottom="1440" w:left="1797" w:header="720" w:footer="1197" w:gutter="0"/>
          <w:pgBorders>
            <w:top w:val="none" w:sz="0" w:space="0"/>
            <w:left w:val="none" w:sz="0" w:space="0"/>
            <w:bottom w:val="none" w:sz="0" w:space="0"/>
            <w:right w:val="none" w:sz="0" w:space="0"/>
          </w:pgBorders>
          <w:pgNumType w:start="1"/>
          <w:cols w:space="720" w:num="1"/>
          <w:docGrid w:type="lines" w:linePitch="285" w:charSpace="0"/>
        </w:sectPr>
      </w:pPr>
    </w:p>
    <w:p w14:paraId="1B1881F7">
      <w:pPr>
        <w:jc w:val="center"/>
        <w:outlineLvl w:val="0"/>
        <w:rPr>
          <w:b/>
          <w:color w:val="auto"/>
          <w:sz w:val="36"/>
          <w:szCs w:val="36"/>
          <w:highlight w:val="none"/>
        </w:rPr>
      </w:pPr>
      <w:r>
        <w:rPr>
          <w:b/>
          <w:color w:val="auto"/>
          <w:sz w:val="36"/>
          <w:szCs w:val="36"/>
          <w:highlight w:val="none"/>
        </w:rPr>
        <w:t>第</w:t>
      </w:r>
      <w:r>
        <w:rPr>
          <w:rFonts w:hint="eastAsia"/>
          <w:b/>
          <w:color w:val="auto"/>
          <w:sz w:val="36"/>
          <w:szCs w:val="36"/>
          <w:highlight w:val="none"/>
        </w:rPr>
        <w:t>一</w:t>
      </w:r>
      <w:r>
        <w:rPr>
          <w:b/>
          <w:color w:val="auto"/>
          <w:sz w:val="36"/>
          <w:szCs w:val="36"/>
          <w:highlight w:val="none"/>
        </w:rPr>
        <w:t xml:space="preserve">部分   </w:t>
      </w:r>
      <w:r>
        <w:rPr>
          <w:rFonts w:hint="eastAsia"/>
          <w:b/>
          <w:color w:val="auto"/>
          <w:sz w:val="36"/>
          <w:szCs w:val="36"/>
          <w:highlight w:val="none"/>
        </w:rPr>
        <w:t>招标公告</w:t>
      </w:r>
    </w:p>
    <w:p w14:paraId="47AC88AA">
      <w:pPr>
        <w:pStyle w:val="30"/>
        <w:keepNext w:val="0"/>
        <w:keepLines w:val="0"/>
        <w:pageBreakBefore w:val="0"/>
        <w:pBdr>
          <w:top w:val="single" w:color="auto" w:sz="4" w:space="1"/>
          <w:left w:val="single" w:color="auto" w:sz="4" w:space="4"/>
          <w:bottom w:val="single" w:color="auto" w:sz="4" w:space="1"/>
          <w:right w:val="single" w:color="auto" w:sz="4" w:space="4"/>
        </w:pBdr>
        <w:tabs>
          <w:tab w:val="left" w:pos="0"/>
        </w:tabs>
        <w:kinsoku/>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604FB775">
      <w:pPr>
        <w:pStyle w:val="30"/>
        <w:keepNext w:val="0"/>
        <w:keepLines w:val="0"/>
        <w:pageBreakBefore w:val="0"/>
        <w:pBdr>
          <w:top w:val="single" w:color="auto" w:sz="4" w:space="1"/>
          <w:left w:val="single" w:color="auto" w:sz="4" w:space="4"/>
          <w:bottom w:val="single" w:color="auto" w:sz="4" w:space="1"/>
          <w:right w:val="single" w:color="auto" w:sz="4" w:space="4"/>
        </w:pBdr>
        <w:tabs>
          <w:tab w:val="left" w:pos="0"/>
        </w:tabs>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cs="宋体"/>
          <w:color w:val="auto"/>
          <w:sz w:val="24"/>
          <w:szCs w:val="24"/>
          <w:highlight w:val="none"/>
          <w:u w:val="single"/>
          <w:lang w:val="en-US" w:eastAsia="zh-CN"/>
        </w:rPr>
        <w:t>金源路汽车公园及东港紧固件北侧地块运营服务</w:t>
      </w:r>
      <w:r>
        <w:rPr>
          <w:rFonts w:hint="eastAsia" w:ascii="宋体" w:hAnsi="宋体" w:eastAsia="宋体" w:cs="宋体"/>
          <w:color w:val="auto"/>
          <w:sz w:val="24"/>
          <w:szCs w:val="24"/>
          <w:highlight w:val="none"/>
        </w:rPr>
        <w:t>招标项目的潜在投标人应在浙江政府采购云平台（https://www.zcygov.cn/）获取（下载）招标文件，并于</w:t>
      </w:r>
      <w:r>
        <w:rPr>
          <w:rFonts w:hint="eastAsia" w:ascii="宋体" w:hAnsi="宋体" w:eastAsia="宋体" w:cs="宋体"/>
          <w:color w:val="auto"/>
          <w:sz w:val="24"/>
          <w:szCs w:val="24"/>
          <w:highlight w:val="none"/>
          <w:u w:val="single"/>
          <w:lang w:val="en-US" w:eastAsia="zh-CN"/>
        </w:rPr>
        <w:t>2024年9月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lang w:val="en-US" w:eastAsia="zh-CN"/>
        </w:rPr>
        <w:t>日</w:t>
      </w:r>
      <w:r>
        <w:rPr>
          <w:rFonts w:hint="eastAsia"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lang w:val="en-US" w:eastAsia="zh-CN"/>
        </w:rPr>
        <w:t>：00</w:t>
      </w:r>
      <w:r>
        <w:rPr>
          <w:rFonts w:hint="eastAsia" w:ascii="宋体" w:hAnsi="宋体" w:eastAsia="宋体" w:cs="宋体"/>
          <w:color w:val="auto"/>
          <w:sz w:val="24"/>
          <w:szCs w:val="24"/>
          <w:highlight w:val="none"/>
        </w:rPr>
        <w:t>（北京时间）前递交（上传）投标文件。</w:t>
      </w:r>
    </w:p>
    <w:p w14:paraId="7BEC5BD4">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一、项目基本情况</w:t>
      </w:r>
      <w:r>
        <w:rPr>
          <w:rFonts w:hint="eastAsia" w:ascii="宋体" w:hAnsi="宋体" w:eastAsia="宋体" w:cs="宋体"/>
          <w:color w:val="auto"/>
          <w:sz w:val="24"/>
          <w:szCs w:val="24"/>
          <w:highlight w:val="none"/>
        </w:rPr>
        <w:t xml:space="preserve"> </w:t>
      </w:r>
    </w:p>
    <w:p w14:paraId="71443C0C">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项目编号：NBXY-2024-009</w:t>
      </w:r>
    </w:p>
    <w:p w14:paraId="25D43CE5">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cs="宋体"/>
          <w:color w:val="auto"/>
          <w:sz w:val="24"/>
          <w:szCs w:val="24"/>
          <w:highlight w:val="none"/>
          <w:lang w:eastAsia="zh-CN"/>
        </w:rPr>
        <w:t>金源路汽车公园及东港紧固件北侧地块运营服务</w:t>
      </w:r>
    </w:p>
    <w:p w14:paraId="51A30D69">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预算金额（元）：</w:t>
      </w:r>
      <w:r>
        <w:rPr>
          <w:rFonts w:hint="eastAsia" w:cs="宋体"/>
          <w:b w:val="0"/>
          <w:bCs w:val="0"/>
          <w:color w:val="auto"/>
          <w:sz w:val="24"/>
          <w:szCs w:val="24"/>
          <w:highlight w:val="none"/>
          <w:lang w:val="en-US" w:eastAsia="zh-CN"/>
        </w:rPr>
        <w:t>66</w:t>
      </w:r>
      <w:r>
        <w:rPr>
          <w:rFonts w:hint="eastAsia" w:ascii="宋体" w:hAnsi="宋体" w:eastAsia="宋体" w:cs="宋体"/>
          <w:b w:val="0"/>
          <w:bCs w:val="0"/>
          <w:color w:val="auto"/>
          <w:sz w:val="24"/>
          <w:szCs w:val="24"/>
          <w:highlight w:val="none"/>
          <w:lang w:val="en-US" w:eastAsia="zh-CN"/>
        </w:rPr>
        <w:t>0000</w:t>
      </w:r>
      <w:r>
        <w:rPr>
          <w:rFonts w:hint="eastAsia" w:ascii="宋体" w:hAnsi="宋体" w:eastAsia="宋体" w:cs="宋体"/>
          <w:b w:val="0"/>
          <w:bCs/>
          <w:color w:val="auto"/>
          <w:sz w:val="24"/>
          <w:szCs w:val="24"/>
          <w:highlight w:val="none"/>
          <w:lang w:val="en-US" w:eastAsia="zh-CN"/>
        </w:rPr>
        <w:t>.00</w:t>
      </w:r>
    </w:p>
    <w:p w14:paraId="3E79F277">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最高限价（元）：</w:t>
      </w:r>
      <w:r>
        <w:rPr>
          <w:rFonts w:hint="eastAsia" w:cs="宋体"/>
          <w:b w:val="0"/>
          <w:bCs w:val="0"/>
          <w:color w:val="auto"/>
          <w:sz w:val="24"/>
          <w:szCs w:val="24"/>
          <w:highlight w:val="none"/>
          <w:lang w:val="en-US" w:eastAsia="zh-CN"/>
        </w:rPr>
        <w:t>66</w:t>
      </w:r>
      <w:r>
        <w:rPr>
          <w:rFonts w:hint="eastAsia" w:ascii="宋体" w:hAnsi="宋体" w:eastAsia="宋体" w:cs="宋体"/>
          <w:b w:val="0"/>
          <w:bCs w:val="0"/>
          <w:color w:val="auto"/>
          <w:sz w:val="24"/>
          <w:szCs w:val="24"/>
          <w:highlight w:val="none"/>
          <w:lang w:val="en-US" w:eastAsia="zh-CN"/>
        </w:rPr>
        <w:t>0000</w:t>
      </w:r>
      <w:r>
        <w:rPr>
          <w:rFonts w:hint="eastAsia" w:ascii="宋体" w:hAnsi="宋体" w:eastAsia="宋体" w:cs="宋体"/>
          <w:b w:val="0"/>
          <w:bCs/>
          <w:color w:val="auto"/>
          <w:sz w:val="24"/>
          <w:szCs w:val="24"/>
          <w:highlight w:val="none"/>
          <w:lang w:val="en-US" w:eastAsia="zh-CN"/>
        </w:rPr>
        <w:t>.00</w:t>
      </w:r>
    </w:p>
    <w:p w14:paraId="7B3670EB">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695A9C21">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标项一</w:t>
      </w:r>
    </w:p>
    <w:p w14:paraId="17913991">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cs="宋体"/>
          <w:color w:val="auto"/>
          <w:sz w:val="24"/>
          <w:szCs w:val="24"/>
          <w:highlight w:val="none"/>
          <w:lang w:eastAsia="zh-CN"/>
        </w:rPr>
        <w:t>金源路汽车公园及东港紧固件北侧地块运营服务</w:t>
      </w:r>
    </w:p>
    <w:p w14:paraId="1B026D7C">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 1</w:t>
      </w:r>
    </w:p>
    <w:p w14:paraId="39D66FE0">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预算金额（元）：</w:t>
      </w:r>
      <w:r>
        <w:rPr>
          <w:rFonts w:hint="eastAsia" w:cs="宋体"/>
          <w:b w:val="0"/>
          <w:bCs w:val="0"/>
          <w:color w:val="auto"/>
          <w:sz w:val="24"/>
          <w:szCs w:val="24"/>
          <w:highlight w:val="none"/>
          <w:lang w:val="en-US" w:eastAsia="zh-CN"/>
        </w:rPr>
        <w:t>66</w:t>
      </w:r>
      <w:r>
        <w:rPr>
          <w:rFonts w:hint="eastAsia" w:ascii="宋体" w:hAnsi="宋体" w:eastAsia="宋体" w:cs="宋体"/>
          <w:b w:val="0"/>
          <w:bCs w:val="0"/>
          <w:color w:val="auto"/>
          <w:sz w:val="24"/>
          <w:szCs w:val="24"/>
          <w:highlight w:val="none"/>
          <w:lang w:val="en-US" w:eastAsia="zh-CN"/>
        </w:rPr>
        <w:t>0000</w:t>
      </w:r>
      <w:r>
        <w:rPr>
          <w:rFonts w:hint="eastAsia" w:ascii="宋体" w:hAnsi="宋体" w:eastAsia="宋体" w:cs="宋体"/>
          <w:b w:val="0"/>
          <w:bCs/>
          <w:color w:val="auto"/>
          <w:sz w:val="24"/>
          <w:szCs w:val="24"/>
          <w:highlight w:val="none"/>
          <w:lang w:val="en-US" w:eastAsia="zh-CN"/>
        </w:rPr>
        <w:t>.00</w:t>
      </w:r>
    </w:p>
    <w:p w14:paraId="64C1CCD1">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简要规格描述或项目基本概况介绍、用途：具体详见《第四部分 </w:t>
      </w:r>
      <w:r>
        <w:rPr>
          <w:rFonts w:hint="eastAsia" w:cs="宋体"/>
          <w:color w:val="auto"/>
          <w:sz w:val="24"/>
          <w:szCs w:val="24"/>
          <w:highlight w:val="none"/>
          <w:lang w:val="en-US" w:eastAsia="zh-CN"/>
        </w:rPr>
        <w:t>采购需</w:t>
      </w:r>
      <w:r>
        <w:rPr>
          <w:rFonts w:hint="eastAsia" w:ascii="宋体" w:hAnsi="宋体" w:eastAsia="宋体" w:cs="宋体"/>
          <w:color w:val="auto"/>
          <w:sz w:val="24"/>
          <w:szCs w:val="24"/>
          <w:highlight w:val="none"/>
        </w:rPr>
        <w:t>求》</w:t>
      </w:r>
    </w:p>
    <w:p w14:paraId="68C65294">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备注：无</w:t>
      </w:r>
    </w:p>
    <w:p w14:paraId="68A8F9DA">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合同履约期限：</w:t>
      </w:r>
      <w:r>
        <w:rPr>
          <w:rFonts w:hint="eastAsia" w:cs="宋体"/>
          <w:i w:val="0"/>
          <w:iCs/>
          <w:color w:val="auto"/>
          <w:sz w:val="24"/>
          <w:szCs w:val="24"/>
          <w:highlight w:val="none"/>
          <w:lang w:val="en-US" w:eastAsia="zh-CN"/>
        </w:rPr>
        <w:t>自合同签订之日起三年</w:t>
      </w:r>
      <w:r>
        <w:rPr>
          <w:rFonts w:hint="eastAsia" w:ascii="宋体" w:hAnsi="宋体" w:eastAsia="宋体" w:cs="宋体"/>
          <w:i w:val="0"/>
          <w:iCs/>
          <w:color w:val="auto"/>
          <w:sz w:val="24"/>
          <w:szCs w:val="24"/>
          <w:highlight w:val="none"/>
          <w:lang w:val="en-US" w:eastAsia="zh-CN"/>
        </w:rPr>
        <w:t>。</w:t>
      </w:r>
    </w:p>
    <w:p w14:paraId="34722889">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14:paraId="45FAE273">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二、申请人的资格要求：</w:t>
      </w:r>
    </w:p>
    <w:p w14:paraId="56773038">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97C1663">
      <w:pPr>
        <w:keepNext w:val="0"/>
        <w:keepLines w:val="0"/>
        <w:pageBreakBefore w:val="0"/>
        <w:widowControl w:val="0"/>
        <w:tabs>
          <w:tab w:val="left" w:pos="0"/>
        </w:tabs>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2.落实政府采购政策需满足的资格要求：</w:t>
      </w:r>
      <w:r>
        <w:rPr>
          <w:rFonts w:hint="eastAsia" w:ascii="宋体" w:hAnsi="宋体" w:cs="宋体"/>
          <w:bCs/>
          <w:color w:val="auto"/>
          <w:sz w:val="24"/>
          <w:szCs w:val="24"/>
          <w:highlight w:val="none"/>
          <w:u w:val="single"/>
          <w:lang w:val="en-US" w:eastAsia="zh-CN"/>
        </w:rPr>
        <w:t>标项1，</w:t>
      </w:r>
      <w:r>
        <w:rPr>
          <w:rFonts w:hint="eastAsia" w:ascii="宋体" w:hAnsi="宋体" w:eastAsia="宋体" w:cs="宋体"/>
          <w:bCs/>
          <w:color w:val="auto"/>
          <w:sz w:val="24"/>
          <w:szCs w:val="24"/>
          <w:highlight w:val="none"/>
          <w:u w:val="single"/>
        </w:rPr>
        <w:t>服务全部由符合政策要求的中小企业承接，提供中小企业声明函；</w:t>
      </w:r>
    </w:p>
    <w:p w14:paraId="62B48084">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r>
        <w:rPr>
          <w:rFonts w:hint="eastAsia" w:cs="宋体"/>
          <w:color w:val="auto"/>
          <w:sz w:val="24"/>
          <w:szCs w:val="24"/>
          <w:highlight w:val="none"/>
          <w:lang w:val="en-US" w:eastAsia="zh-CN"/>
        </w:rPr>
        <w:t>无</w:t>
      </w:r>
      <w:r>
        <w:rPr>
          <w:rFonts w:hint="eastAsia" w:ascii="宋体" w:hAnsi="宋体" w:eastAsia="宋体" w:cs="宋体"/>
          <w:color w:val="auto"/>
          <w:sz w:val="24"/>
          <w:szCs w:val="24"/>
          <w:highlight w:val="none"/>
        </w:rPr>
        <w:t> </w:t>
      </w:r>
    </w:p>
    <w:p w14:paraId="1409AA8E">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323073C">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三、获取招标文件</w:t>
      </w:r>
    </w:p>
    <w:p w14:paraId="5484722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cs="宋体"/>
          <w:color w:val="auto"/>
          <w:sz w:val="24"/>
          <w:szCs w:val="24"/>
          <w:highlight w:val="none"/>
          <w:u w:val="none"/>
          <w:lang w:val="en-US" w:eastAsia="zh-CN"/>
        </w:rPr>
        <w:t>8</w:t>
      </w:r>
      <w:r>
        <w:rPr>
          <w:rFonts w:hint="eastAsia" w:ascii="宋体" w:hAnsi="宋体" w:eastAsia="宋体" w:cs="宋体"/>
          <w:color w:val="auto"/>
          <w:sz w:val="24"/>
          <w:szCs w:val="24"/>
          <w:highlight w:val="none"/>
        </w:rPr>
        <w:t>月</w:t>
      </w:r>
      <w:r>
        <w:rPr>
          <w:rFonts w:hint="eastAsia" w:cs="宋体"/>
          <w:color w:val="auto"/>
          <w:sz w:val="24"/>
          <w:szCs w:val="24"/>
          <w:highlight w:val="none"/>
          <w:u w:val="none"/>
          <w:lang w:val="en-US" w:eastAsia="zh-CN"/>
        </w:rPr>
        <w:t>27</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4年</w:t>
      </w:r>
      <w:r>
        <w:rPr>
          <w:rFonts w:hint="eastAsia" w:cs="宋体"/>
          <w:color w:val="auto"/>
          <w:sz w:val="24"/>
          <w:szCs w:val="24"/>
          <w:highlight w:val="none"/>
          <w:u w:val="none"/>
          <w:lang w:val="en-US" w:eastAsia="zh-CN"/>
        </w:rPr>
        <w:t>9</w:t>
      </w:r>
      <w:r>
        <w:rPr>
          <w:rFonts w:hint="eastAsia" w:ascii="宋体" w:hAnsi="宋体" w:eastAsia="宋体" w:cs="宋体"/>
          <w:color w:val="auto"/>
          <w:sz w:val="24"/>
          <w:szCs w:val="24"/>
          <w:highlight w:val="none"/>
        </w:rPr>
        <w:t>月</w:t>
      </w:r>
      <w:r>
        <w:rPr>
          <w:rFonts w:hint="eastAsia" w:cs="宋体"/>
          <w:color w:val="auto"/>
          <w:sz w:val="24"/>
          <w:szCs w:val="24"/>
          <w:highlight w:val="none"/>
          <w:u w:val="none"/>
          <w:lang w:val="en-US" w:eastAsia="zh-CN"/>
        </w:rPr>
        <w:t>3</w:t>
      </w:r>
      <w:r>
        <w:rPr>
          <w:rFonts w:hint="eastAsia" w:ascii="宋体" w:hAnsi="宋体" w:eastAsia="宋体" w:cs="宋体"/>
          <w:color w:val="auto"/>
          <w:sz w:val="24"/>
          <w:szCs w:val="24"/>
          <w:highlight w:val="none"/>
        </w:rPr>
        <w:t>日，每天上午00:00至12:00，下午12:00至23:59（北京时间，线上获取法定节假日均可，线下获取文件法定节假日除外）</w:t>
      </w:r>
    </w:p>
    <w:p w14:paraId="25A08B9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地点（网址）：政采云平台（https://www.zcygov.cn/）</w:t>
      </w:r>
    </w:p>
    <w:p w14:paraId="548AA695">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方式：供应商登录政采云平台https://www.zcygov.cn/在线申请获取采购文件（进入“项目采购”应用，在获取采购文件菜单中选择项目，申请获取采购文件）。</w:t>
      </w:r>
    </w:p>
    <w:p w14:paraId="4FE3CAB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w:t>
      </w:r>
    </w:p>
    <w:p w14:paraId="27D72F8E">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四、提交投标文件截止时间、开标时间和地点</w:t>
      </w:r>
    </w:p>
    <w:p w14:paraId="19C0C282">
      <w:pPr>
        <w:pStyle w:val="30"/>
        <w:keepNext w:val="0"/>
        <w:keepLines w:val="0"/>
        <w:pageBreakBefore w:val="0"/>
        <w:kinsoku/>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w:t>
      </w:r>
      <w:r>
        <w:rPr>
          <w:rFonts w:hint="eastAsia" w:ascii="宋体" w:hAnsi="宋体" w:eastAsia="宋体" w:cs="宋体"/>
          <w:color w:val="auto"/>
          <w:sz w:val="24"/>
          <w:szCs w:val="24"/>
          <w:highlight w:val="none"/>
          <w:u w:val="single"/>
        </w:rPr>
        <w:t>2024年9月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（北京时间）</w:t>
      </w:r>
    </w:p>
    <w:p w14:paraId="15845739">
      <w:pPr>
        <w:pStyle w:val="30"/>
        <w:keepNext w:val="0"/>
        <w:keepLines w:val="0"/>
        <w:pageBreakBefore w:val="0"/>
        <w:kinsoku/>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投标地点（网址）：政采云（https://www.zcygov.cn/）</w:t>
      </w:r>
    </w:p>
    <w:p w14:paraId="3D86EC4D">
      <w:pPr>
        <w:pStyle w:val="30"/>
        <w:keepNext w:val="0"/>
        <w:keepLines w:val="0"/>
        <w:pageBreakBefore w:val="0"/>
        <w:kinsoku/>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u w:val="single"/>
        </w:rPr>
        <w:t>2024年9月</w:t>
      </w:r>
      <w:r>
        <w:rPr>
          <w:rFonts w:hint="eastAsia" w:cs="宋体"/>
          <w:color w:val="auto"/>
          <w:sz w:val="24"/>
          <w:szCs w:val="24"/>
          <w:highlight w:val="none"/>
          <w:u w:val="single"/>
          <w:lang w:val="en-US" w:eastAsia="zh-CN"/>
        </w:rPr>
        <w:t>18</w:t>
      </w:r>
      <w:r>
        <w:rPr>
          <w:rFonts w:hint="eastAsia" w:ascii="宋体" w:hAnsi="宋体" w:eastAsia="宋体" w:cs="宋体"/>
          <w:color w:val="auto"/>
          <w:sz w:val="24"/>
          <w:szCs w:val="24"/>
          <w:highlight w:val="none"/>
          <w:u w:val="single"/>
        </w:rPr>
        <w:t>日</w:t>
      </w:r>
      <w:r>
        <w:rPr>
          <w:rFonts w:hint="eastAsia"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rPr>
        <w:t>（北京时间）</w:t>
      </w:r>
    </w:p>
    <w:p w14:paraId="60474AE8">
      <w:pPr>
        <w:pStyle w:val="30"/>
        <w:keepNext w:val="0"/>
        <w:keepLines w:val="0"/>
        <w:pageBreakBefore w:val="0"/>
        <w:kinsoku/>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开标地点（网址）：宁波市鄞州区公共资源交易中心（鄞州区蕙江路567号，鄞州区</w:t>
      </w:r>
      <w:r>
        <w:rPr>
          <w:rFonts w:hint="eastAsia" w:ascii="宋体" w:hAnsi="宋体" w:eastAsia="宋体" w:cs="宋体"/>
          <w:color w:val="auto"/>
          <w:sz w:val="24"/>
          <w:szCs w:val="24"/>
          <w:highlight w:val="none"/>
          <w:lang w:val="en-US" w:eastAsia="zh-CN"/>
        </w:rPr>
        <w:t>政务</w:t>
      </w:r>
      <w:r>
        <w:rPr>
          <w:rFonts w:hint="eastAsia" w:ascii="宋体" w:hAnsi="宋体" w:eastAsia="宋体" w:cs="宋体"/>
          <w:color w:val="auto"/>
          <w:sz w:val="24"/>
          <w:szCs w:val="24"/>
          <w:highlight w:val="none"/>
        </w:rPr>
        <w:t>服务中心5楼）开标室</w:t>
      </w:r>
      <w:r>
        <w:rPr>
          <w:rFonts w:hint="eastAsia" w:ascii="宋体" w:hAnsi="宋体" w:eastAsia="宋体" w:cs="宋体"/>
          <w:i w:val="0"/>
          <w:caps w:val="0"/>
          <w:color w:val="auto"/>
          <w:spacing w:val="0"/>
          <w:sz w:val="24"/>
          <w:szCs w:val="24"/>
          <w:highlight w:val="none"/>
          <w:lang w:val="en-US" w:eastAsia="zh-CN"/>
        </w:rPr>
        <w:t xml:space="preserve"> / </w:t>
      </w:r>
      <w:r>
        <w:rPr>
          <w:rFonts w:hint="eastAsia" w:ascii="宋体" w:hAnsi="宋体" w:eastAsia="宋体" w:cs="宋体"/>
          <w:color w:val="auto"/>
          <w:sz w:val="24"/>
          <w:szCs w:val="24"/>
          <w:highlight w:val="none"/>
        </w:rPr>
        <w:t>政采云（https://www.zcygov.cn/）</w:t>
      </w:r>
    </w:p>
    <w:p w14:paraId="50A362EE">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五、公告期限</w:t>
      </w:r>
    </w:p>
    <w:p w14:paraId="74D33A8D">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332A159E">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六、其他补充事宜</w:t>
      </w:r>
    </w:p>
    <w:p w14:paraId="1193A534">
      <w:pPr>
        <w:pStyle w:val="30"/>
        <w:keepNext w:val="0"/>
        <w:keepLines w:val="0"/>
        <w:pageBreakBefore w:val="0"/>
        <w:kinsoku/>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68BC23">
      <w:pPr>
        <w:pStyle w:val="30"/>
        <w:keepNext w:val="0"/>
        <w:keepLines w:val="0"/>
        <w:pageBreakBefore w:val="0"/>
        <w:kinsoku/>
        <w:wordWrap w:val="0"/>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2.其他事项：</w:t>
      </w:r>
    </w:p>
    <w:p w14:paraId="233ED06E">
      <w:pPr>
        <w:pStyle w:val="30"/>
        <w:keepNext w:val="0"/>
        <w:keepLines w:val="0"/>
        <w:pageBreakBefore w:val="0"/>
        <w:kinsoku/>
        <w:wordWrap w:val="0"/>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2.1、执行政府采购政策：执行政府采购政策：《政府采购促进中小企业发展管理办法》（财库[2020]46号）；《关于政府采购支持监狱企业发展有关问题的通知》(财库[2014]68号)；《关于促进残疾人就业政府采购政策的通知》（财库[2017]141号）。</w:t>
      </w:r>
    </w:p>
    <w:p w14:paraId="32E0CDC3">
      <w:pPr>
        <w:pStyle w:val="30"/>
        <w:keepNext w:val="0"/>
        <w:keepLines w:val="0"/>
        <w:pageBreakBefore w:val="0"/>
        <w:kinsoku/>
        <w:wordWrap w:val="0"/>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标前准备：各投标人应在开标前确保成为浙江省政府采购网正式注册入库供应商，并完成CA数字证书办理。因未注册入库、未办理CA数字证书等原因造成无法投标或投标失败等后果由投标人自行承担。（具体操作详见供应商-CA申领操作指南https://help.zcygov.cn/web/site_2/2018/11-29/2452.html）。 </w:t>
      </w:r>
    </w:p>
    <w:p w14:paraId="7A500F91">
      <w:pPr>
        <w:pStyle w:val="30"/>
        <w:keepNext w:val="0"/>
        <w:keepLines w:val="0"/>
        <w:pageBreakBefore w:val="0"/>
        <w:kinsoku/>
        <w:wordWrap w:val="0"/>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投标文件制作：（1）应按照本项目招标文件和政采云平台的要求编制、加密并递交投标文件。投标人在使用系统进行投标的过程中遇到涉及平台使用的任何问题，可致电政采云平台技术支持热线咨询，联系方式：95763。 （2）投标人通过“政采云”平台电子投标工具制作投标文件，电子投标工具请投标人自行前往浙江省政府采购网下载并安装，（下载网址：http://www.zjzfcg.gov.cn/bidClientTemplate/2019-05-27/12946.html），投标文件制作具体流程详见政采云供应商-政府采购项目电子交易操作指南。（3）投标人应于提交投标文件截止时间前将电子投标文件上传到政府采购云平台（https://www.zcygov.cn/）。开标时间后30分钟内投标人登录政府采购云平台https://www.zcygov.cn/，用“项目采购-开标评标”功能成功解密投标文件。若投标人在规定时间内无法解密或解密失败的，视为投标文件撤回。 </w:t>
      </w:r>
    </w:p>
    <w:p w14:paraId="6D1C7549">
      <w:pPr>
        <w:pStyle w:val="30"/>
        <w:keepNext w:val="0"/>
        <w:keepLines w:val="0"/>
        <w:pageBreakBefore w:val="0"/>
        <w:kinsoku/>
        <w:wordWrap w:val="0"/>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本项目发布媒体：浙江政府采购网（http://zfcg.czt.zj.gov.cn/）、宁波政府采购网（http://www.nbzfcg.cn/）、宁波市公共资源交易电子服务系统（https://jyxt.zwb.ningbo.gov.cn:4011/website/home）。投标人有义务在采购活动期间浏览上述网站，公布信息视同送达所有潜在投标人，不再采用其它方式传达相关信息，若因未能及时了解到上述网站上发布的相关信息而导致的一切后果自行承担。</w:t>
      </w:r>
    </w:p>
    <w:p w14:paraId="071DB1D4">
      <w:pPr>
        <w:pStyle w:val="30"/>
        <w:keepNext w:val="0"/>
        <w:keepLines w:val="0"/>
        <w:pageBreakBefore w:val="0"/>
        <w:kinsoku/>
        <w:wordWrap w:val="0"/>
        <w:overflowPunct/>
        <w:topLinePunct w:val="0"/>
        <w:autoSpaceDE/>
        <w:autoSpaceDN/>
        <w:bidi w:val="0"/>
        <w:adjustRightInd/>
        <w:snapToGrid/>
        <w:spacing w:before="0" w:beforeAutospacing="0" w:after="0" w:afterAutospacing="0" w:line="24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4D5E6895">
      <w:pPr>
        <w:pStyle w:val="30"/>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outlineLvl w:val="1"/>
        <w:rPr>
          <w:rFonts w:hint="eastAsia" w:ascii="宋体" w:hAnsi="宋体" w:eastAsia="宋体" w:cs="宋体"/>
          <w:color w:val="auto"/>
          <w:sz w:val="24"/>
          <w:szCs w:val="24"/>
          <w:highlight w:val="none"/>
        </w:rPr>
      </w:pPr>
      <w:r>
        <w:rPr>
          <w:rStyle w:val="36"/>
          <w:rFonts w:hint="eastAsia" w:ascii="宋体" w:hAnsi="宋体" w:eastAsia="宋体" w:cs="宋体"/>
          <w:color w:val="auto"/>
          <w:sz w:val="24"/>
          <w:szCs w:val="24"/>
          <w:highlight w:val="none"/>
        </w:rPr>
        <w:t>七、对本次采购提出询问、质疑、投诉，请按以下方式联系</w:t>
      </w:r>
    </w:p>
    <w:p w14:paraId="3FEFC3E0">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0BBBAB6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 xml:space="preserve">宁波市鄞州区人民政府潘火街道办事处 </w:t>
      </w:r>
    </w:p>
    <w:p w14:paraId="70CDD12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址：宁波市鄞州区诚信路668号</w:t>
      </w:r>
    </w:p>
    <w:p w14:paraId="68DD86D9">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真：/</w:t>
      </w:r>
    </w:p>
    <w:p w14:paraId="5DD975AC">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cs="宋体"/>
          <w:color w:val="auto"/>
          <w:highlight w:val="none"/>
          <w:lang w:val="en-US" w:eastAsia="zh-CN"/>
        </w:rPr>
        <w:t>胡老师</w:t>
      </w:r>
    </w:p>
    <w:p w14:paraId="159DCBF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cs="宋体"/>
          <w:color w:val="auto"/>
          <w:highlight w:val="none"/>
          <w:lang w:val="en-US" w:eastAsia="zh-CN"/>
        </w:rPr>
        <w:t>0574-83088573</w:t>
      </w:r>
    </w:p>
    <w:p w14:paraId="0E9E3DEA">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cs="宋体"/>
          <w:color w:val="auto"/>
          <w:highlight w:val="none"/>
          <w:lang w:val="en-US" w:eastAsia="zh-CN"/>
        </w:rPr>
        <w:t>朱老师</w:t>
      </w:r>
    </w:p>
    <w:p w14:paraId="716CF50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质疑联系方式：0574-88381846</w:t>
      </w:r>
    </w:p>
    <w:p w14:paraId="4BCD8C4D">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78C798F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lang w:val="en-US" w:eastAsia="zh-CN"/>
        </w:rPr>
        <w:t>宁波星益工程项目管理咨询有限公司</w:t>
      </w:r>
    </w:p>
    <w:p w14:paraId="0D192018">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浙江省宁波市鄞州区金谷中路9号鄞州驿淘数字创新园618室</w:t>
      </w:r>
    </w:p>
    <w:p w14:paraId="3C85F310">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w:t>
      </w:r>
    </w:p>
    <w:p w14:paraId="6746534F">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项目联系人（询问）：</w:t>
      </w:r>
      <w:r>
        <w:rPr>
          <w:rFonts w:hint="eastAsia" w:ascii="宋体" w:hAnsi="宋体" w:eastAsia="宋体" w:cs="宋体"/>
          <w:color w:val="auto"/>
          <w:sz w:val="24"/>
          <w:szCs w:val="24"/>
          <w:highlight w:val="none"/>
          <w:lang w:val="en-US" w:eastAsia="zh-CN"/>
        </w:rPr>
        <w:t>张丽琳、胡宇柯</w:t>
      </w:r>
    </w:p>
    <w:p w14:paraId="3A9819A1">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项目联系方式（询问）：</w:t>
      </w:r>
      <w:r>
        <w:rPr>
          <w:rFonts w:hint="eastAsia" w:ascii="宋体" w:hAnsi="宋体" w:eastAsia="宋体" w:cs="宋体"/>
          <w:color w:val="auto"/>
          <w:sz w:val="24"/>
          <w:szCs w:val="24"/>
          <w:highlight w:val="none"/>
          <w:lang w:val="en-US" w:eastAsia="zh-CN"/>
        </w:rPr>
        <w:t>17300945068</w:t>
      </w:r>
    </w:p>
    <w:p w14:paraId="64F4E410">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质疑联系人：</w:t>
      </w:r>
      <w:r>
        <w:rPr>
          <w:rFonts w:hint="eastAsia" w:ascii="宋体" w:hAnsi="宋体" w:eastAsia="宋体" w:cs="宋体"/>
          <w:color w:val="auto"/>
          <w:sz w:val="24"/>
          <w:szCs w:val="24"/>
          <w:highlight w:val="none"/>
          <w:lang w:val="en-US" w:eastAsia="zh-CN"/>
        </w:rPr>
        <w:t>张楼磊</w:t>
      </w:r>
    </w:p>
    <w:p w14:paraId="66560048">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质疑联系方式：</w:t>
      </w:r>
      <w:r>
        <w:rPr>
          <w:rFonts w:hint="eastAsia" w:ascii="宋体" w:hAnsi="宋体" w:eastAsia="宋体" w:cs="宋体"/>
          <w:color w:val="auto"/>
          <w:sz w:val="24"/>
          <w:szCs w:val="24"/>
          <w:highlight w:val="none"/>
          <w:lang w:val="en-US" w:eastAsia="zh-CN"/>
        </w:rPr>
        <w:t>18758462627</w:t>
      </w:r>
    </w:p>
    <w:p w14:paraId="6441B6B3">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3.同级政府采购监督管理部门</w:t>
      </w:r>
    </w:p>
    <w:p w14:paraId="3CD2B852">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称：宁波市鄞州区政府采购管理办公室 </w:t>
      </w:r>
    </w:p>
    <w:p w14:paraId="737E2FF6">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址：宁波市鄞州区民惠东路16号 </w:t>
      </w:r>
    </w:p>
    <w:p w14:paraId="30ADFC1D">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 真：/ </w:t>
      </w:r>
    </w:p>
    <w:p w14:paraId="5D84CF8E">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：郑老师 </w:t>
      </w:r>
    </w:p>
    <w:p w14:paraId="78387B57">
      <w:pPr>
        <w:pStyle w:val="3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监督投诉电话：0574-89295894</w:t>
      </w:r>
    </w:p>
    <w:p w14:paraId="1438CE0C">
      <w:pPr>
        <w:pStyle w:val="30"/>
        <w:keepNext w:val="0"/>
        <w:keepLines w:val="0"/>
        <w:pageBreakBefore w:val="0"/>
        <w:kinsoku/>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color w:val="auto"/>
          <w:sz w:val="24"/>
          <w:szCs w:val="24"/>
          <w:highlight w:val="none"/>
        </w:rPr>
      </w:pPr>
    </w:p>
    <w:p w14:paraId="7D7E8B4F">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3D6ACE28">
      <w:pPr>
        <w:keepNext w:val="0"/>
        <w:keepLines w:val="0"/>
        <w:pageBreakBefore w:val="0"/>
        <w:widowControl/>
        <w:kinsoku/>
        <w:overflowPunct/>
        <w:topLinePunct w:val="0"/>
        <w:autoSpaceDE/>
        <w:autoSpaceDN/>
        <w:bidi w:val="0"/>
        <w:adjustRightInd/>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CA问题联系电话（人工）：汇信CA 400-888-4636；天谷CA 400-087-8198。</w:t>
      </w:r>
    </w:p>
    <w:p w14:paraId="267DCE4A">
      <w:pPr>
        <w:pStyle w:val="30"/>
        <w:keepNext w:val="0"/>
        <w:keepLines w:val="0"/>
        <w:pageBreakBefore w:val="0"/>
        <w:kinsoku/>
        <w:overflowPunct/>
        <w:topLinePunct w:val="0"/>
        <w:autoSpaceDE/>
        <w:autoSpaceDN/>
        <w:bidi w:val="0"/>
        <w:adjustRightInd/>
        <w:snapToGrid/>
        <w:spacing w:before="0" w:beforeAutospacing="0" w:after="0" w:afterAutospacing="0" w:line="360" w:lineRule="auto"/>
        <w:ind w:firstLine="330"/>
        <w:jc w:val="both"/>
        <w:textAlignment w:val="auto"/>
        <w:rPr>
          <w:rFonts w:hint="eastAsia" w:ascii="宋体" w:hAnsi="宋体" w:eastAsia="宋体" w:cs="宋体"/>
          <w:color w:val="auto"/>
          <w:sz w:val="24"/>
          <w:szCs w:val="24"/>
          <w:highlight w:val="none"/>
        </w:rPr>
      </w:pPr>
    </w:p>
    <w:p w14:paraId="1252F917">
      <w:pPr>
        <w:widowControl/>
        <w:spacing w:line="360" w:lineRule="exact"/>
        <w:jc w:val="center"/>
        <w:outlineLvl w:val="0"/>
        <w:rPr>
          <w:b/>
          <w:color w:val="auto"/>
          <w:sz w:val="36"/>
          <w:szCs w:val="36"/>
          <w:highlight w:val="none"/>
        </w:rPr>
      </w:pPr>
      <w:r>
        <w:rPr>
          <w:rFonts w:hint="eastAsia" w:ascii="宋体" w:hAnsi="宋体" w:cs="宋体"/>
          <w:b/>
          <w:color w:val="auto"/>
          <w:sz w:val="24"/>
          <w:szCs w:val="24"/>
          <w:highlight w:val="none"/>
        </w:rPr>
        <w:br w:type="page"/>
      </w:r>
      <w:r>
        <w:rPr>
          <w:b/>
          <w:color w:val="auto"/>
          <w:sz w:val="36"/>
          <w:szCs w:val="36"/>
          <w:highlight w:val="none"/>
        </w:rPr>
        <w:t>第</w:t>
      </w:r>
      <w:r>
        <w:rPr>
          <w:rFonts w:hint="eastAsia"/>
          <w:b/>
          <w:color w:val="auto"/>
          <w:sz w:val="36"/>
          <w:szCs w:val="36"/>
          <w:highlight w:val="none"/>
        </w:rPr>
        <w:t>二</w:t>
      </w:r>
      <w:r>
        <w:rPr>
          <w:b/>
          <w:color w:val="auto"/>
          <w:sz w:val="36"/>
          <w:szCs w:val="36"/>
          <w:highlight w:val="none"/>
        </w:rPr>
        <w:t xml:space="preserve">部分  </w:t>
      </w:r>
      <w:r>
        <w:rPr>
          <w:rFonts w:hint="eastAsia"/>
          <w:b/>
          <w:color w:val="auto"/>
          <w:sz w:val="36"/>
          <w:szCs w:val="36"/>
          <w:highlight w:val="none"/>
        </w:rPr>
        <w:t>投标人须知及前附表</w:t>
      </w:r>
    </w:p>
    <w:p w14:paraId="55D47526">
      <w:pPr>
        <w:pStyle w:val="27"/>
        <w:spacing w:beforeLines="50" w:afterLines="50" w:line="400" w:lineRule="exact"/>
        <w:ind w:right="-191" w:rightChars="-91" w:firstLine="482"/>
        <w:jc w:val="center"/>
        <w:outlineLvl w:val="1"/>
        <w:rPr>
          <w:i w:val="0"/>
          <w:iCs w:val="0"/>
          <w:color w:val="auto"/>
          <w:sz w:val="24"/>
          <w:szCs w:val="24"/>
          <w:highlight w:val="none"/>
        </w:rPr>
      </w:pPr>
      <w:r>
        <w:rPr>
          <w:rFonts w:hint="eastAsia"/>
          <w:b/>
          <w:i w:val="0"/>
          <w:color w:val="auto"/>
          <w:sz w:val="36"/>
          <w:szCs w:val="36"/>
          <w:highlight w:val="none"/>
        </w:rPr>
        <w:t>前附表</w:t>
      </w:r>
    </w:p>
    <w:tbl>
      <w:tblPr>
        <w:tblStyle w:val="32"/>
        <w:tblW w:w="889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437"/>
      </w:tblGrid>
      <w:tr w14:paraId="3C153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462" w:type="dxa"/>
            <w:tcBorders>
              <w:tl2br w:val="nil"/>
              <w:tr2bl w:val="nil"/>
            </w:tcBorders>
            <w:vAlign w:val="center"/>
          </w:tcPr>
          <w:p w14:paraId="3A0BBCF3">
            <w:pPr>
              <w:keepNext w:val="0"/>
              <w:keepLines w:val="0"/>
              <w:pageBreakBefore w:val="0"/>
              <w:kinsoku/>
              <w:overflowPunct/>
              <w:topLinePunct w:val="0"/>
              <w:autoSpaceDE/>
              <w:autoSpaceDN/>
              <w:bidi w:val="0"/>
              <w:adjustRightInd/>
              <w:snapToGrid/>
              <w:spacing w:line="400" w:lineRule="exact"/>
              <w:jc w:val="center"/>
              <w:textAlignment w:val="auto"/>
              <w:rPr>
                <w:b/>
                <w:bCs/>
                <w:color w:val="auto"/>
                <w:sz w:val="24"/>
                <w:szCs w:val="24"/>
                <w:highlight w:val="none"/>
              </w:rPr>
            </w:pPr>
            <w:r>
              <w:rPr>
                <w:rFonts w:hAnsi="宋体"/>
                <w:b/>
                <w:bCs/>
                <w:color w:val="auto"/>
                <w:sz w:val="24"/>
                <w:szCs w:val="24"/>
                <w:highlight w:val="none"/>
              </w:rPr>
              <w:t>条款号</w:t>
            </w:r>
          </w:p>
        </w:tc>
        <w:tc>
          <w:tcPr>
            <w:tcW w:w="7437" w:type="dxa"/>
            <w:tcBorders>
              <w:tl2br w:val="nil"/>
              <w:tr2bl w:val="nil"/>
            </w:tcBorders>
            <w:vAlign w:val="center"/>
          </w:tcPr>
          <w:p w14:paraId="6484F056">
            <w:pPr>
              <w:keepNext w:val="0"/>
              <w:keepLines w:val="0"/>
              <w:pageBreakBefore w:val="0"/>
              <w:kinsoku/>
              <w:overflowPunct/>
              <w:topLinePunct w:val="0"/>
              <w:autoSpaceDE/>
              <w:autoSpaceDN/>
              <w:bidi w:val="0"/>
              <w:adjustRightInd/>
              <w:snapToGrid/>
              <w:spacing w:line="400" w:lineRule="exact"/>
              <w:jc w:val="center"/>
              <w:textAlignment w:val="auto"/>
              <w:rPr>
                <w:b/>
                <w:bCs/>
                <w:color w:val="auto"/>
                <w:sz w:val="24"/>
                <w:szCs w:val="24"/>
                <w:highlight w:val="none"/>
              </w:rPr>
            </w:pPr>
            <w:r>
              <w:rPr>
                <w:rFonts w:hAnsi="宋体"/>
                <w:b/>
                <w:bCs/>
                <w:color w:val="auto"/>
                <w:sz w:val="24"/>
                <w:szCs w:val="24"/>
                <w:highlight w:val="none"/>
              </w:rPr>
              <w:t>内</w:t>
            </w:r>
            <w:r>
              <w:rPr>
                <w:b/>
                <w:bCs/>
                <w:color w:val="auto"/>
                <w:sz w:val="24"/>
                <w:szCs w:val="24"/>
                <w:highlight w:val="none"/>
              </w:rPr>
              <w:t xml:space="preserve">       </w:t>
            </w:r>
            <w:r>
              <w:rPr>
                <w:rFonts w:hAnsi="宋体"/>
                <w:b/>
                <w:bCs/>
                <w:color w:val="auto"/>
                <w:sz w:val="24"/>
                <w:szCs w:val="24"/>
                <w:highlight w:val="none"/>
              </w:rPr>
              <w:t>容</w:t>
            </w:r>
          </w:p>
        </w:tc>
      </w:tr>
      <w:tr w14:paraId="1D0CE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9" w:type="dxa"/>
            <w:gridSpan w:val="2"/>
            <w:tcBorders>
              <w:tl2br w:val="nil"/>
              <w:tr2bl w:val="nil"/>
            </w:tcBorders>
            <w:vAlign w:val="center"/>
          </w:tcPr>
          <w:p w14:paraId="3EED8525">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rFonts w:hAnsi="宋体"/>
                <w:b/>
                <w:color w:val="auto"/>
                <w:sz w:val="24"/>
                <w:szCs w:val="24"/>
                <w:highlight w:val="none"/>
              </w:rPr>
              <w:t>说</w:t>
            </w:r>
            <w:r>
              <w:rPr>
                <w:b/>
                <w:color w:val="auto"/>
                <w:sz w:val="24"/>
                <w:szCs w:val="24"/>
                <w:highlight w:val="none"/>
              </w:rPr>
              <w:t xml:space="preserve">      </w:t>
            </w:r>
            <w:r>
              <w:rPr>
                <w:rFonts w:hAnsi="宋体"/>
                <w:b/>
                <w:color w:val="auto"/>
                <w:sz w:val="24"/>
                <w:szCs w:val="24"/>
                <w:highlight w:val="none"/>
              </w:rPr>
              <w:t>明</w:t>
            </w:r>
          </w:p>
        </w:tc>
      </w:tr>
      <w:tr w14:paraId="5C3EB5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1D08FEED">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w:t>
            </w:r>
          </w:p>
        </w:tc>
        <w:tc>
          <w:tcPr>
            <w:tcW w:w="7437" w:type="dxa"/>
            <w:tcBorders>
              <w:tl2br w:val="nil"/>
              <w:tr2bl w:val="nil"/>
            </w:tcBorders>
            <w:vAlign w:val="center"/>
          </w:tcPr>
          <w:p w14:paraId="1960BCDE">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采购人名称：</w:t>
            </w:r>
            <w:r>
              <w:rPr>
                <w:rFonts w:hint="eastAsia" w:hAnsi="宋体"/>
                <w:color w:val="auto"/>
                <w:sz w:val="24"/>
                <w:szCs w:val="24"/>
                <w:highlight w:val="none"/>
              </w:rPr>
              <w:t>金源路汽车公园及东港紧固件北侧地块运营服务</w:t>
            </w:r>
          </w:p>
        </w:tc>
      </w:tr>
      <w:tr w14:paraId="1E3EF2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602C0FEB">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2</w:t>
            </w:r>
          </w:p>
        </w:tc>
        <w:tc>
          <w:tcPr>
            <w:tcW w:w="7437" w:type="dxa"/>
            <w:tcBorders>
              <w:tl2br w:val="nil"/>
              <w:tr2bl w:val="nil"/>
            </w:tcBorders>
            <w:vAlign w:val="center"/>
          </w:tcPr>
          <w:p w14:paraId="15D467C1">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采购代理名称：</w:t>
            </w:r>
            <w:r>
              <w:rPr>
                <w:rFonts w:hint="default" w:ascii="宋体" w:hAnsi="宋体" w:cs="宋体"/>
                <w:color w:val="auto"/>
                <w:sz w:val="24"/>
                <w:szCs w:val="24"/>
                <w:highlight w:val="none"/>
              </w:rPr>
              <w:t>宁波星益工程项目管理咨询有限公司</w:t>
            </w:r>
          </w:p>
        </w:tc>
      </w:tr>
      <w:tr w14:paraId="248DA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2988A13F">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3</w:t>
            </w:r>
          </w:p>
        </w:tc>
        <w:tc>
          <w:tcPr>
            <w:tcW w:w="7437" w:type="dxa"/>
            <w:tcBorders>
              <w:tl2br w:val="nil"/>
              <w:tr2bl w:val="nil"/>
            </w:tcBorders>
            <w:vAlign w:val="center"/>
          </w:tcPr>
          <w:p w14:paraId="3281FF20">
            <w:pPr>
              <w:keepNext w:val="0"/>
              <w:keepLines w:val="0"/>
              <w:pageBreakBefore w:val="0"/>
              <w:kinsoku/>
              <w:overflowPunct/>
              <w:topLinePunct w:val="0"/>
              <w:autoSpaceDE/>
              <w:autoSpaceDN/>
              <w:bidi w:val="0"/>
              <w:adjustRightInd/>
              <w:snapToGrid/>
              <w:spacing w:line="400" w:lineRule="exact"/>
              <w:textAlignment w:val="auto"/>
              <w:rPr>
                <w:i/>
                <w:color w:val="auto"/>
                <w:sz w:val="24"/>
                <w:szCs w:val="24"/>
                <w:highlight w:val="none"/>
              </w:rPr>
            </w:pPr>
            <w:r>
              <w:rPr>
                <w:rFonts w:hAnsi="宋体"/>
                <w:color w:val="auto"/>
                <w:sz w:val="24"/>
                <w:szCs w:val="24"/>
                <w:highlight w:val="none"/>
              </w:rPr>
              <w:t>合同名称：</w:t>
            </w:r>
            <w:r>
              <w:rPr>
                <w:rFonts w:hint="eastAsia" w:hAnsi="宋体"/>
                <w:color w:val="auto"/>
                <w:sz w:val="24"/>
                <w:szCs w:val="24"/>
                <w:highlight w:val="none"/>
                <w:lang w:eastAsia="zh-CN"/>
              </w:rPr>
              <w:t>金源路汽车公园及东港紧固件北侧地块运营服务</w:t>
            </w:r>
            <w:r>
              <w:rPr>
                <w:rFonts w:hint="eastAsia" w:ascii="Times New Roman" w:hAnsi="宋体" w:eastAsia="宋体" w:cs="Times New Roman"/>
                <w:color w:val="auto"/>
                <w:sz w:val="24"/>
                <w:szCs w:val="24"/>
                <w:highlight w:val="none"/>
                <w:u w:val="none"/>
              </w:rPr>
              <w:t>合同</w:t>
            </w:r>
          </w:p>
        </w:tc>
      </w:tr>
      <w:tr w14:paraId="03D70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462" w:type="dxa"/>
            <w:vMerge w:val="restart"/>
            <w:tcBorders>
              <w:tl2br w:val="nil"/>
              <w:tr2bl w:val="nil"/>
            </w:tcBorders>
            <w:vAlign w:val="center"/>
          </w:tcPr>
          <w:p w14:paraId="1B41F2F8">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4</w:t>
            </w:r>
          </w:p>
        </w:tc>
        <w:tc>
          <w:tcPr>
            <w:tcW w:w="7437" w:type="dxa"/>
            <w:tcBorders>
              <w:tl2br w:val="nil"/>
              <w:tr2bl w:val="nil"/>
            </w:tcBorders>
            <w:vAlign w:val="center"/>
          </w:tcPr>
          <w:p w14:paraId="66B053F3">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int="eastAsia" w:ascii="Calibri" w:hAnsi="宋体"/>
                <w:color w:val="auto"/>
                <w:sz w:val="24"/>
                <w:szCs w:val="24"/>
                <w:highlight w:val="none"/>
              </w:rPr>
              <w:t>其他说明：</w:t>
            </w:r>
            <w:r>
              <w:rPr>
                <w:rFonts w:hint="eastAsia" w:ascii="Times New Roman" w:hAnsi="Times New Roman" w:eastAsia="宋体" w:cs="Times New Roman"/>
                <w:color w:val="auto"/>
                <w:sz w:val="24"/>
                <w:szCs w:val="24"/>
                <w:highlight w:val="none"/>
                <w:u w:val="single"/>
                <w:lang w:val="en-US" w:eastAsia="zh-CN"/>
              </w:rPr>
              <w:t>本项目专门面向中小企业采购。</w:t>
            </w:r>
          </w:p>
          <w:p w14:paraId="13675EA5">
            <w:pPr>
              <w:keepNext w:val="0"/>
              <w:keepLines w:val="0"/>
              <w:pageBreakBefore w:val="0"/>
              <w:kinsoku/>
              <w:overflowPunct/>
              <w:topLinePunct w:val="0"/>
              <w:autoSpaceDE/>
              <w:autoSpaceDN/>
              <w:bidi w:val="0"/>
              <w:adjustRightInd/>
              <w:snapToGrid/>
              <w:spacing w:line="400" w:lineRule="exact"/>
              <w:textAlignment w:val="auto"/>
              <w:rPr>
                <w:rFonts w:hint="eastAsia"/>
                <w:color w:val="auto"/>
                <w:sz w:val="24"/>
                <w:szCs w:val="24"/>
                <w:highlight w:val="none"/>
                <w:u w:val="single"/>
              </w:rPr>
            </w:pPr>
            <w:r>
              <w:rPr>
                <w:color w:val="auto"/>
                <w:sz w:val="24"/>
                <w:szCs w:val="24"/>
                <w:highlight w:val="none"/>
                <w:u w:val="single"/>
              </w:rPr>
              <w:t>标</w:t>
            </w:r>
            <w:r>
              <w:rPr>
                <w:rFonts w:hint="eastAsia"/>
                <w:color w:val="auto"/>
                <w:sz w:val="24"/>
                <w:szCs w:val="24"/>
                <w:highlight w:val="none"/>
                <w:u w:val="single"/>
                <w:lang w:val="en-US" w:eastAsia="zh-CN"/>
              </w:rPr>
              <w:t>项一</w:t>
            </w:r>
            <w:r>
              <w:rPr>
                <w:color w:val="auto"/>
                <w:sz w:val="24"/>
                <w:szCs w:val="24"/>
                <w:highlight w:val="none"/>
                <w:u w:val="single"/>
              </w:rPr>
              <w:t>：</w:t>
            </w:r>
            <w:r>
              <w:rPr>
                <w:rFonts w:hint="eastAsia"/>
                <w:color w:val="auto"/>
                <w:sz w:val="24"/>
                <w:szCs w:val="24"/>
                <w:highlight w:val="none"/>
                <w:u w:val="single"/>
                <w:lang w:eastAsia="zh-CN"/>
              </w:rPr>
              <w:t>金源路汽车公园及东港紧固件北侧地块运营服务</w:t>
            </w:r>
            <w:r>
              <w:rPr>
                <w:rFonts w:hint="eastAsia"/>
                <w:color w:val="auto"/>
                <w:sz w:val="24"/>
                <w:szCs w:val="24"/>
                <w:highlight w:val="none"/>
                <w:u w:val="single"/>
              </w:rPr>
              <w:t xml:space="preserve">， </w:t>
            </w:r>
            <w:r>
              <w:rPr>
                <w:color w:val="auto"/>
                <w:sz w:val="24"/>
                <w:szCs w:val="24"/>
                <w:highlight w:val="none"/>
                <w:u w:val="single"/>
              </w:rPr>
              <w:t>属于</w:t>
            </w:r>
            <w:r>
              <w:rPr>
                <w:rFonts w:hint="eastAsia"/>
                <w:color w:val="auto"/>
                <w:sz w:val="24"/>
                <w:szCs w:val="24"/>
                <w:highlight w:val="none"/>
                <w:u w:val="single"/>
                <w:lang w:val="en-US" w:eastAsia="zh-CN"/>
              </w:rPr>
              <w:t xml:space="preserve"> 其他未列明行业</w:t>
            </w:r>
            <w:r>
              <w:rPr>
                <w:rFonts w:hint="eastAsia"/>
                <w:color w:val="auto"/>
                <w:sz w:val="24"/>
                <w:szCs w:val="24"/>
                <w:highlight w:val="none"/>
                <w:u w:val="single"/>
              </w:rPr>
              <w:t xml:space="preserve"> </w:t>
            </w:r>
            <w:r>
              <w:rPr>
                <w:rFonts w:hint="eastAsia"/>
                <w:color w:val="auto"/>
                <w:sz w:val="24"/>
                <w:szCs w:val="24"/>
                <w:highlight w:val="none"/>
                <w:u w:val="single"/>
                <w:lang w:val="en-US" w:eastAsia="zh-CN"/>
              </w:rPr>
              <w:t>行业</w:t>
            </w:r>
            <w:r>
              <w:rPr>
                <w:rFonts w:hint="eastAsia"/>
                <w:color w:val="auto"/>
                <w:sz w:val="24"/>
                <w:szCs w:val="24"/>
                <w:highlight w:val="none"/>
                <w:u w:val="single"/>
              </w:rPr>
              <w:t xml:space="preserve"> </w:t>
            </w:r>
          </w:p>
          <w:p w14:paraId="78A5D6C9">
            <w:pPr>
              <w:keepNext w:val="0"/>
              <w:keepLines w:val="0"/>
              <w:pageBreakBefore w:val="0"/>
              <w:kinsoku/>
              <w:overflowPunct/>
              <w:topLinePunct w:val="0"/>
              <w:autoSpaceDE/>
              <w:autoSpaceDN/>
              <w:bidi w:val="0"/>
              <w:adjustRightInd/>
              <w:snapToGrid/>
              <w:spacing w:line="400" w:lineRule="exact"/>
              <w:textAlignment w:val="auto"/>
              <w:rPr>
                <w:rFonts w:hint="default" w:eastAsia="宋体"/>
                <w:color w:val="auto"/>
                <w:sz w:val="24"/>
                <w:szCs w:val="24"/>
                <w:highlight w:val="none"/>
                <w:u w:val="single"/>
                <w:lang w:val="en-US" w:eastAsia="zh-CN"/>
              </w:rPr>
            </w:pPr>
            <w:r>
              <w:rPr>
                <w:rFonts w:hint="eastAsia"/>
                <w:color w:val="auto"/>
                <w:sz w:val="24"/>
                <w:szCs w:val="24"/>
                <w:highlight w:val="none"/>
                <w:u w:val="single"/>
                <w:lang w:val="en-US" w:eastAsia="zh-CN"/>
              </w:rPr>
              <w:t>具体详见《中小企业声明函》。</w:t>
            </w:r>
          </w:p>
        </w:tc>
      </w:tr>
      <w:tr w14:paraId="786DC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vMerge w:val="continue"/>
            <w:tcBorders>
              <w:tl2br w:val="nil"/>
              <w:tr2bl w:val="nil"/>
            </w:tcBorders>
            <w:vAlign w:val="center"/>
          </w:tcPr>
          <w:p w14:paraId="53B3E7F4">
            <w:pPr>
              <w:keepNext w:val="0"/>
              <w:keepLines w:val="0"/>
              <w:pageBreakBefore w:val="0"/>
              <w:kinsoku/>
              <w:overflowPunct/>
              <w:topLinePunct w:val="0"/>
              <w:autoSpaceDE/>
              <w:autoSpaceDN/>
              <w:bidi w:val="0"/>
              <w:adjustRightInd/>
              <w:snapToGrid/>
              <w:spacing w:line="400" w:lineRule="exact"/>
              <w:jc w:val="center"/>
              <w:textAlignment w:val="auto"/>
              <w:rPr>
                <w:rFonts w:hint="eastAsia"/>
                <w:color w:val="auto"/>
                <w:sz w:val="24"/>
                <w:szCs w:val="24"/>
                <w:highlight w:val="none"/>
              </w:rPr>
            </w:pPr>
          </w:p>
        </w:tc>
        <w:tc>
          <w:tcPr>
            <w:tcW w:w="7437" w:type="dxa"/>
            <w:tcBorders>
              <w:tl2br w:val="nil"/>
              <w:tr2bl w:val="nil"/>
            </w:tcBorders>
            <w:vAlign w:val="center"/>
          </w:tcPr>
          <w:p w14:paraId="0F8BE82A">
            <w:pPr>
              <w:keepNext w:val="0"/>
              <w:keepLines w:val="0"/>
              <w:pageBreakBefore w:val="0"/>
              <w:kinsoku/>
              <w:overflowPunct/>
              <w:topLinePunct w:val="0"/>
              <w:autoSpaceDE/>
              <w:autoSpaceDN/>
              <w:bidi w:val="0"/>
              <w:adjustRightInd/>
              <w:snapToGrid/>
              <w:spacing w:line="400" w:lineRule="exact"/>
              <w:textAlignment w:val="auto"/>
              <w:rPr>
                <w:rFonts w:hint="eastAsia"/>
                <w:color w:val="auto"/>
                <w:sz w:val="24"/>
                <w:szCs w:val="24"/>
                <w:highlight w:val="none"/>
                <w:u w:val="single"/>
                <w:lang w:val="en-US" w:eastAsia="zh-CN"/>
              </w:rPr>
            </w:pPr>
            <w:r>
              <w:rPr>
                <w:rFonts w:hint="eastAsia" w:hAnsi="宋体"/>
                <w:color w:val="auto"/>
                <w:sz w:val="24"/>
                <w:szCs w:val="24"/>
                <w:highlight w:val="none"/>
                <w:u w:val="single"/>
              </w:rPr>
              <w:t>转包与分包：不允许</w:t>
            </w:r>
            <w:r>
              <w:rPr>
                <w:rFonts w:hint="eastAsia" w:hAnsi="宋体"/>
                <w:color w:val="auto"/>
                <w:sz w:val="24"/>
                <w:szCs w:val="24"/>
                <w:highlight w:val="none"/>
                <w:u w:val="single"/>
                <w:lang w:val="en-US" w:eastAsia="zh-CN"/>
              </w:rPr>
              <w:t>转包，未经采购人许可不允许分包</w:t>
            </w:r>
            <w:r>
              <w:rPr>
                <w:rFonts w:hint="eastAsia" w:hAnsi="宋体"/>
                <w:color w:val="auto"/>
                <w:sz w:val="24"/>
                <w:szCs w:val="24"/>
                <w:highlight w:val="none"/>
                <w:u w:val="single"/>
              </w:rPr>
              <w:t xml:space="preserve"> </w:t>
            </w:r>
          </w:p>
        </w:tc>
      </w:tr>
      <w:tr w14:paraId="3A92A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9" w:type="dxa"/>
            <w:gridSpan w:val="2"/>
            <w:tcBorders>
              <w:tl2br w:val="nil"/>
              <w:tr2bl w:val="nil"/>
            </w:tcBorders>
            <w:vAlign w:val="center"/>
          </w:tcPr>
          <w:p w14:paraId="7D819933">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报</w:t>
            </w:r>
            <w:r>
              <w:rPr>
                <w:b/>
                <w:color w:val="auto"/>
                <w:sz w:val="24"/>
                <w:szCs w:val="24"/>
                <w:highlight w:val="none"/>
              </w:rPr>
              <w:t xml:space="preserve"> </w:t>
            </w:r>
            <w:r>
              <w:rPr>
                <w:rFonts w:hAnsi="宋体"/>
                <w:b/>
                <w:color w:val="auto"/>
                <w:sz w:val="24"/>
                <w:szCs w:val="24"/>
                <w:highlight w:val="none"/>
              </w:rPr>
              <w:t>价</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货</w:t>
            </w:r>
            <w:r>
              <w:rPr>
                <w:b/>
                <w:color w:val="auto"/>
                <w:sz w:val="24"/>
                <w:szCs w:val="24"/>
                <w:highlight w:val="none"/>
              </w:rPr>
              <w:t xml:space="preserve"> </w:t>
            </w:r>
            <w:r>
              <w:rPr>
                <w:rFonts w:hAnsi="宋体"/>
                <w:b/>
                <w:color w:val="auto"/>
                <w:sz w:val="24"/>
                <w:szCs w:val="24"/>
                <w:highlight w:val="none"/>
              </w:rPr>
              <w:t>币</w:t>
            </w:r>
          </w:p>
        </w:tc>
      </w:tr>
      <w:tr w14:paraId="40BD7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1462" w:type="dxa"/>
            <w:tcBorders>
              <w:tl2br w:val="nil"/>
              <w:tr2bl w:val="nil"/>
            </w:tcBorders>
            <w:vAlign w:val="center"/>
          </w:tcPr>
          <w:p w14:paraId="37D044AE">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★5</w:t>
            </w:r>
          </w:p>
        </w:tc>
        <w:tc>
          <w:tcPr>
            <w:tcW w:w="7437" w:type="dxa"/>
            <w:tcBorders>
              <w:tl2br w:val="nil"/>
              <w:tr2bl w:val="nil"/>
            </w:tcBorders>
            <w:vAlign w:val="center"/>
          </w:tcPr>
          <w:p w14:paraId="25BB9114">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投标报价：</w:t>
            </w:r>
            <w:r>
              <w:rPr>
                <w:rFonts w:hint="eastAsia" w:hAnsi="宋体"/>
                <w:color w:val="auto"/>
                <w:sz w:val="24"/>
                <w:szCs w:val="24"/>
                <w:highlight w:val="none"/>
                <w:u w:val="single"/>
              </w:rPr>
              <w:t>本项目报价应以含税人民币报价，投标报价须包含本项目服务工作所需的设备、人员工资、奖金、加班费、社会保险、管理费用</w:t>
            </w:r>
            <w:r>
              <w:rPr>
                <w:rFonts w:hint="eastAsia" w:hAnsi="宋体"/>
                <w:color w:val="auto"/>
                <w:sz w:val="24"/>
                <w:szCs w:val="24"/>
                <w:highlight w:val="none"/>
                <w:u w:val="single"/>
                <w:lang w:eastAsia="zh-CN"/>
              </w:rPr>
              <w:t>、</w:t>
            </w:r>
            <w:r>
              <w:rPr>
                <w:rFonts w:hint="eastAsia" w:hAnsi="宋体"/>
                <w:color w:val="auto"/>
                <w:sz w:val="24"/>
                <w:szCs w:val="24"/>
                <w:highlight w:val="none"/>
                <w:u w:val="single"/>
                <w:lang w:val="en-US" w:eastAsia="zh-CN"/>
              </w:rPr>
              <w:t>会务费、专家评审费</w:t>
            </w:r>
            <w:r>
              <w:rPr>
                <w:rFonts w:hint="eastAsia" w:hAnsi="宋体"/>
                <w:color w:val="auto"/>
                <w:sz w:val="24"/>
                <w:szCs w:val="24"/>
                <w:highlight w:val="none"/>
                <w:u w:val="single"/>
              </w:rPr>
              <w:t>、</w:t>
            </w:r>
            <w:r>
              <w:rPr>
                <w:rFonts w:hint="eastAsia" w:hAnsi="宋体"/>
                <w:color w:val="auto"/>
                <w:sz w:val="24"/>
                <w:szCs w:val="24"/>
                <w:highlight w:val="none"/>
                <w:u w:val="single"/>
                <w:lang w:val="en-US" w:eastAsia="zh-CN"/>
              </w:rPr>
              <w:t>调研费、</w:t>
            </w:r>
            <w:r>
              <w:rPr>
                <w:rFonts w:hint="eastAsia" w:hAnsi="宋体"/>
                <w:color w:val="auto"/>
                <w:sz w:val="24"/>
                <w:szCs w:val="24"/>
                <w:highlight w:val="none"/>
                <w:u w:val="single"/>
              </w:rPr>
              <w:t>税费、利润、完成合同所需的一切本身和不可或缺的所有工作开支、政策性文件规定及合同包含的所有风险、责任等各项全部费用</w:t>
            </w:r>
            <w:r>
              <w:rPr>
                <w:color w:val="auto"/>
                <w:sz w:val="24"/>
                <w:szCs w:val="24"/>
                <w:highlight w:val="none"/>
                <w:u w:val="single"/>
              </w:rPr>
              <w:t>。本项目采购预算（或最高限价）详见</w:t>
            </w:r>
            <w:r>
              <w:rPr>
                <w:rFonts w:hint="eastAsia"/>
                <w:color w:val="auto"/>
                <w:sz w:val="24"/>
                <w:szCs w:val="24"/>
                <w:highlight w:val="none"/>
                <w:u w:val="single"/>
              </w:rPr>
              <w:t>招标公告</w:t>
            </w:r>
            <w:r>
              <w:rPr>
                <w:color w:val="auto"/>
                <w:sz w:val="24"/>
                <w:szCs w:val="24"/>
                <w:highlight w:val="none"/>
                <w:u w:val="single"/>
              </w:rPr>
              <w:t>，投标报价超过预算（或最高限价）的作无效标处理。</w:t>
            </w:r>
          </w:p>
        </w:tc>
      </w:tr>
      <w:tr w14:paraId="46C5F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5708159E">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6</w:t>
            </w:r>
          </w:p>
        </w:tc>
        <w:tc>
          <w:tcPr>
            <w:tcW w:w="7437" w:type="dxa"/>
            <w:tcBorders>
              <w:tl2br w:val="nil"/>
              <w:tr2bl w:val="nil"/>
            </w:tcBorders>
            <w:vAlign w:val="center"/>
          </w:tcPr>
          <w:p w14:paraId="72F8C94B">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rPr>
            </w:pPr>
            <w:r>
              <w:rPr>
                <w:rFonts w:hAnsi="宋体"/>
                <w:color w:val="auto"/>
                <w:sz w:val="24"/>
                <w:szCs w:val="24"/>
                <w:highlight w:val="none"/>
              </w:rPr>
              <w:t>投标货币：</w:t>
            </w:r>
            <w:r>
              <w:rPr>
                <w:rFonts w:hAnsi="宋体"/>
                <w:color w:val="auto"/>
                <w:sz w:val="24"/>
                <w:szCs w:val="24"/>
                <w:highlight w:val="none"/>
                <w:u w:val="single"/>
              </w:rPr>
              <w:t>人民币</w:t>
            </w:r>
            <w:r>
              <w:rPr>
                <w:rFonts w:hint="eastAsia" w:hAnsi="宋体"/>
                <w:color w:val="auto"/>
                <w:sz w:val="24"/>
                <w:szCs w:val="24"/>
                <w:highlight w:val="none"/>
                <w:u w:val="single"/>
              </w:rPr>
              <w:t xml:space="preserve"> </w:t>
            </w:r>
            <w:r>
              <w:rPr>
                <w:i/>
                <w:color w:val="auto"/>
                <w:sz w:val="24"/>
                <w:szCs w:val="24"/>
                <w:highlight w:val="none"/>
              </w:rPr>
              <w:t xml:space="preserve"> </w:t>
            </w:r>
          </w:p>
        </w:tc>
      </w:tr>
      <w:tr w14:paraId="0FB384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9" w:type="dxa"/>
            <w:gridSpan w:val="2"/>
            <w:tcBorders>
              <w:tl2br w:val="nil"/>
              <w:tr2bl w:val="nil"/>
            </w:tcBorders>
            <w:vAlign w:val="center"/>
          </w:tcPr>
          <w:p w14:paraId="1820D914">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rFonts w:hAnsi="宋体"/>
                <w:b/>
                <w:color w:val="auto"/>
                <w:sz w:val="24"/>
                <w:szCs w:val="24"/>
                <w:highlight w:val="none"/>
              </w:rPr>
              <w:t>投</w:t>
            </w:r>
            <w:r>
              <w:rPr>
                <w:b/>
                <w:color w:val="auto"/>
                <w:sz w:val="24"/>
                <w:szCs w:val="24"/>
                <w:highlight w:val="none"/>
              </w:rPr>
              <w:t xml:space="preserve"> </w:t>
            </w:r>
            <w:r>
              <w:rPr>
                <w:rFonts w:hAnsi="宋体"/>
                <w:b/>
                <w:color w:val="auto"/>
                <w:sz w:val="24"/>
                <w:szCs w:val="24"/>
                <w:highlight w:val="none"/>
              </w:rPr>
              <w:t>标</w:t>
            </w:r>
            <w:r>
              <w:rPr>
                <w:b/>
                <w:color w:val="auto"/>
                <w:sz w:val="24"/>
                <w:szCs w:val="24"/>
                <w:highlight w:val="none"/>
              </w:rPr>
              <w:t xml:space="preserve"> </w:t>
            </w:r>
            <w:r>
              <w:rPr>
                <w:rFonts w:hAnsi="宋体"/>
                <w:b/>
                <w:color w:val="auto"/>
                <w:sz w:val="24"/>
                <w:szCs w:val="24"/>
                <w:highlight w:val="none"/>
              </w:rPr>
              <w:t>文</w:t>
            </w:r>
            <w:r>
              <w:rPr>
                <w:b/>
                <w:color w:val="auto"/>
                <w:sz w:val="24"/>
                <w:szCs w:val="24"/>
                <w:highlight w:val="none"/>
              </w:rPr>
              <w:t xml:space="preserve"> </w:t>
            </w:r>
            <w:r>
              <w:rPr>
                <w:rFonts w:hAnsi="宋体"/>
                <w:b/>
                <w:color w:val="auto"/>
                <w:sz w:val="24"/>
                <w:szCs w:val="24"/>
                <w:highlight w:val="none"/>
              </w:rPr>
              <w:t>件</w:t>
            </w:r>
            <w:r>
              <w:rPr>
                <w:b/>
                <w:color w:val="auto"/>
                <w:sz w:val="24"/>
                <w:szCs w:val="24"/>
                <w:highlight w:val="none"/>
              </w:rPr>
              <w:t xml:space="preserve"> </w:t>
            </w:r>
            <w:r>
              <w:rPr>
                <w:rFonts w:hAnsi="宋体"/>
                <w:b/>
                <w:color w:val="auto"/>
                <w:sz w:val="24"/>
                <w:szCs w:val="24"/>
                <w:highlight w:val="none"/>
              </w:rPr>
              <w:t>的</w:t>
            </w:r>
            <w:r>
              <w:rPr>
                <w:b/>
                <w:color w:val="auto"/>
                <w:sz w:val="24"/>
                <w:szCs w:val="24"/>
                <w:highlight w:val="none"/>
              </w:rPr>
              <w:t xml:space="preserve"> </w:t>
            </w:r>
            <w:r>
              <w:rPr>
                <w:rFonts w:hAnsi="宋体"/>
                <w:b/>
                <w:color w:val="auto"/>
                <w:sz w:val="24"/>
                <w:szCs w:val="24"/>
                <w:highlight w:val="none"/>
              </w:rPr>
              <w:t>编</w:t>
            </w:r>
            <w:r>
              <w:rPr>
                <w:b/>
                <w:color w:val="auto"/>
                <w:sz w:val="24"/>
                <w:szCs w:val="24"/>
                <w:highlight w:val="none"/>
              </w:rPr>
              <w:t xml:space="preserve"> </w:t>
            </w:r>
            <w:r>
              <w:rPr>
                <w:rFonts w:hAnsi="宋体"/>
                <w:b/>
                <w:color w:val="auto"/>
                <w:sz w:val="24"/>
                <w:szCs w:val="24"/>
                <w:highlight w:val="none"/>
              </w:rPr>
              <w:t>制</w:t>
            </w:r>
            <w:r>
              <w:rPr>
                <w:b/>
                <w:color w:val="auto"/>
                <w:sz w:val="24"/>
                <w:szCs w:val="24"/>
                <w:highlight w:val="none"/>
              </w:rPr>
              <w:t xml:space="preserve"> </w:t>
            </w:r>
            <w:r>
              <w:rPr>
                <w:rFonts w:hAnsi="宋体"/>
                <w:b/>
                <w:color w:val="auto"/>
                <w:sz w:val="24"/>
                <w:szCs w:val="24"/>
                <w:highlight w:val="none"/>
              </w:rPr>
              <w:t>和</w:t>
            </w:r>
            <w:r>
              <w:rPr>
                <w:b/>
                <w:color w:val="auto"/>
                <w:sz w:val="24"/>
                <w:szCs w:val="24"/>
                <w:highlight w:val="none"/>
              </w:rPr>
              <w:t xml:space="preserve"> </w:t>
            </w:r>
            <w:r>
              <w:rPr>
                <w:rFonts w:hAnsi="宋体"/>
                <w:b/>
                <w:color w:val="auto"/>
                <w:sz w:val="24"/>
                <w:szCs w:val="24"/>
                <w:highlight w:val="none"/>
              </w:rPr>
              <w:t>递</w:t>
            </w:r>
            <w:r>
              <w:rPr>
                <w:b/>
                <w:color w:val="auto"/>
                <w:sz w:val="24"/>
                <w:szCs w:val="24"/>
                <w:highlight w:val="none"/>
              </w:rPr>
              <w:t xml:space="preserve"> </w:t>
            </w:r>
            <w:r>
              <w:rPr>
                <w:rFonts w:hAnsi="宋体"/>
                <w:b/>
                <w:color w:val="auto"/>
                <w:sz w:val="24"/>
                <w:szCs w:val="24"/>
                <w:highlight w:val="none"/>
              </w:rPr>
              <w:t>交</w:t>
            </w:r>
          </w:p>
        </w:tc>
      </w:tr>
      <w:tr w14:paraId="34830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45237481">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cs="宋体"/>
                <w:color w:val="auto"/>
                <w:sz w:val="24"/>
                <w:szCs w:val="24"/>
                <w:highlight w:val="none"/>
              </w:rPr>
              <w:t>★</w:t>
            </w:r>
            <w:r>
              <w:rPr>
                <w:rFonts w:hint="eastAsia"/>
                <w:color w:val="auto"/>
                <w:sz w:val="24"/>
                <w:szCs w:val="24"/>
                <w:highlight w:val="none"/>
              </w:rPr>
              <w:t>7</w:t>
            </w:r>
          </w:p>
        </w:tc>
        <w:tc>
          <w:tcPr>
            <w:tcW w:w="7437" w:type="dxa"/>
            <w:tcBorders>
              <w:tl2br w:val="nil"/>
              <w:tr2bl w:val="nil"/>
            </w:tcBorders>
            <w:vAlign w:val="center"/>
          </w:tcPr>
          <w:p w14:paraId="5CCF866E">
            <w:pPr>
              <w:keepNext w:val="0"/>
              <w:keepLines w:val="0"/>
              <w:pageBreakBefore w:val="0"/>
              <w:kinsoku/>
              <w:overflowPunct/>
              <w:topLinePunct w:val="0"/>
              <w:autoSpaceDE/>
              <w:autoSpaceDN/>
              <w:bidi w:val="0"/>
              <w:adjustRightInd/>
              <w:snapToGrid/>
              <w:spacing w:line="400" w:lineRule="exact"/>
              <w:ind w:left="38" w:leftChars="18"/>
              <w:textAlignment w:val="auto"/>
              <w:rPr>
                <w:color w:val="auto"/>
                <w:sz w:val="24"/>
                <w:szCs w:val="24"/>
                <w:highlight w:val="none"/>
              </w:rPr>
            </w:pPr>
            <w:r>
              <w:rPr>
                <w:rFonts w:hAnsi="宋体"/>
                <w:color w:val="auto"/>
                <w:sz w:val="24"/>
                <w:szCs w:val="24"/>
                <w:highlight w:val="none"/>
              </w:rPr>
              <w:t>资格标准：</w:t>
            </w:r>
            <w:r>
              <w:rPr>
                <w:rFonts w:hint="eastAsia"/>
                <w:color w:val="auto"/>
                <w:sz w:val="24"/>
                <w:szCs w:val="24"/>
                <w:highlight w:val="none"/>
                <w:u w:val="single"/>
              </w:rPr>
              <w:t xml:space="preserve">详见《招标公告》第2条 </w:t>
            </w:r>
          </w:p>
        </w:tc>
      </w:tr>
      <w:tr w14:paraId="5C6B3F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vMerge w:val="restart"/>
            <w:tcBorders>
              <w:tl2br w:val="nil"/>
              <w:tr2bl w:val="nil"/>
            </w:tcBorders>
            <w:vAlign w:val="center"/>
          </w:tcPr>
          <w:p w14:paraId="09BB7646">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8</w:t>
            </w:r>
          </w:p>
        </w:tc>
        <w:tc>
          <w:tcPr>
            <w:tcW w:w="7437" w:type="dxa"/>
            <w:tcBorders>
              <w:tl2br w:val="nil"/>
              <w:tr2bl w:val="nil"/>
            </w:tcBorders>
            <w:vAlign w:val="center"/>
          </w:tcPr>
          <w:p w14:paraId="2D0B7F9D">
            <w:pPr>
              <w:keepNext w:val="0"/>
              <w:keepLines w:val="0"/>
              <w:pageBreakBefore w:val="0"/>
              <w:kinsoku/>
              <w:overflowPunct/>
              <w:topLinePunct w:val="0"/>
              <w:autoSpaceDE/>
              <w:autoSpaceDN/>
              <w:bidi w:val="0"/>
              <w:adjustRightInd/>
              <w:snapToGrid/>
              <w:spacing w:line="400" w:lineRule="exact"/>
              <w:textAlignment w:val="auto"/>
              <w:rPr>
                <w:b/>
                <w:color w:val="auto"/>
                <w:sz w:val="24"/>
                <w:szCs w:val="24"/>
                <w:highlight w:val="none"/>
                <w:u w:val="single"/>
              </w:rPr>
            </w:pPr>
            <w:r>
              <w:rPr>
                <w:rFonts w:hint="eastAsia" w:hAnsi="宋体"/>
                <w:color w:val="auto"/>
                <w:sz w:val="24"/>
                <w:szCs w:val="24"/>
                <w:highlight w:val="none"/>
              </w:rPr>
              <w:t>投标文件的组成：</w:t>
            </w:r>
            <w:r>
              <w:rPr>
                <w:rFonts w:hint="eastAsia" w:ascii="宋体" w:hAnsi="宋体" w:cs="宋体"/>
                <w:color w:val="auto"/>
                <w:sz w:val="24"/>
                <w:szCs w:val="24"/>
                <w:highlight w:val="none"/>
              </w:rPr>
              <w:t>★</w:t>
            </w:r>
            <w:r>
              <w:rPr>
                <w:rFonts w:hint="eastAsia" w:hAnsi="宋体"/>
                <w:color w:val="auto"/>
                <w:sz w:val="24"/>
                <w:szCs w:val="24"/>
                <w:highlight w:val="none"/>
                <w:u w:val="single"/>
              </w:rPr>
              <w:t>按《供应商须知》第7条规定</w:t>
            </w:r>
          </w:p>
        </w:tc>
      </w:tr>
      <w:tr w14:paraId="0EEC2D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vMerge w:val="continue"/>
            <w:tcBorders>
              <w:tl2br w:val="nil"/>
              <w:tr2bl w:val="nil"/>
            </w:tcBorders>
            <w:vAlign w:val="center"/>
          </w:tcPr>
          <w:p w14:paraId="67B1BBE4">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7437" w:type="dxa"/>
            <w:tcBorders>
              <w:tl2br w:val="nil"/>
              <w:tr2bl w:val="nil"/>
            </w:tcBorders>
            <w:vAlign w:val="center"/>
          </w:tcPr>
          <w:p w14:paraId="11C7FE4C">
            <w:pPr>
              <w:keepNext w:val="0"/>
              <w:keepLines w:val="0"/>
              <w:pageBreakBefore w:val="0"/>
              <w:kinsoku/>
              <w:overflowPunct/>
              <w:topLinePunct w:val="0"/>
              <w:autoSpaceDE/>
              <w:autoSpaceDN/>
              <w:bidi w:val="0"/>
              <w:adjustRightInd/>
              <w:snapToGrid/>
              <w:spacing w:line="400" w:lineRule="exact"/>
              <w:textAlignment w:val="auto"/>
              <w:rPr>
                <w:rFonts w:hAnsi="宋体"/>
                <w:color w:val="auto"/>
                <w:sz w:val="24"/>
                <w:szCs w:val="24"/>
                <w:highlight w:val="none"/>
              </w:rPr>
            </w:pPr>
            <w:r>
              <w:rPr>
                <w:rFonts w:hint="eastAsia" w:hAnsi="宋体"/>
                <w:color w:val="auto"/>
                <w:sz w:val="24"/>
                <w:szCs w:val="24"/>
                <w:highlight w:val="none"/>
              </w:rPr>
              <w:t>投标文件的份数：</w:t>
            </w:r>
            <w:r>
              <w:rPr>
                <w:rFonts w:hint="eastAsia" w:ascii="宋体" w:hAnsi="宋体" w:cs="宋体"/>
                <w:color w:val="auto"/>
                <w:sz w:val="24"/>
                <w:szCs w:val="24"/>
                <w:highlight w:val="none"/>
              </w:rPr>
              <w:t>★</w:t>
            </w:r>
            <w:r>
              <w:rPr>
                <w:rFonts w:hint="eastAsia" w:hAnsi="宋体"/>
                <w:b/>
                <w:color w:val="auto"/>
                <w:sz w:val="24"/>
                <w:szCs w:val="24"/>
                <w:highlight w:val="none"/>
                <w:u w:val="single"/>
              </w:rPr>
              <w:t>上传到政采云平台的电子投标文件1份</w:t>
            </w:r>
          </w:p>
        </w:tc>
      </w:tr>
      <w:tr w14:paraId="1D805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462" w:type="dxa"/>
            <w:vMerge w:val="continue"/>
            <w:tcBorders>
              <w:tl2br w:val="nil"/>
              <w:tr2bl w:val="nil"/>
            </w:tcBorders>
            <w:vAlign w:val="center"/>
          </w:tcPr>
          <w:p w14:paraId="3358AA5A">
            <w:pPr>
              <w:keepNext w:val="0"/>
              <w:keepLines w:val="0"/>
              <w:pageBreakBefore w:val="0"/>
              <w:kinsoku/>
              <w:overflowPunct/>
              <w:topLinePunct w:val="0"/>
              <w:autoSpaceDE/>
              <w:autoSpaceDN/>
              <w:bidi w:val="0"/>
              <w:adjustRightInd/>
              <w:snapToGrid/>
              <w:spacing w:line="400" w:lineRule="exact"/>
              <w:jc w:val="center"/>
              <w:textAlignment w:val="auto"/>
              <w:rPr>
                <w:rFonts w:ascii="宋体" w:hAnsi="宋体" w:cs="宋体"/>
                <w:color w:val="auto"/>
                <w:sz w:val="24"/>
                <w:szCs w:val="24"/>
                <w:highlight w:val="none"/>
              </w:rPr>
            </w:pPr>
          </w:p>
        </w:tc>
        <w:tc>
          <w:tcPr>
            <w:tcW w:w="7437" w:type="dxa"/>
            <w:tcBorders>
              <w:tl2br w:val="nil"/>
              <w:tr2bl w:val="nil"/>
            </w:tcBorders>
            <w:vAlign w:val="center"/>
          </w:tcPr>
          <w:p w14:paraId="00B14931">
            <w:pPr>
              <w:keepNext w:val="0"/>
              <w:keepLines w:val="0"/>
              <w:pageBreakBefore w:val="0"/>
              <w:kinsoku/>
              <w:overflowPunct/>
              <w:topLinePunct w:val="0"/>
              <w:autoSpaceDE/>
              <w:autoSpaceDN/>
              <w:bidi w:val="0"/>
              <w:adjustRightInd/>
              <w:snapToGrid/>
              <w:spacing w:line="400" w:lineRule="exact"/>
              <w:textAlignment w:val="auto"/>
              <w:rPr>
                <w:rFonts w:hAnsi="宋体"/>
                <w:color w:val="auto"/>
                <w:sz w:val="24"/>
                <w:szCs w:val="24"/>
                <w:highlight w:val="none"/>
              </w:rPr>
            </w:pPr>
            <w:r>
              <w:rPr>
                <w:rFonts w:hint="eastAsia" w:hAnsi="宋体"/>
                <w:bCs/>
                <w:color w:val="auto"/>
                <w:sz w:val="24"/>
                <w:szCs w:val="24"/>
                <w:highlight w:val="none"/>
                <w:u w:val="single"/>
              </w:rPr>
              <w:t>供应商可提供电子备份投标文件1份（备份投标文件于</w:t>
            </w:r>
            <w:r>
              <w:rPr>
                <w:rFonts w:hint="eastAsia" w:hAnsi="宋体"/>
                <w:bCs/>
                <w:color w:val="auto"/>
                <w:sz w:val="24"/>
                <w:szCs w:val="24"/>
                <w:highlight w:val="none"/>
                <w:u w:val="single"/>
                <w:lang w:val="en-US" w:eastAsia="zh-CN"/>
              </w:rPr>
              <w:t>投标</w:t>
            </w:r>
            <w:r>
              <w:rPr>
                <w:rFonts w:hint="eastAsia" w:hAnsi="宋体"/>
                <w:bCs/>
                <w:color w:val="auto"/>
                <w:sz w:val="24"/>
                <w:szCs w:val="24"/>
                <w:highlight w:val="none"/>
                <w:u w:val="single"/>
              </w:rPr>
              <w:t>截止时间前一日16:00（北京时间）</w:t>
            </w:r>
            <w:r>
              <w:rPr>
                <w:rFonts w:hint="eastAsia" w:hAnsi="宋体"/>
                <w:bCs/>
                <w:color w:val="auto"/>
                <w:sz w:val="24"/>
                <w:szCs w:val="24"/>
                <w:highlight w:val="none"/>
                <w:u w:val="single"/>
                <w:lang w:val="en-US" w:eastAsia="zh-CN"/>
              </w:rPr>
              <w:t>前</w:t>
            </w:r>
            <w:r>
              <w:rPr>
                <w:rFonts w:hint="eastAsia" w:hAnsi="宋体"/>
                <w:bCs/>
                <w:color w:val="auto"/>
                <w:sz w:val="24"/>
                <w:szCs w:val="24"/>
                <w:highlight w:val="none"/>
                <w:u w:val="single"/>
              </w:rPr>
              <w:t>送到或邮寄到代理公司，备份文件用于异常情况处理，不做强制性要求）</w:t>
            </w:r>
          </w:p>
        </w:tc>
      </w:tr>
      <w:tr w14:paraId="2B7CC1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64FB557A">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9</w:t>
            </w:r>
          </w:p>
        </w:tc>
        <w:tc>
          <w:tcPr>
            <w:tcW w:w="7437" w:type="dxa"/>
            <w:tcBorders>
              <w:tl2br w:val="nil"/>
              <w:tr2bl w:val="nil"/>
            </w:tcBorders>
            <w:vAlign w:val="center"/>
          </w:tcPr>
          <w:p w14:paraId="1D5FC3C9">
            <w:pPr>
              <w:keepNext w:val="0"/>
              <w:keepLines w:val="0"/>
              <w:pageBreakBefore w:val="0"/>
              <w:kinsoku/>
              <w:overflowPunct/>
              <w:topLinePunct w:val="0"/>
              <w:autoSpaceDE/>
              <w:autoSpaceDN/>
              <w:bidi w:val="0"/>
              <w:adjustRightInd/>
              <w:snapToGrid/>
              <w:spacing w:line="400" w:lineRule="exact"/>
              <w:textAlignment w:val="auto"/>
              <w:rPr>
                <w:color w:val="auto"/>
                <w:sz w:val="24"/>
                <w:szCs w:val="24"/>
                <w:highlight w:val="none"/>
                <w:u w:val="single"/>
              </w:rPr>
            </w:pPr>
            <w:r>
              <w:rPr>
                <w:rFonts w:hAnsi="宋体"/>
                <w:color w:val="auto"/>
                <w:sz w:val="24"/>
                <w:szCs w:val="24"/>
                <w:highlight w:val="none"/>
              </w:rPr>
              <w:t>投标保证金：</w:t>
            </w:r>
            <w:r>
              <w:rPr>
                <w:rFonts w:hint="eastAsia" w:hAnsi="宋体"/>
                <w:color w:val="auto"/>
                <w:sz w:val="24"/>
                <w:szCs w:val="24"/>
                <w:highlight w:val="none"/>
                <w:u w:val="single"/>
              </w:rPr>
              <w:t xml:space="preserve">不收取 </w:t>
            </w:r>
          </w:p>
        </w:tc>
      </w:tr>
      <w:tr w14:paraId="4B1839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5F62A09A">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ascii="宋体" w:hAnsi="宋体" w:cs="宋体"/>
                <w:color w:val="auto"/>
                <w:sz w:val="24"/>
                <w:szCs w:val="24"/>
                <w:highlight w:val="none"/>
              </w:rPr>
              <w:t>★</w:t>
            </w:r>
            <w:r>
              <w:rPr>
                <w:color w:val="auto"/>
                <w:sz w:val="24"/>
                <w:szCs w:val="24"/>
                <w:highlight w:val="none"/>
              </w:rPr>
              <w:t>1</w:t>
            </w:r>
            <w:r>
              <w:rPr>
                <w:rFonts w:hint="eastAsia"/>
                <w:color w:val="auto"/>
                <w:sz w:val="24"/>
                <w:szCs w:val="24"/>
                <w:highlight w:val="none"/>
              </w:rPr>
              <w:t>0</w:t>
            </w:r>
          </w:p>
        </w:tc>
        <w:tc>
          <w:tcPr>
            <w:tcW w:w="7437" w:type="dxa"/>
            <w:tcBorders>
              <w:tl2br w:val="nil"/>
              <w:tr2bl w:val="nil"/>
            </w:tcBorders>
            <w:vAlign w:val="center"/>
          </w:tcPr>
          <w:p w14:paraId="111F758E">
            <w:pPr>
              <w:keepNext w:val="0"/>
              <w:keepLines w:val="0"/>
              <w:pageBreakBefore w:val="0"/>
              <w:kinsoku/>
              <w:overflowPunct/>
              <w:topLinePunct w:val="0"/>
              <w:autoSpaceDE/>
              <w:autoSpaceDN/>
              <w:bidi w:val="0"/>
              <w:adjustRightInd/>
              <w:snapToGrid/>
              <w:spacing w:line="400" w:lineRule="exact"/>
              <w:textAlignment w:val="auto"/>
              <w:rPr>
                <w:i/>
                <w:color w:val="auto"/>
                <w:sz w:val="24"/>
                <w:szCs w:val="24"/>
                <w:highlight w:val="none"/>
              </w:rPr>
            </w:pPr>
            <w:r>
              <w:rPr>
                <w:rFonts w:hAnsi="宋体"/>
                <w:color w:val="auto"/>
                <w:sz w:val="24"/>
                <w:szCs w:val="24"/>
                <w:highlight w:val="none"/>
              </w:rPr>
              <w:t>投标有效期：</w:t>
            </w:r>
            <w:r>
              <w:rPr>
                <w:rFonts w:hint="eastAsia" w:hAnsi="宋体"/>
                <w:color w:val="auto"/>
                <w:sz w:val="24"/>
                <w:szCs w:val="24"/>
                <w:highlight w:val="none"/>
              </w:rPr>
              <w:t>开标之日起</w:t>
            </w:r>
            <w:r>
              <w:rPr>
                <w:color w:val="auto"/>
                <w:sz w:val="24"/>
                <w:szCs w:val="24"/>
                <w:highlight w:val="none"/>
                <w:u w:val="single"/>
              </w:rPr>
              <w:t xml:space="preserve">  90  </w:t>
            </w:r>
            <w:r>
              <w:rPr>
                <w:rFonts w:hint="eastAsia" w:hAnsi="宋体"/>
                <w:color w:val="auto"/>
                <w:sz w:val="24"/>
                <w:szCs w:val="24"/>
                <w:highlight w:val="none"/>
              </w:rPr>
              <w:t>日历天</w:t>
            </w:r>
          </w:p>
        </w:tc>
      </w:tr>
      <w:tr w14:paraId="4A968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9" w:type="dxa"/>
            <w:gridSpan w:val="2"/>
            <w:tcBorders>
              <w:tl2br w:val="nil"/>
              <w:tr2bl w:val="nil"/>
            </w:tcBorders>
            <w:vAlign w:val="center"/>
          </w:tcPr>
          <w:p w14:paraId="6AF8E4D8">
            <w:pPr>
              <w:keepNext w:val="0"/>
              <w:keepLines w:val="0"/>
              <w:pageBreakBefore w:val="0"/>
              <w:kinsoku/>
              <w:overflowPunct/>
              <w:topLinePunct w:val="0"/>
              <w:autoSpaceDE/>
              <w:autoSpaceDN/>
              <w:bidi w:val="0"/>
              <w:adjustRightInd/>
              <w:snapToGrid/>
              <w:spacing w:line="400" w:lineRule="exact"/>
              <w:jc w:val="center"/>
              <w:textAlignment w:val="auto"/>
              <w:rPr>
                <w:b/>
                <w:color w:val="auto"/>
                <w:sz w:val="24"/>
                <w:szCs w:val="24"/>
                <w:highlight w:val="none"/>
              </w:rPr>
            </w:pPr>
            <w:r>
              <w:rPr>
                <w:b/>
                <w:color w:val="auto"/>
                <w:sz w:val="24"/>
                <w:szCs w:val="24"/>
                <w:highlight w:val="none"/>
              </w:rPr>
              <w:t>授   予   合   同</w:t>
            </w:r>
          </w:p>
        </w:tc>
      </w:tr>
      <w:tr w14:paraId="4F843A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62" w:type="dxa"/>
            <w:tcBorders>
              <w:tl2br w:val="nil"/>
              <w:tr2bl w:val="nil"/>
            </w:tcBorders>
            <w:vAlign w:val="center"/>
          </w:tcPr>
          <w:p w14:paraId="0355055B">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11</w:t>
            </w:r>
          </w:p>
        </w:tc>
        <w:tc>
          <w:tcPr>
            <w:tcW w:w="7437" w:type="dxa"/>
            <w:tcBorders>
              <w:tl2br w:val="nil"/>
              <w:tr2bl w:val="nil"/>
            </w:tcBorders>
            <w:vAlign w:val="center"/>
          </w:tcPr>
          <w:p w14:paraId="13C55E79">
            <w:pPr>
              <w:keepNext w:val="0"/>
              <w:keepLines w:val="0"/>
              <w:pageBreakBefore w:val="0"/>
              <w:kinsoku/>
              <w:overflowPunct/>
              <w:topLinePunct w:val="0"/>
              <w:autoSpaceDE/>
              <w:autoSpaceDN/>
              <w:bidi w:val="0"/>
              <w:adjustRightInd/>
              <w:snapToGrid/>
              <w:spacing w:line="400" w:lineRule="exact"/>
              <w:textAlignment w:val="auto"/>
              <w:rPr>
                <w:i/>
                <w:color w:val="auto"/>
                <w:sz w:val="24"/>
                <w:szCs w:val="24"/>
                <w:highlight w:val="none"/>
              </w:rPr>
            </w:pPr>
            <w:r>
              <w:rPr>
                <w:color w:val="auto"/>
                <w:sz w:val="24"/>
                <w:szCs w:val="24"/>
                <w:highlight w:val="none"/>
              </w:rPr>
              <w:t>按照政府采购管理办公室</w:t>
            </w:r>
            <w:r>
              <w:rPr>
                <w:rFonts w:hint="eastAsia"/>
                <w:color w:val="auto"/>
                <w:sz w:val="24"/>
                <w:szCs w:val="24"/>
                <w:highlight w:val="none"/>
              </w:rPr>
              <w:t>的规定</w:t>
            </w:r>
            <w:r>
              <w:rPr>
                <w:color w:val="auto"/>
                <w:sz w:val="24"/>
                <w:szCs w:val="24"/>
                <w:highlight w:val="none"/>
              </w:rPr>
              <w:t>、</w:t>
            </w:r>
            <w:r>
              <w:rPr>
                <w:rFonts w:hint="eastAsia"/>
                <w:color w:val="auto"/>
                <w:sz w:val="24"/>
                <w:szCs w:val="24"/>
                <w:highlight w:val="none"/>
              </w:rPr>
              <w:t>招标文件</w:t>
            </w:r>
            <w:r>
              <w:rPr>
                <w:color w:val="auto"/>
                <w:sz w:val="24"/>
                <w:szCs w:val="24"/>
                <w:highlight w:val="none"/>
              </w:rPr>
              <w:t>、中标</w:t>
            </w:r>
            <w:r>
              <w:rPr>
                <w:rFonts w:hint="eastAsia"/>
                <w:color w:val="auto"/>
                <w:sz w:val="24"/>
                <w:szCs w:val="24"/>
                <w:highlight w:val="none"/>
              </w:rPr>
              <w:t>供应商</w:t>
            </w:r>
            <w:r>
              <w:rPr>
                <w:color w:val="auto"/>
                <w:sz w:val="24"/>
                <w:szCs w:val="24"/>
                <w:highlight w:val="none"/>
              </w:rPr>
              <w:t>的投标</w:t>
            </w:r>
            <w:r>
              <w:rPr>
                <w:rFonts w:hint="eastAsia"/>
                <w:color w:val="auto"/>
                <w:sz w:val="24"/>
                <w:szCs w:val="24"/>
                <w:highlight w:val="none"/>
              </w:rPr>
              <w:t>文件</w:t>
            </w:r>
            <w:r>
              <w:rPr>
                <w:color w:val="auto"/>
                <w:sz w:val="24"/>
                <w:szCs w:val="24"/>
                <w:highlight w:val="none"/>
              </w:rPr>
              <w:t>、中标通知书确定的</w:t>
            </w:r>
            <w:r>
              <w:rPr>
                <w:rFonts w:hint="eastAsia"/>
                <w:color w:val="auto"/>
                <w:sz w:val="24"/>
                <w:szCs w:val="24"/>
                <w:highlight w:val="none"/>
              </w:rPr>
              <w:t>内容</w:t>
            </w:r>
            <w:r>
              <w:rPr>
                <w:color w:val="auto"/>
                <w:sz w:val="24"/>
                <w:szCs w:val="24"/>
                <w:highlight w:val="none"/>
              </w:rPr>
              <w:t>签订合同。</w:t>
            </w:r>
          </w:p>
        </w:tc>
      </w:tr>
      <w:tr w14:paraId="5108C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9" w:type="dxa"/>
            <w:gridSpan w:val="2"/>
            <w:tcBorders>
              <w:tl2br w:val="nil"/>
              <w:tr2bl w:val="nil"/>
            </w:tcBorders>
            <w:vAlign w:val="center"/>
          </w:tcPr>
          <w:p w14:paraId="1FEB531C">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b/>
                <w:color w:val="auto"/>
                <w:sz w:val="24"/>
                <w:szCs w:val="24"/>
                <w:highlight w:val="none"/>
              </w:rPr>
              <w:t>发布本次招标公告、中标公告的媒体</w:t>
            </w:r>
          </w:p>
        </w:tc>
      </w:tr>
      <w:tr w14:paraId="6A6E5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1462" w:type="dxa"/>
            <w:tcBorders>
              <w:tl2br w:val="nil"/>
              <w:tr2bl w:val="nil"/>
            </w:tcBorders>
            <w:vAlign w:val="center"/>
          </w:tcPr>
          <w:p w14:paraId="0BB5DBE2">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12</w:t>
            </w:r>
          </w:p>
        </w:tc>
        <w:tc>
          <w:tcPr>
            <w:tcW w:w="7437" w:type="dxa"/>
            <w:tcBorders>
              <w:tl2br w:val="nil"/>
              <w:tr2bl w:val="nil"/>
            </w:tcBorders>
            <w:vAlign w:val="center"/>
          </w:tcPr>
          <w:p w14:paraId="07A08685">
            <w:pPr>
              <w:keepNext w:val="0"/>
              <w:keepLines w:val="0"/>
              <w:pageBreakBefore w:val="0"/>
              <w:kinsoku/>
              <w:overflowPunct/>
              <w:topLinePunct w:val="0"/>
              <w:autoSpaceDE/>
              <w:autoSpaceDN/>
              <w:bidi w:val="0"/>
              <w:adjustRightInd/>
              <w:snapToGrid/>
              <w:spacing w:line="400" w:lineRule="exact"/>
              <w:textAlignment w:val="auto"/>
              <w:rPr>
                <w:rFonts w:hint="eastAsia" w:eastAsia="宋体"/>
                <w:color w:val="auto"/>
                <w:sz w:val="24"/>
                <w:szCs w:val="24"/>
                <w:highlight w:val="none"/>
                <w:lang w:eastAsia="zh-CN"/>
              </w:rPr>
            </w:pPr>
            <w:r>
              <w:rPr>
                <w:rFonts w:hint="eastAsia" w:ascii="Times New Roman" w:hAnsi="Times New Roman" w:eastAsia="宋体" w:cs="Times New Roman"/>
                <w:color w:val="auto"/>
                <w:sz w:val="24"/>
                <w:szCs w:val="24"/>
                <w:highlight w:val="none"/>
              </w:rPr>
              <w:t>浙江政府采购网</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宁波政府采购网</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宁波市公共资源交易电子服务系统</w:t>
            </w:r>
          </w:p>
        </w:tc>
      </w:tr>
      <w:tr w14:paraId="74C622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99" w:type="dxa"/>
            <w:gridSpan w:val="2"/>
            <w:tcBorders>
              <w:tl2br w:val="nil"/>
              <w:tr2bl w:val="nil"/>
            </w:tcBorders>
            <w:vAlign w:val="center"/>
          </w:tcPr>
          <w:p w14:paraId="06F5B14D">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b/>
                <w:color w:val="auto"/>
                <w:sz w:val="24"/>
                <w:szCs w:val="24"/>
                <w:highlight w:val="none"/>
              </w:rPr>
              <w:t>中 标 服 务 费</w:t>
            </w:r>
          </w:p>
        </w:tc>
      </w:tr>
      <w:tr w14:paraId="1C0CE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2" w:hRule="atLeast"/>
        </w:trPr>
        <w:tc>
          <w:tcPr>
            <w:tcW w:w="1462" w:type="dxa"/>
            <w:tcBorders>
              <w:tl2br w:val="nil"/>
              <w:tr2bl w:val="nil"/>
            </w:tcBorders>
            <w:vAlign w:val="center"/>
          </w:tcPr>
          <w:p w14:paraId="303D229F">
            <w:pPr>
              <w:keepNext w:val="0"/>
              <w:keepLines w:val="0"/>
              <w:pageBreakBefore w:val="0"/>
              <w:kinsoku/>
              <w:overflowPunct/>
              <w:topLinePunct w:val="0"/>
              <w:autoSpaceDE/>
              <w:autoSpaceDN/>
              <w:bidi w:val="0"/>
              <w:adjustRightInd/>
              <w:snapToGrid/>
              <w:spacing w:line="400" w:lineRule="exact"/>
              <w:jc w:val="center"/>
              <w:textAlignment w:val="auto"/>
              <w:rPr>
                <w:color w:val="auto"/>
                <w:sz w:val="24"/>
                <w:szCs w:val="24"/>
                <w:highlight w:val="none"/>
              </w:rPr>
            </w:pPr>
            <w:r>
              <w:rPr>
                <w:rFonts w:hint="eastAsia"/>
                <w:color w:val="auto"/>
                <w:sz w:val="24"/>
                <w:szCs w:val="24"/>
                <w:highlight w:val="none"/>
              </w:rPr>
              <w:t>13</w:t>
            </w:r>
          </w:p>
        </w:tc>
        <w:tc>
          <w:tcPr>
            <w:tcW w:w="7437" w:type="dxa"/>
            <w:tcBorders>
              <w:tl2br w:val="nil"/>
              <w:tr2bl w:val="nil"/>
            </w:tcBorders>
            <w:vAlign w:val="center"/>
          </w:tcPr>
          <w:p w14:paraId="49C2418D">
            <w:pPr>
              <w:keepNext w:val="0"/>
              <w:keepLines w:val="0"/>
              <w:pageBreakBefore w:val="0"/>
              <w:kinsoku/>
              <w:wordWrap w:val="0"/>
              <w:overflowPunct/>
              <w:topLinePunct w:val="0"/>
              <w:autoSpaceDE/>
              <w:autoSpaceDN/>
              <w:bidi w:val="0"/>
              <w:adjustRightInd/>
              <w:snapToGrid/>
              <w:spacing w:line="400" w:lineRule="exact"/>
              <w:ind w:left="0" w:leftChars="0" w:right="0" w:right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1.根据国家计委原计价格[2002]1980号文件中招标费率规定的服务类标准计取，按照中标通知书确定的中标金额，向中标人收取采购代理服务费。</w:t>
            </w:r>
          </w:p>
          <w:p w14:paraId="30EF280B">
            <w:pPr>
              <w:keepNext w:val="0"/>
              <w:keepLines w:val="0"/>
              <w:pageBreakBefore w:val="0"/>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收取中标服务费标准（分档累计）</w:t>
            </w:r>
          </w:p>
          <w:tbl>
            <w:tblPr>
              <w:tblStyle w:val="32"/>
              <w:tblW w:w="6540" w:type="dxa"/>
              <w:tblCellSpacing w:w="15"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10"/>
              <w:gridCol w:w="2830"/>
            </w:tblGrid>
            <w:tr w14:paraId="5ACA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blCellSpacing w:w="15" w:type="dxa"/>
              </w:trPr>
              <w:tc>
                <w:tcPr>
                  <w:tcW w:w="3665" w:type="dxa"/>
                  <w:noWrap w:val="0"/>
                  <w:vAlign w:val="center"/>
                </w:tcPr>
                <w:p w14:paraId="2A380A82">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中标金额（万元）</w:t>
                  </w:r>
                </w:p>
              </w:tc>
              <w:tc>
                <w:tcPr>
                  <w:tcW w:w="2785" w:type="dxa"/>
                  <w:noWrap w:val="0"/>
                  <w:vAlign w:val="center"/>
                </w:tcPr>
                <w:p w14:paraId="4F5DDD66">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费率</w:t>
                  </w:r>
                </w:p>
              </w:tc>
            </w:tr>
            <w:tr w14:paraId="3E2D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3" w:hRule="atLeast"/>
                <w:tblCellSpacing w:w="15" w:type="dxa"/>
              </w:trPr>
              <w:tc>
                <w:tcPr>
                  <w:tcW w:w="3665" w:type="dxa"/>
                  <w:noWrap w:val="0"/>
                  <w:vAlign w:val="center"/>
                </w:tcPr>
                <w:p w14:paraId="4AA8E4F9">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100以下</w:t>
                  </w:r>
                </w:p>
              </w:tc>
              <w:tc>
                <w:tcPr>
                  <w:tcW w:w="2785" w:type="dxa"/>
                  <w:noWrap w:val="0"/>
                  <w:vAlign w:val="center"/>
                </w:tcPr>
                <w:p w14:paraId="2AF94064">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1.50%</w:t>
                  </w:r>
                </w:p>
              </w:tc>
            </w:tr>
            <w:tr w14:paraId="46FA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blCellSpacing w:w="15" w:type="dxa"/>
              </w:trPr>
              <w:tc>
                <w:tcPr>
                  <w:tcW w:w="3665" w:type="dxa"/>
                  <w:noWrap w:val="0"/>
                  <w:vAlign w:val="center"/>
                </w:tcPr>
                <w:p w14:paraId="312A9982">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100-500</w:t>
                  </w:r>
                </w:p>
              </w:tc>
              <w:tc>
                <w:tcPr>
                  <w:tcW w:w="2785" w:type="dxa"/>
                  <w:noWrap w:val="0"/>
                  <w:vAlign w:val="center"/>
                </w:tcPr>
                <w:p w14:paraId="6C3E1737">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kern w:val="0"/>
                      <w:sz w:val="24"/>
                      <w:szCs w:val="24"/>
                      <w:highlight w:val="none"/>
                    </w:rPr>
                  </w:pPr>
                  <w:r>
                    <w:rPr>
                      <w:rFonts w:hint="eastAsia" w:ascii="宋体" w:hAnsi="宋体" w:cs="宋体"/>
                      <w:color w:val="auto"/>
                      <w:sz w:val="24"/>
                      <w:szCs w:val="24"/>
                      <w:highlight w:val="none"/>
                    </w:rPr>
                    <w:t>0.80%</w:t>
                  </w:r>
                </w:p>
              </w:tc>
            </w:tr>
            <w:tr w14:paraId="27FB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blCellSpacing w:w="15" w:type="dxa"/>
              </w:trPr>
              <w:tc>
                <w:tcPr>
                  <w:tcW w:w="3665" w:type="dxa"/>
                  <w:noWrap w:val="0"/>
                  <w:vAlign w:val="center"/>
                </w:tcPr>
                <w:p w14:paraId="636BA96D">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500-1000</w:t>
                  </w:r>
                </w:p>
              </w:tc>
              <w:tc>
                <w:tcPr>
                  <w:tcW w:w="2785" w:type="dxa"/>
                  <w:noWrap w:val="0"/>
                  <w:vAlign w:val="center"/>
                </w:tcPr>
                <w:p w14:paraId="661EA0B2">
                  <w:pPr>
                    <w:keepNext w:val="0"/>
                    <w:keepLines w:val="0"/>
                    <w:pageBreakBefore w:val="0"/>
                    <w:widowControl/>
                    <w:kinsoku/>
                    <w:wordWrap w:val="0"/>
                    <w:overflowPunct/>
                    <w:topLinePunct w:val="0"/>
                    <w:autoSpaceDE/>
                    <w:autoSpaceDN/>
                    <w:bidi w:val="0"/>
                    <w:adjustRightInd/>
                    <w:snapToGrid/>
                    <w:spacing w:line="400" w:lineRule="exact"/>
                    <w:ind w:left="0" w:leftChars="0" w:right="0" w:rightChars="0"/>
                    <w:jc w:val="center"/>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0.45%</w:t>
                  </w:r>
                </w:p>
              </w:tc>
            </w:tr>
          </w:tbl>
          <w:p w14:paraId="04ADFF6E">
            <w:pPr>
              <w:keepNext w:val="0"/>
              <w:keepLines w:val="0"/>
              <w:pageBreakBefore w:val="0"/>
              <w:kinsoku/>
              <w:wordWrap w:val="0"/>
              <w:overflowPunct/>
              <w:topLinePunct w:val="0"/>
              <w:autoSpaceDE/>
              <w:autoSpaceDN/>
              <w:bidi w:val="0"/>
              <w:adjustRightInd/>
              <w:snapToGrid/>
              <w:spacing w:line="400" w:lineRule="exact"/>
              <w:ind w:left="0" w:leftChars="0" w:right="0" w:rightChars="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2.中标人负责承担中标服务费，并应在采购代理机构发出中标通知书5个工作日内向采购代理机构支付中标服务费。</w:t>
            </w:r>
          </w:p>
          <w:p w14:paraId="016DCD10">
            <w:pPr>
              <w:keepNext w:val="0"/>
              <w:keepLines w:val="0"/>
              <w:pageBreakBefore w:val="0"/>
              <w:kinsoku/>
              <w:overflowPunct/>
              <w:topLinePunct w:val="0"/>
              <w:autoSpaceDE/>
              <w:autoSpaceDN/>
              <w:bidi w:val="0"/>
              <w:adjustRightInd/>
              <w:snapToGrid/>
              <w:spacing w:line="400" w:lineRule="exact"/>
              <w:ind w:left="0" w:leftChars="0" w:right="0" w:rightChars="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3.中标服务费只收现金、银行票汇款、电汇款。</w:t>
            </w:r>
          </w:p>
          <w:p w14:paraId="53E14CDF">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snapToGrid w:val="0"/>
                <w:kern w:val="28"/>
                <w:sz w:val="24"/>
                <w:lang w:val="en-US" w:eastAsia="zh-CN"/>
              </w:rPr>
            </w:pPr>
            <w:r>
              <w:rPr>
                <w:rFonts w:hint="eastAsia" w:ascii="宋体" w:hAnsi="宋体" w:cs="宋体"/>
                <w:snapToGrid w:val="0"/>
                <w:kern w:val="28"/>
                <w:sz w:val="24"/>
                <w:lang w:val="en-US" w:eastAsia="zh-CN"/>
              </w:rPr>
              <w:t>招标代理服务费汇入以下账户</w:t>
            </w:r>
          </w:p>
          <w:p w14:paraId="381843BC">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snapToGrid w:val="0"/>
                <w:kern w:val="28"/>
                <w:sz w:val="24"/>
                <w:lang w:val="en-US" w:eastAsia="zh-CN"/>
              </w:rPr>
            </w:pPr>
            <w:r>
              <w:rPr>
                <w:rFonts w:hint="eastAsia" w:ascii="宋体" w:hAnsi="宋体" w:cs="宋体"/>
                <w:snapToGrid w:val="0"/>
                <w:kern w:val="28"/>
                <w:sz w:val="24"/>
                <w:lang w:val="en-US" w:eastAsia="zh-CN"/>
              </w:rPr>
              <w:t>开户银行：中国银行股份有限公司宁波中兴支行</w:t>
            </w:r>
          </w:p>
          <w:p w14:paraId="7DE86F90">
            <w:pPr>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cs="宋体"/>
                <w:snapToGrid w:val="0"/>
                <w:kern w:val="28"/>
                <w:sz w:val="24"/>
                <w:lang w:val="en-US" w:eastAsia="zh-CN"/>
              </w:rPr>
            </w:pPr>
            <w:r>
              <w:rPr>
                <w:rFonts w:hint="eastAsia" w:ascii="宋体" w:hAnsi="宋体" w:cs="宋体"/>
                <w:snapToGrid w:val="0"/>
                <w:kern w:val="28"/>
                <w:sz w:val="24"/>
                <w:lang w:val="en-US" w:eastAsia="zh-CN"/>
              </w:rPr>
              <w:t>账号：366284430135</w:t>
            </w:r>
          </w:p>
          <w:p w14:paraId="4286FF2F">
            <w:pPr>
              <w:pStyle w:val="2"/>
              <w:ind w:firstLine="0" w:firstLineChars="0"/>
            </w:pPr>
            <w:r>
              <w:rPr>
                <w:rFonts w:hint="eastAsia" w:ascii="宋体" w:hAnsi="宋体" w:cs="宋体"/>
                <w:snapToGrid w:val="0"/>
                <w:kern w:val="28"/>
                <w:sz w:val="24"/>
                <w:lang w:val="en-US" w:eastAsia="zh-CN"/>
              </w:rPr>
              <w:t>户名：宁波星益工程项目管理咨询有限公司</w:t>
            </w:r>
          </w:p>
        </w:tc>
      </w:tr>
    </w:tbl>
    <w:p w14:paraId="1962EDE2">
      <w:pPr>
        <w:keepNext w:val="0"/>
        <w:keepLines w:val="0"/>
        <w:pageBreakBefore w:val="0"/>
        <w:kinsoku/>
        <w:overflowPunct/>
        <w:topLinePunct w:val="0"/>
        <w:autoSpaceDE/>
        <w:autoSpaceDN/>
        <w:bidi w:val="0"/>
        <w:adjustRightInd/>
        <w:snapToGrid/>
        <w:spacing w:line="400" w:lineRule="exact"/>
        <w:ind w:left="1355" w:hanging="904" w:hangingChars="375"/>
        <w:jc w:val="center"/>
        <w:textAlignment w:val="auto"/>
        <w:rPr>
          <w:b/>
          <w:color w:val="auto"/>
          <w:sz w:val="24"/>
          <w:szCs w:val="24"/>
          <w:highlight w:val="none"/>
        </w:rPr>
      </w:pPr>
    </w:p>
    <w:p w14:paraId="6414EE8C">
      <w:pPr>
        <w:spacing w:line="400" w:lineRule="exact"/>
        <w:rPr>
          <w:b/>
          <w:color w:val="auto"/>
          <w:sz w:val="36"/>
          <w:szCs w:val="36"/>
          <w:highlight w:val="none"/>
        </w:rPr>
      </w:pPr>
    </w:p>
    <w:p w14:paraId="489343E8">
      <w:pPr>
        <w:pStyle w:val="10"/>
        <w:rPr>
          <w:color w:val="auto"/>
          <w:highlight w:val="none"/>
        </w:rPr>
      </w:pPr>
    </w:p>
    <w:p w14:paraId="58BBE736">
      <w:pPr>
        <w:keepNext w:val="0"/>
        <w:keepLines w:val="0"/>
        <w:pageBreakBefore/>
        <w:widowControl w:val="0"/>
        <w:kinsoku/>
        <w:wordWrap/>
        <w:overflowPunct/>
        <w:topLinePunct w:val="0"/>
        <w:autoSpaceDE/>
        <w:autoSpaceDN/>
        <w:bidi w:val="0"/>
        <w:adjustRightInd/>
        <w:snapToGrid/>
        <w:spacing w:line="400" w:lineRule="exact"/>
        <w:ind w:left="0" w:hanging="1355" w:hangingChars="375"/>
        <w:jc w:val="center"/>
        <w:textAlignment w:val="auto"/>
        <w:outlineLvl w:val="1"/>
        <w:rPr>
          <w:b/>
          <w:color w:val="auto"/>
          <w:sz w:val="36"/>
          <w:szCs w:val="36"/>
          <w:highlight w:val="none"/>
        </w:rPr>
      </w:pPr>
      <w:r>
        <w:rPr>
          <w:rFonts w:hint="eastAsia"/>
          <w:b/>
          <w:color w:val="auto"/>
          <w:sz w:val="36"/>
          <w:szCs w:val="36"/>
          <w:highlight w:val="none"/>
        </w:rPr>
        <w:t>投标人须知</w:t>
      </w:r>
    </w:p>
    <w:p w14:paraId="17AB38F0">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rPr>
          <w:rFonts w:hAnsi="宋体"/>
          <w:b/>
          <w:color w:val="auto"/>
          <w:sz w:val="24"/>
          <w:szCs w:val="24"/>
          <w:highlight w:val="none"/>
        </w:rPr>
      </w:pPr>
      <w:r>
        <w:rPr>
          <w:b/>
          <w:color w:val="auto"/>
          <w:sz w:val="24"/>
          <w:szCs w:val="24"/>
          <w:highlight w:val="none"/>
        </w:rPr>
        <w:t xml:space="preserve">A  </w:t>
      </w:r>
      <w:r>
        <w:rPr>
          <w:rFonts w:hAnsi="宋体"/>
          <w:b/>
          <w:color w:val="auto"/>
          <w:sz w:val="24"/>
          <w:szCs w:val="24"/>
          <w:highlight w:val="none"/>
        </w:rPr>
        <w:t>投标人</w:t>
      </w:r>
    </w:p>
    <w:p w14:paraId="789687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书宋简体"/>
          <w:color w:val="auto"/>
          <w:sz w:val="24"/>
          <w:szCs w:val="24"/>
          <w:highlight w:val="none"/>
        </w:rPr>
      </w:pPr>
    </w:p>
    <w:p w14:paraId="5646055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 xml:space="preserve">1.   </w:t>
      </w:r>
      <w:r>
        <w:rPr>
          <w:rFonts w:hAnsi="宋体"/>
          <w:b/>
          <w:color w:val="auto"/>
          <w:sz w:val="24"/>
          <w:szCs w:val="24"/>
          <w:highlight w:val="none"/>
        </w:rPr>
        <w:t>合格的投标人</w:t>
      </w:r>
    </w:p>
    <w:p w14:paraId="3E2BEEA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 xml:space="preserve">1.1  </w:t>
      </w:r>
      <w:r>
        <w:rPr>
          <w:rFonts w:hAnsi="宋体"/>
          <w:color w:val="auto"/>
          <w:sz w:val="24"/>
          <w:szCs w:val="24"/>
          <w:highlight w:val="none"/>
        </w:rPr>
        <w:t>合格的投标人应该是：</w:t>
      </w:r>
      <w:r>
        <w:rPr>
          <w:rFonts w:hint="eastAsia" w:hAnsi="宋体"/>
          <w:color w:val="auto"/>
          <w:sz w:val="24"/>
          <w:szCs w:val="24"/>
          <w:highlight w:val="none"/>
        </w:rPr>
        <w:t xml:space="preserve">符合《中华人民共和国政府采购法》第二十二条规定的供应商资格条件； </w:t>
      </w:r>
    </w:p>
    <w:p w14:paraId="1E6BCC7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（1）具有独立承担民事责任的能力；</w:t>
      </w:r>
    </w:p>
    <w:p w14:paraId="198032B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（2）具有良好的商业信誉和健全的财务会计制度；</w:t>
      </w:r>
    </w:p>
    <w:p w14:paraId="55D0DF2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（3）具有履行合同所必需的设备和专业技术能力；</w:t>
      </w:r>
    </w:p>
    <w:p w14:paraId="22A04966">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（4）有依法缴纳税收和社会保障资金的良好记录；</w:t>
      </w:r>
    </w:p>
    <w:p w14:paraId="051B65DD">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（5）参加政府采购活动前三年内，在经营活动中没有重大违法记录。</w:t>
      </w:r>
    </w:p>
    <w:p w14:paraId="0CBE50A4">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Ansi="宋体"/>
          <w:color w:val="auto"/>
          <w:sz w:val="24"/>
          <w:szCs w:val="24"/>
          <w:highlight w:val="none"/>
        </w:rPr>
      </w:pPr>
      <w:r>
        <w:rPr>
          <w:rFonts w:hint="eastAsia" w:hAnsi="宋体"/>
          <w:color w:val="auto"/>
          <w:sz w:val="24"/>
          <w:szCs w:val="24"/>
          <w:highlight w:val="none"/>
        </w:rPr>
        <w:t>（6）法律、行政法规规定的其他条件。</w:t>
      </w:r>
    </w:p>
    <w:p w14:paraId="2F46AF5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 xml:space="preserve">1.2 </w:t>
      </w:r>
      <w:r>
        <w:rPr>
          <w:rFonts w:hint="eastAsia" w:hAnsi="宋体"/>
          <w:color w:val="auto"/>
          <w:sz w:val="24"/>
          <w:szCs w:val="24"/>
          <w:highlight w:val="none"/>
        </w:rPr>
        <w:t>单位负责人为同一人或者存在直接控股、管理关系的不同供应商，不得同时参加同一合同项下的政府采购活动。除单一来源采购项目外，为采购项目提供整体设计、规范编制或者项目管理、监理、检测等服务的供应商，不得再参加该采购项目的其他采购活动。</w:t>
      </w:r>
    </w:p>
    <w:p w14:paraId="764B750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w:t>
      </w:r>
      <w:r>
        <w:rPr>
          <w:rFonts w:hint="eastAsia"/>
          <w:b/>
          <w:color w:val="auto"/>
          <w:sz w:val="24"/>
          <w:szCs w:val="24"/>
          <w:highlight w:val="none"/>
        </w:rPr>
        <w:t>3</w:t>
      </w:r>
      <w:r>
        <w:rPr>
          <w:color w:val="auto"/>
          <w:sz w:val="24"/>
          <w:szCs w:val="24"/>
          <w:highlight w:val="none"/>
        </w:rPr>
        <w:t xml:space="preserve"> </w:t>
      </w:r>
      <w:r>
        <w:rPr>
          <w:rFonts w:hint="eastAsia"/>
          <w:color w:val="auto"/>
          <w:sz w:val="24"/>
          <w:szCs w:val="24"/>
          <w:highlight w:val="none"/>
        </w:rPr>
        <w:t xml:space="preserve"> </w:t>
      </w:r>
      <w:r>
        <w:rPr>
          <w:rFonts w:hAnsi="宋体"/>
          <w:color w:val="auto"/>
          <w:sz w:val="24"/>
          <w:szCs w:val="24"/>
          <w:highlight w:val="none"/>
        </w:rPr>
        <w:t>符合本</w:t>
      </w:r>
      <w:r>
        <w:rPr>
          <w:rFonts w:hint="eastAsia" w:hAnsi="宋体"/>
          <w:color w:val="auto"/>
          <w:sz w:val="24"/>
          <w:szCs w:val="24"/>
          <w:highlight w:val="none"/>
        </w:rPr>
        <w:t>招标公告</w:t>
      </w:r>
      <w:r>
        <w:rPr>
          <w:rFonts w:hAnsi="宋体"/>
          <w:color w:val="auto"/>
          <w:sz w:val="24"/>
          <w:szCs w:val="24"/>
          <w:highlight w:val="none"/>
        </w:rPr>
        <w:t>规定的其他</w:t>
      </w:r>
      <w:r>
        <w:rPr>
          <w:rFonts w:hint="eastAsia" w:hAnsi="宋体"/>
          <w:color w:val="auto"/>
          <w:sz w:val="24"/>
          <w:szCs w:val="24"/>
          <w:highlight w:val="none"/>
        </w:rPr>
        <w:t>资格</w:t>
      </w:r>
      <w:r>
        <w:rPr>
          <w:rFonts w:hAnsi="宋体"/>
          <w:color w:val="auto"/>
          <w:sz w:val="24"/>
          <w:szCs w:val="24"/>
          <w:highlight w:val="none"/>
        </w:rPr>
        <w:t>要求。</w:t>
      </w:r>
    </w:p>
    <w:p w14:paraId="71D6E14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2.</w:t>
      </w:r>
      <w:r>
        <w:rPr>
          <w:color w:val="auto"/>
          <w:sz w:val="24"/>
          <w:szCs w:val="24"/>
          <w:highlight w:val="none"/>
        </w:rPr>
        <w:t xml:space="preserve">  </w:t>
      </w:r>
      <w:r>
        <w:rPr>
          <w:rFonts w:hAnsi="宋体"/>
          <w:b/>
          <w:color w:val="auto"/>
          <w:sz w:val="24"/>
          <w:szCs w:val="24"/>
          <w:highlight w:val="none"/>
        </w:rPr>
        <w:t>投标人代表</w:t>
      </w:r>
    </w:p>
    <w:p w14:paraId="5AE863C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 </w:t>
      </w:r>
      <w:r>
        <w:rPr>
          <w:rFonts w:hAnsi="宋体"/>
          <w:color w:val="auto"/>
          <w:sz w:val="24"/>
          <w:szCs w:val="24"/>
          <w:highlight w:val="none"/>
        </w:rPr>
        <w:t>若投标人代表是法定代表人，则</w:t>
      </w:r>
      <w:r>
        <w:rPr>
          <w:rFonts w:hint="eastAsia" w:hAnsi="宋体"/>
          <w:color w:val="auto"/>
          <w:sz w:val="24"/>
          <w:szCs w:val="24"/>
          <w:highlight w:val="none"/>
        </w:rPr>
        <w:t>提供法定代表人身份证明</w:t>
      </w:r>
      <w:r>
        <w:rPr>
          <w:rFonts w:hAnsi="宋体"/>
          <w:color w:val="auto"/>
          <w:sz w:val="24"/>
          <w:szCs w:val="24"/>
          <w:highlight w:val="none"/>
        </w:rPr>
        <w:t>。</w:t>
      </w:r>
    </w:p>
    <w:p w14:paraId="0A338FB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2</w:t>
      </w:r>
      <w:r>
        <w:rPr>
          <w:color w:val="auto"/>
          <w:sz w:val="24"/>
          <w:szCs w:val="24"/>
          <w:highlight w:val="none"/>
        </w:rPr>
        <w:t xml:space="preserve"> </w:t>
      </w:r>
      <w:r>
        <w:rPr>
          <w:rFonts w:hAnsi="宋体"/>
          <w:color w:val="auto"/>
          <w:sz w:val="24"/>
          <w:szCs w:val="24"/>
          <w:highlight w:val="none"/>
        </w:rPr>
        <w:t>若投标人代表不是法定代表人，须持有《法定代表人授权书》或《组织授权书》（适用非法人的其它组织）</w:t>
      </w:r>
      <w:r>
        <w:rPr>
          <w:rFonts w:hint="eastAsia" w:hAnsi="宋体"/>
          <w:color w:val="auto"/>
          <w:sz w:val="24"/>
          <w:szCs w:val="24"/>
          <w:highlight w:val="none"/>
        </w:rPr>
        <w:t>。</w:t>
      </w:r>
    </w:p>
    <w:p w14:paraId="35A2E57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b/>
          <w:color w:val="auto"/>
          <w:sz w:val="24"/>
          <w:szCs w:val="24"/>
          <w:highlight w:val="none"/>
        </w:rPr>
      </w:pPr>
      <w:r>
        <w:rPr>
          <w:b/>
          <w:color w:val="auto"/>
          <w:sz w:val="24"/>
          <w:szCs w:val="24"/>
          <w:highlight w:val="none"/>
        </w:rPr>
        <w:t>3.</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投标费用</w:t>
      </w:r>
    </w:p>
    <w:p w14:paraId="2B0134D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3.1</w:t>
      </w:r>
      <w:r>
        <w:rPr>
          <w:color w:val="auto"/>
          <w:sz w:val="24"/>
          <w:szCs w:val="24"/>
          <w:highlight w:val="none"/>
        </w:rPr>
        <w:t xml:space="preserve">  </w:t>
      </w:r>
      <w:r>
        <w:rPr>
          <w:rFonts w:hAnsi="宋体"/>
          <w:color w:val="auto"/>
          <w:sz w:val="24"/>
          <w:szCs w:val="24"/>
          <w:highlight w:val="none"/>
        </w:rPr>
        <w:t>不论招标的结果如何，投标人自行承担其参加本次投标有关的全部费用。</w:t>
      </w:r>
    </w:p>
    <w:p w14:paraId="1B82BCF1">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1"/>
        <w:rPr>
          <w:b/>
          <w:color w:val="auto"/>
          <w:sz w:val="24"/>
          <w:szCs w:val="24"/>
          <w:highlight w:val="none"/>
        </w:rPr>
      </w:pPr>
      <w:r>
        <w:rPr>
          <w:b/>
          <w:color w:val="auto"/>
          <w:sz w:val="24"/>
          <w:szCs w:val="24"/>
          <w:highlight w:val="none"/>
        </w:rPr>
        <w:t xml:space="preserve">B  </w:t>
      </w:r>
      <w:r>
        <w:rPr>
          <w:rFonts w:hAnsi="宋体"/>
          <w:b/>
          <w:color w:val="auto"/>
          <w:sz w:val="24"/>
          <w:szCs w:val="24"/>
          <w:highlight w:val="none"/>
        </w:rPr>
        <w:t>招标文件</w:t>
      </w:r>
    </w:p>
    <w:p w14:paraId="0C51E7D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4.</w:t>
      </w:r>
      <w:r>
        <w:rPr>
          <w:color w:val="auto"/>
          <w:sz w:val="24"/>
          <w:szCs w:val="24"/>
          <w:highlight w:val="none"/>
        </w:rPr>
        <w:t xml:space="preserve">  </w:t>
      </w:r>
      <w:r>
        <w:rPr>
          <w:rFonts w:hAnsi="宋体"/>
          <w:b/>
          <w:color w:val="auto"/>
          <w:sz w:val="24"/>
          <w:szCs w:val="24"/>
          <w:highlight w:val="none"/>
        </w:rPr>
        <w:t>招标文件的构成</w:t>
      </w:r>
    </w:p>
    <w:p w14:paraId="47CD13C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4.1</w:t>
      </w:r>
      <w:r>
        <w:rPr>
          <w:color w:val="auto"/>
          <w:sz w:val="24"/>
          <w:szCs w:val="24"/>
          <w:highlight w:val="none"/>
        </w:rPr>
        <w:t xml:space="preserve"> </w:t>
      </w:r>
      <w:r>
        <w:rPr>
          <w:rFonts w:hAnsi="宋体"/>
          <w:color w:val="auto"/>
          <w:sz w:val="24"/>
          <w:szCs w:val="24"/>
          <w:highlight w:val="none"/>
        </w:rPr>
        <w:t>招标文件共有</w:t>
      </w:r>
      <w:r>
        <w:rPr>
          <w:rFonts w:hint="eastAsia" w:hAnsi="宋体"/>
          <w:color w:val="auto"/>
          <w:sz w:val="24"/>
          <w:szCs w:val="24"/>
          <w:highlight w:val="none"/>
        </w:rPr>
        <w:t>六</w:t>
      </w:r>
      <w:r>
        <w:rPr>
          <w:rFonts w:hAnsi="宋体"/>
          <w:color w:val="auto"/>
          <w:sz w:val="24"/>
          <w:szCs w:val="24"/>
          <w:highlight w:val="none"/>
        </w:rPr>
        <w:t>部分，内容如下：</w:t>
      </w:r>
    </w:p>
    <w:p w14:paraId="28A8467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一</w:t>
      </w:r>
      <w:r>
        <w:rPr>
          <w:rFonts w:hAnsi="宋体"/>
          <w:color w:val="auto"/>
          <w:sz w:val="24"/>
          <w:szCs w:val="24"/>
          <w:highlight w:val="none"/>
        </w:rPr>
        <w:t xml:space="preserve">部分     </w:t>
      </w:r>
      <w:r>
        <w:rPr>
          <w:rFonts w:hint="eastAsia" w:hAnsi="宋体"/>
          <w:color w:val="auto"/>
          <w:sz w:val="24"/>
          <w:szCs w:val="24"/>
          <w:highlight w:val="none"/>
        </w:rPr>
        <w:t>招标公告</w:t>
      </w:r>
    </w:p>
    <w:p w14:paraId="219B751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二</w:t>
      </w:r>
      <w:r>
        <w:rPr>
          <w:rFonts w:hAnsi="宋体"/>
          <w:color w:val="auto"/>
          <w:sz w:val="24"/>
          <w:szCs w:val="24"/>
          <w:highlight w:val="none"/>
        </w:rPr>
        <w:t xml:space="preserve">部分     </w:t>
      </w:r>
      <w:r>
        <w:rPr>
          <w:rFonts w:hint="eastAsia" w:hAnsi="宋体"/>
          <w:color w:val="auto"/>
          <w:sz w:val="24"/>
          <w:szCs w:val="24"/>
          <w:highlight w:val="none"/>
        </w:rPr>
        <w:t>投标人须知及前附表</w:t>
      </w:r>
    </w:p>
    <w:p w14:paraId="1D3E9E0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三</w:t>
      </w:r>
      <w:r>
        <w:rPr>
          <w:rFonts w:hAnsi="宋体"/>
          <w:color w:val="auto"/>
          <w:sz w:val="24"/>
          <w:szCs w:val="24"/>
          <w:highlight w:val="none"/>
        </w:rPr>
        <w:t>部分     评标</w:t>
      </w:r>
      <w:r>
        <w:rPr>
          <w:rFonts w:hint="eastAsia" w:hAnsi="宋体"/>
          <w:color w:val="auto"/>
          <w:sz w:val="24"/>
          <w:szCs w:val="24"/>
          <w:highlight w:val="none"/>
        </w:rPr>
        <w:t>标准</w:t>
      </w:r>
    </w:p>
    <w:p w14:paraId="7AAB6B4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第</w:t>
      </w:r>
      <w:r>
        <w:rPr>
          <w:rFonts w:hint="eastAsia" w:hAnsi="宋体"/>
          <w:color w:val="auto"/>
          <w:sz w:val="24"/>
          <w:szCs w:val="24"/>
          <w:highlight w:val="none"/>
        </w:rPr>
        <w:t>四</w:t>
      </w:r>
      <w:r>
        <w:rPr>
          <w:rFonts w:hAnsi="宋体"/>
          <w:color w:val="auto"/>
          <w:sz w:val="24"/>
          <w:szCs w:val="24"/>
          <w:highlight w:val="none"/>
        </w:rPr>
        <w:t xml:space="preserve">部分     </w:t>
      </w:r>
      <w:r>
        <w:rPr>
          <w:rFonts w:hint="eastAsia" w:hAnsi="宋体"/>
          <w:color w:val="auto"/>
          <w:sz w:val="24"/>
          <w:szCs w:val="24"/>
          <w:highlight w:val="none"/>
          <w:lang w:val="en-US" w:eastAsia="zh-CN"/>
        </w:rPr>
        <w:t>采购需</w:t>
      </w:r>
      <w:r>
        <w:rPr>
          <w:rFonts w:hint="eastAsia" w:hAnsi="宋体"/>
          <w:color w:val="auto"/>
          <w:sz w:val="24"/>
          <w:szCs w:val="24"/>
          <w:highlight w:val="none"/>
        </w:rPr>
        <w:t>求</w:t>
      </w:r>
    </w:p>
    <w:p w14:paraId="6BB402E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第五部分</w:t>
      </w:r>
      <w:r>
        <w:rPr>
          <w:rFonts w:hAnsi="宋体"/>
          <w:color w:val="auto"/>
          <w:sz w:val="24"/>
          <w:szCs w:val="24"/>
          <w:highlight w:val="none"/>
        </w:rPr>
        <w:t xml:space="preserve">     </w:t>
      </w:r>
      <w:r>
        <w:rPr>
          <w:rFonts w:hint="eastAsia" w:hAnsi="宋体"/>
          <w:color w:val="auto"/>
          <w:sz w:val="24"/>
          <w:szCs w:val="24"/>
          <w:highlight w:val="none"/>
        </w:rPr>
        <w:t>合同条款及合同格式</w:t>
      </w:r>
    </w:p>
    <w:p w14:paraId="6E9AD8F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第六部分     附件（投标文件格式）</w:t>
      </w:r>
    </w:p>
    <w:p w14:paraId="7563ECB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5.</w:t>
      </w:r>
      <w:r>
        <w:rPr>
          <w:color w:val="auto"/>
          <w:sz w:val="24"/>
          <w:szCs w:val="24"/>
          <w:highlight w:val="none"/>
        </w:rPr>
        <w:t xml:space="preserve"> </w:t>
      </w:r>
      <w:r>
        <w:rPr>
          <w:rFonts w:hAnsi="宋体"/>
          <w:b/>
          <w:color w:val="auto"/>
          <w:sz w:val="24"/>
          <w:szCs w:val="24"/>
          <w:highlight w:val="none"/>
        </w:rPr>
        <w:t>招标文件的澄清</w:t>
      </w:r>
      <w:r>
        <w:rPr>
          <w:rFonts w:hint="eastAsia" w:hAnsi="宋体"/>
          <w:b/>
          <w:color w:val="auto"/>
          <w:sz w:val="24"/>
          <w:szCs w:val="24"/>
          <w:highlight w:val="none"/>
        </w:rPr>
        <w:t>与修改</w:t>
      </w:r>
    </w:p>
    <w:p w14:paraId="4CFA7D5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5.1</w:t>
      </w:r>
      <w:r>
        <w:rPr>
          <w:rFonts w:hAnsi="宋体"/>
          <w:color w:val="auto"/>
          <w:sz w:val="24"/>
          <w:szCs w:val="24"/>
          <w:highlight w:val="none"/>
        </w:rPr>
        <w:t>在投标截止时间前，</w:t>
      </w:r>
      <w:r>
        <w:rPr>
          <w:rFonts w:hint="eastAsia" w:hAnsi="宋体"/>
          <w:color w:val="auto"/>
          <w:sz w:val="24"/>
          <w:szCs w:val="24"/>
          <w:highlight w:val="none"/>
        </w:rPr>
        <w:t>采购人和</w:t>
      </w:r>
      <w:r>
        <w:rPr>
          <w:rFonts w:hAnsi="宋体"/>
          <w:color w:val="auto"/>
          <w:sz w:val="24"/>
          <w:szCs w:val="24"/>
          <w:highlight w:val="none"/>
        </w:rPr>
        <w:t>采购代理公司可用</w:t>
      </w:r>
      <w:r>
        <w:rPr>
          <w:rFonts w:hint="eastAsia" w:hAnsi="宋体"/>
          <w:color w:val="auto"/>
          <w:sz w:val="24"/>
          <w:szCs w:val="24"/>
          <w:highlight w:val="none"/>
        </w:rPr>
        <w:t>招标文件</w:t>
      </w:r>
      <w:r>
        <w:rPr>
          <w:rFonts w:hAnsi="宋体"/>
          <w:color w:val="auto"/>
          <w:sz w:val="24"/>
          <w:szCs w:val="24"/>
          <w:highlight w:val="none"/>
        </w:rPr>
        <w:t>补充文件的方式对已发出的招标文件进行必要的</w:t>
      </w:r>
      <w:r>
        <w:rPr>
          <w:rFonts w:hint="eastAsia" w:hAnsi="宋体"/>
          <w:color w:val="auto"/>
          <w:sz w:val="24"/>
          <w:szCs w:val="24"/>
          <w:highlight w:val="none"/>
        </w:rPr>
        <w:t>澄清与</w:t>
      </w:r>
      <w:r>
        <w:rPr>
          <w:rFonts w:hAnsi="宋体"/>
          <w:color w:val="auto"/>
          <w:sz w:val="24"/>
          <w:szCs w:val="24"/>
          <w:highlight w:val="none"/>
        </w:rPr>
        <w:t>修改，采购代理公司应在投标截止时间</w:t>
      </w:r>
      <w:r>
        <w:rPr>
          <w:color w:val="auto"/>
          <w:sz w:val="24"/>
          <w:szCs w:val="24"/>
          <w:highlight w:val="none"/>
        </w:rPr>
        <w:t>15</w:t>
      </w:r>
      <w:r>
        <w:rPr>
          <w:rFonts w:hAnsi="宋体"/>
          <w:color w:val="auto"/>
          <w:sz w:val="24"/>
          <w:szCs w:val="24"/>
          <w:highlight w:val="none"/>
        </w:rPr>
        <w:t>日前在规定的政府采购信息发布媒体上发布</w:t>
      </w:r>
      <w:r>
        <w:rPr>
          <w:color w:val="auto"/>
          <w:sz w:val="24"/>
          <w:szCs w:val="24"/>
          <w:highlight w:val="none"/>
        </w:rPr>
        <w:t xml:space="preserve"> “</w:t>
      </w:r>
      <w:r>
        <w:rPr>
          <w:rFonts w:hint="eastAsia" w:hAnsi="宋体"/>
          <w:color w:val="auto"/>
          <w:sz w:val="24"/>
          <w:szCs w:val="24"/>
          <w:highlight w:val="none"/>
        </w:rPr>
        <w:t>补充</w:t>
      </w:r>
      <w:r>
        <w:rPr>
          <w:rFonts w:hAnsi="宋体"/>
          <w:color w:val="auto"/>
          <w:sz w:val="24"/>
          <w:szCs w:val="24"/>
          <w:highlight w:val="none"/>
        </w:rPr>
        <w:t>公告</w:t>
      </w:r>
      <w:r>
        <w:rPr>
          <w:color w:val="auto"/>
          <w:sz w:val="24"/>
          <w:szCs w:val="24"/>
          <w:highlight w:val="none"/>
        </w:rPr>
        <w:t>”</w:t>
      </w:r>
      <w:r>
        <w:rPr>
          <w:rFonts w:hAnsi="宋体"/>
          <w:color w:val="auto"/>
          <w:sz w:val="24"/>
          <w:szCs w:val="24"/>
          <w:highlight w:val="none"/>
        </w:rPr>
        <w:t>。</w:t>
      </w:r>
      <w:r>
        <w:rPr>
          <w:rFonts w:hint="eastAsia" w:hAnsi="宋体"/>
          <w:color w:val="auto"/>
          <w:sz w:val="24"/>
          <w:szCs w:val="24"/>
          <w:highlight w:val="none"/>
        </w:rPr>
        <w:t>如发布“补充公告”的时间距投标截止时间不足15日的，则对投标截止时间作相应的延期。</w:t>
      </w:r>
    </w:p>
    <w:p w14:paraId="764B3FE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hAnsi="宋体"/>
          <w:b/>
          <w:color w:val="auto"/>
          <w:sz w:val="24"/>
          <w:szCs w:val="24"/>
          <w:highlight w:val="none"/>
        </w:rPr>
        <w:t>5.2</w:t>
      </w:r>
      <w:r>
        <w:rPr>
          <w:rFonts w:hAnsi="宋体"/>
          <w:color w:val="auto"/>
          <w:sz w:val="24"/>
          <w:szCs w:val="24"/>
          <w:highlight w:val="none"/>
        </w:rPr>
        <w:t>这些</w:t>
      </w:r>
      <w:r>
        <w:rPr>
          <w:rFonts w:hint="eastAsia" w:hAnsi="宋体"/>
          <w:color w:val="auto"/>
          <w:sz w:val="24"/>
          <w:szCs w:val="24"/>
          <w:highlight w:val="none"/>
        </w:rPr>
        <w:t>招标文件</w:t>
      </w:r>
      <w:r>
        <w:rPr>
          <w:rFonts w:hAnsi="宋体"/>
          <w:color w:val="auto"/>
          <w:sz w:val="24"/>
          <w:szCs w:val="24"/>
          <w:highlight w:val="none"/>
        </w:rPr>
        <w:t>补充文件是招标文件的组成部分，对</w:t>
      </w:r>
      <w:r>
        <w:rPr>
          <w:rFonts w:hint="eastAsia" w:hAnsi="宋体"/>
          <w:color w:val="auto"/>
          <w:sz w:val="24"/>
          <w:szCs w:val="24"/>
          <w:highlight w:val="none"/>
        </w:rPr>
        <w:t>采购人和</w:t>
      </w:r>
      <w:r>
        <w:rPr>
          <w:rFonts w:hAnsi="宋体"/>
          <w:color w:val="auto"/>
          <w:sz w:val="24"/>
          <w:szCs w:val="24"/>
          <w:highlight w:val="none"/>
        </w:rPr>
        <w:t>投标人有</w:t>
      </w:r>
      <w:r>
        <w:rPr>
          <w:rFonts w:hint="eastAsia" w:hAnsi="宋体"/>
          <w:color w:val="auto"/>
          <w:sz w:val="24"/>
          <w:szCs w:val="24"/>
          <w:highlight w:val="none"/>
        </w:rPr>
        <w:t>同样的</w:t>
      </w:r>
      <w:r>
        <w:rPr>
          <w:rFonts w:hAnsi="宋体"/>
          <w:color w:val="auto"/>
          <w:sz w:val="24"/>
          <w:szCs w:val="24"/>
          <w:highlight w:val="none"/>
        </w:rPr>
        <w:t>约束力。</w:t>
      </w:r>
    </w:p>
    <w:p w14:paraId="60E808D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 xml:space="preserve">6. </w:t>
      </w:r>
      <w:r>
        <w:rPr>
          <w:rFonts w:hAnsi="宋体"/>
          <w:color w:val="auto"/>
          <w:sz w:val="24"/>
          <w:szCs w:val="24"/>
          <w:highlight w:val="none"/>
        </w:rPr>
        <w:t>投标人应详细阅读招标文件的全部内容和要求，不按招标文件的要求提供投标文件和资料导致的风险由投标人承担。</w:t>
      </w:r>
    </w:p>
    <w:p w14:paraId="38AFA2B9">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1"/>
        <w:rPr>
          <w:color w:val="auto"/>
          <w:sz w:val="24"/>
          <w:szCs w:val="24"/>
          <w:highlight w:val="none"/>
        </w:rPr>
      </w:pPr>
      <w:r>
        <w:rPr>
          <w:b/>
          <w:color w:val="auto"/>
          <w:sz w:val="24"/>
          <w:szCs w:val="24"/>
          <w:highlight w:val="none"/>
        </w:rPr>
        <w:t xml:space="preserve">C  </w:t>
      </w:r>
      <w:r>
        <w:rPr>
          <w:rFonts w:hAnsi="宋体"/>
          <w:b/>
          <w:color w:val="auto"/>
          <w:sz w:val="24"/>
          <w:szCs w:val="24"/>
          <w:highlight w:val="none"/>
        </w:rPr>
        <w:t>投标文件</w:t>
      </w:r>
    </w:p>
    <w:p w14:paraId="6BE9BA4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b/>
          <w:color w:val="auto"/>
          <w:sz w:val="24"/>
          <w:szCs w:val="24"/>
          <w:highlight w:val="none"/>
        </w:rPr>
      </w:pPr>
      <w:r>
        <w:rPr>
          <w:rFonts w:hint="eastAsia"/>
          <w:b/>
          <w:color w:val="auto"/>
          <w:sz w:val="24"/>
          <w:szCs w:val="24"/>
          <w:highlight w:val="none"/>
        </w:rPr>
        <w:t xml:space="preserve">7. </w:t>
      </w:r>
      <w:r>
        <w:rPr>
          <w:b/>
          <w:color w:val="auto"/>
          <w:sz w:val="24"/>
          <w:szCs w:val="24"/>
          <w:highlight w:val="none"/>
          <w:u w:val="none"/>
        </w:rPr>
        <w:t>投标文件的组成</w:t>
      </w:r>
      <w:r>
        <w:rPr>
          <w:b/>
          <w:color w:val="auto"/>
          <w:sz w:val="24"/>
          <w:szCs w:val="24"/>
          <w:highlight w:val="none"/>
        </w:rPr>
        <w:t>：</w:t>
      </w:r>
    </w:p>
    <w:p w14:paraId="58A3AD8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bCs/>
          <w:color w:val="auto"/>
          <w:sz w:val="24"/>
          <w:szCs w:val="24"/>
          <w:highlight w:val="none"/>
        </w:rPr>
        <w:t>（一）资格</w:t>
      </w:r>
      <w:r>
        <w:rPr>
          <w:b/>
          <w:bCs/>
          <w:color w:val="auto"/>
          <w:sz w:val="24"/>
          <w:szCs w:val="24"/>
          <w:highlight w:val="none"/>
        </w:rPr>
        <w:t>文件：</w:t>
      </w:r>
    </w:p>
    <w:p w14:paraId="2D5F46D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（1）营业执照（或事业法人登记证）、其他组织（个体工商户）的营业执照或者民办非企业单位登记证书复印件</w:t>
      </w:r>
    </w:p>
    <w:p w14:paraId="24C6EC6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（2）合格供应商的资格承诺书</w:t>
      </w:r>
    </w:p>
    <w:p w14:paraId="789C15C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color w:val="auto"/>
          <w:sz w:val="24"/>
          <w:szCs w:val="24"/>
          <w:highlight w:val="none"/>
        </w:rPr>
      </w:pPr>
      <w:r>
        <w:rPr>
          <w:rFonts w:hint="eastAsia" w:hAnsi="宋体"/>
          <w:color w:val="auto"/>
          <w:sz w:val="24"/>
          <w:szCs w:val="24"/>
          <w:highlight w:val="none"/>
        </w:rPr>
        <w:t>（</w:t>
      </w:r>
      <w:r>
        <w:rPr>
          <w:rFonts w:hint="eastAsia" w:hAnsi="宋体"/>
          <w:color w:val="auto"/>
          <w:sz w:val="24"/>
          <w:szCs w:val="24"/>
          <w:highlight w:val="none"/>
          <w:lang w:val="en-US" w:eastAsia="zh-CN"/>
        </w:rPr>
        <w:t>3</w:t>
      </w:r>
      <w:r>
        <w:rPr>
          <w:rFonts w:hint="eastAsia" w:hAnsi="宋体"/>
          <w:color w:val="auto"/>
          <w:sz w:val="24"/>
          <w:szCs w:val="24"/>
          <w:highlight w:val="none"/>
        </w:rPr>
        <w:t>）本项目的特定资格要求（如要求）</w:t>
      </w:r>
    </w:p>
    <w:p w14:paraId="6AADA4F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lang w:eastAsia="zh-CN"/>
        </w:rPr>
        <w:t>（</w:t>
      </w:r>
      <w:r>
        <w:rPr>
          <w:rFonts w:hint="eastAsia" w:hAnsi="宋体"/>
          <w:color w:val="auto"/>
          <w:sz w:val="24"/>
          <w:szCs w:val="24"/>
          <w:highlight w:val="none"/>
          <w:lang w:val="en-US" w:eastAsia="zh-CN"/>
        </w:rPr>
        <w:t>4</w:t>
      </w:r>
      <w:r>
        <w:rPr>
          <w:rFonts w:hint="eastAsia" w:hAnsi="宋体"/>
          <w:color w:val="auto"/>
          <w:sz w:val="24"/>
          <w:szCs w:val="24"/>
          <w:highlight w:val="none"/>
          <w:lang w:eastAsia="zh-CN"/>
        </w:rPr>
        <w:t>）</w:t>
      </w:r>
      <w:r>
        <w:rPr>
          <w:rFonts w:hint="eastAsia" w:hAnsi="宋体"/>
          <w:color w:val="auto"/>
          <w:sz w:val="24"/>
          <w:szCs w:val="24"/>
          <w:highlight w:val="none"/>
        </w:rPr>
        <w:t>中小企业声明函（或残疾人福利性单位声明函，或监狱企业的证明文件）</w:t>
      </w:r>
    </w:p>
    <w:p w14:paraId="4EDBED1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bCs/>
          <w:color w:val="auto"/>
          <w:sz w:val="24"/>
          <w:szCs w:val="24"/>
          <w:highlight w:val="none"/>
        </w:rPr>
      </w:pPr>
      <w:r>
        <w:rPr>
          <w:rFonts w:hint="eastAsia"/>
          <w:b/>
          <w:bCs/>
          <w:color w:val="auto"/>
          <w:sz w:val="24"/>
          <w:szCs w:val="24"/>
          <w:highlight w:val="none"/>
        </w:rPr>
        <w:t>（二）技术商务文件：</w:t>
      </w:r>
    </w:p>
    <w:p w14:paraId="368D9B1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（1）投标函</w:t>
      </w:r>
    </w:p>
    <w:p w14:paraId="0B13F9F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（2）技术条款响应表</w:t>
      </w:r>
    </w:p>
    <w:p w14:paraId="5C79C06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（3）商务条款响应表</w:t>
      </w:r>
    </w:p>
    <w:p w14:paraId="298A1E7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（4）法定代表人授权书或法定代表人身份证明</w:t>
      </w:r>
    </w:p>
    <w:p w14:paraId="2F80C7F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eastAsia="宋体"/>
          <w:color w:val="auto"/>
          <w:sz w:val="24"/>
          <w:szCs w:val="24"/>
          <w:highlight w:val="none"/>
          <w:lang w:eastAsia="zh-CN"/>
        </w:rPr>
      </w:pPr>
      <w:r>
        <w:rPr>
          <w:rFonts w:hint="eastAsia" w:hAnsi="宋体"/>
          <w:color w:val="auto"/>
          <w:sz w:val="24"/>
          <w:szCs w:val="24"/>
          <w:highlight w:val="none"/>
        </w:rPr>
        <w:t>（5）</w:t>
      </w:r>
      <w:r>
        <w:rPr>
          <w:rFonts w:hint="eastAsia" w:hAnsi="宋体"/>
          <w:color w:val="auto"/>
          <w:sz w:val="24"/>
          <w:szCs w:val="24"/>
          <w:highlight w:val="none"/>
          <w:lang w:val="en-US" w:eastAsia="zh-CN"/>
        </w:rPr>
        <w:t>服务</w:t>
      </w:r>
      <w:r>
        <w:rPr>
          <w:rFonts w:hint="eastAsia" w:hAnsi="宋体"/>
          <w:color w:val="auto"/>
          <w:sz w:val="24"/>
          <w:szCs w:val="24"/>
          <w:highlight w:val="none"/>
        </w:rPr>
        <w:t>方案</w:t>
      </w:r>
      <w:r>
        <w:rPr>
          <w:rFonts w:hint="eastAsia" w:hAnsi="宋体"/>
          <w:color w:val="auto"/>
          <w:sz w:val="24"/>
          <w:szCs w:val="24"/>
          <w:highlight w:val="none"/>
          <w:lang w:eastAsia="zh-CN"/>
        </w:rPr>
        <w:t>（</w:t>
      </w:r>
      <w:r>
        <w:rPr>
          <w:rFonts w:hint="eastAsia" w:hAnsi="宋体"/>
          <w:color w:val="auto"/>
          <w:sz w:val="24"/>
          <w:szCs w:val="24"/>
          <w:highlight w:val="none"/>
          <w:lang w:val="en-US" w:eastAsia="zh-CN"/>
        </w:rPr>
        <w:t>根据第三章评分标准编写</w:t>
      </w:r>
      <w:r>
        <w:rPr>
          <w:rFonts w:hint="eastAsia" w:hAnsi="宋体"/>
          <w:color w:val="auto"/>
          <w:sz w:val="24"/>
          <w:szCs w:val="24"/>
          <w:highlight w:val="none"/>
          <w:lang w:eastAsia="zh-CN"/>
        </w:rPr>
        <w:t>）</w:t>
      </w:r>
    </w:p>
    <w:p w14:paraId="7CB15F0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（6）招标文件要求或投标人认为需要提供的其他资料</w:t>
      </w:r>
    </w:p>
    <w:p w14:paraId="782A879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bCs/>
          <w:color w:val="auto"/>
          <w:sz w:val="24"/>
          <w:szCs w:val="24"/>
          <w:highlight w:val="none"/>
        </w:rPr>
      </w:pPr>
      <w:r>
        <w:rPr>
          <w:rFonts w:hint="eastAsia"/>
          <w:b/>
          <w:bCs/>
          <w:color w:val="auto"/>
          <w:sz w:val="24"/>
          <w:szCs w:val="24"/>
          <w:highlight w:val="none"/>
        </w:rPr>
        <w:t>（三）报价文件</w:t>
      </w:r>
    </w:p>
    <w:p w14:paraId="0B91D66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（1）开标一览表</w:t>
      </w:r>
    </w:p>
    <w:p w14:paraId="7F66D21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hAnsi="宋体"/>
          <w:color w:val="auto"/>
          <w:sz w:val="24"/>
          <w:szCs w:val="24"/>
          <w:highlight w:val="none"/>
        </w:rPr>
      </w:pPr>
      <w:r>
        <w:rPr>
          <w:rFonts w:hint="eastAsia" w:hAnsi="宋体"/>
          <w:color w:val="auto"/>
          <w:sz w:val="24"/>
          <w:szCs w:val="24"/>
          <w:highlight w:val="none"/>
        </w:rPr>
        <w:t>（2）分项报价表</w:t>
      </w:r>
    </w:p>
    <w:p w14:paraId="7583D7A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（3）政府采购供应商基础信息登记表</w:t>
      </w:r>
    </w:p>
    <w:p w14:paraId="39E6019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b/>
          <w:color w:val="auto"/>
          <w:sz w:val="24"/>
          <w:szCs w:val="24"/>
          <w:highlight w:val="none"/>
        </w:rPr>
      </w:pPr>
      <w:r>
        <w:rPr>
          <w:b/>
          <w:color w:val="auto"/>
          <w:sz w:val="24"/>
          <w:szCs w:val="24"/>
          <w:highlight w:val="none"/>
        </w:rPr>
        <w:t xml:space="preserve">8.  </w:t>
      </w:r>
      <w:r>
        <w:rPr>
          <w:rFonts w:hAnsi="宋体"/>
          <w:b/>
          <w:color w:val="auto"/>
          <w:sz w:val="24"/>
          <w:szCs w:val="24"/>
          <w:highlight w:val="none"/>
        </w:rPr>
        <w:t>投标报价</w:t>
      </w:r>
    </w:p>
    <w:p w14:paraId="5B7BB88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8.1</w:t>
      </w:r>
      <w:r>
        <w:rPr>
          <w:rFonts w:hAnsi="宋体"/>
          <w:color w:val="auto"/>
          <w:sz w:val="24"/>
          <w:szCs w:val="24"/>
          <w:highlight w:val="none"/>
        </w:rPr>
        <w:t>所有投标报价必须以人民币报价，</w:t>
      </w:r>
      <w:r>
        <w:rPr>
          <w:rFonts w:hint="eastAsia" w:hAnsi="宋体"/>
          <w:color w:val="auto"/>
          <w:sz w:val="24"/>
          <w:szCs w:val="24"/>
          <w:highlight w:val="none"/>
        </w:rPr>
        <w:t>具体要求详见《前附表》中规定</w:t>
      </w:r>
      <w:r>
        <w:rPr>
          <w:rFonts w:hAnsi="宋体"/>
          <w:color w:val="auto"/>
          <w:sz w:val="24"/>
          <w:szCs w:val="24"/>
          <w:highlight w:val="none"/>
        </w:rPr>
        <w:t>。</w:t>
      </w:r>
    </w:p>
    <w:p w14:paraId="5BB81A3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8.2  </w:t>
      </w:r>
      <w:r>
        <w:rPr>
          <w:rFonts w:hAnsi="宋体"/>
          <w:color w:val="auto"/>
          <w:sz w:val="24"/>
          <w:szCs w:val="24"/>
          <w:highlight w:val="none"/>
        </w:rPr>
        <w:t>投标人要按</w:t>
      </w:r>
      <w:r>
        <w:rPr>
          <w:rFonts w:hint="eastAsia" w:hAnsi="宋体"/>
          <w:color w:val="auto"/>
          <w:sz w:val="24"/>
          <w:szCs w:val="24"/>
          <w:highlight w:val="none"/>
        </w:rPr>
        <w:t>“</w:t>
      </w:r>
      <w:r>
        <w:rPr>
          <w:rFonts w:hAnsi="宋体"/>
          <w:color w:val="auto"/>
          <w:sz w:val="24"/>
          <w:szCs w:val="24"/>
          <w:highlight w:val="none"/>
        </w:rPr>
        <w:t>分项报价表</w:t>
      </w:r>
      <w:r>
        <w:rPr>
          <w:rFonts w:hint="eastAsia" w:hAnsi="宋体"/>
          <w:color w:val="auto"/>
          <w:sz w:val="24"/>
          <w:szCs w:val="24"/>
          <w:highlight w:val="none"/>
        </w:rPr>
        <w:t>”</w:t>
      </w:r>
      <w:r>
        <w:rPr>
          <w:rFonts w:hAnsi="宋体"/>
          <w:color w:val="auto"/>
          <w:sz w:val="24"/>
          <w:szCs w:val="24"/>
          <w:highlight w:val="none"/>
        </w:rPr>
        <w:t>的格式和内容完整填写单价、总价及其他事项，并由法定代表人或授权代表签署。</w:t>
      </w:r>
    </w:p>
    <w:p w14:paraId="07AE084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8.</w:t>
      </w:r>
      <w:r>
        <w:rPr>
          <w:rFonts w:hint="eastAsia"/>
          <w:b/>
          <w:color w:val="auto"/>
          <w:sz w:val="24"/>
          <w:szCs w:val="24"/>
          <w:highlight w:val="none"/>
        </w:rPr>
        <w:t>3</w:t>
      </w:r>
      <w:r>
        <w:rPr>
          <w:b/>
          <w:color w:val="auto"/>
          <w:sz w:val="24"/>
          <w:szCs w:val="24"/>
          <w:highlight w:val="none"/>
        </w:rPr>
        <w:t xml:space="preserve"> </w:t>
      </w:r>
      <w:r>
        <w:rPr>
          <w:color w:val="auto"/>
          <w:sz w:val="24"/>
          <w:szCs w:val="24"/>
          <w:highlight w:val="none"/>
        </w:rPr>
        <w:t xml:space="preserve"> </w:t>
      </w:r>
      <w:r>
        <w:rPr>
          <w:rFonts w:hint="eastAsia" w:hAnsi="宋体"/>
          <w:color w:val="auto"/>
          <w:sz w:val="24"/>
          <w:szCs w:val="24"/>
          <w:highlight w:val="none"/>
        </w:rPr>
        <w:t>每个子包</w:t>
      </w:r>
      <w:r>
        <w:rPr>
          <w:rFonts w:hAnsi="宋体"/>
          <w:color w:val="auto"/>
          <w:sz w:val="24"/>
          <w:szCs w:val="24"/>
          <w:highlight w:val="none"/>
        </w:rPr>
        <w:t>应该只有一个投标报价</w:t>
      </w:r>
      <w:r>
        <w:rPr>
          <w:rFonts w:hint="eastAsia"/>
          <w:color w:val="auto"/>
          <w:sz w:val="24"/>
          <w:szCs w:val="24"/>
          <w:highlight w:val="none"/>
        </w:rPr>
        <w:t>，</w:t>
      </w:r>
      <w:r>
        <w:rPr>
          <w:rFonts w:hAnsi="宋体"/>
          <w:color w:val="auto"/>
          <w:sz w:val="24"/>
          <w:szCs w:val="24"/>
          <w:highlight w:val="none"/>
        </w:rPr>
        <w:t>而且一经开标，投标</w:t>
      </w:r>
      <w:r>
        <w:rPr>
          <w:rFonts w:hint="eastAsia" w:hAnsi="宋体"/>
          <w:color w:val="auto"/>
          <w:sz w:val="24"/>
          <w:szCs w:val="24"/>
          <w:highlight w:val="none"/>
        </w:rPr>
        <w:t>报</w:t>
      </w:r>
      <w:r>
        <w:rPr>
          <w:rFonts w:hAnsi="宋体"/>
          <w:color w:val="auto"/>
          <w:sz w:val="24"/>
          <w:szCs w:val="24"/>
          <w:highlight w:val="none"/>
        </w:rPr>
        <w:t>价不得变更。如果</w:t>
      </w:r>
      <w:r>
        <w:rPr>
          <w:rFonts w:hint="eastAsia" w:hAnsi="宋体"/>
          <w:color w:val="auto"/>
          <w:sz w:val="24"/>
          <w:szCs w:val="24"/>
          <w:highlight w:val="none"/>
        </w:rPr>
        <w:t>一个子包</w:t>
      </w:r>
      <w:r>
        <w:rPr>
          <w:rFonts w:hAnsi="宋体"/>
          <w:color w:val="auto"/>
          <w:sz w:val="24"/>
          <w:szCs w:val="24"/>
          <w:highlight w:val="none"/>
        </w:rPr>
        <w:t>出现有两个及以上的报价又未声明以哪一报价方案为主</w:t>
      </w:r>
      <w:r>
        <w:rPr>
          <w:rFonts w:hint="eastAsia"/>
          <w:color w:val="auto"/>
          <w:sz w:val="24"/>
          <w:szCs w:val="24"/>
          <w:highlight w:val="none"/>
        </w:rPr>
        <w:t>，</w:t>
      </w:r>
      <w:r>
        <w:rPr>
          <w:rFonts w:hAnsi="宋体"/>
          <w:color w:val="auto"/>
          <w:sz w:val="24"/>
          <w:szCs w:val="24"/>
          <w:highlight w:val="none"/>
        </w:rPr>
        <w:t>则</w:t>
      </w:r>
      <w:r>
        <w:rPr>
          <w:rFonts w:hint="eastAsia" w:hAnsi="宋体"/>
          <w:color w:val="auto"/>
          <w:sz w:val="24"/>
          <w:szCs w:val="24"/>
          <w:highlight w:val="none"/>
        </w:rPr>
        <w:t>投标无效</w:t>
      </w:r>
      <w:r>
        <w:rPr>
          <w:rFonts w:hAnsi="宋体"/>
          <w:color w:val="auto"/>
          <w:sz w:val="24"/>
          <w:szCs w:val="24"/>
          <w:highlight w:val="none"/>
        </w:rPr>
        <w:t>。</w:t>
      </w:r>
    </w:p>
    <w:p w14:paraId="73612E9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8.</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投标报价在合同执行过程中是固定不变的，投标人不得以任何理由予以变更。任何包含价格调整要求的投标，将被认为是非实质性响应的投标而</w:t>
      </w:r>
      <w:r>
        <w:rPr>
          <w:rFonts w:hint="eastAsia" w:hAnsi="宋体"/>
          <w:color w:val="auto"/>
          <w:sz w:val="24"/>
          <w:szCs w:val="24"/>
          <w:highlight w:val="none"/>
        </w:rPr>
        <w:t>导致投标无效</w:t>
      </w:r>
      <w:r>
        <w:rPr>
          <w:rFonts w:hAnsi="宋体"/>
          <w:color w:val="auto"/>
          <w:sz w:val="24"/>
          <w:szCs w:val="24"/>
          <w:highlight w:val="none"/>
        </w:rPr>
        <w:t>。</w:t>
      </w:r>
    </w:p>
    <w:p w14:paraId="04CA4E8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 xml:space="preserve">9. </w:t>
      </w:r>
      <w:r>
        <w:rPr>
          <w:color w:val="auto"/>
          <w:sz w:val="24"/>
          <w:szCs w:val="24"/>
          <w:highlight w:val="none"/>
        </w:rPr>
        <w:t xml:space="preserve"> </w:t>
      </w:r>
      <w:r>
        <w:rPr>
          <w:rFonts w:hAnsi="宋体"/>
          <w:b/>
          <w:color w:val="auto"/>
          <w:sz w:val="24"/>
          <w:szCs w:val="24"/>
          <w:highlight w:val="none"/>
        </w:rPr>
        <w:t>投标文件格式和编写</w:t>
      </w:r>
    </w:p>
    <w:p w14:paraId="16B8A9B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9.1</w:t>
      </w:r>
      <w:r>
        <w:rPr>
          <w:color w:val="auto"/>
          <w:sz w:val="24"/>
          <w:szCs w:val="24"/>
          <w:highlight w:val="none"/>
        </w:rPr>
        <w:t xml:space="preserve">  </w:t>
      </w:r>
      <w:r>
        <w:rPr>
          <w:rFonts w:hAnsi="宋体"/>
          <w:color w:val="auto"/>
          <w:sz w:val="24"/>
          <w:szCs w:val="24"/>
          <w:highlight w:val="none"/>
        </w:rPr>
        <w:t>投标</w:t>
      </w:r>
      <w:r>
        <w:rPr>
          <w:rFonts w:hint="eastAsia" w:hAnsi="宋体"/>
          <w:color w:val="auto"/>
          <w:sz w:val="24"/>
          <w:szCs w:val="24"/>
          <w:highlight w:val="none"/>
        </w:rPr>
        <w:t>文件</w:t>
      </w:r>
      <w:r>
        <w:rPr>
          <w:rFonts w:hAnsi="宋体"/>
          <w:color w:val="auto"/>
          <w:sz w:val="24"/>
          <w:szCs w:val="24"/>
          <w:highlight w:val="none"/>
        </w:rPr>
        <w:t>按</w:t>
      </w:r>
      <w:r>
        <w:rPr>
          <w:rFonts w:hint="eastAsia" w:hAnsi="宋体"/>
          <w:color w:val="auto"/>
          <w:sz w:val="24"/>
          <w:szCs w:val="24"/>
          <w:highlight w:val="none"/>
        </w:rPr>
        <w:t>招标文件第六部分附件（投标文件格式）的规定</w:t>
      </w:r>
      <w:r>
        <w:rPr>
          <w:rFonts w:hAnsi="宋体"/>
          <w:color w:val="auto"/>
          <w:sz w:val="24"/>
          <w:szCs w:val="24"/>
          <w:highlight w:val="none"/>
        </w:rPr>
        <w:t>统一填写</w:t>
      </w:r>
      <w:r>
        <w:rPr>
          <w:rFonts w:hint="eastAsia" w:hAnsi="宋体"/>
          <w:color w:val="auto"/>
          <w:sz w:val="24"/>
          <w:szCs w:val="24"/>
          <w:highlight w:val="none"/>
        </w:rPr>
        <w:t>编制</w:t>
      </w:r>
      <w:r>
        <w:rPr>
          <w:rFonts w:hAnsi="宋体"/>
          <w:color w:val="auto"/>
          <w:sz w:val="24"/>
          <w:szCs w:val="24"/>
          <w:highlight w:val="none"/>
        </w:rPr>
        <w:t>。</w:t>
      </w:r>
    </w:p>
    <w:p w14:paraId="7074763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 xml:space="preserve">9.2  </w:t>
      </w:r>
      <w:r>
        <w:rPr>
          <w:rFonts w:hAnsi="宋体"/>
          <w:color w:val="auto"/>
          <w:sz w:val="24"/>
          <w:szCs w:val="24"/>
          <w:highlight w:val="none"/>
        </w:rPr>
        <w:t>投标语言：中文，当不同文字文本投标文件的解释发生异议的，以中文文本为准。</w:t>
      </w:r>
    </w:p>
    <w:p w14:paraId="29D7CF2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9.3 </w:t>
      </w:r>
      <w:r>
        <w:rPr>
          <w:color w:val="auto"/>
          <w:sz w:val="24"/>
          <w:szCs w:val="24"/>
          <w:highlight w:val="none"/>
        </w:rPr>
        <w:t xml:space="preserve"> </w:t>
      </w:r>
      <w:r>
        <w:rPr>
          <w:rFonts w:hAnsi="宋体"/>
          <w:color w:val="auto"/>
          <w:sz w:val="24"/>
          <w:szCs w:val="24"/>
          <w:highlight w:val="none"/>
        </w:rPr>
        <w:t>开标一览表系在开标仪式上唱标的内容，应按格式完整填写，不得自行增减内容。</w:t>
      </w:r>
    </w:p>
    <w:p w14:paraId="6E4FA07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9.</w:t>
      </w:r>
      <w:r>
        <w:rPr>
          <w:rFonts w:hint="eastAsia"/>
          <w:b/>
          <w:color w:val="auto"/>
          <w:sz w:val="24"/>
          <w:szCs w:val="24"/>
          <w:highlight w:val="none"/>
        </w:rPr>
        <w:t>4</w:t>
      </w:r>
      <w:r>
        <w:rPr>
          <w:b/>
          <w:color w:val="auto"/>
          <w:sz w:val="24"/>
          <w:szCs w:val="24"/>
          <w:highlight w:val="none"/>
        </w:rPr>
        <w:t xml:space="preserve">  </w:t>
      </w:r>
      <w:r>
        <w:rPr>
          <w:rFonts w:hAnsi="宋体"/>
          <w:color w:val="auto"/>
          <w:sz w:val="24"/>
          <w:szCs w:val="24"/>
          <w:highlight w:val="none"/>
        </w:rPr>
        <w:t>投标人应注意，在</w:t>
      </w:r>
      <w:r>
        <w:rPr>
          <w:rFonts w:hint="eastAsia" w:hAnsi="宋体"/>
          <w:color w:val="auto"/>
          <w:sz w:val="24"/>
          <w:szCs w:val="24"/>
          <w:highlight w:val="none"/>
        </w:rPr>
        <w:t>招标文件项目要求的</w:t>
      </w:r>
      <w:r>
        <w:rPr>
          <w:rFonts w:hAnsi="宋体"/>
          <w:color w:val="auto"/>
          <w:sz w:val="24"/>
          <w:szCs w:val="24"/>
          <w:highlight w:val="none"/>
        </w:rPr>
        <w:t>技术规格中指出的工艺材料和设备的标准以及参照的</w:t>
      </w:r>
      <w:r>
        <w:rPr>
          <w:rFonts w:hint="eastAsia" w:hAnsi="宋体"/>
          <w:color w:val="auto"/>
          <w:sz w:val="24"/>
          <w:szCs w:val="24"/>
          <w:highlight w:val="none"/>
        </w:rPr>
        <w:t>品牌</w:t>
      </w:r>
      <w:r>
        <w:rPr>
          <w:rFonts w:hAnsi="宋体"/>
          <w:color w:val="auto"/>
          <w:sz w:val="24"/>
          <w:szCs w:val="24"/>
          <w:highlight w:val="none"/>
        </w:rPr>
        <w:t>或分类号</w:t>
      </w:r>
      <w:r>
        <w:rPr>
          <w:rFonts w:hint="eastAsia" w:hAnsi="宋体"/>
          <w:color w:val="auto"/>
          <w:sz w:val="24"/>
          <w:szCs w:val="24"/>
          <w:highlight w:val="none"/>
        </w:rPr>
        <w:t>（如有）</w:t>
      </w:r>
      <w:r>
        <w:rPr>
          <w:rFonts w:hAnsi="宋体"/>
          <w:color w:val="auto"/>
          <w:sz w:val="24"/>
          <w:szCs w:val="24"/>
          <w:highlight w:val="none"/>
        </w:rPr>
        <w:t>仅起说明作用，并没有任何限制性，投标人在投标中可以选用替代标准</w:t>
      </w:r>
      <w:r>
        <w:rPr>
          <w:rFonts w:hint="eastAsia" w:hAnsi="宋体"/>
          <w:color w:val="auto"/>
          <w:sz w:val="24"/>
          <w:szCs w:val="24"/>
          <w:highlight w:val="none"/>
        </w:rPr>
        <w:t>品牌</w:t>
      </w:r>
      <w:r>
        <w:rPr>
          <w:rFonts w:hAnsi="宋体"/>
          <w:color w:val="auto"/>
          <w:sz w:val="24"/>
          <w:szCs w:val="24"/>
          <w:highlight w:val="none"/>
        </w:rPr>
        <w:t>或分类号，但这些替代要实质上优于或相当于招标技术要求。</w:t>
      </w:r>
    </w:p>
    <w:p w14:paraId="7583531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rFonts w:hAnsi="宋体"/>
          <w:b/>
          <w:color w:val="auto"/>
          <w:sz w:val="24"/>
          <w:szCs w:val="24"/>
          <w:highlight w:val="none"/>
        </w:rPr>
      </w:pPr>
      <w:r>
        <w:rPr>
          <w:rFonts w:hAnsi="宋体"/>
          <w:b/>
          <w:color w:val="auto"/>
          <w:sz w:val="24"/>
          <w:szCs w:val="24"/>
          <w:highlight w:val="none"/>
        </w:rPr>
        <w:t>10.  计量单位</w:t>
      </w:r>
    </w:p>
    <w:p w14:paraId="390A672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10.1</w:t>
      </w:r>
      <w:r>
        <w:rPr>
          <w:b/>
          <w:color w:val="auto"/>
          <w:sz w:val="24"/>
          <w:szCs w:val="24"/>
          <w:highlight w:val="none"/>
        </w:rPr>
        <w:t xml:space="preserve">  </w:t>
      </w:r>
      <w:r>
        <w:rPr>
          <w:rFonts w:hAnsi="宋体"/>
          <w:color w:val="auto"/>
          <w:sz w:val="24"/>
          <w:szCs w:val="24"/>
          <w:highlight w:val="none"/>
        </w:rPr>
        <w:t>投标文件中所使用的计量单位，除招标文件有特殊要求外，应采用国家法定计量单位。</w:t>
      </w:r>
    </w:p>
    <w:p w14:paraId="21A296D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11.</w:t>
      </w:r>
      <w:r>
        <w:rPr>
          <w:color w:val="auto"/>
          <w:sz w:val="24"/>
          <w:szCs w:val="24"/>
          <w:highlight w:val="none"/>
        </w:rPr>
        <w:t xml:space="preserve">  </w:t>
      </w:r>
      <w:r>
        <w:rPr>
          <w:rFonts w:hAnsi="宋体"/>
          <w:b/>
          <w:color w:val="auto"/>
          <w:sz w:val="24"/>
          <w:szCs w:val="24"/>
          <w:highlight w:val="none"/>
        </w:rPr>
        <w:t>投标文件的有效期</w:t>
      </w:r>
    </w:p>
    <w:p w14:paraId="3D8F453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11.1 </w:t>
      </w:r>
      <w:r>
        <w:rPr>
          <w:color w:val="auto"/>
          <w:sz w:val="24"/>
          <w:szCs w:val="24"/>
          <w:highlight w:val="none"/>
        </w:rPr>
        <w:t xml:space="preserve"> </w:t>
      </w:r>
      <w:r>
        <w:rPr>
          <w:rFonts w:hAnsi="宋体"/>
          <w:color w:val="auto"/>
          <w:sz w:val="24"/>
          <w:szCs w:val="24"/>
          <w:highlight w:val="none"/>
        </w:rPr>
        <w:t>投标文件的有效期在本招标文件</w:t>
      </w:r>
      <w:r>
        <w:rPr>
          <w:rFonts w:hint="eastAsia" w:hAnsi="宋体"/>
          <w:color w:val="auto"/>
          <w:sz w:val="24"/>
          <w:szCs w:val="24"/>
          <w:highlight w:val="none"/>
        </w:rPr>
        <w:t>“前附表”</w:t>
      </w:r>
      <w:r>
        <w:rPr>
          <w:rFonts w:hAnsi="宋体"/>
          <w:color w:val="auto"/>
          <w:sz w:val="24"/>
          <w:szCs w:val="24"/>
          <w:highlight w:val="none"/>
        </w:rPr>
        <w:t>中作出规定，有效期自开标日起计算，不能小于招标文件的要求。</w:t>
      </w:r>
    </w:p>
    <w:p w14:paraId="7685416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11.2</w:t>
      </w:r>
      <w:r>
        <w:rPr>
          <w:rFonts w:hint="eastAsia"/>
          <w:b/>
          <w:color w:val="auto"/>
          <w:sz w:val="24"/>
          <w:szCs w:val="24"/>
          <w:highlight w:val="none"/>
        </w:rPr>
        <w:t xml:space="preserve">  </w:t>
      </w:r>
      <w:r>
        <w:rPr>
          <w:rFonts w:hAnsi="宋体"/>
          <w:color w:val="auto"/>
          <w:sz w:val="24"/>
          <w:szCs w:val="24"/>
          <w:highlight w:val="none"/>
        </w:rPr>
        <w:t>在特殊情况下，在原投标有效期截止之前，应采购人的要求，采购代理公司可要求投标人延长投标文件的有效期，这种要求的提出和投标人的答复都应以书面的形式进行。</w:t>
      </w:r>
      <w:r>
        <w:rPr>
          <w:rFonts w:hint="eastAsia" w:hAnsi="宋体"/>
          <w:color w:val="auto"/>
          <w:sz w:val="24"/>
          <w:szCs w:val="24"/>
          <w:highlight w:val="none"/>
        </w:rPr>
        <w:t>投标人可以拒绝延期要求；同意延长有效期的，也不会允许或要求修改或撤回其投标文件。</w:t>
      </w:r>
    </w:p>
    <w:p w14:paraId="4F631E9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 xml:space="preserve">12. </w:t>
      </w:r>
      <w:r>
        <w:rPr>
          <w:color w:val="auto"/>
          <w:sz w:val="24"/>
          <w:szCs w:val="24"/>
          <w:highlight w:val="none"/>
        </w:rPr>
        <w:t xml:space="preserve"> </w:t>
      </w:r>
      <w:r>
        <w:rPr>
          <w:rFonts w:hAnsi="宋体"/>
          <w:b/>
          <w:color w:val="auto"/>
          <w:sz w:val="24"/>
          <w:szCs w:val="24"/>
          <w:highlight w:val="none"/>
        </w:rPr>
        <w:t>投标保证金</w:t>
      </w:r>
    </w:p>
    <w:p w14:paraId="58F39F4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12.1 </w:t>
      </w:r>
      <w:r>
        <w:rPr>
          <w:color w:val="auto"/>
          <w:sz w:val="24"/>
          <w:szCs w:val="24"/>
          <w:highlight w:val="none"/>
        </w:rPr>
        <w:t xml:space="preserve"> </w:t>
      </w:r>
      <w:r>
        <w:rPr>
          <w:rFonts w:hint="eastAsia"/>
          <w:color w:val="auto"/>
          <w:sz w:val="24"/>
          <w:szCs w:val="24"/>
          <w:highlight w:val="none"/>
        </w:rPr>
        <w:t>本项目不收取投标保证金。</w:t>
      </w:r>
    </w:p>
    <w:p w14:paraId="3A1EA15A">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2"/>
        <w:rPr>
          <w:b/>
          <w:color w:val="auto"/>
          <w:sz w:val="24"/>
          <w:szCs w:val="24"/>
          <w:highlight w:val="none"/>
        </w:rPr>
      </w:pPr>
      <w:r>
        <w:rPr>
          <w:b/>
          <w:color w:val="auto"/>
          <w:sz w:val="24"/>
          <w:szCs w:val="24"/>
          <w:highlight w:val="none"/>
        </w:rPr>
        <w:t xml:space="preserve">D  </w:t>
      </w:r>
      <w:r>
        <w:rPr>
          <w:rFonts w:hAnsi="宋体"/>
          <w:b/>
          <w:color w:val="auto"/>
          <w:sz w:val="24"/>
          <w:szCs w:val="24"/>
          <w:highlight w:val="none"/>
        </w:rPr>
        <w:t>投标文件的递交</w:t>
      </w:r>
    </w:p>
    <w:p w14:paraId="02F9E04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rFonts w:hAnsi="宋体"/>
          <w:b/>
          <w:color w:val="auto"/>
          <w:sz w:val="24"/>
          <w:szCs w:val="24"/>
          <w:highlight w:val="none"/>
        </w:rPr>
      </w:pPr>
      <w:r>
        <w:rPr>
          <w:b/>
          <w:color w:val="auto"/>
          <w:sz w:val="24"/>
          <w:szCs w:val="24"/>
          <w:highlight w:val="none"/>
        </w:rPr>
        <w:t>13.</w:t>
      </w:r>
      <w:r>
        <w:rPr>
          <w:color w:val="auto"/>
          <w:sz w:val="24"/>
          <w:szCs w:val="24"/>
          <w:highlight w:val="none"/>
        </w:rPr>
        <w:t xml:space="preserve">  </w:t>
      </w:r>
      <w:r>
        <w:rPr>
          <w:rFonts w:hAnsi="宋体"/>
          <w:b/>
          <w:color w:val="auto"/>
          <w:sz w:val="24"/>
          <w:szCs w:val="24"/>
          <w:highlight w:val="none"/>
        </w:rPr>
        <w:t>投标文件的</w:t>
      </w:r>
      <w:r>
        <w:rPr>
          <w:rFonts w:hint="eastAsia" w:hAnsi="宋体"/>
          <w:b/>
          <w:color w:val="auto"/>
          <w:sz w:val="24"/>
          <w:szCs w:val="24"/>
          <w:highlight w:val="none"/>
        </w:rPr>
        <w:t>编制、</w:t>
      </w:r>
      <w:r>
        <w:rPr>
          <w:rFonts w:hAnsi="宋体"/>
          <w:b/>
          <w:color w:val="auto"/>
          <w:sz w:val="24"/>
          <w:szCs w:val="24"/>
          <w:highlight w:val="none"/>
        </w:rPr>
        <w:t>签署</w:t>
      </w:r>
      <w:r>
        <w:rPr>
          <w:rFonts w:hint="eastAsia" w:hAnsi="宋体"/>
          <w:b/>
          <w:color w:val="auto"/>
          <w:sz w:val="24"/>
          <w:szCs w:val="24"/>
          <w:highlight w:val="none"/>
        </w:rPr>
        <w:t>与要求</w:t>
      </w:r>
    </w:p>
    <w:p w14:paraId="6D19F02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hAnsi="宋体"/>
          <w:b/>
          <w:color w:val="auto"/>
          <w:sz w:val="24"/>
          <w:szCs w:val="24"/>
          <w:highlight w:val="none"/>
        </w:rPr>
        <w:t>13.1  本项目实行网上投标，采用电子投标文件。</w:t>
      </w:r>
      <w:r>
        <w:rPr>
          <w:rFonts w:hint="eastAsia" w:hAnsi="宋体"/>
          <w:color w:val="auto"/>
          <w:sz w:val="24"/>
          <w:szCs w:val="24"/>
          <w:highlight w:val="none"/>
        </w:rPr>
        <w:t>投标文件的编制要求详见招标文件《招标公告》和《前附表》中规定。</w:t>
      </w:r>
    </w:p>
    <w:p w14:paraId="4D7F7F9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13.</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int="eastAsia" w:hAnsi="宋体"/>
          <w:color w:val="auto"/>
          <w:sz w:val="24"/>
          <w:szCs w:val="24"/>
          <w:highlight w:val="none"/>
        </w:rPr>
        <w:t>对应招标文件《第六部分附件（投标文件格式）》提供的各种文件格式，投标文件应按要求填写、签署和加盖公章。招标文件中规定需要加盖公章，法定代表人签字、被授权代表人签字的部分，投标文件应进行正确签署和盖章。除非招标文件有特别规定，否则盖章均指单位公章（C</w:t>
      </w:r>
      <w:r>
        <w:rPr>
          <w:rFonts w:hAnsi="宋体"/>
          <w:color w:val="auto"/>
          <w:sz w:val="24"/>
          <w:szCs w:val="24"/>
          <w:highlight w:val="none"/>
        </w:rPr>
        <w:t>A</w:t>
      </w:r>
      <w:r>
        <w:rPr>
          <w:rFonts w:hint="eastAsia" w:hAnsi="宋体"/>
          <w:color w:val="auto"/>
          <w:sz w:val="24"/>
          <w:szCs w:val="24"/>
          <w:highlight w:val="none"/>
        </w:rPr>
        <w:t>章）。投标文件按照“附件（投标文件格式）”的顺序编写。</w:t>
      </w:r>
    </w:p>
    <w:p w14:paraId="18997C1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1</w:t>
      </w:r>
      <w:r>
        <w:rPr>
          <w:b/>
          <w:color w:val="auto"/>
          <w:sz w:val="24"/>
          <w:szCs w:val="24"/>
          <w:highlight w:val="none"/>
        </w:rPr>
        <w:t xml:space="preserve">3.3  </w:t>
      </w:r>
      <w:r>
        <w:rPr>
          <w:rFonts w:hint="eastAsia"/>
          <w:color w:val="auto"/>
          <w:sz w:val="24"/>
          <w:szCs w:val="24"/>
          <w:highlight w:val="none"/>
        </w:rPr>
        <w:t>投标人应根据“政采云供应商项目采购-电子招投标操作指南”及本采购文件规定的格式编制电子投标文件并进行关联定位。关联定位规则：一个关联点只能关联一页，不能关联多页；多个关联点可以关联同一页。</w:t>
      </w:r>
    </w:p>
    <w:p w14:paraId="312E19F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13.4</w:t>
      </w:r>
      <w:r>
        <w:rPr>
          <w:color w:val="auto"/>
          <w:sz w:val="24"/>
          <w:szCs w:val="24"/>
          <w:highlight w:val="none"/>
        </w:rPr>
        <w:t xml:space="preserve">  </w:t>
      </w:r>
      <w:r>
        <w:rPr>
          <w:rFonts w:hint="eastAsia"/>
          <w:color w:val="auto"/>
          <w:sz w:val="24"/>
          <w:szCs w:val="24"/>
          <w:highlight w:val="none"/>
        </w:rPr>
        <w:t>不按招标文件要求编制投标文件</w:t>
      </w:r>
      <w:r>
        <w:rPr>
          <w:rFonts w:hint="eastAsia" w:hAnsi="宋体"/>
          <w:color w:val="auto"/>
          <w:sz w:val="24"/>
          <w:szCs w:val="24"/>
          <w:highlight w:val="none"/>
        </w:rPr>
        <w:t>所引起的后果由投标人自行承担。</w:t>
      </w:r>
    </w:p>
    <w:p w14:paraId="69533B5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14.</w:t>
      </w:r>
      <w:r>
        <w:rPr>
          <w:color w:val="auto"/>
          <w:sz w:val="24"/>
          <w:szCs w:val="24"/>
          <w:highlight w:val="none"/>
        </w:rPr>
        <w:t xml:space="preserve">  </w:t>
      </w:r>
      <w:r>
        <w:rPr>
          <w:rFonts w:hAnsi="宋体"/>
          <w:b/>
          <w:color w:val="auto"/>
          <w:sz w:val="24"/>
          <w:szCs w:val="24"/>
          <w:highlight w:val="none"/>
        </w:rPr>
        <w:t>投标文件的</w:t>
      </w:r>
      <w:r>
        <w:rPr>
          <w:rFonts w:hint="eastAsia" w:hAnsi="宋体"/>
          <w:b/>
          <w:color w:val="auto"/>
          <w:sz w:val="24"/>
          <w:szCs w:val="24"/>
          <w:highlight w:val="none"/>
        </w:rPr>
        <w:t>传输、递交与撤回</w:t>
      </w:r>
    </w:p>
    <w:p w14:paraId="635D3AA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14.1</w:t>
      </w:r>
      <w:r>
        <w:rPr>
          <w:color w:val="auto"/>
          <w:sz w:val="24"/>
          <w:szCs w:val="24"/>
          <w:highlight w:val="none"/>
        </w:rPr>
        <w:t xml:space="preserve">   </w:t>
      </w:r>
      <w:r>
        <w:rPr>
          <w:rFonts w:hint="eastAsia"/>
          <w:color w:val="auto"/>
          <w:sz w:val="24"/>
          <w:szCs w:val="24"/>
          <w:highlight w:val="none"/>
        </w:rPr>
        <w:t>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p>
    <w:p w14:paraId="3BF381D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 xml:space="preserve">14.2  </w:t>
      </w:r>
      <w:r>
        <w:rPr>
          <w:rFonts w:hint="eastAsia"/>
          <w:bCs/>
          <w:color w:val="auto"/>
          <w:sz w:val="24"/>
          <w:szCs w:val="24"/>
          <w:highlight w:val="none"/>
        </w:rPr>
        <w:t>投标文件的效力：投标文件的启用，按先后顺位分别为政采云电子投标文件、以U盘存储的电子备份投标文件。在下一顺位的投标文件启用时，前一顺位的投标文件自动失效。电子投标文件未能按时解密，供应商提供了电子备份投标文件并上传成功的以电子备份投标文件作为依据，否则视为投标文件撤回。政采云电子投标文件已按时解密的，电子备份投标文件自动失效。</w:t>
      </w:r>
    </w:p>
    <w:p w14:paraId="6618E46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15.</w:t>
      </w:r>
      <w:r>
        <w:rPr>
          <w:color w:val="auto"/>
          <w:sz w:val="24"/>
          <w:szCs w:val="24"/>
          <w:highlight w:val="none"/>
        </w:rPr>
        <w:t xml:space="preserve">  </w:t>
      </w:r>
      <w:r>
        <w:rPr>
          <w:rFonts w:hAnsi="宋体"/>
          <w:b/>
          <w:color w:val="auto"/>
          <w:sz w:val="24"/>
          <w:szCs w:val="24"/>
          <w:highlight w:val="none"/>
        </w:rPr>
        <w:t>投标截止时间</w:t>
      </w:r>
    </w:p>
    <w:p w14:paraId="24979B8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 xml:space="preserve">15.1 </w:t>
      </w:r>
      <w:r>
        <w:rPr>
          <w:color w:val="auto"/>
          <w:sz w:val="24"/>
          <w:szCs w:val="24"/>
          <w:highlight w:val="none"/>
        </w:rPr>
        <w:t xml:space="preserve">  </w:t>
      </w:r>
      <w:r>
        <w:rPr>
          <w:rFonts w:hint="eastAsia"/>
          <w:color w:val="auto"/>
          <w:sz w:val="24"/>
          <w:szCs w:val="24"/>
          <w:highlight w:val="none"/>
        </w:rPr>
        <w:t>供应商应当在投标截止时间前完成电子投标文件的传输递交。</w:t>
      </w:r>
    </w:p>
    <w:p w14:paraId="5803E51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15.2</w:t>
      </w:r>
      <w:r>
        <w:rPr>
          <w:color w:val="auto"/>
          <w:sz w:val="24"/>
          <w:szCs w:val="24"/>
          <w:highlight w:val="none"/>
        </w:rPr>
        <w:t xml:space="preserve">   </w:t>
      </w:r>
      <w:r>
        <w:rPr>
          <w:rFonts w:hAnsi="宋体"/>
          <w:color w:val="auto"/>
          <w:sz w:val="24"/>
          <w:szCs w:val="24"/>
          <w:highlight w:val="none"/>
        </w:rPr>
        <w:t>采购人因故需推迟投标截止时间、开标时间时，采购代理公司应</w:t>
      </w:r>
      <w:r>
        <w:rPr>
          <w:rFonts w:hint="eastAsia" w:hAnsi="宋体"/>
          <w:color w:val="auto"/>
          <w:sz w:val="24"/>
          <w:szCs w:val="24"/>
          <w:highlight w:val="none"/>
        </w:rPr>
        <w:t>在投标截止时间3天前</w:t>
      </w:r>
      <w:r>
        <w:rPr>
          <w:rFonts w:hAnsi="宋体"/>
          <w:color w:val="auto"/>
          <w:sz w:val="24"/>
          <w:szCs w:val="24"/>
          <w:highlight w:val="none"/>
        </w:rPr>
        <w:t>在规定的政府采购</w:t>
      </w:r>
      <w:r>
        <w:rPr>
          <w:rFonts w:hint="eastAsia" w:hAnsi="宋体"/>
          <w:color w:val="auto"/>
          <w:sz w:val="24"/>
          <w:szCs w:val="24"/>
          <w:highlight w:val="none"/>
        </w:rPr>
        <w:t>媒体</w:t>
      </w:r>
      <w:r>
        <w:rPr>
          <w:rFonts w:hAnsi="宋体"/>
          <w:color w:val="auto"/>
          <w:sz w:val="24"/>
          <w:szCs w:val="24"/>
          <w:highlight w:val="none"/>
        </w:rPr>
        <w:t>上发布</w:t>
      </w:r>
      <w:r>
        <w:rPr>
          <w:rFonts w:hint="eastAsia" w:hAnsi="宋体"/>
          <w:color w:val="auto"/>
          <w:sz w:val="24"/>
          <w:szCs w:val="24"/>
          <w:highlight w:val="none"/>
        </w:rPr>
        <w:t>延期</w:t>
      </w:r>
      <w:r>
        <w:rPr>
          <w:rFonts w:hAnsi="宋体"/>
          <w:color w:val="auto"/>
          <w:sz w:val="24"/>
          <w:szCs w:val="24"/>
          <w:highlight w:val="none"/>
        </w:rPr>
        <w:t>公告。在这种情况下，采购人和投标人相应的权利和义务将受到新的投标截止期的约束。</w:t>
      </w:r>
    </w:p>
    <w:p w14:paraId="127F02FB">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2"/>
        <w:rPr>
          <w:b/>
          <w:color w:val="auto"/>
          <w:sz w:val="24"/>
          <w:szCs w:val="24"/>
          <w:highlight w:val="none"/>
        </w:rPr>
      </w:pPr>
      <w:r>
        <w:rPr>
          <w:b/>
          <w:color w:val="auto"/>
          <w:sz w:val="24"/>
          <w:szCs w:val="24"/>
          <w:highlight w:val="none"/>
        </w:rPr>
        <w:t xml:space="preserve">E  </w:t>
      </w:r>
      <w:r>
        <w:rPr>
          <w:rFonts w:hAnsi="宋体"/>
          <w:b/>
          <w:color w:val="auto"/>
          <w:sz w:val="24"/>
          <w:szCs w:val="24"/>
          <w:highlight w:val="none"/>
        </w:rPr>
        <w:t>开标</w:t>
      </w:r>
    </w:p>
    <w:p w14:paraId="2CD903F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outlineLvl w:val="2"/>
        <w:rPr>
          <w:rFonts w:hint="eastAsia" w:ascii="Arial" w:cs="Arial"/>
          <w:color w:val="auto"/>
          <w:sz w:val="24"/>
          <w:szCs w:val="24"/>
          <w:highlight w:val="none"/>
        </w:rPr>
      </w:pPr>
      <w:r>
        <w:rPr>
          <w:rFonts w:hint="default" w:ascii="Arial" w:hAnsi="Times New Roman" w:eastAsia="宋体" w:cs="Arial"/>
          <w:b/>
          <w:bCs/>
          <w:color w:val="auto"/>
          <w:kern w:val="2"/>
          <w:sz w:val="24"/>
          <w:szCs w:val="24"/>
          <w:lang w:val="en-US" w:eastAsia="zh-CN" w:bidi="ar-SA"/>
        </w:rPr>
        <w:t>16.</w:t>
      </w:r>
      <w:r>
        <w:rPr>
          <w:rFonts w:hint="eastAsia"/>
          <w:b/>
          <w:color w:val="auto"/>
          <w:sz w:val="24"/>
          <w:szCs w:val="24"/>
          <w:highlight w:val="none"/>
        </w:rPr>
        <w:t>电子招投标开标程序：</w:t>
      </w:r>
    </w:p>
    <w:p w14:paraId="3CE44B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 xml:space="preserve">16.1  </w:t>
      </w:r>
      <w:r>
        <w:rPr>
          <w:rFonts w:hint="eastAsia"/>
          <w:color w:val="auto"/>
          <w:sz w:val="24"/>
          <w:szCs w:val="24"/>
          <w:highlight w:val="none"/>
        </w:rPr>
        <w:t>投标截止时间后，供应商登录政府采购云平台，用“项目采购-开标评标”功能对电子投标文件进行在线解密，</w:t>
      </w:r>
      <w:r>
        <w:rPr>
          <w:rFonts w:hint="eastAsia"/>
          <w:b/>
          <w:bCs/>
          <w:color w:val="auto"/>
          <w:sz w:val="24"/>
          <w:szCs w:val="24"/>
          <w:highlight w:val="none"/>
        </w:rPr>
        <w:t>在线解密电子投标文件时间为开标时间后30分钟内。</w:t>
      </w:r>
    </w:p>
    <w:p w14:paraId="7CC8DC6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eastAsia="宋体"/>
          <w:color w:val="auto"/>
          <w:sz w:val="24"/>
          <w:szCs w:val="24"/>
          <w:highlight w:val="none"/>
        </w:rPr>
      </w:pPr>
      <w:r>
        <w:rPr>
          <w:rFonts w:hint="eastAsia"/>
          <w:b/>
          <w:color w:val="auto"/>
          <w:sz w:val="24"/>
          <w:szCs w:val="24"/>
          <w:highlight w:val="none"/>
        </w:rPr>
        <w:t xml:space="preserve">16.2  </w:t>
      </w:r>
      <w:r>
        <w:rPr>
          <w:rFonts w:hint="eastAsia" w:eastAsia="宋体"/>
          <w:color w:val="auto"/>
          <w:sz w:val="24"/>
          <w:szCs w:val="24"/>
          <w:highlight w:val="none"/>
        </w:rPr>
        <w:t>主持人宣布评标期间的有关事项，告知应当回避的情形，提请有关人员回避；</w:t>
      </w:r>
    </w:p>
    <w:p w14:paraId="494B00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color w:val="auto"/>
          <w:sz w:val="24"/>
          <w:szCs w:val="24"/>
          <w:highlight w:val="none"/>
          <w:lang w:val="en-US" w:eastAsia="zh-CN"/>
        </w:rPr>
        <w:t xml:space="preserve">16.3 </w:t>
      </w:r>
      <w:r>
        <w:rPr>
          <w:rFonts w:hint="eastAsia" w:eastAsia="宋体"/>
          <w:b w:val="0"/>
          <w:bCs/>
          <w:color w:val="auto"/>
          <w:sz w:val="24"/>
          <w:szCs w:val="24"/>
          <w:highlight w:val="none"/>
        </w:rPr>
        <w:t>采购代理机构（采购人）对资格进行审查，评标委员会对符合性进行审查，并对“技术商务文件”进行评审打分，评分结束后，由主持人在线公布无效投标的投标人名单、投标无效的原因及其他有效投标人的技术商务得分情况；</w:t>
      </w:r>
    </w:p>
    <w:p w14:paraId="7297CD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bCs w:val="0"/>
          <w:color w:val="auto"/>
          <w:sz w:val="24"/>
          <w:szCs w:val="24"/>
          <w:highlight w:val="none"/>
          <w:lang w:val="en-US" w:eastAsia="zh-CN"/>
        </w:rPr>
        <w:t>16.4</w:t>
      </w:r>
      <w:r>
        <w:rPr>
          <w:rFonts w:hint="eastAsia" w:eastAsia="宋体"/>
          <w:b w:val="0"/>
          <w:bCs/>
          <w:color w:val="auto"/>
          <w:sz w:val="24"/>
          <w:szCs w:val="24"/>
          <w:highlight w:val="none"/>
          <w:lang w:val="en-US" w:eastAsia="zh-CN"/>
        </w:rPr>
        <w:t xml:space="preserve">  </w:t>
      </w:r>
      <w:r>
        <w:rPr>
          <w:rFonts w:hint="eastAsia" w:eastAsia="宋体"/>
          <w:b w:val="0"/>
          <w:bCs/>
          <w:color w:val="auto"/>
          <w:sz w:val="24"/>
          <w:szCs w:val="24"/>
          <w:highlight w:val="none"/>
        </w:rPr>
        <w:t>由主持人在线开启报价文件，公布《开标一览表》中的投标人名称、投标报价以及其他内容等；</w:t>
      </w:r>
    </w:p>
    <w:p w14:paraId="551666A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bCs w:val="0"/>
          <w:color w:val="auto"/>
          <w:sz w:val="24"/>
          <w:szCs w:val="24"/>
          <w:highlight w:val="none"/>
          <w:lang w:val="en-US" w:eastAsia="zh-CN"/>
        </w:rPr>
        <w:t>16.5</w:t>
      </w:r>
      <w:r>
        <w:rPr>
          <w:rFonts w:hint="eastAsia" w:eastAsia="宋体"/>
          <w:b w:val="0"/>
          <w:bCs/>
          <w:color w:val="auto"/>
          <w:sz w:val="24"/>
          <w:szCs w:val="24"/>
          <w:highlight w:val="none"/>
          <w:lang w:val="en-US" w:eastAsia="zh-CN"/>
        </w:rPr>
        <w:t xml:space="preserve">  </w:t>
      </w:r>
      <w:r>
        <w:rPr>
          <w:rFonts w:hint="eastAsia" w:eastAsia="宋体"/>
          <w:b w:val="0"/>
          <w:bCs/>
          <w:color w:val="auto"/>
          <w:sz w:val="24"/>
          <w:szCs w:val="24"/>
          <w:highlight w:val="none"/>
        </w:rPr>
        <w:t>采购代理机构做开标记录，开启投标人报价确认签字环节；</w:t>
      </w:r>
    </w:p>
    <w:p w14:paraId="7E5D591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rFonts w:hint="eastAsia" w:eastAsia="宋体"/>
          <w:b w:val="0"/>
          <w:bCs/>
          <w:color w:val="auto"/>
          <w:sz w:val="24"/>
          <w:szCs w:val="24"/>
          <w:highlight w:val="none"/>
        </w:rPr>
      </w:pPr>
      <w:r>
        <w:rPr>
          <w:rFonts w:hint="eastAsia" w:eastAsia="宋体"/>
          <w:b/>
          <w:bCs w:val="0"/>
          <w:color w:val="auto"/>
          <w:sz w:val="24"/>
          <w:szCs w:val="24"/>
          <w:highlight w:val="none"/>
          <w:lang w:val="en-US" w:eastAsia="zh-CN"/>
        </w:rPr>
        <w:t>16.6</w:t>
      </w:r>
      <w:r>
        <w:rPr>
          <w:rFonts w:hint="eastAsia" w:eastAsia="宋体"/>
          <w:b w:val="0"/>
          <w:bCs/>
          <w:color w:val="auto"/>
          <w:sz w:val="24"/>
          <w:szCs w:val="24"/>
          <w:highlight w:val="none"/>
          <w:lang w:val="en-US" w:eastAsia="zh-CN"/>
        </w:rPr>
        <w:t xml:space="preserve">  </w:t>
      </w:r>
      <w:r>
        <w:rPr>
          <w:rFonts w:hint="eastAsia" w:eastAsia="宋体"/>
          <w:b w:val="0"/>
          <w:bCs/>
          <w:color w:val="auto"/>
          <w:sz w:val="24"/>
          <w:szCs w:val="24"/>
          <w:highlight w:val="none"/>
        </w:rPr>
        <w:t>评标委员会对“报价文件”进行评审；</w:t>
      </w:r>
    </w:p>
    <w:p w14:paraId="0D56C1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eastAsia="宋体"/>
          <w:b/>
          <w:bCs w:val="0"/>
          <w:color w:val="auto"/>
          <w:sz w:val="24"/>
          <w:szCs w:val="24"/>
          <w:highlight w:val="none"/>
          <w:lang w:val="en-US" w:eastAsia="zh-CN"/>
        </w:rPr>
        <w:t>16.7</w:t>
      </w:r>
      <w:r>
        <w:rPr>
          <w:rFonts w:hint="eastAsia" w:eastAsia="宋体"/>
          <w:b w:val="0"/>
          <w:bCs/>
          <w:color w:val="auto"/>
          <w:sz w:val="24"/>
          <w:szCs w:val="24"/>
          <w:highlight w:val="none"/>
          <w:lang w:val="en-US" w:eastAsia="zh-CN"/>
        </w:rPr>
        <w:t xml:space="preserve">  </w:t>
      </w:r>
      <w:r>
        <w:rPr>
          <w:rFonts w:hint="eastAsia"/>
          <w:color w:val="auto"/>
          <w:sz w:val="24"/>
          <w:szCs w:val="24"/>
          <w:highlight w:val="none"/>
        </w:rPr>
        <w:t>在政府采购云平台公布评审结果。</w:t>
      </w:r>
    </w:p>
    <w:p w14:paraId="5FFBCFF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16.</w:t>
      </w:r>
      <w:r>
        <w:rPr>
          <w:rFonts w:hint="eastAsia"/>
          <w:b/>
          <w:color w:val="auto"/>
          <w:sz w:val="24"/>
          <w:szCs w:val="24"/>
          <w:highlight w:val="none"/>
          <w:lang w:val="en-US" w:eastAsia="zh-CN"/>
        </w:rPr>
        <w:t>8</w:t>
      </w:r>
      <w:r>
        <w:rPr>
          <w:rFonts w:hint="eastAsia"/>
          <w:b/>
          <w:color w:val="auto"/>
          <w:sz w:val="24"/>
          <w:szCs w:val="24"/>
          <w:highlight w:val="none"/>
        </w:rPr>
        <w:t xml:space="preserve">  </w:t>
      </w:r>
      <w:r>
        <w:rPr>
          <w:rFonts w:hint="eastAsia"/>
          <w:color w:val="auto"/>
          <w:sz w:val="24"/>
          <w:szCs w:val="24"/>
          <w:highlight w:val="none"/>
        </w:rPr>
        <w:t>开标会议结束。</w:t>
      </w:r>
    </w:p>
    <w:p w14:paraId="70096D99">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1"/>
        <w:rPr>
          <w:b/>
          <w:color w:val="auto"/>
          <w:sz w:val="24"/>
          <w:szCs w:val="24"/>
          <w:highlight w:val="none"/>
        </w:rPr>
      </w:pPr>
      <w:r>
        <w:rPr>
          <w:b/>
          <w:color w:val="auto"/>
          <w:sz w:val="24"/>
          <w:szCs w:val="24"/>
          <w:highlight w:val="none"/>
        </w:rPr>
        <w:t xml:space="preserve">F  </w:t>
      </w:r>
      <w:r>
        <w:rPr>
          <w:rFonts w:hAnsi="宋体"/>
          <w:b/>
          <w:color w:val="auto"/>
          <w:sz w:val="24"/>
          <w:szCs w:val="24"/>
          <w:highlight w:val="none"/>
        </w:rPr>
        <w:t>评标和定标</w:t>
      </w:r>
    </w:p>
    <w:p w14:paraId="4414067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 xml:space="preserve">. </w:t>
      </w:r>
      <w:r>
        <w:rPr>
          <w:rFonts w:hAnsi="宋体"/>
          <w:b/>
          <w:color w:val="auto"/>
          <w:sz w:val="24"/>
          <w:szCs w:val="24"/>
          <w:highlight w:val="none"/>
        </w:rPr>
        <w:t>评标委员会</w:t>
      </w:r>
    </w:p>
    <w:p w14:paraId="1F82284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受采购人的委托，采购代理公司根据国家《政府采购法》、《政府采购法</w:t>
      </w:r>
      <w:r>
        <w:rPr>
          <w:rFonts w:hint="eastAsia" w:hAnsi="宋体"/>
          <w:color w:val="auto"/>
          <w:sz w:val="24"/>
          <w:szCs w:val="24"/>
          <w:highlight w:val="none"/>
        </w:rPr>
        <w:t>实施条例</w:t>
      </w:r>
      <w:r>
        <w:rPr>
          <w:rFonts w:hAnsi="宋体"/>
          <w:color w:val="auto"/>
          <w:sz w:val="24"/>
          <w:szCs w:val="24"/>
          <w:highlight w:val="none"/>
        </w:rPr>
        <w:t>》</w:t>
      </w:r>
      <w:r>
        <w:rPr>
          <w:rFonts w:hint="eastAsia" w:hAnsi="宋体"/>
          <w:color w:val="auto"/>
          <w:sz w:val="24"/>
          <w:szCs w:val="24"/>
          <w:highlight w:val="none"/>
        </w:rPr>
        <w:t>、</w:t>
      </w:r>
      <w:r>
        <w:rPr>
          <w:rFonts w:hAnsi="宋体"/>
          <w:color w:val="auto"/>
          <w:sz w:val="24"/>
          <w:szCs w:val="24"/>
          <w:highlight w:val="none"/>
        </w:rPr>
        <w:t>国家财政部第</w:t>
      </w:r>
      <w:r>
        <w:rPr>
          <w:rFonts w:hint="eastAsia"/>
          <w:color w:val="auto"/>
          <w:sz w:val="24"/>
          <w:szCs w:val="24"/>
          <w:highlight w:val="none"/>
        </w:rPr>
        <w:t>87</w:t>
      </w:r>
      <w:r>
        <w:rPr>
          <w:rFonts w:hAnsi="宋体"/>
          <w:color w:val="auto"/>
          <w:sz w:val="24"/>
          <w:szCs w:val="24"/>
          <w:highlight w:val="none"/>
        </w:rPr>
        <w:t>号令</w:t>
      </w:r>
      <w:r>
        <w:rPr>
          <w:rFonts w:hint="eastAsia" w:hAnsi="宋体"/>
          <w:color w:val="auto"/>
          <w:sz w:val="24"/>
          <w:szCs w:val="24"/>
          <w:highlight w:val="none"/>
        </w:rPr>
        <w:t>及其他有关</w:t>
      </w:r>
      <w:r>
        <w:rPr>
          <w:rFonts w:hAnsi="宋体"/>
          <w:color w:val="auto"/>
          <w:sz w:val="24"/>
          <w:szCs w:val="24"/>
          <w:highlight w:val="none"/>
        </w:rPr>
        <w:t>规定组建评标委员会，评标委员会负责评标工作。评标委员会由采购人代表和评审专家组成。</w:t>
      </w:r>
      <w:r>
        <w:rPr>
          <w:rFonts w:hint="eastAsia" w:hAnsi="宋体"/>
          <w:color w:val="auto"/>
          <w:sz w:val="24"/>
          <w:szCs w:val="24"/>
          <w:highlight w:val="none"/>
        </w:rPr>
        <w:t>评审</w:t>
      </w:r>
      <w:r>
        <w:rPr>
          <w:rFonts w:hAnsi="宋体"/>
          <w:color w:val="auto"/>
          <w:sz w:val="24"/>
          <w:szCs w:val="24"/>
          <w:highlight w:val="none"/>
        </w:rPr>
        <w:t>专家将在开标日之前</w:t>
      </w:r>
      <w:r>
        <w:rPr>
          <w:rFonts w:hint="eastAsia" w:hAnsi="宋体"/>
          <w:color w:val="auto"/>
          <w:sz w:val="24"/>
          <w:szCs w:val="24"/>
          <w:highlight w:val="none"/>
        </w:rPr>
        <w:t>24小时内</w:t>
      </w:r>
      <w:r>
        <w:rPr>
          <w:rFonts w:hAnsi="宋体"/>
          <w:color w:val="auto"/>
          <w:sz w:val="24"/>
          <w:szCs w:val="24"/>
          <w:highlight w:val="none"/>
        </w:rPr>
        <w:t>在</w:t>
      </w:r>
      <w:r>
        <w:rPr>
          <w:rFonts w:hint="eastAsia" w:hAnsi="宋体"/>
          <w:color w:val="auto"/>
          <w:sz w:val="24"/>
          <w:szCs w:val="24"/>
          <w:highlight w:val="none"/>
        </w:rPr>
        <w:t>政采云</w:t>
      </w:r>
      <w:r>
        <w:rPr>
          <w:rFonts w:hAnsi="宋体"/>
          <w:color w:val="auto"/>
          <w:sz w:val="24"/>
          <w:szCs w:val="24"/>
          <w:highlight w:val="none"/>
        </w:rPr>
        <w:t>的评标专家库中随机抽取。评标委员会成员名单在招标结果确定之前依法保密。</w:t>
      </w:r>
    </w:p>
    <w:p w14:paraId="7401891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 xml:space="preserve">17.2 </w:t>
      </w:r>
      <w:r>
        <w:rPr>
          <w:rFonts w:hint="eastAsia"/>
          <w:bCs/>
          <w:color w:val="auto"/>
          <w:sz w:val="24"/>
          <w:szCs w:val="24"/>
          <w:highlight w:val="none"/>
        </w:rPr>
        <w:t>评审专家有下列情形之一的，应主动提出回避，采购人、采购代理也可以要求该评审专家回避：</w:t>
      </w:r>
    </w:p>
    <w:p w14:paraId="2E1107F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（1） 参加采购活动前3年内与供应商存在劳动关系；</w:t>
      </w:r>
    </w:p>
    <w:p w14:paraId="0993523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（2） 参加采购活动前3年内担任供应商的董事、监事；</w:t>
      </w:r>
    </w:p>
    <w:p w14:paraId="38B36BE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（3） 参加采购活动前3年内是供应商的控股股东或者实际控制人；</w:t>
      </w:r>
    </w:p>
    <w:p w14:paraId="1A0D52E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（4） 与供应商的法定代表人或者负责人有夫妻、直系血亲、三代以内旁系血亲或者近姻亲关系；</w:t>
      </w:r>
    </w:p>
    <w:p w14:paraId="6E0CD5B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Cs/>
          <w:color w:val="auto"/>
          <w:sz w:val="24"/>
          <w:szCs w:val="24"/>
          <w:highlight w:val="none"/>
        </w:rPr>
        <w:t>（5） 与供应商有其他可能影响政府采购活动公平、公正进行的关系。</w:t>
      </w:r>
    </w:p>
    <w:p w14:paraId="27CF584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1</w:t>
      </w:r>
      <w:r>
        <w:rPr>
          <w:rFonts w:hint="eastAsia"/>
          <w:b/>
          <w:color w:val="auto"/>
          <w:sz w:val="24"/>
          <w:szCs w:val="24"/>
          <w:highlight w:val="none"/>
        </w:rPr>
        <w:t>7</w:t>
      </w:r>
      <w:r>
        <w:rPr>
          <w:b/>
          <w:color w:val="auto"/>
          <w:sz w:val="24"/>
          <w:szCs w:val="24"/>
          <w:highlight w:val="none"/>
        </w:rPr>
        <w:t>.</w:t>
      </w:r>
      <w:r>
        <w:rPr>
          <w:rFonts w:hint="eastAsia"/>
          <w:b/>
          <w:color w:val="auto"/>
          <w:sz w:val="24"/>
          <w:szCs w:val="24"/>
          <w:highlight w:val="none"/>
        </w:rPr>
        <w:t>3</w:t>
      </w:r>
      <w:r>
        <w:rPr>
          <w:color w:val="auto"/>
          <w:sz w:val="24"/>
          <w:szCs w:val="24"/>
          <w:highlight w:val="none"/>
        </w:rPr>
        <w:t xml:space="preserve">  </w:t>
      </w:r>
      <w:r>
        <w:rPr>
          <w:rFonts w:hAnsi="宋体"/>
          <w:color w:val="auto"/>
          <w:sz w:val="24"/>
          <w:szCs w:val="24"/>
          <w:highlight w:val="none"/>
        </w:rPr>
        <w:t>评标委员会将遵循公平、公正、科学</w:t>
      </w:r>
      <w:r>
        <w:rPr>
          <w:rFonts w:hint="eastAsia" w:hAnsi="宋体"/>
          <w:color w:val="auto"/>
          <w:sz w:val="24"/>
          <w:szCs w:val="24"/>
          <w:highlight w:val="none"/>
        </w:rPr>
        <w:t>择优</w:t>
      </w:r>
      <w:r>
        <w:rPr>
          <w:rFonts w:hAnsi="宋体"/>
          <w:color w:val="auto"/>
          <w:sz w:val="24"/>
          <w:szCs w:val="24"/>
          <w:highlight w:val="none"/>
        </w:rPr>
        <w:t>的原则和规定的程序进行评标，并且只依据投标文件本身对招标文件的响应情况进行评审。</w:t>
      </w:r>
    </w:p>
    <w:p w14:paraId="3E0A3DF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rFonts w:hint="eastAsia"/>
          <w:b/>
          <w:color w:val="auto"/>
          <w:sz w:val="24"/>
          <w:szCs w:val="24"/>
          <w:highlight w:val="none"/>
        </w:rPr>
        <w:t>18</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评标办法</w:t>
      </w:r>
    </w:p>
    <w:p w14:paraId="69DDFD0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hAnsi="宋体"/>
          <w:b/>
          <w:color w:val="auto"/>
          <w:sz w:val="24"/>
          <w:szCs w:val="24"/>
          <w:highlight w:val="none"/>
        </w:rPr>
        <w:t xml:space="preserve">18.1 </w:t>
      </w:r>
      <w:r>
        <w:rPr>
          <w:rFonts w:hint="eastAsia" w:hAnsi="宋体"/>
          <w:color w:val="auto"/>
          <w:sz w:val="24"/>
          <w:szCs w:val="24"/>
          <w:highlight w:val="none"/>
        </w:rPr>
        <w:t xml:space="preserve"> </w:t>
      </w:r>
      <w:r>
        <w:rPr>
          <w:rFonts w:hAnsi="宋体"/>
          <w:color w:val="auto"/>
          <w:sz w:val="24"/>
          <w:szCs w:val="24"/>
          <w:highlight w:val="none"/>
        </w:rPr>
        <w:t>本项目采用的评标</w:t>
      </w:r>
      <w:r>
        <w:rPr>
          <w:rFonts w:hint="eastAsia" w:hAnsi="宋体"/>
          <w:color w:val="auto"/>
          <w:sz w:val="24"/>
          <w:szCs w:val="24"/>
          <w:highlight w:val="none"/>
        </w:rPr>
        <w:t>办法</w:t>
      </w:r>
      <w:r>
        <w:rPr>
          <w:rFonts w:hAnsi="宋体"/>
          <w:color w:val="auto"/>
          <w:sz w:val="24"/>
          <w:szCs w:val="24"/>
          <w:highlight w:val="none"/>
        </w:rPr>
        <w:t>载明在招标文件第</w:t>
      </w:r>
      <w:r>
        <w:rPr>
          <w:rFonts w:hint="eastAsia" w:hAnsi="宋体"/>
          <w:color w:val="auto"/>
          <w:sz w:val="24"/>
          <w:szCs w:val="24"/>
          <w:highlight w:val="none"/>
        </w:rPr>
        <w:t>三</w:t>
      </w:r>
      <w:r>
        <w:rPr>
          <w:rFonts w:hAnsi="宋体"/>
          <w:color w:val="auto"/>
          <w:sz w:val="24"/>
          <w:szCs w:val="24"/>
          <w:highlight w:val="none"/>
        </w:rPr>
        <w:t>部分</w:t>
      </w:r>
      <w:r>
        <w:rPr>
          <w:rFonts w:hint="eastAsia" w:hAnsi="宋体"/>
          <w:color w:val="auto"/>
          <w:sz w:val="24"/>
          <w:szCs w:val="24"/>
          <w:highlight w:val="none"/>
        </w:rPr>
        <w:t>“</w:t>
      </w:r>
      <w:r>
        <w:rPr>
          <w:rFonts w:hAnsi="宋体"/>
          <w:color w:val="auto"/>
          <w:sz w:val="24"/>
          <w:szCs w:val="24"/>
          <w:highlight w:val="none"/>
        </w:rPr>
        <w:t>评标标准</w:t>
      </w:r>
      <w:r>
        <w:rPr>
          <w:rFonts w:hint="eastAsia" w:hAnsi="宋体"/>
          <w:color w:val="auto"/>
          <w:sz w:val="24"/>
          <w:szCs w:val="24"/>
          <w:highlight w:val="none"/>
        </w:rPr>
        <w:t>”</w:t>
      </w:r>
      <w:r>
        <w:rPr>
          <w:rFonts w:hAnsi="宋体"/>
          <w:color w:val="auto"/>
          <w:sz w:val="24"/>
          <w:szCs w:val="24"/>
          <w:highlight w:val="none"/>
        </w:rPr>
        <w:t>中。</w:t>
      </w:r>
    </w:p>
    <w:p w14:paraId="16868B3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rFonts w:hint="eastAsia"/>
          <w:b/>
          <w:color w:val="auto"/>
          <w:sz w:val="24"/>
          <w:szCs w:val="24"/>
          <w:highlight w:val="none"/>
        </w:rPr>
        <w:t>19</w:t>
      </w:r>
      <w:r>
        <w:rPr>
          <w:b/>
          <w:color w:val="auto"/>
          <w:sz w:val="24"/>
          <w:szCs w:val="24"/>
          <w:highlight w:val="none"/>
        </w:rPr>
        <w:t>.</w:t>
      </w:r>
      <w:r>
        <w:rPr>
          <w:rFonts w:hint="eastAsia"/>
          <w:color w:val="auto"/>
          <w:sz w:val="24"/>
          <w:szCs w:val="24"/>
          <w:highlight w:val="none"/>
        </w:rPr>
        <w:t xml:space="preserve"> </w:t>
      </w:r>
      <w:r>
        <w:rPr>
          <w:rFonts w:hint="eastAsia" w:hAnsi="宋体"/>
          <w:b/>
          <w:color w:val="auto"/>
          <w:sz w:val="24"/>
          <w:szCs w:val="24"/>
          <w:highlight w:val="none"/>
        </w:rPr>
        <w:t>确定</w:t>
      </w:r>
      <w:r>
        <w:rPr>
          <w:rFonts w:hAnsi="宋体"/>
          <w:b/>
          <w:color w:val="auto"/>
          <w:sz w:val="24"/>
          <w:szCs w:val="24"/>
          <w:highlight w:val="none"/>
        </w:rPr>
        <w:t>中标</w:t>
      </w:r>
      <w:r>
        <w:rPr>
          <w:rFonts w:hint="eastAsia" w:hAnsi="宋体"/>
          <w:b/>
          <w:color w:val="auto"/>
          <w:sz w:val="24"/>
          <w:szCs w:val="24"/>
          <w:highlight w:val="none"/>
        </w:rPr>
        <w:t>供应商</w:t>
      </w:r>
    </w:p>
    <w:p w14:paraId="0E1E635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b/>
          <w:color w:val="auto"/>
          <w:sz w:val="24"/>
          <w:szCs w:val="24"/>
          <w:highlight w:val="none"/>
        </w:rPr>
        <w:t>19</w:t>
      </w:r>
      <w:r>
        <w:rPr>
          <w:b/>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采购人自收到评标报告之日起5个工作日内，</w:t>
      </w:r>
      <w:r>
        <w:rPr>
          <w:rFonts w:hint="eastAsia" w:hAnsi="宋体"/>
          <w:color w:val="auto"/>
          <w:sz w:val="24"/>
          <w:szCs w:val="24"/>
          <w:highlight w:val="none"/>
          <w:lang w:val="en-US" w:eastAsia="zh-CN"/>
        </w:rPr>
        <w:t>确认评标委员会推荐的中标候选人为中标供应商。</w:t>
      </w:r>
      <w:r>
        <w:rPr>
          <w:rFonts w:hint="eastAsia" w:hAnsi="宋体"/>
          <w:color w:val="auto"/>
          <w:sz w:val="24"/>
          <w:szCs w:val="24"/>
          <w:highlight w:val="none"/>
        </w:rPr>
        <w:t>若排名第一的中标候选人放弃中标、或因不可抗力提出不能履行合同、或不能在招标文件规定的期限内提交履约保证金（如适用），采购人将重新组织招标。</w:t>
      </w:r>
    </w:p>
    <w:p w14:paraId="6940530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评标过程保密</w:t>
      </w:r>
    </w:p>
    <w:p w14:paraId="4739CF1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0</w:t>
      </w:r>
      <w:r>
        <w:rPr>
          <w:b/>
          <w:color w:val="auto"/>
          <w:sz w:val="24"/>
          <w:szCs w:val="24"/>
          <w:highlight w:val="none"/>
        </w:rPr>
        <w:t xml:space="preserve">.1  </w:t>
      </w:r>
      <w:r>
        <w:rPr>
          <w:rFonts w:hint="eastAsia"/>
          <w:color w:val="auto"/>
          <w:sz w:val="24"/>
          <w:szCs w:val="24"/>
          <w:highlight w:val="none"/>
        </w:rPr>
        <w:t>在</w:t>
      </w:r>
      <w:r>
        <w:rPr>
          <w:rFonts w:hAnsi="宋体"/>
          <w:color w:val="auto"/>
          <w:sz w:val="24"/>
          <w:szCs w:val="24"/>
          <w:highlight w:val="none"/>
        </w:rPr>
        <w:t>中标</w:t>
      </w:r>
      <w:r>
        <w:rPr>
          <w:rFonts w:hint="eastAsia" w:hAnsi="宋体"/>
          <w:color w:val="auto"/>
          <w:sz w:val="24"/>
          <w:szCs w:val="24"/>
          <w:highlight w:val="none"/>
        </w:rPr>
        <w:t>公告发布</w:t>
      </w:r>
      <w:r>
        <w:rPr>
          <w:rFonts w:hAnsi="宋体"/>
          <w:color w:val="auto"/>
          <w:sz w:val="24"/>
          <w:szCs w:val="24"/>
          <w:highlight w:val="none"/>
        </w:rPr>
        <w:t>之前，凡是涉及评标委员会名单</w:t>
      </w:r>
      <w:r>
        <w:rPr>
          <w:rFonts w:hint="eastAsia" w:hAnsi="宋体"/>
          <w:color w:val="auto"/>
          <w:sz w:val="24"/>
          <w:szCs w:val="24"/>
          <w:highlight w:val="none"/>
        </w:rPr>
        <w:t>，</w:t>
      </w:r>
      <w:r>
        <w:rPr>
          <w:rFonts w:hAnsi="宋体"/>
          <w:color w:val="auto"/>
          <w:sz w:val="24"/>
          <w:szCs w:val="24"/>
          <w:highlight w:val="none"/>
        </w:rPr>
        <w:t>投标文件的评价</w:t>
      </w:r>
      <w:r>
        <w:rPr>
          <w:rFonts w:hint="eastAsia" w:hAnsi="宋体"/>
          <w:color w:val="auto"/>
          <w:sz w:val="24"/>
          <w:szCs w:val="24"/>
          <w:highlight w:val="none"/>
        </w:rPr>
        <w:t>与比较，与</w:t>
      </w:r>
      <w:r>
        <w:rPr>
          <w:rFonts w:hAnsi="宋体"/>
          <w:color w:val="auto"/>
          <w:sz w:val="24"/>
          <w:szCs w:val="24"/>
          <w:highlight w:val="none"/>
        </w:rPr>
        <w:t>投标有关</w:t>
      </w:r>
      <w:r>
        <w:rPr>
          <w:rFonts w:hint="eastAsia" w:hAnsi="宋体"/>
          <w:color w:val="auto"/>
          <w:sz w:val="24"/>
          <w:szCs w:val="24"/>
          <w:highlight w:val="none"/>
        </w:rPr>
        <w:t>的</w:t>
      </w:r>
      <w:r>
        <w:rPr>
          <w:rFonts w:hAnsi="宋体"/>
          <w:color w:val="auto"/>
          <w:sz w:val="24"/>
          <w:szCs w:val="24"/>
          <w:highlight w:val="none"/>
        </w:rPr>
        <w:t>资料</w:t>
      </w:r>
      <w:r>
        <w:rPr>
          <w:rFonts w:hint="eastAsia" w:hAnsi="宋体"/>
          <w:color w:val="auto"/>
          <w:sz w:val="24"/>
          <w:szCs w:val="24"/>
          <w:highlight w:val="none"/>
        </w:rPr>
        <w:t>，</w:t>
      </w:r>
      <w:r>
        <w:rPr>
          <w:rFonts w:hAnsi="宋体"/>
          <w:color w:val="auto"/>
          <w:sz w:val="24"/>
          <w:szCs w:val="24"/>
          <w:highlight w:val="none"/>
        </w:rPr>
        <w:t>授标意向等，评标委员会成员、采购人和采购代理公司的有关人员均不得向投标人或其他无关的人员透露。</w:t>
      </w:r>
    </w:p>
    <w:p w14:paraId="205D39D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b/>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确定中标供应商、评标结果</w:t>
      </w:r>
      <w:r>
        <w:rPr>
          <w:rFonts w:hint="eastAsia" w:hAnsi="宋体"/>
          <w:b/>
          <w:color w:val="auto"/>
          <w:sz w:val="24"/>
          <w:szCs w:val="24"/>
          <w:highlight w:val="none"/>
        </w:rPr>
        <w:t>公告</w:t>
      </w:r>
    </w:p>
    <w:p w14:paraId="0ACF235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1</w:t>
      </w:r>
      <w:r>
        <w:rPr>
          <w:b/>
          <w:color w:val="auto"/>
          <w:sz w:val="24"/>
          <w:szCs w:val="24"/>
          <w:highlight w:val="none"/>
        </w:rPr>
        <w:t xml:space="preserve">.1  </w:t>
      </w:r>
      <w:r>
        <w:rPr>
          <w:rFonts w:hAnsi="宋体"/>
          <w:color w:val="auto"/>
          <w:sz w:val="24"/>
          <w:szCs w:val="24"/>
          <w:highlight w:val="none"/>
        </w:rPr>
        <w:t>采购人根据评标报告中推荐的中标候选供应商顺序确定中标供应商（或评标委员会受采购人授权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）。中标供应商一经确定，本采购代理公司即在规定的政府采购信息发布媒体上发布中标公告，投标人可到网上查询相关的中标信息。</w:t>
      </w:r>
    </w:p>
    <w:p w14:paraId="53C7ECB3">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1"/>
        <w:rPr>
          <w:b/>
          <w:color w:val="auto"/>
          <w:sz w:val="24"/>
          <w:szCs w:val="24"/>
          <w:highlight w:val="none"/>
        </w:rPr>
      </w:pPr>
      <w:r>
        <w:rPr>
          <w:b/>
          <w:color w:val="auto"/>
          <w:sz w:val="24"/>
          <w:szCs w:val="24"/>
          <w:highlight w:val="none"/>
        </w:rPr>
        <w:t xml:space="preserve">G  </w:t>
      </w:r>
      <w:r>
        <w:rPr>
          <w:rFonts w:hAnsi="宋体"/>
          <w:b/>
          <w:color w:val="auto"/>
          <w:sz w:val="24"/>
          <w:szCs w:val="24"/>
          <w:highlight w:val="none"/>
        </w:rPr>
        <w:t>授予合同</w:t>
      </w:r>
    </w:p>
    <w:p w14:paraId="763C066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  </w:t>
      </w:r>
      <w:r>
        <w:rPr>
          <w:color w:val="auto"/>
          <w:sz w:val="24"/>
          <w:szCs w:val="24"/>
          <w:highlight w:val="none"/>
        </w:rPr>
        <w:t xml:space="preserve">  </w:t>
      </w:r>
      <w:r>
        <w:rPr>
          <w:rFonts w:hAnsi="宋体"/>
          <w:b/>
          <w:color w:val="auto"/>
          <w:sz w:val="24"/>
          <w:szCs w:val="24"/>
          <w:highlight w:val="none"/>
        </w:rPr>
        <w:t>中标通知</w:t>
      </w:r>
    </w:p>
    <w:p w14:paraId="78F4185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 xml:space="preserve">.1  </w:t>
      </w:r>
      <w:r>
        <w:rPr>
          <w:rFonts w:hAnsi="宋体"/>
          <w:color w:val="auto"/>
          <w:sz w:val="24"/>
          <w:szCs w:val="24"/>
          <w:highlight w:val="none"/>
        </w:rPr>
        <w:t>在</w:t>
      </w:r>
      <w:r>
        <w:rPr>
          <w:rFonts w:hint="eastAsia" w:hAnsi="宋体"/>
          <w:color w:val="auto"/>
          <w:sz w:val="24"/>
          <w:szCs w:val="24"/>
          <w:highlight w:val="none"/>
        </w:rPr>
        <w:t>发布中标公告同时</w:t>
      </w:r>
      <w:r>
        <w:rPr>
          <w:rFonts w:hAnsi="宋体"/>
          <w:color w:val="auto"/>
          <w:sz w:val="24"/>
          <w:szCs w:val="24"/>
          <w:highlight w:val="none"/>
        </w:rPr>
        <w:t>，本采购代理公司向中标供应商发出中标通知</w:t>
      </w:r>
      <w:r>
        <w:rPr>
          <w:rFonts w:hint="eastAsia" w:hAnsi="宋体"/>
          <w:color w:val="auto"/>
          <w:sz w:val="24"/>
          <w:szCs w:val="24"/>
          <w:highlight w:val="none"/>
        </w:rPr>
        <w:t>书</w:t>
      </w:r>
      <w:r>
        <w:rPr>
          <w:rFonts w:hAnsi="宋体"/>
          <w:color w:val="auto"/>
          <w:sz w:val="24"/>
          <w:szCs w:val="24"/>
          <w:highlight w:val="none"/>
        </w:rPr>
        <w:t>，中标通知书对采购人和中标供应商具有同等法律效力。</w:t>
      </w:r>
    </w:p>
    <w:p w14:paraId="455A36C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2</w:t>
      </w:r>
      <w:r>
        <w:rPr>
          <w:b/>
          <w:color w:val="auto"/>
          <w:sz w:val="24"/>
          <w:szCs w:val="24"/>
          <w:highlight w:val="none"/>
        </w:rPr>
        <w:t>.2</w:t>
      </w:r>
      <w:r>
        <w:rPr>
          <w:color w:val="auto"/>
          <w:sz w:val="24"/>
          <w:szCs w:val="24"/>
          <w:highlight w:val="none"/>
        </w:rPr>
        <w:t xml:space="preserve">  </w:t>
      </w:r>
      <w:r>
        <w:rPr>
          <w:rFonts w:hAnsi="宋体"/>
          <w:color w:val="auto"/>
          <w:sz w:val="24"/>
          <w:szCs w:val="24"/>
          <w:highlight w:val="none"/>
        </w:rPr>
        <w:t>在中标供应商与采购人签订合同时，中标通知书是合同的一个组成部分。</w:t>
      </w:r>
    </w:p>
    <w:p w14:paraId="19E9EBC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w:t>
      </w:r>
      <w:r>
        <w:rPr>
          <w:color w:val="auto"/>
          <w:sz w:val="24"/>
          <w:szCs w:val="24"/>
          <w:highlight w:val="none"/>
        </w:rPr>
        <w:t xml:space="preserve">    </w:t>
      </w:r>
      <w:r>
        <w:rPr>
          <w:rFonts w:hAnsi="宋体"/>
          <w:b/>
          <w:color w:val="auto"/>
          <w:sz w:val="24"/>
          <w:szCs w:val="24"/>
          <w:highlight w:val="none"/>
        </w:rPr>
        <w:t>签订合同</w:t>
      </w:r>
    </w:p>
    <w:p w14:paraId="632DDB5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.1</w:t>
      </w:r>
      <w:r>
        <w:rPr>
          <w:color w:val="auto"/>
          <w:sz w:val="24"/>
          <w:szCs w:val="24"/>
          <w:highlight w:val="none"/>
        </w:rPr>
        <w:t xml:space="preserve">  </w:t>
      </w:r>
      <w:r>
        <w:rPr>
          <w:rFonts w:hAnsi="宋体"/>
          <w:color w:val="auto"/>
          <w:sz w:val="24"/>
          <w:szCs w:val="24"/>
          <w:highlight w:val="none"/>
        </w:rPr>
        <w:t>中标供应商在本采购代理公司发出中标通知书的</w:t>
      </w:r>
      <w:r>
        <w:rPr>
          <w:color w:val="auto"/>
          <w:sz w:val="24"/>
          <w:szCs w:val="24"/>
          <w:highlight w:val="none"/>
        </w:rPr>
        <w:t>30</w:t>
      </w:r>
      <w:r>
        <w:rPr>
          <w:rFonts w:hAnsi="宋体"/>
          <w:color w:val="auto"/>
          <w:sz w:val="24"/>
          <w:szCs w:val="24"/>
          <w:highlight w:val="none"/>
        </w:rPr>
        <w:t>日内</w:t>
      </w:r>
      <w:r>
        <w:rPr>
          <w:rFonts w:hint="eastAsia"/>
          <w:color w:val="auto"/>
          <w:sz w:val="24"/>
          <w:szCs w:val="24"/>
          <w:highlight w:val="none"/>
        </w:rPr>
        <w:t>，</w:t>
      </w:r>
      <w:r>
        <w:rPr>
          <w:rFonts w:hAnsi="宋体"/>
          <w:color w:val="auto"/>
          <w:sz w:val="24"/>
          <w:szCs w:val="24"/>
          <w:highlight w:val="none"/>
        </w:rPr>
        <w:t>应与采购人按照招标文件和中标供应商的投标文件的约定内容签订书面合同。</w:t>
      </w:r>
    </w:p>
    <w:p w14:paraId="6503C6D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b/>
          <w:color w:val="auto"/>
          <w:sz w:val="24"/>
          <w:szCs w:val="24"/>
          <w:highlight w:val="none"/>
        </w:rPr>
        <w:t>2</w:t>
      </w:r>
      <w:r>
        <w:rPr>
          <w:rFonts w:hint="eastAsia"/>
          <w:b/>
          <w:color w:val="auto"/>
          <w:sz w:val="24"/>
          <w:szCs w:val="24"/>
          <w:highlight w:val="none"/>
        </w:rPr>
        <w:t>3</w:t>
      </w:r>
      <w:r>
        <w:rPr>
          <w:b/>
          <w:color w:val="auto"/>
          <w:sz w:val="24"/>
          <w:szCs w:val="24"/>
          <w:highlight w:val="none"/>
        </w:rPr>
        <w:t xml:space="preserve">.2 </w:t>
      </w:r>
      <w:r>
        <w:rPr>
          <w:color w:val="auto"/>
          <w:sz w:val="24"/>
          <w:szCs w:val="24"/>
          <w:highlight w:val="none"/>
        </w:rPr>
        <w:t xml:space="preserve"> </w:t>
      </w:r>
      <w:r>
        <w:rPr>
          <w:rFonts w:hint="eastAsia"/>
          <w:color w:val="auto"/>
          <w:sz w:val="24"/>
          <w:szCs w:val="24"/>
          <w:highlight w:val="none"/>
        </w:rPr>
        <w:t>中标通知书、</w:t>
      </w:r>
      <w:r>
        <w:rPr>
          <w:rFonts w:hAnsi="宋体"/>
          <w:color w:val="auto"/>
          <w:sz w:val="24"/>
          <w:szCs w:val="24"/>
          <w:highlight w:val="none"/>
        </w:rPr>
        <w:t>招标文件、中标供应商的投标文件及</w:t>
      </w:r>
      <w:r>
        <w:rPr>
          <w:rFonts w:hint="eastAsia" w:hAnsi="宋体"/>
          <w:color w:val="auto"/>
          <w:sz w:val="24"/>
          <w:szCs w:val="24"/>
          <w:highlight w:val="none"/>
        </w:rPr>
        <w:t>采购</w:t>
      </w:r>
      <w:r>
        <w:rPr>
          <w:rFonts w:hAnsi="宋体"/>
          <w:color w:val="auto"/>
          <w:sz w:val="24"/>
          <w:szCs w:val="24"/>
          <w:highlight w:val="none"/>
        </w:rPr>
        <w:t>过程中的澄清文件</w:t>
      </w:r>
      <w:r>
        <w:rPr>
          <w:rFonts w:hint="eastAsia" w:hAnsi="宋体"/>
          <w:color w:val="auto"/>
          <w:sz w:val="24"/>
          <w:szCs w:val="24"/>
          <w:highlight w:val="none"/>
        </w:rPr>
        <w:t>（如有）</w:t>
      </w:r>
      <w:r>
        <w:rPr>
          <w:rFonts w:hAnsi="宋体"/>
          <w:color w:val="auto"/>
          <w:sz w:val="24"/>
          <w:szCs w:val="24"/>
          <w:highlight w:val="none"/>
        </w:rPr>
        <w:t>均应作为合同附件。</w:t>
      </w:r>
    </w:p>
    <w:p w14:paraId="5885720A">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1"/>
        <w:rPr>
          <w:b/>
          <w:color w:val="auto"/>
          <w:sz w:val="24"/>
          <w:szCs w:val="24"/>
          <w:highlight w:val="none"/>
        </w:rPr>
      </w:pPr>
      <w:r>
        <w:rPr>
          <w:b/>
          <w:color w:val="auto"/>
          <w:sz w:val="24"/>
          <w:szCs w:val="24"/>
          <w:highlight w:val="none"/>
        </w:rPr>
        <w:t xml:space="preserve">H  </w:t>
      </w:r>
      <w:r>
        <w:rPr>
          <w:rFonts w:hint="eastAsia"/>
          <w:b/>
          <w:color w:val="auto"/>
          <w:sz w:val="24"/>
          <w:szCs w:val="24"/>
          <w:highlight w:val="none"/>
        </w:rPr>
        <w:t>质疑</w:t>
      </w:r>
    </w:p>
    <w:p w14:paraId="0B3A91E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2"/>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 xml:space="preserve">.  </w:t>
      </w:r>
      <w:r>
        <w:rPr>
          <w:rFonts w:hint="eastAsia"/>
          <w:b/>
          <w:color w:val="auto"/>
          <w:sz w:val="24"/>
          <w:szCs w:val="24"/>
          <w:highlight w:val="none"/>
        </w:rPr>
        <w:t>对供应商质疑的有关规定</w:t>
      </w:r>
    </w:p>
    <w:p w14:paraId="259BF2D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24.1</w:t>
      </w:r>
      <w:r>
        <w:rPr>
          <w:rFonts w:hint="eastAsia"/>
          <w:bCs/>
          <w:color w:val="auto"/>
          <w:sz w:val="24"/>
          <w:szCs w:val="24"/>
          <w:highlight w:val="none"/>
        </w:rPr>
        <w:t>供应商认为采购文件、采购过程、中标结果使自己的权益受到损害的，可以在知道或者应知其权益受到损害之日起7个工作日内，以书面形式向采购人、代理机构提出质疑。</w:t>
      </w:r>
    </w:p>
    <w:p w14:paraId="322A110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提出质疑的期限：</w:t>
      </w:r>
    </w:p>
    <w:p w14:paraId="4A1581D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对采购文件提出质疑的，为获取采购文件之日或者采购文件公告期限届满之日起7个工作日内；</w:t>
      </w:r>
    </w:p>
    <w:p w14:paraId="34C5654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对采购过程提出质疑的，为各采购程序环节结束之日起七个工作日内；</w:t>
      </w:r>
    </w:p>
    <w:p w14:paraId="63632E4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对中标结果提出质疑的，为中标结果公告期限届满之日起七个工作日内。</w:t>
      </w:r>
    </w:p>
    <w:p w14:paraId="244B082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Cs/>
          <w:color w:val="auto"/>
          <w:sz w:val="24"/>
          <w:szCs w:val="24"/>
          <w:highlight w:val="none"/>
        </w:rPr>
        <w:t>供应商对同一采购程序环节只能一次性提出质疑，第二次提出的质疑采购人、代理机构将不予受理（对于采购人、代理机构作出的澄清或者修改的内容提出质疑的除外）。</w:t>
      </w:r>
    </w:p>
    <w:p w14:paraId="3E2E7FA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24.2</w:t>
      </w:r>
      <w:r>
        <w:rPr>
          <w:rFonts w:hint="eastAsia"/>
          <w:bCs/>
          <w:color w:val="auto"/>
          <w:sz w:val="24"/>
          <w:szCs w:val="24"/>
          <w:highlight w:val="none"/>
        </w:rPr>
        <w:t>提出质疑的供应商应当是参与所质疑项目采购活动的供应商。未依法获取采购文件的，不得就采购文件提出质疑；未提交投标文件的供应商，视为与采购结果没有利害关系，不得就投标截止时间后的采购过程、采购结果提出质疑。</w:t>
      </w:r>
    </w:p>
    <w:p w14:paraId="224D29A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24.3</w:t>
      </w:r>
      <w:r>
        <w:rPr>
          <w:rFonts w:hint="eastAsia"/>
          <w:bCs/>
          <w:color w:val="auto"/>
          <w:sz w:val="24"/>
          <w:szCs w:val="24"/>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1150338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rPr>
        <w:t>质疑函应当包括下列内容：</w:t>
      </w:r>
    </w:p>
    <w:p w14:paraId="30CBC6F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供应商名称、地址、邮编、联系人及联系电话；</w:t>
      </w:r>
    </w:p>
    <w:p w14:paraId="2790051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质疑项目的名称、编号；</w:t>
      </w:r>
    </w:p>
    <w:p w14:paraId="0C959A4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具体、明确的质疑事项和与质疑事项相关的请求；</w:t>
      </w:r>
    </w:p>
    <w:p w14:paraId="457E867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事实依据；</w:t>
      </w:r>
    </w:p>
    <w:p w14:paraId="0EEEC08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必要的法律依据；</w:t>
      </w:r>
    </w:p>
    <w:p w14:paraId="03CF731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提出质疑的日期。</w:t>
      </w:r>
    </w:p>
    <w:p w14:paraId="5E1C16F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Cs/>
          <w:color w:val="auto"/>
          <w:sz w:val="24"/>
          <w:szCs w:val="24"/>
          <w:highlight w:val="none"/>
          <w:lang w:val="zh-CN"/>
        </w:rPr>
        <w:t>质疑函</w:t>
      </w:r>
      <w:r>
        <w:rPr>
          <w:rFonts w:hint="eastAsia"/>
          <w:bCs/>
          <w:color w:val="auto"/>
          <w:sz w:val="24"/>
          <w:szCs w:val="24"/>
          <w:highlight w:val="none"/>
        </w:rPr>
        <w:t>应当由法定代表人、主要负责人，或者其授权代表签字，并加盖公章。以联合体形式参加政府采购活动的，其质疑应当由组成联合体的所有供应商共同提出。</w:t>
      </w:r>
    </w:p>
    <w:p w14:paraId="1A6C00B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rPr>
      </w:pPr>
      <w:r>
        <w:rPr>
          <w:rFonts w:hint="eastAsia"/>
          <w:b/>
          <w:color w:val="auto"/>
          <w:sz w:val="24"/>
          <w:szCs w:val="24"/>
          <w:highlight w:val="none"/>
        </w:rPr>
        <w:t>24.4</w:t>
      </w:r>
      <w:r>
        <w:rPr>
          <w:rFonts w:hint="eastAsia"/>
          <w:bCs/>
          <w:color w:val="auto"/>
          <w:sz w:val="24"/>
          <w:szCs w:val="24"/>
          <w:highlight w:val="none"/>
        </w:rPr>
        <w:t>采购人、代理机构接收质疑函的方式：只接受质疑函原件，采购人、代理机构以实际收到质疑函原件之日为收到质疑函的日期。</w:t>
      </w:r>
    </w:p>
    <w:p w14:paraId="3EA7C1D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Cs/>
          <w:color w:val="auto"/>
          <w:sz w:val="24"/>
          <w:szCs w:val="24"/>
          <w:highlight w:val="none"/>
          <w:lang w:val="zh-CN"/>
        </w:rPr>
      </w:pPr>
      <w:r>
        <w:rPr>
          <w:rFonts w:hint="eastAsia"/>
          <w:b/>
          <w:color w:val="auto"/>
          <w:sz w:val="24"/>
          <w:szCs w:val="24"/>
          <w:highlight w:val="none"/>
        </w:rPr>
        <w:t>24.5</w:t>
      </w:r>
      <w:r>
        <w:rPr>
          <w:rFonts w:hint="eastAsia"/>
          <w:bCs/>
          <w:color w:val="auto"/>
          <w:sz w:val="24"/>
          <w:szCs w:val="24"/>
          <w:highlight w:val="none"/>
        </w:rPr>
        <w:t xml:space="preserve"> 采购人或者</w:t>
      </w:r>
      <w:r>
        <w:rPr>
          <w:rFonts w:hint="eastAsia"/>
          <w:bCs/>
          <w:color w:val="auto"/>
          <w:sz w:val="24"/>
          <w:szCs w:val="24"/>
          <w:highlight w:val="none"/>
          <w:lang w:val="zh-CN"/>
        </w:rPr>
        <w:t>采购代理机构</w:t>
      </w:r>
      <w:r>
        <w:rPr>
          <w:rFonts w:hint="eastAsia"/>
          <w:bCs/>
          <w:color w:val="auto"/>
          <w:sz w:val="24"/>
          <w:szCs w:val="24"/>
          <w:highlight w:val="none"/>
        </w:rPr>
        <w:t>应当在收到供应商的质疑函原件后七个工作日内作出答复，并以书面形式通知质疑供应商和其他与质疑处理结果有利害关系的政府采购当事人，但答复的内容不得涉及商业秘密。</w:t>
      </w:r>
    </w:p>
    <w:p w14:paraId="1F8A15F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b/>
          <w:color w:val="auto"/>
          <w:sz w:val="24"/>
          <w:szCs w:val="24"/>
          <w:highlight w:val="none"/>
        </w:rPr>
        <w:t>2</w:t>
      </w:r>
      <w:r>
        <w:rPr>
          <w:rFonts w:hint="eastAsia"/>
          <w:b/>
          <w:color w:val="auto"/>
          <w:sz w:val="24"/>
          <w:szCs w:val="24"/>
          <w:highlight w:val="none"/>
        </w:rPr>
        <w:t>4</w:t>
      </w:r>
      <w:r>
        <w:rPr>
          <w:b/>
          <w:color w:val="auto"/>
          <w:sz w:val="24"/>
          <w:szCs w:val="24"/>
          <w:highlight w:val="none"/>
        </w:rPr>
        <w:t>.</w:t>
      </w:r>
      <w:r>
        <w:rPr>
          <w:rFonts w:hint="eastAsia"/>
          <w:b/>
          <w:color w:val="auto"/>
          <w:sz w:val="24"/>
          <w:szCs w:val="24"/>
          <w:highlight w:val="none"/>
        </w:rPr>
        <w:t>6</w:t>
      </w:r>
      <w:r>
        <w:rPr>
          <w:color w:val="auto"/>
          <w:sz w:val="24"/>
          <w:szCs w:val="24"/>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315547E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24</w:t>
      </w:r>
      <w:r>
        <w:rPr>
          <w:b/>
          <w:color w:val="auto"/>
          <w:sz w:val="24"/>
          <w:szCs w:val="24"/>
          <w:highlight w:val="none"/>
        </w:rPr>
        <w:t>.</w:t>
      </w:r>
      <w:r>
        <w:rPr>
          <w:rFonts w:hint="eastAsia"/>
          <w:b/>
          <w:color w:val="auto"/>
          <w:sz w:val="24"/>
          <w:szCs w:val="24"/>
          <w:highlight w:val="none"/>
        </w:rPr>
        <w:t>7</w:t>
      </w:r>
      <w:r>
        <w:rPr>
          <w:rFonts w:hint="eastAsia"/>
          <w:color w:val="auto"/>
          <w:sz w:val="24"/>
          <w:szCs w:val="24"/>
          <w:highlight w:val="none"/>
        </w:rPr>
        <w:t xml:space="preserve"> 采购人、代理机构接收质疑函的联系人、联系电话和通讯地址等信息详见采购公告。</w:t>
      </w:r>
    </w:p>
    <w:p w14:paraId="5EBE8875">
      <w:pPr>
        <w:keepNext w:val="0"/>
        <w:keepLines w:val="0"/>
        <w:pageBreakBefore w:val="0"/>
        <w:widowControl w:val="0"/>
        <w:kinsoku/>
        <w:wordWrap/>
        <w:overflowPunct/>
        <w:topLinePunct w:val="0"/>
        <w:autoSpaceDE/>
        <w:autoSpaceDN/>
        <w:bidi w:val="0"/>
        <w:adjustRightInd/>
        <w:snapToGrid/>
        <w:spacing w:line="400" w:lineRule="exact"/>
        <w:ind w:right="-506" w:rightChars="-241"/>
        <w:jc w:val="center"/>
        <w:textAlignment w:val="auto"/>
        <w:outlineLvl w:val="1"/>
        <w:rPr>
          <w:b/>
          <w:color w:val="auto"/>
          <w:sz w:val="24"/>
          <w:szCs w:val="24"/>
          <w:highlight w:val="none"/>
        </w:rPr>
      </w:pPr>
      <w:r>
        <w:rPr>
          <w:b/>
          <w:color w:val="auto"/>
          <w:sz w:val="24"/>
          <w:szCs w:val="24"/>
          <w:highlight w:val="none"/>
        </w:rPr>
        <w:t xml:space="preserve">I  </w:t>
      </w:r>
      <w:r>
        <w:rPr>
          <w:rFonts w:hint="eastAsia"/>
          <w:b/>
          <w:color w:val="auto"/>
          <w:sz w:val="24"/>
          <w:szCs w:val="24"/>
          <w:highlight w:val="none"/>
        </w:rPr>
        <w:t>执行</w:t>
      </w:r>
      <w:r>
        <w:rPr>
          <w:rFonts w:hint="eastAsia" w:hAnsi="宋体"/>
          <w:b/>
          <w:color w:val="auto"/>
          <w:sz w:val="24"/>
          <w:szCs w:val="24"/>
          <w:highlight w:val="none"/>
        </w:rPr>
        <w:t>政府采购政策</w:t>
      </w:r>
      <w:r>
        <w:rPr>
          <w:rFonts w:hAnsi="宋体"/>
          <w:b/>
          <w:color w:val="auto"/>
          <w:sz w:val="24"/>
          <w:szCs w:val="24"/>
          <w:highlight w:val="none"/>
        </w:rPr>
        <w:t>说明</w:t>
      </w:r>
    </w:p>
    <w:p w14:paraId="56ED118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ascii="ˎ̥" w:hAnsi="ˎ̥" w:cs="宋体"/>
          <w:color w:val="auto"/>
          <w:kern w:val="0"/>
          <w:sz w:val="24"/>
          <w:szCs w:val="24"/>
          <w:highlight w:val="none"/>
        </w:rPr>
      </w:pPr>
      <w:r>
        <w:rPr>
          <w:rFonts w:hint="eastAsia"/>
          <w:b/>
          <w:color w:val="auto"/>
          <w:sz w:val="24"/>
          <w:szCs w:val="24"/>
          <w:highlight w:val="none"/>
        </w:rPr>
        <w:t>25</w:t>
      </w:r>
      <w:r>
        <w:rPr>
          <w:b/>
          <w:color w:val="auto"/>
          <w:sz w:val="24"/>
          <w:szCs w:val="24"/>
          <w:highlight w:val="none"/>
        </w:rPr>
        <w:t>.</w:t>
      </w:r>
      <w:r>
        <w:rPr>
          <w:color w:val="auto"/>
          <w:sz w:val="24"/>
          <w:szCs w:val="24"/>
          <w:highlight w:val="none"/>
        </w:rPr>
        <w:t xml:space="preserve">  </w:t>
      </w:r>
      <w:r>
        <w:rPr>
          <w:rFonts w:ascii="ˎ̥" w:hAnsi="ˎ̥" w:cs="宋体"/>
          <w:color w:val="auto"/>
          <w:kern w:val="0"/>
          <w:sz w:val="24"/>
          <w:szCs w:val="24"/>
          <w:highlight w:val="none"/>
        </w:rPr>
        <w:t>执行财政部、工业和信息化部《政府采购促进中小企业发展管理办法》（财库〔2020〕46号）。政府采购活动中有关中小企业的相关规定如下：</w:t>
      </w:r>
    </w:p>
    <w:p w14:paraId="3A2CB77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.1  中小企业，是指在中华人民共和国境内依法设立，依据国务院批准的中小企业划分标准确定的中型企业、小型企业和微型企业，但与大企业的负责人为同一人，或者与大企业存在直接控股、管理关系的除外。</w:t>
      </w:r>
    </w:p>
    <w:p w14:paraId="76C389D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符合中小企业划分标准的个体工商户，在政府采购活动中视同中小企业。</w:t>
      </w:r>
    </w:p>
    <w:p w14:paraId="63DF3E4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.2  在政府采购活动中，供应商提供的货物、工程或者服务符合下列情形的，享受《政府采购促进中小企业发展管理办法》规定的中小企业扶持政策：</w:t>
      </w:r>
    </w:p>
    <w:p w14:paraId="3B449B3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（1）、在货物采购项目中，货物由中小企业制造，即货物由中小企业生产且使用该中小企业商号或者注册商标；</w:t>
      </w:r>
    </w:p>
    <w:p w14:paraId="0856886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（2）、在工程采购项目中，工程由中小企业承建，即工程施工单位为中小企业；</w:t>
      </w:r>
    </w:p>
    <w:p w14:paraId="0F5FB58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（3）、在服务采购项目中，服务由中小企业承接，即提供服务的人员为中小企业依照《中华人民共和国劳动合同法》订立劳动合同的从业人员。</w:t>
      </w:r>
    </w:p>
    <w:p w14:paraId="4C62B3A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在货物采购项目中，供应商提供的货物既有中小企业制造货物，也有大型企业制造货物的，不享受《政府采购促进中小企业发展管理办法》规定的中小企业扶持政策。</w:t>
      </w:r>
    </w:p>
    <w:p w14:paraId="2DD79A9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以联合体形式参加政府采购活动，联合体各方均为中小企业的，联合体视同中小企业。其中，联合体各方均为小微企业的，联合体视同小微企业。</w:t>
      </w:r>
    </w:p>
    <w:p w14:paraId="09AF52CD">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.3  中小企业参加政府采购活动，应当出具《政府采购促进中小企业发展管理办法》规定的《中小企业声明函》（格式见附件），否则不得享受中小企业扶持政策。</w:t>
      </w:r>
    </w:p>
    <w:p w14:paraId="58CE6B4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.4  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34039F8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Ansi="宋体"/>
          <w:color w:val="auto"/>
          <w:sz w:val="24"/>
          <w:szCs w:val="24"/>
          <w:highlight w:val="none"/>
        </w:rPr>
        <w:t>供应商提供声明函内容不实的，属于提供虚假材料谋取中标、成交，依照《中华人民共和国政府采购法》等国家有关规定追究相应责任。</w:t>
      </w:r>
    </w:p>
    <w:p w14:paraId="688DC1C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hAnsi="宋体"/>
          <w:color w:val="auto"/>
          <w:sz w:val="24"/>
          <w:szCs w:val="24"/>
          <w:highlight w:val="none"/>
        </w:rPr>
        <w:t>25</w:t>
      </w:r>
      <w:r>
        <w:rPr>
          <w:rFonts w:hAnsi="宋体"/>
          <w:color w:val="auto"/>
          <w:sz w:val="24"/>
          <w:szCs w:val="24"/>
          <w:highlight w:val="none"/>
        </w:rPr>
        <w:t>.5 《中小企业声明函》由参加投标的供应商提交，如供应商为代理商，须自行采集制造商的中小企业划分类型信息填入相应栏目并对其真实性负责。</w:t>
      </w:r>
    </w:p>
    <w:p w14:paraId="43ECE2A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25</w:t>
      </w:r>
      <w:r>
        <w:rPr>
          <w:color w:val="auto"/>
          <w:sz w:val="24"/>
          <w:szCs w:val="24"/>
          <w:highlight w:val="none"/>
        </w:rPr>
        <w:t>.6</w:t>
      </w:r>
      <w:r>
        <w:rPr>
          <w:rFonts w:hint="eastAsia"/>
          <w:color w:val="auto"/>
          <w:sz w:val="24"/>
          <w:szCs w:val="24"/>
          <w:highlight w:val="none"/>
        </w:rPr>
        <w:t>根据《财政部司法部关于政府采购支持监狱企业发展有关问题的通知》（财库〔</w:t>
      </w:r>
      <w:r>
        <w:rPr>
          <w:color w:val="auto"/>
          <w:sz w:val="24"/>
          <w:szCs w:val="24"/>
          <w:highlight w:val="none"/>
        </w:rPr>
        <w:t>2014</w:t>
      </w:r>
      <w:r>
        <w:rPr>
          <w:rFonts w:hint="eastAsia"/>
          <w:color w:val="auto"/>
          <w:sz w:val="24"/>
          <w:szCs w:val="24"/>
          <w:highlight w:val="none"/>
        </w:rPr>
        <w:t>〕</w:t>
      </w:r>
      <w:r>
        <w:rPr>
          <w:color w:val="auto"/>
          <w:sz w:val="24"/>
          <w:szCs w:val="24"/>
          <w:highlight w:val="none"/>
        </w:rPr>
        <w:t>68</w:t>
      </w:r>
      <w:r>
        <w:rPr>
          <w:rFonts w:hint="eastAsia"/>
          <w:color w:val="auto"/>
          <w:sz w:val="24"/>
          <w:szCs w:val="24"/>
          <w:highlight w:val="none"/>
        </w:rPr>
        <w:t>号）规定，监狱企业视同小型、微型企业。监狱企业参加政府采购活动时，应当提供由省级以上监狱管理局、戒毒管理局（含新疆生产建设兵团）出具的属于监狱企业的证明文件。</w:t>
      </w:r>
    </w:p>
    <w:p w14:paraId="24D68E9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color w:val="auto"/>
          <w:sz w:val="24"/>
          <w:szCs w:val="24"/>
          <w:highlight w:val="none"/>
        </w:rPr>
      </w:pPr>
      <w:r>
        <w:rPr>
          <w:rFonts w:hint="eastAsia"/>
          <w:color w:val="auto"/>
          <w:sz w:val="24"/>
          <w:szCs w:val="24"/>
          <w:highlight w:val="none"/>
        </w:rPr>
        <w:t>25</w:t>
      </w:r>
      <w:r>
        <w:rPr>
          <w:color w:val="auto"/>
          <w:sz w:val="24"/>
          <w:szCs w:val="24"/>
          <w:highlight w:val="none"/>
        </w:rPr>
        <w:t>.7</w:t>
      </w:r>
      <w:r>
        <w:rPr>
          <w:rFonts w:hint="eastAsia"/>
          <w:color w:val="auto"/>
          <w:sz w:val="24"/>
          <w:szCs w:val="24"/>
          <w:highlight w:val="none"/>
        </w:rPr>
        <w:t>执行《三部门联合发布关于促进残疾人就业政府采购政策的通知》</w:t>
      </w:r>
      <w:r>
        <w:rPr>
          <w:color w:val="auto"/>
          <w:sz w:val="24"/>
          <w:szCs w:val="24"/>
          <w:highlight w:val="none"/>
        </w:rPr>
        <w:t>, </w:t>
      </w:r>
      <w:r>
        <w:rPr>
          <w:rFonts w:hint="eastAsia"/>
          <w:color w:val="auto"/>
          <w:sz w:val="24"/>
          <w:szCs w:val="24"/>
          <w:highlight w:val="none"/>
        </w:rPr>
        <w:t>在政府采购活动中，残疾人福利性单位视同小型、微型企业，享受评审中价格扣除等政府采购促进中小企业发展的政府采购政策，残疾人福利性单位参加政府采购活动时，应当提供《残疾人福利性单位声明函》，并对声明的真实性负责，未能提供的不予认可。</w:t>
      </w:r>
    </w:p>
    <w:p w14:paraId="3CDBF391">
      <w:pPr>
        <w:spacing w:line="360" w:lineRule="exact"/>
        <w:ind w:right="-506" w:rightChars="-241"/>
        <w:rPr>
          <w:rFonts w:ascii="Calibri" w:hAnsi="Calibri"/>
          <w:color w:val="auto"/>
          <w:sz w:val="24"/>
          <w:szCs w:val="24"/>
          <w:highlight w:val="none"/>
        </w:rPr>
      </w:pPr>
    </w:p>
    <w:p w14:paraId="57B9BFF9">
      <w:pPr>
        <w:pStyle w:val="3"/>
        <w:ind w:firstLine="0"/>
        <w:rPr>
          <w:color w:val="auto"/>
          <w:highlight w:val="none"/>
        </w:rPr>
      </w:pPr>
    </w:p>
    <w:p w14:paraId="5575A47D">
      <w:pPr>
        <w:spacing w:line="400" w:lineRule="exact"/>
        <w:ind w:left="1205" w:hanging="1205" w:hangingChars="375"/>
        <w:jc w:val="center"/>
        <w:outlineLvl w:val="0"/>
        <w:rPr>
          <w:b/>
          <w:color w:val="auto"/>
          <w:sz w:val="36"/>
          <w:szCs w:val="36"/>
          <w:highlight w:val="none"/>
        </w:rPr>
      </w:pPr>
      <w:r>
        <w:rPr>
          <w:b/>
          <w:color w:val="auto"/>
          <w:sz w:val="32"/>
          <w:highlight w:val="none"/>
        </w:rPr>
        <w:br w:type="page"/>
      </w:r>
      <w:r>
        <w:rPr>
          <w:b/>
          <w:color w:val="auto"/>
          <w:sz w:val="36"/>
          <w:szCs w:val="36"/>
          <w:highlight w:val="none"/>
        </w:rPr>
        <w:t>第</w:t>
      </w:r>
      <w:r>
        <w:rPr>
          <w:rFonts w:hint="eastAsia"/>
          <w:b/>
          <w:color w:val="auto"/>
          <w:sz w:val="36"/>
          <w:szCs w:val="36"/>
          <w:highlight w:val="none"/>
        </w:rPr>
        <w:t>三</w:t>
      </w:r>
      <w:r>
        <w:rPr>
          <w:b/>
          <w:color w:val="auto"/>
          <w:sz w:val="36"/>
          <w:szCs w:val="36"/>
          <w:highlight w:val="none"/>
        </w:rPr>
        <w:t>部分  评标</w:t>
      </w:r>
      <w:r>
        <w:rPr>
          <w:rFonts w:hint="eastAsia"/>
          <w:b/>
          <w:color w:val="auto"/>
          <w:sz w:val="36"/>
          <w:szCs w:val="36"/>
          <w:highlight w:val="none"/>
        </w:rPr>
        <w:t>标准</w:t>
      </w:r>
    </w:p>
    <w:p w14:paraId="47536B07">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color w:val="auto"/>
          <w:sz w:val="24"/>
          <w:szCs w:val="24"/>
          <w:highlight w:val="none"/>
        </w:rPr>
      </w:pPr>
      <w:r>
        <w:rPr>
          <w:color w:val="auto"/>
          <w:sz w:val="24"/>
          <w:szCs w:val="24"/>
          <w:highlight w:val="none"/>
        </w:rPr>
        <w:t>评标委员会遵循公平、公正、科学</w:t>
      </w:r>
      <w:r>
        <w:rPr>
          <w:rFonts w:hint="eastAsia"/>
          <w:color w:val="auto"/>
          <w:sz w:val="24"/>
          <w:szCs w:val="24"/>
          <w:highlight w:val="none"/>
        </w:rPr>
        <w:t>择优</w:t>
      </w:r>
      <w:r>
        <w:rPr>
          <w:color w:val="auto"/>
          <w:sz w:val="24"/>
          <w:szCs w:val="24"/>
          <w:highlight w:val="none"/>
        </w:rPr>
        <w:t>的原则和规定的程序进行评标，依据投标文件和招标文件的内容进行评审。</w:t>
      </w:r>
    </w:p>
    <w:p w14:paraId="7BD6C49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1"/>
        <w:rPr>
          <w:b/>
          <w:color w:val="auto"/>
          <w:sz w:val="24"/>
          <w:szCs w:val="24"/>
          <w:highlight w:val="none"/>
        </w:rPr>
      </w:pPr>
      <w:r>
        <w:rPr>
          <w:b/>
          <w:color w:val="auto"/>
          <w:sz w:val="24"/>
          <w:szCs w:val="24"/>
          <w:highlight w:val="none"/>
        </w:rPr>
        <w:t>一、评标</w:t>
      </w:r>
      <w:r>
        <w:rPr>
          <w:rFonts w:hint="eastAsia"/>
          <w:b/>
          <w:color w:val="auto"/>
          <w:sz w:val="24"/>
          <w:szCs w:val="24"/>
          <w:highlight w:val="none"/>
        </w:rPr>
        <w:t>总则</w:t>
      </w:r>
    </w:p>
    <w:p w14:paraId="058A3EA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color w:val="auto"/>
          <w:sz w:val="24"/>
          <w:szCs w:val="24"/>
          <w:highlight w:val="none"/>
        </w:rPr>
        <w:t>1．本项目采用综合评分法。</w:t>
      </w:r>
    </w:p>
    <w:p w14:paraId="5CC83FC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color w:val="auto"/>
          <w:sz w:val="24"/>
          <w:szCs w:val="24"/>
          <w:highlight w:val="none"/>
        </w:rPr>
        <w:t>2．综合评分法：</w:t>
      </w:r>
      <w:r>
        <w:rPr>
          <w:rFonts w:hint="eastAsia"/>
          <w:color w:val="auto"/>
          <w:sz w:val="24"/>
          <w:szCs w:val="24"/>
          <w:highlight w:val="none"/>
        </w:rPr>
        <w:t>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r>
        <w:rPr>
          <w:color w:val="auto"/>
          <w:sz w:val="24"/>
          <w:szCs w:val="24"/>
          <w:highlight w:val="none"/>
        </w:rPr>
        <w:t>`</w:t>
      </w:r>
    </w:p>
    <w:p w14:paraId="2743FAC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、评标过程中如发现异常情况，由评标委员会集体讨论决定。</w:t>
      </w:r>
    </w:p>
    <w:p w14:paraId="794E346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1"/>
        <w:rPr>
          <w:b/>
          <w:color w:val="auto"/>
          <w:sz w:val="24"/>
          <w:szCs w:val="24"/>
          <w:highlight w:val="none"/>
        </w:rPr>
      </w:pPr>
      <w:r>
        <w:rPr>
          <w:b/>
          <w:color w:val="auto"/>
          <w:sz w:val="24"/>
          <w:szCs w:val="24"/>
          <w:highlight w:val="none"/>
        </w:rPr>
        <w:t>二、评标程序</w:t>
      </w:r>
    </w:p>
    <w:p w14:paraId="39961C78">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color w:val="auto"/>
          <w:sz w:val="24"/>
          <w:szCs w:val="24"/>
          <w:highlight w:val="none"/>
          <w:shd w:val="pct10" w:color="auto" w:fill="FFFFFF"/>
        </w:rPr>
      </w:pPr>
      <w:r>
        <w:rPr>
          <w:rFonts w:hAnsi="宋体"/>
          <w:color w:val="auto"/>
          <w:sz w:val="24"/>
          <w:szCs w:val="24"/>
          <w:highlight w:val="none"/>
        </w:rPr>
        <w:t>评标程序：遵循</w:t>
      </w:r>
      <w:r>
        <w:rPr>
          <w:rFonts w:hint="eastAsia" w:hAnsi="宋体"/>
          <w:color w:val="auto"/>
          <w:sz w:val="24"/>
          <w:szCs w:val="24"/>
          <w:highlight w:val="none"/>
        </w:rPr>
        <w:t>初步审查</w:t>
      </w:r>
      <w:r>
        <w:rPr>
          <w:rFonts w:hAnsi="宋体"/>
          <w:color w:val="auto"/>
          <w:sz w:val="24"/>
          <w:szCs w:val="24"/>
          <w:highlight w:val="none"/>
        </w:rPr>
        <w:t>、澄清问题、比较与评价、推荐中标候选人的程序依次进行。</w:t>
      </w:r>
    </w:p>
    <w:p w14:paraId="229B4C5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1．</w:t>
      </w:r>
      <w:r>
        <w:rPr>
          <w:color w:val="auto"/>
          <w:sz w:val="24"/>
          <w:szCs w:val="24"/>
          <w:highlight w:val="none"/>
        </w:rPr>
        <w:t xml:space="preserve"> </w:t>
      </w:r>
      <w:r>
        <w:rPr>
          <w:b/>
          <w:color w:val="auto"/>
          <w:sz w:val="24"/>
          <w:szCs w:val="24"/>
          <w:highlight w:val="none"/>
        </w:rPr>
        <w:t xml:space="preserve"> </w:t>
      </w:r>
      <w:r>
        <w:rPr>
          <w:rFonts w:hint="eastAsia" w:hAnsi="宋体"/>
          <w:b/>
          <w:color w:val="auto"/>
          <w:sz w:val="24"/>
          <w:szCs w:val="24"/>
          <w:highlight w:val="none"/>
        </w:rPr>
        <w:t>初步</w:t>
      </w:r>
      <w:r>
        <w:rPr>
          <w:rFonts w:hAnsi="宋体"/>
          <w:b/>
          <w:color w:val="auto"/>
          <w:sz w:val="24"/>
          <w:szCs w:val="24"/>
          <w:highlight w:val="none"/>
        </w:rPr>
        <w:t>审查：</w:t>
      </w:r>
      <w:r>
        <w:rPr>
          <w:rFonts w:hAnsi="宋体"/>
          <w:color w:val="auto"/>
          <w:sz w:val="24"/>
          <w:szCs w:val="24"/>
          <w:highlight w:val="none"/>
        </w:rPr>
        <w:t>包含资格性审查和符合性审查。</w:t>
      </w:r>
      <w:r>
        <w:rPr>
          <w:rFonts w:hint="eastAsia" w:hAnsi="宋体"/>
          <w:color w:val="auto"/>
          <w:sz w:val="24"/>
          <w:szCs w:val="24"/>
          <w:highlight w:val="none"/>
        </w:rPr>
        <w:t>初步</w:t>
      </w:r>
      <w:r>
        <w:rPr>
          <w:rFonts w:hAnsi="宋体"/>
          <w:color w:val="auto"/>
          <w:sz w:val="24"/>
          <w:szCs w:val="24"/>
          <w:highlight w:val="none"/>
        </w:rPr>
        <w:t>审查不合格者</w:t>
      </w:r>
      <w:r>
        <w:rPr>
          <w:rFonts w:hint="eastAsia" w:hAnsi="宋体"/>
          <w:color w:val="auto"/>
          <w:sz w:val="24"/>
          <w:szCs w:val="24"/>
          <w:highlight w:val="none"/>
        </w:rPr>
        <w:t>投标无效</w:t>
      </w:r>
      <w:r>
        <w:rPr>
          <w:rFonts w:hAnsi="宋体"/>
          <w:color w:val="auto"/>
          <w:sz w:val="24"/>
          <w:szCs w:val="24"/>
          <w:highlight w:val="none"/>
        </w:rPr>
        <w:t>。</w:t>
      </w:r>
    </w:p>
    <w:p w14:paraId="43C7D6E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b/>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rFonts w:hAnsi="宋体"/>
          <w:b/>
          <w:color w:val="auto"/>
          <w:sz w:val="24"/>
          <w:szCs w:val="24"/>
          <w:highlight w:val="none"/>
        </w:rPr>
        <w:t>资格性审查：</w:t>
      </w:r>
    </w:p>
    <w:p w14:paraId="1726DA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auto"/>
          <w:sz w:val="24"/>
          <w:szCs w:val="24"/>
          <w:highlight w:val="none"/>
        </w:rPr>
      </w:pPr>
      <w:r>
        <w:rPr>
          <w:rFonts w:ascii="Arial" w:cs="Arial"/>
          <w:color w:val="auto"/>
          <w:sz w:val="24"/>
          <w:szCs w:val="24"/>
          <w:highlight w:val="none"/>
        </w:rPr>
        <w:t>由</w:t>
      </w:r>
      <w:r>
        <w:rPr>
          <w:rFonts w:hint="eastAsia" w:ascii="Arial" w:cs="Arial"/>
          <w:color w:val="auto"/>
          <w:sz w:val="24"/>
          <w:szCs w:val="24"/>
          <w:highlight w:val="none"/>
        </w:rPr>
        <w:t>采购人或代理机构</w:t>
      </w:r>
      <w:r>
        <w:rPr>
          <w:rFonts w:ascii="Arial" w:cs="Arial"/>
          <w:color w:val="auto"/>
          <w:sz w:val="24"/>
          <w:szCs w:val="24"/>
          <w:highlight w:val="none"/>
        </w:rPr>
        <w:t>对投标人的资格进行审查。</w:t>
      </w:r>
    </w:p>
    <w:tbl>
      <w:tblPr>
        <w:tblStyle w:val="3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7584"/>
      </w:tblGrid>
      <w:tr w14:paraId="4246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noWrap w:val="0"/>
            <w:vAlign w:val="center"/>
          </w:tcPr>
          <w:p w14:paraId="4A20AA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审查类别</w:t>
            </w:r>
          </w:p>
        </w:tc>
        <w:tc>
          <w:tcPr>
            <w:tcW w:w="7584" w:type="dxa"/>
            <w:noWrap w:val="0"/>
            <w:vAlign w:val="center"/>
          </w:tcPr>
          <w:p w14:paraId="033CF5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审查内容</w:t>
            </w:r>
          </w:p>
        </w:tc>
      </w:tr>
      <w:tr w14:paraId="3EFC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1" w:type="dxa"/>
            <w:vMerge w:val="restart"/>
            <w:noWrap w:val="0"/>
            <w:vAlign w:val="center"/>
          </w:tcPr>
          <w:p w14:paraId="6A46EB0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资格条件审查</w:t>
            </w:r>
          </w:p>
        </w:tc>
        <w:tc>
          <w:tcPr>
            <w:tcW w:w="7584" w:type="dxa"/>
            <w:noWrap w:val="0"/>
            <w:vAlign w:val="center"/>
          </w:tcPr>
          <w:p w14:paraId="3D3B25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（一）符合《中华人民共和国政府采购法》第二十二条规定的投标人资格条件</w:t>
            </w:r>
          </w:p>
          <w:p w14:paraId="1B96A4B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营业执照、合格供应商的资格承诺书符合采购文件要求</w:t>
            </w:r>
            <w:r>
              <w:rPr>
                <w:rFonts w:hint="eastAsia" w:ascii="宋体" w:hAnsi="宋体" w:eastAsia="宋体" w:cs="宋体"/>
                <w:color w:val="auto"/>
                <w:sz w:val="24"/>
                <w:szCs w:val="24"/>
                <w:highlight w:val="none"/>
                <w:lang w:eastAsia="zh-CN"/>
              </w:rPr>
              <w:t>）</w:t>
            </w:r>
          </w:p>
        </w:tc>
      </w:tr>
      <w:tr w14:paraId="2E34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1521" w:type="dxa"/>
            <w:vMerge w:val="continue"/>
            <w:tcBorders/>
            <w:noWrap w:val="0"/>
            <w:vAlign w:val="center"/>
          </w:tcPr>
          <w:p w14:paraId="01924D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p>
        </w:tc>
        <w:tc>
          <w:tcPr>
            <w:tcW w:w="7584" w:type="dxa"/>
            <w:noWrap w:val="0"/>
            <w:vAlign w:val="center"/>
          </w:tcPr>
          <w:p w14:paraId="792163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3643BD9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（以采购代理机构于投标截止日当天在“信用中国”网站（www.creditchina.gov.cn）及中国政府采购网查询结果为准，如相关失信记录已失效，投标人需提供相关证明资料）。</w:t>
            </w:r>
          </w:p>
        </w:tc>
      </w:tr>
      <w:tr w14:paraId="50F0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1" w:type="dxa"/>
            <w:vMerge w:val="continue"/>
            <w:tcBorders/>
            <w:noWrap w:val="0"/>
            <w:vAlign w:val="center"/>
          </w:tcPr>
          <w:p w14:paraId="6FCA2C2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p>
        </w:tc>
        <w:tc>
          <w:tcPr>
            <w:tcW w:w="7584" w:type="dxa"/>
            <w:noWrap w:val="0"/>
            <w:vAlign w:val="center"/>
          </w:tcPr>
          <w:p w14:paraId="7236816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（三）落实政府采购政策需满足的资格要求：</w:t>
            </w:r>
            <w:r>
              <w:rPr>
                <w:rFonts w:hint="eastAsia" w:ascii="宋体" w:hAnsi="宋体" w:cs="宋体"/>
                <w:bCs/>
                <w:color w:val="auto"/>
                <w:sz w:val="24"/>
                <w:szCs w:val="24"/>
                <w:highlight w:val="none"/>
                <w:u w:val="none"/>
              </w:rPr>
              <w:t>标项1，服务全部由符合政策要求的中小企业承接，提供中小企业声明函；</w:t>
            </w:r>
          </w:p>
        </w:tc>
      </w:tr>
      <w:tr w14:paraId="41319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1" w:type="dxa"/>
            <w:vMerge w:val="continue"/>
            <w:tcBorders/>
            <w:noWrap w:val="0"/>
            <w:vAlign w:val="center"/>
          </w:tcPr>
          <w:p w14:paraId="51616B1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p>
        </w:tc>
        <w:tc>
          <w:tcPr>
            <w:tcW w:w="7584" w:type="dxa"/>
            <w:noWrap w:val="0"/>
            <w:vAlign w:val="center"/>
          </w:tcPr>
          <w:p w14:paraId="032A10C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）本项目的特定资格要求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无</w:t>
            </w:r>
            <w:r>
              <w:rPr>
                <w:rFonts w:hint="eastAsia" w:ascii="宋体" w:hAnsi="宋体" w:eastAsia="宋体" w:cs="宋体"/>
                <w:color w:val="auto"/>
                <w:sz w:val="24"/>
                <w:szCs w:val="24"/>
                <w:highlight w:val="none"/>
                <w:lang w:eastAsia="zh-CN"/>
              </w:rPr>
              <w:t>。</w:t>
            </w:r>
          </w:p>
        </w:tc>
      </w:tr>
      <w:tr w14:paraId="0F85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21" w:type="dxa"/>
            <w:vMerge w:val="continue"/>
            <w:tcBorders/>
            <w:noWrap w:val="0"/>
            <w:vAlign w:val="center"/>
          </w:tcPr>
          <w:p w14:paraId="1C96AFA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rPr>
            </w:pPr>
          </w:p>
        </w:tc>
        <w:tc>
          <w:tcPr>
            <w:tcW w:w="7584" w:type="dxa"/>
            <w:noWrap w:val="0"/>
            <w:vAlign w:val="center"/>
          </w:tcPr>
          <w:p w14:paraId="4C9525D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本项目（否）接受联合体投标</w:t>
            </w:r>
          </w:p>
        </w:tc>
      </w:tr>
    </w:tbl>
    <w:p w14:paraId="2BC2711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b/>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rFonts w:hAnsi="宋体"/>
          <w:b/>
          <w:color w:val="auto"/>
          <w:sz w:val="24"/>
          <w:szCs w:val="24"/>
          <w:highlight w:val="none"/>
        </w:rPr>
        <w:t>符合性检查：</w:t>
      </w:r>
    </w:p>
    <w:p w14:paraId="6651FEF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auto"/>
          <w:sz w:val="24"/>
          <w:szCs w:val="24"/>
          <w:highlight w:val="none"/>
        </w:rPr>
      </w:pPr>
      <w:r>
        <w:rPr>
          <w:rFonts w:ascii="Arial" w:cs="Arial"/>
          <w:color w:val="auto"/>
          <w:sz w:val="24"/>
          <w:szCs w:val="24"/>
          <w:highlight w:val="none"/>
        </w:rPr>
        <w:t>评标委员会应当对符合资格条件的投标人的投标文件进行符合性审查，以确定其是否满足采购文件的实质性要求。</w:t>
      </w:r>
    </w:p>
    <w:tbl>
      <w:tblPr>
        <w:tblStyle w:val="32"/>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573"/>
      </w:tblGrid>
      <w:tr w14:paraId="3617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trPr>
        <w:tc>
          <w:tcPr>
            <w:tcW w:w="1532" w:type="dxa"/>
            <w:noWrap w:val="0"/>
            <w:vAlign w:val="top"/>
          </w:tcPr>
          <w:p w14:paraId="4032AD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审查类别</w:t>
            </w:r>
          </w:p>
        </w:tc>
        <w:tc>
          <w:tcPr>
            <w:tcW w:w="7573" w:type="dxa"/>
            <w:noWrap w:val="0"/>
            <w:vAlign w:val="top"/>
          </w:tcPr>
          <w:p w14:paraId="700C84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审查内容</w:t>
            </w:r>
          </w:p>
        </w:tc>
      </w:tr>
      <w:tr w14:paraId="1618F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restart"/>
            <w:noWrap w:val="0"/>
            <w:vAlign w:val="center"/>
          </w:tcPr>
          <w:p w14:paraId="17B8B3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auto"/>
                <w:sz w:val="24"/>
                <w:szCs w:val="24"/>
                <w:highlight w:val="none"/>
              </w:rPr>
            </w:pPr>
            <w:r>
              <w:rPr>
                <w:rFonts w:ascii="Arial" w:cs="Arial"/>
                <w:color w:val="auto"/>
                <w:sz w:val="24"/>
                <w:szCs w:val="24"/>
                <w:highlight w:val="none"/>
              </w:rPr>
              <w:t>符合性审查</w:t>
            </w:r>
          </w:p>
        </w:tc>
        <w:tc>
          <w:tcPr>
            <w:tcW w:w="7573" w:type="dxa"/>
            <w:noWrap w:val="0"/>
            <w:vAlign w:val="center"/>
          </w:tcPr>
          <w:p w14:paraId="01BCB4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宋体" w:eastAsia="宋体" w:cs="宋体"/>
                <w:bCs/>
                <w:color w:val="auto"/>
                <w:kern w:val="2"/>
                <w:sz w:val="24"/>
                <w:szCs w:val="24"/>
                <w:highlight w:val="none"/>
                <w:lang w:val="en-US" w:eastAsia="zh-CN" w:bidi="ar-SA"/>
              </w:rPr>
            </w:pPr>
            <w:r>
              <w:rPr>
                <w:rFonts w:hint="eastAsia" w:hAnsi="宋体" w:cs="宋体"/>
                <w:bCs/>
                <w:color w:val="auto"/>
                <w:sz w:val="24"/>
                <w:szCs w:val="24"/>
                <w:highlight w:val="none"/>
                <w:lang w:val="en-US" w:eastAsia="zh-CN"/>
              </w:rPr>
              <w:t>法定代表人授权书（法定代表人签署投标文件的只需提供法定代表人身份证）；</w:t>
            </w:r>
          </w:p>
        </w:tc>
      </w:tr>
      <w:tr w14:paraId="212AE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65DFE617">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57041E0B">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宋体" w:cs="Arial"/>
                <w:color w:val="auto"/>
                <w:sz w:val="24"/>
                <w:szCs w:val="24"/>
                <w:highlight w:val="none"/>
              </w:rPr>
              <w:t>按照采购文件规定要求签署、盖章</w:t>
            </w:r>
            <w:r>
              <w:rPr>
                <w:rFonts w:hint="eastAsia" w:ascii="Arial" w:hAnsi="宋体" w:cs="Arial"/>
                <w:color w:val="auto"/>
                <w:sz w:val="24"/>
                <w:szCs w:val="24"/>
                <w:highlight w:val="none"/>
                <w:lang w:eastAsia="zh-CN"/>
              </w:rPr>
              <w:t>的</w:t>
            </w:r>
            <w:r>
              <w:rPr>
                <w:rFonts w:ascii="Arial" w:hAnsi="宋体" w:cs="Arial"/>
                <w:color w:val="auto"/>
                <w:sz w:val="24"/>
                <w:szCs w:val="24"/>
                <w:highlight w:val="none"/>
              </w:rPr>
              <w:t>；</w:t>
            </w:r>
          </w:p>
        </w:tc>
      </w:tr>
      <w:tr w14:paraId="6FCE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5967A17F">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38AEBE53">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hint="eastAsia" w:ascii="Arial" w:hAnsi="宋体" w:cs="Arial"/>
                <w:color w:val="auto"/>
                <w:sz w:val="24"/>
                <w:szCs w:val="24"/>
                <w:highlight w:val="none"/>
                <w:lang w:eastAsia="zh-CN"/>
              </w:rPr>
            </w:pPr>
            <w:r>
              <w:rPr>
                <w:rFonts w:ascii="Arial" w:hAnsi="宋体" w:cs="Arial"/>
                <w:color w:val="auto"/>
                <w:sz w:val="24"/>
                <w:szCs w:val="24"/>
                <w:highlight w:val="none"/>
              </w:rPr>
              <w:t>投标文件完全满足采购文件的实质性条款</w:t>
            </w:r>
            <w:r>
              <w:rPr>
                <w:rFonts w:hint="eastAsia" w:ascii="Arial" w:hAnsi="宋体" w:cs="Arial"/>
                <w:color w:val="auto"/>
                <w:sz w:val="24"/>
                <w:szCs w:val="24"/>
                <w:highlight w:val="none"/>
                <w:lang w:eastAsia="zh-CN"/>
              </w:rPr>
              <w:t>；</w:t>
            </w:r>
          </w:p>
          <w:p w14:paraId="53A83F39">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ascii="Arial" w:hAnsi="宋体" w:cs="Arial"/>
                <w:color w:val="auto"/>
                <w:sz w:val="24"/>
                <w:szCs w:val="24"/>
                <w:highlight w:val="none"/>
              </w:rPr>
              <w:t>（实质性条款</w:t>
            </w:r>
            <w:r>
              <w:rPr>
                <w:rFonts w:hint="eastAsia" w:ascii="Arial" w:hAnsi="宋体" w:cs="Arial"/>
                <w:color w:val="auto"/>
                <w:sz w:val="24"/>
                <w:szCs w:val="24"/>
                <w:highlight w:val="none"/>
                <w:lang w:val="en-US" w:eastAsia="zh-CN"/>
              </w:rPr>
              <w:t>指</w:t>
            </w:r>
            <w:r>
              <w:rPr>
                <w:rFonts w:ascii="Arial" w:hAnsi="宋体" w:cs="Arial"/>
                <w:color w:val="auto"/>
                <w:sz w:val="24"/>
                <w:szCs w:val="24"/>
                <w:highlight w:val="none"/>
              </w:rPr>
              <w:t>标注</w:t>
            </w:r>
            <w:r>
              <w:rPr>
                <w:rFonts w:hint="eastAsia" w:ascii="宋体" w:hAnsi="宋体" w:cs="宋体"/>
                <w:color w:val="auto"/>
                <w:sz w:val="24"/>
                <w:szCs w:val="24"/>
                <w:highlight w:val="none"/>
              </w:rPr>
              <w:t>★</w:t>
            </w:r>
            <w:r>
              <w:rPr>
                <w:rFonts w:ascii="Arial" w:hAnsi="宋体" w:cs="Arial"/>
                <w:color w:val="auto"/>
                <w:sz w:val="24"/>
                <w:szCs w:val="24"/>
                <w:highlight w:val="none"/>
              </w:rPr>
              <w:t>号条款</w:t>
            </w:r>
            <w:r>
              <w:rPr>
                <w:rFonts w:hint="eastAsia" w:ascii="Arial" w:hAnsi="宋体" w:cs="Arial"/>
                <w:color w:val="auto"/>
                <w:sz w:val="24"/>
                <w:szCs w:val="24"/>
                <w:highlight w:val="none"/>
                <w:lang w:eastAsia="zh-CN"/>
              </w:rPr>
              <w:t>，</w:t>
            </w:r>
            <w:r>
              <w:rPr>
                <w:rFonts w:hint="eastAsia" w:ascii="Arial" w:hAnsi="宋体" w:cs="Arial"/>
                <w:color w:val="auto"/>
                <w:sz w:val="24"/>
                <w:szCs w:val="24"/>
                <w:highlight w:val="none"/>
                <w:lang w:val="en-US" w:eastAsia="zh-CN"/>
              </w:rPr>
              <w:t>投标文件对实质性条款</w:t>
            </w:r>
            <w:r>
              <w:rPr>
                <w:rFonts w:ascii="Arial" w:hAnsi="宋体" w:cs="Arial"/>
                <w:color w:val="auto"/>
                <w:sz w:val="24"/>
                <w:szCs w:val="24"/>
                <w:highlight w:val="none"/>
              </w:rPr>
              <w:t>无</w:t>
            </w:r>
            <w:r>
              <w:rPr>
                <w:rFonts w:hint="eastAsia" w:ascii="Arial" w:hAnsi="宋体" w:cs="Arial"/>
                <w:color w:val="auto"/>
                <w:sz w:val="24"/>
                <w:szCs w:val="24"/>
                <w:highlight w:val="none"/>
                <w:lang w:val="en-US" w:eastAsia="zh-CN"/>
              </w:rPr>
              <w:t>任何</w:t>
            </w:r>
            <w:r>
              <w:rPr>
                <w:rFonts w:ascii="Arial" w:hAnsi="宋体" w:cs="Arial"/>
                <w:color w:val="auto"/>
                <w:sz w:val="24"/>
                <w:szCs w:val="24"/>
                <w:highlight w:val="none"/>
              </w:rPr>
              <w:t>负偏离</w:t>
            </w:r>
            <w:r>
              <w:rPr>
                <w:rFonts w:hint="eastAsia" w:ascii="Arial" w:hAnsi="宋体" w:cs="Arial"/>
                <w:color w:val="auto"/>
                <w:sz w:val="24"/>
                <w:szCs w:val="24"/>
                <w:highlight w:val="none"/>
                <w:lang w:eastAsia="zh-CN"/>
              </w:rPr>
              <w:t>）；</w:t>
            </w:r>
          </w:p>
        </w:tc>
      </w:tr>
      <w:tr w14:paraId="6227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3D7731F8">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6465C861">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hint="eastAsia" w:ascii="Arial" w:hAnsi="宋体" w:cs="Arial"/>
                <w:color w:val="auto"/>
                <w:sz w:val="24"/>
                <w:szCs w:val="24"/>
                <w:highlight w:val="none"/>
                <w:lang w:val="en-US" w:eastAsia="zh-CN"/>
              </w:rPr>
              <w:t>未出现</w:t>
            </w:r>
            <w:r>
              <w:rPr>
                <w:rFonts w:ascii="Arial" w:hAnsi="宋体" w:cs="Arial"/>
                <w:color w:val="auto"/>
                <w:sz w:val="24"/>
                <w:szCs w:val="24"/>
                <w:highlight w:val="none"/>
              </w:rPr>
              <w:t>采购文件中规定的其它无效投标条款的；</w:t>
            </w:r>
          </w:p>
        </w:tc>
      </w:tr>
      <w:tr w14:paraId="73C0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vMerge w:val="continue"/>
            <w:noWrap w:val="0"/>
            <w:vAlign w:val="top"/>
          </w:tcPr>
          <w:p w14:paraId="249DABE5">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p>
        </w:tc>
        <w:tc>
          <w:tcPr>
            <w:tcW w:w="7573" w:type="dxa"/>
            <w:noWrap w:val="0"/>
            <w:vAlign w:val="center"/>
          </w:tcPr>
          <w:p w14:paraId="6958FE1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hAnsi="Arial" w:cs="Arial"/>
                <w:color w:val="auto"/>
                <w:sz w:val="24"/>
                <w:szCs w:val="24"/>
                <w:highlight w:val="none"/>
              </w:rPr>
            </w:pPr>
            <w:r>
              <w:rPr>
                <w:rFonts w:hint="eastAsia" w:ascii="Arial" w:hAnsi="宋体" w:cs="Arial"/>
                <w:color w:val="auto"/>
                <w:sz w:val="24"/>
                <w:szCs w:val="24"/>
                <w:highlight w:val="none"/>
                <w:lang w:val="en-US" w:eastAsia="zh-CN"/>
              </w:rPr>
              <w:t>未出现</w:t>
            </w:r>
            <w:r>
              <w:rPr>
                <w:rFonts w:ascii="Arial" w:hAnsi="宋体" w:cs="Arial"/>
                <w:color w:val="auto"/>
                <w:sz w:val="24"/>
                <w:szCs w:val="24"/>
                <w:highlight w:val="none"/>
              </w:rPr>
              <w:t>按有关法律、法规、规章属于投标无效的</w:t>
            </w:r>
            <w:r>
              <w:rPr>
                <w:rFonts w:hint="eastAsia" w:ascii="Arial" w:hAnsi="宋体" w:cs="Arial"/>
                <w:color w:val="auto"/>
                <w:sz w:val="24"/>
                <w:szCs w:val="24"/>
                <w:highlight w:val="none"/>
                <w:lang w:val="en-US" w:eastAsia="zh-CN"/>
              </w:rPr>
              <w:t>情形的</w:t>
            </w:r>
            <w:r>
              <w:rPr>
                <w:rFonts w:ascii="Arial" w:hAnsi="宋体" w:cs="Arial"/>
                <w:color w:val="auto"/>
                <w:sz w:val="24"/>
                <w:szCs w:val="24"/>
                <w:highlight w:val="none"/>
              </w:rPr>
              <w:t>。</w:t>
            </w:r>
          </w:p>
        </w:tc>
      </w:tr>
    </w:tbl>
    <w:p w14:paraId="75684BF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w:t>
      </w:r>
      <w:r>
        <w:rPr>
          <w:b/>
          <w:color w:val="auto"/>
          <w:sz w:val="24"/>
          <w:szCs w:val="24"/>
          <w:highlight w:val="none"/>
        </w:rPr>
        <w:t>投标文件有以下</w:t>
      </w:r>
      <w:r>
        <w:rPr>
          <w:rFonts w:hint="eastAsia"/>
          <w:b/>
          <w:color w:val="auto"/>
          <w:sz w:val="24"/>
          <w:szCs w:val="24"/>
          <w:highlight w:val="none"/>
        </w:rPr>
        <w:t>重大</w:t>
      </w:r>
      <w:r>
        <w:rPr>
          <w:b/>
          <w:color w:val="auto"/>
          <w:sz w:val="24"/>
          <w:szCs w:val="24"/>
          <w:highlight w:val="none"/>
        </w:rPr>
        <w:t>偏差</w:t>
      </w:r>
      <w:r>
        <w:rPr>
          <w:rFonts w:hint="eastAsia"/>
          <w:b/>
          <w:color w:val="auto"/>
          <w:sz w:val="24"/>
          <w:szCs w:val="24"/>
          <w:highlight w:val="none"/>
        </w:rPr>
        <w:t>之一</w:t>
      </w:r>
      <w:r>
        <w:rPr>
          <w:b/>
          <w:color w:val="auto"/>
          <w:sz w:val="24"/>
          <w:szCs w:val="24"/>
          <w:highlight w:val="none"/>
        </w:rPr>
        <w:t>的</w:t>
      </w:r>
      <w:r>
        <w:rPr>
          <w:rFonts w:hint="eastAsia"/>
          <w:b/>
          <w:color w:val="auto"/>
          <w:sz w:val="24"/>
          <w:szCs w:val="24"/>
          <w:highlight w:val="none"/>
        </w:rPr>
        <w:t>投标无效</w:t>
      </w:r>
      <w:r>
        <w:rPr>
          <w:b/>
          <w:color w:val="auto"/>
          <w:sz w:val="24"/>
          <w:szCs w:val="24"/>
          <w:highlight w:val="none"/>
        </w:rPr>
        <w:t>：</w:t>
      </w:r>
    </w:p>
    <w:p w14:paraId="220D4DE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 xml:space="preserve">（3.1） </w:t>
      </w:r>
      <w:r>
        <w:rPr>
          <w:color w:val="auto"/>
          <w:sz w:val="24"/>
          <w:szCs w:val="24"/>
          <w:highlight w:val="none"/>
        </w:rPr>
        <w:t>资格审查不合格的：</w:t>
      </w:r>
      <w:r>
        <w:rPr>
          <w:rFonts w:hint="eastAsia"/>
          <w:color w:val="auto"/>
          <w:sz w:val="24"/>
          <w:szCs w:val="24"/>
          <w:highlight w:val="none"/>
        </w:rPr>
        <w:t>投标文件的</w:t>
      </w:r>
      <w:r>
        <w:rPr>
          <w:color w:val="auto"/>
          <w:sz w:val="24"/>
          <w:szCs w:val="24"/>
          <w:highlight w:val="none"/>
        </w:rPr>
        <w:t>资格文件</w:t>
      </w:r>
      <w:r>
        <w:rPr>
          <w:rFonts w:hint="eastAsia"/>
          <w:color w:val="auto"/>
          <w:sz w:val="24"/>
          <w:szCs w:val="24"/>
          <w:highlight w:val="none"/>
        </w:rPr>
        <w:t>不符合招标文件《第六部分附件（投标文件格式）》中“资格文件”要求的</w:t>
      </w:r>
      <w:r>
        <w:rPr>
          <w:color w:val="auto"/>
          <w:sz w:val="24"/>
          <w:szCs w:val="24"/>
          <w:highlight w:val="none"/>
        </w:rPr>
        <w:t>；</w:t>
      </w:r>
    </w:p>
    <w:p w14:paraId="515B241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（3.2）投标报价超过采购预算（或最高限价）的；</w:t>
      </w:r>
    </w:p>
    <w:p w14:paraId="0C3D0C3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（3.3）</w:t>
      </w:r>
      <w:r>
        <w:rPr>
          <w:color w:val="auto"/>
          <w:sz w:val="24"/>
          <w:szCs w:val="24"/>
          <w:highlight w:val="none"/>
        </w:rPr>
        <w:t>投标有效期不符合招标文件的要求的；</w:t>
      </w:r>
    </w:p>
    <w:p w14:paraId="24D8356B">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（3.4）招标文件中标注</w:t>
      </w:r>
      <w:r>
        <w:rPr>
          <w:color w:val="auto"/>
          <w:sz w:val="24"/>
          <w:szCs w:val="24"/>
          <w:highlight w:val="none"/>
        </w:rPr>
        <w:t>“</w:t>
      </w:r>
      <w:bookmarkStart w:id="0" w:name="_Hlk100300949"/>
      <w:r>
        <w:rPr>
          <w:rFonts w:hint="eastAsia"/>
          <w:color w:val="auto"/>
          <w:sz w:val="24"/>
          <w:szCs w:val="24"/>
          <w:highlight w:val="none"/>
        </w:rPr>
        <w:t>★</w:t>
      </w:r>
      <w:bookmarkEnd w:id="0"/>
      <w:r>
        <w:rPr>
          <w:color w:val="auto"/>
          <w:sz w:val="24"/>
          <w:szCs w:val="24"/>
          <w:highlight w:val="none"/>
        </w:rPr>
        <w:t>”</w:t>
      </w:r>
      <w:r>
        <w:rPr>
          <w:rFonts w:hint="eastAsia"/>
          <w:color w:val="auto"/>
          <w:sz w:val="24"/>
          <w:szCs w:val="24"/>
          <w:highlight w:val="none"/>
        </w:rPr>
        <w:t>号的条款为主要条款，投标文件中对主要条款的任何负偏离或未实质性响应的；</w:t>
      </w:r>
    </w:p>
    <w:p w14:paraId="40D5695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（3.5）投标文件的签署和盖章不符合招标文件规定的；</w:t>
      </w:r>
    </w:p>
    <w:p w14:paraId="0E6FB1C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（3.6）投标文件出现两个及以上不同的投标方案或投标报价的；</w:t>
      </w:r>
    </w:p>
    <w:p w14:paraId="768658A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3.7）评标委员会认为供应商的报价明显低于其他通过初步审查的供应商的报价，有可能影响产品质量或者不能诚信履约的，应当要求其在评标现场合理的时间内（30分钟）提供书面说明，必要时提交相关证明材料；供应商不能证明其报价合理性的，投标无效；</w:t>
      </w:r>
    </w:p>
    <w:p w14:paraId="2FD30F3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（3.8）符合招标文件规定的投标无效的情况；</w:t>
      </w:r>
    </w:p>
    <w:p w14:paraId="24D4D21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（3.9）评标委员会经过审查，发现投标文件有虚假响应的；</w:t>
      </w:r>
    </w:p>
    <w:p w14:paraId="4D263A9F">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（3.10）评标委员会经过审查，发现投标文件有不符合国家法律法规规定的情形</w:t>
      </w:r>
      <w:r>
        <w:rPr>
          <w:color w:val="auto"/>
          <w:sz w:val="24"/>
          <w:szCs w:val="24"/>
          <w:highlight w:val="none"/>
        </w:rPr>
        <w:t>。</w:t>
      </w:r>
    </w:p>
    <w:p w14:paraId="6ECDBFB8">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rFonts w:hAnsi="宋体"/>
          <w:color w:val="auto"/>
          <w:sz w:val="24"/>
          <w:szCs w:val="24"/>
          <w:highlight w:val="none"/>
        </w:rPr>
      </w:pPr>
      <w:r>
        <w:rPr>
          <w:rFonts w:hAnsi="宋体"/>
          <w:color w:val="auto"/>
          <w:sz w:val="24"/>
          <w:szCs w:val="24"/>
          <w:highlight w:val="none"/>
        </w:rPr>
        <w:t>在评标、定标期间，评标委员会若发现投标人在投标中有腐败或欺诈行为或试图对评标委员会的评标和采购人授予合同的决定进行影响，将依法否决其投标，并向管理部门上报其不良行为纪录。</w:t>
      </w:r>
    </w:p>
    <w:p w14:paraId="4856316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rFonts w:hint="eastAsia"/>
          <w:b/>
          <w:color w:val="auto"/>
          <w:sz w:val="24"/>
          <w:szCs w:val="24"/>
          <w:highlight w:val="none"/>
        </w:rPr>
        <w:t>有下列情形之一的，视为投标人串通投标，其投标无效：</w:t>
      </w:r>
    </w:p>
    <w:p w14:paraId="0C9A904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1</w:t>
      </w:r>
      <w:r>
        <w:rPr>
          <w:rFonts w:hint="eastAsia"/>
          <w:color w:val="auto"/>
          <w:sz w:val="24"/>
          <w:szCs w:val="24"/>
          <w:highlight w:val="none"/>
        </w:rPr>
        <w:t>）不同投标人的投标文件由同一单位或者个人编制；</w:t>
      </w:r>
    </w:p>
    <w:p w14:paraId="2525091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2</w:t>
      </w:r>
      <w:r>
        <w:rPr>
          <w:rFonts w:hint="eastAsia"/>
          <w:color w:val="auto"/>
          <w:sz w:val="24"/>
          <w:szCs w:val="24"/>
          <w:highlight w:val="none"/>
        </w:rPr>
        <w:t>）不同投标人委托同一单位或者个人办理投标事宜；</w:t>
      </w:r>
    </w:p>
    <w:p w14:paraId="2CF4F381">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3</w:t>
      </w:r>
      <w:r>
        <w:rPr>
          <w:rFonts w:hint="eastAsia"/>
          <w:color w:val="auto"/>
          <w:sz w:val="24"/>
          <w:szCs w:val="24"/>
          <w:highlight w:val="none"/>
        </w:rPr>
        <w:t>）不同投标人的投标文件载明的项目管理成员或者联系人员为同一人；</w:t>
      </w:r>
    </w:p>
    <w:p w14:paraId="2C1340B4">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4</w:t>
      </w:r>
      <w:r>
        <w:rPr>
          <w:rFonts w:hint="eastAsia"/>
          <w:color w:val="auto"/>
          <w:sz w:val="24"/>
          <w:szCs w:val="24"/>
          <w:highlight w:val="none"/>
        </w:rPr>
        <w:t>）不同投标人的投标文件异常一致或者投标报价呈规律性差异；</w:t>
      </w:r>
    </w:p>
    <w:p w14:paraId="709600D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（4.</w:t>
      </w:r>
      <w:r>
        <w:rPr>
          <w:color w:val="auto"/>
          <w:sz w:val="24"/>
          <w:szCs w:val="24"/>
          <w:highlight w:val="none"/>
        </w:rPr>
        <w:t>5</w:t>
      </w:r>
      <w:r>
        <w:rPr>
          <w:rFonts w:hint="eastAsia"/>
          <w:color w:val="auto"/>
          <w:sz w:val="24"/>
          <w:szCs w:val="24"/>
          <w:highlight w:val="none"/>
        </w:rPr>
        <w:t>）不同投标人的投标文件相互混装。</w:t>
      </w:r>
    </w:p>
    <w:p w14:paraId="4657151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（4</w:t>
      </w:r>
      <w:r>
        <w:rPr>
          <w:b/>
          <w:color w:val="auto"/>
          <w:sz w:val="24"/>
          <w:szCs w:val="24"/>
          <w:highlight w:val="none"/>
        </w:rPr>
        <w:t>.6</w:t>
      </w:r>
      <w:r>
        <w:rPr>
          <w:rFonts w:hint="eastAsia"/>
          <w:b/>
          <w:color w:val="auto"/>
          <w:sz w:val="24"/>
          <w:szCs w:val="24"/>
          <w:highlight w:val="none"/>
        </w:rPr>
        <w:t>）不同投标文件出自同一终端设备或在相同Internet主机分配地址（相同IP地址）。</w:t>
      </w:r>
    </w:p>
    <w:p w14:paraId="4F7E997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b/>
          <w:color w:val="auto"/>
          <w:sz w:val="24"/>
          <w:szCs w:val="24"/>
          <w:highlight w:val="none"/>
        </w:rPr>
        <w:t>2．</w:t>
      </w:r>
      <w:r>
        <w:rPr>
          <w:color w:val="auto"/>
          <w:sz w:val="24"/>
          <w:szCs w:val="24"/>
          <w:highlight w:val="none"/>
        </w:rPr>
        <w:t xml:space="preserve"> </w:t>
      </w:r>
      <w:r>
        <w:rPr>
          <w:b/>
          <w:color w:val="auto"/>
          <w:sz w:val="24"/>
          <w:szCs w:val="24"/>
          <w:highlight w:val="none"/>
        </w:rPr>
        <w:t xml:space="preserve"> </w:t>
      </w:r>
      <w:r>
        <w:rPr>
          <w:rFonts w:hAnsi="宋体"/>
          <w:b/>
          <w:color w:val="auto"/>
          <w:sz w:val="24"/>
          <w:szCs w:val="24"/>
          <w:highlight w:val="none"/>
        </w:rPr>
        <w:t>澄清问题：</w:t>
      </w:r>
    </w:p>
    <w:p w14:paraId="1D804B5E">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color w:val="auto"/>
          <w:sz w:val="24"/>
          <w:szCs w:val="24"/>
          <w:highlight w:val="none"/>
        </w:rPr>
        <w:t>（1）</w:t>
      </w:r>
      <w:r>
        <w:rPr>
          <w:color w:val="auto"/>
          <w:sz w:val="24"/>
          <w:szCs w:val="24"/>
          <w:highlight w:val="none"/>
        </w:rPr>
        <w:t xml:space="preserve">  </w:t>
      </w:r>
      <w:r>
        <w:rPr>
          <w:rFonts w:hint="eastAsia" w:hAnsi="宋体"/>
          <w:color w:val="auto"/>
          <w:sz w:val="24"/>
          <w:szCs w:val="24"/>
          <w:highlight w:val="none"/>
        </w:rPr>
        <w:t>投标文件的投标报价如果出现计算或表达上的错误，修正错误的原则如下：</w:t>
      </w:r>
    </w:p>
    <w:p w14:paraId="308C43B8">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(1.1)投标文件中开标一览表内容与投标文件中相应内容不一致的，以开标一览表为准；</w:t>
      </w:r>
    </w:p>
    <w:p w14:paraId="23CA98AC">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(1.2)大写金额和小写金额不一致的，以大写金额为准；</w:t>
      </w:r>
    </w:p>
    <w:p w14:paraId="5B1B18F9">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(1.3)单价金额小数点或者百分比有明显错位的，以开标一览表的总价为准，并修改单价；</w:t>
      </w:r>
    </w:p>
    <w:p w14:paraId="536AB081">
      <w:pPr>
        <w:keepNext w:val="0"/>
        <w:keepLines w:val="0"/>
        <w:pageBreakBefore w:val="0"/>
        <w:widowControl w:val="0"/>
        <w:kinsoku/>
        <w:wordWrap/>
        <w:overflowPunct/>
        <w:topLinePunct w:val="0"/>
        <w:autoSpaceDE/>
        <w:autoSpaceDN/>
        <w:bidi w:val="0"/>
        <w:adjustRightInd/>
        <w:snapToGrid/>
        <w:spacing w:line="400" w:lineRule="exact"/>
        <w:ind w:right="-506" w:rightChars="-241" w:firstLine="208" w:firstLineChars="87"/>
        <w:textAlignment w:val="auto"/>
        <w:rPr>
          <w:color w:val="auto"/>
          <w:sz w:val="24"/>
          <w:szCs w:val="24"/>
          <w:highlight w:val="none"/>
        </w:rPr>
      </w:pPr>
      <w:r>
        <w:rPr>
          <w:rFonts w:hint="eastAsia"/>
          <w:color w:val="auto"/>
          <w:sz w:val="24"/>
          <w:szCs w:val="24"/>
          <w:highlight w:val="none"/>
        </w:rPr>
        <w:t>(1.4)总价金额与按单价汇总金额不一致的，以单价金额计算结果为准。</w:t>
      </w:r>
    </w:p>
    <w:p w14:paraId="661D4636">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rFonts w:hAnsi="宋体"/>
          <w:color w:val="auto"/>
          <w:sz w:val="24"/>
          <w:szCs w:val="24"/>
          <w:highlight w:val="none"/>
        </w:rPr>
      </w:pPr>
      <w:r>
        <w:rPr>
          <w:rFonts w:hint="eastAsia" w:hAnsi="宋体"/>
          <w:color w:val="auto"/>
          <w:sz w:val="24"/>
          <w:szCs w:val="24"/>
          <w:highlight w:val="none"/>
        </w:rPr>
        <w:t>同时出现两种以上不一致的，按照前款规定的顺序修正。修正后的报价经投标人确认后产生约束力，投标人不确认的，其投标无效。</w:t>
      </w:r>
    </w:p>
    <w:p w14:paraId="7FDC6929">
      <w:pPr>
        <w:keepNext w:val="0"/>
        <w:keepLines w:val="0"/>
        <w:pageBreakBefore w:val="0"/>
        <w:widowControl w:val="0"/>
        <w:kinsoku/>
        <w:wordWrap/>
        <w:overflowPunct/>
        <w:topLinePunct w:val="0"/>
        <w:autoSpaceDE/>
        <w:autoSpaceDN/>
        <w:bidi w:val="0"/>
        <w:adjustRightInd/>
        <w:snapToGrid/>
        <w:spacing w:line="400" w:lineRule="exact"/>
        <w:ind w:right="-506" w:rightChars="-241" w:firstLine="480" w:firstLineChars="200"/>
        <w:textAlignment w:val="auto"/>
        <w:rPr>
          <w:color w:val="auto"/>
          <w:sz w:val="24"/>
          <w:szCs w:val="24"/>
          <w:highlight w:val="none"/>
        </w:rPr>
      </w:pPr>
      <w:r>
        <w:rPr>
          <w:rFonts w:hint="eastAsia" w:hAnsi="宋体"/>
          <w:color w:val="auto"/>
          <w:sz w:val="24"/>
          <w:szCs w:val="24"/>
          <w:highlight w:val="none"/>
        </w:rPr>
        <w:t>投标人未按本款规定接受其投标报价修正的，投标无效。</w:t>
      </w:r>
    </w:p>
    <w:p w14:paraId="6AF6483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w:t>
      </w:r>
      <w:r>
        <w:rPr>
          <w:color w:val="auto"/>
          <w:sz w:val="24"/>
          <w:szCs w:val="24"/>
          <w:highlight w:val="none"/>
        </w:rPr>
        <w:t xml:space="preserve"> 投标的澄清</w:t>
      </w:r>
    </w:p>
    <w:p w14:paraId="5CECC57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（2.1）</w:t>
      </w:r>
      <w:r>
        <w:rPr>
          <w:color w:val="auto"/>
          <w:sz w:val="24"/>
          <w:szCs w:val="24"/>
          <w:highlight w:val="none"/>
        </w:rPr>
        <w:t xml:space="preserve"> </w:t>
      </w:r>
      <w:r>
        <w:rPr>
          <w:rFonts w:hAnsi="宋体"/>
          <w:color w:val="auto"/>
          <w:sz w:val="24"/>
          <w:szCs w:val="24"/>
          <w:highlight w:val="none"/>
        </w:rPr>
        <w:t>对投标文件</w:t>
      </w:r>
      <w:r>
        <w:rPr>
          <w:rFonts w:hint="eastAsia" w:hAnsi="宋体"/>
          <w:color w:val="auto"/>
          <w:sz w:val="24"/>
          <w:szCs w:val="24"/>
          <w:highlight w:val="none"/>
        </w:rPr>
        <w:t>评审</w:t>
      </w:r>
      <w:r>
        <w:rPr>
          <w:rFonts w:hAnsi="宋体"/>
          <w:color w:val="auto"/>
          <w:sz w:val="24"/>
          <w:szCs w:val="24"/>
          <w:highlight w:val="none"/>
        </w:rPr>
        <w:t>中发现的投标文件表达含义不明确、同类问题表述</w:t>
      </w:r>
      <w:r>
        <w:rPr>
          <w:rFonts w:hint="eastAsia" w:hAnsi="宋体"/>
          <w:color w:val="auto"/>
          <w:sz w:val="24"/>
          <w:szCs w:val="24"/>
          <w:highlight w:val="none"/>
        </w:rPr>
        <w:t>前后</w:t>
      </w:r>
      <w:r>
        <w:rPr>
          <w:rFonts w:hAnsi="宋体"/>
          <w:color w:val="auto"/>
          <w:sz w:val="24"/>
          <w:szCs w:val="24"/>
          <w:highlight w:val="none"/>
        </w:rPr>
        <w:t>不一致或者有明显文字和计算错误的内容</w:t>
      </w:r>
      <w:r>
        <w:rPr>
          <w:rFonts w:hint="eastAsia" w:hAnsi="宋体"/>
          <w:color w:val="auto"/>
          <w:sz w:val="24"/>
          <w:szCs w:val="24"/>
          <w:highlight w:val="none"/>
        </w:rPr>
        <w:t>等情形的</w:t>
      </w:r>
      <w:r>
        <w:rPr>
          <w:rFonts w:hAnsi="宋体"/>
          <w:color w:val="auto"/>
          <w:sz w:val="24"/>
          <w:szCs w:val="24"/>
          <w:highlight w:val="none"/>
        </w:rPr>
        <w:t>，评标委员会可要求投标人做出</w:t>
      </w:r>
      <w:r>
        <w:rPr>
          <w:rFonts w:hint="eastAsia" w:hAnsi="宋体"/>
          <w:color w:val="auto"/>
          <w:sz w:val="24"/>
          <w:szCs w:val="24"/>
          <w:highlight w:val="none"/>
        </w:rPr>
        <w:t>书面</w:t>
      </w:r>
      <w:r>
        <w:rPr>
          <w:rFonts w:hAnsi="宋体"/>
          <w:color w:val="auto"/>
          <w:sz w:val="24"/>
          <w:szCs w:val="24"/>
          <w:highlight w:val="none"/>
        </w:rPr>
        <w:t>澄清。投标人必须</w:t>
      </w:r>
      <w:r>
        <w:rPr>
          <w:rFonts w:hint="eastAsia" w:hAnsi="宋体"/>
          <w:color w:val="auto"/>
          <w:sz w:val="24"/>
          <w:szCs w:val="24"/>
          <w:highlight w:val="none"/>
        </w:rPr>
        <w:t>在规定的时间内在政采云上</w:t>
      </w:r>
      <w:r>
        <w:rPr>
          <w:rFonts w:hAnsi="宋体"/>
          <w:color w:val="auto"/>
          <w:sz w:val="24"/>
          <w:szCs w:val="24"/>
          <w:highlight w:val="none"/>
        </w:rPr>
        <w:t>进行</w:t>
      </w:r>
      <w:r>
        <w:rPr>
          <w:rFonts w:hint="eastAsia" w:hAnsi="宋体"/>
          <w:color w:val="auto"/>
          <w:sz w:val="24"/>
          <w:szCs w:val="24"/>
          <w:highlight w:val="none"/>
        </w:rPr>
        <w:t>补充或</w:t>
      </w:r>
      <w:r>
        <w:rPr>
          <w:rFonts w:hAnsi="宋体"/>
          <w:color w:val="auto"/>
          <w:sz w:val="24"/>
          <w:szCs w:val="24"/>
          <w:highlight w:val="none"/>
        </w:rPr>
        <w:t>澄清</w:t>
      </w:r>
      <w:r>
        <w:rPr>
          <w:rFonts w:hint="eastAsia" w:hAnsi="宋体"/>
          <w:color w:val="auto"/>
          <w:sz w:val="24"/>
          <w:szCs w:val="24"/>
          <w:highlight w:val="none"/>
        </w:rPr>
        <w:t>。</w:t>
      </w:r>
    </w:p>
    <w:p w14:paraId="459C4DB9">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color w:val="auto"/>
          <w:sz w:val="24"/>
          <w:szCs w:val="24"/>
          <w:highlight w:val="none"/>
        </w:rPr>
        <w:t>（2.2）</w:t>
      </w:r>
      <w:r>
        <w:rPr>
          <w:color w:val="auto"/>
          <w:sz w:val="24"/>
          <w:szCs w:val="24"/>
          <w:highlight w:val="none"/>
        </w:rPr>
        <w:t xml:space="preserve"> </w:t>
      </w:r>
      <w:r>
        <w:rPr>
          <w:rFonts w:hAnsi="宋体"/>
          <w:color w:val="auto"/>
          <w:sz w:val="24"/>
          <w:szCs w:val="24"/>
          <w:highlight w:val="none"/>
        </w:rPr>
        <w:t>投标人对投标文件的澄清不得超出投标文件的范围或改变投标文件的实质性内容。</w:t>
      </w:r>
    </w:p>
    <w:p w14:paraId="39F811A3">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u w:val="single"/>
        </w:rPr>
      </w:pPr>
      <w:r>
        <w:rPr>
          <w:rFonts w:hint="eastAsia"/>
          <w:color w:val="auto"/>
          <w:sz w:val="24"/>
          <w:szCs w:val="24"/>
          <w:highlight w:val="none"/>
        </w:rPr>
        <w:t>（2.3） 投标人</w:t>
      </w:r>
      <w:r>
        <w:rPr>
          <w:rFonts w:hint="eastAsia" w:hAnsi="宋体"/>
          <w:color w:val="auto"/>
          <w:sz w:val="24"/>
          <w:szCs w:val="24"/>
          <w:highlight w:val="none"/>
        </w:rPr>
        <w:t>未能按规定作出补充或澄清的评标委员会有权作出不利于投标人的判定</w:t>
      </w:r>
      <w:r>
        <w:rPr>
          <w:rFonts w:hAnsi="宋体"/>
          <w:color w:val="auto"/>
          <w:sz w:val="24"/>
          <w:szCs w:val="24"/>
          <w:highlight w:val="none"/>
        </w:rPr>
        <w:t>。</w:t>
      </w:r>
      <w:r>
        <w:rPr>
          <w:color w:val="auto"/>
          <w:sz w:val="24"/>
          <w:szCs w:val="24"/>
          <w:highlight w:val="none"/>
        </w:rPr>
        <w:t xml:space="preserve"> </w:t>
      </w:r>
    </w:p>
    <w:p w14:paraId="296A4EAA">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3．</w:t>
      </w:r>
      <w:r>
        <w:rPr>
          <w:b/>
          <w:color w:val="auto"/>
          <w:sz w:val="24"/>
          <w:szCs w:val="24"/>
          <w:highlight w:val="none"/>
        </w:rPr>
        <w:t xml:space="preserve"> 比较与评价</w:t>
      </w:r>
      <w:r>
        <w:rPr>
          <w:rFonts w:hint="eastAsia"/>
          <w:b/>
          <w:color w:val="auto"/>
          <w:sz w:val="24"/>
          <w:szCs w:val="24"/>
          <w:highlight w:val="none"/>
        </w:rPr>
        <w:t>：</w:t>
      </w:r>
    </w:p>
    <w:p w14:paraId="318B556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color w:val="auto"/>
          <w:sz w:val="24"/>
          <w:szCs w:val="24"/>
          <w:highlight w:val="none"/>
        </w:rPr>
        <w:t>（1）评标委员会每位成员各自按照《评委打分表》规定的内容，对所有有效的投标文件进行打分，汇总各评委对各投标人的评分。计算全体评委评出的总分的算术平均值，作为各投标人的综合得分。按各投标人的综合得分自高向低次序排出评标结果排序。</w:t>
      </w:r>
    </w:p>
    <w:p w14:paraId="5C7CF265">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ascii="宋体" w:hAnsi="宋体"/>
          <w:color w:val="auto"/>
          <w:kern w:val="0"/>
          <w:sz w:val="24"/>
          <w:szCs w:val="24"/>
          <w:highlight w:val="none"/>
        </w:rPr>
      </w:pPr>
      <w:r>
        <w:rPr>
          <w:rFonts w:hint="eastAsia"/>
          <w:color w:val="auto"/>
          <w:sz w:val="24"/>
          <w:szCs w:val="24"/>
          <w:highlight w:val="none"/>
        </w:rPr>
        <w:t>（2）评标结果排序：</w:t>
      </w:r>
      <w:r>
        <w:rPr>
          <w:rFonts w:hint="eastAsia"/>
          <w:bCs/>
          <w:color w:val="auto"/>
          <w:sz w:val="24"/>
          <w:szCs w:val="24"/>
          <w:highlight w:val="none"/>
        </w:rPr>
        <w:t xml:space="preserve"> </w:t>
      </w:r>
      <w:r>
        <w:rPr>
          <w:rFonts w:hint="eastAsia" w:ascii="宋体" w:hAnsi="宋体"/>
          <w:color w:val="auto"/>
          <w:kern w:val="0"/>
          <w:sz w:val="24"/>
          <w:szCs w:val="24"/>
          <w:highlight w:val="none"/>
        </w:rPr>
        <w:t>评标结果按评审后综合得分由高到低顺序排列。得分相同的，按投标报价由低到高顺序排列。得分且投标报价均相同的，按照评审因素的量化指标评审得分由高到低顺序排列。</w:t>
      </w:r>
    </w:p>
    <w:p w14:paraId="072C9E82">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eastAsia"/>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lang w:eastAsia="zh-CN"/>
        </w:rPr>
        <w:t>）</w:t>
      </w:r>
      <w:r>
        <w:rPr>
          <w:rFonts w:hint="eastAsia"/>
          <w:color w:val="auto"/>
          <w:sz w:val="24"/>
          <w:szCs w:val="24"/>
          <w:highlight w:val="none"/>
        </w:rPr>
        <w:t>评标委员会推荐排序第一的投标人为</w:t>
      </w:r>
      <w:r>
        <w:rPr>
          <w:rFonts w:hint="eastAsia"/>
          <w:color w:val="auto"/>
          <w:sz w:val="24"/>
          <w:szCs w:val="24"/>
          <w:highlight w:val="none"/>
          <w:lang w:val="en-US" w:eastAsia="zh-CN"/>
        </w:rPr>
        <w:t>本项目的</w:t>
      </w:r>
      <w:r>
        <w:rPr>
          <w:rFonts w:hint="eastAsia"/>
          <w:color w:val="auto"/>
          <w:sz w:val="24"/>
          <w:szCs w:val="24"/>
          <w:highlight w:val="none"/>
        </w:rPr>
        <w:t>中标候选人。</w:t>
      </w:r>
    </w:p>
    <w:p w14:paraId="5AF368C8">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b/>
          <w:color w:val="auto"/>
          <w:sz w:val="24"/>
          <w:szCs w:val="24"/>
          <w:highlight w:val="none"/>
        </w:rPr>
      </w:pPr>
      <w:r>
        <w:rPr>
          <w:rFonts w:hint="eastAsia"/>
          <w:b/>
          <w:color w:val="auto"/>
          <w:sz w:val="24"/>
          <w:szCs w:val="24"/>
          <w:highlight w:val="none"/>
        </w:rPr>
        <w:t>4. 确定中标供应商：</w:t>
      </w:r>
    </w:p>
    <w:p w14:paraId="3D7D0D47">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int="default" w:hAnsi="宋体" w:eastAsia="宋体"/>
          <w:color w:val="auto"/>
          <w:sz w:val="24"/>
          <w:szCs w:val="24"/>
          <w:highlight w:val="none"/>
          <w:lang w:val="en-US" w:eastAsia="zh-CN"/>
        </w:rPr>
      </w:pPr>
      <w:r>
        <w:rPr>
          <w:rFonts w:hint="eastAsia"/>
          <w:color w:val="auto"/>
          <w:sz w:val="24"/>
          <w:szCs w:val="24"/>
          <w:highlight w:val="none"/>
        </w:rPr>
        <w:t>（1）</w:t>
      </w:r>
      <w:r>
        <w:rPr>
          <w:rFonts w:hint="eastAsia" w:hAnsi="宋体"/>
          <w:color w:val="auto"/>
          <w:sz w:val="24"/>
          <w:szCs w:val="24"/>
          <w:highlight w:val="none"/>
        </w:rPr>
        <w:t>采购人自收到评标报告之日起5个工作日内，</w:t>
      </w:r>
      <w:r>
        <w:rPr>
          <w:rFonts w:hint="eastAsia" w:hAnsi="宋体"/>
          <w:color w:val="auto"/>
          <w:sz w:val="24"/>
          <w:szCs w:val="24"/>
          <w:highlight w:val="none"/>
          <w:lang w:val="en-US" w:eastAsia="zh-CN"/>
        </w:rPr>
        <w:t>确认评标委员会推荐的中标候选人为中标人。</w:t>
      </w:r>
    </w:p>
    <w:p w14:paraId="4131FDDC">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outlineLvl w:val="1"/>
        <w:rPr>
          <w:b/>
          <w:color w:val="auto"/>
          <w:sz w:val="24"/>
          <w:szCs w:val="24"/>
          <w:highlight w:val="none"/>
        </w:rPr>
      </w:pPr>
      <w:r>
        <w:rPr>
          <w:b/>
          <w:color w:val="auto"/>
          <w:sz w:val="24"/>
          <w:szCs w:val="24"/>
          <w:highlight w:val="none"/>
        </w:rPr>
        <w:t>三、</w:t>
      </w:r>
      <w:r>
        <w:rPr>
          <w:rFonts w:hint="eastAsia"/>
          <w:b/>
          <w:color w:val="auto"/>
          <w:sz w:val="24"/>
          <w:szCs w:val="24"/>
          <w:highlight w:val="none"/>
        </w:rPr>
        <w:t>中标结果公告及</w:t>
      </w:r>
      <w:r>
        <w:rPr>
          <w:b/>
          <w:color w:val="auto"/>
          <w:sz w:val="24"/>
          <w:szCs w:val="24"/>
          <w:highlight w:val="none"/>
        </w:rPr>
        <w:t>其他</w:t>
      </w:r>
    </w:p>
    <w:p w14:paraId="0E754846">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color w:val="auto"/>
          <w:sz w:val="24"/>
          <w:szCs w:val="24"/>
          <w:highlight w:val="none"/>
        </w:rPr>
      </w:pPr>
      <w:r>
        <w:rPr>
          <w:rFonts w:hint="eastAsia" w:hAnsi="宋体"/>
          <w:color w:val="auto"/>
          <w:sz w:val="24"/>
          <w:szCs w:val="24"/>
          <w:highlight w:val="none"/>
        </w:rPr>
        <w:t xml:space="preserve">1. </w:t>
      </w:r>
      <w:r>
        <w:rPr>
          <w:rFonts w:hAnsi="宋体"/>
          <w:color w:val="auto"/>
          <w:sz w:val="24"/>
          <w:szCs w:val="24"/>
          <w:highlight w:val="none"/>
        </w:rPr>
        <w:t>采购人根据评标报告中推荐的中标候选</w:t>
      </w:r>
      <w:r>
        <w:rPr>
          <w:rFonts w:hint="eastAsia" w:hAnsi="宋体"/>
          <w:color w:val="auto"/>
          <w:sz w:val="24"/>
          <w:szCs w:val="24"/>
          <w:highlight w:val="none"/>
        </w:rPr>
        <w:t>人</w:t>
      </w:r>
      <w:r>
        <w:rPr>
          <w:rFonts w:hAnsi="宋体"/>
          <w:color w:val="auto"/>
          <w:sz w:val="24"/>
          <w:szCs w:val="24"/>
          <w:highlight w:val="none"/>
        </w:rPr>
        <w:t>顺序确定中标供应商（或评标委员会受采购人授权</w:t>
      </w:r>
      <w:r>
        <w:rPr>
          <w:rFonts w:hint="eastAsia" w:hAnsi="宋体"/>
          <w:color w:val="auto"/>
          <w:sz w:val="24"/>
          <w:szCs w:val="24"/>
          <w:highlight w:val="none"/>
        </w:rPr>
        <w:t>直接确定中标供应商</w:t>
      </w:r>
      <w:r>
        <w:rPr>
          <w:rFonts w:hAnsi="宋体"/>
          <w:color w:val="auto"/>
          <w:sz w:val="24"/>
          <w:szCs w:val="24"/>
          <w:highlight w:val="none"/>
        </w:rPr>
        <w:t>）。中标供应商一经确定，采购代理公司在规定的政府采购信息发布媒体上发布中标公告</w:t>
      </w:r>
      <w:r>
        <w:rPr>
          <w:rFonts w:hint="eastAsia" w:hAnsi="宋体"/>
          <w:color w:val="auto"/>
          <w:sz w:val="24"/>
          <w:szCs w:val="24"/>
          <w:highlight w:val="none"/>
        </w:rPr>
        <w:t>。</w:t>
      </w:r>
    </w:p>
    <w:p w14:paraId="033CF430">
      <w:pPr>
        <w:keepNext w:val="0"/>
        <w:keepLines w:val="0"/>
        <w:pageBreakBefore w:val="0"/>
        <w:widowControl w:val="0"/>
        <w:kinsoku/>
        <w:wordWrap/>
        <w:overflowPunct/>
        <w:topLinePunct w:val="0"/>
        <w:autoSpaceDE/>
        <w:autoSpaceDN/>
        <w:bidi w:val="0"/>
        <w:adjustRightInd/>
        <w:snapToGrid/>
        <w:spacing w:line="400" w:lineRule="exact"/>
        <w:ind w:right="-506" w:rightChars="-241"/>
        <w:textAlignment w:val="auto"/>
        <w:rPr>
          <w:rFonts w:hAnsi="宋体"/>
          <w:color w:val="auto"/>
          <w:sz w:val="24"/>
          <w:szCs w:val="24"/>
          <w:highlight w:val="none"/>
        </w:rPr>
      </w:pPr>
      <w:r>
        <w:rPr>
          <w:rFonts w:hint="eastAsia"/>
          <w:color w:val="auto"/>
          <w:sz w:val="24"/>
          <w:szCs w:val="24"/>
          <w:highlight w:val="none"/>
        </w:rPr>
        <w:t>2</w:t>
      </w:r>
      <w:r>
        <w:rPr>
          <w:color w:val="auto"/>
          <w:sz w:val="24"/>
          <w:szCs w:val="24"/>
          <w:highlight w:val="none"/>
        </w:rPr>
        <w:t>．</w:t>
      </w:r>
      <w:r>
        <w:rPr>
          <w:rFonts w:hAnsi="宋体"/>
          <w:color w:val="auto"/>
          <w:sz w:val="24"/>
          <w:szCs w:val="24"/>
          <w:highlight w:val="none"/>
        </w:rPr>
        <w:t>至投标截止时间，如投标人不足三家，</w:t>
      </w:r>
      <w:r>
        <w:rPr>
          <w:rFonts w:hint="eastAsia" w:hAnsi="宋体"/>
          <w:color w:val="auto"/>
          <w:sz w:val="24"/>
          <w:szCs w:val="24"/>
          <w:highlight w:val="none"/>
        </w:rPr>
        <w:t>或经评审有效标不足三家，</w:t>
      </w:r>
      <w:r>
        <w:rPr>
          <w:rFonts w:hAnsi="宋体"/>
          <w:color w:val="auto"/>
          <w:sz w:val="24"/>
          <w:szCs w:val="24"/>
          <w:highlight w:val="none"/>
        </w:rPr>
        <w:t>则</w:t>
      </w:r>
      <w:r>
        <w:rPr>
          <w:rFonts w:hint="eastAsia" w:hAnsi="宋体"/>
          <w:color w:val="auto"/>
          <w:sz w:val="24"/>
          <w:szCs w:val="24"/>
          <w:highlight w:val="none"/>
        </w:rPr>
        <w:t>招标程序依法终止，</w:t>
      </w:r>
      <w:r>
        <w:rPr>
          <w:rFonts w:hAnsi="宋体"/>
          <w:color w:val="auto"/>
          <w:sz w:val="24"/>
          <w:szCs w:val="24"/>
          <w:highlight w:val="none"/>
        </w:rPr>
        <w:t>重新</w:t>
      </w:r>
      <w:r>
        <w:rPr>
          <w:rFonts w:hint="eastAsia" w:hAnsi="宋体"/>
          <w:color w:val="auto"/>
          <w:sz w:val="24"/>
          <w:szCs w:val="24"/>
          <w:highlight w:val="none"/>
        </w:rPr>
        <w:t>组织采购活动</w:t>
      </w:r>
      <w:r>
        <w:rPr>
          <w:rFonts w:hAnsi="宋体"/>
          <w:color w:val="auto"/>
          <w:sz w:val="24"/>
          <w:szCs w:val="24"/>
          <w:highlight w:val="none"/>
        </w:rPr>
        <w:t>。</w:t>
      </w:r>
    </w:p>
    <w:p w14:paraId="063295CB">
      <w:pPr>
        <w:jc w:val="center"/>
        <w:outlineLvl w:val="1"/>
        <w:rPr>
          <w:rFonts w:hint="default" w:eastAsia="宋体"/>
          <w:b/>
          <w:color w:val="auto"/>
          <w:sz w:val="24"/>
          <w:szCs w:val="24"/>
          <w:highlight w:val="none"/>
          <w:lang w:val="en-US" w:eastAsia="zh-CN"/>
        </w:rPr>
      </w:pPr>
      <w:r>
        <w:rPr>
          <w:rFonts w:hint="eastAsia" w:ascii="宋体"/>
          <w:b/>
          <w:color w:val="auto"/>
          <w:sz w:val="30"/>
          <w:szCs w:val="30"/>
          <w:highlight w:val="none"/>
        </w:rPr>
        <w:t>评分标准（评委打分表）</w:t>
      </w:r>
    </w:p>
    <w:tbl>
      <w:tblPr>
        <w:tblStyle w:val="33"/>
        <w:tblW w:w="9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266"/>
        <w:gridCol w:w="5201"/>
        <w:gridCol w:w="1074"/>
        <w:gridCol w:w="1058"/>
      </w:tblGrid>
      <w:tr w14:paraId="387E5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39" w:type="dxa"/>
            <w:vMerge w:val="restart"/>
          </w:tcPr>
          <w:p w14:paraId="3DA6D596">
            <w:pPr>
              <w:rPr>
                <w:rFonts w:hint="eastAsia"/>
                <w:sz w:val="21"/>
                <w:szCs w:val="21"/>
                <w:vertAlign w:val="baseline"/>
                <w:lang w:val="en-US" w:eastAsia="zh-CN"/>
              </w:rPr>
            </w:pPr>
          </w:p>
          <w:p w14:paraId="19C2E76D">
            <w:pPr>
              <w:rPr>
                <w:rFonts w:hint="eastAsia"/>
                <w:sz w:val="21"/>
                <w:szCs w:val="21"/>
                <w:vertAlign w:val="baseline"/>
                <w:lang w:val="en-US" w:eastAsia="zh-CN"/>
              </w:rPr>
            </w:pPr>
          </w:p>
          <w:p w14:paraId="4D21211F">
            <w:pPr>
              <w:rPr>
                <w:rFonts w:hint="eastAsia"/>
                <w:sz w:val="21"/>
                <w:szCs w:val="21"/>
                <w:vertAlign w:val="baseline"/>
                <w:lang w:val="en-US" w:eastAsia="zh-CN"/>
              </w:rPr>
            </w:pPr>
          </w:p>
          <w:p w14:paraId="4D1E08CD">
            <w:pPr>
              <w:rPr>
                <w:rFonts w:hint="eastAsia"/>
                <w:sz w:val="21"/>
                <w:szCs w:val="21"/>
                <w:vertAlign w:val="baseline"/>
                <w:lang w:val="en-US" w:eastAsia="zh-CN"/>
              </w:rPr>
            </w:pPr>
          </w:p>
          <w:p w14:paraId="02CDFBFE">
            <w:pPr>
              <w:rPr>
                <w:rFonts w:hint="eastAsia"/>
                <w:sz w:val="21"/>
                <w:szCs w:val="21"/>
                <w:vertAlign w:val="baseline"/>
                <w:lang w:val="en-US" w:eastAsia="zh-CN"/>
              </w:rPr>
            </w:pPr>
          </w:p>
          <w:p w14:paraId="698F92BC">
            <w:pPr>
              <w:rPr>
                <w:rFonts w:hint="eastAsia"/>
                <w:sz w:val="21"/>
                <w:szCs w:val="21"/>
                <w:vertAlign w:val="baseline"/>
                <w:lang w:val="en-US" w:eastAsia="zh-CN"/>
              </w:rPr>
            </w:pPr>
          </w:p>
          <w:p w14:paraId="322C5ACE">
            <w:pPr>
              <w:rPr>
                <w:rFonts w:hint="eastAsia"/>
                <w:sz w:val="21"/>
                <w:szCs w:val="21"/>
                <w:vertAlign w:val="baseline"/>
                <w:lang w:val="en-US" w:eastAsia="zh-CN"/>
              </w:rPr>
            </w:pPr>
          </w:p>
          <w:p w14:paraId="18245BB8">
            <w:pPr>
              <w:rPr>
                <w:rFonts w:hint="eastAsia"/>
                <w:sz w:val="21"/>
                <w:szCs w:val="21"/>
                <w:vertAlign w:val="baseline"/>
                <w:lang w:val="en-US" w:eastAsia="zh-CN"/>
              </w:rPr>
            </w:pPr>
          </w:p>
          <w:p w14:paraId="188FD01F">
            <w:pPr>
              <w:rPr>
                <w:rFonts w:hint="eastAsia"/>
                <w:sz w:val="21"/>
                <w:szCs w:val="21"/>
                <w:vertAlign w:val="baseline"/>
                <w:lang w:val="en-US" w:eastAsia="zh-CN"/>
              </w:rPr>
            </w:pPr>
          </w:p>
          <w:p w14:paraId="1982483C">
            <w:pPr>
              <w:rPr>
                <w:rFonts w:hint="eastAsia"/>
                <w:sz w:val="21"/>
                <w:szCs w:val="21"/>
                <w:vertAlign w:val="baseline"/>
                <w:lang w:val="en-US" w:eastAsia="zh-CN"/>
              </w:rPr>
            </w:pPr>
          </w:p>
          <w:p w14:paraId="0AAF62F8">
            <w:pPr>
              <w:rPr>
                <w:rFonts w:hint="eastAsia"/>
                <w:sz w:val="21"/>
                <w:szCs w:val="21"/>
                <w:vertAlign w:val="baseline"/>
                <w:lang w:val="en-US" w:eastAsia="zh-CN"/>
              </w:rPr>
            </w:pPr>
          </w:p>
          <w:p w14:paraId="5296065F">
            <w:pPr>
              <w:rPr>
                <w:rFonts w:hint="eastAsia"/>
                <w:sz w:val="21"/>
                <w:szCs w:val="21"/>
                <w:vertAlign w:val="baseline"/>
                <w:lang w:val="en-US" w:eastAsia="zh-CN"/>
              </w:rPr>
            </w:pPr>
          </w:p>
          <w:p w14:paraId="312C2722">
            <w:pPr>
              <w:rPr>
                <w:rFonts w:hint="eastAsia"/>
                <w:sz w:val="21"/>
                <w:szCs w:val="21"/>
                <w:vertAlign w:val="baseline"/>
                <w:lang w:val="en-US" w:eastAsia="zh-CN"/>
              </w:rPr>
            </w:pPr>
          </w:p>
          <w:p w14:paraId="5B96944B">
            <w:pPr>
              <w:rPr>
                <w:rFonts w:hint="eastAsia"/>
                <w:sz w:val="21"/>
                <w:szCs w:val="21"/>
                <w:vertAlign w:val="baseline"/>
                <w:lang w:val="en-US" w:eastAsia="zh-CN"/>
              </w:rPr>
            </w:pPr>
          </w:p>
          <w:p w14:paraId="23358629">
            <w:pPr>
              <w:rPr>
                <w:rFonts w:hint="eastAsia"/>
                <w:sz w:val="21"/>
                <w:szCs w:val="21"/>
                <w:vertAlign w:val="baseline"/>
                <w:lang w:val="en-US" w:eastAsia="zh-CN"/>
              </w:rPr>
            </w:pPr>
          </w:p>
          <w:p w14:paraId="263B4570">
            <w:pPr>
              <w:rPr>
                <w:rFonts w:hint="eastAsia"/>
                <w:sz w:val="21"/>
                <w:szCs w:val="21"/>
                <w:vertAlign w:val="baseline"/>
                <w:lang w:val="en-US" w:eastAsia="zh-CN"/>
              </w:rPr>
            </w:pPr>
          </w:p>
          <w:p w14:paraId="028B2680">
            <w:pPr>
              <w:rPr>
                <w:rFonts w:hint="eastAsia"/>
                <w:sz w:val="21"/>
                <w:szCs w:val="21"/>
                <w:vertAlign w:val="baseline"/>
                <w:lang w:val="en-US" w:eastAsia="zh-CN"/>
              </w:rPr>
            </w:pPr>
          </w:p>
          <w:p w14:paraId="72C479E6">
            <w:pPr>
              <w:rPr>
                <w:rFonts w:hint="eastAsia"/>
                <w:sz w:val="21"/>
                <w:szCs w:val="21"/>
                <w:vertAlign w:val="baseline"/>
                <w:lang w:val="en-US" w:eastAsia="zh-CN"/>
              </w:rPr>
            </w:pPr>
          </w:p>
          <w:p w14:paraId="695B8E73">
            <w:pPr>
              <w:rPr>
                <w:rFonts w:hint="eastAsia"/>
                <w:sz w:val="21"/>
                <w:szCs w:val="21"/>
                <w:vertAlign w:val="baseline"/>
                <w:lang w:val="en-US" w:eastAsia="zh-CN"/>
              </w:rPr>
            </w:pPr>
          </w:p>
          <w:p w14:paraId="14A05981">
            <w:pPr>
              <w:rPr>
                <w:rFonts w:hint="eastAsia"/>
                <w:sz w:val="21"/>
                <w:szCs w:val="21"/>
                <w:vertAlign w:val="baseline"/>
                <w:lang w:val="en-US" w:eastAsia="zh-CN"/>
              </w:rPr>
            </w:pPr>
          </w:p>
          <w:p w14:paraId="64171E7D">
            <w:pPr>
              <w:rPr>
                <w:rFonts w:hint="eastAsia"/>
                <w:sz w:val="21"/>
                <w:szCs w:val="21"/>
                <w:vertAlign w:val="baseline"/>
                <w:lang w:val="en-US" w:eastAsia="zh-CN"/>
              </w:rPr>
            </w:pPr>
          </w:p>
          <w:p w14:paraId="775351CC">
            <w:pPr>
              <w:rPr>
                <w:rFonts w:hint="eastAsia"/>
                <w:sz w:val="21"/>
                <w:szCs w:val="21"/>
                <w:vertAlign w:val="baseline"/>
                <w:lang w:val="en-US" w:eastAsia="zh-CN"/>
              </w:rPr>
            </w:pPr>
          </w:p>
          <w:p w14:paraId="6364A984">
            <w:pPr>
              <w:rPr>
                <w:rFonts w:hint="eastAsia"/>
                <w:sz w:val="21"/>
                <w:szCs w:val="21"/>
                <w:vertAlign w:val="baseline"/>
                <w:lang w:val="en-US" w:eastAsia="zh-CN"/>
              </w:rPr>
            </w:pPr>
          </w:p>
          <w:p w14:paraId="7B219DED">
            <w:pPr>
              <w:rPr>
                <w:rFonts w:hint="eastAsia"/>
                <w:sz w:val="21"/>
                <w:szCs w:val="21"/>
                <w:vertAlign w:val="baseline"/>
                <w:lang w:val="en-US" w:eastAsia="zh-CN"/>
              </w:rPr>
            </w:pPr>
          </w:p>
          <w:p w14:paraId="0B6BCE25">
            <w:pPr>
              <w:rPr>
                <w:rFonts w:hint="eastAsia"/>
                <w:sz w:val="21"/>
                <w:szCs w:val="21"/>
                <w:vertAlign w:val="baseline"/>
                <w:lang w:val="en-US" w:eastAsia="zh-CN"/>
              </w:rPr>
            </w:pPr>
          </w:p>
          <w:p w14:paraId="1CFAD613">
            <w:pPr>
              <w:rPr>
                <w:rFonts w:hint="eastAsia"/>
                <w:sz w:val="21"/>
                <w:szCs w:val="21"/>
                <w:vertAlign w:val="baseline"/>
                <w:lang w:val="en-US" w:eastAsia="zh-CN"/>
              </w:rPr>
            </w:pPr>
          </w:p>
          <w:p w14:paraId="109BB759">
            <w:pPr>
              <w:rPr>
                <w:rFonts w:hint="default" w:eastAsia="宋体"/>
                <w:sz w:val="21"/>
                <w:szCs w:val="21"/>
                <w:vertAlign w:val="baseline"/>
                <w:lang w:val="en-US" w:eastAsia="zh-CN"/>
              </w:rPr>
            </w:pPr>
            <w:r>
              <w:rPr>
                <w:rFonts w:hint="eastAsia" w:ascii="宋体" w:hAnsi="宋体" w:eastAsia="宋体" w:cs="宋体"/>
                <w:b/>
                <w:bCs w:val="0"/>
                <w:color w:val="auto"/>
                <w:sz w:val="21"/>
                <w:szCs w:val="21"/>
                <w:highlight w:val="none"/>
                <w:u w:val="none"/>
                <w:lang w:val="en-US" w:eastAsia="zh-CN"/>
              </w:rPr>
              <w:t>技术商务分（85分）</w:t>
            </w:r>
          </w:p>
        </w:tc>
        <w:tc>
          <w:tcPr>
            <w:tcW w:w="1266" w:type="dxa"/>
            <w:vAlign w:val="center"/>
          </w:tcPr>
          <w:p w14:paraId="5489B09B">
            <w:pPr>
              <w:jc w:val="center"/>
              <w:rPr>
                <w:rFonts w:hint="default" w:eastAsia="宋体"/>
                <w:sz w:val="21"/>
                <w:szCs w:val="21"/>
                <w:vertAlign w:val="baseline"/>
                <w:lang w:val="en-US" w:eastAsia="zh-CN"/>
              </w:rPr>
            </w:pPr>
            <w:r>
              <w:rPr>
                <w:rFonts w:hint="eastAsia"/>
                <w:sz w:val="21"/>
                <w:szCs w:val="21"/>
                <w:vertAlign w:val="baseline"/>
                <w:lang w:val="en-US" w:eastAsia="zh-CN"/>
              </w:rPr>
              <w:t>评审内容</w:t>
            </w:r>
          </w:p>
        </w:tc>
        <w:tc>
          <w:tcPr>
            <w:tcW w:w="5201" w:type="dxa"/>
            <w:vAlign w:val="center"/>
          </w:tcPr>
          <w:p w14:paraId="0AE88776">
            <w:pPr>
              <w:jc w:val="center"/>
              <w:rPr>
                <w:rFonts w:hint="default" w:eastAsia="宋体"/>
                <w:sz w:val="21"/>
                <w:szCs w:val="21"/>
                <w:vertAlign w:val="baseline"/>
                <w:lang w:val="en-US" w:eastAsia="zh-CN"/>
              </w:rPr>
            </w:pPr>
            <w:r>
              <w:rPr>
                <w:rFonts w:hint="eastAsia"/>
                <w:sz w:val="21"/>
                <w:szCs w:val="21"/>
                <w:vertAlign w:val="baseline"/>
                <w:lang w:val="en-US" w:eastAsia="zh-CN"/>
              </w:rPr>
              <w:t>评审标准</w:t>
            </w:r>
          </w:p>
        </w:tc>
        <w:tc>
          <w:tcPr>
            <w:tcW w:w="1074" w:type="dxa"/>
            <w:vAlign w:val="center"/>
          </w:tcPr>
          <w:p w14:paraId="622A0850">
            <w:pPr>
              <w:jc w:val="center"/>
              <w:rPr>
                <w:rFonts w:hint="default" w:eastAsia="宋体"/>
                <w:sz w:val="21"/>
                <w:szCs w:val="21"/>
                <w:vertAlign w:val="baseline"/>
                <w:lang w:val="en-US" w:eastAsia="zh-CN"/>
              </w:rPr>
            </w:pPr>
            <w:r>
              <w:rPr>
                <w:rFonts w:hint="eastAsia"/>
                <w:sz w:val="21"/>
                <w:szCs w:val="21"/>
                <w:vertAlign w:val="baseline"/>
                <w:lang w:val="en-US" w:eastAsia="zh-CN"/>
              </w:rPr>
              <w:t>分值</w:t>
            </w:r>
          </w:p>
        </w:tc>
        <w:tc>
          <w:tcPr>
            <w:tcW w:w="1058" w:type="dxa"/>
            <w:vAlign w:val="center"/>
          </w:tcPr>
          <w:p w14:paraId="129B3AF2">
            <w:pPr>
              <w:jc w:val="center"/>
              <w:rPr>
                <w:rFonts w:hint="default" w:eastAsia="宋体"/>
                <w:sz w:val="21"/>
                <w:szCs w:val="21"/>
                <w:vertAlign w:val="baseline"/>
                <w:lang w:val="en-US" w:eastAsia="zh-CN"/>
              </w:rPr>
            </w:pPr>
            <w:r>
              <w:rPr>
                <w:rFonts w:hint="eastAsia"/>
                <w:sz w:val="21"/>
                <w:szCs w:val="21"/>
                <w:vertAlign w:val="baseline"/>
                <w:lang w:val="en-US" w:eastAsia="zh-CN"/>
              </w:rPr>
              <w:t>评审类别</w:t>
            </w:r>
          </w:p>
        </w:tc>
      </w:tr>
      <w:tr w14:paraId="7D41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639" w:type="dxa"/>
            <w:vMerge w:val="continue"/>
          </w:tcPr>
          <w:p w14:paraId="0D2D92F3">
            <w:pPr>
              <w:rPr>
                <w:sz w:val="21"/>
                <w:szCs w:val="21"/>
                <w:vertAlign w:val="baseline"/>
              </w:rPr>
            </w:pPr>
          </w:p>
        </w:tc>
        <w:tc>
          <w:tcPr>
            <w:tcW w:w="1266" w:type="dxa"/>
            <w:vAlign w:val="center"/>
          </w:tcPr>
          <w:p w14:paraId="6527F9AC">
            <w:pPr>
              <w:rPr>
                <w:rFonts w:hint="eastAsia" w:eastAsia="宋体"/>
                <w:sz w:val="21"/>
                <w:szCs w:val="21"/>
                <w:vertAlign w:val="baseline"/>
                <w:lang w:eastAsia="zh-CN"/>
              </w:rPr>
            </w:pPr>
            <w:r>
              <w:rPr>
                <w:rFonts w:hint="eastAsia" w:ascii="宋体" w:hAnsi="宋体" w:eastAsia="宋体" w:cs="宋体"/>
                <w:b/>
                <w:bCs/>
                <w:color w:val="auto"/>
                <w:kern w:val="0"/>
                <w:sz w:val="21"/>
                <w:szCs w:val="21"/>
                <w:highlight w:val="none"/>
              </w:rPr>
              <w:t>整体规划</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8分</w:t>
            </w:r>
            <w:r>
              <w:rPr>
                <w:rFonts w:hint="eastAsia" w:ascii="宋体" w:hAnsi="宋体" w:cs="宋体"/>
                <w:b/>
                <w:bCs/>
                <w:color w:val="auto"/>
                <w:kern w:val="0"/>
                <w:sz w:val="21"/>
                <w:szCs w:val="21"/>
                <w:highlight w:val="none"/>
                <w:lang w:eastAsia="zh-CN"/>
              </w:rPr>
              <w:t>）</w:t>
            </w:r>
          </w:p>
        </w:tc>
        <w:tc>
          <w:tcPr>
            <w:tcW w:w="5201" w:type="dxa"/>
          </w:tcPr>
          <w:p w14:paraId="1FF0AFC0">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w:t>
            </w:r>
            <w:r>
              <w:rPr>
                <w:rFonts w:hint="eastAsia" w:ascii="宋体" w:hAnsi="宋体" w:eastAsia="宋体" w:cs="宋体"/>
                <w:color w:val="auto"/>
                <w:kern w:val="0"/>
                <w:sz w:val="21"/>
                <w:szCs w:val="21"/>
                <w:highlight w:val="none"/>
              </w:rPr>
              <w:t>标委员会根据投标人运营目标及定位理解、服务需求理解、合理的功能分区规划进行评议。</w:t>
            </w:r>
          </w:p>
          <w:p w14:paraId="3FE77D8C">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根据投标人运营目标及定位理解、服务需求理解、合理的功能分区规划分析全面合理，针对性强的得</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分；</w:t>
            </w:r>
          </w:p>
          <w:p w14:paraId="67F82F5F">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根据投标人运营目标及定位理解、服务需求理解、合理的功能分区规划分析相对到位，但针对性不强的得</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w:t>
            </w:r>
          </w:p>
          <w:p w14:paraId="259309D8">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根据投标人运营目标及定位理解、服务需求理解、合理的功能分区规划分析不到位的得</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分；</w:t>
            </w:r>
          </w:p>
          <w:p w14:paraId="6C772C36">
            <w:pPr>
              <w:keepNext w:val="0"/>
              <w:keepLines w:val="0"/>
              <w:pageBreakBefore w:val="0"/>
              <w:widowControl w:val="0"/>
              <w:kinsoku/>
              <w:wordWrap/>
              <w:overflowPunct/>
              <w:topLinePunct w:val="0"/>
              <w:bidi w:val="0"/>
              <w:adjustRightInd w:val="0"/>
              <w:spacing w:line="300" w:lineRule="exact"/>
              <w:textAlignment w:val="auto"/>
              <w:rPr>
                <w:sz w:val="21"/>
                <w:szCs w:val="21"/>
                <w:vertAlign w:val="baseli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01AD6CC4">
            <w:pPr>
              <w:jc w:val="center"/>
              <w:rPr>
                <w:rFonts w:hint="default" w:eastAsia="宋体"/>
                <w:sz w:val="21"/>
                <w:szCs w:val="21"/>
                <w:vertAlign w:val="baseline"/>
                <w:lang w:val="en-US" w:eastAsia="zh-CN"/>
              </w:rPr>
            </w:pPr>
            <w:r>
              <w:rPr>
                <w:rFonts w:hint="eastAsia"/>
                <w:sz w:val="21"/>
                <w:szCs w:val="21"/>
                <w:vertAlign w:val="baseline"/>
                <w:lang w:val="en-US" w:eastAsia="zh-CN"/>
              </w:rPr>
              <w:t>8</w:t>
            </w:r>
          </w:p>
        </w:tc>
        <w:tc>
          <w:tcPr>
            <w:tcW w:w="1058" w:type="dxa"/>
            <w:vAlign w:val="center"/>
          </w:tcPr>
          <w:p w14:paraId="12AEF59E">
            <w:pPr>
              <w:jc w:val="center"/>
              <w:rPr>
                <w:rFonts w:hint="default" w:eastAsia="宋体"/>
                <w:sz w:val="21"/>
                <w:szCs w:val="21"/>
                <w:vertAlign w:val="baseline"/>
                <w:lang w:val="en-US" w:eastAsia="zh-CN"/>
              </w:rPr>
            </w:pPr>
            <w:r>
              <w:rPr>
                <w:rFonts w:hint="eastAsia"/>
                <w:sz w:val="21"/>
                <w:szCs w:val="21"/>
                <w:vertAlign w:val="baseline"/>
                <w:lang w:val="en-US" w:eastAsia="zh-CN"/>
              </w:rPr>
              <w:t>主观分</w:t>
            </w:r>
          </w:p>
        </w:tc>
      </w:tr>
      <w:tr w14:paraId="650A1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9" w:type="dxa"/>
            <w:vMerge w:val="continue"/>
          </w:tcPr>
          <w:p w14:paraId="38CA01DC">
            <w:pPr>
              <w:rPr>
                <w:sz w:val="21"/>
                <w:szCs w:val="21"/>
                <w:vertAlign w:val="baseline"/>
              </w:rPr>
            </w:pPr>
          </w:p>
        </w:tc>
        <w:tc>
          <w:tcPr>
            <w:tcW w:w="1266" w:type="dxa"/>
            <w:vAlign w:val="center"/>
          </w:tcPr>
          <w:p w14:paraId="61D01768">
            <w:pPr>
              <w:autoSpaceDE w:val="0"/>
              <w:autoSpaceDN w:val="0"/>
              <w:adjustRightInd w:val="0"/>
              <w:snapToGrid w:val="0"/>
              <w:spacing w:line="36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场景运营落实方案</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7</w:t>
            </w:r>
            <w:r>
              <w:rPr>
                <w:rFonts w:hint="eastAsia" w:ascii="宋体" w:hAnsi="宋体" w:eastAsia="宋体" w:cs="宋体"/>
                <w:b/>
                <w:bCs/>
                <w:color w:val="auto"/>
                <w:sz w:val="21"/>
                <w:szCs w:val="21"/>
                <w:highlight w:val="none"/>
              </w:rPr>
              <w:t>分）</w:t>
            </w:r>
          </w:p>
          <w:p w14:paraId="6794D4DC">
            <w:pPr>
              <w:rPr>
                <w:rFonts w:hint="eastAsia" w:ascii="宋体" w:hAnsi="宋体" w:eastAsia="宋体" w:cs="宋体"/>
                <w:b/>
                <w:bCs/>
                <w:color w:val="auto"/>
                <w:kern w:val="0"/>
                <w:sz w:val="21"/>
                <w:szCs w:val="21"/>
                <w:highlight w:val="none"/>
              </w:rPr>
            </w:pPr>
          </w:p>
        </w:tc>
        <w:tc>
          <w:tcPr>
            <w:tcW w:w="5201" w:type="dxa"/>
          </w:tcPr>
          <w:p w14:paraId="13B45E8D">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场景运营落实方案</w:t>
            </w:r>
            <w:r>
              <w:rPr>
                <w:rFonts w:hint="eastAsia" w:ascii="宋体" w:hAnsi="宋体" w:eastAsia="宋体" w:cs="宋体"/>
                <w:color w:val="auto"/>
                <w:sz w:val="21"/>
                <w:szCs w:val="21"/>
                <w:highlight w:val="none"/>
              </w:rPr>
              <w:t>，从</w:t>
            </w:r>
            <w:r>
              <w:rPr>
                <w:rFonts w:hint="eastAsia" w:ascii="宋体" w:hAnsi="宋体" w:eastAsia="宋体" w:cs="宋体"/>
                <w:bCs/>
                <w:color w:val="auto"/>
                <w:sz w:val="21"/>
                <w:szCs w:val="21"/>
                <w:highlight w:val="none"/>
              </w:rPr>
              <w:t>符合场景落实标准</w:t>
            </w:r>
            <w:r>
              <w:rPr>
                <w:rFonts w:hint="eastAsia" w:ascii="宋体" w:hAnsi="宋体" w:eastAsia="宋体" w:cs="宋体"/>
                <w:color w:val="auto"/>
                <w:sz w:val="21"/>
                <w:szCs w:val="21"/>
                <w:highlight w:val="none"/>
              </w:rPr>
              <w:t>、可行性、完整性</w:t>
            </w:r>
            <w:r>
              <w:rPr>
                <w:rFonts w:hint="eastAsia" w:ascii="宋体" w:hAnsi="宋体" w:eastAsia="宋体" w:cs="宋体"/>
                <w:color w:val="auto"/>
                <w:sz w:val="21"/>
                <w:szCs w:val="21"/>
                <w:highlight w:val="none"/>
                <w:lang w:eastAsia="zh-CN"/>
              </w:rPr>
              <w:t>、创意性、创新性</w:t>
            </w:r>
            <w:r>
              <w:rPr>
                <w:rFonts w:hint="eastAsia" w:ascii="宋体" w:hAnsi="宋体" w:eastAsia="宋体" w:cs="宋体"/>
                <w:color w:val="auto"/>
                <w:sz w:val="21"/>
                <w:szCs w:val="21"/>
                <w:highlight w:val="none"/>
              </w:rPr>
              <w:t>进行评议。</w:t>
            </w:r>
          </w:p>
          <w:p w14:paraId="61C917CA">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根据投标人针对本项目的场景运营落实方案，符合场景落实标准、可行性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新颖</w:t>
            </w:r>
            <w:r>
              <w:rPr>
                <w:rFonts w:hint="eastAsia" w:ascii="宋体" w:hAnsi="宋体" w:eastAsia="宋体" w:cs="宋体"/>
                <w:color w:val="auto"/>
                <w:kern w:val="0"/>
                <w:sz w:val="21"/>
                <w:szCs w:val="21"/>
                <w:highlight w:val="none"/>
              </w:rPr>
              <w:t>、创新性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5-7</w:t>
            </w:r>
            <w:r>
              <w:rPr>
                <w:rFonts w:hint="eastAsia" w:ascii="宋体" w:hAnsi="宋体" w:eastAsia="宋体" w:cs="宋体"/>
                <w:color w:val="auto"/>
                <w:kern w:val="0"/>
                <w:sz w:val="21"/>
                <w:szCs w:val="21"/>
                <w:highlight w:val="none"/>
              </w:rPr>
              <w:t>分；</w:t>
            </w:r>
          </w:p>
          <w:p w14:paraId="57DB0C8F">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根据投标人针对本项目的场景运营落实方案，符合场景落实</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标准、可行性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新颖、创新性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强的得</w:t>
            </w: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分；</w:t>
            </w:r>
          </w:p>
          <w:p w14:paraId="77523745">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根据投标人针对本项目的场景运营落实方案，符合场景、可行性</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可行</w:t>
            </w:r>
            <w:r>
              <w:rPr>
                <w:rFonts w:hint="eastAsia" w:ascii="宋体" w:hAnsi="宋体" w:eastAsia="宋体" w:cs="宋体"/>
                <w:color w:val="auto"/>
                <w:kern w:val="0"/>
                <w:sz w:val="21"/>
                <w:szCs w:val="21"/>
                <w:highlight w:val="none"/>
              </w:rPr>
              <w:t>、创意创新</w:t>
            </w:r>
            <w:r>
              <w:rPr>
                <w:rFonts w:hint="eastAsia" w:ascii="宋体" w:hAnsi="宋体" w:eastAsia="宋体" w:cs="宋体"/>
                <w:color w:val="auto"/>
                <w:kern w:val="0"/>
                <w:sz w:val="21"/>
                <w:szCs w:val="21"/>
                <w:highlight w:val="none"/>
                <w:lang w:val="en-US" w:eastAsia="zh-CN"/>
              </w:rPr>
              <w:t>性不强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6408A37A">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71D548D9">
            <w:pPr>
              <w:jc w:val="center"/>
              <w:rPr>
                <w:rFonts w:hint="default"/>
                <w:sz w:val="21"/>
                <w:szCs w:val="21"/>
                <w:vertAlign w:val="baseline"/>
                <w:lang w:val="en-US" w:eastAsia="zh-CN"/>
              </w:rPr>
            </w:pPr>
            <w:r>
              <w:rPr>
                <w:rFonts w:hint="eastAsia"/>
                <w:sz w:val="21"/>
                <w:szCs w:val="21"/>
                <w:vertAlign w:val="baseline"/>
                <w:lang w:val="en-US" w:eastAsia="zh-CN"/>
              </w:rPr>
              <w:t>7</w:t>
            </w:r>
          </w:p>
        </w:tc>
        <w:tc>
          <w:tcPr>
            <w:tcW w:w="1058" w:type="dxa"/>
            <w:vAlign w:val="center"/>
          </w:tcPr>
          <w:p w14:paraId="046D681B">
            <w:pPr>
              <w:jc w:val="center"/>
              <w:rPr>
                <w:rFonts w:hint="eastAsia"/>
                <w:sz w:val="21"/>
                <w:szCs w:val="21"/>
                <w:vertAlign w:val="baseline"/>
                <w:lang w:val="en-US" w:eastAsia="zh-CN"/>
              </w:rPr>
            </w:pPr>
            <w:r>
              <w:rPr>
                <w:rFonts w:hint="eastAsia"/>
                <w:sz w:val="21"/>
                <w:szCs w:val="21"/>
                <w:vertAlign w:val="baseline"/>
                <w:lang w:val="en-US" w:eastAsia="zh-CN"/>
              </w:rPr>
              <w:t>主观分</w:t>
            </w:r>
          </w:p>
        </w:tc>
      </w:tr>
      <w:tr w14:paraId="345D7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9" w:type="dxa"/>
            <w:vMerge w:val="continue"/>
          </w:tcPr>
          <w:p w14:paraId="684C818C">
            <w:pPr>
              <w:rPr>
                <w:sz w:val="21"/>
                <w:szCs w:val="21"/>
                <w:vertAlign w:val="baseline"/>
              </w:rPr>
            </w:pPr>
          </w:p>
        </w:tc>
        <w:tc>
          <w:tcPr>
            <w:tcW w:w="1266" w:type="dxa"/>
            <w:vMerge w:val="restart"/>
            <w:vAlign w:val="center"/>
          </w:tcPr>
          <w:p w14:paraId="4EBF0928">
            <w:pPr>
              <w:rPr>
                <w:sz w:val="21"/>
                <w:szCs w:val="21"/>
                <w:vertAlign w:val="baseline"/>
              </w:rPr>
            </w:pPr>
            <w:r>
              <w:rPr>
                <w:rFonts w:hint="eastAsia" w:ascii="宋体" w:hAnsi="宋体" w:eastAsia="宋体" w:cs="宋体"/>
                <w:b/>
                <w:bCs w:val="0"/>
                <w:color w:val="auto"/>
                <w:sz w:val="21"/>
                <w:szCs w:val="21"/>
                <w:highlight w:val="none"/>
                <w:u w:val="none"/>
              </w:rPr>
              <w:t>投标人根据本项目经营管理及品牌推广</w:t>
            </w:r>
            <w:r>
              <w:rPr>
                <w:rFonts w:hint="eastAsia" w:ascii="宋体" w:hAnsi="宋体" w:cs="宋体"/>
                <w:b/>
                <w:bCs w:val="0"/>
                <w:color w:val="auto"/>
                <w:sz w:val="21"/>
                <w:szCs w:val="21"/>
                <w:highlight w:val="none"/>
                <w:u w:val="none"/>
                <w:lang w:val="en-US" w:eastAsia="zh-CN"/>
              </w:rPr>
              <w:t>方案（20分）</w:t>
            </w:r>
          </w:p>
        </w:tc>
        <w:tc>
          <w:tcPr>
            <w:tcW w:w="5201" w:type="dxa"/>
          </w:tcPr>
          <w:p w14:paraId="71FDAD92">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kern w:val="0"/>
                <w:sz w:val="21"/>
                <w:szCs w:val="21"/>
                <w:highlight w:val="none"/>
              </w:rPr>
              <w:t>根据本项目场景运营方案</w:t>
            </w:r>
            <w:r>
              <w:rPr>
                <w:rFonts w:hint="eastAsia" w:ascii="宋体" w:hAnsi="宋体" w:eastAsia="宋体" w:cs="宋体"/>
                <w:b w:val="0"/>
                <w:bCs w:val="0"/>
                <w:color w:val="auto"/>
                <w:sz w:val="21"/>
                <w:szCs w:val="21"/>
                <w:highlight w:val="none"/>
                <w:lang w:val="en-US" w:eastAsia="zh-CN"/>
              </w:rPr>
              <w:t>进行评议</w:t>
            </w:r>
            <w:r>
              <w:rPr>
                <w:rFonts w:hint="eastAsia" w:ascii="宋体" w:hAnsi="宋体" w:eastAsia="宋体" w:cs="宋体"/>
                <w:bCs/>
                <w:color w:val="auto"/>
                <w:kern w:val="0"/>
                <w:sz w:val="21"/>
                <w:szCs w:val="21"/>
                <w:highlight w:val="none"/>
              </w:rPr>
              <w:t>。</w:t>
            </w:r>
          </w:p>
          <w:p w14:paraId="3241CD0F">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根据本项目场景运营方案思路清晰、科学合理、方案完整的得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0F48C09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根据本项目场景运营方案思路</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清晰、</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科学合理、方案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完整的的得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4DAF655D">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根据本项目场景运营方案思路</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完整的得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6422E30E">
            <w:pPr>
              <w:keepNext w:val="0"/>
              <w:keepLines w:val="0"/>
              <w:pageBreakBefore w:val="0"/>
              <w:widowControl w:val="0"/>
              <w:kinsoku/>
              <w:wordWrap/>
              <w:overflowPunct/>
              <w:topLinePunct w:val="0"/>
              <w:bidi w:val="0"/>
              <w:adjustRightInd w:val="0"/>
              <w:spacing w:line="300" w:lineRule="exact"/>
              <w:textAlignment w:val="auto"/>
              <w:rPr>
                <w:sz w:val="21"/>
                <w:szCs w:val="21"/>
                <w:vertAlign w:val="baseli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724F319A">
            <w:pPr>
              <w:jc w:val="center"/>
              <w:rPr>
                <w:rFonts w:hint="default" w:eastAsia="宋体"/>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1608A57E">
            <w:pPr>
              <w:jc w:val="center"/>
              <w:rPr>
                <w:sz w:val="21"/>
                <w:szCs w:val="21"/>
                <w:vertAlign w:val="baseline"/>
              </w:rPr>
            </w:pPr>
            <w:r>
              <w:rPr>
                <w:rFonts w:hint="eastAsia"/>
                <w:sz w:val="21"/>
                <w:szCs w:val="21"/>
                <w:vertAlign w:val="baseline"/>
                <w:lang w:val="en-US" w:eastAsia="zh-CN"/>
              </w:rPr>
              <w:t>主观分</w:t>
            </w:r>
          </w:p>
        </w:tc>
      </w:tr>
      <w:tr w14:paraId="7AA6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9" w:type="dxa"/>
            <w:vMerge w:val="continue"/>
          </w:tcPr>
          <w:p w14:paraId="498EA4B3">
            <w:pPr>
              <w:rPr>
                <w:sz w:val="21"/>
                <w:szCs w:val="21"/>
                <w:vertAlign w:val="baseline"/>
              </w:rPr>
            </w:pPr>
          </w:p>
        </w:tc>
        <w:tc>
          <w:tcPr>
            <w:tcW w:w="1266" w:type="dxa"/>
            <w:vMerge w:val="continue"/>
            <w:vAlign w:val="center"/>
          </w:tcPr>
          <w:p w14:paraId="0D35B290">
            <w:pPr>
              <w:rPr>
                <w:sz w:val="21"/>
                <w:szCs w:val="21"/>
                <w:vertAlign w:val="baseline"/>
              </w:rPr>
            </w:pPr>
          </w:p>
        </w:tc>
        <w:tc>
          <w:tcPr>
            <w:tcW w:w="5201" w:type="dxa"/>
          </w:tcPr>
          <w:p w14:paraId="1B5D8E5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kern w:val="0"/>
                <w:sz w:val="21"/>
                <w:szCs w:val="21"/>
                <w:highlight w:val="none"/>
              </w:rPr>
              <w:t>根据本项目游客服务体系方案</w:t>
            </w:r>
            <w:r>
              <w:rPr>
                <w:rFonts w:hint="eastAsia" w:ascii="宋体" w:hAnsi="宋体" w:eastAsia="宋体" w:cs="宋体"/>
                <w:b w:val="0"/>
                <w:bCs w:val="0"/>
                <w:color w:val="auto"/>
                <w:sz w:val="21"/>
                <w:szCs w:val="21"/>
                <w:highlight w:val="none"/>
                <w:lang w:val="en-US" w:eastAsia="zh-CN"/>
              </w:rPr>
              <w:t>进行评议</w:t>
            </w:r>
            <w:r>
              <w:rPr>
                <w:rFonts w:hint="eastAsia" w:ascii="宋体" w:hAnsi="宋体" w:eastAsia="宋体" w:cs="宋体"/>
                <w:bCs/>
                <w:color w:val="auto"/>
                <w:kern w:val="0"/>
                <w:sz w:val="21"/>
                <w:szCs w:val="21"/>
                <w:highlight w:val="none"/>
              </w:rPr>
              <w:t>。</w:t>
            </w:r>
          </w:p>
          <w:p w14:paraId="59A1B101">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根据本项目游客服务体系思路清晰、科学合理、方案完整的得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5BB0A3B1">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根据本项目游客服务体系思路</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清晰、</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科学合理、方案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完整的的得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64B9A5D0">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根据本项目游客服务体系思路</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完整的得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7D933EB3">
            <w:pPr>
              <w:keepNext w:val="0"/>
              <w:keepLines w:val="0"/>
              <w:pageBreakBefore w:val="0"/>
              <w:widowControl w:val="0"/>
              <w:kinsoku/>
              <w:wordWrap/>
              <w:overflowPunct/>
              <w:topLinePunct w:val="0"/>
              <w:bidi w:val="0"/>
              <w:adjustRightInd w:val="0"/>
              <w:spacing w:line="300" w:lineRule="exact"/>
              <w:textAlignment w:val="auto"/>
              <w:rPr>
                <w:sz w:val="21"/>
                <w:szCs w:val="21"/>
                <w:vertAlign w:val="baseli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5E1E4CB2">
            <w:pPr>
              <w:jc w:val="center"/>
              <w:rPr>
                <w:rFonts w:hint="eastAsia" w:eastAsia="宋体"/>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43147478">
            <w:pPr>
              <w:jc w:val="center"/>
              <w:rPr>
                <w:sz w:val="21"/>
                <w:szCs w:val="21"/>
                <w:vertAlign w:val="baseline"/>
              </w:rPr>
            </w:pPr>
            <w:r>
              <w:rPr>
                <w:rFonts w:hint="eastAsia"/>
                <w:sz w:val="21"/>
                <w:szCs w:val="21"/>
                <w:vertAlign w:val="baseline"/>
                <w:lang w:val="en-US" w:eastAsia="zh-CN"/>
              </w:rPr>
              <w:t>主观分</w:t>
            </w:r>
          </w:p>
        </w:tc>
      </w:tr>
      <w:tr w14:paraId="41F7E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5E6C8A60">
            <w:pPr>
              <w:rPr>
                <w:sz w:val="21"/>
                <w:szCs w:val="21"/>
                <w:vertAlign w:val="baseline"/>
              </w:rPr>
            </w:pPr>
          </w:p>
        </w:tc>
        <w:tc>
          <w:tcPr>
            <w:tcW w:w="1266" w:type="dxa"/>
            <w:vMerge w:val="continue"/>
            <w:vAlign w:val="center"/>
          </w:tcPr>
          <w:p w14:paraId="2C540EE3">
            <w:pPr>
              <w:rPr>
                <w:sz w:val="21"/>
                <w:szCs w:val="21"/>
                <w:vertAlign w:val="baseline"/>
              </w:rPr>
            </w:pPr>
          </w:p>
        </w:tc>
        <w:tc>
          <w:tcPr>
            <w:tcW w:w="5201" w:type="dxa"/>
          </w:tcPr>
          <w:p w14:paraId="16D7DA0E">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kern w:val="0"/>
                <w:sz w:val="21"/>
                <w:szCs w:val="21"/>
                <w:highlight w:val="none"/>
              </w:rPr>
              <w:t>根据本项目文化品牌营销推广方案</w:t>
            </w:r>
            <w:r>
              <w:rPr>
                <w:rFonts w:hint="eastAsia" w:ascii="宋体" w:hAnsi="宋体" w:eastAsia="宋体" w:cs="宋体"/>
                <w:b w:val="0"/>
                <w:bCs w:val="0"/>
                <w:color w:val="auto"/>
                <w:sz w:val="21"/>
                <w:szCs w:val="21"/>
                <w:highlight w:val="none"/>
                <w:lang w:val="en-US" w:eastAsia="zh-CN"/>
              </w:rPr>
              <w:t>进行评议</w:t>
            </w:r>
            <w:r>
              <w:rPr>
                <w:rFonts w:hint="eastAsia" w:ascii="宋体" w:hAnsi="宋体" w:eastAsia="宋体" w:cs="宋体"/>
                <w:bCs/>
                <w:color w:val="auto"/>
                <w:kern w:val="0"/>
                <w:sz w:val="21"/>
                <w:szCs w:val="21"/>
                <w:highlight w:val="none"/>
              </w:rPr>
              <w:t>。</w:t>
            </w:r>
          </w:p>
          <w:p w14:paraId="691EA500">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根据本项目文化品牌营销推广方案思路清晰、科学合理、方案完整的得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78C31E0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根据本项目文化品牌营销推广方案思路</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清晰、</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科学合理、方案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完整的的得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4883D98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根据本项目文化品牌营销推广方案思路</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完整的得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7CC0B61D">
            <w:pPr>
              <w:keepNext w:val="0"/>
              <w:keepLines w:val="0"/>
              <w:pageBreakBefore w:val="0"/>
              <w:widowControl w:val="0"/>
              <w:kinsoku/>
              <w:wordWrap/>
              <w:overflowPunct/>
              <w:topLinePunct w:val="0"/>
              <w:bidi w:val="0"/>
              <w:adjustRightInd w:val="0"/>
              <w:spacing w:line="300" w:lineRule="exact"/>
              <w:textAlignment w:val="auto"/>
              <w:rPr>
                <w:sz w:val="21"/>
                <w:szCs w:val="21"/>
                <w:vertAlign w:val="baseli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4EB83954">
            <w:pPr>
              <w:jc w:val="center"/>
              <w:rPr>
                <w:rFonts w:hint="eastAsia" w:eastAsia="宋体"/>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455AD163">
            <w:pPr>
              <w:jc w:val="center"/>
              <w:rPr>
                <w:sz w:val="21"/>
                <w:szCs w:val="21"/>
                <w:vertAlign w:val="baseline"/>
              </w:rPr>
            </w:pPr>
            <w:r>
              <w:rPr>
                <w:rFonts w:hint="eastAsia"/>
                <w:sz w:val="21"/>
                <w:szCs w:val="21"/>
                <w:vertAlign w:val="baseline"/>
                <w:lang w:val="en-US" w:eastAsia="zh-CN"/>
              </w:rPr>
              <w:t>主观分</w:t>
            </w:r>
          </w:p>
        </w:tc>
      </w:tr>
      <w:tr w14:paraId="52EB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576B9496">
            <w:pPr>
              <w:rPr>
                <w:sz w:val="21"/>
                <w:szCs w:val="21"/>
                <w:vertAlign w:val="baseline"/>
              </w:rPr>
            </w:pPr>
          </w:p>
        </w:tc>
        <w:tc>
          <w:tcPr>
            <w:tcW w:w="1266" w:type="dxa"/>
            <w:vMerge w:val="continue"/>
            <w:vAlign w:val="center"/>
          </w:tcPr>
          <w:p w14:paraId="407DF23E">
            <w:pPr>
              <w:rPr>
                <w:sz w:val="21"/>
                <w:szCs w:val="21"/>
                <w:vertAlign w:val="baseline"/>
              </w:rPr>
            </w:pPr>
          </w:p>
        </w:tc>
        <w:tc>
          <w:tcPr>
            <w:tcW w:w="5201" w:type="dxa"/>
          </w:tcPr>
          <w:p w14:paraId="76985748">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rPr>
              <w:t>评标委员会</w:t>
            </w:r>
            <w:r>
              <w:rPr>
                <w:rFonts w:hint="eastAsia" w:ascii="宋体" w:hAnsi="宋体" w:eastAsia="宋体" w:cs="宋体"/>
                <w:color w:val="auto"/>
                <w:kern w:val="0"/>
                <w:sz w:val="21"/>
                <w:szCs w:val="21"/>
                <w:highlight w:val="none"/>
              </w:rPr>
              <w:t>根据本项目现有存量建筑及设备设施的改建运营方案</w:t>
            </w:r>
            <w:r>
              <w:rPr>
                <w:rFonts w:hint="eastAsia" w:ascii="宋体" w:hAnsi="宋体" w:eastAsia="宋体" w:cs="宋体"/>
                <w:b w:val="0"/>
                <w:bCs w:val="0"/>
                <w:color w:val="auto"/>
                <w:sz w:val="21"/>
                <w:szCs w:val="21"/>
                <w:highlight w:val="none"/>
                <w:lang w:val="en-US" w:eastAsia="zh-CN"/>
              </w:rPr>
              <w:t>进行评议</w:t>
            </w:r>
            <w:r>
              <w:rPr>
                <w:rFonts w:hint="eastAsia" w:ascii="宋体" w:hAnsi="宋体" w:eastAsia="宋体" w:cs="宋体"/>
                <w:bCs/>
                <w:color w:val="auto"/>
                <w:kern w:val="0"/>
                <w:sz w:val="21"/>
                <w:szCs w:val="21"/>
                <w:highlight w:val="none"/>
              </w:rPr>
              <w:t>。</w:t>
            </w:r>
          </w:p>
          <w:p w14:paraId="542E3332">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根据本项目现有存量建筑及设备设施的改建运营方案思路清晰、科学合理、方案完整的得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39FE4455">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根据本项目现有存量建筑及设备设施的改建运营方案思路</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清晰、</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科学合理、方案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完整的的得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7FA8D8D7">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根据本项目现有存量建筑及设备设施的改建运营方案思路</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完整的得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19BC335F">
            <w:pPr>
              <w:keepNext w:val="0"/>
              <w:keepLines w:val="0"/>
              <w:pageBreakBefore w:val="0"/>
              <w:widowControl w:val="0"/>
              <w:kinsoku/>
              <w:wordWrap/>
              <w:overflowPunct/>
              <w:topLinePunct w:val="0"/>
              <w:bidi w:val="0"/>
              <w:adjustRightInd w:val="0"/>
              <w:spacing w:line="300" w:lineRule="exact"/>
              <w:textAlignment w:val="auto"/>
              <w:rPr>
                <w:sz w:val="21"/>
                <w:szCs w:val="21"/>
                <w:vertAlign w:val="baseli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7F6C0854">
            <w:pPr>
              <w:jc w:val="center"/>
              <w:rPr>
                <w:rFonts w:hint="eastAsia" w:eastAsia="宋体"/>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29876B79">
            <w:pPr>
              <w:jc w:val="center"/>
              <w:rPr>
                <w:sz w:val="21"/>
                <w:szCs w:val="21"/>
                <w:vertAlign w:val="baseline"/>
              </w:rPr>
            </w:pPr>
            <w:r>
              <w:rPr>
                <w:rFonts w:hint="eastAsia"/>
                <w:sz w:val="21"/>
                <w:szCs w:val="21"/>
                <w:vertAlign w:val="baseline"/>
                <w:lang w:val="en-US" w:eastAsia="zh-CN"/>
              </w:rPr>
              <w:t>主观分</w:t>
            </w:r>
          </w:p>
        </w:tc>
      </w:tr>
      <w:tr w14:paraId="1A1F3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42F60AAA">
            <w:pPr>
              <w:rPr>
                <w:sz w:val="21"/>
                <w:szCs w:val="21"/>
                <w:vertAlign w:val="baseline"/>
              </w:rPr>
            </w:pPr>
          </w:p>
        </w:tc>
        <w:tc>
          <w:tcPr>
            <w:tcW w:w="1266" w:type="dxa"/>
            <w:vMerge w:val="restart"/>
            <w:vAlign w:val="center"/>
          </w:tcPr>
          <w:p w14:paraId="7DCED9BB">
            <w:pPr>
              <w:rPr>
                <w:rFonts w:hint="eastAsia" w:eastAsia="宋体"/>
                <w:sz w:val="21"/>
                <w:szCs w:val="21"/>
                <w:vertAlign w:val="baseline"/>
                <w:lang w:eastAsia="zh-CN"/>
              </w:rPr>
            </w:pPr>
            <w:r>
              <w:rPr>
                <w:rFonts w:hint="eastAsia" w:ascii="宋体" w:hAnsi="宋体" w:eastAsia="宋体" w:cs="宋体"/>
                <w:b/>
                <w:bCs/>
                <w:color w:val="auto"/>
                <w:kern w:val="0"/>
                <w:sz w:val="21"/>
                <w:szCs w:val="21"/>
                <w:highlight w:val="none"/>
              </w:rPr>
              <w:t>活动策划方案</w:t>
            </w:r>
            <w:r>
              <w:rPr>
                <w:rFonts w:hint="eastAsia" w:ascii="宋体" w:hAnsi="宋体" w:cs="宋体"/>
                <w:b/>
                <w:bCs/>
                <w:color w:val="auto"/>
                <w:kern w:val="0"/>
                <w:sz w:val="21"/>
                <w:szCs w:val="21"/>
                <w:highlight w:val="none"/>
                <w:lang w:eastAsia="zh-CN"/>
              </w:rPr>
              <w:t>（</w:t>
            </w:r>
            <w:r>
              <w:rPr>
                <w:rFonts w:hint="eastAsia" w:ascii="宋体" w:hAnsi="宋体" w:cs="宋体"/>
                <w:b/>
                <w:bCs/>
                <w:color w:val="auto"/>
                <w:kern w:val="0"/>
                <w:sz w:val="21"/>
                <w:szCs w:val="21"/>
                <w:highlight w:val="none"/>
                <w:lang w:val="en-US" w:eastAsia="zh-CN"/>
              </w:rPr>
              <w:t>15分</w:t>
            </w:r>
            <w:r>
              <w:rPr>
                <w:rFonts w:hint="eastAsia" w:ascii="宋体" w:hAnsi="宋体" w:cs="宋体"/>
                <w:b/>
                <w:bCs/>
                <w:color w:val="auto"/>
                <w:kern w:val="0"/>
                <w:sz w:val="21"/>
                <w:szCs w:val="21"/>
                <w:highlight w:val="none"/>
                <w:lang w:eastAsia="zh-CN"/>
              </w:rPr>
              <w:t>）</w:t>
            </w:r>
          </w:p>
        </w:tc>
        <w:tc>
          <w:tcPr>
            <w:tcW w:w="5201" w:type="dxa"/>
          </w:tcPr>
          <w:p w14:paraId="63940BF5">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日常活动方案（周期性活动月度、季度）</w:t>
            </w:r>
            <w:r>
              <w:rPr>
                <w:rFonts w:hint="eastAsia" w:ascii="宋体" w:hAnsi="宋体" w:eastAsia="宋体" w:cs="宋体"/>
                <w:color w:val="auto"/>
                <w:sz w:val="21"/>
                <w:szCs w:val="21"/>
                <w:highlight w:val="none"/>
              </w:rPr>
              <w:t>，从</w:t>
            </w:r>
            <w:r>
              <w:rPr>
                <w:rFonts w:hint="eastAsia" w:ascii="宋体" w:hAnsi="宋体" w:eastAsia="宋体" w:cs="宋体"/>
                <w:bCs/>
                <w:color w:val="auto"/>
                <w:sz w:val="21"/>
                <w:szCs w:val="21"/>
                <w:highlight w:val="none"/>
              </w:rPr>
              <w:t>符合场景落实标准</w:t>
            </w:r>
            <w:r>
              <w:rPr>
                <w:rFonts w:hint="eastAsia" w:ascii="宋体" w:hAnsi="宋体" w:eastAsia="宋体" w:cs="宋体"/>
                <w:color w:val="auto"/>
                <w:sz w:val="21"/>
                <w:szCs w:val="21"/>
                <w:highlight w:val="none"/>
              </w:rPr>
              <w:t>、可行性、完整性</w:t>
            </w:r>
            <w:r>
              <w:rPr>
                <w:rFonts w:hint="eastAsia" w:ascii="宋体" w:hAnsi="宋体" w:eastAsia="宋体" w:cs="宋体"/>
                <w:color w:val="auto"/>
                <w:sz w:val="21"/>
                <w:szCs w:val="21"/>
                <w:highlight w:val="none"/>
                <w:lang w:eastAsia="zh-CN"/>
              </w:rPr>
              <w:t>、创意性、创新性</w:t>
            </w:r>
            <w:r>
              <w:rPr>
                <w:rFonts w:hint="eastAsia" w:ascii="宋体" w:hAnsi="宋体" w:eastAsia="宋体" w:cs="宋体"/>
                <w:color w:val="auto"/>
                <w:sz w:val="21"/>
                <w:szCs w:val="21"/>
                <w:highlight w:val="none"/>
              </w:rPr>
              <w:t>进行评议。</w:t>
            </w:r>
          </w:p>
          <w:p w14:paraId="422CCAA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根据投标人针对本项目的日常活动方案（周期性活动月度、季度），符合场景落实标准、可行性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新颖</w:t>
            </w:r>
            <w:r>
              <w:rPr>
                <w:rFonts w:hint="eastAsia" w:ascii="宋体" w:hAnsi="宋体" w:eastAsia="宋体" w:cs="宋体"/>
                <w:color w:val="auto"/>
                <w:kern w:val="0"/>
                <w:sz w:val="21"/>
                <w:szCs w:val="21"/>
                <w:highlight w:val="none"/>
              </w:rPr>
              <w:t>、创新性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07629E89">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根据投标人针对本项目的日常活动方案（周期性活动月度、季度），符合场景落实</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标准、可行性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新颖、创新性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2D66974D">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根据投标人针对本项目的日常活动方案（周期性活动月度、季度），符合场景、可行性</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可行</w:t>
            </w:r>
            <w:r>
              <w:rPr>
                <w:rFonts w:hint="eastAsia" w:ascii="宋体" w:hAnsi="宋体" w:eastAsia="宋体" w:cs="宋体"/>
                <w:color w:val="auto"/>
                <w:kern w:val="0"/>
                <w:sz w:val="21"/>
                <w:szCs w:val="21"/>
                <w:highlight w:val="none"/>
              </w:rPr>
              <w:t>、创意创新</w:t>
            </w:r>
            <w:r>
              <w:rPr>
                <w:rFonts w:hint="eastAsia" w:ascii="宋体" w:hAnsi="宋体" w:eastAsia="宋体" w:cs="宋体"/>
                <w:color w:val="auto"/>
                <w:kern w:val="0"/>
                <w:sz w:val="21"/>
                <w:szCs w:val="21"/>
                <w:highlight w:val="none"/>
                <w:lang w:val="en-US" w:eastAsia="zh-CN"/>
              </w:rPr>
              <w:t>性不强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69067473">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04D81F76">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1B7F1907">
            <w:pPr>
              <w:jc w:val="center"/>
              <w:rPr>
                <w:sz w:val="21"/>
                <w:szCs w:val="21"/>
                <w:vertAlign w:val="baseline"/>
              </w:rPr>
            </w:pPr>
            <w:r>
              <w:rPr>
                <w:rFonts w:hint="eastAsia"/>
                <w:sz w:val="21"/>
                <w:szCs w:val="21"/>
                <w:vertAlign w:val="baseline"/>
                <w:lang w:val="en-US" w:eastAsia="zh-CN"/>
              </w:rPr>
              <w:t>主观分</w:t>
            </w:r>
          </w:p>
        </w:tc>
      </w:tr>
      <w:tr w14:paraId="6CA0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4211AD49">
            <w:pPr>
              <w:rPr>
                <w:sz w:val="21"/>
                <w:szCs w:val="21"/>
                <w:vertAlign w:val="baseline"/>
              </w:rPr>
            </w:pPr>
          </w:p>
        </w:tc>
        <w:tc>
          <w:tcPr>
            <w:tcW w:w="1266" w:type="dxa"/>
            <w:vMerge w:val="continue"/>
            <w:vAlign w:val="center"/>
          </w:tcPr>
          <w:p w14:paraId="2DEA94F2">
            <w:pPr>
              <w:rPr>
                <w:rFonts w:hint="eastAsia" w:ascii="宋体" w:hAnsi="宋体" w:eastAsia="宋体" w:cs="宋体"/>
                <w:b/>
                <w:bCs/>
                <w:color w:val="auto"/>
                <w:kern w:val="0"/>
                <w:sz w:val="21"/>
                <w:szCs w:val="21"/>
                <w:highlight w:val="none"/>
              </w:rPr>
            </w:pPr>
          </w:p>
        </w:tc>
        <w:tc>
          <w:tcPr>
            <w:tcW w:w="5201" w:type="dxa"/>
          </w:tcPr>
          <w:p w14:paraId="175422F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大型节庆或年度活动方案</w:t>
            </w:r>
            <w:r>
              <w:rPr>
                <w:rFonts w:hint="eastAsia" w:ascii="宋体" w:hAnsi="宋体" w:eastAsia="宋体" w:cs="宋体"/>
                <w:color w:val="auto"/>
                <w:sz w:val="21"/>
                <w:szCs w:val="21"/>
                <w:highlight w:val="none"/>
              </w:rPr>
              <w:t>，从</w:t>
            </w:r>
            <w:r>
              <w:rPr>
                <w:rFonts w:hint="eastAsia" w:ascii="宋体" w:hAnsi="宋体" w:eastAsia="宋体" w:cs="宋体"/>
                <w:bCs/>
                <w:color w:val="auto"/>
                <w:sz w:val="21"/>
                <w:szCs w:val="21"/>
                <w:highlight w:val="none"/>
              </w:rPr>
              <w:t>符合场景落实标准</w:t>
            </w:r>
            <w:r>
              <w:rPr>
                <w:rFonts w:hint="eastAsia" w:ascii="宋体" w:hAnsi="宋体" w:eastAsia="宋体" w:cs="宋体"/>
                <w:color w:val="auto"/>
                <w:sz w:val="21"/>
                <w:szCs w:val="21"/>
                <w:highlight w:val="none"/>
              </w:rPr>
              <w:t>、可行性、完整性</w:t>
            </w:r>
            <w:r>
              <w:rPr>
                <w:rFonts w:hint="eastAsia" w:ascii="宋体" w:hAnsi="宋体" w:eastAsia="宋体" w:cs="宋体"/>
                <w:color w:val="auto"/>
                <w:sz w:val="21"/>
                <w:szCs w:val="21"/>
                <w:highlight w:val="none"/>
                <w:lang w:eastAsia="zh-CN"/>
              </w:rPr>
              <w:t>、创意性、创新性</w:t>
            </w:r>
            <w:r>
              <w:rPr>
                <w:rFonts w:hint="eastAsia" w:ascii="宋体" w:hAnsi="宋体" w:eastAsia="宋体" w:cs="宋体"/>
                <w:color w:val="auto"/>
                <w:sz w:val="21"/>
                <w:szCs w:val="21"/>
                <w:highlight w:val="none"/>
              </w:rPr>
              <w:t>进行评议。</w:t>
            </w:r>
          </w:p>
          <w:p w14:paraId="5CABD4A5">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根据投标人针对本项目的大型节庆或年度活动方案，符合场景落实标准、可行性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新颖</w:t>
            </w:r>
            <w:r>
              <w:rPr>
                <w:rFonts w:hint="eastAsia" w:ascii="宋体" w:hAnsi="宋体" w:eastAsia="宋体" w:cs="宋体"/>
                <w:color w:val="auto"/>
                <w:kern w:val="0"/>
                <w:sz w:val="21"/>
                <w:szCs w:val="21"/>
                <w:highlight w:val="none"/>
              </w:rPr>
              <w:t>、创新性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4E1CA8D9">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根据投标人针对本项目的大型节庆或年度活动方案，符合场景落实</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标准、可行性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新颖、创新性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7812F785">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根据投标人针对本项目的大型节庆或年度活动方案，符合场景、可行性</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可行</w:t>
            </w:r>
            <w:r>
              <w:rPr>
                <w:rFonts w:hint="eastAsia" w:ascii="宋体" w:hAnsi="宋体" w:eastAsia="宋体" w:cs="宋体"/>
                <w:color w:val="auto"/>
                <w:kern w:val="0"/>
                <w:sz w:val="21"/>
                <w:szCs w:val="21"/>
                <w:highlight w:val="none"/>
              </w:rPr>
              <w:t>、创意创新</w:t>
            </w:r>
            <w:r>
              <w:rPr>
                <w:rFonts w:hint="eastAsia" w:ascii="宋体" w:hAnsi="宋体" w:eastAsia="宋体" w:cs="宋体"/>
                <w:color w:val="auto"/>
                <w:kern w:val="0"/>
                <w:sz w:val="21"/>
                <w:szCs w:val="21"/>
                <w:highlight w:val="none"/>
                <w:lang w:val="en-US" w:eastAsia="zh-CN"/>
              </w:rPr>
              <w:t>性不强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03D5EDCA">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5A51BB8E">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0E22F452">
            <w:pPr>
              <w:jc w:val="center"/>
              <w:rPr>
                <w:sz w:val="21"/>
                <w:szCs w:val="21"/>
                <w:vertAlign w:val="baseline"/>
              </w:rPr>
            </w:pPr>
            <w:r>
              <w:rPr>
                <w:rFonts w:hint="eastAsia"/>
                <w:sz w:val="21"/>
                <w:szCs w:val="21"/>
                <w:vertAlign w:val="baseline"/>
                <w:lang w:val="en-US" w:eastAsia="zh-CN"/>
              </w:rPr>
              <w:t>主观分</w:t>
            </w:r>
          </w:p>
        </w:tc>
      </w:tr>
      <w:tr w14:paraId="4A3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47715896">
            <w:pPr>
              <w:rPr>
                <w:sz w:val="21"/>
                <w:szCs w:val="21"/>
                <w:vertAlign w:val="baseline"/>
              </w:rPr>
            </w:pPr>
          </w:p>
        </w:tc>
        <w:tc>
          <w:tcPr>
            <w:tcW w:w="1266" w:type="dxa"/>
            <w:vMerge w:val="continue"/>
            <w:vAlign w:val="center"/>
          </w:tcPr>
          <w:p w14:paraId="4DA0C424">
            <w:pPr>
              <w:rPr>
                <w:rFonts w:hint="eastAsia" w:ascii="宋体" w:hAnsi="宋体" w:eastAsia="宋体" w:cs="宋体"/>
                <w:b/>
                <w:bCs/>
                <w:color w:val="auto"/>
                <w:kern w:val="0"/>
                <w:sz w:val="21"/>
                <w:szCs w:val="21"/>
                <w:highlight w:val="none"/>
              </w:rPr>
            </w:pPr>
          </w:p>
        </w:tc>
        <w:tc>
          <w:tcPr>
            <w:tcW w:w="5201" w:type="dxa"/>
          </w:tcPr>
          <w:p w14:paraId="697E6A4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w:t>
            </w:r>
            <w:r>
              <w:rPr>
                <w:rFonts w:hint="eastAsia" w:ascii="宋体" w:hAnsi="宋体" w:eastAsia="宋体" w:cs="宋体"/>
                <w:bCs/>
                <w:color w:val="auto"/>
                <w:sz w:val="21"/>
                <w:szCs w:val="21"/>
                <w:highlight w:val="none"/>
              </w:rPr>
              <w:t>活动宣传推广方案（线上线下结合）</w:t>
            </w:r>
            <w:r>
              <w:rPr>
                <w:rFonts w:hint="eastAsia" w:ascii="宋体" w:hAnsi="宋体" w:eastAsia="宋体" w:cs="宋体"/>
                <w:color w:val="auto"/>
                <w:sz w:val="21"/>
                <w:szCs w:val="21"/>
                <w:highlight w:val="none"/>
              </w:rPr>
              <w:t>，从</w:t>
            </w:r>
            <w:r>
              <w:rPr>
                <w:rFonts w:hint="eastAsia" w:ascii="宋体" w:hAnsi="宋体" w:eastAsia="宋体" w:cs="宋体"/>
                <w:bCs/>
                <w:color w:val="auto"/>
                <w:sz w:val="21"/>
                <w:szCs w:val="21"/>
                <w:highlight w:val="none"/>
              </w:rPr>
              <w:t>符合场景落实标准</w:t>
            </w:r>
            <w:r>
              <w:rPr>
                <w:rFonts w:hint="eastAsia" w:ascii="宋体" w:hAnsi="宋体" w:eastAsia="宋体" w:cs="宋体"/>
                <w:color w:val="auto"/>
                <w:sz w:val="21"/>
                <w:szCs w:val="21"/>
                <w:highlight w:val="none"/>
              </w:rPr>
              <w:t>、可行性、完整性</w:t>
            </w:r>
            <w:r>
              <w:rPr>
                <w:rFonts w:hint="eastAsia" w:ascii="宋体" w:hAnsi="宋体" w:eastAsia="宋体" w:cs="宋体"/>
                <w:color w:val="auto"/>
                <w:sz w:val="21"/>
                <w:szCs w:val="21"/>
                <w:highlight w:val="none"/>
                <w:lang w:eastAsia="zh-CN"/>
              </w:rPr>
              <w:t>、创意性、创新性</w:t>
            </w:r>
            <w:r>
              <w:rPr>
                <w:rFonts w:hint="eastAsia" w:ascii="宋体" w:hAnsi="宋体" w:eastAsia="宋体" w:cs="宋体"/>
                <w:color w:val="auto"/>
                <w:sz w:val="21"/>
                <w:szCs w:val="21"/>
                <w:highlight w:val="none"/>
              </w:rPr>
              <w:t>进行评议。</w:t>
            </w:r>
          </w:p>
          <w:p w14:paraId="73D096AA">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根据投标人针对本项目的活动宣传推广方案（线上线下结合），符合场景落实标准、可行性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新颖</w:t>
            </w:r>
            <w:r>
              <w:rPr>
                <w:rFonts w:hint="eastAsia" w:ascii="宋体" w:hAnsi="宋体" w:eastAsia="宋体" w:cs="宋体"/>
                <w:color w:val="auto"/>
                <w:kern w:val="0"/>
                <w:sz w:val="21"/>
                <w:szCs w:val="21"/>
                <w:highlight w:val="none"/>
              </w:rPr>
              <w:t>、创新性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01CD2A3E">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根据投标人针对本项目的活动宣传推广方案（线上线下结合），符合场景落实</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标准、可行性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完整、创意</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新颖、创新性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0C5F3E9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根据投标人针对本项目的活动宣传推广方案（线上线下结合），符合场景、可行性</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、方案</w:t>
            </w:r>
            <w:r>
              <w:rPr>
                <w:rFonts w:hint="eastAsia" w:ascii="宋体" w:hAnsi="宋体" w:eastAsia="宋体" w:cs="宋体"/>
                <w:color w:val="auto"/>
                <w:kern w:val="0"/>
                <w:sz w:val="21"/>
                <w:szCs w:val="21"/>
                <w:highlight w:val="none"/>
                <w:lang w:val="en-US" w:eastAsia="zh-CN"/>
              </w:rPr>
              <w:t>可行</w:t>
            </w:r>
            <w:r>
              <w:rPr>
                <w:rFonts w:hint="eastAsia" w:ascii="宋体" w:hAnsi="宋体" w:eastAsia="宋体" w:cs="宋体"/>
                <w:color w:val="auto"/>
                <w:kern w:val="0"/>
                <w:sz w:val="21"/>
                <w:szCs w:val="21"/>
                <w:highlight w:val="none"/>
              </w:rPr>
              <w:t>、创意创新</w:t>
            </w:r>
            <w:r>
              <w:rPr>
                <w:rFonts w:hint="eastAsia" w:ascii="宋体" w:hAnsi="宋体" w:eastAsia="宋体" w:cs="宋体"/>
                <w:color w:val="auto"/>
                <w:kern w:val="0"/>
                <w:sz w:val="21"/>
                <w:szCs w:val="21"/>
                <w:highlight w:val="none"/>
                <w:lang w:val="en-US" w:eastAsia="zh-CN"/>
              </w:rPr>
              <w:t>性不强</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48A1424F">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2EE4C7C7">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088235DE">
            <w:pPr>
              <w:jc w:val="center"/>
              <w:rPr>
                <w:sz w:val="21"/>
                <w:szCs w:val="21"/>
                <w:vertAlign w:val="baseline"/>
              </w:rPr>
            </w:pPr>
            <w:r>
              <w:rPr>
                <w:rFonts w:hint="eastAsia"/>
                <w:sz w:val="21"/>
                <w:szCs w:val="21"/>
                <w:vertAlign w:val="baseline"/>
                <w:lang w:val="en-US" w:eastAsia="zh-CN"/>
              </w:rPr>
              <w:t>主观分</w:t>
            </w:r>
          </w:p>
        </w:tc>
      </w:tr>
      <w:tr w14:paraId="0AC8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54DB1809">
            <w:pPr>
              <w:rPr>
                <w:sz w:val="21"/>
                <w:szCs w:val="21"/>
                <w:vertAlign w:val="baseline"/>
              </w:rPr>
            </w:pPr>
          </w:p>
        </w:tc>
        <w:tc>
          <w:tcPr>
            <w:tcW w:w="1266" w:type="dxa"/>
            <w:vMerge w:val="restart"/>
            <w:vAlign w:val="center"/>
          </w:tcPr>
          <w:p w14:paraId="53563C5B">
            <w:pPr>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lang w:val="zh-CN"/>
              </w:rPr>
              <w:t>绿化、保洁、停车、环境设施管理方案</w:t>
            </w:r>
            <w:r>
              <w:rPr>
                <w:rFonts w:hint="eastAsia" w:ascii="宋体" w:hAnsi="宋体" w:cs="宋体"/>
                <w:b/>
                <w:bCs/>
                <w:color w:val="auto"/>
                <w:sz w:val="21"/>
                <w:szCs w:val="21"/>
                <w:highlight w:val="none"/>
                <w:lang w:val="zh-CN"/>
              </w:rPr>
              <w:t>（</w:t>
            </w:r>
            <w:r>
              <w:rPr>
                <w:rFonts w:hint="eastAsia" w:ascii="宋体" w:hAnsi="宋体" w:cs="宋体"/>
                <w:b/>
                <w:bCs/>
                <w:color w:val="auto"/>
                <w:sz w:val="21"/>
                <w:szCs w:val="21"/>
                <w:highlight w:val="none"/>
                <w:lang w:val="en-US" w:eastAsia="zh-CN"/>
              </w:rPr>
              <w:t>20分</w:t>
            </w:r>
            <w:r>
              <w:rPr>
                <w:rFonts w:hint="eastAsia" w:ascii="宋体" w:hAnsi="宋体" w:cs="宋体"/>
                <w:b/>
                <w:bCs/>
                <w:color w:val="auto"/>
                <w:sz w:val="21"/>
                <w:szCs w:val="21"/>
                <w:highlight w:val="none"/>
                <w:lang w:val="zh-CN"/>
              </w:rPr>
              <w:t>）</w:t>
            </w:r>
          </w:p>
        </w:tc>
        <w:tc>
          <w:tcPr>
            <w:tcW w:w="5201" w:type="dxa"/>
          </w:tcPr>
          <w:p w14:paraId="6DDE392C">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的停车场管理方案（包括停车制度、车辆管理、收费制度等）</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智慧化停车建设方案</w:t>
            </w:r>
            <w:r>
              <w:rPr>
                <w:rFonts w:hint="eastAsia" w:ascii="宋体" w:hAnsi="宋体" w:eastAsia="宋体" w:cs="宋体"/>
                <w:bCs/>
                <w:color w:val="auto"/>
                <w:sz w:val="21"/>
                <w:szCs w:val="21"/>
                <w:highlight w:val="none"/>
              </w:rPr>
              <w:t>，从可行性、</w:t>
            </w:r>
            <w:r>
              <w:rPr>
                <w:rFonts w:hint="eastAsia" w:ascii="宋体" w:hAnsi="宋体" w:eastAsia="宋体" w:cs="宋体"/>
                <w:color w:val="auto"/>
                <w:sz w:val="21"/>
                <w:szCs w:val="21"/>
                <w:highlight w:val="none"/>
              </w:rPr>
              <w:t>合理性、完整性进行评议</w:t>
            </w:r>
            <w:r>
              <w:rPr>
                <w:rFonts w:hint="eastAsia" w:ascii="宋体" w:hAnsi="宋体" w:eastAsia="宋体" w:cs="宋体"/>
                <w:color w:val="auto"/>
                <w:kern w:val="0"/>
                <w:sz w:val="21"/>
                <w:szCs w:val="21"/>
                <w:highlight w:val="none"/>
              </w:rPr>
              <w:t>。</w:t>
            </w:r>
          </w:p>
          <w:p w14:paraId="1EAC86DC">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根据投标人针对本项目的停车场管理方案（包括停车制度、车辆管理、收费制度等）</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智慧化停车建设方案，可行性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764DC93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根据投标人针对本项目的停车场管理方案（包括停车制度、车辆管理、收费制度等）、智慧化停车建设方案，可行性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2A532121">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根据投标人针对本项目的停车场管理方案（包括停车制度、车辆管理、收费制度等）、服务措施及承诺方案，</w:t>
            </w:r>
            <w:r>
              <w:rPr>
                <w:rFonts w:hint="eastAsia" w:ascii="宋体" w:hAnsi="宋体" w:eastAsia="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可行性、方案</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7BE510FE">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35CF469F">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27E28E26">
            <w:pPr>
              <w:jc w:val="center"/>
              <w:rPr>
                <w:sz w:val="21"/>
                <w:szCs w:val="21"/>
                <w:vertAlign w:val="baseline"/>
              </w:rPr>
            </w:pPr>
            <w:r>
              <w:rPr>
                <w:rFonts w:hint="eastAsia"/>
                <w:sz w:val="21"/>
                <w:szCs w:val="21"/>
                <w:vertAlign w:val="baseline"/>
                <w:lang w:val="en-US" w:eastAsia="zh-CN"/>
              </w:rPr>
              <w:t>主观分</w:t>
            </w:r>
          </w:p>
        </w:tc>
      </w:tr>
      <w:tr w14:paraId="6F8AA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095549D8">
            <w:pPr>
              <w:rPr>
                <w:sz w:val="21"/>
                <w:szCs w:val="21"/>
                <w:vertAlign w:val="baseline"/>
              </w:rPr>
            </w:pPr>
          </w:p>
        </w:tc>
        <w:tc>
          <w:tcPr>
            <w:tcW w:w="1266" w:type="dxa"/>
            <w:vMerge w:val="continue"/>
            <w:vAlign w:val="center"/>
          </w:tcPr>
          <w:p w14:paraId="114457C3">
            <w:pPr>
              <w:rPr>
                <w:rFonts w:hint="eastAsia" w:ascii="宋体" w:hAnsi="宋体" w:eastAsia="宋体" w:cs="宋体"/>
                <w:b/>
                <w:bCs/>
                <w:color w:val="auto"/>
                <w:sz w:val="21"/>
                <w:szCs w:val="21"/>
                <w:highlight w:val="none"/>
                <w:lang w:val="zh-CN"/>
              </w:rPr>
            </w:pPr>
          </w:p>
        </w:tc>
        <w:tc>
          <w:tcPr>
            <w:tcW w:w="5201" w:type="dxa"/>
          </w:tcPr>
          <w:p w14:paraId="3925CB13">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的环境设施维护管理方案、绿化维护方案、保洁方案</w:t>
            </w:r>
            <w:r>
              <w:rPr>
                <w:rFonts w:hint="eastAsia" w:ascii="宋体" w:hAnsi="宋体" w:eastAsia="宋体" w:cs="宋体"/>
                <w:bCs/>
                <w:color w:val="auto"/>
                <w:sz w:val="21"/>
                <w:szCs w:val="21"/>
                <w:highlight w:val="none"/>
              </w:rPr>
              <w:t>，从可行性、</w:t>
            </w:r>
            <w:r>
              <w:rPr>
                <w:rFonts w:hint="eastAsia" w:ascii="宋体" w:hAnsi="宋体" w:eastAsia="宋体" w:cs="宋体"/>
                <w:color w:val="auto"/>
                <w:sz w:val="21"/>
                <w:szCs w:val="21"/>
                <w:highlight w:val="none"/>
              </w:rPr>
              <w:t>合理性、完整性进行评议</w:t>
            </w:r>
            <w:r>
              <w:rPr>
                <w:rFonts w:hint="eastAsia" w:ascii="宋体" w:hAnsi="宋体" w:eastAsia="宋体" w:cs="宋体"/>
                <w:color w:val="auto"/>
                <w:kern w:val="0"/>
                <w:sz w:val="21"/>
                <w:szCs w:val="21"/>
                <w:highlight w:val="none"/>
              </w:rPr>
              <w:t>。</w:t>
            </w:r>
          </w:p>
          <w:p w14:paraId="4CF0B1C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根据投标人针对本项目的环境设施维护管理方案、绿化维护方案、保洁方案，可行性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030D567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根据投标人针对本项目的环境设施维护管理方案、绿化维护方案、保洁方案，可行性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444FFE59">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根据投标人针对本项目的环境设施维护管理方案、绿化维护方案、保洁方案，</w:t>
            </w:r>
            <w:r>
              <w:rPr>
                <w:rFonts w:hint="eastAsia" w:ascii="宋体" w:hAnsi="宋体" w:eastAsia="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可行性、方案</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55B9CA4B">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3F4F5D2F">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2C764E1E">
            <w:pPr>
              <w:jc w:val="center"/>
              <w:rPr>
                <w:sz w:val="21"/>
                <w:szCs w:val="21"/>
                <w:vertAlign w:val="baseline"/>
              </w:rPr>
            </w:pPr>
            <w:r>
              <w:rPr>
                <w:rFonts w:hint="eastAsia"/>
                <w:sz w:val="21"/>
                <w:szCs w:val="21"/>
                <w:vertAlign w:val="baseline"/>
                <w:lang w:val="en-US" w:eastAsia="zh-CN"/>
              </w:rPr>
              <w:t>主观分</w:t>
            </w:r>
          </w:p>
        </w:tc>
      </w:tr>
      <w:tr w14:paraId="187FE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639" w:type="dxa"/>
            <w:vMerge w:val="continue"/>
          </w:tcPr>
          <w:p w14:paraId="670AFB23">
            <w:pPr>
              <w:rPr>
                <w:sz w:val="21"/>
                <w:szCs w:val="21"/>
                <w:vertAlign w:val="baseline"/>
              </w:rPr>
            </w:pPr>
          </w:p>
        </w:tc>
        <w:tc>
          <w:tcPr>
            <w:tcW w:w="1266" w:type="dxa"/>
            <w:vMerge w:val="continue"/>
            <w:vAlign w:val="center"/>
          </w:tcPr>
          <w:p w14:paraId="7FB42C92">
            <w:pPr>
              <w:rPr>
                <w:rFonts w:hint="eastAsia" w:ascii="宋体" w:hAnsi="宋体" w:eastAsia="宋体" w:cs="宋体"/>
                <w:b/>
                <w:bCs/>
                <w:color w:val="auto"/>
                <w:sz w:val="21"/>
                <w:szCs w:val="21"/>
                <w:highlight w:val="none"/>
                <w:lang w:val="zh-CN"/>
              </w:rPr>
            </w:pPr>
          </w:p>
        </w:tc>
        <w:tc>
          <w:tcPr>
            <w:tcW w:w="5201" w:type="dxa"/>
          </w:tcPr>
          <w:p w14:paraId="29347C4A">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评标委员会根据投标人针对人员配置方案、服务措施及承诺方案</w:t>
            </w:r>
            <w:r>
              <w:rPr>
                <w:rFonts w:hint="eastAsia" w:ascii="宋体" w:hAnsi="宋体" w:eastAsia="宋体" w:cs="宋体"/>
                <w:bCs/>
                <w:color w:val="auto"/>
                <w:sz w:val="21"/>
                <w:szCs w:val="21"/>
                <w:highlight w:val="none"/>
              </w:rPr>
              <w:t>，从可行性、</w:t>
            </w:r>
            <w:r>
              <w:rPr>
                <w:rFonts w:hint="eastAsia" w:ascii="宋体" w:hAnsi="宋体" w:eastAsia="宋体" w:cs="宋体"/>
                <w:color w:val="auto"/>
                <w:sz w:val="21"/>
                <w:szCs w:val="21"/>
                <w:highlight w:val="none"/>
              </w:rPr>
              <w:t>合理性、完整性进行评议</w:t>
            </w:r>
            <w:r>
              <w:rPr>
                <w:rFonts w:hint="eastAsia" w:ascii="宋体" w:hAnsi="宋体" w:eastAsia="宋体" w:cs="宋体"/>
                <w:color w:val="auto"/>
                <w:kern w:val="0"/>
                <w:sz w:val="21"/>
                <w:szCs w:val="21"/>
                <w:highlight w:val="none"/>
              </w:rPr>
              <w:t>。</w:t>
            </w:r>
          </w:p>
          <w:p w14:paraId="446728FB">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根据投标人针对本项目的人员配置方案、服务措施及承诺方案，可行性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4B1CCB3A">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根据投标人针对本项目的人员配置方案、服务措施及承诺方案、，可行性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206FF98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根据投标人针对本项目的人员配置方案、服务措施及承诺方案，</w:t>
            </w:r>
            <w:r>
              <w:rPr>
                <w:rFonts w:hint="eastAsia" w:ascii="宋体" w:hAnsi="宋体" w:eastAsia="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可行性、方案</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495823C7">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7E0A5E47">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25F423BF">
            <w:pPr>
              <w:jc w:val="center"/>
              <w:rPr>
                <w:sz w:val="21"/>
                <w:szCs w:val="21"/>
                <w:vertAlign w:val="baseline"/>
              </w:rPr>
            </w:pPr>
            <w:r>
              <w:rPr>
                <w:rFonts w:hint="eastAsia"/>
                <w:sz w:val="21"/>
                <w:szCs w:val="21"/>
                <w:vertAlign w:val="baseline"/>
                <w:lang w:val="en-US" w:eastAsia="zh-CN"/>
              </w:rPr>
              <w:t>主观分</w:t>
            </w:r>
          </w:p>
        </w:tc>
      </w:tr>
      <w:tr w14:paraId="10C1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tcPr>
          <w:p w14:paraId="24BE512A">
            <w:pPr>
              <w:rPr>
                <w:sz w:val="21"/>
                <w:szCs w:val="21"/>
                <w:vertAlign w:val="baseline"/>
              </w:rPr>
            </w:pPr>
          </w:p>
        </w:tc>
        <w:tc>
          <w:tcPr>
            <w:tcW w:w="1266" w:type="dxa"/>
            <w:vMerge w:val="continue"/>
            <w:vAlign w:val="center"/>
          </w:tcPr>
          <w:p w14:paraId="69547858">
            <w:pPr>
              <w:rPr>
                <w:rFonts w:hint="eastAsia" w:ascii="宋体" w:hAnsi="宋体" w:eastAsia="宋体" w:cs="宋体"/>
                <w:b/>
                <w:bCs/>
                <w:color w:val="auto"/>
                <w:sz w:val="21"/>
                <w:szCs w:val="21"/>
                <w:highlight w:val="none"/>
                <w:lang w:val="zh-CN"/>
              </w:rPr>
            </w:pPr>
          </w:p>
        </w:tc>
        <w:tc>
          <w:tcPr>
            <w:tcW w:w="5201" w:type="dxa"/>
          </w:tcPr>
          <w:p w14:paraId="4ED73127">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的应急管理方案</w:t>
            </w:r>
            <w:r>
              <w:rPr>
                <w:rFonts w:hint="eastAsia" w:ascii="宋体" w:hAnsi="宋体" w:eastAsia="宋体" w:cs="宋体"/>
                <w:bCs/>
                <w:color w:val="auto"/>
                <w:sz w:val="21"/>
                <w:szCs w:val="21"/>
                <w:highlight w:val="none"/>
              </w:rPr>
              <w:t>，从可行性、</w:t>
            </w:r>
            <w:r>
              <w:rPr>
                <w:rFonts w:hint="eastAsia" w:ascii="宋体" w:hAnsi="宋体" w:eastAsia="宋体" w:cs="宋体"/>
                <w:color w:val="auto"/>
                <w:sz w:val="21"/>
                <w:szCs w:val="21"/>
                <w:highlight w:val="none"/>
              </w:rPr>
              <w:t>合理性、完整性进行评议</w:t>
            </w:r>
            <w:r>
              <w:rPr>
                <w:rFonts w:hint="eastAsia" w:ascii="宋体" w:hAnsi="宋体" w:eastAsia="宋体" w:cs="宋体"/>
                <w:color w:val="auto"/>
                <w:kern w:val="0"/>
                <w:sz w:val="21"/>
                <w:szCs w:val="21"/>
                <w:highlight w:val="none"/>
              </w:rPr>
              <w:t>。</w:t>
            </w:r>
          </w:p>
          <w:p w14:paraId="262CA6FC">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根据投标人针对本项目的应急管理方案，可行性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7721F391">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根据投标人针对本项目的应急管理方案，可行性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完整合理的得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72981600">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根据投标人针对本项目的应急管理方案，</w:t>
            </w:r>
            <w:r>
              <w:rPr>
                <w:rFonts w:hint="eastAsia" w:ascii="宋体" w:hAnsi="宋体" w:eastAsia="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可行性、方案</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4BFD7186">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5C72D957">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6B905139">
            <w:pPr>
              <w:jc w:val="center"/>
              <w:rPr>
                <w:sz w:val="21"/>
                <w:szCs w:val="21"/>
                <w:vertAlign w:val="baseline"/>
              </w:rPr>
            </w:pPr>
            <w:r>
              <w:rPr>
                <w:rFonts w:hint="eastAsia"/>
                <w:sz w:val="21"/>
                <w:szCs w:val="21"/>
                <w:vertAlign w:val="baseline"/>
                <w:lang w:val="en-US" w:eastAsia="zh-CN"/>
              </w:rPr>
              <w:t>主观分</w:t>
            </w:r>
          </w:p>
        </w:tc>
      </w:tr>
      <w:tr w14:paraId="24D5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39" w:type="dxa"/>
            <w:vMerge w:val="continue"/>
            <w:vAlign w:val="top"/>
          </w:tcPr>
          <w:p w14:paraId="5A8E567E">
            <w:pPr>
              <w:rPr>
                <w:sz w:val="21"/>
                <w:szCs w:val="21"/>
                <w:vertAlign w:val="baseline"/>
              </w:rPr>
            </w:pPr>
          </w:p>
        </w:tc>
        <w:tc>
          <w:tcPr>
            <w:tcW w:w="1266" w:type="dxa"/>
            <w:vAlign w:val="center"/>
          </w:tcPr>
          <w:p w14:paraId="5AF75174">
            <w:pPr>
              <w:autoSpaceDE w:val="0"/>
              <w:autoSpaceDN w:val="0"/>
              <w:adjustRightInd w:val="0"/>
              <w:snapToGrid w:val="0"/>
              <w:spacing w:line="360" w:lineRule="exac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lang w:bidi="ar"/>
              </w:rPr>
              <w:t>可持续运营措施</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01ADB6F5">
            <w:pPr>
              <w:rPr>
                <w:rFonts w:hint="eastAsia" w:ascii="宋体" w:hAnsi="宋体" w:eastAsia="宋体" w:cs="宋体"/>
                <w:b/>
                <w:bCs/>
                <w:color w:val="auto"/>
                <w:sz w:val="21"/>
                <w:szCs w:val="21"/>
                <w:highlight w:val="none"/>
                <w:lang w:val="zh-CN"/>
              </w:rPr>
            </w:pPr>
          </w:p>
        </w:tc>
        <w:tc>
          <w:tcPr>
            <w:tcW w:w="5201" w:type="dxa"/>
            <w:vAlign w:val="top"/>
          </w:tcPr>
          <w:p w14:paraId="083A52DE">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本项目的</w:t>
            </w:r>
            <w:r>
              <w:rPr>
                <w:rFonts w:hint="eastAsia" w:ascii="宋体" w:hAnsi="宋体" w:eastAsia="宋体" w:cs="宋体"/>
                <w:bCs/>
                <w:color w:val="auto"/>
                <w:kern w:val="0"/>
                <w:sz w:val="21"/>
                <w:szCs w:val="21"/>
                <w:highlight w:val="none"/>
                <w:lang w:bidi="ar"/>
              </w:rPr>
              <w:t>可持续运营措施</w:t>
            </w:r>
            <w:r>
              <w:rPr>
                <w:rFonts w:hint="eastAsia" w:ascii="宋体" w:hAnsi="宋体" w:eastAsia="宋体" w:cs="宋体"/>
                <w:color w:val="auto"/>
                <w:sz w:val="21"/>
                <w:szCs w:val="21"/>
                <w:highlight w:val="none"/>
              </w:rPr>
              <w:t>，从</w:t>
            </w:r>
            <w:r>
              <w:rPr>
                <w:rFonts w:hint="eastAsia" w:ascii="宋体" w:hAnsi="宋体" w:eastAsia="宋体" w:cs="宋体"/>
                <w:bCs/>
                <w:color w:val="auto"/>
                <w:sz w:val="21"/>
                <w:szCs w:val="21"/>
                <w:highlight w:val="none"/>
              </w:rPr>
              <w:t>落地可行性</w:t>
            </w:r>
            <w:r>
              <w:rPr>
                <w:rFonts w:hint="eastAsia" w:ascii="宋体" w:hAnsi="宋体" w:eastAsia="宋体" w:cs="宋体"/>
                <w:color w:val="auto"/>
                <w:sz w:val="21"/>
                <w:szCs w:val="21"/>
                <w:highlight w:val="none"/>
              </w:rPr>
              <w:t>、合理性、完整性进行评议。</w:t>
            </w:r>
          </w:p>
          <w:p w14:paraId="4EA71C1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根据投标人针对本项目的可持续运营措施，落地可行性</w:t>
            </w:r>
            <w:r>
              <w:rPr>
                <w:rFonts w:hint="eastAsia" w:ascii="宋体" w:hAnsi="宋体" w:eastAsia="宋体" w:cs="宋体"/>
                <w:color w:val="auto"/>
                <w:kern w:val="0"/>
                <w:sz w:val="21"/>
                <w:szCs w:val="21"/>
                <w:highlight w:val="none"/>
                <w:lang w:val="en-US" w:eastAsia="zh-CN"/>
              </w:rPr>
              <w:t>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措施</w:t>
            </w:r>
            <w:r>
              <w:rPr>
                <w:rFonts w:hint="eastAsia" w:ascii="宋体" w:hAnsi="宋体" w:eastAsia="宋体" w:cs="宋体"/>
                <w:color w:val="auto"/>
                <w:kern w:val="0"/>
                <w:sz w:val="21"/>
                <w:szCs w:val="21"/>
                <w:highlight w:val="none"/>
              </w:rPr>
              <w:t>合理完整的得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512F6B18">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根据投标人针对本项目的可持续运营措施，落地可行性</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强、措施</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合理完整的得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5E40F5A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根据投标人针对本项目的可持续运营措施，落地可行性</w:t>
            </w:r>
            <w:r>
              <w:rPr>
                <w:rFonts w:hint="eastAsia" w:ascii="宋体" w:hAnsi="宋体" w:eastAsia="宋体" w:cs="宋体"/>
                <w:color w:val="auto"/>
                <w:kern w:val="0"/>
                <w:sz w:val="21"/>
                <w:szCs w:val="21"/>
                <w:highlight w:val="none"/>
                <w:lang w:val="en-US" w:eastAsia="zh-CN"/>
              </w:rPr>
              <w:t>一般</w:t>
            </w:r>
            <w:r>
              <w:rPr>
                <w:rFonts w:hint="eastAsia" w:ascii="宋体" w:hAnsi="宋体" w:eastAsia="宋体" w:cs="宋体"/>
                <w:color w:val="auto"/>
                <w:kern w:val="0"/>
                <w:sz w:val="21"/>
                <w:szCs w:val="21"/>
                <w:highlight w:val="none"/>
              </w:rPr>
              <w:t>、措施合理</w:t>
            </w:r>
            <w:r>
              <w:rPr>
                <w:rFonts w:hint="eastAsia" w:ascii="宋体" w:hAnsi="宋体" w:eastAsia="宋体" w:cs="宋体"/>
                <w:color w:val="auto"/>
                <w:kern w:val="0"/>
                <w:sz w:val="21"/>
                <w:szCs w:val="21"/>
                <w:highlight w:val="none"/>
                <w:lang w:val="en-US" w:eastAsia="zh-CN"/>
              </w:rPr>
              <w:t>度</w:t>
            </w:r>
            <w:r>
              <w:rPr>
                <w:rFonts w:hint="eastAsia" w:ascii="宋体" w:hAnsi="宋体" w:eastAsia="宋体" w:cs="宋体"/>
                <w:color w:val="auto"/>
                <w:kern w:val="0"/>
                <w:sz w:val="21"/>
                <w:szCs w:val="21"/>
                <w:highlight w:val="none"/>
              </w:rPr>
              <w:t>完整</w:t>
            </w:r>
            <w:r>
              <w:rPr>
                <w:rFonts w:hint="eastAsia" w:ascii="宋体" w:hAnsi="宋体" w:eastAsia="宋体" w:cs="宋体"/>
                <w:color w:val="auto"/>
                <w:kern w:val="0"/>
                <w:sz w:val="21"/>
                <w:szCs w:val="21"/>
                <w:highlight w:val="none"/>
                <w:lang w:val="en-US" w:eastAsia="zh-CN"/>
              </w:rPr>
              <w:t>度一般</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027D82C3">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1AC96D77">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7EB93D80">
            <w:pPr>
              <w:jc w:val="center"/>
              <w:rPr>
                <w:sz w:val="21"/>
                <w:szCs w:val="21"/>
                <w:vertAlign w:val="baseline"/>
              </w:rPr>
            </w:pPr>
            <w:r>
              <w:rPr>
                <w:rFonts w:hint="eastAsia"/>
                <w:sz w:val="21"/>
                <w:szCs w:val="21"/>
                <w:vertAlign w:val="baseline"/>
                <w:lang w:val="en-US" w:eastAsia="zh-CN"/>
              </w:rPr>
              <w:t>主观分</w:t>
            </w:r>
          </w:p>
        </w:tc>
      </w:tr>
      <w:tr w14:paraId="0861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639" w:type="dxa"/>
            <w:vMerge w:val="continue"/>
          </w:tcPr>
          <w:p w14:paraId="63C42DEF">
            <w:pPr>
              <w:rPr>
                <w:sz w:val="21"/>
                <w:szCs w:val="21"/>
                <w:vertAlign w:val="baseline"/>
              </w:rPr>
            </w:pPr>
          </w:p>
        </w:tc>
        <w:tc>
          <w:tcPr>
            <w:tcW w:w="1266" w:type="dxa"/>
            <w:vAlign w:val="center"/>
          </w:tcPr>
          <w:p w14:paraId="19A2631F">
            <w:pPr>
              <w:autoSpaceDE w:val="0"/>
              <w:autoSpaceDN w:val="0"/>
              <w:adjustRightInd w:val="0"/>
              <w:snapToGrid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团队配置方案</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6C345B55">
            <w:pPr>
              <w:rPr>
                <w:rFonts w:hint="eastAsia" w:ascii="宋体" w:hAnsi="宋体" w:eastAsia="宋体" w:cs="宋体"/>
                <w:b/>
                <w:bCs/>
                <w:color w:val="auto"/>
                <w:sz w:val="21"/>
                <w:szCs w:val="21"/>
                <w:highlight w:val="none"/>
                <w:lang w:val="zh-CN"/>
              </w:rPr>
            </w:pPr>
          </w:p>
        </w:tc>
        <w:tc>
          <w:tcPr>
            <w:tcW w:w="5201" w:type="dxa"/>
          </w:tcPr>
          <w:p w14:paraId="09DF0499">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的团队组建方案、拟投入的人员方案（包括人员配备、管理团队、人员培训计划等），从可行性、合理性进行评议。</w:t>
            </w:r>
          </w:p>
          <w:p w14:paraId="03FB923F">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①根据投标人针对</w:t>
            </w:r>
            <w:r>
              <w:rPr>
                <w:rFonts w:hint="eastAsia" w:ascii="宋体" w:hAnsi="宋体" w:eastAsia="宋体" w:cs="宋体"/>
                <w:color w:val="auto"/>
                <w:sz w:val="21"/>
                <w:szCs w:val="21"/>
                <w:highlight w:val="none"/>
                <w:lang w:val="en-US" w:eastAsia="zh-CN"/>
              </w:rPr>
              <w:t>本项目</w:t>
            </w:r>
            <w:r>
              <w:rPr>
                <w:rFonts w:hint="eastAsia" w:ascii="宋体" w:hAnsi="宋体" w:eastAsia="宋体" w:cs="宋体"/>
                <w:color w:val="auto"/>
                <w:sz w:val="21"/>
                <w:szCs w:val="21"/>
                <w:highlight w:val="none"/>
              </w:rPr>
              <w:t>的团队组建方案、拟投入的人员方案（包括人员配备、管理团队、人员培训计划等），可行性</w:t>
            </w:r>
            <w:r>
              <w:rPr>
                <w:rFonts w:hint="eastAsia" w:ascii="宋体" w:hAnsi="宋体" w:eastAsia="宋体" w:cs="宋体"/>
                <w:color w:val="auto"/>
                <w:sz w:val="21"/>
                <w:szCs w:val="21"/>
                <w:highlight w:val="none"/>
                <w:lang w:val="en-US" w:eastAsia="zh-CN"/>
              </w:rPr>
              <w:t>强</w:t>
            </w:r>
            <w:r>
              <w:rPr>
                <w:rFonts w:hint="eastAsia" w:ascii="宋体" w:hAnsi="宋体" w:eastAsia="宋体" w:cs="宋体"/>
                <w:color w:val="auto"/>
                <w:sz w:val="21"/>
                <w:szCs w:val="21"/>
                <w:highlight w:val="none"/>
              </w:rPr>
              <w:t>、合理</w:t>
            </w:r>
            <w:r>
              <w:rPr>
                <w:rFonts w:hint="eastAsia" w:ascii="宋体" w:hAnsi="宋体" w:eastAsia="宋体" w:cs="宋体"/>
                <w:color w:val="auto"/>
                <w:sz w:val="21"/>
                <w:szCs w:val="21"/>
                <w:highlight w:val="none"/>
                <w:lang w:val="en-US" w:eastAsia="zh-CN"/>
              </w:rPr>
              <w:t>度高</w:t>
            </w:r>
            <w:r>
              <w:rPr>
                <w:rFonts w:hint="eastAsia" w:ascii="宋体" w:hAnsi="宋体" w:eastAsia="宋体" w:cs="宋体"/>
                <w:color w:val="auto"/>
                <w:kern w:val="0"/>
                <w:sz w:val="21"/>
                <w:szCs w:val="21"/>
                <w:highlight w:val="none"/>
              </w:rPr>
              <w:t>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54992374">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②根据投标人针对本项目的团队组建方案、拟投入的人员方案（包括人员配备、管理团队、人员培训计划等），可行性</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强、合理度</w:t>
            </w:r>
            <w:r>
              <w:rPr>
                <w:rFonts w:hint="eastAsia" w:ascii="宋体" w:hAnsi="宋体" w:eastAsia="宋体" w:cs="宋体"/>
                <w:color w:val="auto"/>
                <w:sz w:val="21"/>
                <w:szCs w:val="21"/>
                <w:highlight w:val="none"/>
                <w:lang w:val="en-US" w:eastAsia="zh-CN"/>
              </w:rPr>
              <w:t>较</w:t>
            </w:r>
            <w:r>
              <w:rPr>
                <w:rFonts w:hint="eastAsia" w:ascii="宋体" w:hAnsi="宋体" w:eastAsia="宋体" w:cs="宋体"/>
                <w:color w:val="auto"/>
                <w:sz w:val="21"/>
                <w:szCs w:val="21"/>
                <w:highlight w:val="none"/>
              </w:rPr>
              <w:t>高的得</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rPr>
              <w:t>分；</w:t>
            </w:r>
          </w:p>
          <w:p w14:paraId="6A73A25B">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③根据投标人针对本项目的团队组建方案、拟投入的人员方案（包括人员配备、管理团队、人员培训计划等），</w:t>
            </w:r>
            <w:r>
              <w:rPr>
                <w:rFonts w:hint="eastAsia" w:ascii="宋体" w:hAnsi="宋体" w:eastAsia="宋体" w:cs="宋体"/>
                <w:color w:val="auto"/>
                <w:sz w:val="21"/>
                <w:szCs w:val="21"/>
                <w:highlight w:val="none"/>
                <w:lang w:val="en-US" w:eastAsia="zh-CN"/>
              </w:rPr>
              <w:t>基本可行</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p>
          <w:p w14:paraId="79BB491F">
            <w:pPr>
              <w:keepNext w:val="0"/>
              <w:keepLines w:val="0"/>
              <w:pageBreakBefore w:val="0"/>
              <w:widowControl w:val="0"/>
              <w:kinsoku/>
              <w:wordWrap/>
              <w:overflowPunct/>
              <w:topLinePunct w:val="0"/>
              <w:bidi w:val="0"/>
              <w:adjustRightInd w:val="0"/>
              <w:spacing w:line="300" w:lineRule="exact"/>
              <w:textAlignment w:val="auto"/>
              <w:rPr>
                <w:rFonts w:hint="eastAsia" w:ascii="微软雅黑" w:hAnsi="微软雅黑" w:eastAsia="微软雅黑" w:cs="微软雅黑"/>
                <w:color w:val="auto"/>
                <w:kern w:val="0"/>
                <w:sz w:val="21"/>
                <w:szCs w:val="21"/>
                <w:highlight w:val="none"/>
              </w:rPr>
            </w:pPr>
            <w:r>
              <w:rPr>
                <w:rFonts w:hint="eastAsia" w:ascii="宋体" w:hAnsi="宋体" w:eastAsia="宋体" w:cs="宋体"/>
                <w:color w:val="auto"/>
                <w:sz w:val="21"/>
                <w:szCs w:val="21"/>
                <w:highlight w:val="none"/>
              </w:rPr>
              <w:t>④未提供的</w:t>
            </w:r>
            <w:r>
              <w:rPr>
                <w:rFonts w:hint="eastAsia" w:ascii="宋体" w:hAnsi="宋体" w:eastAsia="宋体" w:cs="宋体"/>
                <w:color w:val="auto"/>
                <w:kern w:val="0"/>
                <w:sz w:val="21"/>
                <w:szCs w:val="21"/>
                <w:highlight w:val="none"/>
              </w:rPr>
              <w:t>不得分。</w:t>
            </w:r>
          </w:p>
        </w:tc>
        <w:tc>
          <w:tcPr>
            <w:tcW w:w="1074" w:type="dxa"/>
            <w:vAlign w:val="center"/>
          </w:tcPr>
          <w:p w14:paraId="6F302DD2">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2D5FADC0">
            <w:pPr>
              <w:jc w:val="center"/>
              <w:rPr>
                <w:sz w:val="21"/>
                <w:szCs w:val="21"/>
                <w:vertAlign w:val="baseline"/>
              </w:rPr>
            </w:pPr>
            <w:r>
              <w:rPr>
                <w:rFonts w:hint="eastAsia"/>
                <w:sz w:val="21"/>
                <w:szCs w:val="21"/>
                <w:vertAlign w:val="baseline"/>
                <w:lang w:val="en-US" w:eastAsia="zh-CN"/>
              </w:rPr>
              <w:t>主观分</w:t>
            </w:r>
          </w:p>
        </w:tc>
      </w:tr>
      <w:tr w14:paraId="42C5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39" w:type="dxa"/>
            <w:vMerge w:val="continue"/>
          </w:tcPr>
          <w:p w14:paraId="1A7071CF">
            <w:pPr>
              <w:rPr>
                <w:sz w:val="21"/>
                <w:szCs w:val="21"/>
                <w:vertAlign w:val="baseline"/>
              </w:rPr>
            </w:pPr>
          </w:p>
        </w:tc>
        <w:tc>
          <w:tcPr>
            <w:tcW w:w="1266" w:type="dxa"/>
            <w:vAlign w:val="center"/>
          </w:tcPr>
          <w:p w14:paraId="3911A4A5">
            <w:pPr>
              <w:autoSpaceDE w:val="0"/>
              <w:autoSpaceDN w:val="0"/>
              <w:adjustRightInd w:val="0"/>
              <w:snapToGrid w:val="0"/>
              <w:spacing w:line="36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服务质量保障</w:t>
            </w:r>
            <w:r>
              <w:rPr>
                <w:rFonts w:hint="eastAsia" w:ascii="宋体" w:hAnsi="宋体" w:cs="宋体"/>
                <w:b/>
                <w:color w:val="auto"/>
                <w:sz w:val="21"/>
                <w:szCs w:val="21"/>
                <w:highlight w:val="none"/>
                <w:lang w:val="en-US" w:eastAsia="zh-CN"/>
              </w:rPr>
              <w:t>方案</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分）</w:t>
            </w:r>
          </w:p>
          <w:p w14:paraId="3DA0F2F7">
            <w:pPr>
              <w:rPr>
                <w:rFonts w:hint="eastAsia" w:ascii="宋体" w:hAnsi="宋体" w:eastAsia="宋体" w:cs="宋体"/>
                <w:b/>
                <w:bCs/>
                <w:color w:val="auto"/>
                <w:sz w:val="21"/>
                <w:szCs w:val="21"/>
                <w:highlight w:val="none"/>
                <w:lang w:val="zh-CN"/>
              </w:rPr>
            </w:pPr>
          </w:p>
        </w:tc>
        <w:tc>
          <w:tcPr>
            <w:tcW w:w="5201" w:type="dxa"/>
          </w:tcPr>
          <w:p w14:paraId="4A5381EE">
            <w:pPr>
              <w:keepNext w:val="0"/>
              <w:keepLines w:val="0"/>
              <w:pageBreakBefore w:val="0"/>
              <w:widowControl w:val="0"/>
              <w:kinsoku/>
              <w:wordWrap/>
              <w:overflowPunct/>
              <w:topLinePunct w:val="0"/>
              <w:autoSpaceDE w:val="0"/>
              <w:autoSpaceDN w:val="0"/>
              <w:bidi w:val="0"/>
              <w:adjustRightInd w:val="0"/>
              <w:snapToGrid w:val="0"/>
              <w:spacing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评标委员会根据投标人针对</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客诉处理方案、顾客意见收集采纳方案、服务承诺方案，</w:t>
            </w:r>
            <w:r>
              <w:rPr>
                <w:rFonts w:hint="eastAsia" w:ascii="宋体" w:hAnsi="宋体" w:eastAsia="宋体" w:cs="宋体"/>
                <w:b w:val="0"/>
                <w:bCs w:val="0"/>
                <w:color w:val="auto"/>
                <w:sz w:val="21"/>
                <w:szCs w:val="21"/>
                <w:highlight w:val="none"/>
              </w:rPr>
              <w:t>从合理性、完整性进行评议</w:t>
            </w:r>
            <w:r>
              <w:rPr>
                <w:rFonts w:hint="eastAsia" w:ascii="宋体" w:hAnsi="宋体" w:eastAsia="宋体" w:cs="宋体"/>
                <w:color w:val="auto"/>
                <w:sz w:val="21"/>
                <w:szCs w:val="21"/>
                <w:highlight w:val="none"/>
              </w:rPr>
              <w:t>。</w:t>
            </w:r>
          </w:p>
          <w:p w14:paraId="40B611A6">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①</w:t>
            </w:r>
            <w:r>
              <w:rPr>
                <w:rFonts w:hint="eastAsia" w:ascii="宋体" w:hAnsi="宋体" w:eastAsia="宋体" w:cs="宋体"/>
                <w:color w:val="auto"/>
                <w:kern w:val="0"/>
                <w:sz w:val="21"/>
                <w:szCs w:val="21"/>
                <w:highlight w:val="none"/>
              </w:rPr>
              <w:t>根据投标人针对本项目的客诉处理方案、顾客意见收集采纳方案、服务承诺方案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方案</w:t>
            </w:r>
            <w:r>
              <w:rPr>
                <w:rFonts w:hint="eastAsia" w:ascii="宋体" w:hAnsi="宋体" w:eastAsia="宋体" w:cs="宋体"/>
                <w:color w:val="auto"/>
                <w:kern w:val="0"/>
                <w:sz w:val="21"/>
                <w:szCs w:val="21"/>
                <w:highlight w:val="none"/>
              </w:rPr>
              <w:t>合理完整的得</w:t>
            </w:r>
            <w:r>
              <w:rPr>
                <w:rFonts w:hint="eastAsia" w:ascii="宋体" w:hAnsi="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rPr>
              <w:t>分；</w:t>
            </w:r>
          </w:p>
          <w:p w14:paraId="15DE79BE">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②</w:t>
            </w:r>
            <w:r>
              <w:rPr>
                <w:rFonts w:hint="eastAsia" w:ascii="宋体" w:hAnsi="宋体" w:eastAsia="宋体" w:cs="宋体"/>
                <w:color w:val="auto"/>
                <w:kern w:val="0"/>
                <w:sz w:val="21"/>
                <w:szCs w:val="21"/>
                <w:highlight w:val="none"/>
              </w:rPr>
              <w:t>根据投标人针对本项目的客诉处理方案、顾客意见收集采纳方案、服务承诺方案，方案</w:t>
            </w:r>
            <w:r>
              <w:rPr>
                <w:rFonts w:hint="eastAsia" w:ascii="宋体" w:hAnsi="宋体" w:eastAsia="宋体" w:cs="宋体"/>
                <w:color w:val="auto"/>
                <w:kern w:val="0"/>
                <w:sz w:val="21"/>
                <w:szCs w:val="21"/>
                <w:highlight w:val="none"/>
                <w:lang w:val="en-US" w:eastAsia="zh-CN"/>
              </w:rPr>
              <w:t>较</w:t>
            </w:r>
            <w:r>
              <w:rPr>
                <w:rFonts w:hint="eastAsia" w:ascii="宋体" w:hAnsi="宋体" w:eastAsia="宋体" w:cs="宋体"/>
                <w:color w:val="auto"/>
                <w:kern w:val="0"/>
                <w:sz w:val="21"/>
                <w:szCs w:val="21"/>
                <w:highlight w:val="none"/>
              </w:rPr>
              <w:t>合理完整的的得</w:t>
            </w:r>
            <w:r>
              <w:rPr>
                <w:rFonts w:hint="eastAsia" w:ascii="宋体" w:hAnsi="宋体" w:cs="宋体"/>
                <w:color w:val="auto"/>
                <w:kern w:val="0"/>
                <w:sz w:val="21"/>
                <w:szCs w:val="21"/>
                <w:highlight w:val="none"/>
                <w:lang w:val="en-US" w:eastAsia="zh-CN"/>
              </w:rPr>
              <w:t>2-3</w:t>
            </w:r>
            <w:r>
              <w:rPr>
                <w:rFonts w:hint="eastAsia" w:ascii="宋体" w:hAnsi="宋体" w:eastAsia="宋体" w:cs="宋体"/>
                <w:color w:val="auto"/>
                <w:kern w:val="0"/>
                <w:sz w:val="21"/>
                <w:szCs w:val="21"/>
                <w:highlight w:val="none"/>
              </w:rPr>
              <w:t>分；</w:t>
            </w:r>
          </w:p>
          <w:p w14:paraId="31921FB7">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hint="eastAsia" w:ascii="宋体" w:hAnsi="宋体" w:eastAsia="宋体" w:cs="宋体"/>
                <w:color w:val="auto"/>
                <w:kern w:val="0"/>
                <w:sz w:val="21"/>
                <w:szCs w:val="21"/>
                <w:highlight w:val="none"/>
              </w:rPr>
            </w:pPr>
            <w:r>
              <w:rPr>
                <w:rFonts w:hint="eastAsia" w:ascii="微软雅黑" w:hAnsi="微软雅黑" w:eastAsia="微软雅黑" w:cs="微软雅黑"/>
                <w:color w:val="auto"/>
                <w:kern w:val="0"/>
                <w:sz w:val="21"/>
                <w:szCs w:val="21"/>
                <w:highlight w:val="none"/>
              </w:rPr>
              <w:t>③</w:t>
            </w:r>
            <w:r>
              <w:rPr>
                <w:rFonts w:hint="eastAsia" w:ascii="宋体" w:hAnsi="宋体" w:eastAsia="宋体" w:cs="宋体"/>
                <w:color w:val="auto"/>
                <w:kern w:val="0"/>
                <w:sz w:val="21"/>
                <w:szCs w:val="21"/>
                <w:highlight w:val="none"/>
              </w:rPr>
              <w:t>根据投标人针对本项目的客诉处理方案、顾客意见收集采纳方案、服务承诺方案，方案</w:t>
            </w:r>
            <w:r>
              <w:rPr>
                <w:rFonts w:hint="eastAsia" w:ascii="宋体" w:hAnsi="宋体" w:eastAsia="宋体" w:cs="宋体"/>
                <w:color w:val="auto"/>
                <w:kern w:val="0"/>
                <w:sz w:val="21"/>
                <w:szCs w:val="21"/>
                <w:highlight w:val="none"/>
                <w:lang w:val="en-US" w:eastAsia="zh-CN"/>
              </w:rPr>
              <w:t>基本</w:t>
            </w:r>
            <w:r>
              <w:rPr>
                <w:rFonts w:hint="eastAsia" w:ascii="宋体" w:hAnsi="宋体" w:eastAsia="宋体" w:cs="宋体"/>
                <w:color w:val="auto"/>
                <w:kern w:val="0"/>
                <w:sz w:val="21"/>
                <w:szCs w:val="21"/>
                <w:highlight w:val="none"/>
              </w:rPr>
              <w:t>合理完整的得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14:paraId="20C7A57C">
            <w:pPr>
              <w:keepNext w:val="0"/>
              <w:keepLines w:val="0"/>
              <w:pageBreakBefore w:val="0"/>
              <w:widowControl w:val="0"/>
              <w:kinsoku/>
              <w:wordWrap/>
              <w:overflowPunct/>
              <w:topLinePunct w:val="0"/>
              <w:bidi w:val="0"/>
              <w:adjustRightInd w:val="0"/>
              <w:spacing w:line="300" w:lineRule="exact"/>
              <w:textAlignment w:val="auto"/>
              <w:rPr>
                <w:rFonts w:hint="eastAsia" w:ascii="宋体" w:hAnsi="宋体" w:eastAsia="宋体" w:cs="宋体"/>
                <w:color w:val="auto"/>
                <w:sz w:val="21"/>
                <w:szCs w:val="21"/>
                <w:highlight w:val="none"/>
              </w:rPr>
            </w:pPr>
            <w:r>
              <w:rPr>
                <w:rFonts w:hint="eastAsia" w:ascii="微软雅黑" w:hAnsi="微软雅黑" w:eastAsia="微软雅黑" w:cs="微软雅黑"/>
                <w:color w:val="auto"/>
                <w:kern w:val="0"/>
                <w:sz w:val="21"/>
                <w:szCs w:val="21"/>
                <w:highlight w:val="none"/>
              </w:rPr>
              <w:t>④</w:t>
            </w:r>
            <w:r>
              <w:rPr>
                <w:rFonts w:hint="eastAsia" w:ascii="宋体" w:hAnsi="宋体" w:eastAsia="宋体" w:cs="宋体"/>
                <w:color w:val="auto"/>
                <w:kern w:val="0"/>
                <w:sz w:val="21"/>
                <w:szCs w:val="21"/>
                <w:highlight w:val="none"/>
              </w:rPr>
              <w:t>未提供的不得分。</w:t>
            </w:r>
          </w:p>
        </w:tc>
        <w:tc>
          <w:tcPr>
            <w:tcW w:w="1074" w:type="dxa"/>
            <w:vAlign w:val="center"/>
          </w:tcPr>
          <w:p w14:paraId="285D294F">
            <w:pPr>
              <w:jc w:val="center"/>
              <w:rPr>
                <w:rFonts w:hint="default"/>
                <w:sz w:val="21"/>
                <w:szCs w:val="21"/>
                <w:vertAlign w:val="baseline"/>
                <w:lang w:val="en-US" w:eastAsia="zh-CN"/>
              </w:rPr>
            </w:pPr>
            <w:r>
              <w:rPr>
                <w:rFonts w:hint="eastAsia"/>
                <w:sz w:val="21"/>
                <w:szCs w:val="21"/>
                <w:vertAlign w:val="baseline"/>
                <w:lang w:val="en-US" w:eastAsia="zh-CN"/>
              </w:rPr>
              <w:t>5</w:t>
            </w:r>
          </w:p>
        </w:tc>
        <w:tc>
          <w:tcPr>
            <w:tcW w:w="1058" w:type="dxa"/>
            <w:vAlign w:val="center"/>
          </w:tcPr>
          <w:p w14:paraId="6F3CB60C">
            <w:pPr>
              <w:jc w:val="center"/>
              <w:rPr>
                <w:sz w:val="21"/>
                <w:szCs w:val="21"/>
                <w:vertAlign w:val="baseline"/>
              </w:rPr>
            </w:pPr>
            <w:r>
              <w:rPr>
                <w:rFonts w:hint="eastAsia"/>
                <w:sz w:val="21"/>
                <w:szCs w:val="21"/>
                <w:vertAlign w:val="baseline"/>
                <w:lang w:val="en-US" w:eastAsia="zh-CN"/>
              </w:rPr>
              <w:t>主观分</w:t>
            </w:r>
          </w:p>
        </w:tc>
      </w:tr>
      <w:tr w14:paraId="6C41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39" w:type="dxa"/>
            <w:vAlign w:val="center"/>
          </w:tcPr>
          <w:p w14:paraId="1BC25E4C">
            <w:pPr>
              <w:autoSpaceDE w:val="0"/>
              <w:autoSpaceDN w:val="0"/>
              <w:snapToGrid w:val="0"/>
              <w:spacing w:line="360" w:lineRule="exact"/>
              <w:jc w:val="center"/>
              <w:rPr>
                <w:sz w:val="21"/>
                <w:szCs w:val="21"/>
                <w:vertAlign w:val="baseline"/>
              </w:rPr>
            </w:pPr>
            <w:r>
              <w:rPr>
                <w:rFonts w:hint="eastAsia" w:ascii="宋体" w:hAnsi="宋体" w:eastAsia="宋体" w:cs="宋体"/>
                <w:b/>
                <w:color w:val="auto"/>
                <w:szCs w:val="21"/>
                <w:highlight w:val="none"/>
              </w:rPr>
              <w:t>价格分</w:t>
            </w:r>
            <w:r>
              <w:rPr>
                <w:rFonts w:hint="eastAsia" w:ascii="宋体" w:hAnsi="宋体" w:cs="宋体"/>
                <w:b/>
                <w:color w:val="auto"/>
                <w:szCs w:val="21"/>
                <w:highlight w:val="none"/>
                <w:lang w:val="en-US" w:eastAsia="zh-CN"/>
              </w:rPr>
              <w:t>15</w:t>
            </w:r>
            <w:r>
              <w:rPr>
                <w:rFonts w:hint="eastAsia" w:ascii="宋体" w:hAnsi="宋体" w:eastAsia="宋体" w:cs="宋体"/>
                <w:b/>
                <w:color w:val="auto"/>
                <w:szCs w:val="21"/>
                <w:highlight w:val="none"/>
              </w:rPr>
              <w:t>分</w:t>
            </w:r>
          </w:p>
        </w:tc>
        <w:tc>
          <w:tcPr>
            <w:tcW w:w="8599" w:type="dxa"/>
            <w:gridSpan w:val="4"/>
            <w:vAlign w:val="center"/>
          </w:tcPr>
          <w:p w14:paraId="4B4FE389">
            <w:pPr>
              <w:autoSpaceDE w:val="0"/>
              <w:autoSpaceDN w:val="0"/>
              <w:snapToGrid w:val="0"/>
              <w:spacing w:line="360" w:lineRule="exact"/>
              <w:rPr>
                <w:rFonts w:hint="eastAsia"/>
              </w:rPr>
            </w:pPr>
            <w:r>
              <w:rPr>
                <w:rFonts w:hint="eastAsia" w:ascii="宋体" w:hAnsi="宋体" w:eastAsia="宋体" w:cs="宋体"/>
                <w:bCs/>
                <w:color w:val="auto"/>
                <w:szCs w:val="21"/>
                <w:highlight w:val="none"/>
              </w:rPr>
              <w:t>评标基准价=满足采购文件要求的投标报价最低价。</w:t>
            </w:r>
          </w:p>
          <w:p w14:paraId="1936E96E">
            <w:pPr>
              <w:autoSpaceDE w:val="0"/>
              <w:autoSpaceDN w:val="0"/>
              <w:snapToGrid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基准价得分</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分。</w:t>
            </w:r>
          </w:p>
          <w:p w14:paraId="0A548809">
            <w:pPr>
              <w:autoSpaceDE w:val="0"/>
              <w:autoSpaceDN w:val="0"/>
              <w:snapToGrid w:val="0"/>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投标报价得分=（评标基准价/投标报价）×</w:t>
            </w:r>
            <w:r>
              <w:rPr>
                <w:rFonts w:hint="eastAsia" w:ascii="宋体" w:hAnsi="宋体" w:cs="宋体"/>
                <w:bCs/>
                <w:color w:val="auto"/>
                <w:szCs w:val="21"/>
                <w:highlight w:val="none"/>
                <w:lang w:val="en-US" w:eastAsia="zh-CN"/>
              </w:rPr>
              <w:t>15</w:t>
            </w:r>
            <w:r>
              <w:rPr>
                <w:rFonts w:hint="eastAsia" w:ascii="宋体" w:hAnsi="宋体" w:eastAsia="宋体" w:cs="宋体"/>
                <w:bCs/>
                <w:color w:val="auto"/>
                <w:szCs w:val="21"/>
                <w:highlight w:val="none"/>
              </w:rPr>
              <w:t>%×100</w:t>
            </w:r>
          </w:p>
          <w:p w14:paraId="1FC4271E">
            <w:pPr>
              <w:autoSpaceDE w:val="0"/>
              <w:autoSpaceDN w:val="0"/>
              <w:snapToGrid w:val="0"/>
              <w:spacing w:line="360" w:lineRule="exact"/>
              <w:rPr>
                <w:rFonts w:hint="eastAsia"/>
                <w:sz w:val="21"/>
                <w:szCs w:val="21"/>
                <w:vertAlign w:val="baseline"/>
                <w:lang w:val="en-US" w:eastAsia="zh-CN"/>
              </w:rPr>
            </w:pPr>
            <w:r>
              <w:rPr>
                <w:rFonts w:hint="eastAsia" w:ascii="宋体" w:hAnsi="宋体" w:eastAsia="宋体" w:cs="宋体"/>
                <w:bCs/>
                <w:color w:val="auto"/>
                <w:szCs w:val="21"/>
                <w:highlight w:val="none"/>
              </w:rPr>
              <w:t>投标报价得分以四舍五入保留小数点后两位。</w:t>
            </w:r>
          </w:p>
        </w:tc>
      </w:tr>
    </w:tbl>
    <w:p w14:paraId="0EA29D4B">
      <w:pPr>
        <w:keepNext w:val="0"/>
        <w:keepLines w:val="0"/>
        <w:pageBreakBefore w:val="0"/>
        <w:kinsoku/>
        <w:overflowPunct/>
        <w:autoSpaceDE/>
        <w:autoSpaceDN/>
        <w:bidi w:val="0"/>
        <w:spacing w:line="400" w:lineRule="exact"/>
        <w:rPr>
          <w:rFonts w:ascii="宋体"/>
          <w:color w:val="auto"/>
          <w:sz w:val="24"/>
          <w:szCs w:val="24"/>
          <w:highlight w:val="none"/>
        </w:rPr>
      </w:pPr>
      <w:r>
        <w:rPr>
          <w:rFonts w:hint="eastAsia" w:ascii="宋体"/>
          <w:color w:val="auto"/>
          <w:sz w:val="24"/>
          <w:szCs w:val="24"/>
          <w:highlight w:val="none"/>
        </w:rPr>
        <w:t>评委签名：                                  日期：</w:t>
      </w:r>
    </w:p>
    <w:p w14:paraId="610BF4FC">
      <w:pPr>
        <w:keepNext w:val="0"/>
        <w:keepLines w:val="0"/>
        <w:pageBreakBefore w:val="0"/>
        <w:kinsoku/>
        <w:overflowPunct/>
        <w:autoSpaceDE/>
        <w:autoSpaceDN/>
        <w:bidi w:val="0"/>
        <w:spacing w:line="400" w:lineRule="exact"/>
        <w:rPr>
          <w:rFonts w:ascii="宋体"/>
          <w:color w:val="auto"/>
          <w:spacing w:val="14"/>
          <w:sz w:val="24"/>
          <w:szCs w:val="24"/>
          <w:highlight w:val="none"/>
        </w:rPr>
      </w:pPr>
      <w:r>
        <w:rPr>
          <w:rFonts w:hint="eastAsia" w:ascii="宋体"/>
          <w:color w:val="auto"/>
          <w:spacing w:val="14"/>
          <w:sz w:val="24"/>
          <w:szCs w:val="24"/>
          <w:highlight w:val="none"/>
        </w:rPr>
        <w:t>打分说明：</w:t>
      </w:r>
    </w:p>
    <w:p w14:paraId="3C198BDB">
      <w:pPr>
        <w:keepNext w:val="0"/>
        <w:keepLines w:val="0"/>
        <w:pageBreakBefore w:val="0"/>
        <w:kinsoku/>
        <w:overflowPunct/>
        <w:autoSpaceDE/>
        <w:autoSpaceDN/>
        <w:bidi w:val="0"/>
        <w:spacing w:line="400" w:lineRule="exact"/>
        <w:ind w:left="476" w:hanging="536" w:hangingChars="200"/>
        <w:rPr>
          <w:rFonts w:cs="Calibri"/>
          <w:color w:val="auto"/>
          <w:spacing w:val="14"/>
          <w:sz w:val="24"/>
          <w:szCs w:val="24"/>
          <w:highlight w:val="none"/>
        </w:rPr>
      </w:pPr>
      <w:r>
        <w:rPr>
          <w:rFonts w:cs="Calibri"/>
          <w:color w:val="auto"/>
          <w:spacing w:val="14"/>
          <w:sz w:val="24"/>
          <w:szCs w:val="24"/>
          <w:highlight w:val="none"/>
        </w:rPr>
        <w:t>（</w:t>
      </w:r>
      <w:r>
        <w:rPr>
          <w:rFonts w:hint="eastAsia" w:cs="Calibri"/>
          <w:color w:val="auto"/>
          <w:spacing w:val="14"/>
          <w:sz w:val="24"/>
          <w:szCs w:val="24"/>
          <w:highlight w:val="none"/>
        </w:rPr>
        <w:t>1</w:t>
      </w:r>
      <w:r>
        <w:rPr>
          <w:rFonts w:cs="Calibri"/>
          <w:color w:val="auto"/>
          <w:spacing w:val="14"/>
          <w:sz w:val="24"/>
          <w:szCs w:val="24"/>
          <w:highlight w:val="none"/>
        </w:rPr>
        <w:t>）评委根据评标情况逐栏打分，每栏分值不得超出本栏规定的分值范围</w:t>
      </w:r>
      <w:r>
        <w:rPr>
          <w:rFonts w:hint="eastAsia" w:cs="Calibri"/>
          <w:color w:val="auto"/>
          <w:spacing w:val="14"/>
          <w:sz w:val="24"/>
          <w:szCs w:val="24"/>
          <w:highlight w:val="none"/>
        </w:rPr>
        <w:t>，客观分必须统一</w:t>
      </w:r>
      <w:r>
        <w:rPr>
          <w:rFonts w:cs="Calibri"/>
          <w:color w:val="auto"/>
          <w:spacing w:val="14"/>
          <w:sz w:val="24"/>
          <w:szCs w:val="24"/>
          <w:highlight w:val="none"/>
        </w:rPr>
        <w:t>；</w:t>
      </w:r>
    </w:p>
    <w:p w14:paraId="2C23925E">
      <w:pPr>
        <w:keepNext w:val="0"/>
        <w:keepLines w:val="0"/>
        <w:pageBreakBefore w:val="0"/>
        <w:kinsoku/>
        <w:overflowPunct/>
        <w:autoSpaceDE/>
        <w:autoSpaceDN/>
        <w:bidi w:val="0"/>
        <w:spacing w:line="400" w:lineRule="exact"/>
        <w:ind w:right="-506" w:rightChars="-241"/>
        <w:rPr>
          <w:rFonts w:cs="Calibri"/>
          <w:color w:val="auto"/>
          <w:spacing w:val="14"/>
          <w:sz w:val="24"/>
          <w:szCs w:val="24"/>
          <w:highlight w:val="none"/>
        </w:rPr>
      </w:pPr>
      <w:r>
        <w:rPr>
          <w:rFonts w:cs="Calibri"/>
          <w:color w:val="auto"/>
          <w:spacing w:val="14"/>
          <w:sz w:val="24"/>
          <w:szCs w:val="24"/>
          <w:highlight w:val="none"/>
        </w:rPr>
        <w:t>（</w:t>
      </w:r>
      <w:r>
        <w:rPr>
          <w:rFonts w:hint="eastAsia" w:cs="Calibri"/>
          <w:color w:val="auto"/>
          <w:spacing w:val="14"/>
          <w:sz w:val="24"/>
          <w:szCs w:val="24"/>
          <w:highlight w:val="none"/>
        </w:rPr>
        <w:t>2</w:t>
      </w:r>
      <w:r>
        <w:rPr>
          <w:rFonts w:cs="Calibri"/>
          <w:color w:val="auto"/>
          <w:spacing w:val="14"/>
          <w:sz w:val="24"/>
          <w:szCs w:val="24"/>
          <w:highlight w:val="none"/>
        </w:rPr>
        <w:t>）各评分因素分值精确到小数点后</w:t>
      </w:r>
      <w:r>
        <w:rPr>
          <w:rFonts w:hint="eastAsia" w:cs="Calibri"/>
          <w:color w:val="auto"/>
          <w:spacing w:val="14"/>
          <w:sz w:val="24"/>
          <w:szCs w:val="24"/>
          <w:highlight w:val="none"/>
        </w:rPr>
        <w:t>两</w:t>
      </w:r>
      <w:r>
        <w:rPr>
          <w:rFonts w:cs="Calibri"/>
          <w:color w:val="auto"/>
          <w:spacing w:val="14"/>
          <w:sz w:val="24"/>
          <w:szCs w:val="24"/>
          <w:highlight w:val="none"/>
        </w:rPr>
        <w:t>位。</w:t>
      </w:r>
    </w:p>
    <w:p w14:paraId="2DB0FF79">
      <w:pPr>
        <w:keepNext w:val="0"/>
        <w:keepLines w:val="0"/>
        <w:pageBreakBefore w:val="0"/>
        <w:kinsoku/>
        <w:overflowPunct/>
        <w:autoSpaceDE/>
        <w:autoSpaceDN/>
        <w:bidi w:val="0"/>
        <w:spacing w:line="400" w:lineRule="exact"/>
        <w:ind w:right="-506" w:rightChars="-241"/>
        <w:rPr>
          <w:rFonts w:cs="Calibri"/>
          <w:color w:val="auto"/>
          <w:spacing w:val="14"/>
          <w:sz w:val="24"/>
          <w:szCs w:val="24"/>
          <w:highlight w:val="none"/>
        </w:rPr>
        <w:sectPr>
          <w:footerReference r:id="rId5" w:type="default"/>
          <w:pgSz w:w="11907" w:h="16840"/>
          <w:pgMar w:top="1440" w:right="1797" w:bottom="1440" w:left="1377" w:header="720" w:footer="1197" w:gutter="0"/>
          <w:pgBorders>
            <w:top w:val="none" w:sz="0" w:space="0"/>
            <w:left w:val="none" w:sz="0" w:space="0"/>
            <w:bottom w:val="none" w:sz="0" w:space="0"/>
            <w:right w:val="none" w:sz="0" w:space="0"/>
          </w:pgBorders>
          <w:pgNumType w:start="1"/>
          <w:cols w:space="720" w:num="1"/>
          <w:docGrid w:type="lines" w:linePitch="285" w:charSpace="0"/>
        </w:sectPr>
      </w:pPr>
      <w:r>
        <w:rPr>
          <w:rFonts w:hint="eastAsia" w:cs="Calibri"/>
          <w:color w:val="auto"/>
          <w:spacing w:val="14"/>
          <w:sz w:val="24"/>
          <w:szCs w:val="24"/>
          <w:highlight w:val="none"/>
          <w:lang w:eastAsia="zh-CN"/>
        </w:rPr>
        <w:t>（</w:t>
      </w:r>
      <w:r>
        <w:rPr>
          <w:rFonts w:hint="eastAsia" w:cs="Calibri"/>
          <w:color w:val="auto"/>
          <w:spacing w:val="14"/>
          <w:sz w:val="24"/>
          <w:szCs w:val="24"/>
          <w:highlight w:val="none"/>
          <w:lang w:val="en-US" w:eastAsia="zh-CN"/>
        </w:rPr>
        <w:t>3</w:t>
      </w:r>
      <w:r>
        <w:rPr>
          <w:rFonts w:hint="eastAsia" w:cs="Calibri"/>
          <w:color w:val="auto"/>
          <w:spacing w:val="14"/>
          <w:sz w:val="24"/>
          <w:szCs w:val="24"/>
          <w:highlight w:val="none"/>
          <w:lang w:eastAsia="zh-CN"/>
        </w:rPr>
        <w:t>）</w:t>
      </w:r>
      <w:r>
        <w:rPr>
          <w:rFonts w:hint="eastAsia" w:cs="Calibri"/>
          <w:color w:val="auto"/>
          <w:spacing w:val="14"/>
          <w:sz w:val="24"/>
          <w:szCs w:val="24"/>
          <w:highlight w:val="none"/>
          <w:lang w:val="en-US" w:eastAsia="zh-CN"/>
        </w:rPr>
        <w:t>综合</w:t>
      </w:r>
      <w:r>
        <w:rPr>
          <w:rFonts w:hint="eastAsia" w:cs="Calibri"/>
          <w:color w:val="auto"/>
          <w:spacing w:val="14"/>
          <w:sz w:val="24"/>
          <w:szCs w:val="24"/>
          <w:highlight w:val="none"/>
        </w:rPr>
        <w:t>得分计算结果保留两位小数，第三位四舍五入。</w:t>
      </w:r>
    </w:p>
    <w:p w14:paraId="4ACE79CB">
      <w:pPr>
        <w:keepNext/>
        <w:keepLines w:val="0"/>
        <w:pageBreakBefore w:val="0"/>
        <w:widowControl w:val="0"/>
        <w:kinsoku/>
        <w:wordWrap/>
        <w:overflowPunct/>
        <w:topLinePunct w:val="0"/>
        <w:autoSpaceDE/>
        <w:autoSpaceDN/>
        <w:bidi w:val="0"/>
        <w:adjustRightInd/>
        <w:snapToGrid/>
        <w:jc w:val="center"/>
        <w:textAlignment w:val="auto"/>
        <w:outlineLvl w:val="0"/>
        <w:rPr>
          <w:rFonts w:hint="eastAsia"/>
          <w:b/>
          <w:color w:val="auto"/>
          <w:sz w:val="36"/>
          <w:szCs w:val="36"/>
          <w:highlight w:val="none"/>
        </w:rPr>
      </w:pPr>
      <w:r>
        <w:rPr>
          <w:b/>
          <w:color w:val="auto"/>
          <w:sz w:val="36"/>
          <w:szCs w:val="36"/>
          <w:highlight w:val="none"/>
        </w:rPr>
        <w:t>第</w:t>
      </w:r>
      <w:r>
        <w:rPr>
          <w:rFonts w:hint="eastAsia"/>
          <w:b/>
          <w:color w:val="auto"/>
          <w:sz w:val="36"/>
          <w:szCs w:val="36"/>
          <w:highlight w:val="none"/>
        </w:rPr>
        <w:t>四</w:t>
      </w:r>
      <w:r>
        <w:rPr>
          <w:b/>
          <w:color w:val="auto"/>
          <w:sz w:val="36"/>
          <w:szCs w:val="36"/>
          <w:highlight w:val="none"/>
        </w:rPr>
        <w:t xml:space="preserve">部分  </w:t>
      </w:r>
      <w:r>
        <w:rPr>
          <w:rFonts w:hint="eastAsia"/>
          <w:b/>
          <w:color w:val="auto"/>
          <w:sz w:val="36"/>
          <w:szCs w:val="36"/>
          <w:highlight w:val="none"/>
          <w:lang w:val="en-US" w:eastAsia="zh-CN"/>
        </w:rPr>
        <w:t>采购需</w:t>
      </w:r>
      <w:r>
        <w:rPr>
          <w:rFonts w:hint="eastAsia"/>
          <w:b/>
          <w:color w:val="auto"/>
          <w:sz w:val="36"/>
          <w:szCs w:val="36"/>
          <w:highlight w:val="none"/>
        </w:rPr>
        <w:t>求</w:t>
      </w:r>
      <w:bookmarkStart w:id="1" w:name="_Toc149830845"/>
    </w:p>
    <w:bookmarkEnd w:id="1"/>
    <w:p w14:paraId="1AB94E93">
      <w:pPr>
        <w:outlineLvl w:val="1"/>
        <w:rPr>
          <w:rFonts w:hint="eastAsia" w:ascii="宋体" w:hAnsi="宋体" w:eastAsia="宋体" w:cs="宋体"/>
          <w:b/>
          <w:bCs/>
          <w:sz w:val="24"/>
          <w:szCs w:val="24"/>
        </w:rPr>
      </w:pPr>
      <w:r>
        <w:rPr>
          <w:rFonts w:hint="eastAsia" w:ascii="宋体" w:hAnsi="宋体" w:eastAsia="宋体" w:cs="宋体"/>
          <w:b/>
          <w:bCs/>
          <w:sz w:val="24"/>
          <w:szCs w:val="24"/>
        </w:rPr>
        <w:t>一、商务要求</w:t>
      </w:r>
    </w:p>
    <w:tbl>
      <w:tblPr>
        <w:tblStyle w:val="32"/>
        <w:tblW w:w="87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5"/>
        <w:gridCol w:w="7033"/>
      </w:tblGrid>
      <w:tr w14:paraId="271EC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30EE7564">
            <w:pPr>
              <w:widowControl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项目</w:t>
            </w:r>
          </w:p>
        </w:tc>
        <w:tc>
          <w:tcPr>
            <w:tcW w:w="7033" w:type="dxa"/>
            <w:tcBorders>
              <w:top w:val="single" w:color="auto" w:sz="4" w:space="0"/>
              <w:left w:val="single" w:color="auto" w:sz="4" w:space="0"/>
              <w:bottom w:val="single" w:color="auto" w:sz="4" w:space="0"/>
              <w:right w:val="single" w:color="auto" w:sz="4" w:space="0"/>
            </w:tcBorders>
            <w:vAlign w:val="center"/>
          </w:tcPr>
          <w:p w14:paraId="2F923279">
            <w:pPr>
              <w:widowControl w:val="0"/>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要 求</w:t>
            </w:r>
          </w:p>
        </w:tc>
      </w:tr>
      <w:tr w14:paraId="6DD85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0DB7B116">
            <w:pPr>
              <w:snapToGrid w:val="0"/>
              <w:spacing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项目</w:t>
            </w:r>
            <w:r>
              <w:rPr>
                <w:rFonts w:hint="eastAsia" w:ascii="宋体" w:hAnsi="宋体" w:eastAsia="宋体" w:cs="宋体"/>
                <w:b w:val="0"/>
                <w:bCs w:val="0"/>
                <w:color w:val="auto"/>
                <w:sz w:val="24"/>
                <w:szCs w:val="24"/>
                <w:highlight w:val="none"/>
                <w:lang w:val="en-US" w:eastAsia="zh-CN"/>
              </w:rPr>
              <w:t>名称</w:t>
            </w:r>
          </w:p>
        </w:tc>
        <w:tc>
          <w:tcPr>
            <w:tcW w:w="7033" w:type="dxa"/>
            <w:tcBorders>
              <w:top w:val="single" w:color="auto" w:sz="4" w:space="0"/>
              <w:left w:val="single" w:color="auto" w:sz="4" w:space="0"/>
              <w:bottom w:val="single" w:color="auto" w:sz="4" w:space="0"/>
              <w:right w:val="single" w:color="auto" w:sz="4" w:space="0"/>
            </w:tcBorders>
            <w:vAlign w:val="center"/>
          </w:tcPr>
          <w:p w14:paraId="020CDF70">
            <w:pPr>
              <w:widowControl w:val="0"/>
              <w:snapToGrid w:val="0"/>
              <w:spacing w:line="40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金源路汽车公园及东港紧固件北侧地块运营服务</w:t>
            </w:r>
          </w:p>
        </w:tc>
      </w:tr>
      <w:tr w14:paraId="33EB1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63B74F8C">
            <w:pPr>
              <w:snapToGrid w:val="0"/>
              <w:spacing w:line="400" w:lineRule="exact"/>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2、采购预算</w:t>
            </w:r>
          </w:p>
        </w:tc>
        <w:tc>
          <w:tcPr>
            <w:tcW w:w="7033" w:type="dxa"/>
            <w:tcBorders>
              <w:top w:val="single" w:color="auto" w:sz="4" w:space="0"/>
              <w:left w:val="single" w:color="auto" w:sz="4" w:space="0"/>
              <w:bottom w:val="single" w:color="auto" w:sz="4" w:space="0"/>
              <w:right w:val="single" w:color="auto" w:sz="4" w:space="0"/>
            </w:tcBorders>
            <w:vAlign w:val="center"/>
          </w:tcPr>
          <w:p w14:paraId="09F298CB">
            <w:pPr>
              <w:widowControl w:val="0"/>
              <w:snapToGrid w:val="0"/>
              <w:spacing w:line="400" w:lineRule="exact"/>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22万元/年；66万元/三年</w:t>
            </w:r>
          </w:p>
        </w:tc>
      </w:tr>
      <w:tr w14:paraId="6DBA2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4DDAF5F7">
            <w:pPr>
              <w:snapToGrid w:val="0"/>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服务期限</w:t>
            </w:r>
          </w:p>
        </w:tc>
        <w:tc>
          <w:tcPr>
            <w:tcW w:w="7033" w:type="dxa"/>
            <w:tcBorders>
              <w:top w:val="single" w:color="auto" w:sz="4" w:space="0"/>
              <w:left w:val="single" w:color="auto" w:sz="4" w:space="0"/>
              <w:bottom w:val="single" w:color="auto" w:sz="4" w:space="0"/>
              <w:right w:val="single" w:color="auto" w:sz="4" w:space="0"/>
            </w:tcBorders>
            <w:vAlign w:val="center"/>
          </w:tcPr>
          <w:p w14:paraId="7F028B1D">
            <w:pPr>
              <w:widowControl w:val="0"/>
              <w:snapToGrid w:val="0"/>
              <w:spacing w:line="400" w:lineRule="exact"/>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自合同签订之日起三年</w:t>
            </w:r>
            <w:r>
              <w:rPr>
                <w:rFonts w:hint="eastAsia" w:ascii="宋体" w:hAnsi="宋体" w:eastAsia="宋体" w:cs="宋体"/>
                <w:b w:val="0"/>
                <w:bCs w:val="0"/>
                <w:color w:val="auto"/>
                <w:sz w:val="24"/>
                <w:szCs w:val="24"/>
                <w:highlight w:val="none"/>
              </w:rPr>
              <w:t>。</w:t>
            </w:r>
          </w:p>
        </w:tc>
      </w:tr>
      <w:tr w14:paraId="648244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7A6DF446">
            <w:pPr>
              <w:widowControl w:val="0"/>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、付款条件（经费核拨）</w:t>
            </w:r>
          </w:p>
        </w:tc>
        <w:tc>
          <w:tcPr>
            <w:tcW w:w="7033" w:type="dxa"/>
            <w:tcBorders>
              <w:top w:val="single" w:color="auto" w:sz="4" w:space="0"/>
              <w:left w:val="single" w:color="auto" w:sz="4" w:space="0"/>
              <w:bottom w:val="single" w:color="auto" w:sz="4" w:space="0"/>
              <w:right w:val="single" w:color="auto" w:sz="4" w:space="0"/>
            </w:tcBorders>
            <w:vAlign w:val="center"/>
          </w:tcPr>
          <w:p w14:paraId="638A9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服务费按季度结算，每季度支付金额=合同金额/4-考核违约金额；</w:t>
            </w:r>
          </w:p>
          <w:p w14:paraId="16CAF7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中标人按要求完成当季度任务后，向招标人开具正规的增值税税务发票，招标人于次季度第一个月底前向中标人支付上季度费用；</w:t>
            </w:r>
          </w:p>
          <w:p w14:paraId="13D588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根据考核情况如中标人有扣罚的，从当季度的费用中扣除。</w:t>
            </w:r>
          </w:p>
          <w:p w14:paraId="704BB6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注：每季度安排一次考核（满分100分），具体考核标准以合同签订时为准。考核结果与每季度服务经费拨付额挂钩：（1）当季度考核分在90分以上（包括90分）的为优秀，拨付全额季度服务经费；（2）当季度考核分在80（含）~90分的为良好，扣除季度服务经费的20%；（3）当季度考核分在70（含）~80分的为一般，扣除季度服务经费的50%；（4）当季度考核分在60（含）~70分的为合格，扣除季度服务经费的80%；（5）当季度考核分在60分以下的为不合格，考核不合格的，采购人有权单方解除合同，由此产生的后果由中标人自行承担。（6）公园整体环境被群众举报或被上级部门督办或通报批评的每次罚款200元，在当季服务经费中扣除。</w:t>
            </w:r>
          </w:p>
        </w:tc>
      </w:tr>
      <w:tr w14:paraId="758B7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25" w:type="dxa"/>
            <w:tcBorders>
              <w:top w:val="single" w:color="auto" w:sz="4" w:space="0"/>
              <w:left w:val="single" w:color="auto" w:sz="4" w:space="0"/>
              <w:bottom w:val="single" w:color="auto" w:sz="4" w:space="0"/>
              <w:right w:val="single" w:color="auto" w:sz="4" w:space="0"/>
            </w:tcBorders>
            <w:vAlign w:val="center"/>
          </w:tcPr>
          <w:p w14:paraId="6A583792">
            <w:pPr>
              <w:widowControl w:val="0"/>
              <w:numPr>
                <w:ilvl w:val="0"/>
                <w:numId w:val="2"/>
              </w:numPr>
              <w:spacing w:line="400" w:lineRule="exact"/>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履约保证金</w:t>
            </w:r>
          </w:p>
        </w:tc>
        <w:tc>
          <w:tcPr>
            <w:tcW w:w="7033" w:type="dxa"/>
            <w:tcBorders>
              <w:top w:val="single" w:color="auto" w:sz="4" w:space="0"/>
              <w:left w:val="single" w:color="auto" w:sz="4" w:space="0"/>
              <w:bottom w:val="single" w:color="auto" w:sz="4" w:space="0"/>
              <w:right w:val="single" w:color="auto" w:sz="4" w:space="0"/>
            </w:tcBorders>
            <w:vAlign w:val="center"/>
          </w:tcPr>
          <w:p w14:paraId="2E66ED7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合同价款的1%；</w:t>
            </w:r>
          </w:p>
          <w:p w14:paraId="5EBB2E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履约保证金形式：银行转账、金融机构、担保机构出具的保函或保险保单形式提交；</w:t>
            </w:r>
          </w:p>
          <w:p w14:paraId="64386C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提交时间：合同签订前；</w:t>
            </w:r>
          </w:p>
          <w:p w14:paraId="2A7EB4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履约保证金的退还：在采购人对本项目验收合格并确认中标人无违约行为后返还给中标人。如提供履约保函的，中标人应确保保函在本项目服务期内一直有效；如本项目服务期延期的，中标人应及时办理保函延期手续。</w:t>
            </w:r>
          </w:p>
        </w:tc>
      </w:tr>
      <w:tr w14:paraId="2EEB3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25" w:type="dxa"/>
            <w:tcBorders>
              <w:top w:val="single" w:color="auto" w:sz="4" w:space="0"/>
              <w:left w:val="single" w:color="auto" w:sz="4" w:space="0"/>
              <w:bottom w:val="single" w:color="auto" w:sz="4" w:space="0"/>
              <w:right w:val="single" w:color="auto" w:sz="4" w:space="0"/>
            </w:tcBorders>
            <w:vAlign w:val="center"/>
          </w:tcPr>
          <w:p w14:paraId="707806F3">
            <w:pPr>
              <w:spacing w:line="400" w:lineRule="exact"/>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5、合同终止</w:t>
            </w:r>
          </w:p>
        </w:tc>
        <w:tc>
          <w:tcPr>
            <w:tcW w:w="7033" w:type="dxa"/>
            <w:tcBorders>
              <w:top w:val="single" w:color="auto" w:sz="4" w:space="0"/>
              <w:left w:val="single" w:color="auto" w:sz="4" w:space="0"/>
              <w:bottom w:val="single" w:color="auto" w:sz="4" w:space="0"/>
              <w:right w:val="single" w:color="auto" w:sz="4" w:space="0"/>
            </w:tcBorders>
            <w:vAlign w:val="center"/>
          </w:tcPr>
          <w:p w14:paraId="311A9664">
            <w:pPr>
              <w:spacing w:line="400" w:lineRule="exact"/>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14:paraId="414FDC78">
      <w:pPr>
        <w:outlineLvl w:val="1"/>
        <w:rPr>
          <w:rFonts w:hint="eastAsia" w:ascii="宋体" w:hAnsi="宋体" w:eastAsia="宋体" w:cs="宋体"/>
          <w:b/>
          <w:bCs/>
          <w:sz w:val="24"/>
          <w:szCs w:val="24"/>
        </w:rPr>
      </w:pPr>
      <w:r>
        <w:rPr>
          <w:rFonts w:hint="eastAsia" w:ascii="宋体" w:hAnsi="宋体" w:eastAsia="宋体" w:cs="宋体"/>
          <w:b/>
          <w:bCs/>
          <w:sz w:val="24"/>
          <w:szCs w:val="24"/>
        </w:rPr>
        <w:t>二、项目要求</w:t>
      </w:r>
    </w:p>
    <w:p w14:paraId="739449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项目目标</w:t>
      </w:r>
    </w:p>
    <w:p w14:paraId="32AF4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1.持续提升市民游客满意度：通过优化公园服务、丰富特色活动内容、提升整体环境质量等方式，提高市民游客对公园的满意度。</w:t>
      </w:r>
    </w:p>
    <w:p w14:paraId="57B566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2.增加市民游客数量：通过公园软硬件改善提升，扩大宣传推广力度、举办特色主题活动等方式，吸引更多市民游客前来参观游览。</w:t>
      </w:r>
    </w:p>
    <w:p w14:paraId="3542C6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3.拓展经费来源：通过合理定价、开发文创产品、举办商业活动等方式，增加公园的建设维护费用，使之实现可持续发展。</w:t>
      </w:r>
    </w:p>
    <w:p w14:paraId="233A90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运营策略</w:t>
      </w:r>
    </w:p>
    <w:p w14:paraId="35031A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1.主题打造：明确公园的汽车文化主题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通过建设和布置来展现公园的汽车文化内涵。</w:t>
      </w:r>
    </w:p>
    <w:p w14:paraId="798174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2.活动策划与执行：定期举办各种文化活动增强市民游客的参与感和满意度。同时，注重活动的宣传和推广，提高活动的知名度和影响力。</w:t>
      </w:r>
    </w:p>
    <w:p w14:paraId="776C90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服务质量提升：加强公园内的服务设施建设，提升服务水平，切实满足市民游客的需求。例如，增加清洁人员的数量，提高清洁频率；加强设施的维护和保养，确保设施的正常运行；提供游客咨询、导览等服务。</w:t>
      </w:r>
    </w:p>
    <w:p w14:paraId="56268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4.宣传推广：充分利用互联网、社交媒体等新媒体进行公园的宣传推广，加强公园品牌的影响力，吸引更多的游客。同时，与旅游机构、媒体等建立合作关系，共同推广公园。</w:t>
      </w:r>
    </w:p>
    <w:p w14:paraId="215273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行动计划</w:t>
      </w:r>
    </w:p>
    <w:p w14:paraId="6BDDE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1、日常运营</w:t>
      </w:r>
    </w:p>
    <w:p w14:paraId="345A33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（1）派遣1名专职员工入驻公园，2名其他员工协助。建立公园巡视制度，登记管理日志；</w:t>
      </w:r>
    </w:p>
    <w:p w14:paraId="46006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（2）统筹安排月度、季度、年度活动计划、并进行活动记录（文字、图像、视频等形式不限）；</w:t>
      </w:r>
    </w:p>
    <w:p w14:paraId="000C60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（3）做好来访接待工作；</w:t>
      </w:r>
    </w:p>
    <w:p w14:paraId="5C5E04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（4）做好公园及设施看护、保管；</w:t>
      </w:r>
    </w:p>
    <w:p w14:paraId="516698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（5）公园内功能区管理看板内容更新；</w:t>
      </w:r>
    </w:p>
    <w:p w14:paraId="5711B8C5">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（6）停车场运营管理及停车场设备设施维护</w:t>
      </w:r>
    </w:p>
    <w:p w14:paraId="5D4B3E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）建立并落实场地安全管理制度；</w:t>
      </w:r>
    </w:p>
    <w:p w14:paraId="297C90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）日常卫生打扫、绿化维护；</w:t>
      </w:r>
    </w:p>
    <w:p w14:paraId="44D3C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）做好节能减排管理工作。</w:t>
      </w:r>
    </w:p>
    <w:p w14:paraId="3991DE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2、活动开展</w:t>
      </w:r>
    </w:p>
    <w:p w14:paraId="2BAFA6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（1）每月结合汽车一条街各品牌需求，组织开展1场及以上活动深化特色汽车街区的影响力提升，激发辖区内各品牌汽车4S店的参与热情与归属意识，推动资源共享与优化配置，为汽车品牌赋能。</w:t>
      </w:r>
    </w:p>
    <w:p w14:paraId="5465E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注：遇特殊情况，活动内容将做适当调整，以实际安排为准</w:t>
      </w:r>
    </w:p>
    <w:p w14:paraId="0E4E71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（2）每月制定运营计划和项目活动安排，通过预约，合理安排场地使用时间；</w:t>
      </w:r>
    </w:p>
    <w:p w14:paraId="614D4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（3）撰写活动报道，在公园微信公众号等自媒渠道发布，积极联系各种媒体渠道，发送活动新闻资讯；</w:t>
      </w:r>
    </w:p>
    <w:p w14:paraId="41B60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（4）定期做好月度、年中、年终总结；</w:t>
      </w:r>
    </w:p>
    <w:p w14:paraId="5226F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（5）协助上级管理部门举办大型活动。</w:t>
      </w:r>
    </w:p>
    <w:p w14:paraId="73D9B7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四</w:t>
      </w:r>
      <w:r>
        <w:rPr>
          <w:rFonts w:hint="eastAsia" w:ascii="宋体" w:hAnsi="宋体" w:eastAsia="宋体" w:cs="宋体"/>
          <w:sz w:val="24"/>
          <w:highlight w:val="none"/>
          <w:lang w:eastAsia="zh-CN"/>
        </w:rPr>
        <w:t>）</w:t>
      </w:r>
      <w:r>
        <w:rPr>
          <w:rFonts w:hint="eastAsia" w:ascii="宋体" w:hAnsi="宋体" w:eastAsia="宋体" w:cs="宋体"/>
          <w:sz w:val="24"/>
          <w:highlight w:val="none"/>
        </w:rPr>
        <w:t>风险管理</w:t>
      </w:r>
    </w:p>
    <w:p w14:paraId="6FBA33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1.天气风险：制定应急预案，应对恶劣天气对公园运营的影响。</w:t>
      </w:r>
    </w:p>
    <w:p w14:paraId="744565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2.安全风险：加强安全管理，确保游客和公园设施的安全。</w:t>
      </w:r>
    </w:p>
    <w:p w14:paraId="039313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3.市场风险：密切关注市场动态，及时调整运营策略，应对市场变化带来的风险。</w:t>
      </w:r>
    </w:p>
    <w:p w14:paraId="6E312E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（五）其他服务：</w:t>
      </w:r>
    </w:p>
    <w:p w14:paraId="04D9FE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金源路汽车公园地块公共停车场已建成，内有停车场、绿化、小广场、临时房、文体设施等，总面积约28.6亩，其中一期约9.8亩，二期约18.8亩，停车场面积约3.9亩，现有102个停车位，允许安装充电桩，但要求保证不少于42个常规车位；东港紧固件北侧地块位于北斗路与启明路交界，面积12亩，现状为空置场地，不允许安装充电桩，只作为停放车辆（限高2.5M以内及黄牌车辆进入）；汽车文化公园绿化养护及保洁管理。</w:t>
      </w:r>
    </w:p>
    <w:p w14:paraId="1F6F5B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其他要求：</w:t>
      </w:r>
    </w:p>
    <w:p w14:paraId="00E41A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rPr>
        <w:t>1、本停车场</w:t>
      </w:r>
      <w:r>
        <w:rPr>
          <w:rFonts w:hint="eastAsia" w:ascii="宋体" w:hAnsi="宋体" w:cs="宋体"/>
          <w:sz w:val="24"/>
          <w:highlight w:val="none"/>
          <w:lang w:eastAsia="zh-CN"/>
        </w:rPr>
        <w:t>、</w:t>
      </w:r>
      <w:r>
        <w:rPr>
          <w:rFonts w:hint="eastAsia" w:ascii="宋体" w:hAnsi="宋体" w:cs="宋体"/>
          <w:sz w:val="24"/>
          <w:highlight w:val="none"/>
          <w:lang w:val="en-US" w:eastAsia="zh-CN"/>
        </w:rPr>
        <w:t>公园一期配套用房、绿化养护及保洁服务</w:t>
      </w:r>
      <w:r>
        <w:rPr>
          <w:rFonts w:hint="eastAsia" w:ascii="宋体" w:hAnsi="宋体" w:cs="宋体"/>
          <w:sz w:val="24"/>
          <w:highlight w:val="none"/>
        </w:rPr>
        <w:t>方案制定后需经招标人认可后方可实施。</w:t>
      </w:r>
    </w:p>
    <w:p w14:paraId="78AC87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、本停车场收费标准、收费模式应经过招标人及相关单位认可后方可实施，</w:t>
      </w:r>
      <w:r>
        <w:rPr>
          <w:rFonts w:hint="eastAsia" w:ascii="宋体" w:hAnsi="宋体" w:cs="宋体"/>
          <w:sz w:val="24"/>
          <w:highlight w:val="none"/>
          <w:lang w:val="en-US" w:eastAsia="zh-CN"/>
        </w:rPr>
        <w:t>运营</w:t>
      </w:r>
      <w:r>
        <w:rPr>
          <w:rFonts w:hint="eastAsia" w:ascii="宋体" w:hAnsi="宋体" w:cs="宋体"/>
          <w:sz w:val="24"/>
          <w:highlight w:val="none"/>
        </w:rPr>
        <w:t>期间须按国家、省、市、区的相关规定及租赁要求合法经营，不得私自提高收费标准，否则将罚没履约保证金并终止租赁合同，设施设备归招标人所有。如罚没的金额不足以弥补招标人损失的，则招标人有权继续向中标人追偿。</w:t>
      </w:r>
    </w:p>
    <w:p w14:paraId="235514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运营</w:t>
      </w:r>
      <w:r>
        <w:rPr>
          <w:rFonts w:hint="eastAsia" w:ascii="宋体" w:hAnsi="宋体" w:cs="宋体"/>
          <w:sz w:val="24"/>
          <w:highlight w:val="none"/>
        </w:rPr>
        <w:t>期间，停车场不得违章搭建建筑物及构筑物，不得从事非法经营及任何违法犯罪活动。如违规且被相关职能部门处罚的，责任自负，并每次扣除履约保证金2000元人民币；如出现上述情况三次及以上的，则招标人有权终止合同，并没收全部履约保证金，设施设备归招标人所有。</w:t>
      </w:r>
    </w:p>
    <w:p w14:paraId="3CA5F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w:t>
      </w:r>
      <w:r>
        <w:rPr>
          <w:rFonts w:hint="eastAsia" w:ascii="宋体" w:hAnsi="宋体" w:cs="宋体"/>
          <w:sz w:val="24"/>
          <w:highlight w:val="none"/>
          <w:lang w:val="en-US" w:eastAsia="zh-CN"/>
        </w:rPr>
        <w:t>运营</w:t>
      </w:r>
      <w:r>
        <w:rPr>
          <w:rFonts w:hint="eastAsia" w:ascii="宋体" w:hAnsi="宋体" w:cs="宋体"/>
          <w:sz w:val="24"/>
          <w:highlight w:val="none"/>
        </w:rPr>
        <w:t>期间，停车场的公设费、场地管理费、水电费（场地内的水电接口由中标人于租赁期开始前解决）等相关部门收取的费用及其他各种费用均由中标人自行承担，与招标人无涉，如发生缴费拖欠事宜损害招标人利益的，招标人有权终止合同并罚没履约保证金，设施设备归招标人所有，并由中标人承担相关责任和费用。</w:t>
      </w:r>
    </w:p>
    <w:p w14:paraId="009763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运营期</w:t>
      </w:r>
      <w:r>
        <w:rPr>
          <w:rFonts w:hint="eastAsia" w:ascii="宋体" w:hAnsi="宋体" w:cs="宋体"/>
          <w:sz w:val="24"/>
          <w:highlight w:val="none"/>
        </w:rPr>
        <w:t>满后，中标人</w:t>
      </w:r>
      <w:r>
        <w:rPr>
          <w:rFonts w:hint="eastAsia" w:ascii="宋体" w:hAnsi="宋体" w:cs="宋体"/>
          <w:sz w:val="24"/>
          <w:highlight w:val="none"/>
          <w:lang w:val="zh-CN"/>
        </w:rPr>
        <w:t>不得留存物品</w:t>
      </w:r>
      <w:r>
        <w:rPr>
          <w:rFonts w:hint="eastAsia" w:ascii="宋体" w:hAnsi="宋体" w:cs="宋体"/>
          <w:sz w:val="24"/>
          <w:highlight w:val="none"/>
        </w:rPr>
        <w:t>杂物</w:t>
      </w:r>
      <w:r>
        <w:rPr>
          <w:rFonts w:hint="eastAsia" w:ascii="宋体" w:hAnsi="宋体" w:cs="宋体"/>
          <w:sz w:val="24"/>
          <w:highlight w:val="none"/>
          <w:lang w:val="zh-CN"/>
        </w:rPr>
        <w:t>或影响</w:t>
      </w:r>
      <w:r>
        <w:rPr>
          <w:rFonts w:hint="eastAsia" w:ascii="宋体" w:hAnsi="宋体" w:cs="宋体"/>
          <w:sz w:val="24"/>
          <w:highlight w:val="none"/>
        </w:rPr>
        <w:t>停车场</w:t>
      </w:r>
      <w:r>
        <w:rPr>
          <w:rFonts w:hint="eastAsia" w:ascii="宋体" w:hAnsi="宋体" w:cs="宋体"/>
          <w:sz w:val="24"/>
          <w:highlight w:val="none"/>
          <w:lang w:val="zh-CN"/>
        </w:rPr>
        <w:t>的正常使用。对未经同意留存的物品，招标人有权处置，且中标人不得向招标人索取相应的经济补偿，</w:t>
      </w:r>
      <w:r>
        <w:rPr>
          <w:rFonts w:hint="eastAsia" w:ascii="宋体" w:hAnsi="宋体" w:cs="宋体"/>
          <w:sz w:val="24"/>
          <w:highlight w:val="none"/>
          <w:lang w:val="en-US" w:eastAsia="zh-CN"/>
        </w:rPr>
        <w:t>运营</w:t>
      </w:r>
      <w:r>
        <w:rPr>
          <w:rFonts w:hint="eastAsia" w:ascii="宋体" w:hAnsi="宋体" w:cs="宋体"/>
          <w:sz w:val="24"/>
          <w:highlight w:val="none"/>
        </w:rPr>
        <w:t>期满后停车场</w:t>
      </w:r>
      <w:r>
        <w:rPr>
          <w:rFonts w:hint="eastAsia" w:ascii="宋体" w:hAnsi="宋体" w:cs="宋体"/>
          <w:sz w:val="24"/>
          <w:highlight w:val="none"/>
          <w:lang w:val="zh-CN"/>
        </w:rPr>
        <w:t>内</w:t>
      </w:r>
      <w:r>
        <w:rPr>
          <w:rFonts w:hint="eastAsia" w:ascii="宋体" w:hAnsi="宋体" w:cs="宋体"/>
          <w:sz w:val="24"/>
          <w:highlight w:val="none"/>
        </w:rPr>
        <w:t>由中标人所投入的设施设备及相关工程等由中标人自行处置，如到期30天内拒不处置的，所有设施设备及工程归招标人所有</w:t>
      </w:r>
      <w:r>
        <w:rPr>
          <w:rFonts w:hint="eastAsia" w:ascii="宋体" w:hAnsi="宋体" w:cs="宋体"/>
          <w:sz w:val="24"/>
          <w:highlight w:val="none"/>
          <w:lang w:val="zh-CN"/>
        </w:rPr>
        <w:t>。</w:t>
      </w:r>
    </w:p>
    <w:p w14:paraId="334763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en-US" w:eastAsia="zh-CN"/>
        </w:rPr>
        <w:t>运营</w:t>
      </w:r>
      <w:r>
        <w:rPr>
          <w:rFonts w:hint="eastAsia" w:ascii="宋体" w:hAnsi="宋体" w:cs="宋体"/>
          <w:sz w:val="24"/>
          <w:highlight w:val="none"/>
        </w:rPr>
        <w:t>期间，中标人须遵守国家法律、法规，注重安全经营，实施安全经营措施如配置安全警告标志、灭火器材等设施，建立安全、消防、交通等管理制度和做好相关工作，因违法、违规被有关部门查处所造成的后果由中标人承担，与招标人无涉。在租赁期间所发生的一切责任事故，由中标人承担，与招标人无关。</w:t>
      </w:r>
    </w:p>
    <w:p w14:paraId="1D1E29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w:t>
      </w:r>
      <w:r>
        <w:rPr>
          <w:rFonts w:hint="eastAsia" w:ascii="宋体" w:hAnsi="宋体" w:cs="宋体"/>
          <w:sz w:val="24"/>
          <w:highlight w:val="none"/>
          <w:lang w:val="en-US" w:eastAsia="zh-CN"/>
        </w:rPr>
        <w:t>运营</w:t>
      </w:r>
      <w:r>
        <w:rPr>
          <w:rFonts w:hint="eastAsia" w:ascii="宋体" w:hAnsi="宋体" w:cs="宋体"/>
          <w:sz w:val="24"/>
          <w:highlight w:val="none"/>
        </w:rPr>
        <w:t>期间，停车场范围内所有的市政设施由中标人负责维护，场地中所有因自然灾害或人为因素发生的安全生产事故，对第三方的人身安全造成伤害、财务造成损失的，由承租方承担。</w:t>
      </w:r>
    </w:p>
    <w:p w14:paraId="2E3D1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、中标人在停车场内不允许安装任何洗车、修车设施设备。</w:t>
      </w:r>
    </w:p>
    <w:p w14:paraId="7C2EB4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、中标人应做好停车场的设施设备配置、管理人员配备、招租及停车场范围内日常管理、基础设施维护维修、环境卫生保洁、噪音控制等。</w:t>
      </w:r>
    </w:p>
    <w:p w14:paraId="7AD5E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10、</w:t>
      </w:r>
      <w:r>
        <w:rPr>
          <w:rFonts w:hint="eastAsia" w:ascii="宋体" w:hAnsi="宋体" w:eastAsia="宋体" w:cs="宋体"/>
          <w:sz w:val="24"/>
          <w:highlight w:val="none"/>
          <w:lang w:val="en-US" w:eastAsia="zh-CN"/>
        </w:rPr>
        <w:t>公园一期配套用房业态要求：1）禁止业态：禁止引进产生油烟污染或产生异味的饮食服务项目，禁止五金加工、铝合金门窗店、建筑装潢材料、电动自行车维修及其它会对居民生活产生噪声、污染影响的业态。（注：如业态方案经三分之二以上评审成员签字确认不符合招标要求的，则作无效处理）。2）中标人应做好整体业态打造和管理工作。3）其他要求：项目中标后以现状交付中标人，中标人须服从业主方及街道整体规划需求，业态控制方案送招标人备案后才可实施，业态方案的实施可行性最终以相关部门审批为准。</w:t>
      </w:r>
    </w:p>
    <w:p w14:paraId="7CD858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注：如中标人业态管控不满足要求的，应立即在招标人或相关部门规定的时间内进行整改，如二次整改后仍不到位的，招标人可单方解除本合同，并将履约保证金作为违约金不予退还。</w:t>
      </w:r>
    </w:p>
    <w:p w14:paraId="41762CC8">
      <w:pPr>
        <w:rPr>
          <w:b/>
          <w:color w:val="auto"/>
          <w:kern w:val="0"/>
          <w:szCs w:val="21"/>
          <w:highlight w:val="none"/>
        </w:rPr>
      </w:pPr>
      <w:r>
        <w:rPr>
          <w:b/>
          <w:color w:val="auto"/>
          <w:kern w:val="0"/>
          <w:szCs w:val="21"/>
          <w:highlight w:val="none"/>
        </w:rPr>
        <w:br w:type="page"/>
      </w:r>
    </w:p>
    <w:p w14:paraId="4A7E2C31">
      <w:pPr>
        <w:jc w:val="center"/>
        <w:outlineLvl w:val="0"/>
        <w:rPr>
          <w:b/>
          <w:color w:val="auto"/>
          <w:sz w:val="36"/>
          <w:szCs w:val="36"/>
          <w:highlight w:val="none"/>
        </w:rPr>
      </w:pPr>
      <w:bookmarkStart w:id="2" w:name="_Toc50348105"/>
      <w:r>
        <w:rPr>
          <w:b/>
          <w:color w:val="auto"/>
          <w:sz w:val="36"/>
          <w:szCs w:val="36"/>
          <w:highlight w:val="none"/>
        </w:rPr>
        <w:t>第</w:t>
      </w:r>
      <w:r>
        <w:rPr>
          <w:rFonts w:hint="eastAsia"/>
          <w:b/>
          <w:color w:val="auto"/>
          <w:sz w:val="36"/>
          <w:szCs w:val="36"/>
          <w:highlight w:val="none"/>
        </w:rPr>
        <w:t>五</w:t>
      </w:r>
      <w:r>
        <w:rPr>
          <w:b/>
          <w:color w:val="auto"/>
          <w:sz w:val="36"/>
          <w:szCs w:val="36"/>
          <w:highlight w:val="none"/>
        </w:rPr>
        <w:t xml:space="preserve">部分  </w:t>
      </w:r>
      <w:r>
        <w:rPr>
          <w:rFonts w:hint="eastAsia"/>
          <w:b/>
          <w:color w:val="auto"/>
          <w:sz w:val="36"/>
          <w:szCs w:val="36"/>
          <w:highlight w:val="none"/>
        </w:rPr>
        <w:t>合同条款及合同格式</w:t>
      </w:r>
    </w:p>
    <w:p w14:paraId="174E2B8F">
      <w:pPr>
        <w:jc w:val="center"/>
        <w:rPr>
          <w:b/>
          <w:color w:val="auto"/>
          <w:sz w:val="30"/>
          <w:szCs w:val="30"/>
          <w:highlight w:val="none"/>
        </w:rPr>
      </w:pPr>
    </w:p>
    <w:p w14:paraId="40BA73B5">
      <w:pPr>
        <w:spacing w:line="440" w:lineRule="exact"/>
        <w:jc w:val="center"/>
        <w:rPr>
          <w:rFonts w:ascii="宋体" w:hAnsi="宋体" w:cs="宋体"/>
          <w:b/>
          <w:sz w:val="28"/>
          <w:szCs w:val="28"/>
          <w:highlight w:val="none"/>
        </w:rPr>
      </w:pPr>
    </w:p>
    <w:p w14:paraId="19CAA9FF">
      <w:pPr>
        <w:pStyle w:val="16"/>
        <w:ind w:firstLine="210"/>
        <w:rPr>
          <w:sz w:val="28"/>
          <w:szCs w:val="28"/>
          <w:highlight w:val="none"/>
        </w:rPr>
      </w:pPr>
    </w:p>
    <w:p w14:paraId="31E0F1C7">
      <w:pPr>
        <w:rPr>
          <w:sz w:val="28"/>
          <w:szCs w:val="28"/>
          <w:highlight w:val="none"/>
        </w:rPr>
      </w:pPr>
    </w:p>
    <w:p w14:paraId="05A57AEA">
      <w:pPr>
        <w:jc w:val="center"/>
        <w:rPr>
          <w:rFonts w:hint="eastAsia"/>
          <w:b/>
          <w:bCs/>
          <w:sz w:val="28"/>
          <w:szCs w:val="28"/>
          <w:highlight w:val="none"/>
        </w:rPr>
      </w:pPr>
    </w:p>
    <w:p w14:paraId="06A48F70">
      <w:pPr>
        <w:jc w:val="center"/>
        <w:rPr>
          <w:b/>
          <w:bCs/>
          <w:sz w:val="28"/>
          <w:szCs w:val="28"/>
          <w:highlight w:val="none"/>
        </w:rPr>
      </w:pPr>
      <w:r>
        <w:rPr>
          <w:rFonts w:hint="eastAsia"/>
          <w:b/>
          <w:bCs/>
          <w:sz w:val="28"/>
          <w:szCs w:val="28"/>
          <w:highlight w:val="none"/>
          <w:lang w:eastAsia="zh-CN"/>
        </w:rPr>
        <w:t xml:space="preserve"> 金源路汽车公园及东港紧固件北侧地块运营服务</w:t>
      </w:r>
      <w:r>
        <w:rPr>
          <w:rFonts w:hint="eastAsia"/>
          <w:b/>
          <w:bCs/>
          <w:sz w:val="28"/>
          <w:szCs w:val="28"/>
          <w:highlight w:val="none"/>
        </w:rPr>
        <w:t>合同书</w:t>
      </w:r>
    </w:p>
    <w:p w14:paraId="7A1481C8">
      <w:pPr>
        <w:rPr>
          <w:sz w:val="28"/>
          <w:szCs w:val="28"/>
          <w:highlight w:val="none"/>
        </w:rPr>
      </w:pPr>
    </w:p>
    <w:p w14:paraId="7021EDB1">
      <w:pPr>
        <w:rPr>
          <w:sz w:val="28"/>
          <w:szCs w:val="28"/>
          <w:highlight w:val="none"/>
        </w:rPr>
      </w:pPr>
    </w:p>
    <w:p w14:paraId="01E4B4FA">
      <w:pPr>
        <w:rPr>
          <w:sz w:val="28"/>
          <w:szCs w:val="28"/>
          <w:highlight w:val="none"/>
        </w:rPr>
      </w:pPr>
    </w:p>
    <w:p w14:paraId="2C08AEF4">
      <w:pPr>
        <w:pStyle w:val="114"/>
        <w:ind w:firstLine="480"/>
        <w:rPr>
          <w:sz w:val="28"/>
          <w:szCs w:val="28"/>
          <w:highlight w:val="none"/>
        </w:rPr>
      </w:pPr>
    </w:p>
    <w:p w14:paraId="214DC9F3">
      <w:pPr>
        <w:pStyle w:val="114"/>
        <w:ind w:firstLine="480"/>
        <w:rPr>
          <w:sz w:val="28"/>
          <w:szCs w:val="28"/>
          <w:highlight w:val="none"/>
        </w:rPr>
      </w:pPr>
    </w:p>
    <w:p w14:paraId="2EB53584">
      <w:pPr>
        <w:ind w:firstLine="840" w:firstLineChars="300"/>
        <w:rPr>
          <w:sz w:val="28"/>
          <w:szCs w:val="28"/>
          <w:highlight w:val="none"/>
        </w:rPr>
      </w:pPr>
      <w:r>
        <w:rPr>
          <w:rFonts w:hint="eastAsia"/>
          <w:sz w:val="28"/>
          <w:szCs w:val="28"/>
          <w:highlight w:val="none"/>
        </w:rPr>
        <w:t xml:space="preserve">甲方：                                       </w:t>
      </w:r>
    </w:p>
    <w:p w14:paraId="684F3CF0">
      <w:pPr>
        <w:rPr>
          <w:sz w:val="28"/>
          <w:szCs w:val="28"/>
          <w:highlight w:val="none"/>
        </w:rPr>
      </w:pPr>
    </w:p>
    <w:p w14:paraId="211B6B12">
      <w:pPr>
        <w:ind w:firstLine="840" w:firstLineChars="300"/>
        <w:rPr>
          <w:rFonts w:hint="eastAsia"/>
          <w:sz w:val="28"/>
          <w:szCs w:val="28"/>
          <w:highlight w:val="none"/>
        </w:rPr>
      </w:pPr>
    </w:p>
    <w:p w14:paraId="1ABDE8B4">
      <w:pPr>
        <w:ind w:firstLine="840" w:firstLineChars="300"/>
        <w:rPr>
          <w:rFonts w:hint="eastAsia"/>
          <w:sz w:val="28"/>
          <w:szCs w:val="28"/>
          <w:highlight w:val="none"/>
        </w:rPr>
      </w:pPr>
    </w:p>
    <w:p w14:paraId="15B3F7E0">
      <w:pPr>
        <w:ind w:firstLine="840" w:firstLineChars="300"/>
        <w:rPr>
          <w:sz w:val="28"/>
          <w:szCs w:val="28"/>
          <w:highlight w:val="none"/>
        </w:rPr>
      </w:pPr>
      <w:r>
        <w:rPr>
          <w:rFonts w:hint="eastAsia"/>
          <w:sz w:val="28"/>
          <w:szCs w:val="28"/>
          <w:highlight w:val="none"/>
        </w:rPr>
        <w:t xml:space="preserve">乙方：                                       </w:t>
      </w:r>
    </w:p>
    <w:p w14:paraId="62FE9C58">
      <w:pPr>
        <w:rPr>
          <w:sz w:val="28"/>
          <w:szCs w:val="28"/>
          <w:highlight w:val="none"/>
        </w:rPr>
      </w:pPr>
    </w:p>
    <w:p w14:paraId="09932628">
      <w:pPr>
        <w:ind w:firstLine="840" w:firstLineChars="300"/>
        <w:rPr>
          <w:rFonts w:hint="eastAsia"/>
          <w:sz w:val="28"/>
          <w:szCs w:val="28"/>
          <w:highlight w:val="none"/>
        </w:rPr>
      </w:pPr>
    </w:p>
    <w:p w14:paraId="258C28E9">
      <w:pPr>
        <w:ind w:firstLine="840" w:firstLineChars="300"/>
        <w:rPr>
          <w:rFonts w:hint="eastAsia"/>
          <w:sz w:val="28"/>
          <w:szCs w:val="28"/>
          <w:highlight w:val="none"/>
        </w:rPr>
      </w:pPr>
    </w:p>
    <w:p w14:paraId="16EA8469">
      <w:pPr>
        <w:ind w:firstLine="840" w:firstLineChars="300"/>
        <w:rPr>
          <w:sz w:val="28"/>
          <w:szCs w:val="28"/>
          <w:highlight w:val="none"/>
        </w:rPr>
      </w:pPr>
      <w:r>
        <w:rPr>
          <w:rFonts w:hint="eastAsia"/>
          <w:sz w:val="28"/>
          <w:szCs w:val="28"/>
          <w:highlight w:val="none"/>
        </w:rPr>
        <w:t xml:space="preserve">签订地：                                     </w:t>
      </w:r>
    </w:p>
    <w:p w14:paraId="455B14D9">
      <w:pPr>
        <w:rPr>
          <w:sz w:val="28"/>
          <w:szCs w:val="28"/>
          <w:highlight w:val="none"/>
        </w:rPr>
      </w:pPr>
    </w:p>
    <w:p w14:paraId="56778911">
      <w:pPr>
        <w:ind w:firstLine="840" w:firstLineChars="300"/>
        <w:rPr>
          <w:rFonts w:hint="eastAsia"/>
          <w:sz w:val="28"/>
          <w:szCs w:val="28"/>
          <w:highlight w:val="none"/>
        </w:rPr>
      </w:pPr>
    </w:p>
    <w:p w14:paraId="7C5B1DC8">
      <w:pPr>
        <w:ind w:firstLine="840" w:firstLineChars="300"/>
        <w:rPr>
          <w:rFonts w:hint="eastAsia"/>
          <w:sz w:val="28"/>
          <w:szCs w:val="28"/>
          <w:highlight w:val="none"/>
        </w:rPr>
      </w:pPr>
    </w:p>
    <w:p w14:paraId="11AE72C8">
      <w:pPr>
        <w:ind w:firstLine="840" w:firstLineChars="300"/>
        <w:rPr>
          <w:sz w:val="28"/>
          <w:szCs w:val="28"/>
          <w:highlight w:val="none"/>
        </w:rPr>
      </w:pPr>
      <w:r>
        <w:rPr>
          <w:rFonts w:hint="eastAsia"/>
          <w:sz w:val="28"/>
          <w:szCs w:val="28"/>
          <w:highlight w:val="none"/>
        </w:rPr>
        <w:t>签订日期：      年       月       日</w:t>
      </w:r>
    </w:p>
    <w:p w14:paraId="37F1FF87">
      <w:pPr>
        <w:spacing w:line="360" w:lineRule="auto"/>
        <w:rPr>
          <w:rFonts w:hint="eastAsia"/>
          <w:highlight w:val="none"/>
        </w:rPr>
      </w:pPr>
      <w:r>
        <w:rPr>
          <w:rFonts w:hint="eastAsia"/>
          <w:highlight w:val="none"/>
        </w:rPr>
        <w:br w:type="page"/>
      </w:r>
    </w:p>
    <w:p w14:paraId="0A2E0B3A">
      <w:pPr>
        <w:pStyle w:val="20"/>
        <w:spacing w:before="0" w:beforeLines="0" w:after="0" w:afterLines="0" w:line="360" w:lineRule="auto"/>
        <w:jc w:val="center"/>
        <w:outlineLvl w:val="9"/>
        <w:rPr>
          <w:rFonts w:ascii="Times New Roman" w:hAnsi="Times New Roman"/>
          <w:b/>
          <w:sz w:val="30"/>
          <w:szCs w:val="30"/>
          <w:highlight w:val="none"/>
        </w:rPr>
      </w:pPr>
      <w:r>
        <w:rPr>
          <w:rFonts w:ascii="Times New Roman" w:hAnsi="Times New Roman"/>
          <w:b/>
          <w:sz w:val="30"/>
          <w:szCs w:val="30"/>
          <w:highlight w:val="none"/>
        </w:rPr>
        <w:t>政府采购合同主要条款</w:t>
      </w:r>
    </w:p>
    <w:p w14:paraId="5427534A">
      <w:pPr>
        <w:spacing w:line="360" w:lineRule="auto"/>
        <w:rPr>
          <w:rFonts w:hint="eastAsia"/>
          <w:highlight w:val="none"/>
        </w:rPr>
      </w:pPr>
      <w:r>
        <w:rPr>
          <w:rFonts w:hint="eastAsia" w:ascii="宋体" w:hAnsi="宋体" w:cs="宋体"/>
          <w:b/>
          <w:sz w:val="28"/>
          <w:szCs w:val="28"/>
          <w:highlight w:val="none"/>
        </w:rPr>
        <w:t>（主要条款；本合同为合同样稿，最终稿由甲乙双方协商后确定）</w:t>
      </w:r>
    </w:p>
    <w:p w14:paraId="1382A43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（以下简称甲方）</w:t>
      </w:r>
    </w:p>
    <w:p w14:paraId="5BC00EA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（以下简称乙方）</w:t>
      </w:r>
    </w:p>
    <w:p w14:paraId="5D24F5D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根据《中华人民共和国民法典》、《中华人民共和国政府采购法》等法律法规的规定，由甲方以公开招标方式（政采云电子交易系统全程在线完成），确定乙方为</w:t>
      </w:r>
      <w:r>
        <w:rPr>
          <w:rFonts w:hint="eastAsia" w:ascii="宋体" w:hAnsi="宋体" w:eastAsia="宋体" w:cs="宋体"/>
          <w:sz w:val="24"/>
          <w:szCs w:val="24"/>
          <w:highlight w:val="none"/>
          <w:u w:val="single"/>
          <w:lang w:eastAsia="zh-CN"/>
        </w:rPr>
        <w:t>金源路汽车公园及东港紧固件北侧地块运营服务</w:t>
      </w:r>
      <w:r>
        <w:rPr>
          <w:rFonts w:hint="eastAsia" w:ascii="宋体" w:hAnsi="宋体" w:eastAsia="宋体" w:cs="宋体"/>
          <w:sz w:val="24"/>
          <w:szCs w:val="24"/>
          <w:highlight w:val="none"/>
        </w:rPr>
        <w:t>的成交</w:t>
      </w:r>
      <w:r>
        <w:rPr>
          <w:rFonts w:hint="eastAsia" w:ascii="宋体" w:hAnsi="宋体" w:eastAsia="宋体" w:cs="宋体"/>
          <w:sz w:val="24"/>
          <w:szCs w:val="24"/>
          <w:highlight w:val="none"/>
          <w:lang w:eastAsia="zh-CN"/>
        </w:rPr>
        <w:t>单位</w:t>
      </w:r>
      <w:r>
        <w:rPr>
          <w:rFonts w:hint="eastAsia" w:ascii="宋体" w:hAnsi="宋体" w:eastAsia="宋体" w:cs="宋体"/>
          <w:sz w:val="24"/>
          <w:szCs w:val="24"/>
          <w:highlight w:val="none"/>
        </w:rPr>
        <w:t>，为明确双方的权利和义务，经甲乙双方协商一致，达成合同如下：</w:t>
      </w:r>
    </w:p>
    <w:p w14:paraId="1AC49135">
      <w:pPr>
        <w:spacing w:line="360" w:lineRule="auto"/>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第一条  服务内容及价格</w:t>
      </w:r>
    </w:p>
    <w:p w14:paraId="32215000">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1、项目</w:t>
      </w:r>
      <w:r>
        <w:rPr>
          <w:rFonts w:hint="eastAsia" w:ascii="宋体" w:hAnsi="宋体" w:eastAsia="宋体" w:cs="宋体"/>
          <w:kern w:val="0"/>
          <w:sz w:val="24"/>
          <w:szCs w:val="24"/>
          <w:highlight w:val="none"/>
        </w:rPr>
        <w:t>目标：</w:t>
      </w:r>
    </w:p>
    <w:p w14:paraId="670F519E">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1.持续提升市民游客满意度：通过优化公园服务、丰富特色活动内容、提升整体环境质量等方式，提高市民游客对公园的满意度。</w:t>
      </w:r>
    </w:p>
    <w:p w14:paraId="5DE1598A">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2.增加市民游客数量：通过公园软硬件改善提升，扩大宣传推广力度、举办特色主题活动等方式，吸引更多市民游客前来参观游览。</w:t>
      </w:r>
    </w:p>
    <w:p w14:paraId="150A062A">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cs="宋体"/>
          <w:kern w:val="0"/>
          <w:sz w:val="24"/>
          <w:szCs w:val="24"/>
          <w:highlight w:val="none"/>
          <w:lang w:val="en-US" w:eastAsia="zh-CN"/>
        </w:rPr>
        <w:t>1.</w:t>
      </w:r>
      <w:r>
        <w:rPr>
          <w:rFonts w:hint="eastAsia" w:ascii="宋体" w:hAnsi="宋体" w:eastAsia="宋体" w:cs="宋体"/>
          <w:kern w:val="0"/>
          <w:sz w:val="24"/>
          <w:szCs w:val="24"/>
          <w:highlight w:val="none"/>
          <w:lang w:val="en-US" w:eastAsia="zh-CN"/>
        </w:rPr>
        <w:t>3.拓展经费来源：通过合理定价、开发文创产品、举办商业活动等方式，增加公园的建设维护费用，使之实现可持续发展。</w:t>
      </w:r>
      <w:r>
        <w:rPr>
          <w:rFonts w:hint="eastAsia" w:ascii="宋体" w:hAnsi="宋体" w:eastAsia="宋体" w:cs="宋体"/>
          <w:kern w:val="0"/>
          <w:sz w:val="24"/>
          <w:szCs w:val="24"/>
          <w:highlight w:val="none"/>
        </w:rPr>
        <w:t>。</w:t>
      </w:r>
    </w:p>
    <w:p w14:paraId="4BBA3868">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2、服务内容：金源路汽车公园及东港紧固件北侧地块运营服务，具体详见采购需求。</w:t>
      </w:r>
    </w:p>
    <w:p w14:paraId="40017B0E">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3、合同履行期限：自合同签订之日起三年。</w:t>
      </w:r>
    </w:p>
    <w:p w14:paraId="5669D5CE">
      <w:pPr>
        <w:spacing w:line="360" w:lineRule="auto"/>
        <w:ind w:firstLine="480" w:firstLineChars="200"/>
        <w:jc w:val="left"/>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4、项目实施地点：浙江省宁波市鄞州区金源路汽车公园地块。</w:t>
      </w:r>
    </w:p>
    <w:p w14:paraId="4F16297D">
      <w:pPr>
        <w:spacing w:line="360" w:lineRule="auto"/>
        <w:ind w:firstLine="480" w:firstLineChars="200"/>
        <w:jc w:val="left"/>
        <w:rPr>
          <w:rFonts w:hint="default"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en-US" w:eastAsia="zh-CN"/>
        </w:rPr>
        <w:t>5、签约合同价：</w:t>
      </w:r>
      <w:r>
        <w:rPr>
          <w:rFonts w:hint="eastAsia" w:ascii="宋体" w:hAnsi="宋体" w:eastAsia="宋体" w:cs="宋体"/>
          <w:kern w:val="0"/>
          <w:sz w:val="24"/>
          <w:szCs w:val="24"/>
          <w:highlight w:val="none"/>
          <w:u w:val="single"/>
          <w:lang w:val="en-US" w:eastAsia="zh-CN"/>
        </w:rPr>
        <w:t xml:space="preserve">人民币          元整（      元） </w:t>
      </w:r>
    </w:p>
    <w:p w14:paraId="2D16C228">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360" w:lineRule="auto"/>
        <w:ind w:firstLine="482" w:firstLineChars="200"/>
        <w:jc w:val="left"/>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 xml:space="preserve"> 具体服务内容</w:t>
      </w:r>
    </w:p>
    <w:p w14:paraId="63B65F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一</w:t>
      </w:r>
      <w:r>
        <w:rPr>
          <w:rFonts w:hint="eastAsia" w:ascii="宋体" w:hAnsi="宋体" w:eastAsia="宋体" w:cs="宋体"/>
          <w:sz w:val="24"/>
          <w:highlight w:val="none"/>
          <w:lang w:eastAsia="zh-CN"/>
        </w:rPr>
        <w:t>）</w:t>
      </w:r>
      <w:r>
        <w:rPr>
          <w:rFonts w:hint="eastAsia" w:ascii="宋体" w:hAnsi="宋体" w:eastAsia="宋体" w:cs="宋体"/>
          <w:sz w:val="24"/>
          <w:highlight w:val="none"/>
        </w:rPr>
        <w:t>运营策略</w:t>
      </w:r>
    </w:p>
    <w:p w14:paraId="46D395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1.主题打造：明确公园的汽车文化主题</w:t>
      </w:r>
      <w:r>
        <w:rPr>
          <w:rFonts w:hint="eastAsia" w:ascii="宋体" w:hAnsi="宋体" w:eastAsia="宋体" w:cs="宋体"/>
          <w:sz w:val="24"/>
          <w:highlight w:val="none"/>
          <w:lang w:eastAsia="zh-CN"/>
        </w:rPr>
        <w:t>，</w:t>
      </w:r>
      <w:r>
        <w:rPr>
          <w:rFonts w:hint="eastAsia" w:ascii="宋体" w:hAnsi="宋体" w:eastAsia="宋体" w:cs="宋体"/>
          <w:sz w:val="24"/>
          <w:highlight w:val="none"/>
        </w:rPr>
        <w:t>通过建设和布置来展现公园的汽车文化内涵。</w:t>
      </w:r>
    </w:p>
    <w:p w14:paraId="247DF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2.活动策划与执行：定期举办各种文化活动增强市民游客的参与感和满意度。同时，注重活动的宣传和推广，提高活动的知名度和影响力。</w:t>
      </w:r>
    </w:p>
    <w:p w14:paraId="516138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服务质量提升：加强公园内的服务设施建设，提升服务水平，切实满足市民游客的需求。例如，增加清洁人员的数量，提高清洁频率；加强设施的维护和保养，确保设施的正常运行；提供游客咨询、导览等服务。</w:t>
      </w:r>
    </w:p>
    <w:p w14:paraId="1B2296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4.宣传推广：充分利用互联网、社交媒体等新媒体进行公园的宣传推广，加强公园品牌的影响力，吸引更多的游客。同时，与旅游机构、媒体等建立合作关系，共同推广公园。</w:t>
      </w:r>
    </w:p>
    <w:p w14:paraId="5219B0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二</w:t>
      </w:r>
      <w:r>
        <w:rPr>
          <w:rFonts w:hint="eastAsia" w:ascii="宋体" w:hAnsi="宋体" w:eastAsia="宋体" w:cs="宋体"/>
          <w:sz w:val="24"/>
          <w:highlight w:val="none"/>
          <w:lang w:eastAsia="zh-CN"/>
        </w:rPr>
        <w:t>）</w:t>
      </w:r>
      <w:r>
        <w:rPr>
          <w:rFonts w:hint="eastAsia" w:ascii="宋体" w:hAnsi="宋体" w:eastAsia="宋体" w:cs="宋体"/>
          <w:sz w:val="24"/>
          <w:highlight w:val="none"/>
        </w:rPr>
        <w:t>行动计划</w:t>
      </w:r>
    </w:p>
    <w:p w14:paraId="614236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1、日常运营</w:t>
      </w:r>
    </w:p>
    <w:p w14:paraId="55D1D7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（1）派遣1名专职员工入驻公园，2名其他员工协助。建立公园巡视制度，登记管理日志；</w:t>
      </w:r>
    </w:p>
    <w:p w14:paraId="11EDF8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（2）统筹安排月度、季度、年度活动计划、并进行活动记录（文字、图像、视频等形式不限）；</w:t>
      </w:r>
    </w:p>
    <w:p w14:paraId="3CA658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（3）做好来访接待工作；</w:t>
      </w:r>
    </w:p>
    <w:p w14:paraId="1B0AF6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（4）做好公园及设施看护、保管；</w:t>
      </w:r>
    </w:p>
    <w:p w14:paraId="08700A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（5）公园内功能区管理看板内容更新；</w:t>
      </w:r>
    </w:p>
    <w:p w14:paraId="3BF1D5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（6）建立并落实场地安全管理制度；</w:t>
      </w:r>
    </w:p>
    <w:p w14:paraId="0AF3A9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（7）日常卫生打扫、绿化维护；</w:t>
      </w:r>
    </w:p>
    <w:p w14:paraId="3F09A6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（8）做好节能减排管理工作。</w:t>
      </w:r>
    </w:p>
    <w:p w14:paraId="3474AF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2、活动开展</w:t>
      </w:r>
    </w:p>
    <w:p w14:paraId="23C944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（1）每月结合汽车一条街各品牌需求，组织开展1场及以上活动深化特色汽车街区的影响力提升，激发辖区内各品牌汽车4S店的参与热情与归属意识，推动资源共享与优化配置，为汽车品牌赋能。</w:t>
      </w:r>
    </w:p>
    <w:p w14:paraId="687B53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注：遇特殊情况，活动内容将做适当调整，以实际安排为准</w:t>
      </w:r>
    </w:p>
    <w:p w14:paraId="2D3561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（2）每月制定运营计划和项目活动安排，通过预约，合理安排场地使用时间；</w:t>
      </w:r>
    </w:p>
    <w:p w14:paraId="44E634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（3）撰写活动报道，在公园微信公众号等自媒渠道发布，积极联系各种媒体渠道，发送活动新闻资讯；</w:t>
      </w:r>
    </w:p>
    <w:p w14:paraId="5442C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（4）定期做好月度、年中、年终总结；</w:t>
      </w:r>
    </w:p>
    <w:p w14:paraId="04DCA8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（5）协助上级管理部门举办大型活动。</w:t>
      </w:r>
    </w:p>
    <w:p w14:paraId="04EA25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cs="宋体"/>
          <w:sz w:val="24"/>
          <w:highlight w:val="none"/>
          <w:lang w:val="en-US" w:eastAsia="zh-CN"/>
        </w:rPr>
        <w:t>三</w:t>
      </w:r>
      <w:r>
        <w:rPr>
          <w:rFonts w:hint="eastAsia" w:ascii="宋体" w:hAnsi="宋体" w:eastAsia="宋体" w:cs="宋体"/>
          <w:sz w:val="24"/>
          <w:highlight w:val="none"/>
          <w:lang w:eastAsia="zh-CN"/>
        </w:rPr>
        <w:t>）</w:t>
      </w:r>
      <w:r>
        <w:rPr>
          <w:rFonts w:hint="eastAsia" w:ascii="宋体" w:hAnsi="宋体" w:eastAsia="宋体" w:cs="宋体"/>
          <w:sz w:val="24"/>
          <w:highlight w:val="none"/>
        </w:rPr>
        <w:t>风险管理</w:t>
      </w:r>
    </w:p>
    <w:p w14:paraId="0EC5C7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1.天气风险：制定应急预案，应对恶劣天气对公园运营的影响。</w:t>
      </w:r>
    </w:p>
    <w:p w14:paraId="240A0D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2.安全风险：加强安全管理，确保游客和公园设施的安全。</w:t>
      </w:r>
    </w:p>
    <w:p w14:paraId="165E5D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3.市场风险：密切关注市场动态，及时调整运营策略，应对市场变化带来的风险。</w:t>
      </w:r>
    </w:p>
    <w:p w14:paraId="77E8D8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（四）其他服务：</w:t>
      </w:r>
    </w:p>
    <w:p w14:paraId="71B7B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金源路汽车公园地块公共停车场已建成，内有停车场、绿化、小广场、临时房、文体设施等，总面积约28.6亩，其中一期约9.8亩，二期约18.8亩，停车场面积约3.9亩，现有102个停车位，允许安装充电桩，但要求保证不少于42个常规车位；东港紧固件北侧地块位于北斗路与启明路交界，面积12亩，现状为空置场地，不允许安装充电桩，只作为停放车辆（限高2.5M以内及黄牌车辆进入）；汽车文化公园绿化养护及保洁管理。</w:t>
      </w:r>
    </w:p>
    <w:p w14:paraId="2AE2F62E">
      <w:pPr>
        <w:spacing w:line="36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第三条  项目款项支付</w:t>
      </w:r>
    </w:p>
    <w:p w14:paraId="2248880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3.1运营管理服务付款方式：</w:t>
      </w:r>
    </w:p>
    <w:p w14:paraId="78CF7753">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服务费按季度结算，每季度支付金额=合同金额/4-考核违约金额；</w:t>
      </w:r>
    </w:p>
    <w:p w14:paraId="181EA285">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中标人按要求完成当季度任务后，向招标人开具正规的增值税税务发票，招标人于次季度第一个月底前向中标人支付上季度费用；</w:t>
      </w:r>
    </w:p>
    <w:p w14:paraId="1DD1BEB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根据考核情况如中标人有扣罚的，从当季度的费用中扣除。</w:t>
      </w:r>
    </w:p>
    <w:p w14:paraId="658925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每季度安排一次考核（满分100分），具体考核标准以合同签订时为准。考核结果与每季度服务经费拨付额挂钩：（1）当季度考核分在90分以上（包括90分）的为优秀，拨付全额季度服务经费；（2）当季度考核分在80（含）~90分的为良好，扣除季度服务经费的20%；（3）当季度考核分在70（含）~80分的为一般，扣除季度服务经费的50%；（4）当季度考核分在60（含）~70分的为合格，扣除季度服务经费的80%；（5）当季度考核分在60分以下的为不合格，考核不合格的，采购人有权单方解除合同，由此产生的后果由中标人自行承担。（6）公园整体环境被群众举报或被上级部门督办或通报批评的每次罚款200元，在当季服务经费中扣除。</w:t>
      </w:r>
    </w:p>
    <w:p w14:paraId="752F8E4A">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甲方付款前</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除预付款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，乙方应先行提供符合增值税专用发票。由于乙方原因引起的延迟支付，不属于甲方违约，由乙方自行承担相应责任。</w:t>
      </w:r>
    </w:p>
    <w:p w14:paraId="233086EE">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合同有效期内，本合同金额任何因包括但不限于法律、行政法规、政府政策修订或变化</w:t>
      </w:r>
      <w:r>
        <w:rPr>
          <w:rFonts w:hint="eastAsia" w:ascii="宋体" w:hAnsi="宋体" w:eastAsia="宋体" w:cs="宋体"/>
          <w:color w:val="auto"/>
          <w:sz w:val="24"/>
          <w:szCs w:val="24"/>
          <w:highlight w:val="none"/>
        </w:rPr>
        <w:t>导致上述增值税税率调整的，除含税价格保持不变外，增值税税率、税额可做相应调整。</w:t>
      </w:r>
    </w:p>
    <w:p w14:paraId="5062F96D">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  其他约定</w:t>
      </w:r>
    </w:p>
    <w:p w14:paraId="177B908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合同一签三年。</w:t>
      </w:r>
    </w:p>
    <w:p w14:paraId="40DEE3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cs="宋体"/>
          <w:sz w:val="24"/>
          <w:highlight w:val="none"/>
        </w:rPr>
        <w:t>本停车场</w:t>
      </w:r>
      <w:r>
        <w:rPr>
          <w:rFonts w:hint="eastAsia" w:ascii="宋体" w:hAnsi="宋体" w:cs="宋体"/>
          <w:sz w:val="24"/>
          <w:highlight w:val="none"/>
          <w:lang w:eastAsia="zh-CN"/>
        </w:rPr>
        <w:t>、</w:t>
      </w:r>
      <w:r>
        <w:rPr>
          <w:rFonts w:hint="eastAsia" w:ascii="宋体" w:hAnsi="宋体" w:cs="宋体"/>
          <w:sz w:val="24"/>
          <w:highlight w:val="none"/>
          <w:lang w:val="en-US" w:eastAsia="zh-CN"/>
        </w:rPr>
        <w:t>公园一期配套用房、绿化养护及保洁服务</w:t>
      </w:r>
      <w:r>
        <w:rPr>
          <w:rFonts w:hint="eastAsia" w:ascii="宋体" w:hAnsi="宋体" w:cs="宋体"/>
          <w:sz w:val="24"/>
          <w:highlight w:val="none"/>
        </w:rPr>
        <w:t>方案制定后需经招标人认可后方可实施。</w:t>
      </w:r>
    </w:p>
    <w:p w14:paraId="496B8C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4.3</w:t>
      </w:r>
      <w:r>
        <w:rPr>
          <w:rFonts w:hint="eastAsia" w:ascii="宋体" w:hAnsi="宋体" w:cs="宋体"/>
          <w:sz w:val="24"/>
          <w:highlight w:val="none"/>
        </w:rPr>
        <w:t>本停车场收费标准、收费模式应经过招标人及相关单位认可后方可实施，</w:t>
      </w:r>
      <w:r>
        <w:rPr>
          <w:rFonts w:hint="eastAsia" w:ascii="宋体" w:hAnsi="宋体" w:cs="宋体"/>
          <w:sz w:val="24"/>
          <w:highlight w:val="none"/>
          <w:lang w:val="en-US" w:eastAsia="zh-CN"/>
        </w:rPr>
        <w:t>运营</w:t>
      </w:r>
      <w:r>
        <w:rPr>
          <w:rFonts w:hint="eastAsia" w:ascii="宋体" w:hAnsi="宋体" w:cs="宋体"/>
          <w:sz w:val="24"/>
          <w:highlight w:val="none"/>
        </w:rPr>
        <w:t>期间须按国家、省、市、区的相关规定及租赁要求合法经营，不得私自提高收费标准，否则将罚没履约保证金并终止租赁合同，设施设备归招标人所有。如罚没的金额不足以弥补招标人损失的，则招标人有权继续向中标人追偿。</w:t>
      </w:r>
    </w:p>
    <w:p w14:paraId="426167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4.4运营</w:t>
      </w:r>
      <w:r>
        <w:rPr>
          <w:rFonts w:hint="eastAsia" w:ascii="宋体" w:hAnsi="宋体" w:cs="宋体"/>
          <w:sz w:val="24"/>
          <w:highlight w:val="none"/>
        </w:rPr>
        <w:t>期间，停车场不得违章搭建建筑物及构筑物，不得从事非法经营及任何违法犯罪活动。如违规且被相关职能部门处罚的，责任自负，并每次扣除履约保证金2000元人民币；如出现上述情况三次及以上的，则招标人有权终止合同，并没收全部履约保证金，设施设备归招标人所有。</w:t>
      </w:r>
    </w:p>
    <w:p w14:paraId="15EB7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4.5运营</w:t>
      </w:r>
      <w:r>
        <w:rPr>
          <w:rFonts w:hint="eastAsia" w:ascii="宋体" w:hAnsi="宋体" w:cs="宋体"/>
          <w:sz w:val="24"/>
          <w:highlight w:val="none"/>
        </w:rPr>
        <w:t>期间，停车场的公设费、场地管理费、水电费（场地内的水电接口由中标人于租赁期开始前解决）等相关部门收取的费用及其他各种费用均由中标人自行承担，与招标人无涉，如发生缴费拖欠事宜损害招标人利益的，招标人有权终止合同并罚没履约保证金，设施设备归招标人所有，并由中标人承担相关责任和费用。</w:t>
      </w:r>
    </w:p>
    <w:p w14:paraId="3EBF52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val="zh-CN"/>
        </w:rPr>
      </w:pPr>
      <w:r>
        <w:rPr>
          <w:rFonts w:hint="eastAsia" w:ascii="宋体" w:hAnsi="宋体" w:cs="宋体"/>
          <w:sz w:val="24"/>
          <w:highlight w:val="none"/>
          <w:lang w:val="en-US" w:eastAsia="zh-CN"/>
        </w:rPr>
        <w:t>4.6运营期</w:t>
      </w:r>
      <w:r>
        <w:rPr>
          <w:rFonts w:hint="eastAsia" w:ascii="宋体" w:hAnsi="宋体" w:cs="宋体"/>
          <w:sz w:val="24"/>
          <w:highlight w:val="none"/>
        </w:rPr>
        <w:t>满后，中标人</w:t>
      </w:r>
      <w:r>
        <w:rPr>
          <w:rFonts w:hint="eastAsia" w:ascii="宋体" w:hAnsi="宋体" w:cs="宋体"/>
          <w:sz w:val="24"/>
          <w:highlight w:val="none"/>
          <w:lang w:val="zh-CN"/>
        </w:rPr>
        <w:t>不得留存物品</w:t>
      </w:r>
      <w:r>
        <w:rPr>
          <w:rFonts w:hint="eastAsia" w:ascii="宋体" w:hAnsi="宋体" w:cs="宋体"/>
          <w:sz w:val="24"/>
          <w:highlight w:val="none"/>
        </w:rPr>
        <w:t>杂物</w:t>
      </w:r>
      <w:r>
        <w:rPr>
          <w:rFonts w:hint="eastAsia" w:ascii="宋体" w:hAnsi="宋体" w:cs="宋体"/>
          <w:sz w:val="24"/>
          <w:highlight w:val="none"/>
          <w:lang w:val="zh-CN"/>
        </w:rPr>
        <w:t>或影响</w:t>
      </w:r>
      <w:r>
        <w:rPr>
          <w:rFonts w:hint="eastAsia" w:ascii="宋体" w:hAnsi="宋体" w:cs="宋体"/>
          <w:sz w:val="24"/>
          <w:highlight w:val="none"/>
        </w:rPr>
        <w:t>停车场</w:t>
      </w:r>
      <w:r>
        <w:rPr>
          <w:rFonts w:hint="eastAsia" w:ascii="宋体" w:hAnsi="宋体" w:cs="宋体"/>
          <w:sz w:val="24"/>
          <w:highlight w:val="none"/>
          <w:lang w:val="zh-CN"/>
        </w:rPr>
        <w:t>的正常使用。对未经同意留存的物品，招标人有权处置，且中标人不得向招标人索取相应的经济补偿，</w:t>
      </w:r>
      <w:r>
        <w:rPr>
          <w:rFonts w:hint="eastAsia" w:ascii="宋体" w:hAnsi="宋体" w:cs="宋体"/>
          <w:sz w:val="24"/>
          <w:highlight w:val="none"/>
          <w:lang w:val="en-US" w:eastAsia="zh-CN"/>
        </w:rPr>
        <w:t>运营</w:t>
      </w:r>
      <w:r>
        <w:rPr>
          <w:rFonts w:hint="eastAsia" w:ascii="宋体" w:hAnsi="宋体" w:cs="宋体"/>
          <w:sz w:val="24"/>
          <w:highlight w:val="none"/>
        </w:rPr>
        <w:t>期满后停车场</w:t>
      </w:r>
      <w:r>
        <w:rPr>
          <w:rFonts w:hint="eastAsia" w:ascii="宋体" w:hAnsi="宋体" w:cs="宋体"/>
          <w:sz w:val="24"/>
          <w:highlight w:val="none"/>
          <w:lang w:val="zh-CN"/>
        </w:rPr>
        <w:t>内</w:t>
      </w:r>
      <w:r>
        <w:rPr>
          <w:rFonts w:hint="eastAsia" w:ascii="宋体" w:hAnsi="宋体" w:cs="宋体"/>
          <w:sz w:val="24"/>
          <w:highlight w:val="none"/>
        </w:rPr>
        <w:t>由中标人所投入的设施设备及相关工程等由中标人自行处置，如到期30天内拒不处置的，所有设施设备及工程归招标人所有</w:t>
      </w:r>
      <w:r>
        <w:rPr>
          <w:rFonts w:hint="eastAsia" w:ascii="宋体" w:hAnsi="宋体" w:cs="宋体"/>
          <w:sz w:val="24"/>
          <w:highlight w:val="none"/>
          <w:lang w:val="zh-CN"/>
        </w:rPr>
        <w:t>。</w:t>
      </w:r>
    </w:p>
    <w:p w14:paraId="0E028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4.7运营</w:t>
      </w:r>
      <w:r>
        <w:rPr>
          <w:rFonts w:hint="eastAsia" w:ascii="宋体" w:hAnsi="宋体" w:cs="宋体"/>
          <w:sz w:val="24"/>
          <w:highlight w:val="none"/>
        </w:rPr>
        <w:t>期间，中标人须遵守国家法律、法规，注重安全经营，实施安全经营措施如配置安全警告标志、灭火器材等设施，建立安全、消防、交通等管理制度和做好相关工作，因违法、违规被有关部门查处所造成的后果由中标人承担，与招标人无涉。在租赁期间所发生的一切责任事故，由中标人承担，与招标人无关。</w:t>
      </w:r>
    </w:p>
    <w:p w14:paraId="04F86B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4.8运营</w:t>
      </w:r>
      <w:r>
        <w:rPr>
          <w:rFonts w:hint="eastAsia" w:ascii="宋体" w:hAnsi="宋体" w:cs="宋体"/>
          <w:sz w:val="24"/>
          <w:highlight w:val="none"/>
        </w:rPr>
        <w:t>期间，停车场范围内所有的市政设施由中标人负责维护，场地中所有因自然灾害或人为因素发生的安全生产事故，对第三方的人身安全造成伤害、财务造成损失的，由承租方承担。</w:t>
      </w:r>
    </w:p>
    <w:p w14:paraId="6262A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4.9</w:t>
      </w:r>
      <w:r>
        <w:rPr>
          <w:rFonts w:hint="eastAsia" w:ascii="宋体" w:hAnsi="宋体" w:cs="宋体"/>
          <w:sz w:val="24"/>
          <w:highlight w:val="none"/>
        </w:rPr>
        <w:t>中标人在停车场内不允许安装任何洗车、修车设施设备。</w:t>
      </w:r>
    </w:p>
    <w:p w14:paraId="6F9FEF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4.10</w:t>
      </w:r>
      <w:r>
        <w:rPr>
          <w:rFonts w:hint="eastAsia" w:ascii="宋体" w:hAnsi="宋体" w:cs="宋体"/>
          <w:sz w:val="24"/>
          <w:highlight w:val="none"/>
        </w:rPr>
        <w:t>中标人应做好停车场的设施设备配置、管理人员配备、招租及停车场范围内日常管理、基础设施维护维修、环境卫生保洁、噪音控制等。</w:t>
      </w:r>
    </w:p>
    <w:p w14:paraId="2D8B22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4.11</w:t>
      </w:r>
      <w:r>
        <w:rPr>
          <w:rFonts w:hint="eastAsia" w:ascii="宋体" w:hAnsi="宋体" w:eastAsia="宋体" w:cs="宋体"/>
          <w:sz w:val="24"/>
          <w:highlight w:val="none"/>
          <w:lang w:val="en-US" w:eastAsia="zh-CN"/>
        </w:rPr>
        <w:t>公园一期配套用房业态要求：1）禁止业态：禁止引进产生油烟污染或产生异味的饮食服务项目，禁止五金加工、铝合金门窗店、建筑装潢材料、电动自行车维修及其它会对居民生活产生噪声、污染影响的业态。（注：如业态方案经三分之二以上评审成员签字确认不符合招标要求的，则作无效处理）。2）中标人应做好整体业态打造和管理工作。3）其他要求：项目中标后以现状交付中标人，中标人须服从业主方及街道整体规划需求，业态控制方案送招标人备案后才可实施，业态方案的实施可行性最终以相关部门审批为准。</w:t>
      </w:r>
    </w:p>
    <w:p w14:paraId="79E5AD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注：如中标人业态管控不满足要求的，应立即在招标人或相关部门规定的时间内进行整改，如二次整改后仍不到位的，招标人可单方解除本合同，并将履约保证金作为违约金不予退还。</w:t>
      </w:r>
    </w:p>
    <w:p w14:paraId="35AA73F9">
      <w:pPr>
        <w:numPr>
          <w:ilvl w:val="0"/>
          <w:numId w:val="0"/>
        </w:numPr>
        <w:spacing w:line="360" w:lineRule="auto"/>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第五条  履约担保</w:t>
      </w:r>
    </w:p>
    <w:p w14:paraId="7E99A33B">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年合同价款的1%；</w:t>
      </w:r>
    </w:p>
    <w:p w14:paraId="52DB0274">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履约保证金形式：银行转账、金融机构、担保机构出具的保函或保险保单形式提交；</w:t>
      </w:r>
    </w:p>
    <w:p w14:paraId="3E60548C">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提交时间：合同签订前；</w:t>
      </w:r>
    </w:p>
    <w:p w14:paraId="2A42AB1E">
      <w:pPr>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履约保证金的退还：在采购人对本项目验收合格并确认中标人无违约行为后返还给中标人。如提供履约保函的，中标人应确保保函在本项目服务期内一直有效；如本项目服务期延期的，中标人应及时办理保函延期手续。</w:t>
      </w:r>
    </w:p>
    <w:p w14:paraId="6C33DAB3">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kern w:val="0"/>
          <w:sz w:val="24"/>
          <w:szCs w:val="24"/>
          <w:highlight w:val="none"/>
          <w:lang w:bidi="ar"/>
        </w:rPr>
        <w:t>第</w:t>
      </w: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条  违约责任</w:t>
      </w:r>
    </w:p>
    <w:p w14:paraId="07602C32">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.1乙方未能如期提供服务，每日向甲方支付合同</w:t>
      </w:r>
      <w:r>
        <w:rPr>
          <w:rFonts w:hint="eastAsia" w:ascii="宋体" w:hAnsi="宋体" w:eastAsia="宋体" w:cs="宋体"/>
          <w:sz w:val="24"/>
          <w:szCs w:val="24"/>
          <w:highlight w:val="none"/>
          <w:lang w:eastAsia="zh-CN"/>
        </w:rPr>
        <w:t>价款</w:t>
      </w:r>
      <w:r>
        <w:rPr>
          <w:rFonts w:hint="eastAsia" w:ascii="宋体" w:hAnsi="宋体" w:eastAsia="宋体" w:cs="宋体"/>
          <w:sz w:val="24"/>
          <w:szCs w:val="24"/>
          <w:highlight w:val="none"/>
        </w:rPr>
        <w:t>的</w:t>
      </w:r>
      <w:r>
        <w:rPr>
          <w:rFonts w:hint="eastAsia" w:ascii="宋体" w:hAnsi="宋体" w:cs="宋体"/>
          <w:sz w:val="24"/>
          <w:szCs w:val="24"/>
          <w:highlight w:val="none"/>
          <w:lang w:val="en-US" w:eastAsia="zh-CN"/>
        </w:rPr>
        <w:t>千</w:t>
      </w:r>
      <w:r>
        <w:rPr>
          <w:rFonts w:hint="eastAsia" w:ascii="宋体" w:hAnsi="宋体" w:eastAsia="宋体" w:cs="宋体"/>
          <w:sz w:val="24"/>
          <w:szCs w:val="24"/>
          <w:highlight w:val="none"/>
        </w:rPr>
        <w:t>分之</w:t>
      </w: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作为违约金。乙方超过15个工作日仍不能提供服务的，甲方有权单方解除本合同。乙方因未能如期提供服务或因其他违约行为导致甲方解除合同的，乙方应向甲方</w:t>
      </w:r>
      <w:r>
        <w:rPr>
          <w:rFonts w:hint="eastAsia" w:ascii="宋体" w:hAnsi="宋体" w:eastAsia="宋体" w:cs="宋体"/>
          <w:color w:val="auto"/>
          <w:sz w:val="24"/>
          <w:szCs w:val="24"/>
          <w:highlight w:val="none"/>
        </w:rPr>
        <w:t>支付运营管理服务费总金额的百分之五作为违约金。</w:t>
      </w:r>
    </w:p>
    <w:p w14:paraId="2AB09077">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.2甲方未能如期支付款项，每日向乙方支付合同</w:t>
      </w:r>
      <w:r>
        <w:rPr>
          <w:rFonts w:hint="eastAsia" w:ascii="宋体" w:hAnsi="宋体" w:eastAsia="宋体" w:cs="宋体"/>
          <w:color w:val="auto"/>
          <w:sz w:val="24"/>
          <w:szCs w:val="24"/>
          <w:highlight w:val="none"/>
          <w:lang w:eastAsia="zh-CN"/>
        </w:rPr>
        <w:t>价款</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rPr>
        <w:t>分之</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作为违约金。甲方超过</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个工作日仍不能支付款项的，乙方有权单方解除本合同。甲方因未能如期支付款项或因其他违约行为导致乙方解除合同的，甲方应向乙方支付运营管理服务费总金额的百分之五作为违约金。</w:t>
      </w:r>
    </w:p>
    <w:p w14:paraId="3237B5F1">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.3不可抗力：</w:t>
      </w:r>
    </w:p>
    <w:p w14:paraId="5DCDDF0B">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如双方中任何一方由于战争、严重疫情、火灾、水灾、台风和地震以及其它经双方同意属于不可抗力的事件，致使合同履行受阻时，受事故影响的一方应在不可抗力的事件发生后尽快以书面形式通知另一方。</w:t>
      </w:r>
    </w:p>
    <w:p w14:paraId="130B4477">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条  争议的解决</w:t>
      </w:r>
    </w:p>
    <w:p w14:paraId="3C98C37C">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因履行本合同发生争议的，应双方友好协调解决。无法协商解决的，任何一方均可向项目所在地人民法院起诉。</w:t>
      </w:r>
    </w:p>
    <w:p w14:paraId="697E1BF5">
      <w:pPr>
        <w:spacing w:line="360" w:lineRule="auto"/>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w:t>
      </w: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条  其他</w:t>
      </w:r>
    </w:p>
    <w:p w14:paraId="203A6BE1">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.1本合同一式肆份，甲、乙双方各执贰份，具有同等法律效力。</w:t>
      </w:r>
    </w:p>
    <w:p w14:paraId="03850911">
      <w:pPr>
        <w:spacing w:line="360" w:lineRule="auto"/>
        <w:ind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.2本合同经甲乙双方法定代表人或授权代表签字并加盖公章</w:t>
      </w:r>
      <w:r>
        <w:rPr>
          <w:rFonts w:hint="eastAsia" w:ascii="宋体" w:hAnsi="宋体" w:eastAsia="宋体" w:cs="宋体"/>
          <w:color w:val="auto"/>
          <w:sz w:val="24"/>
          <w:szCs w:val="24"/>
          <w:highlight w:val="none"/>
          <w:lang w:eastAsia="zh-CN"/>
        </w:rPr>
        <w:t>自乙方提交履约担保</w:t>
      </w:r>
      <w:r>
        <w:rPr>
          <w:rFonts w:hint="eastAsia" w:ascii="宋体" w:hAnsi="宋体" w:eastAsia="宋体" w:cs="宋体"/>
          <w:color w:val="auto"/>
          <w:sz w:val="24"/>
          <w:szCs w:val="24"/>
          <w:highlight w:val="none"/>
        </w:rPr>
        <w:t>后生效。</w:t>
      </w:r>
    </w:p>
    <w:p w14:paraId="47172DE0">
      <w:pPr>
        <w:spacing w:line="360" w:lineRule="auto"/>
        <w:ind w:firstLine="420" w:firstLineChars="175"/>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.3本合同未尽事宜，经双方商议可续签补充协议。该补充协议与本合同具有相同法律</w:t>
      </w:r>
      <w:r>
        <w:rPr>
          <w:rFonts w:hint="eastAsia" w:ascii="宋体" w:hAnsi="宋体" w:eastAsia="宋体" w:cs="宋体"/>
          <w:sz w:val="24"/>
          <w:szCs w:val="24"/>
          <w:highlight w:val="none"/>
        </w:rPr>
        <w:t>效力。</w:t>
      </w:r>
    </w:p>
    <w:p w14:paraId="64C367C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甲方（盖公章）：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乙方（盖公章）：</w:t>
      </w:r>
    </w:p>
    <w:p w14:paraId="76DA313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                        法定代表人或授权代表</w:t>
      </w:r>
    </w:p>
    <w:p w14:paraId="65282E90">
      <w:pPr>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（签字或盖章）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（签字或盖章）</w:t>
      </w:r>
      <w:r>
        <w:rPr>
          <w:rFonts w:hint="eastAsia" w:ascii="宋体" w:hAnsi="宋体" w:eastAsia="宋体" w:cs="宋体"/>
          <w:sz w:val="24"/>
          <w:szCs w:val="24"/>
          <w:highlight w:val="none"/>
          <w:lang w:eastAsia="zh-CN"/>
        </w:rPr>
        <w:t>：</w:t>
      </w:r>
    </w:p>
    <w:p w14:paraId="6708584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日期：</w:t>
      </w:r>
    </w:p>
    <w:p w14:paraId="6EC411CB">
      <w:pPr>
        <w:spacing w:line="360" w:lineRule="auto"/>
        <w:rPr>
          <w:rFonts w:hint="eastAsia" w:ascii="宋体" w:hAnsi="宋体" w:eastAsia="宋体" w:cs="宋体"/>
          <w:sz w:val="24"/>
          <w:szCs w:val="24"/>
          <w:highlight w:val="none"/>
        </w:rPr>
      </w:pPr>
    </w:p>
    <w:p w14:paraId="7873771B">
      <w:pPr>
        <w:pStyle w:val="2"/>
        <w:rPr>
          <w:rFonts w:hint="eastAsia" w:ascii="宋体" w:hAnsi="宋体" w:eastAsia="宋体" w:cs="宋体"/>
          <w:sz w:val="24"/>
          <w:szCs w:val="24"/>
          <w:highlight w:val="none"/>
        </w:rPr>
      </w:pPr>
    </w:p>
    <w:p w14:paraId="7EFAB04B">
      <w:pPr>
        <w:rPr>
          <w:rFonts w:hint="eastAsia" w:ascii="宋体" w:hAnsi="宋体" w:eastAsia="宋体" w:cs="宋体"/>
          <w:sz w:val="24"/>
          <w:szCs w:val="24"/>
          <w:highlight w:val="none"/>
        </w:rPr>
      </w:pPr>
    </w:p>
    <w:p w14:paraId="61EFB20D">
      <w:pPr>
        <w:pStyle w:val="2"/>
        <w:rPr>
          <w:rFonts w:hint="eastAsia" w:ascii="宋体" w:hAnsi="宋体" w:eastAsia="宋体" w:cs="宋体"/>
          <w:sz w:val="24"/>
          <w:szCs w:val="24"/>
          <w:highlight w:val="none"/>
        </w:rPr>
      </w:pPr>
    </w:p>
    <w:p w14:paraId="53421974">
      <w:pPr>
        <w:rPr>
          <w:rFonts w:hint="eastAsia" w:ascii="宋体" w:hAnsi="宋体" w:eastAsia="宋体" w:cs="宋体"/>
          <w:sz w:val="24"/>
          <w:szCs w:val="24"/>
          <w:highlight w:val="none"/>
        </w:rPr>
      </w:pPr>
    </w:p>
    <w:p w14:paraId="38FFDD19">
      <w:pPr>
        <w:pStyle w:val="2"/>
        <w:rPr>
          <w:rFonts w:hint="eastAsia" w:ascii="宋体" w:hAnsi="宋体" w:eastAsia="宋体" w:cs="宋体"/>
          <w:sz w:val="24"/>
          <w:szCs w:val="24"/>
          <w:highlight w:val="none"/>
        </w:rPr>
      </w:pPr>
    </w:p>
    <w:p w14:paraId="0CB2AAAB">
      <w:pPr>
        <w:rPr>
          <w:rFonts w:hint="eastAsia" w:ascii="宋体" w:hAnsi="宋体" w:eastAsia="宋体" w:cs="宋体"/>
          <w:sz w:val="24"/>
          <w:szCs w:val="24"/>
          <w:highlight w:val="none"/>
        </w:rPr>
      </w:pPr>
    </w:p>
    <w:p w14:paraId="5A820C7B">
      <w:pPr>
        <w:pStyle w:val="2"/>
        <w:rPr>
          <w:rFonts w:hint="eastAsia" w:ascii="宋体" w:hAnsi="宋体" w:eastAsia="宋体" w:cs="宋体"/>
          <w:sz w:val="24"/>
          <w:szCs w:val="24"/>
          <w:highlight w:val="none"/>
        </w:rPr>
      </w:pPr>
    </w:p>
    <w:p w14:paraId="04758790">
      <w:pPr>
        <w:rPr>
          <w:rFonts w:hint="eastAsia" w:ascii="宋体" w:hAnsi="宋体" w:eastAsia="宋体" w:cs="宋体"/>
          <w:sz w:val="24"/>
          <w:szCs w:val="24"/>
          <w:highlight w:val="none"/>
        </w:rPr>
      </w:pPr>
    </w:p>
    <w:p w14:paraId="514BF796">
      <w:pPr>
        <w:pStyle w:val="2"/>
        <w:rPr>
          <w:rFonts w:hint="eastAsia" w:ascii="宋体" w:hAnsi="宋体" w:eastAsia="宋体" w:cs="宋体"/>
          <w:sz w:val="24"/>
          <w:szCs w:val="24"/>
          <w:highlight w:val="none"/>
        </w:rPr>
      </w:pPr>
    </w:p>
    <w:p w14:paraId="18F09E3E">
      <w:pPr>
        <w:rPr>
          <w:rFonts w:hint="eastAsia" w:ascii="宋体" w:hAnsi="宋体" w:eastAsia="宋体" w:cs="宋体"/>
          <w:sz w:val="24"/>
          <w:szCs w:val="24"/>
          <w:highlight w:val="none"/>
        </w:rPr>
      </w:pPr>
    </w:p>
    <w:p w14:paraId="036B0F6B">
      <w:pPr>
        <w:pStyle w:val="2"/>
        <w:rPr>
          <w:rFonts w:hint="eastAsia" w:ascii="宋体" w:hAnsi="宋体" w:eastAsia="宋体" w:cs="宋体"/>
          <w:sz w:val="24"/>
          <w:szCs w:val="24"/>
          <w:highlight w:val="none"/>
        </w:rPr>
      </w:pPr>
    </w:p>
    <w:p w14:paraId="269F0A29">
      <w:pPr>
        <w:rPr>
          <w:rFonts w:hint="eastAsia" w:ascii="宋体" w:hAnsi="宋体" w:eastAsia="宋体" w:cs="宋体"/>
          <w:sz w:val="24"/>
          <w:szCs w:val="24"/>
          <w:highlight w:val="none"/>
        </w:rPr>
      </w:pPr>
    </w:p>
    <w:p w14:paraId="29D937C9">
      <w:pPr>
        <w:pStyle w:val="2"/>
        <w:rPr>
          <w:rFonts w:hint="eastAsia" w:ascii="宋体" w:hAnsi="宋体" w:eastAsia="宋体" w:cs="宋体"/>
          <w:sz w:val="24"/>
          <w:szCs w:val="24"/>
          <w:highlight w:val="none"/>
        </w:rPr>
      </w:pPr>
    </w:p>
    <w:p w14:paraId="07B1C83B">
      <w:pPr>
        <w:rPr>
          <w:rFonts w:hint="eastAsia" w:ascii="宋体" w:hAnsi="宋体" w:eastAsia="宋体" w:cs="宋体"/>
          <w:sz w:val="24"/>
          <w:szCs w:val="24"/>
          <w:highlight w:val="none"/>
        </w:rPr>
      </w:pPr>
    </w:p>
    <w:p w14:paraId="1F9F9C8E">
      <w:pPr>
        <w:pStyle w:val="2"/>
        <w:rPr>
          <w:rFonts w:hint="eastAsia" w:ascii="宋体" w:hAnsi="宋体" w:eastAsia="宋体" w:cs="宋体"/>
          <w:sz w:val="24"/>
          <w:szCs w:val="24"/>
          <w:highlight w:val="none"/>
        </w:rPr>
      </w:pPr>
    </w:p>
    <w:p w14:paraId="56D95308">
      <w:pPr>
        <w:rPr>
          <w:rFonts w:hint="eastAsia" w:ascii="宋体" w:hAnsi="宋体" w:eastAsia="宋体" w:cs="宋体"/>
          <w:sz w:val="24"/>
          <w:szCs w:val="24"/>
          <w:highlight w:val="none"/>
        </w:rPr>
      </w:pPr>
    </w:p>
    <w:p w14:paraId="3D354C28">
      <w:pPr>
        <w:pStyle w:val="2"/>
        <w:rPr>
          <w:rFonts w:hint="eastAsia"/>
        </w:rPr>
      </w:pPr>
    </w:p>
    <w:p w14:paraId="2C88495D">
      <w:pPr>
        <w:spacing w:line="360" w:lineRule="auto"/>
        <w:ind w:firstLine="0" w:firstLineChars="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附件一：考核标准</w:t>
      </w:r>
    </w:p>
    <w:p w14:paraId="494F5E7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金源路汽车公园及东港紧固件北侧地块运营服务考核方案</w:t>
      </w:r>
    </w:p>
    <w:tbl>
      <w:tblPr>
        <w:tblStyle w:val="32"/>
        <w:tblW w:w="528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5174"/>
        <w:gridCol w:w="1257"/>
        <w:gridCol w:w="1815"/>
      </w:tblGrid>
      <w:tr w14:paraId="318B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tcBorders>
              <w:bottom w:val="single" w:color="auto" w:sz="4" w:space="0"/>
            </w:tcBorders>
            <w:noWrap w:val="0"/>
            <w:vAlign w:val="center"/>
          </w:tcPr>
          <w:p w14:paraId="664909E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项目</w:t>
            </w:r>
          </w:p>
        </w:tc>
        <w:tc>
          <w:tcPr>
            <w:tcW w:w="2671" w:type="pct"/>
            <w:noWrap w:val="0"/>
            <w:vAlign w:val="center"/>
          </w:tcPr>
          <w:p w14:paraId="77FE935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内容</w:t>
            </w:r>
          </w:p>
        </w:tc>
        <w:tc>
          <w:tcPr>
            <w:tcW w:w="649" w:type="pct"/>
            <w:noWrap w:val="0"/>
            <w:vAlign w:val="center"/>
          </w:tcPr>
          <w:p w14:paraId="46357ED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分值</w:t>
            </w:r>
          </w:p>
        </w:tc>
        <w:tc>
          <w:tcPr>
            <w:tcW w:w="937" w:type="pct"/>
            <w:noWrap w:val="0"/>
            <w:vAlign w:val="center"/>
          </w:tcPr>
          <w:p w14:paraId="5BC542F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备注</w:t>
            </w:r>
          </w:p>
        </w:tc>
      </w:tr>
      <w:tr w14:paraId="3528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pct"/>
            <w:vMerge w:val="restart"/>
            <w:tcBorders>
              <w:top w:val="single" w:color="auto" w:sz="4" w:space="0"/>
              <w:left w:val="single" w:color="auto" w:sz="4" w:space="0"/>
              <w:right w:val="single" w:color="auto" w:sz="4" w:space="0"/>
            </w:tcBorders>
            <w:noWrap w:val="0"/>
            <w:vAlign w:val="center"/>
          </w:tcPr>
          <w:p w14:paraId="36A76A16">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环境设施</w:t>
            </w:r>
          </w:p>
          <w:p w14:paraId="584DCA71">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（30分）</w:t>
            </w:r>
          </w:p>
        </w:tc>
        <w:tc>
          <w:tcPr>
            <w:tcW w:w="2671" w:type="pct"/>
            <w:tcBorders>
              <w:left w:val="single" w:color="auto" w:sz="4" w:space="0"/>
            </w:tcBorders>
            <w:noWrap w:val="0"/>
            <w:vAlign w:val="center"/>
          </w:tcPr>
          <w:p w14:paraId="30D5056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场地设施设备完好，且正常开放使用。</w:t>
            </w:r>
          </w:p>
        </w:tc>
        <w:tc>
          <w:tcPr>
            <w:tcW w:w="649" w:type="pct"/>
            <w:noWrap w:val="0"/>
            <w:vAlign w:val="center"/>
          </w:tcPr>
          <w:p w14:paraId="10A212F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5分</w:t>
            </w:r>
          </w:p>
        </w:tc>
        <w:tc>
          <w:tcPr>
            <w:tcW w:w="937" w:type="pct"/>
            <w:noWrap w:val="0"/>
            <w:vAlign w:val="center"/>
          </w:tcPr>
          <w:p w14:paraId="5FBE20D0">
            <w:pPr>
              <w:spacing w:line="360" w:lineRule="auto"/>
              <w:jc w:val="center"/>
              <w:rPr>
                <w:rFonts w:hint="eastAsia" w:ascii="宋体" w:hAnsi="宋体" w:eastAsia="宋体" w:cs="宋体"/>
                <w:sz w:val="24"/>
                <w:highlight w:val="none"/>
              </w:rPr>
            </w:pPr>
          </w:p>
        </w:tc>
      </w:tr>
      <w:tr w14:paraId="05F3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pct"/>
            <w:vMerge w:val="continue"/>
            <w:tcBorders>
              <w:left w:val="single" w:color="auto" w:sz="4" w:space="0"/>
              <w:right w:val="single" w:color="auto" w:sz="4" w:space="0"/>
            </w:tcBorders>
            <w:noWrap w:val="0"/>
            <w:vAlign w:val="center"/>
          </w:tcPr>
          <w:p w14:paraId="49D17AD9">
            <w:pPr>
              <w:spacing w:line="360" w:lineRule="auto"/>
              <w:jc w:val="center"/>
              <w:rPr>
                <w:rFonts w:hint="eastAsia" w:ascii="宋体" w:hAnsi="宋体" w:eastAsia="宋体" w:cs="宋体"/>
                <w:sz w:val="24"/>
                <w:highlight w:val="none"/>
              </w:rPr>
            </w:pPr>
          </w:p>
        </w:tc>
        <w:tc>
          <w:tcPr>
            <w:tcW w:w="2671" w:type="pct"/>
            <w:tcBorders>
              <w:left w:val="single" w:color="auto" w:sz="4" w:space="0"/>
            </w:tcBorders>
            <w:noWrap w:val="0"/>
            <w:vAlign w:val="center"/>
          </w:tcPr>
          <w:p w14:paraId="74B4809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便民设施、消防设施齐全且功能完好。</w:t>
            </w:r>
          </w:p>
        </w:tc>
        <w:tc>
          <w:tcPr>
            <w:tcW w:w="649" w:type="pct"/>
            <w:noWrap w:val="0"/>
            <w:vAlign w:val="center"/>
          </w:tcPr>
          <w:p w14:paraId="110CF7F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5分</w:t>
            </w:r>
          </w:p>
        </w:tc>
        <w:tc>
          <w:tcPr>
            <w:tcW w:w="937" w:type="pct"/>
            <w:noWrap w:val="0"/>
            <w:vAlign w:val="center"/>
          </w:tcPr>
          <w:p w14:paraId="1244A5D8">
            <w:pPr>
              <w:spacing w:line="360" w:lineRule="auto"/>
              <w:jc w:val="center"/>
              <w:rPr>
                <w:rFonts w:hint="eastAsia" w:ascii="宋体" w:hAnsi="宋体" w:eastAsia="宋体" w:cs="宋体"/>
                <w:sz w:val="24"/>
                <w:highlight w:val="none"/>
              </w:rPr>
            </w:pPr>
          </w:p>
        </w:tc>
      </w:tr>
      <w:tr w14:paraId="34F6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pct"/>
            <w:vMerge w:val="continue"/>
            <w:tcBorders>
              <w:left w:val="single" w:color="auto" w:sz="4" w:space="0"/>
              <w:right w:val="single" w:color="auto" w:sz="4" w:space="0"/>
            </w:tcBorders>
            <w:noWrap w:val="0"/>
            <w:vAlign w:val="center"/>
          </w:tcPr>
          <w:p w14:paraId="00C5F615">
            <w:pPr>
              <w:spacing w:line="360" w:lineRule="auto"/>
              <w:jc w:val="center"/>
              <w:rPr>
                <w:rFonts w:hint="eastAsia" w:ascii="宋体" w:hAnsi="宋体" w:eastAsia="宋体" w:cs="宋体"/>
                <w:sz w:val="24"/>
                <w:highlight w:val="none"/>
              </w:rPr>
            </w:pPr>
          </w:p>
        </w:tc>
        <w:tc>
          <w:tcPr>
            <w:tcW w:w="2671" w:type="pct"/>
            <w:tcBorders>
              <w:left w:val="single" w:color="auto" w:sz="4" w:space="0"/>
            </w:tcBorders>
            <w:noWrap w:val="0"/>
            <w:vAlign w:val="center"/>
          </w:tcPr>
          <w:p w14:paraId="518F06F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绿地养护</w:t>
            </w:r>
            <w:r>
              <w:rPr>
                <w:rFonts w:hint="eastAsia" w:ascii="宋体" w:hAnsi="宋体" w:eastAsia="宋体" w:cs="宋体"/>
                <w:sz w:val="24"/>
                <w:highlight w:val="none"/>
                <w:lang w:eastAsia="zh-CN"/>
              </w:rPr>
              <w:t>和保洁</w:t>
            </w:r>
            <w:r>
              <w:rPr>
                <w:rFonts w:hint="eastAsia" w:ascii="宋体" w:hAnsi="宋体" w:eastAsia="宋体" w:cs="宋体"/>
                <w:sz w:val="24"/>
                <w:highlight w:val="none"/>
              </w:rPr>
              <w:t>达到预期。</w:t>
            </w:r>
          </w:p>
        </w:tc>
        <w:tc>
          <w:tcPr>
            <w:tcW w:w="649" w:type="pct"/>
            <w:noWrap w:val="0"/>
            <w:vAlign w:val="center"/>
          </w:tcPr>
          <w:p w14:paraId="6C3AEAD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20分</w:t>
            </w:r>
          </w:p>
        </w:tc>
        <w:tc>
          <w:tcPr>
            <w:tcW w:w="937" w:type="pct"/>
            <w:noWrap w:val="0"/>
            <w:vAlign w:val="center"/>
          </w:tcPr>
          <w:p w14:paraId="0C6E93D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参照潘火街道绿地养护质量考核标准执行</w:t>
            </w:r>
          </w:p>
        </w:tc>
      </w:tr>
      <w:tr w14:paraId="649B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restart"/>
            <w:tcBorders>
              <w:top w:val="single" w:color="auto" w:sz="4" w:space="0"/>
            </w:tcBorders>
            <w:noWrap w:val="0"/>
            <w:vAlign w:val="center"/>
          </w:tcPr>
          <w:p w14:paraId="07A3B81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运营管理</w:t>
            </w:r>
          </w:p>
          <w:p w14:paraId="2924D3B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（6</w:t>
            </w:r>
            <w:r>
              <w:rPr>
                <w:rFonts w:hint="eastAsia" w:ascii="宋体" w:hAnsi="宋体" w:eastAsia="宋体" w:cs="宋体"/>
                <w:sz w:val="24"/>
                <w:highlight w:val="none"/>
                <w:lang w:val="en-US" w:eastAsia="zh-CN"/>
              </w:rPr>
              <w:t>0</w:t>
            </w:r>
            <w:r>
              <w:rPr>
                <w:rFonts w:hint="eastAsia" w:ascii="宋体" w:hAnsi="宋体" w:eastAsia="宋体" w:cs="宋体"/>
                <w:sz w:val="24"/>
                <w:highlight w:val="none"/>
              </w:rPr>
              <w:t>分）</w:t>
            </w:r>
          </w:p>
        </w:tc>
        <w:tc>
          <w:tcPr>
            <w:tcW w:w="2671" w:type="pct"/>
            <w:noWrap w:val="0"/>
            <w:vAlign w:val="center"/>
          </w:tcPr>
          <w:p w14:paraId="1CE5DFDC">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形成辨识度高、传播性强的汽车文化公园品牌，设置文旅融合服务项目，宣传推荐潘火汽车文化。</w:t>
            </w:r>
          </w:p>
        </w:tc>
        <w:tc>
          <w:tcPr>
            <w:tcW w:w="649" w:type="pct"/>
            <w:noWrap w:val="0"/>
            <w:vAlign w:val="center"/>
          </w:tcPr>
          <w:p w14:paraId="607C1AB4">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15分</w:t>
            </w:r>
          </w:p>
        </w:tc>
        <w:tc>
          <w:tcPr>
            <w:tcW w:w="937" w:type="pct"/>
            <w:noWrap w:val="0"/>
            <w:vAlign w:val="center"/>
          </w:tcPr>
          <w:p w14:paraId="3AC2AE2C">
            <w:pPr>
              <w:spacing w:line="360" w:lineRule="auto"/>
              <w:jc w:val="center"/>
              <w:rPr>
                <w:rFonts w:hint="eastAsia" w:ascii="宋体" w:hAnsi="宋体" w:eastAsia="宋体" w:cs="宋体"/>
                <w:sz w:val="24"/>
                <w:highlight w:val="none"/>
              </w:rPr>
            </w:pPr>
          </w:p>
        </w:tc>
      </w:tr>
      <w:tr w14:paraId="3537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continue"/>
            <w:noWrap w:val="0"/>
            <w:vAlign w:val="center"/>
          </w:tcPr>
          <w:p w14:paraId="7D947B64">
            <w:pPr>
              <w:spacing w:line="360" w:lineRule="auto"/>
              <w:jc w:val="center"/>
              <w:rPr>
                <w:rFonts w:hint="eastAsia" w:ascii="宋体" w:hAnsi="宋体" w:eastAsia="宋体" w:cs="宋体"/>
                <w:sz w:val="24"/>
                <w:highlight w:val="none"/>
              </w:rPr>
            </w:pPr>
          </w:p>
        </w:tc>
        <w:tc>
          <w:tcPr>
            <w:tcW w:w="2671" w:type="pct"/>
            <w:noWrap w:val="0"/>
            <w:vAlign w:val="center"/>
          </w:tcPr>
          <w:p w14:paraId="40BD9F1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场地运营配备1名责任人，配备专（兼）职管理人员不少于2名。</w:t>
            </w:r>
          </w:p>
        </w:tc>
        <w:tc>
          <w:tcPr>
            <w:tcW w:w="649" w:type="pct"/>
            <w:noWrap w:val="0"/>
            <w:vAlign w:val="center"/>
          </w:tcPr>
          <w:p w14:paraId="4212F87A">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5分</w:t>
            </w:r>
          </w:p>
        </w:tc>
        <w:tc>
          <w:tcPr>
            <w:tcW w:w="937" w:type="pct"/>
            <w:noWrap w:val="0"/>
            <w:vAlign w:val="center"/>
          </w:tcPr>
          <w:p w14:paraId="1F496D5E">
            <w:pPr>
              <w:spacing w:line="360" w:lineRule="auto"/>
              <w:jc w:val="center"/>
              <w:rPr>
                <w:rFonts w:hint="eastAsia" w:ascii="宋体" w:hAnsi="宋体" w:eastAsia="宋体" w:cs="宋体"/>
                <w:sz w:val="24"/>
                <w:highlight w:val="none"/>
              </w:rPr>
            </w:pPr>
          </w:p>
        </w:tc>
      </w:tr>
      <w:tr w14:paraId="13B7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continue"/>
            <w:noWrap w:val="0"/>
            <w:vAlign w:val="center"/>
          </w:tcPr>
          <w:p w14:paraId="397C7E32">
            <w:pPr>
              <w:spacing w:line="360" w:lineRule="auto"/>
              <w:jc w:val="center"/>
              <w:rPr>
                <w:rFonts w:hint="eastAsia" w:ascii="宋体" w:hAnsi="宋体" w:eastAsia="宋体" w:cs="宋体"/>
                <w:sz w:val="24"/>
                <w:highlight w:val="none"/>
              </w:rPr>
            </w:pPr>
          </w:p>
        </w:tc>
        <w:tc>
          <w:tcPr>
            <w:tcW w:w="2671" w:type="pct"/>
            <w:noWrap w:val="0"/>
            <w:vAlign w:val="center"/>
          </w:tcPr>
          <w:p w14:paraId="679818A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lang w:eastAsia="zh-CN"/>
              </w:rPr>
              <w:t>公园一期配套房形成有流量的业态，建立本地社群，并保持对外开放，</w:t>
            </w:r>
            <w:r>
              <w:rPr>
                <w:rFonts w:hint="eastAsia" w:ascii="宋体" w:hAnsi="宋体" w:eastAsia="宋体" w:cs="宋体"/>
                <w:sz w:val="24"/>
                <w:highlight w:val="none"/>
              </w:rPr>
              <w:t>每周开放时间不少于50个小时。积极支持政府阵地建设和品牌融入需要。</w:t>
            </w:r>
          </w:p>
        </w:tc>
        <w:tc>
          <w:tcPr>
            <w:tcW w:w="649" w:type="pct"/>
            <w:noWrap w:val="0"/>
            <w:vAlign w:val="center"/>
          </w:tcPr>
          <w:p w14:paraId="09BE23C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10分</w:t>
            </w:r>
          </w:p>
        </w:tc>
        <w:tc>
          <w:tcPr>
            <w:tcW w:w="937" w:type="pct"/>
            <w:noWrap w:val="0"/>
            <w:vAlign w:val="center"/>
          </w:tcPr>
          <w:p w14:paraId="2DD41141">
            <w:pPr>
              <w:spacing w:line="360" w:lineRule="auto"/>
              <w:jc w:val="center"/>
              <w:rPr>
                <w:rFonts w:hint="eastAsia" w:ascii="宋体" w:hAnsi="宋体" w:eastAsia="宋体" w:cs="宋体"/>
                <w:sz w:val="24"/>
                <w:highlight w:val="none"/>
              </w:rPr>
            </w:pPr>
          </w:p>
        </w:tc>
      </w:tr>
      <w:tr w14:paraId="5DD4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1" w:type="pct"/>
            <w:vMerge w:val="continue"/>
            <w:noWrap w:val="0"/>
            <w:vAlign w:val="center"/>
          </w:tcPr>
          <w:p w14:paraId="5DDC0C42">
            <w:pPr>
              <w:spacing w:line="360" w:lineRule="auto"/>
              <w:jc w:val="center"/>
              <w:rPr>
                <w:rFonts w:hint="eastAsia" w:ascii="宋体" w:hAnsi="宋体" w:eastAsia="宋体" w:cs="宋体"/>
                <w:sz w:val="24"/>
                <w:highlight w:val="none"/>
              </w:rPr>
            </w:pPr>
          </w:p>
        </w:tc>
        <w:tc>
          <w:tcPr>
            <w:tcW w:w="2671" w:type="pct"/>
            <w:noWrap w:val="0"/>
            <w:vAlign w:val="center"/>
          </w:tcPr>
          <w:p w14:paraId="564B6E6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每月开展汽车品牌宣传和营销推广活动不少于1场，单次活动人流量≧200人次，本年度内活动人流量≧1000人次的活动不少于2场；承办属地政府大型汽车主题活动不少于1场。</w:t>
            </w:r>
          </w:p>
        </w:tc>
        <w:tc>
          <w:tcPr>
            <w:tcW w:w="649" w:type="pct"/>
            <w:noWrap w:val="0"/>
            <w:vAlign w:val="center"/>
          </w:tcPr>
          <w:p w14:paraId="080BC78E">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15分</w:t>
            </w:r>
          </w:p>
        </w:tc>
        <w:tc>
          <w:tcPr>
            <w:tcW w:w="937" w:type="pct"/>
            <w:noWrap w:val="0"/>
            <w:vAlign w:val="center"/>
          </w:tcPr>
          <w:p w14:paraId="7C22D9B4">
            <w:pPr>
              <w:spacing w:line="360" w:lineRule="auto"/>
              <w:jc w:val="center"/>
              <w:rPr>
                <w:rFonts w:hint="eastAsia" w:ascii="宋体" w:hAnsi="宋体" w:eastAsia="宋体" w:cs="宋体"/>
                <w:sz w:val="24"/>
                <w:highlight w:val="none"/>
              </w:rPr>
            </w:pPr>
          </w:p>
        </w:tc>
      </w:tr>
      <w:tr w14:paraId="0A35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continue"/>
            <w:noWrap w:val="0"/>
            <w:vAlign w:val="center"/>
          </w:tcPr>
          <w:p w14:paraId="02673B53">
            <w:pPr>
              <w:spacing w:line="360" w:lineRule="auto"/>
              <w:jc w:val="center"/>
              <w:rPr>
                <w:rFonts w:hint="eastAsia" w:ascii="宋体" w:hAnsi="宋体" w:eastAsia="宋体" w:cs="宋体"/>
                <w:sz w:val="24"/>
                <w:highlight w:val="none"/>
              </w:rPr>
            </w:pPr>
          </w:p>
        </w:tc>
        <w:tc>
          <w:tcPr>
            <w:tcW w:w="2671" w:type="pct"/>
            <w:noWrap w:val="0"/>
            <w:vAlign w:val="center"/>
          </w:tcPr>
          <w:p w14:paraId="3939C58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在小红书、微信公众号、微博，各级媒体，汽车垂直媒体等平台形成良好传播度。</w:t>
            </w:r>
          </w:p>
        </w:tc>
        <w:tc>
          <w:tcPr>
            <w:tcW w:w="649" w:type="pct"/>
            <w:noWrap w:val="0"/>
            <w:vAlign w:val="center"/>
          </w:tcPr>
          <w:p w14:paraId="75813AE3">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10分</w:t>
            </w:r>
          </w:p>
        </w:tc>
        <w:tc>
          <w:tcPr>
            <w:tcW w:w="937" w:type="pct"/>
            <w:noWrap w:val="0"/>
            <w:vAlign w:val="center"/>
          </w:tcPr>
          <w:p w14:paraId="7D69C038">
            <w:pPr>
              <w:spacing w:line="360" w:lineRule="auto"/>
              <w:jc w:val="center"/>
              <w:rPr>
                <w:rFonts w:hint="eastAsia" w:ascii="宋体" w:hAnsi="宋体" w:eastAsia="宋体" w:cs="宋体"/>
                <w:sz w:val="24"/>
                <w:highlight w:val="none"/>
              </w:rPr>
            </w:pPr>
          </w:p>
        </w:tc>
      </w:tr>
      <w:tr w14:paraId="2622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continue"/>
            <w:noWrap w:val="0"/>
            <w:vAlign w:val="center"/>
          </w:tcPr>
          <w:p w14:paraId="309EE514">
            <w:pPr>
              <w:spacing w:line="360" w:lineRule="auto"/>
              <w:jc w:val="center"/>
              <w:rPr>
                <w:rFonts w:hint="eastAsia" w:ascii="宋体" w:hAnsi="宋体" w:eastAsia="宋体" w:cs="宋体"/>
                <w:sz w:val="24"/>
                <w:highlight w:val="none"/>
              </w:rPr>
            </w:pPr>
          </w:p>
        </w:tc>
        <w:tc>
          <w:tcPr>
            <w:tcW w:w="2671" w:type="pct"/>
            <w:noWrap w:val="0"/>
            <w:vAlign w:val="center"/>
          </w:tcPr>
          <w:p w14:paraId="1504EE47">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支持辖区内汽车品牌在公园内开展活动，在活动场地、布置、执行等方面予以优惠。</w:t>
            </w:r>
          </w:p>
        </w:tc>
        <w:tc>
          <w:tcPr>
            <w:tcW w:w="649" w:type="pct"/>
            <w:noWrap w:val="0"/>
            <w:vAlign w:val="center"/>
          </w:tcPr>
          <w:p w14:paraId="424F18CD">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3分</w:t>
            </w:r>
          </w:p>
        </w:tc>
        <w:tc>
          <w:tcPr>
            <w:tcW w:w="937" w:type="pct"/>
            <w:noWrap w:val="0"/>
            <w:vAlign w:val="center"/>
          </w:tcPr>
          <w:p w14:paraId="24A8AC99">
            <w:pPr>
              <w:spacing w:line="360" w:lineRule="auto"/>
              <w:jc w:val="center"/>
              <w:rPr>
                <w:rFonts w:hint="eastAsia" w:ascii="宋体" w:hAnsi="宋体" w:eastAsia="宋体" w:cs="宋体"/>
                <w:sz w:val="24"/>
                <w:highlight w:val="none"/>
              </w:rPr>
            </w:pPr>
          </w:p>
        </w:tc>
      </w:tr>
      <w:tr w14:paraId="1B05F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continue"/>
            <w:noWrap w:val="0"/>
            <w:vAlign w:val="center"/>
          </w:tcPr>
          <w:p w14:paraId="76B1720A">
            <w:pPr>
              <w:spacing w:line="360" w:lineRule="auto"/>
              <w:jc w:val="center"/>
              <w:rPr>
                <w:rFonts w:hint="eastAsia" w:ascii="宋体" w:hAnsi="宋体" w:eastAsia="宋体" w:cs="宋体"/>
                <w:sz w:val="24"/>
                <w:highlight w:val="none"/>
              </w:rPr>
            </w:pPr>
          </w:p>
        </w:tc>
        <w:tc>
          <w:tcPr>
            <w:tcW w:w="2671" w:type="pct"/>
            <w:noWrap w:val="0"/>
            <w:vAlign w:val="center"/>
          </w:tcPr>
          <w:p w14:paraId="6197F6B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公园需在显著位置，公示入园须知、活动公告等内容；有安全管理制度和安全应急预案。</w:t>
            </w:r>
          </w:p>
        </w:tc>
        <w:tc>
          <w:tcPr>
            <w:tcW w:w="649" w:type="pct"/>
            <w:noWrap w:val="0"/>
            <w:vAlign w:val="center"/>
          </w:tcPr>
          <w:p w14:paraId="094258E5">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2分</w:t>
            </w:r>
          </w:p>
        </w:tc>
        <w:tc>
          <w:tcPr>
            <w:tcW w:w="937" w:type="pct"/>
            <w:noWrap w:val="0"/>
            <w:vAlign w:val="center"/>
          </w:tcPr>
          <w:p w14:paraId="5262EBB7">
            <w:pPr>
              <w:spacing w:line="360" w:lineRule="auto"/>
              <w:jc w:val="center"/>
              <w:rPr>
                <w:rFonts w:hint="eastAsia" w:ascii="宋体" w:hAnsi="宋体" w:eastAsia="宋体" w:cs="宋体"/>
                <w:sz w:val="24"/>
                <w:highlight w:val="none"/>
              </w:rPr>
            </w:pPr>
          </w:p>
        </w:tc>
      </w:tr>
      <w:tr w14:paraId="51532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41" w:type="pct"/>
            <w:vMerge w:val="restart"/>
            <w:noWrap w:val="0"/>
            <w:vAlign w:val="center"/>
          </w:tcPr>
          <w:p w14:paraId="79B0624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服务监督与反馈</w:t>
            </w:r>
          </w:p>
          <w:p w14:paraId="17339BD8">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（10分）</w:t>
            </w:r>
          </w:p>
        </w:tc>
        <w:tc>
          <w:tcPr>
            <w:tcW w:w="2671" w:type="pct"/>
            <w:noWrap w:val="0"/>
            <w:vAlign w:val="center"/>
          </w:tcPr>
          <w:p w14:paraId="2DF2009B">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认真对待并正确处理居民意见或投诉，在3个工作日内回复并整改落实。</w:t>
            </w:r>
          </w:p>
        </w:tc>
        <w:tc>
          <w:tcPr>
            <w:tcW w:w="649" w:type="pct"/>
            <w:noWrap w:val="0"/>
            <w:vAlign w:val="center"/>
          </w:tcPr>
          <w:p w14:paraId="32154F89">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5分</w:t>
            </w:r>
          </w:p>
        </w:tc>
        <w:tc>
          <w:tcPr>
            <w:tcW w:w="937" w:type="pct"/>
            <w:noWrap w:val="0"/>
            <w:vAlign w:val="center"/>
          </w:tcPr>
          <w:p w14:paraId="1DA9A1D0">
            <w:pPr>
              <w:spacing w:line="360" w:lineRule="auto"/>
              <w:jc w:val="center"/>
              <w:rPr>
                <w:rFonts w:hint="eastAsia" w:ascii="宋体" w:hAnsi="宋体" w:eastAsia="宋体" w:cs="宋体"/>
                <w:sz w:val="24"/>
                <w:highlight w:val="none"/>
              </w:rPr>
            </w:pPr>
          </w:p>
        </w:tc>
      </w:tr>
      <w:tr w14:paraId="2645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41" w:type="pct"/>
            <w:vMerge w:val="continue"/>
            <w:noWrap w:val="0"/>
            <w:vAlign w:val="center"/>
          </w:tcPr>
          <w:p w14:paraId="08F9F173">
            <w:pPr>
              <w:spacing w:line="360" w:lineRule="auto"/>
              <w:jc w:val="center"/>
              <w:rPr>
                <w:rFonts w:hint="eastAsia" w:ascii="宋体" w:hAnsi="宋体" w:eastAsia="宋体" w:cs="宋体"/>
                <w:sz w:val="24"/>
                <w:highlight w:val="none"/>
              </w:rPr>
            </w:pPr>
          </w:p>
        </w:tc>
        <w:tc>
          <w:tcPr>
            <w:tcW w:w="2671" w:type="pct"/>
            <w:noWrap w:val="0"/>
            <w:vAlign w:val="center"/>
          </w:tcPr>
          <w:p w14:paraId="38165AC0">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每季度对周边企业、商户和居民进行满意度调查，满意度不低于80%（含）。</w:t>
            </w:r>
          </w:p>
        </w:tc>
        <w:tc>
          <w:tcPr>
            <w:tcW w:w="649" w:type="pct"/>
            <w:noWrap w:val="0"/>
            <w:vAlign w:val="center"/>
          </w:tcPr>
          <w:p w14:paraId="4D82D062">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5分</w:t>
            </w:r>
          </w:p>
        </w:tc>
        <w:tc>
          <w:tcPr>
            <w:tcW w:w="937" w:type="pct"/>
            <w:noWrap w:val="0"/>
            <w:vAlign w:val="center"/>
          </w:tcPr>
          <w:p w14:paraId="40DD1DDE">
            <w:pPr>
              <w:spacing w:line="360" w:lineRule="auto"/>
              <w:jc w:val="center"/>
              <w:rPr>
                <w:rFonts w:hint="eastAsia" w:ascii="宋体" w:hAnsi="宋体" w:eastAsia="宋体" w:cs="宋体"/>
                <w:sz w:val="24"/>
                <w:highlight w:val="none"/>
              </w:rPr>
            </w:pPr>
          </w:p>
          <w:p w14:paraId="653B4B2D">
            <w:pPr>
              <w:spacing w:line="360" w:lineRule="auto"/>
              <w:jc w:val="both"/>
              <w:rPr>
                <w:rFonts w:hint="eastAsia" w:ascii="宋体" w:hAnsi="宋体" w:eastAsia="宋体" w:cs="宋体"/>
                <w:sz w:val="24"/>
                <w:highlight w:val="none"/>
              </w:rPr>
            </w:pPr>
          </w:p>
        </w:tc>
      </w:tr>
    </w:tbl>
    <w:p w14:paraId="39FF6138">
      <w:pPr>
        <w:pStyle w:val="1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eastAsia" w:ascii="宋体" w:hAnsi="宋体" w:eastAsia="宋体" w:cs="宋体"/>
          <w:i w:val="0"/>
          <w:iCs/>
          <w:kern w:val="2"/>
          <w:sz w:val="24"/>
          <w:szCs w:val="24"/>
          <w:highlight w:val="none"/>
          <w:lang w:val="en-US" w:eastAsia="zh-CN" w:bidi="ar-SA"/>
        </w:rPr>
      </w:pPr>
      <w:r>
        <w:rPr>
          <w:rFonts w:hint="eastAsia" w:ascii="宋体" w:hAnsi="宋体" w:eastAsia="宋体" w:cs="宋体"/>
          <w:i w:val="0"/>
          <w:iCs/>
          <w:kern w:val="2"/>
          <w:sz w:val="24"/>
          <w:szCs w:val="24"/>
          <w:highlight w:val="none"/>
          <w:lang w:val="en-US" w:eastAsia="zh-CN" w:bidi="ar-SA"/>
        </w:rPr>
        <w:t>注：每季度安排一次考核（满分100分），具体考核标准以合同签订时为准。考核结果与每季度服务经费拨付额挂钩：（1）当季度考核分在90分以上（包括90分）的为优秀，拨付全额季度服务经费；（2）当季度考核分在80（含）~90分的为良好，扣除季度服务经费的20%；（3）当季度考核分在70（含）~80分的为一般，扣除季度服务经费的50%；（4）当季度考核分在60（含）~70分的为合格，扣除季度服务经费的80%；（5）当季度考核分在60分以下的为不合格，考核不合格的，采购人有权单方解除合同，由此产生的后果由中标人自行承担。</w:t>
      </w:r>
    </w:p>
    <w:p w14:paraId="7B8E8EDB"/>
    <w:p w14:paraId="54D4DE6E">
      <w:pPr>
        <w:widowControl/>
        <w:adjustRightInd/>
        <w:jc w:val="left"/>
        <w:rPr>
          <w:rFonts w:ascii="宋体" w:hAnsi="宋体"/>
          <w:b/>
          <w:sz w:val="24"/>
        </w:rPr>
      </w:pPr>
      <w:bookmarkStart w:id="3" w:name="_GoBack"/>
      <w:bookmarkEnd w:id="3"/>
      <w:r>
        <w:rPr>
          <w:rFonts w:ascii="宋体" w:hAnsi="宋体"/>
          <w:b/>
        </w:rPr>
        <w:br w:type="page"/>
      </w:r>
    </w:p>
    <w:p w14:paraId="19884E3B">
      <w:pPr>
        <w:jc w:val="center"/>
        <w:outlineLvl w:val="0"/>
        <w:rPr>
          <w:b/>
          <w:color w:val="auto"/>
          <w:sz w:val="36"/>
          <w:szCs w:val="36"/>
          <w:highlight w:val="none"/>
        </w:rPr>
      </w:pPr>
      <w:r>
        <w:rPr>
          <w:b/>
          <w:color w:val="auto"/>
          <w:sz w:val="36"/>
          <w:szCs w:val="36"/>
          <w:highlight w:val="none"/>
        </w:rPr>
        <w:t>第</w:t>
      </w:r>
      <w:r>
        <w:rPr>
          <w:rFonts w:hint="eastAsia"/>
          <w:b/>
          <w:color w:val="auto"/>
          <w:sz w:val="36"/>
          <w:szCs w:val="36"/>
          <w:highlight w:val="none"/>
        </w:rPr>
        <w:t>六</w:t>
      </w:r>
      <w:r>
        <w:rPr>
          <w:b/>
          <w:color w:val="auto"/>
          <w:sz w:val="36"/>
          <w:szCs w:val="36"/>
          <w:highlight w:val="none"/>
        </w:rPr>
        <w:t>部分</w:t>
      </w:r>
      <w:r>
        <w:rPr>
          <w:rFonts w:hint="eastAsia"/>
          <w:b/>
          <w:color w:val="auto"/>
          <w:sz w:val="36"/>
          <w:szCs w:val="36"/>
          <w:highlight w:val="none"/>
        </w:rPr>
        <w:t xml:space="preserve"> 附件（投标文件格式）</w:t>
      </w:r>
    </w:p>
    <w:p w14:paraId="7ABBD0F2">
      <w:pPr>
        <w:pStyle w:val="3"/>
        <w:spacing w:line="500" w:lineRule="exact"/>
        <w:ind w:firstLine="0"/>
        <w:outlineLvl w:val="1"/>
        <w:rPr>
          <w:rFonts w:ascii="宋体" w:eastAsia="宋体"/>
          <w:b/>
          <w:color w:val="auto"/>
          <w:sz w:val="28"/>
          <w:highlight w:val="none"/>
        </w:rPr>
      </w:pPr>
      <w:r>
        <w:rPr>
          <w:rFonts w:hint="eastAsia" w:ascii="宋体" w:eastAsia="宋体"/>
          <w:b/>
          <w:color w:val="auto"/>
          <w:sz w:val="28"/>
          <w:highlight w:val="none"/>
        </w:rPr>
        <w:t xml:space="preserve">（一）资格文件：                   </w:t>
      </w:r>
    </w:p>
    <w:p w14:paraId="3F4F611D">
      <w:pPr>
        <w:pStyle w:val="3"/>
        <w:ind w:firstLine="0"/>
        <w:rPr>
          <w:rFonts w:ascii="宋体" w:eastAsia="宋体"/>
          <w:b/>
          <w:color w:val="auto"/>
          <w:sz w:val="28"/>
          <w:highlight w:val="none"/>
        </w:rPr>
      </w:pPr>
      <w:r>
        <w:rPr>
          <w:rFonts w:hint="eastAsia" w:ascii="宋体" w:eastAsia="宋体"/>
          <w:b/>
          <w:color w:val="auto"/>
          <w:sz w:val="28"/>
          <w:highlight w:val="none"/>
        </w:rPr>
        <w:t xml:space="preserve">  </w:t>
      </w:r>
    </w:p>
    <w:p w14:paraId="5AD6C298">
      <w:pPr>
        <w:pStyle w:val="3"/>
        <w:ind w:firstLine="0"/>
        <w:jc w:val="center"/>
        <w:rPr>
          <w:rFonts w:ascii="宋体" w:eastAsia="宋体"/>
          <w:b/>
          <w:color w:val="auto"/>
          <w:sz w:val="28"/>
          <w:highlight w:val="none"/>
        </w:rPr>
      </w:pPr>
    </w:p>
    <w:p w14:paraId="0C184896">
      <w:pPr>
        <w:rPr>
          <w:color w:val="auto"/>
          <w:highlight w:val="none"/>
        </w:rPr>
      </w:pPr>
    </w:p>
    <w:p w14:paraId="5E8434EF">
      <w:pPr>
        <w:pStyle w:val="3"/>
        <w:ind w:firstLine="0"/>
        <w:rPr>
          <w:rFonts w:ascii="宋体" w:eastAsia="宋体"/>
          <w:b/>
          <w:color w:val="auto"/>
          <w:sz w:val="28"/>
          <w:highlight w:val="none"/>
        </w:rPr>
      </w:pPr>
    </w:p>
    <w:p w14:paraId="38ACCAA5">
      <w:pPr>
        <w:pStyle w:val="3"/>
        <w:ind w:firstLine="0"/>
        <w:rPr>
          <w:rFonts w:ascii="宋体" w:eastAsia="宋体"/>
          <w:color w:val="auto"/>
          <w:highlight w:val="none"/>
        </w:rPr>
      </w:pPr>
    </w:p>
    <w:p w14:paraId="026F7B6D">
      <w:pPr>
        <w:pStyle w:val="3"/>
        <w:spacing w:line="460" w:lineRule="exact"/>
        <w:ind w:firstLine="0"/>
        <w:jc w:val="center"/>
        <w:outlineLvl w:val="2"/>
        <w:rPr>
          <w:rFonts w:ascii="Calibri" w:hAnsi="Calibri" w:eastAsia="宋体" w:cs="Calibri"/>
          <w:b/>
          <w:color w:val="auto"/>
          <w:sz w:val="28"/>
          <w:highlight w:val="none"/>
        </w:rPr>
      </w:pPr>
      <w:r>
        <w:rPr>
          <w:rFonts w:ascii="Calibri" w:hAnsi="Calibri" w:eastAsia="宋体" w:cs="Calibri"/>
          <w:b/>
          <w:color w:val="auto"/>
          <w:sz w:val="28"/>
          <w:highlight w:val="none"/>
        </w:rPr>
        <w:t>（1）  营业执照</w:t>
      </w:r>
    </w:p>
    <w:p w14:paraId="3CB4906B">
      <w:pPr>
        <w:pStyle w:val="3"/>
        <w:ind w:firstLine="0"/>
        <w:jc w:val="center"/>
        <w:rPr>
          <w:rFonts w:ascii="宋体" w:eastAsia="宋体"/>
          <w:color w:val="auto"/>
          <w:highlight w:val="none"/>
        </w:rPr>
      </w:pPr>
    </w:p>
    <w:p w14:paraId="4EC14C77">
      <w:pPr>
        <w:pStyle w:val="3"/>
        <w:ind w:firstLine="0"/>
        <w:jc w:val="center"/>
        <w:rPr>
          <w:rFonts w:ascii="宋体" w:eastAsia="宋体"/>
          <w:color w:val="auto"/>
          <w:highlight w:val="none"/>
        </w:rPr>
      </w:pPr>
      <w:r>
        <w:rPr>
          <w:rFonts w:hint="eastAsia" w:ascii="宋体" w:eastAsia="宋体"/>
          <w:color w:val="auto"/>
          <w:highlight w:val="none"/>
        </w:rPr>
        <w:t>（复印件并加盖公章）</w:t>
      </w:r>
    </w:p>
    <w:p w14:paraId="78ED411D">
      <w:pPr>
        <w:pStyle w:val="3"/>
        <w:ind w:firstLine="0"/>
        <w:rPr>
          <w:rFonts w:ascii="宋体" w:eastAsia="宋体"/>
          <w:color w:val="auto"/>
          <w:highlight w:val="none"/>
        </w:rPr>
      </w:pPr>
    </w:p>
    <w:p w14:paraId="2148D185">
      <w:pPr>
        <w:pStyle w:val="3"/>
        <w:ind w:firstLine="0"/>
        <w:rPr>
          <w:rFonts w:ascii="宋体" w:eastAsia="宋体"/>
          <w:color w:val="auto"/>
          <w:highlight w:val="none"/>
        </w:rPr>
      </w:pPr>
    </w:p>
    <w:p w14:paraId="225DBF53">
      <w:pPr>
        <w:pStyle w:val="3"/>
        <w:ind w:firstLine="0"/>
        <w:rPr>
          <w:rFonts w:ascii="宋体" w:eastAsia="宋体"/>
          <w:color w:val="auto"/>
          <w:highlight w:val="none"/>
        </w:rPr>
      </w:pPr>
    </w:p>
    <w:p w14:paraId="033C77D4">
      <w:pPr>
        <w:pStyle w:val="3"/>
        <w:ind w:firstLine="0"/>
        <w:rPr>
          <w:rFonts w:ascii="宋体" w:eastAsia="宋体"/>
          <w:color w:val="auto"/>
          <w:highlight w:val="none"/>
        </w:rPr>
      </w:pPr>
    </w:p>
    <w:p w14:paraId="0BBC9BBD">
      <w:pPr>
        <w:pStyle w:val="3"/>
        <w:ind w:firstLine="0"/>
        <w:rPr>
          <w:rFonts w:ascii="宋体" w:eastAsia="宋体"/>
          <w:b/>
          <w:color w:val="auto"/>
          <w:sz w:val="28"/>
          <w:highlight w:val="none"/>
        </w:rPr>
      </w:pPr>
      <w:r>
        <w:rPr>
          <w:rFonts w:ascii="宋体" w:eastAsia="宋体"/>
          <w:b/>
          <w:color w:val="auto"/>
          <w:sz w:val="28"/>
          <w:highlight w:val="none"/>
        </w:rPr>
        <w:br w:type="page"/>
      </w:r>
    </w:p>
    <w:p w14:paraId="3ECC322B">
      <w:pPr>
        <w:pStyle w:val="3"/>
        <w:spacing w:line="460" w:lineRule="exact"/>
        <w:ind w:firstLine="0"/>
        <w:jc w:val="center"/>
        <w:outlineLvl w:val="2"/>
        <w:rPr>
          <w:rFonts w:ascii="Calibri" w:hAnsi="Calibri" w:eastAsia="宋体" w:cs="Calibri"/>
          <w:b/>
          <w:color w:val="auto"/>
          <w:sz w:val="28"/>
          <w:highlight w:val="none"/>
        </w:rPr>
      </w:pPr>
      <w:r>
        <w:rPr>
          <w:rFonts w:hint="eastAsia" w:ascii="Calibri" w:hAnsi="Calibri" w:eastAsia="宋体" w:cs="Calibri"/>
          <w:b/>
          <w:color w:val="auto"/>
          <w:sz w:val="28"/>
          <w:highlight w:val="none"/>
        </w:rPr>
        <w:t>（2）合格供应商的资格承诺书</w:t>
      </w:r>
    </w:p>
    <w:p w14:paraId="4593C44F">
      <w:pPr>
        <w:rPr>
          <w:color w:val="auto"/>
          <w:highlight w:val="none"/>
        </w:rPr>
      </w:pPr>
    </w:p>
    <w:p w14:paraId="038095CD">
      <w:pPr>
        <w:pStyle w:val="3"/>
        <w:spacing w:line="520" w:lineRule="exact"/>
        <w:ind w:firstLine="0"/>
        <w:jc w:val="center"/>
        <w:rPr>
          <w:rFonts w:eastAsia="宋体"/>
          <w:b/>
          <w:color w:val="auto"/>
          <w:sz w:val="28"/>
          <w:highlight w:val="none"/>
        </w:rPr>
      </w:pPr>
      <w:r>
        <w:rPr>
          <w:rFonts w:hint="eastAsia" w:eastAsia="宋体"/>
          <w:b/>
          <w:color w:val="auto"/>
          <w:sz w:val="28"/>
          <w:highlight w:val="none"/>
        </w:rPr>
        <w:t>合格供应商的资格承诺书</w:t>
      </w:r>
    </w:p>
    <w:p w14:paraId="04B6101A">
      <w:pPr>
        <w:tabs>
          <w:tab w:val="left" w:pos="606"/>
        </w:tabs>
        <w:spacing w:line="360" w:lineRule="auto"/>
        <w:rPr>
          <w:rFonts w:ascii="宋体" w:hAnsi="宋体"/>
          <w:color w:val="auto"/>
          <w:szCs w:val="21"/>
          <w:highlight w:val="none"/>
        </w:rPr>
      </w:pPr>
    </w:p>
    <w:p w14:paraId="197F1418">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（一）我单位符合《中华人民共和国政府采购法》第二十二条规定的供应商资格条件：</w:t>
      </w:r>
    </w:p>
    <w:p w14:paraId="2203F603">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1、具有独立承担民事责任的能力；</w:t>
      </w:r>
    </w:p>
    <w:p w14:paraId="02C37386">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2、具有良好的商业信誉和健全的财务会计制度；</w:t>
      </w:r>
    </w:p>
    <w:p w14:paraId="2D745936">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3、具有履行合同所必需的设备和专业技术能力；</w:t>
      </w:r>
    </w:p>
    <w:p w14:paraId="417B2BF0">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4、有依法缴纳税收和社会保障资金的良好记录；</w:t>
      </w:r>
    </w:p>
    <w:p w14:paraId="47983FF2">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5、参加政府采购活动前三年内，在经营活动中没有重大违法记录；</w:t>
      </w:r>
    </w:p>
    <w:p w14:paraId="674D3CD9">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29D05561">
      <w:pPr>
        <w:tabs>
          <w:tab w:val="left" w:pos="606"/>
        </w:tabs>
        <w:spacing w:line="360" w:lineRule="exact"/>
        <w:rPr>
          <w:rFonts w:ascii="宋体" w:hAnsi="宋体"/>
          <w:color w:val="auto"/>
          <w:sz w:val="24"/>
          <w:szCs w:val="24"/>
          <w:highlight w:val="none"/>
        </w:rPr>
      </w:pPr>
      <w:r>
        <w:rPr>
          <w:rFonts w:hint="eastAsia" w:ascii="宋体" w:hAnsi="宋体"/>
          <w:color w:val="auto"/>
          <w:sz w:val="24"/>
          <w:szCs w:val="24"/>
          <w:highlight w:val="none"/>
        </w:rPr>
        <w:t>（二）我单位承诺遵守以下规定：</w:t>
      </w:r>
    </w:p>
    <w:p w14:paraId="598CBE67">
      <w:pPr>
        <w:tabs>
          <w:tab w:val="left" w:pos="606"/>
        </w:tabs>
        <w:spacing w:line="360" w:lineRule="exact"/>
        <w:ind w:firstLine="480" w:firstLineChars="200"/>
        <w:rPr>
          <w:rFonts w:ascii="宋体" w:hAnsi="宋体"/>
          <w:color w:val="auto"/>
          <w:sz w:val="24"/>
          <w:szCs w:val="24"/>
          <w:highlight w:val="none"/>
        </w:rPr>
      </w:pPr>
      <w:r>
        <w:rPr>
          <w:rFonts w:hint="eastAsia" w:hAnsi="宋体"/>
          <w:color w:val="auto"/>
          <w:sz w:val="24"/>
          <w:szCs w:val="24"/>
          <w:highlight w:val="none"/>
        </w:rPr>
        <w:t>单位负责人为同一人或者存在直接控股、管理关系的不同投标人，不得同时参加同一合同项下的政府采购活动。为本项目提供整体设计、规范编制或者项目管理、监理、检测等服务的投标人，不得再参加该项目的其他采购活动。</w:t>
      </w:r>
    </w:p>
    <w:p w14:paraId="659D11C5">
      <w:pPr>
        <w:numPr>
          <w:ilvl w:val="0"/>
          <w:numId w:val="4"/>
        </w:numPr>
        <w:tabs>
          <w:tab w:val="left" w:pos="606"/>
        </w:tabs>
        <w:spacing w:line="360" w:lineRule="exact"/>
        <w:rPr>
          <w:rFonts w:hint="eastAsia"/>
          <w:color w:val="auto"/>
          <w:sz w:val="24"/>
          <w:highlight w:val="none"/>
        </w:rPr>
      </w:pPr>
      <w:r>
        <w:rPr>
          <w:rFonts w:hint="eastAsia" w:ascii="宋体" w:hAnsi="宋体"/>
          <w:color w:val="auto"/>
          <w:sz w:val="24"/>
          <w:szCs w:val="24"/>
          <w:highlight w:val="none"/>
        </w:rPr>
        <w:t>我单位</w:t>
      </w:r>
      <w:r>
        <w:rPr>
          <w:rFonts w:hint="eastAsia"/>
          <w:color w:val="auto"/>
          <w:sz w:val="24"/>
          <w:highlight w:val="none"/>
        </w:rPr>
        <w:t>未被信用中国网站（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0"/>
          <w:color w:val="auto"/>
          <w:sz w:val="24"/>
          <w:highlight w:val="none"/>
        </w:rPr>
        <w:t>www.creditchina.gov.cn</w:t>
      </w:r>
      <w:r>
        <w:rPr>
          <w:rStyle w:val="40"/>
          <w:color w:val="auto"/>
          <w:sz w:val="24"/>
          <w:highlight w:val="none"/>
        </w:rPr>
        <w:fldChar w:fldCharType="end"/>
      </w:r>
      <w:r>
        <w:rPr>
          <w:rFonts w:hint="eastAsia"/>
          <w:color w:val="auto"/>
          <w:sz w:val="24"/>
          <w:highlight w:val="none"/>
        </w:rPr>
        <w:t>）列入失信被执行人、重大税收违法失信主体；未被中国政府采购网（</w:t>
      </w:r>
      <w:r>
        <w:rPr>
          <w:color w:val="auto"/>
          <w:sz w:val="24"/>
          <w:highlight w:val="none"/>
        </w:rPr>
        <w:t>www.ccgp.gov.cn</w:t>
      </w:r>
      <w:r>
        <w:rPr>
          <w:rFonts w:hint="eastAsia"/>
          <w:color w:val="auto"/>
          <w:sz w:val="24"/>
          <w:highlight w:val="none"/>
        </w:rPr>
        <w:t>）列入政府采购严重违法失信行为记录名单。</w:t>
      </w:r>
    </w:p>
    <w:p w14:paraId="4DFDF1ED">
      <w:pPr>
        <w:numPr>
          <w:ilvl w:val="0"/>
          <w:numId w:val="0"/>
        </w:numPr>
        <w:tabs>
          <w:tab w:val="left" w:pos="606"/>
        </w:tabs>
        <w:spacing w:line="360" w:lineRule="exact"/>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四</w:t>
      </w:r>
      <w:r>
        <w:rPr>
          <w:rFonts w:hint="eastAsia"/>
          <w:color w:val="auto"/>
          <w:sz w:val="24"/>
          <w:highlight w:val="none"/>
          <w:lang w:eastAsia="zh-CN"/>
        </w:rPr>
        <w:t>）</w:t>
      </w:r>
      <w:r>
        <w:rPr>
          <w:rFonts w:hint="eastAsia" w:ascii="宋体" w:hAnsi="宋体"/>
          <w:color w:val="auto"/>
          <w:sz w:val="24"/>
          <w:szCs w:val="24"/>
          <w:highlight w:val="none"/>
        </w:rPr>
        <w:t>我单位</w:t>
      </w:r>
      <w:r>
        <w:rPr>
          <w:rFonts w:hint="eastAsia" w:ascii="宋体" w:hAnsi="宋体"/>
          <w:color w:val="auto"/>
          <w:sz w:val="24"/>
          <w:szCs w:val="24"/>
          <w:highlight w:val="none"/>
          <w:lang w:val="en-US" w:eastAsia="zh-CN"/>
        </w:rPr>
        <w:t>满足</w:t>
      </w:r>
      <w:r>
        <w:rPr>
          <w:rFonts w:hint="eastAsia"/>
          <w:color w:val="auto"/>
          <w:sz w:val="24"/>
          <w:highlight w:val="none"/>
        </w:rPr>
        <w:t>落实政府采购政策需满足的资格要求：标项1：服务全部由符合政策要求的中小企业承接，提供中小企业声明函；</w:t>
      </w:r>
    </w:p>
    <w:p w14:paraId="7C09C6AE">
      <w:pPr>
        <w:tabs>
          <w:tab w:val="left" w:pos="606"/>
        </w:tabs>
        <w:spacing w:line="360" w:lineRule="exact"/>
        <w:rPr>
          <w:rFonts w:ascii="宋体" w:hAnsi="宋体"/>
          <w:color w:val="auto"/>
          <w:sz w:val="24"/>
          <w:szCs w:val="24"/>
          <w:highlight w:val="none"/>
        </w:rPr>
      </w:pPr>
      <w:r>
        <w:rPr>
          <w:rFonts w:hint="eastAsia"/>
          <w:color w:val="auto"/>
          <w:sz w:val="24"/>
          <w:highlight w:val="none"/>
          <w:lang w:eastAsia="zh-CN"/>
        </w:rPr>
        <w:t>（</w:t>
      </w:r>
      <w:r>
        <w:rPr>
          <w:rFonts w:hint="eastAsia"/>
          <w:color w:val="auto"/>
          <w:sz w:val="24"/>
          <w:highlight w:val="none"/>
          <w:lang w:val="en-US" w:eastAsia="zh-CN"/>
        </w:rPr>
        <w:t>五</w:t>
      </w:r>
      <w:r>
        <w:rPr>
          <w:rFonts w:hint="eastAsia"/>
          <w:color w:val="auto"/>
          <w:sz w:val="24"/>
          <w:highlight w:val="none"/>
          <w:lang w:eastAsia="zh-CN"/>
        </w:rPr>
        <w:t>）</w:t>
      </w:r>
      <w:r>
        <w:rPr>
          <w:rFonts w:hint="eastAsia"/>
          <w:color w:val="auto"/>
          <w:sz w:val="24"/>
          <w:highlight w:val="none"/>
        </w:rPr>
        <w:t>我单位满足本项目的特定资格要求</w:t>
      </w:r>
      <w:r>
        <w:rPr>
          <w:rFonts w:hint="eastAsia"/>
          <w:color w:val="auto"/>
          <w:sz w:val="24"/>
          <w:highlight w:val="none"/>
          <w:lang w:val="en-US" w:eastAsia="zh-CN"/>
        </w:rPr>
        <w:t>：无</w:t>
      </w:r>
      <w:r>
        <w:rPr>
          <w:rFonts w:hint="eastAsia"/>
          <w:color w:val="auto"/>
          <w:sz w:val="24"/>
          <w:highlight w:val="none"/>
        </w:rPr>
        <w:t>。</w:t>
      </w:r>
    </w:p>
    <w:p w14:paraId="53CFD085">
      <w:pPr>
        <w:tabs>
          <w:tab w:val="left" w:pos="606"/>
        </w:tabs>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2B10DDD8">
      <w:pPr>
        <w:pStyle w:val="3"/>
        <w:spacing w:line="520" w:lineRule="exact"/>
        <w:ind w:firstLine="0"/>
        <w:rPr>
          <w:rFonts w:ascii="宋体" w:eastAsia="宋体"/>
          <w:color w:val="auto"/>
          <w:highlight w:val="none"/>
        </w:rPr>
      </w:pPr>
    </w:p>
    <w:p w14:paraId="72A05426">
      <w:pPr>
        <w:pStyle w:val="3"/>
        <w:spacing w:beforeLines="50" w:line="360" w:lineRule="exact"/>
        <w:ind w:firstLine="5143" w:firstLineChars="2143"/>
        <w:rPr>
          <w:rFonts w:eastAsia="宋体"/>
          <w:color w:val="auto"/>
          <w:szCs w:val="24"/>
          <w:highlight w:val="none"/>
        </w:rPr>
      </w:pPr>
      <w:r>
        <w:rPr>
          <w:rFonts w:hint="eastAsia" w:eastAsia="宋体"/>
          <w:color w:val="auto"/>
          <w:szCs w:val="24"/>
          <w:highlight w:val="none"/>
        </w:rPr>
        <w:t>投标人单位（盖公章）：</w:t>
      </w:r>
    </w:p>
    <w:p w14:paraId="73730DF0">
      <w:pPr>
        <w:pStyle w:val="3"/>
        <w:spacing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14:paraId="154780BE">
      <w:pPr>
        <w:pStyle w:val="3"/>
        <w:spacing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14:paraId="2013AC74">
      <w:pPr>
        <w:pStyle w:val="3"/>
        <w:spacing w:line="480" w:lineRule="auto"/>
        <w:ind w:firstLine="0"/>
        <w:rPr>
          <w:rFonts w:ascii="宋体" w:eastAsia="宋体"/>
          <w:b/>
          <w:color w:val="auto"/>
          <w:sz w:val="28"/>
          <w:highlight w:val="none"/>
        </w:rPr>
      </w:pPr>
    </w:p>
    <w:p w14:paraId="4D4FE7B4">
      <w:pPr>
        <w:rPr>
          <w:rFonts w:ascii="宋体"/>
          <w:b/>
          <w:color w:val="auto"/>
          <w:sz w:val="28"/>
          <w:highlight w:val="none"/>
        </w:rPr>
      </w:pPr>
      <w:r>
        <w:rPr>
          <w:rFonts w:ascii="宋体"/>
          <w:b/>
          <w:color w:val="auto"/>
          <w:sz w:val="28"/>
          <w:highlight w:val="none"/>
        </w:rPr>
        <w:br w:type="page"/>
      </w:r>
    </w:p>
    <w:p w14:paraId="350DD377">
      <w:pPr>
        <w:pageBreakBefore/>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）中小企业声明函（服务）</w:t>
      </w:r>
    </w:p>
    <w:p w14:paraId="01AF0546">
      <w:pPr>
        <w:spacing w:line="316" w:lineRule="auto"/>
        <w:rPr>
          <w:rFonts w:hint="eastAsia" w:ascii="宋体" w:hAnsi="宋体" w:eastAsia="宋体" w:cs="宋体"/>
          <w:i w:val="0"/>
          <w:iCs w:val="0"/>
          <w:color w:val="auto"/>
          <w:sz w:val="24"/>
          <w:szCs w:val="24"/>
          <w:highlight w:val="none"/>
        </w:rPr>
      </w:pPr>
    </w:p>
    <w:p w14:paraId="0924C3EC">
      <w:pPr>
        <w:pStyle w:val="15"/>
        <w:spacing w:line="360" w:lineRule="auto"/>
        <w:ind w:right="415" w:firstLine="64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本公司郑重声明，根据《政府采购促进中小企业发展管理办法》（财库﹝2020﹞46 号）的规定，本公司参加</w:t>
      </w:r>
      <w:r>
        <w:rPr>
          <w:rFonts w:hint="eastAsia" w:ascii="宋体" w:hAnsi="宋体" w:eastAsia="宋体" w:cs="宋体"/>
          <w:i w:val="0"/>
          <w:iCs w:val="0"/>
          <w:color w:val="auto"/>
          <w:sz w:val="24"/>
          <w:szCs w:val="24"/>
          <w:highlight w:val="none"/>
          <w:u w:val="single"/>
        </w:rPr>
        <w:t>（单位名称）</w:t>
      </w:r>
      <w:r>
        <w:rPr>
          <w:rFonts w:hint="eastAsia" w:ascii="宋体" w:hAnsi="宋体" w:eastAsia="宋体" w:cs="宋体"/>
          <w:i w:val="0"/>
          <w:iCs w:val="0"/>
          <w:color w:val="auto"/>
          <w:sz w:val="24"/>
          <w:szCs w:val="24"/>
          <w:highlight w:val="none"/>
        </w:rPr>
        <w:t>的</w:t>
      </w:r>
      <w:r>
        <w:rPr>
          <w:rFonts w:hint="eastAsia" w:ascii="宋体" w:hAnsi="宋体" w:eastAsia="宋体" w:cs="宋体"/>
          <w:i w:val="0"/>
          <w:iCs w:val="0"/>
          <w:color w:val="auto"/>
          <w:sz w:val="24"/>
          <w:szCs w:val="24"/>
          <w:highlight w:val="none"/>
          <w:u w:val="single"/>
        </w:rPr>
        <w:t>（项目名称）</w:t>
      </w:r>
      <w:r>
        <w:rPr>
          <w:rFonts w:hint="eastAsia" w:ascii="宋体" w:hAnsi="宋体" w:eastAsia="宋体" w:cs="宋体"/>
          <w:i w:val="0"/>
          <w:iCs w:val="0"/>
          <w:color w:val="auto"/>
          <w:sz w:val="24"/>
          <w:szCs w:val="24"/>
          <w:highlight w:val="none"/>
        </w:rPr>
        <w:t>采购活动，提供的服务全部由符合政策要求的中小企业承接。相关企业（含联合体中的中小企业、签订分包意向协议的中小企业）的具体情况如下</w:t>
      </w:r>
      <w:r>
        <w:rPr>
          <w:rFonts w:hint="eastAsia" w:ascii="宋体" w:hAnsi="宋体" w:eastAsia="宋体" w:cs="宋体"/>
          <w:i w:val="0"/>
          <w:iCs w:val="0"/>
          <w:color w:val="auto"/>
          <w:sz w:val="24"/>
          <w:szCs w:val="24"/>
          <w:highlight w:val="none"/>
          <w:lang w:eastAsia="zh-CN"/>
        </w:rPr>
        <w:t>：</w:t>
      </w:r>
    </w:p>
    <w:p w14:paraId="7718145E">
      <w:pPr>
        <w:pStyle w:val="15"/>
        <w:spacing w:line="360" w:lineRule="auto"/>
        <w:ind w:right="415" w:firstLine="480" w:firstLineChars="200"/>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rPr>
        <w:t>1、</w:t>
      </w:r>
      <w:r>
        <w:rPr>
          <w:rFonts w:hint="eastAsia" w:ascii="宋体" w:hAnsi="宋体" w:cs="宋体"/>
          <w:i w:val="0"/>
          <w:iCs w:val="0"/>
          <w:color w:val="auto"/>
          <w:sz w:val="24"/>
          <w:szCs w:val="24"/>
          <w:highlight w:val="none"/>
          <w:u w:val="single"/>
          <w:lang w:eastAsia="zh-CN"/>
        </w:rPr>
        <w:t>金源路汽车公园及东港紧固件北侧地块运营服务</w:t>
      </w:r>
      <w:r>
        <w:rPr>
          <w:rFonts w:hint="eastAsia" w:ascii="宋体" w:hAnsi="宋体" w:eastAsia="宋体" w:cs="宋体"/>
          <w:i w:val="0"/>
          <w:iCs w:val="0"/>
          <w:color w:val="auto"/>
          <w:sz w:val="24"/>
          <w:szCs w:val="24"/>
          <w:highlight w:val="none"/>
        </w:rPr>
        <w:t>，属于</w:t>
      </w:r>
      <w:r>
        <w:rPr>
          <w:rFonts w:hint="eastAsia" w:ascii="宋体" w:hAnsi="宋体" w:eastAsia="宋体" w:cs="宋体"/>
          <w:i w:val="0"/>
          <w:iCs w:val="0"/>
          <w:color w:val="auto"/>
          <w:sz w:val="24"/>
          <w:szCs w:val="24"/>
          <w:highlight w:val="none"/>
          <w:u w:val="single"/>
          <w:lang w:val="en-US" w:eastAsia="zh-CN"/>
        </w:rPr>
        <w:t>其他未列明行业</w:t>
      </w:r>
      <w:r>
        <w:rPr>
          <w:rFonts w:hint="eastAsia" w:ascii="宋体" w:hAnsi="宋体" w:eastAsia="宋体" w:cs="宋体"/>
          <w:i w:val="0"/>
          <w:iCs w:val="0"/>
          <w:color w:val="auto"/>
          <w:sz w:val="24"/>
          <w:szCs w:val="24"/>
          <w:highlight w:val="none"/>
        </w:rPr>
        <w:t>；承建（承接）企业为</w:t>
      </w:r>
      <w:r>
        <w:rPr>
          <w:rFonts w:hint="eastAsia" w:ascii="宋体" w:hAnsi="宋体" w:eastAsia="宋体" w:cs="宋体"/>
          <w:i w:val="0"/>
          <w:iCs w:val="0"/>
          <w:color w:val="auto"/>
          <w:sz w:val="24"/>
          <w:szCs w:val="24"/>
          <w:highlight w:val="none"/>
          <w:u w:val="single"/>
        </w:rPr>
        <w:t>（企业名称）</w:t>
      </w:r>
      <w:r>
        <w:rPr>
          <w:rFonts w:hint="eastAsia" w:ascii="宋体" w:hAnsi="宋体" w:eastAsia="宋体" w:cs="宋体"/>
          <w:i w:val="0"/>
          <w:iCs w:val="0"/>
          <w:color w:val="auto"/>
          <w:sz w:val="24"/>
          <w:szCs w:val="24"/>
          <w:highlight w:val="none"/>
        </w:rPr>
        <w:t>，从业人员</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人，营业收入为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万元，资产总额为</w:t>
      </w:r>
      <w:r>
        <w:rPr>
          <w:rFonts w:hint="eastAsia" w:ascii="宋体" w:hAnsi="宋体" w:eastAsia="宋体" w:cs="宋体"/>
          <w:i w:val="0"/>
          <w:iCs w:val="0"/>
          <w:color w:val="auto"/>
          <w:sz w:val="24"/>
          <w:szCs w:val="24"/>
          <w:highlight w:val="none"/>
          <w:u w:val="single"/>
        </w:rPr>
        <w:t xml:space="preserve">    </w:t>
      </w:r>
      <w:r>
        <w:rPr>
          <w:rFonts w:hint="eastAsia" w:ascii="宋体" w:hAnsi="宋体" w:eastAsia="宋体" w:cs="宋体"/>
          <w:i w:val="0"/>
          <w:iCs w:val="0"/>
          <w:color w:val="auto"/>
          <w:sz w:val="24"/>
          <w:szCs w:val="24"/>
          <w:highlight w:val="none"/>
          <w:u w:val="single"/>
        </w:rPr>
        <w:tab/>
      </w:r>
      <w:r>
        <w:rPr>
          <w:rFonts w:hint="eastAsia" w:ascii="宋体" w:hAnsi="宋体" w:eastAsia="宋体" w:cs="宋体"/>
          <w:i w:val="0"/>
          <w:iCs w:val="0"/>
          <w:color w:val="auto"/>
          <w:sz w:val="24"/>
          <w:szCs w:val="24"/>
          <w:highlight w:val="none"/>
        </w:rPr>
        <w:t>万元，属于</w:t>
      </w:r>
      <w:r>
        <w:rPr>
          <w:rFonts w:hint="eastAsia" w:ascii="宋体" w:hAnsi="宋体" w:eastAsia="宋体" w:cs="宋体"/>
          <w:i w:val="0"/>
          <w:iCs w:val="0"/>
          <w:color w:val="auto"/>
          <w:sz w:val="24"/>
          <w:szCs w:val="24"/>
          <w:highlight w:val="none"/>
          <w:u w:val="single"/>
        </w:rPr>
        <w:t>（中型企业、小型企业、微型企业）</w:t>
      </w:r>
      <w:r>
        <w:rPr>
          <w:rFonts w:hint="eastAsia" w:ascii="宋体" w:hAnsi="宋体" w:eastAsia="宋体" w:cs="宋体"/>
          <w:i w:val="0"/>
          <w:iCs w:val="0"/>
          <w:color w:val="auto"/>
          <w:sz w:val="24"/>
          <w:szCs w:val="24"/>
          <w:highlight w:val="none"/>
          <w:u w:val="single"/>
          <w:lang w:eastAsia="zh-CN"/>
        </w:rPr>
        <w:t>。</w:t>
      </w:r>
    </w:p>
    <w:p w14:paraId="2B3CC044">
      <w:pPr>
        <w:pStyle w:val="15"/>
        <w:spacing w:line="360" w:lineRule="auto"/>
        <w:ind w:right="415" w:firstLine="640"/>
        <w:rPr>
          <w:rFonts w:hint="eastAsia" w:ascii="宋体" w:hAnsi="宋体" w:eastAsia="宋体" w:cs="宋体"/>
          <w:i w:val="0"/>
          <w:iCs w:val="0"/>
          <w:color w:val="auto"/>
          <w:spacing w:val="-2"/>
          <w:sz w:val="24"/>
          <w:szCs w:val="24"/>
          <w:highlight w:val="none"/>
        </w:rPr>
      </w:pPr>
      <w:r>
        <w:rPr>
          <w:rFonts w:hint="eastAsia" w:ascii="宋体" w:hAnsi="宋体" w:eastAsia="宋体" w:cs="宋体"/>
          <w:i w:val="0"/>
          <w:iCs w:val="0"/>
          <w:color w:val="auto"/>
          <w:spacing w:val="-2"/>
          <w:sz w:val="24"/>
          <w:szCs w:val="24"/>
          <w:highlight w:val="none"/>
        </w:rPr>
        <w:t>……</w:t>
      </w:r>
    </w:p>
    <w:p w14:paraId="26C875A0">
      <w:pPr>
        <w:pStyle w:val="15"/>
        <w:spacing w:line="360" w:lineRule="auto"/>
        <w:ind w:right="415" w:firstLine="640"/>
        <w:rPr>
          <w:rFonts w:hint="eastAsia" w:ascii="宋体" w:hAnsi="宋体" w:eastAsia="宋体" w:cs="宋体"/>
          <w:i w:val="0"/>
          <w:iCs w:val="0"/>
          <w:color w:val="auto"/>
          <w:spacing w:val="-2"/>
          <w:sz w:val="24"/>
          <w:szCs w:val="24"/>
          <w:highlight w:val="none"/>
        </w:rPr>
      </w:pPr>
      <w:r>
        <w:rPr>
          <w:rFonts w:hint="eastAsia" w:ascii="宋体" w:hAnsi="宋体" w:eastAsia="宋体" w:cs="宋体"/>
          <w:i w:val="0"/>
          <w:iCs w:val="0"/>
          <w:color w:val="auto"/>
          <w:spacing w:val="-2"/>
          <w:sz w:val="24"/>
          <w:szCs w:val="24"/>
          <w:highlight w:val="none"/>
        </w:rPr>
        <w:t>以上企业，不属于大企业的分支机构，不存在控股股东为大企业的情形，也不存在与大企业的负责人为同一人的情形。</w:t>
      </w:r>
    </w:p>
    <w:p w14:paraId="1DB11ECA">
      <w:pPr>
        <w:pStyle w:val="15"/>
        <w:spacing w:line="360" w:lineRule="auto"/>
        <w:ind w:right="415" w:firstLine="640"/>
        <w:rPr>
          <w:rFonts w:hint="eastAsia" w:ascii="宋体" w:hAnsi="宋体" w:eastAsia="宋体" w:cs="宋体"/>
          <w:i w:val="0"/>
          <w:iCs w:val="0"/>
          <w:color w:val="auto"/>
          <w:spacing w:val="-2"/>
          <w:sz w:val="24"/>
          <w:szCs w:val="24"/>
          <w:highlight w:val="none"/>
        </w:rPr>
      </w:pPr>
      <w:r>
        <w:rPr>
          <w:rFonts w:hint="eastAsia" w:ascii="宋体" w:hAnsi="宋体" w:eastAsia="宋体" w:cs="宋体"/>
          <w:i w:val="0"/>
          <w:iCs w:val="0"/>
          <w:color w:val="auto"/>
          <w:spacing w:val="-2"/>
          <w:sz w:val="24"/>
          <w:szCs w:val="24"/>
          <w:highlight w:val="none"/>
        </w:rPr>
        <w:t>本企业对上述声明内容的真实性负责。如有虚假，将依法承担相应责任。</w:t>
      </w:r>
    </w:p>
    <w:p w14:paraId="2BC8544D">
      <w:pPr>
        <w:pStyle w:val="15"/>
        <w:spacing w:line="360" w:lineRule="auto"/>
        <w:ind w:right="415" w:firstLine="640"/>
        <w:rPr>
          <w:rFonts w:hint="eastAsia" w:ascii="宋体" w:hAnsi="宋体" w:eastAsia="宋体" w:cs="宋体"/>
          <w:i w:val="0"/>
          <w:iCs w:val="0"/>
          <w:color w:val="auto"/>
          <w:spacing w:val="-2"/>
          <w:sz w:val="24"/>
          <w:szCs w:val="24"/>
          <w:highlight w:val="none"/>
        </w:rPr>
      </w:pPr>
    </w:p>
    <w:p w14:paraId="7E26FFA2">
      <w:pPr>
        <w:pStyle w:val="3"/>
        <w:spacing w:beforeLines="50" w:line="360" w:lineRule="exact"/>
        <w:ind w:left="5027" w:leftChars="2394" w:firstLine="96" w:firstLineChars="41"/>
        <w:jc w:val="left"/>
        <w:rPr>
          <w:rFonts w:eastAsia="宋体"/>
          <w:color w:val="auto"/>
          <w:szCs w:val="24"/>
          <w:highlight w:val="none"/>
        </w:rPr>
      </w:pPr>
      <w:r>
        <w:rPr>
          <w:rFonts w:hint="eastAsia" w:ascii="宋体" w:hAnsi="宋体" w:eastAsia="宋体" w:cs="宋体"/>
          <w:i w:val="0"/>
          <w:iCs w:val="0"/>
          <w:color w:val="auto"/>
          <w:spacing w:val="-2"/>
          <w:sz w:val="24"/>
          <w:szCs w:val="24"/>
          <w:highlight w:val="none"/>
        </w:rPr>
        <w:t xml:space="preserve">                                          </w:t>
      </w:r>
      <w:r>
        <w:rPr>
          <w:rFonts w:hint="eastAsia" w:eastAsia="宋体"/>
          <w:color w:val="auto"/>
          <w:szCs w:val="24"/>
          <w:highlight w:val="none"/>
        </w:rPr>
        <w:t>投标人单位（盖公章）：</w:t>
      </w:r>
    </w:p>
    <w:p w14:paraId="47C63C7E">
      <w:pPr>
        <w:pStyle w:val="3"/>
        <w:spacing w:beforeLines="50" w:line="360" w:lineRule="exact"/>
        <w:ind w:firstLine="3902" w:firstLineChars="1626"/>
        <w:rPr>
          <w:rFonts w:eastAsia="宋体"/>
          <w:color w:val="auto"/>
          <w:szCs w:val="24"/>
          <w:highlight w:val="none"/>
        </w:rPr>
      </w:pPr>
      <w:r>
        <w:rPr>
          <w:rFonts w:hint="eastAsia" w:eastAsia="宋体"/>
          <w:color w:val="auto"/>
          <w:szCs w:val="24"/>
          <w:highlight w:val="none"/>
        </w:rPr>
        <w:t>法定代表人或被授权代表人（签字或盖章）：</w:t>
      </w:r>
    </w:p>
    <w:p w14:paraId="5C20CA42">
      <w:pPr>
        <w:pStyle w:val="3"/>
        <w:spacing w:beforeLines="50" w:line="360" w:lineRule="exact"/>
        <w:ind w:firstLine="5143" w:firstLineChars="2143"/>
        <w:rPr>
          <w:rFonts w:ascii="宋体" w:eastAsia="宋体"/>
          <w:color w:val="auto"/>
          <w:highlight w:val="none"/>
        </w:rPr>
      </w:pPr>
      <w:r>
        <w:rPr>
          <w:rFonts w:hint="eastAsia" w:eastAsia="宋体"/>
          <w:color w:val="auto"/>
          <w:szCs w:val="24"/>
          <w:highlight w:val="none"/>
        </w:rPr>
        <w:t>日期：</w:t>
      </w:r>
    </w:p>
    <w:p w14:paraId="50F568AD">
      <w:pPr>
        <w:pStyle w:val="15"/>
        <w:spacing w:line="360" w:lineRule="auto"/>
        <w:ind w:right="415" w:firstLine="640"/>
        <w:jc w:val="center"/>
        <w:rPr>
          <w:rFonts w:hint="eastAsia" w:ascii="宋体" w:hAnsi="宋体" w:eastAsia="宋体" w:cs="宋体"/>
          <w:i w:val="0"/>
          <w:iCs w:val="0"/>
          <w:color w:val="auto"/>
          <w:spacing w:val="-2"/>
          <w:sz w:val="24"/>
          <w:szCs w:val="24"/>
          <w:highlight w:val="none"/>
        </w:rPr>
      </w:pPr>
    </w:p>
    <w:p w14:paraId="1CB1B2DA">
      <w:pPr>
        <w:rPr>
          <w:i w:val="0"/>
          <w:iCs w:val="0"/>
          <w:color w:val="auto"/>
          <w:highlight w:val="none"/>
        </w:rPr>
      </w:pPr>
    </w:p>
    <w:p w14:paraId="1F34C013">
      <w:pPr>
        <w:pStyle w:val="15"/>
        <w:spacing w:line="360" w:lineRule="auto"/>
        <w:ind w:right="415" w:firstLine="640"/>
        <w:rPr>
          <w:i w:val="0"/>
          <w:iCs w:val="0"/>
          <w:color w:val="auto"/>
          <w:spacing w:val="-2"/>
          <w:szCs w:val="22"/>
          <w:highlight w:val="none"/>
        </w:rPr>
        <w:sectPr>
          <w:footerReference r:id="rId6" w:type="default"/>
          <w:pgSz w:w="11910" w:h="16840"/>
          <w:pgMar w:top="1440" w:right="1380" w:bottom="1780" w:left="1580" w:header="1077" w:footer="1595" w:gutter="0"/>
          <w:cols w:space="720" w:num="1"/>
        </w:sectPr>
      </w:pPr>
    </w:p>
    <w:p w14:paraId="4A3AD16A">
      <w:pPr>
        <w:pStyle w:val="6"/>
        <w:tabs>
          <w:tab w:val="left" w:pos="720"/>
        </w:tabs>
        <w:spacing w:line="380" w:lineRule="exact"/>
        <w:jc w:val="center"/>
        <w:rPr>
          <w:rStyle w:val="67"/>
          <w:rFonts w:hint="default"/>
          <w:b/>
          <w:color w:val="auto"/>
          <w:sz w:val="28"/>
          <w:szCs w:val="28"/>
          <w:highlight w:val="none"/>
        </w:rPr>
      </w:pPr>
      <w:r>
        <w:rPr>
          <w:rStyle w:val="67"/>
          <w:rFonts w:hint="default"/>
          <w:b/>
          <w:color w:val="auto"/>
          <w:sz w:val="28"/>
          <w:szCs w:val="28"/>
          <w:highlight w:val="none"/>
        </w:rPr>
        <w:t>中小微行业划型标准规定（根据工信部联企业〔2011〕300号制定）</w:t>
      </w:r>
    </w:p>
    <w:tbl>
      <w:tblPr>
        <w:tblStyle w:val="32"/>
        <w:tblW w:w="0" w:type="auto"/>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14:paraId="5C8AC0BA">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noWrap w:val="0"/>
            <w:vAlign w:val="center"/>
          </w:tcPr>
          <w:p w14:paraId="4FA27D9C">
            <w:pPr>
              <w:widowControl/>
              <w:jc w:val="center"/>
              <w:textAlignment w:val="center"/>
              <w:rPr>
                <w:rFonts w:ascii="宋体" w:hAnsi="宋体" w:cs="宋体"/>
                <w:b/>
                <w:color w:val="auto"/>
                <w:sz w:val="18"/>
                <w:szCs w:val="18"/>
                <w:highlight w:val="none"/>
              </w:rPr>
            </w:pPr>
            <w:r>
              <w:rPr>
                <w:rFonts w:hint="eastAsia" w:ascii="宋体" w:hAnsi="宋体" w:cs="宋体"/>
                <w:b/>
                <w:color w:val="auto"/>
                <w:kern w:val="0"/>
                <w:sz w:val="18"/>
                <w:szCs w:val="18"/>
                <w:highlight w:val="none"/>
              </w:rPr>
              <w:t>行业</w:t>
            </w:r>
          </w:p>
        </w:tc>
        <w:tc>
          <w:tcPr>
            <w:tcW w:w="4380" w:type="dxa"/>
            <w:gridSpan w:val="3"/>
            <w:tcBorders>
              <w:top w:val="single" w:color="000000" w:sz="12" w:space="0"/>
              <w:left w:val="single" w:color="000000" w:sz="12" w:space="0"/>
              <w:bottom w:val="single" w:color="000000" w:sz="4" w:space="0"/>
              <w:right w:val="single" w:color="000000" w:sz="12" w:space="0"/>
            </w:tcBorders>
            <w:noWrap w:val="0"/>
            <w:vAlign w:val="bottom"/>
          </w:tcPr>
          <w:p w14:paraId="04DD4278">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noWrap w:val="0"/>
            <w:vAlign w:val="bottom"/>
          </w:tcPr>
          <w:p w14:paraId="52D73534">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noWrap w:val="0"/>
            <w:vAlign w:val="bottom"/>
          </w:tcPr>
          <w:p w14:paraId="5425EC6F">
            <w:pPr>
              <w:widowControl/>
              <w:jc w:val="center"/>
              <w:textAlignment w:val="bottom"/>
              <w:rPr>
                <w:rFonts w:ascii="宋体" w:hAnsi="宋体" w:cs="宋体"/>
                <w:b/>
                <w:color w:val="auto"/>
                <w:sz w:val="18"/>
                <w:szCs w:val="18"/>
                <w:highlight w:val="none"/>
              </w:rPr>
            </w:pPr>
            <w:r>
              <w:rPr>
                <w:rFonts w:hint="eastAsia" w:ascii="宋体" w:hAnsi="宋体" w:cs="宋体"/>
                <w:b/>
                <w:color w:val="auto"/>
                <w:kern w:val="0"/>
                <w:sz w:val="18"/>
                <w:szCs w:val="18"/>
                <w:highlight w:val="none"/>
              </w:rPr>
              <w:t>微型企业</w:t>
            </w:r>
          </w:p>
        </w:tc>
      </w:tr>
      <w:tr w14:paraId="7FE62D3B">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noWrap w:val="0"/>
            <w:vAlign w:val="center"/>
          </w:tcPr>
          <w:p w14:paraId="69C0BFA1">
            <w:pPr>
              <w:jc w:val="center"/>
              <w:rPr>
                <w:rFonts w:ascii="宋体" w:hAnsi="宋体" w:cs="宋体"/>
                <w:b/>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5EF7541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60CF5C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 Y（万元）</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108DFD7C">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 Z（万元）</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7C44A1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0A5C112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C19FC02">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7D1CDD1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从业人员X（人）</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24CF070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营业收入Y（万元）</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192D04DC">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资产总额Z（万元）</w:t>
            </w:r>
          </w:p>
        </w:tc>
      </w:tr>
      <w:tr w14:paraId="200A4C2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343CC12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1、农林牧渔业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3712F42">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57E1CF2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5D97ACB9">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7E8A049">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6BCAA0B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1B353BC3">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2A928B44">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2377E0E6">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1AEA7571">
            <w:pPr>
              <w:rPr>
                <w:rFonts w:ascii="宋体" w:hAnsi="宋体" w:cs="宋体"/>
                <w:color w:val="auto"/>
                <w:sz w:val="18"/>
                <w:szCs w:val="18"/>
                <w:highlight w:val="none"/>
              </w:rPr>
            </w:pPr>
          </w:p>
        </w:tc>
      </w:tr>
      <w:tr w14:paraId="3C46F06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27B6ED1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2、工业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444094D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4830E5F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0D8C1340">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CDDD68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5293083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192648E8">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4FA562E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436C2CF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5B8C2C58">
            <w:pPr>
              <w:rPr>
                <w:rFonts w:ascii="宋体" w:hAnsi="宋体" w:cs="宋体"/>
                <w:color w:val="auto"/>
                <w:sz w:val="18"/>
                <w:szCs w:val="18"/>
                <w:highlight w:val="none"/>
              </w:rPr>
            </w:pPr>
          </w:p>
        </w:tc>
      </w:tr>
      <w:tr w14:paraId="79266767">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1D780176">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3、建筑业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091FA8F">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02CD4E7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6000≤Y＜80000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465079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5000≤Z＜80000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86283A5">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79448D63">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300≤Y＜6000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5898CD2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300≤Z＜5000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5397053B">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356456AF">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Y＜300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522F708A">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Z＜300</w:t>
            </w:r>
          </w:p>
        </w:tc>
      </w:tr>
      <w:tr w14:paraId="0B0112D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34C7B53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4、批发业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0550979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20≤X＜200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463A5FD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5000≤Y＜40000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1E6A4A38">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437EE75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5≤X＜20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1120FC2A">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03C2C08">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41F8CC4C">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X＜5</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607CFBA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09ABFE7F">
            <w:pPr>
              <w:rPr>
                <w:rFonts w:ascii="宋体" w:hAnsi="宋体" w:cs="宋体"/>
                <w:color w:val="auto"/>
                <w:sz w:val="18"/>
                <w:szCs w:val="18"/>
                <w:highlight w:val="none"/>
              </w:rPr>
            </w:pPr>
          </w:p>
        </w:tc>
      </w:tr>
      <w:tr w14:paraId="47FAF7C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30C52ECA">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5、零售业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D822CCF">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5BE6325C">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500≤Y＜20000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3A861FEF">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9BEA78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10≤X＜50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1C453FC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100≤Y＜500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8C244B9">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623F6ED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CCCD3C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5541704E">
            <w:pPr>
              <w:rPr>
                <w:rFonts w:ascii="宋体" w:hAnsi="宋体" w:cs="宋体"/>
                <w:color w:val="auto"/>
                <w:sz w:val="18"/>
                <w:szCs w:val="18"/>
                <w:highlight w:val="none"/>
              </w:rPr>
            </w:pPr>
          </w:p>
        </w:tc>
      </w:tr>
      <w:tr w14:paraId="47FD68F2">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018AAE3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6、交通运输业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097A4A3">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2087ACDF">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301F4ED9">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1B8CFDA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6E54374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200≤Y＜3000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1306F024">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67B54FD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30E639C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V＜200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630F1BA3">
            <w:pPr>
              <w:rPr>
                <w:rFonts w:ascii="宋体" w:hAnsi="宋体" w:cs="宋体"/>
                <w:color w:val="auto"/>
                <w:sz w:val="18"/>
                <w:szCs w:val="18"/>
                <w:highlight w:val="none"/>
              </w:rPr>
            </w:pPr>
          </w:p>
        </w:tc>
      </w:tr>
      <w:tr w14:paraId="5D6342D0">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0C30349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7、仓储业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78A7EF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E03C10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BB7269A">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1D56A6D2">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5AAF2A47">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34B5AED">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1AED541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23EC26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6D2E5FC7">
            <w:pPr>
              <w:rPr>
                <w:rFonts w:ascii="宋体" w:hAnsi="宋体" w:cs="宋体"/>
                <w:color w:val="auto"/>
                <w:sz w:val="18"/>
                <w:szCs w:val="18"/>
                <w:highlight w:val="none"/>
              </w:rPr>
            </w:pPr>
          </w:p>
        </w:tc>
      </w:tr>
      <w:tr w14:paraId="2AF5945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5E2C636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8、邮政业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438AB7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610CD31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2000≤Y＜30000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A5F6363">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3700CA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477AF00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758F43A0">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3A33C50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X＜20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377C5A66">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4BD59C48">
            <w:pPr>
              <w:rPr>
                <w:rFonts w:ascii="宋体" w:hAnsi="宋体" w:cs="宋体"/>
                <w:color w:val="auto"/>
                <w:sz w:val="18"/>
                <w:szCs w:val="18"/>
                <w:highlight w:val="none"/>
              </w:rPr>
            </w:pPr>
          </w:p>
        </w:tc>
      </w:tr>
      <w:tr w14:paraId="056F7CC5">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1F28E56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9、住宿业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BBA0E8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AD370F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5AEE860D">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2F1B622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3ED8F1CF">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1F3F0055">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3F39BCF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516551C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42FD449B">
            <w:pPr>
              <w:rPr>
                <w:rFonts w:ascii="宋体" w:hAnsi="宋体" w:cs="宋体"/>
                <w:color w:val="auto"/>
                <w:sz w:val="18"/>
                <w:szCs w:val="18"/>
                <w:highlight w:val="none"/>
              </w:rPr>
            </w:pPr>
          </w:p>
        </w:tc>
      </w:tr>
      <w:tr w14:paraId="5832E921">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41AA00C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10、餐饮业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2A76A57">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B8428F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F3C8E8E">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42D9FC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2DECBD6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100≤Y＜2000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C1E3509">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49713BF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3EB44E46">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V＜100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4847727A">
            <w:pPr>
              <w:rPr>
                <w:rFonts w:ascii="宋体" w:hAnsi="宋体" w:cs="宋体"/>
                <w:color w:val="auto"/>
                <w:sz w:val="18"/>
                <w:szCs w:val="18"/>
                <w:highlight w:val="none"/>
              </w:rPr>
            </w:pPr>
          </w:p>
        </w:tc>
      </w:tr>
      <w:tr w14:paraId="0D4A6D4E">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04D02A4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11、信息传输业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DEF157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100≤X＜2000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7868DEDF">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ED7319C">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4EF8FFA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37717D33">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400AF8E4">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6E61FFF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732A62E3">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12DA7598">
            <w:pPr>
              <w:rPr>
                <w:rFonts w:ascii="宋体" w:hAnsi="宋体" w:cs="宋体"/>
                <w:color w:val="auto"/>
                <w:sz w:val="18"/>
                <w:szCs w:val="18"/>
                <w:highlight w:val="none"/>
              </w:rPr>
            </w:pPr>
          </w:p>
        </w:tc>
      </w:tr>
      <w:tr w14:paraId="73F2276B">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50BC277F">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12、软件和信息技术服务业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02E5CE63">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6C059114">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1000≤Y＜10000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013EEBE8">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77D4E1A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1F4AB40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50≤Y＜1000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6061E6DF">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1A2670C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1974C92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19A665E5">
            <w:pPr>
              <w:rPr>
                <w:rFonts w:ascii="宋体" w:hAnsi="宋体" w:cs="宋体"/>
                <w:color w:val="auto"/>
                <w:sz w:val="18"/>
                <w:szCs w:val="18"/>
                <w:highlight w:val="none"/>
              </w:rPr>
            </w:pPr>
          </w:p>
        </w:tc>
      </w:tr>
      <w:tr w14:paraId="7C60E77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6D79176C">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13、房地产开发经营</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518310CE">
            <w:pPr>
              <w:rPr>
                <w:rFonts w:ascii="宋体" w:hAnsi="宋体" w:cs="宋体"/>
                <w:color w:val="auto"/>
                <w:sz w:val="18"/>
                <w:szCs w:val="18"/>
                <w:highlight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613EE7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1000≤Y＜200000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FC9572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5000≤Z＜10000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2B8D4F8">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1D97D715">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2CBFAF87">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2000≤Z＜5000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4160B56D">
            <w:pPr>
              <w:rPr>
                <w:rFonts w:ascii="宋体" w:hAnsi="宋体" w:cs="宋体"/>
                <w:color w:val="auto"/>
                <w:sz w:val="18"/>
                <w:szCs w:val="18"/>
                <w:highlight w:val="none"/>
              </w:rPr>
            </w:pP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4A362182">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Y＜100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4CBC0807">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Z＜2000</w:t>
            </w:r>
          </w:p>
        </w:tc>
      </w:tr>
      <w:tr w14:paraId="66DD83E8">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2D9E5B8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14、物业管理</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1DC7199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300≤X＜1000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491A64F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1000≤Y＜5000</w:t>
            </w: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60C0C57C">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3AC5CE4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75B8CA1E">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500≤Y＜1000</w:t>
            </w: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7CD9ED89">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59199FE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5BEB9BB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Y＜500</w:t>
            </w: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64B1CD12">
            <w:pPr>
              <w:rPr>
                <w:rFonts w:ascii="宋体" w:hAnsi="宋体" w:cs="宋体"/>
                <w:color w:val="auto"/>
                <w:sz w:val="18"/>
                <w:szCs w:val="18"/>
                <w:highlight w:val="none"/>
              </w:rPr>
            </w:pPr>
          </w:p>
        </w:tc>
      </w:tr>
      <w:tr w14:paraId="617A1C4F">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noWrap w:val="0"/>
            <w:vAlign w:val="bottom"/>
          </w:tcPr>
          <w:p w14:paraId="4A16549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15、租赁和商务服务业</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5F758287">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4" w:space="0"/>
              <w:right w:val="single" w:color="000000" w:sz="4" w:space="0"/>
            </w:tcBorders>
            <w:noWrap w:val="0"/>
            <w:vAlign w:val="bottom"/>
          </w:tcPr>
          <w:p w14:paraId="366320FD">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right w:val="single" w:color="000000" w:sz="12" w:space="0"/>
            </w:tcBorders>
            <w:noWrap w:val="0"/>
            <w:vAlign w:val="bottom"/>
          </w:tcPr>
          <w:p w14:paraId="413D1F01">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8000≤Z＜120000</w:t>
            </w:r>
          </w:p>
        </w:tc>
        <w:tc>
          <w:tcPr>
            <w:tcW w:w="1320" w:type="dxa"/>
            <w:tcBorders>
              <w:top w:val="single" w:color="000000" w:sz="4" w:space="0"/>
              <w:left w:val="single" w:color="000000" w:sz="12" w:space="0"/>
              <w:bottom w:val="single" w:color="000000" w:sz="4" w:space="0"/>
              <w:right w:val="single" w:color="000000" w:sz="4" w:space="0"/>
            </w:tcBorders>
            <w:noWrap w:val="0"/>
            <w:vAlign w:val="bottom"/>
          </w:tcPr>
          <w:p w14:paraId="63801E49">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4" w:space="0"/>
              <w:right w:val="single" w:color="000000" w:sz="4" w:space="0"/>
            </w:tcBorders>
            <w:noWrap w:val="0"/>
            <w:vAlign w:val="bottom"/>
          </w:tcPr>
          <w:p w14:paraId="5A0DA35C">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4" w:space="0"/>
              <w:right w:val="single" w:color="000000" w:sz="12" w:space="0"/>
            </w:tcBorders>
            <w:noWrap w:val="0"/>
            <w:vAlign w:val="bottom"/>
          </w:tcPr>
          <w:p w14:paraId="2B9BD3A8">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 100≤Z＜8000</w:t>
            </w:r>
          </w:p>
        </w:tc>
        <w:tc>
          <w:tcPr>
            <w:tcW w:w="1264" w:type="dxa"/>
            <w:tcBorders>
              <w:top w:val="single" w:color="000000" w:sz="4" w:space="0"/>
              <w:left w:val="single" w:color="000000" w:sz="12" w:space="0"/>
              <w:bottom w:val="single" w:color="000000" w:sz="4" w:space="0"/>
              <w:right w:val="single" w:color="000000" w:sz="4" w:space="0"/>
            </w:tcBorders>
            <w:noWrap w:val="0"/>
            <w:vAlign w:val="bottom"/>
          </w:tcPr>
          <w:p w14:paraId="7A1B21F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4" w:space="0"/>
              <w:right w:val="single" w:color="000000" w:sz="4" w:space="0"/>
            </w:tcBorders>
            <w:noWrap w:val="0"/>
            <w:vAlign w:val="bottom"/>
          </w:tcPr>
          <w:p w14:paraId="1E4A7A67">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4" w:space="0"/>
              <w:right w:val="single" w:color="000000" w:sz="12" w:space="0"/>
            </w:tcBorders>
            <w:noWrap w:val="0"/>
            <w:vAlign w:val="bottom"/>
          </w:tcPr>
          <w:p w14:paraId="60FA5637">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Z＜100</w:t>
            </w:r>
          </w:p>
        </w:tc>
      </w:tr>
      <w:tr w14:paraId="3ACC213A">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noWrap w:val="0"/>
            <w:vAlign w:val="bottom"/>
          </w:tcPr>
          <w:p w14:paraId="3FAFE14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16、其他未列明行业</w:t>
            </w: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14:paraId="0AB0E160">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100≤X＜300</w:t>
            </w:r>
          </w:p>
        </w:tc>
        <w:tc>
          <w:tcPr>
            <w:tcW w:w="1560" w:type="dxa"/>
            <w:tcBorders>
              <w:top w:val="single" w:color="000000" w:sz="4" w:space="0"/>
              <w:left w:val="single" w:color="000000" w:sz="4" w:space="0"/>
              <w:bottom w:val="single" w:color="000000" w:sz="12" w:space="0"/>
              <w:right w:val="single" w:color="000000" w:sz="4" w:space="0"/>
            </w:tcBorders>
            <w:noWrap w:val="0"/>
            <w:vAlign w:val="bottom"/>
          </w:tcPr>
          <w:p w14:paraId="7B77977D">
            <w:pPr>
              <w:rPr>
                <w:rFonts w:ascii="宋体" w:hAnsi="宋体" w:cs="宋体"/>
                <w:color w:val="auto"/>
                <w:sz w:val="18"/>
                <w:szCs w:val="18"/>
                <w:highlight w:val="none"/>
              </w:rPr>
            </w:pPr>
          </w:p>
        </w:tc>
        <w:tc>
          <w:tcPr>
            <w:tcW w:w="1500" w:type="dxa"/>
            <w:tcBorders>
              <w:top w:val="single" w:color="000000" w:sz="4" w:space="0"/>
              <w:left w:val="single" w:color="000000" w:sz="4" w:space="0"/>
              <w:bottom w:val="single" w:color="000000" w:sz="12" w:space="0"/>
              <w:right w:val="single" w:color="000000" w:sz="12" w:space="0"/>
            </w:tcBorders>
            <w:noWrap w:val="0"/>
            <w:vAlign w:val="bottom"/>
          </w:tcPr>
          <w:p w14:paraId="5181B590">
            <w:pPr>
              <w:rPr>
                <w:rFonts w:ascii="宋体" w:hAnsi="宋体" w:cs="宋体"/>
                <w:color w:val="auto"/>
                <w:sz w:val="18"/>
                <w:szCs w:val="18"/>
                <w:highlight w:val="none"/>
              </w:rPr>
            </w:pPr>
          </w:p>
        </w:tc>
        <w:tc>
          <w:tcPr>
            <w:tcW w:w="1320" w:type="dxa"/>
            <w:tcBorders>
              <w:top w:val="single" w:color="000000" w:sz="4" w:space="0"/>
              <w:left w:val="single" w:color="000000" w:sz="12" w:space="0"/>
              <w:bottom w:val="single" w:color="000000" w:sz="12" w:space="0"/>
              <w:right w:val="single" w:color="000000" w:sz="4" w:space="0"/>
            </w:tcBorders>
            <w:noWrap w:val="0"/>
            <w:vAlign w:val="bottom"/>
          </w:tcPr>
          <w:p w14:paraId="14AE510D">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10≤X＜100</w:t>
            </w:r>
          </w:p>
        </w:tc>
        <w:tc>
          <w:tcPr>
            <w:tcW w:w="1500" w:type="dxa"/>
            <w:tcBorders>
              <w:top w:val="single" w:color="000000" w:sz="4" w:space="0"/>
              <w:left w:val="single" w:color="000000" w:sz="4" w:space="0"/>
              <w:bottom w:val="single" w:color="000000" w:sz="12" w:space="0"/>
              <w:right w:val="single" w:color="000000" w:sz="4" w:space="0"/>
            </w:tcBorders>
            <w:noWrap w:val="0"/>
            <w:vAlign w:val="bottom"/>
          </w:tcPr>
          <w:p w14:paraId="3ED32947">
            <w:pPr>
              <w:rPr>
                <w:rFonts w:ascii="宋体" w:hAnsi="宋体" w:cs="宋体"/>
                <w:color w:val="auto"/>
                <w:sz w:val="18"/>
                <w:szCs w:val="18"/>
                <w:highlight w:val="none"/>
              </w:rPr>
            </w:pPr>
          </w:p>
        </w:tc>
        <w:tc>
          <w:tcPr>
            <w:tcW w:w="1406" w:type="dxa"/>
            <w:tcBorders>
              <w:top w:val="single" w:color="000000" w:sz="4" w:space="0"/>
              <w:left w:val="single" w:color="000000" w:sz="4" w:space="0"/>
              <w:bottom w:val="single" w:color="000000" w:sz="12" w:space="0"/>
              <w:right w:val="single" w:color="000000" w:sz="12" w:space="0"/>
            </w:tcBorders>
            <w:noWrap w:val="0"/>
            <w:vAlign w:val="bottom"/>
          </w:tcPr>
          <w:p w14:paraId="20F4255B">
            <w:pPr>
              <w:rPr>
                <w:rFonts w:ascii="宋体" w:hAnsi="宋体" w:cs="宋体"/>
                <w:color w:val="auto"/>
                <w:sz w:val="18"/>
                <w:szCs w:val="18"/>
                <w:highlight w:val="none"/>
              </w:rPr>
            </w:pPr>
          </w:p>
        </w:tc>
        <w:tc>
          <w:tcPr>
            <w:tcW w:w="1264" w:type="dxa"/>
            <w:tcBorders>
              <w:top w:val="single" w:color="000000" w:sz="4" w:space="0"/>
              <w:left w:val="single" w:color="000000" w:sz="12" w:space="0"/>
              <w:bottom w:val="single" w:color="000000" w:sz="12" w:space="0"/>
              <w:right w:val="single" w:color="000000" w:sz="4" w:space="0"/>
            </w:tcBorders>
            <w:noWrap w:val="0"/>
            <w:vAlign w:val="bottom"/>
          </w:tcPr>
          <w:p w14:paraId="33A97A3B">
            <w:pPr>
              <w:widowControl/>
              <w:jc w:val="left"/>
              <w:textAlignment w:val="bottom"/>
              <w:rPr>
                <w:rFonts w:ascii="宋体" w:hAnsi="宋体" w:cs="宋体"/>
                <w:color w:val="auto"/>
                <w:sz w:val="18"/>
                <w:szCs w:val="18"/>
                <w:highlight w:val="none"/>
              </w:rPr>
            </w:pPr>
            <w:r>
              <w:rPr>
                <w:rFonts w:hint="eastAsia" w:ascii="宋体" w:hAnsi="宋体" w:cs="宋体"/>
                <w:color w:val="auto"/>
                <w:kern w:val="0"/>
                <w:sz w:val="18"/>
                <w:szCs w:val="18"/>
                <w:highlight w:val="none"/>
              </w:rPr>
              <w:t>X＜10</w:t>
            </w:r>
          </w:p>
        </w:tc>
        <w:tc>
          <w:tcPr>
            <w:tcW w:w="1470" w:type="dxa"/>
            <w:tcBorders>
              <w:top w:val="single" w:color="000000" w:sz="4" w:space="0"/>
              <w:left w:val="single" w:color="000000" w:sz="4" w:space="0"/>
              <w:bottom w:val="single" w:color="000000" w:sz="12" w:space="0"/>
              <w:right w:val="single" w:color="000000" w:sz="4" w:space="0"/>
            </w:tcBorders>
            <w:noWrap w:val="0"/>
            <w:vAlign w:val="bottom"/>
          </w:tcPr>
          <w:p w14:paraId="490C9D72">
            <w:pPr>
              <w:rPr>
                <w:rFonts w:ascii="宋体" w:hAnsi="宋体" w:cs="宋体"/>
                <w:color w:val="auto"/>
                <w:sz w:val="18"/>
                <w:szCs w:val="18"/>
                <w:highlight w:val="none"/>
              </w:rPr>
            </w:pPr>
          </w:p>
        </w:tc>
        <w:tc>
          <w:tcPr>
            <w:tcW w:w="1515" w:type="dxa"/>
            <w:tcBorders>
              <w:top w:val="single" w:color="000000" w:sz="4" w:space="0"/>
              <w:left w:val="single" w:color="000000" w:sz="4" w:space="0"/>
              <w:bottom w:val="single" w:color="000000" w:sz="12" w:space="0"/>
              <w:right w:val="single" w:color="000000" w:sz="12" w:space="0"/>
            </w:tcBorders>
            <w:noWrap w:val="0"/>
            <w:vAlign w:val="bottom"/>
          </w:tcPr>
          <w:p w14:paraId="5F984B3E">
            <w:pPr>
              <w:rPr>
                <w:rFonts w:ascii="宋体" w:hAnsi="宋体" w:cs="宋体"/>
                <w:color w:val="auto"/>
                <w:sz w:val="18"/>
                <w:szCs w:val="18"/>
                <w:highlight w:val="none"/>
              </w:rPr>
            </w:pPr>
          </w:p>
        </w:tc>
      </w:tr>
    </w:tbl>
    <w:p w14:paraId="218EFDC2">
      <w:pPr>
        <w:rPr>
          <w:rFonts w:ascii="Cambria" w:hAnsi="Cambria"/>
          <w:color w:val="auto"/>
          <w:sz w:val="28"/>
          <w:szCs w:val="28"/>
          <w:highlight w:val="none"/>
        </w:rPr>
      </w:pPr>
      <w:r>
        <w:rPr>
          <w:rFonts w:hint="eastAsia" w:ascii="宋体" w:hAnsi="宋体" w:cs="宋体"/>
          <w:color w:val="auto"/>
          <w:kern w:val="0"/>
          <w:sz w:val="18"/>
          <w:szCs w:val="18"/>
          <w:highlight w:val="none"/>
        </w:rPr>
        <w:t>说明　1、企业类型的划分以统计部门的统计数据为依据。2、个体工商户和本规定以外的行业，参照本规定进行划型。3、本规定的中型企业标准上限即为大型企业标准的下限。</w:t>
      </w:r>
    </w:p>
    <w:p w14:paraId="2A3A6F47">
      <w:pPr>
        <w:pStyle w:val="6"/>
        <w:spacing w:line="380" w:lineRule="exact"/>
        <w:rPr>
          <w:rFonts w:ascii="Cambria" w:hAnsi="Cambria"/>
          <w:color w:val="auto"/>
          <w:sz w:val="28"/>
          <w:szCs w:val="28"/>
          <w:highlight w:val="none"/>
        </w:rPr>
        <w:sectPr>
          <w:headerReference r:id="rId7" w:type="default"/>
          <w:footerReference r:id="rId8" w:type="default"/>
          <w:type w:val="continuous"/>
          <w:pgSz w:w="16840" w:h="11907" w:orient="landscape"/>
          <w:pgMar w:top="1279" w:right="1304" w:bottom="1588" w:left="1304" w:header="964" w:footer="720" w:gutter="0"/>
          <w:cols w:space="720" w:num="1"/>
          <w:docGrid w:linePitch="285" w:charSpace="0"/>
        </w:sectPr>
      </w:pPr>
    </w:p>
    <w:p w14:paraId="13A811FB">
      <w:pPr>
        <w:pStyle w:val="6"/>
        <w:tabs>
          <w:tab w:val="left" w:pos="720"/>
        </w:tabs>
        <w:spacing w:line="380" w:lineRule="exact"/>
        <w:jc w:val="center"/>
        <w:rPr>
          <w:rFonts w:hint="eastAsia" w:ascii="宋体" w:hAnsi="宋体"/>
          <w:color w:val="auto"/>
          <w:sz w:val="28"/>
          <w:szCs w:val="28"/>
          <w:highlight w:val="none"/>
        </w:rPr>
      </w:pPr>
      <w:r>
        <w:rPr>
          <w:rFonts w:hint="eastAsia" w:ascii="宋体" w:hAnsi="宋体"/>
          <w:color w:val="auto"/>
          <w:sz w:val="28"/>
          <w:szCs w:val="28"/>
          <w:highlight w:val="none"/>
        </w:rPr>
        <w:t>监狱企业声明函</w:t>
      </w:r>
    </w:p>
    <w:p w14:paraId="709737C6">
      <w:pPr>
        <w:jc w:val="center"/>
        <w:rPr>
          <w:rFonts w:hint="eastAsia" w:ascii="宋体" w:hAnsi="宋体" w:cs="宋体"/>
          <w:color w:val="auto"/>
          <w:szCs w:val="21"/>
          <w:highlight w:val="none"/>
        </w:rPr>
      </w:pPr>
      <w:r>
        <w:rPr>
          <w:rFonts w:hint="eastAsia" w:ascii="宋体" w:hAnsi="宋体" w:cs="宋体"/>
          <w:color w:val="auto"/>
          <w:szCs w:val="21"/>
          <w:highlight w:val="none"/>
        </w:rPr>
        <w:t>【非监狱企业不用提供】</w:t>
      </w:r>
    </w:p>
    <w:p w14:paraId="18606725">
      <w:pPr>
        <w:spacing w:line="360" w:lineRule="auto"/>
        <w:ind w:firstLine="525" w:firstLineChars="250"/>
        <w:rPr>
          <w:rFonts w:hint="eastAsia" w:ascii="宋体" w:hAnsi="宋体" w:cs="宋体"/>
          <w:color w:val="auto"/>
          <w:szCs w:val="21"/>
          <w:highlight w:val="none"/>
        </w:rPr>
      </w:pPr>
    </w:p>
    <w:p w14:paraId="1C4EBD21">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监狱企业参加政府采购活动时，本企业郑重声明，根据《关于政府采购支持监狱企业发展有关问题的通知》（财库[2014]68号）的规定，本企业为监狱企业。</w:t>
      </w:r>
    </w:p>
    <w:p w14:paraId="34979D3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根据上述标准，我企业属于监狱企业的理由为：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663989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本企业为参加（项目名称： ）（项目编号： ）采购活动提供本企业的产品。</w:t>
      </w:r>
    </w:p>
    <w:p w14:paraId="691FCE67">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本企业对上述声明的真实性负责。如有虚假，将依法承担相应责任。</w:t>
      </w:r>
    </w:p>
    <w:p w14:paraId="75F32EB1">
      <w:pPr>
        <w:spacing w:line="360" w:lineRule="auto"/>
        <w:ind w:firstLine="480"/>
        <w:rPr>
          <w:rFonts w:hint="eastAsia" w:ascii="宋体" w:hAnsi="宋体" w:eastAsia="宋体" w:cs="宋体"/>
          <w:color w:val="auto"/>
          <w:sz w:val="24"/>
          <w:szCs w:val="24"/>
          <w:highlight w:val="none"/>
        </w:rPr>
      </w:pPr>
    </w:p>
    <w:p w14:paraId="7A86127F">
      <w:pPr>
        <w:pStyle w:val="3"/>
        <w:spacing w:beforeLines="50" w:line="360" w:lineRule="exact"/>
        <w:ind w:left="5027" w:leftChars="2394" w:firstLine="98" w:firstLineChars="4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投标人单位（盖公章）：</w:t>
      </w:r>
    </w:p>
    <w:p w14:paraId="65DB8B5A">
      <w:pPr>
        <w:pStyle w:val="3"/>
        <w:spacing w:beforeLines="50" w:line="360" w:lineRule="exact"/>
        <w:ind w:firstLine="3902" w:firstLineChars="1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法定代表人或被授权代表人（签字或盖章）：</w:t>
      </w:r>
    </w:p>
    <w:p w14:paraId="05027540">
      <w:pPr>
        <w:pStyle w:val="3"/>
        <w:spacing w:beforeLines="50" w:line="360" w:lineRule="exact"/>
        <w:ind w:firstLine="5143" w:firstLineChars="214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C1340BC">
      <w:pPr>
        <w:spacing w:line="360" w:lineRule="auto"/>
        <w:ind w:firstLine="480"/>
        <w:rPr>
          <w:rFonts w:hint="eastAsia" w:ascii="宋体" w:hAnsi="宋体" w:eastAsia="宋体" w:cs="宋体"/>
          <w:color w:val="auto"/>
          <w:sz w:val="24"/>
          <w:szCs w:val="24"/>
          <w:highlight w:val="none"/>
        </w:rPr>
      </w:pPr>
    </w:p>
    <w:p w14:paraId="2B288079">
      <w:pPr>
        <w:spacing w:line="360" w:lineRule="auto"/>
        <w:ind w:firstLine="480"/>
        <w:rPr>
          <w:rFonts w:hint="eastAsia" w:ascii="宋体" w:hAnsi="宋体" w:eastAsia="宋体" w:cs="宋体"/>
          <w:color w:val="auto"/>
          <w:sz w:val="24"/>
          <w:szCs w:val="24"/>
          <w:highlight w:val="none"/>
        </w:rPr>
      </w:pPr>
    </w:p>
    <w:p w14:paraId="1E9C7F8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供应商为监狱企业的提供此函。</w:t>
      </w:r>
    </w:p>
    <w:p w14:paraId="15EBAEB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应当提供由省级以上监狱管理局、戒毒管理局（含新疆生产建设兵团）出具的属于监狱企业的证明文件。</w:t>
      </w:r>
    </w:p>
    <w:p w14:paraId="06A3A2DE">
      <w:pPr>
        <w:rPr>
          <w:rFonts w:hint="eastAsia" w:ascii="宋体" w:hAnsi="宋体"/>
          <w:color w:val="auto"/>
          <w:sz w:val="28"/>
          <w:szCs w:val="28"/>
          <w:highlight w:val="none"/>
        </w:rPr>
      </w:pPr>
    </w:p>
    <w:p w14:paraId="3D483D33">
      <w:pPr>
        <w:rPr>
          <w:rFonts w:hint="eastAsia" w:ascii="宋体" w:hAnsi="宋体"/>
          <w:color w:val="auto"/>
          <w:sz w:val="28"/>
          <w:szCs w:val="28"/>
          <w:highlight w:val="none"/>
        </w:rPr>
      </w:pPr>
    </w:p>
    <w:p w14:paraId="54170AFE">
      <w:pPr>
        <w:rPr>
          <w:rFonts w:hint="eastAsia" w:ascii="宋体" w:hAnsi="宋体"/>
          <w:color w:val="auto"/>
          <w:sz w:val="28"/>
          <w:szCs w:val="28"/>
          <w:highlight w:val="none"/>
        </w:rPr>
        <w:sectPr>
          <w:headerReference r:id="rId11" w:type="first"/>
          <w:footerReference r:id="rId13" w:type="first"/>
          <w:headerReference r:id="rId9" w:type="default"/>
          <w:headerReference r:id="rId10" w:type="even"/>
          <w:footerReference r:id="rId12" w:type="even"/>
          <w:type w:val="continuous"/>
          <w:pgSz w:w="11907" w:h="16840"/>
          <w:pgMar w:top="1304" w:right="1588" w:bottom="1304" w:left="1588" w:header="964" w:footer="720" w:gutter="0"/>
          <w:cols w:space="720" w:num="1"/>
        </w:sectPr>
      </w:pPr>
    </w:p>
    <w:p w14:paraId="4A34E536">
      <w:pPr>
        <w:pStyle w:val="6"/>
        <w:tabs>
          <w:tab w:val="left" w:pos="720"/>
        </w:tabs>
        <w:spacing w:line="380" w:lineRule="exact"/>
        <w:jc w:val="center"/>
        <w:rPr>
          <w:rFonts w:ascii="宋体" w:hAnsi="宋体"/>
          <w:color w:val="auto"/>
          <w:sz w:val="28"/>
          <w:szCs w:val="28"/>
          <w:highlight w:val="none"/>
        </w:rPr>
      </w:pPr>
      <w:r>
        <w:rPr>
          <w:rFonts w:hint="eastAsia" w:ascii="宋体" w:hAnsi="宋体"/>
          <w:color w:val="auto"/>
          <w:sz w:val="28"/>
          <w:szCs w:val="28"/>
          <w:highlight w:val="none"/>
        </w:rPr>
        <w:t>残疾人福利性单位声明函（如有需提供）</w:t>
      </w:r>
    </w:p>
    <w:p w14:paraId="35F8D1EB">
      <w:pPr>
        <w:ind w:firstLine="420" w:firstLineChars="200"/>
        <w:rPr>
          <w:rFonts w:hint="eastAsia" w:ascii="宋体" w:hAnsi="宋体"/>
          <w:color w:val="auto"/>
          <w:szCs w:val="21"/>
          <w:highlight w:val="none"/>
        </w:rPr>
      </w:pPr>
    </w:p>
    <w:p w14:paraId="296905CF">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5D7061">
      <w:pPr>
        <w:spacing w:line="588"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76E63142">
      <w:pPr>
        <w:tabs>
          <w:tab w:val="left" w:pos="4860"/>
        </w:tabs>
        <w:spacing w:line="588" w:lineRule="exact"/>
        <w:ind w:right="1560" w:firstLine="480" w:firstLineChars="200"/>
        <w:jc w:val="center"/>
        <w:rPr>
          <w:rFonts w:hint="eastAsia" w:ascii="宋体" w:hAnsi="宋体" w:eastAsia="宋体" w:cs="宋体"/>
          <w:color w:val="auto"/>
          <w:sz w:val="24"/>
          <w:szCs w:val="24"/>
          <w:highlight w:val="none"/>
        </w:rPr>
      </w:pPr>
    </w:p>
    <w:p w14:paraId="6DB42C1F">
      <w:pPr>
        <w:tabs>
          <w:tab w:val="left" w:pos="4860"/>
        </w:tabs>
        <w:spacing w:line="588" w:lineRule="exact"/>
        <w:ind w:right="1560" w:firstLine="480" w:firstLineChars="200"/>
        <w:jc w:val="center"/>
        <w:rPr>
          <w:rFonts w:hint="eastAsia" w:ascii="宋体" w:hAnsi="宋体" w:eastAsia="宋体" w:cs="宋体"/>
          <w:color w:val="auto"/>
          <w:sz w:val="24"/>
          <w:szCs w:val="24"/>
          <w:highlight w:val="none"/>
        </w:rPr>
      </w:pPr>
    </w:p>
    <w:p w14:paraId="7F57BFC2">
      <w:pPr>
        <w:pStyle w:val="3"/>
        <w:spacing w:beforeLines="50" w:line="360" w:lineRule="exact"/>
        <w:ind w:left="5027" w:leftChars="2394" w:firstLine="98" w:firstLineChars="41"/>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投标人单位（盖公章）：</w:t>
      </w:r>
    </w:p>
    <w:p w14:paraId="3B626FBA">
      <w:pPr>
        <w:pStyle w:val="3"/>
        <w:spacing w:beforeLines="50" w:line="360" w:lineRule="exact"/>
        <w:ind w:firstLine="3902" w:firstLineChars="162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法定代表人或被授权代表人（签字或盖章）：</w:t>
      </w:r>
    </w:p>
    <w:p w14:paraId="2E7DA4AD">
      <w:pPr>
        <w:pStyle w:val="3"/>
        <w:spacing w:beforeLines="50" w:line="360" w:lineRule="exact"/>
        <w:ind w:firstLine="5143" w:firstLineChars="2143"/>
        <w:rPr>
          <w:color w:val="auto"/>
          <w:sz w:val="22"/>
          <w:szCs w:val="22"/>
          <w:highlight w:val="none"/>
        </w:rPr>
      </w:pPr>
      <w:r>
        <w:rPr>
          <w:rFonts w:hint="eastAsia" w:ascii="宋体" w:hAnsi="宋体" w:eastAsia="宋体" w:cs="宋体"/>
          <w:color w:val="auto"/>
          <w:sz w:val="24"/>
          <w:szCs w:val="24"/>
          <w:highlight w:val="none"/>
        </w:rPr>
        <w:t>日期：</w:t>
      </w:r>
    </w:p>
    <w:p w14:paraId="35F8EE70">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p>
    <w:p w14:paraId="6D4179D7">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享受政府采购支持政策的残疾人福利性单位应当同时满足以下条件：</w:t>
      </w:r>
    </w:p>
    <w:p w14:paraId="539A8B65">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（一）安置的残疾人占本单位在职职工人数的比例不低于</w:t>
      </w:r>
      <w:r>
        <w:rPr>
          <w:rFonts w:ascii="宋体" w:hAnsi="宋体"/>
          <w:b/>
          <w:color w:val="auto"/>
          <w:szCs w:val="21"/>
          <w:highlight w:val="none"/>
        </w:rPr>
        <w:t>25%</w:t>
      </w:r>
      <w:r>
        <w:rPr>
          <w:rFonts w:hint="eastAsia" w:ascii="宋体" w:hAnsi="宋体"/>
          <w:b/>
          <w:color w:val="auto"/>
          <w:szCs w:val="21"/>
          <w:highlight w:val="none"/>
        </w:rPr>
        <w:t>（含</w:t>
      </w:r>
      <w:r>
        <w:rPr>
          <w:rFonts w:ascii="宋体" w:hAnsi="宋体"/>
          <w:b/>
          <w:color w:val="auto"/>
          <w:szCs w:val="21"/>
          <w:highlight w:val="none"/>
        </w:rPr>
        <w:t>25%</w:t>
      </w:r>
      <w:r>
        <w:rPr>
          <w:rFonts w:hint="eastAsia" w:ascii="宋体" w:hAnsi="宋体"/>
          <w:b/>
          <w:color w:val="auto"/>
          <w:szCs w:val="21"/>
          <w:highlight w:val="none"/>
        </w:rPr>
        <w:t>），并且安置的残疾人人数不少于</w:t>
      </w:r>
      <w:r>
        <w:rPr>
          <w:rFonts w:ascii="宋体" w:hAnsi="宋体"/>
          <w:b/>
          <w:color w:val="auto"/>
          <w:szCs w:val="21"/>
          <w:highlight w:val="none"/>
        </w:rPr>
        <w:t>10</w:t>
      </w:r>
      <w:r>
        <w:rPr>
          <w:rFonts w:hint="eastAsia" w:ascii="宋体" w:hAnsi="宋体"/>
          <w:b/>
          <w:color w:val="auto"/>
          <w:szCs w:val="21"/>
          <w:highlight w:val="none"/>
        </w:rPr>
        <w:t>人（含</w:t>
      </w:r>
      <w:r>
        <w:rPr>
          <w:rFonts w:ascii="宋体" w:hAnsi="宋体"/>
          <w:b/>
          <w:color w:val="auto"/>
          <w:szCs w:val="21"/>
          <w:highlight w:val="none"/>
        </w:rPr>
        <w:t>10</w:t>
      </w:r>
      <w:r>
        <w:rPr>
          <w:rFonts w:hint="eastAsia" w:ascii="宋体" w:hAnsi="宋体"/>
          <w:b/>
          <w:color w:val="auto"/>
          <w:szCs w:val="21"/>
          <w:highlight w:val="none"/>
        </w:rPr>
        <w:t>人）；</w:t>
      </w:r>
    </w:p>
    <w:p w14:paraId="1FC7A822">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（二）依法与安置的每位残疾人签订了一年以上（含一年）的劳动合同或服务协议；</w:t>
      </w:r>
    </w:p>
    <w:p w14:paraId="7582DEE0">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（三）为安置的每位残疾人按月足额缴纳了基本养老保险、基本医疗保险、失业保险、工伤保险和生育保险等社会保险费；</w:t>
      </w:r>
    </w:p>
    <w:p w14:paraId="7EABCF7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（四）通过银行等金融机构向安置的每位残疾人，按月支付了不低于单位所在区县适用的经省级人民政府批准的月最低工资标准的工资；</w:t>
      </w:r>
    </w:p>
    <w:p w14:paraId="0D6A1D39">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（五）提供本单位制造的货物、承担的工程或者服务（以下简称产品），或者提供其他残疾人福利性单位制造的货物（不包括使用非残疾人福利性单位注册商标的货物）。</w:t>
      </w:r>
    </w:p>
    <w:p w14:paraId="71CCC3F7">
      <w:pPr>
        <w:pStyle w:val="3"/>
        <w:spacing w:line="520" w:lineRule="exact"/>
        <w:ind w:firstLine="0"/>
        <w:rPr>
          <w:rFonts w:hint="eastAsia" w:ascii="Calibri" w:hAnsi="Calibri" w:eastAsia="宋体" w:cs="Calibri"/>
          <w:b/>
          <w:color w:val="auto"/>
          <w:sz w:val="28"/>
          <w:highlight w:val="none"/>
        </w:rPr>
      </w:pPr>
      <w:r>
        <w:rPr>
          <w:rFonts w:hint="eastAsia" w:ascii="宋体" w:hAnsi="宋体"/>
          <w:b/>
          <w:color w:val="auto"/>
          <w:szCs w:val="21"/>
          <w:highlight w:val="none"/>
        </w:rPr>
        <w:t>前款所称残疾人是指法定劳动年龄内，持有《中华人民共和国残疾人证》或者《中华人民共和国残疾军人证（</w:t>
      </w:r>
      <w:r>
        <w:rPr>
          <w:rFonts w:ascii="宋体" w:hAnsi="宋体"/>
          <w:b/>
          <w:color w:val="auto"/>
          <w:szCs w:val="21"/>
          <w:highlight w:val="none"/>
        </w:rPr>
        <w:t>1</w:t>
      </w:r>
      <w:r>
        <w:rPr>
          <w:rFonts w:hint="eastAsia" w:ascii="宋体" w:hAnsi="宋体"/>
          <w:b/>
          <w:color w:val="auto"/>
          <w:szCs w:val="21"/>
          <w:highlight w:val="none"/>
        </w:rPr>
        <w:t>至</w:t>
      </w:r>
      <w:r>
        <w:rPr>
          <w:rFonts w:ascii="宋体" w:hAnsi="宋体"/>
          <w:b/>
          <w:color w:val="auto"/>
          <w:szCs w:val="21"/>
          <w:highlight w:val="none"/>
        </w:rPr>
        <w:t>8</w:t>
      </w:r>
      <w:r>
        <w:rPr>
          <w:rFonts w:hint="eastAsia" w:ascii="宋体" w:hAnsi="宋体"/>
          <w:b/>
          <w:color w:val="auto"/>
          <w:szCs w:val="21"/>
          <w:highlight w:val="none"/>
        </w:rPr>
        <w:t>级）》的自然人，包括具有劳动条件和劳动意愿的精神残疾人。在职职工人数是指与残疾人福利性单位建立劳动关系并依法签订劳动合同或者服务协议的雇员人数。</w:t>
      </w:r>
    </w:p>
    <w:p w14:paraId="61679019">
      <w:pPr>
        <w:rPr>
          <w:rFonts w:ascii="宋体"/>
          <w:b/>
          <w:color w:val="auto"/>
          <w:sz w:val="28"/>
          <w:highlight w:val="none"/>
        </w:rPr>
      </w:pPr>
      <w:r>
        <w:rPr>
          <w:rFonts w:hint="eastAsia" w:ascii="宋体"/>
          <w:b/>
          <w:color w:val="auto"/>
          <w:sz w:val="28"/>
          <w:highlight w:val="none"/>
        </w:rPr>
        <w:br w:type="page"/>
      </w:r>
    </w:p>
    <w:p w14:paraId="3B5E5FEB">
      <w:pPr>
        <w:jc w:val="center"/>
        <w:outlineLvl w:val="2"/>
        <w:rPr>
          <w:rFonts w:ascii="宋体"/>
          <w:b/>
          <w:color w:val="auto"/>
          <w:sz w:val="28"/>
          <w:highlight w:val="none"/>
        </w:rPr>
      </w:pPr>
      <w:r>
        <w:rPr>
          <w:rFonts w:hint="eastAsia" w:ascii="宋体"/>
          <w:b/>
          <w:color w:val="auto"/>
          <w:sz w:val="28"/>
          <w:highlight w:val="none"/>
          <w:lang w:eastAsia="zh-CN"/>
        </w:rPr>
        <w:t>（</w:t>
      </w:r>
      <w:r>
        <w:rPr>
          <w:rFonts w:hint="eastAsia" w:ascii="宋体"/>
          <w:b/>
          <w:color w:val="auto"/>
          <w:sz w:val="28"/>
          <w:highlight w:val="none"/>
          <w:lang w:val="en-US" w:eastAsia="zh-CN"/>
        </w:rPr>
        <w:t>4</w:t>
      </w:r>
      <w:r>
        <w:rPr>
          <w:rFonts w:hint="eastAsia" w:ascii="宋体"/>
          <w:b/>
          <w:color w:val="auto"/>
          <w:sz w:val="28"/>
          <w:highlight w:val="none"/>
          <w:lang w:eastAsia="zh-CN"/>
        </w:rPr>
        <w:t>）</w:t>
      </w:r>
      <w:r>
        <w:rPr>
          <w:rFonts w:hint="eastAsia" w:ascii="宋体"/>
          <w:b/>
          <w:color w:val="auto"/>
          <w:sz w:val="28"/>
          <w:highlight w:val="none"/>
        </w:rPr>
        <w:t>本项目的特定资格要求（如要求）</w:t>
      </w:r>
    </w:p>
    <w:p w14:paraId="34A5CCFC">
      <w:pPr>
        <w:keepNext w:val="0"/>
        <w:keepLines w:val="0"/>
        <w:pageBreakBefore/>
        <w:widowControl w:val="0"/>
        <w:numPr>
          <w:ilvl w:val="0"/>
          <w:numId w:val="0"/>
        </w:numPr>
        <w:kinsoku/>
        <w:wordWrap/>
        <w:overflowPunct/>
        <w:topLinePunct w:val="0"/>
        <w:autoSpaceDE/>
        <w:autoSpaceDN/>
        <w:bidi w:val="0"/>
        <w:adjustRightInd/>
        <w:snapToGrid/>
        <w:textAlignment w:val="auto"/>
        <w:outlineLvl w:val="1"/>
        <w:rPr>
          <w:rFonts w:ascii="宋体"/>
          <w:b/>
          <w:color w:val="auto"/>
          <w:sz w:val="28"/>
          <w:highlight w:val="none"/>
        </w:rPr>
      </w:pPr>
      <w:r>
        <w:rPr>
          <w:rFonts w:hint="eastAsia" w:ascii="宋体" w:hAnsi="Times New Roman" w:eastAsia="宋体" w:cs="Times New Roman"/>
          <w:b/>
          <w:color w:val="auto"/>
          <w:kern w:val="2"/>
          <w:sz w:val="28"/>
          <w:lang w:val="en-US" w:eastAsia="zh-CN" w:bidi="ar-SA"/>
        </w:rPr>
        <w:t>（二）</w:t>
      </w:r>
      <w:r>
        <w:rPr>
          <w:rFonts w:hint="eastAsia" w:ascii="宋体"/>
          <w:b/>
          <w:color w:val="auto"/>
          <w:sz w:val="28"/>
          <w:highlight w:val="none"/>
        </w:rPr>
        <w:t>技术商务文件：</w:t>
      </w:r>
    </w:p>
    <w:p w14:paraId="76159C4C">
      <w:pPr>
        <w:pStyle w:val="28"/>
        <w:ind w:left="0" w:leftChars="0"/>
        <w:rPr>
          <w:color w:val="auto"/>
          <w:highlight w:val="none"/>
        </w:rPr>
      </w:pPr>
    </w:p>
    <w:p w14:paraId="053EF978">
      <w:pPr>
        <w:pStyle w:val="3"/>
        <w:ind w:firstLine="0"/>
        <w:rPr>
          <w:rFonts w:ascii="宋体" w:eastAsia="宋体"/>
          <w:color w:val="auto"/>
          <w:sz w:val="28"/>
          <w:szCs w:val="28"/>
          <w:highlight w:val="none"/>
        </w:rPr>
      </w:pPr>
    </w:p>
    <w:p w14:paraId="4AAE91E4">
      <w:pPr>
        <w:pStyle w:val="3"/>
        <w:ind w:firstLine="0"/>
        <w:jc w:val="center"/>
        <w:outlineLvl w:val="2"/>
        <w:rPr>
          <w:rFonts w:ascii="宋体" w:eastAsia="宋体"/>
          <w:b/>
          <w:color w:val="auto"/>
          <w:sz w:val="28"/>
          <w:szCs w:val="28"/>
          <w:highlight w:val="none"/>
        </w:rPr>
      </w:pPr>
      <w:r>
        <w:rPr>
          <w:rFonts w:hint="eastAsia" w:ascii="宋体" w:eastAsia="宋体"/>
          <w:b/>
          <w:color w:val="auto"/>
          <w:sz w:val="28"/>
          <w:szCs w:val="28"/>
          <w:highlight w:val="none"/>
        </w:rPr>
        <w:t>（1）投标函</w:t>
      </w:r>
    </w:p>
    <w:p w14:paraId="03CC6615">
      <w:pPr>
        <w:pStyle w:val="3"/>
        <w:spacing w:beforeLines="50" w:afterLines="50" w:line="360" w:lineRule="exact"/>
        <w:ind w:firstLine="0"/>
        <w:rPr>
          <w:rFonts w:eastAsia="宋体"/>
          <w:color w:val="auto"/>
          <w:highlight w:val="none"/>
        </w:rPr>
      </w:pPr>
      <w:r>
        <w:rPr>
          <w:rFonts w:eastAsia="宋体"/>
          <w:color w:val="auto"/>
          <w:highlight w:val="none"/>
          <w:u w:val="single"/>
        </w:rPr>
        <w:t xml:space="preserve">   致</w:t>
      </w:r>
      <w:r>
        <w:rPr>
          <w:rFonts w:eastAsia="宋体"/>
          <w:i/>
          <w:color w:val="auto"/>
          <w:highlight w:val="none"/>
          <w:u w:val="single"/>
        </w:rPr>
        <w:t xml:space="preserve">（采购人） </w:t>
      </w:r>
      <w:r>
        <w:rPr>
          <w:rFonts w:eastAsia="宋体"/>
          <w:color w:val="auto"/>
          <w:highlight w:val="none"/>
          <w:u w:val="single"/>
        </w:rPr>
        <w:t xml:space="preserve">              </w:t>
      </w:r>
      <w:r>
        <w:rPr>
          <w:rFonts w:eastAsia="宋体"/>
          <w:color w:val="auto"/>
          <w:highlight w:val="none"/>
        </w:rPr>
        <w:t>：</w:t>
      </w:r>
    </w:p>
    <w:p w14:paraId="74FD2C33">
      <w:pPr>
        <w:pStyle w:val="3"/>
        <w:spacing w:line="360" w:lineRule="exact"/>
        <w:ind w:firstLineChars="200"/>
        <w:rPr>
          <w:rFonts w:eastAsia="宋体"/>
          <w:color w:val="auto"/>
          <w:highlight w:val="none"/>
          <w:u w:val="single"/>
        </w:rPr>
      </w:pPr>
      <w:r>
        <w:rPr>
          <w:rFonts w:eastAsia="宋体"/>
          <w:color w:val="auto"/>
          <w:highlight w:val="none"/>
          <w:u w:val="single"/>
        </w:rPr>
        <w:t xml:space="preserve">     </w:t>
      </w:r>
      <w:r>
        <w:rPr>
          <w:rFonts w:eastAsia="宋体"/>
          <w:i/>
          <w:color w:val="auto"/>
          <w:highlight w:val="none"/>
          <w:u w:val="single"/>
        </w:rPr>
        <w:t xml:space="preserve"> （投标人全称）</w:t>
      </w:r>
      <w:r>
        <w:rPr>
          <w:rFonts w:eastAsia="宋体"/>
          <w:color w:val="auto"/>
          <w:highlight w:val="none"/>
          <w:u w:val="single"/>
        </w:rPr>
        <w:t xml:space="preserve">      </w:t>
      </w:r>
      <w:r>
        <w:rPr>
          <w:rFonts w:eastAsia="宋体"/>
          <w:color w:val="auto"/>
          <w:highlight w:val="none"/>
        </w:rPr>
        <w:t xml:space="preserve"> 授权</w:t>
      </w:r>
      <w:r>
        <w:rPr>
          <w:rFonts w:eastAsia="宋体"/>
          <w:color w:val="auto"/>
          <w:highlight w:val="none"/>
          <w:u w:val="single"/>
        </w:rPr>
        <w:t xml:space="preserve"> </w:t>
      </w:r>
      <w:r>
        <w:rPr>
          <w:rFonts w:eastAsia="宋体"/>
          <w:i/>
          <w:color w:val="auto"/>
          <w:highlight w:val="none"/>
          <w:u w:val="single"/>
        </w:rPr>
        <w:t xml:space="preserve">（全权代表姓名、职务） </w:t>
      </w:r>
      <w:r>
        <w:rPr>
          <w:rFonts w:eastAsia="宋体"/>
          <w:color w:val="auto"/>
          <w:highlight w:val="none"/>
          <w:u w:val="single"/>
        </w:rPr>
        <w:t xml:space="preserve"> </w:t>
      </w:r>
      <w:r>
        <w:rPr>
          <w:rFonts w:eastAsia="宋体"/>
          <w:color w:val="auto"/>
          <w:highlight w:val="none"/>
        </w:rPr>
        <w:t xml:space="preserve">为本公司合法代理人，参加 </w:t>
      </w:r>
      <w:r>
        <w:rPr>
          <w:rFonts w:eastAsia="宋体"/>
          <w:color w:val="auto"/>
          <w:highlight w:val="none"/>
          <w:u w:val="single"/>
        </w:rPr>
        <w:t xml:space="preserve">  </w:t>
      </w:r>
      <w:r>
        <w:rPr>
          <w:rFonts w:eastAsia="宋体"/>
          <w:i/>
          <w:color w:val="auto"/>
          <w:highlight w:val="none"/>
          <w:u w:val="single"/>
        </w:rPr>
        <w:t>（</w:t>
      </w:r>
      <w:r>
        <w:rPr>
          <w:rFonts w:hint="eastAsia" w:eastAsia="宋体"/>
          <w:i/>
          <w:color w:val="auto"/>
          <w:highlight w:val="none"/>
          <w:u w:val="single"/>
        </w:rPr>
        <w:t>项目</w:t>
      </w:r>
      <w:r>
        <w:rPr>
          <w:rFonts w:eastAsia="宋体"/>
          <w:i/>
          <w:color w:val="auto"/>
          <w:highlight w:val="none"/>
          <w:u w:val="single"/>
        </w:rPr>
        <w:t>编号、项目名称）</w:t>
      </w:r>
      <w:r>
        <w:rPr>
          <w:rFonts w:eastAsia="宋体"/>
          <w:color w:val="auto"/>
          <w:highlight w:val="none"/>
          <w:u w:val="single"/>
        </w:rPr>
        <w:t xml:space="preserve">      </w:t>
      </w:r>
      <w:r>
        <w:rPr>
          <w:rFonts w:eastAsia="宋体"/>
          <w:color w:val="auto"/>
          <w:highlight w:val="none"/>
        </w:rPr>
        <w:t>招投标活动，代表本公司处理招投标活动中的一切事宜，在此：</w:t>
      </w:r>
    </w:p>
    <w:p w14:paraId="799C4AD2">
      <w:pPr>
        <w:pStyle w:val="3"/>
        <w:numPr>
          <w:ilvl w:val="0"/>
          <w:numId w:val="5"/>
        </w:numPr>
        <w:tabs>
          <w:tab w:val="left" w:pos="525"/>
          <w:tab w:val="clear" w:pos="840"/>
        </w:tabs>
        <w:spacing w:beforeLines="50" w:line="360" w:lineRule="exact"/>
        <w:ind w:left="0" w:firstLine="0"/>
        <w:rPr>
          <w:rFonts w:eastAsia="宋体"/>
          <w:color w:val="auto"/>
          <w:highlight w:val="none"/>
        </w:rPr>
      </w:pPr>
      <w:r>
        <w:rPr>
          <w:rFonts w:eastAsia="宋体"/>
          <w:color w:val="auto"/>
          <w:highlight w:val="none"/>
        </w:rPr>
        <w:t>提供招标文件中</w:t>
      </w:r>
      <w:r>
        <w:rPr>
          <w:rFonts w:hint="eastAsia" w:eastAsia="宋体"/>
          <w:color w:val="auto"/>
          <w:highlight w:val="none"/>
        </w:rPr>
        <w:t>“</w:t>
      </w:r>
      <w:r>
        <w:rPr>
          <w:rFonts w:eastAsia="宋体"/>
          <w:color w:val="auto"/>
          <w:highlight w:val="none"/>
        </w:rPr>
        <w:t>投标人须知及前附表</w:t>
      </w:r>
      <w:r>
        <w:rPr>
          <w:rFonts w:hint="eastAsia" w:eastAsia="宋体"/>
          <w:color w:val="auto"/>
          <w:highlight w:val="none"/>
        </w:rPr>
        <w:t>”</w:t>
      </w:r>
      <w:r>
        <w:rPr>
          <w:rFonts w:eastAsia="宋体"/>
          <w:color w:val="auto"/>
          <w:highlight w:val="none"/>
        </w:rPr>
        <w:t>中规定的全部投标文件</w:t>
      </w:r>
      <w:r>
        <w:rPr>
          <w:rFonts w:hint="eastAsia" w:eastAsia="宋体"/>
          <w:color w:val="auto"/>
          <w:highlight w:val="none"/>
        </w:rPr>
        <w:t>。</w:t>
      </w:r>
    </w:p>
    <w:p w14:paraId="2FF2265C">
      <w:pPr>
        <w:pStyle w:val="3"/>
        <w:numPr>
          <w:ilvl w:val="0"/>
          <w:numId w:val="5"/>
        </w:numPr>
        <w:tabs>
          <w:tab w:val="left" w:pos="525"/>
          <w:tab w:val="clear" w:pos="840"/>
        </w:tabs>
        <w:spacing w:beforeLines="50" w:line="360" w:lineRule="exact"/>
        <w:ind w:left="0" w:firstLine="0"/>
        <w:rPr>
          <w:rFonts w:eastAsia="宋体"/>
          <w:color w:val="auto"/>
          <w:highlight w:val="none"/>
        </w:rPr>
      </w:pPr>
      <w:r>
        <w:rPr>
          <w:rFonts w:eastAsia="宋体"/>
          <w:color w:val="auto"/>
          <w:highlight w:val="none"/>
        </w:rPr>
        <w:t>据此函，签字代表宣布并承诺如下：</w:t>
      </w:r>
    </w:p>
    <w:p w14:paraId="6045DF10">
      <w:pPr>
        <w:pStyle w:val="3"/>
        <w:spacing w:line="360" w:lineRule="exact"/>
        <w:ind w:firstLine="0"/>
        <w:rPr>
          <w:rFonts w:eastAsia="宋体"/>
          <w:color w:val="auto"/>
          <w:highlight w:val="none"/>
        </w:rPr>
      </w:pPr>
      <w:r>
        <w:rPr>
          <w:rFonts w:eastAsia="宋体"/>
          <w:color w:val="auto"/>
          <w:highlight w:val="none"/>
        </w:rPr>
        <w:t>（1）</w:t>
      </w:r>
      <w:r>
        <w:rPr>
          <w:rFonts w:hint="eastAsia" w:eastAsia="宋体"/>
          <w:color w:val="auto"/>
          <w:highlight w:val="none"/>
        </w:rPr>
        <w:t>本项目</w:t>
      </w:r>
      <w:r>
        <w:rPr>
          <w:rFonts w:eastAsia="宋体"/>
          <w:color w:val="auto"/>
          <w:highlight w:val="none"/>
        </w:rPr>
        <w:t>的投标总价</w:t>
      </w:r>
      <w:r>
        <w:rPr>
          <w:rFonts w:hint="eastAsia" w:eastAsia="宋体"/>
          <w:color w:val="auto"/>
          <w:highlight w:val="none"/>
          <w:u w:val="single"/>
        </w:rPr>
        <w:t xml:space="preserve">详见开标一览表 </w:t>
      </w:r>
      <w:r>
        <w:rPr>
          <w:rFonts w:eastAsia="宋体"/>
          <w:color w:val="auto"/>
          <w:highlight w:val="none"/>
        </w:rPr>
        <w:t>。本报价已经包含了</w:t>
      </w:r>
      <w:r>
        <w:rPr>
          <w:rFonts w:hint="eastAsia" w:eastAsia="宋体"/>
          <w:color w:val="auto"/>
          <w:highlight w:val="none"/>
        </w:rPr>
        <w:t>本项目</w:t>
      </w:r>
      <w:r>
        <w:rPr>
          <w:rFonts w:eastAsia="宋体"/>
          <w:color w:val="auto"/>
          <w:highlight w:val="none"/>
        </w:rPr>
        <w:t>应纳的税金及招标文件规定的报价方式应包含的</w:t>
      </w:r>
      <w:r>
        <w:rPr>
          <w:rFonts w:hint="eastAsia" w:eastAsia="宋体"/>
          <w:color w:val="auto"/>
          <w:highlight w:val="none"/>
        </w:rPr>
        <w:t>所有</w:t>
      </w:r>
      <w:r>
        <w:rPr>
          <w:rFonts w:eastAsia="宋体"/>
          <w:color w:val="auto"/>
          <w:highlight w:val="none"/>
        </w:rPr>
        <w:t>费用。本报价在投标有效期内固定不变，并在合同有效期内不受利率波动的影响。</w:t>
      </w:r>
    </w:p>
    <w:p w14:paraId="4294993D">
      <w:pPr>
        <w:pStyle w:val="3"/>
        <w:spacing w:line="360" w:lineRule="exact"/>
        <w:ind w:firstLine="0"/>
        <w:rPr>
          <w:rFonts w:eastAsia="宋体"/>
          <w:color w:val="auto"/>
          <w:highlight w:val="none"/>
        </w:rPr>
      </w:pPr>
      <w:r>
        <w:rPr>
          <w:rFonts w:eastAsia="宋体"/>
          <w:color w:val="auto"/>
          <w:highlight w:val="none"/>
        </w:rPr>
        <w:t>（2）本投标</w:t>
      </w:r>
      <w:r>
        <w:rPr>
          <w:rFonts w:hint="eastAsia" w:eastAsia="宋体"/>
          <w:color w:val="auto"/>
          <w:highlight w:val="none"/>
        </w:rPr>
        <w:t>文件</w:t>
      </w:r>
      <w:r>
        <w:rPr>
          <w:rFonts w:eastAsia="宋体"/>
          <w:color w:val="auto"/>
          <w:highlight w:val="none"/>
        </w:rPr>
        <w:t>自开标之日起</w:t>
      </w:r>
      <w:r>
        <w:rPr>
          <w:rFonts w:eastAsia="宋体"/>
          <w:color w:val="auto"/>
          <w:highlight w:val="none"/>
          <w:u w:val="single"/>
        </w:rPr>
        <w:t xml:space="preserve">  </w:t>
      </w:r>
      <w:r>
        <w:rPr>
          <w:rFonts w:hint="eastAsia" w:eastAsia="宋体"/>
          <w:color w:val="auto"/>
          <w:highlight w:val="none"/>
          <w:u w:val="single"/>
        </w:rPr>
        <w:t>90</w:t>
      </w:r>
      <w:r>
        <w:rPr>
          <w:rFonts w:eastAsia="宋体"/>
          <w:color w:val="auto"/>
          <w:highlight w:val="none"/>
          <w:u w:val="single"/>
        </w:rPr>
        <w:t xml:space="preserve"> </w:t>
      </w:r>
      <w:r>
        <w:rPr>
          <w:rFonts w:eastAsia="宋体"/>
          <w:color w:val="auto"/>
          <w:highlight w:val="none"/>
        </w:rPr>
        <w:t>天内有效。</w:t>
      </w:r>
    </w:p>
    <w:p w14:paraId="41F87E42">
      <w:pPr>
        <w:pStyle w:val="3"/>
        <w:spacing w:line="360" w:lineRule="exact"/>
        <w:ind w:firstLine="0"/>
        <w:rPr>
          <w:rFonts w:eastAsia="宋体"/>
          <w:color w:val="auto"/>
          <w:highlight w:val="none"/>
        </w:rPr>
      </w:pPr>
      <w:r>
        <w:rPr>
          <w:rFonts w:eastAsia="宋体"/>
          <w:color w:val="auto"/>
          <w:highlight w:val="none"/>
        </w:rPr>
        <w:t>（3）我们已详细审查全部招标文件及有关的澄清/修改文件(</w:t>
      </w:r>
      <w:r>
        <w:rPr>
          <w:rFonts w:hint="eastAsia" w:eastAsia="宋体"/>
          <w:color w:val="auto"/>
          <w:highlight w:val="none"/>
        </w:rPr>
        <w:t>如有</w:t>
      </w:r>
      <w:r>
        <w:rPr>
          <w:rFonts w:eastAsia="宋体"/>
          <w:color w:val="auto"/>
          <w:highlight w:val="none"/>
        </w:rPr>
        <w:t>)，我们完全理解并同意放弃对这方面提出任何异议的权利。</w:t>
      </w:r>
    </w:p>
    <w:p w14:paraId="388EF65E">
      <w:pPr>
        <w:pStyle w:val="3"/>
        <w:spacing w:line="360" w:lineRule="exact"/>
        <w:ind w:firstLine="0"/>
        <w:rPr>
          <w:rFonts w:eastAsia="宋体"/>
          <w:color w:val="auto"/>
          <w:highlight w:val="none"/>
        </w:rPr>
      </w:pPr>
      <w:r>
        <w:rPr>
          <w:rFonts w:eastAsia="宋体"/>
          <w:color w:val="auto"/>
          <w:highlight w:val="none"/>
        </w:rPr>
        <w:t>（4）保证遵守招标文件有关条款规定。</w:t>
      </w:r>
    </w:p>
    <w:p w14:paraId="0015FD01">
      <w:pPr>
        <w:pStyle w:val="3"/>
        <w:spacing w:line="360" w:lineRule="exact"/>
        <w:ind w:firstLine="0"/>
        <w:rPr>
          <w:rFonts w:eastAsia="宋体"/>
          <w:color w:val="auto"/>
          <w:highlight w:val="none"/>
        </w:rPr>
      </w:pPr>
      <w:r>
        <w:rPr>
          <w:rFonts w:eastAsia="宋体"/>
          <w:color w:val="auto"/>
          <w:highlight w:val="none"/>
        </w:rPr>
        <w:t>（5）保证在中标后忠实地执行与采购人所签署的合同，并承担合同规定的责任义务</w:t>
      </w:r>
      <w:r>
        <w:rPr>
          <w:rFonts w:hint="eastAsia" w:eastAsia="宋体"/>
          <w:color w:val="auto"/>
          <w:highlight w:val="none"/>
        </w:rPr>
        <w:t>，</w:t>
      </w:r>
    </w:p>
    <w:p w14:paraId="2EC66E92">
      <w:pPr>
        <w:pStyle w:val="3"/>
        <w:spacing w:line="360" w:lineRule="exact"/>
        <w:ind w:firstLine="0"/>
        <w:rPr>
          <w:rFonts w:eastAsia="宋体"/>
          <w:color w:val="auto"/>
          <w:highlight w:val="none"/>
        </w:rPr>
      </w:pPr>
      <w:r>
        <w:rPr>
          <w:rFonts w:eastAsia="宋体"/>
          <w:color w:val="auto"/>
          <w:highlight w:val="none"/>
        </w:rPr>
        <w:t>承诺应贵方要求提供任何与</w:t>
      </w:r>
      <w:r>
        <w:rPr>
          <w:rFonts w:hint="eastAsia" w:eastAsia="宋体"/>
          <w:color w:val="auto"/>
          <w:highlight w:val="none"/>
        </w:rPr>
        <w:t>本</w:t>
      </w:r>
      <w:r>
        <w:rPr>
          <w:rFonts w:eastAsia="宋体"/>
          <w:color w:val="auto"/>
          <w:highlight w:val="none"/>
        </w:rPr>
        <w:t>项目有关的数据、情况和技术资料。</w:t>
      </w:r>
    </w:p>
    <w:p w14:paraId="03E646BB">
      <w:pPr>
        <w:pStyle w:val="3"/>
        <w:spacing w:line="360" w:lineRule="exact"/>
        <w:ind w:firstLine="0"/>
        <w:rPr>
          <w:rFonts w:eastAsia="宋体"/>
          <w:color w:val="auto"/>
          <w:highlight w:val="none"/>
        </w:rPr>
      </w:pPr>
      <w:r>
        <w:rPr>
          <w:rFonts w:eastAsia="宋体"/>
          <w:color w:val="auto"/>
          <w:highlight w:val="none"/>
        </w:rPr>
        <w:t>（6）</w:t>
      </w:r>
      <w:r>
        <w:rPr>
          <w:rFonts w:hint="eastAsia" w:eastAsia="宋体"/>
          <w:color w:val="auto"/>
          <w:highlight w:val="none"/>
        </w:rPr>
        <w:t>同意采购文件中有关中标服务费的条款，保证在中标后按照采购文件的规定，向采购代理一次性交纳中标服务费。</w:t>
      </w:r>
    </w:p>
    <w:p w14:paraId="7EBACD12">
      <w:pPr>
        <w:pStyle w:val="3"/>
        <w:spacing w:line="360" w:lineRule="exact"/>
        <w:ind w:firstLine="0"/>
        <w:rPr>
          <w:rFonts w:eastAsia="宋体"/>
          <w:color w:val="auto"/>
          <w:highlight w:val="none"/>
        </w:rPr>
      </w:pPr>
      <w:r>
        <w:rPr>
          <w:rFonts w:eastAsia="宋体"/>
          <w:color w:val="auto"/>
          <w:highlight w:val="none"/>
        </w:rPr>
        <w:t>（</w:t>
      </w:r>
      <w:r>
        <w:rPr>
          <w:rFonts w:hint="eastAsia" w:eastAsia="宋体"/>
          <w:color w:val="auto"/>
          <w:highlight w:val="none"/>
        </w:rPr>
        <w:t>7</w:t>
      </w:r>
      <w:r>
        <w:rPr>
          <w:rFonts w:eastAsia="宋体"/>
          <w:color w:val="auto"/>
          <w:highlight w:val="none"/>
        </w:rPr>
        <w:t>）我们郑重声明：我公司符合政府采购法规定的参加采购活动应当具备的条件：具有独立承担民事责任的能力；具有良好的商业信誉和健全的财务会计制度；具有履行合同所必须的设备和专业技术能力；有依法缴纳税收和社会保障资金的良好记录；参加政府采购活动前三年内，在经营活动中没有重大违法记录。</w:t>
      </w:r>
    </w:p>
    <w:p w14:paraId="1A470911">
      <w:pPr>
        <w:pStyle w:val="3"/>
        <w:numPr>
          <w:ilvl w:val="0"/>
          <w:numId w:val="5"/>
        </w:numPr>
        <w:spacing w:beforeLines="50" w:line="360" w:lineRule="exact"/>
        <w:ind w:left="0" w:firstLine="0"/>
        <w:rPr>
          <w:rFonts w:eastAsia="宋体"/>
          <w:color w:val="auto"/>
          <w:highlight w:val="none"/>
        </w:rPr>
      </w:pPr>
      <w:r>
        <w:rPr>
          <w:rFonts w:eastAsia="宋体"/>
          <w:color w:val="auto"/>
          <w:highlight w:val="none"/>
        </w:rPr>
        <w:t>与本</w:t>
      </w:r>
      <w:r>
        <w:rPr>
          <w:rFonts w:hint="eastAsia" w:eastAsia="宋体"/>
          <w:color w:val="auto"/>
          <w:highlight w:val="none"/>
        </w:rPr>
        <w:t>项目</w:t>
      </w:r>
      <w:r>
        <w:rPr>
          <w:rFonts w:eastAsia="宋体"/>
          <w:color w:val="auto"/>
          <w:highlight w:val="none"/>
        </w:rPr>
        <w:t>有关的一切往来通讯请寄：</w:t>
      </w:r>
    </w:p>
    <w:p w14:paraId="15227B18">
      <w:pPr>
        <w:pStyle w:val="3"/>
        <w:spacing w:line="360" w:lineRule="exact"/>
        <w:ind w:firstLine="0"/>
        <w:rPr>
          <w:rFonts w:eastAsia="宋体"/>
          <w:color w:val="auto"/>
          <w:highlight w:val="none"/>
        </w:rPr>
      </w:pPr>
      <w:r>
        <w:rPr>
          <w:rFonts w:eastAsia="宋体"/>
          <w:color w:val="auto"/>
          <w:highlight w:val="none"/>
        </w:rPr>
        <w:t>地址：</w:t>
      </w:r>
      <w:r>
        <w:rPr>
          <w:rFonts w:eastAsia="宋体"/>
          <w:color w:val="auto"/>
          <w:highlight w:val="none"/>
          <w:u w:val="single"/>
        </w:rPr>
        <w:t xml:space="preserve">                                            </w:t>
      </w:r>
    </w:p>
    <w:p w14:paraId="41AFA38C">
      <w:pPr>
        <w:pStyle w:val="3"/>
        <w:spacing w:line="360" w:lineRule="exact"/>
        <w:ind w:firstLine="0"/>
        <w:rPr>
          <w:rFonts w:eastAsia="宋体"/>
          <w:color w:val="auto"/>
          <w:highlight w:val="none"/>
          <w:u w:val="single"/>
        </w:rPr>
      </w:pPr>
      <w:r>
        <w:rPr>
          <w:rFonts w:eastAsia="宋体"/>
          <w:color w:val="auto"/>
          <w:highlight w:val="none"/>
        </w:rPr>
        <w:t>邮编：</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r>
        <w:rPr>
          <w:rFonts w:eastAsia="宋体"/>
          <w:color w:val="auto"/>
          <w:highlight w:val="none"/>
        </w:rPr>
        <w:t>电话：</w:t>
      </w:r>
      <w:r>
        <w:rPr>
          <w:rFonts w:eastAsia="宋体"/>
          <w:color w:val="auto"/>
          <w:highlight w:val="none"/>
          <w:u w:val="single"/>
        </w:rPr>
        <w:t xml:space="preserve">        </w:t>
      </w:r>
      <w:r>
        <w:rPr>
          <w:rFonts w:hint="eastAsia" w:eastAsia="宋体"/>
          <w:color w:val="auto"/>
          <w:highlight w:val="none"/>
          <w:u w:val="single"/>
        </w:rPr>
        <w:t xml:space="preserve">     </w:t>
      </w:r>
      <w:r>
        <w:rPr>
          <w:rFonts w:eastAsia="宋体"/>
          <w:color w:val="auto"/>
          <w:highlight w:val="none"/>
          <w:u w:val="single"/>
        </w:rPr>
        <w:t xml:space="preserve">      </w:t>
      </w:r>
    </w:p>
    <w:p w14:paraId="703CBFE4">
      <w:pPr>
        <w:pStyle w:val="3"/>
        <w:spacing w:line="360" w:lineRule="exact"/>
        <w:ind w:firstLine="0"/>
        <w:rPr>
          <w:rFonts w:eastAsia="宋体"/>
          <w:color w:val="auto"/>
          <w:highlight w:val="none"/>
        </w:rPr>
      </w:pPr>
    </w:p>
    <w:p w14:paraId="065B8EA2">
      <w:pPr>
        <w:pStyle w:val="3"/>
        <w:spacing w:beforeLines="50" w:line="360" w:lineRule="exact"/>
        <w:ind w:firstLine="0"/>
        <w:rPr>
          <w:rFonts w:eastAsia="宋体"/>
          <w:color w:val="auto"/>
          <w:highlight w:val="none"/>
        </w:rPr>
      </w:pPr>
      <w:r>
        <w:rPr>
          <w:rFonts w:eastAsia="宋体"/>
          <w:color w:val="auto"/>
          <w:highlight w:val="none"/>
        </w:rPr>
        <w:t>投标人单位（盖公章）：</w:t>
      </w:r>
    </w:p>
    <w:p w14:paraId="652F5D46">
      <w:pPr>
        <w:pStyle w:val="3"/>
        <w:spacing w:beforeLines="50" w:line="360" w:lineRule="exact"/>
        <w:ind w:firstLine="0"/>
        <w:rPr>
          <w:rFonts w:eastAsia="宋体"/>
          <w:color w:val="auto"/>
          <w:highlight w:val="none"/>
        </w:rPr>
      </w:pPr>
      <w:r>
        <w:rPr>
          <w:rFonts w:hint="eastAsia" w:eastAsia="宋体"/>
          <w:color w:val="auto"/>
          <w:highlight w:val="none"/>
        </w:rPr>
        <w:t>法定代表人或</w:t>
      </w:r>
      <w:r>
        <w:rPr>
          <w:rFonts w:eastAsia="宋体"/>
          <w:color w:val="auto"/>
          <w:highlight w:val="none"/>
        </w:rPr>
        <w:t>被授权代表人（签字</w:t>
      </w:r>
      <w:r>
        <w:rPr>
          <w:rFonts w:hint="eastAsia" w:eastAsia="宋体"/>
          <w:color w:val="auto"/>
          <w:highlight w:val="none"/>
        </w:rPr>
        <w:t>或盖章</w:t>
      </w:r>
      <w:r>
        <w:rPr>
          <w:rFonts w:eastAsia="宋体"/>
          <w:color w:val="auto"/>
          <w:highlight w:val="none"/>
        </w:rPr>
        <w:t>）：</w:t>
      </w:r>
    </w:p>
    <w:p w14:paraId="5DA8F8A4">
      <w:pPr>
        <w:pStyle w:val="3"/>
        <w:tabs>
          <w:tab w:val="left" w:pos="4841"/>
        </w:tabs>
        <w:spacing w:beforeLines="50" w:line="360" w:lineRule="exact"/>
        <w:ind w:firstLine="0"/>
        <w:rPr>
          <w:rFonts w:ascii="宋体" w:eastAsia="宋体"/>
          <w:b/>
          <w:color w:val="auto"/>
          <w:sz w:val="28"/>
          <w:highlight w:val="none"/>
        </w:rPr>
      </w:pPr>
      <w:r>
        <w:rPr>
          <w:rFonts w:eastAsia="宋体"/>
          <w:color w:val="auto"/>
          <w:highlight w:val="none"/>
        </w:rPr>
        <w:t>日      期：</w:t>
      </w:r>
      <w:r>
        <w:rPr>
          <w:rFonts w:hint="eastAsia" w:ascii="宋体" w:eastAsia="宋体"/>
          <w:color w:val="auto"/>
          <w:highlight w:val="none"/>
        </w:rPr>
        <w:t xml:space="preserve">  </w:t>
      </w:r>
    </w:p>
    <w:p w14:paraId="691F46A7">
      <w:pPr>
        <w:pStyle w:val="3"/>
        <w:ind w:firstLine="0"/>
        <w:rPr>
          <w:rFonts w:ascii="宋体" w:eastAsia="宋体"/>
          <w:b/>
          <w:color w:val="auto"/>
          <w:sz w:val="28"/>
          <w:highlight w:val="none"/>
        </w:rPr>
      </w:pPr>
      <w:r>
        <w:rPr>
          <w:rFonts w:ascii="宋体" w:eastAsia="宋体"/>
          <w:b/>
          <w:color w:val="auto"/>
          <w:sz w:val="28"/>
          <w:highlight w:val="none"/>
        </w:rPr>
        <w:br w:type="page"/>
      </w:r>
    </w:p>
    <w:p w14:paraId="2C128571">
      <w:pPr>
        <w:jc w:val="center"/>
        <w:outlineLvl w:val="2"/>
        <w:rPr>
          <w:rFonts w:ascii="宋体"/>
          <w:b/>
          <w:color w:val="auto"/>
          <w:sz w:val="28"/>
          <w:highlight w:val="none"/>
        </w:rPr>
      </w:pPr>
      <w:r>
        <w:rPr>
          <w:rFonts w:hint="eastAsia" w:ascii="宋体"/>
          <w:b/>
          <w:color w:val="auto"/>
          <w:sz w:val="28"/>
          <w:highlight w:val="none"/>
        </w:rPr>
        <w:t>（2）技术条款响应表</w:t>
      </w:r>
    </w:p>
    <w:p w14:paraId="3F83EDB1">
      <w:pPr>
        <w:rPr>
          <w:rFonts w:ascii="宋体"/>
          <w:color w:val="auto"/>
          <w:szCs w:val="21"/>
          <w:highlight w:val="none"/>
        </w:rPr>
      </w:pPr>
    </w:p>
    <w:p w14:paraId="5D1786A5">
      <w:pPr>
        <w:rPr>
          <w:rFonts w:ascii="宋体"/>
          <w:color w:val="auto"/>
          <w:sz w:val="24"/>
          <w:szCs w:val="24"/>
          <w:highlight w:val="none"/>
        </w:rPr>
      </w:pPr>
      <w:r>
        <w:rPr>
          <w:rFonts w:hint="eastAsia" w:ascii="宋体"/>
          <w:color w:val="auto"/>
          <w:sz w:val="24"/>
          <w:szCs w:val="24"/>
          <w:highlight w:val="none"/>
        </w:rPr>
        <w:t>项目名称：</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   </w:t>
      </w:r>
      <w:r>
        <w:rPr>
          <w:rFonts w:hint="eastAsia" w:ascii="宋体"/>
          <w:color w:val="auto"/>
          <w:szCs w:val="24"/>
          <w:highlight w:val="non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14:paraId="11CB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C0185C1">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3360" w:type="dxa"/>
            <w:vAlign w:val="center"/>
          </w:tcPr>
          <w:p w14:paraId="375FF259">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招标文件要求</w:t>
            </w:r>
          </w:p>
        </w:tc>
        <w:tc>
          <w:tcPr>
            <w:tcW w:w="2908" w:type="dxa"/>
            <w:vAlign w:val="center"/>
          </w:tcPr>
          <w:p w14:paraId="58111253">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投标响应</w:t>
            </w:r>
          </w:p>
        </w:tc>
        <w:tc>
          <w:tcPr>
            <w:tcW w:w="1578" w:type="dxa"/>
            <w:vAlign w:val="center"/>
          </w:tcPr>
          <w:p w14:paraId="18464247">
            <w:pPr>
              <w:spacing w:line="3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偏离说明</w:t>
            </w:r>
          </w:p>
        </w:tc>
      </w:tr>
      <w:tr w14:paraId="3BB1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759E242">
            <w:pPr>
              <w:jc w:val="center"/>
              <w:rPr>
                <w:rFonts w:ascii="宋体"/>
                <w:color w:val="auto"/>
                <w:sz w:val="24"/>
                <w:highlight w:val="none"/>
              </w:rPr>
            </w:pPr>
          </w:p>
        </w:tc>
        <w:tc>
          <w:tcPr>
            <w:tcW w:w="3360" w:type="dxa"/>
            <w:vAlign w:val="center"/>
          </w:tcPr>
          <w:p w14:paraId="20F584A9">
            <w:pPr>
              <w:jc w:val="center"/>
              <w:rPr>
                <w:rFonts w:ascii="宋体"/>
                <w:color w:val="auto"/>
                <w:sz w:val="24"/>
                <w:highlight w:val="none"/>
              </w:rPr>
            </w:pPr>
          </w:p>
        </w:tc>
        <w:tc>
          <w:tcPr>
            <w:tcW w:w="2908" w:type="dxa"/>
            <w:vAlign w:val="center"/>
          </w:tcPr>
          <w:p w14:paraId="2B6C4DC2">
            <w:pPr>
              <w:jc w:val="center"/>
              <w:rPr>
                <w:rFonts w:ascii="宋体"/>
                <w:color w:val="auto"/>
                <w:sz w:val="24"/>
                <w:highlight w:val="none"/>
              </w:rPr>
            </w:pPr>
          </w:p>
        </w:tc>
        <w:tc>
          <w:tcPr>
            <w:tcW w:w="1578" w:type="dxa"/>
            <w:vAlign w:val="center"/>
          </w:tcPr>
          <w:p w14:paraId="10CC0377">
            <w:pPr>
              <w:jc w:val="center"/>
              <w:rPr>
                <w:rFonts w:ascii="宋体"/>
                <w:color w:val="auto"/>
                <w:sz w:val="24"/>
                <w:highlight w:val="none"/>
              </w:rPr>
            </w:pPr>
          </w:p>
        </w:tc>
      </w:tr>
      <w:tr w14:paraId="15E2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CC83D59">
            <w:pPr>
              <w:jc w:val="center"/>
              <w:rPr>
                <w:rFonts w:ascii="宋体"/>
                <w:color w:val="auto"/>
                <w:sz w:val="24"/>
                <w:highlight w:val="none"/>
              </w:rPr>
            </w:pPr>
          </w:p>
        </w:tc>
        <w:tc>
          <w:tcPr>
            <w:tcW w:w="3360" w:type="dxa"/>
            <w:vAlign w:val="center"/>
          </w:tcPr>
          <w:p w14:paraId="148F5952">
            <w:pPr>
              <w:jc w:val="center"/>
              <w:rPr>
                <w:rFonts w:ascii="宋体"/>
                <w:color w:val="auto"/>
                <w:sz w:val="24"/>
                <w:highlight w:val="none"/>
              </w:rPr>
            </w:pPr>
          </w:p>
        </w:tc>
        <w:tc>
          <w:tcPr>
            <w:tcW w:w="2908" w:type="dxa"/>
            <w:vAlign w:val="center"/>
          </w:tcPr>
          <w:p w14:paraId="55A3E54B">
            <w:pPr>
              <w:jc w:val="center"/>
              <w:rPr>
                <w:rFonts w:ascii="宋体"/>
                <w:color w:val="auto"/>
                <w:sz w:val="24"/>
                <w:highlight w:val="none"/>
              </w:rPr>
            </w:pPr>
          </w:p>
        </w:tc>
        <w:tc>
          <w:tcPr>
            <w:tcW w:w="1578" w:type="dxa"/>
            <w:vAlign w:val="center"/>
          </w:tcPr>
          <w:p w14:paraId="44370384">
            <w:pPr>
              <w:jc w:val="center"/>
              <w:rPr>
                <w:rFonts w:ascii="宋体"/>
                <w:color w:val="auto"/>
                <w:sz w:val="24"/>
                <w:highlight w:val="none"/>
              </w:rPr>
            </w:pPr>
          </w:p>
        </w:tc>
      </w:tr>
      <w:tr w14:paraId="72B0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E26188E">
            <w:pPr>
              <w:jc w:val="center"/>
              <w:rPr>
                <w:rFonts w:ascii="宋体"/>
                <w:color w:val="auto"/>
                <w:sz w:val="24"/>
                <w:highlight w:val="none"/>
              </w:rPr>
            </w:pPr>
          </w:p>
        </w:tc>
        <w:tc>
          <w:tcPr>
            <w:tcW w:w="3360" w:type="dxa"/>
            <w:vAlign w:val="center"/>
          </w:tcPr>
          <w:p w14:paraId="7F4686BA">
            <w:pPr>
              <w:jc w:val="center"/>
              <w:rPr>
                <w:rFonts w:ascii="宋体"/>
                <w:color w:val="auto"/>
                <w:sz w:val="24"/>
                <w:highlight w:val="none"/>
              </w:rPr>
            </w:pPr>
          </w:p>
        </w:tc>
        <w:tc>
          <w:tcPr>
            <w:tcW w:w="2908" w:type="dxa"/>
            <w:vAlign w:val="center"/>
          </w:tcPr>
          <w:p w14:paraId="47A480DD">
            <w:pPr>
              <w:jc w:val="center"/>
              <w:rPr>
                <w:rFonts w:ascii="宋体"/>
                <w:color w:val="auto"/>
                <w:sz w:val="24"/>
                <w:highlight w:val="none"/>
              </w:rPr>
            </w:pPr>
          </w:p>
        </w:tc>
        <w:tc>
          <w:tcPr>
            <w:tcW w:w="1578" w:type="dxa"/>
            <w:vAlign w:val="center"/>
          </w:tcPr>
          <w:p w14:paraId="0EE43E1C">
            <w:pPr>
              <w:jc w:val="center"/>
              <w:rPr>
                <w:rFonts w:ascii="宋体"/>
                <w:color w:val="auto"/>
                <w:sz w:val="24"/>
                <w:highlight w:val="none"/>
              </w:rPr>
            </w:pPr>
          </w:p>
        </w:tc>
      </w:tr>
      <w:tr w14:paraId="30C4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2018F656">
            <w:pPr>
              <w:jc w:val="center"/>
              <w:rPr>
                <w:rFonts w:ascii="宋体"/>
                <w:color w:val="auto"/>
                <w:sz w:val="24"/>
                <w:highlight w:val="none"/>
              </w:rPr>
            </w:pPr>
          </w:p>
        </w:tc>
        <w:tc>
          <w:tcPr>
            <w:tcW w:w="3360" w:type="dxa"/>
            <w:vAlign w:val="center"/>
          </w:tcPr>
          <w:p w14:paraId="44C96F17">
            <w:pPr>
              <w:jc w:val="center"/>
              <w:rPr>
                <w:rFonts w:ascii="宋体"/>
                <w:color w:val="auto"/>
                <w:sz w:val="24"/>
                <w:highlight w:val="none"/>
              </w:rPr>
            </w:pPr>
          </w:p>
        </w:tc>
        <w:tc>
          <w:tcPr>
            <w:tcW w:w="2908" w:type="dxa"/>
            <w:vAlign w:val="center"/>
          </w:tcPr>
          <w:p w14:paraId="01053396">
            <w:pPr>
              <w:jc w:val="center"/>
              <w:rPr>
                <w:rFonts w:ascii="宋体"/>
                <w:color w:val="auto"/>
                <w:sz w:val="24"/>
                <w:highlight w:val="none"/>
              </w:rPr>
            </w:pPr>
          </w:p>
        </w:tc>
        <w:tc>
          <w:tcPr>
            <w:tcW w:w="1578" w:type="dxa"/>
            <w:vAlign w:val="center"/>
          </w:tcPr>
          <w:p w14:paraId="57C98502">
            <w:pPr>
              <w:jc w:val="center"/>
              <w:rPr>
                <w:rFonts w:ascii="宋体"/>
                <w:color w:val="auto"/>
                <w:sz w:val="24"/>
                <w:highlight w:val="none"/>
              </w:rPr>
            </w:pPr>
          </w:p>
        </w:tc>
      </w:tr>
      <w:tr w14:paraId="3671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6AC2CD93">
            <w:pPr>
              <w:jc w:val="center"/>
              <w:rPr>
                <w:rFonts w:ascii="宋体"/>
                <w:color w:val="auto"/>
                <w:sz w:val="24"/>
                <w:highlight w:val="none"/>
              </w:rPr>
            </w:pPr>
          </w:p>
        </w:tc>
        <w:tc>
          <w:tcPr>
            <w:tcW w:w="3360" w:type="dxa"/>
            <w:vAlign w:val="center"/>
          </w:tcPr>
          <w:p w14:paraId="543EEF86">
            <w:pPr>
              <w:jc w:val="center"/>
              <w:rPr>
                <w:rFonts w:ascii="宋体"/>
                <w:color w:val="auto"/>
                <w:sz w:val="24"/>
                <w:highlight w:val="none"/>
              </w:rPr>
            </w:pPr>
          </w:p>
        </w:tc>
        <w:tc>
          <w:tcPr>
            <w:tcW w:w="2908" w:type="dxa"/>
            <w:vAlign w:val="center"/>
          </w:tcPr>
          <w:p w14:paraId="20E82A8E">
            <w:pPr>
              <w:jc w:val="center"/>
              <w:rPr>
                <w:rFonts w:ascii="宋体"/>
                <w:color w:val="auto"/>
                <w:sz w:val="24"/>
                <w:highlight w:val="none"/>
              </w:rPr>
            </w:pPr>
          </w:p>
        </w:tc>
        <w:tc>
          <w:tcPr>
            <w:tcW w:w="1578" w:type="dxa"/>
            <w:vAlign w:val="center"/>
          </w:tcPr>
          <w:p w14:paraId="7E70DE8F">
            <w:pPr>
              <w:jc w:val="center"/>
              <w:rPr>
                <w:rFonts w:ascii="宋体"/>
                <w:color w:val="auto"/>
                <w:sz w:val="24"/>
                <w:highlight w:val="none"/>
              </w:rPr>
            </w:pPr>
          </w:p>
        </w:tc>
      </w:tr>
      <w:tr w14:paraId="2F20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939C7A3">
            <w:pPr>
              <w:jc w:val="center"/>
              <w:rPr>
                <w:rFonts w:ascii="宋体"/>
                <w:color w:val="auto"/>
                <w:sz w:val="24"/>
                <w:highlight w:val="none"/>
              </w:rPr>
            </w:pPr>
          </w:p>
        </w:tc>
        <w:tc>
          <w:tcPr>
            <w:tcW w:w="3360" w:type="dxa"/>
            <w:vAlign w:val="center"/>
          </w:tcPr>
          <w:p w14:paraId="6A5E39C3">
            <w:pPr>
              <w:jc w:val="center"/>
              <w:rPr>
                <w:rFonts w:ascii="宋体"/>
                <w:color w:val="auto"/>
                <w:sz w:val="24"/>
                <w:highlight w:val="none"/>
              </w:rPr>
            </w:pPr>
          </w:p>
        </w:tc>
        <w:tc>
          <w:tcPr>
            <w:tcW w:w="2908" w:type="dxa"/>
            <w:vAlign w:val="center"/>
          </w:tcPr>
          <w:p w14:paraId="701AF30F">
            <w:pPr>
              <w:jc w:val="center"/>
              <w:rPr>
                <w:rFonts w:ascii="宋体"/>
                <w:color w:val="auto"/>
                <w:sz w:val="24"/>
                <w:highlight w:val="none"/>
              </w:rPr>
            </w:pPr>
          </w:p>
        </w:tc>
        <w:tc>
          <w:tcPr>
            <w:tcW w:w="1578" w:type="dxa"/>
            <w:vAlign w:val="center"/>
          </w:tcPr>
          <w:p w14:paraId="26EECE06">
            <w:pPr>
              <w:jc w:val="center"/>
              <w:rPr>
                <w:rFonts w:ascii="宋体"/>
                <w:color w:val="auto"/>
                <w:sz w:val="24"/>
                <w:highlight w:val="none"/>
              </w:rPr>
            </w:pPr>
          </w:p>
        </w:tc>
      </w:tr>
      <w:tr w14:paraId="3D91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03249672">
            <w:pPr>
              <w:jc w:val="center"/>
              <w:rPr>
                <w:rFonts w:ascii="宋体"/>
                <w:color w:val="auto"/>
                <w:sz w:val="24"/>
                <w:highlight w:val="none"/>
              </w:rPr>
            </w:pPr>
          </w:p>
        </w:tc>
        <w:tc>
          <w:tcPr>
            <w:tcW w:w="3360" w:type="dxa"/>
            <w:vAlign w:val="center"/>
          </w:tcPr>
          <w:p w14:paraId="186378D8">
            <w:pPr>
              <w:jc w:val="center"/>
              <w:rPr>
                <w:rFonts w:ascii="宋体"/>
                <w:color w:val="auto"/>
                <w:sz w:val="24"/>
                <w:highlight w:val="none"/>
              </w:rPr>
            </w:pPr>
          </w:p>
        </w:tc>
        <w:tc>
          <w:tcPr>
            <w:tcW w:w="2908" w:type="dxa"/>
            <w:vAlign w:val="center"/>
          </w:tcPr>
          <w:p w14:paraId="155AAEBE">
            <w:pPr>
              <w:jc w:val="center"/>
              <w:rPr>
                <w:rFonts w:ascii="宋体"/>
                <w:color w:val="auto"/>
                <w:sz w:val="24"/>
                <w:highlight w:val="none"/>
              </w:rPr>
            </w:pPr>
          </w:p>
        </w:tc>
        <w:tc>
          <w:tcPr>
            <w:tcW w:w="1578" w:type="dxa"/>
            <w:vAlign w:val="center"/>
          </w:tcPr>
          <w:p w14:paraId="23999B74">
            <w:pPr>
              <w:jc w:val="center"/>
              <w:rPr>
                <w:rFonts w:ascii="宋体"/>
                <w:color w:val="auto"/>
                <w:sz w:val="24"/>
                <w:highlight w:val="none"/>
              </w:rPr>
            </w:pPr>
          </w:p>
        </w:tc>
      </w:tr>
      <w:tr w14:paraId="24950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574F3CD7">
            <w:pPr>
              <w:jc w:val="center"/>
              <w:rPr>
                <w:rFonts w:ascii="宋体"/>
                <w:color w:val="auto"/>
                <w:sz w:val="24"/>
                <w:highlight w:val="none"/>
              </w:rPr>
            </w:pPr>
          </w:p>
        </w:tc>
        <w:tc>
          <w:tcPr>
            <w:tcW w:w="3360" w:type="dxa"/>
            <w:vAlign w:val="center"/>
          </w:tcPr>
          <w:p w14:paraId="446B93F7">
            <w:pPr>
              <w:jc w:val="center"/>
              <w:rPr>
                <w:rFonts w:ascii="宋体"/>
                <w:color w:val="auto"/>
                <w:sz w:val="24"/>
                <w:highlight w:val="none"/>
              </w:rPr>
            </w:pPr>
          </w:p>
        </w:tc>
        <w:tc>
          <w:tcPr>
            <w:tcW w:w="2908" w:type="dxa"/>
            <w:vAlign w:val="center"/>
          </w:tcPr>
          <w:p w14:paraId="04B62416">
            <w:pPr>
              <w:jc w:val="center"/>
              <w:rPr>
                <w:rFonts w:ascii="宋体"/>
                <w:color w:val="auto"/>
                <w:sz w:val="24"/>
                <w:highlight w:val="none"/>
              </w:rPr>
            </w:pPr>
          </w:p>
        </w:tc>
        <w:tc>
          <w:tcPr>
            <w:tcW w:w="1578" w:type="dxa"/>
            <w:vAlign w:val="center"/>
          </w:tcPr>
          <w:p w14:paraId="1F54604E">
            <w:pPr>
              <w:jc w:val="center"/>
              <w:rPr>
                <w:rFonts w:ascii="宋体"/>
                <w:color w:val="auto"/>
                <w:sz w:val="24"/>
                <w:highlight w:val="none"/>
              </w:rPr>
            </w:pPr>
          </w:p>
        </w:tc>
      </w:tr>
      <w:tr w14:paraId="584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trPr>
        <w:tc>
          <w:tcPr>
            <w:tcW w:w="794" w:type="dxa"/>
            <w:vAlign w:val="center"/>
          </w:tcPr>
          <w:p w14:paraId="3DD4470E">
            <w:pPr>
              <w:jc w:val="center"/>
              <w:rPr>
                <w:rFonts w:ascii="宋体"/>
                <w:color w:val="auto"/>
                <w:sz w:val="24"/>
                <w:highlight w:val="none"/>
              </w:rPr>
            </w:pPr>
          </w:p>
        </w:tc>
        <w:tc>
          <w:tcPr>
            <w:tcW w:w="3360" w:type="dxa"/>
            <w:vAlign w:val="center"/>
          </w:tcPr>
          <w:p w14:paraId="0741AD0E">
            <w:pPr>
              <w:jc w:val="center"/>
              <w:rPr>
                <w:rFonts w:ascii="宋体"/>
                <w:color w:val="auto"/>
                <w:sz w:val="24"/>
                <w:highlight w:val="none"/>
              </w:rPr>
            </w:pPr>
          </w:p>
        </w:tc>
        <w:tc>
          <w:tcPr>
            <w:tcW w:w="2908" w:type="dxa"/>
            <w:vAlign w:val="center"/>
          </w:tcPr>
          <w:p w14:paraId="796CD79B">
            <w:pPr>
              <w:jc w:val="center"/>
              <w:rPr>
                <w:rFonts w:ascii="宋体"/>
                <w:color w:val="auto"/>
                <w:sz w:val="24"/>
                <w:highlight w:val="none"/>
              </w:rPr>
            </w:pPr>
          </w:p>
        </w:tc>
        <w:tc>
          <w:tcPr>
            <w:tcW w:w="1578" w:type="dxa"/>
            <w:vAlign w:val="center"/>
          </w:tcPr>
          <w:p w14:paraId="52ABEB92">
            <w:pPr>
              <w:jc w:val="center"/>
              <w:rPr>
                <w:rFonts w:ascii="宋体"/>
                <w:color w:val="auto"/>
                <w:sz w:val="24"/>
                <w:highlight w:val="none"/>
              </w:rPr>
            </w:pPr>
          </w:p>
        </w:tc>
      </w:tr>
    </w:tbl>
    <w:p w14:paraId="13E0CD5F">
      <w:pPr>
        <w:keepNext w:val="0"/>
        <w:keepLines w:val="0"/>
        <w:pageBreakBefore w:val="0"/>
        <w:widowControl w:val="0"/>
        <w:kinsoku/>
        <w:wordWrap/>
        <w:overflowPunct/>
        <w:topLinePunct w:val="0"/>
        <w:autoSpaceDE/>
        <w:autoSpaceDN/>
        <w:bidi w:val="0"/>
        <w:adjustRightInd/>
        <w:snapToGrid/>
        <w:spacing w:before="286" w:beforeLines="100"/>
        <w:textAlignment w:val="auto"/>
        <w:rPr>
          <w:rFonts w:ascii="宋体"/>
          <w:color w:val="auto"/>
          <w:sz w:val="24"/>
          <w:highlight w:val="none"/>
        </w:rPr>
      </w:pPr>
      <w:r>
        <w:rPr>
          <w:rFonts w:hint="eastAsia" w:ascii="宋体"/>
          <w:color w:val="auto"/>
          <w:sz w:val="24"/>
          <w:highlight w:val="none"/>
        </w:rPr>
        <w:t xml:space="preserve">备注：根据招标文件“第四部分 </w:t>
      </w:r>
      <w:r>
        <w:rPr>
          <w:rFonts w:hint="eastAsia" w:ascii="宋体"/>
          <w:color w:val="auto"/>
          <w:sz w:val="24"/>
          <w:highlight w:val="none"/>
          <w:lang w:val="en-US" w:eastAsia="zh-CN"/>
        </w:rPr>
        <w:t>采购需</w:t>
      </w:r>
      <w:r>
        <w:rPr>
          <w:rFonts w:hint="eastAsia" w:ascii="宋体"/>
          <w:color w:val="auto"/>
          <w:sz w:val="24"/>
          <w:highlight w:val="none"/>
        </w:rPr>
        <w:t>求”中“二、服务要求”的内容填写上表，有偏离（包括正偏离和负偏离）的必须逐条填写。若均无偏离则可在本表空白处醒目地注明“无条款偏离”的字样。</w:t>
      </w:r>
    </w:p>
    <w:p w14:paraId="4A9D0AB9">
      <w:pPr>
        <w:rPr>
          <w:rFonts w:ascii="宋体"/>
          <w:color w:val="auto"/>
          <w:sz w:val="24"/>
          <w:highlight w:val="none"/>
        </w:rPr>
      </w:pPr>
    </w:p>
    <w:p w14:paraId="55703DE2">
      <w:pPr>
        <w:pStyle w:val="21"/>
        <w:rPr>
          <w:color w:val="auto"/>
          <w:highlight w:val="none"/>
        </w:rPr>
      </w:pPr>
    </w:p>
    <w:p w14:paraId="75B1C0CB">
      <w:pPr>
        <w:pStyle w:val="3"/>
        <w:spacing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7CDC6BB0">
      <w:pPr>
        <w:pStyle w:val="3"/>
        <w:spacing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0FF6CE98">
      <w:pPr>
        <w:spacing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6E5FEDAE">
      <w:pPr>
        <w:rPr>
          <w:rFonts w:ascii="宋体"/>
          <w:color w:val="auto"/>
          <w:sz w:val="24"/>
          <w:highlight w:val="none"/>
        </w:rPr>
      </w:pPr>
    </w:p>
    <w:p w14:paraId="7854D12F">
      <w:pPr>
        <w:rPr>
          <w:rFonts w:ascii="宋体"/>
          <w:color w:val="auto"/>
          <w:sz w:val="24"/>
          <w:highlight w:val="none"/>
        </w:rPr>
      </w:pPr>
    </w:p>
    <w:p w14:paraId="03BDC28E">
      <w:pPr>
        <w:rPr>
          <w:rFonts w:ascii="宋体"/>
          <w:b/>
          <w:color w:val="auto"/>
          <w:sz w:val="28"/>
          <w:highlight w:val="none"/>
        </w:rPr>
      </w:pPr>
    </w:p>
    <w:p w14:paraId="73FB8DA6">
      <w:pPr>
        <w:rPr>
          <w:rFonts w:ascii="宋体"/>
          <w:b/>
          <w:color w:val="auto"/>
          <w:sz w:val="28"/>
          <w:highlight w:val="none"/>
        </w:rPr>
      </w:pPr>
      <w:r>
        <w:rPr>
          <w:rFonts w:ascii="宋体"/>
          <w:b/>
          <w:color w:val="auto"/>
          <w:sz w:val="28"/>
          <w:highlight w:val="none"/>
        </w:rPr>
        <w:br w:type="page"/>
      </w:r>
    </w:p>
    <w:p w14:paraId="0641FCC4">
      <w:pPr>
        <w:ind w:firstLine="3089"/>
        <w:outlineLvl w:val="2"/>
        <w:rPr>
          <w:rFonts w:ascii="宋体"/>
          <w:b/>
          <w:color w:val="auto"/>
          <w:sz w:val="28"/>
          <w:highlight w:val="none"/>
        </w:rPr>
      </w:pPr>
      <w:r>
        <w:rPr>
          <w:rFonts w:hint="eastAsia" w:ascii="宋体"/>
          <w:b/>
          <w:color w:val="auto"/>
          <w:sz w:val="28"/>
          <w:highlight w:val="none"/>
        </w:rPr>
        <w:t>（3）商务条款响应表</w:t>
      </w:r>
    </w:p>
    <w:p w14:paraId="3E12556B">
      <w:pPr>
        <w:rPr>
          <w:rFonts w:ascii="宋体"/>
          <w:color w:val="auto"/>
          <w:sz w:val="24"/>
          <w:szCs w:val="24"/>
          <w:highlight w:val="none"/>
        </w:rPr>
      </w:pPr>
    </w:p>
    <w:p w14:paraId="66B2906C">
      <w:pPr>
        <w:rPr>
          <w:rFonts w:ascii="宋体"/>
          <w:color w:val="auto"/>
          <w:sz w:val="24"/>
          <w:highlight w:val="none"/>
        </w:rPr>
      </w:pPr>
      <w:r>
        <w:rPr>
          <w:rFonts w:hint="eastAsia" w:ascii="宋体"/>
          <w:color w:val="auto"/>
          <w:sz w:val="24"/>
          <w:szCs w:val="24"/>
          <w:highlight w:val="none"/>
        </w:rPr>
        <w:t>项目名称：</w:t>
      </w:r>
      <w:r>
        <w:rPr>
          <w:rFonts w:hint="eastAsia" w:ascii="宋体"/>
          <w:color w:val="auto"/>
          <w:highlight w:val="none"/>
          <w:u w:val="single"/>
        </w:rPr>
        <w:t xml:space="preserve">               </w:t>
      </w:r>
      <w:r>
        <w:rPr>
          <w:rFonts w:hint="eastAsia" w:ascii="宋体"/>
          <w:color w:val="auto"/>
          <w:highlight w:val="none"/>
        </w:rPr>
        <w:t xml:space="preserv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50"/>
        <w:gridCol w:w="2730"/>
        <w:gridCol w:w="1907"/>
      </w:tblGrid>
      <w:tr w14:paraId="70AA3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38" w:type="dxa"/>
            <w:vAlign w:val="center"/>
          </w:tcPr>
          <w:p w14:paraId="2413B32E">
            <w:pPr>
              <w:spacing w:line="300" w:lineRule="exact"/>
              <w:jc w:val="center"/>
              <w:rPr>
                <w:rFonts w:ascii="宋体"/>
                <w:color w:val="auto"/>
                <w:sz w:val="24"/>
                <w:highlight w:val="none"/>
              </w:rPr>
            </w:pPr>
            <w:r>
              <w:rPr>
                <w:rFonts w:hint="eastAsia" w:ascii="宋体" w:hAnsi="宋体" w:cs="宋体"/>
                <w:color w:val="auto"/>
                <w:sz w:val="24"/>
                <w:szCs w:val="24"/>
                <w:highlight w:val="none"/>
              </w:rPr>
              <w:t>序号</w:t>
            </w:r>
          </w:p>
        </w:tc>
        <w:tc>
          <w:tcPr>
            <w:tcW w:w="3150" w:type="dxa"/>
            <w:vAlign w:val="center"/>
          </w:tcPr>
          <w:p w14:paraId="41208CC2">
            <w:pPr>
              <w:spacing w:line="300" w:lineRule="exact"/>
              <w:jc w:val="center"/>
              <w:rPr>
                <w:rFonts w:ascii="宋体"/>
                <w:color w:val="auto"/>
                <w:sz w:val="24"/>
                <w:highlight w:val="none"/>
              </w:rPr>
            </w:pPr>
            <w:r>
              <w:rPr>
                <w:rFonts w:hint="eastAsia" w:ascii="宋体" w:hAnsi="宋体" w:cs="宋体"/>
                <w:color w:val="auto"/>
                <w:sz w:val="24"/>
                <w:szCs w:val="24"/>
                <w:highlight w:val="none"/>
              </w:rPr>
              <w:t>招标文件要求</w:t>
            </w:r>
          </w:p>
        </w:tc>
        <w:tc>
          <w:tcPr>
            <w:tcW w:w="2730" w:type="dxa"/>
            <w:vAlign w:val="center"/>
          </w:tcPr>
          <w:p w14:paraId="5C69B77C">
            <w:pPr>
              <w:spacing w:line="300" w:lineRule="exact"/>
              <w:jc w:val="center"/>
              <w:rPr>
                <w:rFonts w:ascii="宋体"/>
                <w:color w:val="auto"/>
                <w:sz w:val="24"/>
                <w:highlight w:val="none"/>
              </w:rPr>
            </w:pPr>
            <w:r>
              <w:rPr>
                <w:rFonts w:hint="eastAsia" w:ascii="宋体" w:hAnsi="宋体" w:cs="宋体"/>
                <w:color w:val="auto"/>
                <w:sz w:val="24"/>
                <w:szCs w:val="24"/>
                <w:highlight w:val="none"/>
              </w:rPr>
              <w:t>投标响应</w:t>
            </w:r>
          </w:p>
        </w:tc>
        <w:tc>
          <w:tcPr>
            <w:tcW w:w="1907" w:type="dxa"/>
            <w:vAlign w:val="center"/>
          </w:tcPr>
          <w:p w14:paraId="064890BB">
            <w:pPr>
              <w:spacing w:line="300" w:lineRule="exact"/>
              <w:jc w:val="center"/>
              <w:rPr>
                <w:rFonts w:ascii="宋体"/>
                <w:color w:val="auto"/>
                <w:sz w:val="24"/>
                <w:highlight w:val="none"/>
              </w:rPr>
            </w:pPr>
            <w:r>
              <w:rPr>
                <w:rFonts w:hint="eastAsia" w:ascii="宋体" w:hAnsi="宋体" w:cs="宋体"/>
                <w:color w:val="auto"/>
                <w:sz w:val="24"/>
                <w:szCs w:val="24"/>
                <w:highlight w:val="none"/>
              </w:rPr>
              <w:t>偏离说明</w:t>
            </w:r>
          </w:p>
        </w:tc>
      </w:tr>
      <w:tr w14:paraId="7141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27BE8BBE">
            <w:pPr>
              <w:jc w:val="center"/>
              <w:rPr>
                <w:rFonts w:ascii="宋体"/>
                <w:color w:val="auto"/>
                <w:sz w:val="24"/>
                <w:highlight w:val="none"/>
              </w:rPr>
            </w:pPr>
          </w:p>
        </w:tc>
        <w:tc>
          <w:tcPr>
            <w:tcW w:w="3150" w:type="dxa"/>
            <w:vAlign w:val="center"/>
          </w:tcPr>
          <w:p w14:paraId="575B99B5">
            <w:pPr>
              <w:jc w:val="center"/>
              <w:rPr>
                <w:rFonts w:ascii="宋体"/>
                <w:color w:val="auto"/>
                <w:sz w:val="24"/>
                <w:highlight w:val="none"/>
              </w:rPr>
            </w:pPr>
          </w:p>
        </w:tc>
        <w:tc>
          <w:tcPr>
            <w:tcW w:w="2730" w:type="dxa"/>
            <w:vAlign w:val="center"/>
          </w:tcPr>
          <w:p w14:paraId="63138975">
            <w:pPr>
              <w:jc w:val="center"/>
              <w:rPr>
                <w:rFonts w:ascii="宋体"/>
                <w:color w:val="auto"/>
                <w:sz w:val="24"/>
                <w:highlight w:val="none"/>
              </w:rPr>
            </w:pPr>
          </w:p>
        </w:tc>
        <w:tc>
          <w:tcPr>
            <w:tcW w:w="1907" w:type="dxa"/>
            <w:vAlign w:val="center"/>
          </w:tcPr>
          <w:p w14:paraId="0AE399EC">
            <w:pPr>
              <w:jc w:val="center"/>
              <w:rPr>
                <w:rFonts w:ascii="宋体"/>
                <w:color w:val="auto"/>
                <w:sz w:val="24"/>
                <w:highlight w:val="none"/>
              </w:rPr>
            </w:pPr>
          </w:p>
        </w:tc>
      </w:tr>
      <w:tr w14:paraId="701B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606ACEBA">
            <w:pPr>
              <w:jc w:val="center"/>
              <w:rPr>
                <w:rFonts w:ascii="宋体"/>
                <w:color w:val="auto"/>
                <w:sz w:val="24"/>
                <w:highlight w:val="none"/>
              </w:rPr>
            </w:pPr>
          </w:p>
        </w:tc>
        <w:tc>
          <w:tcPr>
            <w:tcW w:w="3150" w:type="dxa"/>
            <w:vAlign w:val="center"/>
          </w:tcPr>
          <w:p w14:paraId="71FF4D09">
            <w:pPr>
              <w:jc w:val="center"/>
              <w:rPr>
                <w:rFonts w:ascii="宋体"/>
                <w:color w:val="auto"/>
                <w:sz w:val="24"/>
                <w:highlight w:val="none"/>
              </w:rPr>
            </w:pPr>
          </w:p>
        </w:tc>
        <w:tc>
          <w:tcPr>
            <w:tcW w:w="2730" w:type="dxa"/>
            <w:vAlign w:val="center"/>
          </w:tcPr>
          <w:p w14:paraId="155972CA">
            <w:pPr>
              <w:jc w:val="center"/>
              <w:rPr>
                <w:rFonts w:ascii="宋体"/>
                <w:color w:val="auto"/>
                <w:sz w:val="24"/>
                <w:highlight w:val="none"/>
              </w:rPr>
            </w:pPr>
          </w:p>
        </w:tc>
        <w:tc>
          <w:tcPr>
            <w:tcW w:w="1907" w:type="dxa"/>
            <w:vAlign w:val="center"/>
          </w:tcPr>
          <w:p w14:paraId="55DF1714">
            <w:pPr>
              <w:jc w:val="center"/>
              <w:rPr>
                <w:rFonts w:ascii="宋体"/>
                <w:color w:val="auto"/>
                <w:sz w:val="24"/>
                <w:highlight w:val="none"/>
              </w:rPr>
            </w:pPr>
          </w:p>
        </w:tc>
      </w:tr>
      <w:tr w14:paraId="2875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0D28416C">
            <w:pPr>
              <w:jc w:val="center"/>
              <w:rPr>
                <w:rFonts w:ascii="宋体"/>
                <w:color w:val="auto"/>
                <w:sz w:val="24"/>
                <w:highlight w:val="none"/>
              </w:rPr>
            </w:pPr>
          </w:p>
        </w:tc>
        <w:tc>
          <w:tcPr>
            <w:tcW w:w="3150" w:type="dxa"/>
            <w:vAlign w:val="center"/>
          </w:tcPr>
          <w:p w14:paraId="75240C6D">
            <w:pPr>
              <w:jc w:val="center"/>
              <w:rPr>
                <w:rFonts w:ascii="宋体"/>
                <w:color w:val="auto"/>
                <w:sz w:val="24"/>
                <w:highlight w:val="none"/>
              </w:rPr>
            </w:pPr>
          </w:p>
        </w:tc>
        <w:tc>
          <w:tcPr>
            <w:tcW w:w="2730" w:type="dxa"/>
            <w:vAlign w:val="center"/>
          </w:tcPr>
          <w:p w14:paraId="659B6C69">
            <w:pPr>
              <w:jc w:val="center"/>
              <w:rPr>
                <w:rFonts w:ascii="宋体"/>
                <w:color w:val="auto"/>
                <w:sz w:val="24"/>
                <w:highlight w:val="none"/>
              </w:rPr>
            </w:pPr>
          </w:p>
        </w:tc>
        <w:tc>
          <w:tcPr>
            <w:tcW w:w="1907" w:type="dxa"/>
            <w:vAlign w:val="center"/>
          </w:tcPr>
          <w:p w14:paraId="7C7EF0FB">
            <w:pPr>
              <w:jc w:val="center"/>
              <w:rPr>
                <w:rFonts w:ascii="宋体"/>
                <w:color w:val="auto"/>
                <w:sz w:val="24"/>
                <w:highlight w:val="none"/>
              </w:rPr>
            </w:pPr>
          </w:p>
        </w:tc>
      </w:tr>
      <w:tr w14:paraId="5525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073B46EB">
            <w:pPr>
              <w:jc w:val="center"/>
              <w:rPr>
                <w:rFonts w:ascii="宋体"/>
                <w:color w:val="auto"/>
                <w:sz w:val="24"/>
                <w:highlight w:val="none"/>
              </w:rPr>
            </w:pPr>
          </w:p>
        </w:tc>
        <w:tc>
          <w:tcPr>
            <w:tcW w:w="3150" w:type="dxa"/>
            <w:vAlign w:val="center"/>
          </w:tcPr>
          <w:p w14:paraId="5B67283B">
            <w:pPr>
              <w:jc w:val="center"/>
              <w:rPr>
                <w:rFonts w:ascii="宋体"/>
                <w:color w:val="auto"/>
                <w:sz w:val="24"/>
                <w:highlight w:val="none"/>
              </w:rPr>
            </w:pPr>
          </w:p>
        </w:tc>
        <w:tc>
          <w:tcPr>
            <w:tcW w:w="2730" w:type="dxa"/>
            <w:vAlign w:val="center"/>
          </w:tcPr>
          <w:p w14:paraId="21B6EE0B">
            <w:pPr>
              <w:jc w:val="center"/>
              <w:rPr>
                <w:rFonts w:ascii="宋体"/>
                <w:color w:val="auto"/>
                <w:sz w:val="24"/>
                <w:highlight w:val="none"/>
              </w:rPr>
            </w:pPr>
          </w:p>
        </w:tc>
        <w:tc>
          <w:tcPr>
            <w:tcW w:w="1907" w:type="dxa"/>
            <w:vAlign w:val="center"/>
          </w:tcPr>
          <w:p w14:paraId="23698189">
            <w:pPr>
              <w:jc w:val="center"/>
              <w:rPr>
                <w:rFonts w:ascii="宋体"/>
                <w:color w:val="auto"/>
                <w:sz w:val="24"/>
                <w:highlight w:val="none"/>
              </w:rPr>
            </w:pPr>
          </w:p>
        </w:tc>
      </w:tr>
      <w:tr w14:paraId="4861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38" w:type="dxa"/>
            <w:vAlign w:val="center"/>
          </w:tcPr>
          <w:p w14:paraId="29B79F88">
            <w:pPr>
              <w:jc w:val="center"/>
              <w:rPr>
                <w:rFonts w:ascii="宋体"/>
                <w:color w:val="auto"/>
                <w:sz w:val="24"/>
                <w:highlight w:val="none"/>
              </w:rPr>
            </w:pPr>
          </w:p>
        </w:tc>
        <w:tc>
          <w:tcPr>
            <w:tcW w:w="3150" w:type="dxa"/>
            <w:vAlign w:val="center"/>
          </w:tcPr>
          <w:p w14:paraId="12F298F6">
            <w:pPr>
              <w:jc w:val="center"/>
              <w:rPr>
                <w:rFonts w:ascii="宋体"/>
                <w:color w:val="auto"/>
                <w:sz w:val="24"/>
                <w:highlight w:val="none"/>
              </w:rPr>
            </w:pPr>
          </w:p>
        </w:tc>
        <w:tc>
          <w:tcPr>
            <w:tcW w:w="2730" w:type="dxa"/>
            <w:vAlign w:val="center"/>
          </w:tcPr>
          <w:p w14:paraId="03ECCE54">
            <w:pPr>
              <w:jc w:val="center"/>
              <w:rPr>
                <w:rFonts w:ascii="宋体"/>
                <w:color w:val="auto"/>
                <w:sz w:val="24"/>
                <w:highlight w:val="none"/>
              </w:rPr>
            </w:pPr>
          </w:p>
        </w:tc>
        <w:tc>
          <w:tcPr>
            <w:tcW w:w="1907" w:type="dxa"/>
            <w:vAlign w:val="center"/>
          </w:tcPr>
          <w:p w14:paraId="6AF82373">
            <w:pPr>
              <w:jc w:val="center"/>
              <w:rPr>
                <w:rFonts w:ascii="宋体"/>
                <w:color w:val="auto"/>
                <w:sz w:val="24"/>
                <w:highlight w:val="none"/>
              </w:rPr>
            </w:pPr>
          </w:p>
        </w:tc>
      </w:tr>
    </w:tbl>
    <w:p w14:paraId="75AA8031">
      <w:pPr>
        <w:spacing w:line="480" w:lineRule="exact"/>
        <w:rPr>
          <w:rFonts w:ascii="宋体"/>
          <w:color w:val="auto"/>
          <w:sz w:val="24"/>
          <w:highlight w:val="none"/>
        </w:rPr>
      </w:pPr>
      <w:r>
        <w:rPr>
          <w:rFonts w:hint="eastAsia" w:ascii="宋体"/>
          <w:color w:val="auto"/>
          <w:sz w:val="24"/>
          <w:highlight w:val="none"/>
        </w:rPr>
        <w:t>备注：根据</w:t>
      </w:r>
      <w:r>
        <w:rPr>
          <w:rFonts w:hint="eastAsia" w:ascii="宋体"/>
          <w:color w:val="auto"/>
          <w:sz w:val="24"/>
          <w:highlight w:val="none"/>
          <w:lang w:val="en-US" w:eastAsia="zh-CN"/>
        </w:rPr>
        <w:t>招标</w:t>
      </w:r>
      <w:r>
        <w:rPr>
          <w:rFonts w:hint="eastAsia" w:ascii="宋体"/>
          <w:color w:val="auto"/>
          <w:sz w:val="24"/>
          <w:highlight w:val="none"/>
        </w:rPr>
        <w:t>文件</w:t>
      </w:r>
      <w:r>
        <w:rPr>
          <w:rFonts w:hint="eastAsia" w:ascii="宋体"/>
          <w:color w:val="auto"/>
          <w:sz w:val="24"/>
          <w:highlight w:val="none"/>
          <w:lang w:eastAsia="zh-CN"/>
        </w:rPr>
        <w:t>“</w:t>
      </w:r>
      <w:r>
        <w:rPr>
          <w:rFonts w:hint="eastAsia" w:ascii="宋体"/>
          <w:color w:val="auto"/>
          <w:sz w:val="24"/>
          <w:highlight w:val="none"/>
        </w:rPr>
        <w:t>第</w:t>
      </w:r>
      <w:r>
        <w:rPr>
          <w:rFonts w:hint="eastAsia" w:ascii="宋体"/>
          <w:color w:val="auto"/>
          <w:sz w:val="24"/>
          <w:highlight w:val="none"/>
          <w:lang w:val="en-US" w:eastAsia="zh-CN"/>
        </w:rPr>
        <w:t>四</w:t>
      </w:r>
      <w:r>
        <w:rPr>
          <w:rFonts w:hint="eastAsia" w:ascii="宋体"/>
          <w:color w:val="auto"/>
          <w:sz w:val="24"/>
          <w:highlight w:val="none"/>
        </w:rPr>
        <w:t>部分</w:t>
      </w:r>
      <w:r>
        <w:rPr>
          <w:rFonts w:hint="eastAsia" w:ascii="宋体"/>
          <w:color w:val="auto"/>
          <w:sz w:val="24"/>
          <w:highlight w:val="none"/>
          <w:lang w:val="en-US" w:eastAsia="zh-CN"/>
        </w:rPr>
        <w:t xml:space="preserve"> 采购需求</w:t>
      </w:r>
      <w:r>
        <w:rPr>
          <w:rFonts w:hint="eastAsia" w:ascii="宋体"/>
          <w:color w:val="auto"/>
          <w:sz w:val="24"/>
          <w:highlight w:val="none"/>
          <w:lang w:eastAsia="zh-CN"/>
        </w:rPr>
        <w:t>”</w:t>
      </w:r>
      <w:r>
        <w:rPr>
          <w:rFonts w:hint="eastAsia" w:ascii="宋体"/>
          <w:color w:val="auto"/>
          <w:sz w:val="24"/>
          <w:highlight w:val="none"/>
          <w:lang w:val="en-US" w:eastAsia="zh-CN"/>
        </w:rPr>
        <w:t>中“一、商务要求表”</w:t>
      </w:r>
      <w:r>
        <w:rPr>
          <w:rFonts w:hint="eastAsia" w:ascii="宋体"/>
          <w:color w:val="auto"/>
          <w:sz w:val="24"/>
          <w:highlight w:val="none"/>
        </w:rPr>
        <w:t>的内容填写上表，有偏离（包括正偏离和负偏离）的必须逐条填写。若均无偏离则可在本表空白处醒目地注明“无条款偏离”的字样</w:t>
      </w:r>
      <w:r>
        <w:rPr>
          <w:rFonts w:hint="eastAsia" w:ascii="宋体"/>
          <w:color w:val="auto"/>
          <w:sz w:val="24"/>
          <w:highlight w:val="none"/>
          <w:lang w:eastAsia="zh-CN"/>
        </w:rPr>
        <w:t>。</w:t>
      </w:r>
    </w:p>
    <w:p w14:paraId="1C7968BA">
      <w:pPr>
        <w:rPr>
          <w:rFonts w:ascii="宋体"/>
          <w:color w:val="auto"/>
          <w:sz w:val="24"/>
          <w:highlight w:val="none"/>
        </w:rPr>
      </w:pPr>
    </w:p>
    <w:p w14:paraId="38D651FA">
      <w:pPr>
        <w:pStyle w:val="3"/>
        <w:spacing w:beforeLines="50" w:line="360" w:lineRule="exact"/>
        <w:ind w:firstLine="0"/>
        <w:rPr>
          <w:rFonts w:eastAsia="宋体"/>
          <w:color w:val="auto"/>
          <w:szCs w:val="24"/>
          <w:highlight w:val="none"/>
        </w:rPr>
      </w:pPr>
      <w:r>
        <w:rPr>
          <w:rFonts w:hint="eastAsia" w:eastAsia="宋体"/>
          <w:color w:val="auto"/>
          <w:szCs w:val="24"/>
          <w:highlight w:val="none"/>
        </w:rPr>
        <w:t>投标人单位（盖公章）：</w:t>
      </w:r>
    </w:p>
    <w:p w14:paraId="1038BB32">
      <w:pPr>
        <w:pStyle w:val="3"/>
        <w:spacing w:beforeLines="50" w:line="360" w:lineRule="exact"/>
        <w:ind w:firstLine="0"/>
        <w:rPr>
          <w:rFonts w:eastAsia="宋体"/>
          <w:color w:val="auto"/>
          <w:szCs w:val="24"/>
          <w:highlight w:val="none"/>
        </w:rPr>
      </w:pPr>
      <w:r>
        <w:rPr>
          <w:rFonts w:hint="eastAsia"/>
          <w:color w:val="auto"/>
          <w:highlight w:val="none"/>
        </w:rPr>
        <w:t>法定代表人或</w:t>
      </w:r>
      <w:r>
        <w:rPr>
          <w:rFonts w:hint="eastAsia" w:eastAsia="宋体"/>
          <w:color w:val="auto"/>
          <w:szCs w:val="24"/>
          <w:highlight w:val="none"/>
        </w:rPr>
        <w:t>被授权代表人（签字或盖章）：</w:t>
      </w:r>
    </w:p>
    <w:p w14:paraId="64CCD66E">
      <w:pPr>
        <w:spacing w:beforeLines="50"/>
        <w:rPr>
          <w:rFonts w:ascii="宋体"/>
          <w:color w:val="auto"/>
          <w:sz w:val="24"/>
          <w:highlight w:val="none"/>
          <w:u w:val="singl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3C713EC7">
      <w:pPr>
        <w:rPr>
          <w:rFonts w:ascii="宋体"/>
          <w:b/>
          <w:color w:val="auto"/>
          <w:sz w:val="28"/>
          <w:highlight w:val="none"/>
        </w:rPr>
      </w:pPr>
    </w:p>
    <w:p w14:paraId="1F0B52E0">
      <w:pPr>
        <w:rPr>
          <w:color w:val="auto"/>
          <w:sz w:val="24"/>
          <w:szCs w:val="24"/>
          <w:highlight w:val="none"/>
        </w:rPr>
      </w:pPr>
      <w:r>
        <w:rPr>
          <w:rFonts w:hint="eastAsia"/>
          <w:color w:val="auto"/>
          <w:sz w:val="24"/>
          <w:szCs w:val="24"/>
          <w:highlight w:val="none"/>
        </w:rPr>
        <w:t xml:space="preserve"> </w:t>
      </w:r>
    </w:p>
    <w:p w14:paraId="525EAD26">
      <w:pPr>
        <w:rPr>
          <w:color w:val="auto"/>
          <w:highlight w:val="none"/>
        </w:rPr>
      </w:pPr>
      <w:r>
        <w:rPr>
          <w:color w:val="auto"/>
          <w:highlight w:val="none"/>
        </w:rPr>
        <w:br w:type="page"/>
      </w:r>
    </w:p>
    <w:p w14:paraId="20219BB4">
      <w:pPr>
        <w:pStyle w:val="3"/>
        <w:ind w:firstLine="0"/>
        <w:jc w:val="center"/>
        <w:outlineLvl w:val="2"/>
        <w:rPr>
          <w:rFonts w:ascii="宋体" w:eastAsia="宋体"/>
          <w:b/>
          <w:color w:val="auto"/>
          <w:sz w:val="28"/>
          <w:highlight w:val="none"/>
        </w:rPr>
      </w:pPr>
      <w:r>
        <w:rPr>
          <w:rFonts w:hint="eastAsia" w:ascii="宋体" w:eastAsia="宋体"/>
          <w:b/>
          <w:color w:val="auto"/>
          <w:sz w:val="28"/>
          <w:highlight w:val="none"/>
        </w:rPr>
        <w:t>（4）法定代表人授权书或法定代表人身份证明</w:t>
      </w:r>
    </w:p>
    <w:p w14:paraId="1BB2B4EF">
      <w:pPr>
        <w:pStyle w:val="3"/>
        <w:ind w:firstLine="0"/>
        <w:jc w:val="center"/>
        <w:rPr>
          <w:rFonts w:ascii="宋体" w:eastAsia="宋体"/>
          <w:b/>
          <w:color w:val="auto"/>
          <w:sz w:val="28"/>
          <w:highlight w:val="none"/>
        </w:rPr>
      </w:pPr>
    </w:p>
    <w:p w14:paraId="07193362">
      <w:pPr>
        <w:pStyle w:val="3"/>
        <w:ind w:firstLine="0"/>
        <w:jc w:val="center"/>
        <w:rPr>
          <w:rFonts w:ascii="宋体" w:eastAsia="宋体"/>
          <w:b/>
          <w:color w:val="auto"/>
          <w:sz w:val="28"/>
          <w:highlight w:val="none"/>
        </w:rPr>
      </w:pPr>
      <w:r>
        <w:rPr>
          <w:rFonts w:hint="eastAsia" w:ascii="宋体" w:eastAsia="宋体"/>
          <w:b/>
          <w:color w:val="auto"/>
          <w:sz w:val="28"/>
          <w:highlight w:val="none"/>
        </w:rPr>
        <w:t>法定代表人授权书</w:t>
      </w:r>
    </w:p>
    <w:p w14:paraId="2C094787">
      <w:pPr>
        <w:pStyle w:val="3"/>
        <w:ind w:firstLine="0"/>
        <w:jc w:val="center"/>
        <w:rPr>
          <w:rFonts w:ascii="宋体" w:eastAsia="宋体"/>
          <w:color w:val="auto"/>
          <w:highlight w:val="none"/>
        </w:rPr>
      </w:pPr>
    </w:p>
    <w:p w14:paraId="54F459B0">
      <w:pPr>
        <w:pStyle w:val="3"/>
        <w:spacing w:line="440" w:lineRule="exact"/>
        <w:ind w:firstLine="0"/>
        <w:rPr>
          <w:rFonts w:ascii="宋体" w:eastAsia="宋体"/>
          <w:color w:val="auto"/>
          <w:highlight w:val="none"/>
        </w:rPr>
      </w:pPr>
      <w:r>
        <w:rPr>
          <w:rFonts w:hint="eastAsia" w:ascii="宋体" w:eastAsia="宋体"/>
          <w:color w:val="auto"/>
          <w:highlight w:val="none"/>
          <w:u w:val="single"/>
        </w:rPr>
        <w:t xml:space="preserve">  致 （</w:t>
      </w:r>
      <w:r>
        <w:rPr>
          <w:rFonts w:hint="eastAsia" w:ascii="宋体" w:eastAsia="宋体"/>
          <w:i/>
          <w:color w:val="auto"/>
          <w:highlight w:val="none"/>
          <w:u w:val="single"/>
        </w:rPr>
        <w:t>采购人</w:t>
      </w:r>
      <w:r>
        <w:rPr>
          <w:rFonts w:hint="eastAsia" w:ascii="宋体" w:eastAsia="宋体"/>
          <w:color w:val="auto"/>
          <w:highlight w:val="none"/>
          <w:u w:val="single"/>
        </w:rPr>
        <w:t xml:space="preserve">）               </w:t>
      </w:r>
      <w:r>
        <w:rPr>
          <w:rFonts w:hint="eastAsia" w:ascii="宋体" w:eastAsia="宋体"/>
          <w:color w:val="auto"/>
          <w:highlight w:val="none"/>
        </w:rPr>
        <w:t>：</w:t>
      </w:r>
    </w:p>
    <w:p w14:paraId="1E3A091F">
      <w:pPr>
        <w:pStyle w:val="3"/>
        <w:spacing w:line="440" w:lineRule="exact"/>
        <w:ind w:firstLine="0"/>
        <w:rPr>
          <w:rFonts w:ascii="宋体" w:eastAsia="宋体"/>
          <w:color w:val="auto"/>
          <w:highlight w:val="none"/>
        </w:rPr>
      </w:pPr>
    </w:p>
    <w:p w14:paraId="79EC4385">
      <w:pPr>
        <w:pStyle w:val="3"/>
        <w:spacing w:line="440" w:lineRule="exact"/>
        <w:ind w:firstLineChars="200"/>
        <w:rPr>
          <w:rFonts w:ascii="宋体" w:eastAsia="宋体"/>
          <w:color w:val="auto"/>
          <w:highlight w:val="none"/>
        </w:rPr>
      </w:pPr>
      <w:r>
        <w:rPr>
          <w:rFonts w:hint="eastAsia" w:ascii="宋体" w:eastAsia="宋体"/>
          <w:color w:val="auto"/>
          <w:highlight w:val="none"/>
          <w:u w:val="single"/>
        </w:rPr>
        <w:t xml:space="preserve">      （</w:t>
      </w:r>
      <w:r>
        <w:rPr>
          <w:rFonts w:hint="eastAsia" w:ascii="宋体" w:eastAsia="宋体"/>
          <w:i/>
          <w:color w:val="auto"/>
          <w:highlight w:val="none"/>
          <w:u w:val="single"/>
        </w:rPr>
        <w:t>投标人全称</w:t>
      </w:r>
      <w:r>
        <w:rPr>
          <w:rFonts w:hint="eastAsia" w:ascii="宋体" w:eastAsia="宋体"/>
          <w:color w:val="auto"/>
          <w:highlight w:val="none"/>
          <w:u w:val="single"/>
        </w:rPr>
        <w:t xml:space="preserve">）   </w:t>
      </w:r>
      <w:r>
        <w:rPr>
          <w:rFonts w:hint="eastAsia" w:ascii="宋体" w:eastAsia="宋体"/>
          <w:color w:val="auto"/>
          <w:highlight w:val="none"/>
        </w:rPr>
        <w:t>法定代表人</w:t>
      </w:r>
      <w:r>
        <w:rPr>
          <w:rFonts w:hint="eastAsia" w:ascii="宋体" w:eastAsia="宋体"/>
          <w:color w:val="auto"/>
          <w:highlight w:val="none"/>
          <w:u w:val="single"/>
        </w:rPr>
        <w:t xml:space="preserve">  </w:t>
      </w:r>
      <w:r>
        <w:rPr>
          <w:rFonts w:hint="eastAsia" w:ascii="宋体" w:eastAsia="宋体"/>
          <w:i/>
          <w:color w:val="auto"/>
          <w:highlight w:val="none"/>
          <w:u w:val="single"/>
        </w:rPr>
        <w:t>（姓名、职务）</w:t>
      </w:r>
      <w:r>
        <w:rPr>
          <w:rFonts w:hint="eastAsia" w:ascii="宋体" w:eastAsia="宋体"/>
          <w:color w:val="auto"/>
          <w:highlight w:val="none"/>
          <w:u w:val="single"/>
        </w:rPr>
        <w:t xml:space="preserve">  </w:t>
      </w:r>
      <w:r>
        <w:rPr>
          <w:rFonts w:hint="eastAsia" w:ascii="宋体" w:eastAsia="宋体"/>
          <w:color w:val="auto"/>
          <w:highlight w:val="none"/>
        </w:rPr>
        <w:t>授权</w:t>
      </w:r>
      <w:r>
        <w:rPr>
          <w:rFonts w:hint="eastAsia" w:ascii="宋体" w:eastAsia="宋体"/>
          <w:color w:val="auto"/>
          <w:highlight w:val="none"/>
          <w:u w:val="single"/>
        </w:rPr>
        <w:t xml:space="preserve">  （</w:t>
      </w:r>
      <w:r>
        <w:rPr>
          <w:rFonts w:hint="eastAsia" w:ascii="宋体" w:eastAsia="宋体"/>
          <w:i/>
          <w:color w:val="auto"/>
          <w:highlight w:val="none"/>
          <w:u w:val="single"/>
        </w:rPr>
        <w:t>被授权代表姓名、职务</w:t>
      </w:r>
      <w:r>
        <w:rPr>
          <w:rFonts w:hint="eastAsia" w:ascii="宋体" w:eastAsia="宋体"/>
          <w:color w:val="auto"/>
          <w:highlight w:val="none"/>
          <w:u w:val="single"/>
        </w:rPr>
        <w:t xml:space="preserve">）     </w:t>
      </w:r>
      <w:r>
        <w:rPr>
          <w:rFonts w:hint="eastAsia" w:ascii="宋体" w:eastAsia="宋体"/>
          <w:color w:val="auto"/>
          <w:highlight w:val="none"/>
        </w:rPr>
        <w:t>为本公司合法代理人，参加</w:t>
      </w:r>
      <w:r>
        <w:rPr>
          <w:rFonts w:hint="eastAsia" w:ascii="宋体" w:eastAsia="宋体"/>
          <w:i/>
          <w:color w:val="auto"/>
          <w:highlight w:val="none"/>
          <w:u w:val="single"/>
        </w:rPr>
        <w:t>（项目编号）</w:t>
      </w:r>
      <w:r>
        <w:rPr>
          <w:rFonts w:hint="eastAsia" w:ascii="宋体" w:eastAsia="宋体"/>
          <w:color w:val="auto"/>
          <w:highlight w:val="none"/>
          <w:u w:val="single"/>
        </w:rPr>
        <w:t xml:space="preserve"> (</w:t>
      </w:r>
      <w:r>
        <w:rPr>
          <w:rFonts w:hint="eastAsia" w:ascii="宋体" w:eastAsia="宋体"/>
          <w:i/>
          <w:color w:val="auto"/>
          <w:highlight w:val="none"/>
          <w:u w:val="single"/>
        </w:rPr>
        <w:t>项目名称</w:t>
      </w:r>
      <w:r>
        <w:rPr>
          <w:rFonts w:hint="eastAsia" w:ascii="宋体" w:eastAsia="宋体"/>
          <w:color w:val="auto"/>
          <w:highlight w:val="none"/>
          <w:u w:val="single"/>
        </w:rPr>
        <w:t xml:space="preserve">)   </w:t>
      </w:r>
      <w:r>
        <w:rPr>
          <w:rFonts w:hint="eastAsia" w:ascii="宋体" w:eastAsia="宋体"/>
          <w:color w:val="auto"/>
          <w:highlight w:val="none"/>
        </w:rPr>
        <w:t>项目的招标投标活动，代表本公司处理招标投标活动中的一切事宜。</w:t>
      </w:r>
    </w:p>
    <w:p w14:paraId="78A06773">
      <w:pPr>
        <w:pStyle w:val="3"/>
        <w:spacing w:line="440" w:lineRule="exact"/>
        <w:ind w:firstLine="0"/>
        <w:rPr>
          <w:rFonts w:ascii="宋体" w:eastAsia="宋体"/>
          <w:color w:val="auto"/>
          <w:highlight w:val="none"/>
          <w:u w:val="single"/>
        </w:rPr>
      </w:pPr>
      <w:r>
        <w:rPr>
          <w:rFonts w:hint="eastAsia" w:ascii="宋体" w:eastAsia="宋体"/>
          <w:color w:val="auto"/>
          <w:highlight w:val="none"/>
        </w:rPr>
        <w:t xml:space="preserve">     本授权书于</w:t>
      </w:r>
      <w:r>
        <w:rPr>
          <w:rFonts w:hint="eastAsia" w:ascii="宋体" w:eastAsia="宋体"/>
          <w:color w:val="auto"/>
          <w:highlight w:val="none"/>
          <w:u w:val="single"/>
        </w:rPr>
        <w:t xml:space="preserve">       年   月    日</w:t>
      </w:r>
      <w:r>
        <w:rPr>
          <w:rFonts w:hint="eastAsia" w:ascii="宋体" w:eastAsia="宋体"/>
          <w:color w:val="auto"/>
          <w:highlight w:val="none"/>
        </w:rPr>
        <w:t>签字生效,特此声明。</w:t>
      </w:r>
    </w:p>
    <w:p w14:paraId="008C77BB">
      <w:pPr>
        <w:pStyle w:val="3"/>
        <w:spacing w:line="440" w:lineRule="exact"/>
        <w:ind w:firstLine="0"/>
        <w:rPr>
          <w:rFonts w:ascii="宋体" w:eastAsia="宋体"/>
          <w:color w:val="auto"/>
          <w:highlight w:val="none"/>
        </w:rPr>
      </w:pPr>
    </w:p>
    <w:p w14:paraId="766FFEC3">
      <w:pPr>
        <w:pStyle w:val="3"/>
        <w:spacing w:line="440" w:lineRule="exact"/>
        <w:ind w:firstLine="0"/>
        <w:rPr>
          <w:rFonts w:ascii="宋体" w:eastAsia="宋体"/>
          <w:color w:val="auto"/>
          <w:highlight w:val="none"/>
        </w:rPr>
      </w:pPr>
      <w:r>
        <w:rPr>
          <w:rFonts w:hint="eastAsia" w:ascii="宋体" w:eastAsia="宋体"/>
          <w:color w:val="auto"/>
          <w:highlight w:val="none"/>
        </w:rPr>
        <w:t xml:space="preserve">                                          法定代表人（签字或盖章）：</w:t>
      </w:r>
    </w:p>
    <w:p w14:paraId="7A12160B">
      <w:pPr>
        <w:pStyle w:val="3"/>
        <w:spacing w:line="440" w:lineRule="exact"/>
        <w:ind w:firstLine="0"/>
        <w:rPr>
          <w:rFonts w:ascii="宋体" w:eastAsia="宋体"/>
          <w:color w:val="auto"/>
          <w:highlight w:val="none"/>
        </w:rPr>
      </w:pPr>
      <w:r>
        <w:rPr>
          <w:rFonts w:hint="eastAsia" w:ascii="宋体" w:eastAsia="宋体"/>
          <w:color w:val="auto"/>
          <w:highlight w:val="none"/>
        </w:rPr>
        <w:t xml:space="preserve">                                          投标人单位（公章）：</w:t>
      </w:r>
    </w:p>
    <w:p w14:paraId="085F8C12">
      <w:pPr>
        <w:pStyle w:val="3"/>
        <w:spacing w:line="440" w:lineRule="exact"/>
        <w:ind w:firstLine="0"/>
        <w:rPr>
          <w:rFonts w:ascii="宋体" w:eastAsia="宋体"/>
          <w:color w:val="auto"/>
          <w:highlight w:val="none"/>
        </w:rPr>
      </w:pPr>
      <w:r>
        <w:rPr>
          <w:rFonts w:hint="eastAsia" w:ascii="宋体" w:eastAsia="宋体"/>
          <w:color w:val="auto"/>
          <w:highlight w:val="none"/>
        </w:rPr>
        <w:t xml:space="preserve">                                          日  期：</w:t>
      </w:r>
    </w:p>
    <w:p w14:paraId="6DDDC83F">
      <w:pPr>
        <w:pStyle w:val="3"/>
        <w:spacing w:line="400" w:lineRule="exact"/>
        <w:ind w:firstLine="0"/>
        <w:rPr>
          <w:rFonts w:ascii="宋体" w:eastAsia="宋体"/>
          <w:color w:val="auto"/>
          <w:highlight w:val="none"/>
        </w:rPr>
      </w:pPr>
    </w:p>
    <w:p w14:paraId="44F42383">
      <w:pPr>
        <w:pStyle w:val="3"/>
        <w:spacing w:line="400" w:lineRule="exact"/>
        <w:ind w:firstLine="0"/>
        <w:rPr>
          <w:rFonts w:ascii="宋体" w:eastAsia="宋体"/>
          <w:color w:val="auto"/>
          <w:highlight w:val="none"/>
        </w:rPr>
      </w:pPr>
      <w:r>
        <w:rPr>
          <w:rFonts w:hint="eastAsia" w:ascii="宋体" w:eastAsia="宋体"/>
          <w:color w:val="auto"/>
          <w:highlight w:val="none"/>
        </w:rPr>
        <w:t>附：</w:t>
      </w:r>
    </w:p>
    <w:p w14:paraId="6381BC7B">
      <w:pPr>
        <w:pStyle w:val="3"/>
        <w:spacing w:line="400" w:lineRule="exact"/>
        <w:ind w:firstLine="235"/>
        <w:rPr>
          <w:rFonts w:ascii="宋体" w:eastAsia="宋体"/>
          <w:color w:val="auto"/>
          <w:highlight w:val="none"/>
        </w:rPr>
      </w:pPr>
      <w:r>
        <w:rPr>
          <w:rFonts w:hint="eastAsia" w:ascii="宋体" w:eastAsia="宋体"/>
          <w:color w:val="auto"/>
          <w:highlight w:val="none"/>
        </w:rPr>
        <w:t>被授权代表人（签字或盖章）：</w:t>
      </w:r>
    </w:p>
    <w:p w14:paraId="3AB9C91A">
      <w:pPr>
        <w:pStyle w:val="3"/>
        <w:spacing w:line="400" w:lineRule="exact"/>
        <w:ind w:firstLine="0"/>
        <w:rPr>
          <w:rFonts w:ascii="宋体" w:eastAsia="宋体"/>
          <w:color w:val="auto"/>
          <w:highlight w:val="none"/>
        </w:rPr>
      </w:pPr>
      <w:r>
        <w:rPr>
          <w:rFonts w:hint="eastAsia" w:ascii="宋体" w:eastAsia="宋体"/>
          <w:color w:val="auto"/>
          <w:highlight w:val="none"/>
        </w:rPr>
        <w:t xml:space="preserve">  电    话：</w:t>
      </w:r>
    </w:p>
    <w:p w14:paraId="5AE78E78">
      <w:pPr>
        <w:pStyle w:val="3"/>
        <w:spacing w:line="400" w:lineRule="exact"/>
        <w:ind w:firstLine="0"/>
        <w:rPr>
          <w:rFonts w:ascii="宋体" w:eastAsia="宋体"/>
          <w:color w:val="auto"/>
          <w:highlight w:val="none"/>
        </w:rPr>
      </w:pPr>
    </w:p>
    <w:p w14:paraId="08737229">
      <w:pPr>
        <w:pStyle w:val="3"/>
        <w:spacing w:line="400" w:lineRule="exact"/>
        <w:ind w:firstLine="0"/>
        <w:rPr>
          <w:rFonts w:ascii="宋体" w:eastAsia="宋体"/>
          <w:b/>
          <w:color w:val="auto"/>
          <w:highlight w:val="none"/>
        </w:rPr>
      </w:pPr>
      <w:r>
        <w:rPr>
          <w:rFonts w:hint="eastAsia" w:ascii="宋体" w:eastAsia="宋体"/>
          <w:b/>
          <w:color w:val="auto"/>
          <w:highlight w:val="none"/>
        </w:rPr>
        <w:t>附：法定代表人和被授权代表的身份证复印件。</w:t>
      </w:r>
    </w:p>
    <w:p w14:paraId="693B5655">
      <w:pPr>
        <w:pStyle w:val="3"/>
        <w:spacing w:line="400" w:lineRule="exact"/>
        <w:ind w:firstLine="0"/>
        <w:rPr>
          <w:rFonts w:ascii="宋体" w:eastAsia="宋体"/>
          <w:b/>
          <w:color w:val="auto"/>
          <w:highlight w:val="none"/>
        </w:rPr>
      </w:pPr>
    </w:p>
    <w:p w14:paraId="498ABE63">
      <w:pPr>
        <w:pStyle w:val="3"/>
        <w:spacing w:line="400" w:lineRule="exact"/>
        <w:ind w:firstLine="0"/>
        <w:rPr>
          <w:rFonts w:ascii="宋体" w:eastAsia="宋体"/>
          <w:b/>
          <w:color w:val="auto"/>
          <w:highlight w:val="none"/>
          <w:u w:val="single"/>
        </w:rPr>
      </w:pPr>
      <w:r>
        <w:rPr>
          <w:rFonts w:hint="eastAsia" w:ascii="宋体" w:eastAsia="宋体"/>
          <w:b/>
          <w:color w:val="auto"/>
          <w:highlight w:val="none"/>
          <w:u w:val="single"/>
        </w:rPr>
        <w:t>注：如法定代表人参加投标并签署投标文件的，无需提供此授权书，只需提供法定代表人身份证复印件即可。</w:t>
      </w:r>
    </w:p>
    <w:p w14:paraId="704055FE">
      <w:pPr>
        <w:pStyle w:val="3"/>
        <w:spacing w:line="400" w:lineRule="exact"/>
        <w:ind w:firstLine="0"/>
        <w:rPr>
          <w:rFonts w:ascii="宋体" w:eastAsia="宋体"/>
          <w:b/>
          <w:color w:val="auto"/>
          <w:highlight w:val="none"/>
          <w:u w:val="single"/>
        </w:rPr>
        <w:sectPr>
          <w:headerReference r:id="rId14" w:type="default"/>
          <w:footerReference r:id="rId15" w:type="default"/>
          <w:pgSz w:w="11907" w:h="16840"/>
          <w:pgMar w:top="1304" w:right="1588" w:bottom="1304" w:left="1588" w:header="720" w:footer="720" w:gutter="0"/>
          <w:pgBorders>
            <w:top w:val="none" w:sz="0" w:space="0"/>
            <w:left w:val="none" w:sz="0" w:space="0"/>
            <w:bottom w:val="none" w:sz="0" w:space="0"/>
            <w:right w:val="none" w:sz="0" w:space="0"/>
          </w:pgBorders>
          <w:cols w:space="720" w:num="1"/>
          <w:docGrid w:linePitch="285" w:charSpace="0"/>
        </w:sectPr>
      </w:pPr>
    </w:p>
    <w:p w14:paraId="30731C7A">
      <w:pPr>
        <w:jc w:val="center"/>
        <w:outlineLvl w:val="2"/>
        <w:rPr>
          <w:rFonts w:ascii="宋体"/>
          <w:b/>
          <w:color w:val="auto"/>
          <w:sz w:val="28"/>
          <w:highlight w:val="none"/>
        </w:rPr>
      </w:pPr>
      <w:r>
        <w:rPr>
          <w:rFonts w:hint="eastAsia" w:ascii="宋体"/>
          <w:b/>
          <w:color w:val="auto"/>
          <w:sz w:val="28"/>
          <w:highlight w:val="none"/>
        </w:rPr>
        <w:t>（5）</w:t>
      </w:r>
      <w:r>
        <w:rPr>
          <w:rFonts w:hint="eastAsia" w:ascii="宋体"/>
          <w:b/>
          <w:color w:val="auto"/>
          <w:sz w:val="28"/>
          <w:highlight w:val="none"/>
          <w:lang w:val="en-US" w:eastAsia="zh-CN"/>
        </w:rPr>
        <w:t>服务</w:t>
      </w:r>
      <w:r>
        <w:rPr>
          <w:rFonts w:hint="eastAsia" w:ascii="宋体"/>
          <w:b/>
          <w:color w:val="auto"/>
          <w:sz w:val="28"/>
          <w:highlight w:val="none"/>
        </w:rPr>
        <w:t>方案</w:t>
      </w:r>
    </w:p>
    <w:p w14:paraId="5193F406">
      <w:pPr>
        <w:jc w:val="center"/>
        <w:rPr>
          <w:rFonts w:ascii="宋体"/>
          <w:color w:val="auto"/>
          <w:sz w:val="24"/>
          <w:szCs w:val="24"/>
          <w:highlight w:val="none"/>
        </w:rPr>
      </w:pPr>
    </w:p>
    <w:p w14:paraId="6BA5EFE1">
      <w:pPr>
        <w:jc w:val="center"/>
        <w:rPr>
          <w:rFonts w:ascii="宋体"/>
          <w:color w:val="auto"/>
          <w:sz w:val="24"/>
          <w:szCs w:val="24"/>
          <w:highlight w:val="none"/>
        </w:rPr>
      </w:pPr>
      <w:r>
        <w:rPr>
          <w:rFonts w:hint="eastAsia" w:ascii="宋体"/>
          <w:color w:val="auto"/>
          <w:sz w:val="24"/>
          <w:szCs w:val="24"/>
          <w:highlight w:val="none"/>
        </w:rPr>
        <w:t>（根据招标文件要求提供，格式自拟）</w:t>
      </w:r>
    </w:p>
    <w:p w14:paraId="311DAB17">
      <w:pPr>
        <w:rPr>
          <w:rFonts w:ascii="宋体"/>
          <w:b/>
          <w:color w:val="auto"/>
          <w:sz w:val="28"/>
          <w:highlight w:val="none"/>
        </w:rPr>
      </w:pPr>
    </w:p>
    <w:p w14:paraId="217512A7">
      <w:pPr>
        <w:rPr>
          <w:rFonts w:ascii="宋体"/>
          <w:b/>
          <w:color w:val="auto"/>
          <w:sz w:val="28"/>
          <w:highlight w:val="none"/>
        </w:rPr>
      </w:pPr>
    </w:p>
    <w:p w14:paraId="30BB28C0">
      <w:pPr>
        <w:rPr>
          <w:rFonts w:ascii="宋体"/>
          <w:b/>
          <w:color w:val="auto"/>
          <w:sz w:val="28"/>
          <w:highlight w:val="none"/>
        </w:rPr>
      </w:pPr>
    </w:p>
    <w:p w14:paraId="1296C387">
      <w:pPr>
        <w:rPr>
          <w:rFonts w:ascii="宋体"/>
          <w:b/>
          <w:color w:val="auto"/>
          <w:sz w:val="28"/>
          <w:highlight w:val="none"/>
        </w:rPr>
      </w:pPr>
    </w:p>
    <w:p w14:paraId="5243A0BB">
      <w:pPr>
        <w:rPr>
          <w:rFonts w:ascii="宋体"/>
          <w:b/>
          <w:color w:val="auto"/>
          <w:sz w:val="28"/>
          <w:highlight w:val="none"/>
        </w:rPr>
      </w:pPr>
      <w:r>
        <w:rPr>
          <w:rFonts w:ascii="宋体"/>
          <w:b/>
          <w:color w:val="auto"/>
          <w:sz w:val="28"/>
          <w:highlight w:val="none"/>
        </w:rPr>
        <w:br w:type="page"/>
      </w:r>
    </w:p>
    <w:p w14:paraId="67BA6A75">
      <w:pPr>
        <w:pStyle w:val="3"/>
        <w:spacing w:line="520" w:lineRule="exact"/>
        <w:ind w:firstLine="0"/>
        <w:jc w:val="center"/>
        <w:outlineLvl w:val="2"/>
        <w:rPr>
          <w:rFonts w:ascii="宋体" w:eastAsia="宋体"/>
          <w:b/>
          <w:color w:val="auto"/>
          <w:sz w:val="28"/>
          <w:highlight w:val="none"/>
        </w:rPr>
      </w:pPr>
      <w:r>
        <w:rPr>
          <w:rFonts w:hint="eastAsia" w:ascii="宋体" w:eastAsia="宋体"/>
          <w:b/>
          <w:color w:val="auto"/>
          <w:sz w:val="28"/>
          <w:highlight w:val="none"/>
        </w:rPr>
        <w:t>（</w:t>
      </w:r>
      <w:r>
        <w:rPr>
          <w:rFonts w:hint="eastAsia" w:ascii="宋体" w:eastAsia="宋体"/>
          <w:b/>
          <w:color w:val="auto"/>
          <w:sz w:val="28"/>
          <w:highlight w:val="none"/>
          <w:lang w:val="en-US" w:eastAsia="zh-CN"/>
        </w:rPr>
        <w:t>6</w:t>
      </w:r>
      <w:r>
        <w:rPr>
          <w:rFonts w:hint="eastAsia" w:ascii="宋体" w:eastAsia="宋体"/>
          <w:b/>
          <w:color w:val="auto"/>
          <w:sz w:val="28"/>
          <w:highlight w:val="none"/>
        </w:rPr>
        <w:t>）招标文件要求或投标人认为需要提供的其他资料</w:t>
      </w:r>
    </w:p>
    <w:p w14:paraId="429FAB7F">
      <w:pPr>
        <w:outlineLvl w:val="9"/>
        <w:rPr>
          <w:rFonts w:ascii="宋体"/>
          <w:b/>
          <w:color w:val="auto"/>
          <w:sz w:val="28"/>
          <w:highlight w:val="none"/>
        </w:rPr>
      </w:pPr>
    </w:p>
    <w:p w14:paraId="74D79A0B">
      <w:pPr>
        <w:pStyle w:val="28"/>
        <w:rPr>
          <w:color w:val="auto"/>
          <w:highlight w:val="none"/>
        </w:rPr>
      </w:pPr>
    </w:p>
    <w:p w14:paraId="58E0EA2F">
      <w:pPr>
        <w:pStyle w:val="28"/>
        <w:rPr>
          <w:rFonts w:ascii="宋体"/>
          <w:b/>
          <w:color w:val="auto"/>
          <w:sz w:val="28"/>
          <w:highlight w:val="none"/>
        </w:rPr>
      </w:pPr>
    </w:p>
    <w:p w14:paraId="7EC6D07F">
      <w:pPr>
        <w:rPr>
          <w:color w:val="auto"/>
          <w:highlight w:val="none"/>
        </w:rPr>
      </w:pPr>
    </w:p>
    <w:p w14:paraId="41E39894">
      <w:pPr>
        <w:pStyle w:val="3"/>
        <w:spacing w:line="480" w:lineRule="auto"/>
        <w:ind w:firstLine="0"/>
        <w:rPr>
          <w:rFonts w:ascii="宋体" w:eastAsia="宋体"/>
          <w:b/>
          <w:color w:val="auto"/>
          <w:sz w:val="28"/>
          <w:highlight w:val="none"/>
        </w:rPr>
      </w:pPr>
    </w:p>
    <w:bookmarkEnd w:id="2"/>
    <w:p w14:paraId="533F451F">
      <w:pPr>
        <w:pStyle w:val="10"/>
        <w:rPr>
          <w:color w:val="auto"/>
          <w:highlight w:val="none"/>
        </w:rPr>
      </w:pPr>
    </w:p>
    <w:p w14:paraId="267CD198">
      <w:pPr>
        <w:pStyle w:val="3"/>
        <w:spacing w:line="520" w:lineRule="exact"/>
        <w:ind w:firstLine="0"/>
        <w:jc w:val="center"/>
        <w:rPr>
          <w:rFonts w:ascii="宋体" w:eastAsia="宋体"/>
          <w:b/>
          <w:color w:val="auto"/>
          <w:sz w:val="28"/>
          <w:highlight w:val="none"/>
        </w:rPr>
      </w:pPr>
    </w:p>
    <w:p w14:paraId="35B27917">
      <w:pPr>
        <w:rPr>
          <w:rFonts w:ascii="宋体"/>
          <w:b/>
          <w:color w:val="auto"/>
          <w:sz w:val="28"/>
          <w:highlight w:val="none"/>
        </w:rPr>
      </w:pPr>
      <w:r>
        <w:rPr>
          <w:rFonts w:hint="eastAsia" w:ascii="宋体"/>
          <w:b/>
          <w:color w:val="auto"/>
          <w:sz w:val="28"/>
          <w:highlight w:val="none"/>
        </w:rPr>
        <w:br w:type="page"/>
      </w:r>
    </w:p>
    <w:p w14:paraId="07449A05">
      <w:pPr>
        <w:pStyle w:val="3"/>
        <w:spacing w:line="500" w:lineRule="exact"/>
        <w:ind w:firstLine="0"/>
        <w:outlineLvl w:val="1"/>
        <w:rPr>
          <w:rFonts w:ascii="宋体" w:eastAsia="宋体"/>
          <w:b/>
          <w:color w:val="auto"/>
          <w:sz w:val="28"/>
          <w:highlight w:val="none"/>
        </w:rPr>
      </w:pPr>
      <w:r>
        <w:rPr>
          <w:rFonts w:hint="eastAsia" w:ascii="宋体" w:eastAsia="宋体"/>
          <w:b/>
          <w:color w:val="auto"/>
          <w:sz w:val="28"/>
          <w:highlight w:val="none"/>
        </w:rPr>
        <w:t xml:space="preserve">（三）报价文件 </w:t>
      </w:r>
    </w:p>
    <w:p w14:paraId="3AFD03B3">
      <w:pPr>
        <w:pStyle w:val="3"/>
        <w:spacing w:line="500" w:lineRule="exact"/>
        <w:ind w:firstLine="0"/>
        <w:rPr>
          <w:rFonts w:ascii="宋体" w:eastAsia="宋体"/>
          <w:b/>
          <w:color w:val="auto"/>
          <w:sz w:val="28"/>
          <w:highlight w:val="none"/>
        </w:rPr>
      </w:pPr>
    </w:p>
    <w:p w14:paraId="2A36F685">
      <w:pPr>
        <w:pStyle w:val="3"/>
        <w:jc w:val="center"/>
        <w:outlineLvl w:val="2"/>
        <w:rPr>
          <w:rFonts w:ascii="宋体"/>
          <w:b/>
          <w:color w:val="auto"/>
          <w:sz w:val="28"/>
          <w:highlight w:val="none"/>
        </w:rPr>
      </w:pPr>
      <w:r>
        <w:rPr>
          <w:rFonts w:hint="eastAsia" w:ascii="宋体"/>
          <w:b/>
          <w:color w:val="auto"/>
          <w:sz w:val="28"/>
          <w:highlight w:val="none"/>
        </w:rPr>
        <w:t>（1）开标一览表</w:t>
      </w:r>
    </w:p>
    <w:p w14:paraId="78E53AE0">
      <w:pPr>
        <w:pStyle w:val="3"/>
        <w:spacing w:line="320" w:lineRule="exact"/>
        <w:rPr>
          <w:color w:val="auto"/>
          <w:szCs w:val="24"/>
          <w:highlight w:val="none"/>
        </w:rPr>
      </w:pPr>
    </w:p>
    <w:p w14:paraId="2247EC37">
      <w:pPr>
        <w:pStyle w:val="3"/>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07D766A5">
      <w:pPr>
        <w:pStyle w:val="3"/>
        <w:spacing w:line="320" w:lineRule="exact"/>
        <w:ind w:firstLine="0"/>
        <w:rPr>
          <w:color w:val="auto"/>
          <w:szCs w:val="24"/>
          <w:highlight w:val="none"/>
          <w:u w:val="single"/>
        </w:rPr>
      </w:pPr>
    </w:p>
    <w:tbl>
      <w:tblPr>
        <w:tblStyle w:val="32"/>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0"/>
        <w:gridCol w:w="4077"/>
      </w:tblGrid>
      <w:tr w14:paraId="0E36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6D678C96">
            <w:pPr>
              <w:pStyle w:val="3"/>
              <w:spacing w:line="320" w:lineRule="exact"/>
              <w:ind w:firstLine="0"/>
              <w:jc w:val="center"/>
              <w:rPr>
                <w:rFonts w:hint="default" w:eastAsia="宋体"/>
                <w:color w:val="auto"/>
                <w:szCs w:val="24"/>
                <w:highlight w:val="none"/>
                <w:lang w:val="en-US" w:eastAsia="zh-CN"/>
              </w:rPr>
            </w:pPr>
            <w:r>
              <w:rPr>
                <w:rFonts w:hint="eastAsia" w:eastAsia="宋体"/>
                <w:color w:val="auto"/>
                <w:szCs w:val="24"/>
                <w:highlight w:val="none"/>
                <w:lang w:val="en-US" w:eastAsia="zh-CN"/>
              </w:rPr>
              <w:t>项目名称</w:t>
            </w:r>
          </w:p>
        </w:tc>
        <w:tc>
          <w:tcPr>
            <w:tcW w:w="4077" w:type="dxa"/>
            <w:tcBorders>
              <w:top w:val="single" w:color="auto" w:sz="4" w:space="0"/>
              <w:left w:val="single" w:color="auto" w:sz="4" w:space="0"/>
              <w:bottom w:val="single" w:color="auto" w:sz="4" w:space="0"/>
              <w:right w:val="single" w:color="auto" w:sz="4" w:space="0"/>
            </w:tcBorders>
            <w:vAlign w:val="center"/>
          </w:tcPr>
          <w:p w14:paraId="12E7C4EC">
            <w:pPr>
              <w:pStyle w:val="3"/>
              <w:spacing w:line="320" w:lineRule="exact"/>
              <w:ind w:firstLine="0"/>
              <w:jc w:val="center"/>
              <w:rPr>
                <w:rFonts w:eastAsia="宋体"/>
                <w:color w:val="auto"/>
                <w:szCs w:val="24"/>
                <w:highlight w:val="none"/>
              </w:rPr>
            </w:pPr>
          </w:p>
        </w:tc>
      </w:tr>
      <w:tr w14:paraId="7B8C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740" w:type="dxa"/>
            <w:tcBorders>
              <w:top w:val="single" w:color="auto" w:sz="4" w:space="0"/>
              <w:left w:val="single" w:color="auto" w:sz="4" w:space="0"/>
              <w:bottom w:val="single" w:color="auto" w:sz="4" w:space="0"/>
              <w:right w:val="single" w:color="auto" w:sz="4" w:space="0"/>
            </w:tcBorders>
            <w:vAlign w:val="center"/>
          </w:tcPr>
          <w:p w14:paraId="1F57E7E2">
            <w:pPr>
              <w:pStyle w:val="3"/>
              <w:spacing w:line="320" w:lineRule="exact"/>
              <w:ind w:firstLine="0"/>
              <w:jc w:val="center"/>
              <w:rPr>
                <w:rFonts w:eastAsia="宋体"/>
                <w:color w:val="auto"/>
                <w:szCs w:val="24"/>
                <w:highlight w:val="none"/>
              </w:rPr>
            </w:pPr>
            <w:r>
              <w:rPr>
                <w:rFonts w:eastAsia="宋体"/>
                <w:color w:val="auto"/>
                <w:szCs w:val="24"/>
                <w:highlight w:val="none"/>
              </w:rPr>
              <w:t>投标</w:t>
            </w:r>
            <w:r>
              <w:rPr>
                <w:rFonts w:hint="eastAsia" w:eastAsia="宋体"/>
                <w:color w:val="auto"/>
                <w:szCs w:val="24"/>
                <w:highlight w:val="none"/>
              </w:rPr>
              <w:t>总价（小写）</w:t>
            </w:r>
            <w:r>
              <w:rPr>
                <w:rFonts w:eastAsia="宋体"/>
                <w:color w:val="auto"/>
                <w:szCs w:val="24"/>
                <w:highlight w:val="none"/>
              </w:rPr>
              <w:t>（人民币元）</w:t>
            </w:r>
          </w:p>
        </w:tc>
        <w:tc>
          <w:tcPr>
            <w:tcW w:w="4077" w:type="dxa"/>
            <w:tcBorders>
              <w:top w:val="single" w:color="auto" w:sz="4" w:space="0"/>
              <w:left w:val="single" w:color="auto" w:sz="4" w:space="0"/>
              <w:bottom w:val="single" w:color="auto" w:sz="4" w:space="0"/>
              <w:right w:val="single" w:color="auto" w:sz="4" w:space="0"/>
            </w:tcBorders>
            <w:vAlign w:val="center"/>
          </w:tcPr>
          <w:p w14:paraId="183D222A">
            <w:pPr>
              <w:pStyle w:val="3"/>
              <w:spacing w:line="320" w:lineRule="exact"/>
              <w:ind w:firstLine="0"/>
              <w:jc w:val="center"/>
              <w:rPr>
                <w:rFonts w:eastAsia="宋体"/>
                <w:color w:val="auto"/>
                <w:szCs w:val="24"/>
                <w:highlight w:val="none"/>
              </w:rPr>
            </w:pPr>
          </w:p>
        </w:tc>
      </w:tr>
      <w:tr w14:paraId="1005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14:paraId="0B3E5A1A">
            <w:pPr>
              <w:pStyle w:val="3"/>
              <w:spacing w:line="320" w:lineRule="exact"/>
              <w:ind w:firstLine="0"/>
              <w:jc w:val="center"/>
              <w:rPr>
                <w:rFonts w:eastAsia="宋体"/>
                <w:color w:val="auto"/>
                <w:szCs w:val="24"/>
                <w:highlight w:val="none"/>
              </w:rPr>
            </w:pPr>
            <w:r>
              <w:rPr>
                <w:rFonts w:eastAsia="宋体"/>
                <w:color w:val="auto"/>
                <w:szCs w:val="24"/>
                <w:highlight w:val="none"/>
              </w:rPr>
              <w:t>投标总价（大写）（人民币元）</w:t>
            </w:r>
          </w:p>
        </w:tc>
        <w:tc>
          <w:tcPr>
            <w:tcW w:w="4077" w:type="dxa"/>
            <w:tcBorders>
              <w:top w:val="single" w:color="auto" w:sz="4" w:space="0"/>
              <w:left w:val="single" w:color="auto" w:sz="4" w:space="0"/>
              <w:bottom w:val="single" w:color="auto" w:sz="4" w:space="0"/>
              <w:right w:val="single" w:color="auto" w:sz="4" w:space="0"/>
            </w:tcBorders>
            <w:vAlign w:val="center"/>
          </w:tcPr>
          <w:p w14:paraId="593A97B0">
            <w:pPr>
              <w:pStyle w:val="3"/>
              <w:spacing w:line="320" w:lineRule="exact"/>
              <w:ind w:firstLine="0"/>
              <w:jc w:val="center"/>
              <w:rPr>
                <w:rFonts w:eastAsia="宋体"/>
                <w:color w:val="auto"/>
                <w:szCs w:val="24"/>
                <w:highlight w:val="none"/>
              </w:rPr>
            </w:pPr>
          </w:p>
        </w:tc>
      </w:tr>
      <w:tr w14:paraId="356D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14:paraId="3889FC97">
            <w:pPr>
              <w:pStyle w:val="3"/>
              <w:spacing w:line="320" w:lineRule="exact"/>
              <w:ind w:firstLine="0"/>
              <w:jc w:val="center"/>
              <w:rPr>
                <w:rFonts w:hint="eastAsia" w:eastAsia="宋体"/>
                <w:color w:val="auto"/>
                <w:szCs w:val="24"/>
                <w:highlight w:val="none"/>
                <w:lang w:val="en-US" w:eastAsia="zh-CN"/>
              </w:rPr>
            </w:pPr>
            <w:r>
              <w:rPr>
                <w:rFonts w:hint="eastAsia" w:eastAsia="宋体"/>
                <w:color w:val="auto"/>
                <w:szCs w:val="24"/>
                <w:highlight w:val="none"/>
                <w:lang w:val="en-US" w:eastAsia="zh-CN"/>
              </w:rPr>
              <w:t>服务期限</w:t>
            </w:r>
          </w:p>
        </w:tc>
        <w:tc>
          <w:tcPr>
            <w:tcW w:w="4077" w:type="dxa"/>
            <w:tcBorders>
              <w:top w:val="single" w:color="auto" w:sz="4" w:space="0"/>
              <w:left w:val="single" w:color="auto" w:sz="4" w:space="0"/>
              <w:bottom w:val="single" w:color="auto" w:sz="4" w:space="0"/>
              <w:right w:val="single" w:color="auto" w:sz="4" w:space="0"/>
            </w:tcBorders>
            <w:vAlign w:val="center"/>
          </w:tcPr>
          <w:p w14:paraId="7967A848">
            <w:pPr>
              <w:pStyle w:val="3"/>
              <w:spacing w:line="320" w:lineRule="exact"/>
              <w:ind w:firstLine="0"/>
              <w:jc w:val="center"/>
              <w:rPr>
                <w:rFonts w:eastAsia="宋体"/>
                <w:color w:val="auto"/>
                <w:szCs w:val="24"/>
                <w:highlight w:val="none"/>
              </w:rPr>
            </w:pPr>
          </w:p>
        </w:tc>
      </w:tr>
      <w:tr w14:paraId="05E2A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4740" w:type="dxa"/>
            <w:tcBorders>
              <w:top w:val="single" w:color="auto" w:sz="4" w:space="0"/>
              <w:left w:val="single" w:color="auto" w:sz="4" w:space="0"/>
              <w:bottom w:val="single" w:color="auto" w:sz="4" w:space="0"/>
              <w:right w:val="single" w:color="auto" w:sz="4" w:space="0"/>
            </w:tcBorders>
            <w:vAlign w:val="center"/>
          </w:tcPr>
          <w:p w14:paraId="337DA79A">
            <w:pPr>
              <w:pStyle w:val="3"/>
              <w:spacing w:line="320" w:lineRule="exact"/>
              <w:ind w:firstLine="0"/>
              <w:jc w:val="center"/>
              <w:rPr>
                <w:rFonts w:hint="default" w:eastAsia="宋体"/>
                <w:color w:val="auto"/>
                <w:szCs w:val="24"/>
                <w:highlight w:val="none"/>
                <w:lang w:val="en-US" w:eastAsia="zh-CN"/>
              </w:rPr>
            </w:pPr>
            <w:r>
              <w:rPr>
                <w:rFonts w:hint="eastAsia" w:eastAsia="宋体"/>
                <w:color w:val="auto"/>
                <w:szCs w:val="24"/>
                <w:highlight w:val="none"/>
                <w:lang w:val="en-US" w:eastAsia="zh-CN"/>
              </w:rPr>
              <w:t>备注</w:t>
            </w:r>
          </w:p>
        </w:tc>
        <w:tc>
          <w:tcPr>
            <w:tcW w:w="4077" w:type="dxa"/>
            <w:tcBorders>
              <w:top w:val="single" w:color="auto" w:sz="4" w:space="0"/>
              <w:left w:val="single" w:color="auto" w:sz="4" w:space="0"/>
              <w:bottom w:val="single" w:color="auto" w:sz="4" w:space="0"/>
              <w:right w:val="single" w:color="auto" w:sz="4" w:space="0"/>
            </w:tcBorders>
            <w:vAlign w:val="center"/>
          </w:tcPr>
          <w:p w14:paraId="5B8B79AA">
            <w:pPr>
              <w:pStyle w:val="3"/>
              <w:spacing w:line="320" w:lineRule="exact"/>
              <w:ind w:firstLine="0"/>
              <w:jc w:val="center"/>
              <w:rPr>
                <w:rFonts w:eastAsia="宋体"/>
                <w:color w:val="auto"/>
                <w:szCs w:val="24"/>
                <w:highlight w:val="none"/>
              </w:rPr>
            </w:pPr>
          </w:p>
        </w:tc>
      </w:tr>
    </w:tbl>
    <w:p w14:paraId="24480D48">
      <w:pPr>
        <w:pStyle w:val="3"/>
        <w:spacing w:line="320" w:lineRule="exact"/>
        <w:ind w:firstLine="0"/>
        <w:rPr>
          <w:color w:val="auto"/>
          <w:szCs w:val="24"/>
          <w:highlight w:val="none"/>
          <w:u w:val="single"/>
        </w:rPr>
      </w:pPr>
    </w:p>
    <w:p w14:paraId="3C779A96">
      <w:pPr>
        <w:pStyle w:val="3"/>
        <w:spacing w:line="320" w:lineRule="exact"/>
        <w:rPr>
          <w:color w:val="auto"/>
          <w:szCs w:val="24"/>
          <w:highlight w:val="none"/>
        </w:rPr>
      </w:pPr>
    </w:p>
    <w:p w14:paraId="2871A74B">
      <w:pPr>
        <w:pStyle w:val="3"/>
        <w:spacing w:line="320" w:lineRule="exact"/>
        <w:rPr>
          <w:color w:val="auto"/>
          <w:szCs w:val="24"/>
          <w:highlight w:val="none"/>
        </w:rPr>
      </w:pPr>
      <w:r>
        <w:rPr>
          <w:color w:val="auto"/>
          <w:szCs w:val="24"/>
          <w:highlight w:val="none"/>
        </w:rPr>
        <w:t>注：</w:t>
      </w:r>
    </w:p>
    <w:p w14:paraId="07660D69">
      <w:pPr>
        <w:pStyle w:val="3"/>
        <w:spacing w:line="320" w:lineRule="exact"/>
        <w:rPr>
          <w:color w:val="auto"/>
          <w:szCs w:val="24"/>
          <w:highlight w:val="none"/>
        </w:rPr>
      </w:pPr>
      <w:r>
        <w:rPr>
          <w:rFonts w:hint="eastAsia"/>
          <w:color w:val="auto"/>
          <w:szCs w:val="24"/>
          <w:highlight w:val="none"/>
        </w:rPr>
        <w:t>1）</w:t>
      </w:r>
      <w:r>
        <w:rPr>
          <w:color w:val="auto"/>
          <w:szCs w:val="24"/>
          <w:highlight w:val="none"/>
        </w:rPr>
        <w:t>投标总价</w:t>
      </w:r>
      <w:r>
        <w:rPr>
          <w:rFonts w:hint="eastAsia"/>
          <w:color w:val="auto"/>
          <w:szCs w:val="24"/>
          <w:highlight w:val="none"/>
        </w:rPr>
        <w:t>应</w:t>
      </w:r>
      <w:r>
        <w:rPr>
          <w:color w:val="auto"/>
          <w:szCs w:val="24"/>
          <w:highlight w:val="none"/>
        </w:rPr>
        <w:t>与</w:t>
      </w:r>
      <w:r>
        <w:rPr>
          <w:rFonts w:hint="eastAsia"/>
          <w:color w:val="auto"/>
          <w:szCs w:val="24"/>
          <w:highlight w:val="none"/>
        </w:rPr>
        <w:t>“</w:t>
      </w:r>
      <w:r>
        <w:rPr>
          <w:color w:val="auto"/>
          <w:szCs w:val="24"/>
          <w:highlight w:val="none"/>
        </w:rPr>
        <w:t>分项报价表</w:t>
      </w:r>
      <w:r>
        <w:rPr>
          <w:rFonts w:hint="eastAsia"/>
          <w:color w:val="auto"/>
          <w:szCs w:val="24"/>
          <w:highlight w:val="none"/>
        </w:rPr>
        <w:t>”</w:t>
      </w:r>
      <w:r>
        <w:rPr>
          <w:color w:val="auto"/>
          <w:szCs w:val="24"/>
          <w:highlight w:val="none"/>
        </w:rPr>
        <w:t>中</w:t>
      </w:r>
      <w:r>
        <w:rPr>
          <w:rFonts w:hint="eastAsia"/>
          <w:color w:val="auto"/>
          <w:szCs w:val="24"/>
          <w:highlight w:val="none"/>
        </w:rPr>
        <w:t>“</w:t>
      </w:r>
      <w:r>
        <w:rPr>
          <w:color w:val="auto"/>
          <w:szCs w:val="24"/>
          <w:highlight w:val="none"/>
        </w:rPr>
        <w:t>投标总价</w:t>
      </w:r>
      <w:r>
        <w:rPr>
          <w:rFonts w:hint="eastAsia"/>
          <w:color w:val="auto"/>
          <w:szCs w:val="24"/>
          <w:highlight w:val="none"/>
        </w:rPr>
        <w:t>”</w:t>
      </w:r>
      <w:r>
        <w:rPr>
          <w:color w:val="auto"/>
          <w:szCs w:val="24"/>
          <w:highlight w:val="none"/>
        </w:rPr>
        <w:t>一致。</w:t>
      </w:r>
    </w:p>
    <w:p w14:paraId="049646A4">
      <w:pPr>
        <w:pStyle w:val="3"/>
        <w:spacing w:line="360" w:lineRule="exact"/>
        <w:rPr>
          <w:color w:val="auto"/>
          <w:highlight w:val="none"/>
        </w:rPr>
      </w:pPr>
      <w:r>
        <w:rPr>
          <w:rFonts w:hint="eastAsia" w:hAnsi="宋体"/>
          <w:color w:val="auto"/>
          <w:szCs w:val="24"/>
          <w:highlight w:val="none"/>
        </w:rPr>
        <w:t>2）政采云系统上人工填写的报价与上传的电子投标文件的报价不一致，以上传的电子投标文件的报价为准，在评审时进行价格修正。</w:t>
      </w:r>
    </w:p>
    <w:p w14:paraId="3CC20A16">
      <w:pPr>
        <w:pStyle w:val="3"/>
        <w:spacing w:line="360" w:lineRule="exact"/>
        <w:rPr>
          <w:color w:val="auto"/>
          <w:highlight w:val="none"/>
        </w:rPr>
      </w:pPr>
    </w:p>
    <w:p w14:paraId="054EBC23">
      <w:pPr>
        <w:rPr>
          <w:color w:val="auto"/>
          <w:highlight w:val="none"/>
        </w:rPr>
      </w:pPr>
    </w:p>
    <w:p w14:paraId="61F5EBBC">
      <w:pPr>
        <w:pStyle w:val="3"/>
        <w:spacing w:line="360" w:lineRule="exact"/>
        <w:rPr>
          <w:color w:val="auto"/>
          <w:highlight w:val="none"/>
        </w:rPr>
      </w:pPr>
      <w:r>
        <w:rPr>
          <w:rFonts w:hint="eastAsia"/>
          <w:color w:val="auto"/>
          <w:highlight w:val="none"/>
        </w:rPr>
        <w:t>投标人单位（盖公章）：</w:t>
      </w:r>
    </w:p>
    <w:p w14:paraId="72722FDA">
      <w:pPr>
        <w:pStyle w:val="3"/>
        <w:spacing w:line="360" w:lineRule="exact"/>
        <w:rPr>
          <w:color w:val="auto"/>
          <w:szCs w:val="21"/>
          <w:highlight w:val="none"/>
        </w:rPr>
      </w:pPr>
      <w:r>
        <w:rPr>
          <w:rFonts w:hint="eastAsia"/>
          <w:color w:val="auto"/>
          <w:szCs w:val="21"/>
          <w:highlight w:val="none"/>
        </w:rPr>
        <w:t>法定代表人或被授权代表人（签字或盖章）：</w:t>
      </w:r>
    </w:p>
    <w:p w14:paraId="0CFF753D">
      <w:pPr>
        <w:pStyle w:val="3"/>
        <w:spacing w:line="360" w:lineRule="exact"/>
        <w:rPr>
          <w:color w:val="auto"/>
          <w:highlight w:val="none"/>
        </w:rPr>
      </w:pPr>
      <w:r>
        <w:rPr>
          <w:rFonts w:hint="eastAsia"/>
          <w:color w:val="auto"/>
          <w:highlight w:val="none"/>
        </w:rPr>
        <w:t>日</w:t>
      </w:r>
      <w:r>
        <w:rPr>
          <w:color w:val="auto"/>
          <w:highlight w:val="none"/>
        </w:rPr>
        <w:t xml:space="preserve">      </w:t>
      </w:r>
      <w:r>
        <w:rPr>
          <w:rFonts w:hint="eastAsia"/>
          <w:color w:val="auto"/>
          <w:highlight w:val="none"/>
        </w:rPr>
        <w:t>期：</w:t>
      </w:r>
    </w:p>
    <w:p w14:paraId="238B3F73">
      <w:pPr>
        <w:pStyle w:val="3"/>
        <w:ind w:firstLine="0"/>
        <w:rPr>
          <w:rFonts w:ascii="宋体" w:eastAsia="宋体"/>
          <w:b/>
          <w:color w:val="auto"/>
          <w:sz w:val="28"/>
          <w:highlight w:val="none"/>
        </w:rPr>
      </w:pPr>
    </w:p>
    <w:p w14:paraId="7C020A9D">
      <w:pPr>
        <w:pStyle w:val="3"/>
        <w:ind w:firstLine="0"/>
        <w:rPr>
          <w:rFonts w:ascii="宋体" w:eastAsia="宋体"/>
          <w:b/>
          <w:color w:val="auto"/>
          <w:sz w:val="28"/>
          <w:highlight w:val="none"/>
        </w:rPr>
      </w:pPr>
    </w:p>
    <w:p w14:paraId="5C1A3B55">
      <w:pPr>
        <w:pStyle w:val="3"/>
        <w:ind w:firstLine="0"/>
        <w:rPr>
          <w:rFonts w:ascii="宋体" w:eastAsia="宋体"/>
          <w:b/>
          <w:color w:val="auto"/>
          <w:sz w:val="28"/>
          <w:highlight w:val="none"/>
        </w:rPr>
      </w:pPr>
    </w:p>
    <w:p w14:paraId="540AD3CA">
      <w:pPr>
        <w:pStyle w:val="3"/>
        <w:ind w:firstLine="0"/>
        <w:rPr>
          <w:rFonts w:ascii="宋体" w:eastAsia="宋体"/>
          <w:b/>
          <w:color w:val="auto"/>
          <w:sz w:val="28"/>
          <w:highlight w:val="none"/>
        </w:rPr>
      </w:pPr>
    </w:p>
    <w:p w14:paraId="17F98293">
      <w:pPr>
        <w:pStyle w:val="3"/>
        <w:ind w:firstLine="0"/>
        <w:rPr>
          <w:rFonts w:ascii="宋体" w:eastAsia="宋体"/>
          <w:b/>
          <w:color w:val="auto"/>
          <w:sz w:val="28"/>
          <w:highlight w:val="none"/>
        </w:rPr>
      </w:pPr>
    </w:p>
    <w:p w14:paraId="460344D1">
      <w:pPr>
        <w:pStyle w:val="3"/>
        <w:ind w:firstLine="0"/>
        <w:rPr>
          <w:rFonts w:ascii="宋体" w:eastAsia="宋体"/>
          <w:b/>
          <w:color w:val="auto"/>
          <w:sz w:val="28"/>
          <w:highlight w:val="none"/>
        </w:rPr>
      </w:pPr>
    </w:p>
    <w:p w14:paraId="02051C20">
      <w:pPr>
        <w:pStyle w:val="3"/>
        <w:ind w:firstLine="0"/>
        <w:rPr>
          <w:rFonts w:ascii="宋体" w:eastAsia="宋体"/>
          <w:b/>
          <w:color w:val="auto"/>
          <w:sz w:val="28"/>
          <w:highlight w:val="none"/>
        </w:rPr>
      </w:pPr>
    </w:p>
    <w:p w14:paraId="79129787">
      <w:pPr>
        <w:pStyle w:val="3"/>
        <w:ind w:firstLine="0"/>
        <w:rPr>
          <w:rFonts w:ascii="宋体" w:eastAsia="宋体"/>
          <w:b/>
          <w:color w:val="auto"/>
          <w:sz w:val="28"/>
          <w:highlight w:val="none"/>
        </w:rPr>
      </w:pPr>
    </w:p>
    <w:p w14:paraId="4FA85A5E">
      <w:pPr>
        <w:pStyle w:val="3"/>
        <w:ind w:firstLine="0"/>
        <w:rPr>
          <w:rFonts w:ascii="宋体" w:eastAsia="宋体"/>
          <w:b/>
          <w:color w:val="auto"/>
          <w:sz w:val="28"/>
          <w:highlight w:val="none"/>
        </w:rPr>
      </w:pPr>
      <w:r>
        <w:rPr>
          <w:rFonts w:hint="eastAsia" w:ascii="宋体" w:eastAsia="宋体"/>
          <w:b/>
          <w:color w:val="auto"/>
          <w:sz w:val="28"/>
          <w:highlight w:val="none"/>
        </w:rPr>
        <w:t xml:space="preserve">                                        </w:t>
      </w:r>
    </w:p>
    <w:p w14:paraId="4806F603">
      <w:pPr>
        <w:rPr>
          <w:rFonts w:hint="eastAsia" w:ascii="宋体" w:eastAsia="宋体"/>
          <w:b/>
          <w:color w:val="auto"/>
          <w:sz w:val="28"/>
          <w:highlight w:val="none"/>
        </w:rPr>
      </w:pPr>
      <w:r>
        <w:rPr>
          <w:rFonts w:hint="eastAsia" w:ascii="宋体" w:eastAsia="宋体"/>
          <w:b/>
          <w:color w:val="auto"/>
          <w:sz w:val="28"/>
          <w:highlight w:val="none"/>
        </w:rPr>
        <w:br w:type="page"/>
      </w:r>
    </w:p>
    <w:p w14:paraId="72F4C20A">
      <w:pPr>
        <w:pStyle w:val="3"/>
        <w:ind w:firstLine="0"/>
        <w:jc w:val="center"/>
        <w:outlineLvl w:val="2"/>
        <w:rPr>
          <w:rFonts w:ascii="宋体" w:eastAsia="宋体"/>
          <w:b/>
          <w:color w:val="auto"/>
          <w:sz w:val="28"/>
          <w:highlight w:val="none"/>
        </w:rPr>
      </w:pPr>
      <w:r>
        <w:rPr>
          <w:rFonts w:hint="eastAsia" w:ascii="宋体" w:eastAsia="宋体"/>
          <w:b/>
          <w:color w:val="auto"/>
          <w:sz w:val="28"/>
          <w:highlight w:val="none"/>
        </w:rPr>
        <w:t>（2）分项报价表</w:t>
      </w:r>
    </w:p>
    <w:p w14:paraId="13555798">
      <w:pPr>
        <w:pStyle w:val="3"/>
        <w:spacing w:line="320" w:lineRule="exact"/>
        <w:ind w:firstLine="0"/>
        <w:rPr>
          <w:color w:val="auto"/>
          <w:szCs w:val="24"/>
          <w:highlight w:val="none"/>
        </w:rPr>
      </w:pPr>
    </w:p>
    <w:p w14:paraId="79CEE5A3">
      <w:pPr>
        <w:pStyle w:val="3"/>
        <w:spacing w:line="320" w:lineRule="exact"/>
        <w:ind w:firstLine="0"/>
        <w:rPr>
          <w:color w:val="auto"/>
          <w:szCs w:val="24"/>
          <w:highlight w:val="none"/>
          <w:u w:val="single"/>
        </w:rPr>
      </w:pPr>
      <w:r>
        <w:rPr>
          <w:color w:val="auto"/>
          <w:szCs w:val="24"/>
          <w:highlight w:val="none"/>
        </w:rPr>
        <w:t>项目名称：</w:t>
      </w:r>
      <w:r>
        <w:rPr>
          <w:color w:val="auto"/>
          <w:szCs w:val="24"/>
          <w:highlight w:val="none"/>
          <w:u w:val="single"/>
        </w:rPr>
        <w:t xml:space="preserve">                       </w:t>
      </w:r>
      <w:r>
        <w:rPr>
          <w:color w:val="auto"/>
          <w:szCs w:val="24"/>
          <w:highlight w:val="none"/>
        </w:rPr>
        <w:t xml:space="preserve">      </w:t>
      </w:r>
      <w:r>
        <w:rPr>
          <w:rFonts w:hint="eastAsia"/>
          <w:color w:val="auto"/>
          <w:szCs w:val="24"/>
          <w:highlight w:val="none"/>
        </w:rPr>
        <w:t>项目</w:t>
      </w:r>
      <w:r>
        <w:rPr>
          <w:color w:val="auto"/>
          <w:szCs w:val="24"/>
          <w:highlight w:val="none"/>
        </w:rPr>
        <w:t>编号：</w:t>
      </w:r>
      <w:r>
        <w:rPr>
          <w:color w:val="auto"/>
          <w:szCs w:val="24"/>
          <w:highlight w:val="none"/>
          <w:u w:val="single"/>
        </w:rPr>
        <w:t xml:space="preserve">                 </w:t>
      </w:r>
    </w:p>
    <w:p w14:paraId="7878BEAC">
      <w:pPr>
        <w:pStyle w:val="3"/>
        <w:ind w:firstLine="0"/>
        <w:rPr>
          <w:rFonts w:ascii="宋体"/>
          <w:color w:val="auto"/>
          <w:highlight w:val="none"/>
        </w:rPr>
      </w:pPr>
    </w:p>
    <w:tbl>
      <w:tblPr>
        <w:tblStyle w:val="32"/>
        <w:tblW w:w="87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22"/>
        <w:gridCol w:w="1275"/>
        <w:gridCol w:w="1388"/>
        <w:gridCol w:w="1320"/>
        <w:gridCol w:w="1620"/>
        <w:gridCol w:w="1119"/>
      </w:tblGrid>
      <w:tr w14:paraId="5F29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2B0A2C30">
            <w:pPr>
              <w:spacing w:line="360" w:lineRule="exact"/>
              <w:jc w:val="center"/>
              <w:rPr>
                <w:bCs/>
                <w:color w:val="auto"/>
                <w:sz w:val="24"/>
                <w:szCs w:val="24"/>
                <w:highlight w:val="none"/>
              </w:rPr>
            </w:pPr>
            <w:r>
              <w:rPr>
                <w:rFonts w:hint="eastAsia"/>
                <w:bCs/>
                <w:color w:val="auto"/>
                <w:sz w:val="24"/>
                <w:szCs w:val="24"/>
                <w:highlight w:val="none"/>
              </w:rPr>
              <w:t>序号</w:t>
            </w:r>
          </w:p>
        </w:tc>
        <w:tc>
          <w:tcPr>
            <w:tcW w:w="1222" w:type="dxa"/>
            <w:tcBorders>
              <w:top w:val="single" w:color="auto" w:sz="4" w:space="0"/>
              <w:left w:val="single" w:color="auto" w:sz="4" w:space="0"/>
              <w:bottom w:val="single" w:color="auto" w:sz="4" w:space="0"/>
              <w:right w:val="single" w:color="auto" w:sz="4" w:space="0"/>
            </w:tcBorders>
            <w:vAlign w:val="center"/>
          </w:tcPr>
          <w:p w14:paraId="7EE6824C">
            <w:pPr>
              <w:spacing w:line="360" w:lineRule="exact"/>
              <w:jc w:val="center"/>
              <w:rPr>
                <w:bCs/>
                <w:color w:val="auto"/>
                <w:sz w:val="24"/>
                <w:szCs w:val="24"/>
                <w:highlight w:val="none"/>
              </w:rPr>
            </w:pPr>
            <w:r>
              <w:rPr>
                <w:rFonts w:hint="eastAsia"/>
                <w:bCs/>
                <w:color w:val="auto"/>
                <w:sz w:val="24"/>
                <w:szCs w:val="24"/>
                <w:highlight w:val="none"/>
              </w:rPr>
              <w:t>分项名称</w:t>
            </w:r>
          </w:p>
        </w:tc>
        <w:tc>
          <w:tcPr>
            <w:tcW w:w="1275" w:type="dxa"/>
            <w:tcBorders>
              <w:top w:val="single" w:color="auto" w:sz="4" w:space="0"/>
              <w:left w:val="single" w:color="auto" w:sz="4" w:space="0"/>
              <w:bottom w:val="single" w:color="auto" w:sz="4" w:space="0"/>
              <w:right w:val="single" w:color="auto" w:sz="4" w:space="0"/>
            </w:tcBorders>
            <w:vAlign w:val="center"/>
          </w:tcPr>
          <w:p w14:paraId="47D4AA0B">
            <w:pPr>
              <w:spacing w:line="360" w:lineRule="exact"/>
              <w:jc w:val="center"/>
              <w:rPr>
                <w:rFonts w:hint="eastAsia" w:eastAsia="宋体"/>
                <w:bCs/>
                <w:color w:val="auto"/>
                <w:sz w:val="24"/>
                <w:szCs w:val="24"/>
                <w:highlight w:val="none"/>
                <w:lang w:eastAsia="zh-CN"/>
              </w:rPr>
            </w:pPr>
            <w:r>
              <w:rPr>
                <w:rFonts w:hint="eastAsia"/>
                <w:bCs/>
                <w:color w:val="auto"/>
                <w:sz w:val="24"/>
                <w:szCs w:val="24"/>
                <w:highlight w:val="none"/>
              </w:rPr>
              <w:t>数量</w:t>
            </w:r>
          </w:p>
        </w:tc>
        <w:tc>
          <w:tcPr>
            <w:tcW w:w="1388" w:type="dxa"/>
            <w:tcBorders>
              <w:top w:val="single" w:color="auto" w:sz="4" w:space="0"/>
              <w:left w:val="single" w:color="auto" w:sz="4" w:space="0"/>
              <w:bottom w:val="single" w:color="auto" w:sz="4" w:space="0"/>
              <w:right w:val="single" w:color="auto" w:sz="4" w:space="0"/>
            </w:tcBorders>
            <w:vAlign w:val="center"/>
          </w:tcPr>
          <w:p w14:paraId="18CECE2A">
            <w:pPr>
              <w:spacing w:line="360" w:lineRule="exact"/>
              <w:jc w:val="center"/>
              <w:rPr>
                <w:bCs/>
                <w:color w:val="auto"/>
                <w:sz w:val="24"/>
                <w:szCs w:val="24"/>
                <w:highlight w:val="none"/>
              </w:rPr>
            </w:pPr>
            <w:r>
              <w:rPr>
                <w:rFonts w:hint="eastAsia"/>
                <w:bCs/>
                <w:color w:val="auto"/>
                <w:sz w:val="24"/>
                <w:szCs w:val="24"/>
                <w:highlight w:val="none"/>
                <w:lang w:val="en-US" w:eastAsia="zh-CN"/>
              </w:rPr>
              <w:t>简要</w:t>
            </w:r>
            <w:r>
              <w:rPr>
                <w:rFonts w:hint="eastAsia"/>
                <w:bCs/>
                <w:color w:val="auto"/>
                <w:sz w:val="24"/>
                <w:szCs w:val="24"/>
                <w:highlight w:val="none"/>
                <w:lang w:eastAsia="zh-CN"/>
              </w:rPr>
              <w:t>描述</w:t>
            </w:r>
          </w:p>
        </w:tc>
        <w:tc>
          <w:tcPr>
            <w:tcW w:w="1320" w:type="dxa"/>
            <w:tcBorders>
              <w:top w:val="single" w:color="auto" w:sz="4" w:space="0"/>
              <w:left w:val="single" w:color="auto" w:sz="4" w:space="0"/>
              <w:bottom w:val="single" w:color="auto" w:sz="4" w:space="0"/>
              <w:right w:val="single" w:color="auto" w:sz="4" w:space="0"/>
            </w:tcBorders>
            <w:vAlign w:val="center"/>
          </w:tcPr>
          <w:p w14:paraId="6A743F9C">
            <w:pPr>
              <w:spacing w:line="360" w:lineRule="exact"/>
              <w:jc w:val="center"/>
              <w:rPr>
                <w:bCs/>
                <w:color w:val="auto"/>
                <w:sz w:val="24"/>
                <w:szCs w:val="24"/>
                <w:highlight w:val="none"/>
              </w:rPr>
            </w:pPr>
            <w:r>
              <w:rPr>
                <w:rFonts w:hint="eastAsia"/>
                <w:bCs/>
                <w:color w:val="auto"/>
                <w:sz w:val="24"/>
                <w:szCs w:val="24"/>
                <w:highlight w:val="none"/>
              </w:rPr>
              <w:t>单价（元）</w:t>
            </w:r>
          </w:p>
        </w:tc>
        <w:tc>
          <w:tcPr>
            <w:tcW w:w="1620" w:type="dxa"/>
            <w:tcBorders>
              <w:top w:val="single" w:color="auto" w:sz="4" w:space="0"/>
              <w:left w:val="single" w:color="auto" w:sz="4" w:space="0"/>
              <w:bottom w:val="single" w:color="auto" w:sz="4" w:space="0"/>
              <w:right w:val="single" w:color="auto" w:sz="4" w:space="0"/>
            </w:tcBorders>
            <w:vAlign w:val="center"/>
          </w:tcPr>
          <w:p w14:paraId="58B2FD87">
            <w:pPr>
              <w:spacing w:line="360" w:lineRule="exact"/>
              <w:jc w:val="center"/>
              <w:rPr>
                <w:bCs/>
                <w:color w:val="auto"/>
                <w:sz w:val="24"/>
                <w:szCs w:val="24"/>
                <w:highlight w:val="none"/>
              </w:rPr>
            </w:pPr>
            <w:r>
              <w:rPr>
                <w:rFonts w:hint="eastAsia"/>
                <w:bCs/>
                <w:color w:val="auto"/>
                <w:sz w:val="24"/>
                <w:szCs w:val="24"/>
                <w:highlight w:val="none"/>
              </w:rPr>
              <w:t>合价（元）</w:t>
            </w:r>
          </w:p>
        </w:tc>
        <w:tc>
          <w:tcPr>
            <w:tcW w:w="1119" w:type="dxa"/>
            <w:tcBorders>
              <w:top w:val="single" w:color="auto" w:sz="4" w:space="0"/>
              <w:left w:val="single" w:color="auto" w:sz="4" w:space="0"/>
              <w:bottom w:val="single" w:color="auto" w:sz="4" w:space="0"/>
              <w:right w:val="single" w:color="auto" w:sz="4" w:space="0"/>
            </w:tcBorders>
            <w:vAlign w:val="center"/>
          </w:tcPr>
          <w:p w14:paraId="56832831">
            <w:pPr>
              <w:spacing w:line="360" w:lineRule="exact"/>
              <w:jc w:val="center"/>
              <w:rPr>
                <w:rFonts w:hint="eastAsia" w:eastAsia="宋体"/>
                <w:bCs/>
                <w:color w:val="auto"/>
                <w:sz w:val="24"/>
                <w:szCs w:val="24"/>
                <w:highlight w:val="none"/>
                <w:lang w:eastAsia="zh-CN"/>
              </w:rPr>
            </w:pPr>
            <w:r>
              <w:rPr>
                <w:rFonts w:hint="eastAsia"/>
                <w:bCs/>
                <w:color w:val="auto"/>
                <w:sz w:val="24"/>
                <w:szCs w:val="24"/>
                <w:highlight w:val="none"/>
                <w:lang w:eastAsia="zh-CN"/>
              </w:rPr>
              <w:t>备注</w:t>
            </w:r>
          </w:p>
        </w:tc>
      </w:tr>
      <w:tr w14:paraId="6E49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34577D75">
            <w:pPr>
              <w:spacing w:line="360" w:lineRule="exact"/>
              <w:jc w:val="center"/>
              <w:rPr>
                <w:caps/>
                <w:color w:val="auto"/>
                <w:sz w:val="24"/>
                <w:szCs w:val="24"/>
                <w:highlight w:val="none"/>
              </w:rPr>
            </w:pPr>
            <w:r>
              <w:rPr>
                <w:caps/>
                <w:color w:val="auto"/>
                <w:sz w:val="24"/>
                <w:szCs w:val="24"/>
                <w:highlight w:val="none"/>
              </w:rPr>
              <w:t>1</w:t>
            </w:r>
          </w:p>
        </w:tc>
        <w:tc>
          <w:tcPr>
            <w:tcW w:w="1222" w:type="dxa"/>
            <w:tcBorders>
              <w:top w:val="single" w:color="auto" w:sz="4" w:space="0"/>
              <w:left w:val="single" w:color="auto" w:sz="4" w:space="0"/>
              <w:bottom w:val="single" w:color="auto" w:sz="4" w:space="0"/>
              <w:right w:val="single" w:color="auto" w:sz="4" w:space="0"/>
            </w:tcBorders>
            <w:vAlign w:val="center"/>
          </w:tcPr>
          <w:p w14:paraId="64F7671D">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33D66A59">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5D01E642">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51347EEF">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0D5085B">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2CD7D92">
            <w:pPr>
              <w:spacing w:line="360" w:lineRule="exact"/>
              <w:jc w:val="center"/>
              <w:rPr>
                <w:color w:val="auto"/>
                <w:sz w:val="24"/>
                <w:szCs w:val="24"/>
                <w:highlight w:val="none"/>
              </w:rPr>
            </w:pPr>
          </w:p>
        </w:tc>
      </w:tr>
      <w:tr w14:paraId="3E78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6F034C2F">
            <w:pPr>
              <w:spacing w:line="360" w:lineRule="exact"/>
              <w:jc w:val="center"/>
              <w:rPr>
                <w:color w:val="auto"/>
                <w:sz w:val="24"/>
                <w:szCs w:val="24"/>
                <w:highlight w:val="none"/>
              </w:rPr>
            </w:pPr>
            <w:r>
              <w:rPr>
                <w:color w:val="auto"/>
                <w:sz w:val="24"/>
                <w:szCs w:val="24"/>
                <w:highlight w:val="none"/>
              </w:rPr>
              <w:t>2</w:t>
            </w:r>
          </w:p>
        </w:tc>
        <w:tc>
          <w:tcPr>
            <w:tcW w:w="1222" w:type="dxa"/>
            <w:tcBorders>
              <w:top w:val="single" w:color="auto" w:sz="4" w:space="0"/>
              <w:left w:val="single" w:color="auto" w:sz="4" w:space="0"/>
              <w:bottom w:val="single" w:color="auto" w:sz="4" w:space="0"/>
              <w:right w:val="single" w:color="auto" w:sz="4" w:space="0"/>
            </w:tcBorders>
            <w:vAlign w:val="center"/>
          </w:tcPr>
          <w:p w14:paraId="6B618F10">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DC3B95">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3923C87A">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C1200EE">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4261574">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1079EDC3">
            <w:pPr>
              <w:spacing w:line="360" w:lineRule="exact"/>
              <w:jc w:val="center"/>
              <w:rPr>
                <w:color w:val="auto"/>
                <w:sz w:val="24"/>
                <w:szCs w:val="24"/>
                <w:highlight w:val="none"/>
              </w:rPr>
            </w:pPr>
          </w:p>
        </w:tc>
      </w:tr>
      <w:tr w14:paraId="0208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890BF40">
            <w:pPr>
              <w:spacing w:line="360" w:lineRule="exact"/>
              <w:jc w:val="center"/>
              <w:rPr>
                <w:color w:val="auto"/>
                <w:sz w:val="24"/>
                <w:szCs w:val="24"/>
                <w:highlight w:val="none"/>
              </w:rPr>
            </w:pPr>
            <w:r>
              <w:rPr>
                <w:color w:val="auto"/>
                <w:sz w:val="24"/>
                <w:szCs w:val="24"/>
                <w:highlight w:val="none"/>
              </w:rPr>
              <w:t>3</w:t>
            </w:r>
          </w:p>
        </w:tc>
        <w:tc>
          <w:tcPr>
            <w:tcW w:w="1222" w:type="dxa"/>
            <w:tcBorders>
              <w:top w:val="single" w:color="auto" w:sz="4" w:space="0"/>
              <w:left w:val="single" w:color="auto" w:sz="4" w:space="0"/>
              <w:bottom w:val="single" w:color="auto" w:sz="4" w:space="0"/>
              <w:right w:val="single" w:color="auto" w:sz="4" w:space="0"/>
            </w:tcBorders>
            <w:vAlign w:val="center"/>
          </w:tcPr>
          <w:p w14:paraId="5FB38645">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5D6300A">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6BE7354D">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9AA76C2">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5263B7D">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42A83057">
            <w:pPr>
              <w:spacing w:line="360" w:lineRule="exact"/>
              <w:jc w:val="center"/>
              <w:rPr>
                <w:color w:val="auto"/>
                <w:sz w:val="24"/>
                <w:szCs w:val="24"/>
                <w:highlight w:val="none"/>
              </w:rPr>
            </w:pPr>
          </w:p>
        </w:tc>
      </w:tr>
      <w:tr w14:paraId="4819F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1528CDA4">
            <w:pPr>
              <w:spacing w:line="360" w:lineRule="exact"/>
              <w:jc w:val="center"/>
              <w:rPr>
                <w:color w:val="auto"/>
                <w:sz w:val="24"/>
                <w:szCs w:val="24"/>
                <w:highlight w:val="none"/>
              </w:rPr>
            </w:pPr>
            <w:r>
              <w:rPr>
                <w:color w:val="auto"/>
                <w:sz w:val="24"/>
                <w:szCs w:val="24"/>
                <w:highlight w:val="none"/>
              </w:rPr>
              <w:t>4</w:t>
            </w:r>
          </w:p>
        </w:tc>
        <w:tc>
          <w:tcPr>
            <w:tcW w:w="1222" w:type="dxa"/>
            <w:tcBorders>
              <w:top w:val="single" w:color="auto" w:sz="4" w:space="0"/>
              <w:left w:val="single" w:color="auto" w:sz="4" w:space="0"/>
              <w:bottom w:val="single" w:color="auto" w:sz="4" w:space="0"/>
              <w:right w:val="single" w:color="auto" w:sz="4" w:space="0"/>
            </w:tcBorders>
            <w:vAlign w:val="center"/>
          </w:tcPr>
          <w:p w14:paraId="5A596055">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000041BD">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41AF8657">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0CA6B6D8">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B002597">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7F3EC8CE">
            <w:pPr>
              <w:spacing w:line="360" w:lineRule="exact"/>
              <w:jc w:val="center"/>
              <w:rPr>
                <w:color w:val="auto"/>
                <w:sz w:val="24"/>
                <w:szCs w:val="24"/>
                <w:highlight w:val="none"/>
              </w:rPr>
            </w:pPr>
          </w:p>
        </w:tc>
      </w:tr>
      <w:tr w14:paraId="6FC65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0184F8DC">
            <w:pPr>
              <w:spacing w:line="360" w:lineRule="exact"/>
              <w:jc w:val="center"/>
              <w:rPr>
                <w:color w:val="auto"/>
                <w:sz w:val="24"/>
                <w:szCs w:val="24"/>
                <w:highlight w:val="none"/>
              </w:rPr>
            </w:pPr>
            <w:r>
              <w:rPr>
                <w:color w:val="auto"/>
                <w:sz w:val="24"/>
                <w:szCs w:val="24"/>
                <w:highlight w:val="none"/>
              </w:rPr>
              <w:t>5</w:t>
            </w:r>
          </w:p>
        </w:tc>
        <w:tc>
          <w:tcPr>
            <w:tcW w:w="1222" w:type="dxa"/>
            <w:tcBorders>
              <w:top w:val="single" w:color="auto" w:sz="4" w:space="0"/>
              <w:left w:val="single" w:color="auto" w:sz="4" w:space="0"/>
              <w:bottom w:val="single" w:color="auto" w:sz="4" w:space="0"/>
              <w:right w:val="single" w:color="auto" w:sz="4" w:space="0"/>
            </w:tcBorders>
            <w:vAlign w:val="center"/>
          </w:tcPr>
          <w:p w14:paraId="7E3E1542">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DBD1AA3">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6092D731">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2F49508">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E4B5C9C">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3A9813AC">
            <w:pPr>
              <w:spacing w:line="360" w:lineRule="exact"/>
              <w:jc w:val="center"/>
              <w:rPr>
                <w:color w:val="auto"/>
                <w:sz w:val="24"/>
                <w:szCs w:val="24"/>
                <w:highlight w:val="none"/>
              </w:rPr>
            </w:pPr>
          </w:p>
        </w:tc>
      </w:tr>
      <w:tr w14:paraId="5B52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7A6562DC">
            <w:pPr>
              <w:spacing w:line="360" w:lineRule="exact"/>
              <w:jc w:val="center"/>
              <w:rPr>
                <w:color w:val="auto"/>
                <w:sz w:val="24"/>
                <w:szCs w:val="24"/>
                <w:highlight w:val="none"/>
              </w:rPr>
            </w:pPr>
            <w:r>
              <w:rPr>
                <w:color w:val="auto"/>
                <w:sz w:val="24"/>
                <w:szCs w:val="24"/>
                <w:highlight w:val="none"/>
              </w:rPr>
              <w:t>6</w:t>
            </w:r>
          </w:p>
        </w:tc>
        <w:tc>
          <w:tcPr>
            <w:tcW w:w="1222" w:type="dxa"/>
            <w:tcBorders>
              <w:top w:val="single" w:color="auto" w:sz="4" w:space="0"/>
              <w:left w:val="single" w:color="auto" w:sz="4" w:space="0"/>
              <w:bottom w:val="single" w:color="auto" w:sz="4" w:space="0"/>
              <w:right w:val="single" w:color="auto" w:sz="4" w:space="0"/>
            </w:tcBorders>
            <w:vAlign w:val="center"/>
          </w:tcPr>
          <w:p w14:paraId="017C1EF7">
            <w:pPr>
              <w:spacing w:line="360" w:lineRule="exact"/>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49295DCC">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016CB424">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72B8349B">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144C222">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252EFE1B">
            <w:pPr>
              <w:spacing w:line="360" w:lineRule="exact"/>
              <w:jc w:val="center"/>
              <w:rPr>
                <w:color w:val="auto"/>
                <w:sz w:val="24"/>
                <w:szCs w:val="24"/>
                <w:highlight w:val="none"/>
              </w:rPr>
            </w:pPr>
          </w:p>
        </w:tc>
      </w:tr>
      <w:tr w14:paraId="606A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8" w:type="dxa"/>
            <w:tcBorders>
              <w:top w:val="single" w:color="auto" w:sz="4" w:space="0"/>
              <w:left w:val="single" w:color="auto" w:sz="4" w:space="0"/>
              <w:bottom w:val="single" w:color="auto" w:sz="4" w:space="0"/>
              <w:right w:val="single" w:color="auto" w:sz="4" w:space="0"/>
            </w:tcBorders>
            <w:vAlign w:val="center"/>
          </w:tcPr>
          <w:p w14:paraId="44A14442">
            <w:pPr>
              <w:spacing w:line="360" w:lineRule="exact"/>
              <w:jc w:val="center"/>
              <w:rPr>
                <w:color w:val="auto"/>
                <w:sz w:val="24"/>
                <w:szCs w:val="24"/>
                <w:highlight w:val="none"/>
              </w:rPr>
            </w:pPr>
            <w:r>
              <w:rPr>
                <w:color w:val="auto"/>
                <w:sz w:val="24"/>
                <w:szCs w:val="24"/>
                <w:highlight w:val="none"/>
              </w:rPr>
              <w:t>7</w:t>
            </w:r>
          </w:p>
        </w:tc>
        <w:tc>
          <w:tcPr>
            <w:tcW w:w="1222" w:type="dxa"/>
            <w:tcBorders>
              <w:top w:val="single" w:color="auto" w:sz="4" w:space="0"/>
              <w:left w:val="single" w:color="auto" w:sz="4" w:space="0"/>
              <w:bottom w:val="single" w:color="auto" w:sz="4" w:space="0"/>
              <w:right w:val="single" w:color="auto" w:sz="4" w:space="0"/>
            </w:tcBorders>
            <w:vAlign w:val="center"/>
          </w:tcPr>
          <w:p w14:paraId="4ACB736F">
            <w:pPr>
              <w:spacing w:line="360" w:lineRule="exact"/>
              <w:jc w:val="center"/>
              <w:rPr>
                <w:color w:val="auto"/>
                <w:sz w:val="24"/>
                <w:szCs w:val="24"/>
                <w:highlight w:val="none"/>
              </w:rPr>
            </w:pPr>
            <w:r>
              <w:rPr>
                <w:color w:val="auto"/>
                <w:sz w:val="24"/>
                <w:szCs w:val="24"/>
                <w:highlight w:val="none"/>
              </w:rPr>
              <w:t>……</w:t>
            </w:r>
          </w:p>
        </w:tc>
        <w:tc>
          <w:tcPr>
            <w:tcW w:w="1275" w:type="dxa"/>
            <w:tcBorders>
              <w:top w:val="single" w:color="auto" w:sz="4" w:space="0"/>
              <w:left w:val="single" w:color="auto" w:sz="4" w:space="0"/>
              <w:bottom w:val="single" w:color="auto" w:sz="4" w:space="0"/>
              <w:right w:val="single" w:color="auto" w:sz="4" w:space="0"/>
            </w:tcBorders>
            <w:vAlign w:val="center"/>
          </w:tcPr>
          <w:p w14:paraId="72588E11">
            <w:pPr>
              <w:spacing w:line="360" w:lineRule="exact"/>
              <w:jc w:val="center"/>
              <w:rPr>
                <w:color w:val="auto"/>
                <w:sz w:val="24"/>
                <w:szCs w:val="24"/>
                <w:highlight w:val="none"/>
              </w:rPr>
            </w:pPr>
          </w:p>
        </w:tc>
        <w:tc>
          <w:tcPr>
            <w:tcW w:w="1388" w:type="dxa"/>
            <w:tcBorders>
              <w:top w:val="single" w:color="auto" w:sz="4" w:space="0"/>
              <w:left w:val="single" w:color="auto" w:sz="4" w:space="0"/>
              <w:bottom w:val="single" w:color="auto" w:sz="4" w:space="0"/>
              <w:right w:val="single" w:color="auto" w:sz="4" w:space="0"/>
            </w:tcBorders>
            <w:vAlign w:val="center"/>
          </w:tcPr>
          <w:p w14:paraId="1FEEC2DE">
            <w:pPr>
              <w:spacing w:line="360" w:lineRule="exact"/>
              <w:jc w:val="center"/>
              <w:rPr>
                <w:color w:val="auto"/>
                <w:sz w:val="24"/>
                <w:szCs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17EC22B">
            <w:pPr>
              <w:spacing w:line="360" w:lineRule="exact"/>
              <w:jc w:val="center"/>
              <w:rPr>
                <w:color w:val="auto"/>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3D8E5159">
            <w:pPr>
              <w:spacing w:line="360" w:lineRule="exact"/>
              <w:jc w:val="center"/>
              <w:rPr>
                <w:color w:val="auto"/>
                <w:sz w:val="24"/>
                <w:szCs w:val="24"/>
                <w:highlight w:val="none"/>
              </w:rPr>
            </w:pPr>
          </w:p>
        </w:tc>
        <w:tc>
          <w:tcPr>
            <w:tcW w:w="1119" w:type="dxa"/>
            <w:tcBorders>
              <w:top w:val="single" w:color="auto" w:sz="4" w:space="0"/>
              <w:left w:val="single" w:color="auto" w:sz="4" w:space="0"/>
              <w:bottom w:val="single" w:color="auto" w:sz="4" w:space="0"/>
              <w:right w:val="single" w:color="auto" w:sz="4" w:space="0"/>
            </w:tcBorders>
            <w:vAlign w:val="center"/>
          </w:tcPr>
          <w:p w14:paraId="6925693E">
            <w:pPr>
              <w:spacing w:line="360" w:lineRule="exact"/>
              <w:jc w:val="center"/>
              <w:rPr>
                <w:color w:val="auto"/>
                <w:sz w:val="24"/>
                <w:szCs w:val="24"/>
                <w:highlight w:val="none"/>
              </w:rPr>
            </w:pPr>
          </w:p>
        </w:tc>
      </w:tr>
      <w:tr w14:paraId="66F6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63" w:type="dxa"/>
            <w:gridSpan w:val="6"/>
            <w:tcBorders>
              <w:top w:val="single" w:color="auto" w:sz="4" w:space="0"/>
              <w:left w:val="single" w:color="auto" w:sz="4" w:space="0"/>
              <w:bottom w:val="single" w:color="auto" w:sz="4" w:space="0"/>
              <w:right w:val="single" w:color="auto" w:sz="4" w:space="0"/>
            </w:tcBorders>
            <w:vAlign w:val="center"/>
          </w:tcPr>
          <w:p w14:paraId="585B7D29">
            <w:pPr>
              <w:spacing w:line="360" w:lineRule="exact"/>
              <w:jc w:val="center"/>
              <w:rPr>
                <w:rFonts w:ascii="宋体" w:hAnsi="宋体"/>
                <w:color w:val="auto"/>
                <w:sz w:val="24"/>
                <w:szCs w:val="24"/>
                <w:highlight w:val="none"/>
              </w:rPr>
            </w:pPr>
            <w:r>
              <w:rPr>
                <w:rFonts w:hint="eastAsia" w:ascii="宋体" w:hAnsi="宋体"/>
                <w:color w:val="auto"/>
                <w:sz w:val="24"/>
                <w:szCs w:val="24"/>
                <w:highlight w:val="none"/>
              </w:rPr>
              <w:t>投标总价</w:t>
            </w:r>
            <w:r>
              <w:rPr>
                <w:rFonts w:hint="eastAsia" w:ascii="宋体" w:hAnsi="宋体"/>
                <w:bCs/>
                <w:color w:val="auto"/>
                <w:sz w:val="24"/>
                <w:szCs w:val="24"/>
                <w:highlight w:val="none"/>
              </w:rPr>
              <w:t>（人民币元）</w:t>
            </w:r>
          </w:p>
        </w:tc>
        <w:tc>
          <w:tcPr>
            <w:tcW w:w="1119" w:type="dxa"/>
            <w:tcBorders>
              <w:top w:val="single" w:color="auto" w:sz="4" w:space="0"/>
              <w:left w:val="single" w:color="auto" w:sz="4" w:space="0"/>
              <w:bottom w:val="single" w:color="auto" w:sz="4" w:space="0"/>
              <w:right w:val="single" w:color="auto" w:sz="4" w:space="0"/>
            </w:tcBorders>
            <w:vAlign w:val="center"/>
          </w:tcPr>
          <w:p w14:paraId="1C6FBA23">
            <w:pPr>
              <w:spacing w:line="360" w:lineRule="exact"/>
              <w:jc w:val="center"/>
              <w:rPr>
                <w:rFonts w:ascii="宋体" w:hAnsi="宋体"/>
                <w:color w:val="auto"/>
                <w:sz w:val="24"/>
                <w:szCs w:val="24"/>
                <w:highlight w:val="none"/>
              </w:rPr>
            </w:pPr>
          </w:p>
        </w:tc>
      </w:tr>
    </w:tbl>
    <w:p w14:paraId="668D331D">
      <w:pPr>
        <w:pStyle w:val="3"/>
        <w:ind w:firstLine="0"/>
        <w:rPr>
          <w:rFonts w:eastAsia="宋体"/>
          <w:color w:val="auto"/>
          <w:szCs w:val="24"/>
          <w:highlight w:val="none"/>
        </w:rPr>
      </w:pPr>
      <w:r>
        <w:rPr>
          <w:rFonts w:hint="eastAsia" w:eastAsia="宋体"/>
          <w:color w:val="auto"/>
          <w:szCs w:val="24"/>
          <w:highlight w:val="none"/>
        </w:rPr>
        <w:t>备注：本表格供参考，投标人可根据项目实际情况自拟表格。</w:t>
      </w:r>
    </w:p>
    <w:p w14:paraId="3141EA10">
      <w:pPr>
        <w:pStyle w:val="3"/>
        <w:ind w:firstLine="0"/>
        <w:rPr>
          <w:rFonts w:ascii="宋体"/>
          <w:color w:val="auto"/>
          <w:highlight w:val="none"/>
        </w:rPr>
      </w:pPr>
    </w:p>
    <w:p w14:paraId="03001AD4">
      <w:pPr>
        <w:rPr>
          <w:color w:val="auto"/>
          <w:highlight w:val="none"/>
        </w:rPr>
      </w:pPr>
    </w:p>
    <w:p w14:paraId="5FEF58F1">
      <w:pPr>
        <w:pStyle w:val="3"/>
        <w:spacing w:beforeLines="50" w:line="360" w:lineRule="exact"/>
        <w:ind w:firstLine="0"/>
        <w:rPr>
          <w:rFonts w:eastAsia="宋体"/>
          <w:color w:val="auto"/>
          <w:highlight w:val="none"/>
        </w:rPr>
      </w:pPr>
      <w:r>
        <w:rPr>
          <w:rFonts w:hint="eastAsia" w:eastAsia="宋体"/>
          <w:color w:val="auto"/>
          <w:highlight w:val="none"/>
        </w:rPr>
        <w:t>投标人单位（盖公章）：</w:t>
      </w:r>
    </w:p>
    <w:p w14:paraId="419680FB">
      <w:pPr>
        <w:pStyle w:val="3"/>
        <w:spacing w:beforeLines="50" w:line="360" w:lineRule="exact"/>
        <w:ind w:firstLine="0"/>
        <w:rPr>
          <w:rFonts w:eastAsia="宋体"/>
          <w:color w:val="auto"/>
          <w:highlight w:val="none"/>
        </w:rPr>
      </w:pPr>
      <w:r>
        <w:rPr>
          <w:rFonts w:hint="eastAsia"/>
          <w:color w:val="auto"/>
          <w:highlight w:val="none"/>
        </w:rPr>
        <w:t>法定代表人或</w:t>
      </w:r>
      <w:r>
        <w:rPr>
          <w:rFonts w:hint="eastAsia" w:eastAsia="宋体"/>
          <w:color w:val="auto"/>
          <w:highlight w:val="none"/>
        </w:rPr>
        <w:t>被授权代表人（签字或盖章）：</w:t>
      </w:r>
    </w:p>
    <w:p w14:paraId="18B49685">
      <w:pPr>
        <w:pStyle w:val="3"/>
        <w:spacing w:beforeLines="50" w:line="360" w:lineRule="exact"/>
        <w:ind w:firstLine="0"/>
        <w:rPr>
          <w:rFonts w:eastAsia="宋体"/>
          <w:color w:val="auto"/>
          <w:highlight w:val="none"/>
        </w:rPr>
      </w:pPr>
      <w:r>
        <w:rPr>
          <w:rFonts w:hint="eastAsia" w:eastAsia="宋体"/>
          <w:color w:val="auto"/>
          <w:highlight w:val="none"/>
        </w:rPr>
        <w:t>日</w:t>
      </w:r>
      <w:r>
        <w:rPr>
          <w:rFonts w:eastAsia="宋体"/>
          <w:color w:val="auto"/>
          <w:highlight w:val="none"/>
        </w:rPr>
        <w:t xml:space="preserve">      </w:t>
      </w:r>
      <w:r>
        <w:rPr>
          <w:rFonts w:hint="eastAsia" w:eastAsia="宋体"/>
          <w:color w:val="auto"/>
          <w:highlight w:val="none"/>
        </w:rPr>
        <w:t xml:space="preserve">期：  </w:t>
      </w:r>
    </w:p>
    <w:p w14:paraId="5E0D0C7B">
      <w:pPr>
        <w:rPr>
          <w:rFonts w:hint="eastAsia"/>
          <w:color w:val="auto"/>
          <w:highlight w:val="none"/>
        </w:rPr>
      </w:pPr>
    </w:p>
    <w:p w14:paraId="68CFE24D">
      <w:pPr>
        <w:pStyle w:val="28"/>
        <w:rPr>
          <w:color w:val="auto"/>
          <w:highlight w:val="none"/>
        </w:rPr>
      </w:pPr>
    </w:p>
    <w:p w14:paraId="463744DD">
      <w:pPr>
        <w:rPr>
          <w:rFonts w:hint="eastAsia" w:ascii="Calibri" w:hAnsi="Calibri" w:eastAsia="宋体" w:cs="Calibri"/>
          <w:b/>
          <w:color w:val="auto"/>
          <w:sz w:val="28"/>
          <w:highlight w:val="none"/>
        </w:rPr>
      </w:pPr>
      <w:r>
        <w:rPr>
          <w:rFonts w:hint="eastAsia" w:ascii="Calibri" w:hAnsi="Calibri" w:eastAsia="宋体" w:cs="Calibri"/>
          <w:b/>
          <w:color w:val="auto"/>
          <w:sz w:val="28"/>
          <w:highlight w:val="none"/>
        </w:rPr>
        <w:br w:type="page"/>
      </w:r>
    </w:p>
    <w:p w14:paraId="1ED10687">
      <w:pPr>
        <w:pStyle w:val="3"/>
        <w:ind w:firstLine="0"/>
        <w:jc w:val="center"/>
        <w:outlineLvl w:val="2"/>
        <w:rPr>
          <w:rFonts w:ascii="宋体" w:eastAsia="宋体"/>
          <w:b/>
          <w:color w:val="auto"/>
          <w:sz w:val="28"/>
          <w:highlight w:val="none"/>
        </w:rPr>
      </w:pPr>
      <w:r>
        <w:rPr>
          <w:rFonts w:hint="eastAsia" w:ascii="宋体" w:eastAsia="宋体"/>
          <w:b/>
          <w:color w:val="auto"/>
          <w:sz w:val="28"/>
          <w:highlight w:val="none"/>
        </w:rPr>
        <w:t>（3）政府采购供应商基础信息登记表</w:t>
      </w:r>
    </w:p>
    <w:tbl>
      <w:tblPr>
        <w:tblStyle w:val="32"/>
        <w:tblW w:w="0" w:type="auto"/>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055"/>
        <w:gridCol w:w="3661"/>
      </w:tblGrid>
      <w:tr w14:paraId="73844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BC76D72">
            <w:pPr>
              <w:jc w:val="center"/>
              <w:rPr>
                <w:rFonts w:ascii="宋体" w:hAnsi="宋体"/>
                <w:bCs/>
                <w:color w:val="auto"/>
                <w:szCs w:val="21"/>
                <w:highlight w:val="none"/>
              </w:rPr>
            </w:pPr>
            <w:r>
              <w:rPr>
                <w:rFonts w:ascii="宋体" w:hAnsi="宋体"/>
                <w:bCs/>
                <w:color w:val="auto"/>
                <w:szCs w:val="21"/>
                <w:highlight w:val="none"/>
              </w:rPr>
              <w:t>投标项目编号</w:t>
            </w:r>
          </w:p>
        </w:tc>
        <w:tc>
          <w:tcPr>
            <w:tcW w:w="3661" w:type="dxa"/>
            <w:vAlign w:val="center"/>
          </w:tcPr>
          <w:p w14:paraId="01254531">
            <w:pPr>
              <w:jc w:val="center"/>
              <w:rPr>
                <w:rFonts w:ascii="宋体" w:hAnsi="宋体"/>
                <w:bCs/>
                <w:color w:val="auto"/>
                <w:szCs w:val="21"/>
                <w:highlight w:val="none"/>
              </w:rPr>
            </w:pPr>
          </w:p>
        </w:tc>
      </w:tr>
      <w:tr w14:paraId="2D1DB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85DF786">
            <w:pPr>
              <w:jc w:val="center"/>
              <w:rPr>
                <w:rFonts w:ascii="宋体" w:hAnsi="宋体"/>
                <w:bCs/>
                <w:color w:val="auto"/>
                <w:szCs w:val="21"/>
                <w:highlight w:val="none"/>
              </w:rPr>
            </w:pPr>
            <w:r>
              <w:rPr>
                <w:rFonts w:ascii="宋体" w:hAnsi="宋体"/>
                <w:bCs/>
                <w:color w:val="auto"/>
                <w:szCs w:val="21"/>
                <w:highlight w:val="none"/>
              </w:rPr>
              <w:t>投标项目名称</w:t>
            </w:r>
          </w:p>
        </w:tc>
        <w:tc>
          <w:tcPr>
            <w:tcW w:w="3661" w:type="dxa"/>
            <w:vAlign w:val="center"/>
          </w:tcPr>
          <w:p w14:paraId="0530FB10">
            <w:pPr>
              <w:jc w:val="center"/>
              <w:rPr>
                <w:rFonts w:ascii="宋体" w:hAnsi="宋体"/>
                <w:bCs/>
                <w:color w:val="auto"/>
                <w:szCs w:val="21"/>
                <w:highlight w:val="none"/>
              </w:rPr>
            </w:pPr>
          </w:p>
        </w:tc>
      </w:tr>
      <w:tr w14:paraId="4858EB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BA1DF8C">
            <w:pPr>
              <w:jc w:val="center"/>
              <w:rPr>
                <w:rFonts w:hint="eastAsia" w:ascii="宋体" w:hAnsi="宋体" w:eastAsia="宋体"/>
                <w:bCs/>
                <w:color w:val="auto"/>
                <w:szCs w:val="21"/>
                <w:highlight w:val="none"/>
                <w:lang w:eastAsia="zh-CN"/>
              </w:rPr>
            </w:pPr>
            <w:r>
              <w:rPr>
                <w:rFonts w:ascii="宋体" w:hAnsi="宋体"/>
                <w:bCs/>
                <w:color w:val="auto"/>
                <w:szCs w:val="21"/>
                <w:highlight w:val="none"/>
              </w:rPr>
              <w:t>投标</w:t>
            </w:r>
            <w:r>
              <w:rPr>
                <w:rFonts w:hint="eastAsia" w:ascii="宋体" w:hAnsi="宋体"/>
                <w:bCs/>
                <w:color w:val="auto"/>
                <w:szCs w:val="21"/>
                <w:highlight w:val="none"/>
                <w:lang w:val="en-US" w:eastAsia="zh-CN"/>
              </w:rPr>
              <w:t>标项</w:t>
            </w:r>
          </w:p>
        </w:tc>
        <w:tc>
          <w:tcPr>
            <w:tcW w:w="3661" w:type="dxa"/>
            <w:vAlign w:val="center"/>
          </w:tcPr>
          <w:p w14:paraId="6AEE44F5">
            <w:pPr>
              <w:jc w:val="center"/>
              <w:rPr>
                <w:rFonts w:hint="default" w:ascii="宋体" w:hAnsi="宋体" w:eastAsia="宋体"/>
                <w:bCs/>
                <w:color w:val="auto"/>
                <w:szCs w:val="21"/>
                <w:highlight w:val="none"/>
                <w:lang w:val="en-US" w:eastAsia="zh-CN"/>
              </w:rPr>
            </w:pPr>
          </w:p>
        </w:tc>
      </w:tr>
      <w:tr w14:paraId="79235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F918E45">
            <w:pPr>
              <w:jc w:val="center"/>
              <w:rPr>
                <w:rFonts w:ascii="宋体" w:hAnsi="宋体"/>
                <w:bCs/>
                <w:color w:val="auto"/>
                <w:szCs w:val="21"/>
                <w:highlight w:val="none"/>
              </w:rPr>
            </w:pPr>
            <w:r>
              <w:rPr>
                <w:rFonts w:ascii="宋体" w:hAnsi="宋体"/>
                <w:bCs/>
                <w:color w:val="auto"/>
                <w:szCs w:val="21"/>
                <w:highlight w:val="none"/>
              </w:rPr>
              <w:t>投标金额（万元）</w:t>
            </w:r>
          </w:p>
        </w:tc>
        <w:tc>
          <w:tcPr>
            <w:tcW w:w="3661" w:type="dxa"/>
            <w:vAlign w:val="center"/>
          </w:tcPr>
          <w:p w14:paraId="532CAA8A">
            <w:pPr>
              <w:jc w:val="center"/>
              <w:rPr>
                <w:rFonts w:ascii="宋体" w:hAnsi="宋体"/>
                <w:bCs/>
                <w:color w:val="auto"/>
                <w:szCs w:val="21"/>
                <w:highlight w:val="none"/>
              </w:rPr>
            </w:pPr>
          </w:p>
        </w:tc>
      </w:tr>
      <w:tr w14:paraId="39A01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FEE98AC">
            <w:pPr>
              <w:jc w:val="center"/>
              <w:rPr>
                <w:rFonts w:ascii="宋体" w:hAnsi="宋体"/>
                <w:bCs/>
                <w:color w:val="auto"/>
                <w:szCs w:val="21"/>
                <w:highlight w:val="none"/>
              </w:rPr>
            </w:pPr>
            <w:r>
              <w:rPr>
                <w:rFonts w:ascii="宋体" w:hAnsi="宋体"/>
                <w:bCs/>
                <w:color w:val="auto"/>
                <w:szCs w:val="21"/>
                <w:highlight w:val="none"/>
              </w:rPr>
              <w:t>投标单位名称</w:t>
            </w:r>
          </w:p>
        </w:tc>
        <w:tc>
          <w:tcPr>
            <w:tcW w:w="3661" w:type="dxa"/>
            <w:vAlign w:val="center"/>
          </w:tcPr>
          <w:p w14:paraId="24336D89">
            <w:pPr>
              <w:jc w:val="center"/>
              <w:rPr>
                <w:rFonts w:ascii="宋体" w:hAnsi="宋体"/>
                <w:bCs/>
                <w:color w:val="auto"/>
                <w:szCs w:val="21"/>
                <w:highlight w:val="none"/>
              </w:rPr>
            </w:pPr>
          </w:p>
        </w:tc>
      </w:tr>
      <w:tr w14:paraId="56F0B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02D5D460">
            <w:pPr>
              <w:jc w:val="center"/>
              <w:rPr>
                <w:rFonts w:ascii="宋体" w:hAnsi="宋体"/>
                <w:bCs/>
                <w:color w:val="auto"/>
                <w:szCs w:val="21"/>
                <w:highlight w:val="none"/>
              </w:rPr>
            </w:pPr>
            <w:r>
              <w:rPr>
                <w:rFonts w:ascii="宋体" w:hAnsi="宋体"/>
                <w:bCs/>
                <w:color w:val="auto"/>
                <w:szCs w:val="21"/>
                <w:highlight w:val="none"/>
              </w:rPr>
              <w:t>是否国内企业</w:t>
            </w:r>
          </w:p>
        </w:tc>
        <w:tc>
          <w:tcPr>
            <w:tcW w:w="3661" w:type="dxa"/>
            <w:vAlign w:val="center"/>
          </w:tcPr>
          <w:p w14:paraId="62EA168C">
            <w:pPr>
              <w:jc w:val="center"/>
              <w:rPr>
                <w:rFonts w:ascii="宋体" w:hAnsi="宋体"/>
                <w:bCs/>
                <w:color w:val="auto"/>
                <w:szCs w:val="21"/>
                <w:highlight w:val="none"/>
              </w:rPr>
            </w:pPr>
          </w:p>
        </w:tc>
      </w:tr>
      <w:tr w14:paraId="70D31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F71CE7D">
            <w:pPr>
              <w:jc w:val="center"/>
              <w:rPr>
                <w:rFonts w:ascii="宋体" w:hAnsi="宋体"/>
                <w:bCs/>
                <w:color w:val="auto"/>
                <w:szCs w:val="21"/>
                <w:highlight w:val="none"/>
              </w:rPr>
            </w:pPr>
            <w:r>
              <w:rPr>
                <w:rFonts w:ascii="宋体" w:hAnsi="宋体"/>
                <w:bCs/>
                <w:color w:val="auto"/>
                <w:szCs w:val="21"/>
                <w:highlight w:val="none"/>
              </w:rPr>
              <w:t>是否宁波企业</w:t>
            </w:r>
          </w:p>
        </w:tc>
        <w:tc>
          <w:tcPr>
            <w:tcW w:w="3661" w:type="dxa"/>
            <w:vAlign w:val="center"/>
          </w:tcPr>
          <w:p w14:paraId="442B30DC">
            <w:pPr>
              <w:jc w:val="center"/>
              <w:rPr>
                <w:rFonts w:ascii="宋体" w:hAnsi="宋体"/>
                <w:bCs/>
                <w:color w:val="auto"/>
                <w:szCs w:val="21"/>
                <w:highlight w:val="none"/>
              </w:rPr>
            </w:pPr>
          </w:p>
        </w:tc>
      </w:tr>
      <w:tr w14:paraId="4EB5B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16F3047B">
            <w:pPr>
              <w:jc w:val="center"/>
              <w:rPr>
                <w:rFonts w:ascii="宋体" w:hAnsi="宋体"/>
                <w:bCs/>
                <w:color w:val="auto"/>
                <w:szCs w:val="21"/>
                <w:highlight w:val="none"/>
              </w:rPr>
            </w:pPr>
            <w:r>
              <w:rPr>
                <w:rFonts w:ascii="宋体" w:hAnsi="宋体"/>
                <w:bCs/>
                <w:color w:val="auto"/>
                <w:szCs w:val="21"/>
                <w:highlight w:val="none"/>
              </w:rPr>
              <w:t>企业划分标准类型（中型、小型、微型）</w:t>
            </w:r>
          </w:p>
        </w:tc>
        <w:tc>
          <w:tcPr>
            <w:tcW w:w="3661" w:type="dxa"/>
            <w:vAlign w:val="center"/>
          </w:tcPr>
          <w:p w14:paraId="0BCA04F3">
            <w:pPr>
              <w:jc w:val="center"/>
              <w:rPr>
                <w:rFonts w:ascii="宋体" w:hAnsi="宋体"/>
                <w:bCs/>
                <w:color w:val="auto"/>
                <w:szCs w:val="21"/>
                <w:highlight w:val="none"/>
              </w:rPr>
            </w:pPr>
          </w:p>
        </w:tc>
      </w:tr>
      <w:tr w14:paraId="111BD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A74F176">
            <w:pPr>
              <w:jc w:val="center"/>
              <w:rPr>
                <w:rFonts w:ascii="宋体" w:hAnsi="宋体"/>
                <w:bCs/>
                <w:color w:val="auto"/>
                <w:szCs w:val="21"/>
                <w:highlight w:val="none"/>
              </w:rPr>
            </w:pPr>
            <w:r>
              <w:rPr>
                <w:rFonts w:ascii="宋体" w:hAnsi="宋体"/>
                <w:bCs/>
                <w:color w:val="auto"/>
                <w:szCs w:val="21"/>
                <w:highlight w:val="none"/>
              </w:rPr>
              <w:t>提供的货物是否本企业制造</w:t>
            </w:r>
          </w:p>
        </w:tc>
        <w:tc>
          <w:tcPr>
            <w:tcW w:w="3661" w:type="dxa"/>
            <w:vAlign w:val="center"/>
          </w:tcPr>
          <w:p w14:paraId="3F3F0E14">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58EA9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4B43ED58">
            <w:pPr>
              <w:jc w:val="center"/>
              <w:rPr>
                <w:rFonts w:ascii="宋体" w:hAnsi="宋体"/>
                <w:bCs/>
                <w:color w:val="auto"/>
                <w:szCs w:val="21"/>
                <w:highlight w:val="none"/>
              </w:rPr>
            </w:pPr>
            <w:r>
              <w:rPr>
                <w:rFonts w:ascii="宋体" w:hAnsi="宋体"/>
                <w:bCs/>
                <w:color w:val="auto"/>
                <w:szCs w:val="21"/>
                <w:highlight w:val="none"/>
              </w:rPr>
              <w:t>货物原产地是否是中国境内</w:t>
            </w:r>
          </w:p>
        </w:tc>
        <w:tc>
          <w:tcPr>
            <w:tcW w:w="3661" w:type="dxa"/>
            <w:vAlign w:val="center"/>
          </w:tcPr>
          <w:p w14:paraId="7B2D2FF2">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282CB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20CB535A">
            <w:pPr>
              <w:jc w:val="center"/>
              <w:rPr>
                <w:rFonts w:ascii="宋体" w:hAnsi="宋体"/>
                <w:bCs/>
                <w:color w:val="auto"/>
                <w:szCs w:val="21"/>
                <w:highlight w:val="none"/>
              </w:rPr>
            </w:pPr>
            <w:r>
              <w:rPr>
                <w:rFonts w:ascii="宋体" w:hAnsi="宋体"/>
                <w:bCs/>
                <w:color w:val="auto"/>
                <w:szCs w:val="21"/>
                <w:highlight w:val="none"/>
              </w:rPr>
              <w:t>货物原产地是否是宁波</w:t>
            </w:r>
          </w:p>
        </w:tc>
        <w:tc>
          <w:tcPr>
            <w:tcW w:w="3661" w:type="dxa"/>
            <w:vAlign w:val="center"/>
          </w:tcPr>
          <w:p w14:paraId="5D9BC340">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05373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66E823B7">
            <w:pPr>
              <w:jc w:val="center"/>
              <w:rPr>
                <w:rFonts w:ascii="宋体" w:hAnsi="宋体"/>
                <w:bCs/>
                <w:color w:val="auto"/>
                <w:szCs w:val="21"/>
                <w:highlight w:val="none"/>
              </w:rPr>
            </w:pPr>
            <w:r>
              <w:rPr>
                <w:rFonts w:ascii="宋体" w:hAnsi="宋体"/>
                <w:bCs/>
                <w:color w:val="auto"/>
                <w:szCs w:val="21"/>
                <w:highlight w:val="none"/>
              </w:rPr>
              <w:t>提供的货物是否是节能清单产品</w:t>
            </w:r>
          </w:p>
        </w:tc>
        <w:tc>
          <w:tcPr>
            <w:tcW w:w="3661" w:type="dxa"/>
            <w:vAlign w:val="center"/>
          </w:tcPr>
          <w:p w14:paraId="4C98E7A2">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2CCBC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748090B8">
            <w:pPr>
              <w:jc w:val="center"/>
              <w:rPr>
                <w:rFonts w:ascii="宋体" w:hAnsi="宋体"/>
                <w:bCs/>
                <w:color w:val="auto"/>
                <w:szCs w:val="21"/>
                <w:highlight w:val="none"/>
              </w:rPr>
            </w:pPr>
            <w:r>
              <w:rPr>
                <w:rFonts w:ascii="宋体" w:hAnsi="宋体"/>
                <w:bCs/>
                <w:color w:val="auto"/>
                <w:szCs w:val="21"/>
                <w:highlight w:val="none"/>
              </w:rPr>
              <w:t>提供的货物是否是环境标志清单产品</w:t>
            </w:r>
          </w:p>
        </w:tc>
        <w:tc>
          <w:tcPr>
            <w:tcW w:w="3661" w:type="dxa"/>
            <w:vAlign w:val="center"/>
          </w:tcPr>
          <w:p w14:paraId="0CBE6377">
            <w:pPr>
              <w:jc w:val="center"/>
              <w:rPr>
                <w:rFonts w:hint="eastAsia"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w:t>
            </w:r>
          </w:p>
        </w:tc>
      </w:tr>
      <w:tr w14:paraId="3ED0C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tblCellSpacing w:w="0" w:type="dxa"/>
        </w:trPr>
        <w:tc>
          <w:tcPr>
            <w:tcW w:w="5055" w:type="dxa"/>
            <w:vAlign w:val="center"/>
          </w:tcPr>
          <w:p w14:paraId="3AFEC447">
            <w:pPr>
              <w:jc w:val="center"/>
              <w:rPr>
                <w:rFonts w:ascii="宋体" w:hAnsi="宋体"/>
                <w:bCs/>
                <w:color w:val="auto"/>
                <w:szCs w:val="21"/>
                <w:highlight w:val="none"/>
              </w:rPr>
            </w:pPr>
            <w:r>
              <w:rPr>
                <w:rFonts w:ascii="宋体" w:hAnsi="宋体"/>
                <w:bCs/>
                <w:color w:val="auto"/>
                <w:szCs w:val="21"/>
                <w:highlight w:val="none"/>
              </w:rPr>
              <w:t>承担的工程或服务是否本企业提供</w:t>
            </w:r>
          </w:p>
        </w:tc>
        <w:tc>
          <w:tcPr>
            <w:tcW w:w="3661" w:type="dxa"/>
            <w:vAlign w:val="center"/>
          </w:tcPr>
          <w:p w14:paraId="51948571">
            <w:pPr>
              <w:jc w:val="center"/>
              <w:rPr>
                <w:rFonts w:ascii="宋体" w:hAnsi="宋体"/>
                <w:bCs/>
                <w:color w:val="auto"/>
                <w:szCs w:val="21"/>
                <w:highlight w:val="none"/>
              </w:rPr>
            </w:pPr>
          </w:p>
        </w:tc>
      </w:tr>
    </w:tbl>
    <w:p w14:paraId="23AE960F">
      <w:pPr>
        <w:pStyle w:val="30"/>
        <w:rPr>
          <w:rFonts w:ascii="ˎ̥" w:hAnsi="ˎ̥"/>
          <w:color w:val="auto"/>
          <w:sz w:val="26"/>
          <w:szCs w:val="26"/>
          <w:highlight w:val="none"/>
        </w:rPr>
      </w:pPr>
    </w:p>
    <w:p w14:paraId="4A6E86A7">
      <w:pPr>
        <w:pStyle w:val="3"/>
        <w:spacing w:beforeLines="50" w:line="360" w:lineRule="exact"/>
        <w:ind w:firstLine="0"/>
        <w:rPr>
          <w:rFonts w:eastAsia="宋体"/>
          <w:color w:val="auto"/>
          <w:szCs w:val="24"/>
          <w:highlight w:val="none"/>
        </w:rPr>
      </w:pPr>
      <w:r>
        <w:rPr>
          <w:rFonts w:hint="eastAsia" w:eastAsia="宋体"/>
          <w:color w:val="auto"/>
          <w:highlight w:val="none"/>
        </w:rPr>
        <w:t>投标人单位（盖公章）：</w:t>
      </w:r>
    </w:p>
    <w:p w14:paraId="24074458">
      <w:pPr>
        <w:spacing w:line="400" w:lineRule="exact"/>
        <w:rPr>
          <w:color w:val="auto"/>
          <w:sz w:val="24"/>
          <w:highlight w:val="none"/>
        </w:rPr>
      </w:pPr>
      <w:r>
        <w:rPr>
          <w:rFonts w:hint="eastAsia"/>
          <w:color w:val="auto"/>
          <w:sz w:val="24"/>
          <w:szCs w:val="24"/>
          <w:highlight w:val="none"/>
        </w:rPr>
        <w:t>日</w:t>
      </w:r>
      <w:r>
        <w:rPr>
          <w:color w:val="auto"/>
          <w:sz w:val="24"/>
          <w:szCs w:val="24"/>
          <w:highlight w:val="none"/>
        </w:rPr>
        <w:t xml:space="preserve">    </w:t>
      </w:r>
      <w:r>
        <w:rPr>
          <w:rFonts w:hint="eastAsia"/>
          <w:color w:val="auto"/>
          <w:sz w:val="24"/>
          <w:szCs w:val="24"/>
          <w:highlight w:val="none"/>
        </w:rPr>
        <w:t>期：</w:t>
      </w:r>
    </w:p>
    <w:p w14:paraId="22C23F3E">
      <w:pPr>
        <w:pStyle w:val="3"/>
        <w:spacing w:line="520" w:lineRule="exact"/>
        <w:ind w:firstLine="0"/>
        <w:jc w:val="center"/>
        <w:rPr>
          <w:rFonts w:ascii="宋体" w:eastAsia="宋体"/>
          <w:b/>
          <w:color w:val="auto"/>
          <w:sz w:val="28"/>
          <w:highlight w:val="none"/>
        </w:rPr>
      </w:pPr>
    </w:p>
    <w:sectPr>
      <w:headerReference r:id="rId16" w:type="default"/>
      <w:footerReference r:id="rId17" w:type="default"/>
      <w:pgSz w:w="11907" w:h="16840"/>
      <w:pgMar w:top="1191" w:right="1407" w:bottom="964" w:left="1797" w:header="720" w:footer="851" w:gutter="0"/>
      <w:pgBorders>
        <w:top w:val="none" w:sz="0" w:space="0"/>
        <w:left w:val="none" w:sz="0" w:space="0"/>
        <w:bottom w:val="none" w:sz="0" w:space="0"/>
        <w:right w:val="none" w:sz="0" w:space="0"/>
      </w:pgBorders>
      <w:cols w:space="720" w:num="1"/>
      <w:docGrid w:type="lines"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书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horndale">
    <w:altName w:val="微软雅黑"/>
    <w:panose1 w:val="00000000000000000000"/>
    <w:charset w:val="00"/>
    <w:family w:val="roman"/>
    <w:pitch w:val="default"/>
    <w:sig w:usb0="00000000" w:usb1="00000000" w:usb2="00000000" w:usb3="00000000" w:csb0="00040001" w:csb1="00000000"/>
  </w:font>
  <w:font w:name="HG Mincho Light J">
    <w:altName w:val="微软雅黑"/>
    <w:panose1 w:val="00000000000000000000"/>
    <w:charset w:val="00"/>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ˎ̥">
    <w:altName w:val="微软雅黑"/>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38F38">
    <w:pPr>
      <w:pStyle w:val="25"/>
      <w:rPr>
        <w:sz w:val="21"/>
        <w:szCs w:val="21"/>
      </w:rPr>
    </w:pPr>
    <w:r>
      <w:rPr>
        <w:rFonts w:hint="eastAsia"/>
      </w:rPr>
      <w:t xml:space="preserve">                                        </w:t>
    </w:r>
    <w:r>
      <w:rPr>
        <w:rFonts w:hint="eastAsia"/>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B1D0B">
    <w:pPr>
      <w:pStyle w:val="25"/>
      <w:jc w:val="center"/>
      <w:rPr>
        <w:sz w:val="21"/>
        <w:szCs w:val="21"/>
      </w:rPr>
    </w:pPr>
    <w:r>
      <w:fldChar w:fldCharType="begin"/>
    </w:r>
    <w:r>
      <w:rPr>
        <w:rStyle w:val="37"/>
      </w:rPr>
      <w:instrText xml:space="preserve"> PAGE </w:instrText>
    </w:r>
    <w:r>
      <w:fldChar w:fldCharType="separate"/>
    </w:r>
    <w:r>
      <w:rPr>
        <w:rStyle w:val="37"/>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B0B4F">
    <w:pPr>
      <w:pStyle w:val="25"/>
      <w:framePr w:wrap="around" w:vAnchor="text" w:hAnchor="margin" w:xAlign="center" w:y="1"/>
      <w:rPr>
        <w:rStyle w:val="37"/>
      </w:rPr>
    </w:pPr>
    <w:r>
      <w:fldChar w:fldCharType="begin"/>
    </w:r>
    <w:r>
      <w:rPr>
        <w:rStyle w:val="37"/>
      </w:rPr>
      <w:instrText xml:space="preserve">PAGE  </w:instrText>
    </w:r>
    <w:r>
      <w:fldChar w:fldCharType="separate"/>
    </w:r>
    <w:r>
      <w:rPr>
        <w:rStyle w:val="37"/>
      </w:rPr>
      <w:t>18</w:t>
    </w:r>
    <w:r>
      <w:fldChar w:fldCharType="end"/>
    </w:r>
  </w:p>
  <w:p w14:paraId="688B58BD">
    <w:pPr>
      <w:pStyle w:val="25"/>
      <w:rPr>
        <w:sz w:val="21"/>
        <w:szCs w:val="21"/>
      </w:rPr>
    </w:pPr>
    <w:r>
      <w:rPr>
        <w:rFonts w:hint="eastAsia"/>
      </w:rPr>
      <w:t xml:space="preserve">                                        </w:t>
    </w:r>
    <w:r>
      <w:rPr>
        <w:rFonts w:hint="eastAsia"/>
        <w:sz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43A6">
    <w:pPr>
      <w:pStyle w:val="15"/>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4AE8325">
                          <w:pPr>
                            <w:pStyle w:val="25"/>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Fr0hv1AEAAKYDAAAOAAAAAAAAAAEAIAAA&#10;ACIBAABkcnMvZTJvRG9jLnhtbFBLBQYAAAAABgAGAFkBAABoBQAAAAA=&#10;">
              <v:fill on="f" focussize="0,0"/>
              <v:stroke on="f" weight="1.25pt"/>
              <v:imagedata o:title=""/>
              <o:lock v:ext="edit" aspectratio="f"/>
              <v:textbox inset="0mm,0mm,0mm,0mm" style="mso-fit-shape-to-text:t;">
                <w:txbxContent>
                  <w:p w14:paraId="64AE8325">
                    <w:pPr>
                      <w:pStyle w:val="25"/>
                    </w:pPr>
                    <w:r>
                      <w:fldChar w:fldCharType="begin"/>
                    </w:r>
                    <w:r>
                      <w:instrText xml:space="preserve"> PAGE  \* MERGEFORMAT </w:instrText>
                    </w:r>
                    <w:r>
                      <w:fldChar w:fldCharType="separate"/>
                    </w:r>
                    <w:r>
                      <w:t>38</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1130300</wp:posOffset>
              </wp:positionH>
              <wp:positionV relativeFrom="page">
                <wp:posOffset>9627235</wp:posOffset>
              </wp:positionV>
              <wp:extent cx="62230" cy="10668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62230" cy="106680"/>
                      </a:xfrm>
                      <a:prstGeom prst="rect">
                        <a:avLst/>
                      </a:prstGeom>
                      <a:noFill/>
                      <a:ln>
                        <a:noFill/>
                      </a:ln>
                    </wps:spPr>
                    <wps:txbx>
                      <w:txbxContent>
                        <w:p w14:paraId="5A0CC88B">
                          <w:pPr>
                            <w:spacing w:before="19"/>
                            <w:ind w:left="20"/>
                            <w:jc w:val="left"/>
                            <w:rPr>
                              <w:sz w:val="11"/>
                            </w:rPr>
                          </w:pPr>
                          <w:r>
                            <w:rPr>
                              <w:w w:val="104"/>
                              <w:sz w:val="11"/>
                            </w:rPr>
                            <w:t>1</w:t>
                          </w:r>
                        </w:p>
                      </w:txbxContent>
                    </wps:txbx>
                    <wps:bodyPr lIns="0" tIns="0" rIns="0" bIns="0" upright="1"/>
                  </wps:wsp>
                </a:graphicData>
              </a:graphic>
            </wp:anchor>
          </w:drawing>
        </mc:Choice>
        <mc:Fallback>
          <w:pict>
            <v:shape id="文本框 1029" o:spid="_x0000_s1026" o:spt="202" type="#_x0000_t202" style="position:absolute;left:0pt;margin-left:89pt;margin-top:758.05pt;height:8.4pt;width:4.9pt;mso-position-horizontal-relative:page;mso-position-vertical-relative:page;z-index:-251657216;mso-width-relative:page;mso-height-relative:page;" filled="f" stroked="f" coordsize="21600,21600" o:gfxdata="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odeEfaAAAADQEAAA8AAAAAAAAAAQAgAAAAIgAAAGRycy9kb3ducmV2LnhtbFBL&#10;AQIUABQAAAAIAIdO4kCp+rIruwEAAHMDAAAOAAAAAAAAAAEAIAAAACkBAABkcnMvZTJvRG9jLnht&#10;bFBLBQYAAAAABgAGAFkBAABWBQAAAAA=&#10;">
              <v:fill on="f" focussize="0,0"/>
              <v:stroke on="f"/>
              <v:imagedata o:title=""/>
              <o:lock v:ext="edit" aspectratio="f"/>
              <v:textbox inset="0mm,0mm,0mm,0mm">
                <w:txbxContent>
                  <w:p w14:paraId="5A0CC88B">
                    <w:pPr>
                      <w:spacing w:before="19"/>
                      <w:ind w:left="20"/>
                      <w:jc w:val="left"/>
                      <w:rPr>
                        <w:sz w:val="11"/>
                      </w:rPr>
                    </w:pPr>
                    <w:r>
                      <w:rPr>
                        <w:w w:val="104"/>
                        <w:sz w:val="11"/>
                      </w:rPr>
                      <w:t>1</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E1A9C">
    <w:pPr>
      <w:pStyle w:val="25"/>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B19C0EE">
                          <w:pPr>
                            <w:pStyle w:val="25"/>
                          </w:pPr>
                          <w:r>
                            <w:fldChar w:fldCharType="begin"/>
                          </w:r>
                          <w:r>
                            <w:instrText xml:space="preserve"> PAGE  \* MERGEFORMAT </w:instrText>
                          </w:r>
                          <w:r>
                            <w:fldChar w:fldCharType="separate"/>
                          </w:r>
                          <w:r>
                            <w:t>46</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8xfVXUAQAApg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W0osMzjw86+f599/&#10;z39+kGW5uk4K9R5qTLzzmBqHD27AvZnvAS8T8UEGk75IiWAc9T1d9BVDJDw9qlZVVWKIY2x2EL94&#10;eO4DxI/CGZKMhgYcYNaVHT9DHFPnlFTNululdR6itqRH1Kvq+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vMX1V1AEAAKYDAAAOAAAAAAAAAAEAIAAA&#10;ACIBAABkcnMvZTJvRG9jLnhtbFBLBQYAAAAABgAGAFkBAABoBQAAAAA=&#10;">
              <v:fill on="f" focussize="0,0"/>
              <v:stroke on="f" weight="1.25pt"/>
              <v:imagedata o:title=""/>
              <o:lock v:ext="edit" aspectratio="f"/>
              <v:textbox inset="0mm,0mm,0mm,0mm" style="mso-fit-shape-to-text:t;">
                <w:txbxContent>
                  <w:p w14:paraId="4B19C0EE">
                    <w:pPr>
                      <w:pStyle w:val="25"/>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031F0">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DE831">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8685D">
    <w:pPr>
      <w:pStyle w:val="25"/>
      <w:framePr w:wrap="around" w:vAnchor="text" w:hAnchor="margin" w:xAlign="center" w:y="1"/>
      <w:jc w:val="center"/>
      <w:rPr>
        <w:rStyle w:val="37"/>
      </w:rPr>
    </w:pPr>
    <w:r>
      <w:fldChar w:fldCharType="begin"/>
    </w:r>
    <w:r>
      <w:rPr>
        <w:rStyle w:val="37"/>
      </w:rPr>
      <w:instrText xml:space="preserve">PAGE  </w:instrText>
    </w:r>
    <w:r>
      <w:fldChar w:fldCharType="separate"/>
    </w:r>
    <w:r>
      <w:rPr>
        <w:rStyle w:val="37"/>
      </w:rPr>
      <w:t>33</w:t>
    </w:r>
    <w:r>
      <w:fldChar w:fldCharType="end"/>
    </w:r>
  </w:p>
  <w:p w14:paraId="6480B607">
    <w:pPr>
      <w:pStyle w:val="25"/>
      <w:framePr w:wrap="around" w:vAnchor="text" w:hAnchor="margin" w:xAlign="center" w:y="1"/>
      <w:rPr>
        <w:rStyle w:val="37"/>
      </w:rPr>
    </w:pPr>
  </w:p>
  <w:p w14:paraId="2E8A1C2F">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85BB5">
    <w:pPr>
      <w:pStyle w:val="25"/>
      <w:jc w:val="center"/>
      <w:rPr>
        <w:sz w:val="21"/>
      </w:rPr>
    </w:pPr>
    <w:r>
      <w:fldChar w:fldCharType="begin"/>
    </w:r>
    <w:r>
      <w:rPr>
        <w:rStyle w:val="37"/>
      </w:rPr>
      <w:instrText xml:space="preserve"> PAGE </w:instrText>
    </w:r>
    <w:r>
      <w:fldChar w:fldCharType="separate"/>
    </w:r>
    <w:r>
      <w:rPr>
        <w:rStyle w:val="37"/>
      </w:rPr>
      <w:t>39</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04F09">
    <w:pPr>
      <w:pStyle w:val="26"/>
      <w:pBdr>
        <w:top w:val="none" w:color="auto" w:sz="0" w:space="0"/>
        <w:left w:val="none" w:color="auto" w:sz="0" w:space="0"/>
        <w:bottom w:val="none" w:color="auto" w:sz="0" w:space="0"/>
        <w:right w:val="none" w:color="auto" w:sz="0" w:space="0"/>
      </w:pBdr>
      <w:rPr>
        <w:rFonts w:hint="eastAsia"/>
        <w:sz w:val="15"/>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E9C0F">
    <w:pPr>
      <w:pStyle w:val="26"/>
      <w:pBdr>
        <w:top w:val="none" w:color="auto" w:sz="0" w:space="0"/>
        <w:left w:val="none" w:color="auto" w:sz="0" w:space="0"/>
        <w:bottom w:val="none" w:color="auto" w:sz="0" w:space="0"/>
        <w:right w:val="none" w:color="auto" w:sz="0" w:space="0"/>
      </w:pBdr>
      <w:rPr>
        <w:rFonts w:hint="eastAsia"/>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4DBDC">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423B9">
    <w:pPr>
      <w:pStyle w:val="2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6538">
    <w:pPr>
      <w:pStyle w:val="26"/>
      <w:pBdr>
        <w:bottom w:val="none" w:color="auto" w:sz="0" w:space="1"/>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BFE9">
    <w:pPr>
      <w:pStyle w:val="2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C0329"/>
    <w:multiLevelType w:val="singleLevel"/>
    <w:tmpl w:val="837C0329"/>
    <w:lvl w:ilvl="0" w:tentative="0">
      <w:start w:val="3"/>
      <w:numFmt w:val="chineseCounting"/>
      <w:suff w:val="nothing"/>
      <w:lvlText w:val="（%1）"/>
      <w:lvlJc w:val="left"/>
      <w:rPr>
        <w:rFonts w:hint="eastAsia"/>
      </w:rPr>
    </w:lvl>
  </w:abstractNum>
  <w:abstractNum w:abstractNumId="1">
    <w:nsid w:val="EF57C659"/>
    <w:multiLevelType w:val="singleLevel"/>
    <w:tmpl w:val="EF57C659"/>
    <w:lvl w:ilvl="0" w:tentative="0">
      <w:start w:val="4"/>
      <w:numFmt w:val="decimal"/>
      <w:suff w:val="nothing"/>
      <w:lvlText w:val="%1、"/>
      <w:lvlJc w:val="left"/>
    </w:lvl>
  </w:abstractNum>
  <w:abstractNum w:abstractNumId="2">
    <w:nsid w:val="338A335B"/>
    <w:multiLevelType w:val="singleLevel"/>
    <w:tmpl w:val="338A335B"/>
    <w:lvl w:ilvl="0" w:tentative="0">
      <w:start w:val="2"/>
      <w:numFmt w:val="chineseCounting"/>
      <w:suff w:val="space"/>
      <w:lvlText w:val="第%1条"/>
      <w:lvlJc w:val="left"/>
      <w:rPr>
        <w:rFonts w:hint="eastAsia"/>
      </w:rPr>
    </w:lvl>
  </w:abstractNum>
  <w:abstractNum w:abstractNumId="3">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4">
    <w:nsid w:val="7F56668F"/>
    <w:multiLevelType w:val="multilevel"/>
    <w:tmpl w:val="7F56668F"/>
    <w:lvl w:ilvl="0" w:tentative="0">
      <w:start w:val="1"/>
      <w:numFmt w:val="chineseCountingThousand"/>
      <w:lvlText w:val="第%1章"/>
      <w:lvlJc w:val="left"/>
      <w:pPr>
        <w:ind w:left="440" w:hanging="440"/>
      </w:pPr>
      <w:rPr>
        <w:rFonts w:hint="eastAsia"/>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pStyle w:val="9"/>
      <w:isLg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trackRevisions w:val="1"/>
  <w:documentProtection w:enforcement="0"/>
  <w:defaultTabStop w:val="424"/>
  <w:drawingGridHorizontalSpacing w:val="105"/>
  <w:drawingGridVerticalSpacing w:val="28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lZWJmYTVmOGFlNTNiYjMxYmFmOTE0ODlmZWJlODIifQ=="/>
  </w:docVars>
  <w:rsids>
    <w:rsidRoot w:val="00172A27"/>
    <w:rsid w:val="000000C9"/>
    <w:rsid w:val="00000504"/>
    <w:rsid w:val="00001030"/>
    <w:rsid w:val="000015AB"/>
    <w:rsid w:val="000018FD"/>
    <w:rsid w:val="00001DE3"/>
    <w:rsid w:val="00001F3A"/>
    <w:rsid w:val="00002D09"/>
    <w:rsid w:val="00003A16"/>
    <w:rsid w:val="00003A7F"/>
    <w:rsid w:val="00003AF2"/>
    <w:rsid w:val="00003F8E"/>
    <w:rsid w:val="000040F2"/>
    <w:rsid w:val="00004299"/>
    <w:rsid w:val="0000465C"/>
    <w:rsid w:val="00004920"/>
    <w:rsid w:val="0000505C"/>
    <w:rsid w:val="00005C69"/>
    <w:rsid w:val="00006842"/>
    <w:rsid w:val="0000696B"/>
    <w:rsid w:val="00006BF9"/>
    <w:rsid w:val="00007411"/>
    <w:rsid w:val="0000755F"/>
    <w:rsid w:val="00007BCF"/>
    <w:rsid w:val="00007CF8"/>
    <w:rsid w:val="00010044"/>
    <w:rsid w:val="000100C0"/>
    <w:rsid w:val="000105D0"/>
    <w:rsid w:val="0001088F"/>
    <w:rsid w:val="00010DAE"/>
    <w:rsid w:val="00011A1A"/>
    <w:rsid w:val="000120DC"/>
    <w:rsid w:val="000120EB"/>
    <w:rsid w:val="000122B0"/>
    <w:rsid w:val="0001267F"/>
    <w:rsid w:val="00012CB4"/>
    <w:rsid w:val="00013024"/>
    <w:rsid w:val="0001303E"/>
    <w:rsid w:val="0001357B"/>
    <w:rsid w:val="00013652"/>
    <w:rsid w:val="000138A1"/>
    <w:rsid w:val="000139B5"/>
    <w:rsid w:val="00013F3B"/>
    <w:rsid w:val="00014607"/>
    <w:rsid w:val="00014A65"/>
    <w:rsid w:val="00014B20"/>
    <w:rsid w:val="00014C8C"/>
    <w:rsid w:val="0001545E"/>
    <w:rsid w:val="00015939"/>
    <w:rsid w:val="00016F4C"/>
    <w:rsid w:val="00017F39"/>
    <w:rsid w:val="0002009B"/>
    <w:rsid w:val="00020CDF"/>
    <w:rsid w:val="00020EFE"/>
    <w:rsid w:val="000214CA"/>
    <w:rsid w:val="0002156A"/>
    <w:rsid w:val="00021B28"/>
    <w:rsid w:val="00021DB2"/>
    <w:rsid w:val="00021F0C"/>
    <w:rsid w:val="00021F7A"/>
    <w:rsid w:val="00022F72"/>
    <w:rsid w:val="00024515"/>
    <w:rsid w:val="00024619"/>
    <w:rsid w:val="00025341"/>
    <w:rsid w:val="0002568D"/>
    <w:rsid w:val="00025FA4"/>
    <w:rsid w:val="000260D3"/>
    <w:rsid w:val="00026126"/>
    <w:rsid w:val="000262F0"/>
    <w:rsid w:val="00026A9F"/>
    <w:rsid w:val="000270AB"/>
    <w:rsid w:val="00027555"/>
    <w:rsid w:val="00027874"/>
    <w:rsid w:val="00031500"/>
    <w:rsid w:val="00031680"/>
    <w:rsid w:val="00031A80"/>
    <w:rsid w:val="000326D4"/>
    <w:rsid w:val="00032EC2"/>
    <w:rsid w:val="000335A1"/>
    <w:rsid w:val="0003407C"/>
    <w:rsid w:val="000343F2"/>
    <w:rsid w:val="0003464A"/>
    <w:rsid w:val="00034A65"/>
    <w:rsid w:val="00034DF4"/>
    <w:rsid w:val="000351FA"/>
    <w:rsid w:val="000354C8"/>
    <w:rsid w:val="000354EA"/>
    <w:rsid w:val="00035551"/>
    <w:rsid w:val="00035C35"/>
    <w:rsid w:val="000360E9"/>
    <w:rsid w:val="00036743"/>
    <w:rsid w:val="00037309"/>
    <w:rsid w:val="00037C23"/>
    <w:rsid w:val="000400A7"/>
    <w:rsid w:val="0004046C"/>
    <w:rsid w:val="00040480"/>
    <w:rsid w:val="0004073E"/>
    <w:rsid w:val="000408F0"/>
    <w:rsid w:val="000409BB"/>
    <w:rsid w:val="00040FF2"/>
    <w:rsid w:val="00041909"/>
    <w:rsid w:val="00041F5A"/>
    <w:rsid w:val="0004380E"/>
    <w:rsid w:val="00044476"/>
    <w:rsid w:val="00044AC1"/>
    <w:rsid w:val="00044D38"/>
    <w:rsid w:val="00045318"/>
    <w:rsid w:val="00045D6F"/>
    <w:rsid w:val="00045FD5"/>
    <w:rsid w:val="00046557"/>
    <w:rsid w:val="0004699E"/>
    <w:rsid w:val="00046DBD"/>
    <w:rsid w:val="00047836"/>
    <w:rsid w:val="00047BA4"/>
    <w:rsid w:val="000502B0"/>
    <w:rsid w:val="000508B4"/>
    <w:rsid w:val="0005145A"/>
    <w:rsid w:val="00051793"/>
    <w:rsid w:val="00051934"/>
    <w:rsid w:val="000519D0"/>
    <w:rsid w:val="000523EE"/>
    <w:rsid w:val="0005377E"/>
    <w:rsid w:val="000537F6"/>
    <w:rsid w:val="000538E1"/>
    <w:rsid w:val="00053A34"/>
    <w:rsid w:val="00054540"/>
    <w:rsid w:val="000547A2"/>
    <w:rsid w:val="00054AF9"/>
    <w:rsid w:val="00054B49"/>
    <w:rsid w:val="00055452"/>
    <w:rsid w:val="00055655"/>
    <w:rsid w:val="0005580B"/>
    <w:rsid w:val="00055A16"/>
    <w:rsid w:val="00055E66"/>
    <w:rsid w:val="0005619A"/>
    <w:rsid w:val="00056791"/>
    <w:rsid w:val="000572D5"/>
    <w:rsid w:val="000575F5"/>
    <w:rsid w:val="00057B8E"/>
    <w:rsid w:val="00057CAC"/>
    <w:rsid w:val="00057DC2"/>
    <w:rsid w:val="00060282"/>
    <w:rsid w:val="0006069D"/>
    <w:rsid w:val="00060B63"/>
    <w:rsid w:val="00060BBF"/>
    <w:rsid w:val="00060C16"/>
    <w:rsid w:val="00060E27"/>
    <w:rsid w:val="00061312"/>
    <w:rsid w:val="000613C2"/>
    <w:rsid w:val="0006165C"/>
    <w:rsid w:val="00062239"/>
    <w:rsid w:val="000622AD"/>
    <w:rsid w:val="000622BF"/>
    <w:rsid w:val="00062425"/>
    <w:rsid w:val="000624BA"/>
    <w:rsid w:val="000626ED"/>
    <w:rsid w:val="000627DD"/>
    <w:rsid w:val="00062BD7"/>
    <w:rsid w:val="00063255"/>
    <w:rsid w:val="000637AE"/>
    <w:rsid w:val="00063F83"/>
    <w:rsid w:val="0006479C"/>
    <w:rsid w:val="00064934"/>
    <w:rsid w:val="00064A7A"/>
    <w:rsid w:val="000655D1"/>
    <w:rsid w:val="00065CAF"/>
    <w:rsid w:val="00065D64"/>
    <w:rsid w:val="000667D5"/>
    <w:rsid w:val="00066A35"/>
    <w:rsid w:val="00066C03"/>
    <w:rsid w:val="00066E9C"/>
    <w:rsid w:val="0006740A"/>
    <w:rsid w:val="00067497"/>
    <w:rsid w:val="000679DD"/>
    <w:rsid w:val="00067D0E"/>
    <w:rsid w:val="00067EE3"/>
    <w:rsid w:val="000700E7"/>
    <w:rsid w:val="00070583"/>
    <w:rsid w:val="00070A4C"/>
    <w:rsid w:val="00070B3C"/>
    <w:rsid w:val="0007165B"/>
    <w:rsid w:val="00072005"/>
    <w:rsid w:val="00072516"/>
    <w:rsid w:val="00072931"/>
    <w:rsid w:val="00073178"/>
    <w:rsid w:val="000733B3"/>
    <w:rsid w:val="0007360A"/>
    <w:rsid w:val="00073671"/>
    <w:rsid w:val="00073A31"/>
    <w:rsid w:val="00073B12"/>
    <w:rsid w:val="0007578E"/>
    <w:rsid w:val="00075D49"/>
    <w:rsid w:val="00076E08"/>
    <w:rsid w:val="00076E94"/>
    <w:rsid w:val="0007711B"/>
    <w:rsid w:val="00077A2B"/>
    <w:rsid w:val="00077B63"/>
    <w:rsid w:val="0008005E"/>
    <w:rsid w:val="00080D93"/>
    <w:rsid w:val="0008136E"/>
    <w:rsid w:val="00081654"/>
    <w:rsid w:val="00081AC4"/>
    <w:rsid w:val="00081B68"/>
    <w:rsid w:val="00082812"/>
    <w:rsid w:val="00082DCD"/>
    <w:rsid w:val="000832C4"/>
    <w:rsid w:val="00083983"/>
    <w:rsid w:val="00083A4C"/>
    <w:rsid w:val="00083B07"/>
    <w:rsid w:val="00084C21"/>
    <w:rsid w:val="00085323"/>
    <w:rsid w:val="000865A9"/>
    <w:rsid w:val="0008662B"/>
    <w:rsid w:val="000869D1"/>
    <w:rsid w:val="00086B2A"/>
    <w:rsid w:val="00086CB1"/>
    <w:rsid w:val="00087B68"/>
    <w:rsid w:val="00087C55"/>
    <w:rsid w:val="00090192"/>
    <w:rsid w:val="000907FE"/>
    <w:rsid w:val="00090923"/>
    <w:rsid w:val="0009099C"/>
    <w:rsid w:val="00090B12"/>
    <w:rsid w:val="00090CCA"/>
    <w:rsid w:val="000917C8"/>
    <w:rsid w:val="00091976"/>
    <w:rsid w:val="00091E63"/>
    <w:rsid w:val="000922ED"/>
    <w:rsid w:val="000928F7"/>
    <w:rsid w:val="00092A89"/>
    <w:rsid w:val="00092EB1"/>
    <w:rsid w:val="00093420"/>
    <w:rsid w:val="0009360B"/>
    <w:rsid w:val="00093F7B"/>
    <w:rsid w:val="00094340"/>
    <w:rsid w:val="000945A5"/>
    <w:rsid w:val="00094F5D"/>
    <w:rsid w:val="00095079"/>
    <w:rsid w:val="00095806"/>
    <w:rsid w:val="00095B25"/>
    <w:rsid w:val="00095C31"/>
    <w:rsid w:val="00095DB4"/>
    <w:rsid w:val="00096508"/>
    <w:rsid w:val="00096C39"/>
    <w:rsid w:val="00096C66"/>
    <w:rsid w:val="00096D5A"/>
    <w:rsid w:val="00096E39"/>
    <w:rsid w:val="0009773A"/>
    <w:rsid w:val="000979A1"/>
    <w:rsid w:val="00097E91"/>
    <w:rsid w:val="000A082A"/>
    <w:rsid w:val="000A0C22"/>
    <w:rsid w:val="000A0E5D"/>
    <w:rsid w:val="000A0F79"/>
    <w:rsid w:val="000A16DF"/>
    <w:rsid w:val="000A17CA"/>
    <w:rsid w:val="000A1F18"/>
    <w:rsid w:val="000A219E"/>
    <w:rsid w:val="000A2FCD"/>
    <w:rsid w:val="000A3254"/>
    <w:rsid w:val="000A3636"/>
    <w:rsid w:val="000A3684"/>
    <w:rsid w:val="000A3854"/>
    <w:rsid w:val="000A4258"/>
    <w:rsid w:val="000A4653"/>
    <w:rsid w:val="000A4834"/>
    <w:rsid w:val="000A4960"/>
    <w:rsid w:val="000A4B4F"/>
    <w:rsid w:val="000A4C4D"/>
    <w:rsid w:val="000A4D95"/>
    <w:rsid w:val="000A6B7D"/>
    <w:rsid w:val="000A7339"/>
    <w:rsid w:val="000A7561"/>
    <w:rsid w:val="000A79DE"/>
    <w:rsid w:val="000A7A9A"/>
    <w:rsid w:val="000B008C"/>
    <w:rsid w:val="000B0EA3"/>
    <w:rsid w:val="000B0F52"/>
    <w:rsid w:val="000B0F75"/>
    <w:rsid w:val="000B1337"/>
    <w:rsid w:val="000B152E"/>
    <w:rsid w:val="000B168F"/>
    <w:rsid w:val="000B1F8D"/>
    <w:rsid w:val="000B27BD"/>
    <w:rsid w:val="000B2ECB"/>
    <w:rsid w:val="000B315A"/>
    <w:rsid w:val="000B3496"/>
    <w:rsid w:val="000B378C"/>
    <w:rsid w:val="000B3B2D"/>
    <w:rsid w:val="000B3C85"/>
    <w:rsid w:val="000B3EFD"/>
    <w:rsid w:val="000B4014"/>
    <w:rsid w:val="000B4539"/>
    <w:rsid w:val="000B4E51"/>
    <w:rsid w:val="000B5B20"/>
    <w:rsid w:val="000B5CAF"/>
    <w:rsid w:val="000B6077"/>
    <w:rsid w:val="000B60A7"/>
    <w:rsid w:val="000B6276"/>
    <w:rsid w:val="000B6359"/>
    <w:rsid w:val="000B724B"/>
    <w:rsid w:val="000B7794"/>
    <w:rsid w:val="000B7FBD"/>
    <w:rsid w:val="000C05B5"/>
    <w:rsid w:val="000C0823"/>
    <w:rsid w:val="000C0E62"/>
    <w:rsid w:val="000C0F13"/>
    <w:rsid w:val="000C17B0"/>
    <w:rsid w:val="000C1E0B"/>
    <w:rsid w:val="000C2674"/>
    <w:rsid w:val="000C33FB"/>
    <w:rsid w:val="000C3678"/>
    <w:rsid w:val="000C3B77"/>
    <w:rsid w:val="000C3BAA"/>
    <w:rsid w:val="000C4611"/>
    <w:rsid w:val="000C48B9"/>
    <w:rsid w:val="000C4ADA"/>
    <w:rsid w:val="000C4FE6"/>
    <w:rsid w:val="000C51BA"/>
    <w:rsid w:val="000C5546"/>
    <w:rsid w:val="000C5D27"/>
    <w:rsid w:val="000C6BC7"/>
    <w:rsid w:val="000C6BF6"/>
    <w:rsid w:val="000C6D46"/>
    <w:rsid w:val="000C6E81"/>
    <w:rsid w:val="000C77A7"/>
    <w:rsid w:val="000C7B3A"/>
    <w:rsid w:val="000C7EEA"/>
    <w:rsid w:val="000D0E14"/>
    <w:rsid w:val="000D1E3D"/>
    <w:rsid w:val="000D1EF3"/>
    <w:rsid w:val="000D2012"/>
    <w:rsid w:val="000D21FC"/>
    <w:rsid w:val="000D2402"/>
    <w:rsid w:val="000D2E02"/>
    <w:rsid w:val="000D2EAB"/>
    <w:rsid w:val="000D339A"/>
    <w:rsid w:val="000D3560"/>
    <w:rsid w:val="000D3B65"/>
    <w:rsid w:val="000D4E26"/>
    <w:rsid w:val="000D5A1C"/>
    <w:rsid w:val="000D5F1E"/>
    <w:rsid w:val="000D6C18"/>
    <w:rsid w:val="000D75E8"/>
    <w:rsid w:val="000D76A6"/>
    <w:rsid w:val="000D77DA"/>
    <w:rsid w:val="000D787B"/>
    <w:rsid w:val="000D79D2"/>
    <w:rsid w:val="000D7CF8"/>
    <w:rsid w:val="000E2231"/>
    <w:rsid w:val="000E236D"/>
    <w:rsid w:val="000E2984"/>
    <w:rsid w:val="000E3F2A"/>
    <w:rsid w:val="000E4586"/>
    <w:rsid w:val="000E48BC"/>
    <w:rsid w:val="000E4F50"/>
    <w:rsid w:val="000E52E0"/>
    <w:rsid w:val="000E54BC"/>
    <w:rsid w:val="000E5ADF"/>
    <w:rsid w:val="000E5DCE"/>
    <w:rsid w:val="000E6183"/>
    <w:rsid w:val="000E65FE"/>
    <w:rsid w:val="000E6748"/>
    <w:rsid w:val="000E68FD"/>
    <w:rsid w:val="000E6D0B"/>
    <w:rsid w:val="000E7104"/>
    <w:rsid w:val="000E7785"/>
    <w:rsid w:val="000E781B"/>
    <w:rsid w:val="000F0034"/>
    <w:rsid w:val="000F0126"/>
    <w:rsid w:val="000F027E"/>
    <w:rsid w:val="000F0593"/>
    <w:rsid w:val="000F090F"/>
    <w:rsid w:val="000F0982"/>
    <w:rsid w:val="000F0A9F"/>
    <w:rsid w:val="000F0D06"/>
    <w:rsid w:val="000F15AC"/>
    <w:rsid w:val="000F20F8"/>
    <w:rsid w:val="000F2410"/>
    <w:rsid w:val="000F2534"/>
    <w:rsid w:val="000F2575"/>
    <w:rsid w:val="000F2659"/>
    <w:rsid w:val="000F283F"/>
    <w:rsid w:val="000F297C"/>
    <w:rsid w:val="000F2BAD"/>
    <w:rsid w:val="000F30E9"/>
    <w:rsid w:val="000F3DF6"/>
    <w:rsid w:val="000F3F7A"/>
    <w:rsid w:val="000F4774"/>
    <w:rsid w:val="000F47A7"/>
    <w:rsid w:val="000F48ED"/>
    <w:rsid w:val="000F53FF"/>
    <w:rsid w:val="000F5C03"/>
    <w:rsid w:val="000F61A6"/>
    <w:rsid w:val="000F687F"/>
    <w:rsid w:val="000F75A1"/>
    <w:rsid w:val="000F7836"/>
    <w:rsid w:val="000F7BA2"/>
    <w:rsid w:val="000F7D84"/>
    <w:rsid w:val="001000D0"/>
    <w:rsid w:val="00100898"/>
    <w:rsid w:val="0010092F"/>
    <w:rsid w:val="00100CE2"/>
    <w:rsid w:val="00100F52"/>
    <w:rsid w:val="0010150D"/>
    <w:rsid w:val="00102245"/>
    <w:rsid w:val="00102974"/>
    <w:rsid w:val="001031B6"/>
    <w:rsid w:val="0010348B"/>
    <w:rsid w:val="00103565"/>
    <w:rsid w:val="00104005"/>
    <w:rsid w:val="0010417F"/>
    <w:rsid w:val="001045D7"/>
    <w:rsid w:val="0010475F"/>
    <w:rsid w:val="00104A08"/>
    <w:rsid w:val="00104F87"/>
    <w:rsid w:val="0010510F"/>
    <w:rsid w:val="00105654"/>
    <w:rsid w:val="00105A83"/>
    <w:rsid w:val="00105E8F"/>
    <w:rsid w:val="00106591"/>
    <w:rsid w:val="00106658"/>
    <w:rsid w:val="0010794E"/>
    <w:rsid w:val="00107972"/>
    <w:rsid w:val="00107CAD"/>
    <w:rsid w:val="00107E84"/>
    <w:rsid w:val="00110035"/>
    <w:rsid w:val="00110388"/>
    <w:rsid w:val="0011170B"/>
    <w:rsid w:val="00111A82"/>
    <w:rsid w:val="00112246"/>
    <w:rsid w:val="00112630"/>
    <w:rsid w:val="00112B00"/>
    <w:rsid w:val="00113734"/>
    <w:rsid w:val="001139CD"/>
    <w:rsid w:val="00114C35"/>
    <w:rsid w:val="00114F4C"/>
    <w:rsid w:val="00115093"/>
    <w:rsid w:val="00115403"/>
    <w:rsid w:val="00115862"/>
    <w:rsid w:val="001162F0"/>
    <w:rsid w:val="001164AF"/>
    <w:rsid w:val="001170B0"/>
    <w:rsid w:val="001175DA"/>
    <w:rsid w:val="00117880"/>
    <w:rsid w:val="001203CA"/>
    <w:rsid w:val="001209D0"/>
    <w:rsid w:val="001213EF"/>
    <w:rsid w:val="00121D3B"/>
    <w:rsid w:val="001236B0"/>
    <w:rsid w:val="00123DA5"/>
    <w:rsid w:val="00125037"/>
    <w:rsid w:val="001251B1"/>
    <w:rsid w:val="001251E4"/>
    <w:rsid w:val="0012526A"/>
    <w:rsid w:val="00125861"/>
    <w:rsid w:val="00125CBE"/>
    <w:rsid w:val="001276D4"/>
    <w:rsid w:val="00127E6E"/>
    <w:rsid w:val="001300BE"/>
    <w:rsid w:val="001303B6"/>
    <w:rsid w:val="00130CA2"/>
    <w:rsid w:val="0013154B"/>
    <w:rsid w:val="001316A4"/>
    <w:rsid w:val="001318F9"/>
    <w:rsid w:val="00131914"/>
    <w:rsid w:val="00131A89"/>
    <w:rsid w:val="00131AB7"/>
    <w:rsid w:val="00131AC6"/>
    <w:rsid w:val="00131E61"/>
    <w:rsid w:val="0013225C"/>
    <w:rsid w:val="001325AC"/>
    <w:rsid w:val="0013270D"/>
    <w:rsid w:val="00132CF6"/>
    <w:rsid w:val="00133767"/>
    <w:rsid w:val="00133EC4"/>
    <w:rsid w:val="0013418D"/>
    <w:rsid w:val="00134458"/>
    <w:rsid w:val="00134F91"/>
    <w:rsid w:val="00135211"/>
    <w:rsid w:val="00135277"/>
    <w:rsid w:val="00135967"/>
    <w:rsid w:val="00135DCE"/>
    <w:rsid w:val="0013678E"/>
    <w:rsid w:val="0013705A"/>
    <w:rsid w:val="00140291"/>
    <w:rsid w:val="001409B5"/>
    <w:rsid w:val="00140A95"/>
    <w:rsid w:val="00141A61"/>
    <w:rsid w:val="00141CBE"/>
    <w:rsid w:val="001422C7"/>
    <w:rsid w:val="0014234E"/>
    <w:rsid w:val="00142699"/>
    <w:rsid w:val="00143385"/>
    <w:rsid w:val="00143F18"/>
    <w:rsid w:val="001447D5"/>
    <w:rsid w:val="00144AE9"/>
    <w:rsid w:val="001456EF"/>
    <w:rsid w:val="00145753"/>
    <w:rsid w:val="0014592E"/>
    <w:rsid w:val="001459F8"/>
    <w:rsid w:val="001463F8"/>
    <w:rsid w:val="00146B80"/>
    <w:rsid w:val="0014724C"/>
    <w:rsid w:val="001501C2"/>
    <w:rsid w:val="001503EB"/>
    <w:rsid w:val="00150566"/>
    <w:rsid w:val="001507C5"/>
    <w:rsid w:val="00150FF7"/>
    <w:rsid w:val="001516DC"/>
    <w:rsid w:val="00151F41"/>
    <w:rsid w:val="001527AE"/>
    <w:rsid w:val="00152A14"/>
    <w:rsid w:val="0015327D"/>
    <w:rsid w:val="00153436"/>
    <w:rsid w:val="0015357E"/>
    <w:rsid w:val="001537F0"/>
    <w:rsid w:val="0015392F"/>
    <w:rsid w:val="00153BC6"/>
    <w:rsid w:val="00153D58"/>
    <w:rsid w:val="001543A7"/>
    <w:rsid w:val="00154487"/>
    <w:rsid w:val="00154DDE"/>
    <w:rsid w:val="00155117"/>
    <w:rsid w:val="0015517D"/>
    <w:rsid w:val="00155427"/>
    <w:rsid w:val="00155974"/>
    <w:rsid w:val="00155CC2"/>
    <w:rsid w:val="001560AD"/>
    <w:rsid w:val="00156A39"/>
    <w:rsid w:val="00156DCF"/>
    <w:rsid w:val="00156FC6"/>
    <w:rsid w:val="00157858"/>
    <w:rsid w:val="00157896"/>
    <w:rsid w:val="001578DB"/>
    <w:rsid w:val="00157D02"/>
    <w:rsid w:val="001602CC"/>
    <w:rsid w:val="0016030C"/>
    <w:rsid w:val="00160647"/>
    <w:rsid w:val="00161EBA"/>
    <w:rsid w:val="0016276B"/>
    <w:rsid w:val="001634EB"/>
    <w:rsid w:val="001637E8"/>
    <w:rsid w:val="001641E6"/>
    <w:rsid w:val="001644A4"/>
    <w:rsid w:val="0016494C"/>
    <w:rsid w:val="001656DD"/>
    <w:rsid w:val="00165AD7"/>
    <w:rsid w:val="00165E71"/>
    <w:rsid w:val="00166471"/>
    <w:rsid w:val="00166584"/>
    <w:rsid w:val="001667F4"/>
    <w:rsid w:val="00166967"/>
    <w:rsid w:val="00166A1F"/>
    <w:rsid w:val="00166DF4"/>
    <w:rsid w:val="00166E2D"/>
    <w:rsid w:val="00166EFC"/>
    <w:rsid w:val="001674C7"/>
    <w:rsid w:val="00167B02"/>
    <w:rsid w:val="0017014F"/>
    <w:rsid w:val="00170644"/>
    <w:rsid w:val="00170748"/>
    <w:rsid w:val="00171970"/>
    <w:rsid w:val="001725F2"/>
    <w:rsid w:val="00172A27"/>
    <w:rsid w:val="00172D2F"/>
    <w:rsid w:val="00172FD5"/>
    <w:rsid w:val="00173121"/>
    <w:rsid w:val="00173318"/>
    <w:rsid w:val="0017369F"/>
    <w:rsid w:val="00173D55"/>
    <w:rsid w:val="00173D8A"/>
    <w:rsid w:val="0017419A"/>
    <w:rsid w:val="001750AA"/>
    <w:rsid w:val="00175147"/>
    <w:rsid w:val="001754F2"/>
    <w:rsid w:val="00175884"/>
    <w:rsid w:val="00175AF9"/>
    <w:rsid w:val="00176233"/>
    <w:rsid w:val="00176A76"/>
    <w:rsid w:val="00176AF1"/>
    <w:rsid w:val="00176DF6"/>
    <w:rsid w:val="00177779"/>
    <w:rsid w:val="001779D4"/>
    <w:rsid w:val="0018030A"/>
    <w:rsid w:val="001810CA"/>
    <w:rsid w:val="00181B3C"/>
    <w:rsid w:val="00181D8C"/>
    <w:rsid w:val="0018236D"/>
    <w:rsid w:val="0018259B"/>
    <w:rsid w:val="00182625"/>
    <w:rsid w:val="00183046"/>
    <w:rsid w:val="001833C4"/>
    <w:rsid w:val="0018392E"/>
    <w:rsid w:val="00183A6D"/>
    <w:rsid w:val="001842AE"/>
    <w:rsid w:val="00184414"/>
    <w:rsid w:val="00184439"/>
    <w:rsid w:val="00184665"/>
    <w:rsid w:val="001847AB"/>
    <w:rsid w:val="0018489D"/>
    <w:rsid w:val="001850AE"/>
    <w:rsid w:val="001850B5"/>
    <w:rsid w:val="0018524E"/>
    <w:rsid w:val="00186792"/>
    <w:rsid w:val="00187263"/>
    <w:rsid w:val="001876A3"/>
    <w:rsid w:val="0019027F"/>
    <w:rsid w:val="00190422"/>
    <w:rsid w:val="00190BFE"/>
    <w:rsid w:val="00190F3A"/>
    <w:rsid w:val="00191147"/>
    <w:rsid w:val="001917C6"/>
    <w:rsid w:val="00191B7F"/>
    <w:rsid w:val="001929F4"/>
    <w:rsid w:val="001936BE"/>
    <w:rsid w:val="00193B9E"/>
    <w:rsid w:val="00194625"/>
    <w:rsid w:val="00194744"/>
    <w:rsid w:val="00194E3F"/>
    <w:rsid w:val="001957A7"/>
    <w:rsid w:val="00195A9D"/>
    <w:rsid w:val="00195A9F"/>
    <w:rsid w:val="001964BC"/>
    <w:rsid w:val="001968B4"/>
    <w:rsid w:val="00196930"/>
    <w:rsid w:val="00196BD1"/>
    <w:rsid w:val="00197CCD"/>
    <w:rsid w:val="00197DD9"/>
    <w:rsid w:val="001A0803"/>
    <w:rsid w:val="001A0856"/>
    <w:rsid w:val="001A088F"/>
    <w:rsid w:val="001A0994"/>
    <w:rsid w:val="001A10AC"/>
    <w:rsid w:val="001A15CD"/>
    <w:rsid w:val="001A1B3D"/>
    <w:rsid w:val="001A1FF9"/>
    <w:rsid w:val="001A32F7"/>
    <w:rsid w:val="001A339F"/>
    <w:rsid w:val="001A3909"/>
    <w:rsid w:val="001A3BFA"/>
    <w:rsid w:val="001A4338"/>
    <w:rsid w:val="001A4588"/>
    <w:rsid w:val="001A4716"/>
    <w:rsid w:val="001A4963"/>
    <w:rsid w:val="001A4988"/>
    <w:rsid w:val="001A4DED"/>
    <w:rsid w:val="001A50C2"/>
    <w:rsid w:val="001A5145"/>
    <w:rsid w:val="001A5480"/>
    <w:rsid w:val="001A5BCF"/>
    <w:rsid w:val="001A607F"/>
    <w:rsid w:val="001A6941"/>
    <w:rsid w:val="001A696A"/>
    <w:rsid w:val="001A75D3"/>
    <w:rsid w:val="001A7BAB"/>
    <w:rsid w:val="001A7E11"/>
    <w:rsid w:val="001A7F7C"/>
    <w:rsid w:val="001B01CF"/>
    <w:rsid w:val="001B0378"/>
    <w:rsid w:val="001B102F"/>
    <w:rsid w:val="001B115D"/>
    <w:rsid w:val="001B1B1A"/>
    <w:rsid w:val="001B255D"/>
    <w:rsid w:val="001B30B1"/>
    <w:rsid w:val="001B45A3"/>
    <w:rsid w:val="001B4B2B"/>
    <w:rsid w:val="001B508C"/>
    <w:rsid w:val="001B5212"/>
    <w:rsid w:val="001B54B7"/>
    <w:rsid w:val="001B5B9C"/>
    <w:rsid w:val="001B5E24"/>
    <w:rsid w:val="001B635D"/>
    <w:rsid w:val="001B6915"/>
    <w:rsid w:val="001B694A"/>
    <w:rsid w:val="001B7024"/>
    <w:rsid w:val="001B7B84"/>
    <w:rsid w:val="001B7C67"/>
    <w:rsid w:val="001C1DC9"/>
    <w:rsid w:val="001C23A4"/>
    <w:rsid w:val="001C2996"/>
    <w:rsid w:val="001C2B34"/>
    <w:rsid w:val="001C3731"/>
    <w:rsid w:val="001C3752"/>
    <w:rsid w:val="001C3C4D"/>
    <w:rsid w:val="001C3D4B"/>
    <w:rsid w:val="001C43A0"/>
    <w:rsid w:val="001C4419"/>
    <w:rsid w:val="001C4D97"/>
    <w:rsid w:val="001C4F20"/>
    <w:rsid w:val="001C522C"/>
    <w:rsid w:val="001C5313"/>
    <w:rsid w:val="001C541C"/>
    <w:rsid w:val="001C5585"/>
    <w:rsid w:val="001C59F1"/>
    <w:rsid w:val="001C6258"/>
    <w:rsid w:val="001C63F7"/>
    <w:rsid w:val="001C661F"/>
    <w:rsid w:val="001C6933"/>
    <w:rsid w:val="001C7C9D"/>
    <w:rsid w:val="001C7FA8"/>
    <w:rsid w:val="001D0359"/>
    <w:rsid w:val="001D0615"/>
    <w:rsid w:val="001D0DE1"/>
    <w:rsid w:val="001D153A"/>
    <w:rsid w:val="001D20F5"/>
    <w:rsid w:val="001D2356"/>
    <w:rsid w:val="001D269F"/>
    <w:rsid w:val="001D2791"/>
    <w:rsid w:val="001D27C4"/>
    <w:rsid w:val="001D2A4D"/>
    <w:rsid w:val="001D2BCF"/>
    <w:rsid w:val="001D36E5"/>
    <w:rsid w:val="001D3A28"/>
    <w:rsid w:val="001D3E50"/>
    <w:rsid w:val="001D43A8"/>
    <w:rsid w:val="001D4830"/>
    <w:rsid w:val="001D49F9"/>
    <w:rsid w:val="001D4D39"/>
    <w:rsid w:val="001D4E5C"/>
    <w:rsid w:val="001D5264"/>
    <w:rsid w:val="001D5A21"/>
    <w:rsid w:val="001D5B8C"/>
    <w:rsid w:val="001D6A01"/>
    <w:rsid w:val="001D6AB8"/>
    <w:rsid w:val="001D6FCE"/>
    <w:rsid w:val="001D7331"/>
    <w:rsid w:val="001D7386"/>
    <w:rsid w:val="001D7B70"/>
    <w:rsid w:val="001D7C4B"/>
    <w:rsid w:val="001E034E"/>
    <w:rsid w:val="001E0F54"/>
    <w:rsid w:val="001E1063"/>
    <w:rsid w:val="001E1497"/>
    <w:rsid w:val="001E159B"/>
    <w:rsid w:val="001E15A9"/>
    <w:rsid w:val="001E1F1C"/>
    <w:rsid w:val="001E247A"/>
    <w:rsid w:val="001E36A2"/>
    <w:rsid w:val="001E3853"/>
    <w:rsid w:val="001E40DB"/>
    <w:rsid w:val="001E48E7"/>
    <w:rsid w:val="001E4B8C"/>
    <w:rsid w:val="001E537E"/>
    <w:rsid w:val="001E548B"/>
    <w:rsid w:val="001E5C71"/>
    <w:rsid w:val="001E6692"/>
    <w:rsid w:val="001E6F82"/>
    <w:rsid w:val="001E7909"/>
    <w:rsid w:val="001E790F"/>
    <w:rsid w:val="001E7FC1"/>
    <w:rsid w:val="001F01EE"/>
    <w:rsid w:val="001F0317"/>
    <w:rsid w:val="001F0B5B"/>
    <w:rsid w:val="001F0E1B"/>
    <w:rsid w:val="001F0F58"/>
    <w:rsid w:val="001F1023"/>
    <w:rsid w:val="001F11EB"/>
    <w:rsid w:val="001F17F3"/>
    <w:rsid w:val="001F1895"/>
    <w:rsid w:val="001F1945"/>
    <w:rsid w:val="001F1A51"/>
    <w:rsid w:val="001F25CB"/>
    <w:rsid w:val="001F27D7"/>
    <w:rsid w:val="001F38AE"/>
    <w:rsid w:val="001F3AF8"/>
    <w:rsid w:val="001F3ED0"/>
    <w:rsid w:val="001F44F3"/>
    <w:rsid w:val="001F4784"/>
    <w:rsid w:val="001F5995"/>
    <w:rsid w:val="001F5BD2"/>
    <w:rsid w:val="001F6798"/>
    <w:rsid w:val="001F67B2"/>
    <w:rsid w:val="001F7379"/>
    <w:rsid w:val="001F7AB1"/>
    <w:rsid w:val="001F7F48"/>
    <w:rsid w:val="001F7F91"/>
    <w:rsid w:val="00200948"/>
    <w:rsid w:val="00200A49"/>
    <w:rsid w:val="00201835"/>
    <w:rsid w:val="002025A7"/>
    <w:rsid w:val="002030A2"/>
    <w:rsid w:val="00203C20"/>
    <w:rsid w:val="00204014"/>
    <w:rsid w:val="00205417"/>
    <w:rsid w:val="00207436"/>
    <w:rsid w:val="00210133"/>
    <w:rsid w:val="002102B5"/>
    <w:rsid w:val="00210332"/>
    <w:rsid w:val="00210BB1"/>
    <w:rsid w:val="00210C7C"/>
    <w:rsid w:val="00211158"/>
    <w:rsid w:val="0021141C"/>
    <w:rsid w:val="0021171F"/>
    <w:rsid w:val="00211DC3"/>
    <w:rsid w:val="00212B02"/>
    <w:rsid w:val="00212CBA"/>
    <w:rsid w:val="0021358E"/>
    <w:rsid w:val="00213779"/>
    <w:rsid w:val="00213865"/>
    <w:rsid w:val="0021405C"/>
    <w:rsid w:val="00214949"/>
    <w:rsid w:val="00214A1F"/>
    <w:rsid w:val="0021528B"/>
    <w:rsid w:val="002156D5"/>
    <w:rsid w:val="00215914"/>
    <w:rsid w:val="00215E94"/>
    <w:rsid w:val="00215ED0"/>
    <w:rsid w:val="002165F7"/>
    <w:rsid w:val="002166DA"/>
    <w:rsid w:val="00216949"/>
    <w:rsid w:val="002173E3"/>
    <w:rsid w:val="00217400"/>
    <w:rsid w:val="00217980"/>
    <w:rsid w:val="00217B03"/>
    <w:rsid w:val="0022080A"/>
    <w:rsid w:val="0022091B"/>
    <w:rsid w:val="00221101"/>
    <w:rsid w:val="002215DB"/>
    <w:rsid w:val="002219C0"/>
    <w:rsid w:val="00222629"/>
    <w:rsid w:val="00222B24"/>
    <w:rsid w:val="00222E78"/>
    <w:rsid w:val="00222EA6"/>
    <w:rsid w:val="0022300A"/>
    <w:rsid w:val="002231D7"/>
    <w:rsid w:val="00223DD2"/>
    <w:rsid w:val="00224046"/>
    <w:rsid w:val="00224369"/>
    <w:rsid w:val="002243A7"/>
    <w:rsid w:val="0022463B"/>
    <w:rsid w:val="002247B2"/>
    <w:rsid w:val="002249C8"/>
    <w:rsid w:val="00224B01"/>
    <w:rsid w:val="00224EBE"/>
    <w:rsid w:val="00225884"/>
    <w:rsid w:val="00225FDA"/>
    <w:rsid w:val="002265F8"/>
    <w:rsid w:val="00226BF8"/>
    <w:rsid w:val="00226C69"/>
    <w:rsid w:val="002272A7"/>
    <w:rsid w:val="002272F6"/>
    <w:rsid w:val="00227BA1"/>
    <w:rsid w:val="00227ECF"/>
    <w:rsid w:val="00227F57"/>
    <w:rsid w:val="00227F5A"/>
    <w:rsid w:val="00230C0F"/>
    <w:rsid w:val="00231111"/>
    <w:rsid w:val="00231BAC"/>
    <w:rsid w:val="00232155"/>
    <w:rsid w:val="00232926"/>
    <w:rsid w:val="002338FC"/>
    <w:rsid w:val="00233ADE"/>
    <w:rsid w:val="00234977"/>
    <w:rsid w:val="00234C4D"/>
    <w:rsid w:val="00235B0E"/>
    <w:rsid w:val="0023615A"/>
    <w:rsid w:val="0023662E"/>
    <w:rsid w:val="002368A1"/>
    <w:rsid w:val="00236FAE"/>
    <w:rsid w:val="00237A8D"/>
    <w:rsid w:val="00240236"/>
    <w:rsid w:val="002405DC"/>
    <w:rsid w:val="00240A85"/>
    <w:rsid w:val="00241002"/>
    <w:rsid w:val="00241266"/>
    <w:rsid w:val="00241A4B"/>
    <w:rsid w:val="00242022"/>
    <w:rsid w:val="0024216D"/>
    <w:rsid w:val="002423E9"/>
    <w:rsid w:val="00242513"/>
    <w:rsid w:val="00242A88"/>
    <w:rsid w:val="00242F8C"/>
    <w:rsid w:val="002433A2"/>
    <w:rsid w:val="00243C56"/>
    <w:rsid w:val="002441FA"/>
    <w:rsid w:val="00244DC7"/>
    <w:rsid w:val="00245617"/>
    <w:rsid w:val="0024565C"/>
    <w:rsid w:val="002460AB"/>
    <w:rsid w:val="002464B7"/>
    <w:rsid w:val="0024765F"/>
    <w:rsid w:val="002503D5"/>
    <w:rsid w:val="00250458"/>
    <w:rsid w:val="00250797"/>
    <w:rsid w:val="00251CDE"/>
    <w:rsid w:val="00252062"/>
    <w:rsid w:val="002521E1"/>
    <w:rsid w:val="002526C1"/>
    <w:rsid w:val="00253431"/>
    <w:rsid w:val="00253501"/>
    <w:rsid w:val="00253918"/>
    <w:rsid w:val="00253CD0"/>
    <w:rsid w:val="00254345"/>
    <w:rsid w:val="002546ED"/>
    <w:rsid w:val="00254803"/>
    <w:rsid w:val="00254950"/>
    <w:rsid w:val="002550FC"/>
    <w:rsid w:val="00255103"/>
    <w:rsid w:val="00255497"/>
    <w:rsid w:val="00255498"/>
    <w:rsid w:val="002559CA"/>
    <w:rsid w:val="00255D05"/>
    <w:rsid w:val="00256312"/>
    <w:rsid w:val="00257343"/>
    <w:rsid w:val="00257378"/>
    <w:rsid w:val="00257CFF"/>
    <w:rsid w:val="0026069B"/>
    <w:rsid w:val="00260FDC"/>
    <w:rsid w:val="00261218"/>
    <w:rsid w:val="00261393"/>
    <w:rsid w:val="002613E5"/>
    <w:rsid w:val="002616C4"/>
    <w:rsid w:val="002618E9"/>
    <w:rsid w:val="00261CB6"/>
    <w:rsid w:val="00262D40"/>
    <w:rsid w:val="00263011"/>
    <w:rsid w:val="002650D7"/>
    <w:rsid w:val="002653BF"/>
    <w:rsid w:val="00265F2B"/>
    <w:rsid w:val="00266B76"/>
    <w:rsid w:val="00267860"/>
    <w:rsid w:val="00270986"/>
    <w:rsid w:val="00270D6D"/>
    <w:rsid w:val="00271793"/>
    <w:rsid w:val="00271C06"/>
    <w:rsid w:val="00271E1F"/>
    <w:rsid w:val="00272445"/>
    <w:rsid w:val="00272458"/>
    <w:rsid w:val="00272527"/>
    <w:rsid w:val="00272689"/>
    <w:rsid w:val="00272849"/>
    <w:rsid w:val="00272A02"/>
    <w:rsid w:val="00273837"/>
    <w:rsid w:val="00273D63"/>
    <w:rsid w:val="0027409C"/>
    <w:rsid w:val="00274431"/>
    <w:rsid w:val="002748F5"/>
    <w:rsid w:val="00274A9A"/>
    <w:rsid w:val="00274C58"/>
    <w:rsid w:val="00275252"/>
    <w:rsid w:val="00275437"/>
    <w:rsid w:val="002755D7"/>
    <w:rsid w:val="00276180"/>
    <w:rsid w:val="0027618C"/>
    <w:rsid w:val="00276283"/>
    <w:rsid w:val="002763E4"/>
    <w:rsid w:val="002768A8"/>
    <w:rsid w:val="00276CDB"/>
    <w:rsid w:val="00276D25"/>
    <w:rsid w:val="0027746F"/>
    <w:rsid w:val="0027799E"/>
    <w:rsid w:val="00277EDE"/>
    <w:rsid w:val="002802B6"/>
    <w:rsid w:val="00280544"/>
    <w:rsid w:val="002807BD"/>
    <w:rsid w:val="00280B52"/>
    <w:rsid w:val="00280BBA"/>
    <w:rsid w:val="00281751"/>
    <w:rsid w:val="00281786"/>
    <w:rsid w:val="0028198B"/>
    <w:rsid w:val="00281A53"/>
    <w:rsid w:val="00281E39"/>
    <w:rsid w:val="00282272"/>
    <w:rsid w:val="0028235F"/>
    <w:rsid w:val="0028280D"/>
    <w:rsid w:val="00282D5F"/>
    <w:rsid w:val="00283511"/>
    <w:rsid w:val="00283625"/>
    <w:rsid w:val="0028427E"/>
    <w:rsid w:val="0028433F"/>
    <w:rsid w:val="002844E2"/>
    <w:rsid w:val="0028483F"/>
    <w:rsid w:val="002848CA"/>
    <w:rsid w:val="00284D11"/>
    <w:rsid w:val="00284E3B"/>
    <w:rsid w:val="00284ED5"/>
    <w:rsid w:val="0028504F"/>
    <w:rsid w:val="00285259"/>
    <w:rsid w:val="0028556A"/>
    <w:rsid w:val="00285CAC"/>
    <w:rsid w:val="002861D8"/>
    <w:rsid w:val="0028647D"/>
    <w:rsid w:val="00286BA1"/>
    <w:rsid w:val="00286F8B"/>
    <w:rsid w:val="00287030"/>
    <w:rsid w:val="00287593"/>
    <w:rsid w:val="002876B8"/>
    <w:rsid w:val="0029011F"/>
    <w:rsid w:val="00290479"/>
    <w:rsid w:val="0029090B"/>
    <w:rsid w:val="00291146"/>
    <w:rsid w:val="0029122B"/>
    <w:rsid w:val="002915EC"/>
    <w:rsid w:val="002915F2"/>
    <w:rsid w:val="00291A52"/>
    <w:rsid w:val="00292591"/>
    <w:rsid w:val="00292C53"/>
    <w:rsid w:val="002934C0"/>
    <w:rsid w:val="002941C9"/>
    <w:rsid w:val="002944FC"/>
    <w:rsid w:val="002947B7"/>
    <w:rsid w:val="00295333"/>
    <w:rsid w:val="00295AF6"/>
    <w:rsid w:val="00295F64"/>
    <w:rsid w:val="0029624A"/>
    <w:rsid w:val="00296456"/>
    <w:rsid w:val="002973BC"/>
    <w:rsid w:val="002A0A6C"/>
    <w:rsid w:val="002A0F7A"/>
    <w:rsid w:val="002A13E4"/>
    <w:rsid w:val="002A1B5F"/>
    <w:rsid w:val="002A21B7"/>
    <w:rsid w:val="002A23BA"/>
    <w:rsid w:val="002A3103"/>
    <w:rsid w:val="002A3131"/>
    <w:rsid w:val="002A376D"/>
    <w:rsid w:val="002A3F41"/>
    <w:rsid w:val="002A40CE"/>
    <w:rsid w:val="002A4147"/>
    <w:rsid w:val="002A44CF"/>
    <w:rsid w:val="002A4B91"/>
    <w:rsid w:val="002A51AF"/>
    <w:rsid w:val="002A5885"/>
    <w:rsid w:val="002A5A78"/>
    <w:rsid w:val="002A5F60"/>
    <w:rsid w:val="002A6155"/>
    <w:rsid w:val="002A6F0B"/>
    <w:rsid w:val="002A708B"/>
    <w:rsid w:val="002A7105"/>
    <w:rsid w:val="002A72FD"/>
    <w:rsid w:val="002B035E"/>
    <w:rsid w:val="002B0765"/>
    <w:rsid w:val="002B0A7A"/>
    <w:rsid w:val="002B143D"/>
    <w:rsid w:val="002B1A91"/>
    <w:rsid w:val="002B1B49"/>
    <w:rsid w:val="002B1E80"/>
    <w:rsid w:val="002B2041"/>
    <w:rsid w:val="002B207B"/>
    <w:rsid w:val="002B227C"/>
    <w:rsid w:val="002B2EF0"/>
    <w:rsid w:val="002B2F0A"/>
    <w:rsid w:val="002B3530"/>
    <w:rsid w:val="002B359A"/>
    <w:rsid w:val="002B3989"/>
    <w:rsid w:val="002B40F7"/>
    <w:rsid w:val="002B4A2E"/>
    <w:rsid w:val="002B4EF2"/>
    <w:rsid w:val="002B587B"/>
    <w:rsid w:val="002B5ACE"/>
    <w:rsid w:val="002B61E6"/>
    <w:rsid w:val="002B61F3"/>
    <w:rsid w:val="002B6617"/>
    <w:rsid w:val="002B6B64"/>
    <w:rsid w:val="002B6B9C"/>
    <w:rsid w:val="002B6FE4"/>
    <w:rsid w:val="002B7A7C"/>
    <w:rsid w:val="002C02B6"/>
    <w:rsid w:val="002C0A07"/>
    <w:rsid w:val="002C1EC7"/>
    <w:rsid w:val="002C1EEF"/>
    <w:rsid w:val="002C29B3"/>
    <w:rsid w:val="002C2FDE"/>
    <w:rsid w:val="002C31A6"/>
    <w:rsid w:val="002C31EE"/>
    <w:rsid w:val="002C392C"/>
    <w:rsid w:val="002C41E3"/>
    <w:rsid w:val="002C45D6"/>
    <w:rsid w:val="002C45F6"/>
    <w:rsid w:val="002C46D6"/>
    <w:rsid w:val="002C4C3E"/>
    <w:rsid w:val="002C4C42"/>
    <w:rsid w:val="002C4E2D"/>
    <w:rsid w:val="002C502F"/>
    <w:rsid w:val="002C55DA"/>
    <w:rsid w:val="002C58F6"/>
    <w:rsid w:val="002C595B"/>
    <w:rsid w:val="002C5A8F"/>
    <w:rsid w:val="002C6126"/>
    <w:rsid w:val="002C64E1"/>
    <w:rsid w:val="002C6975"/>
    <w:rsid w:val="002C6E32"/>
    <w:rsid w:val="002C7250"/>
    <w:rsid w:val="002C7DDC"/>
    <w:rsid w:val="002C7EA5"/>
    <w:rsid w:val="002C7EBA"/>
    <w:rsid w:val="002C7F46"/>
    <w:rsid w:val="002D00B0"/>
    <w:rsid w:val="002D01FB"/>
    <w:rsid w:val="002D0BE1"/>
    <w:rsid w:val="002D0D0F"/>
    <w:rsid w:val="002D119D"/>
    <w:rsid w:val="002D11B0"/>
    <w:rsid w:val="002D1BA3"/>
    <w:rsid w:val="002D222E"/>
    <w:rsid w:val="002D2910"/>
    <w:rsid w:val="002D2B13"/>
    <w:rsid w:val="002D2E52"/>
    <w:rsid w:val="002D3288"/>
    <w:rsid w:val="002D3C5B"/>
    <w:rsid w:val="002D436E"/>
    <w:rsid w:val="002D45FD"/>
    <w:rsid w:val="002D4772"/>
    <w:rsid w:val="002D4778"/>
    <w:rsid w:val="002D56DD"/>
    <w:rsid w:val="002D5C6D"/>
    <w:rsid w:val="002D5D63"/>
    <w:rsid w:val="002D65B9"/>
    <w:rsid w:val="002D6D63"/>
    <w:rsid w:val="002D717A"/>
    <w:rsid w:val="002D738D"/>
    <w:rsid w:val="002D78DF"/>
    <w:rsid w:val="002E0072"/>
    <w:rsid w:val="002E0207"/>
    <w:rsid w:val="002E05DB"/>
    <w:rsid w:val="002E0629"/>
    <w:rsid w:val="002E06D7"/>
    <w:rsid w:val="002E0B75"/>
    <w:rsid w:val="002E0C68"/>
    <w:rsid w:val="002E154B"/>
    <w:rsid w:val="002E15E8"/>
    <w:rsid w:val="002E174E"/>
    <w:rsid w:val="002E179A"/>
    <w:rsid w:val="002E1AAF"/>
    <w:rsid w:val="002E1C44"/>
    <w:rsid w:val="002E3024"/>
    <w:rsid w:val="002E3152"/>
    <w:rsid w:val="002E3185"/>
    <w:rsid w:val="002E332F"/>
    <w:rsid w:val="002E339F"/>
    <w:rsid w:val="002E344E"/>
    <w:rsid w:val="002E385B"/>
    <w:rsid w:val="002E3CDF"/>
    <w:rsid w:val="002E40A0"/>
    <w:rsid w:val="002E441C"/>
    <w:rsid w:val="002E4739"/>
    <w:rsid w:val="002E4B72"/>
    <w:rsid w:val="002E4C50"/>
    <w:rsid w:val="002E531B"/>
    <w:rsid w:val="002E623D"/>
    <w:rsid w:val="002E63E1"/>
    <w:rsid w:val="002E68AE"/>
    <w:rsid w:val="002E6940"/>
    <w:rsid w:val="002E6B87"/>
    <w:rsid w:val="002E7544"/>
    <w:rsid w:val="002E78F3"/>
    <w:rsid w:val="002F0688"/>
    <w:rsid w:val="002F0B86"/>
    <w:rsid w:val="002F116D"/>
    <w:rsid w:val="002F190D"/>
    <w:rsid w:val="002F236F"/>
    <w:rsid w:val="002F2B74"/>
    <w:rsid w:val="002F3A6B"/>
    <w:rsid w:val="002F439E"/>
    <w:rsid w:val="002F4BDB"/>
    <w:rsid w:val="002F4DFE"/>
    <w:rsid w:val="002F522F"/>
    <w:rsid w:val="002F5D58"/>
    <w:rsid w:val="002F5D90"/>
    <w:rsid w:val="002F620F"/>
    <w:rsid w:val="002F639C"/>
    <w:rsid w:val="002F66B5"/>
    <w:rsid w:val="002F66C3"/>
    <w:rsid w:val="002F6AE8"/>
    <w:rsid w:val="002F6CD0"/>
    <w:rsid w:val="002F7032"/>
    <w:rsid w:val="002F716A"/>
    <w:rsid w:val="002F731D"/>
    <w:rsid w:val="002F7727"/>
    <w:rsid w:val="002F77E6"/>
    <w:rsid w:val="002F7B2C"/>
    <w:rsid w:val="003021B4"/>
    <w:rsid w:val="00303020"/>
    <w:rsid w:val="003039D8"/>
    <w:rsid w:val="00303DEA"/>
    <w:rsid w:val="00303E9D"/>
    <w:rsid w:val="00303EFF"/>
    <w:rsid w:val="0030400B"/>
    <w:rsid w:val="003042BD"/>
    <w:rsid w:val="00304C13"/>
    <w:rsid w:val="003058D2"/>
    <w:rsid w:val="00306104"/>
    <w:rsid w:val="00306536"/>
    <w:rsid w:val="00306992"/>
    <w:rsid w:val="00306A7F"/>
    <w:rsid w:val="00307526"/>
    <w:rsid w:val="00307A92"/>
    <w:rsid w:val="00310101"/>
    <w:rsid w:val="003101CF"/>
    <w:rsid w:val="00310CB0"/>
    <w:rsid w:val="00310D7B"/>
    <w:rsid w:val="00310ED4"/>
    <w:rsid w:val="003116EB"/>
    <w:rsid w:val="0031184C"/>
    <w:rsid w:val="00311A53"/>
    <w:rsid w:val="00312681"/>
    <w:rsid w:val="00312C6E"/>
    <w:rsid w:val="00312DB2"/>
    <w:rsid w:val="00312F21"/>
    <w:rsid w:val="0031302A"/>
    <w:rsid w:val="003133DF"/>
    <w:rsid w:val="00313EE8"/>
    <w:rsid w:val="003144B8"/>
    <w:rsid w:val="00314505"/>
    <w:rsid w:val="00314914"/>
    <w:rsid w:val="00314C30"/>
    <w:rsid w:val="003155F9"/>
    <w:rsid w:val="003157E9"/>
    <w:rsid w:val="00315F92"/>
    <w:rsid w:val="00317049"/>
    <w:rsid w:val="0031733F"/>
    <w:rsid w:val="00321437"/>
    <w:rsid w:val="00321558"/>
    <w:rsid w:val="0032155B"/>
    <w:rsid w:val="00321799"/>
    <w:rsid w:val="00321AB1"/>
    <w:rsid w:val="00321D18"/>
    <w:rsid w:val="00321D67"/>
    <w:rsid w:val="0032241D"/>
    <w:rsid w:val="00322744"/>
    <w:rsid w:val="00322EF0"/>
    <w:rsid w:val="00323070"/>
    <w:rsid w:val="003237CC"/>
    <w:rsid w:val="00324376"/>
    <w:rsid w:val="003246D4"/>
    <w:rsid w:val="00324996"/>
    <w:rsid w:val="00324D6C"/>
    <w:rsid w:val="00324FA9"/>
    <w:rsid w:val="003251A9"/>
    <w:rsid w:val="00325E7E"/>
    <w:rsid w:val="003261DC"/>
    <w:rsid w:val="00326F29"/>
    <w:rsid w:val="00327C51"/>
    <w:rsid w:val="00330304"/>
    <w:rsid w:val="00330340"/>
    <w:rsid w:val="00330A48"/>
    <w:rsid w:val="00331116"/>
    <w:rsid w:val="00331A0A"/>
    <w:rsid w:val="00331EC5"/>
    <w:rsid w:val="00332511"/>
    <w:rsid w:val="00332910"/>
    <w:rsid w:val="003329C8"/>
    <w:rsid w:val="00332DBF"/>
    <w:rsid w:val="00332F1E"/>
    <w:rsid w:val="003337CC"/>
    <w:rsid w:val="0033407C"/>
    <w:rsid w:val="003345C8"/>
    <w:rsid w:val="0033504F"/>
    <w:rsid w:val="003359B1"/>
    <w:rsid w:val="00335B96"/>
    <w:rsid w:val="00335E6F"/>
    <w:rsid w:val="0033677E"/>
    <w:rsid w:val="00336AF3"/>
    <w:rsid w:val="00336C1D"/>
    <w:rsid w:val="00336C6D"/>
    <w:rsid w:val="0033749C"/>
    <w:rsid w:val="0033790C"/>
    <w:rsid w:val="00337DB8"/>
    <w:rsid w:val="00337F9A"/>
    <w:rsid w:val="003407B5"/>
    <w:rsid w:val="003409C2"/>
    <w:rsid w:val="003415DC"/>
    <w:rsid w:val="00341B81"/>
    <w:rsid w:val="00341C7D"/>
    <w:rsid w:val="003425C8"/>
    <w:rsid w:val="003426A8"/>
    <w:rsid w:val="00342C7C"/>
    <w:rsid w:val="00342F01"/>
    <w:rsid w:val="0034360F"/>
    <w:rsid w:val="0034380E"/>
    <w:rsid w:val="003444B2"/>
    <w:rsid w:val="003448DC"/>
    <w:rsid w:val="00345518"/>
    <w:rsid w:val="00345A52"/>
    <w:rsid w:val="00345CBD"/>
    <w:rsid w:val="00345EAC"/>
    <w:rsid w:val="003462BB"/>
    <w:rsid w:val="003464D4"/>
    <w:rsid w:val="003469E7"/>
    <w:rsid w:val="003471DD"/>
    <w:rsid w:val="00350E77"/>
    <w:rsid w:val="00351372"/>
    <w:rsid w:val="0035166D"/>
    <w:rsid w:val="00351F81"/>
    <w:rsid w:val="003521BF"/>
    <w:rsid w:val="003523C8"/>
    <w:rsid w:val="003523FB"/>
    <w:rsid w:val="00352872"/>
    <w:rsid w:val="00352A7F"/>
    <w:rsid w:val="00352C64"/>
    <w:rsid w:val="00352E72"/>
    <w:rsid w:val="00353AEE"/>
    <w:rsid w:val="00353EE3"/>
    <w:rsid w:val="00354311"/>
    <w:rsid w:val="00355794"/>
    <w:rsid w:val="00355B8C"/>
    <w:rsid w:val="00355F3B"/>
    <w:rsid w:val="0035665D"/>
    <w:rsid w:val="00356698"/>
    <w:rsid w:val="00357179"/>
    <w:rsid w:val="0035796F"/>
    <w:rsid w:val="00360237"/>
    <w:rsid w:val="0036124B"/>
    <w:rsid w:val="003613F9"/>
    <w:rsid w:val="0036151D"/>
    <w:rsid w:val="00361AC5"/>
    <w:rsid w:val="00361CDB"/>
    <w:rsid w:val="00361E38"/>
    <w:rsid w:val="003621F0"/>
    <w:rsid w:val="00362783"/>
    <w:rsid w:val="003628EE"/>
    <w:rsid w:val="003641A6"/>
    <w:rsid w:val="0036422D"/>
    <w:rsid w:val="003649BE"/>
    <w:rsid w:val="00364EBE"/>
    <w:rsid w:val="003657A9"/>
    <w:rsid w:val="00365CD7"/>
    <w:rsid w:val="0036677D"/>
    <w:rsid w:val="00366BE6"/>
    <w:rsid w:val="00367168"/>
    <w:rsid w:val="0036745E"/>
    <w:rsid w:val="00367462"/>
    <w:rsid w:val="003701D9"/>
    <w:rsid w:val="003706CA"/>
    <w:rsid w:val="00370C86"/>
    <w:rsid w:val="003713D1"/>
    <w:rsid w:val="003714B5"/>
    <w:rsid w:val="00372698"/>
    <w:rsid w:val="003728E1"/>
    <w:rsid w:val="00373620"/>
    <w:rsid w:val="00374050"/>
    <w:rsid w:val="00374211"/>
    <w:rsid w:val="00374B9C"/>
    <w:rsid w:val="0037532D"/>
    <w:rsid w:val="00375402"/>
    <w:rsid w:val="003759A1"/>
    <w:rsid w:val="00375E08"/>
    <w:rsid w:val="00376461"/>
    <w:rsid w:val="003767C0"/>
    <w:rsid w:val="00376DA6"/>
    <w:rsid w:val="0038104F"/>
    <w:rsid w:val="00381E20"/>
    <w:rsid w:val="003820AE"/>
    <w:rsid w:val="0038289E"/>
    <w:rsid w:val="00382A2F"/>
    <w:rsid w:val="00382B16"/>
    <w:rsid w:val="00382DEE"/>
    <w:rsid w:val="003830BF"/>
    <w:rsid w:val="00383701"/>
    <w:rsid w:val="00383704"/>
    <w:rsid w:val="00383D7C"/>
    <w:rsid w:val="003843DA"/>
    <w:rsid w:val="00384CEA"/>
    <w:rsid w:val="00385A3C"/>
    <w:rsid w:val="00385BF9"/>
    <w:rsid w:val="00386211"/>
    <w:rsid w:val="0038628A"/>
    <w:rsid w:val="00386414"/>
    <w:rsid w:val="0038641F"/>
    <w:rsid w:val="0038681C"/>
    <w:rsid w:val="00386AFE"/>
    <w:rsid w:val="00386FF0"/>
    <w:rsid w:val="00387FE6"/>
    <w:rsid w:val="0039023E"/>
    <w:rsid w:val="0039070B"/>
    <w:rsid w:val="003907CB"/>
    <w:rsid w:val="00390B96"/>
    <w:rsid w:val="00390E9F"/>
    <w:rsid w:val="00390F93"/>
    <w:rsid w:val="0039105F"/>
    <w:rsid w:val="00391274"/>
    <w:rsid w:val="00391C15"/>
    <w:rsid w:val="00392043"/>
    <w:rsid w:val="00392077"/>
    <w:rsid w:val="003924F1"/>
    <w:rsid w:val="00392FFA"/>
    <w:rsid w:val="00393E98"/>
    <w:rsid w:val="003946C7"/>
    <w:rsid w:val="0039470D"/>
    <w:rsid w:val="00394AED"/>
    <w:rsid w:val="00395838"/>
    <w:rsid w:val="0039650D"/>
    <w:rsid w:val="00396D35"/>
    <w:rsid w:val="00396F18"/>
    <w:rsid w:val="003974CC"/>
    <w:rsid w:val="003975F4"/>
    <w:rsid w:val="003A0086"/>
    <w:rsid w:val="003A0B18"/>
    <w:rsid w:val="003A0C0B"/>
    <w:rsid w:val="003A141A"/>
    <w:rsid w:val="003A14BC"/>
    <w:rsid w:val="003A167D"/>
    <w:rsid w:val="003A1853"/>
    <w:rsid w:val="003A1BA5"/>
    <w:rsid w:val="003A1D6F"/>
    <w:rsid w:val="003A2455"/>
    <w:rsid w:val="003A316F"/>
    <w:rsid w:val="003A3270"/>
    <w:rsid w:val="003A329B"/>
    <w:rsid w:val="003A33AE"/>
    <w:rsid w:val="003A3585"/>
    <w:rsid w:val="003A37B9"/>
    <w:rsid w:val="003A38A5"/>
    <w:rsid w:val="003A3BDE"/>
    <w:rsid w:val="003A3FBB"/>
    <w:rsid w:val="003A41B6"/>
    <w:rsid w:val="003A41D3"/>
    <w:rsid w:val="003A5644"/>
    <w:rsid w:val="003A5A33"/>
    <w:rsid w:val="003A5ADE"/>
    <w:rsid w:val="003A5B56"/>
    <w:rsid w:val="003A6232"/>
    <w:rsid w:val="003A6415"/>
    <w:rsid w:val="003A65C2"/>
    <w:rsid w:val="003A670A"/>
    <w:rsid w:val="003A6B57"/>
    <w:rsid w:val="003A6BB0"/>
    <w:rsid w:val="003A6FB2"/>
    <w:rsid w:val="003A723F"/>
    <w:rsid w:val="003B072E"/>
    <w:rsid w:val="003B1FD9"/>
    <w:rsid w:val="003B243B"/>
    <w:rsid w:val="003B255E"/>
    <w:rsid w:val="003B25AB"/>
    <w:rsid w:val="003B2B01"/>
    <w:rsid w:val="003B2E49"/>
    <w:rsid w:val="003B2FE8"/>
    <w:rsid w:val="003B3176"/>
    <w:rsid w:val="003B3DEA"/>
    <w:rsid w:val="003B4356"/>
    <w:rsid w:val="003B4B32"/>
    <w:rsid w:val="003B4EFC"/>
    <w:rsid w:val="003B54BB"/>
    <w:rsid w:val="003B643A"/>
    <w:rsid w:val="003B6559"/>
    <w:rsid w:val="003B68A2"/>
    <w:rsid w:val="003B6ADD"/>
    <w:rsid w:val="003B7B9D"/>
    <w:rsid w:val="003C07A9"/>
    <w:rsid w:val="003C111E"/>
    <w:rsid w:val="003C1515"/>
    <w:rsid w:val="003C1F14"/>
    <w:rsid w:val="003C20C0"/>
    <w:rsid w:val="003C20C9"/>
    <w:rsid w:val="003C24C2"/>
    <w:rsid w:val="003C25AB"/>
    <w:rsid w:val="003C25F3"/>
    <w:rsid w:val="003C29A4"/>
    <w:rsid w:val="003C2E04"/>
    <w:rsid w:val="003C3305"/>
    <w:rsid w:val="003C3E96"/>
    <w:rsid w:val="003C4472"/>
    <w:rsid w:val="003C45DB"/>
    <w:rsid w:val="003C47C4"/>
    <w:rsid w:val="003C4C0F"/>
    <w:rsid w:val="003C4D48"/>
    <w:rsid w:val="003C4F4C"/>
    <w:rsid w:val="003C50D7"/>
    <w:rsid w:val="003C51D9"/>
    <w:rsid w:val="003C5582"/>
    <w:rsid w:val="003C5B85"/>
    <w:rsid w:val="003C5BB5"/>
    <w:rsid w:val="003C5C84"/>
    <w:rsid w:val="003C5EBA"/>
    <w:rsid w:val="003C60D6"/>
    <w:rsid w:val="003C6191"/>
    <w:rsid w:val="003C6C24"/>
    <w:rsid w:val="003C736A"/>
    <w:rsid w:val="003D0731"/>
    <w:rsid w:val="003D076F"/>
    <w:rsid w:val="003D0E31"/>
    <w:rsid w:val="003D0F01"/>
    <w:rsid w:val="003D1491"/>
    <w:rsid w:val="003D196D"/>
    <w:rsid w:val="003D213C"/>
    <w:rsid w:val="003D2D4E"/>
    <w:rsid w:val="003D3506"/>
    <w:rsid w:val="003D3812"/>
    <w:rsid w:val="003D3E6B"/>
    <w:rsid w:val="003D3EED"/>
    <w:rsid w:val="003D4012"/>
    <w:rsid w:val="003D40A2"/>
    <w:rsid w:val="003D4818"/>
    <w:rsid w:val="003D4ACD"/>
    <w:rsid w:val="003D5786"/>
    <w:rsid w:val="003D6D42"/>
    <w:rsid w:val="003D7E0B"/>
    <w:rsid w:val="003E049A"/>
    <w:rsid w:val="003E14F4"/>
    <w:rsid w:val="003E185F"/>
    <w:rsid w:val="003E2471"/>
    <w:rsid w:val="003E2782"/>
    <w:rsid w:val="003E2917"/>
    <w:rsid w:val="003E2CF5"/>
    <w:rsid w:val="003E3DD6"/>
    <w:rsid w:val="003E3FFB"/>
    <w:rsid w:val="003E41EF"/>
    <w:rsid w:val="003E4443"/>
    <w:rsid w:val="003E4457"/>
    <w:rsid w:val="003E4883"/>
    <w:rsid w:val="003E4949"/>
    <w:rsid w:val="003E5436"/>
    <w:rsid w:val="003E549C"/>
    <w:rsid w:val="003E5DC8"/>
    <w:rsid w:val="003E616A"/>
    <w:rsid w:val="003E756A"/>
    <w:rsid w:val="003E79B0"/>
    <w:rsid w:val="003E7EC9"/>
    <w:rsid w:val="003F058B"/>
    <w:rsid w:val="003F05D6"/>
    <w:rsid w:val="003F0628"/>
    <w:rsid w:val="003F0B0F"/>
    <w:rsid w:val="003F0D23"/>
    <w:rsid w:val="003F0D2D"/>
    <w:rsid w:val="003F11EA"/>
    <w:rsid w:val="003F12C4"/>
    <w:rsid w:val="003F1490"/>
    <w:rsid w:val="003F1511"/>
    <w:rsid w:val="003F1CF3"/>
    <w:rsid w:val="003F2092"/>
    <w:rsid w:val="003F2153"/>
    <w:rsid w:val="003F24BC"/>
    <w:rsid w:val="003F281F"/>
    <w:rsid w:val="003F2D68"/>
    <w:rsid w:val="003F3803"/>
    <w:rsid w:val="003F3997"/>
    <w:rsid w:val="003F39E4"/>
    <w:rsid w:val="003F3D98"/>
    <w:rsid w:val="003F3EBC"/>
    <w:rsid w:val="003F3F7A"/>
    <w:rsid w:val="003F4CE8"/>
    <w:rsid w:val="003F4DB9"/>
    <w:rsid w:val="003F513E"/>
    <w:rsid w:val="003F53AC"/>
    <w:rsid w:val="003F595F"/>
    <w:rsid w:val="003F5B5D"/>
    <w:rsid w:val="003F5E8F"/>
    <w:rsid w:val="003F6197"/>
    <w:rsid w:val="003F6A77"/>
    <w:rsid w:val="003F6B1C"/>
    <w:rsid w:val="003F6C49"/>
    <w:rsid w:val="003F7E8D"/>
    <w:rsid w:val="004001F7"/>
    <w:rsid w:val="00400898"/>
    <w:rsid w:val="00400BC2"/>
    <w:rsid w:val="0040151D"/>
    <w:rsid w:val="00401929"/>
    <w:rsid w:val="00401932"/>
    <w:rsid w:val="00402123"/>
    <w:rsid w:val="00403058"/>
    <w:rsid w:val="00403FB8"/>
    <w:rsid w:val="00404CB4"/>
    <w:rsid w:val="00405C00"/>
    <w:rsid w:val="00405CA6"/>
    <w:rsid w:val="00405F25"/>
    <w:rsid w:val="00405F7B"/>
    <w:rsid w:val="00406185"/>
    <w:rsid w:val="004061E7"/>
    <w:rsid w:val="00406AB1"/>
    <w:rsid w:val="00406ABB"/>
    <w:rsid w:val="00406DBD"/>
    <w:rsid w:val="00406DE9"/>
    <w:rsid w:val="00406E68"/>
    <w:rsid w:val="004076F9"/>
    <w:rsid w:val="0040792E"/>
    <w:rsid w:val="004107C2"/>
    <w:rsid w:val="00410D77"/>
    <w:rsid w:val="00411741"/>
    <w:rsid w:val="004118F6"/>
    <w:rsid w:val="00411ADB"/>
    <w:rsid w:val="00412390"/>
    <w:rsid w:val="00412DA3"/>
    <w:rsid w:val="00412F11"/>
    <w:rsid w:val="00413050"/>
    <w:rsid w:val="00413D07"/>
    <w:rsid w:val="00414448"/>
    <w:rsid w:val="00414756"/>
    <w:rsid w:val="004155BF"/>
    <w:rsid w:val="004156D2"/>
    <w:rsid w:val="004159BC"/>
    <w:rsid w:val="0041600D"/>
    <w:rsid w:val="00416476"/>
    <w:rsid w:val="0041664B"/>
    <w:rsid w:val="00416F16"/>
    <w:rsid w:val="0041703F"/>
    <w:rsid w:val="00417704"/>
    <w:rsid w:val="0042074A"/>
    <w:rsid w:val="00420CF4"/>
    <w:rsid w:val="00421A49"/>
    <w:rsid w:val="00421E38"/>
    <w:rsid w:val="00422462"/>
    <w:rsid w:val="004227C7"/>
    <w:rsid w:val="004228BE"/>
    <w:rsid w:val="00422A5A"/>
    <w:rsid w:val="00423394"/>
    <w:rsid w:val="0042351F"/>
    <w:rsid w:val="00423A1A"/>
    <w:rsid w:val="00423A59"/>
    <w:rsid w:val="00423B1F"/>
    <w:rsid w:val="0042417D"/>
    <w:rsid w:val="004245E9"/>
    <w:rsid w:val="004245ED"/>
    <w:rsid w:val="00424621"/>
    <w:rsid w:val="00424E60"/>
    <w:rsid w:val="004251AF"/>
    <w:rsid w:val="00425305"/>
    <w:rsid w:val="004253D5"/>
    <w:rsid w:val="004259BC"/>
    <w:rsid w:val="00426977"/>
    <w:rsid w:val="004269A9"/>
    <w:rsid w:val="00426AA9"/>
    <w:rsid w:val="004271AA"/>
    <w:rsid w:val="00427D03"/>
    <w:rsid w:val="00427DD0"/>
    <w:rsid w:val="004309A3"/>
    <w:rsid w:val="00430C7D"/>
    <w:rsid w:val="00431558"/>
    <w:rsid w:val="00431BF6"/>
    <w:rsid w:val="00432110"/>
    <w:rsid w:val="0043251C"/>
    <w:rsid w:val="0043356E"/>
    <w:rsid w:val="004339EE"/>
    <w:rsid w:val="00433E1A"/>
    <w:rsid w:val="00434743"/>
    <w:rsid w:val="004349F6"/>
    <w:rsid w:val="00434EDB"/>
    <w:rsid w:val="004354A0"/>
    <w:rsid w:val="0043587C"/>
    <w:rsid w:val="00435898"/>
    <w:rsid w:val="004359EE"/>
    <w:rsid w:val="00436694"/>
    <w:rsid w:val="0043697A"/>
    <w:rsid w:val="004379A5"/>
    <w:rsid w:val="00437AE5"/>
    <w:rsid w:val="00437B3E"/>
    <w:rsid w:val="004402F0"/>
    <w:rsid w:val="004406F5"/>
    <w:rsid w:val="004408D9"/>
    <w:rsid w:val="00440E4B"/>
    <w:rsid w:val="004415C4"/>
    <w:rsid w:val="00441BEA"/>
    <w:rsid w:val="00441C37"/>
    <w:rsid w:val="004421A5"/>
    <w:rsid w:val="00442B60"/>
    <w:rsid w:val="00443D09"/>
    <w:rsid w:val="0044411E"/>
    <w:rsid w:val="0044416B"/>
    <w:rsid w:val="004441A0"/>
    <w:rsid w:val="00444769"/>
    <w:rsid w:val="00444B7B"/>
    <w:rsid w:val="00444DA1"/>
    <w:rsid w:val="004450E7"/>
    <w:rsid w:val="00445255"/>
    <w:rsid w:val="00445CD3"/>
    <w:rsid w:val="00446271"/>
    <w:rsid w:val="0044733F"/>
    <w:rsid w:val="004475A6"/>
    <w:rsid w:val="00447903"/>
    <w:rsid w:val="0044799C"/>
    <w:rsid w:val="004501BC"/>
    <w:rsid w:val="00450AFA"/>
    <w:rsid w:val="00450C8A"/>
    <w:rsid w:val="00451153"/>
    <w:rsid w:val="00451401"/>
    <w:rsid w:val="00451427"/>
    <w:rsid w:val="0045171E"/>
    <w:rsid w:val="0045183F"/>
    <w:rsid w:val="004520BB"/>
    <w:rsid w:val="004521C5"/>
    <w:rsid w:val="00452CB1"/>
    <w:rsid w:val="00452CE1"/>
    <w:rsid w:val="00452E78"/>
    <w:rsid w:val="00452EF0"/>
    <w:rsid w:val="0045360D"/>
    <w:rsid w:val="00453662"/>
    <w:rsid w:val="00454037"/>
    <w:rsid w:val="004548C5"/>
    <w:rsid w:val="00455900"/>
    <w:rsid w:val="004559BF"/>
    <w:rsid w:val="00455F61"/>
    <w:rsid w:val="004565D3"/>
    <w:rsid w:val="00456798"/>
    <w:rsid w:val="00456808"/>
    <w:rsid w:val="004569F6"/>
    <w:rsid w:val="00457016"/>
    <w:rsid w:val="004573D9"/>
    <w:rsid w:val="00457F0C"/>
    <w:rsid w:val="00460962"/>
    <w:rsid w:val="00460CDA"/>
    <w:rsid w:val="00460D50"/>
    <w:rsid w:val="00460E5F"/>
    <w:rsid w:val="00462211"/>
    <w:rsid w:val="00462243"/>
    <w:rsid w:val="0046293E"/>
    <w:rsid w:val="00462FD8"/>
    <w:rsid w:val="00463F57"/>
    <w:rsid w:val="00464459"/>
    <w:rsid w:val="0046492C"/>
    <w:rsid w:val="00464EE6"/>
    <w:rsid w:val="004650CE"/>
    <w:rsid w:val="0046510B"/>
    <w:rsid w:val="00465384"/>
    <w:rsid w:val="00465606"/>
    <w:rsid w:val="0046585F"/>
    <w:rsid w:val="0046618B"/>
    <w:rsid w:val="004665B2"/>
    <w:rsid w:val="00466CF4"/>
    <w:rsid w:val="004672E4"/>
    <w:rsid w:val="004675E9"/>
    <w:rsid w:val="00470322"/>
    <w:rsid w:val="00470592"/>
    <w:rsid w:val="00470BDA"/>
    <w:rsid w:val="00470D26"/>
    <w:rsid w:val="004713E3"/>
    <w:rsid w:val="00471449"/>
    <w:rsid w:val="0047155C"/>
    <w:rsid w:val="004715A1"/>
    <w:rsid w:val="0047161E"/>
    <w:rsid w:val="00472380"/>
    <w:rsid w:val="004727A9"/>
    <w:rsid w:val="004727B1"/>
    <w:rsid w:val="004727F5"/>
    <w:rsid w:val="00472A39"/>
    <w:rsid w:val="004739BA"/>
    <w:rsid w:val="00473FBC"/>
    <w:rsid w:val="0047459A"/>
    <w:rsid w:val="0047604D"/>
    <w:rsid w:val="00476800"/>
    <w:rsid w:val="0047769A"/>
    <w:rsid w:val="0048054E"/>
    <w:rsid w:val="00480822"/>
    <w:rsid w:val="00480E84"/>
    <w:rsid w:val="00480EB6"/>
    <w:rsid w:val="004812D3"/>
    <w:rsid w:val="004815A7"/>
    <w:rsid w:val="00481738"/>
    <w:rsid w:val="004817D3"/>
    <w:rsid w:val="00481965"/>
    <w:rsid w:val="00481A8F"/>
    <w:rsid w:val="00481E3A"/>
    <w:rsid w:val="004822E0"/>
    <w:rsid w:val="00482994"/>
    <w:rsid w:val="00482E31"/>
    <w:rsid w:val="00482EAE"/>
    <w:rsid w:val="00483180"/>
    <w:rsid w:val="0048350F"/>
    <w:rsid w:val="00484902"/>
    <w:rsid w:val="00484B7A"/>
    <w:rsid w:val="00485886"/>
    <w:rsid w:val="004861D6"/>
    <w:rsid w:val="004861E8"/>
    <w:rsid w:val="0048627C"/>
    <w:rsid w:val="00486330"/>
    <w:rsid w:val="0048651D"/>
    <w:rsid w:val="0048680E"/>
    <w:rsid w:val="00486C6E"/>
    <w:rsid w:val="004870E0"/>
    <w:rsid w:val="0048748F"/>
    <w:rsid w:val="0048797F"/>
    <w:rsid w:val="00487D20"/>
    <w:rsid w:val="0049009D"/>
    <w:rsid w:val="00490554"/>
    <w:rsid w:val="00490D34"/>
    <w:rsid w:val="00490DA5"/>
    <w:rsid w:val="00491F59"/>
    <w:rsid w:val="00492145"/>
    <w:rsid w:val="00492729"/>
    <w:rsid w:val="00492ADE"/>
    <w:rsid w:val="00492C64"/>
    <w:rsid w:val="00492FFE"/>
    <w:rsid w:val="00493399"/>
    <w:rsid w:val="0049343B"/>
    <w:rsid w:val="00493F8B"/>
    <w:rsid w:val="00494215"/>
    <w:rsid w:val="0049427B"/>
    <w:rsid w:val="0049454E"/>
    <w:rsid w:val="00495DC5"/>
    <w:rsid w:val="0049646C"/>
    <w:rsid w:val="00496547"/>
    <w:rsid w:val="00496D0B"/>
    <w:rsid w:val="00496D18"/>
    <w:rsid w:val="00496DEC"/>
    <w:rsid w:val="00496E44"/>
    <w:rsid w:val="00496F0A"/>
    <w:rsid w:val="00497715"/>
    <w:rsid w:val="00497722"/>
    <w:rsid w:val="004977F0"/>
    <w:rsid w:val="00497D59"/>
    <w:rsid w:val="004A0780"/>
    <w:rsid w:val="004A1A7B"/>
    <w:rsid w:val="004A2048"/>
    <w:rsid w:val="004A2445"/>
    <w:rsid w:val="004A2A82"/>
    <w:rsid w:val="004A3274"/>
    <w:rsid w:val="004A4036"/>
    <w:rsid w:val="004A4558"/>
    <w:rsid w:val="004A4580"/>
    <w:rsid w:val="004A4810"/>
    <w:rsid w:val="004A4AE0"/>
    <w:rsid w:val="004A51E5"/>
    <w:rsid w:val="004A570F"/>
    <w:rsid w:val="004A5C65"/>
    <w:rsid w:val="004A6A01"/>
    <w:rsid w:val="004A72FE"/>
    <w:rsid w:val="004A7888"/>
    <w:rsid w:val="004A7C84"/>
    <w:rsid w:val="004A7CBF"/>
    <w:rsid w:val="004B05F9"/>
    <w:rsid w:val="004B0911"/>
    <w:rsid w:val="004B0AEB"/>
    <w:rsid w:val="004B0E04"/>
    <w:rsid w:val="004B149D"/>
    <w:rsid w:val="004B153A"/>
    <w:rsid w:val="004B1AF5"/>
    <w:rsid w:val="004B1C32"/>
    <w:rsid w:val="004B2370"/>
    <w:rsid w:val="004B24B2"/>
    <w:rsid w:val="004B29C1"/>
    <w:rsid w:val="004B2F69"/>
    <w:rsid w:val="004B3105"/>
    <w:rsid w:val="004B3838"/>
    <w:rsid w:val="004B4285"/>
    <w:rsid w:val="004B47A1"/>
    <w:rsid w:val="004B4CCD"/>
    <w:rsid w:val="004B4E8C"/>
    <w:rsid w:val="004B5272"/>
    <w:rsid w:val="004B5881"/>
    <w:rsid w:val="004B5DE9"/>
    <w:rsid w:val="004B62CB"/>
    <w:rsid w:val="004B64C2"/>
    <w:rsid w:val="004B6BFE"/>
    <w:rsid w:val="004B6D5C"/>
    <w:rsid w:val="004B71F8"/>
    <w:rsid w:val="004B740C"/>
    <w:rsid w:val="004B79FE"/>
    <w:rsid w:val="004C0864"/>
    <w:rsid w:val="004C08FD"/>
    <w:rsid w:val="004C0C0A"/>
    <w:rsid w:val="004C11C1"/>
    <w:rsid w:val="004C15D2"/>
    <w:rsid w:val="004C163B"/>
    <w:rsid w:val="004C170A"/>
    <w:rsid w:val="004C170E"/>
    <w:rsid w:val="004C1E91"/>
    <w:rsid w:val="004C2171"/>
    <w:rsid w:val="004C2836"/>
    <w:rsid w:val="004C286F"/>
    <w:rsid w:val="004C2E7B"/>
    <w:rsid w:val="004C35BA"/>
    <w:rsid w:val="004C3FF1"/>
    <w:rsid w:val="004C3FFC"/>
    <w:rsid w:val="004C41D1"/>
    <w:rsid w:val="004C41F5"/>
    <w:rsid w:val="004C4251"/>
    <w:rsid w:val="004C45D5"/>
    <w:rsid w:val="004C4761"/>
    <w:rsid w:val="004C4ACE"/>
    <w:rsid w:val="004C4CE2"/>
    <w:rsid w:val="004C4EBD"/>
    <w:rsid w:val="004C58D7"/>
    <w:rsid w:val="004C5C3B"/>
    <w:rsid w:val="004C6846"/>
    <w:rsid w:val="004C6AC5"/>
    <w:rsid w:val="004C6BFA"/>
    <w:rsid w:val="004C6D31"/>
    <w:rsid w:val="004C7235"/>
    <w:rsid w:val="004C735F"/>
    <w:rsid w:val="004C736A"/>
    <w:rsid w:val="004C7372"/>
    <w:rsid w:val="004C7690"/>
    <w:rsid w:val="004D0F75"/>
    <w:rsid w:val="004D1555"/>
    <w:rsid w:val="004D1686"/>
    <w:rsid w:val="004D169C"/>
    <w:rsid w:val="004D1772"/>
    <w:rsid w:val="004D24D8"/>
    <w:rsid w:val="004D25B2"/>
    <w:rsid w:val="004D2CB5"/>
    <w:rsid w:val="004D2D28"/>
    <w:rsid w:val="004D39E6"/>
    <w:rsid w:val="004D3AD0"/>
    <w:rsid w:val="004D447E"/>
    <w:rsid w:val="004D46C5"/>
    <w:rsid w:val="004D49CA"/>
    <w:rsid w:val="004D4CE0"/>
    <w:rsid w:val="004D5763"/>
    <w:rsid w:val="004D5F38"/>
    <w:rsid w:val="004D62D6"/>
    <w:rsid w:val="004D642D"/>
    <w:rsid w:val="004D64A5"/>
    <w:rsid w:val="004D655A"/>
    <w:rsid w:val="004D67D4"/>
    <w:rsid w:val="004D74E6"/>
    <w:rsid w:val="004D7932"/>
    <w:rsid w:val="004D7AA3"/>
    <w:rsid w:val="004E00DE"/>
    <w:rsid w:val="004E04C4"/>
    <w:rsid w:val="004E0ADF"/>
    <w:rsid w:val="004E0B67"/>
    <w:rsid w:val="004E0F81"/>
    <w:rsid w:val="004E1467"/>
    <w:rsid w:val="004E204E"/>
    <w:rsid w:val="004E24D8"/>
    <w:rsid w:val="004E3874"/>
    <w:rsid w:val="004E408B"/>
    <w:rsid w:val="004E51DF"/>
    <w:rsid w:val="004E5444"/>
    <w:rsid w:val="004E55D5"/>
    <w:rsid w:val="004E5707"/>
    <w:rsid w:val="004E5B03"/>
    <w:rsid w:val="004E611C"/>
    <w:rsid w:val="004E64B5"/>
    <w:rsid w:val="004E64E1"/>
    <w:rsid w:val="004E68C0"/>
    <w:rsid w:val="004E693B"/>
    <w:rsid w:val="004E7327"/>
    <w:rsid w:val="004E7470"/>
    <w:rsid w:val="004F0102"/>
    <w:rsid w:val="004F059F"/>
    <w:rsid w:val="004F0809"/>
    <w:rsid w:val="004F0A17"/>
    <w:rsid w:val="004F0CD0"/>
    <w:rsid w:val="004F0F94"/>
    <w:rsid w:val="004F11CC"/>
    <w:rsid w:val="004F1692"/>
    <w:rsid w:val="004F1B2D"/>
    <w:rsid w:val="004F1BF9"/>
    <w:rsid w:val="004F1C92"/>
    <w:rsid w:val="004F1D10"/>
    <w:rsid w:val="004F2399"/>
    <w:rsid w:val="004F2F9D"/>
    <w:rsid w:val="004F2FC2"/>
    <w:rsid w:val="004F324F"/>
    <w:rsid w:val="004F32AC"/>
    <w:rsid w:val="004F4233"/>
    <w:rsid w:val="004F42AF"/>
    <w:rsid w:val="004F4F04"/>
    <w:rsid w:val="004F4F0F"/>
    <w:rsid w:val="004F5154"/>
    <w:rsid w:val="004F51CA"/>
    <w:rsid w:val="004F5711"/>
    <w:rsid w:val="004F57CA"/>
    <w:rsid w:val="004F583A"/>
    <w:rsid w:val="004F6025"/>
    <w:rsid w:val="004F678F"/>
    <w:rsid w:val="004F6A61"/>
    <w:rsid w:val="004F6BB0"/>
    <w:rsid w:val="004F6BB5"/>
    <w:rsid w:val="004F6E58"/>
    <w:rsid w:val="004F6F98"/>
    <w:rsid w:val="004F742E"/>
    <w:rsid w:val="004F7576"/>
    <w:rsid w:val="004F76EF"/>
    <w:rsid w:val="004F7830"/>
    <w:rsid w:val="004F7960"/>
    <w:rsid w:val="004F7F82"/>
    <w:rsid w:val="005002F1"/>
    <w:rsid w:val="00500383"/>
    <w:rsid w:val="0050047A"/>
    <w:rsid w:val="00500864"/>
    <w:rsid w:val="00501163"/>
    <w:rsid w:val="0050131E"/>
    <w:rsid w:val="00501367"/>
    <w:rsid w:val="00501A15"/>
    <w:rsid w:val="00501ABD"/>
    <w:rsid w:val="00501ECF"/>
    <w:rsid w:val="00502220"/>
    <w:rsid w:val="00502A69"/>
    <w:rsid w:val="00502B85"/>
    <w:rsid w:val="00502BFB"/>
    <w:rsid w:val="0050312D"/>
    <w:rsid w:val="0050332E"/>
    <w:rsid w:val="00503655"/>
    <w:rsid w:val="00503B4B"/>
    <w:rsid w:val="00503EB6"/>
    <w:rsid w:val="00504128"/>
    <w:rsid w:val="0050430E"/>
    <w:rsid w:val="00504573"/>
    <w:rsid w:val="0050488A"/>
    <w:rsid w:val="00504999"/>
    <w:rsid w:val="00504B4C"/>
    <w:rsid w:val="00504C88"/>
    <w:rsid w:val="005051F4"/>
    <w:rsid w:val="00505CAC"/>
    <w:rsid w:val="00505D10"/>
    <w:rsid w:val="005061C4"/>
    <w:rsid w:val="00506EDC"/>
    <w:rsid w:val="00507157"/>
    <w:rsid w:val="0050736E"/>
    <w:rsid w:val="00507953"/>
    <w:rsid w:val="00510093"/>
    <w:rsid w:val="00510198"/>
    <w:rsid w:val="00510651"/>
    <w:rsid w:val="00510CE7"/>
    <w:rsid w:val="00511651"/>
    <w:rsid w:val="0051170F"/>
    <w:rsid w:val="005119C3"/>
    <w:rsid w:val="00511F02"/>
    <w:rsid w:val="0051224A"/>
    <w:rsid w:val="005137E3"/>
    <w:rsid w:val="00513C57"/>
    <w:rsid w:val="005144AD"/>
    <w:rsid w:val="00515688"/>
    <w:rsid w:val="00515A0E"/>
    <w:rsid w:val="00515F54"/>
    <w:rsid w:val="005161F2"/>
    <w:rsid w:val="005167ED"/>
    <w:rsid w:val="00516A45"/>
    <w:rsid w:val="005175C9"/>
    <w:rsid w:val="00517DAE"/>
    <w:rsid w:val="00517FE3"/>
    <w:rsid w:val="005200CF"/>
    <w:rsid w:val="00520748"/>
    <w:rsid w:val="005209CC"/>
    <w:rsid w:val="00520DE4"/>
    <w:rsid w:val="00520EB3"/>
    <w:rsid w:val="00521B69"/>
    <w:rsid w:val="00521D83"/>
    <w:rsid w:val="00521E59"/>
    <w:rsid w:val="0052278A"/>
    <w:rsid w:val="00522DFC"/>
    <w:rsid w:val="00522FCD"/>
    <w:rsid w:val="00523068"/>
    <w:rsid w:val="005233F7"/>
    <w:rsid w:val="00523683"/>
    <w:rsid w:val="00523B4D"/>
    <w:rsid w:val="00523E44"/>
    <w:rsid w:val="00524D3A"/>
    <w:rsid w:val="00525327"/>
    <w:rsid w:val="00525DFD"/>
    <w:rsid w:val="0052644E"/>
    <w:rsid w:val="00526766"/>
    <w:rsid w:val="005269C7"/>
    <w:rsid w:val="00527746"/>
    <w:rsid w:val="00527FA4"/>
    <w:rsid w:val="00530038"/>
    <w:rsid w:val="00530409"/>
    <w:rsid w:val="005306BE"/>
    <w:rsid w:val="00530BEB"/>
    <w:rsid w:val="00530EEA"/>
    <w:rsid w:val="00531A43"/>
    <w:rsid w:val="00531C18"/>
    <w:rsid w:val="005322A0"/>
    <w:rsid w:val="00532826"/>
    <w:rsid w:val="00532B82"/>
    <w:rsid w:val="00532F30"/>
    <w:rsid w:val="00533318"/>
    <w:rsid w:val="00533558"/>
    <w:rsid w:val="005337CE"/>
    <w:rsid w:val="0053393C"/>
    <w:rsid w:val="005339CF"/>
    <w:rsid w:val="00533FB2"/>
    <w:rsid w:val="00534665"/>
    <w:rsid w:val="00535552"/>
    <w:rsid w:val="00535923"/>
    <w:rsid w:val="0053592C"/>
    <w:rsid w:val="00535A33"/>
    <w:rsid w:val="00536543"/>
    <w:rsid w:val="0053662A"/>
    <w:rsid w:val="00536905"/>
    <w:rsid w:val="00536F0A"/>
    <w:rsid w:val="005370EB"/>
    <w:rsid w:val="005372E7"/>
    <w:rsid w:val="0053762B"/>
    <w:rsid w:val="005377F9"/>
    <w:rsid w:val="00537B18"/>
    <w:rsid w:val="00537CA2"/>
    <w:rsid w:val="0054053D"/>
    <w:rsid w:val="0054075E"/>
    <w:rsid w:val="00541831"/>
    <w:rsid w:val="00543C66"/>
    <w:rsid w:val="00544072"/>
    <w:rsid w:val="00544215"/>
    <w:rsid w:val="00544975"/>
    <w:rsid w:val="00544B2E"/>
    <w:rsid w:val="005452DF"/>
    <w:rsid w:val="00545341"/>
    <w:rsid w:val="0054583D"/>
    <w:rsid w:val="005458BF"/>
    <w:rsid w:val="005458E1"/>
    <w:rsid w:val="00545B50"/>
    <w:rsid w:val="00545BF7"/>
    <w:rsid w:val="00546155"/>
    <w:rsid w:val="00546216"/>
    <w:rsid w:val="0054627D"/>
    <w:rsid w:val="0054629F"/>
    <w:rsid w:val="005466A8"/>
    <w:rsid w:val="00546A5F"/>
    <w:rsid w:val="00550626"/>
    <w:rsid w:val="00550B9E"/>
    <w:rsid w:val="00550BE7"/>
    <w:rsid w:val="0055112F"/>
    <w:rsid w:val="00551EA7"/>
    <w:rsid w:val="0055243D"/>
    <w:rsid w:val="00553101"/>
    <w:rsid w:val="005531AF"/>
    <w:rsid w:val="00553BC0"/>
    <w:rsid w:val="00553E75"/>
    <w:rsid w:val="005543F0"/>
    <w:rsid w:val="005554FA"/>
    <w:rsid w:val="005558DB"/>
    <w:rsid w:val="00556D94"/>
    <w:rsid w:val="005570CC"/>
    <w:rsid w:val="0055728C"/>
    <w:rsid w:val="005579A3"/>
    <w:rsid w:val="00557A87"/>
    <w:rsid w:val="00557B1C"/>
    <w:rsid w:val="00557C09"/>
    <w:rsid w:val="0056078A"/>
    <w:rsid w:val="00560D05"/>
    <w:rsid w:val="0056124E"/>
    <w:rsid w:val="00562EC3"/>
    <w:rsid w:val="005640A3"/>
    <w:rsid w:val="005648AD"/>
    <w:rsid w:val="00564F79"/>
    <w:rsid w:val="00565173"/>
    <w:rsid w:val="005657D5"/>
    <w:rsid w:val="005660AB"/>
    <w:rsid w:val="00566C35"/>
    <w:rsid w:val="00566CCA"/>
    <w:rsid w:val="00566E9D"/>
    <w:rsid w:val="005673B0"/>
    <w:rsid w:val="005677D5"/>
    <w:rsid w:val="0056784B"/>
    <w:rsid w:val="00570032"/>
    <w:rsid w:val="00570D80"/>
    <w:rsid w:val="00571295"/>
    <w:rsid w:val="005717BD"/>
    <w:rsid w:val="005724B8"/>
    <w:rsid w:val="00572721"/>
    <w:rsid w:val="00572998"/>
    <w:rsid w:val="00572DAD"/>
    <w:rsid w:val="00574DB0"/>
    <w:rsid w:val="00575D7A"/>
    <w:rsid w:val="00575F04"/>
    <w:rsid w:val="00576987"/>
    <w:rsid w:val="00576C26"/>
    <w:rsid w:val="00576EF4"/>
    <w:rsid w:val="0057707B"/>
    <w:rsid w:val="005771D1"/>
    <w:rsid w:val="00580010"/>
    <w:rsid w:val="00580030"/>
    <w:rsid w:val="0058023E"/>
    <w:rsid w:val="005805BA"/>
    <w:rsid w:val="0058071A"/>
    <w:rsid w:val="0058075C"/>
    <w:rsid w:val="005809CA"/>
    <w:rsid w:val="00580AF6"/>
    <w:rsid w:val="00580D15"/>
    <w:rsid w:val="00580ECA"/>
    <w:rsid w:val="0058159F"/>
    <w:rsid w:val="00581AB8"/>
    <w:rsid w:val="00581D2D"/>
    <w:rsid w:val="00581FE3"/>
    <w:rsid w:val="00582782"/>
    <w:rsid w:val="005829A5"/>
    <w:rsid w:val="00583A26"/>
    <w:rsid w:val="005843A5"/>
    <w:rsid w:val="0058452B"/>
    <w:rsid w:val="00584BFE"/>
    <w:rsid w:val="005853F5"/>
    <w:rsid w:val="00585571"/>
    <w:rsid w:val="005856BC"/>
    <w:rsid w:val="00585B09"/>
    <w:rsid w:val="00586992"/>
    <w:rsid w:val="00587126"/>
    <w:rsid w:val="00587CD7"/>
    <w:rsid w:val="00587D42"/>
    <w:rsid w:val="00587DE9"/>
    <w:rsid w:val="00587F31"/>
    <w:rsid w:val="00590031"/>
    <w:rsid w:val="00590602"/>
    <w:rsid w:val="0059094C"/>
    <w:rsid w:val="00590A5E"/>
    <w:rsid w:val="00590BB6"/>
    <w:rsid w:val="00590DC6"/>
    <w:rsid w:val="00591145"/>
    <w:rsid w:val="005913D0"/>
    <w:rsid w:val="005923F2"/>
    <w:rsid w:val="0059249F"/>
    <w:rsid w:val="00592CF0"/>
    <w:rsid w:val="00593309"/>
    <w:rsid w:val="00593D0D"/>
    <w:rsid w:val="00593DAA"/>
    <w:rsid w:val="00594634"/>
    <w:rsid w:val="00594E43"/>
    <w:rsid w:val="00594F8C"/>
    <w:rsid w:val="00594FBE"/>
    <w:rsid w:val="005951D8"/>
    <w:rsid w:val="0059577E"/>
    <w:rsid w:val="00595CF4"/>
    <w:rsid w:val="00595EFD"/>
    <w:rsid w:val="00595F28"/>
    <w:rsid w:val="00596638"/>
    <w:rsid w:val="00596C68"/>
    <w:rsid w:val="00596F89"/>
    <w:rsid w:val="0059725F"/>
    <w:rsid w:val="005974F2"/>
    <w:rsid w:val="00597539"/>
    <w:rsid w:val="005975EF"/>
    <w:rsid w:val="005976AE"/>
    <w:rsid w:val="00597700"/>
    <w:rsid w:val="005A0826"/>
    <w:rsid w:val="005A0BD6"/>
    <w:rsid w:val="005A0C4F"/>
    <w:rsid w:val="005A0D5D"/>
    <w:rsid w:val="005A152E"/>
    <w:rsid w:val="005A1551"/>
    <w:rsid w:val="005A1AC0"/>
    <w:rsid w:val="005A1F10"/>
    <w:rsid w:val="005A2273"/>
    <w:rsid w:val="005A244D"/>
    <w:rsid w:val="005A2EC5"/>
    <w:rsid w:val="005A3260"/>
    <w:rsid w:val="005A339B"/>
    <w:rsid w:val="005A3FF4"/>
    <w:rsid w:val="005A4F1D"/>
    <w:rsid w:val="005A4F5D"/>
    <w:rsid w:val="005A5136"/>
    <w:rsid w:val="005A5D99"/>
    <w:rsid w:val="005A657C"/>
    <w:rsid w:val="005A6690"/>
    <w:rsid w:val="005A6BC4"/>
    <w:rsid w:val="005B0450"/>
    <w:rsid w:val="005B04F1"/>
    <w:rsid w:val="005B0536"/>
    <w:rsid w:val="005B0ECD"/>
    <w:rsid w:val="005B1C90"/>
    <w:rsid w:val="005B20D4"/>
    <w:rsid w:val="005B2766"/>
    <w:rsid w:val="005B28FA"/>
    <w:rsid w:val="005B2E46"/>
    <w:rsid w:val="005B2F76"/>
    <w:rsid w:val="005B351B"/>
    <w:rsid w:val="005B3785"/>
    <w:rsid w:val="005B3B4F"/>
    <w:rsid w:val="005B4431"/>
    <w:rsid w:val="005B447A"/>
    <w:rsid w:val="005B45DB"/>
    <w:rsid w:val="005B4A78"/>
    <w:rsid w:val="005B4ABB"/>
    <w:rsid w:val="005B535A"/>
    <w:rsid w:val="005B5C20"/>
    <w:rsid w:val="005B5D90"/>
    <w:rsid w:val="005B601A"/>
    <w:rsid w:val="005B7099"/>
    <w:rsid w:val="005B71B3"/>
    <w:rsid w:val="005B78AD"/>
    <w:rsid w:val="005B7BC5"/>
    <w:rsid w:val="005C06BE"/>
    <w:rsid w:val="005C0CB3"/>
    <w:rsid w:val="005C0DDE"/>
    <w:rsid w:val="005C10B3"/>
    <w:rsid w:val="005C1870"/>
    <w:rsid w:val="005C1FA0"/>
    <w:rsid w:val="005C1FE0"/>
    <w:rsid w:val="005C2407"/>
    <w:rsid w:val="005C2530"/>
    <w:rsid w:val="005C27F0"/>
    <w:rsid w:val="005C3F38"/>
    <w:rsid w:val="005C4056"/>
    <w:rsid w:val="005C40BB"/>
    <w:rsid w:val="005C526A"/>
    <w:rsid w:val="005C5285"/>
    <w:rsid w:val="005C5445"/>
    <w:rsid w:val="005C55F1"/>
    <w:rsid w:val="005C5BBE"/>
    <w:rsid w:val="005C6045"/>
    <w:rsid w:val="005C640F"/>
    <w:rsid w:val="005C661D"/>
    <w:rsid w:val="005C6683"/>
    <w:rsid w:val="005C6940"/>
    <w:rsid w:val="005C6968"/>
    <w:rsid w:val="005C73FB"/>
    <w:rsid w:val="005C7914"/>
    <w:rsid w:val="005C7BC4"/>
    <w:rsid w:val="005D0AE7"/>
    <w:rsid w:val="005D17F9"/>
    <w:rsid w:val="005D1A5A"/>
    <w:rsid w:val="005D1CF4"/>
    <w:rsid w:val="005D1F29"/>
    <w:rsid w:val="005D2003"/>
    <w:rsid w:val="005D2E76"/>
    <w:rsid w:val="005D4266"/>
    <w:rsid w:val="005D4818"/>
    <w:rsid w:val="005D481D"/>
    <w:rsid w:val="005D4BE9"/>
    <w:rsid w:val="005D59CF"/>
    <w:rsid w:val="005D5A3E"/>
    <w:rsid w:val="005D5DB0"/>
    <w:rsid w:val="005D5DED"/>
    <w:rsid w:val="005D5E81"/>
    <w:rsid w:val="005D6653"/>
    <w:rsid w:val="005D6D52"/>
    <w:rsid w:val="005D751B"/>
    <w:rsid w:val="005D7A55"/>
    <w:rsid w:val="005D7FCE"/>
    <w:rsid w:val="005E0B16"/>
    <w:rsid w:val="005E0D12"/>
    <w:rsid w:val="005E115F"/>
    <w:rsid w:val="005E1826"/>
    <w:rsid w:val="005E1A3D"/>
    <w:rsid w:val="005E255D"/>
    <w:rsid w:val="005E3147"/>
    <w:rsid w:val="005E370E"/>
    <w:rsid w:val="005E38B3"/>
    <w:rsid w:val="005E390F"/>
    <w:rsid w:val="005E48A4"/>
    <w:rsid w:val="005E4D16"/>
    <w:rsid w:val="005E588F"/>
    <w:rsid w:val="005E5B72"/>
    <w:rsid w:val="005E5E94"/>
    <w:rsid w:val="005E62DD"/>
    <w:rsid w:val="005E6CBA"/>
    <w:rsid w:val="005E7EB8"/>
    <w:rsid w:val="005F0E2B"/>
    <w:rsid w:val="005F104E"/>
    <w:rsid w:val="005F121D"/>
    <w:rsid w:val="005F188A"/>
    <w:rsid w:val="005F1B61"/>
    <w:rsid w:val="005F1D71"/>
    <w:rsid w:val="005F27D6"/>
    <w:rsid w:val="005F2947"/>
    <w:rsid w:val="005F2A52"/>
    <w:rsid w:val="005F2AA3"/>
    <w:rsid w:val="005F2B71"/>
    <w:rsid w:val="005F40FD"/>
    <w:rsid w:val="005F4CD0"/>
    <w:rsid w:val="005F514A"/>
    <w:rsid w:val="005F5E58"/>
    <w:rsid w:val="005F64EB"/>
    <w:rsid w:val="005F6981"/>
    <w:rsid w:val="00600ACD"/>
    <w:rsid w:val="00600AF4"/>
    <w:rsid w:val="00601AFD"/>
    <w:rsid w:val="00601C27"/>
    <w:rsid w:val="0060270A"/>
    <w:rsid w:val="0060271A"/>
    <w:rsid w:val="00602A15"/>
    <w:rsid w:val="0060333E"/>
    <w:rsid w:val="0060368E"/>
    <w:rsid w:val="0060396C"/>
    <w:rsid w:val="00603FDA"/>
    <w:rsid w:val="006041CD"/>
    <w:rsid w:val="00604C15"/>
    <w:rsid w:val="00607238"/>
    <w:rsid w:val="00607402"/>
    <w:rsid w:val="00607452"/>
    <w:rsid w:val="00607A29"/>
    <w:rsid w:val="006108D3"/>
    <w:rsid w:val="00610B67"/>
    <w:rsid w:val="00610BB7"/>
    <w:rsid w:val="006113A8"/>
    <w:rsid w:val="006114B3"/>
    <w:rsid w:val="00611C6C"/>
    <w:rsid w:val="0061213E"/>
    <w:rsid w:val="006129E0"/>
    <w:rsid w:val="006132C3"/>
    <w:rsid w:val="00613BC6"/>
    <w:rsid w:val="0061426C"/>
    <w:rsid w:val="0061501D"/>
    <w:rsid w:val="00615602"/>
    <w:rsid w:val="00615A70"/>
    <w:rsid w:val="00615BF7"/>
    <w:rsid w:val="00615EFE"/>
    <w:rsid w:val="006161F7"/>
    <w:rsid w:val="006162DD"/>
    <w:rsid w:val="00616460"/>
    <w:rsid w:val="00616607"/>
    <w:rsid w:val="00617943"/>
    <w:rsid w:val="006206CD"/>
    <w:rsid w:val="00620844"/>
    <w:rsid w:val="006209F8"/>
    <w:rsid w:val="0062169E"/>
    <w:rsid w:val="00622399"/>
    <w:rsid w:val="006236D3"/>
    <w:rsid w:val="00623C8E"/>
    <w:rsid w:val="006241CC"/>
    <w:rsid w:val="00624B2F"/>
    <w:rsid w:val="00624E6C"/>
    <w:rsid w:val="0062538B"/>
    <w:rsid w:val="00625641"/>
    <w:rsid w:val="00625B64"/>
    <w:rsid w:val="00625F9B"/>
    <w:rsid w:val="0062791A"/>
    <w:rsid w:val="00627C6B"/>
    <w:rsid w:val="00627E9C"/>
    <w:rsid w:val="00627F03"/>
    <w:rsid w:val="006301E1"/>
    <w:rsid w:val="00630A02"/>
    <w:rsid w:val="00630FC6"/>
    <w:rsid w:val="00631578"/>
    <w:rsid w:val="00632351"/>
    <w:rsid w:val="006327F9"/>
    <w:rsid w:val="0063297B"/>
    <w:rsid w:val="0063318D"/>
    <w:rsid w:val="006336F8"/>
    <w:rsid w:val="0063427A"/>
    <w:rsid w:val="0063458B"/>
    <w:rsid w:val="0063496E"/>
    <w:rsid w:val="00634BE4"/>
    <w:rsid w:val="00634E70"/>
    <w:rsid w:val="00634EA8"/>
    <w:rsid w:val="00635539"/>
    <w:rsid w:val="00636437"/>
    <w:rsid w:val="00636A9D"/>
    <w:rsid w:val="0063710F"/>
    <w:rsid w:val="00637522"/>
    <w:rsid w:val="00637701"/>
    <w:rsid w:val="00637EC6"/>
    <w:rsid w:val="00640630"/>
    <w:rsid w:val="0064064D"/>
    <w:rsid w:val="006408E1"/>
    <w:rsid w:val="00640E5A"/>
    <w:rsid w:val="006414DD"/>
    <w:rsid w:val="00641BA2"/>
    <w:rsid w:val="00641D64"/>
    <w:rsid w:val="006424DD"/>
    <w:rsid w:val="00642852"/>
    <w:rsid w:val="006428F9"/>
    <w:rsid w:val="00642F5A"/>
    <w:rsid w:val="006430A8"/>
    <w:rsid w:val="00643861"/>
    <w:rsid w:val="00643DC4"/>
    <w:rsid w:val="00643F33"/>
    <w:rsid w:val="00644539"/>
    <w:rsid w:val="006445BD"/>
    <w:rsid w:val="006450DF"/>
    <w:rsid w:val="006451B0"/>
    <w:rsid w:val="00646364"/>
    <w:rsid w:val="00646410"/>
    <w:rsid w:val="0064698E"/>
    <w:rsid w:val="00646B9A"/>
    <w:rsid w:val="00647621"/>
    <w:rsid w:val="0064783B"/>
    <w:rsid w:val="00647872"/>
    <w:rsid w:val="00647E71"/>
    <w:rsid w:val="006500C8"/>
    <w:rsid w:val="00650548"/>
    <w:rsid w:val="006507CA"/>
    <w:rsid w:val="006507DC"/>
    <w:rsid w:val="00650B09"/>
    <w:rsid w:val="00650D73"/>
    <w:rsid w:val="00651306"/>
    <w:rsid w:val="0065155D"/>
    <w:rsid w:val="00651BE7"/>
    <w:rsid w:val="0065247E"/>
    <w:rsid w:val="0065253A"/>
    <w:rsid w:val="006528A4"/>
    <w:rsid w:val="00652C54"/>
    <w:rsid w:val="00652E1E"/>
    <w:rsid w:val="006538BA"/>
    <w:rsid w:val="0065397A"/>
    <w:rsid w:val="00653BA8"/>
    <w:rsid w:val="00653E70"/>
    <w:rsid w:val="006543D1"/>
    <w:rsid w:val="0065462C"/>
    <w:rsid w:val="00654A2F"/>
    <w:rsid w:val="006551F9"/>
    <w:rsid w:val="006552B6"/>
    <w:rsid w:val="00655596"/>
    <w:rsid w:val="00655712"/>
    <w:rsid w:val="00655809"/>
    <w:rsid w:val="00655A46"/>
    <w:rsid w:val="00655CF1"/>
    <w:rsid w:val="00655F51"/>
    <w:rsid w:val="006560EE"/>
    <w:rsid w:val="00656293"/>
    <w:rsid w:val="006563A6"/>
    <w:rsid w:val="0065655D"/>
    <w:rsid w:val="006572D3"/>
    <w:rsid w:val="00657BA4"/>
    <w:rsid w:val="00657C11"/>
    <w:rsid w:val="00657D60"/>
    <w:rsid w:val="00657DC1"/>
    <w:rsid w:val="006604C4"/>
    <w:rsid w:val="00661704"/>
    <w:rsid w:val="00662549"/>
    <w:rsid w:val="00662822"/>
    <w:rsid w:val="00663B15"/>
    <w:rsid w:val="0066405D"/>
    <w:rsid w:val="006642D2"/>
    <w:rsid w:val="00664A0A"/>
    <w:rsid w:val="00664D97"/>
    <w:rsid w:val="00664ED4"/>
    <w:rsid w:val="00664F4C"/>
    <w:rsid w:val="006659B3"/>
    <w:rsid w:val="00666A8D"/>
    <w:rsid w:val="00666C06"/>
    <w:rsid w:val="006671F0"/>
    <w:rsid w:val="00667479"/>
    <w:rsid w:val="00667AE9"/>
    <w:rsid w:val="00667C41"/>
    <w:rsid w:val="00667C4C"/>
    <w:rsid w:val="0067084A"/>
    <w:rsid w:val="00671860"/>
    <w:rsid w:val="00671AAC"/>
    <w:rsid w:val="006723FB"/>
    <w:rsid w:val="0067291A"/>
    <w:rsid w:val="00672FCE"/>
    <w:rsid w:val="006732D8"/>
    <w:rsid w:val="0067360C"/>
    <w:rsid w:val="006736EB"/>
    <w:rsid w:val="00673B6B"/>
    <w:rsid w:val="00673D1E"/>
    <w:rsid w:val="00674615"/>
    <w:rsid w:val="006753C5"/>
    <w:rsid w:val="006757E0"/>
    <w:rsid w:val="006758FB"/>
    <w:rsid w:val="00675B1D"/>
    <w:rsid w:val="006762AD"/>
    <w:rsid w:val="00676396"/>
    <w:rsid w:val="006767B1"/>
    <w:rsid w:val="006775C7"/>
    <w:rsid w:val="006775D6"/>
    <w:rsid w:val="00677EB4"/>
    <w:rsid w:val="006804E7"/>
    <w:rsid w:val="0068075F"/>
    <w:rsid w:val="00680DBB"/>
    <w:rsid w:val="00681869"/>
    <w:rsid w:val="00681950"/>
    <w:rsid w:val="00681EAA"/>
    <w:rsid w:val="00682096"/>
    <w:rsid w:val="00682716"/>
    <w:rsid w:val="00682C57"/>
    <w:rsid w:val="006831E1"/>
    <w:rsid w:val="006839E0"/>
    <w:rsid w:val="0068435A"/>
    <w:rsid w:val="006851E7"/>
    <w:rsid w:val="00685769"/>
    <w:rsid w:val="006857B1"/>
    <w:rsid w:val="00685B5E"/>
    <w:rsid w:val="00685C0E"/>
    <w:rsid w:val="006861B5"/>
    <w:rsid w:val="00687755"/>
    <w:rsid w:val="0069089D"/>
    <w:rsid w:val="006909D7"/>
    <w:rsid w:val="00690BF4"/>
    <w:rsid w:val="00691599"/>
    <w:rsid w:val="006919B8"/>
    <w:rsid w:val="00691A1D"/>
    <w:rsid w:val="006921D4"/>
    <w:rsid w:val="006923F6"/>
    <w:rsid w:val="006925FC"/>
    <w:rsid w:val="00692E0A"/>
    <w:rsid w:val="0069326E"/>
    <w:rsid w:val="006934C7"/>
    <w:rsid w:val="00693F8D"/>
    <w:rsid w:val="00694177"/>
    <w:rsid w:val="0069458E"/>
    <w:rsid w:val="00694736"/>
    <w:rsid w:val="00695CE0"/>
    <w:rsid w:val="00695CEC"/>
    <w:rsid w:val="00696297"/>
    <w:rsid w:val="0069690D"/>
    <w:rsid w:val="006972E8"/>
    <w:rsid w:val="00697BDB"/>
    <w:rsid w:val="00697C68"/>
    <w:rsid w:val="00697D3A"/>
    <w:rsid w:val="006A1EEB"/>
    <w:rsid w:val="006A26F8"/>
    <w:rsid w:val="006A2AF7"/>
    <w:rsid w:val="006A2B7E"/>
    <w:rsid w:val="006A2F0B"/>
    <w:rsid w:val="006A3072"/>
    <w:rsid w:val="006A311B"/>
    <w:rsid w:val="006A367A"/>
    <w:rsid w:val="006A395A"/>
    <w:rsid w:val="006A3F9A"/>
    <w:rsid w:val="006A4912"/>
    <w:rsid w:val="006A4A90"/>
    <w:rsid w:val="006A53CC"/>
    <w:rsid w:val="006A60FE"/>
    <w:rsid w:val="006A6528"/>
    <w:rsid w:val="006A6FBD"/>
    <w:rsid w:val="006A7376"/>
    <w:rsid w:val="006A7A78"/>
    <w:rsid w:val="006A7EAC"/>
    <w:rsid w:val="006B0412"/>
    <w:rsid w:val="006B0713"/>
    <w:rsid w:val="006B0904"/>
    <w:rsid w:val="006B0B6D"/>
    <w:rsid w:val="006B0B7E"/>
    <w:rsid w:val="006B1489"/>
    <w:rsid w:val="006B15FB"/>
    <w:rsid w:val="006B17A0"/>
    <w:rsid w:val="006B17F5"/>
    <w:rsid w:val="006B18CF"/>
    <w:rsid w:val="006B20A7"/>
    <w:rsid w:val="006B2228"/>
    <w:rsid w:val="006B230D"/>
    <w:rsid w:val="006B2707"/>
    <w:rsid w:val="006B333E"/>
    <w:rsid w:val="006B39F2"/>
    <w:rsid w:val="006B3A53"/>
    <w:rsid w:val="006B3A62"/>
    <w:rsid w:val="006B3D07"/>
    <w:rsid w:val="006B40B5"/>
    <w:rsid w:val="006B4261"/>
    <w:rsid w:val="006B4486"/>
    <w:rsid w:val="006B45D5"/>
    <w:rsid w:val="006B4BF3"/>
    <w:rsid w:val="006B5565"/>
    <w:rsid w:val="006B578C"/>
    <w:rsid w:val="006B57C4"/>
    <w:rsid w:val="006B587A"/>
    <w:rsid w:val="006B6066"/>
    <w:rsid w:val="006B61D3"/>
    <w:rsid w:val="006B629C"/>
    <w:rsid w:val="006B652A"/>
    <w:rsid w:val="006B66F4"/>
    <w:rsid w:val="006B6A81"/>
    <w:rsid w:val="006B7086"/>
    <w:rsid w:val="006B723E"/>
    <w:rsid w:val="006B761C"/>
    <w:rsid w:val="006B7758"/>
    <w:rsid w:val="006B77FD"/>
    <w:rsid w:val="006B7A44"/>
    <w:rsid w:val="006C008A"/>
    <w:rsid w:val="006C05D3"/>
    <w:rsid w:val="006C0786"/>
    <w:rsid w:val="006C0FBB"/>
    <w:rsid w:val="006C19DF"/>
    <w:rsid w:val="006C1E34"/>
    <w:rsid w:val="006C1FAD"/>
    <w:rsid w:val="006C21B8"/>
    <w:rsid w:val="006C2490"/>
    <w:rsid w:val="006C2B85"/>
    <w:rsid w:val="006C2DC3"/>
    <w:rsid w:val="006C309A"/>
    <w:rsid w:val="006C3488"/>
    <w:rsid w:val="006C3753"/>
    <w:rsid w:val="006C3B2B"/>
    <w:rsid w:val="006C4AF4"/>
    <w:rsid w:val="006C4F5E"/>
    <w:rsid w:val="006C507B"/>
    <w:rsid w:val="006C528A"/>
    <w:rsid w:val="006C561C"/>
    <w:rsid w:val="006C5F9B"/>
    <w:rsid w:val="006C6EE6"/>
    <w:rsid w:val="006C712D"/>
    <w:rsid w:val="006D084D"/>
    <w:rsid w:val="006D0BD9"/>
    <w:rsid w:val="006D1055"/>
    <w:rsid w:val="006D10E8"/>
    <w:rsid w:val="006D1627"/>
    <w:rsid w:val="006D1947"/>
    <w:rsid w:val="006D1A2F"/>
    <w:rsid w:val="006D1E70"/>
    <w:rsid w:val="006D281F"/>
    <w:rsid w:val="006D2FCF"/>
    <w:rsid w:val="006D35A7"/>
    <w:rsid w:val="006D4344"/>
    <w:rsid w:val="006D4574"/>
    <w:rsid w:val="006D4895"/>
    <w:rsid w:val="006D4B29"/>
    <w:rsid w:val="006D5AD1"/>
    <w:rsid w:val="006D5B5F"/>
    <w:rsid w:val="006D5BA0"/>
    <w:rsid w:val="006D5DD4"/>
    <w:rsid w:val="006D60C2"/>
    <w:rsid w:val="006D6C9A"/>
    <w:rsid w:val="006D6F70"/>
    <w:rsid w:val="006D71BA"/>
    <w:rsid w:val="006E0432"/>
    <w:rsid w:val="006E043F"/>
    <w:rsid w:val="006E0798"/>
    <w:rsid w:val="006E0984"/>
    <w:rsid w:val="006E0DAA"/>
    <w:rsid w:val="006E0E63"/>
    <w:rsid w:val="006E0F24"/>
    <w:rsid w:val="006E0FC8"/>
    <w:rsid w:val="006E1685"/>
    <w:rsid w:val="006E2357"/>
    <w:rsid w:val="006E257F"/>
    <w:rsid w:val="006E38C8"/>
    <w:rsid w:val="006E3FC1"/>
    <w:rsid w:val="006E4007"/>
    <w:rsid w:val="006E52F2"/>
    <w:rsid w:val="006E54E1"/>
    <w:rsid w:val="006E652B"/>
    <w:rsid w:val="006E65DE"/>
    <w:rsid w:val="006E6AB0"/>
    <w:rsid w:val="006E6B1B"/>
    <w:rsid w:val="006E6C2F"/>
    <w:rsid w:val="006E6D23"/>
    <w:rsid w:val="006E755C"/>
    <w:rsid w:val="006E773A"/>
    <w:rsid w:val="006E78F1"/>
    <w:rsid w:val="006E7A58"/>
    <w:rsid w:val="006E7BC0"/>
    <w:rsid w:val="006E7BC5"/>
    <w:rsid w:val="006F0103"/>
    <w:rsid w:val="006F0376"/>
    <w:rsid w:val="006F0419"/>
    <w:rsid w:val="006F06F3"/>
    <w:rsid w:val="006F0A57"/>
    <w:rsid w:val="006F11BE"/>
    <w:rsid w:val="006F127B"/>
    <w:rsid w:val="006F1B94"/>
    <w:rsid w:val="006F1E09"/>
    <w:rsid w:val="006F1E17"/>
    <w:rsid w:val="006F25BA"/>
    <w:rsid w:val="006F2602"/>
    <w:rsid w:val="006F2873"/>
    <w:rsid w:val="006F2963"/>
    <w:rsid w:val="006F2AFC"/>
    <w:rsid w:val="006F2B31"/>
    <w:rsid w:val="006F3565"/>
    <w:rsid w:val="006F3B1F"/>
    <w:rsid w:val="006F412F"/>
    <w:rsid w:val="006F4528"/>
    <w:rsid w:val="006F4689"/>
    <w:rsid w:val="006F500A"/>
    <w:rsid w:val="006F550B"/>
    <w:rsid w:val="006F5818"/>
    <w:rsid w:val="006F5937"/>
    <w:rsid w:val="006F5B48"/>
    <w:rsid w:val="006F63EE"/>
    <w:rsid w:val="006F6E9F"/>
    <w:rsid w:val="006F74D0"/>
    <w:rsid w:val="006F7B16"/>
    <w:rsid w:val="006F7CF2"/>
    <w:rsid w:val="0070031D"/>
    <w:rsid w:val="00700500"/>
    <w:rsid w:val="00700856"/>
    <w:rsid w:val="00700A3F"/>
    <w:rsid w:val="007015AB"/>
    <w:rsid w:val="00702280"/>
    <w:rsid w:val="007023CB"/>
    <w:rsid w:val="00702432"/>
    <w:rsid w:val="00702B7D"/>
    <w:rsid w:val="00702E38"/>
    <w:rsid w:val="00703274"/>
    <w:rsid w:val="00703328"/>
    <w:rsid w:val="0070334C"/>
    <w:rsid w:val="007035DF"/>
    <w:rsid w:val="00704315"/>
    <w:rsid w:val="00704709"/>
    <w:rsid w:val="00704797"/>
    <w:rsid w:val="00704DEF"/>
    <w:rsid w:val="007058CE"/>
    <w:rsid w:val="00705934"/>
    <w:rsid w:val="007074D5"/>
    <w:rsid w:val="007075D6"/>
    <w:rsid w:val="00707A8F"/>
    <w:rsid w:val="007104C3"/>
    <w:rsid w:val="007105A4"/>
    <w:rsid w:val="00711503"/>
    <w:rsid w:val="0071162E"/>
    <w:rsid w:val="007117A5"/>
    <w:rsid w:val="007122FF"/>
    <w:rsid w:val="00712738"/>
    <w:rsid w:val="00712790"/>
    <w:rsid w:val="00712F42"/>
    <w:rsid w:val="00713B49"/>
    <w:rsid w:val="00714256"/>
    <w:rsid w:val="00714691"/>
    <w:rsid w:val="00714F07"/>
    <w:rsid w:val="00715479"/>
    <w:rsid w:val="0071564E"/>
    <w:rsid w:val="00715755"/>
    <w:rsid w:val="00716559"/>
    <w:rsid w:val="00717179"/>
    <w:rsid w:val="00717C3C"/>
    <w:rsid w:val="0072025A"/>
    <w:rsid w:val="0072067B"/>
    <w:rsid w:val="0072069E"/>
    <w:rsid w:val="00720FE6"/>
    <w:rsid w:val="00721CD5"/>
    <w:rsid w:val="007221DB"/>
    <w:rsid w:val="007222F4"/>
    <w:rsid w:val="00722790"/>
    <w:rsid w:val="00722A3C"/>
    <w:rsid w:val="00722B0A"/>
    <w:rsid w:val="00722FAA"/>
    <w:rsid w:val="00723142"/>
    <w:rsid w:val="007239A0"/>
    <w:rsid w:val="0072413D"/>
    <w:rsid w:val="00724A0A"/>
    <w:rsid w:val="00724EFD"/>
    <w:rsid w:val="00725409"/>
    <w:rsid w:val="00725C1B"/>
    <w:rsid w:val="00725C33"/>
    <w:rsid w:val="007262AD"/>
    <w:rsid w:val="0072650A"/>
    <w:rsid w:val="00726701"/>
    <w:rsid w:val="00726B41"/>
    <w:rsid w:val="00726B4A"/>
    <w:rsid w:val="00727588"/>
    <w:rsid w:val="00727E66"/>
    <w:rsid w:val="0073012E"/>
    <w:rsid w:val="007303A2"/>
    <w:rsid w:val="0073074B"/>
    <w:rsid w:val="0073097B"/>
    <w:rsid w:val="00730D25"/>
    <w:rsid w:val="00730DB6"/>
    <w:rsid w:val="00732A67"/>
    <w:rsid w:val="00733B55"/>
    <w:rsid w:val="00733C54"/>
    <w:rsid w:val="0073435E"/>
    <w:rsid w:val="0073443A"/>
    <w:rsid w:val="00734725"/>
    <w:rsid w:val="00734C23"/>
    <w:rsid w:val="007355B0"/>
    <w:rsid w:val="00736E66"/>
    <w:rsid w:val="007374A9"/>
    <w:rsid w:val="00737549"/>
    <w:rsid w:val="007378C6"/>
    <w:rsid w:val="0073791C"/>
    <w:rsid w:val="00737A49"/>
    <w:rsid w:val="00737EE0"/>
    <w:rsid w:val="007403FD"/>
    <w:rsid w:val="007412DC"/>
    <w:rsid w:val="00741A2B"/>
    <w:rsid w:val="007420EB"/>
    <w:rsid w:val="00742DD0"/>
    <w:rsid w:val="007442B3"/>
    <w:rsid w:val="00744623"/>
    <w:rsid w:val="007446CC"/>
    <w:rsid w:val="0074487B"/>
    <w:rsid w:val="00744A97"/>
    <w:rsid w:val="00744C2C"/>
    <w:rsid w:val="0074565C"/>
    <w:rsid w:val="00745C56"/>
    <w:rsid w:val="00745D8D"/>
    <w:rsid w:val="00746570"/>
    <w:rsid w:val="0074672E"/>
    <w:rsid w:val="00746C11"/>
    <w:rsid w:val="00747834"/>
    <w:rsid w:val="00747B99"/>
    <w:rsid w:val="00747C11"/>
    <w:rsid w:val="00747D57"/>
    <w:rsid w:val="00747EA1"/>
    <w:rsid w:val="0075007E"/>
    <w:rsid w:val="007503AF"/>
    <w:rsid w:val="0075069F"/>
    <w:rsid w:val="00750AA4"/>
    <w:rsid w:val="007517CC"/>
    <w:rsid w:val="007519A1"/>
    <w:rsid w:val="00751AB7"/>
    <w:rsid w:val="00751BCC"/>
    <w:rsid w:val="00751F30"/>
    <w:rsid w:val="00752B89"/>
    <w:rsid w:val="00752E07"/>
    <w:rsid w:val="0075353B"/>
    <w:rsid w:val="00753E40"/>
    <w:rsid w:val="00753F57"/>
    <w:rsid w:val="00754DCA"/>
    <w:rsid w:val="0075511F"/>
    <w:rsid w:val="00755964"/>
    <w:rsid w:val="00755A28"/>
    <w:rsid w:val="0075690F"/>
    <w:rsid w:val="0075693F"/>
    <w:rsid w:val="0075716E"/>
    <w:rsid w:val="0075723E"/>
    <w:rsid w:val="00757296"/>
    <w:rsid w:val="0075766F"/>
    <w:rsid w:val="007578EA"/>
    <w:rsid w:val="007600FD"/>
    <w:rsid w:val="00760238"/>
    <w:rsid w:val="007602FC"/>
    <w:rsid w:val="007606E7"/>
    <w:rsid w:val="00760CB8"/>
    <w:rsid w:val="00760DFD"/>
    <w:rsid w:val="00760F6D"/>
    <w:rsid w:val="007612FA"/>
    <w:rsid w:val="007614CA"/>
    <w:rsid w:val="00761C89"/>
    <w:rsid w:val="00761EF3"/>
    <w:rsid w:val="007624FE"/>
    <w:rsid w:val="00762D0E"/>
    <w:rsid w:val="007632E8"/>
    <w:rsid w:val="0076339C"/>
    <w:rsid w:val="00763815"/>
    <w:rsid w:val="00763F8E"/>
    <w:rsid w:val="007640FB"/>
    <w:rsid w:val="00764888"/>
    <w:rsid w:val="00764908"/>
    <w:rsid w:val="00765011"/>
    <w:rsid w:val="00765AA0"/>
    <w:rsid w:val="00765EFC"/>
    <w:rsid w:val="00766020"/>
    <w:rsid w:val="0076635F"/>
    <w:rsid w:val="0076667E"/>
    <w:rsid w:val="00767941"/>
    <w:rsid w:val="00767E8F"/>
    <w:rsid w:val="007704D8"/>
    <w:rsid w:val="0077059D"/>
    <w:rsid w:val="007709B4"/>
    <w:rsid w:val="0077109C"/>
    <w:rsid w:val="00771579"/>
    <w:rsid w:val="00771732"/>
    <w:rsid w:val="00771882"/>
    <w:rsid w:val="00771B2C"/>
    <w:rsid w:val="00771B3A"/>
    <w:rsid w:val="00772368"/>
    <w:rsid w:val="0077267D"/>
    <w:rsid w:val="0077277A"/>
    <w:rsid w:val="0077303E"/>
    <w:rsid w:val="00773051"/>
    <w:rsid w:val="007732B8"/>
    <w:rsid w:val="00773AA7"/>
    <w:rsid w:val="00774254"/>
    <w:rsid w:val="0077429D"/>
    <w:rsid w:val="0077444E"/>
    <w:rsid w:val="00774511"/>
    <w:rsid w:val="007745CF"/>
    <w:rsid w:val="007747B4"/>
    <w:rsid w:val="00774CA2"/>
    <w:rsid w:val="00774D15"/>
    <w:rsid w:val="00774F4F"/>
    <w:rsid w:val="00775259"/>
    <w:rsid w:val="007752AB"/>
    <w:rsid w:val="007754AA"/>
    <w:rsid w:val="00775B74"/>
    <w:rsid w:val="00775B93"/>
    <w:rsid w:val="0077664F"/>
    <w:rsid w:val="0077676C"/>
    <w:rsid w:val="0077743B"/>
    <w:rsid w:val="00777940"/>
    <w:rsid w:val="00777A1D"/>
    <w:rsid w:val="00777DA6"/>
    <w:rsid w:val="00777EBF"/>
    <w:rsid w:val="007801BC"/>
    <w:rsid w:val="0078031C"/>
    <w:rsid w:val="0078036E"/>
    <w:rsid w:val="0078080E"/>
    <w:rsid w:val="00780B66"/>
    <w:rsid w:val="00780B68"/>
    <w:rsid w:val="00780B83"/>
    <w:rsid w:val="0078225C"/>
    <w:rsid w:val="0078231C"/>
    <w:rsid w:val="00783004"/>
    <w:rsid w:val="00783374"/>
    <w:rsid w:val="007835EA"/>
    <w:rsid w:val="0078367A"/>
    <w:rsid w:val="00783876"/>
    <w:rsid w:val="0078407A"/>
    <w:rsid w:val="007853DC"/>
    <w:rsid w:val="00785497"/>
    <w:rsid w:val="00785C46"/>
    <w:rsid w:val="00785E6B"/>
    <w:rsid w:val="00786083"/>
    <w:rsid w:val="007861F2"/>
    <w:rsid w:val="007866EC"/>
    <w:rsid w:val="00786D08"/>
    <w:rsid w:val="00786EBF"/>
    <w:rsid w:val="00787508"/>
    <w:rsid w:val="007877D3"/>
    <w:rsid w:val="00787DD6"/>
    <w:rsid w:val="007900CB"/>
    <w:rsid w:val="00790299"/>
    <w:rsid w:val="00790347"/>
    <w:rsid w:val="00790537"/>
    <w:rsid w:val="00792CA5"/>
    <w:rsid w:val="00792DBB"/>
    <w:rsid w:val="007931DE"/>
    <w:rsid w:val="00793F39"/>
    <w:rsid w:val="00794081"/>
    <w:rsid w:val="007942C4"/>
    <w:rsid w:val="007942EF"/>
    <w:rsid w:val="007943F6"/>
    <w:rsid w:val="00794D25"/>
    <w:rsid w:val="00794EDF"/>
    <w:rsid w:val="007954D6"/>
    <w:rsid w:val="00795871"/>
    <w:rsid w:val="00795DD2"/>
    <w:rsid w:val="00795F69"/>
    <w:rsid w:val="007960D6"/>
    <w:rsid w:val="007961D6"/>
    <w:rsid w:val="00796D1F"/>
    <w:rsid w:val="00797C9F"/>
    <w:rsid w:val="007A0073"/>
    <w:rsid w:val="007A073A"/>
    <w:rsid w:val="007A0AF6"/>
    <w:rsid w:val="007A0BA8"/>
    <w:rsid w:val="007A15D7"/>
    <w:rsid w:val="007A163F"/>
    <w:rsid w:val="007A18C3"/>
    <w:rsid w:val="007A2E9F"/>
    <w:rsid w:val="007A2FBF"/>
    <w:rsid w:val="007A35C3"/>
    <w:rsid w:val="007A4487"/>
    <w:rsid w:val="007A449F"/>
    <w:rsid w:val="007A48C4"/>
    <w:rsid w:val="007A5BE7"/>
    <w:rsid w:val="007A5E8D"/>
    <w:rsid w:val="007A6F2E"/>
    <w:rsid w:val="007A7616"/>
    <w:rsid w:val="007A7964"/>
    <w:rsid w:val="007A79C5"/>
    <w:rsid w:val="007A79E8"/>
    <w:rsid w:val="007A7CAE"/>
    <w:rsid w:val="007B00F9"/>
    <w:rsid w:val="007B01E9"/>
    <w:rsid w:val="007B02EB"/>
    <w:rsid w:val="007B04CA"/>
    <w:rsid w:val="007B0841"/>
    <w:rsid w:val="007B0CB8"/>
    <w:rsid w:val="007B12B7"/>
    <w:rsid w:val="007B1996"/>
    <w:rsid w:val="007B1DA0"/>
    <w:rsid w:val="007B1FD6"/>
    <w:rsid w:val="007B2DA6"/>
    <w:rsid w:val="007B313B"/>
    <w:rsid w:val="007B3178"/>
    <w:rsid w:val="007B3179"/>
    <w:rsid w:val="007B349F"/>
    <w:rsid w:val="007B369D"/>
    <w:rsid w:val="007B3DC6"/>
    <w:rsid w:val="007B415B"/>
    <w:rsid w:val="007B4327"/>
    <w:rsid w:val="007B442E"/>
    <w:rsid w:val="007B4FAF"/>
    <w:rsid w:val="007B56A7"/>
    <w:rsid w:val="007B6551"/>
    <w:rsid w:val="007B672C"/>
    <w:rsid w:val="007B6DB9"/>
    <w:rsid w:val="007B6DD1"/>
    <w:rsid w:val="007B7122"/>
    <w:rsid w:val="007B7148"/>
    <w:rsid w:val="007B7869"/>
    <w:rsid w:val="007B7EE4"/>
    <w:rsid w:val="007C049A"/>
    <w:rsid w:val="007C071F"/>
    <w:rsid w:val="007C0922"/>
    <w:rsid w:val="007C0F97"/>
    <w:rsid w:val="007C0FD6"/>
    <w:rsid w:val="007C116D"/>
    <w:rsid w:val="007C11A9"/>
    <w:rsid w:val="007C14D9"/>
    <w:rsid w:val="007C201C"/>
    <w:rsid w:val="007C2333"/>
    <w:rsid w:val="007C249B"/>
    <w:rsid w:val="007C351D"/>
    <w:rsid w:val="007C470E"/>
    <w:rsid w:val="007C485E"/>
    <w:rsid w:val="007C4D02"/>
    <w:rsid w:val="007C4D2C"/>
    <w:rsid w:val="007C5131"/>
    <w:rsid w:val="007C5252"/>
    <w:rsid w:val="007C5436"/>
    <w:rsid w:val="007C5489"/>
    <w:rsid w:val="007C54A0"/>
    <w:rsid w:val="007C5BC7"/>
    <w:rsid w:val="007C65A2"/>
    <w:rsid w:val="007C6B1C"/>
    <w:rsid w:val="007C6D26"/>
    <w:rsid w:val="007C6EB1"/>
    <w:rsid w:val="007C72B5"/>
    <w:rsid w:val="007C7D5F"/>
    <w:rsid w:val="007C7EE7"/>
    <w:rsid w:val="007D0197"/>
    <w:rsid w:val="007D0956"/>
    <w:rsid w:val="007D0B04"/>
    <w:rsid w:val="007D0C7C"/>
    <w:rsid w:val="007D15C1"/>
    <w:rsid w:val="007D2344"/>
    <w:rsid w:val="007D2624"/>
    <w:rsid w:val="007D279F"/>
    <w:rsid w:val="007D2D9E"/>
    <w:rsid w:val="007D316C"/>
    <w:rsid w:val="007D35E4"/>
    <w:rsid w:val="007D40FC"/>
    <w:rsid w:val="007D44D2"/>
    <w:rsid w:val="007D489D"/>
    <w:rsid w:val="007D54C6"/>
    <w:rsid w:val="007D6004"/>
    <w:rsid w:val="007D628A"/>
    <w:rsid w:val="007D71AD"/>
    <w:rsid w:val="007D77EB"/>
    <w:rsid w:val="007D7B0B"/>
    <w:rsid w:val="007D7E04"/>
    <w:rsid w:val="007D7F3B"/>
    <w:rsid w:val="007E15BD"/>
    <w:rsid w:val="007E2353"/>
    <w:rsid w:val="007E2387"/>
    <w:rsid w:val="007E24AC"/>
    <w:rsid w:val="007E37A5"/>
    <w:rsid w:val="007E416B"/>
    <w:rsid w:val="007E4346"/>
    <w:rsid w:val="007E45CC"/>
    <w:rsid w:val="007E47FB"/>
    <w:rsid w:val="007E48BB"/>
    <w:rsid w:val="007E4B6C"/>
    <w:rsid w:val="007E5143"/>
    <w:rsid w:val="007E5444"/>
    <w:rsid w:val="007E5492"/>
    <w:rsid w:val="007E55A4"/>
    <w:rsid w:val="007E59D4"/>
    <w:rsid w:val="007E5B1E"/>
    <w:rsid w:val="007E5F38"/>
    <w:rsid w:val="007E5FFC"/>
    <w:rsid w:val="007E6601"/>
    <w:rsid w:val="007E67F3"/>
    <w:rsid w:val="007E6FA8"/>
    <w:rsid w:val="007E7028"/>
    <w:rsid w:val="007E74F0"/>
    <w:rsid w:val="007E761D"/>
    <w:rsid w:val="007E79A9"/>
    <w:rsid w:val="007E7B7D"/>
    <w:rsid w:val="007E7FFB"/>
    <w:rsid w:val="007F09FB"/>
    <w:rsid w:val="007F184A"/>
    <w:rsid w:val="007F24F4"/>
    <w:rsid w:val="007F2C27"/>
    <w:rsid w:val="007F30B3"/>
    <w:rsid w:val="007F331B"/>
    <w:rsid w:val="007F386C"/>
    <w:rsid w:val="007F3D44"/>
    <w:rsid w:val="007F4386"/>
    <w:rsid w:val="007F4BCD"/>
    <w:rsid w:val="007F502E"/>
    <w:rsid w:val="007F5492"/>
    <w:rsid w:val="007F5938"/>
    <w:rsid w:val="007F5DA7"/>
    <w:rsid w:val="007F5FE4"/>
    <w:rsid w:val="007F6103"/>
    <w:rsid w:val="007F69CE"/>
    <w:rsid w:val="007F7978"/>
    <w:rsid w:val="007F799B"/>
    <w:rsid w:val="008005BA"/>
    <w:rsid w:val="00800A63"/>
    <w:rsid w:val="008012BE"/>
    <w:rsid w:val="00801516"/>
    <w:rsid w:val="0080168C"/>
    <w:rsid w:val="00801A86"/>
    <w:rsid w:val="00801E97"/>
    <w:rsid w:val="00802444"/>
    <w:rsid w:val="0080288D"/>
    <w:rsid w:val="00802EEE"/>
    <w:rsid w:val="00803589"/>
    <w:rsid w:val="00804F87"/>
    <w:rsid w:val="0080543D"/>
    <w:rsid w:val="00805B1E"/>
    <w:rsid w:val="00805C18"/>
    <w:rsid w:val="00806464"/>
    <w:rsid w:val="00810377"/>
    <w:rsid w:val="008106C3"/>
    <w:rsid w:val="00810A4E"/>
    <w:rsid w:val="00810F33"/>
    <w:rsid w:val="00811957"/>
    <w:rsid w:val="00811A20"/>
    <w:rsid w:val="00812441"/>
    <w:rsid w:val="0081266D"/>
    <w:rsid w:val="00812826"/>
    <w:rsid w:val="00812AF3"/>
    <w:rsid w:val="00813063"/>
    <w:rsid w:val="008130C5"/>
    <w:rsid w:val="00814220"/>
    <w:rsid w:val="00814B77"/>
    <w:rsid w:val="00814C43"/>
    <w:rsid w:val="00814EF8"/>
    <w:rsid w:val="0081556B"/>
    <w:rsid w:val="008165B8"/>
    <w:rsid w:val="008167D1"/>
    <w:rsid w:val="008169FD"/>
    <w:rsid w:val="00816A2E"/>
    <w:rsid w:val="00816ADD"/>
    <w:rsid w:val="008179B9"/>
    <w:rsid w:val="00817BAB"/>
    <w:rsid w:val="00817C49"/>
    <w:rsid w:val="00817EBA"/>
    <w:rsid w:val="00820F76"/>
    <w:rsid w:val="00821FB1"/>
    <w:rsid w:val="008231FA"/>
    <w:rsid w:val="0082350F"/>
    <w:rsid w:val="00824047"/>
    <w:rsid w:val="00824430"/>
    <w:rsid w:val="00824578"/>
    <w:rsid w:val="008246BF"/>
    <w:rsid w:val="00824722"/>
    <w:rsid w:val="0082494A"/>
    <w:rsid w:val="00824C51"/>
    <w:rsid w:val="0082516F"/>
    <w:rsid w:val="008265FD"/>
    <w:rsid w:val="008268DF"/>
    <w:rsid w:val="00826C59"/>
    <w:rsid w:val="00826E88"/>
    <w:rsid w:val="00826FD2"/>
    <w:rsid w:val="00827485"/>
    <w:rsid w:val="00827756"/>
    <w:rsid w:val="00827C27"/>
    <w:rsid w:val="00827CA1"/>
    <w:rsid w:val="00827F07"/>
    <w:rsid w:val="00830041"/>
    <w:rsid w:val="00830A79"/>
    <w:rsid w:val="00831658"/>
    <w:rsid w:val="008316E1"/>
    <w:rsid w:val="00831820"/>
    <w:rsid w:val="00831AE8"/>
    <w:rsid w:val="00831FDA"/>
    <w:rsid w:val="0083227E"/>
    <w:rsid w:val="00832280"/>
    <w:rsid w:val="0083228F"/>
    <w:rsid w:val="008324DC"/>
    <w:rsid w:val="00832AF4"/>
    <w:rsid w:val="00832C86"/>
    <w:rsid w:val="008334ED"/>
    <w:rsid w:val="0083385E"/>
    <w:rsid w:val="00833D6F"/>
    <w:rsid w:val="00833DE7"/>
    <w:rsid w:val="00833FCA"/>
    <w:rsid w:val="00834300"/>
    <w:rsid w:val="00834E29"/>
    <w:rsid w:val="00835278"/>
    <w:rsid w:val="0083591C"/>
    <w:rsid w:val="00835D53"/>
    <w:rsid w:val="0083600D"/>
    <w:rsid w:val="00836111"/>
    <w:rsid w:val="00836E84"/>
    <w:rsid w:val="00837376"/>
    <w:rsid w:val="0083780C"/>
    <w:rsid w:val="00837977"/>
    <w:rsid w:val="00837DAA"/>
    <w:rsid w:val="0084020E"/>
    <w:rsid w:val="0084044A"/>
    <w:rsid w:val="00840925"/>
    <w:rsid w:val="00840C20"/>
    <w:rsid w:val="0084106D"/>
    <w:rsid w:val="00841078"/>
    <w:rsid w:val="00841426"/>
    <w:rsid w:val="008417A3"/>
    <w:rsid w:val="00841CD4"/>
    <w:rsid w:val="008427AC"/>
    <w:rsid w:val="008435EB"/>
    <w:rsid w:val="00843780"/>
    <w:rsid w:val="008438A1"/>
    <w:rsid w:val="00843CDE"/>
    <w:rsid w:val="008441F3"/>
    <w:rsid w:val="008444E5"/>
    <w:rsid w:val="0084483D"/>
    <w:rsid w:val="00844AD9"/>
    <w:rsid w:val="0084523C"/>
    <w:rsid w:val="00845319"/>
    <w:rsid w:val="0084576D"/>
    <w:rsid w:val="00845A7E"/>
    <w:rsid w:val="00845B58"/>
    <w:rsid w:val="00846B2D"/>
    <w:rsid w:val="00846E82"/>
    <w:rsid w:val="00847A38"/>
    <w:rsid w:val="00847D00"/>
    <w:rsid w:val="0085000F"/>
    <w:rsid w:val="00850370"/>
    <w:rsid w:val="0085075B"/>
    <w:rsid w:val="0085108B"/>
    <w:rsid w:val="0085122C"/>
    <w:rsid w:val="0085221E"/>
    <w:rsid w:val="008525D4"/>
    <w:rsid w:val="008526C6"/>
    <w:rsid w:val="008528B9"/>
    <w:rsid w:val="00852F3E"/>
    <w:rsid w:val="008532E9"/>
    <w:rsid w:val="00853FCE"/>
    <w:rsid w:val="00854075"/>
    <w:rsid w:val="00854096"/>
    <w:rsid w:val="008549E6"/>
    <w:rsid w:val="008557FB"/>
    <w:rsid w:val="00855E6A"/>
    <w:rsid w:val="00856158"/>
    <w:rsid w:val="00856D6A"/>
    <w:rsid w:val="00856EE2"/>
    <w:rsid w:val="00856F70"/>
    <w:rsid w:val="008575F6"/>
    <w:rsid w:val="00857E8E"/>
    <w:rsid w:val="00857F74"/>
    <w:rsid w:val="0086044E"/>
    <w:rsid w:val="00860625"/>
    <w:rsid w:val="00860891"/>
    <w:rsid w:val="0086136C"/>
    <w:rsid w:val="00861402"/>
    <w:rsid w:val="00861CC0"/>
    <w:rsid w:val="0086207C"/>
    <w:rsid w:val="008623CB"/>
    <w:rsid w:val="00863959"/>
    <w:rsid w:val="00863BE9"/>
    <w:rsid w:val="008644FF"/>
    <w:rsid w:val="008645F3"/>
    <w:rsid w:val="00865BD3"/>
    <w:rsid w:val="00865ED8"/>
    <w:rsid w:val="00867532"/>
    <w:rsid w:val="00867553"/>
    <w:rsid w:val="00867884"/>
    <w:rsid w:val="00867A55"/>
    <w:rsid w:val="008702C0"/>
    <w:rsid w:val="00870623"/>
    <w:rsid w:val="00870BDD"/>
    <w:rsid w:val="00870CA4"/>
    <w:rsid w:val="00870D1C"/>
    <w:rsid w:val="00871161"/>
    <w:rsid w:val="0087169B"/>
    <w:rsid w:val="00871854"/>
    <w:rsid w:val="00871B86"/>
    <w:rsid w:val="00871FEB"/>
    <w:rsid w:val="008722AC"/>
    <w:rsid w:val="0087254A"/>
    <w:rsid w:val="00873278"/>
    <w:rsid w:val="008733F1"/>
    <w:rsid w:val="0087369B"/>
    <w:rsid w:val="008736E7"/>
    <w:rsid w:val="0087440A"/>
    <w:rsid w:val="008749AC"/>
    <w:rsid w:val="00874B86"/>
    <w:rsid w:val="00874C8B"/>
    <w:rsid w:val="008759BA"/>
    <w:rsid w:val="008765B8"/>
    <w:rsid w:val="0087665C"/>
    <w:rsid w:val="008766CA"/>
    <w:rsid w:val="00876987"/>
    <w:rsid w:val="00876C76"/>
    <w:rsid w:val="008770C1"/>
    <w:rsid w:val="0087734F"/>
    <w:rsid w:val="0087774C"/>
    <w:rsid w:val="00877A38"/>
    <w:rsid w:val="0088056A"/>
    <w:rsid w:val="00880876"/>
    <w:rsid w:val="00880E7B"/>
    <w:rsid w:val="00880F3E"/>
    <w:rsid w:val="00881D07"/>
    <w:rsid w:val="008823DD"/>
    <w:rsid w:val="00882854"/>
    <w:rsid w:val="00882914"/>
    <w:rsid w:val="00883286"/>
    <w:rsid w:val="0088442C"/>
    <w:rsid w:val="00884779"/>
    <w:rsid w:val="00884B77"/>
    <w:rsid w:val="00884F34"/>
    <w:rsid w:val="0088572B"/>
    <w:rsid w:val="00885DB0"/>
    <w:rsid w:val="00885DBF"/>
    <w:rsid w:val="00885F54"/>
    <w:rsid w:val="00887293"/>
    <w:rsid w:val="00887A26"/>
    <w:rsid w:val="00887AB7"/>
    <w:rsid w:val="008904CA"/>
    <w:rsid w:val="008908C3"/>
    <w:rsid w:val="00890FA7"/>
    <w:rsid w:val="00891156"/>
    <w:rsid w:val="00891395"/>
    <w:rsid w:val="008913C2"/>
    <w:rsid w:val="0089181B"/>
    <w:rsid w:val="0089195B"/>
    <w:rsid w:val="00891D44"/>
    <w:rsid w:val="0089208B"/>
    <w:rsid w:val="0089290A"/>
    <w:rsid w:val="00892986"/>
    <w:rsid w:val="008937EA"/>
    <w:rsid w:val="008938F3"/>
    <w:rsid w:val="00893B0A"/>
    <w:rsid w:val="00893BB1"/>
    <w:rsid w:val="00893CBA"/>
    <w:rsid w:val="00893E7A"/>
    <w:rsid w:val="00894239"/>
    <w:rsid w:val="00894780"/>
    <w:rsid w:val="008947B4"/>
    <w:rsid w:val="00894E67"/>
    <w:rsid w:val="00895063"/>
    <w:rsid w:val="00895223"/>
    <w:rsid w:val="00895581"/>
    <w:rsid w:val="00895C10"/>
    <w:rsid w:val="00895D54"/>
    <w:rsid w:val="008960D9"/>
    <w:rsid w:val="00896EC1"/>
    <w:rsid w:val="008976AF"/>
    <w:rsid w:val="00897BC1"/>
    <w:rsid w:val="00897BD2"/>
    <w:rsid w:val="008A0693"/>
    <w:rsid w:val="008A0E2C"/>
    <w:rsid w:val="008A139B"/>
    <w:rsid w:val="008A15FB"/>
    <w:rsid w:val="008A1713"/>
    <w:rsid w:val="008A1767"/>
    <w:rsid w:val="008A1D37"/>
    <w:rsid w:val="008A1E98"/>
    <w:rsid w:val="008A23DE"/>
    <w:rsid w:val="008A244C"/>
    <w:rsid w:val="008A24C3"/>
    <w:rsid w:val="008A2693"/>
    <w:rsid w:val="008A273E"/>
    <w:rsid w:val="008A2D48"/>
    <w:rsid w:val="008A3C39"/>
    <w:rsid w:val="008A3DE1"/>
    <w:rsid w:val="008A4EAB"/>
    <w:rsid w:val="008A4EF4"/>
    <w:rsid w:val="008A5E46"/>
    <w:rsid w:val="008A76C5"/>
    <w:rsid w:val="008A7926"/>
    <w:rsid w:val="008B02DC"/>
    <w:rsid w:val="008B032B"/>
    <w:rsid w:val="008B04B7"/>
    <w:rsid w:val="008B1079"/>
    <w:rsid w:val="008B1143"/>
    <w:rsid w:val="008B22BF"/>
    <w:rsid w:val="008B23B1"/>
    <w:rsid w:val="008B26BD"/>
    <w:rsid w:val="008B2D13"/>
    <w:rsid w:val="008B3124"/>
    <w:rsid w:val="008B3320"/>
    <w:rsid w:val="008B3567"/>
    <w:rsid w:val="008B3AAC"/>
    <w:rsid w:val="008B4560"/>
    <w:rsid w:val="008B4C19"/>
    <w:rsid w:val="008B4C47"/>
    <w:rsid w:val="008B5278"/>
    <w:rsid w:val="008B5803"/>
    <w:rsid w:val="008B6B9C"/>
    <w:rsid w:val="008C0141"/>
    <w:rsid w:val="008C057B"/>
    <w:rsid w:val="008C06C4"/>
    <w:rsid w:val="008C0767"/>
    <w:rsid w:val="008C0DF9"/>
    <w:rsid w:val="008C1001"/>
    <w:rsid w:val="008C1829"/>
    <w:rsid w:val="008C1944"/>
    <w:rsid w:val="008C20A3"/>
    <w:rsid w:val="008C2835"/>
    <w:rsid w:val="008C2E9C"/>
    <w:rsid w:val="008C3F02"/>
    <w:rsid w:val="008C408F"/>
    <w:rsid w:val="008C444E"/>
    <w:rsid w:val="008C56E6"/>
    <w:rsid w:val="008C57A1"/>
    <w:rsid w:val="008C5C58"/>
    <w:rsid w:val="008C674B"/>
    <w:rsid w:val="008C6BCC"/>
    <w:rsid w:val="008C6FF4"/>
    <w:rsid w:val="008C70D1"/>
    <w:rsid w:val="008C72B9"/>
    <w:rsid w:val="008C752B"/>
    <w:rsid w:val="008C7955"/>
    <w:rsid w:val="008C7A89"/>
    <w:rsid w:val="008C7E11"/>
    <w:rsid w:val="008D0EF2"/>
    <w:rsid w:val="008D10F3"/>
    <w:rsid w:val="008D1D2C"/>
    <w:rsid w:val="008D2157"/>
    <w:rsid w:val="008D22FA"/>
    <w:rsid w:val="008D2838"/>
    <w:rsid w:val="008D29E7"/>
    <w:rsid w:val="008D2A76"/>
    <w:rsid w:val="008D2C5B"/>
    <w:rsid w:val="008D35EB"/>
    <w:rsid w:val="008D39C3"/>
    <w:rsid w:val="008D3A6B"/>
    <w:rsid w:val="008D3CAA"/>
    <w:rsid w:val="008D4EE8"/>
    <w:rsid w:val="008D51B8"/>
    <w:rsid w:val="008D523F"/>
    <w:rsid w:val="008D530A"/>
    <w:rsid w:val="008D57DD"/>
    <w:rsid w:val="008D63CA"/>
    <w:rsid w:val="008D647A"/>
    <w:rsid w:val="008D6A86"/>
    <w:rsid w:val="008D6F82"/>
    <w:rsid w:val="008D7B35"/>
    <w:rsid w:val="008E0348"/>
    <w:rsid w:val="008E04CD"/>
    <w:rsid w:val="008E188A"/>
    <w:rsid w:val="008E19A7"/>
    <w:rsid w:val="008E21E4"/>
    <w:rsid w:val="008E275B"/>
    <w:rsid w:val="008E2BD5"/>
    <w:rsid w:val="008E3992"/>
    <w:rsid w:val="008E41C3"/>
    <w:rsid w:val="008E41EC"/>
    <w:rsid w:val="008E46CA"/>
    <w:rsid w:val="008E496B"/>
    <w:rsid w:val="008E518F"/>
    <w:rsid w:val="008E51E2"/>
    <w:rsid w:val="008E639B"/>
    <w:rsid w:val="008E63A5"/>
    <w:rsid w:val="008E6E1F"/>
    <w:rsid w:val="008E71BE"/>
    <w:rsid w:val="008E74DD"/>
    <w:rsid w:val="008F0262"/>
    <w:rsid w:val="008F1983"/>
    <w:rsid w:val="008F1AD6"/>
    <w:rsid w:val="008F2E55"/>
    <w:rsid w:val="008F2EAB"/>
    <w:rsid w:val="008F30A5"/>
    <w:rsid w:val="008F34D2"/>
    <w:rsid w:val="008F3A58"/>
    <w:rsid w:val="008F3A63"/>
    <w:rsid w:val="008F3D81"/>
    <w:rsid w:val="008F3E97"/>
    <w:rsid w:val="008F41E8"/>
    <w:rsid w:val="008F43D4"/>
    <w:rsid w:val="008F46E2"/>
    <w:rsid w:val="008F4DF2"/>
    <w:rsid w:val="008F50A6"/>
    <w:rsid w:val="008F52DE"/>
    <w:rsid w:val="008F559C"/>
    <w:rsid w:val="008F56A0"/>
    <w:rsid w:val="008F5AA3"/>
    <w:rsid w:val="008F5D5C"/>
    <w:rsid w:val="008F6031"/>
    <w:rsid w:val="008F6569"/>
    <w:rsid w:val="008F66BE"/>
    <w:rsid w:val="008F6DEE"/>
    <w:rsid w:val="009000D6"/>
    <w:rsid w:val="009012FC"/>
    <w:rsid w:val="00901B76"/>
    <w:rsid w:val="00901CAD"/>
    <w:rsid w:val="00901D84"/>
    <w:rsid w:val="0090243C"/>
    <w:rsid w:val="009029AC"/>
    <w:rsid w:val="009031F6"/>
    <w:rsid w:val="009039C8"/>
    <w:rsid w:val="0090404A"/>
    <w:rsid w:val="009044DA"/>
    <w:rsid w:val="009046A9"/>
    <w:rsid w:val="00904983"/>
    <w:rsid w:val="00904ABC"/>
    <w:rsid w:val="00905FA3"/>
    <w:rsid w:val="00906129"/>
    <w:rsid w:val="0090663D"/>
    <w:rsid w:val="00907900"/>
    <w:rsid w:val="00907E75"/>
    <w:rsid w:val="00910189"/>
    <w:rsid w:val="009102AE"/>
    <w:rsid w:val="00910A20"/>
    <w:rsid w:val="00910B9B"/>
    <w:rsid w:val="00910C96"/>
    <w:rsid w:val="00911567"/>
    <w:rsid w:val="00911759"/>
    <w:rsid w:val="00911D0A"/>
    <w:rsid w:val="00911EE1"/>
    <w:rsid w:val="00912F6F"/>
    <w:rsid w:val="0091343B"/>
    <w:rsid w:val="00913640"/>
    <w:rsid w:val="00913824"/>
    <w:rsid w:val="009138A8"/>
    <w:rsid w:val="00913B07"/>
    <w:rsid w:val="0091401D"/>
    <w:rsid w:val="0091489B"/>
    <w:rsid w:val="00915943"/>
    <w:rsid w:val="00915EB6"/>
    <w:rsid w:val="00916765"/>
    <w:rsid w:val="00916886"/>
    <w:rsid w:val="00916FFA"/>
    <w:rsid w:val="0091749D"/>
    <w:rsid w:val="009177CD"/>
    <w:rsid w:val="009208C7"/>
    <w:rsid w:val="00920A7E"/>
    <w:rsid w:val="00921175"/>
    <w:rsid w:val="009211FF"/>
    <w:rsid w:val="009216BC"/>
    <w:rsid w:val="00921D04"/>
    <w:rsid w:val="00922B58"/>
    <w:rsid w:val="0092390C"/>
    <w:rsid w:val="00923FFA"/>
    <w:rsid w:val="009242AE"/>
    <w:rsid w:val="00924C01"/>
    <w:rsid w:val="00924CA4"/>
    <w:rsid w:val="0092516F"/>
    <w:rsid w:val="00925211"/>
    <w:rsid w:val="00925A75"/>
    <w:rsid w:val="00926210"/>
    <w:rsid w:val="0092671F"/>
    <w:rsid w:val="009267F4"/>
    <w:rsid w:val="0092688C"/>
    <w:rsid w:val="00927793"/>
    <w:rsid w:val="00927914"/>
    <w:rsid w:val="009317E8"/>
    <w:rsid w:val="00931CA3"/>
    <w:rsid w:val="00932850"/>
    <w:rsid w:val="00932E00"/>
    <w:rsid w:val="00933DD6"/>
    <w:rsid w:val="00933E33"/>
    <w:rsid w:val="00934272"/>
    <w:rsid w:val="009346CB"/>
    <w:rsid w:val="00934C5A"/>
    <w:rsid w:val="00935547"/>
    <w:rsid w:val="00935965"/>
    <w:rsid w:val="0093604D"/>
    <w:rsid w:val="009361FE"/>
    <w:rsid w:val="00936276"/>
    <w:rsid w:val="009366D0"/>
    <w:rsid w:val="009366DB"/>
    <w:rsid w:val="009367D9"/>
    <w:rsid w:val="00936A28"/>
    <w:rsid w:val="009371C0"/>
    <w:rsid w:val="00937FC0"/>
    <w:rsid w:val="009401D7"/>
    <w:rsid w:val="00940552"/>
    <w:rsid w:val="00941274"/>
    <w:rsid w:val="00941FA4"/>
    <w:rsid w:val="0094232C"/>
    <w:rsid w:val="00942465"/>
    <w:rsid w:val="00942C53"/>
    <w:rsid w:val="0094311E"/>
    <w:rsid w:val="00943B56"/>
    <w:rsid w:val="009440C7"/>
    <w:rsid w:val="00944341"/>
    <w:rsid w:val="009444C8"/>
    <w:rsid w:val="00944746"/>
    <w:rsid w:val="009447D0"/>
    <w:rsid w:val="00944976"/>
    <w:rsid w:val="00946164"/>
    <w:rsid w:val="009474C0"/>
    <w:rsid w:val="009478C5"/>
    <w:rsid w:val="00950384"/>
    <w:rsid w:val="009509E7"/>
    <w:rsid w:val="00950E2C"/>
    <w:rsid w:val="00951D99"/>
    <w:rsid w:val="00952220"/>
    <w:rsid w:val="0095281B"/>
    <w:rsid w:val="0095314B"/>
    <w:rsid w:val="009538F5"/>
    <w:rsid w:val="00953A33"/>
    <w:rsid w:val="00953D9C"/>
    <w:rsid w:val="009543C4"/>
    <w:rsid w:val="00955271"/>
    <w:rsid w:val="00955688"/>
    <w:rsid w:val="009556F1"/>
    <w:rsid w:val="00955A41"/>
    <w:rsid w:val="00955BA6"/>
    <w:rsid w:val="0095634E"/>
    <w:rsid w:val="00956789"/>
    <w:rsid w:val="00957073"/>
    <w:rsid w:val="00957932"/>
    <w:rsid w:val="009579E4"/>
    <w:rsid w:val="009602C6"/>
    <w:rsid w:val="00960305"/>
    <w:rsid w:val="00960411"/>
    <w:rsid w:val="009609D5"/>
    <w:rsid w:val="00961004"/>
    <w:rsid w:val="0096114B"/>
    <w:rsid w:val="00961B08"/>
    <w:rsid w:val="00961C77"/>
    <w:rsid w:val="00961E66"/>
    <w:rsid w:val="009623CA"/>
    <w:rsid w:val="009627E9"/>
    <w:rsid w:val="00962AD6"/>
    <w:rsid w:val="00962D27"/>
    <w:rsid w:val="00963003"/>
    <w:rsid w:val="00963026"/>
    <w:rsid w:val="00963130"/>
    <w:rsid w:val="009633C4"/>
    <w:rsid w:val="00963C79"/>
    <w:rsid w:val="0096443E"/>
    <w:rsid w:val="00964693"/>
    <w:rsid w:val="0096487A"/>
    <w:rsid w:val="00964898"/>
    <w:rsid w:val="00964A1F"/>
    <w:rsid w:val="00964BF6"/>
    <w:rsid w:val="00965A21"/>
    <w:rsid w:val="00965BC0"/>
    <w:rsid w:val="00965DCC"/>
    <w:rsid w:val="0096669F"/>
    <w:rsid w:val="00966D96"/>
    <w:rsid w:val="00966E3D"/>
    <w:rsid w:val="009671E2"/>
    <w:rsid w:val="009675F6"/>
    <w:rsid w:val="00967CA5"/>
    <w:rsid w:val="009700AC"/>
    <w:rsid w:val="00970153"/>
    <w:rsid w:val="00970237"/>
    <w:rsid w:val="00970300"/>
    <w:rsid w:val="009705EC"/>
    <w:rsid w:val="00970AB4"/>
    <w:rsid w:val="00970BB9"/>
    <w:rsid w:val="00971405"/>
    <w:rsid w:val="009715F2"/>
    <w:rsid w:val="00971682"/>
    <w:rsid w:val="009716DE"/>
    <w:rsid w:val="009716F9"/>
    <w:rsid w:val="00972390"/>
    <w:rsid w:val="0097305E"/>
    <w:rsid w:val="009731B2"/>
    <w:rsid w:val="0097357D"/>
    <w:rsid w:val="0097365E"/>
    <w:rsid w:val="009737E0"/>
    <w:rsid w:val="00973AB0"/>
    <w:rsid w:val="0097404C"/>
    <w:rsid w:val="00974BC8"/>
    <w:rsid w:val="00974CD5"/>
    <w:rsid w:val="00975F06"/>
    <w:rsid w:val="00975FD7"/>
    <w:rsid w:val="00976280"/>
    <w:rsid w:val="009763D3"/>
    <w:rsid w:val="00977538"/>
    <w:rsid w:val="009778E6"/>
    <w:rsid w:val="009804B2"/>
    <w:rsid w:val="00980523"/>
    <w:rsid w:val="00980A4E"/>
    <w:rsid w:val="00981522"/>
    <w:rsid w:val="00981B0E"/>
    <w:rsid w:val="00981BD7"/>
    <w:rsid w:val="00981F74"/>
    <w:rsid w:val="00982268"/>
    <w:rsid w:val="009829C0"/>
    <w:rsid w:val="00983599"/>
    <w:rsid w:val="00983676"/>
    <w:rsid w:val="00983B0A"/>
    <w:rsid w:val="00984331"/>
    <w:rsid w:val="00984AD5"/>
    <w:rsid w:val="00985012"/>
    <w:rsid w:val="009852C9"/>
    <w:rsid w:val="00985B8C"/>
    <w:rsid w:val="00986D6D"/>
    <w:rsid w:val="009874EA"/>
    <w:rsid w:val="00987ABE"/>
    <w:rsid w:val="009900B0"/>
    <w:rsid w:val="00990199"/>
    <w:rsid w:val="009903AD"/>
    <w:rsid w:val="009907B7"/>
    <w:rsid w:val="00990BA5"/>
    <w:rsid w:val="0099171D"/>
    <w:rsid w:val="00991D72"/>
    <w:rsid w:val="00992500"/>
    <w:rsid w:val="0099256D"/>
    <w:rsid w:val="00992E40"/>
    <w:rsid w:val="00992F15"/>
    <w:rsid w:val="00993D00"/>
    <w:rsid w:val="0099437D"/>
    <w:rsid w:val="009948C0"/>
    <w:rsid w:val="0099498A"/>
    <w:rsid w:val="009949FD"/>
    <w:rsid w:val="00994F4E"/>
    <w:rsid w:val="0099515F"/>
    <w:rsid w:val="00995834"/>
    <w:rsid w:val="00995C17"/>
    <w:rsid w:val="00995CD5"/>
    <w:rsid w:val="00996404"/>
    <w:rsid w:val="00996A90"/>
    <w:rsid w:val="00996CD7"/>
    <w:rsid w:val="009976C8"/>
    <w:rsid w:val="00997FFE"/>
    <w:rsid w:val="009A019E"/>
    <w:rsid w:val="009A1131"/>
    <w:rsid w:val="009A116E"/>
    <w:rsid w:val="009A1627"/>
    <w:rsid w:val="009A359C"/>
    <w:rsid w:val="009A3B41"/>
    <w:rsid w:val="009A3D3F"/>
    <w:rsid w:val="009A4668"/>
    <w:rsid w:val="009A4B94"/>
    <w:rsid w:val="009A51BA"/>
    <w:rsid w:val="009A7771"/>
    <w:rsid w:val="009A7CED"/>
    <w:rsid w:val="009A7D19"/>
    <w:rsid w:val="009B017D"/>
    <w:rsid w:val="009B05BE"/>
    <w:rsid w:val="009B061C"/>
    <w:rsid w:val="009B0A90"/>
    <w:rsid w:val="009B166F"/>
    <w:rsid w:val="009B298F"/>
    <w:rsid w:val="009B2CA3"/>
    <w:rsid w:val="009B37A0"/>
    <w:rsid w:val="009B3BFB"/>
    <w:rsid w:val="009B3F78"/>
    <w:rsid w:val="009B40D6"/>
    <w:rsid w:val="009B42A6"/>
    <w:rsid w:val="009B4911"/>
    <w:rsid w:val="009B4BF0"/>
    <w:rsid w:val="009B521B"/>
    <w:rsid w:val="009B5A96"/>
    <w:rsid w:val="009B6634"/>
    <w:rsid w:val="009B664C"/>
    <w:rsid w:val="009B6D14"/>
    <w:rsid w:val="009B7E81"/>
    <w:rsid w:val="009C02B4"/>
    <w:rsid w:val="009C042B"/>
    <w:rsid w:val="009C0D25"/>
    <w:rsid w:val="009C0D70"/>
    <w:rsid w:val="009C0FD3"/>
    <w:rsid w:val="009C11A3"/>
    <w:rsid w:val="009C1394"/>
    <w:rsid w:val="009C19EF"/>
    <w:rsid w:val="009C1B25"/>
    <w:rsid w:val="009C1EB3"/>
    <w:rsid w:val="009C2B0B"/>
    <w:rsid w:val="009C3AFF"/>
    <w:rsid w:val="009C3EEE"/>
    <w:rsid w:val="009C473B"/>
    <w:rsid w:val="009C4FFF"/>
    <w:rsid w:val="009C50BB"/>
    <w:rsid w:val="009C53DF"/>
    <w:rsid w:val="009C5855"/>
    <w:rsid w:val="009C5A35"/>
    <w:rsid w:val="009C5B08"/>
    <w:rsid w:val="009C6307"/>
    <w:rsid w:val="009C71DF"/>
    <w:rsid w:val="009C7EE1"/>
    <w:rsid w:val="009D0328"/>
    <w:rsid w:val="009D0DC4"/>
    <w:rsid w:val="009D151F"/>
    <w:rsid w:val="009D1EB9"/>
    <w:rsid w:val="009D1F6E"/>
    <w:rsid w:val="009D2328"/>
    <w:rsid w:val="009D2B37"/>
    <w:rsid w:val="009D2B6F"/>
    <w:rsid w:val="009D2E4C"/>
    <w:rsid w:val="009D2E8B"/>
    <w:rsid w:val="009D331C"/>
    <w:rsid w:val="009D343F"/>
    <w:rsid w:val="009D3903"/>
    <w:rsid w:val="009D3C6C"/>
    <w:rsid w:val="009D40EB"/>
    <w:rsid w:val="009D451A"/>
    <w:rsid w:val="009D48E7"/>
    <w:rsid w:val="009D4CB7"/>
    <w:rsid w:val="009D4DAA"/>
    <w:rsid w:val="009D5216"/>
    <w:rsid w:val="009D56F7"/>
    <w:rsid w:val="009D5D49"/>
    <w:rsid w:val="009D686A"/>
    <w:rsid w:val="009D7351"/>
    <w:rsid w:val="009D74DA"/>
    <w:rsid w:val="009D7AC4"/>
    <w:rsid w:val="009E0728"/>
    <w:rsid w:val="009E0841"/>
    <w:rsid w:val="009E11DA"/>
    <w:rsid w:val="009E19C7"/>
    <w:rsid w:val="009E1A67"/>
    <w:rsid w:val="009E1B65"/>
    <w:rsid w:val="009E1EF9"/>
    <w:rsid w:val="009E4F00"/>
    <w:rsid w:val="009E5792"/>
    <w:rsid w:val="009E5D00"/>
    <w:rsid w:val="009E5F52"/>
    <w:rsid w:val="009E6629"/>
    <w:rsid w:val="009E6AFC"/>
    <w:rsid w:val="009E6E4A"/>
    <w:rsid w:val="009E6EF1"/>
    <w:rsid w:val="009E7678"/>
    <w:rsid w:val="009E796E"/>
    <w:rsid w:val="009E79CB"/>
    <w:rsid w:val="009F0009"/>
    <w:rsid w:val="009F0299"/>
    <w:rsid w:val="009F07FD"/>
    <w:rsid w:val="009F0925"/>
    <w:rsid w:val="009F0D85"/>
    <w:rsid w:val="009F13BB"/>
    <w:rsid w:val="009F193A"/>
    <w:rsid w:val="009F2003"/>
    <w:rsid w:val="009F223F"/>
    <w:rsid w:val="009F22C1"/>
    <w:rsid w:val="009F22E1"/>
    <w:rsid w:val="009F27A7"/>
    <w:rsid w:val="009F29AD"/>
    <w:rsid w:val="009F29F2"/>
    <w:rsid w:val="009F2FA0"/>
    <w:rsid w:val="009F357F"/>
    <w:rsid w:val="009F3900"/>
    <w:rsid w:val="009F3D9D"/>
    <w:rsid w:val="009F40B6"/>
    <w:rsid w:val="009F4659"/>
    <w:rsid w:val="009F47B5"/>
    <w:rsid w:val="009F4A32"/>
    <w:rsid w:val="009F4ACF"/>
    <w:rsid w:val="009F509B"/>
    <w:rsid w:val="009F50ED"/>
    <w:rsid w:val="009F5FBE"/>
    <w:rsid w:val="009F607E"/>
    <w:rsid w:val="009F694B"/>
    <w:rsid w:val="009F6A61"/>
    <w:rsid w:val="009F73AB"/>
    <w:rsid w:val="00A0023D"/>
    <w:rsid w:val="00A006A5"/>
    <w:rsid w:val="00A00D84"/>
    <w:rsid w:val="00A00EE7"/>
    <w:rsid w:val="00A00EED"/>
    <w:rsid w:val="00A01A05"/>
    <w:rsid w:val="00A01A6A"/>
    <w:rsid w:val="00A01F6E"/>
    <w:rsid w:val="00A020E7"/>
    <w:rsid w:val="00A027BA"/>
    <w:rsid w:val="00A027D7"/>
    <w:rsid w:val="00A02B3A"/>
    <w:rsid w:val="00A02D71"/>
    <w:rsid w:val="00A02E02"/>
    <w:rsid w:val="00A0429D"/>
    <w:rsid w:val="00A045A3"/>
    <w:rsid w:val="00A04834"/>
    <w:rsid w:val="00A04A6B"/>
    <w:rsid w:val="00A04D60"/>
    <w:rsid w:val="00A05347"/>
    <w:rsid w:val="00A05ED8"/>
    <w:rsid w:val="00A062EC"/>
    <w:rsid w:val="00A07001"/>
    <w:rsid w:val="00A071D1"/>
    <w:rsid w:val="00A07243"/>
    <w:rsid w:val="00A072A7"/>
    <w:rsid w:val="00A07397"/>
    <w:rsid w:val="00A07467"/>
    <w:rsid w:val="00A07531"/>
    <w:rsid w:val="00A07B96"/>
    <w:rsid w:val="00A07DF2"/>
    <w:rsid w:val="00A07F2B"/>
    <w:rsid w:val="00A10494"/>
    <w:rsid w:val="00A10A1E"/>
    <w:rsid w:val="00A10C1E"/>
    <w:rsid w:val="00A10C8A"/>
    <w:rsid w:val="00A11881"/>
    <w:rsid w:val="00A119A7"/>
    <w:rsid w:val="00A11A41"/>
    <w:rsid w:val="00A11C31"/>
    <w:rsid w:val="00A11C61"/>
    <w:rsid w:val="00A12119"/>
    <w:rsid w:val="00A1237F"/>
    <w:rsid w:val="00A125C4"/>
    <w:rsid w:val="00A12F5D"/>
    <w:rsid w:val="00A12FCC"/>
    <w:rsid w:val="00A1321A"/>
    <w:rsid w:val="00A13482"/>
    <w:rsid w:val="00A13718"/>
    <w:rsid w:val="00A13AF2"/>
    <w:rsid w:val="00A13EA6"/>
    <w:rsid w:val="00A14654"/>
    <w:rsid w:val="00A15A25"/>
    <w:rsid w:val="00A15DA7"/>
    <w:rsid w:val="00A15F9B"/>
    <w:rsid w:val="00A1621D"/>
    <w:rsid w:val="00A169D8"/>
    <w:rsid w:val="00A169ED"/>
    <w:rsid w:val="00A2039E"/>
    <w:rsid w:val="00A2045F"/>
    <w:rsid w:val="00A20C3F"/>
    <w:rsid w:val="00A20CF3"/>
    <w:rsid w:val="00A20ECE"/>
    <w:rsid w:val="00A21174"/>
    <w:rsid w:val="00A214F8"/>
    <w:rsid w:val="00A215A1"/>
    <w:rsid w:val="00A219B4"/>
    <w:rsid w:val="00A22403"/>
    <w:rsid w:val="00A227CA"/>
    <w:rsid w:val="00A22FB8"/>
    <w:rsid w:val="00A23052"/>
    <w:rsid w:val="00A231A0"/>
    <w:rsid w:val="00A234A9"/>
    <w:rsid w:val="00A239B3"/>
    <w:rsid w:val="00A23AE6"/>
    <w:rsid w:val="00A2432C"/>
    <w:rsid w:val="00A24E8F"/>
    <w:rsid w:val="00A256F7"/>
    <w:rsid w:val="00A25E14"/>
    <w:rsid w:val="00A264FE"/>
    <w:rsid w:val="00A26732"/>
    <w:rsid w:val="00A26BFA"/>
    <w:rsid w:val="00A26CF1"/>
    <w:rsid w:val="00A271E4"/>
    <w:rsid w:val="00A2760F"/>
    <w:rsid w:val="00A27F90"/>
    <w:rsid w:val="00A3096A"/>
    <w:rsid w:val="00A3105F"/>
    <w:rsid w:val="00A31B61"/>
    <w:rsid w:val="00A32330"/>
    <w:rsid w:val="00A329CF"/>
    <w:rsid w:val="00A32E0B"/>
    <w:rsid w:val="00A33A41"/>
    <w:rsid w:val="00A33A7E"/>
    <w:rsid w:val="00A33D89"/>
    <w:rsid w:val="00A34442"/>
    <w:rsid w:val="00A34B68"/>
    <w:rsid w:val="00A35125"/>
    <w:rsid w:val="00A352C7"/>
    <w:rsid w:val="00A35F45"/>
    <w:rsid w:val="00A3631F"/>
    <w:rsid w:val="00A369A0"/>
    <w:rsid w:val="00A36EDB"/>
    <w:rsid w:val="00A37223"/>
    <w:rsid w:val="00A37526"/>
    <w:rsid w:val="00A37BC8"/>
    <w:rsid w:val="00A37C42"/>
    <w:rsid w:val="00A37F71"/>
    <w:rsid w:val="00A4061B"/>
    <w:rsid w:val="00A407F2"/>
    <w:rsid w:val="00A40BEC"/>
    <w:rsid w:val="00A40CDC"/>
    <w:rsid w:val="00A42138"/>
    <w:rsid w:val="00A4223B"/>
    <w:rsid w:val="00A42B7C"/>
    <w:rsid w:val="00A42EC3"/>
    <w:rsid w:val="00A43955"/>
    <w:rsid w:val="00A439CA"/>
    <w:rsid w:val="00A44198"/>
    <w:rsid w:val="00A442C0"/>
    <w:rsid w:val="00A446A1"/>
    <w:rsid w:val="00A44DE7"/>
    <w:rsid w:val="00A44E17"/>
    <w:rsid w:val="00A44EF6"/>
    <w:rsid w:val="00A456EE"/>
    <w:rsid w:val="00A45BC9"/>
    <w:rsid w:val="00A46B5C"/>
    <w:rsid w:val="00A4794E"/>
    <w:rsid w:val="00A500C4"/>
    <w:rsid w:val="00A5017A"/>
    <w:rsid w:val="00A50BBF"/>
    <w:rsid w:val="00A50D90"/>
    <w:rsid w:val="00A51264"/>
    <w:rsid w:val="00A5135D"/>
    <w:rsid w:val="00A513F5"/>
    <w:rsid w:val="00A516CF"/>
    <w:rsid w:val="00A51F5F"/>
    <w:rsid w:val="00A52094"/>
    <w:rsid w:val="00A52913"/>
    <w:rsid w:val="00A52DC8"/>
    <w:rsid w:val="00A53006"/>
    <w:rsid w:val="00A53ADB"/>
    <w:rsid w:val="00A53BF9"/>
    <w:rsid w:val="00A53DDD"/>
    <w:rsid w:val="00A53F33"/>
    <w:rsid w:val="00A54160"/>
    <w:rsid w:val="00A54251"/>
    <w:rsid w:val="00A54266"/>
    <w:rsid w:val="00A544CF"/>
    <w:rsid w:val="00A545FD"/>
    <w:rsid w:val="00A547CC"/>
    <w:rsid w:val="00A54E43"/>
    <w:rsid w:val="00A54F93"/>
    <w:rsid w:val="00A5528F"/>
    <w:rsid w:val="00A5544B"/>
    <w:rsid w:val="00A556A8"/>
    <w:rsid w:val="00A5583B"/>
    <w:rsid w:val="00A55DB4"/>
    <w:rsid w:val="00A5611B"/>
    <w:rsid w:val="00A56E39"/>
    <w:rsid w:val="00A57036"/>
    <w:rsid w:val="00A5731F"/>
    <w:rsid w:val="00A5796E"/>
    <w:rsid w:val="00A57C8B"/>
    <w:rsid w:val="00A6099F"/>
    <w:rsid w:val="00A60BF2"/>
    <w:rsid w:val="00A60DD1"/>
    <w:rsid w:val="00A612FB"/>
    <w:rsid w:val="00A613F4"/>
    <w:rsid w:val="00A6173C"/>
    <w:rsid w:val="00A61A79"/>
    <w:rsid w:val="00A62286"/>
    <w:rsid w:val="00A630E5"/>
    <w:rsid w:val="00A63788"/>
    <w:rsid w:val="00A63D74"/>
    <w:rsid w:val="00A6484D"/>
    <w:rsid w:val="00A64CA1"/>
    <w:rsid w:val="00A653BE"/>
    <w:rsid w:val="00A659A9"/>
    <w:rsid w:val="00A65E23"/>
    <w:rsid w:val="00A660C3"/>
    <w:rsid w:val="00A6614C"/>
    <w:rsid w:val="00A664BB"/>
    <w:rsid w:val="00A66712"/>
    <w:rsid w:val="00A6674D"/>
    <w:rsid w:val="00A67454"/>
    <w:rsid w:val="00A67A1E"/>
    <w:rsid w:val="00A70248"/>
    <w:rsid w:val="00A70420"/>
    <w:rsid w:val="00A70787"/>
    <w:rsid w:val="00A70CB9"/>
    <w:rsid w:val="00A70FDE"/>
    <w:rsid w:val="00A711D8"/>
    <w:rsid w:val="00A71739"/>
    <w:rsid w:val="00A71ADB"/>
    <w:rsid w:val="00A71B8C"/>
    <w:rsid w:val="00A72317"/>
    <w:rsid w:val="00A72417"/>
    <w:rsid w:val="00A726E5"/>
    <w:rsid w:val="00A72DAC"/>
    <w:rsid w:val="00A730BC"/>
    <w:rsid w:val="00A73362"/>
    <w:rsid w:val="00A7375F"/>
    <w:rsid w:val="00A7394F"/>
    <w:rsid w:val="00A7411B"/>
    <w:rsid w:val="00A74479"/>
    <w:rsid w:val="00A74596"/>
    <w:rsid w:val="00A74A66"/>
    <w:rsid w:val="00A74C68"/>
    <w:rsid w:val="00A74D63"/>
    <w:rsid w:val="00A751B9"/>
    <w:rsid w:val="00A75859"/>
    <w:rsid w:val="00A7742C"/>
    <w:rsid w:val="00A77801"/>
    <w:rsid w:val="00A77921"/>
    <w:rsid w:val="00A779E1"/>
    <w:rsid w:val="00A77B89"/>
    <w:rsid w:val="00A77CC5"/>
    <w:rsid w:val="00A77E4A"/>
    <w:rsid w:val="00A800E2"/>
    <w:rsid w:val="00A8095E"/>
    <w:rsid w:val="00A80F28"/>
    <w:rsid w:val="00A8293B"/>
    <w:rsid w:val="00A82B94"/>
    <w:rsid w:val="00A82C6E"/>
    <w:rsid w:val="00A83641"/>
    <w:rsid w:val="00A83B1F"/>
    <w:rsid w:val="00A83DF2"/>
    <w:rsid w:val="00A840F7"/>
    <w:rsid w:val="00A84139"/>
    <w:rsid w:val="00A85333"/>
    <w:rsid w:val="00A85414"/>
    <w:rsid w:val="00A8588C"/>
    <w:rsid w:val="00A85DBB"/>
    <w:rsid w:val="00A862FF"/>
    <w:rsid w:val="00A86AC2"/>
    <w:rsid w:val="00A86BB3"/>
    <w:rsid w:val="00A86FC3"/>
    <w:rsid w:val="00A872C7"/>
    <w:rsid w:val="00A879EB"/>
    <w:rsid w:val="00A87C6F"/>
    <w:rsid w:val="00A902F2"/>
    <w:rsid w:val="00A90B8D"/>
    <w:rsid w:val="00A90BEF"/>
    <w:rsid w:val="00A91520"/>
    <w:rsid w:val="00A91E14"/>
    <w:rsid w:val="00A92009"/>
    <w:rsid w:val="00A9224D"/>
    <w:rsid w:val="00A9281F"/>
    <w:rsid w:val="00A92E24"/>
    <w:rsid w:val="00A930B0"/>
    <w:rsid w:val="00A9354F"/>
    <w:rsid w:val="00A93969"/>
    <w:rsid w:val="00A93CB6"/>
    <w:rsid w:val="00A94DE0"/>
    <w:rsid w:val="00A95E4F"/>
    <w:rsid w:val="00A9632C"/>
    <w:rsid w:val="00A96727"/>
    <w:rsid w:val="00A96AAE"/>
    <w:rsid w:val="00A96AB9"/>
    <w:rsid w:val="00A96E85"/>
    <w:rsid w:val="00A96F8F"/>
    <w:rsid w:val="00A972E2"/>
    <w:rsid w:val="00AA0943"/>
    <w:rsid w:val="00AA0B54"/>
    <w:rsid w:val="00AA1490"/>
    <w:rsid w:val="00AA165D"/>
    <w:rsid w:val="00AA1DB8"/>
    <w:rsid w:val="00AA2294"/>
    <w:rsid w:val="00AA32E8"/>
    <w:rsid w:val="00AA41FE"/>
    <w:rsid w:val="00AA46B0"/>
    <w:rsid w:val="00AA5253"/>
    <w:rsid w:val="00AA560C"/>
    <w:rsid w:val="00AA5E72"/>
    <w:rsid w:val="00AA5EE5"/>
    <w:rsid w:val="00AA61F7"/>
    <w:rsid w:val="00AA6329"/>
    <w:rsid w:val="00AA7018"/>
    <w:rsid w:val="00AA721A"/>
    <w:rsid w:val="00AA7813"/>
    <w:rsid w:val="00AB0DD9"/>
    <w:rsid w:val="00AB11D9"/>
    <w:rsid w:val="00AB1B16"/>
    <w:rsid w:val="00AB1CC0"/>
    <w:rsid w:val="00AB2013"/>
    <w:rsid w:val="00AB2186"/>
    <w:rsid w:val="00AB2439"/>
    <w:rsid w:val="00AB25E4"/>
    <w:rsid w:val="00AB2A21"/>
    <w:rsid w:val="00AB2E3E"/>
    <w:rsid w:val="00AB2E8E"/>
    <w:rsid w:val="00AB34B4"/>
    <w:rsid w:val="00AB3536"/>
    <w:rsid w:val="00AB3538"/>
    <w:rsid w:val="00AB3989"/>
    <w:rsid w:val="00AB3AE9"/>
    <w:rsid w:val="00AB3B77"/>
    <w:rsid w:val="00AB4133"/>
    <w:rsid w:val="00AB423C"/>
    <w:rsid w:val="00AB4961"/>
    <w:rsid w:val="00AB52BF"/>
    <w:rsid w:val="00AB58C4"/>
    <w:rsid w:val="00AB5A79"/>
    <w:rsid w:val="00AB5B90"/>
    <w:rsid w:val="00AB631D"/>
    <w:rsid w:val="00AB65A0"/>
    <w:rsid w:val="00AB6C67"/>
    <w:rsid w:val="00AB6F6D"/>
    <w:rsid w:val="00AB7CCA"/>
    <w:rsid w:val="00AB7F6C"/>
    <w:rsid w:val="00AC04ED"/>
    <w:rsid w:val="00AC05A6"/>
    <w:rsid w:val="00AC05EE"/>
    <w:rsid w:val="00AC0979"/>
    <w:rsid w:val="00AC0ED1"/>
    <w:rsid w:val="00AC1698"/>
    <w:rsid w:val="00AC18D2"/>
    <w:rsid w:val="00AC19C4"/>
    <w:rsid w:val="00AC2321"/>
    <w:rsid w:val="00AC29C5"/>
    <w:rsid w:val="00AC2FAA"/>
    <w:rsid w:val="00AC35B6"/>
    <w:rsid w:val="00AC3681"/>
    <w:rsid w:val="00AC541F"/>
    <w:rsid w:val="00AC54DF"/>
    <w:rsid w:val="00AC5B07"/>
    <w:rsid w:val="00AC6A4B"/>
    <w:rsid w:val="00AC6C11"/>
    <w:rsid w:val="00AC6F81"/>
    <w:rsid w:val="00AD02A3"/>
    <w:rsid w:val="00AD04DD"/>
    <w:rsid w:val="00AD07F7"/>
    <w:rsid w:val="00AD0F59"/>
    <w:rsid w:val="00AD1207"/>
    <w:rsid w:val="00AD2250"/>
    <w:rsid w:val="00AD22CB"/>
    <w:rsid w:val="00AD37B8"/>
    <w:rsid w:val="00AD42A1"/>
    <w:rsid w:val="00AD45E1"/>
    <w:rsid w:val="00AD49A0"/>
    <w:rsid w:val="00AD4EC8"/>
    <w:rsid w:val="00AD55D3"/>
    <w:rsid w:val="00AD64CF"/>
    <w:rsid w:val="00AD6CD0"/>
    <w:rsid w:val="00AD775B"/>
    <w:rsid w:val="00AE00D5"/>
    <w:rsid w:val="00AE0877"/>
    <w:rsid w:val="00AE1567"/>
    <w:rsid w:val="00AE1715"/>
    <w:rsid w:val="00AE1EEE"/>
    <w:rsid w:val="00AE1F78"/>
    <w:rsid w:val="00AE20E9"/>
    <w:rsid w:val="00AE279D"/>
    <w:rsid w:val="00AE27C7"/>
    <w:rsid w:val="00AE29AA"/>
    <w:rsid w:val="00AE29C1"/>
    <w:rsid w:val="00AE2FAA"/>
    <w:rsid w:val="00AE3C63"/>
    <w:rsid w:val="00AE4745"/>
    <w:rsid w:val="00AE558A"/>
    <w:rsid w:val="00AE56D5"/>
    <w:rsid w:val="00AE5863"/>
    <w:rsid w:val="00AE5AE1"/>
    <w:rsid w:val="00AE616D"/>
    <w:rsid w:val="00AE63DE"/>
    <w:rsid w:val="00AE64F9"/>
    <w:rsid w:val="00AE732F"/>
    <w:rsid w:val="00AE74AC"/>
    <w:rsid w:val="00AE7745"/>
    <w:rsid w:val="00AE78BB"/>
    <w:rsid w:val="00AE79E5"/>
    <w:rsid w:val="00AF011B"/>
    <w:rsid w:val="00AF037B"/>
    <w:rsid w:val="00AF0769"/>
    <w:rsid w:val="00AF1F63"/>
    <w:rsid w:val="00AF2AFF"/>
    <w:rsid w:val="00AF3108"/>
    <w:rsid w:val="00AF3EFD"/>
    <w:rsid w:val="00AF3FE7"/>
    <w:rsid w:val="00AF435B"/>
    <w:rsid w:val="00AF4A8B"/>
    <w:rsid w:val="00AF5B12"/>
    <w:rsid w:val="00AF5BEE"/>
    <w:rsid w:val="00AF5BF7"/>
    <w:rsid w:val="00AF63EA"/>
    <w:rsid w:val="00AF683B"/>
    <w:rsid w:val="00AF68F7"/>
    <w:rsid w:val="00AF6B80"/>
    <w:rsid w:val="00AF70E7"/>
    <w:rsid w:val="00AF7940"/>
    <w:rsid w:val="00AF7BAC"/>
    <w:rsid w:val="00AF7D0C"/>
    <w:rsid w:val="00B0005E"/>
    <w:rsid w:val="00B00511"/>
    <w:rsid w:val="00B00515"/>
    <w:rsid w:val="00B0132A"/>
    <w:rsid w:val="00B016DE"/>
    <w:rsid w:val="00B01B19"/>
    <w:rsid w:val="00B01C70"/>
    <w:rsid w:val="00B01DD6"/>
    <w:rsid w:val="00B02C72"/>
    <w:rsid w:val="00B03DB4"/>
    <w:rsid w:val="00B047C8"/>
    <w:rsid w:val="00B04832"/>
    <w:rsid w:val="00B05211"/>
    <w:rsid w:val="00B053FD"/>
    <w:rsid w:val="00B05855"/>
    <w:rsid w:val="00B05D23"/>
    <w:rsid w:val="00B061A6"/>
    <w:rsid w:val="00B0631B"/>
    <w:rsid w:val="00B06BBE"/>
    <w:rsid w:val="00B06C8E"/>
    <w:rsid w:val="00B07CE7"/>
    <w:rsid w:val="00B100E8"/>
    <w:rsid w:val="00B1026A"/>
    <w:rsid w:val="00B10519"/>
    <w:rsid w:val="00B10ABE"/>
    <w:rsid w:val="00B10C17"/>
    <w:rsid w:val="00B10EE1"/>
    <w:rsid w:val="00B11831"/>
    <w:rsid w:val="00B11AE9"/>
    <w:rsid w:val="00B11E5F"/>
    <w:rsid w:val="00B11E73"/>
    <w:rsid w:val="00B1227E"/>
    <w:rsid w:val="00B123BA"/>
    <w:rsid w:val="00B1368C"/>
    <w:rsid w:val="00B13A3E"/>
    <w:rsid w:val="00B14074"/>
    <w:rsid w:val="00B14456"/>
    <w:rsid w:val="00B14A28"/>
    <w:rsid w:val="00B151A4"/>
    <w:rsid w:val="00B152CD"/>
    <w:rsid w:val="00B15C0C"/>
    <w:rsid w:val="00B161BB"/>
    <w:rsid w:val="00B162CB"/>
    <w:rsid w:val="00B16A46"/>
    <w:rsid w:val="00B16BC7"/>
    <w:rsid w:val="00B16FFB"/>
    <w:rsid w:val="00B1760C"/>
    <w:rsid w:val="00B20255"/>
    <w:rsid w:val="00B202E2"/>
    <w:rsid w:val="00B20459"/>
    <w:rsid w:val="00B20479"/>
    <w:rsid w:val="00B2047B"/>
    <w:rsid w:val="00B206A7"/>
    <w:rsid w:val="00B2087B"/>
    <w:rsid w:val="00B20BDA"/>
    <w:rsid w:val="00B2124E"/>
    <w:rsid w:val="00B22F5D"/>
    <w:rsid w:val="00B2310B"/>
    <w:rsid w:val="00B231AA"/>
    <w:rsid w:val="00B233D1"/>
    <w:rsid w:val="00B23428"/>
    <w:rsid w:val="00B236EC"/>
    <w:rsid w:val="00B23BB1"/>
    <w:rsid w:val="00B23E10"/>
    <w:rsid w:val="00B242A0"/>
    <w:rsid w:val="00B24594"/>
    <w:rsid w:val="00B24641"/>
    <w:rsid w:val="00B25235"/>
    <w:rsid w:val="00B25893"/>
    <w:rsid w:val="00B25D01"/>
    <w:rsid w:val="00B26BB5"/>
    <w:rsid w:val="00B26D87"/>
    <w:rsid w:val="00B26F67"/>
    <w:rsid w:val="00B274CA"/>
    <w:rsid w:val="00B27789"/>
    <w:rsid w:val="00B27AFE"/>
    <w:rsid w:val="00B30622"/>
    <w:rsid w:val="00B30930"/>
    <w:rsid w:val="00B30B04"/>
    <w:rsid w:val="00B30DF6"/>
    <w:rsid w:val="00B31012"/>
    <w:rsid w:val="00B31051"/>
    <w:rsid w:val="00B326B4"/>
    <w:rsid w:val="00B32D34"/>
    <w:rsid w:val="00B33012"/>
    <w:rsid w:val="00B33974"/>
    <w:rsid w:val="00B34DA4"/>
    <w:rsid w:val="00B35201"/>
    <w:rsid w:val="00B35236"/>
    <w:rsid w:val="00B354D8"/>
    <w:rsid w:val="00B3581B"/>
    <w:rsid w:val="00B359E5"/>
    <w:rsid w:val="00B36B03"/>
    <w:rsid w:val="00B36BEA"/>
    <w:rsid w:val="00B371DB"/>
    <w:rsid w:val="00B37AF9"/>
    <w:rsid w:val="00B37F3F"/>
    <w:rsid w:val="00B401C2"/>
    <w:rsid w:val="00B404DA"/>
    <w:rsid w:val="00B40515"/>
    <w:rsid w:val="00B408A9"/>
    <w:rsid w:val="00B409C3"/>
    <w:rsid w:val="00B40CF9"/>
    <w:rsid w:val="00B40FCE"/>
    <w:rsid w:val="00B4182C"/>
    <w:rsid w:val="00B42D1A"/>
    <w:rsid w:val="00B4354C"/>
    <w:rsid w:val="00B43564"/>
    <w:rsid w:val="00B438A0"/>
    <w:rsid w:val="00B43BE7"/>
    <w:rsid w:val="00B43D39"/>
    <w:rsid w:val="00B44FC8"/>
    <w:rsid w:val="00B45131"/>
    <w:rsid w:val="00B451BA"/>
    <w:rsid w:val="00B4539B"/>
    <w:rsid w:val="00B460B9"/>
    <w:rsid w:val="00B46254"/>
    <w:rsid w:val="00B4639D"/>
    <w:rsid w:val="00B4685A"/>
    <w:rsid w:val="00B46DFD"/>
    <w:rsid w:val="00B4711A"/>
    <w:rsid w:val="00B506DF"/>
    <w:rsid w:val="00B50CCC"/>
    <w:rsid w:val="00B50E3B"/>
    <w:rsid w:val="00B50F74"/>
    <w:rsid w:val="00B51005"/>
    <w:rsid w:val="00B51016"/>
    <w:rsid w:val="00B51260"/>
    <w:rsid w:val="00B514E6"/>
    <w:rsid w:val="00B5156C"/>
    <w:rsid w:val="00B51B09"/>
    <w:rsid w:val="00B51B69"/>
    <w:rsid w:val="00B51C62"/>
    <w:rsid w:val="00B521C6"/>
    <w:rsid w:val="00B525AE"/>
    <w:rsid w:val="00B52724"/>
    <w:rsid w:val="00B5296D"/>
    <w:rsid w:val="00B52D9B"/>
    <w:rsid w:val="00B53AEF"/>
    <w:rsid w:val="00B53CD5"/>
    <w:rsid w:val="00B53FA9"/>
    <w:rsid w:val="00B551E1"/>
    <w:rsid w:val="00B559FB"/>
    <w:rsid w:val="00B55D6A"/>
    <w:rsid w:val="00B56094"/>
    <w:rsid w:val="00B562AC"/>
    <w:rsid w:val="00B568B1"/>
    <w:rsid w:val="00B568D3"/>
    <w:rsid w:val="00B56CE8"/>
    <w:rsid w:val="00B5785C"/>
    <w:rsid w:val="00B57A9A"/>
    <w:rsid w:val="00B57DDC"/>
    <w:rsid w:val="00B6021F"/>
    <w:rsid w:val="00B60247"/>
    <w:rsid w:val="00B604F2"/>
    <w:rsid w:val="00B60ABF"/>
    <w:rsid w:val="00B60C9E"/>
    <w:rsid w:val="00B60FC3"/>
    <w:rsid w:val="00B61152"/>
    <w:rsid w:val="00B61459"/>
    <w:rsid w:val="00B621BF"/>
    <w:rsid w:val="00B62B58"/>
    <w:rsid w:val="00B62C6D"/>
    <w:rsid w:val="00B62E95"/>
    <w:rsid w:val="00B6369A"/>
    <w:rsid w:val="00B63A5A"/>
    <w:rsid w:val="00B63A95"/>
    <w:rsid w:val="00B63FB5"/>
    <w:rsid w:val="00B644A8"/>
    <w:rsid w:val="00B64F74"/>
    <w:rsid w:val="00B6548C"/>
    <w:rsid w:val="00B65CDA"/>
    <w:rsid w:val="00B65DC5"/>
    <w:rsid w:val="00B66013"/>
    <w:rsid w:val="00B66AF7"/>
    <w:rsid w:val="00B671FA"/>
    <w:rsid w:val="00B6754C"/>
    <w:rsid w:val="00B70C06"/>
    <w:rsid w:val="00B71146"/>
    <w:rsid w:val="00B71318"/>
    <w:rsid w:val="00B71659"/>
    <w:rsid w:val="00B716D4"/>
    <w:rsid w:val="00B71D46"/>
    <w:rsid w:val="00B71DFC"/>
    <w:rsid w:val="00B71E9A"/>
    <w:rsid w:val="00B7202C"/>
    <w:rsid w:val="00B721D1"/>
    <w:rsid w:val="00B722B7"/>
    <w:rsid w:val="00B72812"/>
    <w:rsid w:val="00B7318E"/>
    <w:rsid w:val="00B73EB3"/>
    <w:rsid w:val="00B743D9"/>
    <w:rsid w:val="00B747E1"/>
    <w:rsid w:val="00B74A12"/>
    <w:rsid w:val="00B74DB9"/>
    <w:rsid w:val="00B764E5"/>
    <w:rsid w:val="00B76642"/>
    <w:rsid w:val="00B76DF3"/>
    <w:rsid w:val="00B773C8"/>
    <w:rsid w:val="00B77B8B"/>
    <w:rsid w:val="00B77DA5"/>
    <w:rsid w:val="00B80436"/>
    <w:rsid w:val="00B808EA"/>
    <w:rsid w:val="00B81045"/>
    <w:rsid w:val="00B815EE"/>
    <w:rsid w:val="00B81B3A"/>
    <w:rsid w:val="00B826C7"/>
    <w:rsid w:val="00B82C69"/>
    <w:rsid w:val="00B82D73"/>
    <w:rsid w:val="00B83354"/>
    <w:rsid w:val="00B835F7"/>
    <w:rsid w:val="00B838E8"/>
    <w:rsid w:val="00B84201"/>
    <w:rsid w:val="00B84915"/>
    <w:rsid w:val="00B84D4E"/>
    <w:rsid w:val="00B85D5F"/>
    <w:rsid w:val="00B868DE"/>
    <w:rsid w:val="00B87437"/>
    <w:rsid w:val="00B87D3A"/>
    <w:rsid w:val="00B90895"/>
    <w:rsid w:val="00B90E18"/>
    <w:rsid w:val="00B91829"/>
    <w:rsid w:val="00B91EB8"/>
    <w:rsid w:val="00B91F3F"/>
    <w:rsid w:val="00B91F58"/>
    <w:rsid w:val="00B924B6"/>
    <w:rsid w:val="00B92A4A"/>
    <w:rsid w:val="00B93AA8"/>
    <w:rsid w:val="00B93FFE"/>
    <w:rsid w:val="00B9484A"/>
    <w:rsid w:val="00B94CAA"/>
    <w:rsid w:val="00B94D4B"/>
    <w:rsid w:val="00B9523D"/>
    <w:rsid w:val="00B95519"/>
    <w:rsid w:val="00B955B7"/>
    <w:rsid w:val="00B95B89"/>
    <w:rsid w:val="00B961E4"/>
    <w:rsid w:val="00B9654F"/>
    <w:rsid w:val="00B966F2"/>
    <w:rsid w:val="00B96D0A"/>
    <w:rsid w:val="00B96EF6"/>
    <w:rsid w:val="00B97C7E"/>
    <w:rsid w:val="00B97FD7"/>
    <w:rsid w:val="00BA0173"/>
    <w:rsid w:val="00BA0448"/>
    <w:rsid w:val="00BA04B7"/>
    <w:rsid w:val="00BA0D47"/>
    <w:rsid w:val="00BA1AB4"/>
    <w:rsid w:val="00BA1C3A"/>
    <w:rsid w:val="00BA2EC8"/>
    <w:rsid w:val="00BA3ABE"/>
    <w:rsid w:val="00BA3D1E"/>
    <w:rsid w:val="00BA3D6F"/>
    <w:rsid w:val="00BA40E3"/>
    <w:rsid w:val="00BA47BD"/>
    <w:rsid w:val="00BA54C3"/>
    <w:rsid w:val="00BA586D"/>
    <w:rsid w:val="00BA6242"/>
    <w:rsid w:val="00BA6738"/>
    <w:rsid w:val="00BA6838"/>
    <w:rsid w:val="00BA6C7C"/>
    <w:rsid w:val="00BA6E9B"/>
    <w:rsid w:val="00BA70FE"/>
    <w:rsid w:val="00BA7261"/>
    <w:rsid w:val="00BA7430"/>
    <w:rsid w:val="00BA755D"/>
    <w:rsid w:val="00BA7937"/>
    <w:rsid w:val="00BA799C"/>
    <w:rsid w:val="00BA79E9"/>
    <w:rsid w:val="00BA7CD8"/>
    <w:rsid w:val="00BB00DE"/>
    <w:rsid w:val="00BB0934"/>
    <w:rsid w:val="00BB0B2C"/>
    <w:rsid w:val="00BB12FD"/>
    <w:rsid w:val="00BB1A0A"/>
    <w:rsid w:val="00BB1B97"/>
    <w:rsid w:val="00BB2154"/>
    <w:rsid w:val="00BB3876"/>
    <w:rsid w:val="00BB3B5A"/>
    <w:rsid w:val="00BB4861"/>
    <w:rsid w:val="00BB4ADB"/>
    <w:rsid w:val="00BB4D42"/>
    <w:rsid w:val="00BB544B"/>
    <w:rsid w:val="00BB5DAC"/>
    <w:rsid w:val="00BB6389"/>
    <w:rsid w:val="00BB719C"/>
    <w:rsid w:val="00BB7CFF"/>
    <w:rsid w:val="00BC0563"/>
    <w:rsid w:val="00BC092E"/>
    <w:rsid w:val="00BC0C70"/>
    <w:rsid w:val="00BC0F4D"/>
    <w:rsid w:val="00BC131B"/>
    <w:rsid w:val="00BC14B3"/>
    <w:rsid w:val="00BC15FB"/>
    <w:rsid w:val="00BC168D"/>
    <w:rsid w:val="00BC1A0D"/>
    <w:rsid w:val="00BC1A7E"/>
    <w:rsid w:val="00BC1B12"/>
    <w:rsid w:val="00BC1BA0"/>
    <w:rsid w:val="00BC1D55"/>
    <w:rsid w:val="00BC3796"/>
    <w:rsid w:val="00BC3948"/>
    <w:rsid w:val="00BC39F4"/>
    <w:rsid w:val="00BC421F"/>
    <w:rsid w:val="00BC4293"/>
    <w:rsid w:val="00BC46F4"/>
    <w:rsid w:val="00BC5097"/>
    <w:rsid w:val="00BC5CBF"/>
    <w:rsid w:val="00BC68A5"/>
    <w:rsid w:val="00BC69A1"/>
    <w:rsid w:val="00BC6A24"/>
    <w:rsid w:val="00BC7059"/>
    <w:rsid w:val="00BC70E9"/>
    <w:rsid w:val="00BC7608"/>
    <w:rsid w:val="00BC7DD0"/>
    <w:rsid w:val="00BD0AF9"/>
    <w:rsid w:val="00BD0EFF"/>
    <w:rsid w:val="00BD158D"/>
    <w:rsid w:val="00BD1729"/>
    <w:rsid w:val="00BD196C"/>
    <w:rsid w:val="00BD1A3B"/>
    <w:rsid w:val="00BD1A67"/>
    <w:rsid w:val="00BD1EC7"/>
    <w:rsid w:val="00BD24AA"/>
    <w:rsid w:val="00BD295F"/>
    <w:rsid w:val="00BD2E58"/>
    <w:rsid w:val="00BD2EA7"/>
    <w:rsid w:val="00BD3186"/>
    <w:rsid w:val="00BD3423"/>
    <w:rsid w:val="00BD357D"/>
    <w:rsid w:val="00BD4AD6"/>
    <w:rsid w:val="00BD4F47"/>
    <w:rsid w:val="00BD4FAC"/>
    <w:rsid w:val="00BD5445"/>
    <w:rsid w:val="00BD59BB"/>
    <w:rsid w:val="00BD5E9C"/>
    <w:rsid w:val="00BD63A5"/>
    <w:rsid w:val="00BD667C"/>
    <w:rsid w:val="00BD7430"/>
    <w:rsid w:val="00BD7B55"/>
    <w:rsid w:val="00BE035A"/>
    <w:rsid w:val="00BE074B"/>
    <w:rsid w:val="00BE0D2E"/>
    <w:rsid w:val="00BE10E4"/>
    <w:rsid w:val="00BE1121"/>
    <w:rsid w:val="00BE186A"/>
    <w:rsid w:val="00BE1C21"/>
    <w:rsid w:val="00BE1FF5"/>
    <w:rsid w:val="00BE2584"/>
    <w:rsid w:val="00BE296A"/>
    <w:rsid w:val="00BE2CF2"/>
    <w:rsid w:val="00BE371D"/>
    <w:rsid w:val="00BE3A5E"/>
    <w:rsid w:val="00BE43E8"/>
    <w:rsid w:val="00BE4CA4"/>
    <w:rsid w:val="00BE5246"/>
    <w:rsid w:val="00BE525C"/>
    <w:rsid w:val="00BE5656"/>
    <w:rsid w:val="00BE5EAE"/>
    <w:rsid w:val="00BE62E9"/>
    <w:rsid w:val="00BE6426"/>
    <w:rsid w:val="00BE6773"/>
    <w:rsid w:val="00BE6B3B"/>
    <w:rsid w:val="00BE6CA0"/>
    <w:rsid w:val="00BE77A9"/>
    <w:rsid w:val="00BE7AEF"/>
    <w:rsid w:val="00BF02A2"/>
    <w:rsid w:val="00BF0E22"/>
    <w:rsid w:val="00BF0EA9"/>
    <w:rsid w:val="00BF0EC6"/>
    <w:rsid w:val="00BF10D9"/>
    <w:rsid w:val="00BF155A"/>
    <w:rsid w:val="00BF2148"/>
    <w:rsid w:val="00BF294C"/>
    <w:rsid w:val="00BF2C1B"/>
    <w:rsid w:val="00BF33D9"/>
    <w:rsid w:val="00BF33DB"/>
    <w:rsid w:val="00BF35EB"/>
    <w:rsid w:val="00BF3CA0"/>
    <w:rsid w:val="00BF4027"/>
    <w:rsid w:val="00BF40D5"/>
    <w:rsid w:val="00BF4448"/>
    <w:rsid w:val="00BF47E5"/>
    <w:rsid w:val="00BF4F9A"/>
    <w:rsid w:val="00BF4FD6"/>
    <w:rsid w:val="00BF5174"/>
    <w:rsid w:val="00BF5840"/>
    <w:rsid w:val="00BF6415"/>
    <w:rsid w:val="00BF6763"/>
    <w:rsid w:val="00BF6769"/>
    <w:rsid w:val="00BF6A2A"/>
    <w:rsid w:val="00BF70DD"/>
    <w:rsid w:val="00BF76CF"/>
    <w:rsid w:val="00BF773C"/>
    <w:rsid w:val="00BF7D8D"/>
    <w:rsid w:val="00C003B8"/>
    <w:rsid w:val="00C00D56"/>
    <w:rsid w:val="00C015FB"/>
    <w:rsid w:val="00C015FE"/>
    <w:rsid w:val="00C01B16"/>
    <w:rsid w:val="00C0265D"/>
    <w:rsid w:val="00C02DB8"/>
    <w:rsid w:val="00C034C3"/>
    <w:rsid w:val="00C03F50"/>
    <w:rsid w:val="00C04300"/>
    <w:rsid w:val="00C053E0"/>
    <w:rsid w:val="00C058E7"/>
    <w:rsid w:val="00C060A0"/>
    <w:rsid w:val="00C06414"/>
    <w:rsid w:val="00C06530"/>
    <w:rsid w:val="00C068E6"/>
    <w:rsid w:val="00C06B60"/>
    <w:rsid w:val="00C0713A"/>
    <w:rsid w:val="00C073B8"/>
    <w:rsid w:val="00C105ED"/>
    <w:rsid w:val="00C106F7"/>
    <w:rsid w:val="00C12003"/>
    <w:rsid w:val="00C12826"/>
    <w:rsid w:val="00C12A0F"/>
    <w:rsid w:val="00C13071"/>
    <w:rsid w:val="00C1361A"/>
    <w:rsid w:val="00C13939"/>
    <w:rsid w:val="00C13F77"/>
    <w:rsid w:val="00C14936"/>
    <w:rsid w:val="00C14A9F"/>
    <w:rsid w:val="00C14C6E"/>
    <w:rsid w:val="00C1583D"/>
    <w:rsid w:val="00C15E2B"/>
    <w:rsid w:val="00C15EBC"/>
    <w:rsid w:val="00C167F1"/>
    <w:rsid w:val="00C1698D"/>
    <w:rsid w:val="00C16BC7"/>
    <w:rsid w:val="00C16D88"/>
    <w:rsid w:val="00C1703F"/>
    <w:rsid w:val="00C171B7"/>
    <w:rsid w:val="00C179EA"/>
    <w:rsid w:val="00C17A4B"/>
    <w:rsid w:val="00C201BB"/>
    <w:rsid w:val="00C20267"/>
    <w:rsid w:val="00C20FC2"/>
    <w:rsid w:val="00C216A8"/>
    <w:rsid w:val="00C22B25"/>
    <w:rsid w:val="00C23CE1"/>
    <w:rsid w:val="00C23DCF"/>
    <w:rsid w:val="00C23E61"/>
    <w:rsid w:val="00C24469"/>
    <w:rsid w:val="00C2517D"/>
    <w:rsid w:val="00C25445"/>
    <w:rsid w:val="00C259E1"/>
    <w:rsid w:val="00C25B96"/>
    <w:rsid w:val="00C25D67"/>
    <w:rsid w:val="00C26CCB"/>
    <w:rsid w:val="00C277B9"/>
    <w:rsid w:val="00C27BCD"/>
    <w:rsid w:val="00C30B2E"/>
    <w:rsid w:val="00C30F55"/>
    <w:rsid w:val="00C31472"/>
    <w:rsid w:val="00C31641"/>
    <w:rsid w:val="00C32458"/>
    <w:rsid w:val="00C32658"/>
    <w:rsid w:val="00C3346D"/>
    <w:rsid w:val="00C334A1"/>
    <w:rsid w:val="00C33B6D"/>
    <w:rsid w:val="00C34456"/>
    <w:rsid w:val="00C3502B"/>
    <w:rsid w:val="00C352C4"/>
    <w:rsid w:val="00C35C3C"/>
    <w:rsid w:val="00C36256"/>
    <w:rsid w:val="00C3656C"/>
    <w:rsid w:val="00C368D3"/>
    <w:rsid w:val="00C3694F"/>
    <w:rsid w:val="00C369CF"/>
    <w:rsid w:val="00C36A30"/>
    <w:rsid w:val="00C36CBB"/>
    <w:rsid w:val="00C370C2"/>
    <w:rsid w:val="00C3722E"/>
    <w:rsid w:val="00C379BD"/>
    <w:rsid w:val="00C37C70"/>
    <w:rsid w:val="00C37E4B"/>
    <w:rsid w:val="00C37F48"/>
    <w:rsid w:val="00C4062E"/>
    <w:rsid w:val="00C40895"/>
    <w:rsid w:val="00C40BB4"/>
    <w:rsid w:val="00C40BF5"/>
    <w:rsid w:val="00C410EA"/>
    <w:rsid w:val="00C41FCE"/>
    <w:rsid w:val="00C41FE9"/>
    <w:rsid w:val="00C42163"/>
    <w:rsid w:val="00C42BDB"/>
    <w:rsid w:val="00C42DA5"/>
    <w:rsid w:val="00C42FC4"/>
    <w:rsid w:val="00C442DE"/>
    <w:rsid w:val="00C44F7E"/>
    <w:rsid w:val="00C45A0C"/>
    <w:rsid w:val="00C46391"/>
    <w:rsid w:val="00C463C7"/>
    <w:rsid w:val="00C46863"/>
    <w:rsid w:val="00C46DEF"/>
    <w:rsid w:val="00C4740C"/>
    <w:rsid w:val="00C479C6"/>
    <w:rsid w:val="00C47CC2"/>
    <w:rsid w:val="00C47D3F"/>
    <w:rsid w:val="00C47F35"/>
    <w:rsid w:val="00C504FD"/>
    <w:rsid w:val="00C505EB"/>
    <w:rsid w:val="00C50A67"/>
    <w:rsid w:val="00C50B46"/>
    <w:rsid w:val="00C50C97"/>
    <w:rsid w:val="00C5108E"/>
    <w:rsid w:val="00C51941"/>
    <w:rsid w:val="00C51FE8"/>
    <w:rsid w:val="00C52295"/>
    <w:rsid w:val="00C52D75"/>
    <w:rsid w:val="00C52DD1"/>
    <w:rsid w:val="00C52FF2"/>
    <w:rsid w:val="00C5305E"/>
    <w:rsid w:val="00C53156"/>
    <w:rsid w:val="00C533C7"/>
    <w:rsid w:val="00C542FE"/>
    <w:rsid w:val="00C547A4"/>
    <w:rsid w:val="00C547E1"/>
    <w:rsid w:val="00C54806"/>
    <w:rsid w:val="00C5489D"/>
    <w:rsid w:val="00C54AE7"/>
    <w:rsid w:val="00C54FAD"/>
    <w:rsid w:val="00C55470"/>
    <w:rsid w:val="00C55608"/>
    <w:rsid w:val="00C5657B"/>
    <w:rsid w:val="00C5687D"/>
    <w:rsid w:val="00C56F3D"/>
    <w:rsid w:val="00C5731A"/>
    <w:rsid w:val="00C57A7D"/>
    <w:rsid w:val="00C606B1"/>
    <w:rsid w:val="00C60AAF"/>
    <w:rsid w:val="00C60E42"/>
    <w:rsid w:val="00C60E67"/>
    <w:rsid w:val="00C61642"/>
    <w:rsid w:val="00C624B8"/>
    <w:rsid w:val="00C62ACA"/>
    <w:rsid w:val="00C62B3C"/>
    <w:rsid w:val="00C62D91"/>
    <w:rsid w:val="00C6350D"/>
    <w:rsid w:val="00C636AA"/>
    <w:rsid w:val="00C636C0"/>
    <w:rsid w:val="00C63FCD"/>
    <w:rsid w:val="00C644CA"/>
    <w:rsid w:val="00C648A7"/>
    <w:rsid w:val="00C64E4E"/>
    <w:rsid w:val="00C64EAE"/>
    <w:rsid w:val="00C65448"/>
    <w:rsid w:val="00C66102"/>
    <w:rsid w:val="00C66210"/>
    <w:rsid w:val="00C6648E"/>
    <w:rsid w:val="00C67300"/>
    <w:rsid w:val="00C6734B"/>
    <w:rsid w:val="00C673C7"/>
    <w:rsid w:val="00C67587"/>
    <w:rsid w:val="00C676FD"/>
    <w:rsid w:val="00C67D16"/>
    <w:rsid w:val="00C67FFA"/>
    <w:rsid w:val="00C706AE"/>
    <w:rsid w:val="00C708CF"/>
    <w:rsid w:val="00C708EC"/>
    <w:rsid w:val="00C70B1E"/>
    <w:rsid w:val="00C71330"/>
    <w:rsid w:val="00C714A7"/>
    <w:rsid w:val="00C7159F"/>
    <w:rsid w:val="00C718CE"/>
    <w:rsid w:val="00C719A3"/>
    <w:rsid w:val="00C71B86"/>
    <w:rsid w:val="00C71ED4"/>
    <w:rsid w:val="00C72449"/>
    <w:rsid w:val="00C7252C"/>
    <w:rsid w:val="00C726B0"/>
    <w:rsid w:val="00C72956"/>
    <w:rsid w:val="00C72C7C"/>
    <w:rsid w:val="00C73135"/>
    <w:rsid w:val="00C73409"/>
    <w:rsid w:val="00C73AF3"/>
    <w:rsid w:val="00C74C86"/>
    <w:rsid w:val="00C75036"/>
    <w:rsid w:val="00C75456"/>
    <w:rsid w:val="00C76034"/>
    <w:rsid w:val="00C76697"/>
    <w:rsid w:val="00C766A9"/>
    <w:rsid w:val="00C77196"/>
    <w:rsid w:val="00C77258"/>
    <w:rsid w:val="00C776E5"/>
    <w:rsid w:val="00C77714"/>
    <w:rsid w:val="00C77743"/>
    <w:rsid w:val="00C77919"/>
    <w:rsid w:val="00C77DF4"/>
    <w:rsid w:val="00C77E08"/>
    <w:rsid w:val="00C80108"/>
    <w:rsid w:val="00C8059E"/>
    <w:rsid w:val="00C80C16"/>
    <w:rsid w:val="00C80E91"/>
    <w:rsid w:val="00C814B3"/>
    <w:rsid w:val="00C814C7"/>
    <w:rsid w:val="00C81614"/>
    <w:rsid w:val="00C8171C"/>
    <w:rsid w:val="00C81E4F"/>
    <w:rsid w:val="00C821CA"/>
    <w:rsid w:val="00C822FB"/>
    <w:rsid w:val="00C82B1F"/>
    <w:rsid w:val="00C82C25"/>
    <w:rsid w:val="00C82DD1"/>
    <w:rsid w:val="00C8320A"/>
    <w:rsid w:val="00C83489"/>
    <w:rsid w:val="00C83694"/>
    <w:rsid w:val="00C84C45"/>
    <w:rsid w:val="00C84E8D"/>
    <w:rsid w:val="00C84EFE"/>
    <w:rsid w:val="00C85755"/>
    <w:rsid w:val="00C85957"/>
    <w:rsid w:val="00C85CB1"/>
    <w:rsid w:val="00C85DB8"/>
    <w:rsid w:val="00C85E51"/>
    <w:rsid w:val="00C86759"/>
    <w:rsid w:val="00C86853"/>
    <w:rsid w:val="00C8711B"/>
    <w:rsid w:val="00C8721D"/>
    <w:rsid w:val="00C87D83"/>
    <w:rsid w:val="00C87F24"/>
    <w:rsid w:val="00C90652"/>
    <w:rsid w:val="00C90A60"/>
    <w:rsid w:val="00C90B8F"/>
    <w:rsid w:val="00C90E28"/>
    <w:rsid w:val="00C91011"/>
    <w:rsid w:val="00C916BB"/>
    <w:rsid w:val="00C9185B"/>
    <w:rsid w:val="00C91A6F"/>
    <w:rsid w:val="00C91B40"/>
    <w:rsid w:val="00C91C6B"/>
    <w:rsid w:val="00C91DB8"/>
    <w:rsid w:val="00C929B4"/>
    <w:rsid w:val="00C92BEE"/>
    <w:rsid w:val="00C9303F"/>
    <w:rsid w:val="00C93852"/>
    <w:rsid w:val="00C9388A"/>
    <w:rsid w:val="00C941AC"/>
    <w:rsid w:val="00C945FB"/>
    <w:rsid w:val="00C94CCE"/>
    <w:rsid w:val="00C950C9"/>
    <w:rsid w:val="00C951F8"/>
    <w:rsid w:val="00C9555B"/>
    <w:rsid w:val="00C96298"/>
    <w:rsid w:val="00C9679F"/>
    <w:rsid w:val="00C96C20"/>
    <w:rsid w:val="00C96F41"/>
    <w:rsid w:val="00C96FD3"/>
    <w:rsid w:val="00C972A0"/>
    <w:rsid w:val="00CA059B"/>
    <w:rsid w:val="00CA09C9"/>
    <w:rsid w:val="00CA1128"/>
    <w:rsid w:val="00CA1564"/>
    <w:rsid w:val="00CA1748"/>
    <w:rsid w:val="00CA19F0"/>
    <w:rsid w:val="00CA2035"/>
    <w:rsid w:val="00CA2E16"/>
    <w:rsid w:val="00CA35B7"/>
    <w:rsid w:val="00CA3B34"/>
    <w:rsid w:val="00CA3D13"/>
    <w:rsid w:val="00CA3DA7"/>
    <w:rsid w:val="00CA4042"/>
    <w:rsid w:val="00CA4660"/>
    <w:rsid w:val="00CA4C3A"/>
    <w:rsid w:val="00CA5151"/>
    <w:rsid w:val="00CA53F8"/>
    <w:rsid w:val="00CA6121"/>
    <w:rsid w:val="00CA61D5"/>
    <w:rsid w:val="00CA6384"/>
    <w:rsid w:val="00CA6399"/>
    <w:rsid w:val="00CA787F"/>
    <w:rsid w:val="00CA7B4F"/>
    <w:rsid w:val="00CB0312"/>
    <w:rsid w:val="00CB03F3"/>
    <w:rsid w:val="00CB085F"/>
    <w:rsid w:val="00CB0E90"/>
    <w:rsid w:val="00CB0F52"/>
    <w:rsid w:val="00CB132C"/>
    <w:rsid w:val="00CB23A0"/>
    <w:rsid w:val="00CB247B"/>
    <w:rsid w:val="00CB278E"/>
    <w:rsid w:val="00CB2B81"/>
    <w:rsid w:val="00CB3578"/>
    <w:rsid w:val="00CB3618"/>
    <w:rsid w:val="00CB3904"/>
    <w:rsid w:val="00CB3917"/>
    <w:rsid w:val="00CB3E16"/>
    <w:rsid w:val="00CB3E20"/>
    <w:rsid w:val="00CB3EE8"/>
    <w:rsid w:val="00CB47FD"/>
    <w:rsid w:val="00CB4D56"/>
    <w:rsid w:val="00CB4E3B"/>
    <w:rsid w:val="00CB5A10"/>
    <w:rsid w:val="00CB5CE3"/>
    <w:rsid w:val="00CB5EE7"/>
    <w:rsid w:val="00CB62A9"/>
    <w:rsid w:val="00CB6616"/>
    <w:rsid w:val="00CB7354"/>
    <w:rsid w:val="00CB7465"/>
    <w:rsid w:val="00CB7978"/>
    <w:rsid w:val="00CC0BFB"/>
    <w:rsid w:val="00CC126A"/>
    <w:rsid w:val="00CC14C4"/>
    <w:rsid w:val="00CC1C16"/>
    <w:rsid w:val="00CC1D5B"/>
    <w:rsid w:val="00CC1F86"/>
    <w:rsid w:val="00CC22AD"/>
    <w:rsid w:val="00CC26CD"/>
    <w:rsid w:val="00CC2B41"/>
    <w:rsid w:val="00CC2DB6"/>
    <w:rsid w:val="00CC35E6"/>
    <w:rsid w:val="00CC3C0A"/>
    <w:rsid w:val="00CC4069"/>
    <w:rsid w:val="00CC4080"/>
    <w:rsid w:val="00CC511E"/>
    <w:rsid w:val="00CC5395"/>
    <w:rsid w:val="00CC62B4"/>
    <w:rsid w:val="00CC62EC"/>
    <w:rsid w:val="00CC6DC1"/>
    <w:rsid w:val="00CC75C6"/>
    <w:rsid w:val="00CC7A74"/>
    <w:rsid w:val="00CC7C0E"/>
    <w:rsid w:val="00CC7CC8"/>
    <w:rsid w:val="00CD0362"/>
    <w:rsid w:val="00CD0446"/>
    <w:rsid w:val="00CD04B5"/>
    <w:rsid w:val="00CD07E4"/>
    <w:rsid w:val="00CD10C9"/>
    <w:rsid w:val="00CD16E4"/>
    <w:rsid w:val="00CD1775"/>
    <w:rsid w:val="00CD20BB"/>
    <w:rsid w:val="00CD2B79"/>
    <w:rsid w:val="00CD323E"/>
    <w:rsid w:val="00CD3288"/>
    <w:rsid w:val="00CD3969"/>
    <w:rsid w:val="00CD4792"/>
    <w:rsid w:val="00CD4D85"/>
    <w:rsid w:val="00CD50E8"/>
    <w:rsid w:val="00CD588B"/>
    <w:rsid w:val="00CD6385"/>
    <w:rsid w:val="00CD639B"/>
    <w:rsid w:val="00CD68AD"/>
    <w:rsid w:val="00CD6BF0"/>
    <w:rsid w:val="00CD6D6A"/>
    <w:rsid w:val="00CD6DE4"/>
    <w:rsid w:val="00CD6F8D"/>
    <w:rsid w:val="00CD73CA"/>
    <w:rsid w:val="00CD793B"/>
    <w:rsid w:val="00CD7D1E"/>
    <w:rsid w:val="00CE0859"/>
    <w:rsid w:val="00CE0B82"/>
    <w:rsid w:val="00CE0EF2"/>
    <w:rsid w:val="00CE0F49"/>
    <w:rsid w:val="00CE11F1"/>
    <w:rsid w:val="00CE13C7"/>
    <w:rsid w:val="00CE169F"/>
    <w:rsid w:val="00CE1FE2"/>
    <w:rsid w:val="00CE2245"/>
    <w:rsid w:val="00CE2B79"/>
    <w:rsid w:val="00CE2C5A"/>
    <w:rsid w:val="00CE2FF6"/>
    <w:rsid w:val="00CE3033"/>
    <w:rsid w:val="00CE31CC"/>
    <w:rsid w:val="00CE4671"/>
    <w:rsid w:val="00CE4CCD"/>
    <w:rsid w:val="00CE4CDF"/>
    <w:rsid w:val="00CE59CB"/>
    <w:rsid w:val="00CE5F3F"/>
    <w:rsid w:val="00CE62F5"/>
    <w:rsid w:val="00CE7AA4"/>
    <w:rsid w:val="00CF0051"/>
    <w:rsid w:val="00CF008D"/>
    <w:rsid w:val="00CF0180"/>
    <w:rsid w:val="00CF039B"/>
    <w:rsid w:val="00CF0A3C"/>
    <w:rsid w:val="00CF1419"/>
    <w:rsid w:val="00CF169F"/>
    <w:rsid w:val="00CF1ABA"/>
    <w:rsid w:val="00CF25E6"/>
    <w:rsid w:val="00CF266A"/>
    <w:rsid w:val="00CF33C6"/>
    <w:rsid w:val="00CF33D7"/>
    <w:rsid w:val="00CF367B"/>
    <w:rsid w:val="00CF3887"/>
    <w:rsid w:val="00CF3EBE"/>
    <w:rsid w:val="00CF4007"/>
    <w:rsid w:val="00CF4A67"/>
    <w:rsid w:val="00CF5213"/>
    <w:rsid w:val="00CF52A6"/>
    <w:rsid w:val="00CF5336"/>
    <w:rsid w:val="00CF542B"/>
    <w:rsid w:val="00CF5757"/>
    <w:rsid w:val="00CF5DE2"/>
    <w:rsid w:val="00CF6237"/>
    <w:rsid w:val="00CF644D"/>
    <w:rsid w:val="00CF64A0"/>
    <w:rsid w:val="00CF67A9"/>
    <w:rsid w:val="00CF6885"/>
    <w:rsid w:val="00CF75CA"/>
    <w:rsid w:val="00CF786B"/>
    <w:rsid w:val="00CF78CF"/>
    <w:rsid w:val="00CF7CCA"/>
    <w:rsid w:val="00D00206"/>
    <w:rsid w:val="00D00304"/>
    <w:rsid w:val="00D008D5"/>
    <w:rsid w:val="00D00D9B"/>
    <w:rsid w:val="00D00E7C"/>
    <w:rsid w:val="00D01020"/>
    <w:rsid w:val="00D01581"/>
    <w:rsid w:val="00D0193F"/>
    <w:rsid w:val="00D02149"/>
    <w:rsid w:val="00D02B2A"/>
    <w:rsid w:val="00D038F6"/>
    <w:rsid w:val="00D03F19"/>
    <w:rsid w:val="00D0480D"/>
    <w:rsid w:val="00D04825"/>
    <w:rsid w:val="00D04D2B"/>
    <w:rsid w:val="00D05674"/>
    <w:rsid w:val="00D058D0"/>
    <w:rsid w:val="00D05C5D"/>
    <w:rsid w:val="00D05CA8"/>
    <w:rsid w:val="00D05DA4"/>
    <w:rsid w:val="00D0602A"/>
    <w:rsid w:val="00D069BE"/>
    <w:rsid w:val="00D07168"/>
    <w:rsid w:val="00D07384"/>
    <w:rsid w:val="00D0766B"/>
    <w:rsid w:val="00D078FB"/>
    <w:rsid w:val="00D07EE3"/>
    <w:rsid w:val="00D10B46"/>
    <w:rsid w:val="00D10C64"/>
    <w:rsid w:val="00D10F7F"/>
    <w:rsid w:val="00D1129D"/>
    <w:rsid w:val="00D11AE4"/>
    <w:rsid w:val="00D11E04"/>
    <w:rsid w:val="00D121DE"/>
    <w:rsid w:val="00D126D9"/>
    <w:rsid w:val="00D139E4"/>
    <w:rsid w:val="00D13FFE"/>
    <w:rsid w:val="00D1447F"/>
    <w:rsid w:val="00D14A2E"/>
    <w:rsid w:val="00D14B2D"/>
    <w:rsid w:val="00D14C12"/>
    <w:rsid w:val="00D14D03"/>
    <w:rsid w:val="00D154E2"/>
    <w:rsid w:val="00D15A3B"/>
    <w:rsid w:val="00D15C45"/>
    <w:rsid w:val="00D16129"/>
    <w:rsid w:val="00D16583"/>
    <w:rsid w:val="00D16906"/>
    <w:rsid w:val="00D1690C"/>
    <w:rsid w:val="00D16EA1"/>
    <w:rsid w:val="00D16F28"/>
    <w:rsid w:val="00D174C8"/>
    <w:rsid w:val="00D175D9"/>
    <w:rsid w:val="00D177E4"/>
    <w:rsid w:val="00D17844"/>
    <w:rsid w:val="00D17A33"/>
    <w:rsid w:val="00D17CCD"/>
    <w:rsid w:val="00D200C0"/>
    <w:rsid w:val="00D20734"/>
    <w:rsid w:val="00D20C2C"/>
    <w:rsid w:val="00D20E2A"/>
    <w:rsid w:val="00D214CD"/>
    <w:rsid w:val="00D21843"/>
    <w:rsid w:val="00D21977"/>
    <w:rsid w:val="00D22427"/>
    <w:rsid w:val="00D224A1"/>
    <w:rsid w:val="00D22673"/>
    <w:rsid w:val="00D22A9B"/>
    <w:rsid w:val="00D22BA7"/>
    <w:rsid w:val="00D23773"/>
    <w:rsid w:val="00D25760"/>
    <w:rsid w:val="00D25B64"/>
    <w:rsid w:val="00D25D14"/>
    <w:rsid w:val="00D261A6"/>
    <w:rsid w:val="00D26548"/>
    <w:rsid w:val="00D26B70"/>
    <w:rsid w:val="00D27DB8"/>
    <w:rsid w:val="00D30088"/>
    <w:rsid w:val="00D30492"/>
    <w:rsid w:val="00D30582"/>
    <w:rsid w:val="00D30836"/>
    <w:rsid w:val="00D309FA"/>
    <w:rsid w:val="00D30E74"/>
    <w:rsid w:val="00D30E77"/>
    <w:rsid w:val="00D31476"/>
    <w:rsid w:val="00D31BF1"/>
    <w:rsid w:val="00D31BF3"/>
    <w:rsid w:val="00D31CFC"/>
    <w:rsid w:val="00D3212A"/>
    <w:rsid w:val="00D32346"/>
    <w:rsid w:val="00D330A7"/>
    <w:rsid w:val="00D33515"/>
    <w:rsid w:val="00D33688"/>
    <w:rsid w:val="00D337C0"/>
    <w:rsid w:val="00D33BDA"/>
    <w:rsid w:val="00D33BE9"/>
    <w:rsid w:val="00D34511"/>
    <w:rsid w:val="00D34A7C"/>
    <w:rsid w:val="00D35167"/>
    <w:rsid w:val="00D3583B"/>
    <w:rsid w:val="00D35AC7"/>
    <w:rsid w:val="00D35CE0"/>
    <w:rsid w:val="00D361C5"/>
    <w:rsid w:val="00D3644C"/>
    <w:rsid w:val="00D36616"/>
    <w:rsid w:val="00D3689D"/>
    <w:rsid w:val="00D369CC"/>
    <w:rsid w:val="00D36A79"/>
    <w:rsid w:val="00D37225"/>
    <w:rsid w:val="00D37701"/>
    <w:rsid w:val="00D402F0"/>
    <w:rsid w:val="00D4053C"/>
    <w:rsid w:val="00D40557"/>
    <w:rsid w:val="00D40AE8"/>
    <w:rsid w:val="00D412C2"/>
    <w:rsid w:val="00D414C7"/>
    <w:rsid w:val="00D41742"/>
    <w:rsid w:val="00D41A15"/>
    <w:rsid w:val="00D43067"/>
    <w:rsid w:val="00D43474"/>
    <w:rsid w:val="00D4380C"/>
    <w:rsid w:val="00D438B5"/>
    <w:rsid w:val="00D43B8A"/>
    <w:rsid w:val="00D43C0D"/>
    <w:rsid w:val="00D44640"/>
    <w:rsid w:val="00D44854"/>
    <w:rsid w:val="00D44F89"/>
    <w:rsid w:val="00D44FD5"/>
    <w:rsid w:val="00D4512C"/>
    <w:rsid w:val="00D46475"/>
    <w:rsid w:val="00D46B68"/>
    <w:rsid w:val="00D4700D"/>
    <w:rsid w:val="00D476D6"/>
    <w:rsid w:val="00D47EE5"/>
    <w:rsid w:val="00D47FDF"/>
    <w:rsid w:val="00D50672"/>
    <w:rsid w:val="00D521FF"/>
    <w:rsid w:val="00D52A21"/>
    <w:rsid w:val="00D52C21"/>
    <w:rsid w:val="00D532B5"/>
    <w:rsid w:val="00D54F43"/>
    <w:rsid w:val="00D54FF7"/>
    <w:rsid w:val="00D55736"/>
    <w:rsid w:val="00D55CB5"/>
    <w:rsid w:val="00D56226"/>
    <w:rsid w:val="00D566B2"/>
    <w:rsid w:val="00D569CA"/>
    <w:rsid w:val="00D56D27"/>
    <w:rsid w:val="00D56DE2"/>
    <w:rsid w:val="00D600DD"/>
    <w:rsid w:val="00D60D93"/>
    <w:rsid w:val="00D61AFA"/>
    <w:rsid w:val="00D61BD4"/>
    <w:rsid w:val="00D61F10"/>
    <w:rsid w:val="00D622BE"/>
    <w:rsid w:val="00D62CB9"/>
    <w:rsid w:val="00D62D39"/>
    <w:rsid w:val="00D63ADD"/>
    <w:rsid w:val="00D63EBE"/>
    <w:rsid w:val="00D64235"/>
    <w:rsid w:val="00D6444E"/>
    <w:rsid w:val="00D64887"/>
    <w:rsid w:val="00D65502"/>
    <w:rsid w:val="00D66B8B"/>
    <w:rsid w:val="00D66BB7"/>
    <w:rsid w:val="00D66FF8"/>
    <w:rsid w:val="00D67425"/>
    <w:rsid w:val="00D67470"/>
    <w:rsid w:val="00D67872"/>
    <w:rsid w:val="00D70000"/>
    <w:rsid w:val="00D709CA"/>
    <w:rsid w:val="00D713EC"/>
    <w:rsid w:val="00D71523"/>
    <w:rsid w:val="00D71B4F"/>
    <w:rsid w:val="00D71D56"/>
    <w:rsid w:val="00D72ECF"/>
    <w:rsid w:val="00D74225"/>
    <w:rsid w:val="00D747D5"/>
    <w:rsid w:val="00D748AC"/>
    <w:rsid w:val="00D748E7"/>
    <w:rsid w:val="00D7501B"/>
    <w:rsid w:val="00D75087"/>
    <w:rsid w:val="00D75103"/>
    <w:rsid w:val="00D75BB5"/>
    <w:rsid w:val="00D75E52"/>
    <w:rsid w:val="00D76105"/>
    <w:rsid w:val="00D761AC"/>
    <w:rsid w:val="00D76275"/>
    <w:rsid w:val="00D76345"/>
    <w:rsid w:val="00D76F82"/>
    <w:rsid w:val="00D76FCA"/>
    <w:rsid w:val="00D77918"/>
    <w:rsid w:val="00D77B1D"/>
    <w:rsid w:val="00D77BED"/>
    <w:rsid w:val="00D80311"/>
    <w:rsid w:val="00D807D5"/>
    <w:rsid w:val="00D809E8"/>
    <w:rsid w:val="00D80EF9"/>
    <w:rsid w:val="00D8112C"/>
    <w:rsid w:val="00D816A3"/>
    <w:rsid w:val="00D82460"/>
    <w:rsid w:val="00D82E1B"/>
    <w:rsid w:val="00D83272"/>
    <w:rsid w:val="00D83657"/>
    <w:rsid w:val="00D84370"/>
    <w:rsid w:val="00D8445D"/>
    <w:rsid w:val="00D8474A"/>
    <w:rsid w:val="00D849B0"/>
    <w:rsid w:val="00D84BC5"/>
    <w:rsid w:val="00D85592"/>
    <w:rsid w:val="00D855AB"/>
    <w:rsid w:val="00D8562A"/>
    <w:rsid w:val="00D85BE7"/>
    <w:rsid w:val="00D85F21"/>
    <w:rsid w:val="00D865B5"/>
    <w:rsid w:val="00D86709"/>
    <w:rsid w:val="00D8794A"/>
    <w:rsid w:val="00D87D1D"/>
    <w:rsid w:val="00D90276"/>
    <w:rsid w:val="00D9038A"/>
    <w:rsid w:val="00D903BF"/>
    <w:rsid w:val="00D904BD"/>
    <w:rsid w:val="00D907F0"/>
    <w:rsid w:val="00D909F3"/>
    <w:rsid w:val="00D91A83"/>
    <w:rsid w:val="00D92019"/>
    <w:rsid w:val="00D923D5"/>
    <w:rsid w:val="00D928EF"/>
    <w:rsid w:val="00D92FAB"/>
    <w:rsid w:val="00D9326A"/>
    <w:rsid w:val="00D93B41"/>
    <w:rsid w:val="00D93FFE"/>
    <w:rsid w:val="00D94023"/>
    <w:rsid w:val="00D9450A"/>
    <w:rsid w:val="00D948D4"/>
    <w:rsid w:val="00D95798"/>
    <w:rsid w:val="00D95A8E"/>
    <w:rsid w:val="00D95B2A"/>
    <w:rsid w:val="00D95ECA"/>
    <w:rsid w:val="00D963E0"/>
    <w:rsid w:val="00D96517"/>
    <w:rsid w:val="00D96706"/>
    <w:rsid w:val="00D96776"/>
    <w:rsid w:val="00D96C52"/>
    <w:rsid w:val="00D96D1C"/>
    <w:rsid w:val="00D973AB"/>
    <w:rsid w:val="00D97962"/>
    <w:rsid w:val="00D97B24"/>
    <w:rsid w:val="00DA0EC3"/>
    <w:rsid w:val="00DA1070"/>
    <w:rsid w:val="00DA17B0"/>
    <w:rsid w:val="00DA1E88"/>
    <w:rsid w:val="00DA2A02"/>
    <w:rsid w:val="00DA2E2A"/>
    <w:rsid w:val="00DA3101"/>
    <w:rsid w:val="00DA3332"/>
    <w:rsid w:val="00DA3436"/>
    <w:rsid w:val="00DA3726"/>
    <w:rsid w:val="00DA379D"/>
    <w:rsid w:val="00DA4241"/>
    <w:rsid w:val="00DA46A2"/>
    <w:rsid w:val="00DA5C95"/>
    <w:rsid w:val="00DA5DCB"/>
    <w:rsid w:val="00DA61D6"/>
    <w:rsid w:val="00DA7071"/>
    <w:rsid w:val="00DA7455"/>
    <w:rsid w:val="00DA7B4D"/>
    <w:rsid w:val="00DA7F68"/>
    <w:rsid w:val="00DA7FC0"/>
    <w:rsid w:val="00DB1979"/>
    <w:rsid w:val="00DB22A1"/>
    <w:rsid w:val="00DB22AB"/>
    <w:rsid w:val="00DB24AE"/>
    <w:rsid w:val="00DB291A"/>
    <w:rsid w:val="00DB2CA7"/>
    <w:rsid w:val="00DB378D"/>
    <w:rsid w:val="00DB3929"/>
    <w:rsid w:val="00DB44F5"/>
    <w:rsid w:val="00DB46FB"/>
    <w:rsid w:val="00DB4A7B"/>
    <w:rsid w:val="00DB5B19"/>
    <w:rsid w:val="00DB5D69"/>
    <w:rsid w:val="00DB6773"/>
    <w:rsid w:val="00DB694C"/>
    <w:rsid w:val="00DB6BB3"/>
    <w:rsid w:val="00DB6EFF"/>
    <w:rsid w:val="00DB72A5"/>
    <w:rsid w:val="00DB73DA"/>
    <w:rsid w:val="00DB7A5C"/>
    <w:rsid w:val="00DC0012"/>
    <w:rsid w:val="00DC087A"/>
    <w:rsid w:val="00DC088A"/>
    <w:rsid w:val="00DC11C7"/>
    <w:rsid w:val="00DC1642"/>
    <w:rsid w:val="00DC1A0B"/>
    <w:rsid w:val="00DC1CF6"/>
    <w:rsid w:val="00DC281D"/>
    <w:rsid w:val="00DC2E11"/>
    <w:rsid w:val="00DC35C5"/>
    <w:rsid w:val="00DC3973"/>
    <w:rsid w:val="00DC3C58"/>
    <w:rsid w:val="00DC3CEF"/>
    <w:rsid w:val="00DC41FF"/>
    <w:rsid w:val="00DC4647"/>
    <w:rsid w:val="00DC4E72"/>
    <w:rsid w:val="00DC5761"/>
    <w:rsid w:val="00DC592B"/>
    <w:rsid w:val="00DC67AA"/>
    <w:rsid w:val="00DC6BAD"/>
    <w:rsid w:val="00DC6C31"/>
    <w:rsid w:val="00DC76CB"/>
    <w:rsid w:val="00DC78DC"/>
    <w:rsid w:val="00DD0340"/>
    <w:rsid w:val="00DD042F"/>
    <w:rsid w:val="00DD08CA"/>
    <w:rsid w:val="00DD0934"/>
    <w:rsid w:val="00DD118A"/>
    <w:rsid w:val="00DD1742"/>
    <w:rsid w:val="00DD2246"/>
    <w:rsid w:val="00DD28A7"/>
    <w:rsid w:val="00DD30ED"/>
    <w:rsid w:val="00DD3751"/>
    <w:rsid w:val="00DD377C"/>
    <w:rsid w:val="00DD3CC4"/>
    <w:rsid w:val="00DD3CFF"/>
    <w:rsid w:val="00DD3D11"/>
    <w:rsid w:val="00DD413C"/>
    <w:rsid w:val="00DD443D"/>
    <w:rsid w:val="00DD45BA"/>
    <w:rsid w:val="00DD4822"/>
    <w:rsid w:val="00DD4CF2"/>
    <w:rsid w:val="00DD4D37"/>
    <w:rsid w:val="00DD5A69"/>
    <w:rsid w:val="00DD6415"/>
    <w:rsid w:val="00DD65BF"/>
    <w:rsid w:val="00DD688C"/>
    <w:rsid w:val="00DD68D2"/>
    <w:rsid w:val="00DD6E49"/>
    <w:rsid w:val="00DD7C9A"/>
    <w:rsid w:val="00DE0976"/>
    <w:rsid w:val="00DE0A41"/>
    <w:rsid w:val="00DE0DED"/>
    <w:rsid w:val="00DE0EC8"/>
    <w:rsid w:val="00DE191B"/>
    <w:rsid w:val="00DE1A51"/>
    <w:rsid w:val="00DE1BEB"/>
    <w:rsid w:val="00DE1F25"/>
    <w:rsid w:val="00DE23E2"/>
    <w:rsid w:val="00DE26C1"/>
    <w:rsid w:val="00DE2C48"/>
    <w:rsid w:val="00DE3705"/>
    <w:rsid w:val="00DE4238"/>
    <w:rsid w:val="00DE42B8"/>
    <w:rsid w:val="00DE45FD"/>
    <w:rsid w:val="00DE4B69"/>
    <w:rsid w:val="00DE5361"/>
    <w:rsid w:val="00DE5926"/>
    <w:rsid w:val="00DE5C83"/>
    <w:rsid w:val="00DE5D5C"/>
    <w:rsid w:val="00DE65D1"/>
    <w:rsid w:val="00DE665F"/>
    <w:rsid w:val="00DE6756"/>
    <w:rsid w:val="00DE6BB4"/>
    <w:rsid w:val="00DE6FA2"/>
    <w:rsid w:val="00DF02AD"/>
    <w:rsid w:val="00DF080F"/>
    <w:rsid w:val="00DF0832"/>
    <w:rsid w:val="00DF113B"/>
    <w:rsid w:val="00DF11D2"/>
    <w:rsid w:val="00DF13BD"/>
    <w:rsid w:val="00DF26A1"/>
    <w:rsid w:val="00DF38A6"/>
    <w:rsid w:val="00DF3DD7"/>
    <w:rsid w:val="00DF4DF8"/>
    <w:rsid w:val="00DF4EAB"/>
    <w:rsid w:val="00DF5DC6"/>
    <w:rsid w:val="00DF6547"/>
    <w:rsid w:val="00DF6627"/>
    <w:rsid w:val="00DF6C5F"/>
    <w:rsid w:val="00DF6E36"/>
    <w:rsid w:val="00DF7154"/>
    <w:rsid w:val="00DF754D"/>
    <w:rsid w:val="00DF7A7D"/>
    <w:rsid w:val="00E00534"/>
    <w:rsid w:val="00E00CBB"/>
    <w:rsid w:val="00E01208"/>
    <w:rsid w:val="00E01459"/>
    <w:rsid w:val="00E016FA"/>
    <w:rsid w:val="00E017C7"/>
    <w:rsid w:val="00E02951"/>
    <w:rsid w:val="00E02AE3"/>
    <w:rsid w:val="00E02DFA"/>
    <w:rsid w:val="00E03122"/>
    <w:rsid w:val="00E03175"/>
    <w:rsid w:val="00E03546"/>
    <w:rsid w:val="00E03A23"/>
    <w:rsid w:val="00E03BB3"/>
    <w:rsid w:val="00E0425A"/>
    <w:rsid w:val="00E04C11"/>
    <w:rsid w:val="00E04D1E"/>
    <w:rsid w:val="00E04EA5"/>
    <w:rsid w:val="00E05356"/>
    <w:rsid w:val="00E05D6B"/>
    <w:rsid w:val="00E05F26"/>
    <w:rsid w:val="00E0658D"/>
    <w:rsid w:val="00E067B7"/>
    <w:rsid w:val="00E067D4"/>
    <w:rsid w:val="00E07216"/>
    <w:rsid w:val="00E07217"/>
    <w:rsid w:val="00E07365"/>
    <w:rsid w:val="00E074E3"/>
    <w:rsid w:val="00E07E5F"/>
    <w:rsid w:val="00E07EA4"/>
    <w:rsid w:val="00E106A2"/>
    <w:rsid w:val="00E1135A"/>
    <w:rsid w:val="00E117D9"/>
    <w:rsid w:val="00E122E4"/>
    <w:rsid w:val="00E12FC2"/>
    <w:rsid w:val="00E1372D"/>
    <w:rsid w:val="00E139C1"/>
    <w:rsid w:val="00E13D9A"/>
    <w:rsid w:val="00E1403A"/>
    <w:rsid w:val="00E146CC"/>
    <w:rsid w:val="00E155E1"/>
    <w:rsid w:val="00E15687"/>
    <w:rsid w:val="00E160D9"/>
    <w:rsid w:val="00E1668E"/>
    <w:rsid w:val="00E16C42"/>
    <w:rsid w:val="00E17894"/>
    <w:rsid w:val="00E17DBE"/>
    <w:rsid w:val="00E17E56"/>
    <w:rsid w:val="00E201A3"/>
    <w:rsid w:val="00E202F3"/>
    <w:rsid w:val="00E205CB"/>
    <w:rsid w:val="00E20791"/>
    <w:rsid w:val="00E207CF"/>
    <w:rsid w:val="00E20FC7"/>
    <w:rsid w:val="00E21281"/>
    <w:rsid w:val="00E215EF"/>
    <w:rsid w:val="00E21650"/>
    <w:rsid w:val="00E221E6"/>
    <w:rsid w:val="00E22823"/>
    <w:rsid w:val="00E22891"/>
    <w:rsid w:val="00E228A0"/>
    <w:rsid w:val="00E22B96"/>
    <w:rsid w:val="00E249DB"/>
    <w:rsid w:val="00E24C54"/>
    <w:rsid w:val="00E24CB0"/>
    <w:rsid w:val="00E24E3E"/>
    <w:rsid w:val="00E25353"/>
    <w:rsid w:val="00E255D4"/>
    <w:rsid w:val="00E257DC"/>
    <w:rsid w:val="00E25E62"/>
    <w:rsid w:val="00E263AC"/>
    <w:rsid w:val="00E273EA"/>
    <w:rsid w:val="00E27E5A"/>
    <w:rsid w:val="00E3119C"/>
    <w:rsid w:val="00E3139A"/>
    <w:rsid w:val="00E317EE"/>
    <w:rsid w:val="00E3187C"/>
    <w:rsid w:val="00E32981"/>
    <w:rsid w:val="00E32A11"/>
    <w:rsid w:val="00E32E44"/>
    <w:rsid w:val="00E3302F"/>
    <w:rsid w:val="00E338ED"/>
    <w:rsid w:val="00E33967"/>
    <w:rsid w:val="00E33EE1"/>
    <w:rsid w:val="00E346DF"/>
    <w:rsid w:val="00E34AEF"/>
    <w:rsid w:val="00E35541"/>
    <w:rsid w:val="00E35879"/>
    <w:rsid w:val="00E360AF"/>
    <w:rsid w:val="00E360C4"/>
    <w:rsid w:val="00E36554"/>
    <w:rsid w:val="00E3688A"/>
    <w:rsid w:val="00E36DAA"/>
    <w:rsid w:val="00E373A3"/>
    <w:rsid w:val="00E376BA"/>
    <w:rsid w:val="00E37837"/>
    <w:rsid w:val="00E37CEA"/>
    <w:rsid w:val="00E401C2"/>
    <w:rsid w:val="00E40C8F"/>
    <w:rsid w:val="00E412F7"/>
    <w:rsid w:val="00E41310"/>
    <w:rsid w:val="00E414AC"/>
    <w:rsid w:val="00E42713"/>
    <w:rsid w:val="00E42F90"/>
    <w:rsid w:val="00E42FF6"/>
    <w:rsid w:val="00E431E2"/>
    <w:rsid w:val="00E43227"/>
    <w:rsid w:val="00E43322"/>
    <w:rsid w:val="00E4341D"/>
    <w:rsid w:val="00E43652"/>
    <w:rsid w:val="00E43811"/>
    <w:rsid w:val="00E44B29"/>
    <w:rsid w:val="00E44E46"/>
    <w:rsid w:val="00E458EE"/>
    <w:rsid w:val="00E45CD1"/>
    <w:rsid w:val="00E45F12"/>
    <w:rsid w:val="00E469FD"/>
    <w:rsid w:val="00E46B2B"/>
    <w:rsid w:val="00E473D6"/>
    <w:rsid w:val="00E47639"/>
    <w:rsid w:val="00E4792F"/>
    <w:rsid w:val="00E47D31"/>
    <w:rsid w:val="00E47DDE"/>
    <w:rsid w:val="00E5077C"/>
    <w:rsid w:val="00E50DBD"/>
    <w:rsid w:val="00E50E99"/>
    <w:rsid w:val="00E512AC"/>
    <w:rsid w:val="00E5173E"/>
    <w:rsid w:val="00E51975"/>
    <w:rsid w:val="00E51F35"/>
    <w:rsid w:val="00E5239E"/>
    <w:rsid w:val="00E52536"/>
    <w:rsid w:val="00E526BE"/>
    <w:rsid w:val="00E52F97"/>
    <w:rsid w:val="00E53FA9"/>
    <w:rsid w:val="00E54097"/>
    <w:rsid w:val="00E54E9E"/>
    <w:rsid w:val="00E55758"/>
    <w:rsid w:val="00E56000"/>
    <w:rsid w:val="00E56017"/>
    <w:rsid w:val="00E56ACF"/>
    <w:rsid w:val="00E56C7F"/>
    <w:rsid w:val="00E56DB4"/>
    <w:rsid w:val="00E56E53"/>
    <w:rsid w:val="00E5701B"/>
    <w:rsid w:val="00E57B17"/>
    <w:rsid w:val="00E6011B"/>
    <w:rsid w:val="00E6080F"/>
    <w:rsid w:val="00E6087A"/>
    <w:rsid w:val="00E60A9B"/>
    <w:rsid w:val="00E61180"/>
    <w:rsid w:val="00E61B8D"/>
    <w:rsid w:val="00E61F5E"/>
    <w:rsid w:val="00E624E6"/>
    <w:rsid w:val="00E62B6F"/>
    <w:rsid w:val="00E632C4"/>
    <w:rsid w:val="00E636DA"/>
    <w:rsid w:val="00E63B6E"/>
    <w:rsid w:val="00E642BD"/>
    <w:rsid w:val="00E645E7"/>
    <w:rsid w:val="00E647E7"/>
    <w:rsid w:val="00E64C6F"/>
    <w:rsid w:val="00E64DCC"/>
    <w:rsid w:val="00E65020"/>
    <w:rsid w:val="00E65288"/>
    <w:rsid w:val="00E653DC"/>
    <w:rsid w:val="00E65DB0"/>
    <w:rsid w:val="00E65E40"/>
    <w:rsid w:val="00E662CA"/>
    <w:rsid w:val="00E66B93"/>
    <w:rsid w:val="00E66CF3"/>
    <w:rsid w:val="00E678FB"/>
    <w:rsid w:val="00E6795C"/>
    <w:rsid w:val="00E67B16"/>
    <w:rsid w:val="00E67E20"/>
    <w:rsid w:val="00E67E46"/>
    <w:rsid w:val="00E70407"/>
    <w:rsid w:val="00E7068E"/>
    <w:rsid w:val="00E709B7"/>
    <w:rsid w:val="00E70E09"/>
    <w:rsid w:val="00E71289"/>
    <w:rsid w:val="00E71A0E"/>
    <w:rsid w:val="00E72023"/>
    <w:rsid w:val="00E72B91"/>
    <w:rsid w:val="00E7346D"/>
    <w:rsid w:val="00E7419C"/>
    <w:rsid w:val="00E74812"/>
    <w:rsid w:val="00E7503B"/>
    <w:rsid w:val="00E751B7"/>
    <w:rsid w:val="00E75275"/>
    <w:rsid w:val="00E753E9"/>
    <w:rsid w:val="00E75459"/>
    <w:rsid w:val="00E757B1"/>
    <w:rsid w:val="00E7580D"/>
    <w:rsid w:val="00E75ACC"/>
    <w:rsid w:val="00E75DA4"/>
    <w:rsid w:val="00E76396"/>
    <w:rsid w:val="00E76664"/>
    <w:rsid w:val="00E76C09"/>
    <w:rsid w:val="00E76D63"/>
    <w:rsid w:val="00E76F2F"/>
    <w:rsid w:val="00E76F3D"/>
    <w:rsid w:val="00E7734E"/>
    <w:rsid w:val="00E77DA6"/>
    <w:rsid w:val="00E801C5"/>
    <w:rsid w:val="00E80216"/>
    <w:rsid w:val="00E81134"/>
    <w:rsid w:val="00E812DF"/>
    <w:rsid w:val="00E81F0E"/>
    <w:rsid w:val="00E82901"/>
    <w:rsid w:val="00E82B2D"/>
    <w:rsid w:val="00E82B87"/>
    <w:rsid w:val="00E82C61"/>
    <w:rsid w:val="00E831C7"/>
    <w:rsid w:val="00E83985"/>
    <w:rsid w:val="00E84AE6"/>
    <w:rsid w:val="00E84B26"/>
    <w:rsid w:val="00E84C49"/>
    <w:rsid w:val="00E84C89"/>
    <w:rsid w:val="00E84EBF"/>
    <w:rsid w:val="00E84F6F"/>
    <w:rsid w:val="00E8504F"/>
    <w:rsid w:val="00E855F2"/>
    <w:rsid w:val="00E8566B"/>
    <w:rsid w:val="00E85FE8"/>
    <w:rsid w:val="00E86748"/>
    <w:rsid w:val="00E86AAC"/>
    <w:rsid w:val="00E872DB"/>
    <w:rsid w:val="00E873AC"/>
    <w:rsid w:val="00E873F9"/>
    <w:rsid w:val="00E87838"/>
    <w:rsid w:val="00E87C8B"/>
    <w:rsid w:val="00E9037C"/>
    <w:rsid w:val="00E908D6"/>
    <w:rsid w:val="00E90974"/>
    <w:rsid w:val="00E910C4"/>
    <w:rsid w:val="00E910DD"/>
    <w:rsid w:val="00E91104"/>
    <w:rsid w:val="00E911DF"/>
    <w:rsid w:val="00E919BB"/>
    <w:rsid w:val="00E92262"/>
    <w:rsid w:val="00E9244E"/>
    <w:rsid w:val="00E933F4"/>
    <w:rsid w:val="00E93BE9"/>
    <w:rsid w:val="00E93FAB"/>
    <w:rsid w:val="00E93FCE"/>
    <w:rsid w:val="00E9417F"/>
    <w:rsid w:val="00E944A5"/>
    <w:rsid w:val="00E94F2A"/>
    <w:rsid w:val="00E952F4"/>
    <w:rsid w:val="00E95EEC"/>
    <w:rsid w:val="00E96EC0"/>
    <w:rsid w:val="00E97006"/>
    <w:rsid w:val="00E97222"/>
    <w:rsid w:val="00EA0198"/>
    <w:rsid w:val="00EA01DD"/>
    <w:rsid w:val="00EA0643"/>
    <w:rsid w:val="00EA067B"/>
    <w:rsid w:val="00EA0859"/>
    <w:rsid w:val="00EA125F"/>
    <w:rsid w:val="00EA152A"/>
    <w:rsid w:val="00EA1654"/>
    <w:rsid w:val="00EA169A"/>
    <w:rsid w:val="00EA19A5"/>
    <w:rsid w:val="00EA1D5B"/>
    <w:rsid w:val="00EA1DE9"/>
    <w:rsid w:val="00EA203E"/>
    <w:rsid w:val="00EA28F8"/>
    <w:rsid w:val="00EA2BDE"/>
    <w:rsid w:val="00EA2FA6"/>
    <w:rsid w:val="00EA3188"/>
    <w:rsid w:val="00EA3316"/>
    <w:rsid w:val="00EA41FE"/>
    <w:rsid w:val="00EA4DEE"/>
    <w:rsid w:val="00EA4E92"/>
    <w:rsid w:val="00EA50BF"/>
    <w:rsid w:val="00EA56A6"/>
    <w:rsid w:val="00EA5A35"/>
    <w:rsid w:val="00EA5C28"/>
    <w:rsid w:val="00EA5D74"/>
    <w:rsid w:val="00EA5F80"/>
    <w:rsid w:val="00EA6238"/>
    <w:rsid w:val="00EA6670"/>
    <w:rsid w:val="00EA6793"/>
    <w:rsid w:val="00EA6816"/>
    <w:rsid w:val="00EA6A0A"/>
    <w:rsid w:val="00EA6C48"/>
    <w:rsid w:val="00EA6CC6"/>
    <w:rsid w:val="00EA71EF"/>
    <w:rsid w:val="00EA7CB7"/>
    <w:rsid w:val="00EA7E67"/>
    <w:rsid w:val="00EB0C37"/>
    <w:rsid w:val="00EB1254"/>
    <w:rsid w:val="00EB13B4"/>
    <w:rsid w:val="00EB13E1"/>
    <w:rsid w:val="00EB1F5E"/>
    <w:rsid w:val="00EB2450"/>
    <w:rsid w:val="00EB28CE"/>
    <w:rsid w:val="00EB2D22"/>
    <w:rsid w:val="00EB44A4"/>
    <w:rsid w:val="00EB465B"/>
    <w:rsid w:val="00EB4A07"/>
    <w:rsid w:val="00EB4A4B"/>
    <w:rsid w:val="00EB538D"/>
    <w:rsid w:val="00EB5AA7"/>
    <w:rsid w:val="00EB5D15"/>
    <w:rsid w:val="00EB5FF3"/>
    <w:rsid w:val="00EB5FFD"/>
    <w:rsid w:val="00EB7489"/>
    <w:rsid w:val="00EB7495"/>
    <w:rsid w:val="00EB7920"/>
    <w:rsid w:val="00EB7EF5"/>
    <w:rsid w:val="00EC0432"/>
    <w:rsid w:val="00EC0475"/>
    <w:rsid w:val="00EC0678"/>
    <w:rsid w:val="00EC0AB3"/>
    <w:rsid w:val="00EC0D0B"/>
    <w:rsid w:val="00EC135F"/>
    <w:rsid w:val="00EC18EC"/>
    <w:rsid w:val="00EC194A"/>
    <w:rsid w:val="00EC2160"/>
    <w:rsid w:val="00EC25B2"/>
    <w:rsid w:val="00EC2B0D"/>
    <w:rsid w:val="00EC3192"/>
    <w:rsid w:val="00EC3A3E"/>
    <w:rsid w:val="00EC3FB7"/>
    <w:rsid w:val="00EC50DB"/>
    <w:rsid w:val="00EC53DB"/>
    <w:rsid w:val="00EC592F"/>
    <w:rsid w:val="00EC5D5C"/>
    <w:rsid w:val="00EC6169"/>
    <w:rsid w:val="00EC637A"/>
    <w:rsid w:val="00EC6705"/>
    <w:rsid w:val="00EC67F8"/>
    <w:rsid w:val="00EC68A7"/>
    <w:rsid w:val="00EC68B3"/>
    <w:rsid w:val="00EC71D6"/>
    <w:rsid w:val="00EC738C"/>
    <w:rsid w:val="00EC790A"/>
    <w:rsid w:val="00ED051E"/>
    <w:rsid w:val="00ED084C"/>
    <w:rsid w:val="00ED0A80"/>
    <w:rsid w:val="00ED10B4"/>
    <w:rsid w:val="00ED1220"/>
    <w:rsid w:val="00ED168E"/>
    <w:rsid w:val="00ED17F1"/>
    <w:rsid w:val="00ED1E0B"/>
    <w:rsid w:val="00ED22E6"/>
    <w:rsid w:val="00ED295A"/>
    <w:rsid w:val="00ED2A8C"/>
    <w:rsid w:val="00ED3A33"/>
    <w:rsid w:val="00ED3FE3"/>
    <w:rsid w:val="00ED440B"/>
    <w:rsid w:val="00ED45A0"/>
    <w:rsid w:val="00ED5684"/>
    <w:rsid w:val="00ED5F06"/>
    <w:rsid w:val="00ED5F9E"/>
    <w:rsid w:val="00ED6269"/>
    <w:rsid w:val="00ED6320"/>
    <w:rsid w:val="00ED63BF"/>
    <w:rsid w:val="00ED6C38"/>
    <w:rsid w:val="00ED75AA"/>
    <w:rsid w:val="00ED78CB"/>
    <w:rsid w:val="00EE061F"/>
    <w:rsid w:val="00EE1046"/>
    <w:rsid w:val="00EE2442"/>
    <w:rsid w:val="00EE27CB"/>
    <w:rsid w:val="00EE2C09"/>
    <w:rsid w:val="00EE2DF7"/>
    <w:rsid w:val="00EE35F6"/>
    <w:rsid w:val="00EE3B2D"/>
    <w:rsid w:val="00EE3D1C"/>
    <w:rsid w:val="00EE3DE4"/>
    <w:rsid w:val="00EE44C8"/>
    <w:rsid w:val="00EE474A"/>
    <w:rsid w:val="00EE4870"/>
    <w:rsid w:val="00EE522E"/>
    <w:rsid w:val="00EE528A"/>
    <w:rsid w:val="00EE5A88"/>
    <w:rsid w:val="00EE5A9D"/>
    <w:rsid w:val="00EE5D0B"/>
    <w:rsid w:val="00EE650C"/>
    <w:rsid w:val="00EE65BA"/>
    <w:rsid w:val="00EE6886"/>
    <w:rsid w:val="00EE6F53"/>
    <w:rsid w:val="00EE7467"/>
    <w:rsid w:val="00EE77CE"/>
    <w:rsid w:val="00EE7A43"/>
    <w:rsid w:val="00EF0D57"/>
    <w:rsid w:val="00EF1CD4"/>
    <w:rsid w:val="00EF25DF"/>
    <w:rsid w:val="00EF3C29"/>
    <w:rsid w:val="00EF4D25"/>
    <w:rsid w:val="00EF4E89"/>
    <w:rsid w:val="00EF5216"/>
    <w:rsid w:val="00EF5321"/>
    <w:rsid w:val="00EF5525"/>
    <w:rsid w:val="00EF577D"/>
    <w:rsid w:val="00EF58E4"/>
    <w:rsid w:val="00EF5CCA"/>
    <w:rsid w:val="00EF5FA2"/>
    <w:rsid w:val="00EF67D4"/>
    <w:rsid w:val="00EF6F82"/>
    <w:rsid w:val="00EF75EB"/>
    <w:rsid w:val="00EF78D8"/>
    <w:rsid w:val="00EF7936"/>
    <w:rsid w:val="00EF7E20"/>
    <w:rsid w:val="00EF7FB3"/>
    <w:rsid w:val="00F00C50"/>
    <w:rsid w:val="00F01111"/>
    <w:rsid w:val="00F01BA5"/>
    <w:rsid w:val="00F01CF0"/>
    <w:rsid w:val="00F02536"/>
    <w:rsid w:val="00F02720"/>
    <w:rsid w:val="00F02746"/>
    <w:rsid w:val="00F02899"/>
    <w:rsid w:val="00F036FF"/>
    <w:rsid w:val="00F039A4"/>
    <w:rsid w:val="00F04203"/>
    <w:rsid w:val="00F04580"/>
    <w:rsid w:val="00F0475B"/>
    <w:rsid w:val="00F05A3F"/>
    <w:rsid w:val="00F06508"/>
    <w:rsid w:val="00F06670"/>
    <w:rsid w:val="00F0672D"/>
    <w:rsid w:val="00F06C71"/>
    <w:rsid w:val="00F06D3A"/>
    <w:rsid w:val="00F10B79"/>
    <w:rsid w:val="00F11C49"/>
    <w:rsid w:val="00F1256D"/>
    <w:rsid w:val="00F12B32"/>
    <w:rsid w:val="00F12D67"/>
    <w:rsid w:val="00F12F29"/>
    <w:rsid w:val="00F13116"/>
    <w:rsid w:val="00F1316B"/>
    <w:rsid w:val="00F134EC"/>
    <w:rsid w:val="00F13BAC"/>
    <w:rsid w:val="00F13CCB"/>
    <w:rsid w:val="00F1473B"/>
    <w:rsid w:val="00F14CC8"/>
    <w:rsid w:val="00F14DC4"/>
    <w:rsid w:val="00F14E2A"/>
    <w:rsid w:val="00F15097"/>
    <w:rsid w:val="00F155AC"/>
    <w:rsid w:val="00F15B41"/>
    <w:rsid w:val="00F16593"/>
    <w:rsid w:val="00F1671F"/>
    <w:rsid w:val="00F16829"/>
    <w:rsid w:val="00F203B8"/>
    <w:rsid w:val="00F2047A"/>
    <w:rsid w:val="00F209EE"/>
    <w:rsid w:val="00F2126C"/>
    <w:rsid w:val="00F212C6"/>
    <w:rsid w:val="00F21F9F"/>
    <w:rsid w:val="00F2222C"/>
    <w:rsid w:val="00F2255F"/>
    <w:rsid w:val="00F22914"/>
    <w:rsid w:val="00F229AD"/>
    <w:rsid w:val="00F234B5"/>
    <w:rsid w:val="00F23B39"/>
    <w:rsid w:val="00F23EF0"/>
    <w:rsid w:val="00F24115"/>
    <w:rsid w:val="00F24771"/>
    <w:rsid w:val="00F24E44"/>
    <w:rsid w:val="00F25AC9"/>
    <w:rsid w:val="00F25D18"/>
    <w:rsid w:val="00F25E8E"/>
    <w:rsid w:val="00F261B2"/>
    <w:rsid w:val="00F261CB"/>
    <w:rsid w:val="00F2665C"/>
    <w:rsid w:val="00F27986"/>
    <w:rsid w:val="00F279EE"/>
    <w:rsid w:val="00F27BE5"/>
    <w:rsid w:val="00F301CA"/>
    <w:rsid w:val="00F30291"/>
    <w:rsid w:val="00F319D0"/>
    <w:rsid w:val="00F31A88"/>
    <w:rsid w:val="00F31D84"/>
    <w:rsid w:val="00F3200A"/>
    <w:rsid w:val="00F3233A"/>
    <w:rsid w:val="00F324AA"/>
    <w:rsid w:val="00F32639"/>
    <w:rsid w:val="00F32673"/>
    <w:rsid w:val="00F32B15"/>
    <w:rsid w:val="00F32D73"/>
    <w:rsid w:val="00F32DE2"/>
    <w:rsid w:val="00F34A18"/>
    <w:rsid w:val="00F362B2"/>
    <w:rsid w:val="00F363F9"/>
    <w:rsid w:val="00F368DD"/>
    <w:rsid w:val="00F3748B"/>
    <w:rsid w:val="00F37C46"/>
    <w:rsid w:val="00F37F3D"/>
    <w:rsid w:val="00F37FA4"/>
    <w:rsid w:val="00F40528"/>
    <w:rsid w:val="00F411BF"/>
    <w:rsid w:val="00F413F6"/>
    <w:rsid w:val="00F4145A"/>
    <w:rsid w:val="00F419A7"/>
    <w:rsid w:val="00F419C3"/>
    <w:rsid w:val="00F42273"/>
    <w:rsid w:val="00F427BE"/>
    <w:rsid w:val="00F4334D"/>
    <w:rsid w:val="00F4405A"/>
    <w:rsid w:val="00F4438A"/>
    <w:rsid w:val="00F44617"/>
    <w:rsid w:val="00F44807"/>
    <w:rsid w:val="00F4513A"/>
    <w:rsid w:val="00F45564"/>
    <w:rsid w:val="00F45760"/>
    <w:rsid w:val="00F46A8A"/>
    <w:rsid w:val="00F46B30"/>
    <w:rsid w:val="00F47506"/>
    <w:rsid w:val="00F47ABC"/>
    <w:rsid w:val="00F47C19"/>
    <w:rsid w:val="00F50B99"/>
    <w:rsid w:val="00F51337"/>
    <w:rsid w:val="00F526D7"/>
    <w:rsid w:val="00F53467"/>
    <w:rsid w:val="00F535DB"/>
    <w:rsid w:val="00F5363C"/>
    <w:rsid w:val="00F5369A"/>
    <w:rsid w:val="00F55528"/>
    <w:rsid w:val="00F55CF4"/>
    <w:rsid w:val="00F5658F"/>
    <w:rsid w:val="00F5668C"/>
    <w:rsid w:val="00F566BF"/>
    <w:rsid w:val="00F574B1"/>
    <w:rsid w:val="00F575FE"/>
    <w:rsid w:val="00F57B91"/>
    <w:rsid w:val="00F6086A"/>
    <w:rsid w:val="00F611B1"/>
    <w:rsid w:val="00F612B6"/>
    <w:rsid w:val="00F61B6F"/>
    <w:rsid w:val="00F622C5"/>
    <w:rsid w:val="00F62449"/>
    <w:rsid w:val="00F624CF"/>
    <w:rsid w:val="00F62B66"/>
    <w:rsid w:val="00F631D9"/>
    <w:rsid w:val="00F63C28"/>
    <w:rsid w:val="00F63ED8"/>
    <w:rsid w:val="00F64234"/>
    <w:rsid w:val="00F64352"/>
    <w:rsid w:val="00F64561"/>
    <w:rsid w:val="00F652D1"/>
    <w:rsid w:val="00F66FA0"/>
    <w:rsid w:val="00F6723F"/>
    <w:rsid w:val="00F67438"/>
    <w:rsid w:val="00F676E0"/>
    <w:rsid w:val="00F703C2"/>
    <w:rsid w:val="00F70A70"/>
    <w:rsid w:val="00F71461"/>
    <w:rsid w:val="00F71F87"/>
    <w:rsid w:val="00F72162"/>
    <w:rsid w:val="00F722C3"/>
    <w:rsid w:val="00F72BCC"/>
    <w:rsid w:val="00F72DBD"/>
    <w:rsid w:val="00F72FFA"/>
    <w:rsid w:val="00F733B2"/>
    <w:rsid w:val="00F73660"/>
    <w:rsid w:val="00F739A7"/>
    <w:rsid w:val="00F73B25"/>
    <w:rsid w:val="00F73BBE"/>
    <w:rsid w:val="00F744D7"/>
    <w:rsid w:val="00F74B80"/>
    <w:rsid w:val="00F74DFF"/>
    <w:rsid w:val="00F75C90"/>
    <w:rsid w:val="00F763FB"/>
    <w:rsid w:val="00F76688"/>
    <w:rsid w:val="00F76DD7"/>
    <w:rsid w:val="00F77168"/>
    <w:rsid w:val="00F77BFF"/>
    <w:rsid w:val="00F77EB3"/>
    <w:rsid w:val="00F8012A"/>
    <w:rsid w:val="00F8027B"/>
    <w:rsid w:val="00F814CA"/>
    <w:rsid w:val="00F81CB0"/>
    <w:rsid w:val="00F8245C"/>
    <w:rsid w:val="00F82626"/>
    <w:rsid w:val="00F826C6"/>
    <w:rsid w:val="00F82A89"/>
    <w:rsid w:val="00F835C2"/>
    <w:rsid w:val="00F83A0C"/>
    <w:rsid w:val="00F8422E"/>
    <w:rsid w:val="00F8458B"/>
    <w:rsid w:val="00F84610"/>
    <w:rsid w:val="00F84A74"/>
    <w:rsid w:val="00F855E5"/>
    <w:rsid w:val="00F85D0B"/>
    <w:rsid w:val="00F86261"/>
    <w:rsid w:val="00F87A64"/>
    <w:rsid w:val="00F87AC7"/>
    <w:rsid w:val="00F87CA7"/>
    <w:rsid w:val="00F903CD"/>
    <w:rsid w:val="00F90E5B"/>
    <w:rsid w:val="00F9132E"/>
    <w:rsid w:val="00F9134E"/>
    <w:rsid w:val="00F91923"/>
    <w:rsid w:val="00F92BEA"/>
    <w:rsid w:val="00F9358B"/>
    <w:rsid w:val="00F936E8"/>
    <w:rsid w:val="00F9387C"/>
    <w:rsid w:val="00F93B82"/>
    <w:rsid w:val="00F93EF3"/>
    <w:rsid w:val="00F94CF0"/>
    <w:rsid w:val="00F9516A"/>
    <w:rsid w:val="00F9559A"/>
    <w:rsid w:val="00F956EE"/>
    <w:rsid w:val="00F9574F"/>
    <w:rsid w:val="00F95FDE"/>
    <w:rsid w:val="00F961B2"/>
    <w:rsid w:val="00F96D01"/>
    <w:rsid w:val="00F96D2F"/>
    <w:rsid w:val="00F96D86"/>
    <w:rsid w:val="00F96DC2"/>
    <w:rsid w:val="00F978EC"/>
    <w:rsid w:val="00F979FE"/>
    <w:rsid w:val="00F97AEF"/>
    <w:rsid w:val="00FA03C6"/>
    <w:rsid w:val="00FA0C02"/>
    <w:rsid w:val="00FA15FA"/>
    <w:rsid w:val="00FA1604"/>
    <w:rsid w:val="00FA20F3"/>
    <w:rsid w:val="00FA28A0"/>
    <w:rsid w:val="00FA2E2A"/>
    <w:rsid w:val="00FA3CF6"/>
    <w:rsid w:val="00FA3FD9"/>
    <w:rsid w:val="00FA409B"/>
    <w:rsid w:val="00FA4AA1"/>
    <w:rsid w:val="00FA4D54"/>
    <w:rsid w:val="00FA505E"/>
    <w:rsid w:val="00FA55E0"/>
    <w:rsid w:val="00FA5E53"/>
    <w:rsid w:val="00FA62EC"/>
    <w:rsid w:val="00FA64F2"/>
    <w:rsid w:val="00FA6C04"/>
    <w:rsid w:val="00FA7182"/>
    <w:rsid w:val="00FA7A2C"/>
    <w:rsid w:val="00FA7B68"/>
    <w:rsid w:val="00FA7CE0"/>
    <w:rsid w:val="00FB08D7"/>
    <w:rsid w:val="00FB0A74"/>
    <w:rsid w:val="00FB12BF"/>
    <w:rsid w:val="00FB12C0"/>
    <w:rsid w:val="00FB1639"/>
    <w:rsid w:val="00FB1E51"/>
    <w:rsid w:val="00FB23CB"/>
    <w:rsid w:val="00FB28CF"/>
    <w:rsid w:val="00FB3064"/>
    <w:rsid w:val="00FB37FE"/>
    <w:rsid w:val="00FB406F"/>
    <w:rsid w:val="00FB486C"/>
    <w:rsid w:val="00FB4F77"/>
    <w:rsid w:val="00FB501C"/>
    <w:rsid w:val="00FB50ED"/>
    <w:rsid w:val="00FB6446"/>
    <w:rsid w:val="00FB6A13"/>
    <w:rsid w:val="00FB6B89"/>
    <w:rsid w:val="00FB729A"/>
    <w:rsid w:val="00FB7702"/>
    <w:rsid w:val="00FB78DB"/>
    <w:rsid w:val="00FB7B6F"/>
    <w:rsid w:val="00FC01BD"/>
    <w:rsid w:val="00FC0666"/>
    <w:rsid w:val="00FC08B6"/>
    <w:rsid w:val="00FC0A5C"/>
    <w:rsid w:val="00FC0E28"/>
    <w:rsid w:val="00FC0E48"/>
    <w:rsid w:val="00FC103A"/>
    <w:rsid w:val="00FC1F0A"/>
    <w:rsid w:val="00FC211A"/>
    <w:rsid w:val="00FC27F1"/>
    <w:rsid w:val="00FC29DB"/>
    <w:rsid w:val="00FC2B56"/>
    <w:rsid w:val="00FC2E36"/>
    <w:rsid w:val="00FC314D"/>
    <w:rsid w:val="00FC36E0"/>
    <w:rsid w:val="00FC4CFC"/>
    <w:rsid w:val="00FC4E6B"/>
    <w:rsid w:val="00FC56F3"/>
    <w:rsid w:val="00FC616E"/>
    <w:rsid w:val="00FC633C"/>
    <w:rsid w:val="00FC6EA1"/>
    <w:rsid w:val="00FC7350"/>
    <w:rsid w:val="00FC780A"/>
    <w:rsid w:val="00FD0D98"/>
    <w:rsid w:val="00FD14F4"/>
    <w:rsid w:val="00FD17BF"/>
    <w:rsid w:val="00FD2120"/>
    <w:rsid w:val="00FD255D"/>
    <w:rsid w:val="00FD297C"/>
    <w:rsid w:val="00FD2A3A"/>
    <w:rsid w:val="00FD2BAC"/>
    <w:rsid w:val="00FD2FD2"/>
    <w:rsid w:val="00FD3035"/>
    <w:rsid w:val="00FD349A"/>
    <w:rsid w:val="00FD4094"/>
    <w:rsid w:val="00FD43CD"/>
    <w:rsid w:val="00FD4A80"/>
    <w:rsid w:val="00FD4D23"/>
    <w:rsid w:val="00FD5421"/>
    <w:rsid w:val="00FD561D"/>
    <w:rsid w:val="00FD58C6"/>
    <w:rsid w:val="00FD5C0B"/>
    <w:rsid w:val="00FD603F"/>
    <w:rsid w:val="00FD6259"/>
    <w:rsid w:val="00FD661E"/>
    <w:rsid w:val="00FD6919"/>
    <w:rsid w:val="00FD6B8A"/>
    <w:rsid w:val="00FD6C0C"/>
    <w:rsid w:val="00FD7111"/>
    <w:rsid w:val="00FD7309"/>
    <w:rsid w:val="00FD75EA"/>
    <w:rsid w:val="00FE1464"/>
    <w:rsid w:val="00FE1731"/>
    <w:rsid w:val="00FE18CA"/>
    <w:rsid w:val="00FE24DC"/>
    <w:rsid w:val="00FE2AD9"/>
    <w:rsid w:val="00FE2CFD"/>
    <w:rsid w:val="00FE2FC4"/>
    <w:rsid w:val="00FE31F3"/>
    <w:rsid w:val="00FE3AB6"/>
    <w:rsid w:val="00FE3E1A"/>
    <w:rsid w:val="00FE40BA"/>
    <w:rsid w:val="00FE4280"/>
    <w:rsid w:val="00FE4A75"/>
    <w:rsid w:val="00FE4D47"/>
    <w:rsid w:val="00FE619B"/>
    <w:rsid w:val="00FE64AE"/>
    <w:rsid w:val="00FE679D"/>
    <w:rsid w:val="00FE67D8"/>
    <w:rsid w:val="00FE710D"/>
    <w:rsid w:val="00FE7A06"/>
    <w:rsid w:val="00FE7B79"/>
    <w:rsid w:val="00FE7BD8"/>
    <w:rsid w:val="00FE7D12"/>
    <w:rsid w:val="00FE7ED4"/>
    <w:rsid w:val="00FF043C"/>
    <w:rsid w:val="00FF07F6"/>
    <w:rsid w:val="00FF11F2"/>
    <w:rsid w:val="00FF1333"/>
    <w:rsid w:val="00FF156F"/>
    <w:rsid w:val="00FF1715"/>
    <w:rsid w:val="00FF2260"/>
    <w:rsid w:val="00FF2313"/>
    <w:rsid w:val="00FF2351"/>
    <w:rsid w:val="00FF24B1"/>
    <w:rsid w:val="00FF252B"/>
    <w:rsid w:val="00FF3069"/>
    <w:rsid w:val="00FF3443"/>
    <w:rsid w:val="00FF373E"/>
    <w:rsid w:val="00FF38A2"/>
    <w:rsid w:val="00FF3DCB"/>
    <w:rsid w:val="00FF490C"/>
    <w:rsid w:val="00FF4FF3"/>
    <w:rsid w:val="00FF52F7"/>
    <w:rsid w:val="00FF58A8"/>
    <w:rsid w:val="00FF59A1"/>
    <w:rsid w:val="00FF5D26"/>
    <w:rsid w:val="00FF5E06"/>
    <w:rsid w:val="00FF6139"/>
    <w:rsid w:val="00FF6409"/>
    <w:rsid w:val="00FF6567"/>
    <w:rsid w:val="00FF765F"/>
    <w:rsid w:val="00FF7AF7"/>
    <w:rsid w:val="00FF7B72"/>
    <w:rsid w:val="0119102D"/>
    <w:rsid w:val="01194ED0"/>
    <w:rsid w:val="011E3D92"/>
    <w:rsid w:val="01367BC5"/>
    <w:rsid w:val="01395070"/>
    <w:rsid w:val="014454EA"/>
    <w:rsid w:val="014539B1"/>
    <w:rsid w:val="015106CE"/>
    <w:rsid w:val="01636D5B"/>
    <w:rsid w:val="01A249C3"/>
    <w:rsid w:val="01A55096"/>
    <w:rsid w:val="01D13EA7"/>
    <w:rsid w:val="01DD1E9F"/>
    <w:rsid w:val="020264A3"/>
    <w:rsid w:val="02247ACE"/>
    <w:rsid w:val="0225657B"/>
    <w:rsid w:val="02296E92"/>
    <w:rsid w:val="022D1713"/>
    <w:rsid w:val="02342087"/>
    <w:rsid w:val="024C6B33"/>
    <w:rsid w:val="024E4B4B"/>
    <w:rsid w:val="026A5174"/>
    <w:rsid w:val="027345B1"/>
    <w:rsid w:val="02734FD8"/>
    <w:rsid w:val="0273635F"/>
    <w:rsid w:val="027D0F8C"/>
    <w:rsid w:val="028D337C"/>
    <w:rsid w:val="029C5FA9"/>
    <w:rsid w:val="02C20618"/>
    <w:rsid w:val="02C62933"/>
    <w:rsid w:val="02C92423"/>
    <w:rsid w:val="02E455F5"/>
    <w:rsid w:val="02E62FD5"/>
    <w:rsid w:val="03027F1F"/>
    <w:rsid w:val="030545BB"/>
    <w:rsid w:val="030D2310"/>
    <w:rsid w:val="03147368"/>
    <w:rsid w:val="03277A82"/>
    <w:rsid w:val="032806EC"/>
    <w:rsid w:val="03463A74"/>
    <w:rsid w:val="036F4D79"/>
    <w:rsid w:val="03744BF6"/>
    <w:rsid w:val="0377036F"/>
    <w:rsid w:val="03774103"/>
    <w:rsid w:val="03842DE7"/>
    <w:rsid w:val="038D3451"/>
    <w:rsid w:val="03972E10"/>
    <w:rsid w:val="039828F4"/>
    <w:rsid w:val="03AA5072"/>
    <w:rsid w:val="03D64DF8"/>
    <w:rsid w:val="03FA37B6"/>
    <w:rsid w:val="03FB485E"/>
    <w:rsid w:val="04101459"/>
    <w:rsid w:val="041C3746"/>
    <w:rsid w:val="04466FD1"/>
    <w:rsid w:val="0460068B"/>
    <w:rsid w:val="04615406"/>
    <w:rsid w:val="046F76DC"/>
    <w:rsid w:val="04714B20"/>
    <w:rsid w:val="04725FB0"/>
    <w:rsid w:val="04730898"/>
    <w:rsid w:val="047F0FEB"/>
    <w:rsid w:val="048F391D"/>
    <w:rsid w:val="049031F8"/>
    <w:rsid w:val="04955223"/>
    <w:rsid w:val="049D3B67"/>
    <w:rsid w:val="04A44EF6"/>
    <w:rsid w:val="04AE5FE8"/>
    <w:rsid w:val="04B70882"/>
    <w:rsid w:val="04D26FAB"/>
    <w:rsid w:val="04DE21B6"/>
    <w:rsid w:val="04DF7CDC"/>
    <w:rsid w:val="04E83035"/>
    <w:rsid w:val="04EB2782"/>
    <w:rsid w:val="04ED41A7"/>
    <w:rsid w:val="04F30120"/>
    <w:rsid w:val="04FC43EA"/>
    <w:rsid w:val="05047485"/>
    <w:rsid w:val="052102F4"/>
    <w:rsid w:val="05273C7A"/>
    <w:rsid w:val="055C64B1"/>
    <w:rsid w:val="0571302A"/>
    <w:rsid w:val="057938CA"/>
    <w:rsid w:val="058D14E6"/>
    <w:rsid w:val="058F6C57"/>
    <w:rsid w:val="059903BE"/>
    <w:rsid w:val="0599625C"/>
    <w:rsid w:val="05AD77DC"/>
    <w:rsid w:val="05E05ABA"/>
    <w:rsid w:val="05F4145A"/>
    <w:rsid w:val="0605074E"/>
    <w:rsid w:val="06175254"/>
    <w:rsid w:val="061E5CEF"/>
    <w:rsid w:val="06263CE6"/>
    <w:rsid w:val="06563FCE"/>
    <w:rsid w:val="067A4160"/>
    <w:rsid w:val="06936FD0"/>
    <w:rsid w:val="06946896"/>
    <w:rsid w:val="06A50AB1"/>
    <w:rsid w:val="06A51512"/>
    <w:rsid w:val="06AE7966"/>
    <w:rsid w:val="06C23FBA"/>
    <w:rsid w:val="06D31468"/>
    <w:rsid w:val="06E42F65"/>
    <w:rsid w:val="06EE2458"/>
    <w:rsid w:val="070457D8"/>
    <w:rsid w:val="07130CC2"/>
    <w:rsid w:val="072F72B6"/>
    <w:rsid w:val="074066D0"/>
    <w:rsid w:val="0748600C"/>
    <w:rsid w:val="075A7AEE"/>
    <w:rsid w:val="078B22FB"/>
    <w:rsid w:val="078F2096"/>
    <w:rsid w:val="07940491"/>
    <w:rsid w:val="079528E1"/>
    <w:rsid w:val="07966CDB"/>
    <w:rsid w:val="07A0007C"/>
    <w:rsid w:val="07A63145"/>
    <w:rsid w:val="07A71CE5"/>
    <w:rsid w:val="07A86AAB"/>
    <w:rsid w:val="07BC712B"/>
    <w:rsid w:val="07E55609"/>
    <w:rsid w:val="07EA7730"/>
    <w:rsid w:val="07ED0962"/>
    <w:rsid w:val="08122176"/>
    <w:rsid w:val="082102EB"/>
    <w:rsid w:val="083517AD"/>
    <w:rsid w:val="08361ED8"/>
    <w:rsid w:val="084360D4"/>
    <w:rsid w:val="084367D4"/>
    <w:rsid w:val="084F6F27"/>
    <w:rsid w:val="08626C5A"/>
    <w:rsid w:val="08A12A9B"/>
    <w:rsid w:val="08C94F2B"/>
    <w:rsid w:val="08CF46DF"/>
    <w:rsid w:val="08D04661"/>
    <w:rsid w:val="08DA794B"/>
    <w:rsid w:val="08EE04EE"/>
    <w:rsid w:val="08F875BE"/>
    <w:rsid w:val="09073181"/>
    <w:rsid w:val="09167A44"/>
    <w:rsid w:val="091B48DB"/>
    <w:rsid w:val="09224E6A"/>
    <w:rsid w:val="09356D10"/>
    <w:rsid w:val="094840A2"/>
    <w:rsid w:val="09581627"/>
    <w:rsid w:val="095F763D"/>
    <w:rsid w:val="09602D9D"/>
    <w:rsid w:val="09616F12"/>
    <w:rsid w:val="096609CC"/>
    <w:rsid w:val="096A3562"/>
    <w:rsid w:val="096B2561"/>
    <w:rsid w:val="096C5132"/>
    <w:rsid w:val="097F383C"/>
    <w:rsid w:val="09820BAF"/>
    <w:rsid w:val="09840E52"/>
    <w:rsid w:val="0992366D"/>
    <w:rsid w:val="09A46136"/>
    <w:rsid w:val="09B36DD5"/>
    <w:rsid w:val="09BF3A7F"/>
    <w:rsid w:val="09C827BD"/>
    <w:rsid w:val="09CE573B"/>
    <w:rsid w:val="09DB3168"/>
    <w:rsid w:val="09DD6B80"/>
    <w:rsid w:val="09ED2377"/>
    <w:rsid w:val="09F9091A"/>
    <w:rsid w:val="09FB34F3"/>
    <w:rsid w:val="0A0A3505"/>
    <w:rsid w:val="0A4268D8"/>
    <w:rsid w:val="0A567761"/>
    <w:rsid w:val="0A5B4D97"/>
    <w:rsid w:val="0A7113D6"/>
    <w:rsid w:val="0A8F4D45"/>
    <w:rsid w:val="0AB50281"/>
    <w:rsid w:val="0ABA58A9"/>
    <w:rsid w:val="0AD656B8"/>
    <w:rsid w:val="0AD7044F"/>
    <w:rsid w:val="0AE14726"/>
    <w:rsid w:val="0AEF0A53"/>
    <w:rsid w:val="0B0B182B"/>
    <w:rsid w:val="0B102536"/>
    <w:rsid w:val="0B275F39"/>
    <w:rsid w:val="0B335795"/>
    <w:rsid w:val="0B3C75A8"/>
    <w:rsid w:val="0B4B11AF"/>
    <w:rsid w:val="0B666A61"/>
    <w:rsid w:val="0B6E1DBA"/>
    <w:rsid w:val="0B827C10"/>
    <w:rsid w:val="0B9619E0"/>
    <w:rsid w:val="0BAF73C8"/>
    <w:rsid w:val="0BB7146C"/>
    <w:rsid w:val="0BB974D9"/>
    <w:rsid w:val="0BD76ACC"/>
    <w:rsid w:val="0BEF7704"/>
    <w:rsid w:val="0C1802A8"/>
    <w:rsid w:val="0C1832E0"/>
    <w:rsid w:val="0C223A88"/>
    <w:rsid w:val="0C3152C1"/>
    <w:rsid w:val="0C340CB6"/>
    <w:rsid w:val="0C3E3559"/>
    <w:rsid w:val="0C4825A4"/>
    <w:rsid w:val="0C6F381A"/>
    <w:rsid w:val="0C745029"/>
    <w:rsid w:val="0C777E0B"/>
    <w:rsid w:val="0C840BD0"/>
    <w:rsid w:val="0C886EAB"/>
    <w:rsid w:val="0CA24F74"/>
    <w:rsid w:val="0CDC0A7C"/>
    <w:rsid w:val="0CEC768D"/>
    <w:rsid w:val="0CF71EEF"/>
    <w:rsid w:val="0CF9542B"/>
    <w:rsid w:val="0CFC495F"/>
    <w:rsid w:val="0D084B45"/>
    <w:rsid w:val="0D2546FA"/>
    <w:rsid w:val="0D2D431B"/>
    <w:rsid w:val="0D58687D"/>
    <w:rsid w:val="0D6129B4"/>
    <w:rsid w:val="0D643474"/>
    <w:rsid w:val="0D761D44"/>
    <w:rsid w:val="0D7F1B1A"/>
    <w:rsid w:val="0D8713A0"/>
    <w:rsid w:val="0D8E6B48"/>
    <w:rsid w:val="0D922663"/>
    <w:rsid w:val="0DC3459D"/>
    <w:rsid w:val="0DCD4B64"/>
    <w:rsid w:val="0DD3232C"/>
    <w:rsid w:val="0DF6591F"/>
    <w:rsid w:val="0E147B2B"/>
    <w:rsid w:val="0E19594F"/>
    <w:rsid w:val="0E284BDB"/>
    <w:rsid w:val="0E2F5189"/>
    <w:rsid w:val="0E3B2427"/>
    <w:rsid w:val="0E52151F"/>
    <w:rsid w:val="0E6D0107"/>
    <w:rsid w:val="0E8A6F0A"/>
    <w:rsid w:val="0E8F43C2"/>
    <w:rsid w:val="0E9338C0"/>
    <w:rsid w:val="0E966EF7"/>
    <w:rsid w:val="0E9B61D2"/>
    <w:rsid w:val="0EEC4A2B"/>
    <w:rsid w:val="0EFC69CD"/>
    <w:rsid w:val="0F032819"/>
    <w:rsid w:val="0F066F91"/>
    <w:rsid w:val="0F130223"/>
    <w:rsid w:val="0F2C6214"/>
    <w:rsid w:val="0F2E2EAF"/>
    <w:rsid w:val="0F451083"/>
    <w:rsid w:val="0F4F2476"/>
    <w:rsid w:val="0F545B97"/>
    <w:rsid w:val="0F593A63"/>
    <w:rsid w:val="0F5A1B1C"/>
    <w:rsid w:val="0F5C6242"/>
    <w:rsid w:val="0F651213"/>
    <w:rsid w:val="0F8110A9"/>
    <w:rsid w:val="0F951969"/>
    <w:rsid w:val="0F9B0988"/>
    <w:rsid w:val="0FD90B57"/>
    <w:rsid w:val="0FE91E79"/>
    <w:rsid w:val="0FEB60B1"/>
    <w:rsid w:val="0FEF6A5D"/>
    <w:rsid w:val="0FFE2A18"/>
    <w:rsid w:val="10082F80"/>
    <w:rsid w:val="100A432B"/>
    <w:rsid w:val="102D63DF"/>
    <w:rsid w:val="102E38C6"/>
    <w:rsid w:val="10376C1E"/>
    <w:rsid w:val="10380FB2"/>
    <w:rsid w:val="104C38F3"/>
    <w:rsid w:val="109611B9"/>
    <w:rsid w:val="10963D8A"/>
    <w:rsid w:val="10A74D0F"/>
    <w:rsid w:val="10E02E12"/>
    <w:rsid w:val="10E30B54"/>
    <w:rsid w:val="10FD17F7"/>
    <w:rsid w:val="11011400"/>
    <w:rsid w:val="111D4066"/>
    <w:rsid w:val="111F00C6"/>
    <w:rsid w:val="113B1A46"/>
    <w:rsid w:val="117165A2"/>
    <w:rsid w:val="118146C0"/>
    <w:rsid w:val="118722E7"/>
    <w:rsid w:val="119E62B0"/>
    <w:rsid w:val="11A25B9C"/>
    <w:rsid w:val="11A41E98"/>
    <w:rsid w:val="11CB1D14"/>
    <w:rsid w:val="11FB0620"/>
    <w:rsid w:val="120678FD"/>
    <w:rsid w:val="122C390F"/>
    <w:rsid w:val="122D02D9"/>
    <w:rsid w:val="12456A72"/>
    <w:rsid w:val="12543AB7"/>
    <w:rsid w:val="12544EEB"/>
    <w:rsid w:val="1273342E"/>
    <w:rsid w:val="12743A4F"/>
    <w:rsid w:val="127A1044"/>
    <w:rsid w:val="129F0629"/>
    <w:rsid w:val="12A165D1"/>
    <w:rsid w:val="12A5732F"/>
    <w:rsid w:val="12E372B4"/>
    <w:rsid w:val="13005B45"/>
    <w:rsid w:val="130A3E90"/>
    <w:rsid w:val="131F3FFA"/>
    <w:rsid w:val="1334351A"/>
    <w:rsid w:val="134F1DF4"/>
    <w:rsid w:val="13B30CB1"/>
    <w:rsid w:val="13B642FE"/>
    <w:rsid w:val="13B660AC"/>
    <w:rsid w:val="13BD4509"/>
    <w:rsid w:val="13D365D8"/>
    <w:rsid w:val="13DF1AA7"/>
    <w:rsid w:val="14025DE6"/>
    <w:rsid w:val="141D41B0"/>
    <w:rsid w:val="141D437D"/>
    <w:rsid w:val="141E77D1"/>
    <w:rsid w:val="142B4770"/>
    <w:rsid w:val="142F28B9"/>
    <w:rsid w:val="14482317"/>
    <w:rsid w:val="14575AE1"/>
    <w:rsid w:val="145D29CB"/>
    <w:rsid w:val="145E79B1"/>
    <w:rsid w:val="146E6986"/>
    <w:rsid w:val="147A6D33"/>
    <w:rsid w:val="14AD738E"/>
    <w:rsid w:val="14B9077C"/>
    <w:rsid w:val="14BE346A"/>
    <w:rsid w:val="14DC3777"/>
    <w:rsid w:val="14E35C7A"/>
    <w:rsid w:val="14EA06C2"/>
    <w:rsid w:val="14ED3D4F"/>
    <w:rsid w:val="15407E8E"/>
    <w:rsid w:val="1542788F"/>
    <w:rsid w:val="1546345F"/>
    <w:rsid w:val="154929C8"/>
    <w:rsid w:val="154A11A2"/>
    <w:rsid w:val="15514F2F"/>
    <w:rsid w:val="156873E6"/>
    <w:rsid w:val="15732BFE"/>
    <w:rsid w:val="15816BB2"/>
    <w:rsid w:val="15836462"/>
    <w:rsid w:val="158B46BE"/>
    <w:rsid w:val="159B7C4F"/>
    <w:rsid w:val="159E6846"/>
    <w:rsid w:val="15A43EE5"/>
    <w:rsid w:val="15D46CBD"/>
    <w:rsid w:val="15EF58A5"/>
    <w:rsid w:val="15F36362"/>
    <w:rsid w:val="15F46C1D"/>
    <w:rsid w:val="16041B6E"/>
    <w:rsid w:val="162D3FB2"/>
    <w:rsid w:val="16367551"/>
    <w:rsid w:val="16493207"/>
    <w:rsid w:val="16494B86"/>
    <w:rsid w:val="164A0E0E"/>
    <w:rsid w:val="165247B2"/>
    <w:rsid w:val="16750620"/>
    <w:rsid w:val="16897ABD"/>
    <w:rsid w:val="169A1AF2"/>
    <w:rsid w:val="16A85976"/>
    <w:rsid w:val="16B800A2"/>
    <w:rsid w:val="170240B9"/>
    <w:rsid w:val="170D06D9"/>
    <w:rsid w:val="17117FA2"/>
    <w:rsid w:val="173739A8"/>
    <w:rsid w:val="17451C21"/>
    <w:rsid w:val="174A03C5"/>
    <w:rsid w:val="17505767"/>
    <w:rsid w:val="17547927"/>
    <w:rsid w:val="175E3DD4"/>
    <w:rsid w:val="17625D99"/>
    <w:rsid w:val="176D2914"/>
    <w:rsid w:val="1772678E"/>
    <w:rsid w:val="179D284C"/>
    <w:rsid w:val="17A74689"/>
    <w:rsid w:val="17BE4FC6"/>
    <w:rsid w:val="17DE6AFE"/>
    <w:rsid w:val="17E641ED"/>
    <w:rsid w:val="18041ADC"/>
    <w:rsid w:val="18255F4D"/>
    <w:rsid w:val="182B7F3E"/>
    <w:rsid w:val="182C2DE0"/>
    <w:rsid w:val="182E4DAB"/>
    <w:rsid w:val="1837038F"/>
    <w:rsid w:val="183B5574"/>
    <w:rsid w:val="185F5CC0"/>
    <w:rsid w:val="186938B7"/>
    <w:rsid w:val="18844E09"/>
    <w:rsid w:val="18874A63"/>
    <w:rsid w:val="18900A20"/>
    <w:rsid w:val="189664AC"/>
    <w:rsid w:val="189C33DF"/>
    <w:rsid w:val="18AD3F21"/>
    <w:rsid w:val="18AF7A2D"/>
    <w:rsid w:val="18C50851"/>
    <w:rsid w:val="18CB24BA"/>
    <w:rsid w:val="18D85176"/>
    <w:rsid w:val="18DF342A"/>
    <w:rsid w:val="18FC7176"/>
    <w:rsid w:val="18FE6843"/>
    <w:rsid w:val="19064E59"/>
    <w:rsid w:val="192B3DED"/>
    <w:rsid w:val="193C2941"/>
    <w:rsid w:val="193D099D"/>
    <w:rsid w:val="19423D33"/>
    <w:rsid w:val="194636A6"/>
    <w:rsid w:val="196B7938"/>
    <w:rsid w:val="19737238"/>
    <w:rsid w:val="19983BC2"/>
    <w:rsid w:val="19A355DE"/>
    <w:rsid w:val="19A8293B"/>
    <w:rsid w:val="19B337B9"/>
    <w:rsid w:val="19B42B09"/>
    <w:rsid w:val="19B511C9"/>
    <w:rsid w:val="19C415F0"/>
    <w:rsid w:val="19CB0318"/>
    <w:rsid w:val="19DF45AE"/>
    <w:rsid w:val="1A134FCE"/>
    <w:rsid w:val="1A202307"/>
    <w:rsid w:val="1A256C01"/>
    <w:rsid w:val="1A2B60A0"/>
    <w:rsid w:val="1A332204"/>
    <w:rsid w:val="1A4B59CE"/>
    <w:rsid w:val="1A531100"/>
    <w:rsid w:val="1A701A29"/>
    <w:rsid w:val="1A745F9E"/>
    <w:rsid w:val="1A8040EC"/>
    <w:rsid w:val="1A937147"/>
    <w:rsid w:val="1A953351"/>
    <w:rsid w:val="1ABD1DF6"/>
    <w:rsid w:val="1AD14DEA"/>
    <w:rsid w:val="1AE16104"/>
    <w:rsid w:val="1AF26EBD"/>
    <w:rsid w:val="1AF73C82"/>
    <w:rsid w:val="1AF9056F"/>
    <w:rsid w:val="1B1177A6"/>
    <w:rsid w:val="1B131B6A"/>
    <w:rsid w:val="1B157B5C"/>
    <w:rsid w:val="1B24646A"/>
    <w:rsid w:val="1B3B0802"/>
    <w:rsid w:val="1B3D4849"/>
    <w:rsid w:val="1B4C1DF3"/>
    <w:rsid w:val="1B634D6B"/>
    <w:rsid w:val="1BA23AE5"/>
    <w:rsid w:val="1BA62EAA"/>
    <w:rsid w:val="1BC53330"/>
    <w:rsid w:val="1BCD48DA"/>
    <w:rsid w:val="1BEA2BEA"/>
    <w:rsid w:val="1BF3758A"/>
    <w:rsid w:val="1C43143D"/>
    <w:rsid w:val="1C582D02"/>
    <w:rsid w:val="1C6D261E"/>
    <w:rsid w:val="1C8B2727"/>
    <w:rsid w:val="1CA47D33"/>
    <w:rsid w:val="1CAD0994"/>
    <w:rsid w:val="1CBF0E32"/>
    <w:rsid w:val="1CDF48C5"/>
    <w:rsid w:val="1CE74E29"/>
    <w:rsid w:val="1CEC327F"/>
    <w:rsid w:val="1D022362"/>
    <w:rsid w:val="1D0E0458"/>
    <w:rsid w:val="1D1D16C4"/>
    <w:rsid w:val="1D2E13A9"/>
    <w:rsid w:val="1D4E37F9"/>
    <w:rsid w:val="1D572FF9"/>
    <w:rsid w:val="1D6163F3"/>
    <w:rsid w:val="1D6923E1"/>
    <w:rsid w:val="1D6B6159"/>
    <w:rsid w:val="1D6D6CC7"/>
    <w:rsid w:val="1D7131DE"/>
    <w:rsid w:val="1D7C3E2C"/>
    <w:rsid w:val="1DA32F29"/>
    <w:rsid w:val="1DAA4C00"/>
    <w:rsid w:val="1DAD1403"/>
    <w:rsid w:val="1DCD0BC2"/>
    <w:rsid w:val="1DD65CC8"/>
    <w:rsid w:val="1DE1661E"/>
    <w:rsid w:val="1DE5480D"/>
    <w:rsid w:val="1DF455AC"/>
    <w:rsid w:val="1DF65C5F"/>
    <w:rsid w:val="1E0A34D2"/>
    <w:rsid w:val="1E116CA0"/>
    <w:rsid w:val="1E124F8A"/>
    <w:rsid w:val="1E387341"/>
    <w:rsid w:val="1E3E439D"/>
    <w:rsid w:val="1E424CEE"/>
    <w:rsid w:val="1E52347B"/>
    <w:rsid w:val="1E751E0D"/>
    <w:rsid w:val="1E817B24"/>
    <w:rsid w:val="1E847375"/>
    <w:rsid w:val="1EA240CA"/>
    <w:rsid w:val="1EB07961"/>
    <w:rsid w:val="1EB47B61"/>
    <w:rsid w:val="1EB51D36"/>
    <w:rsid w:val="1EC63A1D"/>
    <w:rsid w:val="1ECC3083"/>
    <w:rsid w:val="1EDA3596"/>
    <w:rsid w:val="1F025E88"/>
    <w:rsid w:val="1F1A394E"/>
    <w:rsid w:val="1F2F403C"/>
    <w:rsid w:val="1F377945"/>
    <w:rsid w:val="1F4E3F72"/>
    <w:rsid w:val="1F7F0028"/>
    <w:rsid w:val="1FA140B4"/>
    <w:rsid w:val="1FA643EE"/>
    <w:rsid w:val="1FBF0FF0"/>
    <w:rsid w:val="1FC63B1B"/>
    <w:rsid w:val="1FCE5AAD"/>
    <w:rsid w:val="1FD55B0C"/>
    <w:rsid w:val="1FDA085F"/>
    <w:rsid w:val="1FDD563D"/>
    <w:rsid w:val="1FE12702"/>
    <w:rsid w:val="1FE61F96"/>
    <w:rsid w:val="1FFF066C"/>
    <w:rsid w:val="201378E0"/>
    <w:rsid w:val="201636E2"/>
    <w:rsid w:val="20184CFF"/>
    <w:rsid w:val="20360C34"/>
    <w:rsid w:val="203A66C6"/>
    <w:rsid w:val="20444A66"/>
    <w:rsid w:val="205A1F06"/>
    <w:rsid w:val="206D29F8"/>
    <w:rsid w:val="20717C4E"/>
    <w:rsid w:val="208B65E8"/>
    <w:rsid w:val="20937EA1"/>
    <w:rsid w:val="20983EB6"/>
    <w:rsid w:val="20A0675E"/>
    <w:rsid w:val="20B35E4D"/>
    <w:rsid w:val="20C718F8"/>
    <w:rsid w:val="20E06E5E"/>
    <w:rsid w:val="20EA0B6C"/>
    <w:rsid w:val="20EA432F"/>
    <w:rsid w:val="20EA55E7"/>
    <w:rsid w:val="20EB20F4"/>
    <w:rsid w:val="20F271FD"/>
    <w:rsid w:val="21076999"/>
    <w:rsid w:val="210D6AF8"/>
    <w:rsid w:val="211F1734"/>
    <w:rsid w:val="212B2D67"/>
    <w:rsid w:val="214B42D7"/>
    <w:rsid w:val="214C0E12"/>
    <w:rsid w:val="215D7882"/>
    <w:rsid w:val="2167658F"/>
    <w:rsid w:val="217750CC"/>
    <w:rsid w:val="21910583"/>
    <w:rsid w:val="21912FA1"/>
    <w:rsid w:val="2195361E"/>
    <w:rsid w:val="219B1F3E"/>
    <w:rsid w:val="21AD4829"/>
    <w:rsid w:val="21BC3427"/>
    <w:rsid w:val="21BF0821"/>
    <w:rsid w:val="21D342CD"/>
    <w:rsid w:val="21DD63A5"/>
    <w:rsid w:val="21DE344B"/>
    <w:rsid w:val="21E02496"/>
    <w:rsid w:val="21E12E8E"/>
    <w:rsid w:val="21E137EC"/>
    <w:rsid w:val="21FB0D15"/>
    <w:rsid w:val="22113809"/>
    <w:rsid w:val="221459F6"/>
    <w:rsid w:val="22205764"/>
    <w:rsid w:val="222648EA"/>
    <w:rsid w:val="222D504E"/>
    <w:rsid w:val="222D7E81"/>
    <w:rsid w:val="224303D3"/>
    <w:rsid w:val="22471D26"/>
    <w:rsid w:val="224F1BA5"/>
    <w:rsid w:val="22535162"/>
    <w:rsid w:val="226F30E0"/>
    <w:rsid w:val="22721D38"/>
    <w:rsid w:val="227C6712"/>
    <w:rsid w:val="228D6B72"/>
    <w:rsid w:val="228F2ACB"/>
    <w:rsid w:val="229A69AB"/>
    <w:rsid w:val="22A17E96"/>
    <w:rsid w:val="22BB1C49"/>
    <w:rsid w:val="22D81E2B"/>
    <w:rsid w:val="23056708"/>
    <w:rsid w:val="23405595"/>
    <w:rsid w:val="23453346"/>
    <w:rsid w:val="234A6B47"/>
    <w:rsid w:val="235A6AF5"/>
    <w:rsid w:val="235F22BC"/>
    <w:rsid w:val="236D324A"/>
    <w:rsid w:val="23724C32"/>
    <w:rsid w:val="23770AE2"/>
    <w:rsid w:val="239C173E"/>
    <w:rsid w:val="23A31A58"/>
    <w:rsid w:val="23AB7C59"/>
    <w:rsid w:val="23B01195"/>
    <w:rsid w:val="23EB1DA2"/>
    <w:rsid w:val="23F944BF"/>
    <w:rsid w:val="24015121"/>
    <w:rsid w:val="241B49E1"/>
    <w:rsid w:val="24241AA5"/>
    <w:rsid w:val="24267006"/>
    <w:rsid w:val="243454F7"/>
    <w:rsid w:val="243A543F"/>
    <w:rsid w:val="244D480A"/>
    <w:rsid w:val="2451627C"/>
    <w:rsid w:val="24715894"/>
    <w:rsid w:val="248718BA"/>
    <w:rsid w:val="24977834"/>
    <w:rsid w:val="24A445F5"/>
    <w:rsid w:val="24B623B0"/>
    <w:rsid w:val="24C159EB"/>
    <w:rsid w:val="24C3687B"/>
    <w:rsid w:val="24DE592C"/>
    <w:rsid w:val="24E72FF2"/>
    <w:rsid w:val="24EC0600"/>
    <w:rsid w:val="250A6A53"/>
    <w:rsid w:val="251D5F8B"/>
    <w:rsid w:val="254416FF"/>
    <w:rsid w:val="254E2245"/>
    <w:rsid w:val="254F010E"/>
    <w:rsid w:val="255070F0"/>
    <w:rsid w:val="257F41D8"/>
    <w:rsid w:val="258E7ABB"/>
    <w:rsid w:val="25A477D9"/>
    <w:rsid w:val="25A60997"/>
    <w:rsid w:val="25B04520"/>
    <w:rsid w:val="25EC7238"/>
    <w:rsid w:val="25EF096B"/>
    <w:rsid w:val="260F6BD5"/>
    <w:rsid w:val="26467763"/>
    <w:rsid w:val="264B5FA1"/>
    <w:rsid w:val="26626F88"/>
    <w:rsid w:val="26810D4C"/>
    <w:rsid w:val="26833001"/>
    <w:rsid w:val="26A5092E"/>
    <w:rsid w:val="26B103B3"/>
    <w:rsid w:val="26BD78AE"/>
    <w:rsid w:val="26C64400"/>
    <w:rsid w:val="27057C9A"/>
    <w:rsid w:val="27137574"/>
    <w:rsid w:val="2725381D"/>
    <w:rsid w:val="27271E7E"/>
    <w:rsid w:val="273830D5"/>
    <w:rsid w:val="27491350"/>
    <w:rsid w:val="274D7C0A"/>
    <w:rsid w:val="27612F92"/>
    <w:rsid w:val="279325CD"/>
    <w:rsid w:val="27960276"/>
    <w:rsid w:val="27A43BC9"/>
    <w:rsid w:val="27A801EB"/>
    <w:rsid w:val="27B608D5"/>
    <w:rsid w:val="27BB36B5"/>
    <w:rsid w:val="27CE703E"/>
    <w:rsid w:val="27E75D9F"/>
    <w:rsid w:val="27F731A5"/>
    <w:rsid w:val="28093E07"/>
    <w:rsid w:val="282C4737"/>
    <w:rsid w:val="283714DA"/>
    <w:rsid w:val="2837718A"/>
    <w:rsid w:val="283C7070"/>
    <w:rsid w:val="283F42D3"/>
    <w:rsid w:val="28416434"/>
    <w:rsid w:val="28642123"/>
    <w:rsid w:val="28870877"/>
    <w:rsid w:val="28B54678"/>
    <w:rsid w:val="28ED7DAC"/>
    <w:rsid w:val="28EF2F5A"/>
    <w:rsid w:val="28F74747"/>
    <w:rsid w:val="290556B4"/>
    <w:rsid w:val="2908745E"/>
    <w:rsid w:val="293215DA"/>
    <w:rsid w:val="294066EC"/>
    <w:rsid w:val="2973341E"/>
    <w:rsid w:val="2979112F"/>
    <w:rsid w:val="299500F4"/>
    <w:rsid w:val="29A3101A"/>
    <w:rsid w:val="29C56BF1"/>
    <w:rsid w:val="29CF7E9E"/>
    <w:rsid w:val="2A0A6A10"/>
    <w:rsid w:val="2A1F3A15"/>
    <w:rsid w:val="2A331DAD"/>
    <w:rsid w:val="2A522B7B"/>
    <w:rsid w:val="2A5306A1"/>
    <w:rsid w:val="2A7D74CC"/>
    <w:rsid w:val="2A880E40"/>
    <w:rsid w:val="2A992C71"/>
    <w:rsid w:val="2AB446DE"/>
    <w:rsid w:val="2AD1624A"/>
    <w:rsid w:val="2AD8764F"/>
    <w:rsid w:val="2AF95243"/>
    <w:rsid w:val="2B076C85"/>
    <w:rsid w:val="2B30453E"/>
    <w:rsid w:val="2B381D70"/>
    <w:rsid w:val="2B3C6A55"/>
    <w:rsid w:val="2B402CA5"/>
    <w:rsid w:val="2B84423D"/>
    <w:rsid w:val="2B9F1A31"/>
    <w:rsid w:val="2BB221A4"/>
    <w:rsid w:val="2BEE0681"/>
    <w:rsid w:val="2BEF2784"/>
    <w:rsid w:val="2BF3618E"/>
    <w:rsid w:val="2C007235"/>
    <w:rsid w:val="2C365B84"/>
    <w:rsid w:val="2C3C77A1"/>
    <w:rsid w:val="2C5F7BAE"/>
    <w:rsid w:val="2C885A06"/>
    <w:rsid w:val="2C8873E9"/>
    <w:rsid w:val="2CA3146B"/>
    <w:rsid w:val="2CAF69CD"/>
    <w:rsid w:val="2CB34A78"/>
    <w:rsid w:val="2CBD66D9"/>
    <w:rsid w:val="2CCD6DBA"/>
    <w:rsid w:val="2CCF04B2"/>
    <w:rsid w:val="2D131155"/>
    <w:rsid w:val="2D181282"/>
    <w:rsid w:val="2D1A06C1"/>
    <w:rsid w:val="2D1D613B"/>
    <w:rsid w:val="2D263E4A"/>
    <w:rsid w:val="2D401696"/>
    <w:rsid w:val="2D452523"/>
    <w:rsid w:val="2D4B706C"/>
    <w:rsid w:val="2D522E91"/>
    <w:rsid w:val="2D6A3D37"/>
    <w:rsid w:val="2D8123F0"/>
    <w:rsid w:val="2D833278"/>
    <w:rsid w:val="2D8D3ECA"/>
    <w:rsid w:val="2D9B0395"/>
    <w:rsid w:val="2DC810BF"/>
    <w:rsid w:val="2DD13DB6"/>
    <w:rsid w:val="2DF9330D"/>
    <w:rsid w:val="2E34556F"/>
    <w:rsid w:val="2E3E1CDC"/>
    <w:rsid w:val="2E415692"/>
    <w:rsid w:val="2E4F36F3"/>
    <w:rsid w:val="2E527260"/>
    <w:rsid w:val="2E597B7A"/>
    <w:rsid w:val="2E5C7415"/>
    <w:rsid w:val="2E5D1AEE"/>
    <w:rsid w:val="2E831A13"/>
    <w:rsid w:val="2E851713"/>
    <w:rsid w:val="2EB5274D"/>
    <w:rsid w:val="2EC96602"/>
    <w:rsid w:val="2ECC0BDF"/>
    <w:rsid w:val="2EE00F13"/>
    <w:rsid w:val="2EE731AD"/>
    <w:rsid w:val="2EEC5934"/>
    <w:rsid w:val="2EF10DD9"/>
    <w:rsid w:val="2F08056B"/>
    <w:rsid w:val="2F2A34DD"/>
    <w:rsid w:val="2F561AA3"/>
    <w:rsid w:val="2F730B64"/>
    <w:rsid w:val="2F77273B"/>
    <w:rsid w:val="2F7B6C65"/>
    <w:rsid w:val="2F81180C"/>
    <w:rsid w:val="2F881DCA"/>
    <w:rsid w:val="2F9742D6"/>
    <w:rsid w:val="2FA72ADC"/>
    <w:rsid w:val="2FAD2601"/>
    <w:rsid w:val="2FAF45CB"/>
    <w:rsid w:val="2FB35E69"/>
    <w:rsid w:val="2FCA4F61"/>
    <w:rsid w:val="2FCB3E32"/>
    <w:rsid w:val="2FD8767E"/>
    <w:rsid w:val="2FD915A5"/>
    <w:rsid w:val="2FE51D9B"/>
    <w:rsid w:val="2FF92384"/>
    <w:rsid w:val="30092DB9"/>
    <w:rsid w:val="30134B5A"/>
    <w:rsid w:val="30147BED"/>
    <w:rsid w:val="30181031"/>
    <w:rsid w:val="30182170"/>
    <w:rsid w:val="302C5E7F"/>
    <w:rsid w:val="30360496"/>
    <w:rsid w:val="30403475"/>
    <w:rsid w:val="3045283A"/>
    <w:rsid w:val="305D1CF8"/>
    <w:rsid w:val="306B18F9"/>
    <w:rsid w:val="307E4978"/>
    <w:rsid w:val="30830679"/>
    <w:rsid w:val="308B4398"/>
    <w:rsid w:val="30973901"/>
    <w:rsid w:val="30AE4883"/>
    <w:rsid w:val="30BD1F4D"/>
    <w:rsid w:val="30C10112"/>
    <w:rsid w:val="31206E8B"/>
    <w:rsid w:val="31280191"/>
    <w:rsid w:val="31327262"/>
    <w:rsid w:val="31344D88"/>
    <w:rsid w:val="31353A44"/>
    <w:rsid w:val="31447AA9"/>
    <w:rsid w:val="316B3239"/>
    <w:rsid w:val="31796C3F"/>
    <w:rsid w:val="317F3B29"/>
    <w:rsid w:val="31864EB8"/>
    <w:rsid w:val="31886444"/>
    <w:rsid w:val="318E562B"/>
    <w:rsid w:val="31A46513"/>
    <w:rsid w:val="31B47C77"/>
    <w:rsid w:val="31C942AB"/>
    <w:rsid w:val="31DB16A7"/>
    <w:rsid w:val="31DE04EC"/>
    <w:rsid w:val="31E71DFA"/>
    <w:rsid w:val="31F377C4"/>
    <w:rsid w:val="31FD411A"/>
    <w:rsid w:val="320B2E73"/>
    <w:rsid w:val="32110115"/>
    <w:rsid w:val="32147D47"/>
    <w:rsid w:val="3269002B"/>
    <w:rsid w:val="32711601"/>
    <w:rsid w:val="32713794"/>
    <w:rsid w:val="329477FB"/>
    <w:rsid w:val="329C7B1B"/>
    <w:rsid w:val="32C0192D"/>
    <w:rsid w:val="32C043A6"/>
    <w:rsid w:val="32D00AE0"/>
    <w:rsid w:val="32D62E14"/>
    <w:rsid w:val="32DF6AB2"/>
    <w:rsid w:val="32EA2C9F"/>
    <w:rsid w:val="32EA40D1"/>
    <w:rsid w:val="32F82F2B"/>
    <w:rsid w:val="32F83B93"/>
    <w:rsid w:val="331C1509"/>
    <w:rsid w:val="331E407E"/>
    <w:rsid w:val="332B2711"/>
    <w:rsid w:val="333358E4"/>
    <w:rsid w:val="334E50BD"/>
    <w:rsid w:val="334F3707"/>
    <w:rsid w:val="3352264A"/>
    <w:rsid w:val="33617221"/>
    <w:rsid w:val="3362433B"/>
    <w:rsid w:val="337B4EF0"/>
    <w:rsid w:val="33890C8F"/>
    <w:rsid w:val="33896703"/>
    <w:rsid w:val="339064C2"/>
    <w:rsid w:val="33945FB2"/>
    <w:rsid w:val="339D07C0"/>
    <w:rsid w:val="33C36C3E"/>
    <w:rsid w:val="33E365F1"/>
    <w:rsid w:val="33E61769"/>
    <w:rsid w:val="33EB7E77"/>
    <w:rsid w:val="33F54AA5"/>
    <w:rsid w:val="33F94067"/>
    <w:rsid w:val="34076784"/>
    <w:rsid w:val="3409086D"/>
    <w:rsid w:val="3415461E"/>
    <w:rsid w:val="341F5D93"/>
    <w:rsid w:val="3445105A"/>
    <w:rsid w:val="344C5AA4"/>
    <w:rsid w:val="3474193F"/>
    <w:rsid w:val="34B47F8E"/>
    <w:rsid w:val="34C01347"/>
    <w:rsid w:val="34CD1A9C"/>
    <w:rsid w:val="34D16D92"/>
    <w:rsid w:val="34EE3E95"/>
    <w:rsid w:val="34F34F5A"/>
    <w:rsid w:val="350823BA"/>
    <w:rsid w:val="350B5F78"/>
    <w:rsid w:val="35231103"/>
    <w:rsid w:val="352C0FF9"/>
    <w:rsid w:val="35343F8E"/>
    <w:rsid w:val="353F6DC5"/>
    <w:rsid w:val="3543330B"/>
    <w:rsid w:val="3552142E"/>
    <w:rsid w:val="35693B2C"/>
    <w:rsid w:val="358362DE"/>
    <w:rsid w:val="35884863"/>
    <w:rsid w:val="35944047"/>
    <w:rsid w:val="35B9177A"/>
    <w:rsid w:val="35BC4FAA"/>
    <w:rsid w:val="35C02FB3"/>
    <w:rsid w:val="35D112E4"/>
    <w:rsid w:val="35E402AF"/>
    <w:rsid w:val="35E92F60"/>
    <w:rsid w:val="35F91C83"/>
    <w:rsid w:val="35FB40C6"/>
    <w:rsid w:val="360103A9"/>
    <w:rsid w:val="360D7119"/>
    <w:rsid w:val="36232DC2"/>
    <w:rsid w:val="363043BE"/>
    <w:rsid w:val="3638438B"/>
    <w:rsid w:val="3647169A"/>
    <w:rsid w:val="364D442C"/>
    <w:rsid w:val="365442FF"/>
    <w:rsid w:val="3674681F"/>
    <w:rsid w:val="367A046E"/>
    <w:rsid w:val="36827D40"/>
    <w:rsid w:val="36853887"/>
    <w:rsid w:val="368968EA"/>
    <w:rsid w:val="36967E4A"/>
    <w:rsid w:val="36E2602C"/>
    <w:rsid w:val="36ED1E12"/>
    <w:rsid w:val="36F83F12"/>
    <w:rsid w:val="370E441D"/>
    <w:rsid w:val="371B7A01"/>
    <w:rsid w:val="37203280"/>
    <w:rsid w:val="3732037B"/>
    <w:rsid w:val="373227C5"/>
    <w:rsid w:val="37357164"/>
    <w:rsid w:val="374750E9"/>
    <w:rsid w:val="375015F1"/>
    <w:rsid w:val="375546D0"/>
    <w:rsid w:val="37581073"/>
    <w:rsid w:val="376161AB"/>
    <w:rsid w:val="376E2B61"/>
    <w:rsid w:val="37893954"/>
    <w:rsid w:val="378F5FB1"/>
    <w:rsid w:val="37A024AC"/>
    <w:rsid w:val="37A969B0"/>
    <w:rsid w:val="37C4498C"/>
    <w:rsid w:val="37C54D8B"/>
    <w:rsid w:val="37D50D33"/>
    <w:rsid w:val="37DE3C9F"/>
    <w:rsid w:val="37E64902"/>
    <w:rsid w:val="37EB72B3"/>
    <w:rsid w:val="37FA215C"/>
    <w:rsid w:val="380370A7"/>
    <w:rsid w:val="38044D88"/>
    <w:rsid w:val="38066C9F"/>
    <w:rsid w:val="38106595"/>
    <w:rsid w:val="38233460"/>
    <w:rsid w:val="382B67B9"/>
    <w:rsid w:val="382F31AE"/>
    <w:rsid w:val="38357E67"/>
    <w:rsid w:val="38507A75"/>
    <w:rsid w:val="385555E4"/>
    <w:rsid w:val="3856219C"/>
    <w:rsid w:val="386F3073"/>
    <w:rsid w:val="38747A54"/>
    <w:rsid w:val="389346C3"/>
    <w:rsid w:val="38981A99"/>
    <w:rsid w:val="38A26A7B"/>
    <w:rsid w:val="38BF3897"/>
    <w:rsid w:val="38CD67BC"/>
    <w:rsid w:val="38CF5D1F"/>
    <w:rsid w:val="38D34E86"/>
    <w:rsid w:val="38D429AD"/>
    <w:rsid w:val="38DF4D78"/>
    <w:rsid w:val="38E946AA"/>
    <w:rsid w:val="38FE20D1"/>
    <w:rsid w:val="39026E9A"/>
    <w:rsid w:val="390667A8"/>
    <w:rsid w:val="39194863"/>
    <w:rsid w:val="39227C2E"/>
    <w:rsid w:val="39261A80"/>
    <w:rsid w:val="392B5DF0"/>
    <w:rsid w:val="392C73F4"/>
    <w:rsid w:val="39394C1C"/>
    <w:rsid w:val="393A3F57"/>
    <w:rsid w:val="393D3428"/>
    <w:rsid w:val="395E274B"/>
    <w:rsid w:val="397A3554"/>
    <w:rsid w:val="399B6884"/>
    <w:rsid w:val="399E4657"/>
    <w:rsid w:val="39B81213"/>
    <w:rsid w:val="39C3314D"/>
    <w:rsid w:val="39DA66B4"/>
    <w:rsid w:val="3A1302EC"/>
    <w:rsid w:val="3A255683"/>
    <w:rsid w:val="3A266B12"/>
    <w:rsid w:val="3A3C4CAD"/>
    <w:rsid w:val="3A475AC0"/>
    <w:rsid w:val="3A5C534F"/>
    <w:rsid w:val="3A676BB4"/>
    <w:rsid w:val="3A8A5A19"/>
    <w:rsid w:val="3A9C596E"/>
    <w:rsid w:val="3AC54CA3"/>
    <w:rsid w:val="3AC95087"/>
    <w:rsid w:val="3AE92160"/>
    <w:rsid w:val="3AE960B8"/>
    <w:rsid w:val="3AED3379"/>
    <w:rsid w:val="3B030B7D"/>
    <w:rsid w:val="3B082DE1"/>
    <w:rsid w:val="3B0A4DAB"/>
    <w:rsid w:val="3B1A0DCD"/>
    <w:rsid w:val="3B253993"/>
    <w:rsid w:val="3B2876C0"/>
    <w:rsid w:val="3B366E9F"/>
    <w:rsid w:val="3B567FF1"/>
    <w:rsid w:val="3B5C055E"/>
    <w:rsid w:val="3B64508E"/>
    <w:rsid w:val="3B6A7E76"/>
    <w:rsid w:val="3B877DC0"/>
    <w:rsid w:val="3B912B80"/>
    <w:rsid w:val="3B9352F4"/>
    <w:rsid w:val="3B964177"/>
    <w:rsid w:val="3BA10250"/>
    <w:rsid w:val="3BAC7C11"/>
    <w:rsid w:val="3BB805E3"/>
    <w:rsid w:val="3BBB7EF1"/>
    <w:rsid w:val="3BC51383"/>
    <w:rsid w:val="3BD056AD"/>
    <w:rsid w:val="3BD11BD8"/>
    <w:rsid w:val="3BD81AF8"/>
    <w:rsid w:val="3BDC04F6"/>
    <w:rsid w:val="3BDF5BB7"/>
    <w:rsid w:val="3BF84CC8"/>
    <w:rsid w:val="3BF960D4"/>
    <w:rsid w:val="3C0A155E"/>
    <w:rsid w:val="3C196AEE"/>
    <w:rsid w:val="3C1E057C"/>
    <w:rsid w:val="3C1F06CA"/>
    <w:rsid w:val="3C5107F0"/>
    <w:rsid w:val="3C557FDA"/>
    <w:rsid w:val="3C681CDA"/>
    <w:rsid w:val="3C6F162B"/>
    <w:rsid w:val="3C6F2E60"/>
    <w:rsid w:val="3C717C6F"/>
    <w:rsid w:val="3C7A4D4E"/>
    <w:rsid w:val="3C887370"/>
    <w:rsid w:val="3C942E30"/>
    <w:rsid w:val="3C9E1D99"/>
    <w:rsid w:val="3C9F0607"/>
    <w:rsid w:val="3CA339C6"/>
    <w:rsid w:val="3CC05722"/>
    <w:rsid w:val="3CD32AC8"/>
    <w:rsid w:val="3CD4741F"/>
    <w:rsid w:val="3CD519F3"/>
    <w:rsid w:val="3CF7574B"/>
    <w:rsid w:val="3D042979"/>
    <w:rsid w:val="3D054222"/>
    <w:rsid w:val="3D111052"/>
    <w:rsid w:val="3D265EFE"/>
    <w:rsid w:val="3D2C1009"/>
    <w:rsid w:val="3D5347E8"/>
    <w:rsid w:val="3D583BAC"/>
    <w:rsid w:val="3D6C33A0"/>
    <w:rsid w:val="3D785FFC"/>
    <w:rsid w:val="3D801355"/>
    <w:rsid w:val="3D8250CD"/>
    <w:rsid w:val="3D911C13"/>
    <w:rsid w:val="3D957523"/>
    <w:rsid w:val="3DA260D2"/>
    <w:rsid w:val="3DC6320C"/>
    <w:rsid w:val="3DDE635B"/>
    <w:rsid w:val="3DDF23BE"/>
    <w:rsid w:val="3DE25B6C"/>
    <w:rsid w:val="3DE73182"/>
    <w:rsid w:val="3DFC06AA"/>
    <w:rsid w:val="3E0122E1"/>
    <w:rsid w:val="3E1A5306"/>
    <w:rsid w:val="3E257948"/>
    <w:rsid w:val="3E2607ED"/>
    <w:rsid w:val="3E413D7D"/>
    <w:rsid w:val="3E491784"/>
    <w:rsid w:val="3E634880"/>
    <w:rsid w:val="3E6C64C6"/>
    <w:rsid w:val="3E9844D3"/>
    <w:rsid w:val="3EA16FE5"/>
    <w:rsid w:val="3EA37093"/>
    <w:rsid w:val="3EB815A1"/>
    <w:rsid w:val="3EBC63BD"/>
    <w:rsid w:val="3EF23B8C"/>
    <w:rsid w:val="3EFC6C09"/>
    <w:rsid w:val="3F0135D7"/>
    <w:rsid w:val="3F060986"/>
    <w:rsid w:val="3F06588A"/>
    <w:rsid w:val="3F0904B4"/>
    <w:rsid w:val="3F0D18DE"/>
    <w:rsid w:val="3F121871"/>
    <w:rsid w:val="3F125FDD"/>
    <w:rsid w:val="3F1B55DB"/>
    <w:rsid w:val="3F262677"/>
    <w:rsid w:val="3F277CDA"/>
    <w:rsid w:val="3F326AFD"/>
    <w:rsid w:val="3F545751"/>
    <w:rsid w:val="3F5512BD"/>
    <w:rsid w:val="3F6525B0"/>
    <w:rsid w:val="3FDD45A6"/>
    <w:rsid w:val="3FDE5FF4"/>
    <w:rsid w:val="3FE3517F"/>
    <w:rsid w:val="3FE77469"/>
    <w:rsid w:val="3FE95B35"/>
    <w:rsid w:val="40120514"/>
    <w:rsid w:val="40143A58"/>
    <w:rsid w:val="402020DA"/>
    <w:rsid w:val="402B55A8"/>
    <w:rsid w:val="403A74E6"/>
    <w:rsid w:val="404623E2"/>
    <w:rsid w:val="404D2E17"/>
    <w:rsid w:val="405525DD"/>
    <w:rsid w:val="40644F5E"/>
    <w:rsid w:val="4077259B"/>
    <w:rsid w:val="40926384"/>
    <w:rsid w:val="40C8729B"/>
    <w:rsid w:val="40D27375"/>
    <w:rsid w:val="40D93256"/>
    <w:rsid w:val="40DE2A09"/>
    <w:rsid w:val="41057763"/>
    <w:rsid w:val="41265C6A"/>
    <w:rsid w:val="41266B17"/>
    <w:rsid w:val="41285C74"/>
    <w:rsid w:val="412D25B6"/>
    <w:rsid w:val="41517290"/>
    <w:rsid w:val="41526CDB"/>
    <w:rsid w:val="415D36C8"/>
    <w:rsid w:val="41720FB5"/>
    <w:rsid w:val="41740101"/>
    <w:rsid w:val="41816CDC"/>
    <w:rsid w:val="41952986"/>
    <w:rsid w:val="41B161BF"/>
    <w:rsid w:val="41D13F2D"/>
    <w:rsid w:val="41D41C6F"/>
    <w:rsid w:val="41EB10CB"/>
    <w:rsid w:val="41F16D57"/>
    <w:rsid w:val="41F213A1"/>
    <w:rsid w:val="41F45E6E"/>
    <w:rsid w:val="41F73972"/>
    <w:rsid w:val="42051BC8"/>
    <w:rsid w:val="42086F4D"/>
    <w:rsid w:val="42100CDB"/>
    <w:rsid w:val="422C159B"/>
    <w:rsid w:val="42373090"/>
    <w:rsid w:val="423746D8"/>
    <w:rsid w:val="424F7728"/>
    <w:rsid w:val="42527B18"/>
    <w:rsid w:val="425F778B"/>
    <w:rsid w:val="42611755"/>
    <w:rsid w:val="42890BD5"/>
    <w:rsid w:val="42A423AA"/>
    <w:rsid w:val="42B04A1B"/>
    <w:rsid w:val="42C72778"/>
    <w:rsid w:val="42D05AC7"/>
    <w:rsid w:val="42D068DB"/>
    <w:rsid w:val="42D96D84"/>
    <w:rsid w:val="42EE0B0F"/>
    <w:rsid w:val="430F5A62"/>
    <w:rsid w:val="431E7600"/>
    <w:rsid w:val="432A7D99"/>
    <w:rsid w:val="43503F67"/>
    <w:rsid w:val="435B253E"/>
    <w:rsid w:val="436202B8"/>
    <w:rsid w:val="4366655D"/>
    <w:rsid w:val="437B05F4"/>
    <w:rsid w:val="43AA3223"/>
    <w:rsid w:val="43CD5E76"/>
    <w:rsid w:val="43F65ECD"/>
    <w:rsid w:val="43FD3CA5"/>
    <w:rsid w:val="440826EF"/>
    <w:rsid w:val="440F51E1"/>
    <w:rsid w:val="4413072B"/>
    <w:rsid w:val="441D4920"/>
    <w:rsid w:val="44631351"/>
    <w:rsid w:val="446772EB"/>
    <w:rsid w:val="446E0159"/>
    <w:rsid w:val="44782EEC"/>
    <w:rsid w:val="447A67F7"/>
    <w:rsid w:val="449B0822"/>
    <w:rsid w:val="449B493D"/>
    <w:rsid w:val="44B36937"/>
    <w:rsid w:val="44B52311"/>
    <w:rsid w:val="44C17F90"/>
    <w:rsid w:val="44D108E9"/>
    <w:rsid w:val="44D90FED"/>
    <w:rsid w:val="44DF02C8"/>
    <w:rsid w:val="44ED6E2C"/>
    <w:rsid w:val="450E785C"/>
    <w:rsid w:val="45174716"/>
    <w:rsid w:val="4524277F"/>
    <w:rsid w:val="45292CED"/>
    <w:rsid w:val="452F78E8"/>
    <w:rsid w:val="45570BED"/>
    <w:rsid w:val="45586F42"/>
    <w:rsid w:val="4579549F"/>
    <w:rsid w:val="45834D9B"/>
    <w:rsid w:val="458712FE"/>
    <w:rsid w:val="458F0464"/>
    <w:rsid w:val="45943BEF"/>
    <w:rsid w:val="45A45FFE"/>
    <w:rsid w:val="45AD6A5F"/>
    <w:rsid w:val="45B63C5D"/>
    <w:rsid w:val="45BA0E9D"/>
    <w:rsid w:val="45CA4BBC"/>
    <w:rsid w:val="45D60A2D"/>
    <w:rsid w:val="45DE62E0"/>
    <w:rsid w:val="45E04F1A"/>
    <w:rsid w:val="45E975B2"/>
    <w:rsid w:val="45ED5F6C"/>
    <w:rsid w:val="45F03E8E"/>
    <w:rsid w:val="45F60406"/>
    <w:rsid w:val="45F965AF"/>
    <w:rsid w:val="45FA57A9"/>
    <w:rsid w:val="46126AB6"/>
    <w:rsid w:val="462A70A5"/>
    <w:rsid w:val="463673DA"/>
    <w:rsid w:val="465B470D"/>
    <w:rsid w:val="46640BA5"/>
    <w:rsid w:val="466709DA"/>
    <w:rsid w:val="46674E60"/>
    <w:rsid w:val="46681B9F"/>
    <w:rsid w:val="46794B93"/>
    <w:rsid w:val="467D0912"/>
    <w:rsid w:val="467D327F"/>
    <w:rsid w:val="46945D8C"/>
    <w:rsid w:val="469E601B"/>
    <w:rsid w:val="46AB54E5"/>
    <w:rsid w:val="46B1432D"/>
    <w:rsid w:val="46B300A5"/>
    <w:rsid w:val="46BD592B"/>
    <w:rsid w:val="46BE62D0"/>
    <w:rsid w:val="46D00C57"/>
    <w:rsid w:val="46D55E6D"/>
    <w:rsid w:val="46D75610"/>
    <w:rsid w:val="46DB750F"/>
    <w:rsid w:val="46DD4B7E"/>
    <w:rsid w:val="47197352"/>
    <w:rsid w:val="471C5466"/>
    <w:rsid w:val="47370B89"/>
    <w:rsid w:val="474D04FA"/>
    <w:rsid w:val="475F48D0"/>
    <w:rsid w:val="4769234B"/>
    <w:rsid w:val="47744906"/>
    <w:rsid w:val="47766090"/>
    <w:rsid w:val="477C2B8D"/>
    <w:rsid w:val="47A27A39"/>
    <w:rsid w:val="47B108F6"/>
    <w:rsid w:val="47B23858"/>
    <w:rsid w:val="47BB0EDD"/>
    <w:rsid w:val="47E66399"/>
    <w:rsid w:val="47ED75E7"/>
    <w:rsid w:val="47F00E85"/>
    <w:rsid w:val="48084421"/>
    <w:rsid w:val="4815543C"/>
    <w:rsid w:val="4829604E"/>
    <w:rsid w:val="485853A8"/>
    <w:rsid w:val="48621C78"/>
    <w:rsid w:val="4879128B"/>
    <w:rsid w:val="48844676"/>
    <w:rsid w:val="489C56E5"/>
    <w:rsid w:val="48AE45E7"/>
    <w:rsid w:val="48CE566A"/>
    <w:rsid w:val="48E35195"/>
    <w:rsid w:val="48ED3A88"/>
    <w:rsid w:val="4900334A"/>
    <w:rsid w:val="49010144"/>
    <w:rsid w:val="49015FD6"/>
    <w:rsid w:val="49080B7C"/>
    <w:rsid w:val="492D1427"/>
    <w:rsid w:val="492E6109"/>
    <w:rsid w:val="493400F2"/>
    <w:rsid w:val="493772D9"/>
    <w:rsid w:val="493D6429"/>
    <w:rsid w:val="4968161B"/>
    <w:rsid w:val="496D09DF"/>
    <w:rsid w:val="496F5FB7"/>
    <w:rsid w:val="497D40E7"/>
    <w:rsid w:val="49891591"/>
    <w:rsid w:val="498A0BE0"/>
    <w:rsid w:val="499E03ED"/>
    <w:rsid w:val="49AC2D5E"/>
    <w:rsid w:val="49AD702E"/>
    <w:rsid w:val="49AE070A"/>
    <w:rsid w:val="49B900C8"/>
    <w:rsid w:val="49E669E4"/>
    <w:rsid w:val="49E8399D"/>
    <w:rsid w:val="49EB6798"/>
    <w:rsid w:val="49ED38CE"/>
    <w:rsid w:val="49F25388"/>
    <w:rsid w:val="4A2344ED"/>
    <w:rsid w:val="4A26566F"/>
    <w:rsid w:val="4A2F3DB7"/>
    <w:rsid w:val="4A5303A1"/>
    <w:rsid w:val="4A631581"/>
    <w:rsid w:val="4A657908"/>
    <w:rsid w:val="4A6A3171"/>
    <w:rsid w:val="4A7D22F5"/>
    <w:rsid w:val="4A976DBA"/>
    <w:rsid w:val="4AAA04B8"/>
    <w:rsid w:val="4AAA7A11"/>
    <w:rsid w:val="4AAD16CA"/>
    <w:rsid w:val="4AAD68FE"/>
    <w:rsid w:val="4AB20144"/>
    <w:rsid w:val="4AC06816"/>
    <w:rsid w:val="4AC46629"/>
    <w:rsid w:val="4AC7411F"/>
    <w:rsid w:val="4AF27C98"/>
    <w:rsid w:val="4AFB026D"/>
    <w:rsid w:val="4B0D06CC"/>
    <w:rsid w:val="4B0D2026"/>
    <w:rsid w:val="4B202C5A"/>
    <w:rsid w:val="4B3310CB"/>
    <w:rsid w:val="4B35552D"/>
    <w:rsid w:val="4B3D1D21"/>
    <w:rsid w:val="4B775B0D"/>
    <w:rsid w:val="4BB5508F"/>
    <w:rsid w:val="4BC93EC7"/>
    <w:rsid w:val="4BCB5E91"/>
    <w:rsid w:val="4BD522FB"/>
    <w:rsid w:val="4BE00100"/>
    <w:rsid w:val="4BE60A00"/>
    <w:rsid w:val="4BEA27BB"/>
    <w:rsid w:val="4BF058F8"/>
    <w:rsid w:val="4BF25821"/>
    <w:rsid w:val="4BF70D1F"/>
    <w:rsid w:val="4BF77FD9"/>
    <w:rsid w:val="4C121D12"/>
    <w:rsid w:val="4C1A2F48"/>
    <w:rsid w:val="4C1F6A9B"/>
    <w:rsid w:val="4C2A0E0A"/>
    <w:rsid w:val="4C2B16B2"/>
    <w:rsid w:val="4C2C4B82"/>
    <w:rsid w:val="4C325706"/>
    <w:rsid w:val="4C475FD9"/>
    <w:rsid w:val="4C4A1A43"/>
    <w:rsid w:val="4C5B417A"/>
    <w:rsid w:val="4C783BFD"/>
    <w:rsid w:val="4C863E30"/>
    <w:rsid w:val="4CAC28E8"/>
    <w:rsid w:val="4CAE37E9"/>
    <w:rsid w:val="4CC4241C"/>
    <w:rsid w:val="4CD05A76"/>
    <w:rsid w:val="4D1E5705"/>
    <w:rsid w:val="4D37282B"/>
    <w:rsid w:val="4D3E3D71"/>
    <w:rsid w:val="4D44123A"/>
    <w:rsid w:val="4D573E80"/>
    <w:rsid w:val="4D6C0FAE"/>
    <w:rsid w:val="4D88228C"/>
    <w:rsid w:val="4D9135BC"/>
    <w:rsid w:val="4DCF687D"/>
    <w:rsid w:val="4DDF54D6"/>
    <w:rsid w:val="4DE90991"/>
    <w:rsid w:val="4DEE0C4D"/>
    <w:rsid w:val="4DEE1423"/>
    <w:rsid w:val="4DFF16A0"/>
    <w:rsid w:val="4E0673F9"/>
    <w:rsid w:val="4E12415A"/>
    <w:rsid w:val="4E364C5A"/>
    <w:rsid w:val="4E451DA8"/>
    <w:rsid w:val="4E4A6CEE"/>
    <w:rsid w:val="4E4E5943"/>
    <w:rsid w:val="4E54503E"/>
    <w:rsid w:val="4E7520E4"/>
    <w:rsid w:val="4E7A7D39"/>
    <w:rsid w:val="4E7E00D0"/>
    <w:rsid w:val="4E8000A5"/>
    <w:rsid w:val="4E8A3DE2"/>
    <w:rsid w:val="4E8C71C7"/>
    <w:rsid w:val="4E8D742E"/>
    <w:rsid w:val="4E944C60"/>
    <w:rsid w:val="4E9B39C0"/>
    <w:rsid w:val="4EA2737D"/>
    <w:rsid w:val="4EAA3884"/>
    <w:rsid w:val="4EB13687"/>
    <w:rsid w:val="4EB946C7"/>
    <w:rsid w:val="4EB94FF4"/>
    <w:rsid w:val="4ED57D77"/>
    <w:rsid w:val="4EDD03B5"/>
    <w:rsid w:val="4EDD03BE"/>
    <w:rsid w:val="4EF722E7"/>
    <w:rsid w:val="4F020A92"/>
    <w:rsid w:val="4F0A6CD0"/>
    <w:rsid w:val="4F0A7539"/>
    <w:rsid w:val="4F0B67EE"/>
    <w:rsid w:val="4F0E4A13"/>
    <w:rsid w:val="4F14284A"/>
    <w:rsid w:val="4F1F09CE"/>
    <w:rsid w:val="4F281610"/>
    <w:rsid w:val="4F391364"/>
    <w:rsid w:val="4F4255D3"/>
    <w:rsid w:val="4F4575F8"/>
    <w:rsid w:val="4F463393"/>
    <w:rsid w:val="4F4C33F7"/>
    <w:rsid w:val="4F555032"/>
    <w:rsid w:val="4F6C34E7"/>
    <w:rsid w:val="4F7F146C"/>
    <w:rsid w:val="4F8B6063"/>
    <w:rsid w:val="4FB240D6"/>
    <w:rsid w:val="4FBA4253"/>
    <w:rsid w:val="4FBB2E06"/>
    <w:rsid w:val="4FC878AF"/>
    <w:rsid w:val="4FCB1D40"/>
    <w:rsid w:val="4FCD2C12"/>
    <w:rsid w:val="4FD658AB"/>
    <w:rsid w:val="4FD82B65"/>
    <w:rsid w:val="4FF81D34"/>
    <w:rsid w:val="5012408F"/>
    <w:rsid w:val="50155CFD"/>
    <w:rsid w:val="50475659"/>
    <w:rsid w:val="504A7CCC"/>
    <w:rsid w:val="5060129E"/>
    <w:rsid w:val="507054CE"/>
    <w:rsid w:val="5074270E"/>
    <w:rsid w:val="50772144"/>
    <w:rsid w:val="508F3931"/>
    <w:rsid w:val="5099030C"/>
    <w:rsid w:val="50A1482A"/>
    <w:rsid w:val="50A15F1A"/>
    <w:rsid w:val="50AE5674"/>
    <w:rsid w:val="50C64B87"/>
    <w:rsid w:val="50DF0D07"/>
    <w:rsid w:val="50E117D4"/>
    <w:rsid w:val="50E13A61"/>
    <w:rsid w:val="50E56EE7"/>
    <w:rsid w:val="50E87536"/>
    <w:rsid w:val="50F47C38"/>
    <w:rsid w:val="50FE4301"/>
    <w:rsid w:val="511A58F1"/>
    <w:rsid w:val="51212D23"/>
    <w:rsid w:val="512A072A"/>
    <w:rsid w:val="513A5229"/>
    <w:rsid w:val="513B7615"/>
    <w:rsid w:val="51437544"/>
    <w:rsid w:val="515F763E"/>
    <w:rsid w:val="516A7BD3"/>
    <w:rsid w:val="51745968"/>
    <w:rsid w:val="51A9429B"/>
    <w:rsid w:val="51AF5B43"/>
    <w:rsid w:val="51C127AC"/>
    <w:rsid w:val="51C92E73"/>
    <w:rsid w:val="51D47ED3"/>
    <w:rsid w:val="51DA6E2E"/>
    <w:rsid w:val="51FD2B1C"/>
    <w:rsid w:val="520914C1"/>
    <w:rsid w:val="521D649B"/>
    <w:rsid w:val="52276E94"/>
    <w:rsid w:val="522E6EFD"/>
    <w:rsid w:val="52305B6D"/>
    <w:rsid w:val="52431789"/>
    <w:rsid w:val="52432C25"/>
    <w:rsid w:val="52495D62"/>
    <w:rsid w:val="5252592A"/>
    <w:rsid w:val="525D5136"/>
    <w:rsid w:val="525D5FFC"/>
    <w:rsid w:val="526112FD"/>
    <w:rsid w:val="526C31B7"/>
    <w:rsid w:val="52765D0B"/>
    <w:rsid w:val="5299476A"/>
    <w:rsid w:val="52A377CE"/>
    <w:rsid w:val="52B70206"/>
    <w:rsid w:val="52BA2A9A"/>
    <w:rsid w:val="52BD2046"/>
    <w:rsid w:val="52C84ED8"/>
    <w:rsid w:val="52EF4CD4"/>
    <w:rsid w:val="52F301C1"/>
    <w:rsid w:val="52F420F5"/>
    <w:rsid w:val="52F67C97"/>
    <w:rsid w:val="530C306B"/>
    <w:rsid w:val="53192D50"/>
    <w:rsid w:val="531E6325"/>
    <w:rsid w:val="53204D14"/>
    <w:rsid w:val="53310CD0"/>
    <w:rsid w:val="535D565D"/>
    <w:rsid w:val="536D14E5"/>
    <w:rsid w:val="53937294"/>
    <w:rsid w:val="539717BC"/>
    <w:rsid w:val="53980D4F"/>
    <w:rsid w:val="53AC7200"/>
    <w:rsid w:val="53AF7E46"/>
    <w:rsid w:val="53C644EF"/>
    <w:rsid w:val="53CB09FE"/>
    <w:rsid w:val="53D004E8"/>
    <w:rsid w:val="53D33197"/>
    <w:rsid w:val="53D34CFD"/>
    <w:rsid w:val="53E2021C"/>
    <w:rsid w:val="53F04250"/>
    <w:rsid w:val="53F341D7"/>
    <w:rsid w:val="53F624F4"/>
    <w:rsid w:val="53FE723E"/>
    <w:rsid w:val="54050106"/>
    <w:rsid w:val="54232D0E"/>
    <w:rsid w:val="54280D1A"/>
    <w:rsid w:val="542F26FF"/>
    <w:rsid w:val="542F35F2"/>
    <w:rsid w:val="543211F5"/>
    <w:rsid w:val="54366689"/>
    <w:rsid w:val="543801B0"/>
    <w:rsid w:val="544E58B1"/>
    <w:rsid w:val="545855A0"/>
    <w:rsid w:val="546169B5"/>
    <w:rsid w:val="5463404B"/>
    <w:rsid w:val="549239F0"/>
    <w:rsid w:val="54977258"/>
    <w:rsid w:val="549A6186"/>
    <w:rsid w:val="549C6182"/>
    <w:rsid w:val="54DD0E06"/>
    <w:rsid w:val="54E3323A"/>
    <w:rsid w:val="54E42606"/>
    <w:rsid w:val="54EB3276"/>
    <w:rsid w:val="54F5082C"/>
    <w:rsid w:val="550B0960"/>
    <w:rsid w:val="551419D0"/>
    <w:rsid w:val="551E34D6"/>
    <w:rsid w:val="551F6817"/>
    <w:rsid w:val="553920BD"/>
    <w:rsid w:val="55392CB4"/>
    <w:rsid w:val="553C5111"/>
    <w:rsid w:val="55693404"/>
    <w:rsid w:val="556C5FDE"/>
    <w:rsid w:val="557C5A99"/>
    <w:rsid w:val="557D24CD"/>
    <w:rsid w:val="558A3850"/>
    <w:rsid w:val="55967879"/>
    <w:rsid w:val="55980DC9"/>
    <w:rsid w:val="55AF602F"/>
    <w:rsid w:val="55C44348"/>
    <w:rsid w:val="55E55DA1"/>
    <w:rsid w:val="55F422B5"/>
    <w:rsid w:val="55FA3DFE"/>
    <w:rsid w:val="55FC6C9D"/>
    <w:rsid w:val="560273C2"/>
    <w:rsid w:val="56270168"/>
    <w:rsid w:val="56463D14"/>
    <w:rsid w:val="565B6BB1"/>
    <w:rsid w:val="565D6473"/>
    <w:rsid w:val="56723AD9"/>
    <w:rsid w:val="567A7B42"/>
    <w:rsid w:val="567D5FDA"/>
    <w:rsid w:val="56A46D32"/>
    <w:rsid w:val="56C24ED0"/>
    <w:rsid w:val="56DB3D41"/>
    <w:rsid w:val="56E905C9"/>
    <w:rsid w:val="56FD192F"/>
    <w:rsid w:val="57072B2F"/>
    <w:rsid w:val="57081D47"/>
    <w:rsid w:val="570B7A8A"/>
    <w:rsid w:val="57127259"/>
    <w:rsid w:val="572A7F10"/>
    <w:rsid w:val="572D7509"/>
    <w:rsid w:val="5733249E"/>
    <w:rsid w:val="573A56C4"/>
    <w:rsid w:val="575D70F6"/>
    <w:rsid w:val="575E5E0B"/>
    <w:rsid w:val="576F0185"/>
    <w:rsid w:val="57700B76"/>
    <w:rsid w:val="578D0E9C"/>
    <w:rsid w:val="579F562F"/>
    <w:rsid w:val="57A35F14"/>
    <w:rsid w:val="57AE07FF"/>
    <w:rsid w:val="57E625B9"/>
    <w:rsid w:val="57E94E99"/>
    <w:rsid w:val="57FE2A9D"/>
    <w:rsid w:val="581C3C6A"/>
    <w:rsid w:val="581C53D1"/>
    <w:rsid w:val="58266D0C"/>
    <w:rsid w:val="58356819"/>
    <w:rsid w:val="583F3E8F"/>
    <w:rsid w:val="5853793A"/>
    <w:rsid w:val="587E46C7"/>
    <w:rsid w:val="58855A0B"/>
    <w:rsid w:val="589E6E07"/>
    <w:rsid w:val="58B72603"/>
    <w:rsid w:val="58B92F82"/>
    <w:rsid w:val="58BF0B2C"/>
    <w:rsid w:val="58E60D71"/>
    <w:rsid w:val="58ED5699"/>
    <w:rsid w:val="58FE78A6"/>
    <w:rsid w:val="5904107B"/>
    <w:rsid w:val="590E31C8"/>
    <w:rsid w:val="5945153B"/>
    <w:rsid w:val="59457283"/>
    <w:rsid w:val="59541257"/>
    <w:rsid w:val="596077CC"/>
    <w:rsid w:val="59691B7B"/>
    <w:rsid w:val="596D2336"/>
    <w:rsid w:val="597F1314"/>
    <w:rsid w:val="5996424B"/>
    <w:rsid w:val="599C719E"/>
    <w:rsid w:val="59A0095D"/>
    <w:rsid w:val="59AE2625"/>
    <w:rsid w:val="59AF7BAE"/>
    <w:rsid w:val="59BA0DC7"/>
    <w:rsid w:val="59C9307E"/>
    <w:rsid w:val="59D22C08"/>
    <w:rsid w:val="5A06709F"/>
    <w:rsid w:val="5A0E2518"/>
    <w:rsid w:val="5A206411"/>
    <w:rsid w:val="5A2B6183"/>
    <w:rsid w:val="5A5D684E"/>
    <w:rsid w:val="5A6220B6"/>
    <w:rsid w:val="5A633F37"/>
    <w:rsid w:val="5A7D6B91"/>
    <w:rsid w:val="5A893518"/>
    <w:rsid w:val="5A8E35AB"/>
    <w:rsid w:val="5AAD3F28"/>
    <w:rsid w:val="5AB71063"/>
    <w:rsid w:val="5ABA3F0F"/>
    <w:rsid w:val="5ABF4E13"/>
    <w:rsid w:val="5AC8787B"/>
    <w:rsid w:val="5AD563E4"/>
    <w:rsid w:val="5ADC4BDB"/>
    <w:rsid w:val="5AE044C7"/>
    <w:rsid w:val="5AEB0314"/>
    <w:rsid w:val="5B0068A2"/>
    <w:rsid w:val="5B0171D9"/>
    <w:rsid w:val="5B123195"/>
    <w:rsid w:val="5B154ABB"/>
    <w:rsid w:val="5B2717BE"/>
    <w:rsid w:val="5B2B70DD"/>
    <w:rsid w:val="5B38697A"/>
    <w:rsid w:val="5B5E07F4"/>
    <w:rsid w:val="5B6073A6"/>
    <w:rsid w:val="5B6C0877"/>
    <w:rsid w:val="5B7C2D04"/>
    <w:rsid w:val="5B8A46C4"/>
    <w:rsid w:val="5B995664"/>
    <w:rsid w:val="5BAA54D0"/>
    <w:rsid w:val="5BBA27F0"/>
    <w:rsid w:val="5BBA55DA"/>
    <w:rsid w:val="5BBF3740"/>
    <w:rsid w:val="5BCF72D8"/>
    <w:rsid w:val="5BD743DE"/>
    <w:rsid w:val="5BDD5DA4"/>
    <w:rsid w:val="5BE57FA0"/>
    <w:rsid w:val="5C1A69D6"/>
    <w:rsid w:val="5C1B6848"/>
    <w:rsid w:val="5C290B14"/>
    <w:rsid w:val="5C2A09B2"/>
    <w:rsid w:val="5C311D40"/>
    <w:rsid w:val="5C3D0959"/>
    <w:rsid w:val="5C4C5C5F"/>
    <w:rsid w:val="5C4F622C"/>
    <w:rsid w:val="5C972F0A"/>
    <w:rsid w:val="5CA51446"/>
    <w:rsid w:val="5CCA1A98"/>
    <w:rsid w:val="5CD54DC2"/>
    <w:rsid w:val="5D142F08"/>
    <w:rsid w:val="5D1B7FA1"/>
    <w:rsid w:val="5D1C1351"/>
    <w:rsid w:val="5D274784"/>
    <w:rsid w:val="5D2D69AC"/>
    <w:rsid w:val="5D3D080A"/>
    <w:rsid w:val="5D4A130C"/>
    <w:rsid w:val="5D4E18AD"/>
    <w:rsid w:val="5D6471C8"/>
    <w:rsid w:val="5D762E2E"/>
    <w:rsid w:val="5D841DE9"/>
    <w:rsid w:val="5D8F6D1E"/>
    <w:rsid w:val="5DA327CA"/>
    <w:rsid w:val="5DA54794"/>
    <w:rsid w:val="5DB055F5"/>
    <w:rsid w:val="5DB1191C"/>
    <w:rsid w:val="5DD60DF1"/>
    <w:rsid w:val="5E17774A"/>
    <w:rsid w:val="5E1824AD"/>
    <w:rsid w:val="5E18686B"/>
    <w:rsid w:val="5E1D2F5F"/>
    <w:rsid w:val="5E4F20D1"/>
    <w:rsid w:val="5E513460"/>
    <w:rsid w:val="5E565A8E"/>
    <w:rsid w:val="5E5FC913"/>
    <w:rsid w:val="5E631F59"/>
    <w:rsid w:val="5E7226B7"/>
    <w:rsid w:val="5E734892"/>
    <w:rsid w:val="5E8A5923"/>
    <w:rsid w:val="5E8B2B1B"/>
    <w:rsid w:val="5E903FEC"/>
    <w:rsid w:val="5E937324"/>
    <w:rsid w:val="5E96232F"/>
    <w:rsid w:val="5EA04F5B"/>
    <w:rsid w:val="5EA47457"/>
    <w:rsid w:val="5EB020A9"/>
    <w:rsid w:val="5EB662D8"/>
    <w:rsid w:val="5ECA3D86"/>
    <w:rsid w:val="5ED67C26"/>
    <w:rsid w:val="5EE74938"/>
    <w:rsid w:val="5F07515C"/>
    <w:rsid w:val="5F102FCB"/>
    <w:rsid w:val="5F1216B0"/>
    <w:rsid w:val="5F21609C"/>
    <w:rsid w:val="5F431FB4"/>
    <w:rsid w:val="5F583E8D"/>
    <w:rsid w:val="5F5C5326"/>
    <w:rsid w:val="5F781A34"/>
    <w:rsid w:val="5F797C86"/>
    <w:rsid w:val="5FA04319"/>
    <w:rsid w:val="5FB00725"/>
    <w:rsid w:val="5FBC1D27"/>
    <w:rsid w:val="5FBF1411"/>
    <w:rsid w:val="5FC44C79"/>
    <w:rsid w:val="5FDA624B"/>
    <w:rsid w:val="5FDB24ED"/>
    <w:rsid w:val="5FEA2932"/>
    <w:rsid w:val="5FED5F7E"/>
    <w:rsid w:val="5FFB71A9"/>
    <w:rsid w:val="60310499"/>
    <w:rsid w:val="606326E4"/>
    <w:rsid w:val="6065020A"/>
    <w:rsid w:val="60683088"/>
    <w:rsid w:val="606D4B2C"/>
    <w:rsid w:val="606F4BE5"/>
    <w:rsid w:val="6079327F"/>
    <w:rsid w:val="607A05CC"/>
    <w:rsid w:val="60956D42"/>
    <w:rsid w:val="60B44864"/>
    <w:rsid w:val="60BD5DB6"/>
    <w:rsid w:val="60C972D7"/>
    <w:rsid w:val="60E00B83"/>
    <w:rsid w:val="60FD75AC"/>
    <w:rsid w:val="61001A86"/>
    <w:rsid w:val="61067A84"/>
    <w:rsid w:val="610906B3"/>
    <w:rsid w:val="610C4B2A"/>
    <w:rsid w:val="61310734"/>
    <w:rsid w:val="61417EA8"/>
    <w:rsid w:val="616029BF"/>
    <w:rsid w:val="61632496"/>
    <w:rsid w:val="619A0388"/>
    <w:rsid w:val="619D6F43"/>
    <w:rsid w:val="61A540A2"/>
    <w:rsid w:val="61A817F9"/>
    <w:rsid w:val="61C05134"/>
    <w:rsid w:val="61D218D0"/>
    <w:rsid w:val="61D31936"/>
    <w:rsid w:val="61F01D56"/>
    <w:rsid w:val="61F65545"/>
    <w:rsid w:val="621A1343"/>
    <w:rsid w:val="62356AB5"/>
    <w:rsid w:val="625642AF"/>
    <w:rsid w:val="62705184"/>
    <w:rsid w:val="62711A47"/>
    <w:rsid w:val="62755B38"/>
    <w:rsid w:val="628E2B9F"/>
    <w:rsid w:val="6293593A"/>
    <w:rsid w:val="62944DD7"/>
    <w:rsid w:val="62BF00A6"/>
    <w:rsid w:val="62C57F30"/>
    <w:rsid w:val="62DB7FC1"/>
    <w:rsid w:val="62E33F8B"/>
    <w:rsid w:val="62E72328"/>
    <w:rsid w:val="62EE02C7"/>
    <w:rsid w:val="62F51CD7"/>
    <w:rsid w:val="62FC52B5"/>
    <w:rsid w:val="6315220D"/>
    <w:rsid w:val="63181564"/>
    <w:rsid w:val="633421CB"/>
    <w:rsid w:val="63407618"/>
    <w:rsid w:val="634764AA"/>
    <w:rsid w:val="635604BB"/>
    <w:rsid w:val="635F2E0A"/>
    <w:rsid w:val="637013A0"/>
    <w:rsid w:val="637214ED"/>
    <w:rsid w:val="638135AD"/>
    <w:rsid w:val="638A2418"/>
    <w:rsid w:val="6394724E"/>
    <w:rsid w:val="639C10F5"/>
    <w:rsid w:val="639C2195"/>
    <w:rsid w:val="639F1C85"/>
    <w:rsid w:val="63A30F39"/>
    <w:rsid w:val="63A63014"/>
    <w:rsid w:val="63B8553A"/>
    <w:rsid w:val="63C90AB0"/>
    <w:rsid w:val="63CA2DDA"/>
    <w:rsid w:val="63E36016"/>
    <w:rsid w:val="63E94CAF"/>
    <w:rsid w:val="63F6661D"/>
    <w:rsid w:val="64010CE0"/>
    <w:rsid w:val="64025D70"/>
    <w:rsid w:val="641A2164"/>
    <w:rsid w:val="642931B1"/>
    <w:rsid w:val="64502F80"/>
    <w:rsid w:val="6472739A"/>
    <w:rsid w:val="647D2B1F"/>
    <w:rsid w:val="647F3834"/>
    <w:rsid w:val="64836D12"/>
    <w:rsid w:val="64A013C0"/>
    <w:rsid w:val="64A87BFB"/>
    <w:rsid w:val="64B957DA"/>
    <w:rsid w:val="64BC23C3"/>
    <w:rsid w:val="64C64FF0"/>
    <w:rsid w:val="64C86FBA"/>
    <w:rsid w:val="64D35E8F"/>
    <w:rsid w:val="64E50DEF"/>
    <w:rsid w:val="64F422AF"/>
    <w:rsid w:val="64FA6308"/>
    <w:rsid w:val="6533459F"/>
    <w:rsid w:val="65436F7B"/>
    <w:rsid w:val="6551131C"/>
    <w:rsid w:val="655F0FD4"/>
    <w:rsid w:val="65660CAD"/>
    <w:rsid w:val="656B2A5D"/>
    <w:rsid w:val="658334EB"/>
    <w:rsid w:val="65910728"/>
    <w:rsid w:val="659A4242"/>
    <w:rsid w:val="65A72BCB"/>
    <w:rsid w:val="65A93AEA"/>
    <w:rsid w:val="65AE7F5E"/>
    <w:rsid w:val="65B01973"/>
    <w:rsid w:val="65C14BBC"/>
    <w:rsid w:val="65E676F8"/>
    <w:rsid w:val="65EB2CDF"/>
    <w:rsid w:val="66004DE9"/>
    <w:rsid w:val="66024CEF"/>
    <w:rsid w:val="66056DC4"/>
    <w:rsid w:val="6615622F"/>
    <w:rsid w:val="66191C02"/>
    <w:rsid w:val="661A1A97"/>
    <w:rsid w:val="66236BDA"/>
    <w:rsid w:val="66252916"/>
    <w:rsid w:val="664E1755"/>
    <w:rsid w:val="665341D3"/>
    <w:rsid w:val="66565C46"/>
    <w:rsid w:val="66833198"/>
    <w:rsid w:val="66852B41"/>
    <w:rsid w:val="669207FF"/>
    <w:rsid w:val="6695208A"/>
    <w:rsid w:val="6698272C"/>
    <w:rsid w:val="669B2BD8"/>
    <w:rsid w:val="66A5100F"/>
    <w:rsid w:val="66A577BE"/>
    <w:rsid w:val="66A80288"/>
    <w:rsid w:val="66A870A3"/>
    <w:rsid w:val="66AF71E2"/>
    <w:rsid w:val="66C370B2"/>
    <w:rsid w:val="66CA6014"/>
    <w:rsid w:val="66D1791F"/>
    <w:rsid w:val="66D71F2C"/>
    <w:rsid w:val="66D74331"/>
    <w:rsid w:val="66D93337"/>
    <w:rsid w:val="66DC57F7"/>
    <w:rsid w:val="66EC39AE"/>
    <w:rsid w:val="6722456C"/>
    <w:rsid w:val="6723497B"/>
    <w:rsid w:val="6741501F"/>
    <w:rsid w:val="67584625"/>
    <w:rsid w:val="67696832"/>
    <w:rsid w:val="676A69E7"/>
    <w:rsid w:val="67852F40"/>
    <w:rsid w:val="67915D89"/>
    <w:rsid w:val="67B80600"/>
    <w:rsid w:val="67C73559"/>
    <w:rsid w:val="67DE5827"/>
    <w:rsid w:val="67E332FF"/>
    <w:rsid w:val="67E72BA6"/>
    <w:rsid w:val="67FC20B9"/>
    <w:rsid w:val="680927ED"/>
    <w:rsid w:val="68342513"/>
    <w:rsid w:val="68801F06"/>
    <w:rsid w:val="689B4136"/>
    <w:rsid w:val="689D44BC"/>
    <w:rsid w:val="68DA27F9"/>
    <w:rsid w:val="68DD052C"/>
    <w:rsid w:val="68E65681"/>
    <w:rsid w:val="69077393"/>
    <w:rsid w:val="69110F2F"/>
    <w:rsid w:val="69133908"/>
    <w:rsid w:val="698060B5"/>
    <w:rsid w:val="69820EBA"/>
    <w:rsid w:val="69823203"/>
    <w:rsid w:val="69A00505"/>
    <w:rsid w:val="69D14007"/>
    <w:rsid w:val="69D65AA7"/>
    <w:rsid w:val="69F12112"/>
    <w:rsid w:val="6A1B2C1B"/>
    <w:rsid w:val="6A1D4918"/>
    <w:rsid w:val="6A281E10"/>
    <w:rsid w:val="6A2F784C"/>
    <w:rsid w:val="6A314603"/>
    <w:rsid w:val="6A4A1958"/>
    <w:rsid w:val="6A4E288E"/>
    <w:rsid w:val="6A5D1B30"/>
    <w:rsid w:val="6A6C50DB"/>
    <w:rsid w:val="6A7A48B2"/>
    <w:rsid w:val="6A7C5A45"/>
    <w:rsid w:val="6AA33E09"/>
    <w:rsid w:val="6AA53003"/>
    <w:rsid w:val="6AAB7162"/>
    <w:rsid w:val="6AAC4FC0"/>
    <w:rsid w:val="6AAE1940"/>
    <w:rsid w:val="6AB202D3"/>
    <w:rsid w:val="6AD05E08"/>
    <w:rsid w:val="6AE01E1B"/>
    <w:rsid w:val="6AF05B8E"/>
    <w:rsid w:val="6AF428B7"/>
    <w:rsid w:val="6B0A63C1"/>
    <w:rsid w:val="6B1116BB"/>
    <w:rsid w:val="6B2B0085"/>
    <w:rsid w:val="6B3233DF"/>
    <w:rsid w:val="6B38327E"/>
    <w:rsid w:val="6B456712"/>
    <w:rsid w:val="6B66798B"/>
    <w:rsid w:val="6B670696"/>
    <w:rsid w:val="6B7B2FD8"/>
    <w:rsid w:val="6B8F351F"/>
    <w:rsid w:val="6BAA1CBE"/>
    <w:rsid w:val="6BAF2C82"/>
    <w:rsid w:val="6BD821D8"/>
    <w:rsid w:val="6BE91CF0"/>
    <w:rsid w:val="6BF60B0A"/>
    <w:rsid w:val="6BF62C01"/>
    <w:rsid w:val="6C07085B"/>
    <w:rsid w:val="6C0C1E82"/>
    <w:rsid w:val="6C1D7BEB"/>
    <w:rsid w:val="6C335A59"/>
    <w:rsid w:val="6C3A5826"/>
    <w:rsid w:val="6C4364C0"/>
    <w:rsid w:val="6C4E249B"/>
    <w:rsid w:val="6C79329D"/>
    <w:rsid w:val="6C844C00"/>
    <w:rsid w:val="6CA9147F"/>
    <w:rsid w:val="6CAE6A95"/>
    <w:rsid w:val="6CBA7B30"/>
    <w:rsid w:val="6CC04827"/>
    <w:rsid w:val="6CC4407C"/>
    <w:rsid w:val="6CD87736"/>
    <w:rsid w:val="6CDA220D"/>
    <w:rsid w:val="6CE5168F"/>
    <w:rsid w:val="6CFA6474"/>
    <w:rsid w:val="6CFD6CF2"/>
    <w:rsid w:val="6D0A3BA6"/>
    <w:rsid w:val="6D212190"/>
    <w:rsid w:val="6D230157"/>
    <w:rsid w:val="6D2A0812"/>
    <w:rsid w:val="6D521B17"/>
    <w:rsid w:val="6D775BA0"/>
    <w:rsid w:val="6D7D3037"/>
    <w:rsid w:val="6D851995"/>
    <w:rsid w:val="6D8E11ED"/>
    <w:rsid w:val="6D8F0741"/>
    <w:rsid w:val="6D9756F1"/>
    <w:rsid w:val="6DAA3701"/>
    <w:rsid w:val="6DB6372B"/>
    <w:rsid w:val="6DBF0F5B"/>
    <w:rsid w:val="6DC0676E"/>
    <w:rsid w:val="6DC9627D"/>
    <w:rsid w:val="6DD32C57"/>
    <w:rsid w:val="6DDD7632"/>
    <w:rsid w:val="6DE02CFF"/>
    <w:rsid w:val="6DEA4E74"/>
    <w:rsid w:val="6DF5087E"/>
    <w:rsid w:val="6DFC4EF8"/>
    <w:rsid w:val="6DFE040A"/>
    <w:rsid w:val="6E002155"/>
    <w:rsid w:val="6E071765"/>
    <w:rsid w:val="6E096679"/>
    <w:rsid w:val="6E0F12B3"/>
    <w:rsid w:val="6E1B015A"/>
    <w:rsid w:val="6E2056EF"/>
    <w:rsid w:val="6E2D119A"/>
    <w:rsid w:val="6E3A7D92"/>
    <w:rsid w:val="6E7361E8"/>
    <w:rsid w:val="6E7707F2"/>
    <w:rsid w:val="6E8757F0"/>
    <w:rsid w:val="6E9F1708"/>
    <w:rsid w:val="6EB32A89"/>
    <w:rsid w:val="6EBF7B30"/>
    <w:rsid w:val="6EC4452A"/>
    <w:rsid w:val="6EDC734A"/>
    <w:rsid w:val="6EDE5F06"/>
    <w:rsid w:val="6EE140CC"/>
    <w:rsid w:val="6EF86399"/>
    <w:rsid w:val="6EF90AB4"/>
    <w:rsid w:val="6F003914"/>
    <w:rsid w:val="6F1C062E"/>
    <w:rsid w:val="6F424120"/>
    <w:rsid w:val="6F5163D3"/>
    <w:rsid w:val="6F6A54D1"/>
    <w:rsid w:val="6F71505A"/>
    <w:rsid w:val="6F7F4719"/>
    <w:rsid w:val="6F810491"/>
    <w:rsid w:val="6F8E5B0F"/>
    <w:rsid w:val="6F902885"/>
    <w:rsid w:val="6FA10B33"/>
    <w:rsid w:val="6FB37682"/>
    <w:rsid w:val="6FCD36D6"/>
    <w:rsid w:val="6FE1063B"/>
    <w:rsid w:val="70063C83"/>
    <w:rsid w:val="701C6C2E"/>
    <w:rsid w:val="702A5176"/>
    <w:rsid w:val="702F13E2"/>
    <w:rsid w:val="704240C4"/>
    <w:rsid w:val="70441AE5"/>
    <w:rsid w:val="704B7B13"/>
    <w:rsid w:val="704F233D"/>
    <w:rsid w:val="7058394F"/>
    <w:rsid w:val="706109EE"/>
    <w:rsid w:val="70697652"/>
    <w:rsid w:val="706978A3"/>
    <w:rsid w:val="7074517E"/>
    <w:rsid w:val="70822AB7"/>
    <w:rsid w:val="70A00D12"/>
    <w:rsid w:val="70B41C29"/>
    <w:rsid w:val="70BF3967"/>
    <w:rsid w:val="70C1148D"/>
    <w:rsid w:val="70CB6A6C"/>
    <w:rsid w:val="70D94A29"/>
    <w:rsid w:val="70F27898"/>
    <w:rsid w:val="71041173"/>
    <w:rsid w:val="7108289A"/>
    <w:rsid w:val="710C63D8"/>
    <w:rsid w:val="712620A5"/>
    <w:rsid w:val="714460AD"/>
    <w:rsid w:val="714A1495"/>
    <w:rsid w:val="71535E5D"/>
    <w:rsid w:val="71A31776"/>
    <w:rsid w:val="71B132B0"/>
    <w:rsid w:val="71D12ED3"/>
    <w:rsid w:val="71D73424"/>
    <w:rsid w:val="71F47640"/>
    <w:rsid w:val="71FD4747"/>
    <w:rsid w:val="72084E9A"/>
    <w:rsid w:val="720B6F22"/>
    <w:rsid w:val="720F7FD6"/>
    <w:rsid w:val="72244253"/>
    <w:rsid w:val="724037E6"/>
    <w:rsid w:val="72571D56"/>
    <w:rsid w:val="727C5926"/>
    <w:rsid w:val="72B3516F"/>
    <w:rsid w:val="72CC6E17"/>
    <w:rsid w:val="72CD5634"/>
    <w:rsid w:val="72CF4512"/>
    <w:rsid w:val="72D9462C"/>
    <w:rsid w:val="72E6681D"/>
    <w:rsid w:val="72ED7F8A"/>
    <w:rsid w:val="73286E4A"/>
    <w:rsid w:val="73541276"/>
    <w:rsid w:val="736B6686"/>
    <w:rsid w:val="73767161"/>
    <w:rsid w:val="73A02BD2"/>
    <w:rsid w:val="73AB3D2F"/>
    <w:rsid w:val="73B61051"/>
    <w:rsid w:val="73CB6815"/>
    <w:rsid w:val="73D94D40"/>
    <w:rsid w:val="73EE3016"/>
    <w:rsid w:val="73F336CD"/>
    <w:rsid w:val="73F9138D"/>
    <w:rsid w:val="740B5FBC"/>
    <w:rsid w:val="741D2E7E"/>
    <w:rsid w:val="742757B5"/>
    <w:rsid w:val="742C30C1"/>
    <w:rsid w:val="744174EE"/>
    <w:rsid w:val="744954E8"/>
    <w:rsid w:val="7451351A"/>
    <w:rsid w:val="745E0C8F"/>
    <w:rsid w:val="747254F0"/>
    <w:rsid w:val="74772945"/>
    <w:rsid w:val="747B2D9D"/>
    <w:rsid w:val="748443EA"/>
    <w:rsid w:val="74851F12"/>
    <w:rsid w:val="748F6964"/>
    <w:rsid w:val="749869A9"/>
    <w:rsid w:val="74A569D0"/>
    <w:rsid w:val="74BC6ED8"/>
    <w:rsid w:val="74C25D0E"/>
    <w:rsid w:val="74C432FA"/>
    <w:rsid w:val="74CA5F73"/>
    <w:rsid w:val="74CF393E"/>
    <w:rsid w:val="74E52C9C"/>
    <w:rsid w:val="75051799"/>
    <w:rsid w:val="750D2EF3"/>
    <w:rsid w:val="75224E50"/>
    <w:rsid w:val="75271ADB"/>
    <w:rsid w:val="7534576B"/>
    <w:rsid w:val="75377803"/>
    <w:rsid w:val="75523B0A"/>
    <w:rsid w:val="75543799"/>
    <w:rsid w:val="75581306"/>
    <w:rsid w:val="756036A9"/>
    <w:rsid w:val="75654242"/>
    <w:rsid w:val="757366DB"/>
    <w:rsid w:val="75752846"/>
    <w:rsid w:val="75826D11"/>
    <w:rsid w:val="758713D8"/>
    <w:rsid w:val="759B3205"/>
    <w:rsid w:val="75A90742"/>
    <w:rsid w:val="75B160E8"/>
    <w:rsid w:val="75BA5E27"/>
    <w:rsid w:val="75C612F4"/>
    <w:rsid w:val="75DC73B1"/>
    <w:rsid w:val="75E06D33"/>
    <w:rsid w:val="760B6D06"/>
    <w:rsid w:val="760F1AF4"/>
    <w:rsid w:val="7613329E"/>
    <w:rsid w:val="761C7166"/>
    <w:rsid w:val="763174AC"/>
    <w:rsid w:val="76382DD7"/>
    <w:rsid w:val="76400D93"/>
    <w:rsid w:val="76522B87"/>
    <w:rsid w:val="76617E73"/>
    <w:rsid w:val="76724FD8"/>
    <w:rsid w:val="76740D50"/>
    <w:rsid w:val="76870B12"/>
    <w:rsid w:val="768D3BBF"/>
    <w:rsid w:val="76923037"/>
    <w:rsid w:val="76A17786"/>
    <w:rsid w:val="76AE5F38"/>
    <w:rsid w:val="76AE667E"/>
    <w:rsid w:val="76B33626"/>
    <w:rsid w:val="76DC16D5"/>
    <w:rsid w:val="76FF0666"/>
    <w:rsid w:val="770C64FD"/>
    <w:rsid w:val="77267C25"/>
    <w:rsid w:val="774A77BA"/>
    <w:rsid w:val="775943C5"/>
    <w:rsid w:val="775C4BC7"/>
    <w:rsid w:val="777F045A"/>
    <w:rsid w:val="77935DDC"/>
    <w:rsid w:val="77DA61DF"/>
    <w:rsid w:val="77EB4BA0"/>
    <w:rsid w:val="77F23677"/>
    <w:rsid w:val="77F35CA4"/>
    <w:rsid w:val="780C1A8C"/>
    <w:rsid w:val="78280761"/>
    <w:rsid w:val="78287FC0"/>
    <w:rsid w:val="78370287"/>
    <w:rsid w:val="785D7F1F"/>
    <w:rsid w:val="785F4137"/>
    <w:rsid w:val="78623556"/>
    <w:rsid w:val="7867214F"/>
    <w:rsid w:val="787D213D"/>
    <w:rsid w:val="7880578A"/>
    <w:rsid w:val="78882890"/>
    <w:rsid w:val="789901C3"/>
    <w:rsid w:val="78A010A0"/>
    <w:rsid w:val="78E57335"/>
    <w:rsid w:val="78F529CF"/>
    <w:rsid w:val="790F4D60"/>
    <w:rsid w:val="79164B7B"/>
    <w:rsid w:val="791921C5"/>
    <w:rsid w:val="794013BD"/>
    <w:rsid w:val="794417C6"/>
    <w:rsid w:val="795E51BB"/>
    <w:rsid w:val="7961113F"/>
    <w:rsid w:val="79637582"/>
    <w:rsid w:val="796D56AB"/>
    <w:rsid w:val="797F0137"/>
    <w:rsid w:val="7991445D"/>
    <w:rsid w:val="799257C0"/>
    <w:rsid w:val="79934C52"/>
    <w:rsid w:val="799C4845"/>
    <w:rsid w:val="79F93A46"/>
    <w:rsid w:val="7A256345"/>
    <w:rsid w:val="7A385B78"/>
    <w:rsid w:val="7A4F60BF"/>
    <w:rsid w:val="7A645338"/>
    <w:rsid w:val="7A7A5481"/>
    <w:rsid w:val="7A85177D"/>
    <w:rsid w:val="7A886AE9"/>
    <w:rsid w:val="7A917878"/>
    <w:rsid w:val="7A960FFF"/>
    <w:rsid w:val="7A982578"/>
    <w:rsid w:val="7AA02CCB"/>
    <w:rsid w:val="7ACB099E"/>
    <w:rsid w:val="7AD24D3F"/>
    <w:rsid w:val="7AE617A5"/>
    <w:rsid w:val="7AF1296F"/>
    <w:rsid w:val="7B0E5F09"/>
    <w:rsid w:val="7B0F7299"/>
    <w:rsid w:val="7B3B1E3C"/>
    <w:rsid w:val="7B515C65"/>
    <w:rsid w:val="7B525906"/>
    <w:rsid w:val="7B5D1DB2"/>
    <w:rsid w:val="7B5E24E1"/>
    <w:rsid w:val="7B5F7245"/>
    <w:rsid w:val="7B626210"/>
    <w:rsid w:val="7B641393"/>
    <w:rsid w:val="7B86755B"/>
    <w:rsid w:val="7BA9596B"/>
    <w:rsid w:val="7BB128AD"/>
    <w:rsid w:val="7BCC3344"/>
    <w:rsid w:val="7BF95CB1"/>
    <w:rsid w:val="7C0230CB"/>
    <w:rsid w:val="7C1822AA"/>
    <w:rsid w:val="7C2154D6"/>
    <w:rsid w:val="7C273B24"/>
    <w:rsid w:val="7C3133BB"/>
    <w:rsid w:val="7C5238E1"/>
    <w:rsid w:val="7C732D8D"/>
    <w:rsid w:val="7C783B28"/>
    <w:rsid w:val="7C8E608F"/>
    <w:rsid w:val="7C9A73EA"/>
    <w:rsid w:val="7CA02360"/>
    <w:rsid w:val="7CB21AB9"/>
    <w:rsid w:val="7CB57765"/>
    <w:rsid w:val="7CB83F7A"/>
    <w:rsid w:val="7CBB3DFB"/>
    <w:rsid w:val="7CC94246"/>
    <w:rsid w:val="7CE45D1E"/>
    <w:rsid w:val="7CF90201"/>
    <w:rsid w:val="7D0B7237"/>
    <w:rsid w:val="7D0C3D15"/>
    <w:rsid w:val="7D14272F"/>
    <w:rsid w:val="7D181E08"/>
    <w:rsid w:val="7D3A25C1"/>
    <w:rsid w:val="7D423956"/>
    <w:rsid w:val="7D433319"/>
    <w:rsid w:val="7D5D1379"/>
    <w:rsid w:val="7D6213D1"/>
    <w:rsid w:val="7D692C90"/>
    <w:rsid w:val="7D725243"/>
    <w:rsid w:val="7D814CF3"/>
    <w:rsid w:val="7D893333"/>
    <w:rsid w:val="7D8B7D13"/>
    <w:rsid w:val="7D8C697F"/>
    <w:rsid w:val="7DB77B6C"/>
    <w:rsid w:val="7DB87534"/>
    <w:rsid w:val="7DC00FA5"/>
    <w:rsid w:val="7DE95B7F"/>
    <w:rsid w:val="7DEF0473"/>
    <w:rsid w:val="7DF86D46"/>
    <w:rsid w:val="7DFB778A"/>
    <w:rsid w:val="7E12157A"/>
    <w:rsid w:val="7E1E353D"/>
    <w:rsid w:val="7E221091"/>
    <w:rsid w:val="7E2E2F91"/>
    <w:rsid w:val="7E323C6E"/>
    <w:rsid w:val="7E42470C"/>
    <w:rsid w:val="7E4F643A"/>
    <w:rsid w:val="7E5A082B"/>
    <w:rsid w:val="7E5C0A47"/>
    <w:rsid w:val="7E5F5996"/>
    <w:rsid w:val="7E64083E"/>
    <w:rsid w:val="7E693ED2"/>
    <w:rsid w:val="7E6E560C"/>
    <w:rsid w:val="7E726CBF"/>
    <w:rsid w:val="7E7A711F"/>
    <w:rsid w:val="7E7F16EA"/>
    <w:rsid w:val="7E81225C"/>
    <w:rsid w:val="7E9B5D8C"/>
    <w:rsid w:val="7EA84DB0"/>
    <w:rsid w:val="7EBD029B"/>
    <w:rsid w:val="7EC65EC0"/>
    <w:rsid w:val="7EDA39CA"/>
    <w:rsid w:val="7EDC3936"/>
    <w:rsid w:val="7EEF3F71"/>
    <w:rsid w:val="7F0D6FAB"/>
    <w:rsid w:val="7F243BE2"/>
    <w:rsid w:val="7F275E1B"/>
    <w:rsid w:val="7F3A5573"/>
    <w:rsid w:val="7F3D414F"/>
    <w:rsid w:val="7F3D6C8E"/>
    <w:rsid w:val="7F7141D8"/>
    <w:rsid w:val="7F7C244E"/>
    <w:rsid w:val="7FB5609A"/>
    <w:rsid w:val="7FBB135F"/>
    <w:rsid w:val="7FBD72C3"/>
    <w:rsid w:val="7FE44850"/>
    <w:rsid w:val="7FE87725"/>
    <w:rsid w:val="849FBFD7"/>
    <w:rsid w:val="BFCD17E9"/>
    <w:rsid w:val="DFBF8D48"/>
    <w:rsid w:val="FDFFDF39"/>
    <w:rsid w:val="FFB13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nhideWhenUsed="0" w:uiPriority="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autoRedefine/>
    <w:qFormat/>
    <w:uiPriority w:val="0"/>
    <w:pPr>
      <w:keepNext/>
      <w:keepLines/>
      <w:tabs>
        <w:tab w:val="left" w:pos="1800"/>
      </w:tabs>
      <w:adjustRightInd w:val="0"/>
      <w:spacing w:before="340" w:after="330" w:line="578" w:lineRule="atLeast"/>
      <w:ind w:left="1110" w:hanging="1110"/>
      <w:jc w:val="center"/>
      <w:textAlignment w:val="baseline"/>
      <w:outlineLvl w:val="0"/>
    </w:pPr>
    <w:rPr>
      <w:b/>
      <w:kern w:val="44"/>
      <w:sz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1"/>
    <w:qFormat/>
    <w:uiPriority w:val="0"/>
    <w:pPr>
      <w:keepNext/>
      <w:keepLines/>
      <w:spacing w:before="260" w:after="260" w:line="416" w:lineRule="auto"/>
      <w:outlineLvl w:val="2"/>
    </w:pPr>
    <w:rPr>
      <w:b/>
      <w:sz w:val="32"/>
    </w:rPr>
  </w:style>
  <w:style w:type="paragraph" w:styleId="7">
    <w:name w:val="heading 4"/>
    <w:basedOn w:val="1"/>
    <w:next w:val="1"/>
    <w:autoRedefine/>
    <w:qFormat/>
    <w:uiPriority w:val="0"/>
    <w:pPr>
      <w:keepNext/>
      <w:keepLines/>
      <w:adjustRightInd w:val="0"/>
      <w:spacing w:before="280" w:after="290" w:line="376" w:lineRule="atLeast"/>
      <w:outlineLvl w:val="3"/>
    </w:pPr>
    <w:rPr>
      <w:rFonts w:ascii="Arial" w:hAnsi="Arial" w:eastAsia="黑体"/>
      <w:b/>
      <w:kern w:val="0"/>
      <w:sz w:val="28"/>
    </w:rPr>
  </w:style>
  <w:style w:type="paragraph" w:styleId="8">
    <w:name w:val="heading 5"/>
    <w:basedOn w:val="1"/>
    <w:next w:val="1"/>
    <w:autoRedefine/>
    <w:unhideWhenUsed/>
    <w:qFormat/>
    <w:uiPriority w:val="9"/>
    <w:pPr>
      <w:keepNext/>
      <w:keepLines/>
      <w:spacing w:before="280" w:after="290" w:line="376" w:lineRule="auto"/>
      <w:outlineLvl w:val="4"/>
    </w:pPr>
    <w:rPr>
      <w:b/>
      <w:bCs/>
      <w:szCs w:val="28"/>
    </w:rPr>
  </w:style>
  <w:style w:type="paragraph" w:styleId="9">
    <w:name w:val="heading 6"/>
    <w:basedOn w:val="1"/>
    <w:next w:val="1"/>
    <w:autoRedefine/>
    <w:unhideWhenUsed/>
    <w:qFormat/>
    <w:uiPriority w:val="9"/>
    <w:pPr>
      <w:keepNext/>
      <w:keepLines/>
      <w:numPr>
        <w:ilvl w:val="5"/>
        <w:numId w:val="1"/>
      </w:numPr>
      <w:spacing w:line="319" w:lineRule="auto"/>
      <w:ind w:firstLineChars="0"/>
      <w:outlineLvl w:val="5"/>
    </w:pPr>
    <w:rPr>
      <w:rFonts w:hAnsiTheme="majorHAnsi" w:cstheme="majorBidi"/>
      <w:b/>
      <w:bCs/>
    </w:rPr>
  </w:style>
  <w:style w:type="character" w:default="1" w:styleId="35">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link w:val="54"/>
    <w:autoRedefine/>
    <w:qFormat/>
    <w:uiPriority w:val="0"/>
    <w:pPr>
      <w:spacing w:line="380" w:lineRule="exact"/>
      <w:ind w:firstLine="480"/>
    </w:pPr>
    <w:rPr>
      <w:rFonts w:eastAsia="方正书宋简体"/>
      <w:sz w:val="24"/>
    </w:rPr>
  </w:style>
  <w:style w:type="paragraph" w:styleId="10">
    <w:name w:val="Normal Indent"/>
    <w:basedOn w:val="1"/>
    <w:next w:val="1"/>
    <w:autoRedefine/>
    <w:qFormat/>
    <w:uiPriority w:val="0"/>
    <w:pPr>
      <w:ind w:firstLine="420"/>
    </w:pPr>
  </w:style>
  <w:style w:type="paragraph" w:styleId="11">
    <w:name w:val="Document Map"/>
    <w:basedOn w:val="1"/>
    <w:autoRedefine/>
    <w:semiHidden/>
    <w:qFormat/>
    <w:uiPriority w:val="0"/>
    <w:pPr>
      <w:shd w:val="clear" w:color="auto" w:fill="000080"/>
    </w:pPr>
  </w:style>
  <w:style w:type="paragraph" w:styleId="12">
    <w:name w:val="toa heading"/>
    <w:basedOn w:val="1"/>
    <w:next w:val="1"/>
    <w:autoRedefine/>
    <w:qFormat/>
    <w:uiPriority w:val="0"/>
    <w:pPr>
      <w:spacing w:before="120"/>
    </w:pPr>
    <w:rPr>
      <w:rFonts w:ascii="Arial" w:hAnsi="Arial"/>
      <w:sz w:val="24"/>
    </w:rPr>
  </w:style>
  <w:style w:type="paragraph" w:styleId="13">
    <w:name w:val="annotation text"/>
    <w:basedOn w:val="1"/>
    <w:link w:val="52"/>
    <w:autoRedefine/>
    <w:unhideWhenUsed/>
    <w:qFormat/>
    <w:uiPriority w:val="0"/>
    <w:pPr>
      <w:jc w:val="left"/>
    </w:pPr>
    <w:rPr>
      <w:szCs w:val="22"/>
    </w:rPr>
  </w:style>
  <w:style w:type="paragraph" w:styleId="14">
    <w:name w:val="Body Text 3"/>
    <w:basedOn w:val="1"/>
    <w:autoRedefine/>
    <w:qFormat/>
    <w:uiPriority w:val="0"/>
    <w:pPr>
      <w:spacing w:after="120"/>
    </w:pPr>
    <w:rPr>
      <w:sz w:val="16"/>
      <w:szCs w:val="16"/>
    </w:rPr>
  </w:style>
  <w:style w:type="paragraph" w:styleId="15">
    <w:name w:val="Body Text"/>
    <w:basedOn w:val="1"/>
    <w:next w:val="16"/>
    <w:link w:val="53"/>
    <w:autoRedefine/>
    <w:qFormat/>
    <w:uiPriority w:val="0"/>
    <w:rPr>
      <w:i/>
      <w:sz w:val="18"/>
    </w:rPr>
  </w:style>
  <w:style w:type="paragraph" w:styleId="16">
    <w:name w:val="Body Text First Indent"/>
    <w:basedOn w:val="15"/>
    <w:next w:val="17"/>
    <w:autoRedefine/>
    <w:qFormat/>
    <w:uiPriority w:val="99"/>
    <w:pPr>
      <w:spacing w:line="360" w:lineRule="auto"/>
      <w:ind w:firstLine="200" w:firstLineChars="200"/>
      <w:jc w:val="left"/>
    </w:pPr>
    <w:rPr>
      <w:b/>
      <w:bCs/>
      <w:sz w:val="24"/>
      <w:lang w:val="en-GB"/>
    </w:rPr>
  </w:style>
  <w:style w:type="paragraph" w:styleId="17">
    <w:name w:val="toc 6"/>
    <w:basedOn w:val="1"/>
    <w:next w:val="1"/>
    <w:qFormat/>
    <w:uiPriority w:val="0"/>
    <w:pPr>
      <w:widowControl/>
      <w:ind w:left="1050"/>
      <w:jc w:val="left"/>
    </w:pPr>
    <w:rPr>
      <w:kern w:val="0"/>
      <w:sz w:val="18"/>
      <w:szCs w:val="18"/>
    </w:rPr>
  </w:style>
  <w:style w:type="paragraph" w:styleId="1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19">
    <w:name w:val="toc 3"/>
    <w:basedOn w:val="1"/>
    <w:next w:val="1"/>
    <w:autoRedefine/>
    <w:semiHidden/>
    <w:qFormat/>
    <w:uiPriority w:val="0"/>
    <w:pPr>
      <w:ind w:left="840" w:leftChars="400"/>
    </w:pPr>
  </w:style>
  <w:style w:type="paragraph" w:styleId="20">
    <w:name w:val="Plain Text"/>
    <w:basedOn w:val="1"/>
    <w:next w:val="1"/>
    <w:link w:val="55"/>
    <w:qFormat/>
    <w:uiPriority w:val="99"/>
    <w:rPr>
      <w:rFonts w:ascii="宋体" w:hAnsi="Courier New" w:cs="Courier New"/>
      <w:szCs w:val="21"/>
    </w:rPr>
  </w:style>
  <w:style w:type="paragraph" w:styleId="21">
    <w:name w:val="toc 8"/>
    <w:basedOn w:val="1"/>
    <w:next w:val="1"/>
    <w:unhideWhenUsed/>
    <w:qFormat/>
    <w:uiPriority w:val="0"/>
    <w:pPr>
      <w:ind w:left="2940" w:leftChars="1400"/>
    </w:pPr>
  </w:style>
  <w:style w:type="paragraph" w:styleId="22">
    <w:name w:val="Date"/>
    <w:basedOn w:val="1"/>
    <w:next w:val="1"/>
    <w:autoRedefine/>
    <w:qFormat/>
    <w:uiPriority w:val="0"/>
    <w:pPr>
      <w:adjustRightInd w:val="0"/>
      <w:spacing w:line="312" w:lineRule="atLeast"/>
      <w:jc w:val="right"/>
      <w:textAlignment w:val="baseline"/>
    </w:pPr>
    <w:rPr>
      <w:rFonts w:ascii="宋体"/>
      <w:kern w:val="0"/>
      <w:sz w:val="24"/>
    </w:rPr>
  </w:style>
  <w:style w:type="paragraph" w:styleId="23">
    <w:name w:val="Body Text Indent 2"/>
    <w:basedOn w:val="1"/>
    <w:qFormat/>
    <w:uiPriority w:val="0"/>
    <w:pPr>
      <w:widowControl/>
      <w:ind w:left="1215"/>
      <w:jc w:val="left"/>
    </w:pPr>
    <w:rPr>
      <w:kern w:val="0"/>
      <w:sz w:val="24"/>
    </w:rPr>
  </w:style>
  <w:style w:type="paragraph" w:styleId="24">
    <w:name w:val="Balloon Text"/>
    <w:basedOn w:val="1"/>
    <w:autoRedefine/>
    <w:semiHidden/>
    <w:qFormat/>
    <w:uiPriority w:val="0"/>
    <w:rPr>
      <w:sz w:val="18"/>
      <w:szCs w:val="18"/>
    </w:rPr>
  </w:style>
  <w:style w:type="paragraph" w:styleId="25">
    <w:name w:val="footer"/>
    <w:basedOn w:val="1"/>
    <w:link w:val="56"/>
    <w:qFormat/>
    <w:uiPriority w:val="0"/>
    <w:pPr>
      <w:tabs>
        <w:tab w:val="center" w:pos="4153"/>
        <w:tab w:val="right" w:pos="8306"/>
      </w:tabs>
      <w:snapToGrid w:val="0"/>
      <w:jc w:val="left"/>
    </w:pPr>
    <w:rPr>
      <w:sz w:val="18"/>
    </w:rPr>
  </w:style>
  <w:style w:type="paragraph" w:styleId="26">
    <w:name w:val="header"/>
    <w:basedOn w:val="1"/>
    <w:link w:val="57"/>
    <w:qFormat/>
    <w:uiPriority w:val="0"/>
    <w:pPr>
      <w:pBdr>
        <w:bottom w:val="single" w:color="auto" w:sz="6" w:space="1"/>
      </w:pBdr>
      <w:tabs>
        <w:tab w:val="center" w:pos="4153"/>
        <w:tab w:val="right" w:pos="8306"/>
      </w:tabs>
      <w:snapToGrid w:val="0"/>
      <w:jc w:val="center"/>
    </w:pPr>
    <w:rPr>
      <w:sz w:val="18"/>
    </w:rPr>
  </w:style>
  <w:style w:type="paragraph" w:styleId="27">
    <w:name w:val="Body Text Indent 3"/>
    <w:basedOn w:val="1"/>
    <w:qFormat/>
    <w:uiPriority w:val="0"/>
    <w:pPr>
      <w:ind w:firstLine="480"/>
    </w:pPr>
    <w:rPr>
      <w:i/>
      <w:iCs/>
    </w:rPr>
  </w:style>
  <w:style w:type="paragraph" w:styleId="28">
    <w:name w:val="toc 2"/>
    <w:basedOn w:val="1"/>
    <w:next w:val="1"/>
    <w:unhideWhenUsed/>
    <w:qFormat/>
    <w:uiPriority w:val="39"/>
    <w:pPr>
      <w:ind w:left="420" w:leftChars="200"/>
    </w:pPr>
  </w:style>
  <w:style w:type="paragraph" w:styleId="29">
    <w:name w:val="Body Text 2"/>
    <w:basedOn w:val="1"/>
    <w:qFormat/>
    <w:uiPriority w:val="0"/>
    <w:pPr>
      <w:widowControl/>
      <w:adjustRightInd w:val="0"/>
      <w:snapToGrid w:val="0"/>
      <w:spacing w:line="456" w:lineRule="exact"/>
      <w:jc w:val="left"/>
    </w:pPr>
    <w:rPr>
      <w:rFonts w:ascii="宋体"/>
      <w:kern w:val="0"/>
      <w:sz w:val="24"/>
    </w:rPr>
  </w:style>
  <w:style w:type="paragraph" w:styleId="30">
    <w:name w:val="Normal (Web)"/>
    <w:basedOn w:val="1"/>
    <w:link w:val="58"/>
    <w:qFormat/>
    <w:uiPriority w:val="99"/>
    <w:pPr>
      <w:widowControl/>
      <w:spacing w:before="100" w:beforeAutospacing="1" w:after="100" w:afterAutospacing="1"/>
      <w:jc w:val="left"/>
    </w:pPr>
    <w:rPr>
      <w:rFonts w:ascii="宋体" w:hAnsi="宋体"/>
      <w:kern w:val="0"/>
      <w:sz w:val="24"/>
      <w:szCs w:val="24"/>
    </w:rPr>
  </w:style>
  <w:style w:type="paragraph" w:styleId="31">
    <w:name w:val="Title"/>
    <w:basedOn w:val="1"/>
    <w:qFormat/>
    <w:uiPriority w:val="0"/>
    <w:pPr>
      <w:spacing w:before="240" w:after="60"/>
      <w:jc w:val="center"/>
      <w:outlineLvl w:val="0"/>
    </w:pPr>
    <w:rPr>
      <w:rFonts w:ascii="Arial" w:hAnsi="Arial" w:cs="Arial"/>
      <w:b/>
      <w:bCs/>
      <w:sz w:val="32"/>
      <w:szCs w:val="32"/>
    </w:rPr>
  </w:style>
  <w:style w:type="table" w:styleId="33">
    <w:name w:val="Table Grid"/>
    <w:basedOn w:val="3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4">
    <w:name w:val="Table Elegant"/>
    <w:basedOn w:val="3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36">
    <w:name w:val="Strong"/>
    <w:autoRedefine/>
    <w:qFormat/>
    <w:uiPriority w:val="0"/>
    <w:rPr>
      <w:b/>
      <w:bCs/>
    </w:rPr>
  </w:style>
  <w:style w:type="character" w:styleId="37">
    <w:name w:val="page number"/>
    <w:autoRedefine/>
    <w:qFormat/>
    <w:uiPriority w:val="0"/>
  </w:style>
  <w:style w:type="character" w:styleId="38">
    <w:name w:val="FollowedHyperlink"/>
    <w:autoRedefine/>
    <w:qFormat/>
    <w:uiPriority w:val="0"/>
    <w:rPr>
      <w:color w:val="800080"/>
      <w:u w:val="single"/>
    </w:rPr>
  </w:style>
  <w:style w:type="character" w:styleId="39">
    <w:name w:val="Emphasis"/>
    <w:autoRedefine/>
    <w:qFormat/>
    <w:uiPriority w:val="0"/>
    <w:rPr>
      <w:color w:val="CC0000"/>
    </w:rPr>
  </w:style>
  <w:style w:type="character" w:styleId="40">
    <w:name w:val="Hyperlink"/>
    <w:basedOn w:val="35"/>
    <w:autoRedefine/>
    <w:qFormat/>
    <w:uiPriority w:val="0"/>
    <w:rPr>
      <w:color w:val="0000FF"/>
      <w:u w:val="single"/>
    </w:rPr>
  </w:style>
  <w:style w:type="character" w:styleId="41">
    <w:name w:val="annotation reference"/>
    <w:basedOn w:val="35"/>
    <w:autoRedefine/>
    <w:qFormat/>
    <w:uiPriority w:val="0"/>
    <w:rPr>
      <w:sz w:val="21"/>
      <w:szCs w:val="21"/>
    </w:rPr>
  </w:style>
  <w:style w:type="paragraph" w:customStyle="1" w:styleId="4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b/>
      <w:bCs/>
      <w:sz w:val="20"/>
      <w:szCs w:val="20"/>
    </w:rPr>
  </w:style>
  <w:style w:type="paragraph" w:customStyle="1" w:styleId="44">
    <w:name w:val="正文1"/>
    <w:basedOn w:val="1"/>
    <w:autoRedefine/>
    <w:qFormat/>
    <w:uiPriority w:val="0"/>
    <w:pPr>
      <w:adjustRightInd w:val="0"/>
      <w:spacing w:line="318" w:lineRule="atLeast"/>
      <w:ind w:left="369" w:firstLine="369"/>
      <w:textAlignment w:val="baseline"/>
    </w:pPr>
    <w:rPr>
      <w:rFonts w:ascii="宋体"/>
    </w:rPr>
  </w:style>
  <w:style w:type="paragraph" w:customStyle="1" w:styleId="4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表格文字"/>
    <w:basedOn w:val="1"/>
    <w:next w:val="15"/>
    <w:autoRedefine/>
    <w:qFormat/>
    <w:uiPriority w:val="0"/>
    <w:pPr>
      <w:snapToGrid w:val="0"/>
      <w:spacing w:before="120"/>
    </w:pPr>
  </w:style>
  <w:style w:type="paragraph" w:styleId="47">
    <w:name w:val="No Spacing"/>
    <w:basedOn w:val="1"/>
    <w:link w:val="50"/>
    <w:autoRedefine/>
    <w:qFormat/>
    <w:uiPriority w:val="0"/>
    <w:pPr>
      <w:widowControl/>
      <w:jc w:val="left"/>
    </w:pPr>
    <w:rPr>
      <w:kern w:val="0"/>
      <w:sz w:val="20"/>
      <w:lang w:eastAsia="en-US"/>
    </w:rPr>
  </w:style>
  <w:style w:type="paragraph" w:customStyle="1" w:styleId="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9">
    <w:name w:val="[Normal]"/>
    <w:autoRedefine/>
    <w:qFormat/>
    <w:uiPriority w:val="0"/>
    <w:rPr>
      <w:rFonts w:ascii="宋体" w:hAnsi="宋体" w:eastAsia="宋体" w:cs="Times New Roman"/>
      <w:sz w:val="24"/>
      <w:szCs w:val="22"/>
      <w:lang w:val="zh-CN" w:eastAsia="zh-CN" w:bidi="ar-SA"/>
    </w:rPr>
  </w:style>
  <w:style w:type="character" w:customStyle="1" w:styleId="50">
    <w:name w:val="无间隔 Char"/>
    <w:link w:val="47"/>
    <w:autoRedefine/>
    <w:qFormat/>
    <w:locked/>
    <w:uiPriority w:val="0"/>
    <w:rPr>
      <w:rFonts w:ascii="Calibri" w:hAnsi="Calibri" w:eastAsia="宋体"/>
      <w:lang w:eastAsia="en-US" w:bidi="ar-SA"/>
    </w:rPr>
  </w:style>
  <w:style w:type="character" w:customStyle="1" w:styleId="51">
    <w:name w:val="标题 3 Char"/>
    <w:link w:val="6"/>
    <w:autoRedefine/>
    <w:qFormat/>
    <w:uiPriority w:val="0"/>
    <w:rPr>
      <w:rFonts w:eastAsia="宋体"/>
      <w:b/>
      <w:kern w:val="2"/>
      <w:sz w:val="32"/>
      <w:lang w:val="en-US" w:eastAsia="zh-CN" w:bidi="ar-SA"/>
    </w:rPr>
  </w:style>
  <w:style w:type="character" w:customStyle="1" w:styleId="52">
    <w:name w:val="批注文字 Char"/>
    <w:link w:val="13"/>
    <w:autoRedefine/>
    <w:qFormat/>
    <w:uiPriority w:val="0"/>
    <w:rPr>
      <w:rFonts w:ascii="Calibri" w:hAnsi="Calibri"/>
      <w:kern w:val="2"/>
      <w:sz w:val="21"/>
      <w:szCs w:val="22"/>
    </w:rPr>
  </w:style>
  <w:style w:type="character" w:customStyle="1" w:styleId="53">
    <w:name w:val="正文文本 Char"/>
    <w:link w:val="15"/>
    <w:autoRedefine/>
    <w:qFormat/>
    <w:uiPriority w:val="0"/>
    <w:rPr>
      <w:i/>
      <w:kern w:val="2"/>
      <w:sz w:val="18"/>
    </w:rPr>
  </w:style>
  <w:style w:type="character" w:customStyle="1" w:styleId="54">
    <w:name w:val="正文文本缩进 Char"/>
    <w:link w:val="3"/>
    <w:autoRedefine/>
    <w:qFormat/>
    <w:uiPriority w:val="0"/>
    <w:rPr>
      <w:rFonts w:eastAsia="方正书宋简体"/>
      <w:kern w:val="2"/>
      <w:sz w:val="24"/>
      <w:lang w:val="en-US" w:eastAsia="zh-CN" w:bidi="ar-SA"/>
    </w:rPr>
  </w:style>
  <w:style w:type="character" w:customStyle="1" w:styleId="55">
    <w:name w:val="纯文本 Char"/>
    <w:link w:val="20"/>
    <w:qFormat/>
    <w:uiPriority w:val="99"/>
    <w:rPr>
      <w:rFonts w:ascii="宋体" w:hAnsi="Courier New" w:eastAsia="宋体" w:cs="Courier New"/>
      <w:kern w:val="2"/>
      <w:sz w:val="21"/>
      <w:szCs w:val="21"/>
      <w:lang w:val="en-US" w:eastAsia="zh-CN" w:bidi="ar-SA"/>
    </w:rPr>
  </w:style>
  <w:style w:type="character" w:customStyle="1" w:styleId="56">
    <w:name w:val="页脚 Char"/>
    <w:link w:val="25"/>
    <w:qFormat/>
    <w:uiPriority w:val="0"/>
    <w:rPr>
      <w:rFonts w:eastAsia="宋体"/>
      <w:kern w:val="2"/>
      <w:sz w:val="18"/>
      <w:lang w:val="en-US" w:eastAsia="zh-CN" w:bidi="ar-SA"/>
    </w:rPr>
  </w:style>
  <w:style w:type="character" w:customStyle="1" w:styleId="57">
    <w:name w:val="页眉 Char"/>
    <w:link w:val="26"/>
    <w:autoRedefine/>
    <w:qFormat/>
    <w:uiPriority w:val="0"/>
    <w:rPr>
      <w:rFonts w:eastAsia="宋体"/>
      <w:kern w:val="2"/>
      <w:sz w:val="18"/>
      <w:lang w:val="en-US" w:eastAsia="zh-CN" w:bidi="ar-SA"/>
    </w:rPr>
  </w:style>
  <w:style w:type="character" w:customStyle="1" w:styleId="58">
    <w:name w:val="普通(网站) Char"/>
    <w:link w:val="30"/>
    <w:autoRedefine/>
    <w:qFormat/>
    <w:locked/>
    <w:uiPriority w:val="99"/>
    <w:rPr>
      <w:rFonts w:ascii="宋体" w:hAnsi="宋体" w:cs="宋体"/>
      <w:sz w:val="24"/>
      <w:szCs w:val="24"/>
    </w:rPr>
  </w:style>
  <w:style w:type="paragraph" w:customStyle="1" w:styleId="5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apple-converted-space"/>
    <w:autoRedefine/>
    <w:qFormat/>
    <w:uiPriority w:val="0"/>
  </w:style>
  <w:style w:type="character" w:customStyle="1" w:styleId="61">
    <w:name w:val="ca-22"/>
    <w:qFormat/>
    <w:uiPriority w:val="0"/>
    <w:rPr>
      <w:rFonts w:cs="Times New Roman"/>
    </w:rPr>
  </w:style>
  <w:style w:type="character" w:customStyle="1" w:styleId="62">
    <w:name w:val="font11"/>
    <w:qFormat/>
    <w:uiPriority w:val="0"/>
    <w:rPr>
      <w:rFonts w:hint="eastAsia" w:ascii="宋体" w:hAnsi="宋体" w:eastAsia="宋体" w:cs="宋体"/>
      <w:color w:val="000000"/>
      <w:sz w:val="20"/>
      <w:szCs w:val="20"/>
      <w:u w:val="none"/>
      <w:vertAlign w:val="superscript"/>
    </w:rPr>
  </w:style>
  <w:style w:type="character" w:customStyle="1" w:styleId="63">
    <w:name w:val="正文文本缩进 Char1"/>
    <w:autoRedefine/>
    <w:semiHidden/>
    <w:qFormat/>
    <w:locked/>
    <w:uiPriority w:val="0"/>
    <w:rPr>
      <w:rFonts w:eastAsia="方正书宋简体"/>
      <w:kern w:val="2"/>
      <w:sz w:val="24"/>
    </w:rPr>
  </w:style>
  <w:style w:type="character" w:customStyle="1" w:styleId="64">
    <w:name w:val="font51"/>
    <w:autoRedefine/>
    <w:qFormat/>
    <w:uiPriority w:val="0"/>
    <w:rPr>
      <w:rFonts w:hint="default" w:ascii="Times New Roman" w:hAnsi="Times New Roman" w:cs="Times New Roman"/>
      <w:color w:val="000000"/>
      <w:sz w:val="21"/>
      <w:szCs w:val="21"/>
      <w:u w:val="none"/>
    </w:rPr>
  </w:style>
  <w:style w:type="character" w:customStyle="1" w:styleId="65">
    <w:name w:val="Plain Text Char"/>
    <w:autoRedefine/>
    <w:qFormat/>
    <w:locked/>
    <w:uiPriority w:val="0"/>
    <w:rPr>
      <w:rFonts w:ascii="宋体" w:hAnsi="Courier New" w:eastAsia="宋体"/>
      <w:kern w:val="2"/>
      <w:sz w:val="21"/>
      <w:lang w:val="en-US" w:eastAsia="zh-CN" w:bidi="ar-SA"/>
    </w:rPr>
  </w:style>
  <w:style w:type="character" w:customStyle="1" w:styleId="66">
    <w:name w:val="Header Char"/>
    <w:autoRedefine/>
    <w:semiHidden/>
    <w:qFormat/>
    <w:locked/>
    <w:uiPriority w:val="0"/>
    <w:rPr>
      <w:rFonts w:cs="Times New Roman"/>
      <w:sz w:val="18"/>
      <w:szCs w:val="18"/>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search_content1"/>
    <w:qFormat/>
    <w:uiPriority w:val="0"/>
    <w:rPr>
      <w:sz w:val="20"/>
      <w:szCs w:val="20"/>
    </w:rPr>
  </w:style>
  <w:style w:type="character" w:customStyle="1" w:styleId="69">
    <w:name w:val="普通文字 Char Char1"/>
    <w:qFormat/>
    <w:uiPriority w:val="0"/>
    <w:rPr>
      <w:rFonts w:ascii="宋体" w:hAnsi="Courier New" w:eastAsia="宋体"/>
      <w:kern w:val="2"/>
      <w:sz w:val="24"/>
      <w:szCs w:val="24"/>
      <w:lang w:val="en-US" w:eastAsia="zh-CN" w:bidi="ar-SA"/>
    </w:rPr>
  </w:style>
  <w:style w:type="character" w:customStyle="1" w:styleId="70">
    <w:name w:val="列出段落 Char2"/>
    <w:link w:val="71"/>
    <w:autoRedefine/>
    <w:qFormat/>
    <w:uiPriority w:val="0"/>
    <w:rPr>
      <w:kern w:val="2"/>
      <w:sz w:val="21"/>
    </w:rPr>
  </w:style>
  <w:style w:type="paragraph" w:customStyle="1" w:styleId="71">
    <w:name w:val="列出段落3"/>
    <w:basedOn w:val="1"/>
    <w:link w:val="70"/>
    <w:autoRedefine/>
    <w:qFormat/>
    <w:uiPriority w:val="0"/>
    <w:pPr>
      <w:ind w:firstLine="420" w:firstLineChars="200"/>
    </w:pPr>
  </w:style>
  <w:style w:type="paragraph" w:customStyle="1" w:styleId="72">
    <w:name w:val="Char Char Char Char Char Char Char Char Char Char Char Char1 Char"/>
    <w:basedOn w:val="11"/>
    <w:autoRedefine/>
    <w:qFormat/>
    <w:uiPriority w:val="0"/>
    <w:rPr>
      <w:rFonts w:ascii="Tahoma" w:hAnsi="Tahoma"/>
      <w:sz w:val="24"/>
      <w:szCs w:val="24"/>
    </w:rPr>
  </w:style>
  <w:style w:type="paragraph" w:customStyle="1" w:styleId="73">
    <w:name w:val="Char"/>
    <w:basedOn w:val="1"/>
    <w:autoRedefine/>
    <w:qFormat/>
    <w:uiPriority w:val="0"/>
    <w:pPr>
      <w:widowControl/>
      <w:spacing w:line="400" w:lineRule="exact"/>
      <w:jc w:val="center"/>
    </w:pPr>
    <w:rPr>
      <w:rFonts w:ascii="Verdana" w:hAnsi="Verdana"/>
      <w:kern w:val="0"/>
      <w:lang w:eastAsia="en-US"/>
    </w:rPr>
  </w:style>
  <w:style w:type="paragraph" w:customStyle="1" w:styleId="74">
    <w:name w:val="Title2"/>
    <w:basedOn w:val="31"/>
    <w:autoRedefine/>
    <w:qFormat/>
    <w:uiPriority w:val="0"/>
    <w:pPr>
      <w:widowControl/>
      <w:spacing w:before="60" w:after="120"/>
      <w:ind w:left="720"/>
      <w:outlineLvl w:val="9"/>
    </w:pPr>
    <w:rPr>
      <w:kern w:val="28"/>
      <w:lang w:eastAsia="en-US"/>
    </w:rPr>
  </w:style>
  <w:style w:type="paragraph" w:customStyle="1" w:styleId="75">
    <w:name w:val="Normal Char"/>
    <w:basedOn w:val="1"/>
    <w:autoRedefine/>
    <w:qFormat/>
    <w:uiPriority w:val="0"/>
    <w:pPr>
      <w:suppressAutoHyphens/>
      <w:autoSpaceDE w:val="0"/>
      <w:jc w:val="left"/>
    </w:pPr>
    <w:rPr>
      <w:rFonts w:ascii="Thorndale" w:hAnsi="Thorndale" w:eastAsia="HG Mincho Light J"/>
      <w:color w:val="000000"/>
      <w:kern w:val="0"/>
      <w:sz w:val="20"/>
      <w:lang w:val="hu-HU"/>
    </w:rPr>
  </w:style>
  <w:style w:type="paragraph" w:customStyle="1" w:styleId="76">
    <w:name w:val="Char Char Char Char Char Char Char"/>
    <w:basedOn w:val="1"/>
    <w:autoRedefine/>
    <w:qFormat/>
    <w:uiPriority w:val="0"/>
    <w:rPr>
      <w:rFonts w:ascii="Tahoma" w:hAnsi="Tahoma"/>
      <w:sz w:val="24"/>
    </w:rPr>
  </w:style>
  <w:style w:type="paragraph" w:customStyle="1" w:styleId="77">
    <w:name w:val="默认段落字体 Para Char Char Char Char Char Char Char"/>
    <w:basedOn w:val="11"/>
    <w:autoRedefine/>
    <w:qFormat/>
    <w:uiPriority w:val="0"/>
    <w:pPr>
      <w:adjustRightInd w:val="0"/>
      <w:spacing w:line="436" w:lineRule="exact"/>
      <w:ind w:left="357"/>
      <w:jc w:val="left"/>
      <w:outlineLvl w:val="3"/>
    </w:pPr>
    <w:rPr>
      <w:rFonts w:ascii="Tahoma" w:hAnsi="Tahoma"/>
      <w:b/>
      <w:sz w:val="24"/>
      <w:szCs w:val="24"/>
    </w:rPr>
  </w:style>
  <w:style w:type="paragraph" w:customStyle="1" w:styleId="78">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79">
    <w:name w:val="列表段落1"/>
    <w:basedOn w:val="1"/>
    <w:qFormat/>
    <w:uiPriority w:val="34"/>
    <w:pPr>
      <w:ind w:firstLine="420" w:firstLineChars="200"/>
    </w:pPr>
  </w:style>
  <w:style w:type="paragraph" w:customStyle="1" w:styleId="80">
    <w:name w:val="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81">
    <w:name w:val="Char11"/>
    <w:basedOn w:val="1"/>
    <w:autoRedefine/>
    <w:qFormat/>
    <w:uiPriority w:val="0"/>
    <w:pPr>
      <w:tabs>
        <w:tab w:val="left" w:pos="1200"/>
        <w:tab w:val="left" w:pos="1800"/>
      </w:tabs>
      <w:ind w:left="1200" w:hanging="1110"/>
    </w:pPr>
    <w:rPr>
      <w:sz w:val="24"/>
      <w:szCs w:val="24"/>
    </w:rPr>
  </w:style>
  <w:style w:type="paragraph" w:customStyle="1" w:styleId="82">
    <w:name w:val="方案正文"/>
    <w:basedOn w:val="1"/>
    <w:autoRedefine/>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83">
    <w:name w:val="样式 四号 行距: 固定值 22 磅"/>
    <w:basedOn w:val="1"/>
    <w:autoRedefine/>
    <w:qFormat/>
    <w:uiPriority w:val="0"/>
    <w:pPr>
      <w:spacing w:line="380" w:lineRule="exact"/>
    </w:pPr>
    <w:rPr>
      <w:rFonts w:cs="宋体"/>
      <w:sz w:val="28"/>
    </w:rPr>
  </w:style>
  <w:style w:type="paragraph" w:styleId="84">
    <w:name w:val="List Paragraph"/>
    <w:basedOn w:val="1"/>
    <w:autoRedefine/>
    <w:qFormat/>
    <w:uiPriority w:val="34"/>
    <w:pPr>
      <w:ind w:firstLine="420" w:firstLineChars="200"/>
    </w:pPr>
    <w:rPr>
      <w:rFonts w:ascii="Calibri" w:hAnsi="Calibri"/>
      <w:szCs w:val="22"/>
    </w:rPr>
  </w:style>
  <w:style w:type="paragraph" w:customStyle="1" w:styleId="85">
    <w:name w:val="Char 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86">
    <w:name w:val="Char1"/>
    <w:basedOn w:val="1"/>
    <w:autoRedefine/>
    <w:qFormat/>
    <w:uiPriority w:val="0"/>
    <w:rPr>
      <w:rFonts w:ascii="仿宋_GB2312" w:eastAsia="仿宋_GB2312"/>
      <w:b/>
      <w:sz w:val="32"/>
      <w:szCs w:val="32"/>
    </w:rPr>
  </w:style>
  <w:style w:type="paragraph" w:customStyle="1" w:styleId="87">
    <w:name w:val="Char12"/>
    <w:basedOn w:val="1"/>
    <w:autoRedefine/>
    <w:qFormat/>
    <w:uiPriority w:val="0"/>
    <w:rPr>
      <w:rFonts w:ascii="仿宋_GB2312" w:eastAsia="仿宋_GB2312"/>
      <w:b/>
      <w:sz w:val="32"/>
      <w:szCs w:val="32"/>
    </w:rPr>
  </w:style>
  <w:style w:type="paragraph" w:customStyle="1" w:styleId="88">
    <w:name w:val="正文－恩普"/>
    <w:basedOn w:val="10"/>
    <w:autoRedefine/>
    <w:qFormat/>
    <w:uiPriority w:val="0"/>
    <w:pPr>
      <w:widowControl/>
      <w:spacing w:line="360" w:lineRule="auto"/>
      <w:ind w:firstLine="480" w:firstLineChars="200"/>
      <w:jc w:val="left"/>
    </w:pPr>
    <w:rPr>
      <w:kern w:val="0"/>
      <w:sz w:val="24"/>
    </w:rPr>
  </w:style>
  <w:style w:type="paragraph" w:customStyle="1" w:styleId="89">
    <w:name w:val="Char Char Char Char Char Char Char Char Char Char Char Char1 Char1"/>
    <w:basedOn w:val="11"/>
    <w:autoRedefine/>
    <w:qFormat/>
    <w:uiPriority w:val="0"/>
    <w:rPr>
      <w:rFonts w:ascii="Tahoma" w:hAnsi="Tahoma"/>
      <w:sz w:val="24"/>
      <w:szCs w:val="24"/>
    </w:rPr>
  </w:style>
  <w:style w:type="paragraph" w:customStyle="1" w:styleId="90">
    <w:name w:val="样式 标题 2 + Times New Roman 四号 非加粗 段前: 5 磅 段后: 0 磅 行距: 固定值 20..."/>
    <w:basedOn w:val="5"/>
    <w:autoRedefine/>
    <w:qFormat/>
    <w:uiPriority w:val="0"/>
    <w:pPr>
      <w:tabs>
        <w:tab w:val="left" w:pos="578"/>
      </w:tabs>
      <w:spacing w:beforeLines="50" w:afterLines="50" w:line="400" w:lineRule="exact"/>
      <w:ind w:left="578" w:hanging="578"/>
      <w:jc w:val="left"/>
    </w:pPr>
    <w:rPr>
      <w:rFonts w:ascii="Times New Roman" w:hAnsi="Times New Roman" w:eastAsia="仿宋_GB2312"/>
      <w:b w:val="0"/>
      <w:bCs w:val="0"/>
      <w:kern w:val="0"/>
      <w:sz w:val="28"/>
      <w:szCs w:val="28"/>
      <w:lang w:val="zh-CN"/>
    </w:rPr>
  </w:style>
  <w:style w:type="paragraph" w:customStyle="1" w:styleId="91">
    <w:name w:val="Char Char Char Char Char Char"/>
    <w:basedOn w:val="1"/>
    <w:autoRedefine/>
    <w:qFormat/>
    <w:uiPriority w:val="0"/>
    <w:pPr>
      <w:ind w:firstLine="200" w:firstLineChars="200"/>
    </w:pPr>
    <w:rPr>
      <w:rFonts w:ascii="Tahoma" w:hAnsi="Tahoma"/>
      <w:sz w:val="24"/>
    </w:rPr>
  </w:style>
  <w:style w:type="paragraph" w:customStyle="1" w:styleId="92">
    <w:name w:val="正文-标准"/>
    <w:basedOn w:val="1"/>
    <w:autoRedefine/>
    <w:qFormat/>
    <w:uiPriority w:val="0"/>
    <w:pPr>
      <w:autoSpaceDE w:val="0"/>
      <w:autoSpaceDN w:val="0"/>
      <w:adjustRightInd w:val="0"/>
      <w:spacing w:line="360" w:lineRule="exact"/>
      <w:jc w:val="left"/>
      <w:textAlignment w:val="baseline"/>
    </w:pPr>
    <w:rPr>
      <w:kern w:val="21"/>
    </w:rPr>
  </w:style>
  <w:style w:type="paragraph" w:customStyle="1" w:styleId="93">
    <w:name w:val="列出段落1"/>
    <w:basedOn w:val="1"/>
    <w:autoRedefine/>
    <w:qFormat/>
    <w:uiPriority w:val="99"/>
    <w:pPr>
      <w:ind w:firstLine="420" w:firstLineChars="200"/>
    </w:pPr>
    <w:rPr>
      <w:rFonts w:ascii="Calibri" w:hAnsi="Calibri" w:cs="Calibri"/>
      <w:szCs w:val="21"/>
    </w:rPr>
  </w:style>
  <w:style w:type="paragraph" w:customStyle="1" w:styleId="94">
    <w:name w:val="正文 A"/>
    <w:autoRedefine/>
    <w:qFormat/>
    <w:uiPriority w:val="0"/>
    <w:pPr>
      <w:widowControl w:val="0"/>
      <w:jc w:val="both"/>
    </w:pPr>
    <w:rPr>
      <w:rFonts w:ascii="Times New Roman" w:hAnsi="Times New Roman" w:eastAsia="Calibri" w:cs="Calibri"/>
      <w:color w:val="000000"/>
      <w:kern w:val="2"/>
      <w:sz w:val="21"/>
      <w:szCs w:val="21"/>
      <w:u w:color="000000"/>
      <w:lang w:val="en-US" w:eastAsia="zh-CN" w:bidi="ar-SA"/>
    </w:rPr>
  </w:style>
  <w:style w:type="table" w:customStyle="1" w:styleId="95">
    <w:name w:val="网格型9"/>
    <w:basedOn w:val="32"/>
    <w:autoRedefine/>
    <w:qFormat/>
    <w:uiPriority w:val="59"/>
    <w:rPr>
      <w:rFonts w:ascii="Calibri" w:hAnsi="Calibri"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6">
    <w:name w:val="参数正文"/>
    <w:autoRedefine/>
    <w:qFormat/>
    <w:uiPriority w:val="0"/>
    <w:pPr>
      <w:widowControl w:val="0"/>
      <w:spacing w:line="360" w:lineRule="auto"/>
      <w:ind w:firstLine="480" w:firstLineChars="200"/>
    </w:pPr>
    <w:rPr>
      <w:rFonts w:ascii="宋体" w:hAnsi="宋体" w:eastAsia="宋体" w:cs="宋体"/>
      <w:sz w:val="24"/>
      <w:szCs w:val="24"/>
      <w:lang w:val="en-US" w:eastAsia="zh-CN" w:bidi="ar-SA"/>
    </w:rPr>
  </w:style>
  <w:style w:type="paragraph" w:customStyle="1" w:styleId="97">
    <w:name w:val="修订1"/>
    <w:autoRedefine/>
    <w:hidden/>
    <w:unhideWhenUsed/>
    <w:qFormat/>
    <w:uiPriority w:val="99"/>
    <w:rPr>
      <w:rFonts w:ascii="Times New Roman" w:hAnsi="Times New Roman" w:eastAsia="宋体" w:cs="Times New Roman"/>
      <w:kern w:val="2"/>
      <w:sz w:val="21"/>
      <w:lang w:val="en-US" w:eastAsia="zh-CN" w:bidi="ar-SA"/>
    </w:rPr>
  </w:style>
  <w:style w:type="paragraph" w:customStyle="1" w:styleId="98">
    <w:name w:val="Body Text First Indent 21"/>
    <w:basedOn w:val="99"/>
    <w:autoRedefine/>
    <w:qFormat/>
    <w:uiPriority w:val="0"/>
    <w:pPr>
      <w:ind w:firstLine="420"/>
    </w:pPr>
  </w:style>
  <w:style w:type="paragraph" w:customStyle="1" w:styleId="99">
    <w:name w:val="Body Text Indent1"/>
    <w:basedOn w:val="1"/>
    <w:autoRedefine/>
    <w:qFormat/>
    <w:uiPriority w:val="0"/>
    <w:pPr>
      <w:ind w:left="420" w:leftChars="200"/>
    </w:pPr>
  </w:style>
  <w:style w:type="paragraph" w:customStyle="1" w:styleId="100">
    <w:name w:val="标题2"/>
    <w:basedOn w:val="5"/>
    <w:next w:val="1"/>
    <w:autoRedefine/>
    <w:qFormat/>
    <w:uiPriority w:val="0"/>
    <w:pPr>
      <w:tabs>
        <w:tab w:val="left" w:pos="432"/>
        <w:tab w:val="left" w:pos="578"/>
        <w:tab w:val="left" w:pos="900"/>
        <w:tab w:val="left" w:pos="1440"/>
      </w:tabs>
      <w:spacing w:before="0" w:after="0" w:line="360" w:lineRule="auto"/>
      <w:ind w:left="357" w:hanging="357"/>
      <w:jc w:val="left"/>
    </w:pPr>
    <w:rPr>
      <w:rFonts w:ascii="仿宋" w:hAnsi="仿宋" w:eastAsia="仿宋"/>
      <w:bCs w:val="0"/>
      <w:szCs w:val="28"/>
    </w:rPr>
  </w:style>
  <w:style w:type="paragraph" w:customStyle="1" w:styleId="101">
    <w:name w:val="标题3"/>
    <w:basedOn w:val="6"/>
    <w:next w:val="27"/>
    <w:autoRedefine/>
    <w:qFormat/>
    <w:uiPriority w:val="0"/>
    <w:pPr>
      <w:spacing w:after="0" w:line="360" w:lineRule="auto"/>
      <w:ind w:left="900" w:hanging="720"/>
    </w:pPr>
    <w:rPr>
      <w:rFonts w:ascii="仿宋" w:hAnsi="仿宋" w:eastAsia="仿宋" w:cs="仿宋"/>
    </w:rPr>
  </w:style>
  <w:style w:type="paragraph" w:customStyle="1" w:styleId="102">
    <w:name w:val="标题4_自定义"/>
    <w:basedOn w:val="7"/>
    <w:autoRedefine/>
    <w:qFormat/>
    <w:uiPriority w:val="0"/>
    <w:pPr>
      <w:tabs>
        <w:tab w:val="left" w:pos="864"/>
      </w:tabs>
      <w:spacing w:before="0" w:after="0" w:line="360" w:lineRule="auto"/>
      <w:ind w:left="864" w:hanging="864"/>
    </w:pPr>
    <w:rPr>
      <w:rFonts w:ascii="Verdana" w:eastAsia="Verdana"/>
      <w:sz w:val="21"/>
    </w:rPr>
  </w:style>
  <w:style w:type="paragraph" w:customStyle="1" w:styleId="103">
    <w:name w:val="标题4"/>
    <w:basedOn w:val="7"/>
    <w:autoRedefine/>
    <w:qFormat/>
    <w:uiPriority w:val="0"/>
    <w:pPr>
      <w:spacing w:line="372" w:lineRule="auto"/>
    </w:pPr>
    <w:rPr>
      <w:sz w:val="24"/>
      <w:lang w:val="zh-CN" w:bidi="zh-CN"/>
    </w:rPr>
  </w:style>
  <w:style w:type="paragraph" w:customStyle="1" w:styleId="104">
    <w:name w:val="paragraph"/>
    <w:basedOn w:val="1"/>
    <w:autoRedefine/>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05">
    <w:name w:val="font61"/>
    <w:basedOn w:val="35"/>
    <w:autoRedefine/>
    <w:qFormat/>
    <w:uiPriority w:val="0"/>
    <w:rPr>
      <w:rFonts w:hint="eastAsia" w:ascii="微软雅黑" w:hAnsi="微软雅黑" w:eastAsia="微软雅黑" w:cs="微软雅黑"/>
      <w:color w:val="FF0000"/>
      <w:sz w:val="28"/>
      <w:szCs w:val="28"/>
      <w:u w:val="none"/>
    </w:rPr>
  </w:style>
  <w:style w:type="paragraph" w:customStyle="1" w:styleId="106">
    <w:name w:val="l正文"/>
    <w:basedOn w:val="1"/>
    <w:autoRedefine/>
    <w:qFormat/>
    <w:uiPriority w:val="0"/>
    <w:pPr>
      <w:spacing w:line="300" w:lineRule="auto"/>
      <w:ind w:firstLine="200" w:firstLineChars="200"/>
      <w:jc w:val="left"/>
    </w:pPr>
    <w:rPr>
      <w:rFonts w:ascii="楷体_GB2312" w:hAnsi="Times" w:eastAsia="楷体_GB2312" w:cs="等线"/>
      <w:kern w:val="2"/>
      <w:sz w:val="24"/>
      <w:szCs w:val="24"/>
    </w:rPr>
  </w:style>
  <w:style w:type="character" w:customStyle="1" w:styleId="107">
    <w:name w:val="标题 1 Char Char"/>
    <w:autoRedefine/>
    <w:qFormat/>
    <w:uiPriority w:val="0"/>
    <w:rPr>
      <w:rFonts w:eastAsia="宋体"/>
      <w:b/>
      <w:spacing w:val="-2"/>
      <w:sz w:val="24"/>
      <w:lang w:val="en-US" w:eastAsia="zh-CN"/>
    </w:rPr>
  </w:style>
  <w:style w:type="table" w:customStyle="1" w:styleId="108">
    <w:name w:val="表"/>
    <w:autoRedefine/>
    <w:qFormat/>
    <w:uiPriority w:val="39"/>
    <w:pPr>
      <w:contextualSpacing/>
    </w:pPr>
    <w:rPr>
      <w:rFonts w:ascii="Calibri" w:hAnsi="Calibri" w:eastAsia="宋体" w:cs="Times New Roman"/>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style>
  <w:style w:type="table" w:customStyle="1" w:styleId="109">
    <w:name w:val="网格型1"/>
    <w:basedOn w:val="32"/>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
    <w:name w:val="表格段落"/>
    <w:basedOn w:val="1"/>
    <w:autoRedefine/>
    <w:qFormat/>
    <w:uiPriority w:val="99"/>
    <w:pPr>
      <w:widowControl/>
      <w:spacing w:line="360" w:lineRule="auto"/>
      <w:jc w:val="left"/>
    </w:pPr>
    <w:rPr>
      <w:rFonts w:ascii="宋体" w:hAnsi="宋体" w:eastAsia="宋体" w:cs="宋体"/>
      <w:bCs/>
      <w:sz w:val="24"/>
      <w:szCs w:val="24"/>
    </w:rPr>
  </w:style>
  <w:style w:type="paragraph" w:customStyle="1" w:styleId="111">
    <w:name w:val="正文段落"/>
    <w:autoRedefine/>
    <w:qFormat/>
    <w:uiPriority w:val="99"/>
    <w:pPr>
      <w:widowControl/>
      <w:spacing w:line="360" w:lineRule="auto"/>
      <w:ind w:firstLine="480" w:firstLineChars="200"/>
      <w:jc w:val="both"/>
    </w:pPr>
    <w:rPr>
      <w:rFonts w:ascii="宋体" w:hAnsi="宋体" w:eastAsia="宋体" w:cs="宋体"/>
      <w:kern w:val="0"/>
      <w:sz w:val="24"/>
      <w:szCs w:val="24"/>
      <w:lang w:val="en-US" w:eastAsia="zh-CN" w:bidi="ar-SA"/>
    </w:rPr>
  </w:style>
  <w:style w:type="paragraph" w:customStyle="1" w:styleId="112">
    <w:name w:val="Table Text"/>
    <w:basedOn w:val="1"/>
    <w:autoRedefine/>
    <w:qFormat/>
    <w:uiPriority w:val="0"/>
    <w:pPr>
      <w:widowControl/>
      <w:spacing w:before="60" w:after="60"/>
      <w:jc w:val="left"/>
    </w:pPr>
    <w:rPr>
      <w:kern w:val="0"/>
      <w:sz w:val="24"/>
    </w:rPr>
  </w:style>
  <w:style w:type="table" w:customStyle="1" w:styleId="113">
    <w:name w:val="Table Normal"/>
    <w:autoRedefine/>
    <w:unhideWhenUsed/>
    <w:qFormat/>
    <w:uiPriority w:val="0"/>
    <w:tblPr>
      <w:tblCellMar>
        <w:top w:w="0" w:type="dxa"/>
        <w:left w:w="0" w:type="dxa"/>
        <w:bottom w:w="0" w:type="dxa"/>
        <w:right w:w="0" w:type="dxa"/>
      </w:tblCellMar>
    </w:tblPr>
  </w:style>
  <w:style w:type="paragraph" w:customStyle="1" w:styleId="114">
    <w:name w:val="索引 11"/>
    <w:basedOn w:val="1"/>
    <w:next w:val="1"/>
    <w:qFormat/>
    <w:uiPriority w:val="0"/>
    <w:pPr>
      <w:adjustRightInd/>
      <w:spacing w:line="360" w:lineRule="auto"/>
    </w:pPr>
    <w:rPr>
      <w:rFonts w:ascii="仿宋_GB2312" w:eastAsia="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Company>
  <Pages>55</Pages>
  <Words>27912</Words>
  <Characters>29840</Characters>
  <Lines>167</Lines>
  <Paragraphs>47</Paragraphs>
  <TotalTime>3</TotalTime>
  <ScaleCrop>false</ScaleCrop>
  <LinksUpToDate>false</LinksUpToDate>
  <CharactersWithSpaces>31207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2023-02-04T00:41:00Z</dcterms:created>
  <dc:creator>founder</dc:creator>
  <cp:lastModifiedBy>雨溪</cp:lastModifiedBy>
  <cp:lastPrinted>2024-06-25T07:42:00Z</cp:lastPrinted>
  <dcterms:modified xsi:type="dcterms:W3CDTF">2024-08-26T08:17:47Z</dcterms:modified>
  <dc:title>第二部分  投标方须知</dc:title>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4A9E13FCD60446C291DE0DE02FFD164F_13</vt:lpwstr>
  </property>
</Properties>
</file>